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D8CF" w14:textId="77777777" w:rsidR="00E95165" w:rsidRPr="00DA2CB2" w:rsidRDefault="00E95165" w:rsidP="00E95165">
      <w:pPr>
        <w:tabs>
          <w:tab w:val="left" w:pos="3465"/>
        </w:tabs>
        <w:spacing w:line="360" w:lineRule="auto"/>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w:t>
      </w:r>
      <w:r w:rsidR="00DA2CB2" w:rsidRPr="00DA2CB2">
        <w:rPr>
          <w:rFonts w:ascii="Palatino Linotype" w:eastAsia="Palatino Linotype" w:hAnsi="Palatino Linotype" w:cs="Palatino Linotype"/>
          <w:color w:val="000000"/>
        </w:rPr>
        <w:t>n Metepec, Estado de México; de fecha</w:t>
      </w:r>
      <w:r w:rsidRPr="00DA2CB2">
        <w:rPr>
          <w:rFonts w:ascii="Palatino Linotype" w:eastAsia="Palatino Linotype" w:hAnsi="Palatino Linotype" w:cs="Palatino Linotype"/>
          <w:color w:val="000000"/>
        </w:rPr>
        <w:t xml:space="preserve"> veintiocho (28) de agosto de dos mil veinticuatro.</w:t>
      </w:r>
    </w:p>
    <w:p w14:paraId="4C278139" w14:textId="77777777" w:rsidR="00E95165" w:rsidRPr="00DA2CB2" w:rsidRDefault="00E95165" w:rsidP="00E95165">
      <w:pPr>
        <w:tabs>
          <w:tab w:val="left" w:pos="3465"/>
        </w:tabs>
        <w:spacing w:line="360" w:lineRule="auto"/>
        <w:jc w:val="both"/>
        <w:rPr>
          <w:rFonts w:ascii="Palatino Linotype" w:eastAsia="Palatino Linotype" w:hAnsi="Palatino Linotype" w:cs="Palatino Linotype"/>
          <w:color w:val="000000"/>
        </w:rPr>
      </w:pPr>
    </w:p>
    <w:p w14:paraId="229543A5" w14:textId="566232BD" w:rsidR="00E95165" w:rsidRPr="00DA2CB2" w:rsidRDefault="00E95165" w:rsidP="00E95165">
      <w:pPr>
        <w:spacing w:line="360" w:lineRule="auto"/>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b/>
          <w:color w:val="000000"/>
        </w:rPr>
        <w:t>VISTO</w:t>
      </w:r>
      <w:r w:rsidRPr="00DA2CB2">
        <w:rPr>
          <w:rFonts w:ascii="Palatino Linotype" w:eastAsia="Palatino Linotype" w:hAnsi="Palatino Linotype" w:cs="Palatino Linotype"/>
          <w:color w:val="000000"/>
        </w:rPr>
        <w:t xml:space="preserve"> el expediente electrónico formado con motivo del recurso de revisión </w:t>
      </w:r>
      <w:r w:rsidRPr="00DA2CB2">
        <w:rPr>
          <w:rFonts w:ascii="Palatino Linotype" w:eastAsia="Palatino Linotype" w:hAnsi="Palatino Linotype" w:cs="Palatino Linotype"/>
          <w:b/>
        </w:rPr>
        <w:t>03193/INFOEM/IP/RR/2023</w:t>
      </w:r>
      <w:r w:rsidRPr="00DA2CB2">
        <w:rPr>
          <w:rFonts w:ascii="Palatino Linotype" w:eastAsia="Palatino Linotype" w:hAnsi="Palatino Linotype" w:cs="Palatino Linotype"/>
          <w:color w:val="000000"/>
        </w:rPr>
        <w:t xml:space="preserve">, interpuesto por </w:t>
      </w:r>
      <w:r w:rsidR="002524E4">
        <w:rPr>
          <w:rFonts w:ascii="Palatino Linotype" w:eastAsia="Palatino Linotype" w:hAnsi="Palatino Linotype" w:cs="Palatino Linotype"/>
          <w:b/>
          <w:bCs/>
        </w:rPr>
        <w:t xml:space="preserve">XXX </w:t>
      </w:r>
      <w:proofErr w:type="spellStart"/>
      <w:r w:rsidR="002524E4">
        <w:rPr>
          <w:rFonts w:ascii="Palatino Linotype" w:eastAsia="Palatino Linotype" w:hAnsi="Palatino Linotype" w:cs="Palatino Linotype"/>
          <w:b/>
          <w:bCs/>
        </w:rPr>
        <w:t>XXX</w:t>
      </w:r>
      <w:proofErr w:type="spellEnd"/>
      <w:r w:rsidRPr="00DA2CB2">
        <w:rPr>
          <w:rFonts w:ascii="Palatino Linotype" w:eastAsia="Palatino Linotype" w:hAnsi="Palatino Linotype" w:cs="Palatino Linotype"/>
          <w:color w:val="000000"/>
        </w:rPr>
        <w:t>, en adelante</w:t>
      </w:r>
      <w:r w:rsidR="00DA2CB2">
        <w:rPr>
          <w:rFonts w:ascii="Palatino Linotype" w:eastAsia="Palatino Linotype" w:hAnsi="Palatino Linotype" w:cs="Palatino Linotype"/>
          <w:color w:val="000000"/>
        </w:rPr>
        <w:t xml:space="preserve"> se denominará como</w:t>
      </w:r>
      <w:r w:rsidRPr="00DA2CB2">
        <w:rPr>
          <w:rFonts w:ascii="Palatino Linotype" w:eastAsia="Palatino Linotype" w:hAnsi="Palatino Linotype" w:cs="Palatino Linotype"/>
          <w:color w:val="000000"/>
        </w:rPr>
        <w:t xml:space="preserve"> la </w:t>
      </w:r>
      <w:r w:rsidRPr="00DA2CB2">
        <w:rPr>
          <w:rFonts w:ascii="Palatino Linotype" w:eastAsia="Palatino Linotype" w:hAnsi="Palatino Linotype" w:cs="Palatino Linotype"/>
          <w:b/>
          <w:color w:val="000000"/>
        </w:rPr>
        <w:t>RECURRENTE</w:t>
      </w:r>
      <w:r w:rsidR="00DA2CB2">
        <w:rPr>
          <w:rFonts w:ascii="Palatino Linotype" w:eastAsia="Palatino Linotype" w:hAnsi="Palatino Linotype" w:cs="Palatino Linotype"/>
          <w:color w:val="000000"/>
        </w:rPr>
        <w:t>,</w:t>
      </w:r>
      <w:r w:rsidRPr="00DA2CB2">
        <w:rPr>
          <w:rFonts w:ascii="Palatino Linotype" w:eastAsia="Palatino Linotype" w:hAnsi="Palatino Linotype" w:cs="Palatino Linotype"/>
          <w:color w:val="000000"/>
        </w:rPr>
        <w:t xml:space="preserve"> en contra de la respuesta del </w:t>
      </w:r>
      <w:r w:rsidRPr="00DA2CB2">
        <w:rPr>
          <w:rFonts w:ascii="Palatino Linotype" w:eastAsia="Palatino Linotype" w:hAnsi="Palatino Linotype" w:cs="Palatino Linotype"/>
          <w:b/>
          <w:bCs/>
          <w:color w:val="000000"/>
        </w:rPr>
        <w:t>Instituto Mexiquense de la Vivienda Social</w:t>
      </w:r>
      <w:r w:rsidRPr="00DA2CB2">
        <w:rPr>
          <w:rFonts w:ascii="Palatino Linotype" w:eastAsia="Palatino Linotype" w:hAnsi="Palatino Linotype" w:cs="Palatino Linotype"/>
          <w:b/>
          <w:color w:val="000000"/>
        </w:rPr>
        <w:t>,</w:t>
      </w:r>
      <w:r w:rsidRPr="00DA2CB2">
        <w:rPr>
          <w:rFonts w:ascii="Palatino Linotype" w:eastAsia="Palatino Linotype" w:hAnsi="Palatino Linotype" w:cs="Palatino Linotype"/>
          <w:color w:val="000000"/>
        </w:rPr>
        <w:t xml:space="preserve"> en </w:t>
      </w:r>
      <w:r w:rsidR="00DA2CB2">
        <w:rPr>
          <w:rFonts w:ascii="Palatino Linotype" w:eastAsia="Palatino Linotype" w:hAnsi="Palatino Linotype" w:cs="Palatino Linotype"/>
          <w:color w:val="000000"/>
        </w:rPr>
        <w:t>lo sucesivo</w:t>
      </w:r>
      <w:r w:rsidRPr="00DA2CB2">
        <w:rPr>
          <w:rFonts w:ascii="Palatino Linotype" w:eastAsia="Palatino Linotype" w:hAnsi="Palatino Linotype" w:cs="Palatino Linotype"/>
          <w:color w:val="000000"/>
        </w:rPr>
        <w:t xml:space="preserve"> el</w:t>
      </w:r>
      <w:r w:rsidRPr="00DA2CB2">
        <w:rPr>
          <w:rFonts w:ascii="Palatino Linotype" w:eastAsia="Palatino Linotype" w:hAnsi="Palatino Linotype" w:cs="Palatino Linotype"/>
          <w:b/>
          <w:color w:val="000000"/>
        </w:rPr>
        <w:t xml:space="preserve"> SUJETO OBLIGADO, </w:t>
      </w:r>
      <w:r w:rsidRPr="00DA2CB2">
        <w:rPr>
          <w:rFonts w:ascii="Palatino Linotype" w:eastAsia="Palatino Linotype" w:hAnsi="Palatino Linotype" w:cs="Palatino Linotype"/>
          <w:color w:val="000000"/>
        </w:rPr>
        <w:t xml:space="preserve">se procede a dictar la presente resolución, con base en los siguientes: </w:t>
      </w:r>
    </w:p>
    <w:p w14:paraId="5350E5E9" w14:textId="77777777" w:rsidR="00E95165" w:rsidRPr="00DA2CB2" w:rsidRDefault="00E95165" w:rsidP="00E95165">
      <w:pPr>
        <w:spacing w:line="360" w:lineRule="auto"/>
        <w:jc w:val="both"/>
        <w:rPr>
          <w:rFonts w:ascii="Palatino Linotype" w:eastAsia="Palatino Linotype" w:hAnsi="Palatino Linotype" w:cs="Palatino Linotype"/>
          <w:color w:val="000000"/>
        </w:rPr>
      </w:pPr>
    </w:p>
    <w:p w14:paraId="6190F4BC" w14:textId="77777777" w:rsidR="00E95165" w:rsidRPr="00DA2CB2" w:rsidRDefault="00E95165" w:rsidP="00E95165">
      <w:pPr>
        <w:pStyle w:val="Ttulo1"/>
        <w:spacing w:before="0" w:line="360" w:lineRule="auto"/>
        <w:jc w:val="center"/>
        <w:rPr>
          <w:b/>
          <w:color w:val="000000"/>
          <w:szCs w:val="24"/>
        </w:rPr>
      </w:pPr>
      <w:bookmarkStart w:id="0" w:name="_heading=h.gjdgxs" w:colFirst="0" w:colLast="0"/>
      <w:bookmarkEnd w:id="0"/>
      <w:r w:rsidRPr="00DA2CB2">
        <w:rPr>
          <w:b/>
          <w:color w:val="000000"/>
          <w:szCs w:val="24"/>
        </w:rPr>
        <w:t>A N T E C E D E N T E S</w:t>
      </w:r>
    </w:p>
    <w:p w14:paraId="1109A904" w14:textId="77777777" w:rsidR="00E95165" w:rsidRPr="00DA2CB2" w:rsidRDefault="00E95165" w:rsidP="00E95165"/>
    <w:p w14:paraId="3AA5B454" w14:textId="77777777" w:rsidR="00E95165" w:rsidRPr="00DA2CB2" w:rsidRDefault="00E95165" w:rsidP="00E95165">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El veinticuatro (24) de abril de dos mil veintitrés, el particular presentó</w:t>
      </w:r>
      <w:r w:rsidRPr="00DA2CB2">
        <w:rPr>
          <w:rFonts w:ascii="Palatino Linotype" w:eastAsia="Palatino Linotype" w:hAnsi="Palatino Linotype" w:cs="Palatino Linotype"/>
          <w:b/>
          <w:color w:val="000000"/>
        </w:rPr>
        <w:t xml:space="preserve"> </w:t>
      </w:r>
      <w:r w:rsidRPr="00DA2CB2">
        <w:rPr>
          <w:rFonts w:ascii="Palatino Linotype" w:eastAsia="Palatino Linotype" w:hAnsi="Palatino Linotype" w:cs="Palatino Linotype"/>
          <w:color w:val="000000"/>
        </w:rPr>
        <w:t>a través de la Plataforma Nacional de Transparencia, la solicitud de información pública registrada con el número</w:t>
      </w:r>
      <w:r w:rsidRPr="00DA2CB2">
        <w:rPr>
          <w:rFonts w:ascii="Palatino Linotype" w:eastAsia="Palatino Linotype" w:hAnsi="Palatino Linotype" w:cs="Palatino Linotype"/>
          <w:b/>
          <w:color w:val="000000"/>
        </w:rPr>
        <w:t xml:space="preserve"> </w:t>
      </w:r>
      <w:r w:rsidRPr="00DA2CB2">
        <w:rPr>
          <w:rFonts w:ascii="Palatino Linotype" w:eastAsia="Palatino Linotype" w:hAnsi="Palatino Linotype" w:cs="Palatino Linotype"/>
          <w:b/>
          <w:bCs/>
          <w:color w:val="000000"/>
        </w:rPr>
        <w:t>00039/IMEVIS/IP/2023</w:t>
      </w:r>
      <w:r w:rsidRPr="00DA2CB2">
        <w:rPr>
          <w:rFonts w:ascii="Palatino Linotype" w:eastAsia="Palatino Linotype" w:hAnsi="Palatino Linotype" w:cs="Palatino Linotype"/>
          <w:b/>
          <w:color w:val="000000"/>
        </w:rPr>
        <w:t>,</w:t>
      </w:r>
      <w:r w:rsidRPr="00DA2CB2">
        <w:rPr>
          <w:rFonts w:ascii="Palatino Linotype" w:eastAsia="Palatino Linotype" w:hAnsi="Palatino Linotype" w:cs="Palatino Linotype"/>
          <w:color w:val="000000"/>
        </w:rPr>
        <w:t xml:space="preserve"> </w:t>
      </w:r>
      <w:r w:rsidR="00DA2CB2">
        <w:rPr>
          <w:rFonts w:ascii="Palatino Linotype" w:eastAsia="Palatino Linotype" w:hAnsi="Palatino Linotype" w:cs="Palatino Linotype"/>
          <w:color w:val="000000"/>
        </w:rPr>
        <w:t>en la que se</w:t>
      </w:r>
      <w:r w:rsidRPr="00DA2CB2">
        <w:rPr>
          <w:rFonts w:ascii="Palatino Linotype" w:eastAsia="Palatino Linotype" w:hAnsi="Palatino Linotype" w:cs="Palatino Linotype"/>
          <w:color w:val="000000"/>
        </w:rPr>
        <w:t xml:space="preserve"> requirió lo siguiente:</w:t>
      </w:r>
    </w:p>
    <w:p w14:paraId="0203C500" w14:textId="77777777" w:rsidR="00E95165" w:rsidRPr="00DA2CB2" w:rsidRDefault="00E95165" w:rsidP="00E9516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rPr>
      </w:pPr>
    </w:p>
    <w:p w14:paraId="65A9333E" w14:textId="77777777" w:rsidR="00E95165" w:rsidRPr="00DA2CB2" w:rsidRDefault="00E95165" w:rsidP="00E9516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sidRPr="00DA2CB2">
        <w:rPr>
          <w:rFonts w:ascii="Palatino Linotype" w:eastAsia="Palatino Linotype" w:hAnsi="Palatino Linotype" w:cs="Palatino Linotype"/>
          <w:i/>
          <w:color w:val="000000"/>
        </w:rPr>
        <w:t xml:space="preserve">“1.- </w:t>
      </w:r>
      <w:proofErr w:type="gramStart"/>
      <w:r w:rsidRPr="00DA2CB2">
        <w:rPr>
          <w:rFonts w:ascii="Palatino Linotype" w:eastAsia="Palatino Linotype" w:hAnsi="Palatino Linotype" w:cs="Palatino Linotype"/>
          <w:i/>
          <w:color w:val="000000"/>
        </w:rPr>
        <w:t>¿Cuál es el procedimiento para solicitar una cancelación de reserva de dominio de un inmueble ubicado en el municipio de Ecatepec de Morelos.</w:t>
      </w:r>
      <w:proofErr w:type="gramEnd"/>
      <w:r w:rsidRPr="00DA2CB2">
        <w:rPr>
          <w:rFonts w:ascii="Palatino Linotype" w:eastAsia="Palatino Linotype" w:hAnsi="Palatino Linotype" w:cs="Palatino Linotype"/>
          <w:i/>
          <w:color w:val="000000"/>
        </w:rPr>
        <w:t>? 2.</w:t>
      </w:r>
      <w:proofErr w:type="gramStart"/>
      <w:r w:rsidRPr="00DA2CB2">
        <w:rPr>
          <w:rFonts w:ascii="Palatino Linotype" w:eastAsia="Palatino Linotype" w:hAnsi="Palatino Linotype" w:cs="Palatino Linotype"/>
          <w:i/>
          <w:color w:val="000000"/>
        </w:rPr>
        <w:t>-¿</w:t>
      </w:r>
      <w:proofErr w:type="gramEnd"/>
      <w:r w:rsidRPr="00DA2CB2">
        <w:rPr>
          <w:rFonts w:ascii="Palatino Linotype" w:eastAsia="Palatino Linotype" w:hAnsi="Palatino Linotype" w:cs="Palatino Linotype"/>
          <w:i/>
          <w:color w:val="000000"/>
        </w:rPr>
        <w:t>Cómo solicitar la liberación de una reserva de dominio de un inmueble que fue adquirido por el Gobierno del Estado de México.? 3.</w:t>
      </w:r>
      <w:proofErr w:type="gramStart"/>
      <w:r w:rsidRPr="00DA2CB2">
        <w:rPr>
          <w:rFonts w:ascii="Palatino Linotype" w:eastAsia="Palatino Linotype" w:hAnsi="Palatino Linotype" w:cs="Palatino Linotype"/>
          <w:i/>
          <w:color w:val="000000"/>
        </w:rPr>
        <w:t>-¿</w:t>
      </w:r>
      <w:proofErr w:type="gramEnd"/>
      <w:r w:rsidRPr="00DA2CB2">
        <w:rPr>
          <w:rFonts w:ascii="Palatino Linotype" w:eastAsia="Palatino Linotype" w:hAnsi="Palatino Linotype" w:cs="Palatino Linotype"/>
          <w:i/>
          <w:color w:val="000000"/>
        </w:rPr>
        <w:t xml:space="preserve">Cuál es el procedimiento y ante que autoridad puedo solicitar la liberación de una cláusula de reserva de dominio que aparece en un certificado de no gravamen? 4.- ¿Cómo se realiza la solicitud de una carta de no adeudo, cuál es el costo y que autoridad </w:t>
      </w:r>
      <w:proofErr w:type="spellStart"/>
      <w:r w:rsidRPr="00DA2CB2">
        <w:rPr>
          <w:rFonts w:ascii="Palatino Linotype" w:eastAsia="Palatino Linotype" w:hAnsi="Palatino Linotype" w:cs="Palatino Linotype"/>
          <w:i/>
          <w:color w:val="000000"/>
        </w:rPr>
        <w:t>esta</w:t>
      </w:r>
      <w:proofErr w:type="spellEnd"/>
      <w:r w:rsidRPr="00DA2CB2">
        <w:rPr>
          <w:rFonts w:ascii="Palatino Linotype" w:eastAsia="Palatino Linotype" w:hAnsi="Palatino Linotype" w:cs="Palatino Linotype"/>
          <w:i/>
          <w:color w:val="000000"/>
        </w:rPr>
        <w:t xml:space="preserve"> facultada para expedirla, de un inmueble ubicado en Ecatepec de Morelos adquirido por el Gobierno del Estado de México?”</w:t>
      </w:r>
    </w:p>
    <w:p w14:paraId="271FABBE" w14:textId="77777777" w:rsidR="00F93564" w:rsidRPr="00DA2CB2" w:rsidRDefault="00F93564" w:rsidP="00F93564">
      <w:p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rPr>
      </w:pPr>
    </w:p>
    <w:p w14:paraId="050C56D1" w14:textId="77777777" w:rsidR="00F93564" w:rsidRPr="00DA2CB2" w:rsidRDefault="00F93564" w:rsidP="00F93564">
      <w:pPr>
        <w:pStyle w:val="Prrafodelista"/>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lastRenderedPageBreak/>
        <w:t xml:space="preserve">A la solicitud adjuntó el archivo </w:t>
      </w:r>
      <w:hyperlink r:id="rId7" w:tgtFrame="_blank" w:history="1">
        <w:r w:rsidRPr="00DA2CB2">
          <w:rPr>
            <w:rStyle w:val="Hipervnculo"/>
            <w:rFonts w:ascii="Palatino Linotype" w:eastAsia="Palatino Linotype" w:hAnsi="Palatino Linotype" w:cs="Palatino Linotype"/>
            <w:b/>
            <w:bCs/>
            <w:color w:val="auto"/>
          </w:rPr>
          <w:t>Archivo Adjunto a la Solicitud</w:t>
        </w:r>
      </w:hyperlink>
      <w:r w:rsidRPr="00DA2CB2">
        <w:rPr>
          <w:rFonts w:ascii="Palatino Linotype" w:eastAsia="Palatino Linotype" w:hAnsi="Palatino Linotype" w:cs="Palatino Linotype"/>
          <w:b/>
        </w:rPr>
        <w:t>,</w:t>
      </w:r>
      <w:r w:rsidRPr="00DA2CB2">
        <w:rPr>
          <w:rFonts w:ascii="Palatino Linotype" w:eastAsia="Palatino Linotype" w:hAnsi="Palatino Linotype" w:cs="Palatino Linotype"/>
        </w:rPr>
        <w:t xml:space="preserve"> </w:t>
      </w:r>
      <w:r w:rsidRPr="00DA2CB2">
        <w:rPr>
          <w:rFonts w:ascii="Palatino Linotype" w:eastAsia="Palatino Linotype" w:hAnsi="Palatino Linotype" w:cs="Palatino Linotype"/>
          <w:color w:val="000000"/>
        </w:rPr>
        <w:t xml:space="preserve">en el que se advierte un documento referente a una solicitud de certificado de libertad o existencia de gravámenes y un certificado de libertad o existencia de gravámenes. </w:t>
      </w:r>
    </w:p>
    <w:p w14:paraId="456B4BA5" w14:textId="77777777" w:rsidR="00F93564" w:rsidRPr="00DA2CB2" w:rsidRDefault="00F93564" w:rsidP="00F9356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041C9DD" w14:textId="77777777" w:rsidR="00E95165" w:rsidRPr="00DA2CB2" w:rsidRDefault="00E95165" w:rsidP="00E95165">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 xml:space="preserve">El particular señaló como modalidad de entrega a través de correo electrónico.  </w:t>
      </w:r>
    </w:p>
    <w:p w14:paraId="36EA03B8" w14:textId="77777777" w:rsidR="00E95165" w:rsidRPr="00DA2CB2" w:rsidRDefault="00E95165" w:rsidP="00E9516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A9D7AEA" w14:textId="77777777" w:rsidR="00E95165" w:rsidRPr="00DA2CB2" w:rsidRDefault="00E95165" w:rsidP="00E95165">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 xml:space="preserve">El </w:t>
      </w:r>
      <w:r w:rsidR="00F93564" w:rsidRPr="00DA2CB2">
        <w:rPr>
          <w:rFonts w:ascii="Palatino Linotype" w:eastAsia="Palatino Linotype" w:hAnsi="Palatino Linotype" w:cs="Palatino Linotype"/>
          <w:color w:val="000000"/>
        </w:rPr>
        <w:t>diecisiete (17</w:t>
      </w:r>
      <w:r w:rsidRPr="00DA2CB2">
        <w:rPr>
          <w:rFonts w:ascii="Palatino Linotype" w:eastAsia="Palatino Linotype" w:hAnsi="Palatino Linotype" w:cs="Palatino Linotype"/>
          <w:color w:val="000000"/>
        </w:rPr>
        <w:t xml:space="preserve">) de mayo de dos mil veintitrés, se realizó un requerimiento de información al servidor público habilitado. </w:t>
      </w:r>
    </w:p>
    <w:p w14:paraId="16815161" w14:textId="77777777" w:rsidR="00E95165" w:rsidRPr="00DA2CB2" w:rsidRDefault="00E95165" w:rsidP="00E95165">
      <w:pPr>
        <w:pStyle w:val="Prrafodelista"/>
        <w:rPr>
          <w:rFonts w:ascii="Palatino Linotype" w:eastAsia="Palatino Linotype" w:hAnsi="Palatino Linotype" w:cs="Palatino Linotype"/>
          <w:color w:val="000000"/>
        </w:rPr>
      </w:pPr>
    </w:p>
    <w:p w14:paraId="7A1BBF11" w14:textId="77777777" w:rsidR="00E95165" w:rsidRPr="00DA2CB2" w:rsidRDefault="00E95165" w:rsidP="00E95165">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 xml:space="preserve">El </w:t>
      </w:r>
      <w:r w:rsidR="00F93564" w:rsidRPr="00DA2CB2">
        <w:rPr>
          <w:rFonts w:ascii="Palatino Linotype" w:eastAsia="Palatino Linotype" w:hAnsi="Palatino Linotype" w:cs="Palatino Linotype"/>
          <w:color w:val="000000"/>
        </w:rPr>
        <w:t>diecisiete (17) de mayo</w:t>
      </w:r>
      <w:r w:rsidRPr="00DA2CB2">
        <w:rPr>
          <w:rFonts w:ascii="Palatino Linotype" w:eastAsia="Palatino Linotype" w:hAnsi="Palatino Linotype" w:cs="Palatino Linotype"/>
          <w:color w:val="000000"/>
        </w:rPr>
        <w:t xml:space="preserve"> de dos mil veintitrés, el Sujeto Obligado dio respuesta a la solicitud de información, en el siguiente sentido:</w:t>
      </w:r>
    </w:p>
    <w:p w14:paraId="157DDE4C" w14:textId="77777777" w:rsidR="00E95165" w:rsidRPr="00DA2CB2" w:rsidRDefault="00E95165" w:rsidP="00B822EB">
      <w:pPr>
        <w:rPr>
          <w:rFonts w:ascii="Palatino Linotype" w:eastAsia="Palatino Linotype" w:hAnsi="Palatino Linotype" w:cs="Palatino Linotype"/>
          <w:color w:val="000000"/>
        </w:rPr>
      </w:pPr>
    </w:p>
    <w:tbl>
      <w:tblPr>
        <w:tblW w:w="7751" w:type="dxa"/>
        <w:jc w:val="center"/>
        <w:tblCellSpacing w:w="0" w:type="dxa"/>
        <w:tblCellMar>
          <w:left w:w="0" w:type="dxa"/>
          <w:right w:w="0" w:type="dxa"/>
        </w:tblCellMar>
        <w:tblLook w:val="04A0" w:firstRow="1" w:lastRow="0" w:firstColumn="1" w:lastColumn="0" w:noHBand="0" w:noVBand="1"/>
      </w:tblPr>
      <w:tblGrid>
        <w:gridCol w:w="7751"/>
      </w:tblGrid>
      <w:tr w:rsidR="00B822EB" w:rsidRPr="00DA2CB2" w14:paraId="771BADD5" w14:textId="77777777" w:rsidTr="00B822EB">
        <w:trPr>
          <w:trHeight w:val="325"/>
          <w:tblCellSpacing w:w="0" w:type="dxa"/>
          <w:jc w:val="center"/>
        </w:trPr>
        <w:tc>
          <w:tcPr>
            <w:tcW w:w="0" w:type="auto"/>
            <w:vAlign w:val="center"/>
            <w:hideMark/>
          </w:tcPr>
          <w:p w14:paraId="18C5CB79" w14:textId="77777777" w:rsidR="00B822EB" w:rsidRPr="00DA2CB2" w:rsidRDefault="00B822EB" w:rsidP="00DA2CB2">
            <w:pPr>
              <w:ind w:right="708"/>
              <w:jc w:val="right"/>
              <w:rPr>
                <w:rFonts w:ascii="Palatino Linotype" w:eastAsia="Times New Roman" w:hAnsi="Palatino Linotype" w:cs="Times New Roman"/>
                <w:i/>
                <w:sz w:val="22"/>
              </w:rPr>
            </w:pPr>
            <w:r w:rsidRPr="00DA2CB2">
              <w:rPr>
                <w:rFonts w:ascii="Palatino Linotype" w:eastAsia="Times New Roman" w:hAnsi="Palatino Linotype" w:cs="Times New Roman"/>
                <w:i/>
                <w:sz w:val="22"/>
              </w:rPr>
              <w:t>“Metepec, México a 17 de Mayo de 2023</w:t>
            </w:r>
          </w:p>
        </w:tc>
      </w:tr>
      <w:tr w:rsidR="00B822EB" w:rsidRPr="00DA2CB2" w14:paraId="2821440A" w14:textId="77777777" w:rsidTr="00B822EB">
        <w:trPr>
          <w:trHeight w:val="325"/>
          <w:tblCellSpacing w:w="0" w:type="dxa"/>
          <w:jc w:val="center"/>
        </w:trPr>
        <w:tc>
          <w:tcPr>
            <w:tcW w:w="0" w:type="auto"/>
            <w:vAlign w:val="center"/>
            <w:hideMark/>
          </w:tcPr>
          <w:p w14:paraId="7BE8AC27" w14:textId="77777777" w:rsidR="00B822EB" w:rsidRPr="00DA2CB2" w:rsidRDefault="00B822EB" w:rsidP="00DA2CB2">
            <w:pPr>
              <w:ind w:right="708"/>
              <w:jc w:val="right"/>
              <w:rPr>
                <w:rFonts w:ascii="Palatino Linotype" w:eastAsia="Times New Roman" w:hAnsi="Palatino Linotype" w:cs="Times New Roman"/>
                <w:i/>
                <w:sz w:val="22"/>
              </w:rPr>
            </w:pPr>
            <w:r w:rsidRPr="00DA2CB2">
              <w:rPr>
                <w:rFonts w:ascii="Palatino Linotype" w:eastAsia="Times New Roman" w:hAnsi="Palatino Linotype" w:cs="Times New Roman"/>
                <w:i/>
                <w:sz w:val="22"/>
              </w:rPr>
              <w:t>Nombre del solicitante:</w:t>
            </w:r>
          </w:p>
        </w:tc>
      </w:tr>
      <w:tr w:rsidR="00B822EB" w:rsidRPr="00DA2CB2" w14:paraId="5937A22B" w14:textId="77777777" w:rsidTr="00B822EB">
        <w:trPr>
          <w:trHeight w:val="325"/>
          <w:tblCellSpacing w:w="0" w:type="dxa"/>
          <w:jc w:val="center"/>
        </w:trPr>
        <w:tc>
          <w:tcPr>
            <w:tcW w:w="0" w:type="auto"/>
            <w:vAlign w:val="center"/>
            <w:hideMark/>
          </w:tcPr>
          <w:p w14:paraId="1F3BEE74" w14:textId="77777777" w:rsidR="00B822EB" w:rsidRPr="00DA2CB2" w:rsidRDefault="00B822EB" w:rsidP="00DA2CB2">
            <w:pPr>
              <w:ind w:right="708"/>
              <w:jc w:val="right"/>
              <w:rPr>
                <w:rFonts w:ascii="Palatino Linotype" w:eastAsia="Times New Roman" w:hAnsi="Palatino Linotype" w:cs="Times New Roman"/>
                <w:i/>
                <w:sz w:val="22"/>
              </w:rPr>
            </w:pPr>
            <w:r w:rsidRPr="00DA2CB2">
              <w:rPr>
                <w:rFonts w:ascii="Palatino Linotype" w:eastAsia="Times New Roman" w:hAnsi="Palatino Linotype" w:cs="Times New Roman"/>
                <w:i/>
                <w:sz w:val="22"/>
              </w:rPr>
              <w:t>Folio de la solicitud: 00039/IMEVIS/IP/2023</w:t>
            </w:r>
          </w:p>
        </w:tc>
      </w:tr>
      <w:tr w:rsidR="00B822EB" w:rsidRPr="00DA2CB2" w14:paraId="4E315305" w14:textId="77777777" w:rsidTr="00B822EB">
        <w:trPr>
          <w:trHeight w:val="487"/>
          <w:tblCellSpacing w:w="0" w:type="dxa"/>
          <w:jc w:val="center"/>
        </w:trPr>
        <w:tc>
          <w:tcPr>
            <w:tcW w:w="0" w:type="auto"/>
            <w:vAlign w:val="center"/>
            <w:hideMark/>
          </w:tcPr>
          <w:p w14:paraId="46553725" w14:textId="77777777" w:rsidR="00B822EB" w:rsidRPr="00DA2CB2" w:rsidRDefault="00B822EB" w:rsidP="00DA2CB2">
            <w:pPr>
              <w:ind w:right="708"/>
              <w:jc w:val="right"/>
              <w:rPr>
                <w:rFonts w:ascii="Palatino Linotype" w:eastAsia="Times New Roman" w:hAnsi="Palatino Linotype" w:cs="Times New Roman"/>
                <w:i/>
                <w:sz w:val="22"/>
              </w:rPr>
            </w:pPr>
          </w:p>
        </w:tc>
      </w:tr>
      <w:tr w:rsidR="00B822EB" w:rsidRPr="00DA2CB2" w14:paraId="2DB716C2" w14:textId="77777777" w:rsidTr="00B822EB">
        <w:trPr>
          <w:trHeight w:val="162"/>
          <w:tblCellSpacing w:w="0" w:type="dxa"/>
          <w:jc w:val="center"/>
        </w:trPr>
        <w:tc>
          <w:tcPr>
            <w:tcW w:w="0" w:type="auto"/>
            <w:vAlign w:val="center"/>
            <w:hideMark/>
          </w:tcPr>
          <w:p w14:paraId="554AB2B8" w14:textId="77777777" w:rsidR="00B822EB" w:rsidRPr="00DA2CB2" w:rsidRDefault="00B822EB" w:rsidP="00DA2CB2">
            <w:pPr>
              <w:ind w:right="708"/>
              <w:rPr>
                <w:rFonts w:ascii="Palatino Linotype" w:eastAsia="Times New Roman" w:hAnsi="Palatino Linotype" w:cs="Times New Roman"/>
                <w:i/>
                <w:sz w:val="22"/>
              </w:rPr>
            </w:pPr>
            <w:r w:rsidRPr="00DA2CB2">
              <w:rPr>
                <w:rFonts w:ascii="Palatino Linotype" w:eastAsia="Times New Roman" w:hAnsi="Palatino Linotype" w:cs="Times New Roman"/>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B822EB" w:rsidRPr="00DA2CB2" w14:paraId="2C2BF92B" w14:textId="77777777" w:rsidTr="00B822EB">
        <w:trPr>
          <w:trHeight w:val="406"/>
          <w:tblCellSpacing w:w="0" w:type="dxa"/>
          <w:jc w:val="center"/>
        </w:trPr>
        <w:tc>
          <w:tcPr>
            <w:tcW w:w="0" w:type="auto"/>
            <w:vAlign w:val="center"/>
            <w:hideMark/>
          </w:tcPr>
          <w:p w14:paraId="63F0E91D" w14:textId="77777777" w:rsidR="00B822EB" w:rsidRPr="00DA2CB2" w:rsidRDefault="00B822EB" w:rsidP="00DA2CB2">
            <w:pPr>
              <w:ind w:right="708"/>
              <w:rPr>
                <w:rFonts w:ascii="Palatino Linotype" w:eastAsia="Times New Roman" w:hAnsi="Palatino Linotype" w:cs="Times New Roman"/>
                <w:i/>
                <w:sz w:val="22"/>
              </w:rPr>
            </w:pPr>
          </w:p>
        </w:tc>
      </w:tr>
      <w:tr w:rsidR="00B822EB" w:rsidRPr="00DA2CB2" w14:paraId="38EF13F0" w14:textId="77777777" w:rsidTr="00B822EB">
        <w:trPr>
          <w:trHeight w:val="162"/>
          <w:tblCellSpacing w:w="0" w:type="dxa"/>
          <w:jc w:val="center"/>
        </w:trPr>
        <w:tc>
          <w:tcPr>
            <w:tcW w:w="0" w:type="auto"/>
            <w:vAlign w:val="center"/>
            <w:hideMark/>
          </w:tcPr>
          <w:p w14:paraId="2E02B539" w14:textId="77777777" w:rsidR="00B822EB" w:rsidRPr="00DA2CB2" w:rsidRDefault="00B822EB" w:rsidP="00DA2CB2">
            <w:pPr>
              <w:ind w:right="708"/>
              <w:rPr>
                <w:rFonts w:ascii="Palatino Linotype" w:eastAsia="Times New Roman" w:hAnsi="Palatino Linotype" w:cs="Times New Roman"/>
                <w:i/>
                <w:sz w:val="22"/>
              </w:rPr>
            </w:pPr>
            <w:r w:rsidRPr="00DA2CB2">
              <w:rPr>
                <w:rFonts w:ascii="Palatino Linotype" w:eastAsia="Times New Roman" w:hAnsi="Palatino Linotype" w:cs="Times New Roman"/>
                <w:i/>
                <w:sz w:val="22"/>
              </w:rPr>
              <w:t>Se anexa oficio de respuesta número 224C0101000200S/UT/261/2023 de fecha 16 de mayo del 2023.</w:t>
            </w:r>
          </w:p>
        </w:tc>
      </w:tr>
      <w:tr w:rsidR="00B822EB" w:rsidRPr="00DA2CB2" w14:paraId="1D222F7E" w14:textId="77777777" w:rsidTr="00B822EB">
        <w:trPr>
          <w:trHeight w:val="406"/>
          <w:tblCellSpacing w:w="0" w:type="dxa"/>
          <w:jc w:val="center"/>
        </w:trPr>
        <w:tc>
          <w:tcPr>
            <w:tcW w:w="0" w:type="auto"/>
            <w:vAlign w:val="center"/>
            <w:hideMark/>
          </w:tcPr>
          <w:p w14:paraId="46DCBBEC" w14:textId="77777777" w:rsidR="00B822EB" w:rsidRPr="00DA2CB2" w:rsidRDefault="00B822EB" w:rsidP="00DA2CB2">
            <w:pPr>
              <w:ind w:right="708"/>
              <w:rPr>
                <w:rFonts w:ascii="Palatino Linotype" w:eastAsia="Times New Roman" w:hAnsi="Palatino Linotype" w:cs="Times New Roman"/>
                <w:i/>
                <w:sz w:val="22"/>
              </w:rPr>
            </w:pPr>
          </w:p>
        </w:tc>
      </w:tr>
      <w:tr w:rsidR="00B822EB" w:rsidRPr="00DA2CB2" w14:paraId="55879648" w14:textId="77777777" w:rsidTr="00B822EB">
        <w:trPr>
          <w:trHeight w:val="162"/>
          <w:tblCellSpacing w:w="0" w:type="dxa"/>
          <w:jc w:val="center"/>
        </w:trPr>
        <w:tc>
          <w:tcPr>
            <w:tcW w:w="0" w:type="auto"/>
            <w:vAlign w:val="center"/>
            <w:hideMark/>
          </w:tcPr>
          <w:p w14:paraId="4384B7AF" w14:textId="77777777" w:rsidR="00B822EB" w:rsidRPr="00DA2CB2" w:rsidRDefault="00B822EB" w:rsidP="00DA2CB2">
            <w:pPr>
              <w:ind w:right="708"/>
              <w:jc w:val="center"/>
              <w:rPr>
                <w:rFonts w:ascii="Palatino Linotype" w:eastAsia="Times New Roman" w:hAnsi="Palatino Linotype" w:cs="Times New Roman"/>
                <w:i/>
                <w:sz w:val="22"/>
              </w:rPr>
            </w:pPr>
          </w:p>
        </w:tc>
      </w:tr>
      <w:tr w:rsidR="00B822EB" w:rsidRPr="00DA2CB2" w14:paraId="1F5F0E9F" w14:textId="77777777" w:rsidTr="00B822EB">
        <w:trPr>
          <w:trHeight w:val="162"/>
          <w:tblCellSpacing w:w="0" w:type="dxa"/>
          <w:jc w:val="center"/>
        </w:trPr>
        <w:tc>
          <w:tcPr>
            <w:tcW w:w="0" w:type="auto"/>
            <w:vAlign w:val="center"/>
            <w:hideMark/>
          </w:tcPr>
          <w:p w14:paraId="4D9D1C9A" w14:textId="77777777" w:rsidR="00B822EB" w:rsidRPr="00DA2CB2" w:rsidRDefault="00B822EB" w:rsidP="00DA2CB2">
            <w:pPr>
              <w:ind w:right="708"/>
              <w:rPr>
                <w:rFonts w:ascii="Palatino Linotype" w:eastAsia="Times New Roman" w:hAnsi="Palatino Linotype" w:cs="Times New Roman"/>
                <w:i/>
                <w:sz w:val="22"/>
              </w:rPr>
            </w:pPr>
          </w:p>
        </w:tc>
      </w:tr>
      <w:tr w:rsidR="00B822EB" w:rsidRPr="00DA2CB2" w14:paraId="28848EFC" w14:textId="77777777" w:rsidTr="00B822EB">
        <w:trPr>
          <w:trHeight w:val="162"/>
          <w:tblCellSpacing w:w="0" w:type="dxa"/>
          <w:jc w:val="center"/>
        </w:trPr>
        <w:tc>
          <w:tcPr>
            <w:tcW w:w="0" w:type="auto"/>
            <w:vAlign w:val="center"/>
            <w:hideMark/>
          </w:tcPr>
          <w:p w14:paraId="1CC0B8F7" w14:textId="77777777" w:rsidR="00B822EB" w:rsidRPr="00DA2CB2" w:rsidRDefault="00B822EB" w:rsidP="00DA2CB2">
            <w:pPr>
              <w:ind w:right="708"/>
              <w:rPr>
                <w:rFonts w:ascii="Palatino Linotype" w:eastAsia="Times New Roman" w:hAnsi="Palatino Linotype" w:cs="Times New Roman"/>
                <w:i/>
                <w:sz w:val="22"/>
              </w:rPr>
            </w:pPr>
            <w:r w:rsidRPr="00DA2CB2">
              <w:rPr>
                <w:rFonts w:ascii="Palatino Linotype" w:eastAsia="Times New Roman" w:hAnsi="Palatino Linotype" w:cs="Times New Roman"/>
                <w:i/>
                <w:sz w:val="22"/>
              </w:rPr>
              <w:t>ATENTAMENTE</w:t>
            </w:r>
          </w:p>
        </w:tc>
      </w:tr>
      <w:tr w:rsidR="00B822EB" w:rsidRPr="00DA2CB2" w14:paraId="1A5AE0D1" w14:textId="77777777" w:rsidTr="00B822EB">
        <w:trPr>
          <w:trHeight w:val="243"/>
          <w:tblCellSpacing w:w="0" w:type="dxa"/>
          <w:jc w:val="center"/>
        </w:trPr>
        <w:tc>
          <w:tcPr>
            <w:tcW w:w="0" w:type="auto"/>
            <w:vAlign w:val="center"/>
            <w:hideMark/>
          </w:tcPr>
          <w:p w14:paraId="006E1651" w14:textId="77777777" w:rsidR="00B822EB" w:rsidRPr="00DA2CB2" w:rsidRDefault="00B822EB" w:rsidP="00DA2CB2">
            <w:pPr>
              <w:ind w:right="708"/>
              <w:rPr>
                <w:rFonts w:ascii="Palatino Linotype" w:eastAsia="Times New Roman" w:hAnsi="Palatino Linotype" w:cs="Times New Roman"/>
                <w:i/>
                <w:sz w:val="22"/>
              </w:rPr>
            </w:pPr>
          </w:p>
        </w:tc>
      </w:tr>
      <w:tr w:rsidR="00B822EB" w:rsidRPr="00DA2CB2" w14:paraId="2CCBE880" w14:textId="77777777" w:rsidTr="00B822EB">
        <w:trPr>
          <w:trHeight w:val="162"/>
          <w:tblCellSpacing w:w="0" w:type="dxa"/>
          <w:jc w:val="center"/>
        </w:trPr>
        <w:tc>
          <w:tcPr>
            <w:tcW w:w="0" w:type="auto"/>
            <w:vAlign w:val="center"/>
            <w:hideMark/>
          </w:tcPr>
          <w:p w14:paraId="2B6F7F08" w14:textId="77777777" w:rsidR="00B822EB" w:rsidRPr="00DA2CB2" w:rsidRDefault="00B822EB" w:rsidP="00DA2CB2">
            <w:pPr>
              <w:ind w:right="708"/>
              <w:rPr>
                <w:rFonts w:ascii="Palatino Linotype" w:eastAsia="Times New Roman" w:hAnsi="Palatino Linotype" w:cs="Times New Roman"/>
                <w:i/>
                <w:sz w:val="22"/>
              </w:rPr>
            </w:pPr>
            <w:proofErr w:type="spellStart"/>
            <w:r w:rsidRPr="00DA2CB2">
              <w:rPr>
                <w:rFonts w:ascii="Palatino Linotype" w:eastAsia="Times New Roman" w:hAnsi="Palatino Linotype" w:cs="Times New Roman"/>
                <w:i/>
                <w:sz w:val="22"/>
              </w:rPr>
              <w:t>Sarai</w:t>
            </w:r>
            <w:proofErr w:type="spellEnd"/>
            <w:r w:rsidRPr="00DA2CB2">
              <w:rPr>
                <w:rFonts w:ascii="Palatino Linotype" w:eastAsia="Times New Roman" w:hAnsi="Palatino Linotype" w:cs="Times New Roman"/>
                <w:i/>
                <w:sz w:val="22"/>
              </w:rPr>
              <w:t xml:space="preserve"> </w:t>
            </w:r>
            <w:proofErr w:type="spellStart"/>
            <w:r w:rsidRPr="00DA2CB2">
              <w:rPr>
                <w:rFonts w:ascii="Palatino Linotype" w:eastAsia="Times New Roman" w:hAnsi="Palatino Linotype" w:cs="Times New Roman"/>
                <w:i/>
                <w:sz w:val="22"/>
              </w:rPr>
              <w:t>Jaimes</w:t>
            </w:r>
            <w:proofErr w:type="spellEnd"/>
            <w:r w:rsidRPr="00DA2CB2">
              <w:rPr>
                <w:rFonts w:ascii="Palatino Linotype" w:eastAsia="Times New Roman" w:hAnsi="Palatino Linotype" w:cs="Times New Roman"/>
                <w:i/>
                <w:sz w:val="22"/>
              </w:rPr>
              <w:t xml:space="preserve"> González”</w:t>
            </w:r>
          </w:p>
          <w:p w14:paraId="6F69115C" w14:textId="77777777" w:rsidR="00B822EB" w:rsidRPr="00DA2CB2" w:rsidRDefault="00B822EB" w:rsidP="00DA2CB2">
            <w:pPr>
              <w:ind w:right="708"/>
              <w:rPr>
                <w:rFonts w:ascii="Palatino Linotype" w:eastAsia="Times New Roman" w:hAnsi="Palatino Linotype" w:cs="Times New Roman"/>
                <w:i/>
                <w:sz w:val="22"/>
              </w:rPr>
            </w:pPr>
          </w:p>
        </w:tc>
      </w:tr>
    </w:tbl>
    <w:p w14:paraId="25A3524A" w14:textId="77777777" w:rsidR="00B822EB" w:rsidRPr="00DA2CB2" w:rsidRDefault="00B822EB" w:rsidP="00DA2CB2">
      <w:pPr>
        <w:ind w:right="708"/>
        <w:rPr>
          <w:rFonts w:ascii="Palatino Linotype" w:eastAsia="Palatino Linotype" w:hAnsi="Palatino Linotype" w:cs="Palatino Linotype"/>
          <w:color w:val="000000"/>
          <w:sz w:val="22"/>
        </w:rPr>
      </w:pPr>
    </w:p>
    <w:p w14:paraId="0598A7EB" w14:textId="77777777" w:rsidR="00E95165" w:rsidRPr="00DA2CB2" w:rsidRDefault="00B822EB" w:rsidP="00DA2CB2">
      <w:pPr>
        <w:pStyle w:val="Prrafodelista"/>
        <w:numPr>
          <w:ilvl w:val="0"/>
          <w:numId w:val="3"/>
        </w:numPr>
        <w:pBdr>
          <w:top w:val="nil"/>
          <w:left w:val="nil"/>
          <w:bottom w:val="nil"/>
          <w:right w:val="nil"/>
          <w:between w:val="nil"/>
        </w:pBdr>
        <w:tabs>
          <w:tab w:val="left" w:pos="426"/>
        </w:tabs>
        <w:spacing w:line="360" w:lineRule="auto"/>
        <w:ind w:right="708"/>
        <w:jc w:val="both"/>
        <w:rPr>
          <w:rFonts w:ascii="Palatino Linotype" w:eastAsia="Palatino Linotype" w:hAnsi="Palatino Linotype" w:cs="Palatino Linotype"/>
          <w:color w:val="000000"/>
          <w:sz w:val="22"/>
        </w:rPr>
      </w:pPr>
      <w:r w:rsidRPr="00DA2CB2">
        <w:rPr>
          <w:rFonts w:ascii="Palatino Linotype" w:eastAsia="Palatino Linotype" w:hAnsi="Palatino Linotype" w:cs="Palatino Linotype"/>
          <w:color w:val="000000"/>
          <w:sz w:val="22"/>
        </w:rPr>
        <w:lastRenderedPageBreak/>
        <w:t>A la respuesta se adjuntaron los archivos que se describen enseguida:</w:t>
      </w:r>
    </w:p>
    <w:p w14:paraId="4C6E9D57" w14:textId="77777777" w:rsidR="00B822EB" w:rsidRPr="00DA2CB2" w:rsidRDefault="00B822EB" w:rsidP="00DA2CB2">
      <w:pPr>
        <w:pStyle w:val="Prrafodelista"/>
        <w:pBdr>
          <w:top w:val="nil"/>
          <w:left w:val="nil"/>
          <w:bottom w:val="nil"/>
          <w:right w:val="nil"/>
          <w:between w:val="nil"/>
        </w:pBdr>
        <w:tabs>
          <w:tab w:val="left" w:pos="426"/>
        </w:tabs>
        <w:spacing w:line="360" w:lineRule="auto"/>
        <w:ind w:right="708"/>
        <w:jc w:val="both"/>
        <w:rPr>
          <w:rFonts w:ascii="Palatino Linotype" w:eastAsia="Palatino Linotype" w:hAnsi="Palatino Linotype" w:cs="Palatino Linotype"/>
          <w:color w:val="000000"/>
          <w:sz w:val="22"/>
        </w:rPr>
      </w:pPr>
    </w:p>
    <w:p w14:paraId="4A96EA92" w14:textId="77777777" w:rsidR="00B822EB" w:rsidRPr="00DA2CB2" w:rsidRDefault="0083605E" w:rsidP="00DA2CB2">
      <w:pPr>
        <w:pStyle w:val="Prrafodelista"/>
        <w:numPr>
          <w:ilvl w:val="0"/>
          <w:numId w:val="6"/>
        </w:numPr>
        <w:pBdr>
          <w:top w:val="nil"/>
          <w:left w:val="nil"/>
          <w:bottom w:val="nil"/>
          <w:right w:val="nil"/>
          <w:between w:val="nil"/>
        </w:pBdr>
        <w:tabs>
          <w:tab w:val="left" w:pos="426"/>
        </w:tabs>
        <w:spacing w:line="360" w:lineRule="auto"/>
        <w:ind w:left="851" w:right="708" w:firstLine="0"/>
        <w:jc w:val="both"/>
        <w:rPr>
          <w:rFonts w:ascii="Palatino Linotype" w:eastAsia="Palatino Linotype" w:hAnsi="Palatino Linotype" w:cs="Palatino Linotype"/>
          <w:sz w:val="22"/>
        </w:rPr>
      </w:pPr>
      <w:hyperlink r:id="rId8" w:tgtFrame="_blank" w:history="1">
        <w:r w:rsidR="00B822EB" w:rsidRPr="00DA2CB2">
          <w:rPr>
            <w:rStyle w:val="Hipervnculo"/>
            <w:rFonts w:ascii="Palatino Linotype" w:hAnsi="Palatino Linotype" w:cs="Arial"/>
            <w:b/>
            <w:bCs/>
            <w:color w:val="auto"/>
            <w:sz w:val="22"/>
          </w:rPr>
          <w:t>ANEXO_REQUISITOS.PDF</w:t>
        </w:r>
      </w:hyperlink>
      <w:r w:rsidR="00B822EB" w:rsidRPr="00DA2CB2">
        <w:rPr>
          <w:rFonts w:ascii="Palatino Linotype" w:hAnsi="Palatino Linotype"/>
          <w:sz w:val="22"/>
        </w:rPr>
        <w:t xml:space="preserve">: documento que refiere el trámite para la entrega de carta de no adeudo. </w:t>
      </w:r>
    </w:p>
    <w:p w14:paraId="1AB1C652" w14:textId="77777777" w:rsidR="00B822EB" w:rsidRPr="00DA2CB2" w:rsidRDefault="00B822EB" w:rsidP="00DA2CB2">
      <w:pPr>
        <w:pStyle w:val="Prrafodelista"/>
        <w:pBdr>
          <w:top w:val="nil"/>
          <w:left w:val="nil"/>
          <w:bottom w:val="nil"/>
          <w:right w:val="nil"/>
          <w:between w:val="nil"/>
        </w:pBdr>
        <w:tabs>
          <w:tab w:val="left" w:pos="426"/>
        </w:tabs>
        <w:spacing w:line="360" w:lineRule="auto"/>
        <w:ind w:left="851" w:right="708"/>
        <w:jc w:val="both"/>
        <w:rPr>
          <w:rFonts w:ascii="Palatino Linotype" w:eastAsia="Palatino Linotype" w:hAnsi="Palatino Linotype" w:cs="Palatino Linotype"/>
          <w:sz w:val="22"/>
        </w:rPr>
      </w:pPr>
    </w:p>
    <w:p w14:paraId="3112051E" w14:textId="77777777" w:rsidR="00B822EB" w:rsidRPr="00DA2CB2" w:rsidRDefault="0083605E" w:rsidP="00DA2CB2">
      <w:pPr>
        <w:pStyle w:val="Prrafodelista"/>
        <w:numPr>
          <w:ilvl w:val="0"/>
          <w:numId w:val="6"/>
        </w:numPr>
        <w:pBdr>
          <w:top w:val="nil"/>
          <w:left w:val="nil"/>
          <w:bottom w:val="nil"/>
          <w:right w:val="nil"/>
          <w:between w:val="nil"/>
        </w:pBdr>
        <w:tabs>
          <w:tab w:val="left" w:pos="426"/>
        </w:tabs>
        <w:spacing w:line="360" w:lineRule="auto"/>
        <w:ind w:left="851" w:right="708" w:firstLine="0"/>
        <w:jc w:val="both"/>
        <w:rPr>
          <w:rFonts w:ascii="Palatino Linotype" w:eastAsia="Palatino Linotype" w:hAnsi="Palatino Linotype" w:cs="Palatino Linotype"/>
          <w:sz w:val="22"/>
        </w:rPr>
      </w:pPr>
      <w:hyperlink r:id="rId9" w:tgtFrame="_blank" w:history="1">
        <w:r w:rsidR="00B822EB" w:rsidRPr="00DA2CB2">
          <w:rPr>
            <w:rStyle w:val="Hipervnculo"/>
            <w:rFonts w:ascii="Palatino Linotype" w:hAnsi="Palatino Linotype" w:cs="Arial"/>
            <w:b/>
            <w:bCs/>
            <w:color w:val="auto"/>
            <w:sz w:val="22"/>
          </w:rPr>
          <w:t>00039_RESPUESTA_UT.PDF</w:t>
        </w:r>
      </w:hyperlink>
      <w:r w:rsidR="00B822EB" w:rsidRPr="00DA2CB2">
        <w:rPr>
          <w:rFonts w:ascii="Palatino Linotype" w:hAnsi="Palatino Linotype"/>
          <w:sz w:val="22"/>
        </w:rPr>
        <w:t xml:space="preserve">: </w:t>
      </w:r>
      <w:r w:rsidR="00C232DF" w:rsidRPr="00DA2CB2">
        <w:rPr>
          <w:rFonts w:ascii="Palatino Linotype" w:hAnsi="Palatino Linotype"/>
          <w:sz w:val="22"/>
        </w:rPr>
        <w:t xml:space="preserve">Oficio suscrito por la Jefa de la Unidad de Información, Planeación, Programación y Evaluación y Titular de la Unidad de Transparencia, en el que señaló, respecto a los cuestionamientos 1, 2 y 3, derivado de la búsqueda exhaustiva en los archivos de la Delegación Regional de Ecatepec, no se localizó información referente a esos trámites, por lo que se refiere al punto 4, señaló que la carta de no adeudo, al expide la instancia otorgadora del crédito una vez que el titular del mismo presente la totalidad de los pagos realizados. </w:t>
      </w:r>
    </w:p>
    <w:p w14:paraId="1B5B14C3" w14:textId="77777777" w:rsidR="00E95165" w:rsidRPr="00DA2CB2" w:rsidRDefault="00E95165" w:rsidP="00291658">
      <w:pPr>
        <w:pBdr>
          <w:top w:val="nil"/>
          <w:left w:val="nil"/>
          <w:bottom w:val="nil"/>
          <w:right w:val="nil"/>
          <w:between w:val="nil"/>
        </w:pBdr>
        <w:tabs>
          <w:tab w:val="left" w:pos="284"/>
          <w:tab w:val="left" w:pos="426"/>
        </w:tabs>
        <w:spacing w:line="360" w:lineRule="auto"/>
        <w:jc w:val="both"/>
        <w:rPr>
          <w:rFonts w:ascii="Palatino Linotype" w:hAnsi="Palatino Linotype"/>
        </w:rPr>
      </w:pPr>
    </w:p>
    <w:p w14:paraId="10382D8C" w14:textId="77777777" w:rsidR="00E95165" w:rsidRPr="00DA2CB2" w:rsidRDefault="00291658" w:rsidP="00E95165">
      <w:pPr>
        <w:numPr>
          <w:ilvl w:val="0"/>
          <w:numId w:val="1"/>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El siete (07</w:t>
      </w:r>
      <w:r w:rsidR="00E95165" w:rsidRPr="00DA2CB2">
        <w:rPr>
          <w:rFonts w:ascii="Palatino Linotype" w:eastAsia="Palatino Linotype" w:hAnsi="Palatino Linotype" w:cs="Palatino Linotype"/>
          <w:color w:val="000000"/>
        </w:rPr>
        <w:t>) de junio de dos mil veintitrés, el particular interpuso el recurso de revisión en el que refirió lo siguiente:</w:t>
      </w:r>
    </w:p>
    <w:p w14:paraId="563809E2" w14:textId="77777777" w:rsidR="00E95165" w:rsidRPr="00DA2CB2" w:rsidRDefault="00E95165" w:rsidP="00DA2CB2">
      <w:pPr>
        <w:pStyle w:val="Prrafodelista"/>
        <w:numPr>
          <w:ilvl w:val="0"/>
          <w:numId w:val="3"/>
        </w:numPr>
        <w:pBdr>
          <w:top w:val="nil"/>
          <w:left w:val="nil"/>
          <w:bottom w:val="nil"/>
          <w:right w:val="nil"/>
          <w:between w:val="nil"/>
        </w:pBdr>
        <w:spacing w:line="360" w:lineRule="auto"/>
        <w:ind w:right="616"/>
        <w:jc w:val="both"/>
        <w:rPr>
          <w:rFonts w:ascii="Palatino Linotype" w:eastAsia="Palatino Linotype" w:hAnsi="Palatino Linotype" w:cs="Palatino Linotype"/>
          <w:color w:val="000000"/>
          <w:sz w:val="22"/>
        </w:rPr>
      </w:pPr>
      <w:r w:rsidRPr="00DA2CB2">
        <w:rPr>
          <w:rFonts w:ascii="Palatino Linotype" w:eastAsia="Palatino Linotype" w:hAnsi="Palatino Linotype" w:cs="Palatino Linotype"/>
          <w:b/>
          <w:color w:val="000000"/>
          <w:sz w:val="22"/>
        </w:rPr>
        <w:t>Acto impugnado:</w:t>
      </w:r>
      <w:r w:rsidRPr="00DA2CB2">
        <w:rPr>
          <w:rFonts w:ascii="Palatino Linotype" w:eastAsia="Palatino Linotype" w:hAnsi="Palatino Linotype" w:cs="Palatino Linotype"/>
          <w:color w:val="000000"/>
          <w:sz w:val="22"/>
        </w:rPr>
        <w:t xml:space="preserve"> “</w:t>
      </w:r>
      <w:r w:rsidR="00291658" w:rsidRPr="00DA2CB2">
        <w:rPr>
          <w:rFonts w:ascii="Palatino Linotype" w:eastAsia="Palatino Linotype" w:hAnsi="Palatino Linotype" w:cs="Palatino Linotype"/>
          <w:i/>
          <w:color w:val="000000"/>
          <w:sz w:val="22"/>
        </w:rPr>
        <w:t xml:space="preserve">De conformidad con el artículo 176 de la LEY DE TRANSPARENCIA Y ACCESO A LA INFORMACIÓN PÚBLICA DEL ESTADO DE MÉXICO Y MUNICIPIOS se interpone el presente recurso de revisión con motivo de la respuesta recibida en el oficio número 22400101000200S/UT/261/2023 suscrito por Saraí </w:t>
      </w:r>
      <w:proofErr w:type="spellStart"/>
      <w:r w:rsidR="00291658" w:rsidRPr="00DA2CB2">
        <w:rPr>
          <w:rFonts w:ascii="Palatino Linotype" w:eastAsia="Palatino Linotype" w:hAnsi="Palatino Linotype" w:cs="Palatino Linotype"/>
          <w:i/>
          <w:color w:val="000000"/>
          <w:sz w:val="22"/>
        </w:rPr>
        <w:t>Jaimes</w:t>
      </w:r>
      <w:proofErr w:type="spellEnd"/>
      <w:r w:rsidR="00291658" w:rsidRPr="00DA2CB2">
        <w:rPr>
          <w:rFonts w:ascii="Palatino Linotype" w:eastAsia="Palatino Linotype" w:hAnsi="Palatino Linotype" w:cs="Palatino Linotype"/>
          <w:i/>
          <w:color w:val="000000"/>
          <w:sz w:val="22"/>
        </w:rPr>
        <w:t xml:space="preserve"> González, Jefa de la Unidad de Información, Planeación, Programación y Evaluación y Titular de la Unidad de Transparencia del Instituto Mexiquense de la Vivienda Social, en relación a la solicitud de información pública número 00039/IMEVIS/IP/2023.</w:t>
      </w:r>
      <w:r w:rsidRPr="00DA2CB2">
        <w:rPr>
          <w:rFonts w:ascii="Palatino Linotype" w:eastAsia="Palatino Linotype" w:hAnsi="Palatino Linotype" w:cs="Palatino Linotype"/>
          <w:i/>
          <w:color w:val="000000"/>
          <w:sz w:val="22"/>
        </w:rPr>
        <w:t>”</w:t>
      </w:r>
      <w:r w:rsidRPr="00DA2CB2">
        <w:rPr>
          <w:rFonts w:ascii="Palatino Linotype" w:eastAsia="Palatino Linotype" w:hAnsi="Palatino Linotype" w:cs="Palatino Linotype"/>
          <w:color w:val="000000"/>
          <w:sz w:val="22"/>
        </w:rPr>
        <w:t xml:space="preserve"> (Sic).</w:t>
      </w:r>
    </w:p>
    <w:p w14:paraId="3EDFFB84" w14:textId="77777777" w:rsidR="00E95165" w:rsidRPr="00DA2CB2" w:rsidRDefault="00E95165" w:rsidP="00DA2CB2">
      <w:pPr>
        <w:pStyle w:val="Prrafodelista"/>
        <w:numPr>
          <w:ilvl w:val="0"/>
          <w:numId w:val="3"/>
        </w:numPr>
        <w:pBdr>
          <w:top w:val="nil"/>
          <w:left w:val="nil"/>
          <w:bottom w:val="nil"/>
          <w:right w:val="nil"/>
          <w:between w:val="nil"/>
        </w:pBdr>
        <w:spacing w:line="360" w:lineRule="auto"/>
        <w:ind w:right="616"/>
        <w:jc w:val="both"/>
        <w:rPr>
          <w:rFonts w:ascii="Palatino Linotype" w:eastAsia="Palatino Linotype" w:hAnsi="Palatino Linotype" w:cs="Palatino Linotype"/>
          <w:color w:val="000000"/>
          <w:sz w:val="22"/>
        </w:rPr>
      </w:pPr>
      <w:r w:rsidRPr="00DA2CB2">
        <w:rPr>
          <w:rFonts w:ascii="Palatino Linotype" w:eastAsia="Palatino Linotype" w:hAnsi="Palatino Linotype" w:cs="Palatino Linotype"/>
          <w:b/>
          <w:color w:val="000000"/>
          <w:sz w:val="22"/>
        </w:rPr>
        <w:t>Motivos o razones de inconformidad:</w:t>
      </w:r>
      <w:r w:rsidRPr="00DA2CB2">
        <w:rPr>
          <w:rFonts w:ascii="Palatino Linotype" w:eastAsia="Palatino Linotype" w:hAnsi="Palatino Linotype" w:cs="Palatino Linotype"/>
          <w:color w:val="000000"/>
          <w:sz w:val="22"/>
        </w:rPr>
        <w:t xml:space="preserve"> </w:t>
      </w:r>
      <w:r w:rsidRPr="00DA2CB2">
        <w:rPr>
          <w:rFonts w:ascii="Palatino Linotype" w:eastAsia="Palatino Linotype" w:hAnsi="Palatino Linotype" w:cs="Palatino Linotype"/>
          <w:i/>
          <w:color w:val="000000"/>
          <w:sz w:val="22"/>
        </w:rPr>
        <w:t>“</w:t>
      </w:r>
      <w:r w:rsidR="00291658" w:rsidRPr="00DA2CB2">
        <w:rPr>
          <w:rFonts w:ascii="Palatino Linotype" w:eastAsia="Palatino Linotype" w:hAnsi="Palatino Linotype" w:cs="Palatino Linotype"/>
          <w:i/>
          <w:color w:val="000000"/>
          <w:sz w:val="22"/>
        </w:rPr>
        <w:t xml:space="preserve">La respuesta que expide el Instituto Mexiquense de la Vivienda Social (IMEVIS) viola el derecho de acceso a la información pública así como el </w:t>
      </w:r>
      <w:r w:rsidR="00291658" w:rsidRPr="00DA2CB2">
        <w:rPr>
          <w:rFonts w:ascii="Palatino Linotype" w:eastAsia="Palatino Linotype" w:hAnsi="Palatino Linotype" w:cs="Palatino Linotype"/>
          <w:i/>
          <w:color w:val="000000"/>
          <w:sz w:val="22"/>
        </w:rPr>
        <w:lastRenderedPageBreak/>
        <w:t xml:space="preserve">principio de simplicidad y rapidez que establece la ley mencionada, toda vez que no cuenta con los mecanismos para garantizar la efectiva difusión de la información que el Instituto referido como sujeto obligado debe proporcionar, afectando con esto los principios de oportunidad, precisión y suficiencia en beneficio del solicitante. El SUJETO OBLIGADO tiene la obligación de suplir cualquier deficiencia para garantizar el derecho a la información, conforme al artículo 12 de la LEY DE TRANSPARENCIA Y ACCESO A LA INFORMACIÓN PÚBLICA DEL ESTADO DE MÉXICO Y MUNICIPIOS, así como tiene obligación de motivar la respuesta en función de las causas que motiven tal circunstancia (artículo 19) lo cual notoriamente no lo hace, pues en la referida respuesta del Instituto menciona que: “no obra información en dicha Delegación”, lo cual es deficiente, erróneo e injustificado. El Instituto (IMEVIS) tiene facultad a través de su apoderado legal de expedir la carta de Liberación de la Cláusula Rescisoria lo anterior con fundamento en el artículo 31 fracción X, XXI de la Ley Orgánica de la Administración Pública del Estado de México; artículo 1, 2, 7 fracción I, XIX y L del Reglamento Interior de la Secretaría de Desarrollo Urbano y Obra; artículo 9 fracción IV, 10 fracción I y 13 fracción VII del Reglamento Interior del Instituto Mexiquense de la Vivienda Social y artículos 1, 3 fracción XV y XVI, 10 fracción II y X de la Ley que crea el Organismo Público Descentralizado de carácter estatal denominado Instituto Mexiquense de la Vivienda Social, así como su artículo Noveno Transitorios. Es por eso que de conformidad con el artículo 179 fracciones III, V y XIII de la LEY DE TRANSPARENCIA Y ACCESO A LA INFORMACIÓN PÚBLICA DEL ESTADO DE MÉXICO Y MUNICIPIOS se presenta este medio de protección con el objetivo de que el Instituto proporcione la debida información, anexando la documentación requerida y el procedimiento para efectuar el trámite correspondiente para la cancelación del gravamen del inmueble, con congruencia y exhaustividad conforme lo establece la Ley. No obstante, de conformidad con los principios rectores del acceso a la información pública, contenidos en el artículo 6° de la Constitución Política de los Estados Unidos Mexicanos, así como por la Ley de Transparencia y Acceso a la Información Pública aplicable para la entidad federativa del Estado de México, entre los que </w:t>
      </w:r>
      <w:r w:rsidR="00291658" w:rsidRPr="00DA2CB2">
        <w:rPr>
          <w:rFonts w:ascii="Palatino Linotype" w:eastAsia="Palatino Linotype" w:hAnsi="Palatino Linotype" w:cs="Palatino Linotype"/>
          <w:i/>
          <w:color w:val="000000"/>
          <w:sz w:val="22"/>
        </w:rPr>
        <w:lastRenderedPageBreak/>
        <w:t xml:space="preserve">destacan: certeza, eficacia, legalidad, máxima publicidad, profesionalismo, transparencia y auxilio y orientación a los particulares, la respuesta impugnada carece de dichos principios rectores, por lo que dicha respuesta no cumple con las finalidades de la ley y por ende, causa un perjuicio al peticionario, al negarle acceder a un derecho inherente. </w:t>
      </w:r>
      <w:r w:rsidRPr="00DA2CB2">
        <w:rPr>
          <w:rFonts w:ascii="Palatino Linotype" w:eastAsia="Palatino Linotype" w:hAnsi="Palatino Linotype" w:cs="Palatino Linotype"/>
          <w:i/>
          <w:color w:val="000000"/>
          <w:sz w:val="22"/>
        </w:rPr>
        <w:t xml:space="preserve">" </w:t>
      </w:r>
      <w:r w:rsidRPr="00DA2CB2">
        <w:rPr>
          <w:rFonts w:ascii="Palatino Linotype" w:eastAsia="Palatino Linotype" w:hAnsi="Palatino Linotype" w:cs="Palatino Linotype"/>
          <w:color w:val="000000"/>
          <w:sz w:val="22"/>
        </w:rPr>
        <w:t xml:space="preserve">(Sic) </w:t>
      </w:r>
    </w:p>
    <w:p w14:paraId="31C0DDAE" w14:textId="77777777" w:rsidR="00291658" w:rsidRPr="00DA2CB2" w:rsidRDefault="00291658" w:rsidP="00CE5E08">
      <w:pPr>
        <w:numPr>
          <w:ilvl w:val="0"/>
          <w:numId w:val="7"/>
        </w:numPr>
        <w:tabs>
          <w:tab w:val="clear" w:pos="720"/>
          <w:tab w:val="num" w:pos="851"/>
        </w:tabs>
        <w:spacing w:before="100" w:beforeAutospacing="1" w:after="100" w:afterAutospacing="1" w:line="360" w:lineRule="auto"/>
        <w:ind w:left="851" w:right="616" w:hanging="11"/>
        <w:jc w:val="both"/>
        <w:rPr>
          <w:rFonts w:ascii="Palatino Linotype" w:eastAsia="Times New Roman" w:hAnsi="Palatino Linotype" w:cs="Arial"/>
          <w:sz w:val="22"/>
        </w:rPr>
      </w:pPr>
      <w:r w:rsidRPr="00DA2CB2">
        <w:rPr>
          <w:rFonts w:ascii="Palatino Linotype" w:eastAsia="Palatino Linotype" w:hAnsi="Palatino Linotype" w:cs="Palatino Linotype"/>
          <w:sz w:val="22"/>
        </w:rPr>
        <w:t xml:space="preserve">Al recurso de revisión se </w:t>
      </w:r>
      <w:r w:rsidR="00B70098" w:rsidRPr="00DA2CB2">
        <w:rPr>
          <w:rFonts w:ascii="Palatino Linotype" w:eastAsia="Palatino Linotype" w:hAnsi="Palatino Linotype" w:cs="Palatino Linotype"/>
          <w:sz w:val="22"/>
        </w:rPr>
        <w:t>adjuntó el archivo</w:t>
      </w:r>
      <w:r w:rsidRPr="00DA2CB2">
        <w:rPr>
          <w:rFonts w:ascii="Palatino Linotype" w:eastAsia="Palatino Linotype" w:hAnsi="Palatino Linotype" w:cs="Palatino Linotype"/>
          <w:sz w:val="22"/>
        </w:rPr>
        <w:t xml:space="preserve"> </w:t>
      </w:r>
      <w:hyperlink r:id="rId10" w:tgtFrame="_blank" w:history="1">
        <w:r w:rsidRPr="00DA2CB2">
          <w:rPr>
            <w:rStyle w:val="Hipervnculo"/>
            <w:rFonts w:ascii="Palatino Linotype" w:hAnsi="Palatino Linotype" w:cs="Arial"/>
            <w:b/>
            <w:bCs/>
            <w:color w:val="auto"/>
            <w:sz w:val="22"/>
          </w:rPr>
          <w:t>00039_RESPUESTA_UT.PDF</w:t>
        </w:r>
      </w:hyperlink>
      <w:r w:rsidR="00B70098" w:rsidRPr="00DA2CB2">
        <w:rPr>
          <w:rStyle w:val="Hipervnculo"/>
          <w:rFonts w:ascii="Palatino Linotype" w:hAnsi="Palatino Linotype" w:cs="Arial"/>
          <w:bCs/>
          <w:color w:val="auto"/>
          <w:sz w:val="22"/>
          <w:u w:val="none"/>
        </w:rPr>
        <w:t xml:space="preserve"> que corresponde a la respuesta del Sujeto Obligado y el archivo</w:t>
      </w:r>
      <w:r w:rsidR="00B70098" w:rsidRPr="00DA2CB2">
        <w:rPr>
          <w:rStyle w:val="Hipervnculo"/>
          <w:rFonts w:ascii="Palatino Linotype" w:hAnsi="Palatino Linotype" w:cs="Arial"/>
          <w:b/>
          <w:bCs/>
          <w:color w:val="auto"/>
          <w:sz w:val="22"/>
        </w:rPr>
        <w:t xml:space="preserve"> </w:t>
      </w:r>
      <w:hyperlink r:id="rId11" w:tgtFrame="_blank" w:history="1">
        <w:r w:rsidRPr="00DA2CB2">
          <w:rPr>
            <w:rStyle w:val="Hipervnculo"/>
            <w:rFonts w:ascii="Palatino Linotype" w:hAnsi="Palatino Linotype" w:cs="Arial"/>
            <w:b/>
            <w:bCs/>
            <w:color w:val="auto"/>
            <w:sz w:val="22"/>
          </w:rPr>
          <w:t>238-2023 F_0001.pdf</w:t>
        </w:r>
      </w:hyperlink>
      <w:r w:rsidR="00CE5E08" w:rsidRPr="00DA2CB2">
        <w:rPr>
          <w:rFonts w:ascii="Palatino Linotype" w:hAnsi="Palatino Linotype" w:cs="Arial"/>
          <w:sz w:val="22"/>
        </w:rPr>
        <w:t xml:space="preserve">, que corresponde a la respuesta emitida por el IFREM a una solicitud de información diversa. </w:t>
      </w:r>
    </w:p>
    <w:p w14:paraId="4F05372C" w14:textId="77777777" w:rsidR="00291658" w:rsidRPr="00DA2CB2" w:rsidRDefault="00291658" w:rsidP="00E95165">
      <w:pPr>
        <w:pBdr>
          <w:top w:val="nil"/>
          <w:left w:val="nil"/>
          <w:bottom w:val="nil"/>
          <w:right w:val="nil"/>
          <w:between w:val="nil"/>
        </w:pBdr>
        <w:spacing w:line="360" w:lineRule="auto"/>
        <w:ind w:right="616"/>
        <w:jc w:val="both"/>
        <w:rPr>
          <w:rFonts w:ascii="Palatino Linotype" w:eastAsia="Palatino Linotype" w:hAnsi="Palatino Linotype" w:cs="Palatino Linotype"/>
          <w:color w:val="000000"/>
        </w:rPr>
      </w:pPr>
    </w:p>
    <w:p w14:paraId="16228075" w14:textId="77777777" w:rsidR="00E95165" w:rsidRPr="00DA2CB2" w:rsidRDefault="00E95165" w:rsidP="00E95165">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Se registró el recurso de revisión bajo el número de expediente al rubro indicado, asimismo, con fundamento en lo dispuesto por el artículo 185 fracción I de la Ley de Transparencia y Acceso a la Información Pública del Estado de México y Municipios se tur</w:t>
      </w:r>
      <w:r w:rsidR="00DA2CB2">
        <w:rPr>
          <w:rFonts w:ascii="Palatino Linotype" w:eastAsia="Palatino Linotype" w:hAnsi="Palatino Linotype" w:cs="Palatino Linotype"/>
          <w:color w:val="000000"/>
        </w:rPr>
        <w:t>na</w:t>
      </w:r>
      <w:r w:rsidRPr="00DA2CB2">
        <w:rPr>
          <w:rFonts w:ascii="Palatino Linotype" w:eastAsia="Palatino Linotype" w:hAnsi="Palatino Linotype" w:cs="Palatino Linotype"/>
          <w:color w:val="000000"/>
        </w:rPr>
        <w:t xml:space="preserve"> a la </w:t>
      </w:r>
      <w:r w:rsidRPr="00DA2CB2">
        <w:rPr>
          <w:rFonts w:ascii="Palatino Linotype" w:eastAsia="Palatino Linotype" w:hAnsi="Palatino Linotype" w:cs="Palatino Linotype"/>
          <w:b/>
          <w:color w:val="000000"/>
        </w:rPr>
        <w:t>Comisionada María del Rosario Mejía Ayala</w:t>
      </w:r>
      <w:r w:rsidRPr="00DA2CB2">
        <w:rPr>
          <w:rFonts w:ascii="Palatino Linotype" w:eastAsia="Palatino Linotype" w:hAnsi="Palatino Linotype" w:cs="Palatino Linotype"/>
          <w:color w:val="000000"/>
        </w:rPr>
        <w:t xml:space="preserve">, </w:t>
      </w:r>
      <w:r w:rsidR="00DA2CB2">
        <w:rPr>
          <w:rFonts w:ascii="Palatino Linotype" w:eastAsia="Palatino Linotype" w:hAnsi="Palatino Linotype" w:cs="Palatino Linotype"/>
          <w:color w:val="000000"/>
        </w:rPr>
        <w:t>para</w:t>
      </w:r>
      <w:r w:rsidRPr="00DA2CB2">
        <w:rPr>
          <w:rFonts w:ascii="Palatino Linotype" w:eastAsia="Palatino Linotype" w:hAnsi="Palatino Linotype" w:cs="Palatino Linotype"/>
          <w:color w:val="000000"/>
        </w:rPr>
        <w:t xml:space="preserve"> su análisis.</w:t>
      </w:r>
    </w:p>
    <w:p w14:paraId="44A6CA71" w14:textId="77777777" w:rsidR="00E95165" w:rsidRPr="00DA2CB2" w:rsidRDefault="00E95165" w:rsidP="00E9516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DB124E5" w14:textId="77777777" w:rsidR="00E95165" w:rsidRPr="00DA2CB2" w:rsidRDefault="00E95165" w:rsidP="00E95165">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 xml:space="preserve">La Comisionada Ponente, con fundamento en lo dispuesto por el artículo 185 fracción II de la Ley de Transparencia y Acceso a la Información Pública del Estado de México y Municipios, a través del acuerdo de admisión del </w:t>
      </w:r>
      <w:r w:rsidR="00291658" w:rsidRPr="00DA2CB2">
        <w:rPr>
          <w:rFonts w:ascii="Palatino Linotype" w:eastAsia="Palatino Linotype" w:hAnsi="Palatino Linotype" w:cs="Palatino Linotype"/>
          <w:color w:val="000000"/>
        </w:rPr>
        <w:t>nueve (09</w:t>
      </w:r>
      <w:r w:rsidRPr="00DA2CB2">
        <w:rPr>
          <w:rFonts w:ascii="Palatino Linotype" w:eastAsia="Palatino Linotype" w:hAnsi="Palatino Linotype" w:cs="Palatino Linotype"/>
          <w:color w:val="000000"/>
        </w:rPr>
        <w:t>) de junio de dos mil veintitrés, puso a disposición de las partes el expediente electrónico vía Sistema de Acceso a la Información Mexiquense (</w:t>
      </w:r>
      <w:r w:rsidRPr="00DA2CB2">
        <w:rPr>
          <w:rFonts w:ascii="Palatino Linotype" w:eastAsia="Palatino Linotype" w:hAnsi="Palatino Linotype" w:cs="Palatino Linotype"/>
          <w:b/>
          <w:color w:val="000000"/>
        </w:rPr>
        <w:t xml:space="preserve">SAIMEX) </w:t>
      </w:r>
      <w:r w:rsidRPr="00DA2CB2">
        <w:rPr>
          <w:rFonts w:ascii="Palatino Linotype" w:eastAsia="Palatino Linotype" w:hAnsi="Palatino Linotype" w:cs="Palatino Linotype"/>
          <w:color w:val="000000"/>
        </w:rPr>
        <w:t xml:space="preserve">a efecto de que en un plazo máximo de siete días manifestaran lo que a su derecho convinieran, ofrecieran pruebas y alegatos según </w:t>
      </w:r>
      <w:r w:rsidRPr="00DA2CB2">
        <w:rPr>
          <w:rFonts w:ascii="Palatino Linotype" w:eastAsia="Palatino Linotype" w:hAnsi="Palatino Linotype" w:cs="Palatino Linotype"/>
          <w:color w:val="000000"/>
        </w:rPr>
        <w:lastRenderedPageBreak/>
        <w:t xml:space="preserve">corresponda a los casos concretos, de esta forma para que el </w:t>
      </w:r>
      <w:r w:rsidRPr="00DA2CB2">
        <w:rPr>
          <w:rFonts w:ascii="Palatino Linotype" w:eastAsia="Palatino Linotype" w:hAnsi="Palatino Linotype" w:cs="Palatino Linotype"/>
          <w:b/>
          <w:color w:val="000000"/>
        </w:rPr>
        <w:t>SUJETO OBLIGADO</w:t>
      </w:r>
      <w:r w:rsidRPr="00DA2CB2">
        <w:rPr>
          <w:rFonts w:ascii="Palatino Linotype" w:eastAsia="Palatino Linotype" w:hAnsi="Palatino Linotype" w:cs="Palatino Linotype"/>
          <w:color w:val="000000"/>
        </w:rPr>
        <w:t xml:space="preserve"> presentara el informe justificado procedente.</w:t>
      </w:r>
    </w:p>
    <w:p w14:paraId="1FE148D9" w14:textId="77777777" w:rsidR="00E95165" w:rsidRPr="00DA2CB2" w:rsidRDefault="00E95165" w:rsidP="00E95165">
      <w:pPr>
        <w:pStyle w:val="Prrafodelista"/>
        <w:rPr>
          <w:rFonts w:ascii="Palatino Linotype" w:eastAsia="Palatino Linotype" w:hAnsi="Palatino Linotype" w:cs="Palatino Linotype"/>
          <w:color w:val="000000"/>
        </w:rPr>
      </w:pPr>
    </w:p>
    <w:p w14:paraId="20B476A3" w14:textId="77777777" w:rsidR="00E95165" w:rsidRPr="00DA2CB2" w:rsidRDefault="00E95165" w:rsidP="000366E6">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 xml:space="preserve">De las actuaciones en el Sistema SAIMEX, se advierte que el Recurrente fue omiso en realizar manifestaciones; por su parte, el Sujeto Obligado entregó informe justificado el </w:t>
      </w:r>
      <w:r w:rsidR="00291658" w:rsidRPr="00DA2CB2">
        <w:rPr>
          <w:rFonts w:ascii="Palatino Linotype" w:eastAsia="Palatino Linotype" w:hAnsi="Palatino Linotype" w:cs="Palatino Linotype"/>
          <w:color w:val="000000"/>
        </w:rPr>
        <w:t>diecinueve (19</w:t>
      </w:r>
      <w:r w:rsidRPr="00DA2CB2">
        <w:rPr>
          <w:rFonts w:ascii="Palatino Linotype" w:eastAsia="Palatino Linotype" w:hAnsi="Palatino Linotype" w:cs="Palatino Linotype"/>
          <w:color w:val="000000"/>
        </w:rPr>
        <w:t xml:space="preserve">) de junio de dos mil veintitrés y fue puesto a la vista del particular el </w:t>
      </w:r>
      <w:r w:rsidR="000366E6" w:rsidRPr="00DA2CB2">
        <w:rPr>
          <w:rFonts w:ascii="Palatino Linotype" w:eastAsia="Palatino Linotype" w:hAnsi="Palatino Linotype" w:cs="Palatino Linotype"/>
          <w:color w:val="000000"/>
        </w:rPr>
        <w:t>veinte (20) de agosto</w:t>
      </w:r>
      <w:r w:rsidRPr="00DA2CB2">
        <w:rPr>
          <w:rFonts w:ascii="Palatino Linotype" w:eastAsia="Palatino Linotype" w:hAnsi="Palatino Linotype" w:cs="Palatino Linotype"/>
          <w:color w:val="000000"/>
        </w:rPr>
        <w:t xml:space="preserve"> de dos mil veinticuatro</w:t>
      </w:r>
      <w:bookmarkStart w:id="1" w:name="_heading=h.30j0zll" w:colFirst="0" w:colLast="0"/>
      <w:bookmarkEnd w:id="1"/>
      <w:r w:rsidR="000366E6" w:rsidRPr="00DA2CB2">
        <w:rPr>
          <w:rFonts w:ascii="Palatino Linotype" w:eastAsia="Palatino Linotype" w:hAnsi="Palatino Linotype" w:cs="Palatino Linotype"/>
          <w:color w:val="000000"/>
        </w:rPr>
        <w:t xml:space="preserve"> y que consta de los archivos que se describen enseguida:</w:t>
      </w:r>
    </w:p>
    <w:p w14:paraId="463821D5" w14:textId="77777777" w:rsidR="000366E6" w:rsidRPr="00DA2CB2" w:rsidRDefault="000366E6" w:rsidP="000366E6">
      <w:pPr>
        <w:pStyle w:val="Prrafodelista"/>
        <w:rPr>
          <w:rFonts w:ascii="Palatino Linotype" w:eastAsia="Palatino Linotype" w:hAnsi="Palatino Linotype" w:cs="Palatino Linotype"/>
          <w:color w:val="000000"/>
        </w:rPr>
      </w:pPr>
    </w:p>
    <w:p w14:paraId="7276C151" w14:textId="77777777" w:rsidR="000366E6" w:rsidRPr="00DA2CB2" w:rsidRDefault="0083605E" w:rsidP="000366E6">
      <w:pPr>
        <w:pStyle w:val="Prrafodelista"/>
        <w:numPr>
          <w:ilvl w:val="0"/>
          <w:numId w:val="3"/>
        </w:numPr>
        <w:pBdr>
          <w:top w:val="nil"/>
          <w:left w:val="nil"/>
          <w:bottom w:val="nil"/>
          <w:right w:val="nil"/>
          <w:between w:val="nil"/>
        </w:pBdr>
        <w:tabs>
          <w:tab w:val="left" w:pos="426"/>
        </w:tabs>
        <w:spacing w:line="360" w:lineRule="auto"/>
        <w:jc w:val="both"/>
        <w:rPr>
          <w:rFonts w:ascii="Palatino Linotype" w:hAnsi="Palatino Linotype"/>
          <w:sz w:val="22"/>
        </w:rPr>
      </w:pPr>
      <w:hyperlink r:id="rId12" w:history="1">
        <w:r w:rsidR="000366E6" w:rsidRPr="00DA2CB2">
          <w:rPr>
            <w:rStyle w:val="Hipervnculo"/>
            <w:rFonts w:ascii="Palatino Linotype" w:hAnsi="Palatino Linotype" w:cs="Arial"/>
            <w:b/>
            <w:bCs/>
            <w:color w:val="auto"/>
            <w:sz w:val="22"/>
          </w:rPr>
          <w:t>Informe_Justificado_RR_03193_INFOEM_IP_RR_2023.PDF</w:t>
        </w:r>
      </w:hyperlink>
      <w:r w:rsidR="000366E6" w:rsidRPr="00DA2CB2">
        <w:rPr>
          <w:rFonts w:ascii="Palatino Linotype" w:hAnsi="Palatino Linotype"/>
          <w:sz w:val="22"/>
        </w:rPr>
        <w:t>:</w:t>
      </w:r>
      <w:r w:rsidR="00597AEC" w:rsidRPr="00DA2CB2">
        <w:rPr>
          <w:rFonts w:ascii="Palatino Linotype" w:hAnsi="Palatino Linotype"/>
          <w:sz w:val="22"/>
        </w:rPr>
        <w:t xml:space="preserve"> informe justificado suscrito </w:t>
      </w:r>
      <w:r w:rsidR="001E55CA" w:rsidRPr="00DA2CB2">
        <w:rPr>
          <w:rFonts w:ascii="Palatino Linotype" w:hAnsi="Palatino Linotype"/>
          <w:sz w:val="22"/>
        </w:rPr>
        <w:t xml:space="preserve">por la Jefa de la Unidad de Información, Planeación, Programación y Evaluación y Titular de la Unidad de Transparencia en el que de forma medular, señaló que se entregó respuesta fundada y motivada. </w:t>
      </w:r>
    </w:p>
    <w:p w14:paraId="50E33191" w14:textId="77777777" w:rsidR="000366E6" w:rsidRPr="00DA2CB2" w:rsidRDefault="000366E6" w:rsidP="000366E6">
      <w:pPr>
        <w:pBdr>
          <w:top w:val="nil"/>
          <w:left w:val="nil"/>
          <w:bottom w:val="nil"/>
          <w:right w:val="nil"/>
          <w:between w:val="nil"/>
        </w:pBdr>
        <w:tabs>
          <w:tab w:val="left" w:pos="426"/>
        </w:tabs>
        <w:spacing w:line="360" w:lineRule="auto"/>
        <w:jc w:val="both"/>
        <w:rPr>
          <w:rFonts w:ascii="Palatino Linotype" w:hAnsi="Palatino Linotype"/>
          <w:sz w:val="22"/>
        </w:rPr>
      </w:pPr>
    </w:p>
    <w:p w14:paraId="36F16C4E" w14:textId="77777777" w:rsidR="000366E6" w:rsidRPr="00DA2CB2" w:rsidRDefault="0083605E" w:rsidP="000366E6">
      <w:pPr>
        <w:pStyle w:val="Prrafodelista"/>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rPr>
      </w:pPr>
      <w:hyperlink r:id="rId13" w:history="1">
        <w:r w:rsidR="000366E6" w:rsidRPr="00DA2CB2">
          <w:rPr>
            <w:rStyle w:val="Hipervnculo"/>
            <w:rFonts w:ascii="Palatino Linotype" w:hAnsi="Palatino Linotype" w:cs="Arial"/>
            <w:b/>
            <w:bCs/>
            <w:color w:val="auto"/>
            <w:sz w:val="22"/>
          </w:rPr>
          <w:t>Respuestas SPH a Recurso de Revision.rar</w:t>
        </w:r>
      </w:hyperlink>
      <w:r w:rsidR="001E55CA" w:rsidRPr="00DA2CB2">
        <w:rPr>
          <w:rFonts w:ascii="Palatino Linotype" w:hAnsi="Palatino Linotype"/>
          <w:sz w:val="22"/>
        </w:rPr>
        <w:t>, archivo que contiene lo siguientes archivos que se describen:</w:t>
      </w:r>
    </w:p>
    <w:p w14:paraId="66D4C400" w14:textId="77777777" w:rsidR="001E55CA" w:rsidRPr="00DA2CB2" w:rsidRDefault="001E55CA" w:rsidP="001E55CA">
      <w:pPr>
        <w:pStyle w:val="Prrafodelista"/>
        <w:rPr>
          <w:rFonts w:ascii="Palatino Linotype" w:eastAsia="Palatino Linotype" w:hAnsi="Palatino Linotype" w:cs="Palatino Linotype"/>
          <w:sz w:val="22"/>
        </w:rPr>
      </w:pPr>
    </w:p>
    <w:p w14:paraId="0B7021C6" w14:textId="77777777" w:rsidR="001E55CA" w:rsidRPr="00DA2CB2" w:rsidRDefault="001E55CA" w:rsidP="001E55CA">
      <w:pPr>
        <w:pStyle w:val="Prrafodelista"/>
        <w:numPr>
          <w:ilvl w:val="0"/>
          <w:numId w:val="8"/>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rPr>
      </w:pPr>
      <w:r w:rsidRPr="00DA2CB2">
        <w:rPr>
          <w:rFonts w:ascii="Palatino Linotype" w:eastAsia="Palatino Linotype" w:hAnsi="Palatino Linotype" w:cs="Palatino Linotype"/>
          <w:sz w:val="22"/>
        </w:rPr>
        <w:t xml:space="preserve">00039_RESPUESTA_CDR.PDF: Oficio 224C0101050000L/1214/2023 suscrito por el Coordinador de Delegaciones Regionales, en el que señaló se anexa </w:t>
      </w:r>
      <w:r w:rsidR="00F81FAD" w:rsidRPr="00DA2CB2">
        <w:rPr>
          <w:rFonts w:ascii="Palatino Linotype" w:eastAsia="Palatino Linotype" w:hAnsi="Palatino Linotype" w:cs="Palatino Linotype"/>
          <w:sz w:val="22"/>
        </w:rPr>
        <w:t xml:space="preserve">oficio. Oficio del Delegado Regional de Ecatepec, en el que señaló </w:t>
      </w:r>
      <w:r w:rsidR="0038133E" w:rsidRPr="00DA2CB2">
        <w:rPr>
          <w:rFonts w:ascii="Palatino Linotype" w:eastAsia="Palatino Linotype" w:hAnsi="Palatino Linotype" w:cs="Palatino Linotype"/>
          <w:sz w:val="22"/>
        </w:rPr>
        <w:t xml:space="preserve">que referente a los cuestionamientos 1, 2, 3 y 4 no se localizó información solicitada, por no ser procedimientos correspondientes al Sujeto obligado. </w:t>
      </w:r>
    </w:p>
    <w:p w14:paraId="67CC6060" w14:textId="77777777" w:rsidR="001E55CA" w:rsidRPr="00DA2CB2" w:rsidRDefault="001E55CA" w:rsidP="001E55CA">
      <w:pPr>
        <w:pStyle w:val="Prrafodelista"/>
        <w:pBdr>
          <w:top w:val="nil"/>
          <w:left w:val="nil"/>
          <w:bottom w:val="nil"/>
          <w:right w:val="nil"/>
          <w:between w:val="nil"/>
        </w:pBdr>
        <w:tabs>
          <w:tab w:val="left" w:pos="426"/>
        </w:tabs>
        <w:spacing w:line="360" w:lineRule="auto"/>
        <w:ind w:left="1440"/>
        <w:jc w:val="both"/>
        <w:rPr>
          <w:rFonts w:ascii="Palatino Linotype" w:eastAsia="Palatino Linotype" w:hAnsi="Palatino Linotype" w:cs="Palatino Linotype"/>
          <w:sz w:val="22"/>
        </w:rPr>
      </w:pPr>
    </w:p>
    <w:p w14:paraId="269A2C9A" w14:textId="77777777" w:rsidR="001E55CA" w:rsidRPr="00DA2CB2" w:rsidRDefault="001E55CA" w:rsidP="001E55CA">
      <w:pPr>
        <w:pStyle w:val="Prrafodelista"/>
        <w:numPr>
          <w:ilvl w:val="0"/>
          <w:numId w:val="8"/>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rPr>
      </w:pPr>
      <w:r w:rsidRPr="00DA2CB2">
        <w:rPr>
          <w:rFonts w:ascii="Palatino Linotype" w:eastAsia="Palatino Linotype" w:hAnsi="Palatino Linotype" w:cs="Palatino Linotype"/>
          <w:sz w:val="22"/>
        </w:rPr>
        <w:t>00039_RESPUESTA_FINANZAS.PDF:</w:t>
      </w:r>
      <w:r w:rsidR="0038133E" w:rsidRPr="00DA2CB2">
        <w:rPr>
          <w:rFonts w:ascii="Palatino Linotype" w:eastAsia="Palatino Linotype" w:hAnsi="Palatino Linotype" w:cs="Palatino Linotype"/>
          <w:sz w:val="22"/>
        </w:rPr>
        <w:t xml:space="preserve"> Oficio del Director de Administración y Finanzas en el que señaló </w:t>
      </w:r>
      <w:r w:rsidR="00592BAA" w:rsidRPr="00DA2CB2">
        <w:rPr>
          <w:rFonts w:ascii="Palatino Linotype" w:eastAsia="Palatino Linotype" w:hAnsi="Palatino Linotype" w:cs="Palatino Linotype"/>
          <w:sz w:val="22"/>
        </w:rPr>
        <w:t xml:space="preserve">que referente a los puntos 1, 2 y 3, no se encuentra dentro </w:t>
      </w:r>
      <w:r w:rsidR="00592BAA" w:rsidRPr="00DA2CB2">
        <w:rPr>
          <w:rFonts w:ascii="Palatino Linotype" w:eastAsia="Palatino Linotype" w:hAnsi="Palatino Linotype" w:cs="Palatino Linotype"/>
          <w:sz w:val="22"/>
        </w:rPr>
        <w:lastRenderedPageBreak/>
        <w:t xml:space="preserve">de las atribuciones de la Dirección, respecto al punto 4, señaló el procedimiento para obtener la carta de no adeudo y el costo. </w:t>
      </w:r>
    </w:p>
    <w:p w14:paraId="03ADCEBD" w14:textId="77777777" w:rsidR="001E55CA" w:rsidRPr="00DA2CB2" w:rsidRDefault="001E55CA" w:rsidP="001E55C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rPr>
      </w:pPr>
    </w:p>
    <w:p w14:paraId="3DE0E461" w14:textId="77777777" w:rsidR="001E55CA" w:rsidRPr="00DA2CB2" w:rsidRDefault="001E55CA" w:rsidP="001E55CA">
      <w:pPr>
        <w:pStyle w:val="Prrafodelista"/>
        <w:numPr>
          <w:ilvl w:val="0"/>
          <w:numId w:val="8"/>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rPr>
      </w:pPr>
      <w:r w:rsidRPr="00DA2CB2">
        <w:rPr>
          <w:rFonts w:ascii="Palatino Linotype" w:eastAsia="Palatino Linotype" w:hAnsi="Palatino Linotype" w:cs="Palatino Linotype"/>
          <w:sz w:val="22"/>
        </w:rPr>
        <w:t xml:space="preserve">00039_RESPUESTA_JURIDICO.PDF: </w:t>
      </w:r>
      <w:r w:rsidR="00592BAA" w:rsidRPr="00DA2CB2">
        <w:rPr>
          <w:rFonts w:ascii="Palatino Linotype" w:eastAsia="Palatino Linotype" w:hAnsi="Palatino Linotype" w:cs="Palatino Linotype"/>
          <w:sz w:val="22"/>
        </w:rPr>
        <w:t xml:space="preserve">oficio del Director Jurídico </w:t>
      </w:r>
      <w:r w:rsidR="00723FB1" w:rsidRPr="00DA2CB2">
        <w:rPr>
          <w:rFonts w:ascii="Palatino Linotype" w:eastAsia="Palatino Linotype" w:hAnsi="Palatino Linotype" w:cs="Palatino Linotype"/>
          <w:sz w:val="22"/>
        </w:rPr>
        <w:t xml:space="preserve">y de Igualdad de Género, en el que señaló que de acuerdo con sus atribuciones y funciones no posee, genera ni administra la información solicitada. </w:t>
      </w:r>
    </w:p>
    <w:p w14:paraId="77A62E28" w14:textId="77777777" w:rsidR="001E55CA" w:rsidRPr="00DA2CB2" w:rsidRDefault="001E55CA" w:rsidP="001E55C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rPr>
      </w:pPr>
    </w:p>
    <w:p w14:paraId="3D45BB54" w14:textId="77777777" w:rsidR="001E55CA" w:rsidRPr="00DA2CB2" w:rsidRDefault="001E55CA" w:rsidP="001E55CA">
      <w:pPr>
        <w:pStyle w:val="Prrafodelista"/>
        <w:numPr>
          <w:ilvl w:val="0"/>
          <w:numId w:val="8"/>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rPr>
      </w:pPr>
      <w:r w:rsidRPr="00DA2CB2">
        <w:rPr>
          <w:rFonts w:ascii="Palatino Linotype" w:eastAsia="Palatino Linotype" w:hAnsi="Palatino Linotype" w:cs="Palatino Linotype"/>
          <w:sz w:val="22"/>
        </w:rPr>
        <w:t>00039_RESPUESTA_SUELO.PDF:</w:t>
      </w:r>
      <w:r w:rsidR="00723FB1" w:rsidRPr="00DA2CB2">
        <w:rPr>
          <w:rFonts w:ascii="Palatino Linotype" w:eastAsia="Palatino Linotype" w:hAnsi="Palatino Linotype" w:cs="Palatino Linotype"/>
          <w:sz w:val="22"/>
        </w:rPr>
        <w:t xml:space="preserve"> oficio del Director de Administración del Suelo en el que señaló </w:t>
      </w:r>
      <w:r w:rsidR="00B70098" w:rsidRPr="00DA2CB2">
        <w:rPr>
          <w:rFonts w:ascii="Palatino Linotype" w:eastAsia="Palatino Linotype" w:hAnsi="Palatino Linotype" w:cs="Palatino Linotype"/>
          <w:sz w:val="22"/>
        </w:rPr>
        <w:t xml:space="preserve">el objetivo del Instituto y una liga electrónica en la que se puede consultar los programas que se ejecutan en el mismo. </w:t>
      </w:r>
    </w:p>
    <w:p w14:paraId="373056AA" w14:textId="77777777" w:rsidR="001E55CA" w:rsidRPr="00DA2CB2" w:rsidRDefault="001E55CA" w:rsidP="001E55C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rPr>
      </w:pPr>
    </w:p>
    <w:p w14:paraId="547986BB" w14:textId="77777777" w:rsidR="001E55CA" w:rsidRPr="00DA2CB2" w:rsidRDefault="001E55CA" w:rsidP="001E55CA">
      <w:pPr>
        <w:pStyle w:val="Prrafodelista"/>
        <w:numPr>
          <w:ilvl w:val="0"/>
          <w:numId w:val="8"/>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rPr>
      </w:pPr>
      <w:r w:rsidRPr="00DA2CB2">
        <w:rPr>
          <w:rFonts w:ascii="Palatino Linotype" w:eastAsia="Palatino Linotype" w:hAnsi="Palatino Linotype" w:cs="Palatino Linotype"/>
          <w:sz w:val="22"/>
        </w:rPr>
        <w:t xml:space="preserve">00039_RESPUESTA_VIVIENDA.PDF: </w:t>
      </w:r>
      <w:r w:rsidR="00B70098" w:rsidRPr="00DA2CB2">
        <w:rPr>
          <w:rFonts w:ascii="Palatino Linotype" w:eastAsia="Palatino Linotype" w:hAnsi="Palatino Linotype" w:cs="Palatino Linotype"/>
          <w:sz w:val="22"/>
        </w:rPr>
        <w:t xml:space="preserve">Oficio suscrito por la Directora en el que señaló que de la búsqueda exhaustiva y razonable en los archivos de la Dirección de Promoción y Fomento a la Vivienda, no se identificó antecedente, documentos o referencia sobre procedimientos de cancelación y liberación de reserva de dominio de inmuebles, así como el costo y ante que autoridades se realiza el trámite. </w:t>
      </w:r>
    </w:p>
    <w:p w14:paraId="55329F01" w14:textId="77777777" w:rsidR="000366E6" w:rsidRPr="00DA2CB2" w:rsidRDefault="000366E6" w:rsidP="000366E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20AD8DC" w14:textId="77777777" w:rsidR="00E95165" w:rsidRPr="00DA2CB2" w:rsidRDefault="00E95165" w:rsidP="00E95165">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 xml:space="preserve">El once (11) de octubre de dos mil veintitrés, se notificó el acuerdo a través del cual se aprobó la ampliación de plazo para emitir resolución. </w:t>
      </w:r>
    </w:p>
    <w:p w14:paraId="452E2E30" w14:textId="77777777" w:rsidR="00E95165" w:rsidRPr="00DA2CB2" w:rsidRDefault="00E95165" w:rsidP="00E95165">
      <w:pPr>
        <w:pStyle w:val="Prrafodelista"/>
        <w:rPr>
          <w:rFonts w:ascii="Palatino Linotype" w:eastAsia="Palatino Linotype" w:hAnsi="Palatino Linotype" w:cs="Palatino Linotype"/>
          <w:color w:val="000000"/>
        </w:rPr>
      </w:pPr>
    </w:p>
    <w:p w14:paraId="17AEBF1B" w14:textId="77777777" w:rsidR="00E95165" w:rsidRPr="00DA2CB2" w:rsidRDefault="00E95165" w:rsidP="00E95165">
      <w:pPr>
        <w:pStyle w:val="Prrafodelista"/>
        <w:numPr>
          <w:ilvl w:val="0"/>
          <w:numId w:val="1"/>
        </w:numPr>
        <w:spacing w:line="360" w:lineRule="auto"/>
        <w:jc w:val="both"/>
        <w:rPr>
          <w:rFonts w:ascii="Palatino Linotype" w:hAnsi="Palatino Linotype" w:cs="Arial"/>
          <w:b/>
          <w:lang w:eastAsia="es-ES"/>
        </w:rPr>
      </w:pPr>
      <w:r w:rsidRPr="00DA2CB2">
        <w:rPr>
          <w:rFonts w:ascii="Palatino Linotype" w:hAnsi="Palatino Linotype" w:cs="Arial"/>
          <w:lang w:eastAsia="es-ES"/>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5E63638" w14:textId="77777777" w:rsidR="00E95165" w:rsidRPr="00DA2CB2" w:rsidRDefault="00E95165" w:rsidP="00E95165">
      <w:pPr>
        <w:pStyle w:val="Prrafodelista"/>
        <w:spacing w:line="360" w:lineRule="auto"/>
        <w:ind w:left="0"/>
        <w:jc w:val="both"/>
        <w:rPr>
          <w:rFonts w:ascii="Palatino Linotype" w:hAnsi="Palatino Linotype" w:cs="Arial"/>
          <w:lang w:eastAsia="es-ES"/>
        </w:rPr>
      </w:pPr>
    </w:p>
    <w:p w14:paraId="0BBAB9CB" w14:textId="77777777" w:rsidR="00E95165" w:rsidRPr="00DA2CB2" w:rsidRDefault="00E95165" w:rsidP="00E95165">
      <w:pPr>
        <w:pStyle w:val="Prrafodelista"/>
        <w:numPr>
          <w:ilvl w:val="0"/>
          <w:numId w:val="1"/>
        </w:numPr>
        <w:spacing w:line="360" w:lineRule="auto"/>
        <w:jc w:val="both"/>
        <w:rPr>
          <w:rFonts w:ascii="Palatino Linotype" w:hAnsi="Palatino Linotype" w:cs="Arial"/>
          <w:b/>
          <w:lang w:eastAsia="es-ES"/>
        </w:rPr>
      </w:pPr>
      <w:r w:rsidRPr="00DA2CB2">
        <w:rPr>
          <w:rFonts w:ascii="Palatino Linotype" w:hAnsi="Palatino Linotype" w:cs="Arial"/>
          <w:lang w:eastAsia="es-ES"/>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576641C" w14:textId="77777777" w:rsidR="00E95165" w:rsidRPr="00DA2CB2" w:rsidRDefault="00E95165" w:rsidP="00E95165">
      <w:pPr>
        <w:pStyle w:val="Prrafodelista"/>
        <w:spacing w:line="360" w:lineRule="auto"/>
        <w:ind w:left="0"/>
        <w:jc w:val="both"/>
        <w:rPr>
          <w:rFonts w:ascii="Palatino Linotype" w:hAnsi="Palatino Linotype" w:cs="Arial"/>
          <w:lang w:eastAsia="es-ES"/>
        </w:rPr>
      </w:pPr>
    </w:p>
    <w:p w14:paraId="79EB44F5" w14:textId="77777777" w:rsidR="00E95165" w:rsidRPr="00DA2CB2" w:rsidRDefault="00E95165" w:rsidP="00E95165">
      <w:pPr>
        <w:pStyle w:val="Prrafodelista"/>
        <w:numPr>
          <w:ilvl w:val="0"/>
          <w:numId w:val="1"/>
        </w:numPr>
        <w:spacing w:line="360" w:lineRule="auto"/>
        <w:jc w:val="both"/>
        <w:rPr>
          <w:rFonts w:ascii="Palatino Linotype" w:hAnsi="Palatino Linotype" w:cs="Arial"/>
          <w:b/>
          <w:lang w:eastAsia="es-ES"/>
        </w:rPr>
      </w:pPr>
      <w:r w:rsidRPr="00DA2CB2">
        <w:rPr>
          <w:rFonts w:ascii="Palatino Linotype" w:hAnsi="Palatino Linotype" w:cs="Arial"/>
          <w:lang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1C17373" w14:textId="77777777" w:rsidR="00E95165" w:rsidRPr="00DA2CB2" w:rsidRDefault="00E95165" w:rsidP="00E95165">
      <w:pPr>
        <w:pStyle w:val="Prrafodelista"/>
        <w:numPr>
          <w:ilvl w:val="0"/>
          <w:numId w:val="1"/>
        </w:numPr>
        <w:spacing w:line="360" w:lineRule="auto"/>
        <w:jc w:val="both"/>
        <w:rPr>
          <w:rFonts w:ascii="Palatino Linotype" w:hAnsi="Palatino Linotype" w:cs="Arial"/>
          <w:b/>
          <w:lang w:eastAsia="es-ES"/>
        </w:rPr>
      </w:pPr>
      <w:r w:rsidRPr="00DA2CB2">
        <w:rPr>
          <w:rFonts w:ascii="Palatino Linotype" w:hAnsi="Palatino Linotype" w:cs="Arial"/>
          <w:lang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576D3C7" w14:textId="77777777" w:rsidR="00E95165" w:rsidRPr="00DA2CB2" w:rsidRDefault="00E95165" w:rsidP="00E95165">
      <w:pPr>
        <w:pStyle w:val="Prrafodelista"/>
        <w:spacing w:line="360" w:lineRule="auto"/>
        <w:ind w:left="0"/>
        <w:jc w:val="both"/>
        <w:rPr>
          <w:rFonts w:ascii="Palatino Linotype" w:hAnsi="Palatino Linotype" w:cs="Arial"/>
          <w:lang w:eastAsia="es-ES"/>
        </w:rPr>
      </w:pPr>
    </w:p>
    <w:p w14:paraId="3AA73A55" w14:textId="77777777" w:rsidR="00E95165" w:rsidRPr="00DA2CB2" w:rsidRDefault="00E95165" w:rsidP="00E95165">
      <w:pPr>
        <w:pStyle w:val="Prrafodelista"/>
        <w:numPr>
          <w:ilvl w:val="0"/>
          <w:numId w:val="1"/>
        </w:numPr>
        <w:spacing w:line="360" w:lineRule="auto"/>
        <w:jc w:val="both"/>
        <w:rPr>
          <w:rFonts w:ascii="Palatino Linotype" w:hAnsi="Palatino Linotype" w:cs="Arial"/>
          <w:b/>
          <w:lang w:eastAsia="es-ES"/>
        </w:rPr>
      </w:pPr>
      <w:r w:rsidRPr="00DA2CB2">
        <w:rPr>
          <w:rFonts w:ascii="Palatino Linotype" w:hAnsi="Palatino Linotype" w:cs="Arial"/>
          <w:lang w:eastAsia="es-ES"/>
        </w:rPr>
        <w:t xml:space="preserve">Por ello, excepcionalmente, si un asunto es resuelto con posterioridad a los plazos señalados por la norma debe analizarse la razonabilidad de dicha dilación atendiendo a los siguientes criterios:   </w:t>
      </w:r>
    </w:p>
    <w:p w14:paraId="3C759BD5" w14:textId="77777777" w:rsidR="00DA2CB2" w:rsidRPr="00DA2CB2" w:rsidRDefault="00E95165" w:rsidP="00DA2CB2">
      <w:pPr>
        <w:pStyle w:val="Prrafodelista"/>
        <w:numPr>
          <w:ilvl w:val="1"/>
          <w:numId w:val="1"/>
        </w:numPr>
        <w:spacing w:line="360" w:lineRule="auto"/>
        <w:ind w:right="992"/>
        <w:jc w:val="both"/>
        <w:rPr>
          <w:rFonts w:ascii="Palatino Linotype" w:hAnsi="Palatino Linotype" w:cs="Arial"/>
          <w:sz w:val="22"/>
          <w:lang w:eastAsia="es-ES"/>
        </w:rPr>
      </w:pPr>
      <w:r w:rsidRPr="00DA2CB2">
        <w:rPr>
          <w:rFonts w:ascii="Palatino Linotype" w:hAnsi="Palatino Linotype" w:cs="Arial"/>
          <w:sz w:val="22"/>
          <w:lang w:eastAsia="es-ES"/>
        </w:rPr>
        <w:t xml:space="preserve">Complejidad del Asunto: La complejidad de la prueba, la pluralidad de sujetos procesales, el tiempo transcurrido, las características y contexto del recurso. </w:t>
      </w:r>
    </w:p>
    <w:p w14:paraId="06E802C3" w14:textId="77777777" w:rsidR="00DA2CB2" w:rsidRPr="00DA2CB2" w:rsidRDefault="00E95165" w:rsidP="00DA2CB2">
      <w:pPr>
        <w:pStyle w:val="Prrafodelista"/>
        <w:numPr>
          <w:ilvl w:val="1"/>
          <w:numId w:val="1"/>
        </w:numPr>
        <w:spacing w:line="360" w:lineRule="auto"/>
        <w:ind w:right="992"/>
        <w:jc w:val="both"/>
        <w:rPr>
          <w:rFonts w:ascii="Palatino Linotype" w:hAnsi="Palatino Linotype" w:cs="Arial"/>
          <w:sz w:val="22"/>
          <w:lang w:eastAsia="es-ES"/>
        </w:rPr>
      </w:pPr>
      <w:r w:rsidRPr="00DA2CB2">
        <w:rPr>
          <w:rFonts w:ascii="Palatino Linotype" w:hAnsi="Palatino Linotype" w:cs="Arial"/>
          <w:sz w:val="22"/>
          <w:lang w:eastAsia="es-ES"/>
        </w:rPr>
        <w:t>Actividad Procesal del interesado. Acciones u omisiones del interesado.</w:t>
      </w:r>
    </w:p>
    <w:p w14:paraId="0DBEB827" w14:textId="77777777" w:rsidR="00DA2CB2" w:rsidRPr="00DA2CB2" w:rsidRDefault="00E95165" w:rsidP="00DA2CB2">
      <w:pPr>
        <w:pStyle w:val="Prrafodelista"/>
        <w:numPr>
          <w:ilvl w:val="1"/>
          <w:numId w:val="1"/>
        </w:numPr>
        <w:spacing w:line="360" w:lineRule="auto"/>
        <w:ind w:right="992"/>
        <w:jc w:val="both"/>
        <w:rPr>
          <w:rFonts w:ascii="Palatino Linotype" w:hAnsi="Palatino Linotype" w:cs="Arial"/>
          <w:sz w:val="22"/>
          <w:lang w:eastAsia="es-ES"/>
        </w:rPr>
      </w:pPr>
      <w:r w:rsidRPr="00DA2CB2">
        <w:rPr>
          <w:rFonts w:ascii="Palatino Linotype" w:hAnsi="Palatino Linotype" w:cs="Arial"/>
          <w:sz w:val="22"/>
          <w:lang w:eastAsia="es-ES"/>
        </w:rPr>
        <w:t>Conducta de la Autoridad: Las Acciones u omisiones realizadas en el procedimiento. Así como si la autoridad actuó con la debida diligencia.</w:t>
      </w:r>
    </w:p>
    <w:p w14:paraId="68AB6451" w14:textId="77777777" w:rsidR="00E95165" w:rsidRPr="00DA2CB2" w:rsidRDefault="00E95165" w:rsidP="00DA2CB2">
      <w:pPr>
        <w:pStyle w:val="Prrafodelista"/>
        <w:numPr>
          <w:ilvl w:val="1"/>
          <w:numId w:val="1"/>
        </w:numPr>
        <w:spacing w:line="360" w:lineRule="auto"/>
        <w:ind w:right="992"/>
        <w:jc w:val="both"/>
        <w:rPr>
          <w:rFonts w:ascii="Palatino Linotype" w:hAnsi="Palatino Linotype" w:cs="Arial"/>
          <w:sz w:val="22"/>
          <w:lang w:eastAsia="es-ES"/>
        </w:rPr>
      </w:pPr>
      <w:r w:rsidRPr="00DA2CB2">
        <w:rPr>
          <w:rFonts w:ascii="Palatino Linotype" w:hAnsi="Palatino Linotype" w:cs="Arial"/>
          <w:sz w:val="22"/>
          <w:lang w:eastAsia="es-ES"/>
        </w:rPr>
        <w:lastRenderedPageBreak/>
        <w:t>La afectación generada en la situación jurídica de la persona involucrada en el proceso: Violación a sus derechos humanos.</w:t>
      </w:r>
    </w:p>
    <w:p w14:paraId="12346174" w14:textId="77777777" w:rsidR="00E95165" w:rsidRPr="00DA2CB2" w:rsidRDefault="00E95165" w:rsidP="00E95165">
      <w:pPr>
        <w:pStyle w:val="Prrafodelista"/>
        <w:spacing w:line="360" w:lineRule="auto"/>
        <w:ind w:left="851" w:right="255"/>
        <w:jc w:val="both"/>
        <w:rPr>
          <w:rFonts w:ascii="Palatino Linotype" w:hAnsi="Palatino Linotype" w:cs="Arial"/>
          <w:lang w:eastAsia="es-ES"/>
        </w:rPr>
      </w:pPr>
    </w:p>
    <w:p w14:paraId="7E8B5370" w14:textId="77777777" w:rsidR="00E95165" w:rsidRPr="00DA2CB2" w:rsidRDefault="00E95165" w:rsidP="00E95165">
      <w:pPr>
        <w:pStyle w:val="Prrafodelista"/>
        <w:numPr>
          <w:ilvl w:val="0"/>
          <w:numId w:val="1"/>
        </w:numPr>
        <w:spacing w:line="360" w:lineRule="auto"/>
        <w:jc w:val="both"/>
        <w:rPr>
          <w:rFonts w:ascii="Palatino Linotype" w:hAnsi="Palatino Linotype" w:cs="Arial"/>
          <w:b/>
          <w:lang w:eastAsia="es-ES"/>
        </w:rPr>
      </w:pPr>
      <w:r w:rsidRPr="00DA2CB2">
        <w:rPr>
          <w:rFonts w:ascii="Palatino Linotype" w:hAnsi="Palatino Linotype" w:cs="Arial"/>
          <w:lang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20CE7A6" w14:textId="77777777" w:rsidR="00E95165" w:rsidRPr="00DA2CB2" w:rsidRDefault="00E95165" w:rsidP="00E95165">
      <w:pPr>
        <w:pStyle w:val="Prrafodelista"/>
        <w:spacing w:line="360" w:lineRule="auto"/>
        <w:ind w:left="0"/>
        <w:jc w:val="both"/>
        <w:rPr>
          <w:rFonts w:ascii="Palatino Linotype" w:hAnsi="Palatino Linotype" w:cs="Arial"/>
          <w:b/>
          <w:lang w:eastAsia="es-ES"/>
        </w:rPr>
      </w:pPr>
    </w:p>
    <w:p w14:paraId="041F9DCE" w14:textId="77777777" w:rsidR="00E95165" w:rsidRPr="00DA2CB2" w:rsidRDefault="00E95165" w:rsidP="00E95165">
      <w:pPr>
        <w:pStyle w:val="Prrafodelista"/>
        <w:numPr>
          <w:ilvl w:val="0"/>
          <w:numId w:val="1"/>
        </w:numPr>
        <w:spacing w:line="360" w:lineRule="auto"/>
        <w:jc w:val="both"/>
        <w:rPr>
          <w:rFonts w:ascii="Palatino Linotype" w:hAnsi="Palatino Linotype" w:cs="Arial"/>
          <w:b/>
          <w:lang w:eastAsia="es-ES"/>
        </w:rPr>
      </w:pPr>
      <w:r w:rsidRPr="00DA2CB2">
        <w:rPr>
          <w:rFonts w:ascii="Palatino Linotype" w:hAnsi="Palatino Linotype" w:cs="Arial"/>
          <w:lang w:eastAsia="es-ES"/>
        </w:rPr>
        <w:t xml:space="preserve">Argumento que encuentra sustento en la jurisprudencia P./J. 32/92 emitida por el Pleno de la Suprema Corte de Justicia de la Nación de rubro </w:t>
      </w:r>
      <w:r w:rsidRPr="00DA2CB2">
        <w:rPr>
          <w:rFonts w:ascii="Palatino Linotype" w:hAnsi="Palatino Linotype" w:cs="Arial"/>
          <w:i/>
          <w:lang w:eastAsia="es-ES"/>
        </w:rPr>
        <w:t>“TÉRMINOS PROCESALES. PARA DETERMINAR SI UN FUNCIONARIO JUDICIAL ACTUÓ INDEBIDAMENTE POR NO RESPETARLOS SE DEBE ATENDER AL PRESUPUESTO QUE CONSIDERÓ EL LEGISLADOR AL FIJARLOS Y LAS CARACTERÍSTICAS DEL CASO.”</w:t>
      </w:r>
      <w:r w:rsidRPr="00DA2CB2">
        <w:rPr>
          <w:rFonts w:ascii="Palatino Linotype" w:hAnsi="Palatino Linotype" w:cs="Arial"/>
          <w:lang w:eastAsia="es-ES"/>
        </w:rPr>
        <w:t>, visible en la Gaceta de</w:t>
      </w:r>
      <w:r w:rsidR="00EB32E4">
        <w:rPr>
          <w:rFonts w:ascii="Palatino Linotype" w:hAnsi="Palatino Linotype" w:cs="Arial"/>
          <w:lang w:eastAsia="es-ES"/>
        </w:rPr>
        <w:t>l Sema</w:t>
      </w:r>
      <w:r w:rsidRPr="00DA2CB2">
        <w:rPr>
          <w:rFonts w:ascii="Palatino Linotype" w:hAnsi="Palatino Linotype" w:cs="Arial"/>
          <w:lang w:eastAsia="es-ES"/>
        </w:rPr>
        <w:t>nario Judicial de la Federación con el registro digital 205635.</w:t>
      </w:r>
    </w:p>
    <w:p w14:paraId="4BF59AC9" w14:textId="77777777" w:rsidR="00E95165" w:rsidRPr="00DA2CB2" w:rsidRDefault="00E95165" w:rsidP="00E95165">
      <w:pPr>
        <w:pStyle w:val="Prrafodelista"/>
        <w:spacing w:line="360" w:lineRule="auto"/>
        <w:ind w:left="0"/>
        <w:jc w:val="both"/>
        <w:rPr>
          <w:rFonts w:ascii="Palatino Linotype" w:hAnsi="Palatino Linotype" w:cs="Arial"/>
          <w:lang w:eastAsia="es-ES"/>
        </w:rPr>
      </w:pPr>
    </w:p>
    <w:p w14:paraId="283FFEA4" w14:textId="77777777" w:rsidR="00E95165" w:rsidRPr="00DA2CB2" w:rsidRDefault="00E95165" w:rsidP="00E95165">
      <w:pPr>
        <w:pStyle w:val="Prrafodelista"/>
        <w:numPr>
          <w:ilvl w:val="0"/>
          <w:numId w:val="1"/>
        </w:numPr>
        <w:spacing w:line="360" w:lineRule="auto"/>
        <w:jc w:val="both"/>
        <w:rPr>
          <w:rFonts w:ascii="Palatino Linotype" w:hAnsi="Palatino Linotype" w:cs="Arial"/>
          <w:b/>
          <w:lang w:eastAsia="es-ES"/>
        </w:rPr>
      </w:pPr>
      <w:r w:rsidRPr="00DA2CB2">
        <w:rPr>
          <w:rFonts w:ascii="Palatino Linotype" w:hAnsi="Palatino Linotype" w:cs="Arial"/>
          <w:lang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A18A974" w14:textId="77777777" w:rsidR="00E95165" w:rsidRPr="00DA2CB2" w:rsidRDefault="00E95165" w:rsidP="00E95165">
      <w:pPr>
        <w:pStyle w:val="Prrafodelista"/>
        <w:spacing w:line="360" w:lineRule="auto"/>
        <w:ind w:left="0"/>
        <w:jc w:val="both"/>
        <w:rPr>
          <w:rFonts w:ascii="Palatino Linotype" w:hAnsi="Palatino Linotype" w:cs="Arial"/>
          <w:lang w:eastAsia="es-ES"/>
        </w:rPr>
      </w:pPr>
    </w:p>
    <w:p w14:paraId="5F2992BE" w14:textId="77777777" w:rsidR="00E95165" w:rsidRPr="00DA2CB2" w:rsidRDefault="00E95165" w:rsidP="00E95165">
      <w:pPr>
        <w:pStyle w:val="Prrafodelista"/>
        <w:numPr>
          <w:ilvl w:val="0"/>
          <w:numId w:val="1"/>
        </w:numPr>
        <w:spacing w:line="360" w:lineRule="auto"/>
        <w:jc w:val="both"/>
        <w:rPr>
          <w:rFonts w:ascii="Palatino Linotype" w:hAnsi="Palatino Linotype" w:cs="Arial"/>
          <w:b/>
          <w:lang w:eastAsia="es-ES"/>
        </w:rPr>
      </w:pPr>
      <w:r w:rsidRPr="00DA2CB2">
        <w:rPr>
          <w:rFonts w:ascii="Palatino Linotype" w:hAnsi="Palatino Linotype" w:cs="Arial"/>
          <w:lang w:eastAsia="es-ES"/>
        </w:rPr>
        <w:t>Por ello, este organismo garante comprometido con la tutela de los derechos humanos confiados, señala que este exceso del plazo legal para resolver el presente asunto, resulta de carácter excepcional.</w:t>
      </w:r>
    </w:p>
    <w:p w14:paraId="58EF676D" w14:textId="77777777" w:rsidR="00E95165" w:rsidRPr="00DA2CB2" w:rsidRDefault="00E95165" w:rsidP="00E95165">
      <w:pPr>
        <w:pStyle w:val="Prrafodelista"/>
        <w:spacing w:line="360" w:lineRule="auto"/>
        <w:ind w:left="0"/>
        <w:jc w:val="both"/>
        <w:rPr>
          <w:rFonts w:ascii="Palatino Linotype" w:hAnsi="Palatino Linotype" w:cs="Arial"/>
          <w:lang w:eastAsia="es-ES"/>
        </w:rPr>
      </w:pPr>
    </w:p>
    <w:p w14:paraId="735FA9B8" w14:textId="77777777" w:rsidR="00E95165" w:rsidRPr="00DA2CB2" w:rsidRDefault="00E95165" w:rsidP="00E95165">
      <w:pPr>
        <w:pStyle w:val="Prrafodelista"/>
        <w:numPr>
          <w:ilvl w:val="0"/>
          <w:numId w:val="1"/>
        </w:numPr>
        <w:spacing w:line="360" w:lineRule="auto"/>
        <w:jc w:val="both"/>
        <w:rPr>
          <w:rFonts w:ascii="Palatino Linotype" w:hAnsi="Palatino Linotype" w:cs="Arial"/>
          <w:b/>
          <w:lang w:eastAsia="es-ES"/>
        </w:rPr>
      </w:pPr>
      <w:r w:rsidRPr="00DA2CB2">
        <w:rPr>
          <w:rFonts w:ascii="Palatino Linotype" w:hAnsi="Palatino Linotype" w:cs="Arial"/>
          <w:lang w:eastAsia="es-ES"/>
        </w:rPr>
        <w:t>Al respecto, también son de considerar los criterios sostenidos por el Cuarto Tribunal Colegiado en Materia Administrativa del Primer Circuito, cuyos rubros y datos de identificación son los siguientes:</w:t>
      </w:r>
    </w:p>
    <w:p w14:paraId="37FEF1FA" w14:textId="77777777" w:rsidR="00E95165" w:rsidRPr="00DA2CB2" w:rsidRDefault="00E95165" w:rsidP="00E95165">
      <w:pPr>
        <w:pStyle w:val="Prrafodelista"/>
        <w:spacing w:line="360" w:lineRule="auto"/>
        <w:ind w:left="851" w:right="822"/>
        <w:jc w:val="both"/>
        <w:rPr>
          <w:rFonts w:ascii="Palatino Linotype" w:hAnsi="Palatino Linotype" w:cs="Arial"/>
          <w:sz w:val="22"/>
          <w:lang w:eastAsia="es-ES"/>
        </w:rPr>
      </w:pPr>
      <w:r w:rsidRPr="00DA2CB2">
        <w:rPr>
          <w:rFonts w:ascii="Palatino Linotype" w:hAnsi="Palatino Linotype" w:cs="Arial"/>
          <w:i/>
          <w:sz w:val="22"/>
          <w:lang w:eastAsia="es-ES"/>
        </w:rPr>
        <w:t>“PLAZO RAZONABLE PARA RESOLVER. DIMENSIÓN Y EFECTOS DE ESTE CONCEPTO CUANDO SE ADUCE EXCESIVA CARGA DE TRABAJO.”</w:t>
      </w:r>
      <w:r w:rsidRPr="00DA2CB2">
        <w:rPr>
          <w:rFonts w:ascii="Palatino Linotype" w:hAnsi="Palatino Linotype" w:cs="Arial"/>
          <w:sz w:val="22"/>
          <w:lang w:eastAsia="es-ES"/>
        </w:rPr>
        <w:t xml:space="preserve"> </w:t>
      </w:r>
      <w:r w:rsidR="00EB32E4">
        <w:rPr>
          <w:rFonts w:ascii="Palatino Linotype" w:hAnsi="Palatino Linotype" w:cs="Arial"/>
          <w:sz w:val="22"/>
          <w:lang w:eastAsia="es-ES"/>
        </w:rPr>
        <w:t>consultable en el Sema</w:t>
      </w:r>
      <w:r w:rsidRPr="00DA2CB2">
        <w:rPr>
          <w:rFonts w:ascii="Palatino Linotype" w:hAnsi="Palatino Linotype" w:cs="Arial"/>
          <w:sz w:val="22"/>
          <w:lang w:eastAsia="es-ES"/>
        </w:rPr>
        <w:t>nario Judicial de la Federación y su gaceta, con el registro digital 2002351.</w:t>
      </w:r>
    </w:p>
    <w:p w14:paraId="4A95E0A8" w14:textId="77777777" w:rsidR="00E95165" w:rsidRPr="00DA2CB2" w:rsidRDefault="00E95165" w:rsidP="00E95165">
      <w:pPr>
        <w:pStyle w:val="Prrafodelista"/>
        <w:spacing w:line="360" w:lineRule="auto"/>
        <w:ind w:left="851" w:right="822"/>
        <w:jc w:val="both"/>
        <w:rPr>
          <w:rFonts w:ascii="Palatino Linotype" w:hAnsi="Palatino Linotype" w:cs="Arial"/>
          <w:b/>
          <w:sz w:val="22"/>
          <w:lang w:eastAsia="es-ES"/>
        </w:rPr>
      </w:pPr>
    </w:p>
    <w:p w14:paraId="72D868E4" w14:textId="77777777" w:rsidR="00E95165" w:rsidRPr="00DA2CB2" w:rsidRDefault="00E95165" w:rsidP="00E95165">
      <w:pPr>
        <w:pStyle w:val="Prrafodelista"/>
        <w:spacing w:line="360" w:lineRule="auto"/>
        <w:ind w:left="851" w:right="822"/>
        <w:jc w:val="both"/>
        <w:rPr>
          <w:rFonts w:ascii="Palatino Linotype" w:hAnsi="Palatino Linotype" w:cs="Arial"/>
          <w:sz w:val="22"/>
          <w:lang w:eastAsia="es-ES"/>
        </w:rPr>
      </w:pPr>
      <w:r w:rsidRPr="00DA2CB2">
        <w:rPr>
          <w:rFonts w:ascii="Palatino Linotype" w:hAnsi="Palatino Linotype" w:cs="Arial"/>
          <w:i/>
          <w:sz w:val="22"/>
          <w:lang w:eastAsia="es-ES"/>
        </w:rPr>
        <w:t>“PLAZO RAZONABLE PARA RESOLVER. CONCEPTO Y ELEMENTOS QUE LO INTEGRAN A LA LUZ DEL DERECHO INTERNACIONAL DE LOS DERECHOS HUMANOS.”</w:t>
      </w:r>
      <w:r w:rsidR="00EB32E4">
        <w:rPr>
          <w:rFonts w:ascii="Palatino Linotype" w:hAnsi="Palatino Linotype" w:cs="Arial"/>
          <w:sz w:val="22"/>
          <w:lang w:eastAsia="es-ES"/>
        </w:rPr>
        <w:t>, visible en el Sema</w:t>
      </w:r>
      <w:r w:rsidRPr="00DA2CB2">
        <w:rPr>
          <w:rFonts w:ascii="Palatino Linotype" w:hAnsi="Palatino Linotype" w:cs="Arial"/>
          <w:sz w:val="22"/>
          <w:lang w:eastAsia="es-ES"/>
        </w:rPr>
        <w:t>nario Judicial de la Federación y su gaceta, con el registro digital 2002350.</w:t>
      </w:r>
    </w:p>
    <w:p w14:paraId="733CE730" w14:textId="77777777" w:rsidR="00E95165" w:rsidRPr="00DA2CB2" w:rsidRDefault="00E95165" w:rsidP="00E95165">
      <w:pPr>
        <w:pStyle w:val="Prrafodelista"/>
        <w:spacing w:line="360" w:lineRule="auto"/>
        <w:ind w:left="0"/>
        <w:jc w:val="both"/>
        <w:rPr>
          <w:rFonts w:ascii="Palatino Linotype" w:hAnsi="Palatino Linotype" w:cs="Arial"/>
          <w:i/>
          <w:lang w:eastAsia="es-ES"/>
        </w:rPr>
      </w:pPr>
    </w:p>
    <w:p w14:paraId="027E2017" w14:textId="77777777" w:rsidR="00E95165" w:rsidRPr="00DA2CB2" w:rsidRDefault="00E95165" w:rsidP="00E95165">
      <w:pPr>
        <w:pStyle w:val="Prrafodelista"/>
        <w:numPr>
          <w:ilvl w:val="0"/>
          <w:numId w:val="1"/>
        </w:numPr>
        <w:spacing w:line="360" w:lineRule="auto"/>
        <w:jc w:val="both"/>
        <w:rPr>
          <w:rFonts w:ascii="Palatino Linotype" w:hAnsi="Palatino Linotype" w:cs="Arial"/>
          <w:lang w:eastAsia="es-ES"/>
        </w:rPr>
      </w:pPr>
      <w:r w:rsidRPr="00DA2CB2">
        <w:rPr>
          <w:rFonts w:ascii="Palatino Linotype" w:hAnsi="Palatino Linotype" w:cs="Arial"/>
          <w:lang w:eastAsia="es-ES"/>
        </w:rPr>
        <w:t>Por ello, este Organismo Garante comprometido con la tutela de los derechos humanos confiados, señala que este exceso de plazo legal para resolver el presente asunto, resulta de carácter excepcional.</w:t>
      </w:r>
    </w:p>
    <w:p w14:paraId="3BA1CB60" w14:textId="77777777" w:rsidR="00E95165" w:rsidRPr="00DA2CB2" w:rsidRDefault="00E95165" w:rsidP="00E95165">
      <w:pPr>
        <w:pStyle w:val="Prrafodelista"/>
        <w:rPr>
          <w:rFonts w:ascii="Palatino Linotype" w:eastAsia="Palatino Linotype" w:hAnsi="Palatino Linotype" w:cs="Palatino Linotype"/>
          <w:color w:val="000000"/>
        </w:rPr>
      </w:pPr>
    </w:p>
    <w:p w14:paraId="4904047C" w14:textId="77777777" w:rsidR="00E95165" w:rsidRPr="00DA2CB2" w:rsidRDefault="00CE5E08" w:rsidP="00E95165">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El veintiséis (26) de agosto</w:t>
      </w:r>
      <w:r w:rsidR="00E95165" w:rsidRPr="00DA2CB2">
        <w:rPr>
          <w:rFonts w:ascii="Palatino Linotype" w:eastAsia="Palatino Linotype" w:hAnsi="Palatino Linotype" w:cs="Palatino Linotype"/>
          <w:color w:val="000000"/>
        </w:rPr>
        <w:t xml:space="preserve"> de dos mil veinticuatro, la Comisionada Ponente decretó el cierre de instrucción, por lo que ordenó turnar el expediente para su resolución, misma que ahora se pronuncia.</w:t>
      </w:r>
    </w:p>
    <w:p w14:paraId="3A2CD506" w14:textId="77777777" w:rsidR="00E95165" w:rsidRPr="00DA2CB2" w:rsidRDefault="00E95165" w:rsidP="00E9516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4F5280F" w14:textId="77777777" w:rsidR="00E95165" w:rsidRPr="00DA2CB2" w:rsidRDefault="00E95165" w:rsidP="00E95165">
      <w:pPr>
        <w:pStyle w:val="Ttulo1"/>
        <w:spacing w:before="0"/>
        <w:jc w:val="center"/>
        <w:rPr>
          <w:b/>
          <w:color w:val="000000"/>
          <w:szCs w:val="24"/>
        </w:rPr>
      </w:pPr>
      <w:bookmarkStart w:id="2" w:name="_heading=h.1fob9te" w:colFirst="0" w:colLast="0"/>
      <w:bookmarkEnd w:id="2"/>
      <w:r w:rsidRPr="00DA2CB2">
        <w:rPr>
          <w:b/>
          <w:color w:val="000000"/>
          <w:szCs w:val="24"/>
        </w:rPr>
        <w:lastRenderedPageBreak/>
        <w:t>C</w:t>
      </w:r>
      <w:r w:rsidR="00DA2CB2">
        <w:rPr>
          <w:b/>
          <w:color w:val="000000"/>
          <w:szCs w:val="24"/>
        </w:rPr>
        <w:t xml:space="preserve"> </w:t>
      </w:r>
      <w:r w:rsidRPr="00DA2CB2">
        <w:rPr>
          <w:b/>
          <w:color w:val="000000"/>
          <w:szCs w:val="24"/>
        </w:rPr>
        <w:t>O</w:t>
      </w:r>
      <w:r w:rsidR="00DA2CB2">
        <w:rPr>
          <w:b/>
          <w:color w:val="000000"/>
          <w:szCs w:val="24"/>
        </w:rPr>
        <w:t xml:space="preserve"> </w:t>
      </w:r>
      <w:r w:rsidRPr="00DA2CB2">
        <w:rPr>
          <w:b/>
          <w:color w:val="000000"/>
          <w:szCs w:val="24"/>
        </w:rPr>
        <w:t>N</w:t>
      </w:r>
      <w:r w:rsidR="00DA2CB2">
        <w:rPr>
          <w:b/>
          <w:color w:val="000000"/>
          <w:szCs w:val="24"/>
        </w:rPr>
        <w:t xml:space="preserve"> </w:t>
      </w:r>
      <w:r w:rsidRPr="00DA2CB2">
        <w:rPr>
          <w:b/>
          <w:color w:val="000000"/>
          <w:szCs w:val="24"/>
        </w:rPr>
        <w:t>S</w:t>
      </w:r>
      <w:r w:rsidR="00DA2CB2">
        <w:rPr>
          <w:b/>
          <w:color w:val="000000"/>
          <w:szCs w:val="24"/>
        </w:rPr>
        <w:t xml:space="preserve"> </w:t>
      </w:r>
      <w:r w:rsidRPr="00DA2CB2">
        <w:rPr>
          <w:b/>
          <w:color w:val="000000"/>
          <w:szCs w:val="24"/>
        </w:rPr>
        <w:t>I</w:t>
      </w:r>
      <w:r w:rsidR="00DA2CB2">
        <w:rPr>
          <w:b/>
          <w:color w:val="000000"/>
          <w:szCs w:val="24"/>
        </w:rPr>
        <w:t xml:space="preserve"> </w:t>
      </w:r>
      <w:r w:rsidRPr="00DA2CB2">
        <w:rPr>
          <w:b/>
          <w:color w:val="000000"/>
          <w:szCs w:val="24"/>
        </w:rPr>
        <w:t>D</w:t>
      </w:r>
      <w:r w:rsidR="00DA2CB2">
        <w:rPr>
          <w:b/>
          <w:color w:val="000000"/>
          <w:szCs w:val="24"/>
        </w:rPr>
        <w:t xml:space="preserve"> </w:t>
      </w:r>
      <w:r w:rsidRPr="00DA2CB2">
        <w:rPr>
          <w:b/>
          <w:color w:val="000000"/>
          <w:szCs w:val="24"/>
        </w:rPr>
        <w:t>E</w:t>
      </w:r>
      <w:r w:rsidR="00DA2CB2">
        <w:rPr>
          <w:b/>
          <w:color w:val="000000"/>
          <w:szCs w:val="24"/>
        </w:rPr>
        <w:t xml:space="preserve"> </w:t>
      </w:r>
      <w:r w:rsidRPr="00DA2CB2">
        <w:rPr>
          <w:b/>
          <w:color w:val="000000"/>
          <w:szCs w:val="24"/>
        </w:rPr>
        <w:t>R</w:t>
      </w:r>
      <w:r w:rsidR="00DA2CB2">
        <w:rPr>
          <w:b/>
          <w:color w:val="000000"/>
          <w:szCs w:val="24"/>
        </w:rPr>
        <w:t xml:space="preserve"> </w:t>
      </w:r>
      <w:r w:rsidRPr="00DA2CB2">
        <w:rPr>
          <w:b/>
          <w:color w:val="000000"/>
          <w:szCs w:val="24"/>
        </w:rPr>
        <w:t>A</w:t>
      </w:r>
      <w:r w:rsidR="00DA2CB2">
        <w:rPr>
          <w:b/>
          <w:color w:val="000000"/>
          <w:szCs w:val="24"/>
        </w:rPr>
        <w:t xml:space="preserve"> </w:t>
      </w:r>
      <w:r w:rsidRPr="00DA2CB2">
        <w:rPr>
          <w:b/>
          <w:color w:val="000000"/>
          <w:szCs w:val="24"/>
        </w:rPr>
        <w:t>N</w:t>
      </w:r>
      <w:r w:rsidR="00DA2CB2">
        <w:rPr>
          <w:b/>
          <w:color w:val="000000"/>
          <w:szCs w:val="24"/>
        </w:rPr>
        <w:t xml:space="preserve"> </w:t>
      </w:r>
      <w:r w:rsidRPr="00DA2CB2">
        <w:rPr>
          <w:b/>
          <w:color w:val="000000"/>
          <w:szCs w:val="24"/>
        </w:rPr>
        <w:t>D</w:t>
      </w:r>
      <w:r w:rsidR="00DA2CB2">
        <w:rPr>
          <w:b/>
          <w:color w:val="000000"/>
          <w:szCs w:val="24"/>
        </w:rPr>
        <w:t xml:space="preserve"> </w:t>
      </w:r>
      <w:r w:rsidRPr="00DA2CB2">
        <w:rPr>
          <w:b/>
          <w:color w:val="000000"/>
          <w:szCs w:val="24"/>
        </w:rPr>
        <w:t>O</w:t>
      </w:r>
    </w:p>
    <w:p w14:paraId="2C0EC255" w14:textId="77777777" w:rsidR="00E95165" w:rsidRPr="00DA2CB2" w:rsidRDefault="00E95165" w:rsidP="00E95165">
      <w:pPr>
        <w:rPr>
          <w:color w:val="000000"/>
        </w:rPr>
      </w:pPr>
    </w:p>
    <w:p w14:paraId="4D420C85" w14:textId="77777777" w:rsidR="00E95165" w:rsidRPr="00DA2CB2" w:rsidRDefault="00E95165" w:rsidP="00E95165">
      <w:pPr>
        <w:pStyle w:val="Ttulo2"/>
        <w:spacing w:before="0"/>
        <w:rPr>
          <w:rFonts w:ascii="Palatino Linotype" w:eastAsia="Palatino Linotype" w:hAnsi="Palatino Linotype" w:cs="Palatino Linotype"/>
          <w:b/>
          <w:color w:val="000000"/>
          <w:sz w:val="24"/>
          <w:szCs w:val="24"/>
        </w:rPr>
      </w:pPr>
      <w:bookmarkStart w:id="3" w:name="_heading=h.3znysh7" w:colFirst="0" w:colLast="0"/>
      <w:bookmarkEnd w:id="3"/>
      <w:r w:rsidRPr="00DA2CB2">
        <w:rPr>
          <w:rFonts w:ascii="Palatino Linotype" w:eastAsia="Palatino Linotype" w:hAnsi="Palatino Linotype" w:cs="Palatino Linotype"/>
          <w:b/>
          <w:color w:val="000000"/>
          <w:sz w:val="24"/>
          <w:szCs w:val="24"/>
        </w:rPr>
        <w:t>PRIMERO. De la competencia</w:t>
      </w:r>
    </w:p>
    <w:p w14:paraId="79E73BC1" w14:textId="77777777" w:rsidR="00E95165" w:rsidRPr="00DA2CB2" w:rsidRDefault="00E95165" w:rsidP="00E95165">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DA2CB2">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DA2CB2">
        <w:rPr>
          <w:rFonts w:ascii="Palatino Linotype" w:eastAsia="Palatino Linotype" w:hAnsi="Palatino Linotype" w:cs="Palatino Linotype"/>
          <w:b/>
          <w:color w:val="000000"/>
        </w:rPr>
        <w:t>Constitución Política de los Estados Unidos Mexicanos</w:t>
      </w:r>
      <w:r w:rsidRPr="00DA2CB2">
        <w:rPr>
          <w:rFonts w:ascii="Palatino Linotype" w:eastAsia="Palatino Linotype" w:hAnsi="Palatino Linotype" w:cs="Palatino Linotype"/>
          <w:color w:val="000000"/>
        </w:rPr>
        <w:t xml:space="preserve">; 5, párrafos </w:t>
      </w:r>
      <w:r w:rsidRPr="00DA2CB2">
        <w:rPr>
          <w:rFonts w:ascii="Palatino Linotype" w:eastAsia="Palatino Linotype" w:hAnsi="Palatino Linotype" w:cs="Palatino Linotype"/>
          <w:color w:val="222222"/>
        </w:rPr>
        <w:t>trigésimo segundo, trigésimo tercero y trigésimo cuarto fracciones</w:t>
      </w:r>
      <w:r w:rsidRPr="00DA2CB2">
        <w:rPr>
          <w:rFonts w:ascii="Palatino Linotype" w:eastAsia="Palatino Linotype" w:hAnsi="Palatino Linotype" w:cs="Palatino Linotype"/>
          <w:color w:val="000000"/>
        </w:rPr>
        <w:t xml:space="preserve"> IV y V de la </w:t>
      </w:r>
      <w:r w:rsidRPr="00DA2CB2">
        <w:rPr>
          <w:rFonts w:ascii="Palatino Linotype" w:eastAsia="Palatino Linotype" w:hAnsi="Palatino Linotype" w:cs="Palatino Linotype"/>
          <w:b/>
          <w:color w:val="000000"/>
        </w:rPr>
        <w:t>Constitución Política del Estado Libre y Soberano de México</w:t>
      </w:r>
      <w:r w:rsidRPr="00DA2CB2">
        <w:rPr>
          <w:rFonts w:ascii="Palatino Linotype" w:eastAsia="Palatino Linotype" w:hAnsi="Palatino Linotype" w:cs="Palatino Linotype"/>
          <w:color w:val="000000"/>
        </w:rPr>
        <w:t xml:space="preserve">; artículos 1, 2 fracción II, 13, 29, 36 fracciones I y II, 176, 178, 179, 181 párrafo tercero y 185 de la </w:t>
      </w:r>
      <w:r w:rsidRPr="00DA2CB2">
        <w:rPr>
          <w:rFonts w:ascii="Palatino Linotype" w:eastAsia="Palatino Linotype" w:hAnsi="Palatino Linotype" w:cs="Palatino Linotype"/>
          <w:b/>
          <w:color w:val="000000"/>
        </w:rPr>
        <w:t>Ley de Transparencia y Acceso a la Información Pública del Estado de México y Municipios</w:t>
      </w:r>
      <w:r w:rsidR="00CE5E08" w:rsidRPr="00DA2CB2">
        <w:rPr>
          <w:rFonts w:ascii="Palatino Linotype" w:eastAsia="Palatino Linotype" w:hAnsi="Palatino Linotype" w:cs="Palatino Linotype"/>
          <w:color w:val="000000"/>
        </w:rPr>
        <w:t>; y 7, 9 fracciones I y XXIII</w:t>
      </w:r>
      <w:r w:rsidRPr="00DA2CB2">
        <w:rPr>
          <w:rFonts w:ascii="Palatino Linotype" w:eastAsia="Palatino Linotype" w:hAnsi="Palatino Linotype" w:cs="Palatino Linotype"/>
          <w:color w:val="000000"/>
        </w:rPr>
        <w:t xml:space="preserve">, y 11 del </w:t>
      </w:r>
      <w:r w:rsidRPr="00DA2CB2">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sidRPr="00DA2CB2">
        <w:rPr>
          <w:rFonts w:ascii="Palatino Linotype" w:eastAsia="Palatino Linotype" w:hAnsi="Palatino Linotype" w:cs="Palatino Linotype"/>
          <w:color w:val="000000"/>
        </w:rPr>
        <w:t>.</w:t>
      </w:r>
    </w:p>
    <w:p w14:paraId="36EC5B77" w14:textId="77777777" w:rsidR="00E95165" w:rsidRPr="00DA2CB2" w:rsidRDefault="00E95165" w:rsidP="00E9516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247DC3EA" w14:textId="77777777" w:rsidR="00E95165" w:rsidRPr="00DA2CB2" w:rsidRDefault="00E95165" w:rsidP="00E95165">
      <w:pPr>
        <w:pStyle w:val="Ttulo2"/>
        <w:tabs>
          <w:tab w:val="left" w:pos="426"/>
        </w:tabs>
        <w:spacing w:before="0"/>
        <w:rPr>
          <w:rFonts w:ascii="Palatino Linotype" w:eastAsia="Palatino Linotype" w:hAnsi="Palatino Linotype" w:cs="Palatino Linotype"/>
          <w:b/>
          <w:color w:val="000000"/>
          <w:sz w:val="24"/>
          <w:szCs w:val="24"/>
        </w:rPr>
      </w:pPr>
      <w:bookmarkStart w:id="4" w:name="_heading=h.2et92p0" w:colFirst="0" w:colLast="0"/>
      <w:bookmarkEnd w:id="4"/>
      <w:r w:rsidRPr="00DA2CB2">
        <w:rPr>
          <w:rFonts w:ascii="Palatino Linotype" w:eastAsia="Palatino Linotype" w:hAnsi="Palatino Linotype" w:cs="Palatino Linotype"/>
          <w:b/>
          <w:color w:val="000000"/>
          <w:sz w:val="24"/>
          <w:szCs w:val="24"/>
        </w:rPr>
        <w:t>SEGUNDO. De la oportunidad y procedencia.</w:t>
      </w:r>
    </w:p>
    <w:p w14:paraId="07D1C021" w14:textId="77777777" w:rsidR="00E95165" w:rsidRPr="00DA2CB2" w:rsidRDefault="00E95165" w:rsidP="00E95165">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sidRPr="00DA2CB2">
        <w:rPr>
          <w:rFonts w:ascii="Palatino Linotype" w:eastAsia="Palatino Linotype" w:hAnsi="Palatino Linotype" w:cs="Palatino Linotype"/>
          <w:b/>
          <w:color w:val="000000"/>
        </w:rPr>
        <w:t>SUJETO OBLIGADO</w:t>
      </w:r>
      <w:r w:rsidRPr="00DA2CB2">
        <w:rPr>
          <w:rFonts w:ascii="Palatino Linotype" w:eastAsia="Palatino Linotype" w:hAnsi="Palatino Linotype" w:cs="Palatino Linotype"/>
          <w:color w:val="000000"/>
        </w:rPr>
        <w:t xml:space="preserve"> entregó respuesta el </w:t>
      </w:r>
      <w:r w:rsidR="00CE5E08" w:rsidRPr="00DA2CB2">
        <w:rPr>
          <w:rFonts w:ascii="Palatino Linotype" w:eastAsia="Palatino Linotype" w:hAnsi="Palatino Linotype" w:cs="Palatino Linotype"/>
          <w:color w:val="000000"/>
        </w:rPr>
        <w:t>diecisiete (17) de mayo</w:t>
      </w:r>
      <w:r w:rsidRPr="00DA2CB2">
        <w:rPr>
          <w:rFonts w:ascii="Palatino Linotype" w:eastAsia="Palatino Linotype" w:hAnsi="Palatino Linotype" w:cs="Palatino Linotype"/>
          <w:color w:val="000000"/>
        </w:rPr>
        <w:t xml:space="preserve"> de dos mil veintitrés, de tal forma que el plazo para interponer el recurso de revisión transcurrió del </w:t>
      </w:r>
      <w:r w:rsidR="00CE5E08" w:rsidRPr="00DA2CB2">
        <w:rPr>
          <w:rFonts w:ascii="Palatino Linotype" w:eastAsia="Palatino Linotype" w:hAnsi="Palatino Linotype" w:cs="Palatino Linotype"/>
          <w:color w:val="000000"/>
        </w:rPr>
        <w:t>dieciocho (18) de mayo al siete (07) de junio</w:t>
      </w:r>
      <w:r w:rsidRPr="00DA2CB2">
        <w:rPr>
          <w:rFonts w:ascii="Palatino Linotype" w:eastAsia="Palatino Linotype" w:hAnsi="Palatino Linotype" w:cs="Palatino Linotype"/>
          <w:color w:val="000000"/>
        </w:rPr>
        <w:t xml:space="preserve"> de dos mil veintitrés; el recurso de revisión fue interpuesto el </w:t>
      </w:r>
      <w:r w:rsidR="00CE5E08" w:rsidRPr="00DA2CB2">
        <w:rPr>
          <w:rFonts w:ascii="Palatino Linotype" w:eastAsia="Palatino Linotype" w:hAnsi="Palatino Linotype" w:cs="Palatino Linotype"/>
          <w:color w:val="000000"/>
        </w:rPr>
        <w:t>siete (07</w:t>
      </w:r>
      <w:r w:rsidRPr="00DA2CB2">
        <w:rPr>
          <w:rFonts w:ascii="Palatino Linotype" w:eastAsia="Palatino Linotype" w:hAnsi="Palatino Linotype" w:cs="Palatino Linotype"/>
          <w:color w:val="000000"/>
        </w:rPr>
        <w:t>) de junio de dos mil veintitrés, éste se encuentra dentro de los márgenes temporales previstos en el artículo 178 de la Ley de Transparencia y Acceso a la Información Pública del Estado de México y Municipios</w:t>
      </w:r>
      <w:r w:rsidRPr="00DA2CB2">
        <w:rPr>
          <w:rFonts w:ascii="Palatino Linotype" w:eastAsia="Palatino Linotype" w:hAnsi="Palatino Linotype" w:cs="Palatino Linotype"/>
          <w:b/>
          <w:color w:val="000000"/>
        </w:rPr>
        <w:t xml:space="preserve"> </w:t>
      </w:r>
      <w:r w:rsidRPr="00DA2CB2">
        <w:rPr>
          <w:rFonts w:ascii="Palatino Linotype" w:eastAsia="Palatino Linotype" w:hAnsi="Palatino Linotype" w:cs="Palatino Linotype"/>
          <w:color w:val="000000"/>
        </w:rPr>
        <w:t>vigente.</w:t>
      </w:r>
    </w:p>
    <w:p w14:paraId="14C4567B" w14:textId="77777777" w:rsidR="00E95165" w:rsidRPr="00DA2CB2" w:rsidRDefault="00E95165" w:rsidP="00E9516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4B3671C4" w14:textId="77777777" w:rsidR="00E95165" w:rsidRPr="00DA2CB2" w:rsidRDefault="00E95165" w:rsidP="00E95165">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 xml:space="preserve">Consecuencia de lo anterior, este Órgano Garante advierte que el escrito contiene las formalidades previstas por el artículo 180 último párrafo de la Ley de Transparencia y </w:t>
      </w:r>
      <w:r w:rsidRPr="00DA2CB2">
        <w:rPr>
          <w:rFonts w:ascii="Palatino Linotype" w:eastAsia="Palatino Linotype" w:hAnsi="Palatino Linotype" w:cs="Palatino Linotype"/>
          <w:color w:val="000000"/>
        </w:rPr>
        <w:lastRenderedPageBreak/>
        <w:t>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02B7582E" w14:textId="77777777" w:rsidR="00E95165" w:rsidRPr="00DA2CB2" w:rsidRDefault="00E95165" w:rsidP="00E95165">
      <w:pPr>
        <w:pBdr>
          <w:top w:val="nil"/>
          <w:left w:val="nil"/>
          <w:bottom w:val="nil"/>
          <w:right w:val="nil"/>
          <w:between w:val="nil"/>
        </w:pBdr>
        <w:rPr>
          <w:rFonts w:ascii="Palatino Linotype" w:eastAsia="Palatino Linotype" w:hAnsi="Palatino Linotype" w:cs="Palatino Linotype"/>
          <w:color w:val="000000"/>
        </w:rPr>
      </w:pPr>
    </w:p>
    <w:p w14:paraId="4EBE865F" w14:textId="77777777" w:rsidR="00E95165" w:rsidRPr="00DA2CB2" w:rsidRDefault="00E95165" w:rsidP="00E95165">
      <w:pPr>
        <w:pStyle w:val="Ttulo2"/>
        <w:spacing w:before="0"/>
        <w:rPr>
          <w:rFonts w:ascii="Palatino Linotype" w:eastAsia="Palatino Linotype" w:hAnsi="Palatino Linotype" w:cs="Palatino Linotype"/>
          <w:b/>
          <w:color w:val="000000"/>
          <w:sz w:val="24"/>
          <w:szCs w:val="24"/>
        </w:rPr>
      </w:pPr>
      <w:bookmarkStart w:id="5" w:name="_heading=h.tyjcwt" w:colFirst="0" w:colLast="0"/>
      <w:bookmarkEnd w:id="5"/>
      <w:r w:rsidRPr="00DA2CB2">
        <w:rPr>
          <w:rFonts w:ascii="Palatino Linotype" w:eastAsia="Palatino Linotype" w:hAnsi="Palatino Linotype" w:cs="Palatino Linotype"/>
          <w:b/>
          <w:color w:val="000000"/>
          <w:sz w:val="24"/>
          <w:szCs w:val="24"/>
        </w:rPr>
        <w:t xml:space="preserve">TERCERO. Del planteamiento de la </w:t>
      </w:r>
      <w:r w:rsidRPr="00DA2CB2">
        <w:rPr>
          <w:rFonts w:ascii="Palatino Linotype" w:eastAsia="Palatino Linotype" w:hAnsi="Palatino Linotype" w:cs="Palatino Linotype"/>
          <w:b/>
          <w:i/>
          <w:color w:val="000000"/>
          <w:sz w:val="24"/>
          <w:szCs w:val="24"/>
        </w:rPr>
        <w:t>Litis</w:t>
      </w:r>
      <w:r w:rsidRPr="00DA2CB2">
        <w:rPr>
          <w:rFonts w:ascii="Palatino Linotype" w:eastAsia="Palatino Linotype" w:hAnsi="Palatino Linotype" w:cs="Palatino Linotype"/>
          <w:b/>
          <w:color w:val="000000"/>
          <w:sz w:val="24"/>
          <w:szCs w:val="24"/>
        </w:rPr>
        <w:t>.</w:t>
      </w:r>
    </w:p>
    <w:p w14:paraId="7E35C40D" w14:textId="77777777" w:rsidR="00E95165" w:rsidRPr="00DA2CB2" w:rsidRDefault="00CE5E08" w:rsidP="00CE5E08">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rPr>
      </w:pPr>
      <w:r w:rsidRPr="00DA2CB2">
        <w:rPr>
          <w:rFonts w:ascii="Palatino Linotype" w:eastAsia="Palatino Linotype" w:hAnsi="Palatino Linotype" w:cs="Palatino Linotype"/>
          <w:color w:val="000000"/>
        </w:rPr>
        <w:t>El Recurrente solicitó:</w:t>
      </w:r>
    </w:p>
    <w:p w14:paraId="6FAF19E3" w14:textId="77777777" w:rsidR="00CE5E08" w:rsidRPr="00DA2CB2" w:rsidRDefault="00EB32E4" w:rsidP="00DA2CB2">
      <w:pPr>
        <w:pBdr>
          <w:top w:val="nil"/>
          <w:left w:val="nil"/>
          <w:bottom w:val="nil"/>
          <w:right w:val="nil"/>
          <w:between w:val="nil"/>
        </w:pBdr>
        <w:tabs>
          <w:tab w:val="left" w:pos="426"/>
        </w:tabs>
        <w:spacing w:line="360" w:lineRule="auto"/>
        <w:ind w:left="851" w:right="850"/>
        <w:jc w:val="both"/>
        <w:rPr>
          <w:rFonts w:ascii="Palatino Linotype" w:hAnsi="Palatino Linotype"/>
          <w:color w:val="000000"/>
          <w:sz w:val="22"/>
        </w:rPr>
      </w:pPr>
      <w:r w:rsidRPr="00DA2CB2">
        <w:rPr>
          <w:rFonts w:ascii="Palatino Linotype" w:hAnsi="Palatino Linotype"/>
          <w:color w:val="000000"/>
          <w:sz w:val="22"/>
        </w:rPr>
        <w:t>1. El</w:t>
      </w:r>
      <w:r w:rsidR="00CE5E08" w:rsidRPr="00DA2CB2">
        <w:rPr>
          <w:rFonts w:ascii="Palatino Linotype" w:hAnsi="Palatino Linotype"/>
          <w:color w:val="000000"/>
          <w:sz w:val="22"/>
        </w:rPr>
        <w:t xml:space="preserve"> procedimiento para solicitar una cancelación de reserva de dominio de un inmueble ubicado en el municipio de Ecatepec de Morelos;</w:t>
      </w:r>
    </w:p>
    <w:p w14:paraId="2B80FA59" w14:textId="77777777" w:rsidR="00CE5E08" w:rsidRPr="00DA2CB2" w:rsidRDefault="00CE5E08" w:rsidP="00DA2CB2">
      <w:pPr>
        <w:pBdr>
          <w:top w:val="nil"/>
          <w:left w:val="nil"/>
          <w:bottom w:val="nil"/>
          <w:right w:val="nil"/>
          <w:between w:val="nil"/>
        </w:pBdr>
        <w:tabs>
          <w:tab w:val="left" w:pos="426"/>
        </w:tabs>
        <w:spacing w:line="360" w:lineRule="auto"/>
        <w:ind w:left="851" w:right="850"/>
        <w:jc w:val="both"/>
        <w:rPr>
          <w:rFonts w:ascii="Palatino Linotype" w:hAnsi="Palatino Linotype"/>
          <w:color w:val="000000"/>
          <w:sz w:val="22"/>
        </w:rPr>
      </w:pPr>
      <w:r w:rsidRPr="00DA2CB2">
        <w:rPr>
          <w:rFonts w:ascii="Palatino Linotype" w:hAnsi="Palatino Linotype"/>
          <w:color w:val="000000"/>
          <w:sz w:val="22"/>
        </w:rPr>
        <w:t>2. Procedimiento para solicitar la liberación de una reserva de dominio de un inmueble que fue adquirido por el Gobierno del Estado de México;</w:t>
      </w:r>
    </w:p>
    <w:p w14:paraId="0E10FCEE" w14:textId="77777777" w:rsidR="00CE5E08" w:rsidRPr="00DA2CB2" w:rsidRDefault="00CE5E08" w:rsidP="00DA2CB2">
      <w:pPr>
        <w:pBdr>
          <w:top w:val="nil"/>
          <w:left w:val="nil"/>
          <w:bottom w:val="nil"/>
          <w:right w:val="nil"/>
          <w:between w:val="nil"/>
        </w:pBdr>
        <w:tabs>
          <w:tab w:val="left" w:pos="426"/>
        </w:tabs>
        <w:spacing w:line="360" w:lineRule="auto"/>
        <w:ind w:left="851" w:right="850"/>
        <w:jc w:val="both"/>
        <w:rPr>
          <w:rFonts w:ascii="Palatino Linotype" w:hAnsi="Palatino Linotype"/>
          <w:color w:val="000000"/>
          <w:sz w:val="22"/>
        </w:rPr>
      </w:pPr>
      <w:r w:rsidRPr="00DA2CB2">
        <w:rPr>
          <w:rFonts w:ascii="Palatino Linotype" w:hAnsi="Palatino Linotype"/>
          <w:color w:val="000000"/>
          <w:sz w:val="22"/>
        </w:rPr>
        <w:t xml:space="preserve"> 3. El procedimiento y ante que autoridad solicitar la liberación de una cláusula de reserva de dominio que aparece en un certificado de no gravamen;</w:t>
      </w:r>
    </w:p>
    <w:p w14:paraId="3CC3ECB6" w14:textId="77777777" w:rsidR="00CE5E08" w:rsidRPr="00DA2CB2" w:rsidRDefault="00CE5E08" w:rsidP="00DA2CB2">
      <w:pPr>
        <w:pBdr>
          <w:top w:val="nil"/>
          <w:left w:val="nil"/>
          <w:bottom w:val="nil"/>
          <w:right w:val="nil"/>
          <w:between w:val="nil"/>
        </w:pBdr>
        <w:tabs>
          <w:tab w:val="left" w:pos="426"/>
        </w:tabs>
        <w:spacing w:line="360" w:lineRule="auto"/>
        <w:ind w:left="851" w:right="850"/>
        <w:jc w:val="both"/>
        <w:rPr>
          <w:rFonts w:ascii="Palatino Linotype" w:hAnsi="Palatino Linotype"/>
          <w:color w:val="000000"/>
          <w:sz w:val="22"/>
        </w:rPr>
      </w:pPr>
      <w:r w:rsidRPr="00DA2CB2">
        <w:rPr>
          <w:rFonts w:ascii="Palatino Linotype" w:hAnsi="Palatino Linotype"/>
          <w:color w:val="000000"/>
          <w:sz w:val="22"/>
        </w:rPr>
        <w:t>4. Procedimiento para realizar la solicitud de una carta de no adeudo, el costo y la autoridad que está facultada para expedirla, de un inmueble ubicado en Ecatepec de Morelos adquirido por el Gobierno del Estado de México.</w:t>
      </w:r>
    </w:p>
    <w:p w14:paraId="435CC913" w14:textId="77777777" w:rsidR="00CE5E08" w:rsidRPr="00DA2CB2" w:rsidRDefault="00CE5E08" w:rsidP="00CE5E0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rPr>
      </w:pPr>
    </w:p>
    <w:p w14:paraId="599AB844" w14:textId="77777777" w:rsidR="00E95165" w:rsidRPr="00DA2CB2" w:rsidRDefault="00E95165" w:rsidP="00E95165">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rPr>
      </w:pPr>
      <w:r w:rsidRPr="00DA2CB2">
        <w:rPr>
          <w:rFonts w:ascii="Palatino Linotype" w:eastAsia="Palatino Linotype" w:hAnsi="Palatino Linotype" w:cs="Palatino Linotype"/>
          <w:color w:val="000000"/>
        </w:rPr>
        <w:t xml:space="preserve">En respuesta, el Sujeto Obligado señaló que </w:t>
      </w:r>
      <w:r w:rsidR="009A2FD0" w:rsidRPr="00DA2CB2">
        <w:rPr>
          <w:rFonts w:ascii="Palatino Linotype" w:eastAsia="Palatino Linotype" w:hAnsi="Palatino Linotype" w:cs="Palatino Linotype"/>
          <w:color w:val="000000"/>
        </w:rPr>
        <w:t xml:space="preserve">derivado de la búsqueda en sus archivos, no se localizó información referente a los puntos 1, 2 y 3 de la solicitud de información y por lo que se refiere al punto 4, señaló el procedimiento y el costo del mismo. Posteriormente, el particular interpuso recurso de revisión en el que señaló su inconformidad, de forma medular, por la negativa de la información y la falta de fundamentación en la misma. </w:t>
      </w:r>
    </w:p>
    <w:p w14:paraId="1F9BE4CB" w14:textId="77777777" w:rsidR="00E95165" w:rsidRPr="00DA2CB2" w:rsidRDefault="00E95165" w:rsidP="00E95165">
      <w:pPr>
        <w:pBdr>
          <w:top w:val="nil"/>
          <w:left w:val="nil"/>
          <w:bottom w:val="nil"/>
          <w:right w:val="nil"/>
          <w:between w:val="nil"/>
        </w:pBdr>
        <w:ind w:left="720"/>
        <w:rPr>
          <w:rFonts w:ascii="Palatino Linotype" w:eastAsia="Palatino Linotype" w:hAnsi="Palatino Linotype" w:cs="Palatino Linotype"/>
          <w:color w:val="000000"/>
        </w:rPr>
      </w:pPr>
    </w:p>
    <w:p w14:paraId="3AA4FC4A" w14:textId="77777777" w:rsidR="00E95165" w:rsidRPr="00DA2CB2" w:rsidRDefault="00E95165" w:rsidP="00E95165">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DA2CB2">
        <w:rPr>
          <w:rFonts w:ascii="Palatino Linotype" w:eastAsia="Palatino Linotype" w:hAnsi="Palatino Linotype" w:cs="Palatino Linotype"/>
          <w:color w:val="000000"/>
        </w:rPr>
        <w:t xml:space="preserve">Por lo anterior, la </w:t>
      </w:r>
      <w:r w:rsidRPr="00DA2CB2">
        <w:rPr>
          <w:rFonts w:ascii="Palatino Linotype" w:eastAsia="Palatino Linotype" w:hAnsi="Palatino Linotype" w:cs="Palatino Linotype"/>
          <w:i/>
          <w:color w:val="000000"/>
        </w:rPr>
        <w:t>Litis</w:t>
      </w:r>
      <w:r w:rsidRPr="00DA2CB2">
        <w:rPr>
          <w:rFonts w:ascii="Palatino Linotype" w:eastAsia="Palatino Linotype" w:hAnsi="Palatino Linotype" w:cs="Palatino Linotype"/>
          <w:color w:val="000000"/>
        </w:rPr>
        <w:t xml:space="preserve"> a resolver en el presente recurso se circunscribe en determinar si la respuesta del </w:t>
      </w:r>
      <w:r w:rsidRPr="00DA2CB2">
        <w:rPr>
          <w:rFonts w:ascii="Palatino Linotype" w:eastAsia="Palatino Linotype" w:hAnsi="Palatino Linotype" w:cs="Palatino Linotype"/>
          <w:b/>
          <w:color w:val="000000"/>
        </w:rPr>
        <w:t>SUJETO OBLIGADO</w:t>
      </w:r>
      <w:r w:rsidRPr="00DA2CB2">
        <w:rPr>
          <w:rFonts w:ascii="Palatino Linotype" w:eastAsia="Palatino Linotype" w:hAnsi="Palatino Linotype" w:cs="Palatino Linotype"/>
          <w:color w:val="000000"/>
        </w:rPr>
        <w:t xml:space="preserve"> colma el derecho de acceso a la información ejercido </w:t>
      </w:r>
      <w:r w:rsidRPr="00DA2CB2">
        <w:rPr>
          <w:rFonts w:ascii="Palatino Linotype" w:eastAsia="Palatino Linotype" w:hAnsi="Palatino Linotype" w:cs="Palatino Linotype"/>
          <w:color w:val="000000"/>
        </w:rPr>
        <w:lastRenderedPageBreak/>
        <w:t xml:space="preserve">por el </w:t>
      </w:r>
      <w:r w:rsidRPr="00DA2CB2">
        <w:rPr>
          <w:rFonts w:ascii="Palatino Linotype" w:eastAsia="Palatino Linotype" w:hAnsi="Palatino Linotype" w:cs="Palatino Linotype"/>
          <w:b/>
          <w:color w:val="000000"/>
        </w:rPr>
        <w:t>RECURRENTE</w:t>
      </w:r>
      <w:r w:rsidRPr="00DA2CB2">
        <w:rPr>
          <w:rFonts w:ascii="Palatino Linotype" w:eastAsia="Palatino Linotype" w:hAnsi="Palatino Linotype" w:cs="Palatino Linotype"/>
          <w:color w:val="000000"/>
        </w:rPr>
        <w:t>; o si, por el contrario, se actualiza la causal de procedencia del recurso de revisión establecida en</w:t>
      </w:r>
      <w:r w:rsidR="00892E99" w:rsidRPr="00DA2CB2">
        <w:rPr>
          <w:rFonts w:ascii="Palatino Linotype" w:eastAsia="Palatino Linotype" w:hAnsi="Palatino Linotype" w:cs="Palatino Linotype"/>
          <w:color w:val="000000"/>
        </w:rPr>
        <w:t xml:space="preserve"> la fracción I  y XIII</w:t>
      </w:r>
      <w:r w:rsidRPr="00DA2CB2">
        <w:rPr>
          <w:rFonts w:ascii="Palatino Linotype" w:eastAsia="Palatino Linotype" w:hAnsi="Palatino Linotype" w:cs="Palatino Linotype"/>
          <w:color w:val="000000"/>
        </w:rPr>
        <w:t xml:space="preserve"> del artículo 179 de la Ley de Transparencia y Acceso a la Información Pública del Estado de México y Municipios, misma que se transcribe a continuación:</w:t>
      </w:r>
    </w:p>
    <w:p w14:paraId="666F73BA" w14:textId="77777777" w:rsidR="00E95165" w:rsidRPr="00DA2CB2" w:rsidRDefault="00E95165" w:rsidP="00E95165">
      <w:pPr>
        <w:tabs>
          <w:tab w:val="left" w:pos="426"/>
        </w:tabs>
        <w:spacing w:line="360" w:lineRule="auto"/>
        <w:ind w:left="567" w:right="616"/>
        <w:jc w:val="both"/>
        <w:rPr>
          <w:rFonts w:ascii="Palatino Linotype" w:eastAsia="Palatino Linotype" w:hAnsi="Palatino Linotype" w:cs="Palatino Linotype"/>
          <w:i/>
          <w:sz w:val="22"/>
        </w:rPr>
      </w:pPr>
      <w:r w:rsidRPr="00DA2CB2">
        <w:rPr>
          <w:rFonts w:ascii="Palatino Linotype" w:eastAsia="Palatino Linotype" w:hAnsi="Palatino Linotype" w:cs="Palatino Linotype"/>
          <w:i/>
          <w:sz w:val="22"/>
        </w:rPr>
        <w:t xml:space="preserve">“Artículo 179. El recurso de revisión es un medio de protección que la Ley otorga a los particulares, para hacer valer su derecho de acceso a la información pública, y procederá en contra de las siguientes causas: </w:t>
      </w:r>
    </w:p>
    <w:p w14:paraId="5CB7A666" w14:textId="77777777" w:rsidR="00E95165" w:rsidRPr="00DA2CB2" w:rsidRDefault="00E95165" w:rsidP="00E95165">
      <w:pPr>
        <w:tabs>
          <w:tab w:val="left" w:pos="426"/>
        </w:tabs>
        <w:spacing w:line="360" w:lineRule="auto"/>
        <w:ind w:left="567" w:right="616"/>
        <w:jc w:val="both"/>
        <w:rPr>
          <w:rFonts w:ascii="Palatino Linotype" w:eastAsia="Palatino Linotype" w:hAnsi="Palatino Linotype" w:cs="Palatino Linotype"/>
          <w:i/>
          <w:sz w:val="22"/>
        </w:rPr>
      </w:pPr>
      <w:r w:rsidRPr="00DA2CB2">
        <w:rPr>
          <w:rFonts w:ascii="Palatino Linotype" w:eastAsia="Palatino Linotype" w:hAnsi="Palatino Linotype" w:cs="Palatino Linotype"/>
          <w:i/>
          <w:sz w:val="22"/>
        </w:rPr>
        <w:t>I. La negativa a la información solicitada;</w:t>
      </w:r>
    </w:p>
    <w:p w14:paraId="0C776C40" w14:textId="77777777" w:rsidR="00E95165" w:rsidRPr="00DA2CB2" w:rsidRDefault="00E95165" w:rsidP="00E95165">
      <w:pPr>
        <w:tabs>
          <w:tab w:val="left" w:pos="426"/>
        </w:tabs>
        <w:spacing w:line="360" w:lineRule="auto"/>
        <w:ind w:left="567" w:right="616"/>
        <w:jc w:val="both"/>
        <w:rPr>
          <w:rFonts w:ascii="Palatino Linotype" w:eastAsia="Palatino Linotype" w:hAnsi="Palatino Linotype" w:cs="Palatino Linotype"/>
          <w:i/>
          <w:sz w:val="22"/>
        </w:rPr>
      </w:pPr>
      <w:r w:rsidRPr="00DA2CB2">
        <w:rPr>
          <w:rFonts w:ascii="Palatino Linotype" w:eastAsia="Palatino Linotype" w:hAnsi="Palatino Linotype" w:cs="Palatino Linotype"/>
          <w:i/>
          <w:sz w:val="22"/>
        </w:rPr>
        <w:t>…</w:t>
      </w:r>
    </w:p>
    <w:p w14:paraId="5C809AE1" w14:textId="77777777" w:rsidR="00E95165" w:rsidRPr="00DA2CB2" w:rsidRDefault="00892E99" w:rsidP="00E95165">
      <w:pPr>
        <w:tabs>
          <w:tab w:val="left" w:pos="426"/>
        </w:tabs>
        <w:spacing w:line="360" w:lineRule="auto"/>
        <w:ind w:left="567" w:right="616"/>
        <w:jc w:val="both"/>
        <w:rPr>
          <w:rFonts w:ascii="Palatino Linotype" w:eastAsia="Palatino Linotype" w:hAnsi="Palatino Linotype" w:cs="Palatino Linotype"/>
          <w:i/>
          <w:sz w:val="22"/>
        </w:rPr>
      </w:pPr>
      <w:r w:rsidRPr="00DA2CB2">
        <w:rPr>
          <w:rFonts w:ascii="Palatino Linotype" w:eastAsia="Palatino Linotype" w:hAnsi="Palatino Linotype" w:cs="Palatino Linotype"/>
          <w:i/>
          <w:sz w:val="22"/>
        </w:rPr>
        <w:t>XIII. La falta, deficiencia o insuficiencia de la fundamentación y/o motivación en la respuesta;</w:t>
      </w:r>
      <w:r w:rsidR="00E95165" w:rsidRPr="00DA2CB2">
        <w:rPr>
          <w:rFonts w:ascii="Palatino Linotype" w:eastAsia="Palatino Linotype" w:hAnsi="Palatino Linotype" w:cs="Palatino Linotype"/>
          <w:i/>
          <w:sz w:val="22"/>
        </w:rPr>
        <w:t>…”</w:t>
      </w:r>
    </w:p>
    <w:p w14:paraId="4CC29C74" w14:textId="77777777" w:rsidR="00E95165" w:rsidRPr="00DA2CB2" w:rsidRDefault="00E95165" w:rsidP="00E95165">
      <w:pPr>
        <w:pBdr>
          <w:top w:val="nil"/>
          <w:left w:val="nil"/>
          <w:bottom w:val="nil"/>
          <w:right w:val="nil"/>
          <w:between w:val="nil"/>
        </w:pBdr>
        <w:ind w:left="720"/>
        <w:rPr>
          <w:rFonts w:ascii="Palatino Linotype" w:eastAsia="Palatino Linotype" w:hAnsi="Palatino Linotype" w:cs="Palatino Linotype"/>
          <w:color w:val="000000"/>
        </w:rPr>
      </w:pPr>
    </w:p>
    <w:p w14:paraId="60F8EB80" w14:textId="77777777" w:rsidR="00E95165" w:rsidRPr="00DA2CB2" w:rsidRDefault="00E95165" w:rsidP="00E95165">
      <w:pPr>
        <w:pStyle w:val="Ttulo2"/>
        <w:tabs>
          <w:tab w:val="left" w:pos="426"/>
        </w:tabs>
        <w:rPr>
          <w:rFonts w:ascii="Palatino Linotype" w:eastAsia="Palatino Linotype" w:hAnsi="Palatino Linotype" w:cs="Palatino Linotype"/>
          <w:b/>
          <w:color w:val="000000"/>
          <w:sz w:val="24"/>
          <w:szCs w:val="24"/>
        </w:rPr>
      </w:pPr>
      <w:bookmarkStart w:id="6" w:name="_heading=h.3dy6vkm" w:colFirst="0" w:colLast="0"/>
      <w:bookmarkEnd w:id="6"/>
      <w:r w:rsidRPr="00DA2CB2">
        <w:rPr>
          <w:rFonts w:ascii="Palatino Linotype" w:eastAsia="Palatino Linotype" w:hAnsi="Palatino Linotype" w:cs="Palatino Linotype"/>
          <w:b/>
          <w:color w:val="000000"/>
          <w:sz w:val="24"/>
          <w:szCs w:val="24"/>
        </w:rPr>
        <w:t>CUARTO. Estudio y Resolución del asunto.</w:t>
      </w:r>
      <w:bookmarkStart w:id="7" w:name="_heading=h.1t3h5sf" w:colFirst="0" w:colLast="0"/>
      <w:bookmarkStart w:id="8" w:name="_heading=h.4d34og8" w:colFirst="0" w:colLast="0"/>
      <w:bookmarkStart w:id="9" w:name="_heading=h.lnxbz9" w:colFirst="0" w:colLast="0"/>
      <w:bookmarkEnd w:id="7"/>
      <w:bookmarkEnd w:id="8"/>
      <w:bookmarkEnd w:id="9"/>
    </w:p>
    <w:p w14:paraId="486F73C7" w14:textId="77777777" w:rsidR="00E95165" w:rsidRPr="00DA2CB2" w:rsidRDefault="00E95165" w:rsidP="00E95165">
      <w:pPr>
        <w:numPr>
          <w:ilvl w:val="0"/>
          <w:numId w:val="1"/>
        </w:numPr>
        <w:spacing w:line="360" w:lineRule="auto"/>
        <w:ind w:right="49"/>
        <w:contextualSpacing/>
        <w:jc w:val="both"/>
        <w:rPr>
          <w:rFonts w:ascii="Palatino Linotype" w:eastAsiaTheme="minorEastAsia" w:hAnsi="Palatino Linotype"/>
          <w:lang w:val="es-ES_tradnl" w:eastAsia="es-ES"/>
        </w:rPr>
      </w:pPr>
      <w:r w:rsidRPr="00DA2CB2">
        <w:rPr>
          <w:rFonts w:ascii="Palatino Linotype"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DA2CB2">
        <w:rPr>
          <w:rFonts w:ascii="Palatino Linotype" w:eastAsia="Calibri" w:hAnsi="Palatino Linotype" w:cs="Arial"/>
          <w:lang w:val="es-ES"/>
        </w:rPr>
        <w:t>Ley de Transparencia y Acceso a la Información Pública del Estado de México y Municipios</w:t>
      </w:r>
      <w:r w:rsidRPr="00DA2CB2">
        <w:rPr>
          <w:rFonts w:ascii="Palatino Linotype" w:hAnsi="Palatino Linotype" w:cs="Arial"/>
          <w:lang w:val="es-ES"/>
        </w:rPr>
        <w:t>.</w:t>
      </w:r>
    </w:p>
    <w:p w14:paraId="76B970CE" w14:textId="77777777" w:rsidR="00E95165" w:rsidRPr="00DA2CB2" w:rsidRDefault="00E95165" w:rsidP="00E95165">
      <w:pPr>
        <w:pStyle w:val="Prrafodelista"/>
        <w:numPr>
          <w:ilvl w:val="0"/>
          <w:numId w:val="1"/>
        </w:numPr>
        <w:spacing w:before="240" w:after="240" w:line="360" w:lineRule="auto"/>
        <w:ind w:right="48"/>
        <w:jc w:val="both"/>
        <w:rPr>
          <w:rFonts w:ascii="Palatino Linotype" w:eastAsia="MS Mincho" w:hAnsi="Palatino Linotype" w:cs="Arial"/>
          <w:lang w:val="es-ES_tradnl" w:eastAsia="es-ES"/>
        </w:rPr>
      </w:pPr>
      <w:r w:rsidRPr="00DA2CB2">
        <w:rPr>
          <w:rFonts w:ascii="Palatino Linotype" w:eastAsia="MS Mincho" w:hAnsi="Palatino Linotype" w:cs="Arial"/>
          <w:lang w:eastAsia="es-ES"/>
        </w:rPr>
        <w:t>El Recurrente solicitó</w:t>
      </w:r>
      <w:r w:rsidRPr="00DA2CB2">
        <w:rPr>
          <w:rFonts w:ascii="Palatino Linotype" w:eastAsia="Palatino Linotype" w:hAnsi="Palatino Linotype" w:cs="Palatino Linotype"/>
          <w:color w:val="000000"/>
        </w:rPr>
        <w:t xml:space="preserve"> de los servidores públicos adscritos al IMCUFIDE, la siguiente información  vigente a la fecha de la solicitud:</w:t>
      </w:r>
    </w:p>
    <w:p w14:paraId="43299508" w14:textId="77777777" w:rsidR="00892E99" w:rsidRPr="00DA2CB2" w:rsidRDefault="00892E99" w:rsidP="00DA2CB2">
      <w:pPr>
        <w:pStyle w:val="Prrafodelista"/>
        <w:spacing w:before="240" w:after="240" w:line="360" w:lineRule="auto"/>
        <w:ind w:left="851" w:right="992"/>
        <w:jc w:val="both"/>
        <w:rPr>
          <w:rFonts w:ascii="Palatino Linotype" w:eastAsia="Palatino Linotype" w:hAnsi="Palatino Linotype" w:cs="Palatino Linotype"/>
          <w:color w:val="000000"/>
          <w:sz w:val="22"/>
        </w:rPr>
      </w:pPr>
      <w:r w:rsidRPr="00DA2CB2">
        <w:rPr>
          <w:rFonts w:ascii="Palatino Linotype" w:eastAsia="Palatino Linotype" w:hAnsi="Palatino Linotype" w:cs="Palatino Linotype"/>
          <w:color w:val="000000"/>
          <w:sz w:val="22"/>
        </w:rPr>
        <w:t>1.</w:t>
      </w:r>
      <w:r w:rsidR="00DA2CB2">
        <w:rPr>
          <w:rFonts w:ascii="Palatino Linotype" w:eastAsia="Palatino Linotype" w:hAnsi="Palatino Linotype" w:cs="Palatino Linotype"/>
          <w:color w:val="000000"/>
          <w:sz w:val="22"/>
        </w:rPr>
        <w:t xml:space="preserve"> </w:t>
      </w:r>
      <w:r w:rsidRPr="00DA2CB2">
        <w:rPr>
          <w:rFonts w:ascii="Palatino Linotype" w:eastAsia="Palatino Linotype" w:hAnsi="Palatino Linotype" w:cs="Palatino Linotype"/>
          <w:color w:val="000000"/>
          <w:sz w:val="22"/>
        </w:rPr>
        <w:t>El procedimiento para solicitar una cancelación de reserva de dominio de un inmueble ubicado en el municipio de Ecatepec de Morelos;</w:t>
      </w:r>
    </w:p>
    <w:p w14:paraId="2D473A09" w14:textId="77777777" w:rsidR="00892E99" w:rsidRPr="00DA2CB2" w:rsidRDefault="00DA2CB2" w:rsidP="00DA2CB2">
      <w:pPr>
        <w:pStyle w:val="Prrafodelista"/>
        <w:spacing w:before="240" w:after="240" w:line="360" w:lineRule="auto"/>
        <w:ind w:left="851" w:right="992"/>
        <w:jc w:val="both"/>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2.</w:t>
      </w:r>
      <w:r w:rsidR="00892E99" w:rsidRPr="00DA2CB2">
        <w:rPr>
          <w:rFonts w:ascii="Palatino Linotype" w:eastAsia="Palatino Linotype" w:hAnsi="Palatino Linotype" w:cs="Palatino Linotype"/>
          <w:color w:val="000000"/>
          <w:sz w:val="22"/>
        </w:rPr>
        <w:t xml:space="preserve"> Procedimiento para solicitar la liberación de una reserva de dominio de un inmueble que fue adquirido por el Gobierno del Estado de México;</w:t>
      </w:r>
    </w:p>
    <w:p w14:paraId="208A34DA" w14:textId="77777777" w:rsidR="00892E99" w:rsidRPr="00DA2CB2" w:rsidRDefault="00892E99" w:rsidP="00DA2CB2">
      <w:pPr>
        <w:pStyle w:val="Prrafodelista"/>
        <w:spacing w:before="240" w:after="240" w:line="360" w:lineRule="auto"/>
        <w:ind w:left="851" w:right="992"/>
        <w:jc w:val="both"/>
        <w:rPr>
          <w:rFonts w:ascii="Palatino Linotype" w:eastAsia="Palatino Linotype" w:hAnsi="Palatino Linotype" w:cs="Palatino Linotype"/>
          <w:color w:val="000000"/>
          <w:sz w:val="22"/>
        </w:rPr>
      </w:pPr>
      <w:r w:rsidRPr="00DA2CB2">
        <w:rPr>
          <w:rFonts w:ascii="Palatino Linotype" w:eastAsia="Palatino Linotype" w:hAnsi="Palatino Linotype" w:cs="Palatino Linotype"/>
          <w:color w:val="000000"/>
          <w:sz w:val="22"/>
        </w:rPr>
        <w:t xml:space="preserve"> 3. El procedimiento y ante que autoridad solicitar la liberación de una cláusula de reserva de dominio que aparece en un certificado de no gravamen;</w:t>
      </w:r>
    </w:p>
    <w:p w14:paraId="711A50E8" w14:textId="77777777" w:rsidR="00E95165" w:rsidRPr="00DA2CB2" w:rsidRDefault="00DA2CB2" w:rsidP="00DA2CB2">
      <w:pPr>
        <w:pStyle w:val="Prrafodelista"/>
        <w:spacing w:before="240" w:after="240" w:line="360" w:lineRule="auto"/>
        <w:ind w:left="851" w:right="992"/>
        <w:jc w:val="both"/>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lastRenderedPageBreak/>
        <w:t>4.</w:t>
      </w:r>
      <w:r w:rsidR="00892E99" w:rsidRPr="00DA2CB2">
        <w:rPr>
          <w:rFonts w:ascii="Palatino Linotype" w:eastAsia="Palatino Linotype" w:hAnsi="Palatino Linotype" w:cs="Palatino Linotype"/>
          <w:color w:val="000000"/>
          <w:sz w:val="22"/>
        </w:rPr>
        <w:t xml:space="preserve"> Procedimiento para realizar la solicitud de una carta de no adeudo, el costo y la autoridad que está facultada para expedirla, de un inmueble ubicado en Ecatepec de Morelos adquirido por el Gobierno del Estado de México.</w:t>
      </w:r>
    </w:p>
    <w:p w14:paraId="199EB996" w14:textId="77777777" w:rsidR="00AD4FC2" w:rsidRPr="00DA2CB2" w:rsidRDefault="00AD4FC2" w:rsidP="00AD4FC2">
      <w:pPr>
        <w:pStyle w:val="Prrafodelista"/>
        <w:spacing w:before="240" w:after="240" w:line="360" w:lineRule="auto"/>
        <w:ind w:left="851" w:right="616"/>
        <w:jc w:val="both"/>
        <w:rPr>
          <w:rFonts w:ascii="Palatino Linotype" w:eastAsia="Palatino Linotype" w:hAnsi="Palatino Linotype" w:cs="Palatino Linotype"/>
          <w:color w:val="000000"/>
        </w:rPr>
      </w:pPr>
    </w:p>
    <w:p w14:paraId="79427925" w14:textId="77777777" w:rsidR="00AD4FC2" w:rsidRPr="00DA2CB2" w:rsidRDefault="00AD4FC2" w:rsidP="00AD4FC2">
      <w:pPr>
        <w:pStyle w:val="Prrafodelista"/>
        <w:numPr>
          <w:ilvl w:val="0"/>
          <w:numId w:val="1"/>
        </w:numPr>
        <w:spacing w:line="360" w:lineRule="auto"/>
        <w:jc w:val="both"/>
        <w:rPr>
          <w:rFonts w:ascii="Palatino Linotype" w:eastAsia="MS Mincho" w:hAnsi="Palatino Linotype"/>
        </w:rPr>
      </w:pPr>
      <w:r w:rsidRPr="00DA2CB2">
        <w:rPr>
          <w:rFonts w:ascii="Palatino Linotype" w:eastAsia="MS Mincho" w:hAnsi="Palatino Linotype"/>
        </w:rPr>
        <w:t xml:space="preserve">Debemos mencionar que el acceso a la información es un derecho humano constitucional y convencionalmente reconocido y para tal efecto </w:t>
      </w:r>
      <w:r w:rsidRPr="00DA2CB2">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DA2CB2">
        <w:rPr>
          <w:rFonts w:ascii="Palatino Linotype" w:eastAsia="Calibri" w:hAnsi="Palatino Linotype"/>
          <w:i/>
          <w:lang w:val="es-ES"/>
        </w:rPr>
        <w:t xml:space="preserve">en el ámbito de sus atribuciones, de promover, respetar, proteger y </w:t>
      </w:r>
      <w:r w:rsidRPr="00DA2CB2">
        <w:rPr>
          <w:rFonts w:ascii="Palatino Linotype" w:eastAsia="Calibri" w:hAnsi="Palatino Linotype"/>
          <w:b/>
          <w:i/>
          <w:lang w:val="es-ES"/>
        </w:rPr>
        <w:t>garantizar</w:t>
      </w:r>
      <w:r w:rsidRPr="00DA2CB2">
        <w:rPr>
          <w:rFonts w:ascii="Palatino Linotype" w:eastAsia="Calibri" w:hAnsi="Palatino Linotype"/>
          <w:i/>
          <w:lang w:val="es-ES"/>
        </w:rPr>
        <w:t xml:space="preserve"> los derechos humanos. </w:t>
      </w:r>
      <w:r w:rsidRPr="00DA2CB2">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DA2CB2">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DA2CB2">
        <w:rPr>
          <w:rStyle w:val="Refdenotaalpie"/>
          <w:i/>
        </w:rPr>
        <w:footnoteReference w:id="1"/>
      </w:r>
      <w:r w:rsidRPr="00DA2CB2">
        <w:rPr>
          <w:rFonts w:ascii="Palatino Linotype" w:hAnsi="Palatino Linotype"/>
          <w:i/>
        </w:rPr>
        <w:t xml:space="preserve">, </w:t>
      </w:r>
      <w:r w:rsidRPr="00DA2CB2">
        <w:rPr>
          <w:rFonts w:ascii="Palatino Linotype" w:hAnsi="Palatino Linotype"/>
        </w:rPr>
        <w:t>asimismo establece</w:t>
      </w:r>
      <w:r w:rsidRPr="00DA2CB2">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062E6F7D" w14:textId="77777777" w:rsidR="00AD4FC2" w:rsidRPr="00DA2CB2" w:rsidRDefault="00AD4FC2" w:rsidP="00AD4FC2">
      <w:pPr>
        <w:pStyle w:val="Prrafodelista"/>
        <w:rPr>
          <w:rFonts w:ascii="Palatino Linotype" w:eastAsia="Calibri" w:hAnsi="Palatino Linotype" w:cs="Arial"/>
        </w:rPr>
      </w:pPr>
    </w:p>
    <w:p w14:paraId="3E77C961" w14:textId="77777777" w:rsidR="00AD4FC2" w:rsidRPr="00DA2CB2" w:rsidRDefault="00AD4FC2" w:rsidP="00AD4FC2">
      <w:pPr>
        <w:pStyle w:val="Prrafodelista"/>
        <w:numPr>
          <w:ilvl w:val="0"/>
          <w:numId w:val="1"/>
        </w:numPr>
        <w:spacing w:line="360" w:lineRule="auto"/>
        <w:jc w:val="both"/>
        <w:rPr>
          <w:rFonts w:ascii="Palatino Linotype" w:eastAsia="Calibri" w:hAnsi="Palatino Linotype" w:cs="Arial"/>
        </w:rPr>
      </w:pPr>
      <w:r w:rsidRPr="00DA2CB2">
        <w:rPr>
          <w:rFonts w:ascii="Palatino Linotype" w:hAnsi="Palatino Linotype"/>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w:t>
      </w:r>
      <w:r w:rsidRPr="00DA2CB2">
        <w:rPr>
          <w:rFonts w:ascii="Palatino Linotype" w:hAnsi="Palatino Linotype"/>
        </w:rPr>
        <w:lastRenderedPageBreak/>
        <w:t>manera rápida los documentos que se soliciten o bien, simplemente para el desarrollo de sus facultades, competencias y atribuciones que a diario desempeñan.</w:t>
      </w:r>
    </w:p>
    <w:p w14:paraId="14756635" w14:textId="77777777" w:rsidR="00AD4FC2" w:rsidRPr="00DA2CB2" w:rsidRDefault="00AD4FC2" w:rsidP="00AD4FC2">
      <w:pPr>
        <w:pStyle w:val="Prrafodelista"/>
        <w:rPr>
          <w:rFonts w:ascii="Palatino Linotype" w:hAnsi="Palatino Linotype"/>
        </w:rPr>
      </w:pPr>
    </w:p>
    <w:p w14:paraId="76DEBC2B" w14:textId="77777777" w:rsidR="00AD4FC2" w:rsidRPr="00DA2CB2" w:rsidRDefault="00AD4FC2" w:rsidP="00AD4FC2">
      <w:pPr>
        <w:pStyle w:val="Prrafodelista"/>
        <w:numPr>
          <w:ilvl w:val="0"/>
          <w:numId w:val="1"/>
        </w:numPr>
        <w:spacing w:line="360" w:lineRule="auto"/>
        <w:jc w:val="both"/>
        <w:rPr>
          <w:rFonts w:ascii="Palatino Linotype" w:eastAsia="Calibri" w:hAnsi="Palatino Linotype" w:cs="Arial"/>
        </w:rPr>
      </w:pPr>
      <w:r w:rsidRPr="00DA2CB2">
        <w:rPr>
          <w:rFonts w:ascii="Palatino Linotype" w:hAnsi="Palatino Linotype"/>
        </w:rPr>
        <w:t xml:space="preserve">Es así que, su obligación es </w:t>
      </w:r>
      <w:r w:rsidRPr="00DA2CB2">
        <w:rPr>
          <w:rFonts w:ascii="Palatino Linotype" w:hAnsi="Palatino Linotype"/>
          <w:i/>
        </w:rPr>
        <w:t>realizar, con efectividad, los trámites internos necesarios para la atención de las solicitudes de información</w:t>
      </w:r>
      <w:r w:rsidRPr="00DA2CB2">
        <w:rPr>
          <w:rStyle w:val="Refdenotaalpie"/>
        </w:rPr>
        <w:footnoteReference w:id="2"/>
      </w:r>
      <w:r w:rsidRPr="00DA2CB2">
        <w:rPr>
          <w:rFonts w:ascii="Palatino Linotype" w:hAnsi="Palatino Linotype"/>
        </w:rPr>
        <w:t>, es decir, deben otorgar respuestas concisas, contundentes y sobre todo que den la certeza de los actos que realizan.</w:t>
      </w:r>
    </w:p>
    <w:p w14:paraId="59E5B14F" w14:textId="77777777" w:rsidR="00AD4FC2" w:rsidRPr="00DA2CB2" w:rsidRDefault="00AD4FC2" w:rsidP="00AD4FC2">
      <w:pPr>
        <w:pStyle w:val="Prrafodelista"/>
        <w:rPr>
          <w:rFonts w:ascii="Palatino Linotype" w:eastAsia="Calibri" w:hAnsi="Palatino Linotype" w:cs="Arial"/>
        </w:rPr>
      </w:pPr>
    </w:p>
    <w:p w14:paraId="5BD00EEC" w14:textId="77777777" w:rsidR="00AD4FC2" w:rsidRPr="00DA2CB2" w:rsidRDefault="00AD4FC2" w:rsidP="00AD4FC2">
      <w:pPr>
        <w:pStyle w:val="Prrafodelista"/>
        <w:numPr>
          <w:ilvl w:val="0"/>
          <w:numId w:val="1"/>
        </w:numPr>
        <w:spacing w:line="360" w:lineRule="auto"/>
        <w:jc w:val="both"/>
        <w:rPr>
          <w:rFonts w:ascii="Palatino Linotype" w:eastAsia="MS Mincho" w:hAnsi="Palatino Linotype"/>
        </w:rPr>
      </w:pPr>
      <w:r w:rsidRPr="00DA2CB2">
        <w:rPr>
          <w:rFonts w:ascii="Palatino Linotype" w:eastAsia="Palatino Linotype" w:hAnsi="Palatino Linotype" w:cs="Palatino Linotype"/>
        </w:rPr>
        <w:t xml:space="preserve">Al respecto, es menester hacer referencia a lo establecido en los artículos 50, 53 fracciones II, IV y V, 58, 59 fracciones I y II, y 162 </w:t>
      </w:r>
      <w:r w:rsidRPr="00DA2CB2">
        <w:rPr>
          <w:rFonts w:ascii="Palatino Linotype" w:eastAsia="Arial Unicode MS" w:hAnsi="Palatino Linotype" w:cs="Arial"/>
          <w:lang w:eastAsia="en-US"/>
        </w:rPr>
        <w:t>de la Ley de Transparencia y Acceso a la Información del Estado de México y Municipios, que a la letra estipulan lo siguiente:</w:t>
      </w:r>
    </w:p>
    <w:p w14:paraId="57D94ACD"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b/>
          <w:i/>
          <w:iCs/>
          <w:sz w:val="22"/>
        </w:rPr>
        <w:t xml:space="preserve">Artículo 50. </w:t>
      </w:r>
      <w:r w:rsidRPr="00DA2CB2">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14:paraId="461776DC" w14:textId="77777777" w:rsidR="00AD4FC2" w:rsidRPr="00DA2CB2" w:rsidRDefault="00AD4FC2" w:rsidP="00AD4FC2">
      <w:pPr>
        <w:ind w:left="851" w:right="616"/>
        <w:jc w:val="both"/>
        <w:rPr>
          <w:rFonts w:ascii="Palatino Linotype" w:eastAsia="Palatino Linotype" w:hAnsi="Palatino Linotype" w:cs="Palatino Linotype"/>
          <w:i/>
          <w:iCs/>
          <w:sz w:val="22"/>
        </w:rPr>
      </w:pPr>
    </w:p>
    <w:p w14:paraId="0D37AE57"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b/>
          <w:i/>
          <w:iCs/>
          <w:sz w:val="22"/>
        </w:rPr>
        <w:t xml:space="preserve">Artículo 53. </w:t>
      </w:r>
      <w:r w:rsidRPr="00DA2CB2">
        <w:rPr>
          <w:rFonts w:ascii="Palatino Linotype" w:eastAsia="Palatino Linotype" w:hAnsi="Palatino Linotype" w:cs="Palatino Linotype"/>
          <w:i/>
          <w:iCs/>
          <w:sz w:val="22"/>
        </w:rPr>
        <w:t>Las Unidades de Transparencia tendrán las siguientes funciones:</w:t>
      </w:r>
    </w:p>
    <w:p w14:paraId="2C27FFF8"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i/>
          <w:iCs/>
          <w:sz w:val="22"/>
        </w:rPr>
        <w:t>(…)</w:t>
      </w:r>
    </w:p>
    <w:p w14:paraId="1593A80F"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b/>
          <w:bCs/>
          <w:i/>
          <w:iCs/>
          <w:sz w:val="22"/>
        </w:rPr>
        <w:t>II.</w:t>
      </w:r>
      <w:r w:rsidRPr="00DA2CB2">
        <w:rPr>
          <w:rFonts w:ascii="Palatino Linotype" w:eastAsia="Palatino Linotype" w:hAnsi="Palatino Linotype" w:cs="Palatino Linotype"/>
          <w:i/>
          <w:iCs/>
          <w:sz w:val="22"/>
        </w:rPr>
        <w:t xml:space="preserve"> Recibir, tramitar y dar respuesta a las solicitudes de acceso a la información;</w:t>
      </w:r>
    </w:p>
    <w:p w14:paraId="5CA30E8E"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i/>
          <w:iCs/>
          <w:sz w:val="22"/>
        </w:rPr>
        <w:t>(…)</w:t>
      </w:r>
    </w:p>
    <w:p w14:paraId="767245E2"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b/>
          <w:bCs/>
          <w:i/>
          <w:iCs/>
          <w:sz w:val="22"/>
        </w:rPr>
        <w:t>IV.</w:t>
      </w:r>
      <w:r w:rsidRPr="00DA2CB2">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14:paraId="18EFE950"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b/>
          <w:bCs/>
          <w:i/>
          <w:iCs/>
          <w:sz w:val="22"/>
        </w:rPr>
        <w:t>V.</w:t>
      </w:r>
      <w:r w:rsidRPr="00DA2CB2">
        <w:rPr>
          <w:rFonts w:ascii="Palatino Linotype" w:eastAsia="Palatino Linotype" w:hAnsi="Palatino Linotype" w:cs="Palatino Linotype"/>
          <w:i/>
          <w:iCs/>
          <w:sz w:val="22"/>
        </w:rPr>
        <w:t xml:space="preserve"> Entregar, en su caso, a los particulares la información solicitada;</w:t>
      </w:r>
    </w:p>
    <w:p w14:paraId="46D65F6E"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i/>
          <w:iCs/>
          <w:sz w:val="22"/>
        </w:rPr>
        <w:t>(…)</w:t>
      </w:r>
    </w:p>
    <w:p w14:paraId="2917CFBC" w14:textId="77777777" w:rsidR="00AD4FC2" w:rsidRPr="00DA2CB2" w:rsidRDefault="00AD4FC2" w:rsidP="00AD4FC2">
      <w:pPr>
        <w:ind w:left="851" w:right="616"/>
        <w:jc w:val="both"/>
        <w:rPr>
          <w:rFonts w:ascii="Palatino Linotype" w:eastAsia="Palatino Linotype" w:hAnsi="Palatino Linotype" w:cs="Palatino Linotype"/>
          <w:i/>
          <w:iCs/>
          <w:sz w:val="22"/>
        </w:rPr>
      </w:pPr>
    </w:p>
    <w:p w14:paraId="118931CC"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b/>
          <w:i/>
          <w:iCs/>
          <w:sz w:val="22"/>
        </w:rPr>
        <w:t xml:space="preserve">Artículo 58. </w:t>
      </w:r>
      <w:r w:rsidRPr="00DA2CB2">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14:paraId="5748120F" w14:textId="77777777" w:rsidR="00AD4FC2" w:rsidRPr="00DA2CB2" w:rsidRDefault="00AD4FC2" w:rsidP="00AD4FC2">
      <w:pPr>
        <w:ind w:left="851" w:right="616"/>
        <w:jc w:val="both"/>
        <w:rPr>
          <w:rFonts w:ascii="Palatino Linotype" w:eastAsia="Palatino Linotype" w:hAnsi="Palatino Linotype" w:cs="Palatino Linotype"/>
          <w:i/>
          <w:iCs/>
          <w:sz w:val="22"/>
        </w:rPr>
      </w:pPr>
    </w:p>
    <w:p w14:paraId="02E9B713"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b/>
          <w:i/>
          <w:iCs/>
          <w:sz w:val="22"/>
        </w:rPr>
        <w:t xml:space="preserve">Artículo 59. </w:t>
      </w:r>
      <w:r w:rsidRPr="00DA2CB2">
        <w:rPr>
          <w:rFonts w:ascii="Palatino Linotype" w:eastAsia="Palatino Linotype" w:hAnsi="Palatino Linotype" w:cs="Palatino Linotype"/>
          <w:i/>
          <w:iCs/>
          <w:sz w:val="22"/>
        </w:rPr>
        <w:t>Los servidores públicos habilitados tendrán las funciones siguientes:</w:t>
      </w:r>
    </w:p>
    <w:p w14:paraId="5B20FD69" w14:textId="77777777" w:rsidR="00AD4FC2" w:rsidRPr="00DA2CB2" w:rsidRDefault="00AD4FC2" w:rsidP="00AD4FC2">
      <w:pPr>
        <w:ind w:left="851" w:right="616"/>
        <w:jc w:val="both"/>
        <w:rPr>
          <w:rFonts w:ascii="Palatino Linotype" w:eastAsia="Palatino Linotype" w:hAnsi="Palatino Linotype" w:cs="Palatino Linotype"/>
          <w:i/>
          <w:iCs/>
          <w:sz w:val="22"/>
        </w:rPr>
      </w:pPr>
    </w:p>
    <w:p w14:paraId="1BA6971E"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b/>
          <w:bCs/>
          <w:i/>
          <w:iCs/>
          <w:sz w:val="22"/>
        </w:rPr>
        <w:t>I.</w:t>
      </w:r>
      <w:r w:rsidRPr="00DA2CB2">
        <w:rPr>
          <w:rFonts w:ascii="Palatino Linotype" w:eastAsia="Palatino Linotype" w:hAnsi="Palatino Linotype" w:cs="Palatino Linotype"/>
          <w:i/>
          <w:iCs/>
          <w:sz w:val="22"/>
        </w:rPr>
        <w:t xml:space="preserve"> Localizar la información que le solicite la Unidad de Transparencia;</w:t>
      </w:r>
    </w:p>
    <w:p w14:paraId="61000894"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b/>
          <w:bCs/>
          <w:i/>
          <w:iCs/>
          <w:sz w:val="22"/>
        </w:rPr>
        <w:t>II.</w:t>
      </w:r>
      <w:r w:rsidRPr="00DA2CB2">
        <w:rPr>
          <w:rFonts w:ascii="Palatino Linotype" w:eastAsia="Palatino Linotype" w:hAnsi="Palatino Linotype" w:cs="Palatino Linotype"/>
          <w:i/>
          <w:iCs/>
          <w:sz w:val="22"/>
        </w:rPr>
        <w:t xml:space="preserve"> Proporcionar la información que obre en los archivos y que le sea solicitada por la Unidad de Transparencia;</w:t>
      </w:r>
    </w:p>
    <w:p w14:paraId="5955F5D3"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i/>
          <w:iCs/>
          <w:sz w:val="22"/>
        </w:rPr>
        <w:t>(...)</w:t>
      </w:r>
    </w:p>
    <w:p w14:paraId="51C4743F" w14:textId="77777777" w:rsidR="00AD4FC2" w:rsidRPr="00DA2CB2" w:rsidRDefault="00AD4FC2" w:rsidP="00AD4FC2">
      <w:pPr>
        <w:ind w:left="851" w:right="616"/>
        <w:jc w:val="both"/>
        <w:rPr>
          <w:rFonts w:ascii="Palatino Linotype" w:eastAsia="Palatino Linotype" w:hAnsi="Palatino Linotype" w:cs="Palatino Linotype"/>
          <w:i/>
          <w:iCs/>
          <w:sz w:val="22"/>
        </w:rPr>
      </w:pPr>
    </w:p>
    <w:p w14:paraId="78AC717F" w14:textId="77777777" w:rsidR="00AD4FC2" w:rsidRPr="00DA2CB2" w:rsidRDefault="00AD4FC2" w:rsidP="00AD4FC2">
      <w:pPr>
        <w:ind w:left="851" w:right="616"/>
        <w:jc w:val="both"/>
        <w:rPr>
          <w:rFonts w:ascii="Palatino Linotype" w:eastAsia="Palatino Linotype" w:hAnsi="Palatino Linotype" w:cs="Palatino Linotype"/>
          <w:i/>
          <w:iCs/>
          <w:sz w:val="22"/>
        </w:rPr>
      </w:pPr>
      <w:r w:rsidRPr="00DA2CB2">
        <w:rPr>
          <w:rFonts w:ascii="Palatino Linotype" w:eastAsia="Palatino Linotype" w:hAnsi="Palatino Linotype" w:cs="Palatino Linotype"/>
          <w:b/>
          <w:i/>
          <w:iCs/>
          <w:sz w:val="22"/>
        </w:rPr>
        <w:lastRenderedPageBreak/>
        <w:t xml:space="preserve">Artículo 162. </w:t>
      </w:r>
      <w:r w:rsidRPr="00DA2CB2">
        <w:rPr>
          <w:rFonts w:ascii="Palatino Linotype" w:eastAsia="Palatino Linotype" w:hAnsi="Palatino Linotype" w:cs="Palatino Linotype"/>
          <w:i/>
          <w:iCs/>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A8B0276" w14:textId="77777777" w:rsidR="00AD4FC2" w:rsidRPr="00DA2CB2" w:rsidRDefault="00AD4FC2" w:rsidP="00AD4FC2">
      <w:pPr>
        <w:spacing w:line="360" w:lineRule="auto"/>
        <w:jc w:val="both"/>
        <w:rPr>
          <w:rFonts w:ascii="Palatino Linotype" w:eastAsia="Palatino Linotype" w:hAnsi="Palatino Linotype" w:cs="Palatino Linotype"/>
        </w:rPr>
      </w:pPr>
    </w:p>
    <w:p w14:paraId="11EA1CF2" w14:textId="77777777" w:rsidR="00AD4FC2" w:rsidRPr="00DA2CB2" w:rsidRDefault="00AD4FC2" w:rsidP="00AD4FC2">
      <w:pPr>
        <w:pStyle w:val="Prrafodelista"/>
        <w:numPr>
          <w:ilvl w:val="0"/>
          <w:numId w:val="1"/>
        </w:numPr>
        <w:spacing w:line="360" w:lineRule="auto"/>
        <w:jc w:val="both"/>
        <w:rPr>
          <w:rFonts w:ascii="Palatino Linotype" w:eastAsia="Arial Unicode MS" w:hAnsi="Palatino Linotype" w:cs="Arial"/>
          <w:lang w:eastAsia="en-US"/>
        </w:rPr>
      </w:pPr>
      <w:r w:rsidRPr="00DA2CB2">
        <w:rPr>
          <w:rFonts w:ascii="Palatino Linotype" w:eastAsia="Palatino Linotype" w:hAnsi="Palatino Linotype" w:cs="Palatino Linotype"/>
        </w:rPr>
        <w:t xml:space="preserve">De los artículos citados se desprende que las Unidades de Transparencia de los sujetos obligados son las encargadas de tramitar internamente </w:t>
      </w:r>
      <w:r w:rsidRPr="00DA2CB2">
        <w:rPr>
          <w:rFonts w:ascii="Palatino Linotype" w:eastAsia="Arial Unicode MS" w:hAnsi="Palatino Linotype" w:cs="Arial"/>
          <w:lang w:eastAsia="en-US"/>
        </w:rPr>
        <w:t xml:space="preserve">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w:t>
      </w:r>
      <w:r w:rsidR="00EB32E4" w:rsidRPr="00DA2CB2">
        <w:rPr>
          <w:rFonts w:ascii="Palatino Linotype" w:eastAsia="Arial Unicode MS" w:hAnsi="Palatino Linotype" w:cs="Arial"/>
          <w:lang w:eastAsia="en-US"/>
        </w:rPr>
        <w:t>las</w:t>
      </w:r>
      <w:r w:rsidRPr="00DA2CB2">
        <w:rPr>
          <w:rFonts w:ascii="Palatino Linotype" w:eastAsia="Arial Unicode MS" w:hAnsi="Palatino Linotype" w:cs="Arial"/>
          <w:lang w:eastAsia="en-US"/>
        </w:rPr>
        <w:t xml:space="preserve"> Unidades de Transparencia turnar a todas las áreas que se consideren competentes para que realicen una búsqueda exhaustiva y razonable de la información solicitada a fin de que ésta sea entregada a los solicitantes.</w:t>
      </w:r>
    </w:p>
    <w:p w14:paraId="5D652C9B" w14:textId="77777777" w:rsidR="00AD4FC2" w:rsidRPr="00DA2CB2" w:rsidRDefault="00AD4FC2" w:rsidP="00AD4FC2">
      <w:pPr>
        <w:pStyle w:val="Prrafodelista"/>
        <w:spacing w:line="360" w:lineRule="auto"/>
        <w:ind w:left="0"/>
        <w:jc w:val="both"/>
        <w:rPr>
          <w:rFonts w:ascii="Palatino Linotype" w:eastAsia="Arial Unicode MS" w:hAnsi="Palatino Linotype" w:cs="Arial"/>
          <w:lang w:eastAsia="en-US"/>
        </w:rPr>
      </w:pPr>
    </w:p>
    <w:p w14:paraId="0D6D1519" w14:textId="77777777" w:rsidR="00AD4FC2" w:rsidRPr="00DA2CB2" w:rsidRDefault="00AD4FC2" w:rsidP="00AD4FC2">
      <w:pPr>
        <w:pStyle w:val="Prrafodelista"/>
        <w:numPr>
          <w:ilvl w:val="0"/>
          <w:numId w:val="1"/>
        </w:numPr>
        <w:spacing w:line="360" w:lineRule="auto"/>
        <w:jc w:val="both"/>
        <w:rPr>
          <w:rFonts w:ascii="Palatino Linotype" w:eastAsia="Arial Unicode MS" w:hAnsi="Palatino Linotype" w:cs="Arial"/>
          <w:lang w:eastAsia="en-US"/>
        </w:rPr>
      </w:pPr>
      <w:r w:rsidRPr="00DA2CB2">
        <w:rPr>
          <w:rFonts w:ascii="Palatino Linotype" w:eastAsia="Arial Unicode MS" w:hAnsi="Palatino Linotype" w:cs="Arial"/>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2CCF0AF1" w14:textId="77777777" w:rsidR="00AD4FC2" w:rsidRPr="00DA2CB2" w:rsidRDefault="00AD4FC2" w:rsidP="00AD4FC2">
      <w:pPr>
        <w:pStyle w:val="Prrafodelista"/>
        <w:rPr>
          <w:rFonts w:ascii="Palatino Linotype" w:eastAsia="Arial Unicode MS" w:hAnsi="Palatino Linotype" w:cs="Arial"/>
          <w:lang w:eastAsia="en-US"/>
        </w:rPr>
      </w:pPr>
    </w:p>
    <w:p w14:paraId="1DE3957F" w14:textId="77777777" w:rsidR="00AD4FC2" w:rsidRPr="00DA2CB2" w:rsidRDefault="00AD4FC2" w:rsidP="00AD4FC2">
      <w:pPr>
        <w:pStyle w:val="Prrafodelista"/>
        <w:numPr>
          <w:ilvl w:val="0"/>
          <w:numId w:val="1"/>
        </w:numPr>
        <w:spacing w:line="360" w:lineRule="auto"/>
        <w:jc w:val="both"/>
        <w:rPr>
          <w:rFonts w:ascii="Palatino Linotype" w:eastAsia="Arial Unicode MS" w:hAnsi="Palatino Linotype" w:cs="Arial"/>
          <w:lang w:eastAsia="en-US"/>
        </w:rPr>
      </w:pPr>
      <w:r w:rsidRPr="00DA2CB2">
        <w:rPr>
          <w:rFonts w:ascii="Palatino Linotype" w:eastAsia="Arial Unicode MS" w:hAnsi="Palatino Linotype" w:cs="Arial"/>
          <w:lang w:eastAsia="en-US"/>
        </w:rPr>
        <w:t xml:space="preserve">En el caso que se resuelve, el Sujeto Obligado señaló que las respuestas fueron emitidas por la Coordinación de Delegaciones Regionales, la Dirección de Administración del Suelo, la Dirección de Promoción y Fomento a la Vivienda y la Dirección Jurídica y de </w:t>
      </w:r>
      <w:r w:rsidRPr="00DA2CB2">
        <w:rPr>
          <w:rFonts w:ascii="Palatino Linotype" w:eastAsia="Arial Unicode MS" w:hAnsi="Palatino Linotype" w:cs="Arial"/>
          <w:lang w:eastAsia="en-US"/>
        </w:rPr>
        <w:lastRenderedPageBreak/>
        <w:t xml:space="preserve">Igualdad de Género, quienes de acuerdo al Manual  </w:t>
      </w:r>
      <w:r w:rsidR="00F527B5" w:rsidRPr="00DA2CB2">
        <w:rPr>
          <w:rFonts w:ascii="Palatino Linotype" w:eastAsia="Arial Unicode MS" w:hAnsi="Palatino Linotype" w:cs="Arial"/>
          <w:lang w:eastAsia="en-US"/>
        </w:rPr>
        <w:t>General de Organización, tienen los siguientes objetivos:</w:t>
      </w:r>
    </w:p>
    <w:p w14:paraId="3EEAE9BA" w14:textId="77777777" w:rsidR="005B160B" w:rsidRPr="00DA2CB2" w:rsidRDefault="00F527B5" w:rsidP="005B160B">
      <w:pPr>
        <w:pStyle w:val="Prrafodelista"/>
        <w:spacing w:line="360" w:lineRule="auto"/>
        <w:ind w:left="851" w:right="616"/>
        <w:jc w:val="both"/>
        <w:rPr>
          <w:rFonts w:ascii="Palatino Linotype" w:hAnsi="Palatino Linotype"/>
          <w:b/>
          <w:i/>
          <w:sz w:val="22"/>
        </w:rPr>
      </w:pPr>
      <w:r w:rsidRPr="00DA2CB2">
        <w:rPr>
          <w:rFonts w:ascii="Palatino Linotype" w:hAnsi="Palatino Linotype"/>
          <w:i/>
          <w:sz w:val="22"/>
        </w:rPr>
        <w:t xml:space="preserve">224C0101050000L </w:t>
      </w:r>
      <w:r w:rsidRPr="00DA2CB2">
        <w:rPr>
          <w:rFonts w:ascii="Palatino Linotype" w:hAnsi="Palatino Linotype"/>
          <w:b/>
          <w:i/>
          <w:sz w:val="22"/>
        </w:rPr>
        <w:t xml:space="preserve">COORDINACIÓN DE DELEGACIONES REGIONALES </w:t>
      </w:r>
    </w:p>
    <w:p w14:paraId="55154E13" w14:textId="77777777" w:rsidR="005B160B" w:rsidRPr="00DA2CB2" w:rsidRDefault="00F527B5" w:rsidP="005B160B">
      <w:pPr>
        <w:pStyle w:val="Prrafodelista"/>
        <w:spacing w:line="360" w:lineRule="auto"/>
        <w:ind w:left="851" w:right="616"/>
        <w:jc w:val="both"/>
        <w:rPr>
          <w:rFonts w:ascii="Palatino Linotype" w:hAnsi="Palatino Linotype"/>
          <w:b/>
          <w:i/>
          <w:sz w:val="22"/>
        </w:rPr>
      </w:pPr>
      <w:r w:rsidRPr="00DA2CB2">
        <w:rPr>
          <w:rFonts w:ascii="Palatino Linotype" w:hAnsi="Palatino Linotype"/>
          <w:b/>
          <w:i/>
          <w:sz w:val="22"/>
        </w:rPr>
        <w:t xml:space="preserve">OBJETIVO: </w:t>
      </w:r>
    </w:p>
    <w:p w14:paraId="2D611003" w14:textId="77777777" w:rsidR="00F527B5" w:rsidRPr="00DA2CB2" w:rsidRDefault="00F527B5" w:rsidP="005B160B">
      <w:pPr>
        <w:pStyle w:val="Prrafodelista"/>
        <w:spacing w:line="360" w:lineRule="auto"/>
        <w:ind w:left="851" w:right="616"/>
        <w:jc w:val="both"/>
        <w:rPr>
          <w:rFonts w:ascii="Palatino Linotype" w:hAnsi="Palatino Linotype"/>
          <w:i/>
          <w:sz w:val="22"/>
        </w:rPr>
      </w:pPr>
      <w:r w:rsidRPr="00DA2CB2">
        <w:rPr>
          <w:rFonts w:ascii="Palatino Linotype" w:hAnsi="Palatino Linotype"/>
          <w:i/>
          <w:sz w:val="22"/>
        </w:rPr>
        <w:t xml:space="preserve">Coordinar e impulsar la promoción, difusión, seguimiento, supervisión y evaluación </w:t>
      </w:r>
      <w:r w:rsidRPr="00DA2CB2">
        <w:rPr>
          <w:rFonts w:ascii="Palatino Linotype" w:hAnsi="Palatino Linotype"/>
          <w:b/>
          <w:i/>
          <w:sz w:val="22"/>
        </w:rPr>
        <w:t>de los programas y proyectos de regularización de la tenencia de la tierra, escrituración y prevención de los asentamientos humanos irregulares que estén a cargo de las Delegaciones Regionales,</w:t>
      </w:r>
      <w:r w:rsidRPr="00DA2CB2">
        <w:rPr>
          <w:rFonts w:ascii="Palatino Linotype" w:hAnsi="Palatino Linotype"/>
          <w:i/>
          <w:sz w:val="22"/>
        </w:rPr>
        <w:t xml:space="preserve"> procurando que el beneficio sea para los grupos sociales más vulnerables.</w:t>
      </w:r>
    </w:p>
    <w:p w14:paraId="7FB00626" w14:textId="77777777" w:rsidR="005B160B" w:rsidRPr="00DA2CB2" w:rsidRDefault="005B160B" w:rsidP="005B160B">
      <w:pPr>
        <w:pStyle w:val="Prrafodelista"/>
        <w:spacing w:line="360" w:lineRule="auto"/>
        <w:ind w:left="851" w:right="616"/>
        <w:jc w:val="both"/>
        <w:rPr>
          <w:rFonts w:ascii="Palatino Linotype" w:hAnsi="Palatino Linotype"/>
          <w:i/>
          <w:sz w:val="22"/>
        </w:rPr>
      </w:pPr>
    </w:p>
    <w:p w14:paraId="1EE8CF73" w14:textId="77777777" w:rsidR="005B160B" w:rsidRPr="00DA2CB2" w:rsidRDefault="005B160B" w:rsidP="005B160B">
      <w:pPr>
        <w:pStyle w:val="Prrafodelista"/>
        <w:spacing w:line="360" w:lineRule="auto"/>
        <w:ind w:left="851" w:right="616"/>
        <w:jc w:val="both"/>
        <w:rPr>
          <w:rFonts w:ascii="Palatino Linotype" w:hAnsi="Palatino Linotype"/>
          <w:i/>
          <w:sz w:val="22"/>
        </w:rPr>
      </w:pPr>
      <w:r w:rsidRPr="00DA2CB2">
        <w:rPr>
          <w:rFonts w:ascii="Palatino Linotype" w:hAnsi="Palatino Linotype"/>
          <w:i/>
          <w:sz w:val="22"/>
        </w:rPr>
        <w:t xml:space="preserve">224C0101040000L </w:t>
      </w:r>
      <w:r w:rsidRPr="00DA2CB2">
        <w:rPr>
          <w:rFonts w:ascii="Palatino Linotype" w:hAnsi="Palatino Linotype"/>
          <w:b/>
          <w:i/>
          <w:sz w:val="22"/>
        </w:rPr>
        <w:t>DIRECCIÓN DE ADMINISTRACIÓN DEL SUELO OBJETIVO:</w:t>
      </w:r>
      <w:r w:rsidRPr="00DA2CB2">
        <w:rPr>
          <w:rFonts w:ascii="Palatino Linotype" w:hAnsi="Palatino Linotype"/>
          <w:i/>
          <w:sz w:val="22"/>
        </w:rPr>
        <w:t xml:space="preserve"> </w:t>
      </w:r>
    </w:p>
    <w:p w14:paraId="646B3B21" w14:textId="77777777" w:rsidR="005B160B" w:rsidRPr="00DA2CB2" w:rsidRDefault="005B160B" w:rsidP="005B160B">
      <w:pPr>
        <w:pStyle w:val="Prrafodelista"/>
        <w:spacing w:line="360" w:lineRule="auto"/>
        <w:ind w:left="851" w:right="616"/>
        <w:jc w:val="both"/>
        <w:rPr>
          <w:rFonts w:ascii="Palatino Linotype" w:hAnsi="Palatino Linotype"/>
          <w:i/>
          <w:sz w:val="22"/>
        </w:rPr>
      </w:pPr>
      <w:r w:rsidRPr="00DA2CB2">
        <w:rPr>
          <w:rFonts w:ascii="Palatino Linotype" w:hAnsi="Palatino Linotype"/>
          <w:i/>
          <w:sz w:val="22"/>
        </w:rPr>
        <w:t xml:space="preserve">Elaborar, dirigir y proponer estrategias que permitan prevenir los asentamientos humanos irregulares, administrar y regular el suelo; </w:t>
      </w:r>
      <w:r w:rsidRPr="00DA2CB2">
        <w:rPr>
          <w:rFonts w:ascii="Palatino Linotype" w:hAnsi="Palatino Linotype"/>
          <w:b/>
          <w:i/>
          <w:sz w:val="22"/>
        </w:rPr>
        <w:t>regularizar los asentamientos humanos irregulares aptos y la tenencia de la tierra en el Estado de México</w:t>
      </w:r>
      <w:r w:rsidRPr="00DA2CB2">
        <w:rPr>
          <w:rFonts w:ascii="Palatino Linotype" w:hAnsi="Palatino Linotype"/>
          <w:i/>
          <w:sz w:val="22"/>
        </w:rPr>
        <w:t>, promoviendo la participación social y procurando que el beneficio sea para los grupos sociales más vulnerables, así como integrar, analizar y administrar información cartográfica, estadística y de la gestión pública en materia del suelo y vivienda para el cumplimiento del objeto social del Instituto, con el estricto apego a las disposiciones legales de orden público e interés general.</w:t>
      </w:r>
    </w:p>
    <w:p w14:paraId="00C83E5A" w14:textId="77777777" w:rsidR="005B160B" w:rsidRPr="00DA2CB2" w:rsidRDefault="005B160B" w:rsidP="005B160B">
      <w:pPr>
        <w:pStyle w:val="Prrafodelista"/>
        <w:spacing w:line="360" w:lineRule="auto"/>
        <w:ind w:left="851" w:right="616"/>
        <w:jc w:val="both"/>
        <w:rPr>
          <w:rFonts w:ascii="Palatino Linotype" w:hAnsi="Palatino Linotype"/>
          <w:i/>
          <w:sz w:val="22"/>
        </w:rPr>
      </w:pPr>
    </w:p>
    <w:p w14:paraId="1D0CC29D" w14:textId="77777777" w:rsidR="005B160B" w:rsidRPr="00DA2CB2" w:rsidRDefault="005B160B" w:rsidP="005B160B">
      <w:pPr>
        <w:pStyle w:val="Prrafodelista"/>
        <w:spacing w:line="360" w:lineRule="auto"/>
        <w:ind w:left="851" w:right="616"/>
        <w:jc w:val="both"/>
        <w:rPr>
          <w:rFonts w:ascii="Palatino Linotype" w:hAnsi="Palatino Linotype"/>
          <w:b/>
          <w:i/>
          <w:sz w:val="22"/>
        </w:rPr>
      </w:pPr>
      <w:r w:rsidRPr="00DA2CB2">
        <w:rPr>
          <w:rFonts w:ascii="Palatino Linotype" w:hAnsi="Palatino Linotype"/>
          <w:b/>
          <w:i/>
          <w:sz w:val="22"/>
        </w:rPr>
        <w:t xml:space="preserve">224C0101060000L DIRECCIÓN DE PROMOCIÓN Y FOMENTO A LA VIVIENDA </w:t>
      </w:r>
    </w:p>
    <w:p w14:paraId="0D92B231" w14:textId="77777777" w:rsidR="005B160B" w:rsidRPr="00DA2CB2" w:rsidRDefault="005B160B" w:rsidP="005B160B">
      <w:pPr>
        <w:pStyle w:val="Prrafodelista"/>
        <w:spacing w:line="360" w:lineRule="auto"/>
        <w:ind w:left="851" w:right="616"/>
        <w:jc w:val="both"/>
        <w:rPr>
          <w:rFonts w:ascii="Palatino Linotype" w:hAnsi="Palatino Linotype"/>
          <w:i/>
          <w:sz w:val="22"/>
        </w:rPr>
      </w:pPr>
      <w:r w:rsidRPr="00DA2CB2">
        <w:rPr>
          <w:rFonts w:ascii="Palatino Linotype" w:hAnsi="Palatino Linotype"/>
          <w:i/>
          <w:sz w:val="22"/>
        </w:rPr>
        <w:t>OBJETIVO: Formular y promover los programas de vivienda, proyectos específicos, estrategias y líneas de acción que impulsen el fomento y producción de vivienda social en la entidad, a través de acciones de construcción y entrega de paquetes de materiales para el mejoramiento, ampliación y rehabilitación de casa habitación; así como la adquisición, enajenación y aprovechamiento del patrimonio inmobiliario del Instituto, para beneficiar a las familias de bajos ingresos económicos.</w:t>
      </w:r>
    </w:p>
    <w:p w14:paraId="4FCAC6C6" w14:textId="77777777" w:rsidR="005B160B" w:rsidRPr="00DA2CB2" w:rsidRDefault="005B160B" w:rsidP="005B160B">
      <w:pPr>
        <w:pStyle w:val="Prrafodelista"/>
        <w:spacing w:line="360" w:lineRule="auto"/>
        <w:ind w:left="851" w:right="616"/>
        <w:jc w:val="both"/>
        <w:rPr>
          <w:rFonts w:ascii="Palatino Linotype" w:hAnsi="Palatino Linotype"/>
          <w:i/>
          <w:sz w:val="22"/>
        </w:rPr>
      </w:pPr>
    </w:p>
    <w:p w14:paraId="31386845" w14:textId="77777777" w:rsidR="005B160B" w:rsidRPr="00DA2CB2" w:rsidRDefault="005B160B" w:rsidP="005B160B">
      <w:pPr>
        <w:pStyle w:val="Prrafodelista"/>
        <w:spacing w:line="360" w:lineRule="auto"/>
        <w:ind w:left="851" w:right="616"/>
        <w:jc w:val="both"/>
        <w:rPr>
          <w:rFonts w:ascii="Palatino Linotype" w:hAnsi="Palatino Linotype"/>
          <w:b/>
          <w:i/>
          <w:sz w:val="22"/>
        </w:rPr>
      </w:pPr>
      <w:r w:rsidRPr="00DA2CB2">
        <w:rPr>
          <w:rFonts w:ascii="Palatino Linotype" w:hAnsi="Palatino Linotype"/>
          <w:b/>
          <w:i/>
          <w:sz w:val="22"/>
        </w:rPr>
        <w:lastRenderedPageBreak/>
        <w:t xml:space="preserve">224C0101030000L DIRECCIÓN JURÍDICA Y DE IGUALDAD DE GÉNERO OBJETIVO: </w:t>
      </w:r>
    </w:p>
    <w:p w14:paraId="5C04E20D" w14:textId="77777777" w:rsidR="00AD4FC2" w:rsidRPr="00DA2CB2" w:rsidRDefault="005B160B" w:rsidP="005B160B">
      <w:pPr>
        <w:pStyle w:val="Prrafodelista"/>
        <w:spacing w:line="360" w:lineRule="auto"/>
        <w:ind w:left="851" w:right="616"/>
        <w:jc w:val="both"/>
        <w:rPr>
          <w:rFonts w:ascii="Palatino Linotype" w:hAnsi="Palatino Linotype"/>
          <w:i/>
          <w:sz w:val="22"/>
        </w:rPr>
      </w:pPr>
      <w:r w:rsidRPr="00DA2CB2">
        <w:rPr>
          <w:rFonts w:ascii="Palatino Linotype" w:hAnsi="Palatino Linotype"/>
          <w:i/>
          <w:sz w:val="22"/>
        </w:rPr>
        <w:t>Planear, organizar, coordinar y supervisar las actividades de representación, defensa y gestión de los intereses jurídicos del Instituto, trámites, denuncias, procedimientos administrativos y jurisdiccionales que sean requeridos para salvaguardar el patrimonio del Instituto, así como, elaborar los proyectos de convenios, contratos, escrituras, ordenamientos jurídicos, acuerdos y demás instrumentos jurídicos que le sean requeridos, promoviendo y vigilando que dichas acciones sean realizadas con perspectiva de género, respeto a los derechos humanos, igualdad y eliminación de la discriminación en el desarrollo de las funciones que ésta tiene encomendadas, asegurando el comportamiento ético de las personas servidoras públicas en el ámbito de su competencia.</w:t>
      </w:r>
    </w:p>
    <w:p w14:paraId="4260F566" w14:textId="77777777" w:rsidR="00AD4FC2" w:rsidRPr="00DA2CB2" w:rsidRDefault="005B160B" w:rsidP="00E95165">
      <w:pPr>
        <w:numPr>
          <w:ilvl w:val="0"/>
          <w:numId w:val="1"/>
        </w:numPr>
        <w:spacing w:line="360" w:lineRule="auto"/>
        <w:jc w:val="both"/>
        <w:rPr>
          <w:rFonts w:ascii="Palatino Linotype" w:eastAsia="MS Gothic" w:hAnsi="Palatino Linotype" w:cstheme="majorBidi"/>
          <w:lang w:eastAsia="es-ES"/>
        </w:rPr>
      </w:pPr>
      <w:r w:rsidRPr="00DA2CB2">
        <w:rPr>
          <w:rFonts w:ascii="Palatino Linotype" w:eastAsia="MS Gothic" w:hAnsi="Palatino Linotype" w:cstheme="majorBidi"/>
          <w:lang w:eastAsia="es-ES"/>
        </w:rPr>
        <w:t xml:space="preserve">Como se advierte de los preceptos legales señalados, la Coordinación de Delegaciones Regionales, es el área que de acuerdo a sus facultades, podría generar poseer o administrar la información señalada, por ser la encargada de llevar acabo los programas o proyectos de regularización de la tenencia de la tierra, sin embargo, como ya lo refirió en su respuesta, no generan, poseen o administran la información solicitada en los puntos 1, 2 y 3, por no ser trámites </w:t>
      </w:r>
      <w:r w:rsidR="006D0300" w:rsidRPr="00DA2CB2">
        <w:rPr>
          <w:rFonts w:ascii="Palatino Linotype" w:eastAsia="MS Gothic" w:hAnsi="Palatino Linotype" w:cstheme="majorBidi"/>
          <w:lang w:eastAsia="es-ES"/>
        </w:rPr>
        <w:t>correspondientes al Sujeto Obligado</w:t>
      </w:r>
      <w:r w:rsidR="005E1B1C" w:rsidRPr="00DA2CB2">
        <w:rPr>
          <w:rFonts w:ascii="Palatino Linotype" w:eastAsia="MS Gothic" w:hAnsi="Palatino Linotype" w:cstheme="majorBidi"/>
          <w:lang w:eastAsia="es-ES"/>
        </w:rPr>
        <w:t xml:space="preserve">. Asimismo, este Órgano Garante, se dio a la tarea de revisar la normatividad que rige al Sujeto Obligado y no se localizó fundamento legal que lo constriña a generar, poseer o administrar la información solicitada. </w:t>
      </w:r>
    </w:p>
    <w:p w14:paraId="1CB31A61" w14:textId="77777777" w:rsidR="005B160B" w:rsidRPr="00DA2CB2" w:rsidRDefault="005B160B" w:rsidP="005B160B">
      <w:pPr>
        <w:spacing w:line="360" w:lineRule="auto"/>
        <w:jc w:val="both"/>
        <w:rPr>
          <w:rFonts w:ascii="Palatino Linotype" w:eastAsia="MS Gothic" w:hAnsi="Palatino Linotype" w:cstheme="majorBidi"/>
          <w:lang w:eastAsia="es-ES"/>
        </w:rPr>
      </w:pPr>
    </w:p>
    <w:p w14:paraId="1E07CA4A" w14:textId="77777777" w:rsidR="00AD4FC2" w:rsidRPr="00DA2CB2" w:rsidRDefault="006D0300" w:rsidP="00E95165">
      <w:pPr>
        <w:numPr>
          <w:ilvl w:val="0"/>
          <w:numId w:val="1"/>
        </w:numPr>
        <w:spacing w:line="360" w:lineRule="auto"/>
        <w:jc w:val="both"/>
        <w:rPr>
          <w:rFonts w:ascii="Palatino Linotype" w:eastAsia="MS Gothic" w:hAnsi="Palatino Linotype" w:cstheme="majorBidi"/>
          <w:lang w:eastAsia="es-ES"/>
        </w:rPr>
      </w:pPr>
      <w:r w:rsidRPr="00DA2CB2">
        <w:rPr>
          <w:rFonts w:ascii="Palatino Linotype" w:eastAsia="MS Gothic" w:hAnsi="Palatino Linotype" w:cstheme="majorBidi"/>
          <w:lang w:eastAsia="es-ES"/>
        </w:rPr>
        <w:t>Ahora bien, por lo que corresponde al punto 4 de la solicitud (Procedimiento para realizar la solicitud de una carta de no adeudo, el costo y la autoridad que está facultada para expedirla, de un inmueble ubicado en Ecatepec de Morelos adquirido por el Gobierno del Estado de México), el Sujeto Obligado adjuntó la siguiente información:</w:t>
      </w:r>
    </w:p>
    <w:p w14:paraId="2BE84490" w14:textId="77777777" w:rsidR="006D0300" w:rsidRPr="00DA2CB2" w:rsidRDefault="006D0300" w:rsidP="006D0300">
      <w:pPr>
        <w:pStyle w:val="Prrafodelista"/>
        <w:rPr>
          <w:rFonts w:ascii="Palatino Linotype" w:eastAsia="MS Gothic" w:hAnsi="Palatino Linotype" w:cstheme="majorBidi"/>
          <w:lang w:eastAsia="es-ES"/>
        </w:rPr>
      </w:pPr>
    </w:p>
    <w:p w14:paraId="089B0D53" w14:textId="77777777" w:rsidR="006D0300" w:rsidRDefault="006D0300" w:rsidP="006D0300">
      <w:pPr>
        <w:spacing w:line="360" w:lineRule="auto"/>
        <w:jc w:val="center"/>
        <w:rPr>
          <w:rFonts w:ascii="Palatino Linotype" w:eastAsia="MS Gothic" w:hAnsi="Palatino Linotype" w:cstheme="majorBidi"/>
          <w:lang w:eastAsia="es-ES"/>
        </w:rPr>
      </w:pPr>
      <w:r w:rsidRPr="00DA2CB2">
        <w:rPr>
          <w:rFonts w:ascii="Palatino Linotype" w:eastAsia="MS Gothic" w:hAnsi="Palatino Linotype" w:cstheme="majorBidi"/>
          <w:noProof/>
        </w:rPr>
        <w:drawing>
          <wp:inline distT="0" distB="0" distL="0" distR="0" wp14:anchorId="47A6984E" wp14:editId="5D2DBE81">
            <wp:extent cx="4953635" cy="4048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53691" cy="4048171"/>
                    </a:xfrm>
                    <a:prstGeom prst="rect">
                      <a:avLst/>
                    </a:prstGeom>
                  </pic:spPr>
                </pic:pic>
              </a:graphicData>
            </a:graphic>
          </wp:inline>
        </w:drawing>
      </w:r>
    </w:p>
    <w:p w14:paraId="3F5AE7CB" w14:textId="77777777" w:rsidR="00DA2CB2" w:rsidRPr="00DA2CB2" w:rsidRDefault="00DA2CB2" w:rsidP="006D0300">
      <w:pPr>
        <w:spacing w:line="360" w:lineRule="auto"/>
        <w:jc w:val="center"/>
        <w:rPr>
          <w:rFonts w:ascii="Palatino Linotype" w:eastAsia="MS Gothic" w:hAnsi="Palatino Linotype" w:cstheme="majorBidi"/>
          <w:lang w:eastAsia="es-ES"/>
        </w:rPr>
      </w:pPr>
    </w:p>
    <w:p w14:paraId="1D7B2AE5" w14:textId="77777777" w:rsidR="00E95165" w:rsidRPr="00DA2CB2" w:rsidRDefault="006D0300" w:rsidP="005E1B1C">
      <w:pPr>
        <w:numPr>
          <w:ilvl w:val="0"/>
          <w:numId w:val="1"/>
        </w:numPr>
        <w:spacing w:line="360" w:lineRule="auto"/>
        <w:jc w:val="both"/>
        <w:rPr>
          <w:rFonts w:ascii="Palatino Linotype" w:eastAsia="MS Gothic" w:hAnsi="Palatino Linotype" w:cstheme="majorBidi"/>
          <w:lang w:eastAsia="es-ES"/>
        </w:rPr>
      </w:pPr>
      <w:r w:rsidRPr="00DA2CB2">
        <w:rPr>
          <w:rFonts w:ascii="Palatino Linotype" w:eastAsia="MS Gothic" w:hAnsi="Palatino Linotype" w:cstheme="majorBidi"/>
          <w:lang w:eastAsia="es-ES"/>
        </w:rPr>
        <w:t>Como se puede visualizar, en la respuesta se advierte el procedimiento para realizar el trámite, así como el área ente la cual se debe acudir y costo tiempo de entrega de la carta de no adeudo</w:t>
      </w:r>
      <w:r w:rsidR="005E1B1C" w:rsidRPr="00DA2CB2">
        <w:rPr>
          <w:rFonts w:ascii="Palatino Linotype" w:eastAsia="MS Gothic" w:hAnsi="Palatino Linotype" w:cstheme="majorBidi"/>
          <w:lang w:eastAsia="es-ES"/>
        </w:rPr>
        <w:t xml:space="preserve">. </w:t>
      </w:r>
      <w:r w:rsidR="00E95165" w:rsidRPr="00DA2CB2">
        <w:rPr>
          <w:rFonts w:ascii="Palatino Linotype" w:eastAsia="MS Gothic" w:hAnsi="Palatino Linotype" w:cstheme="majorBidi"/>
          <w:lang w:eastAsia="es-ES"/>
        </w:rPr>
        <w:t xml:space="preserve">Por lo anteriormente expuesto, resulta evidente que el </w:t>
      </w:r>
      <w:r w:rsidR="00E95165" w:rsidRPr="00DA2CB2">
        <w:rPr>
          <w:rFonts w:ascii="Palatino Linotype" w:eastAsia="MS Gothic" w:hAnsi="Palatino Linotype" w:cstheme="majorBidi"/>
          <w:b/>
          <w:lang w:eastAsia="es-ES"/>
        </w:rPr>
        <w:t>SUJETO OBLIGADO</w:t>
      </w:r>
      <w:r w:rsidR="00E95165" w:rsidRPr="00DA2CB2">
        <w:rPr>
          <w:rFonts w:ascii="Palatino Linotype" w:eastAsia="MS Gothic" w:hAnsi="Palatino Linotype" w:cstheme="majorBidi"/>
          <w:lang w:eastAsia="es-ES"/>
        </w:rPr>
        <w:t xml:space="preserve"> proporcionó respuesta a la solicitud de información que le fue presentada. </w:t>
      </w:r>
      <w:r w:rsidR="00E95165" w:rsidRPr="00DA2CB2">
        <w:rPr>
          <w:rFonts w:ascii="Palatino Linotype" w:eastAsia="MS Gothic" w:hAnsi="Palatino Linotype" w:cstheme="majorBidi"/>
          <w:lang w:val="es-ES" w:eastAsia="es-ES"/>
        </w:rPr>
        <w:t>En esta tesitura se entiende que no se vulneró el derecho de acceso a la información del recurrente.</w:t>
      </w:r>
    </w:p>
    <w:p w14:paraId="192945FF" w14:textId="77777777" w:rsidR="00E95165" w:rsidRPr="00DA2CB2" w:rsidRDefault="00E95165" w:rsidP="00E95165">
      <w:pPr>
        <w:spacing w:line="360" w:lineRule="auto"/>
        <w:jc w:val="both"/>
        <w:rPr>
          <w:rFonts w:ascii="Palatino Linotype" w:eastAsia="MS Gothic" w:hAnsi="Palatino Linotype" w:cstheme="majorBidi"/>
          <w:lang w:eastAsia="es-ES"/>
        </w:rPr>
      </w:pPr>
    </w:p>
    <w:p w14:paraId="5F6F00F5" w14:textId="77777777" w:rsidR="00E95165" w:rsidRPr="00DA2CB2" w:rsidRDefault="00E95165" w:rsidP="00E95165">
      <w:pPr>
        <w:numPr>
          <w:ilvl w:val="0"/>
          <w:numId w:val="1"/>
        </w:numPr>
        <w:spacing w:line="360" w:lineRule="auto"/>
        <w:jc w:val="both"/>
        <w:rPr>
          <w:rFonts w:ascii="Palatino Linotype" w:eastAsia="MS Gothic" w:hAnsi="Palatino Linotype" w:cstheme="majorBidi"/>
          <w:lang w:eastAsia="es-ES"/>
        </w:rPr>
      </w:pPr>
      <w:r w:rsidRPr="00DA2CB2">
        <w:rPr>
          <w:rFonts w:ascii="Palatino Linotype" w:eastAsia="MS Gothic" w:hAnsi="Palatino Linotype" w:cstheme="majorBidi"/>
          <w:lang w:val="es-ES" w:eastAsia="es-ES"/>
        </w:rPr>
        <w:t xml:space="preserve">Atento a todo lo anteriormente señalado, resultan infundadas las razones o motivos de </w:t>
      </w:r>
      <w:r w:rsidRPr="00DA2CB2">
        <w:rPr>
          <w:rFonts w:ascii="Palatino Linotype" w:eastAsia="MS Gothic" w:hAnsi="Palatino Linotype" w:cstheme="majorBidi"/>
          <w:lang w:eastAsia="es-ES"/>
        </w:rPr>
        <w:t xml:space="preserve">inconformidad hechos valer por el </w:t>
      </w:r>
      <w:r w:rsidRPr="00DA2CB2">
        <w:rPr>
          <w:rFonts w:ascii="Palatino Linotype" w:eastAsia="MS Gothic" w:hAnsi="Palatino Linotype" w:cstheme="majorBidi"/>
          <w:b/>
          <w:lang w:eastAsia="es-ES"/>
        </w:rPr>
        <w:t>RECURRENTE, y</w:t>
      </w:r>
      <w:r w:rsidRPr="00DA2CB2">
        <w:rPr>
          <w:rFonts w:ascii="Palatino Linotype" w:eastAsia="MS Gothic" w:hAnsi="Palatino Linotype" w:cstheme="majorBidi"/>
          <w:lang w:val="es-ES_tradnl" w:eastAsia="es-ES"/>
        </w:rPr>
        <w:t xml:space="preserve"> en términos del artículo 186 fracción II este Pleno determina procedente </w:t>
      </w:r>
      <w:r w:rsidRPr="00DA2CB2">
        <w:rPr>
          <w:rFonts w:ascii="Palatino Linotype" w:eastAsia="MS Gothic" w:hAnsi="Palatino Linotype" w:cstheme="majorBidi"/>
          <w:b/>
          <w:lang w:val="es-ES_tradnl" w:eastAsia="es-ES"/>
        </w:rPr>
        <w:t>CONFIRMAR</w:t>
      </w:r>
      <w:r w:rsidRPr="00DA2CB2">
        <w:rPr>
          <w:rFonts w:ascii="Palatino Linotype" w:eastAsia="MS Gothic" w:hAnsi="Palatino Linotype" w:cstheme="majorBidi"/>
          <w:lang w:val="es-ES_tradnl" w:eastAsia="es-ES"/>
        </w:rPr>
        <w:t xml:space="preserve"> la respuesta del presente recurso </w:t>
      </w:r>
      <w:r w:rsidRPr="00DA2CB2">
        <w:rPr>
          <w:rFonts w:ascii="Palatino Linotype" w:eastAsia="MS Gothic" w:hAnsi="Palatino Linotype" w:cstheme="majorBidi"/>
          <w:lang w:val="es-ES_tradnl" w:eastAsia="es-ES"/>
        </w:rPr>
        <w:lastRenderedPageBreak/>
        <w:t>de revisión, toda vez que no hubo afectación al derecho de acceso a la información pública establecido constitucionalmente a favor del particular.</w:t>
      </w:r>
    </w:p>
    <w:p w14:paraId="40848F1F" w14:textId="77777777" w:rsidR="00E95165" w:rsidRPr="00DA2CB2" w:rsidRDefault="00E95165" w:rsidP="00E95165">
      <w:pPr>
        <w:numPr>
          <w:ilvl w:val="0"/>
          <w:numId w:val="1"/>
        </w:numPr>
        <w:shd w:val="clear" w:color="auto" w:fill="FFFFFF"/>
        <w:spacing w:before="240" w:after="240" w:line="360" w:lineRule="auto"/>
        <w:jc w:val="both"/>
        <w:rPr>
          <w:rFonts w:ascii="Palatino Linotype" w:hAnsi="Palatino Linotype"/>
          <w:color w:val="222222"/>
        </w:rPr>
      </w:pPr>
      <w:r w:rsidRPr="00DA2CB2">
        <w:rPr>
          <w:rFonts w:ascii="Palatino Linotype" w:eastAsia="Palatino Linotype" w:hAnsi="Palatino Linotype" w:cs="Palatino Linotype"/>
        </w:rPr>
        <w:t xml:space="preserve">Por lo anteriormente expuesto y fundado, este </w:t>
      </w:r>
      <w:r w:rsidRPr="00DA2CB2">
        <w:rPr>
          <w:rFonts w:ascii="Palatino Linotype" w:eastAsia="Palatino Linotype" w:hAnsi="Palatino Linotype" w:cs="Palatino Linotype"/>
          <w:b/>
        </w:rPr>
        <w:t>ÓRGANO GARANTE</w:t>
      </w:r>
      <w:r w:rsidRPr="00DA2CB2">
        <w:rPr>
          <w:rFonts w:ascii="Palatino Linotype" w:eastAsia="Palatino Linotype" w:hAnsi="Palatino Linotype" w:cs="Palatino Linotype"/>
        </w:rPr>
        <w:t xml:space="preserve"> emite los siguientes:</w:t>
      </w:r>
    </w:p>
    <w:p w14:paraId="3873631E" w14:textId="77777777" w:rsidR="00E95165" w:rsidRPr="00DA2CB2" w:rsidRDefault="00E95165" w:rsidP="00E95165">
      <w:pPr>
        <w:keepNext/>
        <w:keepLines/>
        <w:spacing w:line="360" w:lineRule="auto"/>
        <w:jc w:val="center"/>
        <w:rPr>
          <w:rFonts w:ascii="Palatino Linotype" w:eastAsia="Palatino Linotype" w:hAnsi="Palatino Linotype" w:cs="Palatino Linotype"/>
          <w:b/>
          <w:color w:val="000000"/>
        </w:rPr>
      </w:pPr>
      <w:bookmarkStart w:id="10" w:name="_heading=h.17dp8vu" w:colFirst="0" w:colLast="0"/>
      <w:bookmarkEnd w:id="10"/>
      <w:r w:rsidRPr="00DA2CB2">
        <w:rPr>
          <w:rFonts w:ascii="Palatino Linotype" w:eastAsia="Palatino Linotype" w:hAnsi="Palatino Linotype" w:cs="Palatino Linotype"/>
          <w:b/>
          <w:color w:val="000000"/>
        </w:rPr>
        <w:t>R E S O L U T I V O S</w:t>
      </w:r>
    </w:p>
    <w:p w14:paraId="3DAE3AFC" w14:textId="77777777" w:rsidR="00E95165" w:rsidRPr="00DA2CB2" w:rsidRDefault="00E95165" w:rsidP="00E95165">
      <w:pPr>
        <w:keepNext/>
        <w:keepLines/>
        <w:spacing w:line="360" w:lineRule="auto"/>
        <w:jc w:val="center"/>
        <w:rPr>
          <w:rFonts w:ascii="Palatino Linotype" w:eastAsia="Palatino Linotype" w:hAnsi="Palatino Linotype" w:cs="Palatino Linotype"/>
          <w:b/>
          <w:color w:val="000000"/>
        </w:rPr>
      </w:pPr>
    </w:p>
    <w:p w14:paraId="60199B27" w14:textId="77777777" w:rsidR="00E95165" w:rsidRPr="00DA2CB2" w:rsidRDefault="00E95165" w:rsidP="00E95165">
      <w:pPr>
        <w:spacing w:line="360" w:lineRule="auto"/>
        <w:jc w:val="both"/>
        <w:rPr>
          <w:rFonts w:ascii="Palatino Linotype" w:eastAsiaTheme="minorEastAsia" w:hAnsi="Palatino Linotype" w:cs="Arial"/>
          <w:bCs/>
          <w:lang w:val="es-ES_tradnl" w:eastAsia="es-ES"/>
        </w:rPr>
      </w:pPr>
      <w:r w:rsidRPr="00DA2CB2">
        <w:rPr>
          <w:rFonts w:ascii="Palatino Linotype" w:hAnsi="Palatino Linotype" w:cs="Arial"/>
          <w:b/>
          <w:lang w:val="es-ES_tradnl" w:eastAsia="es-ES"/>
        </w:rPr>
        <w:t xml:space="preserve">PRIMERO. </w:t>
      </w:r>
      <w:r w:rsidRPr="00DA2CB2">
        <w:rPr>
          <w:rFonts w:ascii="Palatino Linotype" w:hAnsi="Palatino Linotype" w:cs="Arial"/>
          <w:lang w:val="es-ES_tradnl" w:eastAsia="es-ES"/>
        </w:rPr>
        <w:t>Resultan infundadas las</w:t>
      </w:r>
      <w:r w:rsidRPr="00DA2CB2">
        <w:rPr>
          <w:rFonts w:ascii="Palatino Linotype" w:hAnsi="Palatino Linotype" w:cs="Arial"/>
          <w:b/>
          <w:lang w:val="es-ES_tradnl" w:eastAsia="es-ES"/>
        </w:rPr>
        <w:t xml:space="preserve"> </w:t>
      </w:r>
      <w:r w:rsidRPr="00DA2CB2">
        <w:rPr>
          <w:rFonts w:ascii="Palatino Linotype" w:hAnsi="Palatino Linotype" w:cs="Arial"/>
          <w:lang w:val="es-ES" w:eastAsia="es-ES"/>
        </w:rPr>
        <w:t xml:space="preserve">razones o motivos de inconformidad hechos valer </w:t>
      </w:r>
      <w:r w:rsidRPr="00DA2CB2">
        <w:rPr>
          <w:rFonts w:ascii="Palatino Linotype" w:eastAsia="Calibri" w:hAnsi="Palatino Linotype" w:cs="Arial"/>
          <w:lang w:val="es-ES" w:eastAsia="es-ES"/>
        </w:rPr>
        <w:t xml:space="preserve">en el recurso de revisión </w:t>
      </w:r>
      <w:r w:rsidR="005E1B1C" w:rsidRPr="00DA2CB2">
        <w:rPr>
          <w:rFonts w:ascii="Palatino Linotype" w:eastAsiaTheme="minorEastAsia" w:hAnsi="Palatino Linotype" w:cs="Arial"/>
          <w:b/>
          <w:bCs/>
          <w:lang w:val="es-ES_tradnl" w:eastAsia="es-ES"/>
        </w:rPr>
        <w:t>03193</w:t>
      </w:r>
      <w:r w:rsidRPr="00DA2CB2">
        <w:rPr>
          <w:rFonts w:ascii="Palatino Linotype" w:eastAsiaTheme="minorEastAsia" w:hAnsi="Palatino Linotype" w:cs="Arial"/>
          <w:b/>
          <w:bCs/>
          <w:lang w:val="es-ES_tradnl" w:eastAsia="es-ES"/>
        </w:rPr>
        <w:t xml:space="preserve">/INFOEM/IP/RR/2023, </w:t>
      </w:r>
      <w:r w:rsidRPr="00DA2CB2">
        <w:rPr>
          <w:rFonts w:ascii="Palatino Linotype" w:eastAsiaTheme="minorEastAsia" w:hAnsi="Palatino Linotype" w:cs="Arial"/>
          <w:bCs/>
          <w:lang w:val="es-ES_tradnl" w:eastAsia="es-ES"/>
        </w:rPr>
        <w:t xml:space="preserve">en términos del </w:t>
      </w:r>
      <w:r w:rsidRPr="00DA2CB2">
        <w:rPr>
          <w:rFonts w:ascii="Palatino Linotype" w:eastAsiaTheme="minorEastAsia" w:hAnsi="Palatino Linotype" w:cs="Arial"/>
          <w:b/>
          <w:bCs/>
          <w:lang w:val="es-ES_tradnl" w:eastAsia="es-ES"/>
        </w:rPr>
        <w:t>Considerando</w:t>
      </w:r>
      <w:r w:rsidRPr="00DA2CB2">
        <w:rPr>
          <w:rFonts w:ascii="Palatino Linotype" w:eastAsiaTheme="minorEastAsia" w:hAnsi="Palatino Linotype" w:cs="Arial"/>
          <w:bCs/>
          <w:lang w:val="es-ES_tradnl" w:eastAsia="es-ES"/>
        </w:rPr>
        <w:t xml:space="preserve"> </w:t>
      </w:r>
      <w:r w:rsidRPr="00DA2CB2">
        <w:rPr>
          <w:rFonts w:ascii="Palatino Linotype" w:eastAsiaTheme="minorEastAsia" w:hAnsi="Palatino Linotype" w:cs="Arial"/>
          <w:b/>
          <w:bCs/>
          <w:lang w:val="es-ES_tradnl" w:eastAsia="es-ES"/>
        </w:rPr>
        <w:t>CUARTO</w:t>
      </w:r>
      <w:r w:rsidRPr="00DA2CB2">
        <w:rPr>
          <w:rFonts w:ascii="Palatino Linotype" w:eastAsiaTheme="minorEastAsia" w:hAnsi="Palatino Linotype" w:cs="Arial"/>
          <w:bCs/>
          <w:lang w:val="es-ES_tradnl" w:eastAsia="es-ES"/>
        </w:rPr>
        <w:t xml:space="preserve"> de la presente resolución.</w:t>
      </w:r>
    </w:p>
    <w:p w14:paraId="51621D8E" w14:textId="77777777" w:rsidR="00E95165" w:rsidRPr="00DA2CB2" w:rsidRDefault="00E95165" w:rsidP="00E95165">
      <w:pPr>
        <w:spacing w:line="360" w:lineRule="auto"/>
        <w:jc w:val="both"/>
        <w:rPr>
          <w:rFonts w:ascii="Palatino Linotype" w:hAnsi="Palatino Linotype"/>
          <w:lang w:val="es-ES_tradnl" w:eastAsia="es-ES"/>
        </w:rPr>
      </w:pPr>
    </w:p>
    <w:p w14:paraId="3C14AA20" w14:textId="77777777" w:rsidR="00E95165" w:rsidRPr="00DA2CB2" w:rsidRDefault="00E95165" w:rsidP="00E95165">
      <w:pPr>
        <w:spacing w:line="360" w:lineRule="auto"/>
        <w:jc w:val="both"/>
        <w:rPr>
          <w:rFonts w:ascii="Palatino Linotype" w:eastAsia="Calibri" w:hAnsi="Palatino Linotype" w:cs="Arial"/>
          <w:lang w:val="es-ES" w:eastAsia="es-ES"/>
        </w:rPr>
      </w:pPr>
      <w:r w:rsidRPr="00DA2CB2">
        <w:rPr>
          <w:rFonts w:ascii="Palatino Linotype" w:eastAsiaTheme="minorEastAsia" w:hAnsi="Palatino Linotype"/>
          <w:b/>
          <w:lang w:val="es-ES_tradnl" w:eastAsia="es-ES"/>
        </w:rPr>
        <w:t>SEGUNDO.</w:t>
      </w:r>
      <w:r w:rsidRPr="00DA2CB2">
        <w:rPr>
          <w:rFonts w:ascii="Palatino Linotype" w:eastAsiaTheme="majorEastAsia" w:hAnsi="Palatino Linotype" w:cstheme="majorBidi"/>
          <w:b/>
          <w:color w:val="2E74B5" w:themeColor="accent1" w:themeShade="BF"/>
          <w:lang w:val="es-ES_tradnl" w:eastAsia="es-ES"/>
        </w:rPr>
        <w:t xml:space="preserve"> </w:t>
      </w:r>
      <w:r w:rsidRPr="00DA2CB2">
        <w:rPr>
          <w:rFonts w:ascii="Palatino Linotype" w:eastAsia="Calibri" w:hAnsi="Palatino Linotype" w:cs="Arial"/>
          <w:lang w:val="es-ES" w:eastAsia="es-ES"/>
        </w:rPr>
        <w:t>Se</w:t>
      </w:r>
      <w:r w:rsidRPr="00DA2CB2">
        <w:rPr>
          <w:rFonts w:ascii="Palatino Linotype" w:eastAsia="Calibri" w:hAnsi="Palatino Linotype" w:cs="Arial"/>
          <w:b/>
          <w:lang w:val="es-ES" w:eastAsia="es-ES"/>
        </w:rPr>
        <w:t xml:space="preserve"> CONFIRMA </w:t>
      </w:r>
      <w:r w:rsidRPr="00DA2CB2">
        <w:rPr>
          <w:rFonts w:ascii="Palatino Linotype" w:eastAsia="Calibri" w:hAnsi="Palatino Linotype" w:cs="Arial"/>
          <w:lang w:val="es-ES" w:eastAsia="es-ES"/>
        </w:rPr>
        <w:t xml:space="preserve">la respuesta emitida por el </w:t>
      </w:r>
      <w:r w:rsidR="005E1B1C" w:rsidRPr="00DA2CB2">
        <w:rPr>
          <w:rFonts w:ascii="Palatino Linotype" w:eastAsiaTheme="minorEastAsia" w:hAnsi="Palatino Linotype" w:cs="Arial"/>
          <w:b/>
          <w:bCs/>
          <w:lang w:eastAsia="es-ES"/>
        </w:rPr>
        <w:t>Instituto Mexiquense de la Vivienda Social</w:t>
      </w:r>
      <w:r w:rsidRPr="00DA2CB2">
        <w:rPr>
          <w:rFonts w:ascii="Palatino Linotype" w:eastAsiaTheme="minorEastAsia" w:hAnsi="Palatino Linotype" w:cs="Arial"/>
          <w:b/>
          <w:bCs/>
          <w:lang w:val="es-ES" w:eastAsia="es-ES"/>
        </w:rPr>
        <w:t xml:space="preserve"> </w:t>
      </w:r>
      <w:r w:rsidRPr="00DA2CB2">
        <w:rPr>
          <w:rFonts w:ascii="Palatino Linotype" w:eastAsia="Calibri" w:hAnsi="Palatino Linotype" w:cs="Arial"/>
          <w:lang w:val="es-ES" w:eastAsia="es-ES"/>
        </w:rPr>
        <w:t xml:space="preserve">a la solicitud </w:t>
      </w:r>
      <w:r w:rsidR="005E1B1C" w:rsidRPr="00DA2CB2">
        <w:rPr>
          <w:rFonts w:ascii="Palatino Linotype" w:hAnsi="Palatino Linotype"/>
          <w:b/>
          <w:bCs/>
        </w:rPr>
        <w:t>00039/IMEVIS/IP/2023</w:t>
      </w:r>
      <w:r w:rsidRPr="00DA2CB2">
        <w:rPr>
          <w:rFonts w:ascii="Palatino Linotype" w:eastAsia="Calibri" w:hAnsi="Palatino Linotype" w:cs="Arial"/>
          <w:b/>
          <w:lang w:val="es-ES" w:eastAsia="es-ES"/>
        </w:rPr>
        <w:t>.</w:t>
      </w:r>
      <w:r w:rsidRPr="00DA2CB2">
        <w:rPr>
          <w:rFonts w:ascii="Palatino Linotype" w:eastAsia="Calibri" w:hAnsi="Palatino Linotype" w:cs="Arial"/>
          <w:lang w:val="es-ES" w:eastAsia="es-ES"/>
        </w:rPr>
        <w:t xml:space="preserve"> </w:t>
      </w:r>
    </w:p>
    <w:p w14:paraId="7FCF69C9" w14:textId="77777777" w:rsidR="00E95165" w:rsidRPr="00DA2CB2" w:rsidRDefault="00E95165" w:rsidP="00E95165">
      <w:pPr>
        <w:spacing w:line="360" w:lineRule="auto"/>
        <w:jc w:val="both"/>
        <w:rPr>
          <w:rFonts w:ascii="Palatino Linotype" w:eastAsia="Calibri" w:hAnsi="Palatino Linotype" w:cs="Arial"/>
          <w:lang w:val="es-ES" w:eastAsia="es-ES"/>
        </w:rPr>
      </w:pPr>
    </w:p>
    <w:p w14:paraId="531A2DE4" w14:textId="77777777" w:rsidR="00E95165" w:rsidRPr="00DA2CB2" w:rsidRDefault="00E95165" w:rsidP="00E95165">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DA2CB2">
        <w:rPr>
          <w:rFonts w:ascii="Palatino Linotype" w:eastAsia="Palatino Linotype" w:hAnsi="Palatino Linotype" w:cs="Palatino Linotype"/>
          <w:b/>
          <w:lang w:val="es-ES_tradnl" w:eastAsia="es-ES"/>
        </w:rPr>
        <w:t xml:space="preserve">TERCERO. REMÍTASE, </w:t>
      </w:r>
      <w:r w:rsidRPr="00DA2CB2">
        <w:rPr>
          <w:rFonts w:ascii="Palatino Linotype" w:eastAsia="Palatino Linotype" w:hAnsi="Palatino Linotype" w:cs="Palatino Linotype"/>
          <w:lang w:val="es-ES_tradnl" w:eastAsia="es-ES"/>
        </w:rPr>
        <w:t xml:space="preserve">vía Sistema de Acceso a la Información Mexiquense (SAIMEX), la presente resolución al Titular de la Unidad de Transparencia del </w:t>
      </w:r>
      <w:r w:rsidRPr="00DA2CB2">
        <w:rPr>
          <w:rFonts w:ascii="Palatino Linotype" w:eastAsia="Palatino Linotype" w:hAnsi="Palatino Linotype" w:cs="Palatino Linotype"/>
          <w:b/>
          <w:lang w:val="es-ES_tradnl" w:eastAsia="es-ES"/>
        </w:rPr>
        <w:t>SUJETO OBLIGADO.</w:t>
      </w:r>
    </w:p>
    <w:p w14:paraId="2E5F76FF" w14:textId="77777777" w:rsidR="00E95165" w:rsidRPr="00DA2CB2" w:rsidRDefault="00E95165" w:rsidP="00E95165">
      <w:pPr>
        <w:tabs>
          <w:tab w:val="left" w:pos="8080"/>
        </w:tabs>
        <w:spacing w:line="360" w:lineRule="auto"/>
        <w:ind w:right="49"/>
        <w:contextualSpacing/>
        <w:jc w:val="both"/>
        <w:rPr>
          <w:rFonts w:ascii="Palatino Linotype" w:eastAsia="Palatino Linotype" w:hAnsi="Palatino Linotype" w:cs="Palatino Linotype"/>
          <w:b/>
          <w:lang w:val="es-ES_tradnl" w:eastAsia="es-ES"/>
        </w:rPr>
      </w:pPr>
    </w:p>
    <w:p w14:paraId="1F64CF15" w14:textId="77777777" w:rsidR="00E95165" w:rsidRPr="00DA2CB2" w:rsidRDefault="00E95165" w:rsidP="00E95165">
      <w:pPr>
        <w:shd w:val="clear" w:color="auto" w:fill="FFFFFF"/>
        <w:spacing w:line="360" w:lineRule="auto"/>
        <w:jc w:val="both"/>
        <w:rPr>
          <w:rFonts w:ascii="Palatino Linotype" w:eastAsiaTheme="minorEastAsia" w:hAnsi="Palatino Linotype"/>
          <w:lang w:val="es-ES_tradnl" w:eastAsia="es-ES"/>
        </w:rPr>
      </w:pPr>
      <w:r w:rsidRPr="00DA2CB2">
        <w:rPr>
          <w:rFonts w:ascii="Palatino Linotype" w:hAnsi="Palatino Linotype" w:cs="Arial"/>
          <w:b/>
          <w:lang w:val="es-ES_tradnl" w:eastAsia="es-ES"/>
        </w:rPr>
        <w:t xml:space="preserve">CUARTO. </w:t>
      </w:r>
      <w:r w:rsidRPr="00DA2CB2">
        <w:rPr>
          <w:rFonts w:ascii="Palatino Linotype" w:hAnsi="Palatino Linotype"/>
          <w:b/>
          <w:bCs/>
          <w:lang w:val="es-ES" w:eastAsia="es-ES"/>
        </w:rPr>
        <w:t>Notifíquese a</w:t>
      </w:r>
      <w:r w:rsidRPr="00DA2CB2">
        <w:rPr>
          <w:rFonts w:ascii="Palatino Linotype" w:eastAsiaTheme="minorEastAsia" w:hAnsi="Palatino Linotype"/>
          <w:b/>
          <w:lang w:val="es-ES_tradnl" w:eastAsia="es-ES"/>
        </w:rPr>
        <w:t xml:space="preserve">l RECURRENTE </w:t>
      </w:r>
      <w:r w:rsidRPr="00DA2CB2">
        <w:rPr>
          <w:rFonts w:ascii="Palatino Linotype" w:eastAsiaTheme="minorEastAsia" w:hAnsi="Palatino Linotype"/>
          <w:lang w:val="es-ES_tradnl" w:eastAsia="es-ES"/>
        </w:rPr>
        <w:t>la presente resolución vía SAIMEX.</w:t>
      </w:r>
    </w:p>
    <w:p w14:paraId="7969262D" w14:textId="77777777" w:rsidR="00E95165" w:rsidRPr="00DA2CB2" w:rsidRDefault="00E95165" w:rsidP="00E95165">
      <w:pPr>
        <w:shd w:val="clear" w:color="auto" w:fill="FFFFFF"/>
        <w:spacing w:line="360" w:lineRule="auto"/>
        <w:jc w:val="both"/>
        <w:rPr>
          <w:rFonts w:ascii="Palatino Linotype" w:eastAsiaTheme="minorEastAsia" w:hAnsi="Palatino Linotype"/>
          <w:lang w:val="es-ES_tradnl" w:eastAsia="es-ES"/>
        </w:rPr>
      </w:pPr>
    </w:p>
    <w:p w14:paraId="51EA8C79" w14:textId="77777777" w:rsidR="00E95165" w:rsidRPr="00DA2CB2" w:rsidRDefault="00E95165" w:rsidP="00E95165">
      <w:pPr>
        <w:spacing w:line="360" w:lineRule="auto"/>
        <w:jc w:val="both"/>
        <w:rPr>
          <w:rFonts w:ascii="Palatino Linotype" w:eastAsia="MS Mincho" w:hAnsi="Palatino Linotype"/>
          <w:lang w:val="es-ES" w:eastAsia="es-ES"/>
        </w:rPr>
      </w:pPr>
      <w:r w:rsidRPr="00DA2CB2">
        <w:rPr>
          <w:rFonts w:ascii="Palatino Linotype" w:eastAsia="MS Mincho" w:hAnsi="Palatino Linotype"/>
          <w:b/>
          <w:lang w:eastAsia="es-ES"/>
        </w:rPr>
        <w:t>QUINTO.</w:t>
      </w:r>
      <w:r w:rsidRPr="00DA2CB2">
        <w:rPr>
          <w:rFonts w:ascii="Palatino Linotype" w:eastAsia="MS Mincho" w:hAnsi="Palatino Linotype"/>
          <w:lang w:eastAsia="es-ES"/>
        </w:rPr>
        <w:t xml:space="preserve"> </w:t>
      </w:r>
      <w:r w:rsidRPr="00DA2CB2">
        <w:rPr>
          <w:rFonts w:ascii="Palatino Linotype" w:eastAsia="MS Mincho" w:hAnsi="Palatino Linotype"/>
          <w:lang w:val="es-ES" w:eastAsia="es-ES"/>
        </w:rPr>
        <w:t xml:space="preserve">Se hace del conocimiento del </w:t>
      </w:r>
      <w:r w:rsidRPr="00DA2CB2">
        <w:rPr>
          <w:rFonts w:ascii="Palatino Linotype" w:eastAsiaTheme="minorEastAsia" w:hAnsi="Palatino Linotype"/>
          <w:b/>
          <w:lang w:val="es-ES_tradnl" w:eastAsia="es-ES"/>
        </w:rPr>
        <w:t xml:space="preserve">RECURRENTE </w:t>
      </w:r>
      <w:r w:rsidRPr="00DA2CB2">
        <w:rPr>
          <w:rFonts w:ascii="Palatino Linotype" w:eastAsia="MS Mincho" w:hAnsi="Palatino Linotype"/>
          <w:lang w:val="es-ES" w:eastAsia="es-ES"/>
        </w:rPr>
        <w:t>que, de conformidad con lo establecido en el artículo 196 de la Ley de Transparencia y Acceso a la Información Pública del Estado de México y Municipios, en caso de que considere que la resolución le cause algún perjuicio podrá impugnarla </w:t>
      </w:r>
      <w:r w:rsidRPr="00DA2CB2">
        <w:rPr>
          <w:rFonts w:ascii="Palatino Linotype" w:eastAsia="MS Mincho" w:hAnsi="Palatino Linotype"/>
          <w:bCs/>
          <w:lang w:val="es-ES" w:eastAsia="es-ES"/>
        </w:rPr>
        <w:t>vía juicio de amparo</w:t>
      </w:r>
      <w:r w:rsidRPr="00DA2CB2">
        <w:rPr>
          <w:rFonts w:ascii="Palatino Linotype" w:eastAsia="MS Mincho" w:hAnsi="Palatino Linotype"/>
          <w:lang w:val="es-ES" w:eastAsia="es-ES"/>
        </w:rPr>
        <w:t> en los términos de las leyes aplicables.</w:t>
      </w:r>
    </w:p>
    <w:p w14:paraId="2E1BEF2D" w14:textId="77777777" w:rsidR="005916C8" w:rsidRPr="003C7186" w:rsidRDefault="005916C8" w:rsidP="005916C8">
      <w:pPr>
        <w:spacing w:line="360" w:lineRule="auto"/>
        <w:ind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SESIÓN ORDINARIA CELEBRADA EL </w:t>
      </w:r>
      <w:r>
        <w:rPr>
          <w:rFonts w:ascii="Palatino Linotype" w:hAnsi="Palatino Linotype"/>
        </w:rPr>
        <w:t>VEINTIOCHO</w:t>
      </w:r>
      <w:r w:rsidRPr="003C7186">
        <w:rPr>
          <w:rFonts w:ascii="Palatino Linotype" w:hAnsi="Palatino Linotype"/>
        </w:rPr>
        <w:t xml:space="preserve"> </w:t>
      </w:r>
      <w:r>
        <w:rPr>
          <w:rFonts w:ascii="Palatino Linotype" w:hAnsi="Palatino Linotype"/>
        </w:rPr>
        <w:t>(28) DE AGOSTO</w:t>
      </w:r>
      <w:r w:rsidRPr="003C7186">
        <w:rPr>
          <w:rFonts w:ascii="Palatino Linotype" w:hAnsi="Palatino Linotype"/>
        </w:rPr>
        <w:t xml:space="preserve"> DE DOS MIL VEINTICUATRO, ANTE EL SECRETARIO TÉCNICO DEL PLENO ALEXIS TAPIA RAMÍREZ. </w:t>
      </w:r>
    </w:p>
    <w:p w14:paraId="00B35670" w14:textId="77777777" w:rsidR="00E95165" w:rsidRPr="00DA2CB2" w:rsidRDefault="00E95165" w:rsidP="00E95165"/>
    <w:p w14:paraId="7B07A5EE" w14:textId="77777777" w:rsidR="00E95165" w:rsidRPr="00DA2CB2" w:rsidRDefault="00E95165" w:rsidP="00E95165"/>
    <w:p w14:paraId="6F7591D9" w14:textId="77777777" w:rsidR="00E95165" w:rsidRPr="00DA2CB2" w:rsidRDefault="00E95165" w:rsidP="00E95165"/>
    <w:p w14:paraId="0C6916EA" w14:textId="77777777" w:rsidR="00E95165" w:rsidRPr="00DA2CB2" w:rsidRDefault="00E95165" w:rsidP="00E95165"/>
    <w:p w14:paraId="36A0C3D5" w14:textId="77777777" w:rsidR="00E95165" w:rsidRPr="00DA2CB2" w:rsidRDefault="00E95165" w:rsidP="00E95165"/>
    <w:p w14:paraId="50859E64" w14:textId="77777777" w:rsidR="000945DC" w:rsidRDefault="000945DC"/>
    <w:p w14:paraId="311A3E44" w14:textId="77777777" w:rsidR="00F33159" w:rsidRDefault="00F33159"/>
    <w:p w14:paraId="56D38BAC" w14:textId="77777777" w:rsidR="00F33159" w:rsidRDefault="00F33159"/>
    <w:p w14:paraId="0CA21E94" w14:textId="77777777" w:rsidR="00F33159" w:rsidRDefault="00F33159"/>
    <w:p w14:paraId="427BC61E" w14:textId="77777777" w:rsidR="00F33159" w:rsidRDefault="00F33159"/>
    <w:p w14:paraId="216C4923" w14:textId="77777777" w:rsidR="00F33159" w:rsidRDefault="00F33159"/>
    <w:p w14:paraId="523E8E31" w14:textId="77777777" w:rsidR="00F33159" w:rsidRDefault="00F33159"/>
    <w:p w14:paraId="44E1DCC5" w14:textId="77777777" w:rsidR="00F33159" w:rsidRDefault="00F33159"/>
    <w:p w14:paraId="27DF4BC8" w14:textId="77777777" w:rsidR="00F33159" w:rsidRDefault="00F33159"/>
    <w:p w14:paraId="3C6B05CF" w14:textId="77777777" w:rsidR="00F33159" w:rsidRDefault="00F33159"/>
    <w:p w14:paraId="70CA9AFB" w14:textId="77777777" w:rsidR="00F33159" w:rsidRDefault="00F33159"/>
    <w:p w14:paraId="27A885A6" w14:textId="77777777" w:rsidR="00F33159" w:rsidRDefault="00F33159"/>
    <w:p w14:paraId="071BEB87" w14:textId="77777777" w:rsidR="00F33159" w:rsidRDefault="00F33159"/>
    <w:p w14:paraId="552752B0" w14:textId="77777777" w:rsidR="00F33159" w:rsidRDefault="00F33159"/>
    <w:p w14:paraId="609C1010" w14:textId="77777777" w:rsidR="00F33159" w:rsidRDefault="00F33159"/>
    <w:p w14:paraId="5E2125C1" w14:textId="77777777" w:rsidR="00F33159" w:rsidRDefault="00F33159"/>
    <w:p w14:paraId="38B24530" w14:textId="77777777" w:rsidR="00F33159" w:rsidRDefault="00F33159"/>
    <w:p w14:paraId="2A1527BE" w14:textId="77777777" w:rsidR="00F33159" w:rsidRDefault="00F33159"/>
    <w:p w14:paraId="08A26DAF" w14:textId="77777777" w:rsidR="00F33159" w:rsidRDefault="00F33159"/>
    <w:p w14:paraId="5A5674E4" w14:textId="77777777" w:rsidR="00F33159" w:rsidRDefault="00F33159"/>
    <w:p w14:paraId="41CF3003" w14:textId="77777777" w:rsidR="00F33159" w:rsidRDefault="00F33159"/>
    <w:p w14:paraId="4471AD1E" w14:textId="77777777" w:rsidR="00F33159" w:rsidRDefault="00F33159"/>
    <w:p w14:paraId="580B436B" w14:textId="77777777" w:rsidR="00F33159" w:rsidRDefault="00F33159"/>
    <w:p w14:paraId="432652D0" w14:textId="77777777" w:rsidR="00F33159" w:rsidRDefault="00F33159"/>
    <w:p w14:paraId="3043C177" w14:textId="77777777" w:rsidR="00F33159" w:rsidRDefault="00F33159"/>
    <w:p w14:paraId="3261CC25" w14:textId="77777777" w:rsidR="00F33159" w:rsidRDefault="00F33159"/>
    <w:p w14:paraId="6CE18014" w14:textId="77777777" w:rsidR="00F33159" w:rsidRDefault="00F33159"/>
    <w:p w14:paraId="21FB7AE6" w14:textId="77777777" w:rsidR="00F33159" w:rsidRPr="00DA2CB2" w:rsidRDefault="00F33159"/>
    <w:sectPr w:rsidR="00F33159" w:rsidRPr="00DA2CB2" w:rsidSect="00DA2CB2">
      <w:headerReference w:type="default" r:id="rId15"/>
      <w:footerReference w:type="default" r:id="rId16"/>
      <w:headerReference w:type="first" r:id="rId17"/>
      <w:footerReference w:type="first" r:id="rId18"/>
      <w:pgSz w:w="12240" w:h="15840"/>
      <w:pgMar w:top="2268" w:right="900" w:bottom="1560"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9032" w14:textId="77777777" w:rsidR="0083605E" w:rsidRDefault="0083605E" w:rsidP="00E95165">
      <w:r>
        <w:separator/>
      </w:r>
    </w:p>
  </w:endnote>
  <w:endnote w:type="continuationSeparator" w:id="0">
    <w:p w14:paraId="4EC20A61" w14:textId="77777777" w:rsidR="0083605E" w:rsidRDefault="0083605E" w:rsidP="00E9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B6BB" w14:textId="77777777" w:rsidR="00AD4FC2" w:rsidRDefault="00AD4FC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F33159">
      <w:rPr>
        <w:rFonts w:ascii="Palatino Linotype" w:eastAsia="Palatino Linotype" w:hAnsi="Palatino Linotype" w:cs="Palatino Linotype"/>
        <w:b/>
        <w:noProof/>
        <w:color w:val="000000"/>
        <w:sz w:val="22"/>
        <w:szCs w:val="22"/>
      </w:rPr>
      <w:t>21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F33159">
      <w:rPr>
        <w:rFonts w:ascii="Palatino Linotype" w:eastAsia="Palatino Linotype" w:hAnsi="Palatino Linotype" w:cs="Palatino Linotype"/>
        <w:b/>
        <w:noProof/>
        <w:color w:val="000000"/>
        <w:sz w:val="22"/>
        <w:szCs w:val="22"/>
      </w:rPr>
      <w:t>22</w:t>
    </w:r>
    <w:r>
      <w:rPr>
        <w:rFonts w:ascii="Palatino Linotype" w:eastAsia="Palatino Linotype" w:hAnsi="Palatino Linotype" w:cs="Palatino Linotype"/>
        <w:b/>
        <w:color w:val="000000"/>
        <w:sz w:val="22"/>
        <w:szCs w:val="22"/>
      </w:rPr>
      <w:fldChar w:fldCharType="end"/>
    </w:r>
  </w:p>
  <w:p w14:paraId="6534F42E" w14:textId="77777777" w:rsidR="00AD4FC2" w:rsidRDefault="00AD4FC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0279" w14:textId="77777777" w:rsidR="00AD4FC2" w:rsidRDefault="00AD4FC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3315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33159">
      <w:rPr>
        <w:rFonts w:ascii="Palatino Linotype" w:eastAsia="Palatino Linotype" w:hAnsi="Palatino Linotype" w:cs="Palatino Linotype"/>
        <w:noProof/>
        <w:color w:val="000000"/>
        <w:sz w:val="22"/>
        <w:szCs w:val="22"/>
      </w:rPr>
      <w:t>22</w:t>
    </w:r>
    <w:r>
      <w:rPr>
        <w:rFonts w:ascii="Palatino Linotype" w:eastAsia="Palatino Linotype" w:hAnsi="Palatino Linotype" w:cs="Palatino Linotype"/>
        <w:color w:val="000000"/>
        <w:sz w:val="22"/>
        <w:szCs w:val="22"/>
      </w:rPr>
      <w:fldChar w:fldCharType="end"/>
    </w:r>
  </w:p>
  <w:p w14:paraId="25E792BB" w14:textId="77777777" w:rsidR="00AD4FC2" w:rsidRDefault="00AD4FC2">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64CD" w14:textId="77777777" w:rsidR="0083605E" w:rsidRDefault="0083605E" w:rsidP="00E95165">
      <w:r>
        <w:separator/>
      </w:r>
    </w:p>
  </w:footnote>
  <w:footnote w:type="continuationSeparator" w:id="0">
    <w:p w14:paraId="1A7E0DF0" w14:textId="77777777" w:rsidR="0083605E" w:rsidRDefault="0083605E" w:rsidP="00E95165">
      <w:r>
        <w:continuationSeparator/>
      </w:r>
    </w:p>
  </w:footnote>
  <w:footnote w:id="1">
    <w:p w14:paraId="243920D4" w14:textId="77777777" w:rsidR="00AD4FC2" w:rsidRDefault="00AD4FC2" w:rsidP="00AD4FC2">
      <w:pPr>
        <w:pStyle w:val="Textonotapie"/>
      </w:pPr>
      <w:r>
        <w:rPr>
          <w:rStyle w:val="Refdenotaalpie"/>
        </w:rPr>
        <w:footnoteRef/>
      </w:r>
      <w:r>
        <w:t xml:space="preserve"> Artículo 150. Ley de Transparencia y Acceso a la Información Pública del Estado de México y Municipios.</w:t>
      </w:r>
    </w:p>
    <w:p w14:paraId="3EAD34E4" w14:textId="77777777" w:rsidR="00AD4FC2" w:rsidRDefault="00AD4FC2" w:rsidP="00AD4FC2">
      <w:pPr>
        <w:pStyle w:val="Textonotapie"/>
      </w:pPr>
      <w:r>
        <w:t>Artículo 151. Ibídem.</w:t>
      </w:r>
    </w:p>
  </w:footnote>
  <w:footnote w:id="2">
    <w:p w14:paraId="15D2DA6F" w14:textId="77777777" w:rsidR="00AD4FC2" w:rsidRDefault="00AD4FC2" w:rsidP="00AD4FC2">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7" w:type="dxa"/>
      <w:tblInd w:w="2510" w:type="dxa"/>
      <w:tblBorders>
        <w:top w:val="nil"/>
        <w:left w:val="nil"/>
        <w:bottom w:val="nil"/>
        <w:right w:val="nil"/>
        <w:insideH w:val="nil"/>
        <w:insideV w:val="nil"/>
      </w:tblBorders>
      <w:tblLayout w:type="fixed"/>
      <w:tblLook w:val="0400" w:firstRow="0" w:lastRow="0" w:firstColumn="0" w:lastColumn="0" w:noHBand="0" w:noVBand="1"/>
    </w:tblPr>
    <w:tblGrid>
      <w:gridCol w:w="3260"/>
      <w:gridCol w:w="4537"/>
    </w:tblGrid>
    <w:tr w:rsidR="00AD4FC2" w:rsidRPr="00DA2CB2" w14:paraId="2810B42F" w14:textId="77777777" w:rsidTr="00DA2CB2">
      <w:trPr>
        <w:trHeight w:val="138"/>
      </w:trPr>
      <w:tc>
        <w:tcPr>
          <w:tcW w:w="3260" w:type="dxa"/>
          <w:vAlign w:val="center"/>
        </w:tcPr>
        <w:p w14:paraId="4CB123E8" w14:textId="77777777" w:rsidR="00AD4FC2" w:rsidRPr="00DA2CB2" w:rsidRDefault="00AD4FC2">
          <w:pPr>
            <w:ind w:right="34"/>
            <w:jc w:val="right"/>
            <w:rPr>
              <w:rFonts w:ascii="Palatino Linotype" w:eastAsia="Palatino Linotype" w:hAnsi="Palatino Linotype" w:cs="Palatino Linotype"/>
              <w:b/>
              <w:sz w:val="22"/>
            </w:rPr>
          </w:pPr>
          <w:r w:rsidRPr="00DA2CB2">
            <w:rPr>
              <w:rFonts w:ascii="Palatino Linotype" w:eastAsia="Palatino Linotype" w:hAnsi="Palatino Linotype" w:cs="Palatino Linotype"/>
              <w:b/>
              <w:sz w:val="22"/>
            </w:rPr>
            <w:t>RECURSO DE REVISIÓN:</w:t>
          </w:r>
        </w:p>
      </w:tc>
      <w:tc>
        <w:tcPr>
          <w:tcW w:w="4537" w:type="dxa"/>
          <w:vAlign w:val="center"/>
        </w:tcPr>
        <w:p w14:paraId="42BB574B" w14:textId="77777777" w:rsidR="00AD4FC2" w:rsidRPr="00DA2CB2" w:rsidRDefault="00AD4FC2" w:rsidP="00DA2CB2">
          <w:pPr>
            <w:pBdr>
              <w:top w:val="nil"/>
              <w:left w:val="nil"/>
              <w:bottom w:val="nil"/>
              <w:right w:val="nil"/>
              <w:between w:val="nil"/>
            </w:pBdr>
            <w:tabs>
              <w:tab w:val="right" w:pos="8504"/>
            </w:tabs>
            <w:rPr>
              <w:rFonts w:ascii="Palatino Linotype" w:eastAsia="Palatino Linotype" w:hAnsi="Palatino Linotype" w:cs="Palatino Linotype"/>
              <w:sz w:val="22"/>
            </w:rPr>
          </w:pPr>
          <w:r w:rsidRPr="00DA2CB2">
            <w:rPr>
              <w:rFonts w:ascii="Palatino Linotype" w:eastAsia="Palatino Linotype" w:hAnsi="Palatino Linotype" w:cs="Palatino Linotype"/>
              <w:sz w:val="22"/>
            </w:rPr>
            <w:t>03193/INFOEM/IP/RR/2023</w:t>
          </w:r>
        </w:p>
      </w:tc>
    </w:tr>
    <w:tr w:rsidR="00AD4FC2" w:rsidRPr="00DA2CB2" w14:paraId="561CABB5" w14:textId="77777777" w:rsidTr="00DA2CB2">
      <w:trPr>
        <w:trHeight w:val="233"/>
      </w:trPr>
      <w:tc>
        <w:tcPr>
          <w:tcW w:w="3260" w:type="dxa"/>
          <w:vAlign w:val="center"/>
        </w:tcPr>
        <w:p w14:paraId="23DD440C" w14:textId="77777777" w:rsidR="00AD4FC2" w:rsidRPr="00DA2CB2" w:rsidRDefault="00AD4FC2">
          <w:pPr>
            <w:ind w:right="34"/>
            <w:jc w:val="right"/>
            <w:rPr>
              <w:rFonts w:ascii="Palatino Linotype" w:eastAsia="Palatino Linotype" w:hAnsi="Palatino Linotype" w:cs="Palatino Linotype"/>
              <w:b/>
              <w:sz w:val="22"/>
            </w:rPr>
          </w:pPr>
          <w:r w:rsidRPr="00DA2CB2">
            <w:rPr>
              <w:rFonts w:ascii="Palatino Linotype" w:eastAsia="Palatino Linotype" w:hAnsi="Palatino Linotype" w:cs="Palatino Linotype"/>
              <w:b/>
              <w:sz w:val="22"/>
            </w:rPr>
            <w:t>SUJETO OBLIGADO:</w:t>
          </w:r>
        </w:p>
      </w:tc>
      <w:tc>
        <w:tcPr>
          <w:tcW w:w="4537" w:type="dxa"/>
          <w:vAlign w:val="center"/>
        </w:tcPr>
        <w:p w14:paraId="7A883315" w14:textId="77777777" w:rsidR="00AD4FC2" w:rsidRPr="00DA2CB2" w:rsidRDefault="00AD4FC2" w:rsidP="00DA2CB2">
          <w:pPr>
            <w:pBdr>
              <w:top w:val="nil"/>
              <w:left w:val="nil"/>
              <w:bottom w:val="nil"/>
              <w:right w:val="nil"/>
              <w:between w:val="nil"/>
            </w:pBdr>
            <w:tabs>
              <w:tab w:val="right" w:pos="8504"/>
            </w:tabs>
            <w:rPr>
              <w:rFonts w:ascii="Palatino Linotype" w:eastAsia="Palatino Linotype" w:hAnsi="Palatino Linotype" w:cs="Palatino Linotype"/>
              <w:sz w:val="22"/>
            </w:rPr>
          </w:pPr>
          <w:r w:rsidRPr="00DA2CB2">
            <w:rPr>
              <w:rFonts w:ascii="Palatino Linotype" w:eastAsia="Palatino Linotype" w:hAnsi="Palatino Linotype" w:cs="Palatino Linotype"/>
              <w:bCs/>
              <w:sz w:val="22"/>
            </w:rPr>
            <w:t>Instituto Mexiquense de la Vivienda Social</w:t>
          </w:r>
        </w:p>
      </w:tc>
    </w:tr>
    <w:tr w:rsidR="00AD4FC2" w:rsidRPr="00DA2CB2" w14:paraId="29D950B8" w14:textId="77777777" w:rsidTr="00DA2CB2">
      <w:trPr>
        <w:trHeight w:val="321"/>
      </w:trPr>
      <w:tc>
        <w:tcPr>
          <w:tcW w:w="3260" w:type="dxa"/>
          <w:vAlign w:val="center"/>
        </w:tcPr>
        <w:p w14:paraId="24F41AFE" w14:textId="77777777" w:rsidR="00AD4FC2" w:rsidRPr="00DA2CB2" w:rsidRDefault="00AD4FC2">
          <w:pPr>
            <w:ind w:right="34"/>
            <w:jc w:val="right"/>
            <w:rPr>
              <w:rFonts w:ascii="Palatino Linotype" w:eastAsia="Palatino Linotype" w:hAnsi="Palatino Linotype" w:cs="Palatino Linotype"/>
              <w:b/>
              <w:sz w:val="22"/>
            </w:rPr>
          </w:pPr>
          <w:r w:rsidRPr="00DA2CB2">
            <w:rPr>
              <w:rFonts w:ascii="Palatino Linotype" w:eastAsia="Palatino Linotype" w:hAnsi="Palatino Linotype" w:cs="Palatino Linotype"/>
              <w:b/>
              <w:sz w:val="22"/>
            </w:rPr>
            <w:t>COMISIONADA PONENTE:</w:t>
          </w:r>
        </w:p>
      </w:tc>
      <w:tc>
        <w:tcPr>
          <w:tcW w:w="4537" w:type="dxa"/>
          <w:vAlign w:val="center"/>
        </w:tcPr>
        <w:p w14:paraId="43BC4CC1" w14:textId="77777777" w:rsidR="00AD4FC2" w:rsidRPr="00DA2CB2" w:rsidRDefault="00AD4FC2" w:rsidP="00DA2CB2">
          <w:pPr>
            <w:pBdr>
              <w:top w:val="nil"/>
              <w:left w:val="nil"/>
              <w:bottom w:val="nil"/>
              <w:right w:val="nil"/>
              <w:between w:val="nil"/>
            </w:pBdr>
            <w:tabs>
              <w:tab w:val="right" w:pos="8504"/>
            </w:tabs>
            <w:rPr>
              <w:rFonts w:ascii="Palatino Linotype" w:eastAsia="Palatino Linotype" w:hAnsi="Palatino Linotype" w:cs="Palatino Linotype"/>
              <w:sz w:val="22"/>
            </w:rPr>
          </w:pPr>
          <w:r w:rsidRPr="00DA2CB2">
            <w:rPr>
              <w:rFonts w:ascii="Palatino Linotype" w:eastAsia="Palatino Linotype" w:hAnsi="Palatino Linotype" w:cs="Palatino Linotype"/>
              <w:sz w:val="22"/>
            </w:rPr>
            <w:t>María del Rosario Mejía Ayala</w:t>
          </w:r>
        </w:p>
      </w:tc>
    </w:tr>
  </w:tbl>
  <w:p w14:paraId="10FA7D10" w14:textId="77777777" w:rsidR="00AD4FC2" w:rsidRDefault="00AD4FC2">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795C89B0" wp14:editId="6E1B158D">
          <wp:simplePos x="0" y="0"/>
          <wp:positionH relativeFrom="margin">
            <wp:align>center</wp:align>
          </wp:positionH>
          <wp:positionV relativeFrom="page">
            <wp:posOffset>-254192</wp:posOffset>
          </wp:positionV>
          <wp:extent cx="7695210" cy="10020839"/>
          <wp:effectExtent l="0" t="0" r="127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80" w:type="dxa"/>
      <w:tblInd w:w="2347" w:type="dxa"/>
      <w:tblBorders>
        <w:top w:val="nil"/>
        <w:left w:val="nil"/>
        <w:bottom w:val="nil"/>
        <w:right w:val="nil"/>
        <w:insideH w:val="nil"/>
        <w:insideV w:val="nil"/>
      </w:tblBorders>
      <w:tblLayout w:type="fixed"/>
      <w:tblLook w:val="0400" w:firstRow="0" w:lastRow="0" w:firstColumn="0" w:lastColumn="0" w:noHBand="0" w:noVBand="1"/>
    </w:tblPr>
    <w:tblGrid>
      <w:gridCol w:w="3261"/>
      <w:gridCol w:w="4819"/>
    </w:tblGrid>
    <w:tr w:rsidR="00AD4FC2" w14:paraId="6E06781D" w14:textId="77777777" w:rsidTr="00DA2CB2">
      <w:trPr>
        <w:trHeight w:val="138"/>
      </w:trPr>
      <w:tc>
        <w:tcPr>
          <w:tcW w:w="3261" w:type="dxa"/>
          <w:vAlign w:val="center"/>
        </w:tcPr>
        <w:p w14:paraId="7D500954" w14:textId="77777777" w:rsidR="00AD4FC2" w:rsidRPr="00943769" w:rsidRDefault="00AD4FC2" w:rsidP="00DA2CB2">
          <w:pPr>
            <w:jc w:val="center"/>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RECURSO DE REVISIÓN:</w:t>
          </w:r>
        </w:p>
      </w:tc>
      <w:tc>
        <w:tcPr>
          <w:tcW w:w="4819" w:type="dxa"/>
          <w:vAlign w:val="center"/>
        </w:tcPr>
        <w:p w14:paraId="0282C684" w14:textId="77777777" w:rsidR="00AD4FC2" w:rsidRPr="00DA2CB2" w:rsidRDefault="00AD4FC2" w:rsidP="00DA2CB2">
          <w:pPr>
            <w:pBdr>
              <w:top w:val="nil"/>
              <w:left w:val="nil"/>
              <w:bottom w:val="nil"/>
              <w:right w:val="nil"/>
              <w:between w:val="nil"/>
            </w:pBdr>
            <w:tabs>
              <w:tab w:val="right" w:pos="8504"/>
            </w:tabs>
            <w:rPr>
              <w:rFonts w:ascii="Palatino Linotype" w:eastAsia="Palatino Linotype" w:hAnsi="Palatino Linotype" w:cs="Palatino Linotype"/>
              <w:sz w:val="22"/>
            </w:rPr>
          </w:pPr>
          <w:r w:rsidRPr="00DA2CB2">
            <w:rPr>
              <w:rFonts w:ascii="Palatino Linotype" w:eastAsia="Palatino Linotype" w:hAnsi="Palatino Linotype" w:cs="Palatino Linotype"/>
              <w:sz w:val="22"/>
            </w:rPr>
            <w:t>03193/INFOEM/IP/RR/2023</w:t>
          </w:r>
        </w:p>
      </w:tc>
    </w:tr>
    <w:tr w:rsidR="00AD4FC2" w14:paraId="1637FAA9" w14:textId="77777777" w:rsidTr="00DA2CB2">
      <w:trPr>
        <w:trHeight w:val="233"/>
      </w:trPr>
      <w:tc>
        <w:tcPr>
          <w:tcW w:w="3261" w:type="dxa"/>
          <w:vAlign w:val="center"/>
        </w:tcPr>
        <w:p w14:paraId="093AD94A" w14:textId="77777777" w:rsidR="00AD4FC2" w:rsidRPr="00943769" w:rsidRDefault="00AD4FC2">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RECURRENTE:</w:t>
          </w:r>
        </w:p>
      </w:tc>
      <w:tc>
        <w:tcPr>
          <w:tcW w:w="4819" w:type="dxa"/>
        </w:tcPr>
        <w:p w14:paraId="31AEB3E4" w14:textId="3624E00D" w:rsidR="00AD4FC2" w:rsidRPr="00DA2CB2" w:rsidRDefault="002524E4" w:rsidP="00DA2CB2">
          <w:pPr>
            <w:pBdr>
              <w:top w:val="nil"/>
              <w:left w:val="nil"/>
              <w:bottom w:val="nil"/>
              <w:right w:val="nil"/>
              <w:between w:val="nil"/>
            </w:pBdr>
            <w:tabs>
              <w:tab w:val="right" w:pos="8504"/>
            </w:tabs>
            <w:rPr>
              <w:rFonts w:ascii="Palatino Linotype" w:eastAsia="Palatino Linotype" w:hAnsi="Palatino Linotype" w:cs="Palatino Linotype"/>
              <w:sz w:val="22"/>
            </w:rPr>
          </w:pPr>
          <w:r>
            <w:rPr>
              <w:rFonts w:ascii="Palatino Linotype" w:eastAsia="Palatino Linotype" w:hAnsi="Palatino Linotype" w:cs="Palatino Linotype"/>
              <w:sz w:val="22"/>
            </w:rPr>
            <w:t xml:space="preserve">XXX </w:t>
          </w:r>
          <w:proofErr w:type="spellStart"/>
          <w:r>
            <w:rPr>
              <w:rFonts w:ascii="Palatino Linotype" w:eastAsia="Palatino Linotype" w:hAnsi="Palatino Linotype" w:cs="Palatino Linotype"/>
              <w:sz w:val="22"/>
            </w:rPr>
            <w:t>XXX</w:t>
          </w:r>
          <w:proofErr w:type="spellEnd"/>
        </w:p>
      </w:tc>
    </w:tr>
    <w:tr w:rsidR="00AD4FC2" w14:paraId="43A8F010" w14:textId="77777777" w:rsidTr="00DA2CB2">
      <w:trPr>
        <w:trHeight w:val="321"/>
      </w:trPr>
      <w:tc>
        <w:tcPr>
          <w:tcW w:w="3261" w:type="dxa"/>
          <w:vAlign w:val="center"/>
        </w:tcPr>
        <w:p w14:paraId="7C97EE26" w14:textId="77777777" w:rsidR="00AD4FC2" w:rsidRPr="00943769" w:rsidRDefault="00AD4FC2">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SUJETO OBLIGADO:</w:t>
          </w:r>
        </w:p>
      </w:tc>
      <w:tc>
        <w:tcPr>
          <w:tcW w:w="4819" w:type="dxa"/>
          <w:vAlign w:val="center"/>
        </w:tcPr>
        <w:p w14:paraId="6B980FF4" w14:textId="77777777" w:rsidR="00AD4FC2" w:rsidRPr="00DA2CB2" w:rsidRDefault="00AD4FC2" w:rsidP="00DA2CB2">
          <w:pPr>
            <w:pBdr>
              <w:top w:val="nil"/>
              <w:left w:val="nil"/>
              <w:bottom w:val="nil"/>
              <w:right w:val="nil"/>
              <w:between w:val="nil"/>
            </w:pBdr>
            <w:tabs>
              <w:tab w:val="right" w:pos="8504"/>
            </w:tabs>
            <w:rPr>
              <w:rFonts w:ascii="Palatino Linotype" w:eastAsia="Palatino Linotype" w:hAnsi="Palatino Linotype" w:cs="Palatino Linotype"/>
              <w:sz w:val="22"/>
            </w:rPr>
          </w:pPr>
          <w:r w:rsidRPr="00DA2CB2">
            <w:rPr>
              <w:rFonts w:ascii="Palatino Linotype" w:eastAsia="Palatino Linotype" w:hAnsi="Palatino Linotype" w:cs="Palatino Linotype"/>
              <w:bCs/>
              <w:sz w:val="22"/>
            </w:rPr>
            <w:t>Instituto Mexiquense de la Vivienda Social</w:t>
          </w:r>
        </w:p>
      </w:tc>
    </w:tr>
    <w:tr w:rsidR="00AD4FC2" w14:paraId="0616C32F" w14:textId="77777777" w:rsidTr="00DA2CB2">
      <w:trPr>
        <w:trHeight w:val="321"/>
      </w:trPr>
      <w:tc>
        <w:tcPr>
          <w:tcW w:w="3261" w:type="dxa"/>
          <w:vAlign w:val="center"/>
        </w:tcPr>
        <w:p w14:paraId="430E695C" w14:textId="77777777" w:rsidR="00AD4FC2" w:rsidRPr="00943769" w:rsidRDefault="00AD4FC2">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COMISIONADA PONENTE:</w:t>
          </w:r>
        </w:p>
      </w:tc>
      <w:tc>
        <w:tcPr>
          <w:tcW w:w="4819" w:type="dxa"/>
          <w:vAlign w:val="center"/>
        </w:tcPr>
        <w:p w14:paraId="1AECB635" w14:textId="77777777" w:rsidR="00AD4FC2" w:rsidRPr="00DA2CB2" w:rsidRDefault="00AD4FC2" w:rsidP="00DA2CB2">
          <w:pPr>
            <w:pBdr>
              <w:top w:val="nil"/>
              <w:left w:val="nil"/>
              <w:bottom w:val="nil"/>
              <w:right w:val="nil"/>
              <w:between w:val="nil"/>
            </w:pBdr>
            <w:tabs>
              <w:tab w:val="right" w:pos="8504"/>
            </w:tabs>
            <w:ind w:left="33"/>
            <w:rPr>
              <w:rFonts w:ascii="Palatino Linotype" w:eastAsia="Palatino Linotype" w:hAnsi="Palatino Linotype" w:cs="Palatino Linotype"/>
              <w:sz w:val="22"/>
            </w:rPr>
          </w:pPr>
          <w:r w:rsidRPr="00DA2CB2">
            <w:rPr>
              <w:rFonts w:ascii="Palatino Linotype" w:eastAsia="Palatino Linotype" w:hAnsi="Palatino Linotype" w:cs="Palatino Linotype"/>
              <w:sz w:val="22"/>
            </w:rPr>
            <w:t>María del Rosario Mejía Ayala</w:t>
          </w:r>
        </w:p>
      </w:tc>
    </w:tr>
  </w:tbl>
  <w:p w14:paraId="324A90D5" w14:textId="77777777" w:rsidR="00AD4FC2" w:rsidRDefault="0083605E">
    <w:pPr>
      <w:pBdr>
        <w:top w:val="nil"/>
        <w:left w:val="nil"/>
        <w:bottom w:val="nil"/>
        <w:right w:val="nil"/>
        <w:between w:val="nil"/>
      </w:pBdr>
      <w:tabs>
        <w:tab w:val="center" w:pos="4252"/>
        <w:tab w:val="right" w:pos="8504"/>
        <w:tab w:val="left" w:pos="3103"/>
      </w:tabs>
      <w:rPr>
        <w:color w:val="000000"/>
      </w:rPr>
    </w:pPr>
    <w:r>
      <w:rPr>
        <w:color w:val="000000"/>
      </w:rPr>
      <w:pict w14:anchorId="2016C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98.5pt;margin-top:-129.5pt;width:663.5pt;height:12in;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1A8"/>
    <w:multiLevelType w:val="hybridMultilevel"/>
    <w:tmpl w:val="D2547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73773"/>
    <w:multiLevelType w:val="hybridMultilevel"/>
    <w:tmpl w:val="3AFC6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9B4263"/>
    <w:multiLevelType w:val="hybridMultilevel"/>
    <w:tmpl w:val="314457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A70AE5"/>
    <w:multiLevelType w:val="hybridMultilevel"/>
    <w:tmpl w:val="2550D8B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F20DDC"/>
    <w:multiLevelType w:val="hybridMultilevel"/>
    <w:tmpl w:val="A3FEAFF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2F8379E"/>
    <w:multiLevelType w:val="multilevel"/>
    <w:tmpl w:val="E52C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254C1D"/>
    <w:multiLevelType w:val="multilevel"/>
    <w:tmpl w:val="731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96050">
    <w:abstractNumId w:val="5"/>
  </w:num>
  <w:num w:numId="2" w16cid:durableId="299263220">
    <w:abstractNumId w:val="0"/>
  </w:num>
  <w:num w:numId="3" w16cid:durableId="1728606954">
    <w:abstractNumId w:val="1"/>
  </w:num>
  <w:num w:numId="4" w16cid:durableId="1649086794">
    <w:abstractNumId w:val="7"/>
  </w:num>
  <w:num w:numId="5" w16cid:durableId="584799620">
    <w:abstractNumId w:val="2"/>
  </w:num>
  <w:num w:numId="6" w16cid:durableId="506018920">
    <w:abstractNumId w:val="3"/>
  </w:num>
  <w:num w:numId="7" w16cid:durableId="1034161790">
    <w:abstractNumId w:val="8"/>
  </w:num>
  <w:num w:numId="8" w16cid:durableId="214778984">
    <w:abstractNumId w:val="6"/>
  </w:num>
  <w:num w:numId="9" w16cid:durableId="1582828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65"/>
    <w:rsid w:val="000333A0"/>
    <w:rsid w:val="000366E6"/>
    <w:rsid w:val="00067B94"/>
    <w:rsid w:val="000945DC"/>
    <w:rsid w:val="001E55CA"/>
    <w:rsid w:val="002524E4"/>
    <w:rsid w:val="00291658"/>
    <w:rsid w:val="0038133E"/>
    <w:rsid w:val="005916C8"/>
    <w:rsid w:val="00592BAA"/>
    <w:rsid w:val="00597AEC"/>
    <w:rsid w:val="005B160B"/>
    <w:rsid w:val="005E1B1C"/>
    <w:rsid w:val="006C5EA7"/>
    <w:rsid w:val="006D0300"/>
    <w:rsid w:val="00723FB1"/>
    <w:rsid w:val="0083605E"/>
    <w:rsid w:val="00892E99"/>
    <w:rsid w:val="00921E8E"/>
    <w:rsid w:val="009A2FD0"/>
    <w:rsid w:val="009C6B56"/>
    <w:rsid w:val="00AD4FC2"/>
    <w:rsid w:val="00B70098"/>
    <w:rsid w:val="00B822EB"/>
    <w:rsid w:val="00BF23F4"/>
    <w:rsid w:val="00C232DF"/>
    <w:rsid w:val="00CE5E08"/>
    <w:rsid w:val="00DA2CB2"/>
    <w:rsid w:val="00DC1996"/>
    <w:rsid w:val="00E95165"/>
    <w:rsid w:val="00EB32E4"/>
    <w:rsid w:val="00F33159"/>
    <w:rsid w:val="00F527B5"/>
    <w:rsid w:val="00F81FAD"/>
    <w:rsid w:val="00F93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ED86A"/>
  <w15:chartTrackingRefBased/>
  <w15:docId w15:val="{146D633B-844D-4781-AB24-28AEE073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65"/>
    <w:pPr>
      <w:spacing w:after="0" w:line="240" w:lineRule="auto"/>
    </w:pPr>
    <w:rPr>
      <w:rFonts w:ascii="Cambria" w:eastAsia="Cambria" w:hAnsi="Cambria" w:cs="Cambria"/>
      <w:sz w:val="24"/>
      <w:szCs w:val="24"/>
      <w:lang w:eastAsia="es-MX"/>
    </w:rPr>
  </w:style>
  <w:style w:type="paragraph" w:styleId="Ttulo1">
    <w:name w:val="heading 1"/>
    <w:basedOn w:val="Normal"/>
    <w:next w:val="Normal"/>
    <w:link w:val="Ttulo1Car"/>
    <w:uiPriority w:val="9"/>
    <w:qFormat/>
    <w:rsid w:val="00E95165"/>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E9516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5165"/>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E95165"/>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516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95165"/>
    <w:rPr>
      <w:rFonts w:ascii="Cambria" w:eastAsia="Cambria" w:hAnsi="Cambria" w:cs="Cambria"/>
      <w:sz w:val="24"/>
      <w:szCs w:val="24"/>
      <w:lang w:eastAsia="es-MX"/>
    </w:rPr>
  </w:style>
  <w:style w:type="character" w:styleId="Hipervnculo">
    <w:name w:val="Hyperlink"/>
    <w:basedOn w:val="Fuentedeprrafopredeter"/>
    <w:uiPriority w:val="99"/>
    <w:unhideWhenUsed/>
    <w:rsid w:val="00E95165"/>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5165"/>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95165"/>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E95165"/>
    <w:rPr>
      <w:vertAlign w:val="superscript"/>
    </w:rPr>
  </w:style>
  <w:style w:type="paragraph" w:styleId="Encabezado">
    <w:name w:val="header"/>
    <w:basedOn w:val="Normal"/>
    <w:link w:val="EncabezadoCar"/>
    <w:uiPriority w:val="99"/>
    <w:unhideWhenUsed/>
    <w:rsid w:val="00E95165"/>
    <w:pPr>
      <w:tabs>
        <w:tab w:val="center" w:pos="4419"/>
        <w:tab w:val="right" w:pos="8838"/>
      </w:tabs>
    </w:pPr>
  </w:style>
  <w:style w:type="character" w:customStyle="1" w:styleId="EncabezadoCar">
    <w:name w:val="Encabezado Car"/>
    <w:basedOn w:val="Fuentedeprrafopredeter"/>
    <w:link w:val="Encabezado"/>
    <w:uiPriority w:val="99"/>
    <w:rsid w:val="00E95165"/>
    <w:rPr>
      <w:rFonts w:ascii="Cambria" w:eastAsia="Cambria" w:hAnsi="Cambria" w:cs="Cambria"/>
      <w:sz w:val="24"/>
      <w:szCs w:val="24"/>
      <w:lang w:eastAsia="es-MX"/>
    </w:rPr>
  </w:style>
  <w:style w:type="paragraph" w:styleId="Piedepgina">
    <w:name w:val="footer"/>
    <w:basedOn w:val="Normal"/>
    <w:link w:val="PiedepginaCar"/>
    <w:uiPriority w:val="99"/>
    <w:unhideWhenUsed/>
    <w:rsid w:val="00E95165"/>
    <w:pPr>
      <w:tabs>
        <w:tab w:val="center" w:pos="4419"/>
        <w:tab w:val="right" w:pos="8838"/>
      </w:tabs>
    </w:pPr>
  </w:style>
  <w:style w:type="character" w:customStyle="1" w:styleId="PiedepginaCar">
    <w:name w:val="Pie de página Car"/>
    <w:basedOn w:val="Fuentedeprrafopredeter"/>
    <w:link w:val="Piedepgina"/>
    <w:uiPriority w:val="99"/>
    <w:rsid w:val="00E95165"/>
    <w:rPr>
      <w:rFonts w:ascii="Cambria" w:eastAsia="Cambria" w:hAnsi="Cambria" w:cs="Cambria"/>
      <w:sz w:val="24"/>
      <w:szCs w:val="24"/>
      <w:lang w:eastAsia="es-MX"/>
    </w:rPr>
  </w:style>
  <w:style w:type="character" w:styleId="Referenciasutil">
    <w:name w:val="Subtle Reference"/>
    <w:basedOn w:val="Fuentedeprrafopredeter"/>
    <w:uiPriority w:val="31"/>
    <w:qFormat/>
    <w:rsid w:val="00DA2CB2"/>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67045">
      <w:bodyDiv w:val="1"/>
      <w:marLeft w:val="0"/>
      <w:marRight w:val="0"/>
      <w:marTop w:val="0"/>
      <w:marBottom w:val="0"/>
      <w:divBdr>
        <w:top w:val="none" w:sz="0" w:space="0" w:color="auto"/>
        <w:left w:val="none" w:sz="0" w:space="0" w:color="auto"/>
        <w:bottom w:val="none" w:sz="0" w:space="0" w:color="auto"/>
        <w:right w:val="none" w:sz="0" w:space="0" w:color="auto"/>
      </w:divBdr>
    </w:div>
    <w:div w:id="1096899101">
      <w:bodyDiv w:val="1"/>
      <w:marLeft w:val="0"/>
      <w:marRight w:val="0"/>
      <w:marTop w:val="0"/>
      <w:marBottom w:val="0"/>
      <w:divBdr>
        <w:top w:val="none" w:sz="0" w:space="0" w:color="auto"/>
        <w:left w:val="none" w:sz="0" w:space="0" w:color="auto"/>
        <w:bottom w:val="none" w:sz="0" w:space="0" w:color="auto"/>
        <w:right w:val="none" w:sz="0" w:space="0" w:color="auto"/>
      </w:divBdr>
    </w:div>
    <w:div w:id="18172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786516.page" TargetMode="External"/><Relationship Id="rId13" Type="http://schemas.openxmlformats.org/officeDocument/2006/relationships/hyperlink" Target="https://saimex.org.mx/saimex/solicitud/downloadAttach/1815903.pag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imex.org.mx/saimex/upload/2023/pnt/Archivo1682292940992.pdf" TargetMode="External"/><Relationship Id="rId12" Type="http://schemas.openxmlformats.org/officeDocument/2006/relationships/hyperlink" Target="https://saimex.org.mx/saimex/solicitud/downloadAttach/1815902.pag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1805167.pag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aimex.org.mx/saimex/solicitud/downloadAttach/1805166.pa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imex.org.mx/saimex/solicitud/downloadAttach/1786517.page"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22</Pages>
  <Words>5010</Words>
  <Characters>27556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8</cp:revision>
  <cp:lastPrinted>2024-08-29T21:22:00Z</cp:lastPrinted>
  <dcterms:created xsi:type="dcterms:W3CDTF">2024-08-21T00:10:00Z</dcterms:created>
  <dcterms:modified xsi:type="dcterms:W3CDTF">2024-09-06T18:34:00Z</dcterms:modified>
</cp:coreProperties>
</file>