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360" w:lineRule="auto"/>
        <w:jc w:val="both"/>
        <w:rPr>
          <w:rFonts w:ascii="Palatino Linotype" w:cs="Palatino Linotype" w:eastAsia="Palatino Linotype" w:hAnsi="Palatino Linotype"/>
          <w:sz w:val="22"/>
          <w:szCs w:val="22"/>
        </w:rPr>
      </w:pPr>
      <w:bookmarkStart w:colFirst="0" w:colLast="0" w:name="_heading=h.1fob9te" w:id="0"/>
      <w:bookmarkEnd w:id="0"/>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a </w:t>
      </w:r>
      <w:r w:rsidDel="00000000" w:rsidR="00000000" w:rsidRPr="00000000">
        <w:rPr>
          <w:rFonts w:ascii="Palatino Linotype" w:cs="Palatino Linotype" w:eastAsia="Palatino Linotype" w:hAnsi="Palatino Linotype"/>
          <w:b w:val="1"/>
          <w:sz w:val="22"/>
          <w:szCs w:val="22"/>
          <w:rtl w:val="0"/>
        </w:rPr>
        <w:t xml:space="preserve">nueve de octubre de dos mil veinticuatro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formado con motivo del recurso de revisión </w:t>
      </w:r>
      <w:r w:rsidDel="00000000" w:rsidR="00000000" w:rsidRPr="00000000">
        <w:rPr>
          <w:rFonts w:ascii="Palatino Linotype" w:cs="Palatino Linotype" w:eastAsia="Palatino Linotype" w:hAnsi="Palatino Linotype"/>
          <w:b w:val="1"/>
          <w:sz w:val="22"/>
          <w:szCs w:val="22"/>
          <w:rtl w:val="0"/>
        </w:rPr>
        <w:t xml:space="preserve">05189/INFOEM/IP/RR/2024</w:t>
      </w:r>
      <w:r w:rsidDel="00000000" w:rsidR="00000000" w:rsidRPr="00000000">
        <w:rPr>
          <w:rFonts w:ascii="Palatino Linotype" w:cs="Palatino Linotype" w:eastAsia="Palatino Linotype" w:hAnsi="Palatino Linotype"/>
          <w:sz w:val="22"/>
          <w:szCs w:val="22"/>
          <w:rtl w:val="0"/>
        </w:rPr>
        <w:t xml:space="preserve">, interpuesto por</w:t>
      </w:r>
      <w:r w:rsidDel="00000000" w:rsidR="00000000" w:rsidRPr="00000000">
        <w:rPr>
          <w:rFonts w:ascii="Palatino Linotype" w:cs="Palatino Linotype" w:eastAsia="Palatino Linotype" w:hAnsi="Palatino Linotype"/>
          <w:b w:val="1"/>
          <w:sz w:val="22"/>
          <w:szCs w:val="22"/>
          <w:rtl w:val="0"/>
        </w:rPr>
        <w:t xml:space="preserve"> un particular de manera anónima,</w:t>
      </w:r>
      <w:r w:rsidDel="00000000" w:rsidR="00000000" w:rsidRPr="00000000">
        <w:rPr>
          <w:rFonts w:ascii="Palatino Linotype" w:cs="Palatino Linotype" w:eastAsia="Palatino Linotype" w:hAnsi="Palatino Linotype"/>
          <w:sz w:val="22"/>
          <w:szCs w:val="22"/>
          <w:rtl w:val="0"/>
        </w:rPr>
        <w:t xml:space="preserve"> en lo sucesivo</w:t>
      </w:r>
      <w:r w:rsidDel="00000000" w:rsidR="00000000" w:rsidRPr="00000000">
        <w:rPr>
          <w:rFonts w:ascii="Palatino Linotype" w:cs="Palatino Linotype" w:eastAsia="Palatino Linotype" w:hAnsi="Palatino Linotype"/>
          <w:b w:val="1"/>
          <w:sz w:val="22"/>
          <w:szCs w:val="22"/>
          <w:rtl w:val="0"/>
        </w:rPr>
        <w:t xml:space="preserve"> 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contra de la respuesta a su solicitud por parte del</w:t>
      </w:r>
      <w:r w:rsidDel="00000000" w:rsidR="00000000" w:rsidRPr="00000000">
        <w:rPr>
          <w:rFonts w:ascii="Palatino Linotype" w:cs="Palatino Linotype" w:eastAsia="Palatino Linotype" w:hAnsi="Palatino Linotype"/>
          <w:b w:val="1"/>
          <w:sz w:val="22"/>
          <w:szCs w:val="22"/>
          <w:rtl w:val="0"/>
        </w:rPr>
        <w:t xml:space="preserve"> Ayuntamiento de Toluca,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 </w:t>
      </w:r>
    </w:p>
    <w:p w:rsidR="00000000" w:rsidDel="00000000" w:rsidP="00000000" w:rsidRDefault="00000000" w:rsidRPr="00000000" w14:paraId="00000003">
      <w:pP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I. A N T E C E D E N T E S</w:t>
      </w:r>
    </w:p>
    <w:p w:rsidR="00000000" w:rsidDel="00000000" w:rsidP="00000000" w:rsidRDefault="00000000" w:rsidRPr="00000000" w14:paraId="000000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1. Solicitud de acceso a la información.</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nueve de julio de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dos mil veinticuatro,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 </w:t>
      </w:r>
      <w:r w:rsidDel="00000000" w:rsidR="00000000" w:rsidRPr="00000000">
        <w:rPr>
          <w:rFonts w:ascii="Palatino Linotype" w:cs="Palatino Linotype" w:eastAsia="Palatino Linotype" w:hAnsi="Palatino Linotype"/>
          <w:sz w:val="22"/>
          <w:szCs w:val="22"/>
          <w:rtl w:val="0"/>
        </w:rPr>
        <w:t xml:space="preserve">presentó, a través del Sistema de Acceso a la Información Mexiquense, en lo subsecuente 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 solicitud de acceso a la información pública, a la que se le asignó el número</w:t>
      </w:r>
      <w:r w:rsidDel="00000000" w:rsidR="00000000" w:rsidRPr="00000000">
        <w:rPr>
          <w:rFonts w:ascii="Palatino Linotype" w:cs="Palatino Linotype" w:eastAsia="Palatino Linotype" w:hAnsi="Palatino Linotype"/>
          <w:b w:val="1"/>
          <w:sz w:val="22"/>
          <w:szCs w:val="22"/>
          <w:rtl w:val="0"/>
        </w:rPr>
        <w:t xml:space="preserve"> 01677/TOLUCA/IP/2024, </w:t>
      </w:r>
      <w:r w:rsidDel="00000000" w:rsidR="00000000" w:rsidRPr="00000000">
        <w:rPr>
          <w:rFonts w:ascii="Palatino Linotype" w:cs="Palatino Linotype" w:eastAsia="Palatino Linotype" w:hAnsi="Palatino Linotype"/>
          <w:sz w:val="22"/>
          <w:szCs w:val="22"/>
          <w:rtl w:val="0"/>
        </w:rPr>
        <w:t xml:space="preserve">mediante la cual requirió la información siguiente: </w:t>
      </w:r>
    </w:p>
    <w:p w:rsidR="00000000" w:rsidDel="00000000" w:rsidP="00000000" w:rsidRDefault="00000000" w:rsidRPr="00000000" w14:paraId="00000005">
      <w:pPr>
        <w:spacing w:after="240" w:before="240" w:lineRule="auto"/>
        <w:ind w:left="567" w:right="902" w:firstLine="0"/>
        <w:jc w:val="both"/>
        <w:rPr>
          <w:rFonts w:ascii="Palatino Linotype" w:cs="Palatino Linotype" w:eastAsia="Palatino Linotype" w:hAnsi="Palatino Linotype"/>
          <w:b w:val="1"/>
          <w:i w:val="1"/>
          <w:sz w:val="22"/>
          <w:szCs w:val="22"/>
        </w:rPr>
      </w:pPr>
      <w:bookmarkStart w:colFirst="0" w:colLast="0" w:name="_heading=h.gjdgxs" w:id="1"/>
      <w:bookmarkEnd w:id="1"/>
      <w:r w:rsidDel="00000000" w:rsidR="00000000" w:rsidRPr="00000000">
        <w:rPr>
          <w:rFonts w:ascii="Palatino Linotype" w:cs="Palatino Linotype" w:eastAsia="Palatino Linotype" w:hAnsi="Palatino Linotype"/>
          <w:i w:val="1"/>
          <w:sz w:val="22"/>
          <w:szCs w:val="22"/>
          <w:rtl w:val="0"/>
        </w:rPr>
        <w:t xml:space="preserve">“De conformidad con el artículo octavo constitucional y cuarto de la Ley de transparencia se solicita </w:t>
      </w:r>
      <w:r w:rsidDel="00000000" w:rsidR="00000000" w:rsidRPr="00000000">
        <w:rPr>
          <w:rFonts w:ascii="Palatino Linotype" w:cs="Palatino Linotype" w:eastAsia="Palatino Linotype" w:hAnsi="Palatino Linotype"/>
          <w:b w:val="1"/>
          <w:i w:val="1"/>
          <w:sz w:val="22"/>
          <w:szCs w:val="22"/>
          <w:u w:val="single"/>
          <w:rtl w:val="0"/>
        </w:rPr>
        <w:t xml:space="preserve">los contratos realizados por cualquier concepto servicio, proveedor, compra, adquisición etc... Del mes abril 2024 y las facturas pagadas a esos contratos y por que piden en administración un porcentaje del 10 por ciento para otorgar ese contrato quien es el director general, el director de servicios materiales o quien los obliga</w:t>
      </w:r>
      <w:r w:rsidDel="00000000" w:rsidR="00000000" w:rsidRPr="00000000">
        <w:rPr>
          <w:rFonts w:ascii="Palatino Linotype" w:cs="Palatino Linotype" w:eastAsia="Palatino Linotype" w:hAnsi="Palatino Linotype"/>
          <w:i w:val="1"/>
          <w:sz w:val="22"/>
          <w:szCs w:val="22"/>
          <w:rtl w:val="0"/>
        </w:rPr>
        <w:t xml:space="preserve">.” (Sic) </w:t>
      </w:r>
      <w:r w:rsidDel="00000000" w:rsidR="00000000" w:rsidRPr="00000000">
        <w:rPr>
          <w:rtl w:val="0"/>
        </w:rPr>
      </w:r>
    </w:p>
    <w:p w:rsidR="00000000" w:rsidDel="00000000" w:rsidP="00000000" w:rsidRDefault="00000000" w:rsidRPr="00000000" w14:paraId="0000000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de Entrega:</w:t>
      </w:r>
      <w:r w:rsidDel="00000000" w:rsidR="00000000" w:rsidRPr="00000000">
        <w:rPr>
          <w:rFonts w:ascii="Palatino Linotype" w:cs="Palatino Linotype" w:eastAsia="Palatino Linotype" w:hAnsi="Palatino Linotype"/>
          <w:sz w:val="22"/>
          <w:szCs w:val="22"/>
          <w:rtl w:val="0"/>
        </w:rPr>
        <w:t xml:space="preserve"> A través del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tl w:val="0"/>
        </w:rPr>
      </w:r>
    </w:p>
    <w:p w:rsidR="00000000" w:rsidDel="00000000" w:rsidP="00000000" w:rsidRDefault="00000000" w:rsidRPr="00000000" w14:paraId="00000007">
      <w:pPr>
        <w:spacing w:after="240" w:before="240" w:line="360" w:lineRule="auto"/>
        <w:jc w:val="both"/>
        <w:rPr>
          <w:rFonts w:ascii="Palatino Linotype" w:cs="Palatino Linotype" w:eastAsia="Palatino Linotype" w:hAnsi="Palatino Linotype"/>
          <w:sz w:val="22"/>
          <w:szCs w:val="22"/>
        </w:rPr>
      </w:pPr>
      <w:bookmarkStart w:colFirst="0" w:colLast="0" w:name="_heading=h.3dy6vkm" w:id="2"/>
      <w:bookmarkEnd w:id="2"/>
      <w:r w:rsidDel="00000000" w:rsidR="00000000" w:rsidRPr="00000000">
        <w:rPr>
          <w:rFonts w:ascii="Palatino Linotype" w:cs="Palatino Linotype" w:eastAsia="Palatino Linotype" w:hAnsi="Palatino Linotype"/>
          <w:b w:val="1"/>
          <w:sz w:val="22"/>
          <w:szCs w:val="22"/>
          <w:rtl w:val="0"/>
        </w:rPr>
        <w:t xml:space="preserve">2. Respuesta. </w:t>
      </w: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trece de agosto de dos mil veinticuatro</w:t>
      </w:r>
      <w:r w:rsidDel="00000000" w:rsidR="00000000" w:rsidRPr="00000000">
        <w:rPr>
          <w:rFonts w:ascii="Palatino Linotype" w:cs="Palatino Linotype" w:eastAsia="Palatino Linotype" w:hAnsi="Palatino Linotype"/>
          <w:sz w:val="22"/>
          <w:szCs w:val="22"/>
          <w:rtl w:val="0"/>
        </w:rPr>
        <w:t xml:space="preserv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envió su respuesta a la solicitud de acceso a la información a través de SAIMEX, sustancialmente en los términos siguientes:   </w:t>
      </w:r>
    </w:p>
    <w:p w:rsidR="00000000" w:rsidDel="00000000" w:rsidP="00000000" w:rsidRDefault="00000000" w:rsidRPr="00000000" w14:paraId="00000008">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09">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la solicitud con folio 01677/TOLUCA/IP/2024, me permito adjuntar al presente la respuesta correspondiente. Sin más por el momento, reciba un saludo.</w:t>
      </w:r>
    </w:p>
    <w:p w:rsidR="00000000" w:rsidDel="00000000" w:rsidP="00000000" w:rsidRDefault="00000000" w:rsidRPr="00000000" w14:paraId="0000000A">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0B">
      <w:pPr>
        <w:spacing w:after="240" w:before="24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Lic. Norma Sofía Pérez Martínez” </w:t>
      </w:r>
    </w:p>
    <w:p w:rsidR="00000000" w:rsidDel="00000000" w:rsidP="00000000" w:rsidRDefault="00000000" w:rsidRPr="00000000" w14:paraId="0000000C">
      <w:pPr>
        <w:spacing w:after="240" w:before="24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Archivos adjuntos: </w:t>
      </w:r>
      <w:r w:rsidDel="00000000" w:rsidR="00000000" w:rsidRPr="00000000">
        <w:rPr>
          <w:rtl w:val="0"/>
        </w:rPr>
      </w:r>
    </w:p>
    <w:p w:rsidR="00000000" w:rsidDel="00000000" w:rsidP="00000000" w:rsidRDefault="00000000" w:rsidRPr="00000000" w14:paraId="0000000D">
      <w:pPr>
        <w:spacing w:after="240" w:before="240" w:line="36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“Respuesta 01677_24.pdf”: </w:t>
      </w:r>
      <w:r w:rsidDel="00000000" w:rsidR="00000000" w:rsidRPr="00000000">
        <w:rPr>
          <w:rFonts w:ascii="Palatino Linotype" w:cs="Palatino Linotype" w:eastAsia="Palatino Linotype" w:hAnsi="Palatino Linotype"/>
          <w:sz w:val="22"/>
          <w:szCs w:val="22"/>
          <w:rtl w:val="0"/>
        </w:rPr>
        <w:t xml:space="preserve">Documento que se compone de tres fojas, en el que se reporta en términos generales, lo siguiente: </w:t>
      </w:r>
    </w:p>
    <w:p w:rsidR="00000000" w:rsidDel="00000000" w:rsidP="00000000" w:rsidRDefault="00000000" w:rsidRPr="00000000" w14:paraId="0000000E">
      <w:pPr>
        <w:spacing w:after="240" w:before="240" w:line="36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Dirección General de Administración y servidor público habilitado, informó sobre los contratos celebrados del mes de abril de 2024: </w:t>
      </w:r>
    </w:p>
    <w:p w:rsidR="00000000" w:rsidDel="00000000" w:rsidP="00000000" w:rsidRDefault="00000000" w:rsidRPr="00000000" w14:paraId="0000000F">
      <w:pPr>
        <w:spacing w:after="240" w:before="240" w:line="360" w:lineRule="auto"/>
        <w:ind w:left="567" w:right="902" w:firstLine="0"/>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3962953" cy="2410161"/>
            <wp:effectExtent b="0" l="0" r="0" t="0"/>
            <wp:docPr id="125"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3962953" cy="2410161"/>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36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al punto “…</w:t>
      </w:r>
      <w:r w:rsidDel="00000000" w:rsidR="00000000" w:rsidRPr="00000000">
        <w:rPr>
          <w:rFonts w:ascii="Palatino Linotype" w:cs="Palatino Linotype" w:eastAsia="Palatino Linotype" w:hAnsi="Palatino Linotype"/>
          <w:i w:val="1"/>
          <w:sz w:val="22"/>
          <w:szCs w:val="22"/>
          <w:rtl w:val="0"/>
        </w:rPr>
        <w:t xml:space="preserve">por que piden en administración un porcentaje del 10 por ciento para otorgar ese contrato quien es el director general, el director de servicios materiales o quien los obliga” (sic), </w:t>
      </w:r>
      <w:r w:rsidDel="00000000" w:rsidR="00000000" w:rsidRPr="00000000">
        <w:rPr>
          <w:rFonts w:ascii="Palatino Linotype" w:cs="Palatino Linotype" w:eastAsia="Palatino Linotype" w:hAnsi="Palatino Linotype"/>
          <w:sz w:val="22"/>
          <w:szCs w:val="22"/>
          <w:rtl w:val="0"/>
        </w:rPr>
        <w:t xml:space="preserve">señala que no se cuenta con documento que colme la pretensión del particular, por no haberla generado, poseído o administrado, sino bien se observa que el particular busca un pronunciamiento por parte del Sujeto Obligado, lo cual no constituye un derecho de acceso a la información; sino un derecho de petición, debido a que realizar manifestaciones, erogantes por el solicitante, acusaciones y declaraciones que no se colman con la entrega de documentos, situación que conlleva a afirmar que se está ante la presencia del ejercicio del derecho ya enunciado. </w:t>
      </w:r>
    </w:p>
    <w:p w:rsidR="00000000" w:rsidDel="00000000" w:rsidP="00000000" w:rsidRDefault="00000000" w:rsidRPr="00000000" w14:paraId="00000011">
      <w:pPr>
        <w:spacing w:after="240" w:before="240" w:line="360" w:lineRule="auto"/>
        <w:ind w:left="567" w:right="902"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parte de la Tesorería Municipal, informa que, referente a la solicitud, aún se están realizando los registros contables y presupuestales del ejercicio 2024 y no se cuenta con la información correspondiente al segundo trimestre, por lo cual dicha información no puede ser presentada por no haberla generado a la fecha de la presente solicitud. </w:t>
      </w:r>
    </w:p>
    <w:p w:rsidR="00000000" w:rsidDel="00000000" w:rsidP="00000000" w:rsidRDefault="00000000" w:rsidRPr="00000000" w14:paraId="00000012">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3. Interposición del recurso de revisión. </w:t>
      </w:r>
      <w:r w:rsidDel="00000000" w:rsidR="00000000" w:rsidRPr="00000000">
        <w:rPr>
          <w:rFonts w:ascii="Palatino Linotype" w:cs="Palatino Linotype" w:eastAsia="Palatino Linotype" w:hAnsi="Palatino Linotype"/>
          <w:sz w:val="22"/>
          <w:szCs w:val="22"/>
          <w:rtl w:val="0"/>
        </w:rPr>
        <w:t xml:space="preserve">Inconforme con los términos de la respuesta emitida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veintiocho de agosto de dos mil veinticuatro,</w:t>
      </w:r>
      <w:r w:rsidDel="00000000" w:rsidR="00000000" w:rsidRPr="00000000">
        <w:rPr>
          <w:rFonts w:ascii="Palatino Linotype" w:cs="Palatino Linotype" w:eastAsia="Palatino Linotype" w:hAnsi="Palatino Linotype"/>
          <w:sz w:val="22"/>
          <w:szCs w:val="22"/>
          <w:rtl w:val="0"/>
        </w:rPr>
        <w:t xml:space="preserve"> la </w:t>
      </w:r>
      <w:r w:rsidDel="00000000" w:rsidR="00000000" w:rsidRPr="00000000">
        <w:rPr>
          <w:rFonts w:ascii="Palatino Linotype" w:cs="Palatino Linotype" w:eastAsia="Palatino Linotype" w:hAnsi="Palatino Linotype"/>
          <w:b w:val="1"/>
          <w:sz w:val="22"/>
          <w:szCs w:val="22"/>
          <w:rtl w:val="0"/>
        </w:rPr>
        <w:t xml:space="preserve">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interpuso el recurso de revisión a través de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donde se manifestó de la siguiente manera:</w:t>
      </w:r>
      <w:r w:rsidDel="00000000" w:rsidR="00000000" w:rsidRPr="00000000">
        <w:rPr>
          <w:rtl w:val="0"/>
        </w:rPr>
      </w:r>
    </w:p>
    <w:p w:rsidR="00000000" w:rsidDel="00000000" w:rsidP="00000000" w:rsidRDefault="00000000" w:rsidRPr="00000000" w14:paraId="00000013">
      <w:pPr>
        <w:tabs>
          <w:tab w:val="left" w:leader="none" w:pos="2745"/>
        </w:tabs>
        <w:spacing w:after="240" w:before="240" w:line="276" w:lineRule="auto"/>
        <w:ind w:left="567" w:right="900" w:firstLine="0"/>
        <w:jc w:val="both"/>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sz w:val="22"/>
          <w:szCs w:val="22"/>
          <w:rtl w:val="0"/>
        </w:rPr>
        <w:t xml:space="preserve">a) Acto impugnado: </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u w:val="single"/>
          <w:rtl w:val="0"/>
        </w:rPr>
        <w:t xml:space="preserve">No me entregan los contratos solicitados tampoco las facturas</w:t>
      </w:r>
      <w:r w:rsidDel="00000000" w:rsidR="00000000" w:rsidRPr="00000000">
        <w:rPr>
          <w:rFonts w:ascii="Palatino Linotype" w:cs="Palatino Linotype" w:eastAsia="Palatino Linotype" w:hAnsi="Palatino Linotype"/>
          <w:i w:val="1"/>
          <w:sz w:val="22"/>
          <w:szCs w:val="22"/>
          <w:rtl w:val="0"/>
        </w:rPr>
        <w:t xml:space="preserve">” (Sic)</w:t>
      </w:r>
      <w:r w:rsidDel="00000000" w:rsidR="00000000" w:rsidRPr="00000000">
        <w:rPr>
          <w:rtl w:val="0"/>
        </w:rPr>
      </w:r>
    </w:p>
    <w:p w:rsidR="00000000" w:rsidDel="00000000" w:rsidP="00000000" w:rsidRDefault="00000000" w:rsidRPr="00000000" w14:paraId="00000014">
      <w:pPr>
        <w:spacing w:line="276" w:lineRule="auto"/>
        <w:ind w:left="567" w:right="900" w:firstLine="0"/>
        <w:jc w:val="both"/>
        <w:rPr>
          <w:rFonts w:ascii="Palatino Linotype" w:cs="Palatino Linotype" w:eastAsia="Palatino Linotype" w:hAnsi="Palatino Linotype"/>
          <w:i w:val="1"/>
          <w:sz w:val="22"/>
          <w:szCs w:val="22"/>
        </w:rPr>
      </w:pPr>
      <w:bookmarkStart w:colFirst="0" w:colLast="0" w:name="_heading=h.30j0zll" w:id="3"/>
      <w:bookmarkEnd w:id="3"/>
      <w:r w:rsidDel="00000000" w:rsidR="00000000" w:rsidRPr="00000000">
        <w:rPr>
          <w:rFonts w:ascii="Palatino Linotype" w:cs="Palatino Linotype" w:eastAsia="Palatino Linotype" w:hAnsi="Palatino Linotype"/>
          <w:b w:val="1"/>
          <w:sz w:val="22"/>
          <w:szCs w:val="22"/>
          <w:rtl w:val="0"/>
        </w:rPr>
        <w:t xml:space="preserve">b) Razones o motivos de inconformidad</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No entregan la información” (Sic)</w:t>
      </w:r>
    </w:p>
    <w:p w:rsidR="00000000" w:rsidDel="00000000" w:rsidP="00000000" w:rsidRDefault="00000000" w:rsidRPr="00000000" w14:paraId="00000015">
      <w:pPr>
        <w:spacing w:line="276" w:lineRule="auto"/>
        <w:ind w:left="567" w:right="900" w:firstLine="0"/>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16">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4. Turno. </w:t>
      </w:r>
      <w:r w:rsidDel="00000000" w:rsidR="00000000" w:rsidRPr="00000000">
        <w:rPr>
          <w:rFonts w:ascii="Palatino Linotype" w:cs="Palatino Linotype" w:eastAsia="Palatino Linotype" w:hAnsi="Palatino Linotype"/>
          <w:sz w:val="22"/>
          <w:szCs w:val="22"/>
          <w:rtl w:val="0"/>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sz w:val="22"/>
          <w:szCs w:val="22"/>
          <w:rtl w:val="0"/>
        </w:rPr>
        <w:t xml:space="preserve">Guadalupe Ramírez Peña, </w:t>
      </w:r>
      <w:r w:rsidDel="00000000" w:rsidR="00000000" w:rsidRPr="00000000">
        <w:rPr>
          <w:rFonts w:ascii="Palatino Linotype" w:cs="Palatino Linotype" w:eastAsia="Palatino Linotype" w:hAnsi="Palatino Linotype"/>
          <w:sz w:val="22"/>
          <w:szCs w:val="22"/>
          <w:rtl w:val="0"/>
        </w:rPr>
        <w:t xml:space="preserve">a efecto de que analizara sobre su admisión o su desechamiento.</w:t>
      </w:r>
    </w:p>
    <w:p w:rsidR="00000000" w:rsidDel="00000000" w:rsidP="00000000" w:rsidRDefault="00000000" w:rsidRPr="00000000" w14:paraId="0000001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5. Admisión del Recurso de revisión.</w:t>
      </w:r>
      <w:r w:rsidDel="00000000" w:rsidR="00000000" w:rsidRPr="00000000">
        <w:rPr>
          <w:rFonts w:ascii="Palatino Linotype" w:cs="Palatino Linotype" w:eastAsia="Palatino Linotype" w:hAnsi="Palatino Linotype"/>
          <w:sz w:val="22"/>
          <w:szCs w:val="22"/>
          <w:rtl w:val="0"/>
        </w:rPr>
        <w:t xml:space="preserve"> El</w:t>
      </w:r>
      <w:r w:rsidDel="00000000" w:rsidR="00000000" w:rsidRPr="00000000">
        <w:rPr>
          <w:rFonts w:ascii="Palatino Linotype" w:cs="Palatino Linotype" w:eastAsia="Palatino Linotype" w:hAnsi="Palatino Linotype"/>
          <w:b w:val="1"/>
          <w:sz w:val="22"/>
          <w:szCs w:val="22"/>
          <w:rtl w:val="0"/>
        </w:rPr>
        <w:t xml:space="preserve"> dos de septiembre de dos mil veinticuatro, </w:t>
      </w:r>
      <w:r w:rsidDel="00000000" w:rsidR="00000000" w:rsidRPr="00000000">
        <w:rPr>
          <w:rFonts w:ascii="Palatino Linotype" w:cs="Palatino Linotype" w:eastAsia="Palatino Linotype" w:hAnsi="Palatino Linotype"/>
          <w:sz w:val="22"/>
          <w:szCs w:val="22"/>
          <w:rtl w:val="0"/>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presentara su informe justificado.</w:t>
      </w:r>
    </w:p>
    <w:p w:rsidR="00000000" w:rsidDel="00000000" w:rsidP="00000000" w:rsidRDefault="00000000" w:rsidRPr="00000000" w14:paraId="00000018">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sz w:val="22"/>
          <w:szCs w:val="22"/>
        </w:rPr>
      </w:pPr>
      <w:bookmarkStart w:colFirst="0" w:colLast="0" w:name="_heading=h.2s8eyo1" w:id="4"/>
      <w:bookmarkEnd w:id="4"/>
      <w:r w:rsidDel="00000000" w:rsidR="00000000" w:rsidRPr="00000000">
        <w:rPr>
          <w:rFonts w:ascii="Palatino Linotype" w:cs="Palatino Linotype" w:eastAsia="Palatino Linotype" w:hAnsi="Palatino Linotype"/>
          <w:b w:val="1"/>
          <w:sz w:val="22"/>
          <w:szCs w:val="22"/>
          <w:rtl w:val="0"/>
        </w:rPr>
        <w:t xml:space="preserve">6. Manifestaciones e Informe Justificado</w:t>
      </w:r>
      <w:r w:rsidDel="00000000" w:rsidR="00000000" w:rsidRPr="00000000">
        <w:rPr>
          <w:rFonts w:ascii="Palatino Linotype" w:cs="Palatino Linotype" w:eastAsia="Palatino Linotype" w:hAnsi="Palatino Linotype"/>
          <w:sz w:val="22"/>
          <w:szCs w:val="22"/>
          <w:rtl w:val="0"/>
        </w:rPr>
        <w:t xml:space="preserve">. De las constancias que integran el expediente en que se actúa se advierte que durante el periodo de manifestaciones e informe justificado,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adjuntó el documento denominado “</w:t>
      </w:r>
      <w:r w:rsidDel="00000000" w:rsidR="00000000" w:rsidRPr="00000000">
        <w:rPr>
          <w:rFonts w:ascii="Palatino Linotype" w:cs="Palatino Linotype" w:eastAsia="Palatino Linotype" w:hAnsi="Palatino Linotype"/>
          <w:b w:val="1"/>
          <w:i w:val="1"/>
          <w:sz w:val="22"/>
          <w:szCs w:val="22"/>
          <w:rtl w:val="0"/>
        </w:rPr>
        <w:t xml:space="preserve">05189.pdf”, </w:t>
      </w:r>
      <w:r w:rsidDel="00000000" w:rsidR="00000000" w:rsidRPr="00000000">
        <w:rPr>
          <w:rFonts w:ascii="Palatino Linotype" w:cs="Palatino Linotype" w:eastAsia="Palatino Linotype" w:hAnsi="Palatino Linotype"/>
          <w:sz w:val="22"/>
          <w:szCs w:val="22"/>
          <w:rtl w:val="0"/>
        </w:rPr>
        <w:t xml:space="preserve">mediante el cual reitera los términos de su respuesta inicial; una vez analizada esta documentación, se determinó ponerla a la vista del particular mediante acuerdo signado por la Comisionada Ponente el </w:t>
      </w:r>
      <w:r w:rsidDel="00000000" w:rsidR="00000000" w:rsidRPr="00000000">
        <w:rPr>
          <w:rFonts w:ascii="Palatino Linotype" w:cs="Palatino Linotype" w:eastAsia="Palatino Linotype" w:hAnsi="Palatino Linotype"/>
          <w:b w:val="1"/>
          <w:sz w:val="22"/>
          <w:szCs w:val="22"/>
          <w:rtl w:val="0"/>
        </w:rPr>
        <w:t xml:space="preserve">dos de octubre de dos mil veinticuatro</w:t>
      </w:r>
      <w:r w:rsidDel="00000000" w:rsidR="00000000" w:rsidRPr="00000000">
        <w:rPr>
          <w:rFonts w:ascii="Palatino Linotype" w:cs="Palatino Linotype" w:eastAsia="Palatino Linotype" w:hAnsi="Palatino Linotype"/>
          <w:sz w:val="22"/>
          <w:szCs w:val="22"/>
          <w:rtl w:val="0"/>
        </w:rPr>
        <w:t xml:space="preserve">, teniendo así constancia de que </w:t>
      </w:r>
      <w:r w:rsidDel="00000000" w:rsidR="00000000" w:rsidRPr="00000000">
        <w:rPr>
          <w:rFonts w:ascii="Palatino Linotype" w:cs="Palatino Linotype" w:eastAsia="Palatino Linotype" w:hAnsi="Palatino Linotype"/>
          <w:b w:val="1"/>
          <w:sz w:val="22"/>
          <w:szCs w:val="22"/>
          <w:rtl w:val="0"/>
        </w:rPr>
        <w:t xml:space="preserve">la parte Recurrente </w:t>
      </w:r>
      <w:r w:rsidDel="00000000" w:rsidR="00000000" w:rsidRPr="00000000">
        <w:rPr>
          <w:rFonts w:ascii="Palatino Linotype" w:cs="Palatino Linotype" w:eastAsia="Palatino Linotype" w:hAnsi="Palatino Linotype"/>
          <w:sz w:val="22"/>
          <w:szCs w:val="22"/>
          <w:rtl w:val="0"/>
        </w:rPr>
        <w:t xml:space="preserve">fue omisa en remitir documento alguno, tal como se desprende de la siguiente ilustración: </w:t>
      </w: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rPr>
      </w:pPr>
      <w:r w:rsidDel="00000000" w:rsidR="00000000" w:rsidRPr="00000000">
        <w:rPr>
          <w:rFonts w:ascii="Palatino Linotype" w:cs="Palatino Linotype" w:eastAsia="Palatino Linotype" w:hAnsi="Palatino Linotype"/>
          <w:b w:val="1"/>
          <w:i w:val="1"/>
        </w:rPr>
        <w:drawing>
          <wp:inline distB="0" distT="0" distL="0" distR="0">
            <wp:extent cx="5612130" cy="2393315"/>
            <wp:effectExtent b="0" l="0" r="0" t="0"/>
            <wp:docPr id="127"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612130" cy="2393315"/>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1C">
      <w:pPr>
        <w:pBdr>
          <w:top w:space="0" w:sz="0" w:val="nil"/>
          <w:left w:space="0" w:sz="0" w:val="nil"/>
          <w:bottom w:space="0" w:sz="0" w:val="nil"/>
          <w:right w:space="0" w:sz="0" w:val="nil"/>
          <w:between w:space="0" w:sz="0" w:val="nil"/>
        </w:pBdr>
        <w:tabs>
          <w:tab w:val="left" w:leader="none" w:pos="284"/>
        </w:tabs>
        <w:spacing w:line="360" w:lineRule="auto"/>
        <w:ind w:right="49"/>
        <w:jc w:val="both"/>
        <w:rPr>
          <w:rFonts w:ascii="Palatino Linotype" w:cs="Palatino Linotype" w:eastAsia="Palatino Linotype" w:hAnsi="Palatino Linotype"/>
          <w:b w:val="1"/>
          <w:i w:val="1"/>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7. Cierre de instrucción. </w:t>
      </w:r>
      <w:r w:rsidDel="00000000" w:rsidR="00000000" w:rsidRPr="00000000">
        <w:rPr>
          <w:rFonts w:ascii="Palatino Linotype" w:cs="Palatino Linotype" w:eastAsia="Palatino Linotype" w:hAnsi="Palatino Linotype"/>
          <w:sz w:val="22"/>
          <w:szCs w:val="22"/>
          <w:rtl w:val="0"/>
        </w:rPr>
        <w:t xml:space="preserve">Una vez transcurrido el periodo otorgado a las partes para realizar sus manifestaciones y no habiendo documentos que integrar al expediente, el </w:t>
      </w:r>
      <w:r w:rsidDel="00000000" w:rsidR="00000000" w:rsidRPr="00000000">
        <w:rPr>
          <w:rFonts w:ascii="Palatino Linotype" w:cs="Palatino Linotype" w:eastAsia="Palatino Linotype" w:hAnsi="Palatino Linotype"/>
          <w:b w:val="1"/>
          <w:sz w:val="22"/>
          <w:szCs w:val="22"/>
          <w:rtl w:val="0"/>
        </w:rPr>
        <w:t xml:space="preserve">ocho de octubre de dos mil veinticuatro,</w:t>
      </w:r>
      <w:r w:rsidDel="00000000" w:rsidR="00000000" w:rsidRPr="00000000">
        <w:rPr>
          <w:rFonts w:ascii="Palatino Linotype" w:cs="Palatino Linotype" w:eastAsia="Palatino Linotype" w:hAnsi="Palatino Linotype"/>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1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1F">
      <w:pPr>
        <w:widowControl w:val="0"/>
        <w:spacing w:after="240" w:before="240" w:line="360" w:lineRule="auto"/>
        <w:jc w:val="center"/>
        <w:rPr>
          <w:rFonts w:ascii="Palatino Linotype" w:cs="Palatino Linotype" w:eastAsia="Palatino Linotype" w:hAnsi="Palatino Linotype"/>
          <w:b w:val="1"/>
        </w:rPr>
      </w:pPr>
      <w:r w:rsidDel="00000000" w:rsidR="00000000" w:rsidRPr="00000000">
        <w:rPr>
          <w:rFonts w:ascii="Palatino Linotype" w:cs="Palatino Linotype" w:eastAsia="Palatino Linotype" w:hAnsi="Palatino Linotype"/>
          <w:b w:val="1"/>
          <w:rtl w:val="0"/>
        </w:rPr>
        <w:t xml:space="preserve">II. C O N S I D E R A N D O S</w:t>
      </w:r>
    </w:p>
    <w:p w:rsidR="00000000" w:rsidDel="00000000" w:rsidP="00000000" w:rsidRDefault="00000000" w:rsidRPr="00000000" w14:paraId="0000002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w:t>
      </w:r>
      <w:r w:rsidDel="00000000" w:rsidR="00000000" w:rsidRPr="00000000">
        <w:rPr>
          <w:rFonts w:ascii="Palatino Linotype" w:cs="Palatino Linotype" w:eastAsia="Palatino Linotype" w:hAnsi="Palatino Linotype"/>
          <w:sz w:val="22"/>
          <w:szCs w:val="22"/>
          <w:rtl w:val="0"/>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segundo, trigésimo tercero y trigésimo cuarto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1">
      <w:pPr>
        <w:spacing w:after="240" w:before="240" w:line="360" w:lineRule="auto"/>
        <w:jc w:val="both"/>
        <w:rPr>
          <w:rFonts w:ascii="Palatino Linotype" w:cs="Palatino Linotype" w:eastAsia="Palatino Linotype" w:hAnsi="Palatino Linotype"/>
          <w:sz w:val="22"/>
          <w:szCs w:val="22"/>
        </w:rPr>
      </w:pPr>
      <w:bookmarkStart w:colFirst="0" w:colLast="0" w:name="_heading=h.tyjcwt" w:id="5"/>
      <w:bookmarkEnd w:id="5"/>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toda vez que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remitió la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trece de agosto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mientras que el recurso de revisión interpuesto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se tuvo por presentado el día </w:t>
      </w:r>
      <w:r w:rsidDel="00000000" w:rsidR="00000000" w:rsidRPr="00000000">
        <w:rPr>
          <w:rFonts w:ascii="Palatino Linotype" w:cs="Palatino Linotype" w:eastAsia="Palatino Linotype" w:hAnsi="Palatino Linotype"/>
          <w:b w:val="1"/>
          <w:sz w:val="22"/>
          <w:szCs w:val="22"/>
          <w:rtl w:val="0"/>
        </w:rPr>
        <w:t xml:space="preserve">veintiocho de agosto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de dos mil veinticuatro, </w:t>
      </w:r>
      <w:r w:rsidDel="00000000" w:rsidR="00000000" w:rsidRPr="00000000">
        <w:rPr>
          <w:rFonts w:ascii="Palatino Linotype" w:cs="Palatino Linotype" w:eastAsia="Palatino Linotype" w:hAnsi="Palatino Linotype"/>
          <w:sz w:val="22"/>
          <w:szCs w:val="22"/>
          <w:rtl w:val="0"/>
        </w:rPr>
        <w:t xml:space="preserve">esto es, al </w:t>
      </w:r>
      <w:r w:rsidDel="00000000" w:rsidR="00000000" w:rsidRPr="00000000">
        <w:rPr>
          <w:rFonts w:ascii="Palatino Linotype" w:cs="Palatino Linotype" w:eastAsia="Palatino Linotype" w:hAnsi="Palatino Linotype"/>
          <w:b w:val="1"/>
          <w:sz w:val="22"/>
          <w:szCs w:val="22"/>
          <w:rtl w:val="0"/>
        </w:rPr>
        <w:t xml:space="preserve">décimo primer día hábil</w:t>
      </w:r>
      <w:r w:rsidDel="00000000" w:rsidR="00000000" w:rsidRPr="00000000">
        <w:rPr>
          <w:rFonts w:ascii="Palatino Linotype" w:cs="Palatino Linotype" w:eastAsia="Palatino Linotype" w:hAnsi="Palatino Linotype"/>
          <w:sz w:val="22"/>
          <w:szCs w:val="22"/>
          <w:rtl w:val="0"/>
        </w:rPr>
        <w:t xml:space="preserve"> siguiente al que tuvo conocimiento de la respuesta impugnada. En este sentido, se concluye que el presente recurso de revisión se encuentra dentro de los márgenes temporales previstos en las disposiciones legales referidas.</w:t>
      </w:r>
    </w:p>
    <w:p w:rsidR="00000000" w:rsidDel="00000000" w:rsidP="00000000" w:rsidRDefault="00000000" w:rsidRPr="00000000" w14:paraId="00000023">
      <w:pPr>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Asimismo, por cuanto hace a la procedibilidad del  recurso de revisión, es de suma importancia señalar que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no señaló nombre o seudónimo alguno con el que pueda ser identificado, tal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r w:rsidDel="00000000" w:rsidR="00000000" w:rsidRPr="00000000">
        <w:rPr>
          <w:rtl w:val="0"/>
        </w:rPr>
      </w:r>
    </w:p>
    <w:p w:rsidR="00000000" w:rsidDel="00000000" w:rsidP="00000000" w:rsidRDefault="00000000" w:rsidRPr="00000000" w14:paraId="00000024">
      <w:pPr>
        <w:spacing w:after="240" w:before="240" w:lineRule="auto"/>
        <w:ind w:left="567" w:right="616"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"Las solicitudes anónimas, con nombre incompleto o seudónimo serán procedentes para su trámite por parte del sujeto obligado ante quien se presente. No podrá requerirse información adicional con motivo del nombre proporcionado por el solicitante."</w:t>
      </w:r>
      <w:r w:rsidDel="00000000" w:rsidR="00000000" w:rsidRPr="00000000">
        <w:rPr>
          <w:rtl w:val="0"/>
        </w:rPr>
      </w:r>
    </w:p>
    <w:p w:rsidR="00000000" w:rsidDel="00000000" w:rsidP="00000000" w:rsidRDefault="00000000" w:rsidRPr="00000000" w14:paraId="00000025">
      <w:pPr>
        <w:tabs>
          <w:tab w:val="left" w:leader="none" w:pos="7938"/>
        </w:tabs>
        <w:spacing w:after="240" w:before="240" w:line="360" w:lineRule="auto"/>
        <w:jc w:val="both"/>
        <w:rPr>
          <w:rFonts w:ascii="Palatino Linotype" w:cs="Palatino Linotype" w:eastAsia="Palatino Linotype" w:hAnsi="Palatino Linotype"/>
          <w:sz w:val="22"/>
          <w:szCs w:val="22"/>
        </w:rPr>
      </w:pPr>
      <w:bookmarkStart w:colFirst="0" w:colLast="0" w:name="_heading=h.3znysh7" w:id="6"/>
      <w:bookmarkEnd w:id="6"/>
      <w:r w:rsidDel="00000000" w:rsidR="00000000" w:rsidRPr="00000000">
        <w:rPr>
          <w:rFonts w:ascii="Palatino Linotype" w:cs="Palatino Linotype" w:eastAsia="Palatino Linotype" w:hAnsi="Palatino Linotype"/>
          <w:sz w:val="22"/>
          <w:szCs w:val="22"/>
          <w:rtl w:val="0"/>
        </w:rPr>
        <w:t xml:space="preserve">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rsidR="00000000" w:rsidDel="00000000" w:rsidP="00000000" w:rsidRDefault="00000000" w:rsidRPr="00000000" w14:paraId="0000002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se advierte que resulta procedente la interposición del recurso, según lo manifestado por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 de acuerdo al artículo 179, fracción I del ordenamiento legal citado, que a la letra dice: </w:t>
      </w:r>
    </w:p>
    <w:p w:rsidR="00000000" w:rsidDel="00000000" w:rsidP="00000000" w:rsidRDefault="00000000" w:rsidRPr="00000000" w14:paraId="0000002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w:t>
      </w:r>
      <w:r w:rsidDel="00000000" w:rsidR="00000000" w:rsidRPr="00000000">
        <w:rPr>
          <w:rFonts w:ascii="Palatino Linotype" w:cs="Palatino Linotype" w:eastAsia="Palatino Linotype" w:hAnsi="Palatino Linotype"/>
          <w:i w:val="1"/>
          <w:sz w:val="22"/>
          <w:szCs w:val="22"/>
          <w:rtl w:val="0"/>
        </w:rPr>
        <w:t xml:space="preserve"> 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28">
      <w:pPr>
        <w:spacing w:after="120" w:before="120" w:lineRule="auto"/>
        <w:ind w:left="567" w:firstLine="0"/>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La negativa a la información solicitada;</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2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Materia de la revisión. </w:t>
      </w:r>
      <w:r w:rsidDel="00000000" w:rsidR="00000000" w:rsidRPr="00000000">
        <w:rPr>
          <w:rFonts w:ascii="Palatino Linotype" w:cs="Palatino Linotype" w:eastAsia="Palatino Linotype" w:hAnsi="Palatino Linotype"/>
          <w:sz w:val="22"/>
          <w:szCs w:val="22"/>
          <w:rtl w:val="0"/>
        </w:rPr>
        <w:t xml:space="preserve">De la revisión a las constancias y documentos que obran en el expediente electrónico se advierte, que el tema sobre el que este Organismo Garante de Transparencia y Acceso a la Información se pronunciará será: </w:t>
      </w:r>
      <w:r w:rsidDel="00000000" w:rsidR="00000000" w:rsidRPr="00000000">
        <w:rPr>
          <w:rFonts w:ascii="Palatino Linotype" w:cs="Palatino Linotype" w:eastAsia="Palatino Linotype" w:hAnsi="Palatino Linotype"/>
          <w:b w:val="1"/>
          <w:sz w:val="22"/>
          <w:szCs w:val="22"/>
          <w:rtl w:val="0"/>
        </w:rPr>
        <w:t xml:space="preserve">verificar si la respuesta e informe justificado otorgados por el Sujeto Obligado son adecuados y suficientes para satisfacer el derecho de acceso a la información pública </w:t>
      </w:r>
      <w:r w:rsidDel="00000000" w:rsidR="00000000" w:rsidRPr="00000000">
        <w:rPr>
          <w:rFonts w:ascii="Palatino Linotype" w:cs="Palatino Linotype" w:eastAsia="Palatino Linotype" w:hAnsi="Palatino Linotype"/>
          <w:sz w:val="22"/>
          <w:szCs w:val="22"/>
          <w:rtl w:val="0"/>
        </w:rPr>
        <w:t xml:space="preserve">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o en su defecto, en caso de ser procedente, ordenar la entrega de información.</w:t>
      </w:r>
    </w:p>
    <w:p w:rsidR="00000000" w:rsidDel="00000000" w:rsidP="00000000" w:rsidRDefault="00000000" w:rsidRPr="00000000" w14:paraId="0000002A">
      <w:pPr>
        <w:spacing w:after="240" w:before="240" w:line="360" w:lineRule="auto"/>
        <w:jc w:val="both"/>
        <w:rPr>
          <w:rFonts w:ascii="Palatino Linotype" w:cs="Palatino Linotype" w:eastAsia="Palatino Linotype" w:hAnsi="Palatino Linotype"/>
          <w:sz w:val="22"/>
          <w:szCs w:val="22"/>
        </w:rPr>
      </w:pPr>
      <w:bookmarkStart w:colFirst="0" w:colLast="0" w:name="_heading=h.2et92p0" w:id="7"/>
      <w:bookmarkEnd w:id="7"/>
      <w:r w:rsidDel="00000000" w:rsidR="00000000" w:rsidRPr="00000000">
        <w:rPr>
          <w:rFonts w:ascii="Palatino Linotype" w:cs="Palatino Linotype" w:eastAsia="Palatino Linotype" w:hAnsi="Palatino Linotype"/>
          <w:b w:val="1"/>
          <w:sz w:val="22"/>
          <w:szCs w:val="22"/>
          <w:rtl w:val="0"/>
        </w:rPr>
        <w:t xml:space="preserve">Cuarto. Estudio del asunto. </w:t>
      </w:r>
      <w:r w:rsidDel="00000000" w:rsidR="00000000" w:rsidRPr="00000000">
        <w:rPr>
          <w:rFonts w:ascii="Palatino Linotype" w:cs="Palatino Linotype" w:eastAsia="Palatino Linotype" w:hAnsi="Palatino Linotype"/>
          <w:sz w:val="22"/>
          <w:szCs w:val="22"/>
          <w:rtl w:val="0"/>
        </w:rPr>
        <w:t xml:space="preserve">En primer lugar, es conveniente mencionar que de conformidad con el artículo 4 de la Ley de Transparencia y Acceso a la Información Pública del Estado de México y Municipios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rsidR="00000000" w:rsidDel="00000000" w:rsidP="00000000" w:rsidRDefault="00000000" w:rsidRPr="00000000" w14:paraId="0000002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2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2D">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2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2F">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30">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 </w:t>
      </w:r>
      <w:r w:rsidDel="00000000" w:rsidR="00000000" w:rsidRPr="00000000">
        <w:rPr>
          <w:rtl w:val="0"/>
        </w:rPr>
      </w:r>
    </w:p>
    <w:p w:rsidR="00000000" w:rsidDel="00000000" w:rsidP="00000000" w:rsidRDefault="00000000" w:rsidRPr="00000000" w14:paraId="00000031">
      <w:pPr>
        <w:spacing w:after="240" w:before="240" w:line="360" w:lineRule="auto"/>
        <w:ind w:right="-9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solo se concretaran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32">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Sirve de apoyo a lo anterior, el criterio 03/17, emitido por el Instituto Nacional de Transparencia, Acceso a la Información y Protección de Datos Personales, que por rubro y texto, dispone lo siguiente:</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33">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rsidR="00000000" w:rsidDel="00000000" w:rsidP="00000000" w:rsidRDefault="00000000" w:rsidRPr="00000000" w14:paraId="00000034">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35">
      <w:pPr>
        <w:spacing w:after="120" w:before="12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36">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37">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8">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XI. Documento:</w:t>
      </w:r>
      <w:r w:rsidDel="00000000" w:rsidR="00000000" w:rsidRPr="00000000">
        <w:rPr>
          <w:rFonts w:ascii="Palatino Linotype" w:cs="Palatino Linotype" w:eastAsia="Palatino Linotype" w:hAnsi="Palatino Linotype"/>
          <w:i w:val="1"/>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rsidR="00000000" w:rsidDel="00000000" w:rsidP="00000000" w:rsidRDefault="00000000" w:rsidRPr="00000000" w14:paraId="00000039">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3A">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000000" w:rsidDel="00000000" w:rsidP="00000000" w:rsidRDefault="00000000" w:rsidRPr="00000000" w14:paraId="0000003B">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3C">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3D">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3E">
      <w:pPr>
        <w:spacing w:after="120" w:before="120" w:lineRule="auto"/>
        <w:ind w:left="567"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3) Que se trate de información registrada en cualquier soporte documental, que en ejercicio de las atribuciones conferidas, se encuentre en posesión de los Sujetos Obligados.” </w:t>
      </w:r>
    </w:p>
    <w:p w:rsidR="00000000" w:rsidDel="00000000" w:rsidP="00000000" w:rsidRDefault="00000000" w:rsidRPr="00000000" w14:paraId="0000003F">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el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4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4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de la solicitud de información, motivo del recurso de revisión que ahora se resuelve, se advierte que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le proporcione, información consistente en lo siguiente:</w:t>
      </w:r>
    </w:p>
    <w:p w:rsidR="00000000" w:rsidDel="00000000" w:rsidP="00000000" w:rsidRDefault="00000000" w:rsidRPr="00000000" w14:paraId="00000042">
      <w:pPr>
        <w:tabs>
          <w:tab w:val="right" w:leader="none" w:pos="8222"/>
        </w:tabs>
        <w:spacing w:after="240" w:before="240" w:line="276" w:lineRule="auto"/>
        <w:ind w:left="567" w:right="900"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Del mes de abril de 2024: </w:t>
      </w:r>
    </w:p>
    <w:p w:rsidR="00000000" w:rsidDel="00000000" w:rsidP="00000000" w:rsidRDefault="00000000" w:rsidRPr="00000000" w14:paraId="00000043">
      <w:pPr>
        <w:numPr>
          <w:ilvl w:val="0"/>
          <w:numId w:val="1"/>
        </w:numPr>
        <w:pBdr>
          <w:top w:space="0" w:sz="0" w:val="nil"/>
          <w:left w:space="0" w:sz="0" w:val="nil"/>
          <w:bottom w:space="0" w:sz="0" w:val="nil"/>
          <w:right w:space="0" w:sz="0" w:val="nil"/>
          <w:between w:space="0" w:sz="0" w:val="nil"/>
        </w:pBdr>
        <w:tabs>
          <w:tab w:val="right" w:leader="none" w:pos="8222"/>
        </w:tabs>
        <w:spacing w:before="240" w:line="276" w:lineRule="auto"/>
        <w:ind w:left="567" w:right="900"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Los contratos realizados por cualquier concepto servicio, proveedor, compra, adquisición etc.</w:t>
      </w:r>
    </w:p>
    <w:p w:rsidR="00000000" w:rsidDel="00000000" w:rsidP="00000000" w:rsidRDefault="00000000" w:rsidRPr="00000000" w14:paraId="00000044">
      <w:pPr>
        <w:numPr>
          <w:ilvl w:val="0"/>
          <w:numId w:val="1"/>
        </w:numPr>
        <w:pBdr>
          <w:top w:space="0" w:sz="0" w:val="nil"/>
          <w:left w:space="0" w:sz="0" w:val="nil"/>
          <w:bottom w:space="0" w:sz="0" w:val="nil"/>
          <w:right w:space="0" w:sz="0" w:val="nil"/>
          <w:between w:space="0" w:sz="0" w:val="nil"/>
        </w:pBdr>
        <w:tabs>
          <w:tab w:val="right" w:leader="none" w:pos="8222"/>
        </w:tabs>
        <w:spacing w:line="276" w:lineRule="auto"/>
        <w:ind w:left="567" w:right="900"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Las facturas pagadas a esos contratos. </w:t>
      </w:r>
    </w:p>
    <w:p w:rsidR="00000000" w:rsidDel="00000000" w:rsidP="00000000" w:rsidRDefault="00000000" w:rsidRPr="00000000" w14:paraId="00000045">
      <w:pPr>
        <w:numPr>
          <w:ilvl w:val="0"/>
          <w:numId w:val="1"/>
        </w:numPr>
        <w:pBdr>
          <w:top w:space="0" w:sz="0" w:val="nil"/>
          <w:left w:space="0" w:sz="0" w:val="nil"/>
          <w:bottom w:space="0" w:sz="0" w:val="nil"/>
          <w:right w:space="0" w:sz="0" w:val="nil"/>
          <w:between w:space="0" w:sz="0" w:val="nil"/>
        </w:pBdr>
        <w:tabs>
          <w:tab w:val="right" w:leader="none" w:pos="8222"/>
        </w:tabs>
        <w:spacing w:after="240" w:line="276" w:lineRule="auto"/>
        <w:ind w:left="567" w:right="900" w:hanging="283"/>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qué piden en administración un porcentaje del 10 por ciento para otorgar ese contrato quien es el director general, el director de servicios materiales o quien los obliga.</w:t>
      </w:r>
    </w:p>
    <w:p w:rsidR="00000000" w:rsidDel="00000000" w:rsidP="00000000" w:rsidRDefault="00000000" w:rsidRPr="00000000" w14:paraId="00000046">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respuesta,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se pronunció por conducto de la Dirección General de Administración y servidor público habilitado adjuntó un listado donde obran los contratos celebrados del mes de abril de 2024. </w:t>
      </w:r>
    </w:p>
    <w:p w:rsidR="00000000" w:rsidDel="00000000" w:rsidP="00000000" w:rsidRDefault="00000000" w:rsidRPr="00000000" w14:paraId="0000004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hace al punto “…</w:t>
      </w:r>
      <w:r w:rsidDel="00000000" w:rsidR="00000000" w:rsidRPr="00000000">
        <w:rPr>
          <w:rFonts w:ascii="Palatino Linotype" w:cs="Palatino Linotype" w:eastAsia="Palatino Linotype" w:hAnsi="Palatino Linotype"/>
          <w:i w:val="1"/>
          <w:sz w:val="22"/>
          <w:szCs w:val="22"/>
          <w:rtl w:val="0"/>
        </w:rPr>
        <w:t xml:space="preserve">por que piden en administración un porcentaje del 10 por ciento para otorgar ese contrato quien es el director general, el director de servicios materiales o quien los obliga</w:t>
      </w:r>
      <w:r w:rsidDel="00000000" w:rsidR="00000000" w:rsidRPr="00000000">
        <w:rPr>
          <w:rFonts w:ascii="Palatino Linotype" w:cs="Palatino Linotype" w:eastAsia="Palatino Linotype" w:hAnsi="Palatino Linotype"/>
          <w:sz w:val="22"/>
          <w:szCs w:val="22"/>
          <w:rtl w:val="0"/>
        </w:rPr>
        <w:t xml:space="preserve">” (sic), señala que no se cuenta con documento que colme la pretensión del particular, por no haberla generado, poseído o administrado, sino bien se observa que el particular busca un pronunciamiento por parte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lo cual no constituye un derecho de acceso a la información; sino un derecho de petición, debido a que realizar manifestaciones, erogantes por el solicitante, acusaciones y declaraciones que no se colman con la entrega de documentos, situación que conlleva a afirmar que se está ante la presencia del ejercicio del derecho ya enunciado. </w:t>
      </w:r>
    </w:p>
    <w:p w:rsidR="00000000" w:rsidDel="00000000" w:rsidP="00000000" w:rsidRDefault="00000000" w:rsidRPr="00000000" w14:paraId="0000004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Finalmente, la Tesorería Municipal, informa que, referente a la solicitud, aún se están realizando los registros contables y presupuestales del ejercicio 2024 y no se cuenta con la información correspondiente al segundo trimestre, por lo cual dicha información no puede ser presentada por no haberla generado a la fecha de la presente solicitud.</w:t>
      </w:r>
    </w:p>
    <w:p w:rsidR="00000000" w:rsidDel="00000000" w:rsidP="00000000" w:rsidRDefault="00000000" w:rsidRPr="00000000" w14:paraId="00000049">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la persona solicitante, al no estar conforme con los términos de la misma, interpuso el recurso de revisión que nos ocupa, mediante el cual se inconformó medularmente por la negativa a entregar los contratos y las facturas.</w:t>
      </w:r>
    </w:p>
    <w:p w:rsidR="00000000" w:rsidDel="00000000" w:rsidP="00000000" w:rsidRDefault="00000000" w:rsidRPr="00000000" w14:paraId="0000004A">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Admitido el presente recurso de revisión, en términos del artículo 185 fracción II</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 teniendo así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ratificó los términos de la respuesta inicial mientras que </w:t>
      </w:r>
      <w:r w:rsidDel="00000000" w:rsidR="00000000" w:rsidRPr="00000000">
        <w:rPr>
          <w:rFonts w:ascii="Palatino Linotype" w:cs="Palatino Linotype" w:eastAsia="Palatino Linotype" w:hAnsi="Palatino Linotype"/>
          <w:b w:val="1"/>
          <w:sz w:val="22"/>
          <w:szCs w:val="22"/>
          <w:rtl w:val="0"/>
        </w:rPr>
        <w:t xml:space="preserve">la parte Recurrente </w:t>
      </w:r>
      <w:r w:rsidDel="00000000" w:rsidR="00000000" w:rsidRPr="00000000">
        <w:rPr>
          <w:rFonts w:ascii="Palatino Linotype" w:cs="Palatino Linotype" w:eastAsia="Palatino Linotype" w:hAnsi="Palatino Linotype"/>
          <w:sz w:val="22"/>
          <w:szCs w:val="22"/>
          <w:rtl w:val="0"/>
        </w:rPr>
        <w:t xml:space="preserve">fue omisa en remitir manifestaciones, por lo que se tiene por precluido su derecho para tal efecto.</w:t>
      </w:r>
      <w:r w:rsidDel="00000000" w:rsidR="00000000" w:rsidRPr="00000000">
        <w:rPr>
          <w:rFonts w:ascii="Palatino Linotype" w:cs="Palatino Linotype" w:eastAsia="Palatino Linotype" w:hAnsi="Palatino Linotype"/>
          <w:b w:val="1"/>
          <w:sz w:val="22"/>
          <w:szCs w:val="22"/>
          <w:rtl w:val="0"/>
        </w:rPr>
        <w:t xml:space="preserve"> </w:t>
      </w:r>
    </w:p>
    <w:p w:rsidR="00000000" w:rsidDel="00000000" w:rsidP="00000000" w:rsidRDefault="00000000" w:rsidRPr="00000000" w14:paraId="0000004B">
      <w:pPr>
        <w:spacing w:line="360" w:lineRule="auto"/>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sz w:val="22"/>
          <w:szCs w:val="22"/>
          <w:rtl w:val="0"/>
        </w:rPr>
        <w:t xml:space="preserve">Previo análisis del asunto, es de advertirse que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en sus motivos de inconformidad</w:t>
      </w:r>
      <w:r w:rsidDel="00000000" w:rsidR="00000000" w:rsidRPr="00000000">
        <w:rPr>
          <w:rFonts w:ascii="Palatino Linotype" w:cs="Palatino Linotype" w:eastAsia="Palatino Linotype" w:hAnsi="Palatino Linotype"/>
          <w:b w:val="1"/>
          <w:sz w:val="22"/>
          <w:szCs w:val="22"/>
          <w:rtl w:val="0"/>
        </w:rPr>
        <w:t xml:space="preserve">, omite impugnar lo relativo a </w:t>
      </w:r>
      <w:r w:rsidDel="00000000" w:rsidR="00000000" w:rsidRPr="00000000">
        <w:rPr>
          <w:rFonts w:ascii="Palatino Linotype" w:cs="Palatino Linotype" w:eastAsia="Palatino Linotype" w:hAnsi="Palatino Linotype"/>
          <w:b w:val="1"/>
          <w:i w:val="1"/>
          <w:sz w:val="22"/>
          <w:szCs w:val="22"/>
          <w:rtl w:val="0"/>
        </w:rPr>
        <w:t xml:space="preserve">Por qué piden en administración un porcentaje del 10 por ciento para otorgar ese contrato quien es el director general, el director de servicios materiales o quien los obliga</w:t>
      </w:r>
      <w:r w:rsidDel="00000000" w:rsidR="00000000" w:rsidRPr="00000000">
        <w:rPr>
          <w:rFonts w:ascii="Palatino Linotype" w:cs="Palatino Linotype" w:eastAsia="Palatino Linotype" w:hAnsi="Palatino Linotype"/>
          <w:sz w:val="22"/>
          <w:szCs w:val="22"/>
          <w:rtl w:val="0"/>
        </w:rPr>
        <w:t xml:space="preserve">; en este tenor, la parte de la información entregada y que no fue impugnada </w:t>
      </w:r>
      <w:r w:rsidDel="00000000" w:rsidR="00000000" w:rsidRPr="00000000">
        <w:rPr>
          <w:rFonts w:ascii="Palatino Linotype" w:cs="Palatino Linotype" w:eastAsia="Palatino Linotype" w:hAnsi="Palatino Linotype"/>
          <w:b w:val="1"/>
          <w:sz w:val="22"/>
          <w:szCs w:val="22"/>
          <w:rtl w:val="0"/>
        </w:rPr>
        <w:t xml:space="preserve">debe declararse consentida</w:t>
      </w:r>
      <w:r w:rsidDel="00000000" w:rsidR="00000000" w:rsidRPr="00000000">
        <w:rPr>
          <w:rFonts w:ascii="Palatino Linotype" w:cs="Palatino Linotype" w:eastAsia="Palatino Linotype" w:hAnsi="Palatino Linotype"/>
          <w:sz w:val="22"/>
          <w:szCs w:val="22"/>
          <w:rtl w:val="0"/>
        </w:rPr>
        <w:t xml:space="preserve">, toda vez que, al no haber realizado manifestaciones de inconformidad al respecto, no pueden producirse efectos jurídicos tendentes a revocar, confirmar o modificar el acto reclamado, ya que, en el caso concreto se infiere que la información proporcionada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satisface parte de la solicitud presentada.</w:t>
      </w:r>
      <w:r w:rsidDel="00000000" w:rsidR="00000000" w:rsidRPr="00000000">
        <w:rPr>
          <w:rtl w:val="0"/>
        </w:rPr>
      </w:r>
    </w:p>
    <w:p w:rsidR="00000000" w:rsidDel="00000000" w:rsidP="00000000" w:rsidRDefault="00000000" w:rsidRPr="00000000" w14:paraId="0000004C">
      <w:pPr>
        <w:spacing w:line="360" w:lineRule="auto"/>
        <w:jc w:val="both"/>
        <w:rPr/>
      </w:pPr>
      <w:r w:rsidDel="00000000" w:rsidR="00000000" w:rsidRPr="00000000">
        <w:rPr>
          <w:rtl w:val="0"/>
        </w:rPr>
      </w:r>
    </w:p>
    <w:p w:rsidR="00000000" w:rsidDel="00000000" w:rsidP="00000000" w:rsidRDefault="00000000" w:rsidRPr="00000000" w14:paraId="0000004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es así, debido a que cuando un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impugna la información entregada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y este no expresa Razón o Motivo de Inconformidad en contra de todos los rubros solicitados, dichos rubros deben declararse atendidos, pues se entiende que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está conforme con la información entregada al no contravenir la misma. Sirve de Apoyo a lo anterior, por analogía la Tesis Jurisprudencial Número 3ª./J.7/91, Publicada en el Semanario Judicial de la Federación y su Gaceta bajo el número de registro 174,177, que establece lo siguiente:</w:t>
      </w:r>
    </w:p>
    <w:p w:rsidR="00000000" w:rsidDel="00000000" w:rsidP="00000000" w:rsidRDefault="00000000" w:rsidRPr="00000000" w14:paraId="0000004E">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F">
      <w:pPr>
        <w:spacing w:after="160" w:line="259"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“REVISIÓN EN AMPARO. LOS RESOLUTIVOS NO COMBATIDOS DEBEN DECLARARSE FIRMES. </w:t>
      </w:r>
      <w:r w:rsidDel="00000000" w:rsidR="00000000" w:rsidRPr="00000000">
        <w:rPr>
          <w:rFonts w:ascii="Palatino Linotype" w:cs="Palatino Linotype" w:eastAsia="Palatino Linotype" w:hAnsi="Palatino Linotype"/>
          <w:i w:val="1"/>
          <w:sz w:val="22"/>
          <w:szCs w:val="22"/>
          <w:rtl w:val="0"/>
        </w:rPr>
        <w:t xml:space="preserve">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
    <w:p w:rsidR="00000000" w:rsidDel="00000000" w:rsidP="00000000" w:rsidRDefault="00000000" w:rsidRPr="00000000" w14:paraId="00000050">
      <w:pPr>
        <w:spacing w:after="160" w:line="276" w:lineRule="auto"/>
        <w:ind w:left="851" w:right="900" w:firstLine="0"/>
        <w:jc w:val="both"/>
        <w:rPr>
          <w:rFonts w:ascii="Palatino Linotype" w:cs="Palatino Linotype" w:eastAsia="Palatino Linotype" w:hAnsi="Palatino Linotype"/>
          <w:i w:val="1"/>
          <w:sz w:val="10"/>
          <w:szCs w:val="10"/>
        </w:rPr>
      </w:pPr>
      <w:r w:rsidDel="00000000" w:rsidR="00000000" w:rsidRPr="00000000">
        <w:rPr>
          <w:rtl w:val="0"/>
        </w:rPr>
      </w:r>
    </w:p>
    <w:p w:rsidR="00000000" w:rsidDel="00000000" w:rsidP="00000000" w:rsidRDefault="00000000" w:rsidRPr="00000000" w14:paraId="0000005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Consecuentemente, se reitera que la parte de las solicitudes que no fueron impugnadas deben declararse consentidas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razón de que no se realizaron manifestaciones de inconformidad, por lo que no pueden producirse efectos jurídicos tendentes a revocar, confirmar o modificar el acto reclamado ya que se infiere un consentimiento de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ante la falta de impugnación eficaz. </w:t>
      </w:r>
    </w:p>
    <w:p w:rsidR="00000000" w:rsidDel="00000000" w:rsidP="00000000" w:rsidRDefault="00000000" w:rsidRPr="00000000" w14:paraId="0000005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Sirve de sustento a lo anterior por analogía la tesis jurisprudencial número VI.3o.C. J/60, publicada en el Semanario Judicial de la Federación y su Gaceta bajo el número de registro 176,608 que a la letra dice:</w:t>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5">
      <w:pPr>
        <w:spacing w:after="160" w:line="259"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mallCaps w:val="1"/>
          <w:sz w:val="22"/>
          <w:szCs w:val="22"/>
          <w:rtl w:val="0"/>
        </w:rPr>
        <w:t xml:space="preserve">“ACTOS CONSENTIDOS. SON LOS QUE NO SE IMPUGNAN MEDIANTE EL RECURSO IDÓNEO. </w:t>
      </w:r>
      <w:r w:rsidDel="00000000" w:rsidR="00000000" w:rsidRPr="00000000">
        <w:rPr>
          <w:rFonts w:ascii="Palatino Linotype" w:cs="Palatino Linotype" w:eastAsia="Palatino Linotype" w:hAnsi="Palatino Linotype"/>
          <w:i w:val="1"/>
          <w:sz w:val="22"/>
          <w:szCs w:val="22"/>
          <w:rtl w:val="0"/>
        </w:rPr>
        <w:t xml:space="preserve">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rsidR="00000000" w:rsidDel="00000000" w:rsidP="00000000" w:rsidRDefault="00000000" w:rsidRPr="00000000" w14:paraId="00000056">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Acotado lo anterior, y a efecto de garantizar el efectivo ejercicio del derecho de acceso a la información pública que asiste a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resulta conveniente señalar que </w:t>
      </w:r>
      <w:r w:rsidDel="00000000" w:rsidR="00000000" w:rsidRPr="00000000">
        <w:rPr>
          <w:rFonts w:ascii="Palatino Linotype" w:cs="Palatino Linotype" w:eastAsia="Palatino Linotype" w:hAnsi="Palatino Linotype"/>
          <w:b w:val="1"/>
          <w:sz w:val="22"/>
          <w:szCs w:val="22"/>
          <w:rtl w:val="0"/>
        </w:rPr>
        <w:t xml:space="preserve">el presente análisis versará respecto de los contratos realizados por cualquier concepto, servicio, proveedor, compra, adquisición, etc. durante el mes de abril de 2024, así como las facturas pagadas a dichos contratos. </w:t>
      </w:r>
    </w:p>
    <w:p w:rsidR="00000000" w:rsidDel="00000000" w:rsidP="00000000" w:rsidRDefault="00000000" w:rsidRPr="00000000" w14:paraId="0000005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resulta necesario iniciar el presente análisis señalando que la unidad administrativa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turnó la solicitud de información a la Dirección General de Administración y la Tesorería Municipal, unidades administrativas que de conformidad con el Código Reglamentario del Ayuntamiento de Toluca y la Ley Orgánica Municipal del Estado de México, cuentan con las siguientes atribuciones: </w:t>
      </w:r>
    </w:p>
    <w:p w:rsidR="00000000" w:rsidDel="00000000" w:rsidP="00000000" w:rsidRDefault="00000000" w:rsidRPr="00000000" w14:paraId="00000058">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Código Reglamentario del Ayuntamiento de Toluca: </w:t>
      </w:r>
    </w:p>
    <w:p w:rsidR="00000000" w:rsidDel="00000000" w:rsidP="00000000" w:rsidRDefault="00000000" w:rsidRPr="00000000" w14:paraId="00000059">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“Artículo 3.40. La o el titular de la </w:t>
      </w:r>
      <w:r w:rsidDel="00000000" w:rsidR="00000000" w:rsidRPr="00000000">
        <w:rPr>
          <w:rFonts w:ascii="Palatino Linotype" w:cs="Palatino Linotype" w:eastAsia="Palatino Linotype" w:hAnsi="Palatino Linotype"/>
          <w:b w:val="1"/>
          <w:i w:val="1"/>
          <w:sz w:val="22"/>
          <w:szCs w:val="22"/>
          <w:rtl w:val="0"/>
        </w:rPr>
        <w:t xml:space="preserve">Dirección General de Administración</w:t>
      </w:r>
      <w:r w:rsidDel="00000000" w:rsidR="00000000" w:rsidRPr="00000000">
        <w:rPr>
          <w:rFonts w:ascii="Palatino Linotype" w:cs="Palatino Linotype" w:eastAsia="Palatino Linotype" w:hAnsi="Palatino Linotype"/>
          <w:i w:val="1"/>
          <w:sz w:val="22"/>
          <w:szCs w:val="22"/>
          <w:rtl w:val="0"/>
        </w:rPr>
        <w:t xml:space="preserve">, tiene las siguientes atribuciones:</w:t>
      </w:r>
    </w:p>
    <w:p w:rsidR="00000000" w:rsidDel="00000000" w:rsidP="00000000" w:rsidRDefault="00000000" w:rsidRPr="00000000" w14:paraId="0000005A">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B">
      <w:pPr>
        <w:spacing w:after="24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XII. Revisar, </w:t>
      </w:r>
      <w:r w:rsidDel="00000000" w:rsidR="00000000" w:rsidRPr="00000000">
        <w:rPr>
          <w:rFonts w:ascii="Palatino Linotype" w:cs="Palatino Linotype" w:eastAsia="Palatino Linotype" w:hAnsi="Palatino Linotype"/>
          <w:b w:val="1"/>
          <w:i w:val="1"/>
          <w:sz w:val="22"/>
          <w:szCs w:val="22"/>
          <w:u w:val="single"/>
          <w:rtl w:val="0"/>
        </w:rPr>
        <w:t xml:space="preserve">suscribir</w:t>
      </w:r>
      <w:r w:rsidDel="00000000" w:rsidR="00000000" w:rsidRPr="00000000">
        <w:rPr>
          <w:rFonts w:ascii="Palatino Linotype" w:cs="Palatino Linotype" w:eastAsia="Palatino Linotype" w:hAnsi="Palatino Linotype"/>
          <w:i w:val="1"/>
          <w:sz w:val="22"/>
          <w:szCs w:val="22"/>
          <w:rtl w:val="0"/>
        </w:rPr>
        <w:t xml:space="preserve"> y vigilar </w:t>
      </w:r>
      <w:r w:rsidDel="00000000" w:rsidR="00000000" w:rsidRPr="00000000">
        <w:rPr>
          <w:rFonts w:ascii="Palatino Linotype" w:cs="Palatino Linotype" w:eastAsia="Palatino Linotype" w:hAnsi="Palatino Linotype"/>
          <w:b w:val="1"/>
          <w:i w:val="1"/>
          <w:sz w:val="22"/>
          <w:szCs w:val="22"/>
          <w:u w:val="single"/>
          <w:rtl w:val="0"/>
        </w:rPr>
        <w:t xml:space="preserve">todos aquellos contratos que se formalicen con proveedores, así como su ejecución y ejercicio, relativos a fallos de adjudicación de procesos de licitación pública o de sus excepciones, mismos que deberán cumplir con la normatividad en la materia;” </w:t>
      </w: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5C">
      <w:pPr>
        <w:spacing w:after="240" w:before="240" w:line="276" w:lineRule="auto"/>
        <w:ind w:right="90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Ley Orgánica Municipal del Estado de México: </w:t>
      </w:r>
    </w:p>
    <w:p w:rsidR="00000000" w:rsidDel="00000000" w:rsidP="00000000" w:rsidRDefault="00000000" w:rsidRPr="00000000" w14:paraId="0000005D">
      <w:pP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95.- Son atribuciones del tesorero municipal:</w:t>
      </w:r>
    </w:p>
    <w:p w:rsidR="00000000" w:rsidDel="00000000" w:rsidP="00000000" w:rsidRDefault="00000000" w:rsidRPr="00000000" w14:paraId="0000005E">
      <w:pPr>
        <w:spacing w:after="240" w:before="240"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Administrar la hacienda pública municipal, de conformidad con las disposiciones legales aplicables;</w:t>
      </w:r>
    </w:p>
    <w:p w:rsidR="00000000" w:rsidDel="00000000" w:rsidP="00000000" w:rsidRDefault="00000000" w:rsidRPr="00000000" w14:paraId="0000005F">
      <w:pPr>
        <w:spacing w:after="240" w:before="240" w:line="276" w:lineRule="auto"/>
        <w:ind w:left="567" w:right="900"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60">
      <w:pPr>
        <w:spacing w:after="240" w:before="240" w:line="276" w:lineRule="auto"/>
        <w:ind w:left="567" w:right="900"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IV. Llevar los registros contables, financieros y administrativos de los ingresos, egresos, e inventarios;” </w:t>
      </w: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6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citado, se desprende que la Dirección General de Administración cuenta con la atribución de suscribir todos aquellos contratos que se formalicen con proveedores, así como su ejecución y ejercicio, mientras que la Tesorería Municipal se encarga de llevar los registros contables, financieros y administrativos de los egresos, por ello es dable afirmar que se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rsidR="00000000" w:rsidDel="00000000" w:rsidP="00000000" w:rsidRDefault="00000000" w:rsidRPr="00000000" w14:paraId="00000062">
      <w:pPr>
        <w:pBdr>
          <w:top w:space="0" w:sz="0" w:val="nil"/>
          <w:left w:space="0" w:sz="0" w:val="nil"/>
          <w:bottom w:space="0" w:sz="0" w:val="nil"/>
          <w:right w:space="0" w:sz="0" w:val="nil"/>
          <w:between w:space="0" w:sz="0" w:val="nil"/>
        </w:pBdr>
        <w:ind w:left="864" w:right="864" w:firstLine="0"/>
        <w:jc w:val="both"/>
        <w:rPr/>
      </w:pPr>
      <w:r w:rsidDel="00000000" w:rsidR="00000000" w:rsidRPr="00000000">
        <w:rPr>
          <w:rFonts w:ascii="Palatino Linotype" w:cs="Palatino Linotype" w:eastAsia="Palatino Linotype" w:hAnsi="Palatino Linotype"/>
          <w:i w:val="1"/>
          <w:sz w:val="22"/>
          <w:szCs w:val="22"/>
          <w:rtl w:val="0"/>
        </w:rPr>
        <w:t xml:space="preserve">“XXXIX.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r w:rsidDel="00000000" w:rsidR="00000000" w:rsidRPr="00000000">
        <w:rPr>
          <w:rtl w:val="0"/>
        </w:rPr>
      </w:r>
    </w:p>
    <w:p w:rsidR="00000000" w:rsidDel="00000000" w:rsidP="00000000" w:rsidRDefault="00000000" w:rsidRPr="00000000" w14:paraId="0000006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para un mejor entendimiento del presente análisis, se procede a subdividir el presente análisis en los dos subapartados siguientes: </w:t>
      </w:r>
    </w:p>
    <w:p w:rsidR="00000000" w:rsidDel="00000000" w:rsidP="00000000" w:rsidRDefault="00000000" w:rsidRPr="00000000" w14:paraId="00000064">
      <w:pPr>
        <w:numPr>
          <w:ilvl w:val="0"/>
          <w:numId w:val="2"/>
        </w:numPr>
        <w:pBdr>
          <w:top w:space="0" w:sz="0" w:val="nil"/>
          <w:left w:space="0" w:sz="0" w:val="nil"/>
          <w:bottom w:space="0" w:sz="0" w:val="nil"/>
          <w:right w:space="0" w:sz="0" w:val="nil"/>
          <w:between w:space="0" w:sz="0" w:val="nil"/>
        </w:pBdr>
        <w:spacing w:before="240" w:line="360" w:lineRule="auto"/>
        <w:ind w:left="567" w:right="900" w:hanging="28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los contratos realizados por cualquier concepto, servicio, proveedor, compra, adquisición, etc. durante el mes de abril de 2024.</w:t>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pacing w:after="240" w:line="360" w:lineRule="auto"/>
        <w:ind w:left="567" w:right="900" w:hanging="28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De las facturas pagadas a dichos contratos.</w:t>
      </w:r>
    </w:p>
    <w:p w:rsidR="00000000" w:rsidDel="00000000" w:rsidP="00000000" w:rsidRDefault="00000000" w:rsidRPr="00000000" w14:paraId="00000066">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1. De los contratos realizados por cualquier concepto, servicio, proveedor, compra, adquisición, etc. durante el mes de abril de 2024.</w:t>
      </w:r>
    </w:p>
    <w:p w:rsidR="00000000" w:rsidDel="00000000" w:rsidP="00000000" w:rsidRDefault="00000000" w:rsidRPr="00000000" w14:paraId="0000006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Como se precisó en líneas anteriores, desde respuesta se tiene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turnó el requerimiento de información a la unidad administrativa competente que es la Dirección General de Administración, sin embargo, esta persona servidora pública habilitada competente </w:t>
      </w:r>
      <w:r w:rsidDel="00000000" w:rsidR="00000000" w:rsidRPr="00000000">
        <w:rPr>
          <w:rFonts w:ascii="Palatino Linotype" w:cs="Palatino Linotype" w:eastAsia="Palatino Linotype" w:hAnsi="Palatino Linotype"/>
          <w:b w:val="1"/>
          <w:sz w:val="22"/>
          <w:szCs w:val="22"/>
          <w:u w:val="single"/>
          <w:rtl w:val="0"/>
        </w:rPr>
        <w:t xml:space="preserve">proporcionó un listado de los contratos celebrados en el mes de abril de 2024, no así los documentos fuente, tal como lo solicitó el particular</w:t>
      </w:r>
      <w:r w:rsidDel="00000000" w:rsidR="00000000" w:rsidRPr="00000000">
        <w:rPr>
          <w:rFonts w:ascii="Palatino Linotype" w:cs="Palatino Linotype" w:eastAsia="Palatino Linotype" w:hAnsi="Palatino Linotype"/>
          <w:sz w:val="22"/>
          <w:szCs w:val="22"/>
          <w:rtl w:val="0"/>
        </w:rPr>
        <w:t xml:space="preserve">, sirve de mayor referencia la siguiente ilustración:</w:t>
      </w:r>
    </w:p>
    <w:p w:rsidR="00000000" w:rsidDel="00000000" w:rsidP="00000000" w:rsidRDefault="00000000" w:rsidRPr="00000000" w14:paraId="00000068">
      <w:pPr>
        <w:spacing w:after="240" w:before="240" w:line="360" w:lineRule="auto"/>
        <w:jc w:val="center"/>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Pr>
        <w:drawing>
          <wp:inline distB="0" distT="0" distL="0" distR="0">
            <wp:extent cx="4597587" cy="2796129"/>
            <wp:effectExtent b="0" l="0" r="0" t="0"/>
            <wp:docPr id="126"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4597587" cy="2796129"/>
                    </a:xfrm>
                    <a:prstGeom prst="rect"/>
                    <a:ln/>
                  </pic:spPr>
                </pic:pic>
              </a:graphicData>
            </a:graphic>
          </wp:inline>
        </w:drawing>
      </w:r>
      <w:r w:rsidDel="00000000" w:rsidR="00000000" w:rsidRPr="00000000">
        <w:rPr>
          <w:rtl w:val="0"/>
        </w:rPr>
      </w:r>
    </w:p>
    <w:p w:rsidR="00000000" w:rsidDel="00000000" w:rsidP="00000000" w:rsidRDefault="00000000" w:rsidRPr="00000000" w14:paraId="0000006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06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suerte que como se observa con lo anteriormente, en el listado se aprecia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hace referencia a los contratos celebrados, sin embargo, no debemos perder de vista que el requerimiento en concreto versa sobre obtener los documentos fuente, es decir, </w:t>
      </w:r>
      <w:r w:rsidDel="00000000" w:rsidR="00000000" w:rsidRPr="00000000">
        <w:rPr>
          <w:rFonts w:ascii="Palatino Linotype" w:cs="Palatino Linotype" w:eastAsia="Palatino Linotype" w:hAnsi="Palatino Linotype"/>
          <w:b w:val="1"/>
          <w:sz w:val="22"/>
          <w:szCs w:val="22"/>
          <w:rtl w:val="0"/>
        </w:rPr>
        <w:t xml:space="preserve">los contratos celebrados en el mes de abril de 2024</w:t>
      </w:r>
      <w:r w:rsidDel="00000000" w:rsidR="00000000" w:rsidRPr="00000000">
        <w:rPr>
          <w:rFonts w:ascii="Palatino Linotype" w:cs="Palatino Linotype" w:eastAsia="Palatino Linotype" w:hAnsi="Palatino Linotype"/>
          <w:sz w:val="22"/>
          <w:szCs w:val="22"/>
          <w:rtl w:val="0"/>
        </w:rPr>
        <w:t xml:space="preserve">, no así un listado en el que obren dichos contratos, por lo tanto,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con lo remitido en respuesta, se colige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observó lo que dispone el Criterio 02/2017 emitido por el Instituto Nacional de Transparencia, Acceso a la Información y Protección de Datos Personales se establece que: </w:t>
      </w:r>
    </w:p>
    <w:p w:rsidR="00000000" w:rsidDel="00000000" w:rsidP="00000000" w:rsidRDefault="00000000" w:rsidRPr="00000000" w14:paraId="0000006B">
      <w:pPr>
        <w:pBdr>
          <w:top w:space="0" w:sz="0" w:val="nil"/>
          <w:left w:space="0" w:sz="0" w:val="nil"/>
          <w:bottom w:space="0" w:sz="0" w:val="nil"/>
          <w:right w:space="0" w:sz="0" w:val="nil"/>
          <w:between w:space="0" w:sz="0" w:val="nil"/>
        </w:pBdr>
        <w:shd w:fill="ffffff" w:val="clear"/>
        <w:jc w:val="both"/>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shd w:fill="ffffff" w:val="clear"/>
        <w:spacing w:line="276" w:lineRule="auto"/>
        <w:ind w:left="567" w:right="567" w:firstLine="0"/>
        <w:jc w:val="both"/>
        <w:rPr/>
      </w:pPr>
      <w:r w:rsidDel="00000000" w:rsidR="00000000" w:rsidRPr="00000000">
        <w:rPr>
          <w:rFonts w:ascii="Palatino Linotype" w:cs="Palatino Linotype" w:eastAsia="Palatino Linotype" w:hAnsi="Palatino Linotype"/>
          <w:b w:val="1"/>
          <w:i w:val="1"/>
          <w:sz w:val="22"/>
          <w:szCs w:val="22"/>
          <w:rtl w:val="0"/>
        </w:rPr>
        <w:t xml:space="preserve">“Congruencia y exhaustividad. Sus alcances para garantizar el derecho de acceso a la información. </w:t>
      </w:r>
      <w:r w:rsidDel="00000000" w:rsidR="00000000" w:rsidRPr="00000000">
        <w:rPr>
          <w:rFonts w:ascii="Palatino Linotype" w:cs="Palatino Linotype" w:eastAsia="Palatino Linotype" w:hAnsi="Palatino Linotype"/>
          <w:i w:val="1"/>
          <w:sz w:val="22"/>
          <w:szCs w:val="22"/>
          <w:rtl w:val="0"/>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r w:rsidDel="00000000" w:rsidR="00000000" w:rsidRPr="00000000">
        <w:rPr>
          <w:rtl w:val="0"/>
        </w:rPr>
      </w:r>
    </w:p>
    <w:p w:rsidR="00000000" w:rsidDel="00000000" w:rsidP="00000000" w:rsidRDefault="00000000" w:rsidRPr="00000000" w14:paraId="0000006D">
      <w:pPr>
        <w:pBdr>
          <w:top w:space="0" w:sz="0" w:val="nil"/>
          <w:left w:space="0" w:sz="0" w:val="nil"/>
          <w:bottom w:space="0" w:sz="0" w:val="nil"/>
          <w:right w:space="0" w:sz="0" w:val="nil"/>
          <w:between w:space="0" w:sz="0" w:val="nil"/>
        </w:pBdr>
        <w:shd w:fill="ffffff" w:val="clear"/>
        <w:ind w:right="49"/>
        <w:jc w:val="both"/>
        <w:rPr/>
      </w:pPr>
      <w:r w:rsidDel="00000000" w:rsidR="00000000" w:rsidRPr="00000000">
        <w:rPr>
          <w:rtl w:val="0"/>
        </w:rPr>
      </w:r>
    </w:p>
    <w:p w:rsidR="00000000" w:rsidDel="00000000" w:rsidP="00000000" w:rsidRDefault="00000000" w:rsidRPr="00000000" w14:paraId="0000006E">
      <w:pPr>
        <w:pBdr>
          <w:top w:space="0" w:sz="0" w:val="nil"/>
          <w:left w:space="0" w:sz="0" w:val="nil"/>
          <w:bottom w:space="0" w:sz="0" w:val="nil"/>
          <w:right w:space="0" w:sz="0" w:val="nil"/>
          <w:between w:space="0" w:sz="0" w:val="nil"/>
        </w:pBdr>
        <w:shd w:fill="ffffff" w:val="clea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así, que los sujetos obligados para garantizar el derecho de acceso a la Información, deberán cumplir con los principios de exhaustividad y congruencia, esto es, que la congruencia </w:t>
      </w:r>
      <w:r w:rsidDel="00000000" w:rsidR="00000000" w:rsidRPr="00000000">
        <w:rPr>
          <w:rFonts w:ascii="Palatino Linotype" w:cs="Palatino Linotype" w:eastAsia="Palatino Linotype" w:hAnsi="Palatino Linotype"/>
          <w:b w:val="1"/>
          <w:sz w:val="22"/>
          <w:szCs w:val="22"/>
          <w:rtl w:val="0"/>
        </w:rPr>
        <w:t xml:space="preserve">implica que exista concordancia entre el requerimiento formulado por el particular y la respuesta proporcionada por el sujeto obligado</w:t>
      </w:r>
      <w:r w:rsidDel="00000000" w:rsidR="00000000" w:rsidRPr="00000000">
        <w:rPr>
          <w:rFonts w:ascii="Palatino Linotype" w:cs="Palatino Linotype" w:eastAsia="Palatino Linotype" w:hAnsi="Palatino Linotype"/>
          <w:sz w:val="22"/>
          <w:szCs w:val="22"/>
          <w:rtl w:val="0"/>
        </w:rPr>
        <w:t xml:space="preserve">, mientras que la exhaustividad establece que el sujeto obligado </w:t>
      </w:r>
      <w:r w:rsidDel="00000000" w:rsidR="00000000" w:rsidRPr="00000000">
        <w:rPr>
          <w:rFonts w:ascii="Palatino Linotype" w:cs="Palatino Linotype" w:eastAsia="Palatino Linotype" w:hAnsi="Palatino Linotype"/>
          <w:b w:val="1"/>
          <w:sz w:val="22"/>
          <w:szCs w:val="22"/>
          <w:rtl w:val="0"/>
        </w:rPr>
        <w:t xml:space="preserve">deberá atender de manera expresa cada uno de los puntos solicitados</w:t>
      </w:r>
      <w:r w:rsidDel="00000000" w:rsidR="00000000" w:rsidRPr="00000000">
        <w:rPr>
          <w:rFonts w:ascii="Palatino Linotype" w:cs="Palatino Linotype" w:eastAsia="Palatino Linotype" w:hAnsi="Palatino Linotype"/>
          <w:sz w:val="22"/>
          <w:szCs w:val="22"/>
          <w:rtl w:val="0"/>
        </w:rPr>
        <w:t xml:space="preserve">, situación que en el presente caso </w:t>
      </w:r>
      <w:r w:rsidDel="00000000" w:rsidR="00000000" w:rsidRPr="00000000">
        <w:rPr>
          <w:rFonts w:ascii="Palatino Linotype" w:cs="Palatino Linotype" w:eastAsia="Palatino Linotype" w:hAnsi="Palatino Linotype"/>
          <w:b w:val="1"/>
          <w:sz w:val="22"/>
          <w:szCs w:val="22"/>
          <w:u w:val="single"/>
          <w:rtl w:val="0"/>
        </w:rPr>
        <w:t xml:space="preserve">no aconteció</w:t>
      </w:r>
      <w:r w:rsidDel="00000000" w:rsidR="00000000" w:rsidRPr="00000000">
        <w:rPr>
          <w:rFonts w:ascii="Palatino Linotype" w:cs="Palatino Linotype" w:eastAsia="Palatino Linotype" w:hAnsi="Palatino Linotype"/>
          <w:sz w:val="22"/>
          <w:szCs w:val="22"/>
          <w:rtl w:val="0"/>
        </w:rPr>
        <w:t xml:space="preserve">, pues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no fue congruente en proporcionar la información que requirió específicamente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6F">
      <w:pPr>
        <w:pBdr>
          <w:top w:space="0" w:sz="0" w:val="nil"/>
          <w:left w:space="0" w:sz="0" w:val="nil"/>
          <w:bottom w:space="0" w:sz="0" w:val="nil"/>
          <w:right w:space="0" w:sz="0" w:val="nil"/>
          <w:between w:space="0" w:sz="0" w:val="nil"/>
        </w:pBdr>
        <w:shd w:fill="ffffff" w:val="clea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0">
      <w:pPr>
        <w:spacing w:after="240" w:before="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no se omite comentar que la información relativa a los contratos puede obrar dentro de los procesos de licitación y contratación que la Ley de la  Contratación Pública del Estado de México y Municipios, el cual tiene por objeto regular los actos relativos a la planeación, programación, presupuestación, ejecución y control de la </w:t>
      </w:r>
      <w:r w:rsidDel="00000000" w:rsidR="00000000" w:rsidRPr="00000000">
        <w:rPr>
          <w:rFonts w:ascii="Palatino Linotype" w:cs="Palatino Linotype" w:eastAsia="Palatino Linotype" w:hAnsi="Palatino Linotype"/>
          <w:b w:val="1"/>
          <w:sz w:val="22"/>
          <w:szCs w:val="22"/>
          <w:u w:val="single"/>
          <w:rtl w:val="0"/>
        </w:rPr>
        <w:t xml:space="preserve">adquisición</w:t>
      </w:r>
      <w:r w:rsidDel="00000000" w:rsidR="00000000" w:rsidRPr="00000000">
        <w:rPr>
          <w:rFonts w:ascii="Palatino Linotype" w:cs="Palatino Linotype" w:eastAsia="Palatino Linotype" w:hAnsi="Palatino Linotype"/>
          <w:sz w:val="22"/>
          <w:szCs w:val="22"/>
          <w:rtl w:val="0"/>
        </w:rPr>
        <w:t xml:space="preserve">, enajenación y arrendamiento </w:t>
      </w:r>
      <w:r w:rsidDel="00000000" w:rsidR="00000000" w:rsidRPr="00000000">
        <w:rPr>
          <w:rFonts w:ascii="Palatino Linotype" w:cs="Palatino Linotype" w:eastAsia="Palatino Linotype" w:hAnsi="Palatino Linotype"/>
          <w:b w:val="1"/>
          <w:sz w:val="22"/>
          <w:szCs w:val="22"/>
          <w:u w:val="single"/>
          <w:rtl w:val="0"/>
        </w:rPr>
        <w:t xml:space="preserve">de bienes</w:t>
      </w:r>
      <w:r w:rsidDel="00000000" w:rsidR="00000000" w:rsidRPr="00000000">
        <w:rPr>
          <w:rFonts w:ascii="Palatino Linotype" w:cs="Palatino Linotype" w:eastAsia="Palatino Linotype" w:hAnsi="Palatino Linotype"/>
          <w:sz w:val="22"/>
          <w:szCs w:val="22"/>
          <w:rtl w:val="0"/>
        </w:rPr>
        <w:t xml:space="preserve">, y la </w:t>
      </w:r>
      <w:r w:rsidDel="00000000" w:rsidR="00000000" w:rsidRPr="00000000">
        <w:rPr>
          <w:rFonts w:ascii="Palatino Linotype" w:cs="Palatino Linotype" w:eastAsia="Palatino Linotype" w:hAnsi="Palatino Linotype"/>
          <w:b w:val="1"/>
          <w:sz w:val="22"/>
          <w:szCs w:val="22"/>
          <w:u w:val="single"/>
          <w:rtl w:val="0"/>
        </w:rPr>
        <w:t xml:space="preserve">contratación de servicios de cualquier naturaleza, que realicen los Ayuntamientos del Estado</w:t>
      </w:r>
      <w:r w:rsidDel="00000000" w:rsidR="00000000" w:rsidRPr="00000000">
        <w:rPr>
          <w:rFonts w:ascii="Palatino Linotype" w:cs="Palatino Linotype" w:eastAsia="Palatino Linotype" w:hAnsi="Palatino Linotype"/>
          <w:sz w:val="22"/>
          <w:szCs w:val="22"/>
          <w:rtl w:val="0"/>
        </w:rPr>
        <w:t xml:space="preserve">; los cuales se adjudicarán a través de </w:t>
      </w:r>
      <w:r w:rsidDel="00000000" w:rsidR="00000000" w:rsidRPr="00000000">
        <w:rPr>
          <w:rFonts w:ascii="Palatino Linotype" w:cs="Palatino Linotype" w:eastAsia="Palatino Linotype" w:hAnsi="Palatino Linotype"/>
          <w:b w:val="1"/>
          <w:sz w:val="22"/>
          <w:szCs w:val="22"/>
          <w:u w:val="single"/>
          <w:rtl w:val="0"/>
        </w:rPr>
        <w:t xml:space="preserve">licitaciones públicas</w:t>
      </w:r>
      <w:r w:rsidDel="00000000" w:rsidR="00000000" w:rsidRPr="00000000">
        <w:rPr>
          <w:rFonts w:ascii="Palatino Linotype" w:cs="Palatino Linotype" w:eastAsia="Palatino Linotype" w:hAnsi="Palatino Linotype"/>
          <w:sz w:val="22"/>
          <w:szCs w:val="22"/>
          <w:rtl w:val="0"/>
        </w:rPr>
        <w:t xml:space="preserve">, invitación restringida o adjudicación directa, mediante convocatoria pública, tal y como lo establecen los artículos 4, 26 y 27 de dicha Ley, los cuales son del tenor siguiente:</w:t>
      </w:r>
    </w:p>
    <w:p w:rsidR="00000000" w:rsidDel="00000000" w:rsidP="00000000" w:rsidRDefault="00000000" w:rsidRPr="00000000" w14:paraId="00000071">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2">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Para los efectos de esta Ley, en las adquisiciones, enajenaciones, arrendamientos y servicios, quedan comprendidos: </w:t>
      </w:r>
    </w:p>
    <w:p w:rsidR="00000000" w:rsidDel="00000000" w:rsidP="00000000" w:rsidRDefault="00000000" w:rsidRPr="00000000" w14:paraId="00000073">
      <w:pPr>
        <w:ind w:left="567" w:right="567"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I. La adquisición de bienes muebles. </w:t>
      </w:r>
    </w:p>
    <w:p w:rsidR="00000000" w:rsidDel="00000000" w:rsidP="00000000" w:rsidRDefault="00000000" w:rsidRPr="00000000" w14:paraId="0000007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 adquisición de bienes inmuebles, a través de compraventa. </w:t>
      </w:r>
    </w:p>
    <w:p w:rsidR="00000000" w:rsidDel="00000000" w:rsidP="00000000" w:rsidRDefault="00000000" w:rsidRPr="00000000" w14:paraId="0000007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 enajenación de bienes muebles e inmuebles. </w:t>
      </w:r>
    </w:p>
    <w:p w:rsidR="00000000" w:rsidDel="00000000" w:rsidP="00000000" w:rsidRDefault="00000000" w:rsidRPr="00000000" w14:paraId="00000076">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IV. El arrendamiento de bienes muebles</w:t>
      </w:r>
      <w:r w:rsidDel="00000000" w:rsidR="00000000" w:rsidRPr="00000000">
        <w:rPr>
          <w:rFonts w:ascii="Palatino Linotype" w:cs="Palatino Linotype" w:eastAsia="Palatino Linotype" w:hAnsi="Palatino Linotype"/>
          <w:i w:val="1"/>
          <w:sz w:val="22"/>
          <w:szCs w:val="22"/>
          <w:rtl w:val="0"/>
        </w:rPr>
        <w:t xml:space="preserve"> e inmuebles. </w:t>
      </w:r>
    </w:p>
    <w:p w:rsidR="00000000" w:rsidDel="00000000" w:rsidP="00000000" w:rsidRDefault="00000000" w:rsidRPr="00000000" w14:paraId="00000077">
      <w:pPr>
        <w:ind w:left="567" w:right="567"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V. La contratación de los servicios, relacionados con bienes muebles que se encuentran incorporados o adheridos a bienes inmuebles, cuya instalación o mantenimiento no implique modificación al bien inmueble. </w:t>
      </w:r>
    </w:p>
    <w:p w:rsidR="00000000" w:rsidDel="00000000" w:rsidP="00000000" w:rsidRDefault="00000000" w:rsidRPr="00000000" w14:paraId="00000078">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 contratación de los servicios de reconstrucción y mantenimiento de bienes muebles. </w:t>
      </w:r>
    </w:p>
    <w:p w:rsidR="00000000" w:rsidDel="00000000" w:rsidP="00000000" w:rsidRDefault="00000000" w:rsidRPr="00000000" w14:paraId="00000079">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VII. La contratación de los servicios </w:t>
      </w:r>
      <w:r w:rsidDel="00000000" w:rsidR="00000000" w:rsidRPr="00000000">
        <w:rPr>
          <w:rFonts w:ascii="Palatino Linotype" w:cs="Palatino Linotype" w:eastAsia="Palatino Linotype" w:hAnsi="Palatino Linotype"/>
          <w:i w:val="1"/>
          <w:sz w:val="22"/>
          <w:szCs w:val="22"/>
          <w:rtl w:val="0"/>
        </w:rPr>
        <w:t xml:space="preserve">de maquila, seguros y transportación, así como de los de limpieza y vigilancia de bienes inmuebles</w:t>
      </w:r>
    </w:p>
    <w:p w:rsidR="00000000" w:rsidDel="00000000" w:rsidP="00000000" w:rsidRDefault="00000000" w:rsidRPr="00000000" w14:paraId="0000007A">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La prestación de servicios profesionales, la contratación de consultorías, asesorías y estudios e investigaciones, excepto la contratación de servicios personales de personas físicas bajo el régimen de honorarios. </w:t>
      </w:r>
    </w:p>
    <w:p w:rsidR="00000000" w:rsidDel="00000000" w:rsidP="00000000" w:rsidRDefault="00000000" w:rsidRPr="00000000" w14:paraId="0000007B">
      <w:pPr>
        <w:ind w:left="567" w:right="567" w:firstLine="0"/>
        <w:jc w:val="both"/>
        <w:rPr>
          <w:rFonts w:ascii="Palatino Linotype" w:cs="Palatino Linotype" w:eastAsia="Palatino Linotype" w:hAnsi="Palatino Linotype"/>
          <w:b w:val="1"/>
          <w:i w:val="1"/>
          <w:sz w:val="22"/>
          <w:szCs w:val="22"/>
          <w:u w:val="single"/>
        </w:rPr>
      </w:pPr>
      <w:r w:rsidDel="00000000" w:rsidR="00000000" w:rsidRPr="00000000">
        <w:rPr>
          <w:rFonts w:ascii="Palatino Linotype" w:cs="Palatino Linotype" w:eastAsia="Palatino Linotype" w:hAnsi="Palatino Linotype"/>
          <w:b w:val="1"/>
          <w:i w:val="1"/>
          <w:sz w:val="22"/>
          <w:szCs w:val="22"/>
          <w:u w:val="single"/>
          <w:rtl w:val="0"/>
        </w:rPr>
        <w:t xml:space="preserve">En general, otros actos que impliquen la contratación de servicios de cualquier naturaleza.</w:t>
      </w:r>
    </w:p>
    <w:p w:rsidR="00000000" w:rsidDel="00000000" w:rsidP="00000000" w:rsidRDefault="00000000" w:rsidRPr="00000000" w14:paraId="0000007C">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26.- Las adquisiciones, arrendamientos y servicios se adjudicarán a través de licitaciones públicas, mediante convocatoria pública.</w:t>
      </w:r>
    </w:p>
    <w:p w:rsidR="00000000" w:rsidDel="00000000" w:rsidP="00000000" w:rsidRDefault="00000000" w:rsidRPr="00000000" w14:paraId="0000007D">
      <w:pPr>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7E">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27.- </w:t>
      </w:r>
      <w:r w:rsidDel="00000000" w:rsidR="00000000" w:rsidRPr="00000000">
        <w:rPr>
          <w:rFonts w:ascii="Palatino Linotype" w:cs="Palatino Linotype" w:eastAsia="Palatino Linotype" w:hAnsi="Palatino Linotype"/>
          <w:i w:val="1"/>
          <w:sz w:val="22"/>
          <w:szCs w:val="22"/>
          <w:rtl w:val="0"/>
        </w:rPr>
        <w:t xml:space="preserve">La Secretaría, las entidades, los tribunales administrativos y </w:t>
      </w:r>
      <w:r w:rsidDel="00000000" w:rsidR="00000000" w:rsidRPr="00000000">
        <w:rPr>
          <w:rFonts w:ascii="Palatino Linotype" w:cs="Palatino Linotype" w:eastAsia="Palatino Linotype" w:hAnsi="Palatino Linotype"/>
          <w:b w:val="1"/>
          <w:i w:val="1"/>
          <w:sz w:val="22"/>
          <w:szCs w:val="22"/>
          <w:rtl w:val="0"/>
        </w:rPr>
        <w:t xml:space="preserve">los ayuntamientos podrán adjudicar adquisiciones, arrendamientos y servicios, mediante las excepciones al procedimiento de licitación que a continuación se señalan: </w:t>
      </w:r>
    </w:p>
    <w:p w:rsidR="00000000" w:rsidDel="00000000" w:rsidP="00000000" w:rsidRDefault="00000000" w:rsidRPr="00000000" w14:paraId="0000007F">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 Invitación restringida. </w:t>
      </w:r>
    </w:p>
    <w:p w:rsidR="00000000" w:rsidDel="00000000" w:rsidP="00000000" w:rsidRDefault="00000000" w:rsidRPr="00000000" w14:paraId="00000080">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 Adjudicación directa.”</w:t>
      </w:r>
    </w:p>
    <w:p w:rsidR="00000000" w:rsidDel="00000000" w:rsidP="00000000" w:rsidRDefault="00000000" w:rsidRPr="00000000" w14:paraId="00000081">
      <w:pPr>
        <w:ind w:left="567" w:righ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 </w:t>
      </w:r>
    </w:p>
    <w:p w:rsidR="00000000" w:rsidDel="00000000" w:rsidP="00000000" w:rsidRDefault="00000000" w:rsidRPr="00000000" w14:paraId="00000082">
      <w:pPr>
        <w:ind w:left="567" w:right="567"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en lo que respecta sobre la licitación pública, el artículo 29 de la Ley de la Contratación Pública en mención, indica que en este procedimiento deberán establecerse los mismos requisitos y condiciones para todos los licitantes. Todo licitante que satisfaga los requisitos de la convocatoria y de las bases de la licitación tendrá derecho a presentar su propuesta. </w:t>
      </w:r>
    </w:p>
    <w:p w:rsidR="00000000" w:rsidDel="00000000" w:rsidP="00000000" w:rsidRDefault="00000000" w:rsidRPr="00000000" w14:paraId="0000008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5">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el artículo 33, del mismo ordenamiento legal, puntualmente señala el contenido que deberá tener la convocatoria para la celebración de las licitaciones públicas y por su parte, el consecutivo 34 señala que las bases de la licitación pública tendrán un costo de recuperación y contendrán los requisitos que se establezcan en el reglamento de dicha Ley. </w:t>
      </w:r>
    </w:p>
    <w:p w:rsidR="00000000" w:rsidDel="00000000" w:rsidP="00000000" w:rsidRDefault="00000000" w:rsidRPr="00000000" w14:paraId="00000086">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que, en las licitaciones se debe seguir el procedimiento marcado en el artículo 35 del precitado ordenamiento, que literalmente establece:</w:t>
      </w:r>
    </w:p>
    <w:p w:rsidR="00000000" w:rsidDel="00000000" w:rsidP="00000000" w:rsidRDefault="00000000" w:rsidRPr="00000000" w14:paraId="0000008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9">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35</w:t>
      </w:r>
      <w:r w:rsidDel="00000000" w:rsidR="00000000" w:rsidRPr="00000000">
        <w:rPr>
          <w:rFonts w:ascii="Palatino Linotype" w:cs="Palatino Linotype" w:eastAsia="Palatino Linotype" w:hAnsi="Palatino Linotype"/>
          <w:i w:val="1"/>
          <w:sz w:val="22"/>
          <w:szCs w:val="22"/>
          <w:rtl w:val="0"/>
        </w:rPr>
        <w:t xml:space="preserve">.- En los procedimientos de licitación pública se observará lo siguiente:</w:t>
      </w:r>
    </w:p>
    <w:p w:rsidR="00000000" w:rsidDel="00000000" w:rsidP="00000000" w:rsidRDefault="00000000" w:rsidRPr="00000000" w14:paraId="0000008A">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El acto de presentación y apertura de propuestas se llevará a cabo por el servidor público que designe la convocante, conforme al procedimiento que se establezca en el reglamento de esta Ley.</w:t>
      </w:r>
    </w:p>
    <w:p w:rsidR="00000000" w:rsidDel="00000000" w:rsidP="00000000" w:rsidRDefault="00000000" w:rsidRPr="00000000" w14:paraId="0000008B">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El comité de adquisiciones y servicios evaluará y analizará las propuestas técnicas y económicas presentadas por los licitantes en el ámbito de las respectivas competencias de sus integrantes, y emitirá el dictamen de adjudicación.</w:t>
      </w:r>
    </w:p>
    <w:p w:rsidR="00000000" w:rsidDel="00000000" w:rsidP="00000000" w:rsidRDefault="00000000" w:rsidRPr="00000000" w14:paraId="0000008C">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Las bases de licitación se pondrán a la venta a partir de la fecha de publicación de la convocatoria y hasta el día hábil anterior a la fecha de celebración de la junta de aclaraciones o, en su defecto, del acto de presentación y apertura de propuestas.</w:t>
      </w:r>
    </w:p>
    <w:p w:rsidR="00000000" w:rsidDel="00000000" w:rsidP="00000000" w:rsidRDefault="00000000" w:rsidRPr="00000000" w14:paraId="0000008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IV. Las convocantes podrán modificar los plazos y términos establecidos en la convocatoria o en las bases de licitación, hasta cinco días hábiles anteriores a la fecha de la celebración del acto de presentación y apertura de propuestas.</w:t>
      </w:r>
    </w:p>
    <w:p w:rsidR="00000000" w:rsidDel="00000000" w:rsidP="00000000" w:rsidRDefault="00000000" w:rsidRPr="00000000" w14:paraId="0000008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Las modificaciones no podrán limitar el número de licitantes, sustituir o variar sustancialmente los bienes o servicios convocados originalmente, ni adicionar otros distintos.</w:t>
      </w:r>
    </w:p>
    <w:p w:rsidR="00000000" w:rsidDel="00000000" w:rsidP="00000000" w:rsidRDefault="00000000" w:rsidRPr="00000000" w14:paraId="0000008F">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 Las modificaciones a la convocatoria o a las bases se harán del conocimiento de los interesados hasta tres días hábiles antes de la fecha señalada para el acto de presentación y apertura de propuestas.</w:t>
      </w:r>
    </w:p>
    <w:p w:rsidR="00000000" w:rsidDel="00000000" w:rsidP="00000000" w:rsidRDefault="00000000" w:rsidRPr="00000000" w14:paraId="0000009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 Se emitirá el fallo dentro de los 15 días hábiles siguientes a la publicación de la convocatoria.</w:t>
      </w:r>
    </w:p>
    <w:p w:rsidR="00000000" w:rsidDel="00000000" w:rsidP="00000000" w:rsidRDefault="00000000" w:rsidRPr="00000000" w14:paraId="0000009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VIII. Los licitantes se podrán registrar hasta el día y la hora fijados para el acto de presentación y apertura de propuestas.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92">
      <w:pPr>
        <w:ind w:left="567" w:right="567" w:firstLine="0"/>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 (Énfasis añadido)</w:t>
      </w:r>
    </w:p>
    <w:p w:rsidR="00000000" w:rsidDel="00000000" w:rsidP="00000000" w:rsidRDefault="00000000" w:rsidRPr="00000000" w14:paraId="00000093">
      <w:pPr>
        <w:ind w:left="851" w:right="902"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legal, se desprende que al Comité de Adquisiciones y Servicios, le corresponde evaluar y analizar las propuestas técnicas y económicas presentadas por los licitantes en el ámbito de las respectivas competencias de sus integrantes, debiendo emitir para ello un dictamen de adjudicación y conforme a dicho dictamen se deberá emitir el fallo dentro de los quince días hábiles siguientes a la publicación de la convocatoria.</w:t>
      </w:r>
    </w:p>
    <w:p w:rsidR="00000000" w:rsidDel="00000000" w:rsidP="00000000" w:rsidRDefault="00000000" w:rsidRPr="00000000" w14:paraId="0000009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por cuanto hace a la invitación restringida el artículo 44 de la Ley de la Contratación Pública del Estado de México y Municipios, dispone que podrá realizarse cuando se hubiere declarado desierto un procedimiento de licitación o cuando el importe de la operación no exceda de los montos establecidos por el Presupuesto de Egresos del Gobierno del Estado de México del ejercicio correspondiente. </w:t>
      </w:r>
    </w:p>
    <w:p w:rsidR="00000000" w:rsidDel="00000000" w:rsidP="00000000" w:rsidRDefault="00000000" w:rsidRPr="00000000" w14:paraId="0000009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es oportuno señalar que, las disposiciones respecto a las bases, dictámenes, fallos y fianzas, se realizan con similitud al procedimiento de licitación pública, tal como lo señalan los artículos 46 y 90 de la misma Ley, que literalmente establecen:</w:t>
      </w:r>
    </w:p>
    <w:p w:rsidR="00000000" w:rsidDel="00000000" w:rsidP="00000000" w:rsidRDefault="00000000" w:rsidRPr="00000000" w14:paraId="0000009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A">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46.-</w:t>
      </w:r>
      <w:r w:rsidDel="00000000" w:rsidR="00000000" w:rsidRPr="00000000">
        <w:rPr>
          <w:rFonts w:ascii="Palatino Linotype" w:cs="Palatino Linotype" w:eastAsia="Palatino Linotype" w:hAnsi="Palatino Linotype"/>
          <w:i w:val="1"/>
          <w:sz w:val="22"/>
          <w:szCs w:val="22"/>
          <w:rtl w:val="0"/>
        </w:rPr>
        <w:t xml:space="preserve"> El procedimiento de invitación restringida se desarrollará en los términos de la licitación pública, a excepción de la publicación de la convocatoria.” (Sic)</w:t>
      </w:r>
    </w:p>
    <w:p w:rsidR="00000000" w:rsidDel="00000000" w:rsidP="00000000" w:rsidRDefault="00000000" w:rsidRPr="00000000" w14:paraId="0000009B">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Por ello, el Reglamento de la Ley en comento, en su artículo 90, indica cuales lo son los supuestos que deberán observarse para llevar a cabo dicho procedimiento:</w:t>
      </w:r>
    </w:p>
    <w:p w:rsidR="00000000" w:rsidDel="00000000" w:rsidP="00000000" w:rsidRDefault="00000000" w:rsidRPr="00000000" w14:paraId="0000009C">
      <w:pPr>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9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90.-</w:t>
      </w:r>
      <w:r w:rsidDel="00000000" w:rsidR="00000000" w:rsidRPr="00000000">
        <w:rPr>
          <w:rFonts w:ascii="Palatino Linotype" w:cs="Palatino Linotype" w:eastAsia="Palatino Linotype" w:hAnsi="Palatino Linotype"/>
          <w:i w:val="1"/>
          <w:sz w:val="22"/>
          <w:szCs w:val="22"/>
          <w:rtl w:val="0"/>
        </w:rPr>
        <w:t xml:space="preserve"> En el procedimiento de invitación restringida se deberá observar lo siguiente:</w:t>
      </w:r>
    </w:p>
    <w:p w:rsidR="00000000" w:rsidDel="00000000" w:rsidP="00000000" w:rsidRDefault="00000000" w:rsidRPr="00000000" w14:paraId="0000009E">
      <w:pPr>
        <w:ind w:left="567" w:right="567"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9F">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 Se invitará a un mínimo de tres personas seleccionadas de entre las que se encuentren inscritas en el catálogo de proveedores y de prestadores de servicios.</w:t>
      </w:r>
    </w:p>
    <w:p w:rsidR="00000000" w:rsidDel="00000000" w:rsidP="00000000" w:rsidRDefault="00000000" w:rsidRPr="00000000" w14:paraId="000000A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Se podrá invitar a personas que no se encuentren inscritas, cuando en el giro correspondiente del catálogo de proveedores y prestadores de servicios no exista el registro mínimo de personas requeridas para tal modalidad;</w:t>
      </w:r>
    </w:p>
    <w:p w:rsidR="00000000" w:rsidDel="00000000" w:rsidP="00000000" w:rsidRDefault="00000000" w:rsidRPr="00000000" w14:paraId="000000A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 Las bases de la invitación restringida indicarán los aspectos de la adquisición o contratación; y</w:t>
      </w:r>
    </w:p>
    <w:p w:rsidR="00000000" w:rsidDel="00000000" w:rsidP="00000000" w:rsidRDefault="00000000" w:rsidRPr="00000000" w14:paraId="000000A2">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III. Serán aplicables, en lo conducente, las disposiciones de la licitación pública.</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A3">
      <w:pPr>
        <w:ind w:left="709" w:right="760"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referente a este punto cuando los procedimientos de adquisición o prestación de servicios materia de la Ley en cita, se hubieran llevado a cabo mediante invitación restringida, por cada procedimiento se debe contar con las bases, dictámenes, fallos y en su caso, fianzas, de haber sido esta la garantía exhibida.</w:t>
      </w:r>
    </w:p>
    <w:p w:rsidR="00000000" w:rsidDel="00000000" w:rsidP="00000000" w:rsidRDefault="00000000" w:rsidRPr="00000000" w14:paraId="000000A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último, y en cuanto hace a la adjudicación directa, el artículo 48 de la Ley de la Contratación Pública del Estado de México y Municipios y 91 del Reglamento de dicha Ley, indican en qué supuestos puede llevarse a cabo este procedimiento.</w:t>
      </w:r>
    </w:p>
    <w:p w:rsidR="00000000" w:rsidDel="00000000" w:rsidP="00000000" w:rsidRDefault="00000000" w:rsidRPr="00000000" w14:paraId="000000A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el convocante debe solicitar a su comité el dictamen correspondiente del procedimiento de adjudicación directa, en el que se acredite previamente la descripción general de los bienes a adquirir; la justificación o conveniencia de llevar a cabo la adjudicación directa; y la certificación de suficiencia presupuestaria.</w:t>
      </w:r>
    </w:p>
    <w:p w:rsidR="00000000" w:rsidDel="00000000" w:rsidP="00000000" w:rsidRDefault="00000000" w:rsidRPr="00000000" w14:paraId="000000A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el artículo 94 del referido Reglamento, detalla el procedimiento que se llevará a cabo en la adjudicación directa, de la siguiente manera: </w:t>
      </w:r>
    </w:p>
    <w:p w:rsidR="00000000" w:rsidDel="00000000" w:rsidP="00000000" w:rsidRDefault="00000000" w:rsidRPr="00000000" w14:paraId="000000AB">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C">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94.- </w:t>
      </w:r>
      <w:r w:rsidDel="00000000" w:rsidR="00000000" w:rsidRPr="00000000">
        <w:rPr>
          <w:rFonts w:ascii="Palatino Linotype" w:cs="Palatino Linotype" w:eastAsia="Palatino Linotype" w:hAnsi="Palatino Linotype"/>
          <w:i w:val="1"/>
          <w:sz w:val="22"/>
          <w:szCs w:val="22"/>
          <w:rtl w:val="0"/>
        </w:rPr>
        <w:t xml:space="preserve">En el procedimiento de adjudicación directa se observará lo siguiente:</w:t>
      </w:r>
      <w:r w:rsidDel="00000000" w:rsidR="00000000" w:rsidRPr="00000000">
        <w:rPr>
          <w:rFonts w:ascii="Palatino Linotype" w:cs="Palatino Linotype" w:eastAsia="Palatino Linotype" w:hAnsi="Palatino Linotype"/>
          <w:b w:val="1"/>
          <w:i w:val="1"/>
          <w:sz w:val="22"/>
          <w:szCs w:val="22"/>
          <w:rtl w:val="0"/>
        </w:rPr>
        <w:t xml:space="preserve"> </w:t>
      </w:r>
    </w:p>
    <w:p w:rsidR="00000000" w:rsidDel="00000000" w:rsidP="00000000" w:rsidRDefault="00000000" w:rsidRPr="00000000" w14:paraId="000000AD">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Las adquisiciones de bienes y la contratación de servicios, se efectuaran previa dictaminación del comité, a excepción de los casos previstos en las fracciones IV, VII, IX y XI del artículo 48 de la Ley; las contrataciones que se realicen con fundamento en las fracciones IV y VII, deberán corresponder a lo estrictamente necesario para atender la eventualidad o urgencia y no deberán observar ninguna otra formalidad más que la suscripción del contrato respectivo.</w:t>
      </w:r>
    </w:p>
    <w:p w:rsidR="00000000" w:rsidDel="00000000" w:rsidP="00000000" w:rsidRDefault="00000000" w:rsidRPr="00000000" w14:paraId="000000AE">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considerará a la persona que atendiendo al bien o servicio que se pretenda adquirir o contratar, pueda suministrarlo o prestarlo en las mejores condiciones disponibles en cuanto a precio, calidad, financiamiento, oportunidad y demás circunstancias pertinentes;</w:t>
      </w:r>
    </w:p>
    <w:p w:rsidR="00000000" w:rsidDel="00000000" w:rsidP="00000000" w:rsidRDefault="00000000" w:rsidRPr="00000000" w14:paraId="000000AF">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solicitud de participación contendrá, como mínimo, la descripción y cantidad de los bienes o servicios requeridos, lugar, plazo de entrega o duración del servicio y forma de pago;</w:t>
      </w:r>
    </w:p>
    <w:p w:rsidR="00000000" w:rsidDel="00000000" w:rsidP="00000000" w:rsidRDefault="00000000" w:rsidRPr="00000000" w14:paraId="000000B0">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IV.</w:t>
      </w:r>
      <w:r w:rsidDel="00000000" w:rsidR="00000000" w:rsidRPr="00000000">
        <w:rPr>
          <w:rFonts w:ascii="Palatino Linotype" w:cs="Palatino Linotype" w:eastAsia="Palatino Linotype" w:hAnsi="Palatino Linotype"/>
          <w:i w:val="1"/>
          <w:sz w:val="22"/>
          <w:szCs w:val="22"/>
          <w:rtl w:val="0"/>
        </w:rPr>
        <w:t xml:space="preserve"> La solicitud de participación deberá señalar el día, hora y lugar en que tendrá verificativo el acto de presentación y apertura de ofertas;</w:t>
      </w:r>
    </w:p>
    <w:p w:rsidR="00000000" w:rsidDel="00000000" w:rsidP="00000000" w:rsidRDefault="00000000" w:rsidRPr="00000000" w14:paraId="000000B1">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w:t>
      </w:r>
      <w:r w:rsidDel="00000000" w:rsidR="00000000" w:rsidRPr="00000000">
        <w:rPr>
          <w:rFonts w:ascii="Palatino Linotype" w:cs="Palatino Linotype" w:eastAsia="Palatino Linotype" w:hAnsi="Palatino Linotype"/>
          <w:i w:val="1"/>
          <w:sz w:val="22"/>
          <w:szCs w:val="22"/>
          <w:rtl w:val="0"/>
        </w:rPr>
        <w:t xml:space="preserve"> Atendiendo a la naturaleza de los bienes o servicios, la convocante podrá optar entre celebrar o no junta de aclaraciones, en términos de lo dispuesto por este Reglamento;</w:t>
      </w:r>
    </w:p>
    <w:p w:rsidR="00000000" w:rsidDel="00000000" w:rsidP="00000000" w:rsidRDefault="00000000" w:rsidRPr="00000000" w14:paraId="000000B2">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w:t>
      </w:r>
      <w:r w:rsidDel="00000000" w:rsidR="00000000" w:rsidRPr="00000000">
        <w:rPr>
          <w:rFonts w:ascii="Palatino Linotype" w:cs="Palatino Linotype" w:eastAsia="Palatino Linotype" w:hAnsi="Palatino Linotype"/>
          <w:i w:val="1"/>
          <w:sz w:val="22"/>
          <w:szCs w:val="22"/>
          <w:rtl w:val="0"/>
        </w:rPr>
        <w:t xml:space="preserve"> El servidor público designado por la convocante será el responsable de llevar a cabo el acto de presentación y apertura de propuestas;</w:t>
      </w:r>
    </w:p>
    <w:p w:rsidR="00000000" w:rsidDel="00000000" w:rsidP="00000000" w:rsidRDefault="00000000" w:rsidRPr="00000000" w14:paraId="000000B3">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w:t>
      </w:r>
      <w:r w:rsidDel="00000000" w:rsidR="00000000" w:rsidRPr="00000000">
        <w:rPr>
          <w:rFonts w:ascii="Palatino Linotype" w:cs="Palatino Linotype" w:eastAsia="Palatino Linotype" w:hAnsi="Palatino Linotype"/>
          <w:i w:val="1"/>
          <w:sz w:val="22"/>
          <w:szCs w:val="22"/>
          <w:rtl w:val="0"/>
        </w:rPr>
        <w:t xml:space="preserve"> Se observarán, en lo conducente, las disposiciones relativas a la contraoferta; y</w:t>
      </w:r>
    </w:p>
    <w:p w:rsidR="00000000" w:rsidDel="00000000" w:rsidP="00000000" w:rsidRDefault="00000000" w:rsidRPr="00000000" w14:paraId="000000B4">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VIII.</w:t>
      </w:r>
      <w:r w:rsidDel="00000000" w:rsidR="00000000" w:rsidRPr="00000000">
        <w:rPr>
          <w:rFonts w:ascii="Palatino Linotype" w:cs="Palatino Linotype" w:eastAsia="Palatino Linotype" w:hAnsi="Palatino Linotype"/>
          <w:i w:val="1"/>
          <w:sz w:val="22"/>
          <w:szCs w:val="22"/>
          <w:rtl w:val="0"/>
        </w:rPr>
        <w:t xml:space="preserve"> El comité será responsable de emitir el dictamen de adjudicación que servirá de base para el fallo de adjudicación; correspondiendo a la convocante emitir dicho fallo, quien lo hará del conocimiento de los licitantes.</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B5">
      <w:pPr>
        <w:ind w:left="567" w:right="567"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(Énfasis añadido)</w:t>
      </w:r>
    </w:p>
    <w:p w:rsidR="00000000" w:rsidDel="00000000" w:rsidP="00000000" w:rsidRDefault="00000000" w:rsidRPr="00000000" w14:paraId="000000B6">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B7">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debe decirse que los </w:t>
      </w:r>
      <w:r w:rsidDel="00000000" w:rsidR="00000000" w:rsidRPr="00000000">
        <w:rPr>
          <w:rFonts w:ascii="Palatino Linotype" w:cs="Palatino Linotype" w:eastAsia="Palatino Linotype" w:hAnsi="Palatino Linotype"/>
          <w:b w:val="1"/>
          <w:sz w:val="22"/>
          <w:szCs w:val="22"/>
          <w:u w:val="single"/>
          <w:rtl w:val="0"/>
        </w:rPr>
        <w:t xml:space="preserve">expedientes de las adquisiciones, arrendamientos, enajenaciones y servicios</w:t>
      </w:r>
      <w:r w:rsidDel="00000000" w:rsidR="00000000" w:rsidRPr="00000000">
        <w:rPr>
          <w:rFonts w:ascii="Palatino Linotype" w:cs="Palatino Linotype" w:eastAsia="Palatino Linotype" w:hAnsi="Palatino Linotype"/>
          <w:sz w:val="22"/>
          <w:szCs w:val="22"/>
          <w:rtl w:val="0"/>
        </w:rPr>
        <w:t xml:space="preserve">, se encuentra considerada como una de las obligaciones de transparencias comunes que los Sujetos Obligados tienen el deber de poner a disposición del público de manera permanente y actualizada de forma sencilla, precisa y entendible, en los respectivos medios electrónicos, de acuerdo con sus facultades, atribuciones, funciones u objeto social, según corresponda; esto conforme a lo establecido en el artículo 92 de la de la Ley de Transparencia y Acceso a la Información Pública del Estado de México y Municipios, en su fracción XXIX, dispone lo siguiente:</w:t>
      </w:r>
    </w:p>
    <w:p w:rsidR="00000000" w:rsidDel="00000000" w:rsidP="00000000" w:rsidRDefault="00000000" w:rsidRPr="00000000" w14:paraId="000000B8">
      <w:pPr>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B9">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92. </w:t>
      </w:r>
      <w:r w:rsidDel="00000000" w:rsidR="00000000" w:rsidRPr="00000000">
        <w:rPr>
          <w:rFonts w:ascii="Palatino Linotype" w:cs="Palatino Linotype" w:eastAsia="Palatino Linotype" w:hAnsi="Palatino Linotype"/>
          <w:i w:val="1"/>
          <w:sz w:val="22"/>
          <w:szCs w:val="22"/>
          <w:rtl w:val="0"/>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sidDel="00000000" w:rsidR="00000000" w:rsidRPr="00000000">
        <w:rPr>
          <w:rtl w:val="0"/>
        </w:rPr>
      </w:r>
    </w:p>
    <w:p w:rsidR="00000000" w:rsidDel="00000000" w:rsidP="00000000" w:rsidRDefault="00000000" w:rsidRPr="00000000" w14:paraId="000000BA">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BB">
      <w:pPr>
        <w:ind w:left="567" w:right="567"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BC">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XXIX. </w:t>
      </w:r>
      <w:r w:rsidDel="00000000" w:rsidR="00000000" w:rsidRPr="00000000">
        <w:rPr>
          <w:rFonts w:ascii="Palatino Linotype" w:cs="Palatino Linotype" w:eastAsia="Palatino Linotype" w:hAnsi="Palatino Linotype"/>
          <w:i w:val="1"/>
          <w:sz w:val="22"/>
          <w:szCs w:val="22"/>
          <w:rtl w:val="0"/>
        </w:rPr>
        <w:t xml:space="preserve">La información sobre los procesos y resultados sobre procedimientos de adjudicación directa, invitación restringida y licitación de cualquier naturaleza, </w:t>
      </w:r>
      <w:r w:rsidDel="00000000" w:rsidR="00000000" w:rsidRPr="00000000">
        <w:rPr>
          <w:rFonts w:ascii="Palatino Linotype" w:cs="Palatino Linotype" w:eastAsia="Palatino Linotype" w:hAnsi="Palatino Linotype"/>
          <w:b w:val="1"/>
          <w:i w:val="1"/>
          <w:sz w:val="22"/>
          <w:szCs w:val="22"/>
          <w:u w:val="single"/>
          <w:rtl w:val="0"/>
        </w:rPr>
        <w:t xml:space="preserve">incluyendo la versión pública del expediente respectivo y de los contratos</w:t>
      </w:r>
      <w:r w:rsidDel="00000000" w:rsidR="00000000" w:rsidRPr="00000000">
        <w:rPr>
          <w:rFonts w:ascii="Palatino Linotype" w:cs="Palatino Linotype" w:eastAsia="Palatino Linotype" w:hAnsi="Palatino Linotype"/>
          <w:i w:val="1"/>
          <w:sz w:val="22"/>
          <w:szCs w:val="22"/>
          <w:rtl w:val="0"/>
        </w:rPr>
        <w:t xml:space="preserve"> celebrados, que deberán contener, por los menos, lo siguiente:</w:t>
      </w:r>
      <w:r w:rsidDel="00000000" w:rsidR="00000000" w:rsidRPr="00000000">
        <w:rPr>
          <w:rtl w:val="0"/>
        </w:rPr>
      </w:r>
    </w:p>
    <w:p w:rsidR="00000000" w:rsidDel="00000000" w:rsidP="00000000" w:rsidRDefault="00000000" w:rsidRPr="00000000" w14:paraId="000000BD">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a) </w:t>
      </w:r>
      <w:r w:rsidDel="00000000" w:rsidR="00000000" w:rsidRPr="00000000">
        <w:rPr>
          <w:rFonts w:ascii="Palatino Linotype" w:cs="Palatino Linotype" w:eastAsia="Palatino Linotype" w:hAnsi="Palatino Linotype"/>
          <w:i w:val="1"/>
          <w:sz w:val="22"/>
          <w:szCs w:val="22"/>
          <w:rtl w:val="0"/>
        </w:rPr>
        <w:t xml:space="preserve">De licitaciones públicas o procedimientos de invitación restringida:</w:t>
      </w:r>
      <w:r w:rsidDel="00000000" w:rsidR="00000000" w:rsidRPr="00000000">
        <w:rPr>
          <w:rtl w:val="0"/>
        </w:rPr>
      </w:r>
    </w:p>
    <w:p w:rsidR="00000000" w:rsidDel="00000000" w:rsidP="00000000" w:rsidRDefault="00000000" w:rsidRPr="00000000" w14:paraId="000000BE">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w:t>
      </w:r>
      <w:r w:rsidDel="00000000" w:rsidR="00000000" w:rsidRPr="00000000">
        <w:rPr>
          <w:rFonts w:ascii="Palatino Linotype" w:cs="Palatino Linotype" w:eastAsia="Palatino Linotype" w:hAnsi="Palatino Linotype"/>
          <w:i w:val="1"/>
          <w:sz w:val="22"/>
          <w:szCs w:val="22"/>
          <w:rtl w:val="0"/>
        </w:rPr>
        <w:t xml:space="preserve"> La convocatoria o invitación emitida, así como los fundamentos legales aplicados para llevarla a cabo;</w:t>
      </w:r>
      <w:r w:rsidDel="00000000" w:rsidR="00000000" w:rsidRPr="00000000">
        <w:rPr>
          <w:rtl w:val="0"/>
        </w:rPr>
      </w:r>
    </w:p>
    <w:p w:rsidR="00000000" w:rsidDel="00000000" w:rsidP="00000000" w:rsidRDefault="00000000" w:rsidRPr="00000000" w14:paraId="000000BF">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Los nombres de los participantes o invitados;</w:t>
      </w:r>
      <w:r w:rsidDel="00000000" w:rsidR="00000000" w:rsidRPr="00000000">
        <w:rPr>
          <w:rtl w:val="0"/>
        </w:rPr>
      </w:r>
    </w:p>
    <w:p w:rsidR="00000000" w:rsidDel="00000000" w:rsidP="00000000" w:rsidRDefault="00000000" w:rsidRPr="00000000" w14:paraId="000000C0">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3) </w:t>
      </w:r>
      <w:r w:rsidDel="00000000" w:rsidR="00000000" w:rsidRPr="00000000">
        <w:rPr>
          <w:rFonts w:ascii="Palatino Linotype" w:cs="Palatino Linotype" w:eastAsia="Palatino Linotype" w:hAnsi="Palatino Linotype"/>
          <w:i w:val="1"/>
          <w:sz w:val="22"/>
          <w:szCs w:val="22"/>
          <w:rtl w:val="0"/>
        </w:rPr>
        <w:t xml:space="preserve">El nombre del ganador y las razones que lo justifican;</w:t>
      </w:r>
      <w:r w:rsidDel="00000000" w:rsidR="00000000" w:rsidRPr="00000000">
        <w:rPr>
          <w:rtl w:val="0"/>
        </w:rPr>
      </w:r>
    </w:p>
    <w:p w:rsidR="00000000" w:rsidDel="00000000" w:rsidP="00000000" w:rsidRDefault="00000000" w:rsidRPr="00000000" w14:paraId="000000C1">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4) </w:t>
      </w:r>
      <w:r w:rsidDel="00000000" w:rsidR="00000000" w:rsidRPr="00000000">
        <w:rPr>
          <w:rFonts w:ascii="Palatino Linotype" w:cs="Palatino Linotype" w:eastAsia="Palatino Linotype" w:hAnsi="Palatino Linotype"/>
          <w:i w:val="1"/>
          <w:sz w:val="22"/>
          <w:szCs w:val="22"/>
          <w:rtl w:val="0"/>
        </w:rPr>
        <w:t xml:space="preserve">El área solicitante y la responsable de su ejecución;</w:t>
      </w:r>
      <w:r w:rsidDel="00000000" w:rsidR="00000000" w:rsidRPr="00000000">
        <w:rPr>
          <w:rtl w:val="0"/>
        </w:rPr>
      </w:r>
    </w:p>
    <w:p w:rsidR="00000000" w:rsidDel="00000000" w:rsidP="00000000" w:rsidRDefault="00000000" w:rsidRPr="00000000" w14:paraId="000000C2">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5) </w:t>
      </w:r>
      <w:r w:rsidDel="00000000" w:rsidR="00000000" w:rsidRPr="00000000">
        <w:rPr>
          <w:rFonts w:ascii="Palatino Linotype" w:cs="Palatino Linotype" w:eastAsia="Palatino Linotype" w:hAnsi="Palatino Linotype"/>
          <w:i w:val="1"/>
          <w:sz w:val="22"/>
          <w:szCs w:val="22"/>
          <w:rtl w:val="0"/>
        </w:rPr>
        <w:t xml:space="preserve">Las convocatorias e invitaciones emitidas;</w:t>
      </w:r>
      <w:r w:rsidDel="00000000" w:rsidR="00000000" w:rsidRPr="00000000">
        <w:rPr>
          <w:rtl w:val="0"/>
        </w:rPr>
      </w:r>
    </w:p>
    <w:p w:rsidR="00000000" w:rsidDel="00000000" w:rsidP="00000000" w:rsidRDefault="00000000" w:rsidRPr="00000000" w14:paraId="000000C3">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6)</w:t>
      </w:r>
      <w:r w:rsidDel="00000000" w:rsidR="00000000" w:rsidRPr="00000000">
        <w:rPr>
          <w:rFonts w:ascii="Palatino Linotype" w:cs="Palatino Linotype" w:eastAsia="Palatino Linotype" w:hAnsi="Palatino Linotype"/>
          <w:i w:val="1"/>
          <w:sz w:val="22"/>
          <w:szCs w:val="22"/>
          <w:rtl w:val="0"/>
        </w:rPr>
        <w:t xml:space="preserve"> Los dictámenes y fallo de adjudicación;</w:t>
      </w:r>
      <w:r w:rsidDel="00000000" w:rsidR="00000000" w:rsidRPr="00000000">
        <w:rPr>
          <w:rtl w:val="0"/>
        </w:rPr>
      </w:r>
    </w:p>
    <w:p w:rsidR="00000000" w:rsidDel="00000000" w:rsidP="00000000" w:rsidRDefault="00000000" w:rsidRPr="00000000" w14:paraId="000000C4">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7) El contrato </w:t>
      </w:r>
      <w:r w:rsidDel="00000000" w:rsidR="00000000" w:rsidRPr="00000000">
        <w:rPr>
          <w:rFonts w:ascii="Palatino Linotype" w:cs="Palatino Linotype" w:eastAsia="Palatino Linotype" w:hAnsi="Palatino Linotype"/>
          <w:i w:val="1"/>
          <w:sz w:val="22"/>
          <w:szCs w:val="22"/>
          <w:rtl w:val="0"/>
        </w:rPr>
        <w:t xml:space="preserve">y, en su caso, sus anexos;</w:t>
      </w:r>
      <w:r w:rsidDel="00000000" w:rsidR="00000000" w:rsidRPr="00000000">
        <w:rPr>
          <w:rtl w:val="0"/>
        </w:rPr>
      </w:r>
    </w:p>
    <w:p w:rsidR="00000000" w:rsidDel="00000000" w:rsidP="00000000" w:rsidRDefault="00000000" w:rsidRPr="00000000" w14:paraId="000000C5">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8) </w:t>
      </w:r>
      <w:r w:rsidDel="00000000" w:rsidR="00000000" w:rsidRPr="00000000">
        <w:rPr>
          <w:rFonts w:ascii="Palatino Linotype" w:cs="Palatino Linotype" w:eastAsia="Palatino Linotype" w:hAnsi="Palatino Linotype"/>
          <w:i w:val="1"/>
          <w:sz w:val="22"/>
          <w:szCs w:val="22"/>
          <w:rtl w:val="0"/>
        </w:rPr>
        <w:t xml:space="preserve">Los mecanismos de vigilancia y supervisión, incluyendo en su caso, los estudios de impacto urbano y ambiental, según corresponda;</w:t>
      </w:r>
      <w:r w:rsidDel="00000000" w:rsidR="00000000" w:rsidRPr="00000000">
        <w:rPr>
          <w:rtl w:val="0"/>
        </w:rPr>
      </w:r>
    </w:p>
    <w:p w:rsidR="00000000" w:rsidDel="00000000" w:rsidP="00000000" w:rsidRDefault="00000000" w:rsidRPr="00000000" w14:paraId="000000C6">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9) </w:t>
      </w:r>
      <w:r w:rsidDel="00000000" w:rsidR="00000000" w:rsidRPr="00000000">
        <w:rPr>
          <w:rFonts w:ascii="Palatino Linotype" w:cs="Palatino Linotype" w:eastAsia="Palatino Linotype" w:hAnsi="Palatino Linotype"/>
          <w:i w:val="1"/>
          <w:sz w:val="22"/>
          <w:szCs w:val="22"/>
          <w:rtl w:val="0"/>
        </w:rPr>
        <w:t xml:space="preserve">La partida presupuestal, de conformidad con el clasificador por objeto del gasto, en el caso de ser aplicable;</w:t>
      </w:r>
      <w:r w:rsidDel="00000000" w:rsidR="00000000" w:rsidRPr="00000000">
        <w:rPr>
          <w:rtl w:val="0"/>
        </w:rPr>
      </w:r>
    </w:p>
    <w:p w:rsidR="00000000" w:rsidDel="00000000" w:rsidP="00000000" w:rsidRDefault="00000000" w:rsidRPr="00000000" w14:paraId="000000C7">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10) </w:t>
      </w:r>
      <w:r w:rsidDel="00000000" w:rsidR="00000000" w:rsidRPr="00000000">
        <w:rPr>
          <w:rFonts w:ascii="Palatino Linotype" w:cs="Palatino Linotype" w:eastAsia="Palatino Linotype" w:hAnsi="Palatino Linotype"/>
          <w:i w:val="1"/>
          <w:sz w:val="22"/>
          <w:szCs w:val="22"/>
          <w:rtl w:val="0"/>
        </w:rPr>
        <w:t xml:space="preserve">Origen de los recursos especificando si son federales, estatales o municipales</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así como el tipo de fondo de participación o aportación respectiva;</w:t>
      </w:r>
      <w:r w:rsidDel="00000000" w:rsidR="00000000" w:rsidRPr="00000000">
        <w:rPr>
          <w:rtl w:val="0"/>
        </w:rPr>
      </w:r>
    </w:p>
    <w:p w:rsidR="00000000" w:rsidDel="00000000" w:rsidP="00000000" w:rsidRDefault="00000000" w:rsidRPr="00000000" w14:paraId="000000C8">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11) </w:t>
      </w:r>
      <w:r w:rsidDel="00000000" w:rsidR="00000000" w:rsidRPr="00000000">
        <w:rPr>
          <w:rFonts w:ascii="Palatino Linotype" w:cs="Palatino Linotype" w:eastAsia="Palatino Linotype" w:hAnsi="Palatino Linotype"/>
          <w:i w:val="1"/>
          <w:sz w:val="22"/>
          <w:szCs w:val="22"/>
          <w:rtl w:val="0"/>
        </w:rPr>
        <w:t xml:space="preserve">Los convenios modificatorios que, en su caso, sean firmados, precisando el objeto y la fecha de celebración;</w:t>
      </w:r>
      <w:r w:rsidDel="00000000" w:rsidR="00000000" w:rsidRPr="00000000">
        <w:rPr>
          <w:rtl w:val="0"/>
        </w:rPr>
      </w:r>
    </w:p>
    <w:p w:rsidR="00000000" w:rsidDel="00000000" w:rsidP="00000000" w:rsidRDefault="00000000" w:rsidRPr="00000000" w14:paraId="000000C9">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12) </w:t>
      </w:r>
      <w:r w:rsidDel="00000000" w:rsidR="00000000" w:rsidRPr="00000000">
        <w:rPr>
          <w:rFonts w:ascii="Palatino Linotype" w:cs="Palatino Linotype" w:eastAsia="Palatino Linotype" w:hAnsi="Palatino Linotype"/>
          <w:i w:val="1"/>
          <w:sz w:val="22"/>
          <w:szCs w:val="22"/>
          <w:rtl w:val="0"/>
        </w:rPr>
        <w:t xml:space="preserve">Los informes de avance físico y financiero sobre las obras o servicios contratados;</w:t>
      </w:r>
      <w:r w:rsidDel="00000000" w:rsidR="00000000" w:rsidRPr="00000000">
        <w:rPr>
          <w:rtl w:val="0"/>
        </w:rPr>
      </w:r>
    </w:p>
    <w:p w:rsidR="00000000" w:rsidDel="00000000" w:rsidP="00000000" w:rsidRDefault="00000000" w:rsidRPr="00000000" w14:paraId="000000CA">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13) </w:t>
      </w:r>
      <w:r w:rsidDel="00000000" w:rsidR="00000000" w:rsidRPr="00000000">
        <w:rPr>
          <w:rFonts w:ascii="Palatino Linotype" w:cs="Palatino Linotype" w:eastAsia="Palatino Linotype" w:hAnsi="Palatino Linotype"/>
          <w:i w:val="1"/>
          <w:sz w:val="22"/>
          <w:szCs w:val="22"/>
          <w:rtl w:val="0"/>
        </w:rPr>
        <w:t xml:space="preserve">El convenio de terminación; y</w:t>
      </w:r>
      <w:r w:rsidDel="00000000" w:rsidR="00000000" w:rsidRPr="00000000">
        <w:rPr>
          <w:rtl w:val="0"/>
        </w:rPr>
      </w:r>
    </w:p>
    <w:p w:rsidR="00000000" w:rsidDel="00000000" w:rsidP="00000000" w:rsidRDefault="00000000" w:rsidRPr="00000000" w14:paraId="000000CB">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14) </w:t>
      </w:r>
      <w:r w:rsidDel="00000000" w:rsidR="00000000" w:rsidRPr="00000000">
        <w:rPr>
          <w:rFonts w:ascii="Palatino Linotype" w:cs="Palatino Linotype" w:eastAsia="Palatino Linotype" w:hAnsi="Palatino Linotype"/>
          <w:i w:val="1"/>
          <w:sz w:val="22"/>
          <w:szCs w:val="22"/>
          <w:rtl w:val="0"/>
        </w:rPr>
        <w:t xml:space="preserve">El finiquito.</w:t>
      </w:r>
      <w:r w:rsidDel="00000000" w:rsidR="00000000" w:rsidRPr="00000000">
        <w:rPr>
          <w:rtl w:val="0"/>
        </w:rPr>
      </w:r>
    </w:p>
    <w:p w:rsidR="00000000" w:rsidDel="00000000" w:rsidP="00000000" w:rsidRDefault="00000000" w:rsidRPr="00000000" w14:paraId="000000CC">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b) </w:t>
      </w:r>
      <w:r w:rsidDel="00000000" w:rsidR="00000000" w:rsidRPr="00000000">
        <w:rPr>
          <w:rFonts w:ascii="Palatino Linotype" w:cs="Palatino Linotype" w:eastAsia="Palatino Linotype" w:hAnsi="Palatino Linotype"/>
          <w:i w:val="1"/>
          <w:sz w:val="22"/>
          <w:szCs w:val="22"/>
          <w:rtl w:val="0"/>
        </w:rPr>
        <w:t xml:space="preserve">De las adjudicaciones directas:</w:t>
      </w:r>
      <w:r w:rsidDel="00000000" w:rsidR="00000000" w:rsidRPr="00000000">
        <w:rPr>
          <w:rtl w:val="0"/>
        </w:rPr>
      </w:r>
    </w:p>
    <w:p w:rsidR="00000000" w:rsidDel="00000000" w:rsidP="00000000" w:rsidRDefault="00000000" w:rsidRPr="00000000" w14:paraId="000000CD">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 </w:t>
      </w:r>
      <w:r w:rsidDel="00000000" w:rsidR="00000000" w:rsidRPr="00000000">
        <w:rPr>
          <w:rFonts w:ascii="Palatino Linotype" w:cs="Palatino Linotype" w:eastAsia="Palatino Linotype" w:hAnsi="Palatino Linotype"/>
          <w:i w:val="1"/>
          <w:sz w:val="22"/>
          <w:szCs w:val="22"/>
          <w:rtl w:val="0"/>
        </w:rPr>
        <w:t xml:space="preserve">La propuesta enviada por el participante;</w:t>
      </w:r>
      <w:r w:rsidDel="00000000" w:rsidR="00000000" w:rsidRPr="00000000">
        <w:rPr>
          <w:rtl w:val="0"/>
        </w:rPr>
      </w:r>
    </w:p>
    <w:p w:rsidR="00000000" w:rsidDel="00000000" w:rsidP="00000000" w:rsidRDefault="00000000" w:rsidRPr="00000000" w14:paraId="000000CE">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2) </w:t>
      </w:r>
      <w:r w:rsidDel="00000000" w:rsidR="00000000" w:rsidRPr="00000000">
        <w:rPr>
          <w:rFonts w:ascii="Palatino Linotype" w:cs="Palatino Linotype" w:eastAsia="Palatino Linotype" w:hAnsi="Palatino Linotype"/>
          <w:i w:val="1"/>
          <w:sz w:val="22"/>
          <w:szCs w:val="22"/>
          <w:rtl w:val="0"/>
        </w:rPr>
        <w:t xml:space="preserve">Los motivos y fundamentos legales aplicados para llevarla a cabo;</w:t>
      </w:r>
      <w:r w:rsidDel="00000000" w:rsidR="00000000" w:rsidRPr="00000000">
        <w:rPr>
          <w:rtl w:val="0"/>
        </w:rPr>
      </w:r>
    </w:p>
    <w:p w:rsidR="00000000" w:rsidDel="00000000" w:rsidP="00000000" w:rsidRDefault="00000000" w:rsidRPr="00000000" w14:paraId="000000CF">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3) </w:t>
      </w:r>
      <w:r w:rsidDel="00000000" w:rsidR="00000000" w:rsidRPr="00000000">
        <w:rPr>
          <w:rFonts w:ascii="Palatino Linotype" w:cs="Palatino Linotype" w:eastAsia="Palatino Linotype" w:hAnsi="Palatino Linotype"/>
          <w:i w:val="1"/>
          <w:sz w:val="22"/>
          <w:szCs w:val="22"/>
          <w:rtl w:val="0"/>
        </w:rPr>
        <w:t xml:space="preserve">La autorización del ejercicio de la opción;</w:t>
      </w:r>
      <w:r w:rsidDel="00000000" w:rsidR="00000000" w:rsidRPr="00000000">
        <w:rPr>
          <w:rtl w:val="0"/>
        </w:rPr>
      </w:r>
    </w:p>
    <w:p w:rsidR="00000000" w:rsidDel="00000000" w:rsidP="00000000" w:rsidRDefault="00000000" w:rsidRPr="00000000" w14:paraId="000000D0">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4)</w:t>
      </w:r>
      <w:r w:rsidDel="00000000" w:rsidR="00000000" w:rsidRPr="00000000">
        <w:rPr>
          <w:rFonts w:ascii="Palatino Linotype" w:cs="Palatino Linotype" w:eastAsia="Palatino Linotype" w:hAnsi="Palatino Linotype"/>
          <w:i w:val="1"/>
          <w:sz w:val="22"/>
          <w:szCs w:val="22"/>
          <w:rtl w:val="0"/>
        </w:rPr>
        <w:t xml:space="preserve"> En su caso, las cotizaciones consideradas, especificando los nombres de los proveedores y sus montos;</w:t>
      </w:r>
      <w:r w:rsidDel="00000000" w:rsidR="00000000" w:rsidRPr="00000000">
        <w:rPr>
          <w:rtl w:val="0"/>
        </w:rPr>
      </w:r>
    </w:p>
    <w:p w:rsidR="00000000" w:rsidDel="00000000" w:rsidP="00000000" w:rsidRDefault="00000000" w:rsidRPr="00000000" w14:paraId="000000D1">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5) </w:t>
      </w:r>
      <w:r w:rsidDel="00000000" w:rsidR="00000000" w:rsidRPr="00000000">
        <w:rPr>
          <w:rFonts w:ascii="Palatino Linotype" w:cs="Palatino Linotype" w:eastAsia="Palatino Linotype" w:hAnsi="Palatino Linotype"/>
          <w:i w:val="1"/>
          <w:sz w:val="22"/>
          <w:szCs w:val="22"/>
          <w:rtl w:val="0"/>
        </w:rPr>
        <w:t xml:space="preserve">El nombre de la persona física o jurídica colectiva adjudicada;</w:t>
      </w:r>
      <w:r w:rsidDel="00000000" w:rsidR="00000000" w:rsidRPr="00000000">
        <w:rPr>
          <w:rtl w:val="0"/>
        </w:rPr>
      </w:r>
    </w:p>
    <w:p w:rsidR="00000000" w:rsidDel="00000000" w:rsidP="00000000" w:rsidRDefault="00000000" w:rsidRPr="00000000" w14:paraId="000000D2">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6) </w:t>
      </w:r>
      <w:r w:rsidDel="00000000" w:rsidR="00000000" w:rsidRPr="00000000">
        <w:rPr>
          <w:rFonts w:ascii="Palatino Linotype" w:cs="Palatino Linotype" w:eastAsia="Palatino Linotype" w:hAnsi="Palatino Linotype"/>
          <w:i w:val="1"/>
          <w:sz w:val="22"/>
          <w:szCs w:val="22"/>
          <w:rtl w:val="0"/>
        </w:rPr>
        <w:t xml:space="preserve">La unidad administrativa solicitante y la responsable de su ejecución;</w:t>
      </w:r>
      <w:r w:rsidDel="00000000" w:rsidR="00000000" w:rsidRPr="00000000">
        <w:rPr>
          <w:rtl w:val="0"/>
        </w:rPr>
      </w:r>
    </w:p>
    <w:p w:rsidR="00000000" w:rsidDel="00000000" w:rsidP="00000000" w:rsidRDefault="00000000" w:rsidRPr="00000000" w14:paraId="000000D3">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7)</w:t>
      </w:r>
      <w:r w:rsidDel="00000000" w:rsidR="00000000" w:rsidRPr="00000000">
        <w:rPr>
          <w:rFonts w:ascii="Palatino Linotype" w:cs="Palatino Linotype" w:eastAsia="Palatino Linotype" w:hAnsi="Palatino Linotype"/>
          <w:i w:val="1"/>
          <w:sz w:val="22"/>
          <w:szCs w:val="22"/>
          <w:rtl w:val="0"/>
        </w:rPr>
        <w:t xml:space="preserve"> El número, fecha, el monto del contrato y el plazo de entrega o de ejecución de los servicios u obra;</w:t>
      </w:r>
      <w:r w:rsidDel="00000000" w:rsidR="00000000" w:rsidRPr="00000000">
        <w:rPr>
          <w:rtl w:val="0"/>
        </w:rPr>
      </w:r>
    </w:p>
    <w:p w:rsidR="00000000" w:rsidDel="00000000" w:rsidP="00000000" w:rsidRDefault="00000000" w:rsidRPr="00000000" w14:paraId="000000D4">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8) </w:t>
      </w:r>
      <w:r w:rsidDel="00000000" w:rsidR="00000000" w:rsidRPr="00000000">
        <w:rPr>
          <w:rFonts w:ascii="Palatino Linotype" w:cs="Palatino Linotype" w:eastAsia="Palatino Linotype" w:hAnsi="Palatino Linotype"/>
          <w:i w:val="1"/>
          <w:sz w:val="22"/>
          <w:szCs w:val="22"/>
          <w:rtl w:val="0"/>
        </w:rPr>
        <w:t xml:space="preserve">Los mecanismos de vigilancia y supervisión, incluyendo, en su caso, los estudios de impacto urbano y ambiental, según corresponda;</w:t>
      </w:r>
      <w:r w:rsidDel="00000000" w:rsidR="00000000" w:rsidRPr="00000000">
        <w:rPr>
          <w:rtl w:val="0"/>
        </w:rPr>
      </w:r>
    </w:p>
    <w:p w:rsidR="00000000" w:rsidDel="00000000" w:rsidP="00000000" w:rsidRDefault="00000000" w:rsidRPr="00000000" w14:paraId="000000D5">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9) </w:t>
      </w:r>
      <w:r w:rsidDel="00000000" w:rsidR="00000000" w:rsidRPr="00000000">
        <w:rPr>
          <w:rFonts w:ascii="Palatino Linotype" w:cs="Palatino Linotype" w:eastAsia="Palatino Linotype" w:hAnsi="Palatino Linotype"/>
          <w:i w:val="1"/>
          <w:sz w:val="22"/>
          <w:szCs w:val="22"/>
          <w:rtl w:val="0"/>
        </w:rPr>
        <w:t xml:space="preserve">Los informes de avance sobre las obras o servicios contratados;</w:t>
      </w:r>
      <w:r w:rsidDel="00000000" w:rsidR="00000000" w:rsidRPr="00000000">
        <w:rPr>
          <w:rtl w:val="0"/>
        </w:rPr>
      </w:r>
    </w:p>
    <w:p w:rsidR="00000000" w:rsidDel="00000000" w:rsidP="00000000" w:rsidRDefault="00000000" w:rsidRPr="00000000" w14:paraId="000000D6">
      <w:pPr>
        <w:ind w:left="567" w:right="567"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sz w:val="22"/>
          <w:szCs w:val="22"/>
          <w:rtl w:val="0"/>
        </w:rPr>
        <w:t xml:space="preserve">10) </w:t>
      </w:r>
      <w:r w:rsidDel="00000000" w:rsidR="00000000" w:rsidRPr="00000000">
        <w:rPr>
          <w:rFonts w:ascii="Palatino Linotype" w:cs="Palatino Linotype" w:eastAsia="Palatino Linotype" w:hAnsi="Palatino Linotype"/>
          <w:i w:val="1"/>
          <w:sz w:val="22"/>
          <w:szCs w:val="22"/>
          <w:rtl w:val="0"/>
        </w:rPr>
        <w:t xml:space="preserve">El convenio de terminación; y</w:t>
      </w:r>
      <w:r w:rsidDel="00000000" w:rsidR="00000000" w:rsidRPr="00000000">
        <w:rPr>
          <w:rtl w:val="0"/>
        </w:rPr>
      </w:r>
    </w:p>
    <w:p w:rsidR="00000000" w:rsidDel="00000000" w:rsidP="00000000" w:rsidRDefault="00000000" w:rsidRPr="00000000" w14:paraId="000000D7">
      <w:pPr>
        <w:ind w:left="567" w:right="567"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11) </w:t>
      </w:r>
      <w:r w:rsidDel="00000000" w:rsidR="00000000" w:rsidRPr="00000000">
        <w:rPr>
          <w:rFonts w:ascii="Palatino Linotype" w:cs="Palatino Linotype" w:eastAsia="Palatino Linotype" w:hAnsi="Palatino Linotype"/>
          <w:i w:val="1"/>
          <w:sz w:val="22"/>
          <w:szCs w:val="22"/>
          <w:rtl w:val="0"/>
        </w:rPr>
        <w:t xml:space="preserve">El finiquito.</w:t>
      </w:r>
      <w:r w:rsidDel="00000000" w:rsidR="00000000" w:rsidRPr="00000000">
        <w:rPr>
          <w:rFonts w:ascii="Palatino Linotype" w:cs="Palatino Linotype" w:eastAsia="Palatino Linotype" w:hAnsi="Palatino Linotype"/>
          <w:b w:val="1"/>
          <w:i w:val="1"/>
          <w:sz w:val="22"/>
          <w:szCs w:val="22"/>
          <w:rtl w:val="0"/>
        </w:rPr>
        <w:t xml:space="preserve">”</w:t>
      </w:r>
    </w:p>
    <w:p w:rsidR="00000000" w:rsidDel="00000000" w:rsidP="00000000" w:rsidRDefault="00000000" w:rsidRPr="00000000" w14:paraId="000000D8">
      <w:pPr>
        <w:ind w:left="851" w:right="85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 se desprende que los Sujetos Obligados están obligados a poner a disposición del público de manera constante y actualizada, de forma sencilla, precisa y entendible, en los respectivos medios electrónicos, la información referente a los procesos y resultados sobre procedimientos de adjudicación directa, invitación restringida y licitación de cualquier naturaleza, en el que se debe contener dentro de la versión pública del expediente respectivo los contratos celebrados, el cual debe contener entre otros requisitos, nombre de los proveedores y sus montos, así como el origen de los recursos.</w:t>
      </w:r>
    </w:p>
    <w:p w:rsidR="00000000" w:rsidDel="00000000" w:rsidP="00000000" w:rsidRDefault="00000000" w:rsidRPr="00000000" w14:paraId="000000DA">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B">
      <w:pPr>
        <w:spacing w:line="360" w:lineRule="auto"/>
        <w:jc w:val="both"/>
        <w:rPr>
          <w:rFonts w:ascii="Palatino Linotype" w:cs="Palatino Linotype" w:eastAsia="Palatino Linotype" w:hAnsi="Palatino Linotype"/>
          <w:sz w:val="22"/>
          <w:szCs w:val="22"/>
        </w:rPr>
      </w:pPr>
      <w:bookmarkStart w:colFirst="0" w:colLast="0" w:name="_heading=h.4d34og8" w:id="8"/>
      <w:bookmarkEnd w:id="8"/>
      <w:r w:rsidDel="00000000" w:rsidR="00000000" w:rsidRPr="00000000">
        <w:rPr>
          <w:rFonts w:ascii="Palatino Linotype" w:cs="Palatino Linotype" w:eastAsia="Palatino Linotype" w:hAnsi="Palatino Linotype"/>
          <w:sz w:val="22"/>
          <w:szCs w:val="22"/>
          <w:rtl w:val="0"/>
        </w:rPr>
        <w:t xml:space="preserve">De la interpretación armónica de los preceptos transcritos, se advierte que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cuenta con la competencia para regular los actos relativos a la planeación, programación, presupuestación, ejecución y </w:t>
      </w:r>
      <w:r w:rsidDel="00000000" w:rsidR="00000000" w:rsidRPr="00000000">
        <w:rPr>
          <w:rFonts w:ascii="Palatino Linotype" w:cs="Palatino Linotype" w:eastAsia="Palatino Linotype" w:hAnsi="Palatino Linotype"/>
          <w:b w:val="1"/>
          <w:sz w:val="22"/>
          <w:szCs w:val="22"/>
          <w:u w:val="single"/>
          <w:rtl w:val="0"/>
        </w:rPr>
        <w:t xml:space="preserve">control de la adquisición y arrendamiento de bienes, así como la contratación de servicios de cualquier naturaleza</w:t>
      </w:r>
      <w:r w:rsidDel="00000000" w:rsidR="00000000" w:rsidRPr="00000000">
        <w:rPr>
          <w:rFonts w:ascii="Palatino Linotype" w:cs="Palatino Linotype" w:eastAsia="Palatino Linotype" w:hAnsi="Palatino Linotype"/>
          <w:sz w:val="22"/>
          <w:szCs w:val="22"/>
          <w:rtl w:val="0"/>
        </w:rPr>
        <w:t xml:space="preserve">, por consiguiente, este Organismo Garante determina ordenar la entrega de los contratos celebrados durante el mes de abril de 2024, referidos en respuesta, en versión pública, conforme al considerando quinto.</w:t>
      </w:r>
    </w:p>
    <w:p w:rsidR="00000000" w:rsidDel="00000000" w:rsidP="00000000" w:rsidRDefault="00000000" w:rsidRPr="00000000" w14:paraId="000000DC">
      <w:pPr>
        <w:pBdr>
          <w:top w:space="0" w:sz="0" w:val="nil"/>
          <w:left w:space="0" w:sz="0" w:val="nil"/>
          <w:bottom w:space="0" w:sz="0" w:val="nil"/>
          <w:right w:space="0" w:sz="0" w:val="nil"/>
          <w:between w:space="0" w:sz="0" w:val="nil"/>
        </w:pBdr>
        <w:shd w:fill="ffffff" w:val="clea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DD">
      <w:pPr>
        <w:pBdr>
          <w:top w:space="0" w:sz="0" w:val="nil"/>
          <w:left w:space="0" w:sz="0" w:val="nil"/>
          <w:bottom w:space="0" w:sz="0" w:val="nil"/>
          <w:right w:space="0" w:sz="0" w:val="nil"/>
          <w:between w:space="0" w:sz="0" w:val="nil"/>
        </w:pBdr>
        <w:shd w:fill="ffffff" w:val="clear"/>
        <w:spacing w:line="360" w:lineRule="auto"/>
        <w:ind w:right="-15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2. De las facturas pagadas a dichos contratos.</w:t>
      </w:r>
    </w:p>
    <w:p w:rsidR="00000000" w:rsidDel="00000000" w:rsidP="00000000" w:rsidRDefault="00000000" w:rsidRPr="00000000" w14:paraId="000000DE">
      <w:pPr>
        <w:pBdr>
          <w:top w:space="0" w:sz="0" w:val="nil"/>
          <w:left w:space="0" w:sz="0" w:val="nil"/>
          <w:bottom w:space="0" w:sz="0" w:val="nil"/>
          <w:right w:space="0" w:sz="0" w:val="nil"/>
          <w:between w:space="0" w:sz="0" w:val="nil"/>
        </w:pBdr>
        <w:shd w:fill="ffffff" w:val="clear"/>
        <w:spacing w:line="360" w:lineRule="auto"/>
        <w:ind w:right="-150"/>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DF">
      <w:pPr>
        <w:pBdr>
          <w:top w:space="0" w:sz="0" w:val="nil"/>
          <w:left w:space="0" w:sz="0" w:val="nil"/>
          <w:bottom w:space="0" w:sz="0" w:val="nil"/>
          <w:right w:space="0" w:sz="0" w:val="nil"/>
          <w:between w:space="0" w:sz="0" w:val="nil"/>
        </w:pBdr>
        <w:shd w:fill="ffffff" w:val="clea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lo tocante a este punto de la solicitud de información, tenemos que la Tesorería Municipal es la unidad administrativa competente para contar con la información requerida en la solicitud de información, sin embargo, esta reportó en su respuesta que </w:t>
      </w:r>
      <w:r w:rsidDel="00000000" w:rsidR="00000000" w:rsidRPr="00000000">
        <w:rPr>
          <w:rFonts w:ascii="Palatino Linotype" w:cs="Palatino Linotype" w:eastAsia="Palatino Linotype" w:hAnsi="Palatino Linotype"/>
          <w:b w:val="1"/>
          <w:sz w:val="22"/>
          <w:szCs w:val="22"/>
          <w:u w:val="single"/>
          <w:rtl w:val="0"/>
        </w:rPr>
        <w:t xml:space="preserve">aún se están realizando los registros contables y presupuestales del ejercicio 2024 y no se cuenta con la información correspondiente al segundo trimestre</w:t>
      </w:r>
      <w:r w:rsidDel="00000000" w:rsidR="00000000" w:rsidRPr="00000000">
        <w:rPr>
          <w:rFonts w:ascii="Palatino Linotype" w:cs="Palatino Linotype" w:eastAsia="Palatino Linotype" w:hAnsi="Palatino Linotype"/>
          <w:sz w:val="22"/>
          <w:szCs w:val="22"/>
          <w:rtl w:val="0"/>
        </w:rPr>
        <w:t xml:space="preserve">, por lo cual dicha información no puede ser presentada por no haberla generado a la fecha de la presente solicitud.</w:t>
      </w:r>
    </w:p>
    <w:p w:rsidR="00000000" w:rsidDel="00000000" w:rsidP="00000000" w:rsidRDefault="00000000" w:rsidRPr="00000000" w14:paraId="000000E0">
      <w:pPr>
        <w:pBdr>
          <w:top w:space="0" w:sz="0" w:val="nil"/>
          <w:left w:space="0" w:sz="0" w:val="nil"/>
          <w:bottom w:space="0" w:sz="0" w:val="nil"/>
          <w:right w:space="0" w:sz="0" w:val="nil"/>
          <w:between w:space="0" w:sz="0" w:val="nil"/>
        </w:pBdr>
        <w:shd w:fill="ffffff" w:val="clear"/>
        <w:spacing w:line="360" w:lineRule="auto"/>
        <w:ind w:right="-15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1">
      <w:pPr>
        <w:pBdr>
          <w:top w:space="0" w:sz="0" w:val="nil"/>
          <w:left w:space="0" w:sz="0" w:val="nil"/>
          <w:bottom w:space="0" w:sz="0" w:val="nil"/>
          <w:right w:space="0" w:sz="0" w:val="nil"/>
          <w:between w:space="0" w:sz="0" w:val="nil"/>
        </w:pBdr>
        <w:shd w:fill="ffffff" w:val="clear"/>
        <w:spacing w:line="360" w:lineRule="auto"/>
        <w:ind w:right="-1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tal sentido, se tiene que el </w:t>
      </w:r>
      <w:r w:rsidDel="00000000" w:rsidR="00000000" w:rsidRPr="00000000">
        <w:rPr>
          <w:rFonts w:ascii="Palatino Linotype" w:cs="Palatino Linotype" w:eastAsia="Palatino Linotype" w:hAnsi="Palatino Linotype"/>
          <w:b w:val="1"/>
          <w:sz w:val="22"/>
          <w:szCs w:val="22"/>
          <w:rtl w:val="0"/>
        </w:rPr>
        <w:t xml:space="preserve">Sujeto Obligado pretende </w:t>
      </w:r>
      <w:r w:rsidDel="00000000" w:rsidR="00000000" w:rsidRPr="00000000">
        <w:rPr>
          <w:rFonts w:ascii="Palatino Linotype" w:cs="Palatino Linotype" w:eastAsia="Palatino Linotype" w:hAnsi="Palatino Linotype"/>
          <w:sz w:val="22"/>
          <w:szCs w:val="22"/>
          <w:rtl w:val="0"/>
        </w:rPr>
        <w:t xml:space="preserve">justificar la restricción al Derecho de acceso a la información bajo el argumento de que la información contable municipal se entrega en forma Trimestral, en el caso referente la solicitud es correspondiente al segundo trimestre de Abril a Junio, por lo cual la información del 2do trimestre se encuentra en proceso, es importante señalar que a pesar de que la solicitud de información </w:t>
      </w:r>
      <w:r w:rsidDel="00000000" w:rsidR="00000000" w:rsidRPr="00000000">
        <w:rPr>
          <w:rFonts w:ascii="Palatino Linotype" w:cs="Palatino Linotype" w:eastAsia="Palatino Linotype" w:hAnsi="Palatino Linotype"/>
          <w:b w:val="1"/>
          <w:sz w:val="22"/>
          <w:szCs w:val="22"/>
          <w:u w:val="single"/>
          <w:rtl w:val="0"/>
        </w:rPr>
        <w:t xml:space="preserve">se registró el nueve de julio de dos mil veinticuatro,</w:t>
      </w:r>
      <w:r w:rsidDel="00000000" w:rsidR="00000000" w:rsidRPr="00000000">
        <w:rPr>
          <w:rFonts w:ascii="Palatino Linotype" w:cs="Palatino Linotype" w:eastAsia="Palatino Linotype" w:hAnsi="Palatino Linotype"/>
          <w:sz w:val="22"/>
          <w:szCs w:val="22"/>
          <w:rtl w:val="0"/>
        </w:rPr>
        <w:t xml:space="preserve"> se estima necesario precisar que si bien, los entes fiscalizables se encuentran constreñidos para cumplir con sus obligaciones fiscales en términos y periodicidad dispuesta por la normatividad correspondiente, ello </w:t>
      </w:r>
      <w:r w:rsidDel="00000000" w:rsidR="00000000" w:rsidRPr="00000000">
        <w:rPr>
          <w:rFonts w:ascii="Palatino Linotype" w:cs="Palatino Linotype" w:eastAsia="Palatino Linotype" w:hAnsi="Palatino Linotype"/>
          <w:b w:val="1"/>
          <w:sz w:val="22"/>
          <w:szCs w:val="22"/>
          <w:u w:val="single"/>
          <w:rtl w:val="0"/>
        </w:rPr>
        <w:t xml:space="preserve">no significa que los sujetos obligados no permitan el acceso a la información que por su naturaleza deben generar de manera diaria, semanal o mensual, cuando ello se solicite en el ejercicio del derecho de acceso a la información. </w:t>
      </w:r>
      <w:r w:rsidDel="00000000" w:rsidR="00000000" w:rsidRPr="00000000">
        <w:rPr>
          <w:rtl w:val="0"/>
        </w:rPr>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En el caso particular, si bien es cierto, los entes fiscalizables entregan sus informes trimestralmente en cumplimiento de sus obligaciones fiscales, también lo es que estos se integran de información que ha sido obtenida de forma consecutiva, por lo que, en el caso de que un particular solicite información antes del trimestre, los Sujetos Obligados no pueden impedir acceso a los documentos que hasta el momento se han generado, sino que deben proporcionar la información que obre en sus archivos ya sea del periodo solicitado o, a la fecha de la solicitud de información. </w:t>
      </w:r>
      <w:r w:rsidDel="00000000" w:rsidR="00000000" w:rsidRPr="00000000">
        <w:rPr>
          <w:rtl w:val="0"/>
        </w:rPr>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Asimismo, es de reiterar que la Ley de Transparencia Estatal establece en su artículo 92 un catálogo de obligaciones de transparencia que los sujetos obligados </w:t>
      </w:r>
      <w:r w:rsidDel="00000000" w:rsidR="00000000" w:rsidRPr="00000000">
        <w:rPr>
          <w:rFonts w:ascii="Palatino Linotype" w:cs="Palatino Linotype" w:eastAsia="Palatino Linotype" w:hAnsi="Palatino Linotype"/>
          <w:b w:val="1"/>
          <w:sz w:val="22"/>
          <w:szCs w:val="22"/>
          <w:u w:val="single"/>
          <w:rtl w:val="0"/>
        </w:rPr>
        <w:t xml:space="preserve">deberán poner a disposición del público</w:t>
      </w:r>
      <w:r w:rsidDel="00000000" w:rsidR="00000000" w:rsidRPr="00000000">
        <w:rPr>
          <w:rFonts w:ascii="Palatino Linotype" w:cs="Palatino Linotype" w:eastAsia="Palatino Linotype" w:hAnsi="Palatino Linotype"/>
          <w:sz w:val="22"/>
          <w:szCs w:val="22"/>
          <w:rtl w:val="0"/>
        </w:rPr>
        <w:t xml:space="preserve">, sin embargo, este es muy claro al referir que será </w:t>
      </w:r>
      <w:r w:rsidDel="00000000" w:rsidR="00000000" w:rsidRPr="00000000">
        <w:rPr>
          <w:rFonts w:ascii="Palatino Linotype" w:cs="Palatino Linotype" w:eastAsia="Palatino Linotype" w:hAnsi="Palatino Linotype"/>
          <w:b w:val="1"/>
          <w:sz w:val="22"/>
          <w:szCs w:val="22"/>
          <w:rtl w:val="0"/>
        </w:rPr>
        <w:t xml:space="preserve">“por lo menos” de temas, documentos y políticas </w:t>
      </w:r>
      <w:r w:rsidDel="00000000" w:rsidR="00000000" w:rsidRPr="00000000">
        <w:rPr>
          <w:rFonts w:ascii="Palatino Linotype" w:cs="Palatino Linotype" w:eastAsia="Palatino Linotype" w:hAnsi="Palatino Linotype"/>
          <w:sz w:val="22"/>
          <w:szCs w:val="22"/>
          <w:rtl w:val="0"/>
        </w:rPr>
        <w:t xml:space="preserve">que en este se describen, de tal forma que, en el caso de que un particular solicite información que no se contempla en dicho catálogo, los Sujetos Obligados también deberán proporcionar la información requerida.</w:t>
      </w:r>
      <w:r w:rsidDel="00000000" w:rsidR="00000000" w:rsidRPr="00000000">
        <w:rPr>
          <w:rtl w:val="0"/>
        </w:rPr>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after="240" w:before="24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En ese sentido, se le invita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que tenga a bien proporcionar toda la información que genere, administre y posee en congruencia con sus facultades, atribuciones y competencias, a la fecha en que los particulares lo solicitan o, del periodo que refieran, independientemente si esta está sujeta a plazos para cumplir con obligaciones en materia de fiscalización o, incluso, en materia de transparencia, toda vez que el derecho de acceso a la información es una prerrogativa constitucional que los ciudadanos gozan y debe ser garantizada por cualquier autoridad pública. </w:t>
      </w:r>
      <w:r w:rsidDel="00000000" w:rsidR="00000000" w:rsidRPr="00000000">
        <w:rPr>
          <w:rtl w:val="0"/>
        </w:rPr>
      </w:r>
    </w:p>
    <w:p w:rsidR="00000000" w:rsidDel="00000000" w:rsidP="00000000" w:rsidRDefault="00000000" w:rsidRPr="00000000" w14:paraId="000000E5">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respecto de la naturaleza de la información requerida, el Glosario de Términos Hacendarios que emite el Instituto Hacendario del Estado de México, el cual define como </w:t>
      </w:r>
      <w:r w:rsidDel="00000000" w:rsidR="00000000" w:rsidRPr="00000000">
        <w:rPr>
          <w:rFonts w:ascii="Palatino Linotype" w:cs="Palatino Linotype" w:eastAsia="Palatino Linotype" w:hAnsi="Palatino Linotype"/>
          <w:i w:val="1"/>
          <w:sz w:val="22"/>
          <w:szCs w:val="22"/>
          <w:rtl w:val="0"/>
        </w:rPr>
        <w:t xml:space="preserve">“factura” al</w:t>
      </w:r>
      <w:r w:rsidDel="00000000" w:rsidR="00000000" w:rsidRPr="00000000">
        <w:rPr>
          <w:rFonts w:ascii="Palatino Linotype" w:cs="Palatino Linotype" w:eastAsia="Palatino Linotype" w:hAnsi="Palatino Linotype"/>
          <w:b w:val="1"/>
          <w:i w:val="1"/>
          <w:sz w:val="22"/>
          <w:szCs w:val="22"/>
          <w:rtl w:val="0"/>
        </w:rPr>
        <w:t xml:space="preserve"> documento fiscal que emite la persona física o moral para comprobar la venta o adquisición de un bien y/o servicio.</w:t>
      </w:r>
      <w:r w:rsidDel="00000000" w:rsidR="00000000" w:rsidRPr="00000000">
        <w:rPr>
          <w:rtl w:val="0"/>
        </w:rPr>
      </w:r>
    </w:p>
    <w:p w:rsidR="00000000" w:rsidDel="00000000" w:rsidP="00000000" w:rsidRDefault="00000000" w:rsidRPr="00000000" w14:paraId="000000E6">
      <w:pPr>
        <w:spacing w:line="360" w:lineRule="auto"/>
        <w:ind w:right="-7"/>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ese sentido, es de señalar que cuando las facturas amparan las erogaciones que se realizan con erario público tienen naturaleza pública, pues constituyen un medio idóneo de evidencia del gasto realizado con recursos públicos. </w:t>
      </w:r>
    </w:p>
    <w:p w:rsidR="00000000" w:rsidDel="00000000" w:rsidP="00000000" w:rsidRDefault="00000000" w:rsidRPr="00000000" w14:paraId="000000E7">
      <w:pPr>
        <w:spacing w:line="360" w:lineRule="auto"/>
        <w:ind w:right="-7"/>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E8">
      <w:pP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En tal contexto, es necesario referir que los artículos 342, 343, 344 y 345 del Código Financiero del Estado de México y Municipios, disponen el sistema y las políticas que deben seguirse para llevar el registro contable y presupuestal de las operaciones financieras, en los siguientes términos:</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342.-</w:t>
      </w:r>
      <w:r w:rsidDel="00000000" w:rsidR="00000000" w:rsidRPr="00000000">
        <w:rPr>
          <w:rFonts w:ascii="Palatino Linotype" w:cs="Palatino Linotype" w:eastAsia="Palatino Linotype" w:hAnsi="Palatino Linotype"/>
          <w:i w:val="1"/>
          <w:sz w:val="22"/>
          <w:szCs w:val="22"/>
          <w:rtl w:val="0"/>
        </w:rPr>
        <w:t xml:space="preserve">  El registro contable del efecto patrimonial y presupuestal de las operaciones financieras, se realizará conforme al sistema y a las disposiciones que se aprueben en materia de planeación, programación, presupuestación, evaluación y contabilidad gubernamental.</w:t>
      </w: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i w:val="1"/>
          <w:sz w:val="22"/>
          <w:szCs w:val="22"/>
          <w:rtl w:val="0"/>
        </w:rPr>
        <w:t xml:space="preserve">En el caso de los municipios, el registro a que se refiere el párrafo anterior, se realizará conforme al sistema y a las disposiciones en materia de planeación, programación, presupuestación, evaluación y contabilidad gubernamental, que se aprueben en el marco del Sistema de Coordinación Hacendaria del Estado de México.</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343.-</w:t>
      </w:r>
      <w:r w:rsidDel="00000000" w:rsidR="00000000" w:rsidRPr="00000000">
        <w:rPr>
          <w:rFonts w:ascii="Palatino Linotype" w:cs="Palatino Linotype" w:eastAsia="Palatino Linotype" w:hAnsi="Palatino Linotype"/>
          <w:i w:val="1"/>
          <w:sz w:val="22"/>
          <w:szCs w:val="22"/>
          <w:rtl w:val="0"/>
        </w:rPr>
        <w:t xml:space="preserve"> - El sistema de contabilidad debe diseñarse sobre base acumulativa total y operarse en forma que facilite la fiscalización de los activos, pasivos, ingresos, egresos y, en general, que posibilite medir la eficacia del gasto público, y contener las medidas de control interno que permitan verificar el registro de la totalidad de las operaciones financieras.</w:t>
      </w: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i w:val="1"/>
          <w:sz w:val="22"/>
          <w:szCs w:val="22"/>
          <w:rtl w:val="0"/>
        </w:rPr>
        <w:t xml:space="preserve">El sistema de contabilidad sobre base acumulativa total, se sustentará en las normas emitidas por el Consejo Nacional de Armonización Contable.</w:t>
      </w:r>
      <w:r w:rsidDel="00000000" w:rsidR="00000000" w:rsidRPr="00000000">
        <w:rPr>
          <w:rtl w:val="0"/>
        </w:rPr>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344.- Los Entes Públicos, a través de cualquiera de sus unidades administrativas, de acuerdo con su naturaleza jurídica y según corresponda, </w:t>
      </w:r>
      <w:r w:rsidDel="00000000" w:rsidR="00000000" w:rsidRPr="00000000">
        <w:rPr>
          <w:rFonts w:ascii="Palatino Linotype" w:cs="Palatino Linotype" w:eastAsia="Palatino Linotype" w:hAnsi="Palatino Linotype"/>
          <w:b w:val="1"/>
          <w:i w:val="1"/>
          <w:sz w:val="22"/>
          <w:szCs w:val="22"/>
          <w:u w:val="single"/>
          <w:rtl w:val="0"/>
        </w:rPr>
        <w:t xml:space="preserve">registrarán contablemente el efecto patrimonial y presupuestal de las operaciones financieras que realicen, en el momento en que ocurran, con base en el sistema y políticas de registro establecidas, en el caso de los Municipios, se hará por la Tesorería</w:t>
      </w: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b w:val="1"/>
          <w:i w:val="1"/>
          <w:sz w:val="22"/>
          <w:szCs w:val="22"/>
          <w:rtl w:val="0"/>
        </w:rPr>
        <w:t xml:space="preserve">Todo registro contable y presupuestal deberá estar soportado con los documentos comprobatorios originales o en medios electrónicos, los que deberán permanecer en custodia y conservación de los Entes Públicos a través de las unidades administrativas que ejercieron el gasto y a disposición de los Órganos de Fiscalización locales y federales, </w:t>
      </w:r>
      <w:r w:rsidDel="00000000" w:rsidR="00000000" w:rsidRPr="00000000">
        <w:rPr>
          <w:rFonts w:ascii="Palatino Linotype" w:cs="Palatino Linotype" w:eastAsia="Palatino Linotype" w:hAnsi="Palatino Linotype"/>
          <w:i w:val="1"/>
          <w:sz w:val="22"/>
          <w:szCs w:val="22"/>
          <w:rtl w:val="0"/>
        </w:rPr>
        <w:t xml:space="preserve">según corresponda, así como de los órganos internos de control, por un término de cinco años, contados a partir del ejercicio presupuestal siguiente al que corresponda,</w:t>
      </w:r>
      <w:r w:rsidDel="00000000" w:rsidR="00000000" w:rsidRPr="00000000">
        <w:rPr>
          <w:rFonts w:ascii="Palatino Linotype" w:cs="Palatino Linotype" w:eastAsia="Palatino Linotype" w:hAnsi="Palatino Linotype"/>
          <w:b w:val="1"/>
          <w:i w:val="1"/>
          <w:sz w:val="22"/>
          <w:szCs w:val="22"/>
          <w:rtl w:val="0"/>
        </w:rPr>
        <w:t xml:space="preserve"> en el caso de los Municipios, dicha obligación corresponderá a la Tesorería.</w:t>
      </w:r>
      <w:r w:rsidDel="00000000" w:rsidR="00000000" w:rsidRPr="00000000">
        <w:rPr>
          <w:rtl w:val="0"/>
        </w:rPr>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i w:val="1"/>
          <w:sz w:val="22"/>
          <w:szCs w:val="22"/>
          <w:rtl w:val="0"/>
        </w:rPr>
        <w:t xml:space="preserve">Tratándose de documentos de carácter histórico, se estará a lo dispuesto por la legislación de la materia.</w:t>
      </w: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b w:val="1"/>
          <w:i w:val="1"/>
          <w:sz w:val="22"/>
          <w:szCs w:val="22"/>
          <w:rtl w:val="0"/>
        </w:rPr>
        <w:t xml:space="preserve">Artículo 345.-</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Las Dependencias y sus unidades administrativas; deberán conservar la documentación contable del año en curso y la de ejercicios anteriores, cuyas cuentas públicas hayan sido revisadas y fiscalizadas y la remitirán al Archivo Contable Gubernamental en un plazo que no excederá de seis meses. Tratándose de los comprobantes fiscales digitales, estos deberán estar agregados en forma electrónica a cada póliza de </w:t>
      </w:r>
      <w:r w:rsidDel="00000000" w:rsidR="00000000" w:rsidRPr="00000000">
        <w:rPr>
          <w:rFonts w:ascii="Palatino Linotype" w:cs="Palatino Linotype" w:eastAsia="Palatino Linotype" w:hAnsi="Palatino Linotype"/>
          <w:i w:val="1"/>
          <w:sz w:val="22"/>
          <w:szCs w:val="22"/>
          <w:rtl w:val="0"/>
        </w:rPr>
        <w:t xml:space="preserve">registro contable.</w:t>
      </w:r>
      <w:r w:rsidDel="00000000" w:rsidR="00000000" w:rsidRPr="00000000">
        <w:rPr>
          <w:rtl w:val="0"/>
        </w:rPr>
      </w:r>
    </w:p>
    <w:p w:rsidR="00000000" w:rsidDel="00000000" w:rsidP="00000000" w:rsidRDefault="00000000" w:rsidRPr="00000000" w14:paraId="000000F2">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i w:val="1"/>
          <w:sz w:val="22"/>
          <w:szCs w:val="22"/>
          <w:rtl w:val="0"/>
        </w:rPr>
        <w:t xml:space="preserve">Los poderes Legislativo y Judicial, los Organismos Autónomos y las Entidades Públicas, de acuerdo con su naturaleza jurídica y según corresponda, deberán conservar la documentación contable del año en curso y la de ejercicios anteriores, cuyas cuentas públicas hayan sido revisadas y fiscalizadas, en sus propios Archivos Contables. Tratándose de los comprobantes fiscales digitales, estos deberán estar agregados en forma electrónica a cada póliza de registro contable.</w:t>
      </w:r>
      <w:r w:rsidDel="00000000" w:rsidR="00000000" w:rsidRPr="00000000">
        <w:rPr>
          <w:rtl w:val="0"/>
        </w:rPr>
      </w:r>
    </w:p>
    <w:p w:rsidR="00000000" w:rsidDel="00000000" w:rsidP="00000000" w:rsidRDefault="00000000" w:rsidRPr="00000000" w14:paraId="000000F3">
      <w:pPr>
        <w:pBdr>
          <w:top w:space="0" w:sz="0" w:val="nil"/>
          <w:left w:space="0" w:sz="0" w:val="nil"/>
          <w:bottom w:space="0" w:sz="0" w:val="nil"/>
          <w:right w:space="0" w:sz="0" w:val="nil"/>
          <w:between w:space="0" w:sz="0" w:val="nil"/>
        </w:pBdr>
        <w:spacing w:after="120" w:before="120" w:line="276" w:lineRule="auto"/>
        <w:ind w:left="860" w:right="860" w:firstLine="0"/>
        <w:jc w:val="both"/>
        <w:rPr/>
      </w:pPr>
      <w:r w:rsidDel="00000000" w:rsidR="00000000" w:rsidRPr="00000000">
        <w:rPr>
          <w:rFonts w:ascii="Palatino Linotype" w:cs="Palatino Linotype" w:eastAsia="Palatino Linotype" w:hAnsi="Palatino Linotype"/>
          <w:i w:val="1"/>
          <w:sz w:val="22"/>
          <w:szCs w:val="22"/>
          <w:rtl w:val="0"/>
        </w:rPr>
        <w:t xml:space="preserve">El plazo señalado en este artículo empezará a contar a partir de la publicación en el Periódico Oficial, del decreto correspondiente</w:t>
      </w:r>
      <w:r w:rsidDel="00000000" w:rsidR="00000000" w:rsidRPr="00000000">
        <w:rPr>
          <w:rFonts w:ascii="Palatino Linotype" w:cs="Palatino Linotype" w:eastAsia="Palatino Linotype" w:hAnsi="Palatino Linotype"/>
          <w:b w:val="1"/>
          <w:i w:val="1"/>
          <w:sz w:val="22"/>
          <w:szCs w:val="22"/>
          <w:rtl w:val="0"/>
        </w:rPr>
        <w:t xml:space="preserve"> </w:t>
      </w:r>
      <w:r w:rsidDel="00000000" w:rsidR="00000000" w:rsidRPr="00000000">
        <w:rPr>
          <w:rFonts w:ascii="Palatino Linotype" w:cs="Palatino Linotype" w:eastAsia="Palatino Linotype" w:hAnsi="Palatino Linotype"/>
          <w:i w:val="1"/>
          <w:sz w:val="22"/>
          <w:szCs w:val="22"/>
          <w:rtl w:val="0"/>
        </w:rPr>
        <w:t xml:space="preserve">“(Sic)</w:t>
      </w:r>
      <w:r w:rsidDel="00000000" w:rsidR="00000000" w:rsidRPr="00000000">
        <w:rPr>
          <w:rtl w:val="0"/>
        </w:rPr>
      </w:r>
    </w:p>
    <w:p w:rsidR="00000000" w:rsidDel="00000000" w:rsidP="00000000" w:rsidRDefault="00000000" w:rsidRPr="00000000" w14:paraId="000000F4">
      <w:pPr>
        <w:pBdr>
          <w:top w:space="0" w:sz="0" w:val="nil"/>
          <w:left w:space="0" w:sz="0" w:val="nil"/>
          <w:bottom w:space="0" w:sz="0" w:val="nil"/>
          <w:right w:space="0" w:sz="0" w:val="nil"/>
          <w:between w:space="0" w:sz="0" w:val="nil"/>
        </w:pBdr>
        <w:spacing w:after="120" w:before="120" w:lineRule="auto"/>
        <w:ind w:left="860" w:right="860" w:firstLine="0"/>
        <w:jc w:val="both"/>
        <w:rPr/>
      </w:pPr>
      <w:r w:rsidDel="00000000" w:rsidR="00000000" w:rsidRPr="00000000">
        <w:rPr>
          <w:rFonts w:ascii="Palatino Linotype" w:cs="Palatino Linotype" w:eastAsia="Palatino Linotype" w:hAnsi="Palatino Linotype"/>
          <w:i w:val="1"/>
          <w:sz w:val="22"/>
          <w:szCs w:val="22"/>
          <w:rtl w:val="0"/>
        </w:rPr>
        <w:t xml:space="preserve">(Énfasis añadido)</w:t>
      </w:r>
      <w:r w:rsidDel="00000000" w:rsidR="00000000" w:rsidRPr="00000000">
        <w:rPr>
          <w:rtl w:val="0"/>
        </w:rPr>
      </w:r>
    </w:p>
    <w:p w:rsidR="00000000" w:rsidDel="00000000" w:rsidP="00000000" w:rsidRDefault="00000000" w:rsidRPr="00000000" w14:paraId="000000F5">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una interpretación sistemática de los artículos transcritos, se desprende primeramente que el registro contable del efecto patrimonial y presupuestal de las operaciones financieras se realizará conforme al sistema y a las disposiciones que se aprueben en materia de planeación, programación, presupuestación, evaluación y contabilidad gubernamental.</w:t>
      </w:r>
    </w:p>
    <w:p w:rsidR="00000000" w:rsidDel="00000000" w:rsidP="00000000" w:rsidRDefault="00000000" w:rsidRPr="00000000" w14:paraId="000000F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si bien es cierto que el Código Financiero del Estado de México y Municipios establece la obligación de los organismos para llevar los registros contables y presupuestales; también lo es que, dicho ordenamiento jurídico no establece que debemos entender por registro contable y presupuestal; sin embargo,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el Desarrollo Técnico de las Haciendas Públicas (INDETEC) señalan las siguientes definiciones de las palabras registro contable y registro presupuestario: </w:t>
      </w:r>
    </w:p>
    <w:p w:rsidR="00000000" w:rsidDel="00000000" w:rsidP="00000000" w:rsidRDefault="00000000" w:rsidRPr="00000000" w14:paraId="000000F7">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CONTABLE </w:t>
      </w:r>
    </w:p>
    <w:p w:rsidR="00000000" w:rsidDel="00000000" w:rsidP="00000000" w:rsidRDefault="00000000" w:rsidRPr="00000000" w14:paraId="000000F8">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que se realiza en los libros de contabilidad de las actividades relacionadas con el ingreso y egresos de un ente económico.” </w:t>
      </w:r>
    </w:p>
    <w:p w:rsidR="00000000" w:rsidDel="00000000" w:rsidP="00000000" w:rsidRDefault="00000000" w:rsidRPr="00000000" w14:paraId="000000F9">
      <w:pPr>
        <w:ind w:left="851" w:right="851"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FA">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PRESUPUESTARIO</w:t>
      </w:r>
    </w:p>
    <w:p w:rsidR="00000000" w:rsidDel="00000000" w:rsidP="00000000" w:rsidRDefault="00000000" w:rsidRPr="00000000" w14:paraId="000000FB">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Asiento contable de las erogaciones realizadas por las dependencias y entidades con relación a la asignación, modificación y ejercicio de los recursos presupuestarios que se les hayan autorizado.” </w:t>
      </w:r>
    </w:p>
    <w:p w:rsidR="00000000" w:rsidDel="00000000" w:rsidP="00000000" w:rsidRDefault="00000000" w:rsidRPr="00000000" w14:paraId="000000FC">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FD">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otra parte, se establece que el sistema de contabilidad sobre base acumulativa total se sustentará en los principios de contabilidad gubernamental.</w:t>
      </w:r>
    </w:p>
    <w:p w:rsidR="00000000" w:rsidDel="00000000" w:rsidP="00000000" w:rsidRDefault="00000000" w:rsidRPr="00000000" w14:paraId="000000FE">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Correlativo a lo anterior, es preciso referir una definición de </w:t>
      </w:r>
      <w:r w:rsidDel="00000000" w:rsidR="00000000" w:rsidRPr="00000000">
        <w:rPr>
          <w:rFonts w:ascii="Palatino Linotype" w:cs="Palatino Linotype" w:eastAsia="Palatino Linotype" w:hAnsi="Palatino Linotype"/>
          <w:i w:val="1"/>
          <w:sz w:val="22"/>
          <w:szCs w:val="22"/>
          <w:rtl w:val="0"/>
        </w:rPr>
        <w:t xml:space="preserve">póliza contable</w:t>
      </w:r>
      <w:r w:rsidDel="00000000" w:rsidR="00000000" w:rsidRPr="00000000">
        <w:rPr>
          <w:rFonts w:ascii="Palatino Linotype" w:cs="Palatino Linotype" w:eastAsia="Palatino Linotype" w:hAnsi="Palatino Linotype"/>
          <w:sz w:val="22"/>
          <w:szCs w:val="22"/>
          <w:rtl w:val="0"/>
        </w:rPr>
        <w:t xml:space="preserve">, la cual, primeramente, no está definida en el Código Financiero del Estado de México y Municipios; no obstante, los ya mencionados Glosarios la definen como: </w:t>
      </w:r>
    </w:p>
    <w:p w:rsidR="00000000" w:rsidDel="00000000" w:rsidP="00000000" w:rsidRDefault="00000000" w:rsidRPr="00000000" w14:paraId="000000FF">
      <w:pPr>
        <w:ind w:left="851" w:right="851"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PÓLIZA CONTABLE</w:t>
      </w:r>
    </w:p>
    <w:p w:rsidR="00000000" w:rsidDel="00000000" w:rsidP="00000000" w:rsidRDefault="00000000" w:rsidRPr="00000000" w14:paraId="00000100">
      <w:pPr>
        <w:ind w:left="851" w:right="851"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Documento en el cual se asientan en forma individual todas y cada una de las operaciones desarrolladas por una institución, así como la información necesaria para la identificación de dichas operaciones.” </w:t>
      </w:r>
    </w:p>
    <w:p w:rsidR="00000000" w:rsidDel="00000000" w:rsidP="00000000" w:rsidRDefault="00000000" w:rsidRPr="00000000" w14:paraId="00000101">
      <w:pPr>
        <w:ind w:left="851" w:right="851"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se advierte que la </w:t>
      </w:r>
      <w:r w:rsidDel="00000000" w:rsidR="00000000" w:rsidRPr="00000000">
        <w:rPr>
          <w:rFonts w:ascii="Palatino Linotype" w:cs="Palatino Linotype" w:eastAsia="Palatino Linotype" w:hAnsi="Palatino Linotype"/>
          <w:i w:val="1"/>
          <w:sz w:val="22"/>
          <w:szCs w:val="22"/>
          <w:rtl w:val="0"/>
        </w:rPr>
        <w:t xml:space="preserve">póliza contable</w:t>
      </w:r>
      <w:r w:rsidDel="00000000" w:rsidR="00000000" w:rsidRPr="00000000">
        <w:rPr>
          <w:rFonts w:ascii="Palatino Linotype" w:cs="Palatino Linotype" w:eastAsia="Palatino Linotype" w:hAnsi="Palatino Linotype"/>
          <w:sz w:val="22"/>
          <w:szCs w:val="22"/>
          <w:rtl w:val="0"/>
        </w:rPr>
        <w:t xml:space="preserve"> constituye un registro contable y presupuestal con el que cuentan los Municipios para el registro de sus operaciones relacionadas con sus ingresos y egresos y se anexan los documentos o comprobantes que justifiquen las anotaciones y cantidades en ellas registradas, lo que permite la identificación plena de dichas operaciones.</w:t>
      </w:r>
    </w:p>
    <w:p w:rsidR="00000000" w:rsidDel="00000000" w:rsidP="00000000" w:rsidRDefault="00000000" w:rsidRPr="00000000" w14:paraId="0000010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este sentido, existen diversos tipos de pólizas contables de acuerdo a las operaciones realizadas, dentro de las cuales, encontramos las llamadas </w:t>
      </w:r>
      <w:r w:rsidDel="00000000" w:rsidR="00000000" w:rsidRPr="00000000">
        <w:rPr>
          <w:rFonts w:ascii="Palatino Linotype" w:cs="Palatino Linotype" w:eastAsia="Palatino Linotype" w:hAnsi="Palatino Linotype"/>
          <w:i w:val="1"/>
          <w:sz w:val="22"/>
          <w:szCs w:val="22"/>
          <w:rtl w:val="0"/>
        </w:rPr>
        <w:t xml:space="preserve">pólizas de egresos</w:t>
      </w:r>
      <w:r w:rsidDel="00000000" w:rsidR="00000000" w:rsidRPr="00000000">
        <w:rPr>
          <w:rFonts w:ascii="Palatino Linotype" w:cs="Palatino Linotype" w:eastAsia="Palatino Linotype" w:hAnsi="Palatino Linotype"/>
          <w:sz w:val="22"/>
          <w:szCs w:val="22"/>
          <w:rtl w:val="0"/>
        </w:rPr>
        <w:t xml:space="preserve">, son aquellas en las cuales se anotan diariamente las operaciones que representan gastos, es decir, salidas de dinero para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las que además, deben encontrarse acompañadas de las documentales que sirven de soporte de dicho movimiento. </w:t>
      </w:r>
    </w:p>
    <w:p w:rsidR="00000000" w:rsidDel="00000000" w:rsidP="00000000" w:rsidRDefault="00000000" w:rsidRPr="00000000" w14:paraId="00000104">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los Lineamientos para la integración y entrega del Informe Trimestral Municipal 2024, emitidos por el Órgano Superior de Fiscalización del Estado de México, contienen los formatos e información que debe ser proporcionada para la integración de los informes trimestrales, reviste interés para nuestro estudio lo previsto en el módulo 1, el cual contiene la información relativa a las </w:t>
      </w:r>
      <w:r w:rsidDel="00000000" w:rsidR="00000000" w:rsidRPr="00000000">
        <w:rPr>
          <w:rFonts w:ascii="Palatino Linotype" w:cs="Palatino Linotype" w:eastAsia="Palatino Linotype" w:hAnsi="Palatino Linotype"/>
          <w:b w:val="1"/>
          <w:i w:val="1"/>
          <w:sz w:val="22"/>
          <w:szCs w:val="22"/>
          <w:rtl w:val="0"/>
        </w:rPr>
        <w:t xml:space="preserve">pólizas de egresos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tal manera que, dichos formatos que </w:t>
      </w:r>
      <w:r w:rsidDel="00000000" w:rsidR="00000000" w:rsidRPr="00000000">
        <w:rPr>
          <w:rFonts w:ascii="Palatino Linotype" w:cs="Palatino Linotype" w:eastAsia="Palatino Linotype" w:hAnsi="Palatino Linotype"/>
          <w:b w:val="1"/>
          <w:sz w:val="22"/>
          <w:szCs w:val="22"/>
          <w:rtl w:val="0"/>
        </w:rPr>
        <w:t xml:space="preserve">se generan de manera mensual</w:t>
      </w:r>
      <w:r w:rsidDel="00000000" w:rsidR="00000000" w:rsidRPr="00000000">
        <w:rPr>
          <w:rFonts w:ascii="Palatino Linotype" w:cs="Palatino Linotype" w:eastAsia="Palatino Linotype" w:hAnsi="Palatino Linotype"/>
          <w:sz w:val="22"/>
          <w:szCs w:val="22"/>
          <w:rtl w:val="0"/>
        </w:rPr>
        <w:t xml:space="preserve">, constituyen un soporte documental con el cual de manera enunciativa más no limitativa,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pudiera atender los requerimientos de información, para una mayor referencia se inserta la captura de pantalla del formato correspondiente: </w:t>
      </w:r>
    </w:p>
    <w:p w:rsidR="00000000" w:rsidDel="00000000" w:rsidP="00000000" w:rsidRDefault="00000000" w:rsidRPr="00000000" w14:paraId="00000105">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4772691" cy="1047896"/>
            <wp:effectExtent b="0" l="0" r="0" t="0"/>
            <wp:docPr id="129"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4772691" cy="1047896"/>
                    </a:xfrm>
                    <a:prstGeom prst="rect"/>
                    <a:ln/>
                  </pic:spPr>
                </pic:pic>
              </a:graphicData>
            </a:graphic>
          </wp:inline>
        </w:drawing>
      </w:r>
      <w:r w:rsidDel="00000000" w:rsidR="00000000" w:rsidRPr="00000000">
        <w:rPr>
          <w:rtl w:val="0"/>
        </w:rPr>
      </w:r>
    </w:p>
    <w:p w:rsidR="00000000" w:rsidDel="00000000" w:rsidP="00000000" w:rsidRDefault="00000000" w:rsidRPr="00000000" w14:paraId="00000106">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805305"/>
            <wp:effectExtent b="0" l="0" r="0" t="0"/>
            <wp:docPr id="12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5612130" cy="180530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736600</wp:posOffset>
                </wp:positionH>
                <wp:positionV relativeFrom="paragraph">
                  <wp:posOffset>546100</wp:posOffset>
                </wp:positionV>
                <wp:extent cx="4878705" cy="228600"/>
                <wp:effectExtent b="0" l="0" r="0" t="0"/>
                <wp:wrapNone/>
                <wp:docPr id="122" name=""/>
                <a:graphic>
                  <a:graphicData uri="http://schemas.microsoft.com/office/word/2010/wordprocessingShape">
                    <wps:wsp>
                      <wps:cNvSpPr/>
                      <wps:cNvPr id="2" name="Shape 2"/>
                      <wps:spPr>
                        <a:xfrm>
                          <a:off x="2935223" y="3694275"/>
                          <a:ext cx="4821555" cy="171450"/>
                        </a:xfrm>
                        <a:prstGeom prst="rect">
                          <a:avLst/>
                        </a:prstGeom>
                        <a:noFill/>
                        <a:ln cap="flat" cmpd="sng" w="28575">
                          <a:solidFill>
                            <a:srgbClr val="C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736600</wp:posOffset>
                </wp:positionH>
                <wp:positionV relativeFrom="paragraph">
                  <wp:posOffset>546100</wp:posOffset>
                </wp:positionV>
                <wp:extent cx="4878705" cy="228600"/>
                <wp:effectExtent b="0" l="0" r="0" t="0"/>
                <wp:wrapNone/>
                <wp:docPr id="122" name="image9.png"/>
                <a:graphic>
                  <a:graphicData uri="http://schemas.openxmlformats.org/drawingml/2006/picture">
                    <pic:pic>
                      <pic:nvPicPr>
                        <pic:cNvPr id="0" name="image9.png"/>
                        <pic:cNvPicPr preferRelativeResize="0"/>
                      </pic:nvPicPr>
                      <pic:blipFill>
                        <a:blip r:embed="rId12"/>
                        <a:srcRect/>
                        <a:stretch>
                          <a:fillRect/>
                        </a:stretch>
                      </pic:blipFill>
                      <pic:spPr>
                        <a:xfrm>
                          <a:off x="0" y="0"/>
                          <a:ext cx="4878705" cy="228600"/>
                        </a:xfrm>
                        <a:prstGeom prst="rect"/>
                        <a:ln/>
                      </pic:spPr>
                    </pic:pic>
                  </a:graphicData>
                </a:graphic>
              </wp:anchor>
            </w:drawing>
          </mc:Fallback>
        </mc:AlternateContent>
      </w:r>
    </w:p>
    <w:p w:rsidR="00000000" w:rsidDel="00000000" w:rsidP="00000000" w:rsidRDefault="00000000" w:rsidRPr="00000000" w14:paraId="00000107">
      <w:pPr>
        <w:spacing w:after="240" w:before="240" w:line="360" w:lineRule="auto"/>
        <w:jc w:val="center"/>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347250" cy="5499717"/>
            <wp:effectExtent b="0" l="0" r="0" t="0"/>
            <wp:docPr id="131"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347250" cy="5499717"/>
                    </a:xfrm>
                    <a:prstGeom prst="rect"/>
                    <a:ln/>
                  </pic:spPr>
                </pic:pic>
              </a:graphicData>
            </a:graphic>
          </wp:inline>
        </w:drawing>
      </w:r>
      <w:r w:rsidDel="00000000" w:rsidR="00000000" w:rsidRPr="00000000">
        <w:rPr>
          <w:rtl w:val="0"/>
        </w:rPr>
      </w:r>
    </w:p>
    <w:p w:rsidR="00000000" w:rsidDel="00000000" w:rsidP="00000000" w:rsidRDefault="00000000" w:rsidRPr="00000000" w14:paraId="00000108">
      <w:pPr>
        <w:spacing w:after="240" w:before="240" w:line="360" w:lineRule="auto"/>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1245870"/>
            <wp:effectExtent b="0" l="0" r="0" t="0"/>
            <wp:docPr id="130" name="image2.png"/>
            <a:graphic>
              <a:graphicData uri="http://schemas.openxmlformats.org/drawingml/2006/picture">
                <pic:pic>
                  <pic:nvPicPr>
                    <pic:cNvPr id="0" name="image2.png"/>
                    <pic:cNvPicPr preferRelativeResize="0"/>
                  </pic:nvPicPr>
                  <pic:blipFill>
                    <a:blip r:embed="rId14"/>
                    <a:srcRect b="0" l="0" r="0" t="0"/>
                    <a:stretch>
                      <a:fillRect/>
                    </a:stretch>
                  </pic:blipFill>
                  <pic:spPr>
                    <a:xfrm>
                      <a:off x="0" y="0"/>
                      <a:ext cx="5612130" cy="1245870"/>
                    </a:xfrm>
                    <a:prstGeom prst="rect"/>
                    <a:ln/>
                  </pic:spPr>
                </pic:pic>
              </a:graphicData>
            </a:graphic>
          </wp:inline>
        </w:drawing>
      </w:r>
      <w:r w:rsidDel="00000000" w:rsidR="00000000" w:rsidRPr="00000000">
        <w:rPr>
          <w:rtl w:val="0"/>
        </w:rPr>
      </w:r>
    </w:p>
    <w:p w:rsidR="00000000" w:rsidDel="00000000" w:rsidP="00000000" w:rsidRDefault="00000000" w:rsidRPr="00000000" w14:paraId="00000109">
      <w:pPr>
        <w:spacing w:after="240" w:before="240" w:line="360" w:lineRule="auto"/>
        <w:jc w:val="both"/>
        <w:rPr>
          <w:rFonts w:ascii="Palatino Linotype" w:cs="Palatino Linotype" w:eastAsia="Palatino Linotype" w:hAnsi="Palatino Linotype"/>
        </w:rPr>
      </w:pPr>
      <w:r w:rsidDel="00000000" w:rsidR="00000000" w:rsidRPr="00000000">
        <w:rPr>
          <w:rFonts w:ascii="Palatino Linotype" w:cs="Palatino Linotype" w:eastAsia="Palatino Linotype" w:hAnsi="Palatino Linotype"/>
        </w:rPr>
        <w:drawing>
          <wp:inline distB="0" distT="0" distL="0" distR="0">
            <wp:extent cx="5612130" cy="5125720"/>
            <wp:effectExtent b="0" l="0" r="0" t="0"/>
            <wp:docPr id="132"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5612130" cy="5125720"/>
                    </a:xfrm>
                    <a:prstGeom prst="rect"/>
                    <a:ln/>
                  </pic:spPr>
                </pic:pic>
              </a:graphicData>
            </a:graphic>
          </wp:inline>
        </w:drawing>
      </w:r>
      <w:r w:rsidDel="00000000" w:rsidR="00000000" w:rsidRPr="00000000">
        <w:rPr>
          <w:rtl w:val="0"/>
        </w:rPr>
      </w:r>
    </w:p>
    <w:p w:rsidR="00000000" w:rsidDel="00000000" w:rsidP="00000000" w:rsidRDefault="00000000" w:rsidRPr="00000000" w14:paraId="0000010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Aunado a lo anterior, los citados Lineamientos especifican que las imágenes contenidas deben ser indexadas de manera que se permita su vinculación con la información financiera, de tal forma que al consultar la citada información financiera se pueda visualizar el soporte documental que justifique los registros contables. </w:t>
      </w:r>
    </w:p>
    <w:p w:rsidR="00000000" w:rsidDel="00000000" w:rsidP="00000000" w:rsidRDefault="00000000" w:rsidRPr="00000000" w14:paraId="0000010B">
      <w:pPr>
        <w:spacing w:after="240" w:before="240" w:line="360" w:lineRule="auto"/>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sz w:val="22"/>
          <w:szCs w:val="22"/>
          <w:rtl w:val="0"/>
        </w:rPr>
        <w:t xml:space="preserve">Por lo anteriormente analizado, se determina que si bien es cierto,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realizó un turno correcto de la solicitud de información, no menos cierto es que no se pueden validar sus pronunciamientos, en razón de que no proporcionó los contratos fuente sino que adjuntó un listado de contratos y respecto a las facturas, se considera que derivado del análisis realizado, independientemente de que dicha información se remita como parte de los Informes Trimestrales que se presentan al Órgano Superior de Fiscalización del Estado de México, es dable de que cuenten con la información solicitada a la fecha de la solicitud, por lo tanto, se determina que los agravios resultan </w:t>
      </w:r>
      <w:r w:rsidDel="00000000" w:rsidR="00000000" w:rsidRPr="00000000">
        <w:rPr>
          <w:rFonts w:ascii="Palatino Linotype" w:cs="Palatino Linotype" w:eastAsia="Palatino Linotype" w:hAnsi="Palatino Linotype"/>
          <w:b w:val="1"/>
          <w:sz w:val="22"/>
          <w:szCs w:val="22"/>
          <w:rtl w:val="0"/>
        </w:rPr>
        <w:t xml:space="preserve">FUNDADOS</w:t>
      </w:r>
      <w:r w:rsidDel="00000000" w:rsidR="00000000" w:rsidRPr="00000000">
        <w:rPr>
          <w:rFonts w:ascii="Palatino Linotype" w:cs="Palatino Linotype" w:eastAsia="Palatino Linotype" w:hAnsi="Palatino Linotype"/>
          <w:sz w:val="22"/>
          <w:szCs w:val="22"/>
          <w:rtl w:val="0"/>
        </w:rPr>
        <w:t xml:space="preserve"> y es por ello que este Organismo Garante determina </w:t>
      </w:r>
      <w:r w:rsidDel="00000000" w:rsidR="00000000" w:rsidRPr="00000000">
        <w:rPr>
          <w:rFonts w:ascii="Palatino Linotype" w:cs="Palatino Linotype" w:eastAsia="Palatino Linotype" w:hAnsi="Palatino Linotype"/>
          <w:b w:val="1"/>
          <w:sz w:val="22"/>
          <w:szCs w:val="22"/>
          <w:rtl w:val="0"/>
        </w:rPr>
        <w:t xml:space="preserve">MODIFICAR </w:t>
      </w:r>
      <w:r w:rsidDel="00000000" w:rsidR="00000000" w:rsidRPr="00000000">
        <w:rPr>
          <w:rFonts w:ascii="Palatino Linotype" w:cs="Palatino Linotype" w:eastAsia="Palatino Linotype" w:hAnsi="Palatino Linotype"/>
          <w:sz w:val="22"/>
          <w:szCs w:val="22"/>
          <w:rtl w:val="0"/>
        </w:rPr>
        <w:t xml:space="preserve">la respuesta del recurso de revisión </w:t>
      </w:r>
      <w:r w:rsidDel="00000000" w:rsidR="00000000" w:rsidRPr="00000000">
        <w:rPr>
          <w:rFonts w:ascii="Palatino Linotype" w:cs="Palatino Linotype" w:eastAsia="Palatino Linotype" w:hAnsi="Palatino Linotype"/>
          <w:b w:val="1"/>
          <w:sz w:val="22"/>
          <w:szCs w:val="22"/>
          <w:rtl w:val="0"/>
        </w:rPr>
        <w:t xml:space="preserve">05189/INFOEM/IP/RR/2024</w:t>
      </w:r>
      <w:r w:rsidDel="00000000" w:rsidR="00000000" w:rsidRPr="00000000">
        <w:rPr>
          <w:rFonts w:ascii="Palatino Linotype" w:cs="Palatino Linotype" w:eastAsia="Palatino Linotype" w:hAnsi="Palatino Linotype"/>
          <w:sz w:val="22"/>
          <w:szCs w:val="22"/>
          <w:rtl w:val="0"/>
        </w:rPr>
        <w:t xml:space="preserve">, para ordenar la entrega de </w:t>
      </w:r>
      <w:r w:rsidDel="00000000" w:rsidR="00000000" w:rsidRPr="00000000">
        <w:rPr>
          <w:rFonts w:ascii="Palatino Linotype" w:cs="Palatino Linotype" w:eastAsia="Palatino Linotype" w:hAnsi="Palatino Linotype"/>
          <w:b w:val="1"/>
          <w:sz w:val="22"/>
          <w:szCs w:val="22"/>
          <w:rtl w:val="0"/>
        </w:rPr>
        <w:t xml:space="preserve">los contratos celebrados durante el mes de abril de 2024, referidos en respuesta, así como las facturas generadas para el pago de dichos contratos con las que cuente al nueve de julio de dos mil veinticuatro</w:t>
      </w:r>
      <w:r w:rsidDel="00000000" w:rsidR="00000000" w:rsidRPr="00000000">
        <w:rPr>
          <w:rFonts w:ascii="Palatino Linotype" w:cs="Palatino Linotype" w:eastAsia="Palatino Linotype" w:hAnsi="Palatino Linotype"/>
          <w:sz w:val="22"/>
          <w:szCs w:val="22"/>
          <w:rtl w:val="0"/>
        </w:rPr>
        <w:t xml:space="preserve">, en versión pública de ser procedente, conforme al considerando quinto.</w:t>
      </w:r>
      <w:r w:rsidDel="00000000" w:rsidR="00000000" w:rsidRPr="00000000">
        <w:rPr>
          <w:rtl w:val="0"/>
        </w:rPr>
      </w:r>
    </w:p>
    <w:p w:rsidR="00000000" w:rsidDel="00000000" w:rsidP="00000000" w:rsidRDefault="00000000" w:rsidRPr="00000000" w14:paraId="0000010C">
      <w:pPr>
        <w:pBdr>
          <w:top w:space="0" w:sz="0" w:val="nil"/>
          <w:left w:space="0" w:sz="0" w:val="nil"/>
          <w:bottom w:space="0" w:sz="0" w:val="nil"/>
          <w:right w:space="0" w:sz="0" w:val="nil"/>
          <w:between w:space="0" w:sz="0" w:val="nil"/>
        </w:pBdr>
        <w:spacing w:after="240" w:before="240" w:line="360" w:lineRule="auto"/>
        <w:ind w:right="49"/>
        <w:jc w:val="both"/>
        <w:rPr>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Para la entrega de la información, en razón de que el derecho de acceso a la información pública no es absoluto, sino que encuentra como excepciones que la información sobre la cual se peticiona el acceso, sea o contenga datos que deban ser clasificados en los términos que la misma Ley de la Materia señala, el Sujeto Obligado tendrá que hacer la elaboración de una versión pública de los documentos que vaya entregar para dar cumplimiento a esta resolución, a fin de satisfacer el derecho de acceso a la información pública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sin menoscabar el derecho a la protección de los datos personales de terceros.</w:t>
      </w:r>
      <w:r w:rsidDel="00000000" w:rsidR="00000000" w:rsidRPr="00000000">
        <w:rPr>
          <w:rtl w:val="0"/>
        </w:rPr>
      </w:r>
    </w:p>
    <w:p w:rsidR="00000000" w:rsidDel="00000000" w:rsidP="00000000" w:rsidRDefault="00000000" w:rsidRPr="00000000" w14:paraId="0000010D">
      <w:pPr>
        <w:pBdr>
          <w:top w:space="0" w:sz="0" w:val="nil"/>
          <w:left w:space="0" w:sz="0" w:val="nil"/>
          <w:bottom w:space="0" w:sz="0" w:val="nil"/>
          <w:right w:space="0" w:sz="0" w:val="nil"/>
          <w:between w:space="0" w:sz="0" w:val="nil"/>
        </w:pBdr>
        <w:spacing w:after="240" w:before="240" w:line="360" w:lineRule="auto"/>
        <w:ind w:right="49"/>
        <w:jc w:val="both"/>
        <w:rPr>
          <w:sz w:val="22"/>
          <w:szCs w:val="22"/>
        </w:rPr>
      </w:pPr>
      <w:r w:rsidDel="00000000" w:rsidR="00000000" w:rsidRPr="00000000">
        <w:rPr>
          <w:rFonts w:ascii="Palatino Linotype" w:cs="Palatino Linotype" w:eastAsia="Palatino Linotype" w:hAnsi="Palatino Linotype"/>
          <w:sz w:val="22"/>
          <w:szCs w:val="22"/>
          <w:rtl w:val="0"/>
        </w:rPr>
        <w:t xml:space="preserve">Lo anterior, de conformidad a lo que señalan los artículos 3, fracciones IX, XX, XXXII, XLV; 6, 137 y 143 fracción I, de la Ley de Transparencia y Acceso a la Información Pública del Estado de México y Municipios vigente, que se leen como sigue:</w:t>
      </w:r>
      <w:r w:rsidDel="00000000" w:rsidR="00000000" w:rsidRPr="00000000">
        <w:rPr>
          <w:rtl w:val="0"/>
        </w:rPr>
      </w:r>
    </w:p>
    <w:p w:rsidR="00000000" w:rsidDel="00000000" w:rsidP="00000000" w:rsidRDefault="00000000" w:rsidRPr="00000000" w14:paraId="0000010E">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 “Artículo 3. Para los efectos de la presente Ley se entenderá por:</w:t>
      </w:r>
      <w:r w:rsidDel="00000000" w:rsidR="00000000" w:rsidRPr="00000000">
        <w:rPr>
          <w:rtl w:val="0"/>
        </w:rPr>
      </w:r>
    </w:p>
    <w:p w:rsidR="00000000" w:rsidDel="00000000" w:rsidP="00000000" w:rsidRDefault="00000000" w:rsidRPr="00000000" w14:paraId="0000010F">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información concerniente a una persona, identificada o identificable</w:t>
      </w:r>
      <w:r w:rsidDel="00000000" w:rsidR="00000000" w:rsidRPr="00000000">
        <w:rPr>
          <w:rFonts w:ascii="Palatino Linotype" w:cs="Palatino Linotype" w:eastAsia="Palatino Linotype" w:hAnsi="Palatino Linotype"/>
          <w:i w:val="1"/>
          <w:sz w:val="22"/>
          <w:szCs w:val="22"/>
          <w:rtl w:val="0"/>
        </w:rPr>
        <w:t xml:space="preserve"> según lo dispuesto por la Ley de Protección de Datos Personales del Estado de México;</w:t>
      </w:r>
      <w:r w:rsidDel="00000000" w:rsidR="00000000" w:rsidRPr="00000000">
        <w:rPr>
          <w:rtl w:val="0"/>
        </w:rPr>
      </w:r>
    </w:p>
    <w:p w:rsidR="00000000" w:rsidDel="00000000" w:rsidP="00000000" w:rsidRDefault="00000000" w:rsidRPr="00000000" w14:paraId="00000110">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r w:rsidDel="00000000" w:rsidR="00000000" w:rsidRPr="00000000">
        <w:rPr>
          <w:rtl w:val="0"/>
        </w:rPr>
      </w:r>
    </w:p>
    <w:p w:rsidR="00000000" w:rsidDel="00000000" w:rsidP="00000000" w:rsidRDefault="00000000" w:rsidRPr="00000000" w14:paraId="00000111">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XXXII. Protección de Datos Personales:</w:t>
      </w:r>
      <w:r w:rsidDel="00000000" w:rsidR="00000000" w:rsidRPr="00000000">
        <w:rPr>
          <w:rFonts w:ascii="Palatino Linotype" w:cs="Palatino Linotype" w:eastAsia="Palatino Linotype" w:hAnsi="Palatino Linotype"/>
          <w:i w:val="1"/>
          <w:sz w:val="22"/>
          <w:szCs w:val="22"/>
          <w:rtl w:val="0"/>
        </w:rPr>
        <w:t xml:space="preserve"> Derecho humano que tutela la privacidad de datos personales en poder de los sujetos obligados y sujetos particulares;</w:t>
      </w:r>
      <w:r w:rsidDel="00000000" w:rsidR="00000000" w:rsidRPr="00000000">
        <w:rPr>
          <w:rtl w:val="0"/>
        </w:rPr>
      </w:r>
    </w:p>
    <w:p w:rsidR="00000000" w:rsidDel="00000000" w:rsidP="00000000" w:rsidRDefault="00000000" w:rsidRPr="00000000" w14:paraId="00000112">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r w:rsidDel="00000000" w:rsidR="00000000" w:rsidRPr="00000000">
        <w:rPr>
          <w:rtl w:val="0"/>
        </w:rPr>
      </w:r>
    </w:p>
    <w:p w:rsidR="00000000" w:rsidDel="00000000" w:rsidP="00000000" w:rsidRDefault="00000000" w:rsidRPr="00000000" w14:paraId="00000113">
      <w:pPr>
        <w:spacing w:line="276" w:lineRule="auto"/>
        <w:jc w:val="both"/>
        <w:rPr>
          <w:sz w:val="22"/>
          <w:szCs w:val="22"/>
        </w:rPr>
      </w:pPr>
      <w:r w:rsidDel="00000000" w:rsidR="00000000" w:rsidRPr="00000000">
        <w:rPr>
          <w:rtl w:val="0"/>
        </w:rPr>
      </w:r>
    </w:p>
    <w:p w:rsidR="00000000" w:rsidDel="00000000" w:rsidP="00000000" w:rsidRDefault="00000000" w:rsidRPr="00000000" w14:paraId="00000114">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6.</w:t>
      </w:r>
      <w:r w:rsidDel="00000000" w:rsidR="00000000" w:rsidRPr="00000000">
        <w:rPr>
          <w:rFonts w:ascii="Palatino Linotype" w:cs="Palatino Linotype" w:eastAsia="Palatino Linotype" w:hAnsi="Palatino Linotype"/>
          <w:i w:val="1"/>
          <w:sz w:val="22"/>
          <w:szCs w:val="22"/>
          <w:rtl w:val="0"/>
        </w:rPr>
        <w:t xml:space="preserve"> Los datos personales son irrenunciables, intransferibles e indelegables, por lo que los sujetos obligados no deberán proporcionar o hacer pública la información que contenga, con excepción de aquellos casos en que deban hacerlo en observancia de las disposiciones aplicables. En el caso de los derechos de acceso, rectificación, cancelación u oposición; los principios, procedimientos, medidas de seguridad en el tratamiento y demás disposiciones en materia de datos personales, se deberá estar a lo dispuesto en las leyes de la materia.”</w:t>
      </w:r>
      <w:r w:rsidDel="00000000" w:rsidR="00000000" w:rsidRPr="00000000">
        <w:rPr>
          <w:rtl w:val="0"/>
        </w:rPr>
      </w:r>
    </w:p>
    <w:p w:rsidR="00000000" w:rsidDel="00000000" w:rsidP="00000000" w:rsidRDefault="00000000" w:rsidRPr="00000000" w14:paraId="00000115">
      <w:pPr>
        <w:spacing w:line="276" w:lineRule="auto"/>
        <w:jc w:val="both"/>
        <w:rPr>
          <w:sz w:val="22"/>
          <w:szCs w:val="22"/>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137.</w:t>
      </w:r>
      <w:r w:rsidDel="00000000" w:rsidR="00000000" w:rsidRPr="00000000">
        <w:rPr>
          <w:rFonts w:ascii="Palatino Linotype" w:cs="Palatino Linotype" w:eastAsia="Palatino Linotype" w:hAnsi="Palatino Linotype"/>
          <w:i w:val="1"/>
          <w:sz w:val="22"/>
          <w:szCs w:val="22"/>
          <w:rtl w:val="0"/>
        </w:rPr>
        <w:t xml:space="preserve">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r w:rsidDel="00000000" w:rsidR="00000000" w:rsidRPr="00000000">
        <w:rPr>
          <w:rtl w:val="0"/>
        </w:rPr>
      </w:r>
    </w:p>
    <w:p w:rsidR="00000000" w:rsidDel="00000000" w:rsidP="00000000" w:rsidRDefault="00000000" w:rsidRPr="00000000" w14:paraId="00000117">
      <w:pPr>
        <w:spacing w:line="276" w:lineRule="auto"/>
        <w:jc w:val="both"/>
        <w:rPr>
          <w:sz w:val="22"/>
          <w:szCs w:val="22"/>
        </w:rPr>
      </w:pPr>
      <w:r w:rsidDel="00000000" w:rsidR="00000000" w:rsidRPr="00000000">
        <w:rPr>
          <w:rtl w:val="0"/>
        </w:rPr>
      </w:r>
    </w:p>
    <w:p w:rsidR="00000000" w:rsidDel="00000000" w:rsidP="00000000" w:rsidRDefault="00000000" w:rsidRPr="00000000" w14:paraId="00000118">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r w:rsidDel="00000000" w:rsidR="00000000" w:rsidRPr="00000000">
        <w:rPr>
          <w:rtl w:val="0"/>
        </w:rPr>
      </w:r>
    </w:p>
    <w:p w:rsidR="00000000" w:rsidDel="00000000" w:rsidP="00000000" w:rsidRDefault="00000000" w:rsidRPr="00000000" w14:paraId="00000119">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jurídica colectiva identificada o identificable;</w:t>
      </w:r>
      <w:r w:rsidDel="00000000" w:rsidR="00000000" w:rsidRPr="00000000">
        <w:rPr>
          <w:rtl w:val="0"/>
        </w:rPr>
      </w:r>
    </w:p>
    <w:p w:rsidR="00000000" w:rsidDel="00000000" w:rsidP="00000000" w:rsidRDefault="00000000" w:rsidRPr="00000000" w14:paraId="0000011A">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 Los secretos bancario, fiduciario, industrial, comercial, fiscal, bursátil y postal, cuya titularidad corresponda a particulares, sujetos de derecho internacional o a sujetos obligados cuando no involucren el ejercicio de recursos públicos; y</w:t>
      </w:r>
      <w:r w:rsidDel="00000000" w:rsidR="00000000" w:rsidRPr="00000000">
        <w:rPr>
          <w:rtl w:val="0"/>
        </w:rPr>
      </w:r>
    </w:p>
    <w:p w:rsidR="00000000" w:rsidDel="00000000" w:rsidP="00000000" w:rsidRDefault="00000000" w:rsidRPr="00000000" w14:paraId="0000011B">
      <w:pPr>
        <w:pBdr>
          <w:top w:space="0" w:sz="0" w:val="nil"/>
          <w:left w:space="0" w:sz="0" w:val="nil"/>
          <w:bottom w:space="0" w:sz="0" w:val="nil"/>
          <w:right w:space="0" w:sz="0" w:val="nil"/>
          <w:between w:space="0" w:sz="0" w:val="nil"/>
        </w:pBdr>
        <w:spacing w:line="276" w:lineRule="auto"/>
        <w:ind w:left="993" w:right="104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III. La que presenten los particulares a los sujetos obligados, de conformidad con lo dispuesto por las leyes o los tratados internacionales.” </w:t>
      </w:r>
      <w:r w:rsidDel="00000000" w:rsidR="00000000" w:rsidRPr="00000000">
        <w:rPr>
          <w:rtl w:val="0"/>
        </w:rPr>
      </w:r>
    </w:p>
    <w:p w:rsidR="00000000" w:rsidDel="00000000" w:rsidP="00000000" w:rsidRDefault="00000000" w:rsidRPr="00000000" w14:paraId="0000011C">
      <w:pPr>
        <w:spacing w:line="360" w:lineRule="auto"/>
        <w:jc w:val="both"/>
        <w:rPr>
          <w:sz w:val="22"/>
          <w:szCs w:val="22"/>
        </w:rPr>
      </w:pPr>
      <w:r w:rsidDel="00000000" w:rsidR="00000000" w:rsidRPr="00000000">
        <w:rPr>
          <w:rtl w:val="0"/>
        </w:rPr>
      </w:r>
    </w:p>
    <w:p w:rsidR="00000000" w:rsidDel="00000000" w:rsidP="00000000" w:rsidRDefault="00000000" w:rsidRPr="00000000" w14:paraId="0000011D">
      <w:pPr>
        <w:pBdr>
          <w:top w:space="0" w:sz="0" w:val="nil"/>
          <w:left w:space="0" w:sz="0" w:val="nil"/>
          <w:bottom w:space="0" w:sz="0" w:val="nil"/>
          <w:right w:space="0" w:sz="0" w:val="nil"/>
          <w:between w:space="0" w:sz="0" w:val="nil"/>
        </w:pBdr>
        <w:spacing w:line="360" w:lineRule="auto"/>
        <w:ind w:right="51"/>
        <w:jc w:val="both"/>
        <w:rPr>
          <w:sz w:val="22"/>
          <w:szCs w:val="22"/>
        </w:rPr>
      </w:pPr>
      <w:r w:rsidDel="00000000" w:rsidR="00000000" w:rsidRPr="00000000">
        <w:rPr>
          <w:rFonts w:ascii="Palatino Linotype" w:cs="Palatino Linotype" w:eastAsia="Palatino Linotype" w:hAnsi="Palatino Linotype"/>
          <w:sz w:val="22"/>
          <w:szCs w:val="22"/>
          <w:rtl w:val="0"/>
        </w:rPr>
        <w:t xml:space="preserve">De los preceptos anteriores se desprende que cuando un documento que vaya a ser entregado vía acceso a la información pública, contenga tanto información de interés público como información que debe ser clasificada, se hará la entrega del mismo, testando las secciones o datos que deban ser clasificados; por ende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deberá proceder a testar los datos personales que se encuentren contenidos en los documentos a entregar para satisfacer el derecho de acceso a la información pública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esto es, los datos concernientes a una persona identificada o identificable, o aquellos datos que tengan el carácter de sensibles, es decir los que afectan la esfera más íntima de su titular o cuya utilización indebida pueda dar origen a discriminación o conlleven un riesgo grave para aquel de acuerdo a lo que señala la fracción XII del artículo 4 de la Ley de Protección de Datos Personales en Posesión de Sujetos Obligados del Estado de México.</w:t>
      </w:r>
      <w:r w:rsidDel="00000000" w:rsidR="00000000" w:rsidRPr="00000000">
        <w:rPr>
          <w:rtl w:val="0"/>
        </w:rPr>
      </w:r>
    </w:p>
    <w:p w:rsidR="00000000" w:rsidDel="00000000" w:rsidP="00000000" w:rsidRDefault="00000000" w:rsidRPr="00000000" w14:paraId="0000011E">
      <w:pPr>
        <w:spacing w:line="360" w:lineRule="auto"/>
        <w:jc w:val="both"/>
        <w:rPr>
          <w:sz w:val="22"/>
          <w:szCs w:val="22"/>
        </w:rPr>
      </w:pPr>
      <w:r w:rsidDel="00000000" w:rsidR="00000000" w:rsidRPr="00000000">
        <w:rPr>
          <w:rtl w:val="0"/>
        </w:rPr>
      </w:r>
    </w:p>
    <w:p w:rsidR="00000000" w:rsidDel="00000000" w:rsidP="00000000" w:rsidRDefault="00000000" w:rsidRPr="00000000" w14:paraId="0000011F">
      <w:pPr>
        <w:pBdr>
          <w:top w:space="0" w:sz="0" w:val="nil"/>
          <w:left w:space="0" w:sz="0" w:val="nil"/>
          <w:bottom w:space="0" w:sz="0" w:val="nil"/>
          <w:right w:space="0" w:sz="0" w:val="nil"/>
          <w:between w:space="0" w:sz="0" w:val="nil"/>
        </w:pBdr>
        <w:spacing w:line="360" w:lineRule="auto"/>
        <w:ind w:right="50"/>
        <w:jc w:val="both"/>
        <w:rPr>
          <w:sz w:val="22"/>
          <w:szCs w:val="22"/>
        </w:rPr>
      </w:pPr>
      <w:r w:rsidDel="00000000" w:rsidR="00000000" w:rsidRPr="00000000">
        <w:rPr>
          <w:rFonts w:ascii="Palatino Linotype" w:cs="Palatino Linotype" w:eastAsia="Palatino Linotype" w:hAnsi="Palatino Linotype"/>
          <w:sz w:val="22"/>
          <w:szCs w:val="22"/>
          <w:rtl w:val="0"/>
        </w:rPr>
        <w:t xml:space="preserve">Datos que deberá clasificar como confidenciales por tratarse precisamente de información privada, puesto que los datos personales son irrenunciables, intransferibles e indelegables y los Sujetos Obligados no deberán hacer entrega de los mismos a personas ajenas a su titular.</w:t>
      </w:r>
      <w:r w:rsidDel="00000000" w:rsidR="00000000" w:rsidRPr="00000000">
        <w:rPr>
          <w:rtl w:val="0"/>
        </w:rPr>
      </w:r>
    </w:p>
    <w:p w:rsidR="00000000" w:rsidDel="00000000" w:rsidP="00000000" w:rsidRDefault="00000000" w:rsidRPr="00000000" w14:paraId="00000120">
      <w:pPr>
        <w:spacing w:line="360" w:lineRule="auto"/>
        <w:jc w:val="both"/>
        <w:rPr>
          <w:sz w:val="22"/>
          <w:szCs w:val="22"/>
        </w:rPr>
      </w:pPr>
      <w:r w:rsidDel="00000000" w:rsidR="00000000" w:rsidRPr="00000000">
        <w:rPr>
          <w:rtl w:val="0"/>
        </w:rPr>
      </w:r>
    </w:p>
    <w:p w:rsidR="00000000" w:rsidDel="00000000" w:rsidP="00000000" w:rsidRDefault="00000000" w:rsidRPr="00000000" w14:paraId="00000121">
      <w:pPr>
        <w:pBdr>
          <w:top w:space="0" w:sz="0" w:val="nil"/>
          <w:left w:space="0" w:sz="0" w:val="nil"/>
          <w:bottom w:space="0" w:sz="0" w:val="nil"/>
          <w:right w:space="0" w:sz="0" w:val="nil"/>
          <w:between w:space="0" w:sz="0" w:val="nil"/>
        </w:pBdr>
        <w:spacing w:line="360" w:lineRule="auto"/>
        <w:ind w:right="51"/>
        <w:jc w:val="both"/>
        <w:rPr>
          <w:sz w:val="22"/>
          <w:szCs w:val="22"/>
        </w:rPr>
      </w:pPr>
      <w:r w:rsidDel="00000000" w:rsidR="00000000" w:rsidRPr="00000000">
        <w:rPr>
          <w:rFonts w:ascii="Palatino Linotype" w:cs="Palatino Linotype" w:eastAsia="Palatino Linotype" w:hAnsi="Palatino Linotype"/>
          <w:sz w:val="22"/>
          <w:szCs w:val="22"/>
          <w:rtl w:val="0"/>
        </w:rPr>
        <w:t xml:space="preserve">Por ende, la clasificación de la información no opera con la simple supresión de datos que se haga en los documentos de que se trate o con la simple decisión que tome el Servidor Público Habilitado o el Responsable de la Unidad de Transparencia del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sino que ello deberá realizarse en términos de lo que disponen los artículos 49 fracción VIII, 53, fracción X y 59, fracción V, de la Ley en consulta, cuyo sentido literal es el siguiente:</w:t>
      </w:r>
      <w:r w:rsidDel="00000000" w:rsidR="00000000" w:rsidRPr="00000000">
        <w:rPr>
          <w:rtl w:val="0"/>
        </w:rPr>
      </w:r>
    </w:p>
    <w:p w:rsidR="00000000" w:rsidDel="00000000" w:rsidP="00000000" w:rsidRDefault="00000000" w:rsidRPr="00000000" w14:paraId="00000122">
      <w:pPr>
        <w:spacing w:line="360" w:lineRule="auto"/>
        <w:jc w:val="both"/>
        <w:rPr>
          <w:sz w:val="22"/>
          <w:szCs w:val="22"/>
        </w:rPr>
      </w:pPr>
      <w:r w:rsidDel="00000000" w:rsidR="00000000" w:rsidRPr="00000000">
        <w:rPr>
          <w:rtl w:val="0"/>
        </w:rPr>
      </w:r>
    </w:p>
    <w:p w:rsidR="00000000" w:rsidDel="00000000" w:rsidP="00000000" w:rsidRDefault="00000000" w:rsidRPr="00000000" w14:paraId="00000123">
      <w:pPr>
        <w:pBdr>
          <w:top w:space="0" w:sz="0" w:val="nil"/>
          <w:left w:space="0" w:sz="0" w:val="nil"/>
          <w:bottom w:space="0" w:sz="0" w:val="nil"/>
          <w:right w:space="0" w:sz="0" w:val="nil"/>
          <w:between w:space="0" w:sz="0" w:val="nil"/>
        </w:pBdr>
        <w:spacing w:line="276" w:lineRule="auto"/>
        <w:ind w:left="992" w:right="1043"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49.</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Los Comités de Transparencia</w:t>
      </w:r>
      <w:r w:rsidDel="00000000" w:rsidR="00000000" w:rsidRPr="00000000">
        <w:rPr>
          <w:rFonts w:ascii="Palatino Linotype" w:cs="Palatino Linotype" w:eastAsia="Palatino Linotype" w:hAnsi="Palatino Linotype"/>
          <w:i w:val="1"/>
          <w:sz w:val="22"/>
          <w:szCs w:val="22"/>
          <w:rtl w:val="0"/>
        </w:rPr>
        <w:t xml:space="preserve"> tendrán las siguientes atribuciones:</w:t>
      </w:r>
      <w:r w:rsidDel="00000000" w:rsidR="00000000" w:rsidRPr="00000000">
        <w:rPr>
          <w:rtl w:val="0"/>
        </w:rPr>
      </w:r>
    </w:p>
    <w:p w:rsidR="00000000" w:rsidDel="00000000" w:rsidP="00000000" w:rsidRDefault="00000000" w:rsidRPr="00000000" w14:paraId="00000124">
      <w:pPr>
        <w:pBdr>
          <w:top w:space="0" w:sz="0" w:val="nil"/>
          <w:left w:space="0" w:sz="0" w:val="nil"/>
          <w:bottom w:space="0" w:sz="0" w:val="nil"/>
          <w:right w:space="0" w:sz="0" w:val="nil"/>
          <w:between w:space="0" w:sz="0" w:val="nil"/>
        </w:pBdr>
        <w:spacing w:line="276" w:lineRule="auto"/>
        <w:ind w:left="992" w:right="1043"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VIII. Aprobar, modificar o revocar la clasificación de la información</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25">
      <w:pPr>
        <w:pBdr>
          <w:top w:space="0" w:sz="0" w:val="nil"/>
          <w:left w:space="0" w:sz="0" w:val="nil"/>
          <w:bottom w:space="0" w:sz="0" w:val="nil"/>
          <w:right w:space="0" w:sz="0" w:val="nil"/>
          <w:between w:space="0" w:sz="0" w:val="nil"/>
        </w:pBdr>
        <w:spacing w:line="276" w:lineRule="auto"/>
        <w:ind w:left="992" w:right="1043"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53.</w:t>
      </w:r>
      <w:r w:rsidDel="00000000" w:rsidR="00000000" w:rsidRPr="00000000">
        <w:rPr>
          <w:rFonts w:ascii="Palatino Linotype" w:cs="Palatino Linotype" w:eastAsia="Palatino Linotype" w:hAnsi="Palatino Linotype"/>
          <w:i w:val="1"/>
          <w:sz w:val="22"/>
          <w:szCs w:val="22"/>
          <w:rtl w:val="0"/>
        </w:rPr>
        <w:t xml:space="preserve"> Las </w:t>
      </w:r>
      <w:r w:rsidDel="00000000" w:rsidR="00000000" w:rsidRPr="00000000">
        <w:rPr>
          <w:rFonts w:ascii="Palatino Linotype" w:cs="Palatino Linotype" w:eastAsia="Palatino Linotype" w:hAnsi="Palatino Linotype"/>
          <w:b w:val="1"/>
          <w:i w:val="1"/>
          <w:sz w:val="22"/>
          <w:szCs w:val="22"/>
          <w:rtl w:val="0"/>
        </w:rPr>
        <w:t xml:space="preserve">Unidades de Transparencia</w:t>
      </w:r>
      <w:r w:rsidDel="00000000" w:rsidR="00000000" w:rsidRPr="00000000">
        <w:rPr>
          <w:rFonts w:ascii="Palatino Linotype" w:cs="Palatino Linotype" w:eastAsia="Palatino Linotype" w:hAnsi="Palatino Linotype"/>
          <w:i w:val="1"/>
          <w:sz w:val="22"/>
          <w:szCs w:val="22"/>
          <w:rtl w:val="0"/>
        </w:rPr>
        <w:t xml:space="preserve"> tendrán las siguientes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26">
      <w:pPr>
        <w:pBdr>
          <w:top w:space="0" w:sz="0" w:val="nil"/>
          <w:left w:space="0" w:sz="0" w:val="nil"/>
          <w:bottom w:space="0" w:sz="0" w:val="nil"/>
          <w:right w:space="0" w:sz="0" w:val="nil"/>
          <w:between w:space="0" w:sz="0" w:val="nil"/>
        </w:pBdr>
        <w:spacing w:line="276" w:lineRule="auto"/>
        <w:ind w:left="992" w:right="1043"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X. Presentar ante el Comité, el proyecto de clasificación de información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spacing w:line="276" w:lineRule="auto"/>
        <w:ind w:left="992" w:right="1043"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59.</w:t>
      </w:r>
      <w:r w:rsidDel="00000000" w:rsidR="00000000" w:rsidRPr="00000000">
        <w:rPr>
          <w:rFonts w:ascii="Palatino Linotype" w:cs="Palatino Linotype" w:eastAsia="Palatino Linotype" w:hAnsi="Palatino Linotype"/>
          <w:i w:val="1"/>
          <w:sz w:val="22"/>
          <w:szCs w:val="22"/>
          <w:rtl w:val="0"/>
        </w:rPr>
        <w:t xml:space="preserve"> Los </w:t>
      </w:r>
      <w:r w:rsidDel="00000000" w:rsidR="00000000" w:rsidRPr="00000000">
        <w:rPr>
          <w:rFonts w:ascii="Palatino Linotype" w:cs="Palatino Linotype" w:eastAsia="Palatino Linotype" w:hAnsi="Palatino Linotype"/>
          <w:b w:val="1"/>
          <w:i w:val="1"/>
          <w:sz w:val="22"/>
          <w:szCs w:val="22"/>
          <w:rtl w:val="0"/>
        </w:rPr>
        <w:t xml:space="preserve">servidores públicos habilitados</w:t>
      </w:r>
      <w:r w:rsidDel="00000000" w:rsidR="00000000" w:rsidRPr="00000000">
        <w:rPr>
          <w:rFonts w:ascii="Palatino Linotype" w:cs="Palatino Linotype" w:eastAsia="Palatino Linotype" w:hAnsi="Palatino Linotype"/>
          <w:i w:val="1"/>
          <w:sz w:val="22"/>
          <w:szCs w:val="22"/>
          <w:rtl w:val="0"/>
        </w:rPr>
        <w:t xml:space="preserve"> tendrán las </w:t>
      </w:r>
      <w:r w:rsidDel="00000000" w:rsidR="00000000" w:rsidRPr="00000000">
        <w:rPr>
          <w:rFonts w:ascii="Palatino Linotype" w:cs="Palatino Linotype" w:eastAsia="Palatino Linotype" w:hAnsi="Palatino Linotype"/>
          <w:b w:val="1"/>
          <w:i w:val="1"/>
          <w:sz w:val="22"/>
          <w:szCs w:val="22"/>
          <w:rtl w:val="0"/>
        </w:rPr>
        <w:t xml:space="preserve">funciones</w:t>
      </w:r>
      <w:r w:rsidDel="00000000" w:rsidR="00000000" w:rsidRPr="00000000">
        <w:rPr>
          <w:rFonts w:ascii="Palatino Linotype" w:cs="Palatino Linotype" w:eastAsia="Palatino Linotype" w:hAnsi="Palatino Linotype"/>
          <w:i w:val="1"/>
          <w:sz w:val="22"/>
          <w:szCs w:val="22"/>
          <w:rtl w:val="0"/>
        </w:rPr>
        <w:t xml:space="preserve"> siguientes:</w:t>
      </w: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spacing w:line="276" w:lineRule="auto"/>
        <w:ind w:left="992" w:right="1043"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V. Integrar y presentar al responsable de la Unidad de Transparencia la propuesta de clasificación de información</w:t>
      </w:r>
      <w:r w:rsidDel="00000000" w:rsidR="00000000" w:rsidRPr="00000000">
        <w:rPr>
          <w:rFonts w:ascii="Palatino Linotype" w:cs="Palatino Linotype" w:eastAsia="Palatino Linotype" w:hAnsi="Palatino Linotype"/>
          <w:i w:val="1"/>
          <w:sz w:val="22"/>
          <w:szCs w:val="22"/>
          <w:rtl w:val="0"/>
        </w:rPr>
        <w:t xml:space="preserve">, la cual tendrá los fundamentos y argumentos en que se basa dicha propuesta…” </w:t>
      </w:r>
      <w:r w:rsidDel="00000000" w:rsidR="00000000" w:rsidRPr="00000000">
        <w:rPr>
          <w:rtl w:val="0"/>
        </w:rPr>
      </w:r>
    </w:p>
    <w:p w:rsidR="00000000" w:rsidDel="00000000" w:rsidP="00000000" w:rsidRDefault="00000000" w:rsidRPr="00000000" w14:paraId="00000129">
      <w:pPr>
        <w:spacing w:line="360" w:lineRule="auto"/>
        <w:jc w:val="both"/>
        <w:rPr>
          <w:sz w:val="22"/>
          <w:szCs w:val="22"/>
        </w:rPr>
      </w:pP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Denotándose de dichos elementos normativos que el determinar la clasificación de la información es un trabajo en conjunto tanto de los Servidores Públicos Habilitados, de las Unidades de Transparencia y del Comité de Transparencia del Sujeto Obligado, teniendo el deber los primeros de ellos de presentar ante la Unidad de Transparencia la propuesta de la clasificación de la información, para que luego ésta presente ante al Comité de Transparencia de así resultar procedente el proyecto de clasificación de la información y finalmente sea éste último quien apruebe, modifique o revoque la clasificación de la información solicitada.</w:t>
      </w:r>
      <w:r w:rsidDel="00000000" w:rsidR="00000000" w:rsidRPr="00000000">
        <w:rPr>
          <w:rtl w:val="0"/>
        </w:rPr>
      </w:r>
    </w:p>
    <w:p w:rsidR="00000000" w:rsidDel="00000000" w:rsidP="00000000" w:rsidRDefault="00000000" w:rsidRPr="00000000" w14:paraId="0000012B">
      <w:pPr>
        <w:spacing w:line="360" w:lineRule="auto"/>
        <w:jc w:val="both"/>
        <w:rPr>
          <w:sz w:val="22"/>
          <w:szCs w:val="22"/>
        </w:rPr>
      </w:pPr>
      <w:r w:rsidDel="00000000" w:rsidR="00000000" w:rsidRPr="00000000">
        <w:rPr>
          <w:rtl w:val="0"/>
        </w:rPr>
      </w:r>
    </w:p>
    <w:p w:rsidR="00000000" w:rsidDel="00000000" w:rsidP="00000000" w:rsidRDefault="00000000" w:rsidRPr="00000000" w14:paraId="0000012C">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Para lo cual, a su vez en el caso de información de carácter confidencial, se debe atender a lo que señala el artículo 149 de la Ley de Transparencia Local vigente, que se lee como sigue:</w:t>
      </w:r>
      <w:r w:rsidDel="00000000" w:rsidR="00000000" w:rsidRPr="00000000">
        <w:rPr>
          <w:rtl w:val="0"/>
        </w:rPr>
      </w:r>
    </w:p>
    <w:p w:rsidR="00000000" w:rsidDel="00000000" w:rsidP="00000000" w:rsidRDefault="00000000" w:rsidRPr="00000000" w14:paraId="0000012D">
      <w:pPr>
        <w:spacing w:line="276" w:lineRule="auto"/>
        <w:jc w:val="both"/>
        <w:rPr>
          <w:sz w:val="22"/>
          <w:szCs w:val="22"/>
        </w:rPr>
      </w:pPr>
      <w:r w:rsidDel="00000000" w:rsidR="00000000" w:rsidRPr="00000000">
        <w:rPr>
          <w:rtl w:val="0"/>
        </w:rPr>
      </w:r>
    </w:p>
    <w:p w:rsidR="00000000" w:rsidDel="00000000" w:rsidP="00000000" w:rsidRDefault="00000000" w:rsidRPr="00000000" w14:paraId="0000012E">
      <w:pPr>
        <w:pBdr>
          <w:top w:space="0" w:sz="0" w:val="nil"/>
          <w:left w:space="0" w:sz="0" w:val="nil"/>
          <w:bottom w:space="0" w:sz="0" w:val="nil"/>
          <w:right w:space="0" w:sz="0" w:val="nil"/>
          <w:between w:space="0" w:sz="0" w:val="nil"/>
        </w:pBdr>
        <w:spacing w:after="240" w:line="276" w:lineRule="auto"/>
        <w:ind w:left="993" w:right="1041"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149.</w:t>
      </w:r>
      <w:r w:rsidDel="00000000" w:rsidR="00000000" w:rsidRPr="00000000">
        <w:rPr>
          <w:rFonts w:ascii="Palatino Linotype" w:cs="Palatino Linotype" w:eastAsia="Palatino Linotype" w:hAnsi="Palatino Linotype"/>
          <w:i w:val="1"/>
          <w:sz w:val="22"/>
          <w:szCs w:val="22"/>
          <w:rtl w:val="0"/>
        </w:rPr>
        <w:t xml:space="preserve"> El </w:t>
      </w:r>
      <w:r w:rsidDel="00000000" w:rsidR="00000000" w:rsidRPr="00000000">
        <w:rPr>
          <w:rFonts w:ascii="Palatino Linotype" w:cs="Palatino Linotype" w:eastAsia="Palatino Linotype" w:hAnsi="Palatino Linotype"/>
          <w:b w:val="1"/>
          <w:i w:val="1"/>
          <w:sz w:val="22"/>
          <w:szCs w:val="22"/>
          <w:rtl w:val="0"/>
        </w:rPr>
        <w:t xml:space="preserve">acuerdo que clasifique la información como confidencial</w:t>
      </w:r>
      <w:r w:rsidDel="00000000" w:rsidR="00000000" w:rsidRPr="00000000">
        <w:rPr>
          <w:rFonts w:ascii="Palatino Linotype" w:cs="Palatino Linotype" w:eastAsia="Palatino Linotype" w:hAnsi="Palatino Linotype"/>
          <w:i w:val="1"/>
          <w:sz w:val="22"/>
          <w:szCs w:val="22"/>
          <w:rtl w:val="0"/>
        </w:rPr>
        <w:t xml:space="preserve"> deberá contener un razonamiento lógico en el que demuestre que la información se encuentra en alguna o algunas de las hipótesis previstas en la presente Ley.”</w:t>
      </w:r>
      <w:r w:rsidDel="00000000" w:rsidR="00000000" w:rsidRPr="00000000">
        <w:rPr>
          <w:rtl w:val="0"/>
        </w:rPr>
      </w:r>
    </w:p>
    <w:p w:rsidR="00000000" w:rsidDel="00000000" w:rsidP="00000000" w:rsidRDefault="00000000" w:rsidRPr="00000000" w14:paraId="0000012F">
      <w:pPr>
        <w:pBdr>
          <w:top w:space="0" w:sz="0" w:val="nil"/>
          <w:left w:space="0" w:sz="0" w:val="nil"/>
          <w:bottom w:space="0" w:sz="0" w:val="nil"/>
          <w:right w:space="0" w:sz="0" w:val="nil"/>
          <w:between w:space="0" w:sz="0" w:val="nil"/>
        </w:pBd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 decir,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a través de su Comité de Transparencia, deberá elaborar acuerdo que contenga un razonamiento lógico con el que se demuestre que la información que se testa de las versiones públicas que se sirva elaborar, encuadra en alguna de las hipótesis que contempla la Ley de la Materia en su artículo 143; ya que de lo contrario, se crearía la incertidumbre jurídica en relación a si lo entregado es formalmente una versión pública, o un documento ilegible, incompleto o tachado; en otras palabras si no se exponen de manera puntual las razones de la versión pública de la documentación entregada se estaría violentando el derecho de acceso a la información de la parte solicitante.</w:t>
      </w:r>
    </w:p>
    <w:p w:rsidR="00000000" w:rsidDel="00000000" w:rsidP="00000000" w:rsidRDefault="00000000" w:rsidRPr="00000000" w14:paraId="00000130">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caso específico, la información solicitada puede contener datos susceptibles de clasificarse, que de hacerse públicos afectarían la intimidad y vida privada de particulares; que se ha reiterado en las resoluciones de este Pleno que además de los datos especificados en la Ley de Transparencia y Acceso a la Información Pública del Estado de México y Municipios, se consideran confidenciales cuyo acceso debe ser restringido, los cuales deben testarse al momento de la elaboración de versiones públicas, como pudieran ser de manera enunciativa más no limitativa, clave de elector, numero de OCR, CURP, el número de cuenta bancaria, que sean exclusivamente de particulares, entre otros.</w:t>
      </w:r>
    </w:p>
    <w:p w:rsidR="00000000" w:rsidDel="00000000" w:rsidP="00000000" w:rsidRDefault="00000000" w:rsidRPr="00000000" w14:paraId="0000013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sz w:val="22"/>
          <w:szCs w:val="22"/>
          <w:rtl w:val="0"/>
        </w:rPr>
        <w:t xml:space="preserve">clave de elector</w:t>
      </w:r>
      <w:r w:rsidDel="00000000" w:rsidR="00000000" w:rsidRPr="00000000">
        <w:rPr>
          <w:rFonts w:ascii="Palatino Linotype" w:cs="Palatino Linotype" w:eastAsia="Palatino Linotype" w:hAnsi="Palatino Linotype"/>
          <w:sz w:val="22"/>
          <w:szCs w:val="22"/>
          <w:rtl w:val="0"/>
        </w:rPr>
        <w:t xml:space="preserve">, es la composición alfanumérica compuesta de 18 caracteres, mismos que hacen identificable a una persona física, que se conforma por las primeras letras de los apellidos, año, mes, día, sexo, clave del estado en donde nació su titular, así como una homoclave que distingue a su titular de cualquier otro homónimo, por lo tanto, se trata de un dato personal que debe ser protegido.</w:t>
      </w:r>
    </w:p>
    <w:p w:rsidR="00000000" w:rsidDel="00000000" w:rsidP="00000000" w:rsidRDefault="00000000" w:rsidRPr="00000000" w14:paraId="0000013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w:t>
      </w:r>
      <w:r w:rsidDel="00000000" w:rsidR="00000000" w:rsidRPr="00000000">
        <w:rPr>
          <w:rFonts w:ascii="Palatino Linotype" w:cs="Palatino Linotype" w:eastAsia="Palatino Linotype" w:hAnsi="Palatino Linotype"/>
          <w:b w:val="1"/>
          <w:sz w:val="22"/>
          <w:szCs w:val="22"/>
          <w:rtl w:val="0"/>
        </w:rPr>
        <w:t xml:space="preserve">número de OCR,</w:t>
      </w:r>
      <w:r w:rsidDel="00000000" w:rsidR="00000000" w:rsidRPr="00000000">
        <w:rPr>
          <w:rFonts w:ascii="Palatino Linotype" w:cs="Palatino Linotype" w:eastAsia="Palatino Linotype" w:hAnsi="Palatino Linotype"/>
          <w:sz w:val="22"/>
          <w:szCs w:val="22"/>
          <w:rtl w:val="0"/>
        </w:rPr>
        <w:t xml:space="preserve"> denominado Reconocimiento Óptico de Caracteres (OCR), contiene el número de la sección electoral en donde vota el ciudadano titular de dicho documento, por lo que constituye un dato personal en razón de que revela información concerniente a una persona física identificada o identificable en función de la información geoelectoral ahí contenida, por lo que es susceptible de resguardarse.</w:t>
      </w:r>
    </w:p>
    <w:p w:rsidR="00000000" w:rsidDel="00000000" w:rsidP="00000000" w:rsidRDefault="00000000" w:rsidRPr="00000000" w14:paraId="0000013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La </w:t>
      </w:r>
      <w:r w:rsidDel="00000000" w:rsidR="00000000" w:rsidRPr="00000000">
        <w:rPr>
          <w:rFonts w:ascii="Palatino Linotype" w:cs="Palatino Linotype" w:eastAsia="Palatino Linotype" w:hAnsi="Palatino Linotype"/>
          <w:b w:val="1"/>
          <w:sz w:val="22"/>
          <w:szCs w:val="22"/>
          <w:rtl w:val="0"/>
        </w:rPr>
        <w:t xml:space="preserve">clave única del registro de población,</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está considerada como información confidencial.</w:t>
      </w:r>
    </w:p>
    <w:p w:rsidR="00000000" w:rsidDel="00000000" w:rsidP="00000000" w:rsidRDefault="00000000" w:rsidRPr="00000000" w14:paraId="00000134">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cuanto hace al </w:t>
      </w:r>
      <w:r w:rsidDel="00000000" w:rsidR="00000000" w:rsidRPr="00000000">
        <w:rPr>
          <w:rFonts w:ascii="Palatino Linotype" w:cs="Palatino Linotype" w:eastAsia="Palatino Linotype" w:hAnsi="Palatino Linotype"/>
          <w:b w:val="1"/>
          <w:sz w:val="22"/>
          <w:szCs w:val="22"/>
          <w:rtl w:val="0"/>
        </w:rPr>
        <w:t xml:space="preserve">Registro Federal de Contribuyentes (RFC) </w:t>
      </w:r>
      <w:r w:rsidDel="00000000" w:rsidR="00000000" w:rsidRPr="00000000">
        <w:rPr>
          <w:rFonts w:ascii="Palatino Linotype" w:cs="Palatino Linotype" w:eastAsia="Palatino Linotype" w:hAnsi="Palatino Linotype"/>
          <w:sz w:val="22"/>
          <w:szCs w:val="22"/>
          <w:rtl w:val="0"/>
        </w:rPr>
        <w:t xml:space="preserve">y</w:t>
      </w:r>
      <w:r w:rsidDel="00000000" w:rsidR="00000000" w:rsidRPr="00000000">
        <w:rPr>
          <w:rFonts w:ascii="Palatino Linotype" w:cs="Palatino Linotype" w:eastAsia="Palatino Linotype" w:hAnsi="Palatino Linotype"/>
          <w:b w:val="1"/>
          <w:sz w:val="22"/>
          <w:szCs w:val="22"/>
          <w:rtl w:val="0"/>
        </w:rPr>
        <w:t xml:space="preserve"> el domicilio fiscal </w:t>
      </w:r>
      <w:r w:rsidDel="00000000" w:rsidR="00000000" w:rsidRPr="00000000">
        <w:rPr>
          <w:rFonts w:ascii="Palatino Linotype" w:cs="Palatino Linotype" w:eastAsia="Palatino Linotype" w:hAnsi="Palatino Linotype"/>
          <w:sz w:val="22"/>
          <w:szCs w:val="22"/>
          <w:rtl w:val="0"/>
        </w:rPr>
        <w:t xml:space="preserve">si bien este Instituto ha sostenido que el RFC y domicilio de las personas físicas debe ser testado por los Sujetos Obligados, en las versiones públicas de los documentos que elaboren para atender las solicitudes de información pública, lo cierto es que, tratándose de proveedores, prestadores de servicios o contratistas, dichos datos no deben ser suprimidos de las facturas y contratos que vayan a ser entregados.</w:t>
      </w:r>
    </w:p>
    <w:p w:rsidR="00000000" w:rsidDel="00000000" w:rsidP="00000000" w:rsidRDefault="00000000" w:rsidRPr="00000000" w14:paraId="00000135">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p>
    <w:p w:rsidR="00000000" w:rsidDel="00000000" w:rsidP="00000000" w:rsidRDefault="00000000" w:rsidRPr="00000000" w14:paraId="00000136">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Además, las personas físicas que realicen las actividades contratadas por las instituciones, renuncian implícitamente a una parte de su derecho a la intimidad al obtener beneficios y lucros de los recursos públicos por dicha contratación, por lo que </w:t>
      </w:r>
      <w:r w:rsidDel="00000000" w:rsidR="00000000" w:rsidRPr="00000000">
        <w:rPr>
          <w:rFonts w:ascii="Palatino Linotype" w:cs="Palatino Linotype" w:eastAsia="Palatino Linotype" w:hAnsi="Palatino Linotype"/>
          <w:b w:val="1"/>
          <w:sz w:val="22"/>
          <w:szCs w:val="22"/>
          <w:rtl w:val="0"/>
        </w:rPr>
        <w:t xml:space="preserve">no puede considerarse como información clasificada lo relativo a su nombre, registro federal de contribuyentes y domicilio fiscal</w:t>
      </w:r>
      <w:r w:rsidDel="00000000" w:rsidR="00000000" w:rsidRPr="00000000">
        <w:rPr>
          <w:rFonts w:ascii="Palatino Linotype" w:cs="Palatino Linotype" w:eastAsia="Palatino Linotype" w:hAnsi="Palatino Linotype"/>
          <w:sz w:val="22"/>
          <w:szCs w:val="22"/>
          <w:rtl w:val="0"/>
        </w:rPr>
        <w:t xml:space="preserve">, atento a que dicha información es la que puede generar certeza en los gobernados en que se está ejerciendo debidamente el presupuesto.</w:t>
      </w:r>
    </w:p>
    <w:p w:rsidR="00000000" w:rsidDel="00000000" w:rsidP="00000000" w:rsidRDefault="00000000" w:rsidRPr="00000000" w14:paraId="00000137">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Robustece lo anterior el criterio orientador 04/21 emitido por el Instituto Nacional de Transparencia, Acceso a la Información y Protección de Datos Personales, INAI, el cual refiere:</w:t>
      </w:r>
    </w:p>
    <w:p w:rsidR="00000000" w:rsidDel="00000000" w:rsidP="00000000" w:rsidRDefault="00000000" w:rsidRPr="00000000" w14:paraId="00000138">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“Registro Federal de Contribuyentes (RFC) de personas físicas proveedoras o contratistas. </w:t>
      </w:r>
      <w:r w:rsidDel="00000000" w:rsidR="00000000" w:rsidRPr="00000000">
        <w:rPr>
          <w:rFonts w:ascii="Palatino Linotype" w:cs="Palatino Linotype" w:eastAsia="Palatino Linotype" w:hAnsi="Palatino Linotype"/>
          <w:i w:val="1"/>
          <w:sz w:val="22"/>
          <w:szCs w:val="22"/>
          <w:rtl w:val="0"/>
        </w:rPr>
        <w:t xml:space="preserve">El RFC de contratistas o proveedores de los sujetos obligados debe ser público, ya que al tratarse de personas con contrataciones públicas, su difusión favorece la transparencia con la que deben administrarse los recursos públicos, en términos del artículo 134 de la Constitución Política de los Estados Unidos Mexicanos.”</w:t>
      </w:r>
    </w:p>
    <w:p w:rsidR="00000000" w:rsidDel="00000000" w:rsidP="00000000" w:rsidRDefault="00000000" w:rsidRPr="00000000" w14:paraId="00000139">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Relacionado con lo anterior, el </w:t>
      </w:r>
      <w:r w:rsidDel="00000000" w:rsidR="00000000" w:rsidRPr="00000000">
        <w:rPr>
          <w:rFonts w:ascii="Palatino Linotype" w:cs="Palatino Linotype" w:eastAsia="Palatino Linotype" w:hAnsi="Palatino Linotype"/>
          <w:b w:val="1"/>
          <w:sz w:val="22"/>
          <w:szCs w:val="22"/>
          <w:rtl w:val="0"/>
        </w:rPr>
        <w:t xml:space="preserve">nombre de las personas físicas</w:t>
      </w:r>
      <w:r w:rsidDel="00000000" w:rsidR="00000000" w:rsidRPr="00000000">
        <w:rPr>
          <w:rFonts w:ascii="Palatino Linotype" w:cs="Palatino Linotype" w:eastAsia="Palatino Linotype" w:hAnsi="Palatino Linotype"/>
          <w:sz w:val="22"/>
          <w:szCs w:val="22"/>
          <w:rtl w:val="0"/>
        </w:rPr>
        <w:t xml:space="preserve"> o los </w:t>
      </w:r>
      <w:r w:rsidDel="00000000" w:rsidR="00000000" w:rsidRPr="00000000">
        <w:rPr>
          <w:rFonts w:ascii="Palatino Linotype" w:cs="Palatino Linotype" w:eastAsia="Palatino Linotype" w:hAnsi="Palatino Linotype"/>
          <w:b w:val="1"/>
          <w:sz w:val="22"/>
          <w:szCs w:val="22"/>
          <w:rtl w:val="0"/>
        </w:rPr>
        <w:t xml:space="preserve">representantes legales de las personas morales</w:t>
      </w:r>
      <w:r w:rsidDel="00000000" w:rsidR="00000000" w:rsidRPr="00000000">
        <w:rPr>
          <w:rFonts w:ascii="Palatino Linotype" w:cs="Palatino Linotype" w:eastAsia="Palatino Linotype" w:hAnsi="Palatino Linotype"/>
          <w:sz w:val="22"/>
          <w:szCs w:val="22"/>
          <w:rtl w:val="0"/>
        </w:rPr>
        <w:t xml:space="preserve">, en su calidad de proveedores, contratistas o prestadores de servicios, y la firma y rúbrica de estos, que participen en algún  proceso de adjudicación en cualquiera de sus modalidades, debe mencionarse que con base en el artículo 23 párrafo segundo y 24 fracción XVIII  de la Ley de Transparencia y Acceso a la Información Pública del Estado de México y Municipios,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p>
    <w:p w:rsidR="00000000" w:rsidDel="00000000" w:rsidP="00000000" w:rsidRDefault="00000000" w:rsidRPr="00000000" w14:paraId="0000013A">
      <w:pPr>
        <w:spacing w:after="240" w:before="240" w:line="360" w:lineRule="auto"/>
        <w:ind w:right="5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Argumentación que guarda sustento en lo estipulado por el artículo 23 de la Ley de Transparencia y Acceso a la Información Pública del Estado de México y Municipios en su penúltimo párrafo, mismo que es del tenor literal siguiente:</w:t>
      </w:r>
    </w:p>
    <w:p w:rsidR="00000000" w:rsidDel="00000000" w:rsidP="00000000" w:rsidRDefault="00000000" w:rsidRPr="00000000" w14:paraId="0000013B">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13C">
      <w:pPr>
        <w:spacing w:after="120" w:before="120" w:lineRule="auto"/>
        <w:ind w:left="851" w:right="902"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000000" w:rsidDel="00000000" w:rsidP="00000000" w:rsidRDefault="00000000" w:rsidRPr="00000000" w14:paraId="0000013D">
      <w:pPr>
        <w:spacing w:after="280" w:before="28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el contenido del criterio de interpretación 01/19 emitido por el Instituto Nacional de Transparencia, Acceso a la Información, y Protección de Datos Personales, INAI, que lleva por rubro y texto los siguientes</w:t>
      </w:r>
    </w:p>
    <w:p w:rsidR="00000000" w:rsidDel="00000000" w:rsidP="00000000" w:rsidRDefault="00000000" w:rsidRPr="00000000" w14:paraId="0000013E">
      <w:pPr>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“Datos de identificación del representante o apoderado legal.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Naturaleza jurídica. </w:t>
      </w:r>
      <w:r w:rsidDel="00000000" w:rsidR="00000000" w:rsidRPr="00000000">
        <w:rPr>
          <w:rFonts w:ascii="Palatino Linotype" w:cs="Palatino Linotype" w:eastAsia="Palatino Linotype" w:hAnsi="Palatino Linotype"/>
          <w:i w:val="1"/>
          <w:sz w:val="22"/>
          <w:szCs w:val="22"/>
          <w:rtl w:val="0"/>
        </w:rPr>
        <w:t xml:space="preserve">El nombre, la firma y la rúbrica de una persona física, que actúe como representante o apoderado legal de un tercero que haya celebrado un acto jurídico, con algún sujeto obligado, </w:t>
      </w:r>
      <w:r w:rsidDel="00000000" w:rsidR="00000000" w:rsidRPr="00000000">
        <w:rPr>
          <w:rFonts w:ascii="Palatino Linotype" w:cs="Palatino Linotype" w:eastAsia="Palatino Linotype" w:hAnsi="Palatino Linotype"/>
          <w:b w:val="1"/>
          <w:i w:val="1"/>
          <w:sz w:val="22"/>
          <w:szCs w:val="22"/>
          <w:rtl w:val="0"/>
        </w:rPr>
        <w:t xml:space="preserve">es información pública, en razón de que tales datos fueron proporcionados con el objeto de expresar el consentimiento obligacional del tercero y otorgar validez a dicho instrumento jurídico</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3F">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Mientras que en el caso del </w:t>
      </w:r>
      <w:r w:rsidDel="00000000" w:rsidR="00000000" w:rsidRPr="00000000">
        <w:rPr>
          <w:rFonts w:ascii="Palatino Linotype" w:cs="Palatino Linotype" w:eastAsia="Palatino Linotype" w:hAnsi="Palatino Linotype"/>
          <w:b w:val="1"/>
          <w:sz w:val="22"/>
          <w:szCs w:val="22"/>
          <w:rtl w:val="0"/>
        </w:rPr>
        <w:t xml:space="preserve">folio fiscal</w:t>
      </w:r>
      <w:r w:rsidDel="00000000" w:rsidR="00000000" w:rsidRPr="00000000">
        <w:rPr>
          <w:rFonts w:ascii="Palatino Linotype" w:cs="Palatino Linotype" w:eastAsia="Palatino Linotype" w:hAnsi="Palatino Linotype"/>
          <w:sz w:val="22"/>
          <w:szCs w:val="22"/>
          <w:rtl w:val="0"/>
        </w:rPr>
        <w:t xml:space="preserve">, la </w:t>
      </w:r>
      <w:r w:rsidDel="00000000" w:rsidR="00000000" w:rsidRPr="00000000">
        <w:rPr>
          <w:rFonts w:ascii="Palatino Linotype" w:cs="Palatino Linotype" w:eastAsia="Palatino Linotype" w:hAnsi="Palatino Linotype"/>
          <w:b w:val="1"/>
          <w:sz w:val="22"/>
          <w:szCs w:val="22"/>
          <w:rtl w:val="0"/>
        </w:rPr>
        <w:t xml:space="preserve">cadena original, </w:t>
      </w:r>
      <w:r w:rsidDel="00000000" w:rsidR="00000000" w:rsidRPr="00000000">
        <w:rPr>
          <w:rFonts w:ascii="Palatino Linotype" w:cs="Palatino Linotype" w:eastAsia="Palatino Linotype" w:hAnsi="Palatino Linotype"/>
          <w:sz w:val="22"/>
          <w:szCs w:val="22"/>
          <w:rtl w:val="0"/>
        </w:rPr>
        <w:t xml:space="preserve">los</w:t>
      </w:r>
      <w:r w:rsidDel="00000000" w:rsidR="00000000" w:rsidRPr="00000000">
        <w:rPr>
          <w:rFonts w:ascii="Palatino Linotype" w:cs="Palatino Linotype" w:eastAsia="Palatino Linotype" w:hAnsi="Palatino Linotype"/>
          <w:b w:val="1"/>
          <w:sz w:val="22"/>
          <w:szCs w:val="22"/>
          <w:rtl w:val="0"/>
        </w:rPr>
        <w:t xml:space="preserve"> códigos bidimensionales o códigos QR,</w:t>
      </w:r>
      <w:r w:rsidDel="00000000" w:rsidR="00000000" w:rsidRPr="00000000">
        <w:rPr>
          <w:rFonts w:ascii="Palatino Linotype" w:cs="Palatino Linotype" w:eastAsia="Palatino Linotype" w:hAnsi="Palatino Linotype"/>
          <w:sz w:val="22"/>
          <w:szCs w:val="22"/>
          <w:rtl w:val="0"/>
        </w:rPr>
        <w:t xml:space="preserve"> y, en general, cualquier información de carácter fiscal,  pudiera contener un Comprobante Fiscal Digital por Internet, CFDI,  se debe hacer un análisis caso por caso, con la finalidad de determinar si de dicha información se pueden obtener datos personales que no sean susceptibles de conocimiento público, como por ejemplo la Clave Única del Registro de Población, que, de difundirse, pudieran hacer identificable a una persona, debiendo, de ser el caso,  clasificarse como información confidencial, de manera fundada y motivada en términos del artículo 143, fracción I de la Ley de Transparencia y Acceso a la Información Pública del Estado de México y Municipios, de lo contrario, no es procedente su clasificación.</w:t>
      </w:r>
    </w:p>
    <w:p w:rsidR="00000000" w:rsidDel="00000000" w:rsidP="00000000" w:rsidRDefault="00000000" w:rsidRPr="00000000" w14:paraId="00000140">
      <w:pPr>
        <w:pBdr>
          <w:top w:space="0" w:sz="0" w:val="nil"/>
          <w:left w:space="0" w:sz="0" w:val="nil"/>
          <w:bottom w:space="0" w:sz="0" w:val="nil"/>
          <w:right w:space="0" w:sz="0" w:val="nil"/>
          <w:between w:space="0" w:sz="0" w:val="nil"/>
        </w:pBdr>
        <w:spacing w:line="360" w:lineRule="auto"/>
        <w:ind w:right="-93"/>
        <w:jc w:val="both"/>
        <w:rPr>
          <w:sz w:val="22"/>
          <w:szCs w:val="22"/>
        </w:rPr>
      </w:pPr>
      <w:r w:rsidDel="00000000" w:rsidR="00000000" w:rsidRPr="00000000">
        <w:rPr>
          <w:rFonts w:ascii="Palatino Linotype" w:cs="Palatino Linotype" w:eastAsia="Palatino Linotype" w:hAnsi="Palatino Linotype"/>
          <w:sz w:val="22"/>
          <w:szCs w:val="22"/>
          <w:rtl w:val="0"/>
        </w:rPr>
        <w:t xml:space="preserve">En cuanto a la firma, la real Academia Española lo establece como “Rasgo o conjunto de rasgos, realizados siempre de la misma manera, que identifican a una persona y sustituyen a su nombre y apellidos para aprobar o dar autenticidad a un documento”, en ese sentido, se trata de un dato personal.</w:t>
      </w:r>
      <w:r w:rsidDel="00000000" w:rsidR="00000000" w:rsidRPr="00000000">
        <w:rPr>
          <w:rtl w:val="0"/>
        </w:rPr>
      </w:r>
    </w:p>
    <w:p w:rsidR="00000000" w:rsidDel="00000000" w:rsidP="00000000" w:rsidRDefault="00000000" w:rsidRPr="00000000" w14:paraId="00000141">
      <w:pPr>
        <w:spacing w:line="360" w:lineRule="auto"/>
        <w:jc w:val="both"/>
        <w:rPr>
          <w:sz w:val="22"/>
          <w:szCs w:val="22"/>
        </w:rPr>
      </w:pPr>
      <w:r w:rsidDel="00000000" w:rsidR="00000000" w:rsidRPr="00000000">
        <w:rPr>
          <w:rtl w:val="0"/>
        </w:rPr>
      </w:r>
    </w:p>
    <w:p w:rsidR="00000000" w:rsidDel="00000000" w:rsidP="00000000" w:rsidRDefault="00000000" w:rsidRPr="00000000" w14:paraId="00000142">
      <w:pPr>
        <w:pBdr>
          <w:top w:space="0" w:sz="0" w:val="nil"/>
          <w:left w:space="0" w:sz="0" w:val="nil"/>
          <w:bottom w:space="0" w:sz="0" w:val="nil"/>
          <w:right w:space="0" w:sz="0" w:val="nil"/>
          <w:between w:space="0" w:sz="0" w:val="nil"/>
        </w:pBdr>
        <w:spacing w:line="360" w:lineRule="auto"/>
        <w:ind w:right="-93"/>
        <w:jc w:val="both"/>
        <w:rPr>
          <w:sz w:val="22"/>
          <w:szCs w:val="22"/>
        </w:rPr>
      </w:pPr>
      <w:r w:rsidDel="00000000" w:rsidR="00000000" w:rsidRPr="00000000">
        <w:rPr>
          <w:rFonts w:ascii="Palatino Linotype" w:cs="Palatino Linotype" w:eastAsia="Palatino Linotype" w:hAnsi="Palatino Linotype"/>
          <w:sz w:val="22"/>
          <w:szCs w:val="22"/>
          <w:rtl w:val="0"/>
        </w:rPr>
        <w:t xml:space="preserve">Ahora bien, tratándose de servidores públicos el Criterio SO/002/2019, emitido por el Instituto Nacional de Transparencia, Acceso a la Información y Protección de Datos Personales, establece lo siguiente:</w:t>
      </w:r>
      <w:r w:rsidDel="00000000" w:rsidR="00000000" w:rsidRPr="00000000">
        <w:rPr>
          <w:rtl w:val="0"/>
        </w:rPr>
      </w:r>
    </w:p>
    <w:p w:rsidR="00000000" w:rsidDel="00000000" w:rsidP="00000000" w:rsidRDefault="00000000" w:rsidRPr="00000000" w14:paraId="00000143">
      <w:pPr>
        <w:spacing w:line="360" w:lineRule="auto"/>
        <w:jc w:val="both"/>
        <w:rPr>
          <w:sz w:val="22"/>
          <w:szCs w:val="22"/>
        </w:rPr>
      </w:pPr>
      <w:r w:rsidDel="00000000" w:rsidR="00000000" w:rsidRPr="00000000">
        <w:rPr>
          <w:rtl w:val="0"/>
        </w:rPr>
      </w:r>
    </w:p>
    <w:p w:rsidR="00000000" w:rsidDel="00000000" w:rsidP="00000000" w:rsidRDefault="00000000" w:rsidRPr="00000000" w14:paraId="00000144">
      <w:pPr>
        <w:pBdr>
          <w:top w:space="0" w:sz="0" w:val="nil"/>
          <w:left w:space="0" w:sz="0" w:val="nil"/>
          <w:bottom w:space="0" w:sz="0" w:val="nil"/>
          <w:right w:space="0" w:sz="0" w:val="nil"/>
          <w:between w:space="0" w:sz="0" w:val="nil"/>
        </w:pBdr>
        <w:spacing w:line="276" w:lineRule="auto"/>
        <w:ind w:left="851" w:right="82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Firma y rúbrica de servidores públicos</w:t>
      </w:r>
      <w:r w:rsidDel="00000000" w:rsidR="00000000" w:rsidRPr="00000000">
        <w:rPr>
          <w:rFonts w:ascii="Palatino Linotype" w:cs="Palatino Linotype" w:eastAsia="Palatino Linotype" w:hAnsi="Palatino Linotype"/>
          <w:i w:val="1"/>
          <w:sz w:val="22"/>
          <w:szCs w:val="22"/>
          <w:rtl w:val="0"/>
        </w:rPr>
        <w:t xml:space="preserve">. Si bien la firma y la rúbrica son datos personales confidenciales, cuando un servidor público emite un acto como autoridad, en ejercicio de las funciones que tiene conferidas, la firma o rúbrica mediante la cual se valida dicho acto es pública.”</w:t>
      </w:r>
      <w:r w:rsidDel="00000000" w:rsidR="00000000" w:rsidRPr="00000000">
        <w:rPr>
          <w:rtl w:val="0"/>
        </w:rPr>
      </w:r>
    </w:p>
    <w:p w:rsidR="00000000" w:rsidDel="00000000" w:rsidP="00000000" w:rsidRDefault="00000000" w:rsidRPr="00000000" w14:paraId="00000145">
      <w:pPr>
        <w:spacing w:line="360" w:lineRule="auto"/>
        <w:jc w:val="both"/>
        <w:rPr>
          <w:sz w:val="22"/>
          <w:szCs w:val="22"/>
        </w:rPr>
      </w:pPr>
      <w:r w:rsidDel="00000000" w:rsidR="00000000" w:rsidRPr="00000000">
        <w:rPr>
          <w:rtl w:val="0"/>
        </w:rPr>
      </w:r>
    </w:p>
    <w:p w:rsidR="00000000" w:rsidDel="00000000" w:rsidP="00000000" w:rsidRDefault="00000000" w:rsidRPr="00000000" w14:paraId="00000146">
      <w:pPr>
        <w:pBdr>
          <w:top w:space="0" w:sz="0" w:val="nil"/>
          <w:left w:space="0" w:sz="0" w:val="nil"/>
          <w:bottom w:space="0" w:sz="0" w:val="nil"/>
          <w:right w:space="0" w:sz="0" w:val="nil"/>
          <w:between w:space="0" w:sz="0" w:val="nil"/>
        </w:pBdr>
        <w:spacing w:line="360" w:lineRule="auto"/>
        <w:ind w:right="-93"/>
        <w:jc w:val="both"/>
        <w:rPr>
          <w:sz w:val="22"/>
          <w:szCs w:val="22"/>
        </w:rPr>
      </w:pPr>
      <w:r w:rsidDel="00000000" w:rsidR="00000000" w:rsidRPr="00000000">
        <w:rPr>
          <w:rFonts w:ascii="Palatino Linotype" w:cs="Palatino Linotype" w:eastAsia="Palatino Linotype" w:hAnsi="Palatino Linotype"/>
          <w:sz w:val="22"/>
          <w:szCs w:val="22"/>
          <w:rtl w:val="0"/>
        </w:rPr>
        <w:t xml:space="preserve">Como ya lo refiere el Criterio señalado, la firma es un dato personal confidencial y solo será pública para el caso de los servidores públicos en el ejercicio de sus funciones. </w:t>
      </w:r>
      <w:r w:rsidDel="00000000" w:rsidR="00000000" w:rsidRPr="00000000">
        <w:rPr>
          <w:rtl w:val="0"/>
        </w:rPr>
      </w:r>
    </w:p>
    <w:p w:rsidR="00000000" w:rsidDel="00000000" w:rsidP="00000000" w:rsidRDefault="00000000" w:rsidRPr="00000000" w14:paraId="00000147">
      <w:pPr>
        <w:pBdr>
          <w:top w:space="0" w:sz="0" w:val="nil"/>
          <w:left w:space="0" w:sz="0" w:val="nil"/>
          <w:bottom w:space="0" w:sz="0" w:val="nil"/>
          <w:right w:space="0" w:sz="0" w:val="nil"/>
          <w:between w:space="0" w:sz="0" w:val="nil"/>
        </w:pBdr>
        <w:spacing w:after="240" w:before="240" w:line="360" w:lineRule="auto"/>
        <w:ind w:right="50"/>
        <w:jc w:val="both"/>
        <w:rPr>
          <w:sz w:val="22"/>
          <w:szCs w:val="22"/>
        </w:rPr>
      </w:pPr>
      <w:r w:rsidDel="00000000" w:rsidR="00000000" w:rsidRPr="00000000">
        <w:rPr>
          <w:rFonts w:ascii="Palatino Linotype" w:cs="Palatino Linotype" w:eastAsia="Palatino Linotype" w:hAnsi="Palatino Linotype"/>
          <w:sz w:val="22"/>
          <w:szCs w:val="22"/>
          <w:rtl w:val="0"/>
        </w:rPr>
        <w:t xml:space="preserve">Respecto del </w:t>
      </w:r>
      <w:r w:rsidDel="00000000" w:rsidR="00000000" w:rsidRPr="00000000">
        <w:rPr>
          <w:rFonts w:ascii="Palatino Linotype" w:cs="Palatino Linotype" w:eastAsia="Palatino Linotype" w:hAnsi="Palatino Linotype"/>
          <w:b w:val="1"/>
          <w:sz w:val="22"/>
          <w:szCs w:val="22"/>
          <w:rtl w:val="0"/>
        </w:rPr>
        <w:t xml:space="preserve">nombre de las personas físicas</w:t>
      </w:r>
      <w:r w:rsidDel="00000000" w:rsidR="00000000" w:rsidRPr="00000000">
        <w:rPr>
          <w:rFonts w:ascii="Palatino Linotype" w:cs="Palatino Linotype" w:eastAsia="Palatino Linotype" w:hAnsi="Palatino Linotype"/>
          <w:sz w:val="22"/>
          <w:szCs w:val="22"/>
          <w:rtl w:val="0"/>
        </w:rPr>
        <w:t xml:space="preserve"> o los </w:t>
      </w:r>
      <w:r w:rsidDel="00000000" w:rsidR="00000000" w:rsidRPr="00000000">
        <w:rPr>
          <w:rFonts w:ascii="Palatino Linotype" w:cs="Palatino Linotype" w:eastAsia="Palatino Linotype" w:hAnsi="Palatino Linotype"/>
          <w:b w:val="1"/>
          <w:sz w:val="22"/>
          <w:szCs w:val="22"/>
          <w:rtl w:val="0"/>
        </w:rPr>
        <w:t xml:space="preserve">representantes legales de las personas morales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en su calidad de proveedores, contratistas o prestadores de servicios, y la firma y rúbrica de estos</w:t>
      </w:r>
      <w:r w:rsidDel="00000000" w:rsidR="00000000" w:rsidRPr="00000000">
        <w:rPr>
          <w:rFonts w:ascii="Palatino Linotype" w:cs="Palatino Linotype" w:eastAsia="Palatino Linotype" w:hAnsi="Palatino Linotype"/>
          <w:sz w:val="22"/>
          <w:szCs w:val="22"/>
          <w:rtl w:val="0"/>
        </w:rPr>
        <w:t xml:space="preserve">, que participen en algún  proceso de adjudicación en cualquiera de sus modalidades, los entes públicos tienen la obligación de difundir toda aquella información relativa a los montos y las personas a quienes entreguen, por cualquier motivo, recursos públicos, así como los informes que dichas personas entreguen sobre el uso y destino de dichos recursos, motivo por el cual los datos del representante legal de la persona moral que resultó favorecida con el procedimiento de licitación no conservan el carácter de confidencial y por tanto no deben ser testados.</w:t>
      </w:r>
      <w:r w:rsidDel="00000000" w:rsidR="00000000" w:rsidRPr="00000000">
        <w:rPr>
          <w:rtl w:val="0"/>
        </w:rPr>
      </w:r>
    </w:p>
    <w:p w:rsidR="00000000" w:rsidDel="00000000" w:rsidP="00000000" w:rsidRDefault="00000000" w:rsidRPr="00000000" w14:paraId="00000148">
      <w:pPr>
        <w:pBdr>
          <w:top w:space="0" w:sz="0" w:val="nil"/>
          <w:left w:space="0" w:sz="0" w:val="nil"/>
          <w:bottom w:space="0" w:sz="0" w:val="nil"/>
          <w:right w:space="0" w:sz="0" w:val="nil"/>
          <w:between w:space="0" w:sz="0" w:val="nil"/>
        </w:pBdr>
        <w:spacing w:after="240" w:before="240" w:line="360" w:lineRule="auto"/>
        <w:ind w:right="50"/>
        <w:jc w:val="both"/>
        <w:rPr>
          <w:sz w:val="22"/>
          <w:szCs w:val="22"/>
        </w:rPr>
      </w:pPr>
      <w:r w:rsidDel="00000000" w:rsidR="00000000" w:rsidRPr="00000000">
        <w:rPr>
          <w:rFonts w:ascii="Palatino Linotype" w:cs="Palatino Linotype" w:eastAsia="Palatino Linotype" w:hAnsi="Palatino Linotype"/>
          <w:sz w:val="22"/>
          <w:szCs w:val="22"/>
          <w:rtl w:val="0"/>
        </w:rPr>
        <w:t xml:space="preserve">Argumentación que guarda sustento en lo estipulado por el artículo 23 de la Ley de Transparencia y Acceso a la Información Pública del Estado de México y Municipios en su penúltimo párrafo, mismo que es del tenor literal siguiente:</w:t>
      </w:r>
      <w:r w:rsidDel="00000000" w:rsidR="00000000" w:rsidRPr="00000000">
        <w:rPr>
          <w:rtl w:val="0"/>
        </w:rPr>
      </w:r>
    </w:p>
    <w:p w:rsidR="00000000" w:rsidDel="00000000" w:rsidP="00000000" w:rsidRDefault="00000000" w:rsidRPr="00000000" w14:paraId="00000149">
      <w:pPr>
        <w:pBdr>
          <w:top w:space="0" w:sz="0" w:val="nil"/>
          <w:left w:space="0" w:sz="0" w:val="nil"/>
          <w:bottom w:space="0" w:sz="0" w:val="nil"/>
          <w:right w:space="0" w:sz="0" w:val="nil"/>
          <w:between w:space="0" w:sz="0" w:val="nil"/>
        </w:pBdr>
        <w:spacing w:after="120" w:before="120" w:line="276" w:lineRule="auto"/>
        <w:ind w:left="851"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23.</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tl w:val="0"/>
        </w:rPr>
      </w:r>
    </w:p>
    <w:p w:rsidR="00000000" w:rsidDel="00000000" w:rsidP="00000000" w:rsidRDefault="00000000" w:rsidRPr="00000000" w14:paraId="0000014A">
      <w:pPr>
        <w:pBdr>
          <w:top w:space="0" w:sz="0" w:val="nil"/>
          <w:left w:space="0" w:sz="0" w:val="nil"/>
          <w:bottom w:space="0" w:sz="0" w:val="nil"/>
          <w:right w:space="0" w:sz="0" w:val="nil"/>
          <w:between w:space="0" w:sz="0" w:val="nil"/>
        </w:pBdr>
        <w:spacing w:after="120" w:before="120" w:line="276" w:lineRule="auto"/>
        <w:ind w:left="851" w:right="902"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Del="00000000" w:rsidR="00000000" w:rsidRPr="00000000">
        <w:rPr>
          <w:rtl w:val="0"/>
        </w:rPr>
      </w:r>
    </w:p>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280" w:before="280"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Asimismo, resulta aplicable el contenido del criterio de interpretación 01/19 emitido por el Instituto Nacional de Transparencia, Acceso a la Información, y Protección de Datos Personales, INAI, que lleva por rubro y texto los siguientes</w:t>
      </w:r>
      <w:r w:rsidDel="00000000" w:rsidR="00000000" w:rsidRPr="00000000">
        <w:rPr>
          <w:rtl w:val="0"/>
        </w:rPr>
      </w:r>
    </w:p>
    <w:p w:rsidR="00000000" w:rsidDel="00000000" w:rsidP="00000000" w:rsidRDefault="00000000" w:rsidRPr="00000000" w14:paraId="0000014C">
      <w:pPr>
        <w:pBdr>
          <w:top w:space="0" w:sz="0" w:val="nil"/>
          <w:left w:space="0" w:sz="0" w:val="nil"/>
          <w:bottom w:space="0" w:sz="0" w:val="nil"/>
          <w:right w:space="0" w:sz="0" w:val="nil"/>
          <w:between w:space="0" w:sz="0" w:val="nil"/>
        </w:pBdr>
        <w:spacing w:line="276" w:lineRule="auto"/>
        <w:ind w:left="851" w:right="900"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“Datos de identificación del representante o apoderado legal.</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Naturaleza jurídica. El nombre, la </w:t>
      </w:r>
      <w:r w:rsidDel="00000000" w:rsidR="00000000" w:rsidRPr="00000000">
        <w:rPr>
          <w:rFonts w:ascii="Palatino Linotype" w:cs="Palatino Linotype" w:eastAsia="Palatino Linotype" w:hAnsi="Palatino Linotype"/>
          <w:b w:val="1"/>
          <w:i w:val="1"/>
          <w:sz w:val="22"/>
          <w:szCs w:val="22"/>
          <w:u w:val="single"/>
          <w:rtl w:val="0"/>
        </w:rPr>
        <w:t xml:space="preserve">firma y la rúbrica</w:t>
      </w:r>
      <w:r w:rsidDel="00000000" w:rsidR="00000000" w:rsidRPr="00000000">
        <w:rPr>
          <w:rFonts w:ascii="Palatino Linotype" w:cs="Palatino Linotype" w:eastAsia="Palatino Linotype" w:hAnsi="Palatino Linotype"/>
          <w:i w:val="1"/>
          <w:sz w:val="22"/>
          <w:szCs w:val="22"/>
          <w:rtl w:val="0"/>
        </w:rPr>
        <w:t xml:space="preserve"> de una persona física, que actúe como representante o apoderado legal de un tercero que haya celebrado un acto jurídico, con algún sujeto obligado, </w:t>
      </w:r>
      <w:r w:rsidDel="00000000" w:rsidR="00000000" w:rsidRPr="00000000">
        <w:rPr>
          <w:rFonts w:ascii="Palatino Linotype" w:cs="Palatino Linotype" w:eastAsia="Palatino Linotype" w:hAnsi="Palatino Linotype"/>
          <w:b w:val="1"/>
          <w:i w:val="1"/>
          <w:sz w:val="22"/>
          <w:szCs w:val="22"/>
          <w:u w:val="single"/>
          <w:rtl w:val="0"/>
        </w:rPr>
        <w:t xml:space="preserve">es información pública</w:t>
      </w:r>
      <w:r w:rsidDel="00000000" w:rsidR="00000000" w:rsidRPr="00000000">
        <w:rPr>
          <w:rFonts w:ascii="Palatino Linotype" w:cs="Palatino Linotype" w:eastAsia="Palatino Linotype" w:hAnsi="Palatino Linotype"/>
          <w:b w:val="1"/>
          <w:i w:val="1"/>
          <w:sz w:val="22"/>
          <w:szCs w:val="22"/>
          <w:rtl w:val="0"/>
        </w:rPr>
        <w:t xml:space="preserve">, en razón de que tales datos fueron proporcionados con el objeto de expresar el consentimiento obligacional del tercero y otorgar validez a dicho instrumento jurídico</w:t>
      </w: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4D">
      <w:pPr>
        <w:spacing w:line="360" w:lineRule="auto"/>
        <w:jc w:val="both"/>
        <w:rPr>
          <w:sz w:val="22"/>
          <w:szCs w:val="22"/>
        </w:rPr>
      </w:pP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Por cuanto hace al número de cuenta bancaria de los particulares debe ser clasificado como confidencial con fundamento en las fracciones I y II del artículo 143 de la Ley de la Materia de la Entidad; en razón de que, con su difusión se estaría poniendo en riesgo la seguridad de su titular.</w:t>
      </w:r>
      <w:r w:rsidDel="00000000" w:rsidR="00000000" w:rsidRPr="00000000">
        <w:rPr>
          <w:rtl w:val="0"/>
        </w:rPr>
      </w:r>
    </w:p>
    <w:p w:rsidR="00000000" w:rsidDel="00000000" w:rsidP="00000000" w:rsidRDefault="00000000" w:rsidRPr="00000000" w14:paraId="0000014F">
      <w:pPr>
        <w:spacing w:line="360" w:lineRule="auto"/>
        <w:jc w:val="both"/>
        <w:rPr>
          <w:sz w:val="22"/>
          <w:szCs w:val="22"/>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spacing w:line="360" w:lineRule="auto"/>
        <w:ind w:right="51"/>
        <w:jc w:val="both"/>
        <w:rPr>
          <w:sz w:val="22"/>
          <w:szCs w:val="22"/>
        </w:rPr>
      </w:pPr>
      <w:r w:rsidDel="00000000" w:rsidR="00000000" w:rsidRPr="00000000">
        <w:rPr>
          <w:rFonts w:ascii="Palatino Linotype" w:cs="Palatino Linotype" w:eastAsia="Palatino Linotype" w:hAnsi="Palatino Linotype"/>
          <w:sz w:val="22"/>
          <w:szCs w:val="22"/>
          <w:rtl w:val="0"/>
        </w:rPr>
        <w:t xml:space="preserve">Además de que, la publicidad de los números de cuenta bancaria de los particulares en nada contribuye a la rendición de cuentas, sino por el contrario, dar a conocer los números de las cuentas bancarias hace vulnerable a las personas físicas, al abrir la posibilidad de que terceros que cuenten con las posibilidades tecnológicas y/o económicas puedan realizar actos ilícitos mediante operaciones cibernéticas; en esa virtud, este Instituto determina que dicha información no puede ser del dominio público, toda vez que se podría dar un uso inadecuado a la misma o cometer algún ilícito o fraude en contra del patrimonio de los particulares. </w:t>
      </w:r>
      <w:r w:rsidDel="00000000" w:rsidR="00000000" w:rsidRPr="00000000">
        <w:rPr>
          <w:rtl w:val="0"/>
        </w:rPr>
      </w:r>
    </w:p>
    <w:p w:rsidR="00000000" w:rsidDel="00000000" w:rsidP="00000000" w:rsidRDefault="00000000" w:rsidRPr="00000000" w14:paraId="00000151">
      <w:pPr>
        <w:spacing w:line="360" w:lineRule="auto"/>
        <w:jc w:val="both"/>
        <w:rPr>
          <w:sz w:val="22"/>
          <w:szCs w:val="22"/>
        </w:rPr>
      </w:pPr>
      <w:r w:rsidDel="00000000" w:rsidR="00000000" w:rsidRPr="00000000">
        <w:rPr>
          <w:rtl w:val="0"/>
        </w:rPr>
      </w:r>
    </w:p>
    <w:p w:rsidR="00000000" w:rsidDel="00000000" w:rsidP="00000000" w:rsidRDefault="00000000" w:rsidRPr="00000000" w14:paraId="00000152">
      <w:pPr>
        <w:pBdr>
          <w:top w:space="0" w:sz="0" w:val="nil"/>
          <w:left w:space="0" w:sz="0" w:val="nil"/>
          <w:bottom w:space="0" w:sz="0" w:val="nil"/>
          <w:right w:space="0" w:sz="0" w:val="nil"/>
          <w:between w:space="0" w:sz="0" w:val="nil"/>
        </w:pBdr>
        <w:spacing w:line="360" w:lineRule="auto"/>
        <w:ind w:right="50"/>
        <w:jc w:val="both"/>
        <w:rPr>
          <w:sz w:val="22"/>
          <w:szCs w:val="22"/>
        </w:rPr>
      </w:pPr>
      <w:r w:rsidDel="00000000" w:rsidR="00000000" w:rsidRPr="00000000">
        <w:rPr>
          <w:rFonts w:ascii="Palatino Linotype" w:cs="Palatino Linotype" w:eastAsia="Palatino Linotype" w:hAnsi="Palatino Linotype"/>
          <w:sz w:val="22"/>
          <w:szCs w:val="22"/>
          <w:rtl w:val="0"/>
        </w:rPr>
        <w:t xml:space="preserve">Lo anterior encuentra sustento en el criterio 10/17 emitido por el Instituto Nacional de Transparencia y Acceso a la Información Pública del Estado de México y Municipios, que a la letra dicen:</w:t>
      </w:r>
      <w:r w:rsidDel="00000000" w:rsidR="00000000" w:rsidRPr="00000000">
        <w:rPr>
          <w:rtl w:val="0"/>
        </w:rPr>
      </w:r>
    </w:p>
    <w:p w:rsidR="00000000" w:rsidDel="00000000" w:rsidP="00000000" w:rsidRDefault="00000000" w:rsidRPr="00000000" w14:paraId="00000153">
      <w:pPr>
        <w:spacing w:line="360" w:lineRule="auto"/>
        <w:jc w:val="both"/>
        <w:rPr>
          <w:sz w:val="22"/>
          <w:szCs w:val="22"/>
        </w:rPr>
      </w:pPr>
      <w:r w:rsidDel="00000000" w:rsidR="00000000" w:rsidRPr="00000000">
        <w:rPr>
          <w:rtl w:val="0"/>
        </w:rPr>
      </w:r>
    </w:p>
    <w:p w:rsidR="00000000" w:rsidDel="00000000" w:rsidP="00000000" w:rsidRDefault="00000000" w:rsidRPr="00000000" w14:paraId="00000154">
      <w:pPr>
        <w:pBdr>
          <w:top w:space="0" w:sz="0" w:val="nil"/>
          <w:left w:space="0" w:sz="0" w:val="nil"/>
          <w:bottom w:space="0" w:sz="0" w:val="nil"/>
          <w:right w:space="0" w:sz="0" w:val="nil"/>
          <w:between w:space="0" w:sz="0" w:val="nil"/>
        </w:pBdr>
        <w:spacing w:line="276" w:lineRule="auto"/>
        <w:ind w:left="567" w:right="900"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personas físicas y morales privadas.</w:t>
      </w:r>
      <w:r w:rsidDel="00000000" w:rsidR="00000000" w:rsidRPr="00000000">
        <w:rPr>
          <w:rFonts w:ascii="Palatino Linotype" w:cs="Palatino Linotype" w:eastAsia="Palatino Linotype" w:hAnsi="Palatino Linotype"/>
          <w:i w:val="1"/>
          <w:sz w:val="22"/>
          <w:szCs w:val="22"/>
          <w:rtl w:val="0"/>
        </w:rPr>
        <w:t xml:space="preserve">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r w:rsidDel="00000000" w:rsidR="00000000" w:rsidRPr="00000000">
        <w:rPr>
          <w:rtl w:val="0"/>
        </w:rPr>
      </w:r>
    </w:p>
    <w:p w:rsidR="00000000" w:rsidDel="00000000" w:rsidP="00000000" w:rsidRDefault="00000000" w:rsidRPr="00000000" w14:paraId="00000155">
      <w:pPr>
        <w:spacing w:line="276" w:lineRule="auto"/>
        <w:ind w:left="567" w:right="900" w:firstLine="0"/>
        <w:jc w:val="both"/>
        <w:rPr>
          <w:sz w:val="22"/>
          <w:szCs w:val="22"/>
        </w:rPr>
      </w:pPr>
      <w:r w:rsidDel="00000000" w:rsidR="00000000" w:rsidRPr="00000000">
        <w:rPr>
          <w:rtl w:val="0"/>
        </w:rPr>
      </w:r>
    </w:p>
    <w:p w:rsidR="00000000" w:rsidDel="00000000" w:rsidP="00000000" w:rsidRDefault="00000000" w:rsidRPr="00000000" w14:paraId="00000156">
      <w:pPr>
        <w:pBdr>
          <w:top w:space="0" w:sz="0" w:val="nil"/>
          <w:left w:space="0" w:sz="0" w:val="nil"/>
          <w:bottom w:space="0" w:sz="0" w:val="nil"/>
          <w:right w:space="0" w:sz="0" w:val="nil"/>
          <w:between w:space="0" w:sz="0" w:val="nil"/>
        </w:pBdr>
        <w:spacing w:line="360" w:lineRule="auto"/>
        <w:ind w:right="50"/>
        <w:jc w:val="both"/>
        <w:rPr>
          <w:sz w:val="22"/>
          <w:szCs w:val="22"/>
        </w:rPr>
      </w:pPr>
      <w:r w:rsidDel="00000000" w:rsidR="00000000" w:rsidRPr="00000000">
        <w:rPr>
          <w:rFonts w:ascii="Palatino Linotype" w:cs="Palatino Linotype" w:eastAsia="Palatino Linotype" w:hAnsi="Palatino Linotype"/>
          <w:sz w:val="22"/>
          <w:szCs w:val="22"/>
          <w:rtl w:val="0"/>
        </w:rPr>
        <w:t xml:space="preserve">Ahora bien, por cuanto hace a las cuentas bancarias de los Sujetos obligados, dicha información no puede considerarse como confidencial, pues la difusión de dichas cuentas o claves interbancarias, favorecen a la rendición de cuentas; ello tiene sustento en el criterio 11/17, emitido por el Instituto Nacional de Transparencia y Acceso a la Información Pública del Estado de México y Municipios, el cual para mayor referencia se inserta a continuación:</w:t>
      </w:r>
      <w:r w:rsidDel="00000000" w:rsidR="00000000" w:rsidRPr="00000000">
        <w:rPr>
          <w:rtl w:val="0"/>
        </w:rPr>
      </w:r>
    </w:p>
    <w:p w:rsidR="00000000" w:rsidDel="00000000" w:rsidP="00000000" w:rsidRDefault="00000000" w:rsidRPr="00000000" w14:paraId="00000157">
      <w:pPr>
        <w:spacing w:line="360" w:lineRule="auto"/>
        <w:jc w:val="both"/>
        <w:rPr>
          <w:sz w:val="22"/>
          <w:szCs w:val="22"/>
        </w:rPr>
      </w:pPr>
      <w:r w:rsidDel="00000000" w:rsidR="00000000" w:rsidRPr="00000000">
        <w:rPr>
          <w:rtl w:val="0"/>
        </w:rPr>
      </w:r>
    </w:p>
    <w:p w:rsidR="00000000" w:rsidDel="00000000" w:rsidP="00000000" w:rsidRDefault="00000000" w:rsidRPr="00000000" w14:paraId="00000158">
      <w:pPr>
        <w:pBdr>
          <w:top w:space="0" w:sz="0" w:val="nil"/>
          <w:left w:space="0" w:sz="0" w:val="nil"/>
          <w:bottom w:space="0" w:sz="0" w:val="nil"/>
          <w:right w:space="0" w:sz="0" w:val="nil"/>
          <w:between w:space="0" w:sz="0" w:val="nil"/>
        </w:pBdr>
        <w:spacing w:line="276" w:lineRule="auto"/>
        <w:ind w:left="851" w:right="1134"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Cuentas bancarias y/o CLABE interbancaria de sujetos obligados que reciben y/o transfieren recursos públicos, son información pública.</w:t>
      </w:r>
      <w:r w:rsidDel="00000000" w:rsidR="00000000" w:rsidRPr="00000000">
        <w:rPr>
          <w:rFonts w:ascii="Palatino Linotype" w:cs="Palatino Linotype" w:eastAsia="Palatino Linotype" w:hAnsi="Palatino Linotype"/>
          <w:i w:val="1"/>
          <w:sz w:val="22"/>
          <w:szCs w:val="22"/>
          <w:rtl w:val="0"/>
        </w:rPr>
        <w:t xml:space="preserve"> La difusión de las cuentas bancarias y claves interbancarias pertenecientes a un sujeto obligado favorece la rendición de cuentas al transparentar la forma en que se administran los recursos públicos, razón por la cual no pueden considerarse como información clasificada. “</w:t>
      </w:r>
      <w:r w:rsidDel="00000000" w:rsidR="00000000" w:rsidRPr="00000000">
        <w:rPr>
          <w:rtl w:val="0"/>
        </w:rPr>
      </w:r>
    </w:p>
    <w:p w:rsidR="00000000" w:rsidDel="00000000" w:rsidP="00000000" w:rsidRDefault="00000000" w:rsidRPr="00000000" w14:paraId="00000159">
      <w:pPr>
        <w:pBdr>
          <w:top w:space="0" w:sz="0" w:val="nil"/>
          <w:left w:space="0" w:sz="0" w:val="nil"/>
          <w:bottom w:space="0" w:sz="0" w:val="nil"/>
          <w:right w:space="0" w:sz="0" w:val="nil"/>
          <w:between w:space="0" w:sz="0" w:val="nil"/>
        </w:pBdr>
        <w:spacing w:after="240" w:before="240" w:line="360" w:lineRule="auto"/>
        <w:ind w:right="50"/>
        <w:jc w:val="both"/>
        <w:rPr>
          <w:sz w:val="22"/>
          <w:szCs w:val="22"/>
        </w:rPr>
      </w:pPr>
      <w:r w:rsidDel="00000000" w:rsidR="00000000" w:rsidRPr="00000000">
        <w:rPr>
          <w:rFonts w:ascii="Palatino Linotype" w:cs="Palatino Linotype" w:eastAsia="Palatino Linotype" w:hAnsi="Palatino Linotype"/>
          <w:sz w:val="22"/>
          <w:szCs w:val="22"/>
          <w:rtl w:val="0"/>
        </w:rPr>
        <w:t xml:space="preserve">Ello se debe a que, del ejercicio de ponderación entre el derecho a la protección de datos personales con el derecho de acceso a la información pública, es de mayor trascendencia el que cualquier persona pueda conocer en qué se gastan los recursos públicos, puesto que se trata de erogaciones que realiza un órgano del Estado con base en los recursos que encuentran su origen en mayor medida en las contribuciones aportados por los gobernados, por lo que debe transparentarse su ejercicio.</w:t>
      </w:r>
      <w:r w:rsidDel="00000000" w:rsidR="00000000" w:rsidRPr="00000000">
        <w:rPr>
          <w:rtl w:val="0"/>
        </w:rPr>
      </w:r>
    </w:p>
    <w:p w:rsidR="00000000" w:rsidDel="00000000" w:rsidP="00000000" w:rsidRDefault="00000000" w:rsidRPr="00000000" w14:paraId="0000015A">
      <w:pPr>
        <w:pBdr>
          <w:top w:space="0" w:sz="0" w:val="nil"/>
          <w:left w:space="0" w:sz="0" w:val="nil"/>
          <w:bottom w:space="0" w:sz="0" w:val="nil"/>
          <w:right w:space="0" w:sz="0" w:val="nil"/>
          <w:between w:space="0" w:sz="0" w:val="nil"/>
        </w:pBdr>
        <w:spacing w:after="240" w:before="240" w:line="360" w:lineRule="auto"/>
        <w:ind w:right="50"/>
        <w:jc w:val="both"/>
        <w:rPr>
          <w:sz w:val="22"/>
          <w:szCs w:val="22"/>
        </w:rPr>
      </w:pPr>
      <w:r w:rsidDel="00000000" w:rsidR="00000000" w:rsidRPr="00000000">
        <w:rPr>
          <w:rFonts w:ascii="Palatino Linotype" w:cs="Palatino Linotype" w:eastAsia="Palatino Linotype" w:hAnsi="Palatino Linotype"/>
          <w:sz w:val="22"/>
          <w:szCs w:val="22"/>
          <w:rtl w:val="0"/>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presupuesto.</w:t>
      </w:r>
      <w:r w:rsidDel="00000000" w:rsidR="00000000" w:rsidRPr="00000000">
        <w:rPr>
          <w:rtl w:val="0"/>
        </w:rPr>
      </w:r>
    </w:p>
    <w:p w:rsidR="00000000" w:rsidDel="00000000" w:rsidP="00000000" w:rsidRDefault="00000000" w:rsidRPr="00000000" w14:paraId="0000015B">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r w:rsidDel="00000000" w:rsidR="00000000" w:rsidRPr="00000000">
        <w:rPr>
          <w:rtl w:val="0"/>
        </w:rPr>
      </w:r>
    </w:p>
    <w:p w:rsidR="00000000" w:rsidDel="00000000" w:rsidP="00000000" w:rsidRDefault="00000000" w:rsidRPr="00000000" w14:paraId="0000015C">
      <w:pPr>
        <w:spacing w:line="360" w:lineRule="auto"/>
        <w:jc w:val="both"/>
        <w:rPr>
          <w:sz w:val="22"/>
          <w:szCs w:val="22"/>
        </w:rPr>
      </w:pPr>
      <w:r w:rsidDel="00000000" w:rsidR="00000000" w:rsidRPr="00000000">
        <w:rPr>
          <w:rtl w:val="0"/>
        </w:rPr>
      </w:r>
    </w:p>
    <w:p w:rsidR="00000000" w:rsidDel="00000000" w:rsidP="00000000" w:rsidRDefault="00000000" w:rsidRPr="00000000" w14:paraId="0000015D">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15E">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Segundo.-</w:t>
      </w:r>
      <w:r w:rsidDel="00000000" w:rsidR="00000000" w:rsidRPr="00000000">
        <w:rPr>
          <w:rFonts w:ascii="Palatino Linotype" w:cs="Palatino Linotype" w:eastAsia="Palatino Linotype" w:hAnsi="Palatino Linotype"/>
          <w:i w:val="1"/>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15F">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XVIII.</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Versión pública:</w:t>
      </w:r>
      <w:r w:rsidDel="00000000" w:rsidR="00000000" w:rsidRPr="00000000">
        <w:rPr>
          <w:rFonts w:ascii="Palatino Linotype" w:cs="Palatino Linotype" w:eastAsia="Palatino Linotype" w:hAnsi="Palatino Linotype"/>
          <w:i w:val="1"/>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sz w:val="22"/>
          <w:szCs w:val="22"/>
          <w:u w:val="single"/>
          <w:rtl w:val="0"/>
        </w:rPr>
        <w:t xml:space="preserve">fundando y motivando la</w:t>
      </w:r>
      <w:r w:rsidDel="00000000" w:rsidR="00000000" w:rsidRPr="00000000">
        <w:rPr>
          <w:rFonts w:ascii="Palatino Linotype" w:cs="Palatino Linotype" w:eastAsia="Palatino Linotype" w:hAnsi="Palatino Linotype"/>
          <w:i w:val="1"/>
          <w:sz w:val="22"/>
          <w:szCs w:val="22"/>
          <w:rtl w:val="0"/>
        </w:rPr>
        <w:t xml:space="preserve"> reserva o </w:t>
      </w:r>
      <w:r w:rsidDel="00000000" w:rsidR="00000000" w:rsidRPr="00000000">
        <w:rPr>
          <w:rFonts w:ascii="Palatino Linotype" w:cs="Palatino Linotype" w:eastAsia="Palatino Linotype" w:hAnsi="Palatino Linotype"/>
          <w:b w:val="1"/>
          <w:i w:val="1"/>
          <w:sz w:val="22"/>
          <w:szCs w:val="22"/>
          <w:u w:val="single"/>
          <w:rtl w:val="0"/>
        </w:rPr>
        <w:t xml:space="preserve">confidencialidad</w:t>
      </w:r>
      <w:r w:rsidDel="00000000" w:rsidR="00000000" w:rsidRPr="00000000">
        <w:rPr>
          <w:rFonts w:ascii="Palatino Linotype" w:cs="Palatino Linotype" w:eastAsia="Palatino Linotype" w:hAnsi="Palatino Linotype"/>
          <w:i w:val="1"/>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160">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Cuarto.</w:t>
      </w:r>
      <w:r w:rsidDel="00000000" w:rsidR="00000000" w:rsidRPr="00000000">
        <w:rPr>
          <w:rFonts w:ascii="Palatino Linotype" w:cs="Palatino Linotype" w:eastAsia="Palatino Linotype" w:hAnsi="Palatino Linotype"/>
          <w:i w:val="1"/>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161">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162">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Quinto.</w:t>
      </w:r>
      <w:r w:rsidDel="00000000" w:rsidR="00000000" w:rsidRPr="00000000">
        <w:rPr>
          <w:rFonts w:ascii="Palatino Linotype" w:cs="Palatino Linotype" w:eastAsia="Palatino Linotype" w:hAnsi="Palatino Linotype"/>
          <w:i w:val="1"/>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163">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w:t>
      </w:r>
      <w:r w:rsidDel="00000000" w:rsidR="00000000" w:rsidRPr="00000000">
        <w:rPr>
          <w:rtl w:val="0"/>
        </w:rPr>
      </w:r>
    </w:p>
    <w:p w:rsidR="00000000" w:rsidDel="00000000" w:rsidP="00000000" w:rsidRDefault="00000000" w:rsidRPr="00000000" w14:paraId="00000164">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Séptimo.</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165">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166">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del Comité de Transparencia, el órgano garante </w:t>
      </w:r>
      <w:r w:rsidDel="00000000" w:rsidR="00000000" w:rsidRPr="00000000">
        <w:rPr>
          <w:rtl w:val="0"/>
        </w:rPr>
      </w:r>
    </w:p>
    <w:p w:rsidR="00000000" w:rsidDel="00000000" w:rsidP="00000000" w:rsidRDefault="00000000" w:rsidRPr="00000000" w14:paraId="00000167">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168">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169">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16A">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Octavo.</w:t>
      </w:r>
      <w:r w:rsidDel="00000000" w:rsidR="00000000" w:rsidRPr="00000000">
        <w:rPr>
          <w:rFonts w:ascii="Palatino Linotype" w:cs="Palatino Linotype" w:eastAsia="Palatino Linotype" w:hAnsi="Palatino Linotype"/>
          <w:i w:val="1"/>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16B">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16C">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r w:rsidDel="00000000" w:rsidR="00000000" w:rsidRPr="00000000">
        <w:rPr>
          <w:rtl w:val="0"/>
        </w:rPr>
      </w:r>
    </w:p>
    <w:p w:rsidR="00000000" w:rsidDel="00000000" w:rsidP="00000000" w:rsidRDefault="00000000" w:rsidRPr="00000000" w14:paraId="0000016D">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Noveno.</w:t>
      </w:r>
      <w:r w:rsidDel="00000000" w:rsidR="00000000" w:rsidRPr="00000000">
        <w:rPr>
          <w:rFonts w:ascii="Palatino Linotype" w:cs="Palatino Linotype" w:eastAsia="Palatino Linotype" w:hAnsi="Palatino Linotype"/>
          <w:i w:val="1"/>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16E">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w:t>
      </w:r>
      <w:r w:rsidDel="00000000" w:rsidR="00000000" w:rsidRPr="00000000">
        <w:rPr>
          <w:rFonts w:ascii="Palatino Linotype" w:cs="Palatino Linotype" w:eastAsia="Palatino Linotype" w:hAnsi="Palatino Linotype"/>
          <w:i w:val="1"/>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16F">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170">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Décimo primero.</w:t>
      </w:r>
      <w:r w:rsidDel="00000000" w:rsidR="00000000" w:rsidRPr="00000000">
        <w:rPr>
          <w:rFonts w:ascii="Palatino Linotype" w:cs="Palatino Linotype" w:eastAsia="Palatino Linotype" w:hAnsi="Palatino Linotype"/>
          <w:i w:val="1"/>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Del="00000000" w:rsidR="00000000" w:rsidRPr="00000000">
        <w:rPr>
          <w:rtl w:val="0"/>
        </w:rPr>
      </w:r>
    </w:p>
    <w:p w:rsidR="00000000" w:rsidDel="00000000" w:rsidP="00000000" w:rsidRDefault="00000000" w:rsidRPr="00000000" w14:paraId="00000171">
      <w:pPr>
        <w:spacing w:line="276" w:lineRule="auto"/>
        <w:jc w:val="both"/>
        <w:rPr>
          <w:sz w:val="22"/>
          <w:szCs w:val="22"/>
        </w:rPr>
      </w:pPr>
      <w:r w:rsidDel="00000000" w:rsidR="00000000" w:rsidRPr="00000000">
        <w:rPr>
          <w:rtl w:val="0"/>
        </w:rPr>
      </w:r>
    </w:p>
    <w:p w:rsidR="00000000" w:rsidDel="00000000" w:rsidP="00000000" w:rsidRDefault="00000000" w:rsidRPr="00000000" w14:paraId="00000172">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73">
      <w:pPr>
        <w:pBdr>
          <w:top w:space="0" w:sz="0" w:val="nil"/>
          <w:left w:space="0" w:sz="0" w:val="nil"/>
          <w:bottom w:space="0" w:sz="0" w:val="nil"/>
          <w:right w:space="0" w:sz="0" w:val="nil"/>
          <w:between w:space="0" w:sz="0" w:val="nil"/>
        </w:pBdr>
        <w:spacing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CAPÍTULO VIII</w:t>
      </w:r>
      <w:r w:rsidDel="00000000" w:rsidR="00000000" w:rsidRPr="00000000">
        <w:rPr>
          <w:rtl w:val="0"/>
        </w:rPr>
      </w:r>
    </w:p>
    <w:p w:rsidR="00000000" w:rsidDel="00000000" w:rsidP="00000000" w:rsidRDefault="00000000" w:rsidRPr="00000000" w14:paraId="00000174">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DE LOS ELEMENTOS PARA LA CLASIFICACIÓN</w:t>
      </w:r>
      <w:r w:rsidDel="00000000" w:rsidR="00000000" w:rsidRPr="00000000">
        <w:rPr>
          <w:rtl w:val="0"/>
        </w:rPr>
      </w:r>
    </w:p>
    <w:p w:rsidR="00000000" w:rsidDel="00000000" w:rsidP="00000000" w:rsidRDefault="00000000" w:rsidRPr="00000000" w14:paraId="00000175">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w:t>
      </w:r>
      <w:r w:rsidDel="00000000" w:rsidR="00000000" w:rsidRPr="00000000">
        <w:rPr>
          <w:rFonts w:ascii="Palatino Linotype" w:cs="Palatino Linotype" w:eastAsia="Palatino Linotype" w:hAnsi="Palatino Linotype"/>
          <w:i w:val="1"/>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r w:rsidDel="00000000" w:rsidR="00000000" w:rsidRPr="00000000">
        <w:rPr>
          <w:rtl w:val="0"/>
        </w:rPr>
      </w:r>
    </w:p>
    <w:p w:rsidR="00000000" w:rsidDel="00000000" w:rsidP="00000000" w:rsidRDefault="00000000" w:rsidRPr="00000000" w14:paraId="00000176">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primero</w:t>
      </w:r>
      <w:r w:rsidDel="00000000" w:rsidR="00000000" w:rsidRPr="00000000">
        <w:rPr>
          <w:rFonts w:ascii="Palatino Linotype" w:cs="Palatino Linotype" w:eastAsia="Palatino Linotype" w:hAnsi="Palatino Linotype"/>
          <w:i w:val="1"/>
          <w:sz w:val="22"/>
          <w:szCs w:val="22"/>
          <w:rtl w:val="0"/>
        </w:rPr>
        <w:t xml:space="preserve">. Toda acta del Comité de Transparencia deberá contener:</w:t>
      </w:r>
      <w:r w:rsidDel="00000000" w:rsidR="00000000" w:rsidRPr="00000000">
        <w:rPr>
          <w:rtl w:val="0"/>
        </w:rPr>
      </w:r>
    </w:p>
    <w:p w:rsidR="00000000" w:rsidDel="00000000" w:rsidP="00000000" w:rsidRDefault="00000000" w:rsidRPr="00000000" w14:paraId="00000177">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 El número de sesión y fecha; </w:t>
      </w:r>
      <w:r w:rsidDel="00000000" w:rsidR="00000000" w:rsidRPr="00000000">
        <w:rPr>
          <w:rtl w:val="0"/>
        </w:rPr>
      </w:r>
    </w:p>
    <w:p w:rsidR="00000000" w:rsidDel="00000000" w:rsidP="00000000" w:rsidRDefault="00000000" w:rsidRPr="00000000" w14:paraId="00000178">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 El nombre del área que solicitó la clasificación de información;</w:t>
      </w:r>
      <w:r w:rsidDel="00000000" w:rsidR="00000000" w:rsidRPr="00000000">
        <w:rPr>
          <w:rtl w:val="0"/>
        </w:rPr>
      </w:r>
    </w:p>
    <w:p w:rsidR="00000000" w:rsidDel="00000000" w:rsidP="00000000" w:rsidRDefault="00000000" w:rsidRPr="00000000" w14:paraId="00000179">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III. La fundamentación legal y motivación correspondiente;</w:t>
      </w:r>
      <w:r w:rsidDel="00000000" w:rsidR="00000000" w:rsidRPr="00000000">
        <w:rPr>
          <w:rtl w:val="0"/>
        </w:rPr>
      </w:r>
    </w:p>
    <w:p w:rsidR="00000000" w:rsidDel="00000000" w:rsidP="00000000" w:rsidRDefault="00000000" w:rsidRPr="00000000" w14:paraId="0000017A">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IV. La resolución o resoluciones aprobadas; y</w:t>
      </w:r>
      <w:r w:rsidDel="00000000" w:rsidR="00000000" w:rsidRPr="00000000">
        <w:rPr>
          <w:rtl w:val="0"/>
        </w:rPr>
      </w:r>
    </w:p>
    <w:p w:rsidR="00000000" w:rsidDel="00000000" w:rsidP="00000000" w:rsidRDefault="00000000" w:rsidRPr="00000000" w14:paraId="0000017B">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V. La rúbrica o firma digital de cada integrante del Comité de Transparencia. </w:t>
      </w:r>
      <w:r w:rsidDel="00000000" w:rsidR="00000000" w:rsidRPr="00000000">
        <w:rPr>
          <w:rtl w:val="0"/>
        </w:rPr>
      </w:r>
    </w:p>
    <w:p w:rsidR="00000000" w:rsidDel="00000000" w:rsidP="00000000" w:rsidRDefault="00000000" w:rsidRPr="00000000" w14:paraId="0000017C">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Las resoluciones del Comité en las que se haya determinado confirmar o modificar la clasificación de información pública como reservada, deberán incluir, cuando menos:</w:t>
      </w:r>
      <w:r w:rsidDel="00000000" w:rsidR="00000000" w:rsidRPr="00000000">
        <w:rPr>
          <w:rtl w:val="0"/>
        </w:rPr>
      </w:r>
    </w:p>
    <w:p w:rsidR="00000000" w:rsidDel="00000000" w:rsidP="00000000" w:rsidRDefault="00000000" w:rsidRPr="00000000" w14:paraId="0000017D">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 Los motivos y razonamientos que sustenten la confirmación o modificación de la prueba de daño;</w:t>
      </w:r>
      <w:r w:rsidDel="00000000" w:rsidR="00000000" w:rsidRPr="00000000">
        <w:rPr>
          <w:rtl w:val="0"/>
        </w:rPr>
      </w:r>
    </w:p>
    <w:p w:rsidR="00000000" w:rsidDel="00000000" w:rsidP="00000000" w:rsidRDefault="00000000" w:rsidRPr="00000000" w14:paraId="0000017E">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 Descripción de las partes o secciones reservadas, en caso de clasificación parcial;</w:t>
      </w:r>
      <w:r w:rsidDel="00000000" w:rsidR="00000000" w:rsidRPr="00000000">
        <w:rPr>
          <w:rtl w:val="0"/>
        </w:rPr>
      </w:r>
    </w:p>
    <w:p w:rsidR="00000000" w:rsidDel="00000000" w:rsidP="00000000" w:rsidRDefault="00000000" w:rsidRPr="00000000" w14:paraId="0000017F">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III. El periodo por el que mantendrá su clasificación y fecha de expiración; y</w:t>
      </w:r>
      <w:r w:rsidDel="00000000" w:rsidR="00000000" w:rsidRPr="00000000">
        <w:rPr>
          <w:rtl w:val="0"/>
        </w:rPr>
      </w:r>
    </w:p>
    <w:p w:rsidR="00000000" w:rsidDel="00000000" w:rsidP="00000000" w:rsidRDefault="00000000" w:rsidRPr="00000000" w14:paraId="00000180">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IV. El nombre del titular y área encargada de realizar la versión pública del documento, en su caso.</w:t>
      </w:r>
      <w:r w:rsidDel="00000000" w:rsidR="00000000" w:rsidRPr="00000000">
        <w:rPr>
          <w:rtl w:val="0"/>
        </w:rPr>
      </w:r>
    </w:p>
    <w:p w:rsidR="00000000" w:rsidDel="00000000" w:rsidP="00000000" w:rsidRDefault="00000000" w:rsidRPr="00000000" w14:paraId="00000181">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se clasifique la información como reservada siempre se entregará o anexará la prueba de daño con la respuesta al solicitante. </w:t>
      </w: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b w:val="1"/>
          <w:i w:val="1"/>
          <w:sz w:val="22"/>
          <w:szCs w:val="22"/>
          <w:rtl w:val="0"/>
        </w:rPr>
        <w:t xml:space="preserve">Quincuagésimo segundo</w:t>
      </w:r>
      <w:r w:rsidDel="00000000" w:rsidR="00000000" w:rsidRPr="00000000">
        <w:rPr>
          <w:rFonts w:ascii="Palatino Linotype" w:cs="Palatino Linotype" w:eastAsia="Palatino Linotype" w:hAnsi="Palatino Linotype"/>
          <w:i w:val="1"/>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r w:rsidDel="00000000" w:rsidR="00000000" w:rsidRPr="00000000">
        <w:rPr>
          <w:rtl w:val="0"/>
        </w:rPr>
      </w:r>
    </w:p>
    <w:p w:rsidR="00000000" w:rsidDel="00000000" w:rsidP="00000000" w:rsidRDefault="00000000" w:rsidRPr="00000000" w14:paraId="00000184">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En el caso específico de la clasificación y elaboración de versiones públicas de documentos que contengan información confidencial, las áreas de los sujetos obligados deberán:</w:t>
      </w:r>
      <w:r w:rsidDel="00000000" w:rsidR="00000000" w:rsidRPr="00000000">
        <w:rPr>
          <w:rtl w:val="0"/>
        </w:rPr>
      </w:r>
    </w:p>
    <w:p w:rsidR="00000000" w:rsidDel="00000000" w:rsidP="00000000" w:rsidRDefault="00000000" w:rsidRPr="00000000" w14:paraId="00000185">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 Fijar la fecha en que se elaboró la versión pública y la fecha en la cual el Comité de Transparencia confirmó dicha versión;</w:t>
      </w:r>
      <w:r w:rsidDel="00000000" w:rsidR="00000000" w:rsidRPr="00000000">
        <w:rPr>
          <w:rtl w:val="0"/>
        </w:rPr>
      </w:r>
    </w:p>
    <w:p w:rsidR="00000000" w:rsidDel="00000000" w:rsidP="00000000" w:rsidRDefault="00000000" w:rsidRPr="00000000" w14:paraId="00000186">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II. Señalar dentro del documento el tipo de información confidencial que fue testada en cada caso específico, de conformidad con el lineamiento trigésimo octavo; y</w:t>
      </w:r>
      <w:r w:rsidDel="00000000" w:rsidR="00000000" w:rsidRPr="00000000">
        <w:rPr>
          <w:rtl w:val="0"/>
        </w:rPr>
      </w:r>
    </w:p>
    <w:p w:rsidR="00000000" w:rsidDel="00000000" w:rsidP="00000000" w:rsidRDefault="00000000" w:rsidRPr="00000000" w14:paraId="00000187">
      <w:pPr>
        <w:pBdr>
          <w:top w:space="0" w:sz="0" w:val="nil"/>
          <w:left w:space="0" w:sz="0" w:val="nil"/>
          <w:bottom w:space="0" w:sz="0" w:val="nil"/>
          <w:right w:space="0" w:sz="0" w:val="nil"/>
          <w:between w:space="0" w:sz="0" w:val="nil"/>
        </w:pBdr>
        <w:spacing w:after="160" w:line="276" w:lineRule="auto"/>
        <w:ind w:left="709" w:right="709"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III. Señalar las personas o instancias autorizadas a acceder a la información clasificada.</w:t>
      </w:r>
    </w:p>
    <w:p w:rsidR="00000000" w:rsidDel="00000000" w:rsidP="00000000" w:rsidRDefault="00000000" w:rsidRPr="00000000" w14:paraId="00000188">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tl w:val="0"/>
        </w:rPr>
      </w:r>
    </w:p>
    <w:p w:rsidR="00000000" w:rsidDel="00000000" w:rsidP="00000000" w:rsidRDefault="00000000" w:rsidRPr="00000000" w14:paraId="00000189">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Quincuagésimo cuarto.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r w:rsidDel="00000000" w:rsidR="00000000" w:rsidRPr="00000000">
        <w:rPr>
          <w:rtl w:val="0"/>
        </w:rPr>
      </w:r>
    </w:p>
    <w:p w:rsidR="00000000" w:rsidDel="00000000" w:rsidP="00000000" w:rsidRDefault="00000000" w:rsidRPr="00000000" w14:paraId="0000018A">
      <w:pPr>
        <w:pBdr>
          <w:top w:space="0" w:sz="0" w:val="nil"/>
          <w:left w:space="0" w:sz="0" w:val="nil"/>
          <w:bottom w:space="0" w:sz="0" w:val="nil"/>
          <w:right w:space="0" w:sz="0" w:val="nil"/>
          <w:between w:space="0" w:sz="0" w:val="nil"/>
        </w:pBdr>
        <w:spacing w:after="160" w:line="276" w:lineRule="auto"/>
        <w:ind w:left="709" w:right="709" w:firstLine="0"/>
        <w:jc w:val="both"/>
        <w:rPr>
          <w:sz w:val="22"/>
          <w:szCs w:val="22"/>
        </w:rPr>
      </w:pPr>
      <w:r w:rsidDel="00000000" w:rsidR="00000000" w:rsidRPr="00000000">
        <w:rPr>
          <w:rFonts w:ascii="Palatino Linotype" w:cs="Palatino Linotype" w:eastAsia="Palatino Linotype" w:hAnsi="Palatino Linotype"/>
          <w:i w:val="1"/>
          <w:sz w:val="22"/>
          <w:szCs w:val="22"/>
          <w:rtl w:val="0"/>
        </w:rPr>
        <w:t xml:space="preserve">Quincuagésimo quinto.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w:t>
      </w:r>
      <w:r w:rsidDel="00000000" w:rsidR="00000000" w:rsidRPr="00000000">
        <w:rPr>
          <w:rtl w:val="0"/>
        </w:rPr>
      </w:r>
    </w:p>
    <w:p w:rsidR="00000000" w:rsidDel="00000000" w:rsidP="00000000" w:rsidRDefault="00000000" w:rsidRPr="00000000" w14:paraId="0000018B">
      <w:pPr>
        <w:spacing w:line="360" w:lineRule="auto"/>
        <w:jc w:val="both"/>
        <w:rPr>
          <w:sz w:val="22"/>
          <w:szCs w:val="22"/>
        </w:rPr>
      </w:pPr>
      <w:r w:rsidDel="00000000" w:rsidR="00000000" w:rsidRPr="00000000">
        <w:rPr>
          <w:rtl w:val="0"/>
        </w:rPr>
      </w:r>
    </w:p>
    <w:p w:rsidR="00000000" w:rsidDel="00000000" w:rsidP="00000000" w:rsidRDefault="00000000" w:rsidRPr="00000000" w14:paraId="0000018C">
      <w:pPr>
        <w:pBdr>
          <w:top w:space="0" w:sz="0" w:val="nil"/>
          <w:left w:space="0" w:sz="0" w:val="nil"/>
          <w:bottom w:space="0" w:sz="0" w:val="nil"/>
          <w:right w:space="0" w:sz="0" w:val="nil"/>
          <w:between w:space="0" w:sz="0" w:val="nil"/>
        </w:pBdr>
        <w:spacing w:line="360" w:lineRule="auto"/>
        <w:jc w:val="both"/>
        <w:rPr>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r w:rsidDel="00000000" w:rsidR="00000000" w:rsidRPr="00000000">
        <w:rPr>
          <w:rtl w:val="0"/>
        </w:rPr>
      </w:r>
    </w:p>
    <w:p w:rsidR="00000000" w:rsidDel="00000000" w:rsidP="00000000" w:rsidRDefault="00000000" w:rsidRPr="00000000" w14:paraId="0000018D">
      <w:pPr>
        <w:spacing w:line="360" w:lineRule="auto"/>
        <w:jc w:val="both"/>
        <w:rPr>
          <w:sz w:val="22"/>
          <w:szCs w:val="22"/>
        </w:rPr>
      </w:pPr>
      <w:r w:rsidDel="00000000" w:rsidR="00000000" w:rsidRPr="00000000">
        <w:rPr>
          <w:rtl w:val="0"/>
        </w:rPr>
      </w:r>
    </w:p>
    <w:p w:rsidR="00000000" w:rsidDel="00000000" w:rsidP="00000000" w:rsidRDefault="00000000" w:rsidRPr="00000000" w14:paraId="0000018E">
      <w:pPr>
        <w:pBdr>
          <w:top w:space="0" w:sz="0" w:val="nil"/>
          <w:left w:space="0" w:sz="0" w:val="nil"/>
          <w:bottom w:space="0" w:sz="0" w:val="nil"/>
          <w:right w:space="0" w:sz="0" w:val="nil"/>
          <w:between w:space="0" w:sz="0" w:val="nil"/>
        </w:pBdr>
        <w:shd w:fill="ffffff" w:val="clear"/>
        <w:spacing w:line="360" w:lineRule="auto"/>
        <w:ind w:right="51"/>
        <w:jc w:val="both"/>
        <w:rPr>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w:t>
      </w:r>
      <w:r w:rsidDel="00000000" w:rsidR="00000000" w:rsidRPr="00000000">
        <w:rPr>
          <w:rFonts w:ascii="Palatino Linotype" w:cs="Palatino Linotype" w:eastAsia="Palatino Linotype" w:hAnsi="Palatino Linotype"/>
          <w:b w:val="1"/>
          <w:sz w:val="22"/>
          <w:szCs w:val="22"/>
          <w:rtl w:val="0"/>
        </w:rPr>
        <w:t xml:space="preserve">la parte</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tl w:val="0"/>
        </w:rPr>
      </w:r>
    </w:p>
    <w:p w:rsidR="00000000" w:rsidDel="00000000" w:rsidP="00000000" w:rsidRDefault="00000000" w:rsidRPr="00000000" w14:paraId="0000018F">
      <w:pPr>
        <w:pBdr>
          <w:top w:space="0" w:sz="0" w:val="nil"/>
          <w:left w:space="0" w:sz="0" w:val="nil"/>
          <w:bottom w:space="0" w:sz="0" w:val="nil"/>
          <w:right w:space="0" w:sz="0" w:val="nil"/>
          <w:between w:space="0" w:sz="0" w:val="nil"/>
        </w:pBdr>
        <w:spacing w:after="240" w:before="240" w:line="360" w:lineRule="auto"/>
        <w:jc w:val="both"/>
        <w:rPr>
          <w:rFonts w:ascii="Palatino Linotype" w:cs="Palatino Linotype" w:eastAsia="Palatino Linotype" w:hAnsi="Palatino Linotype"/>
          <w:sz w:val="22"/>
          <w:szCs w:val="22"/>
        </w:rPr>
      </w:pPr>
      <w:bookmarkStart w:colFirst="0" w:colLast="0" w:name="_heading=h.ijv98pntcd5s" w:id="9"/>
      <w:bookmarkEnd w:id="9"/>
      <w:r w:rsidDel="00000000" w:rsidR="00000000" w:rsidRPr="00000000">
        <w:rPr>
          <w:rFonts w:ascii="Palatino Linotype" w:cs="Palatino Linotype" w:eastAsia="Palatino Linotype" w:hAnsi="Palatino Linotype"/>
          <w:sz w:val="22"/>
          <w:szCs w:val="22"/>
          <w:rtl w:val="0"/>
        </w:rPr>
        <w:t xml:space="preserve">Así, con fundamento en lo prescrito en los artículos 5 párrafos trigésimo segundo, trigésimo tercero y trigésimo cuarto de la Constitución Política del Estado Libre y Soberano de México; 2, fracción II; 29, 36 fracciones I y II; 176, 178, 181, 185 y 186 fracción II de la Ley de Transparencia y Acceso a la Información Pública del Estado de México y Municipios, este Pleno:</w:t>
      </w:r>
    </w:p>
    <w:p w:rsidR="00000000" w:rsidDel="00000000" w:rsidP="00000000" w:rsidRDefault="00000000" w:rsidRPr="00000000" w14:paraId="00000190">
      <w:pPr>
        <w:pBdr>
          <w:top w:space="0" w:sz="0" w:val="nil"/>
          <w:left w:space="0" w:sz="0" w:val="nil"/>
          <w:bottom w:space="0" w:sz="0" w:val="nil"/>
          <w:right w:space="0" w:sz="0" w:val="nil"/>
          <w:between w:space="0" w:sz="0" w:val="nil"/>
        </w:pBdr>
        <w:spacing w:after="240" w:before="240" w:line="360" w:lineRule="auto"/>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 III. R E S U E L V E</w:t>
      </w:r>
    </w:p>
    <w:p w:rsidR="00000000" w:rsidDel="00000000" w:rsidP="00000000" w:rsidRDefault="00000000" w:rsidRPr="00000000" w14:paraId="00000191">
      <w:pPr>
        <w:spacing w:after="240" w:before="240" w:line="360" w:lineRule="auto"/>
        <w:jc w:val="both"/>
        <w:rPr>
          <w:rFonts w:ascii="Palatino Linotype" w:cs="Palatino Linotype" w:eastAsia="Palatino Linotype" w:hAnsi="Palatino Linotype"/>
          <w:sz w:val="22"/>
          <w:szCs w:val="22"/>
        </w:rPr>
      </w:pPr>
      <w:bookmarkStart w:colFirst="0" w:colLast="0" w:name="_heading=h.26in1rg" w:id="10"/>
      <w:bookmarkEnd w:id="10"/>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w:t>
      </w:r>
      <w:r w:rsidDel="00000000" w:rsidR="00000000" w:rsidRPr="00000000">
        <w:rPr>
          <w:rFonts w:ascii="Palatino Linotype" w:cs="Palatino Linotype" w:eastAsia="Palatino Linotype" w:hAnsi="Palatino Linotype"/>
          <w:b w:val="1"/>
          <w:sz w:val="22"/>
          <w:szCs w:val="22"/>
          <w:rtl w:val="0"/>
        </w:rPr>
        <w:t xml:space="preserve">la parte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05189/INFOEM/IP/RR/2024</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tl w:val="0"/>
        </w:rPr>
      </w:r>
    </w:p>
    <w:p w:rsidR="00000000" w:rsidDel="00000000" w:rsidP="00000000" w:rsidRDefault="00000000" w:rsidRPr="00000000" w14:paraId="00000192">
      <w:pPr>
        <w:spacing w:after="240" w:before="240" w:line="360" w:lineRule="auto"/>
        <w:ind w:right="49"/>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haga entrega, </w:t>
      </w:r>
      <w:r w:rsidDel="00000000" w:rsidR="00000000" w:rsidRPr="00000000">
        <w:rPr>
          <w:rFonts w:ascii="Palatino Linotype" w:cs="Palatino Linotype" w:eastAsia="Palatino Linotype" w:hAnsi="Palatino Linotype"/>
          <w:b w:val="1"/>
          <w:sz w:val="22"/>
          <w:szCs w:val="22"/>
          <w:rtl w:val="0"/>
        </w:rPr>
        <w:t xml:space="preserve">de ser procedente en</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versión pública</w:t>
      </w:r>
      <w:r w:rsidDel="00000000" w:rsidR="00000000" w:rsidRPr="00000000">
        <w:rPr>
          <w:rFonts w:ascii="Palatino Linotype" w:cs="Palatino Linotype" w:eastAsia="Palatino Linotype" w:hAnsi="Palatino Linotype"/>
          <w:sz w:val="22"/>
          <w:szCs w:val="22"/>
          <w:rtl w:val="0"/>
        </w:rPr>
        <w:t xml:space="preserve"> 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vía </w:t>
      </w:r>
      <w:r w:rsidDel="00000000" w:rsidR="00000000" w:rsidRPr="00000000">
        <w:rPr>
          <w:rFonts w:ascii="Palatino Linotype" w:cs="Palatino Linotype" w:eastAsia="Palatino Linotype" w:hAnsi="Palatino Linotype"/>
          <w:b w:val="1"/>
          <w:sz w:val="22"/>
          <w:szCs w:val="22"/>
          <w:rtl w:val="0"/>
        </w:rPr>
        <w:t xml:space="preserve">SAIMEX, </w:t>
      </w:r>
      <w:r w:rsidDel="00000000" w:rsidR="00000000" w:rsidRPr="00000000">
        <w:rPr>
          <w:rFonts w:ascii="Palatino Linotype" w:cs="Palatino Linotype" w:eastAsia="Palatino Linotype" w:hAnsi="Palatino Linotype"/>
          <w:sz w:val="22"/>
          <w:szCs w:val="22"/>
          <w:rtl w:val="0"/>
        </w:rPr>
        <w:t xml:space="preserve">en términos de los </w:t>
      </w:r>
      <w:r w:rsidDel="00000000" w:rsidR="00000000" w:rsidRPr="00000000">
        <w:rPr>
          <w:rFonts w:ascii="Palatino Linotype" w:cs="Palatino Linotype" w:eastAsia="Palatino Linotype" w:hAnsi="Palatino Linotype"/>
          <w:b w:val="1"/>
          <w:sz w:val="22"/>
          <w:szCs w:val="22"/>
          <w:rtl w:val="0"/>
        </w:rPr>
        <w:t xml:space="preserve">Considerandos</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y Quinto, de lo siguiente:</w:t>
      </w:r>
    </w:p>
    <w:p w:rsidR="00000000" w:rsidDel="00000000" w:rsidP="00000000" w:rsidRDefault="00000000" w:rsidRPr="00000000" w14:paraId="00000193">
      <w:pPr>
        <w:numPr>
          <w:ilvl w:val="0"/>
          <w:numId w:val="3"/>
        </w:numPr>
        <w:pBdr>
          <w:top w:space="0" w:sz="0" w:val="nil"/>
          <w:left w:space="0" w:sz="0" w:val="nil"/>
          <w:bottom w:space="0" w:sz="0" w:val="nil"/>
          <w:right w:space="0" w:sz="0" w:val="nil"/>
          <w:between w:space="0" w:sz="0" w:val="nil"/>
        </w:pBdr>
        <w:spacing w:before="240" w:line="276" w:lineRule="auto"/>
        <w:ind w:left="567" w:right="900" w:hanging="283"/>
        <w:jc w:val="both"/>
        <w:rPr>
          <w:rFonts w:ascii="Palatino Linotype" w:cs="Palatino Linotype" w:eastAsia="Palatino Linotype" w:hAnsi="Palatino Linotype"/>
          <w:b w:val="1"/>
          <w:i w:val="1"/>
          <w:sz w:val="22"/>
          <w:szCs w:val="22"/>
        </w:rPr>
      </w:pPr>
      <w:bookmarkStart w:colFirst="0" w:colLast="0" w:name="_heading=h.lnxbz9" w:id="11"/>
      <w:bookmarkEnd w:id="11"/>
      <w:r w:rsidDel="00000000" w:rsidR="00000000" w:rsidRPr="00000000">
        <w:rPr>
          <w:rFonts w:ascii="Palatino Linotype" w:cs="Palatino Linotype" w:eastAsia="Palatino Linotype" w:hAnsi="Palatino Linotype"/>
          <w:b w:val="1"/>
          <w:i w:val="1"/>
          <w:sz w:val="22"/>
          <w:szCs w:val="22"/>
          <w:rtl w:val="0"/>
        </w:rPr>
        <w:t xml:space="preserve">Los contratos celebrados durante el mes de abril de 2024, referidos en respuesta.</w:t>
      </w:r>
    </w:p>
    <w:p w:rsidR="00000000" w:rsidDel="00000000" w:rsidP="00000000" w:rsidRDefault="00000000" w:rsidRPr="00000000" w14:paraId="00000194">
      <w:pPr>
        <w:numPr>
          <w:ilvl w:val="0"/>
          <w:numId w:val="3"/>
        </w:numPr>
        <w:pBdr>
          <w:top w:space="0" w:sz="0" w:val="nil"/>
          <w:left w:space="0" w:sz="0" w:val="nil"/>
          <w:bottom w:space="0" w:sz="0" w:val="nil"/>
          <w:right w:space="0" w:sz="0" w:val="nil"/>
          <w:between w:space="0" w:sz="0" w:val="nil"/>
        </w:pBdr>
        <w:spacing w:after="120" w:before="240" w:line="276" w:lineRule="auto"/>
        <w:ind w:left="567" w:right="900" w:hanging="283"/>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u w:val="single"/>
          <w:rtl w:val="0"/>
        </w:rPr>
        <w:t xml:space="preserve">En relación con la información que se ordena en el punto número uno</w:t>
      </w:r>
      <w:r w:rsidDel="00000000" w:rsidR="00000000" w:rsidRPr="00000000">
        <w:rPr>
          <w:rFonts w:ascii="Palatino Linotype" w:cs="Palatino Linotype" w:eastAsia="Palatino Linotype" w:hAnsi="Palatino Linotype"/>
          <w:b w:val="1"/>
          <w:i w:val="1"/>
          <w:sz w:val="22"/>
          <w:szCs w:val="22"/>
          <w:rtl w:val="0"/>
        </w:rPr>
        <w:t xml:space="preserve">, las facturas generadas para el pago de dichos contratos</w:t>
      </w:r>
      <w:r w:rsidDel="00000000" w:rsidR="00000000" w:rsidRPr="00000000">
        <w:rPr>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con las que cuente al nueve de julio de dos mil veinticuatro. </w:t>
      </w:r>
      <w:r w:rsidDel="00000000" w:rsidR="00000000" w:rsidRPr="00000000">
        <w:rPr>
          <w:rtl w:val="0"/>
        </w:rPr>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120" w:before="240" w:line="276" w:lineRule="auto"/>
        <w:ind w:left="567"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Deberá emitir el Acuerdo del Comité de Transparencia en términos de la Ley de Transparencia y Acceso a la Información Pública del Estado de México y Municipios, en el que funde y motive las razones sobre los datos que se supriman o eliminen y se ponga a disposición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196">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vía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97">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000000" w:rsidDel="00000000" w:rsidP="00000000" w:rsidRDefault="00000000" w:rsidRPr="00000000" w14:paraId="00000198">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vía SAIMEX, </w:t>
      </w:r>
      <w:r w:rsidDel="00000000" w:rsidR="00000000" w:rsidRPr="00000000">
        <w:rPr>
          <w:rFonts w:ascii="Palatino Linotype" w:cs="Palatino Linotype" w:eastAsia="Palatino Linotype" w:hAnsi="Palatino Linotype"/>
          <w:sz w:val="22"/>
          <w:szCs w:val="22"/>
          <w:rtl w:val="0"/>
        </w:rPr>
        <w:t xml:space="preserve">a</w:t>
      </w:r>
      <w:r w:rsidDel="00000000" w:rsidR="00000000" w:rsidRPr="00000000">
        <w:rPr>
          <w:rFonts w:ascii="Palatino Linotype" w:cs="Palatino Linotype" w:eastAsia="Palatino Linotype" w:hAnsi="Palatino Linotype"/>
          <w:b w:val="1"/>
          <w:sz w:val="22"/>
          <w:szCs w:val="22"/>
          <w:rtl w:val="0"/>
        </w:rPr>
        <w:t xml:space="preserve"> la parte Recurrente</w:t>
      </w:r>
      <w:r w:rsidDel="00000000" w:rsidR="00000000" w:rsidRPr="00000000">
        <w:rPr>
          <w:rFonts w:ascii="Palatino Linotype" w:cs="Palatino Linotype" w:eastAsia="Palatino Linotype" w:hAnsi="Palatino Linotype"/>
          <w:sz w:val="22"/>
          <w:szCs w:val="22"/>
          <w:rtl w:val="0"/>
        </w:rPr>
        <w:t xml:space="preserve"> la presente resolución, así como que podrá impugnar vía Juicio de Amparo en los términos de las leyes aplicables, de conformidad con lo establecido en el artículo 196 de la Ley de Transparencia y Acceso a la Información Pública del Estado de México y Municipios. </w:t>
      </w:r>
    </w:p>
    <w:p w:rsidR="00000000" w:rsidDel="00000000" w:rsidP="00000000" w:rsidRDefault="00000000" w:rsidRPr="00000000" w14:paraId="00000199">
      <w:pPr>
        <w:spacing w:line="360" w:lineRule="auto"/>
        <w:jc w:val="both"/>
        <w:rPr>
          <w:rFonts w:ascii="Palatino Linotype" w:cs="Palatino Linotype" w:eastAsia="Palatino Linotype" w:hAnsi="Palatino Linotype"/>
        </w:rPr>
      </w:pPr>
      <w:bookmarkStart w:colFirst="0" w:colLast="0" w:name="_heading=h.17dp8vu" w:id="12"/>
      <w:bookmarkEnd w:id="12"/>
      <w:r w:rsidDel="00000000" w:rsidR="00000000" w:rsidRPr="00000000">
        <w:rPr>
          <w:rFonts w:ascii="Palatino Linotype" w:cs="Palatino Linotype" w:eastAsia="Palatino Linotype" w:hAnsi="Palatino Linotype"/>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NUEVE DE OCTUBRE DE DOS MIL VEINTICUATRO, ANTE EL SECRETARIO TÉCNICO DEL PLENO ALEXIS TAPIA RAMÍREZ. </w:t>
      </w:r>
    </w:p>
    <w:p w:rsidR="00000000" w:rsidDel="00000000" w:rsidP="00000000" w:rsidRDefault="00000000" w:rsidRPr="00000000" w14:paraId="0000019A">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B">
      <w:pPr>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C">
      <w:pPr>
        <w:spacing w:line="360" w:lineRule="auto"/>
        <w:jc w:val="both"/>
        <w:rPr>
          <w:rFonts w:ascii="Palatino Linotype" w:cs="Palatino Linotype" w:eastAsia="Palatino Linotype" w:hAnsi="Palatino Linotype"/>
        </w:rPr>
      </w:pPr>
      <w:bookmarkStart w:colFirst="0" w:colLast="0" w:name="_heading=h.3rdcrjn" w:id="13"/>
      <w:bookmarkEnd w:id="13"/>
      <w:r w:rsidDel="00000000" w:rsidR="00000000" w:rsidRPr="00000000">
        <w:rPr>
          <w:rtl w:val="0"/>
        </w:rPr>
      </w:r>
    </w:p>
    <w:p w:rsidR="00000000" w:rsidDel="00000000" w:rsidP="00000000" w:rsidRDefault="00000000" w:rsidRPr="00000000" w14:paraId="0000019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9F">
      <w:pPr>
        <w:spacing w:line="360" w:lineRule="auto"/>
        <w:jc w:val="both"/>
        <w:rPr>
          <w:rFonts w:ascii="Palatino Linotype" w:cs="Palatino Linotype" w:eastAsia="Palatino Linotype" w:hAnsi="Palatino Linotype"/>
        </w:rPr>
      </w:pPr>
      <w:bookmarkStart w:colFirst="0" w:colLast="0" w:name="_heading=h.1t3h5sf" w:id="14"/>
      <w:bookmarkEnd w:id="14"/>
      <w:r w:rsidDel="00000000" w:rsidR="00000000" w:rsidRPr="00000000">
        <w:rPr>
          <w:rtl w:val="0"/>
        </w:rPr>
      </w:r>
    </w:p>
    <w:p w:rsidR="00000000" w:rsidDel="00000000" w:rsidP="00000000" w:rsidRDefault="00000000" w:rsidRPr="00000000" w14:paraId="000001A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2">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3">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4">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5">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6">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7">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8">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9">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A">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B">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C">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D">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E">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AF">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0">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1">
      <w:pPr>
        <w:spacing w:line="360" w:lineRule="auto"/>
        <w:jc w:val="both"/>
        <w:rPr>
          <w:rFonts w:ascii="Palatino Linotype" w:cs="Palatino Linotype" w:eastAsia="Palatino Linotype" w:hAnsi="Palatino Linotype"/>
        </w:rPr>
      </w:pPr>
      <w:r w:rsidDel="00000000" w:rsidR="00000000" w:rsidRPr="00000000">
        <w:rPr>
          <w:rtl w:val="0"/>
        </w:rPr>
      </w:r>
    </w:p>
    <w:p w:rsidR="00000000" w:rsidDel="00000000" w:rsidP="00000000" w:rsidRDefault="00000000" w:rsidRPr="00000000" w14:paraId="000001B2">
      <w:pPr>
        <w:spacing w:line="360" w:lineRule="auto"/>
        <w:jc w:val="both"/>
        <w:rPr>
          <w:rFonts w:ascii="Palatino Linotype" w:cs="Palatino Linotype" w:eastAsia="Palatino Linotype" w:hAnsi="Palatino Linotype"/>
        </w:rPr>
      </w:pPr>
      <w:r w:rsidDel="00000000" w:rsidR="00000000" w:rsidRPr="00000000">
        <w:rPr>
          <w:rtl w:val="0"/>
        </w:rPr>
      </w:r>
    </w:p>
    <w:sectPr>
      <w:headerReference r:id="rId16" w:type="default"/>
      <w:headerReference r:id="rId17" w:type="first"/>
      <w:footerReference r:id="rId18" w:type="default"/>
      <w:footerReference r:id="rId19" w:type="first"/>
      <w:pgSz w:h="15840" w:w="12240" w:orient="portrait"/>
      <w:pgMar w:bottom="1701" w:top="1985" w:left="1701" w:right="1701" w:header="709" w:footer="709"/>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Cambria"/>
  <w:font w:name="Georgia"/>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8">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9">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mbria" w:cs="Cambria" w:eastAsia="Cambria" w:hAnsi="Cambria"/>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A">
    <w:pPr>
      <w:pBdr>
        <w:top w:space="0" w:sz="0" w:val="nil"/>
        <w:left w:space="0" w:sz="0" w:val="nil"/>
        <w:bottom w:space="0" w:sz="0" w:val="nil"/>
        <w:right w:space="0" w:sz="0" w:val="nil"/>
        <w:between w:space="0" w:sz="0" w:val="nil"/>
      </w:pBdr>
      <w:tabs>
        <w:tab w:val="center" w:leader="none" w:pos="4252"/>
        <w:tab w:val="right" w:leader="none" w:pos="8504"/>
      </w:tabs>
      <w:jc w:val="right"/>
      <w:rPr>
        <w:rFonts w:ascii="Palatino Linotype" w:cs="Palatino Linotype" w:eastAsia="Palatino Linotype" w:hAnsi="Palatino Linotype"/>
        <w:color w:val="000000"/>
        <w:sz w:val="20"/>
        <w:szCs w:val="20"/>
      </w:rPr>
    </w:pPr>
    <w:r w:rsidDel="00000000" w:rsidR="00000000" w:rsidRPr="00000000">
      <w:rPr>
        <w:rFonts w:ascii="Palatino Linotype" w:cs="Palatino Linotype" w:eastAsia="Palatino Linotype" w:hAnsi="Palatino Linotype"/>
        <w:b w:val="1"/>
        <w:color w:val="000000"/>
        <w:sz w:val="20"/>
        <w:szCs w:val="20"/>
        <w:rtl w:val="0"/>
      </w:rPr>
      <w:t xml:space="preserve">Página </w:t>
    </w:r>
    <w:r w:rsidDel="00000000" w:rsidR="00000000" w:rsidRPr="00000000">
      <w:rPr>
        <w:rFonts w:ascii="Palatino Linotype" w:cs="Palatino Linotype" w:eastAsia="Palatino Linotype" w:hAnsi="Palatino Linotype"/>
        <w:b w:val="1"/>
        <w:color w:val="000000"/>
        <w:sz w:val="20"/>
        <w:szCs w:val="20"/>
      </w:rPr>
      <w:fldChar w:fldCharType="begin"/>
      <w:instrText xml:space="preserve">PAGE</w:instrText>
      <w:fldChar w:fldCharType="separate"/>
      <w:fldChar w:fldCharType="end"/>
    </w:r>
    <w:r w:rsidDel="00000000" w:rsidR="00000000" w:rsidRPr="00000000">
      <w:rPr>
        <w:rFonts w:ascii="Palatino Linotype" w:cs="Palatino Linotype" w:eastAsia="Palatino Linotype" w:hAnsi="Palatino Linotype"/>
        <w:color w:val="000000"/>
        <w:sz w:val="20"/>
        <w:szCs w:val="20"/>
        <w:rtl w:val="0"/>
      </w:rPr>
      <w:t xml:space="preserve"> de </w:t>
    </w:r>
    <w:r w:rsidDel="00000000" w:rsidR="00000000" w:rsidRPr="00000000">
      <w:rPr>
        <w:rFonts w:ascii="Palatino Linotype" w:cs="Palatino Linotype" w:eastAsia="Palatino Linotype" w:hAnsi="Palatino Linotype"/>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CB">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B3">
      <w:pPr>
        <w:pBdr>
          <w:top w:space="0" w:sz="0" w:val="nil"/>
          <w:left w:space="0" w:sz="0" w:val="nil"/>
          <w:bottom w:space="0" w:sz="0" w:val="nil"/>
          <w:right w:space="0" w:sz="0" w:val="nil"/>
          <w:between w:space="0" w:sz="0" w:val="nil"/>
        </w:pBdr>
        <w:ind w:left="720" w:hanging="720"/>
        <w:jc w:val="both"/>
        <w:rPr>
          <w:rFonts w:ascii="Palatino Linotype" w:cs="Palatino Linotype" w:eastAsia="Palatino Linotype" w:hAnsi="Palatino Linotype"/>
          <w:color w:val="000000"/>
          <w:sz w:val="16"/>
          <w:szCs w:val="16"/>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color w:val="000000"/>
          <w:sz w:val="16"/>
          <w:szCs w:val="16"/>
          <w:rtl w:val="0"/>
        </w:rPr>
        <w:t xml:space="preserve"> “</w:t>
      </w:r>
      <w:r w:rsidDel="00000000" w:rsidR="00000000" w:rsidRPr="00000000">
        <w:rPr>
          <w:rFonts w:ascii="Palatino Linotype" w:cs="Palatino Linotype" w:eastAsia="Palatino Linotype" w:hAnsi="Palatino Linotype"/>
          <w:b w:val="1"/>
          <w:color w:val="000000"/>
          <w:sz w:val="16"/>
          <w:szCs w:val="16"/>
          <w:rtl w:val="0"/>
        </w:rPr>
        <w:t xml:space="preserve">Artículo 185.</w:t>
      </w:r>
      <w:r w:rsidDel="00000000" w:rsidR="00000000" w:rsidRPr="00000000">
        <w:rPr>
          <w:rFonts w:ascii="Palatino Linotype" w:cs="Palatino Linotype" w:eastAsia="Palatino Linotype" w:hAnsi="Palatino Linotype"/>
          <w:color w:val="000000"/>
          <w:sz w:val="16"/>
          <w:szCs w:val="16"/>
          <w:rtl w:val="0"/>
        </w:rPr>
        <w:t xml:space="preserve"> El Instituto resolverá el recurso de revisión conforme a lo siguiente: (…)</w:t>
      </w:r>
    </w:p>
    <w:p w:rsidR="00000000" w:rsidDel="00000000" w:rsidP="00000000" w:rsidRDefault="00000000" w:rsidRPr="00000000" w14:paraId="000001B4">
      <w:pPr>
        <w:pBdr>
          <w:top w:space="0" w:sz="0" w:val="nil"/>
          <w:left w:space="0" w:sz="0" w:val="nil"/>
          <w:bottom w:space="0" w:sz="0" w:val="nil"/>
          <w:right w:space="0" w:sz="0" w:val="nil"/>
          <w:between w:space="0" w:sz="0" w:val="nil"/>
        </w:pBdr>
        <w:jc w:val="both"/>
        <w:rPr>
          <w:rFonts w:ascii="Palatino Linotype" w:cs="Palatino Linotype" w:eastAsia="Palatino Linotype" w:hAnsi="Palatino Linotype"/>
          <w:color w:val="000000"/>
          <w:sz w:val="16"/>
          <w:szCs w:val="16"/>
        </w:rPr>
      </w:pPr>
      <w:r w:rsidDel="00000000" w:rsidR="00000000" w:rsidRPr="00000000">
        <w:rPr>
          <w:rFonts w:ascii="Palatino Linotype" w:cs="Palatino Linotype" w:eastAsia="Palatino Linotype" w:hAnsi="Palatino Linotype"/>
          <w:color w:val="000000"/>
          <w:sz w:val="16"/>
          <w:szCs w:val="16"/>
          <w:rtl w:val="0"/>
        </w:rPr>
        <w:t xml:space="preserve">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5">
    <w:pPr>
      <w:rPr>
        <w:rFonts w:ascii="Cambria" w:cs="Cambria" w:eastAsia="Cambria" w:hAnsi="Cambria"/>
        <w:color w:val="000000"/>
      </w:rPr>
    </w:pPr>
    <w:r w:rsidDel="00000000" w:rsidR="00000000" w:rsidRPr="00000000">
      <w:rPr>
        <w:rtl w:val="0"/>
      </w:rPr>
    </w:r>
  </w:p>
  <w:tbl>
    <w:tblPr>
      <w:tblStyle w:val="Table1"/>
      <w:tblW w:w="5953.0" w:type="dxa"/>
      <w:jc w:val="left"/>
      <w:tblInd w:w="3261.0" w:type="dxa"/>
      <w:tblLayout w:type="fixed"/>
      <w:tblLook w:val="0400"/>
    </w:tblPr>
    <w:tblGrid>
      <w:gridCol w:w="2489"/>
      <w:gridCol w:w="3464"/>
      <w:tblGridChange w:id="0">
        <w:tblGrid>
          <w:gridCol w:w="2489"/>
          <w:gridCol w:w="3464"/>
        </w:tblGrid>
      </w:tblGridChange>
    </w:tblGrid>
    <w:tr>
      <w:trPr>
        <w:cantSplit w:val="0"/>
        <w:tblHeader w:val="0"/>
      </w:trPr>
      <w:tc>
        <w:tcPr>
          <w:shd w:fill="auto" w:val="clear"/>
        </w:tcPr>
        <w:p w:rsidR="00000000" w:rsidDel="00000000" w:rsidP="00000000" w:rsidRDefault="00000000" w:rsidRPr="00000000" w14:paraId="000001B6">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B7">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05189/INFOEM/IP/RR/2024</w:t>
          </w:r>
        </w:p>
      </w:tc>
    </w:tr>
    <w:tr>
      <w:trPr>
        <w:cantSplit w:val="0"/>
        <w:trHeight w:val="228" w:hRule="atLeast"/>
        <w:tblHeader w:val="0"/>
      </w:trPr>
      <w:tc>
        <w:tcPr>
          <w:shd w:fill="auto" w:val="clear"/>
          <w:vAlign w:val="center"/>
        </w:tcPr>
        <w:p w:rsidR="00000000" w:rsidDel="00000000" w:rsidP="00000000" w:rsidRDefault="00000000" w:rsidRPr="00000000" w14:paraId="000001B8">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B9">
          <w:pPr>
            <w:ind w:right="-54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r w:rsidDel="00000000" w:rsidR="00000000" w:rsidRPr="00000000">
            <w:drawing>
              <wp:anchor allowOverlap="1" behindDoc="1" distB="0" distT="0" distL="0" distR="0" hidden="0" layoutInCell="1" locked="0" relativeHeight="0" simplePos="0">
                <wp:simplePos x="0" y="0"/>
                <wp:positionH relativeFrom="column">
                  <wp:posOffset>-4800598</wp:posOffset>
                </wp:positionH>
                <wp:positionV relativeFrom="paragraph">
                  <wp:posOffset>-880108</wp:posOffset>
                </wp:positionV>
                <wp:extent cx="7809865" cy="10165715"/>
                <wp:effectExtent b="0" l="0" r="0" t="0"/>
                <wp:wrapNone/>
                <wp:docPr id="123"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c>
    </w:tr>
    <w:tr>
      <w:trPr>
        <w:cantSplit w:val="0"/>
        <w:tblHeader w:val="0"/>
      </w:trPr>
      <w:tc>
        <w:tcPr>
          <w:shd w:fill="auto" w:val="clear"/>
          <w:vAlign w:val="center"/>
        </w:tcPr>
        <w:p w:rsidR="00000000" w:rsidDel="00000000" w:rsidP="00000000" w:rsidRDefault="00000000" w:rsidRPr="00000000" w14:paraId="000001BA">
          <w:pPr>
            <w:ind w:right="-108"/>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BB">
          <w:pPr>
            <w:ind w:right="175"/>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BC">
    <w:pPr>
      <w:rPr>
        <w:rFonts w:ascii="Cambria" w:cs="Cambria" w:eastAsia="Cambria" w:hAnsi="Cambria"/>
        <w:color w:val="000000"/>
      </w:rPr>
    </w:pPr>
    <w:r w:rsidDel="00000000" w:rsidR="00000000" w:rsidRPr="00000000">
      <w:rPr>
        <w:rFonts w:ascii="Cambria" w:cs="Cambria" w:eastAsia="Cambria" w:hAnsi="Cambria"/>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D">
    <w:pPr>
      <w:widowControl w:val="0"/>
      <w:pBdr>
        <w:top w:space="0" w:sz="0" w:val="nil"/>
        <w:left w:space="0" w:sz="0" w:val="nil"/>
        <w:bottom w:space="0" w:sz="0" w:val="nil"/>
        <w:right w:space="0" w:sz="0" w:val="nil"/>
        <w:between w:space="0" w:sz="0" w:val="nil"/>
      </w:pBdr>
      <w:spacing w:line="276" w:lineRule="auto"/>
      <w:rPr>
        <w:rFonts w:ascii="Palatino Linotype" w:cs="Palatino Linotype" w:eastAsia="Palatino Linotype" w:hAnsi="Palatino Linotype"/>
        <w:color w:val="000000"/>
        <w:sz w:val="16"/>
        <w:szCs w:val="16"/>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-1079489</wp:posOffset>
          </wp:positionH>
          <wp:positionV relativeFrom="paragraph">
            <wp:posOffset>-328917</wp:posOffset>
          </wp:positionV>
          <wp:extent cx="7809865" cy="10165715"/>
          <wp:effectExtent b="0" l="0" r="0" t="0"/>
          <wp:wrapNone/>
          <wp:docPr id="124" name="image8.png"/>
          <a:graphic>
            <a:graphicData uri="http://schemas.openxmlformats.org/drawingml/2006/picture">
              <pic:pic>
                <pic:nvPicPr>
                  <pic:cNvPr id="0" name="image8.png"/>
                  <pic:cNvPicPr preferRelativeResize="0"/>
                </pic:nvPicPr>
                <pic:blipFill>
                  <a:blip r:embed="rId1"/>
                  <a:srcRect b="0" l="0" r="0" t="0"/>
                  <a:stretch>
                    <a:fillRect/>
                  </a:stretch>
                </pic:blipFill>
                <pic:spPr>
                  <a:xfrm>
                    <a:off x="0" y="0"/>
                    <a:ext cx="7809865" cy="10165715"/>
                  </a:xfrm>
                  <a:prstGeom prst="rect"/>
                  <a:ln/>
                </pic:spPr>
              </pic:pic>
            </a:graphicData>
          </a:graphic>
        </wp:anchor>
      </w:drawing>
    </w:r>
  </w:p>
  <w:tbl>
    <w:tblPr>
      <w:tblStyle w:val="Table2"/>
      <w:tblW w:w="6378.0" w:type="dxa"/>
      <w:jc w:val="left"/>
      <w:tblInd w:w="3261.0" w:type="dxa"/>
      <w:tblLayout w:type="fixed"/>
      <w:tblLook w:val="0400"/>
    </w:tblPr>
    <w:tblGrid>
      <w:gridCol w:w="2551"/>
      <w:gridCol w:w="3827"/>
      <w:tblGridChange w:id="0">
        <w:tblGrid>
          <w:gridCol w:w="2551"/>
          <w:gridCol w:w="3827"/>
        </w:tblGrid>
      </w:tblGridChange>
    </w:tblGrid>
    <w:tr>
      <w:trPr>
        <w:cantSplit w:val="0"/>
        <w:tblHeader w:val="0"/>
      </w:trPr>
      <w:tc>
        <w:tcPr>
          <w:shd w:fill="auto" w:val="clear"/>
          <w:vAlign w:val="center"/>
        </w:tcPr>
        <w:p w:rsidR="00000000" w:rsidDel="00000000" w:rsidP="00000000" w:rsidRDefault="00000000" w:rsidRPr="00000000" w14:paraId="000001BE">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shd w:fill="auto" w:val="clear"/>
          <w:vAlign w:val="center"/>
        </w:tcPr>
        <w:p w:rsidR="00000000" w:rsidDel="00000000" w:rsidP="00000000" w:rsidRDefault="00000000" w:rsidRPr="00000000" w14:paraId="000001BF">
          <w:pPr>
            <w:tabs>
              <w:tab w:val="left" w:leader="none" w:pos="3153"/>
            </w:tabs>
            <w:ind w:left="-45"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05189/INFOEM/IP/RR/2024</w:t>
          </w:r>
        </w:p>
      </w:tc>
    </w:tr>
    <w:tr>
      <w:trPr>
        <w:cantSplit w:val="0"/>
        <w:trHeight w:val="130" w:hRule="atLeast"/>
        <w:tblHeader w:val="0"/>
      </w:trPr>
      <w:tc>
        <w:tcPr>
          <w:shd w:fill="auto" w:val="clear"/>
          <w:vAlign w:val="center"/>
        </w:tcPr>
        <w:p w:rsidR="00000000" w:rsidDel="00000000" w:rsidP="00000000" w:rsidRDefault="00000000" w:rsidRPr="00000000" w14:paraId="000001C0">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shd w:fill="auto" w:val="clear"/>
          <w:vAlign w:val="center"/>
        </w:tcPr>
        <w:p w:rsidR="00000000" w:rsidDel="00000000" w:rsidP="00000000" w:rsidRDefault="00000000" w:rsidRPr="00000000" w14:paraId="000001C1">
          <w:pPr>
            <w:ind w:left="-45" w:right="593" w:firstLine="0"/>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shd w:fill="auto" w:val="clear"/>
          <w:vAlign w:val="center"/>
        </w:tcPr>
        <w:p w:rsidR="00000000" w:rsidDel="00000000" w:rsidP="00000000" w:rsidRDefault="00000000" w:rsidRPr="00000000" w14:paraId="000001C2">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shd w:fill="auto" w:val="clear"/>
          <w:vAlign w:val="center"/>
        </w:tcPr>
        <w:p w:rsidR="00000000" w:rsidDel="00000000" w:rsidP="00000000" w:rsidRDefault="00000000" w:rsidRPr="00000000" w14:paraId="000001C3">
          <w:pPr>
            <w:ind w:left="-45" w:right="176"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shd w:fill="auto" w:val="clear"/>
          <w:vAlign w:val="center"/>
        </w:tcPr>
        <w:p w:rsidR="00000000" w:rsidDel="00000000" w:rsidP="00000000" w:rsidRDefault="00000000" w:rsidRPr="00000000" w14:paraId="000001C4">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shd w:fill="auto" w:val="clear"/>
          <w:vAlign w:val="center"/>
        </w:tcPr>
        <w:p w:rsidR="00000000" w:rsidDel="00000000" w:rsidP="00000000" w:rsidRDefault="00000000" w:rsidRPr="00000000" w14:paraId="000001C5">
          <w:pPr>
            <w:ind w:left="-45" w:right="-533" w:firstLine="0"/>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C6">
    <w:pPr>
      <w:pBdr>
        <w:top w:space="0" w:sz="0" w:val="nil"/>
        <w:left w:space="0" w:sz="0" w:val="nil"/>
        <w:bottom w:space="0" w:sz="0" w:val="nil"/>
        <w:right w:space="0" w:sz="0" w:val="nil"/>
        <w:between w:space="0" w:sz="0" w:val="nil"/>
      </w:pBdr>
      <w:tabs>
        <w:tab w:val="center" w:leader="none" w:pos="4252"/>
        <w:tab w:val="right" w:leader="none" w:pos="8504"/>
      </w:tabs>
      <w:rPr>
        <w:rFonts w:ascii="Cambria" w:cs="Cambria" w:eastAsia="Cambria" w:hAnsi="Cambria"/>
        <w:color w:val="000000"/>
      </w:rPr>
    </w:pPr>
    <w:r w:rsidDel="00000000" w:rsidR="00000000" w:rsidRPr="00000000">
      <w:rPr>
        <w:rtl w:val="0"/>
      </w:rPr>
    </w:r>
  </w:p>
  <w:p w:rsidR="00000000" w:rsidDel="00000000" w:rsidP="00000000" w:rsidRDefault="00000000" w:rsidRPr="00000000" w14:paraId="000001C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1287" w:hanging="360.0000000000001"/>
      </w:pPr>
      <w:rPr/>
    </w:lvl>
    <w:lvl w:ilvl="1">
      <w:start w:val="1"/>
      <w:numFmt w:val="lowerLetter"/>
      <w:lvlText w:val="%2."/>
      <w:lvlJc w:val="left"/>
      <w:pPr>
        <w:ind w:left="2007" w:hanging="360"/>
      </w:pPr>
      <w:rPr/>
    </w:lvl>
    <w:lvl w:ilvl="2">
      <w:start w:val="1"/>
      <w:numFmt w:val="lowerRoman"/>
      <w:lvlText w:val="%3."/>
      <w:lvlJc w:val="right"/>
      <w:pPr>
        <w:ind w:left="2727" w:hanging="180"/>
      </w:pPr>
      <w:rPr/>
    </w:lvl>
    <w:lvl w:ilvl="3">
      <w:start w:val="1"/>
      <w:numFmt w:val="decimal"/>
      <w:lvlText w:val="%4."/>
      <w:lvlJc w:val="left"/>
      <w:pPr>
        <w:ind w:left="3447" w:hanging="360"/>
      </w:pPr>
      <w:rPr/>
    </w:lvl>
    <w:lvl w:ilvl="4">
      <w:start w:val="1"/>
      <w:numFmt w:val="lowerLetter"/>
      <w:lvlText w:val="%5."/>
      <w:lvlJc w:val="left"/>
      <w:pPr>
        <w:ind w:left="4167" w:hanging="360"/>
      </w:pPr>
      <w:rPr/>
    </w:lvl>
    <w:lvl w:ilvl="5">
      <w:start w:val="1"/>
      <w:numFmt w:val="lowerRoman"/>
      <w:lvlText w:val="%6."/>
      <w:lvlJc w:val="right"/>
      <w:pPr>
        <w:ind w:left="4887" w:hanging="180"/>
      </w:pPr>
      <w:rPr/>
    </w:lvl>
    <w:lvl w:ilvl="6">
      <w:start w:val="1"/>
      <w:numFmt w:val="decimal"/>
      <w:lvlText w:val="%7."/>
      <w:lvlJc w:val="left"/>
      <w:pPr>
        <w:ind w:left="5607" w:hanging="360"/>
      </w:pPr>
      <w:rPr/>
    </w:lvl>
    <w:lvl w:ilvl="7">
      <w:start w:val="1"/>
      <w:numFmt w:val="lowerLetter"/>
      <w:lvlText w:val="%8."/>
      <w:lvlJc w:val="left"/>
      <w:pPr>
        <w:ind w:left="6327" w:hanging="360"/>
      </w:pPr>
      <w:rPr/>
    </w:lvl>
    <w:lvl w:ilvl="8">
      <w:start w:val="1"/>
      <w:numFmt w:val="lowerRoman"/>
      <w:lvlText w:val="%9."/>
      <w:lvlJc w:val="right"/>
      <w:pPr>
        <w:ind w:left="7047" w:hanging="180"/>
      </w:pPr>
      <w:rPr/>
    </w:lvl>
  </w:abstractNum>
  <w:abstractNum w:abstractNumId="2">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366091"/>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366091"/>
      <w:sz w:val="26"/>
      <w:szCs w:val="26"/>
    </w:rPr>
  </w:style>
  <w:style w:type="paragraph" w:styleId="Heading3">
    <w:name w:val="heading 3"/>
    <w:basedOn w:val="Normal"/>
    <w:next w:val="Normal"/>
    <w:pPr>
      <w:keepNext w:val="1"/>
      <w:spacing w:after="60" w:before="240" w:lineRule="auto"/>
      <w:ind w:left="2160" w:hanging="720"/>
    </w:pPr>
    <w:rPr>
      <w:rFonts w:ascii="Calibri" w:cs="Calibri" w:eastAsia="Calibri" w:hAnsi="Calibri"/>
      <w:b w:val="1"/>
      <w:sz w:val="26"/>
      <w:szCs w:val="26"/>
    </w:rPr>
  </w:style>
  <w:style w:type="paragraph" w:styleId="Heading4">
    <w:name w:val="heading 4"/>
    <w:basedOn w:val="Normal"/>
    <w:next w:val="Normal"/>
    <w:pPr>
      <w:keepNext w:val="1"/>
      <w:spacing w:after="60" w:before="240" w:lineRule="auto"/>
      <w:ind w:left="2880" w:hanging="720"/>
    </w:pPr>
    <w:rPr>
      <w:rFonts w:ascii="Cambria" w:cs="Cambria" w:eastAsia="Cambria" w:hAnsi="Cambria"/>
      <w:b w:val="1"/>
      <w:sz w:val="28"/>
      <w:szCs w:val="28"/>
    </w:rPr>
  </w:style>
  <w:style w:type="paragraph" w:styleId="Heading5">
    <w:name w:val="heading 5"/>
    <w:basedOn w:val="Normal"/>
    <w:next w:val="Normal"/>
    <w:pPr>
      <w:spacing w:after="60" w:before="240" w:lineRule="auto"/>
      <w:ind w:left="3600" w:hanging="720"/>
    </w:pPr>
    <w:rPr>
      <w:rFonts w:ascii="Cambria" w:cs="Cambria" w:eastAsia="Cambria" w:hAnsi="Cambria"/>
      <w:b w:val="1"/>
      <w:i w:val="1"/>
      <w:sz w:val="26"/>
      <w:szCs w:val="26"/>
    </w:rPr>
  </w:style>
  <w:style w:type="paragraph" w:styleId="Heading6">
    <w:name w:val="heading 6"/>
    <w:basedOn w:val="Normal"/>
    <w:next w:val="Normal"/>
    <w:pPr>
      <w:spacing w:after="60" w:before="240" w:lineRule="auto"/>
      <w:ind w:left="4320" w:hanging="720"/>
    </w:pPr>
    <w:rPr>
      <w:b w:val="1"/>
      <w:sz w:val="22"/>
      <w:szCs w:val="22"/>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3A750A"/>
  </w:style>
  <w:style w:type="paragraph" w:styleId="Ttulo1">
    <w:name w:val="heading 1"/>
    <w:basedOn w:val="Normal"/>
    <w:next w:val="Normal"/>
    <w:uiPriority w:val="9"/>
    <w:qFormat w:val="1"/>
    <w:pPr>
      <w:keepNext w:val="1"/>
      <w:keepLines w:val="1"/>
      <w:spacing w:before="240"/>
      <w:outlineLvl w:val="0"/>
    </w:pPr>
    <w:rPr>
      <w:rFonts w:ascii="Calibri" w:cs="Calibri" w:eastAsia="Calibri" w:hAnsi="Calibri"/>
      <w:color w:val="366091"/>
      <w:sz w:val="32"/>
      <w:szCs w:val="32"/>
    </w:rPr>
  </w:style>
  <w:style w:type="paragraph" w:styleId="Ttulo2">
    <w:name w:val="heading 2"/>
    <w:basedOn w:val="Normal"/>
    <w:next w:val="Normal"/>
    <w:uiPriority w:val="9"/>
    <w:semiHidden w:val="1"/>
    <w:unhideWhenUsed w:val="1"/>
    <w:qFormat w:val="1"/>
    <w:pPr>
      <w:keepNext w:val="1"/>
      <w:keepLines w:val="1"/>
      <w:spacing w:before="40"/>
      <w:outlineLvl w:val="1"/>
    </w:pPr>
    <w:rPr>
      <w:rFonts w:ascii="Calibri" w:cs="Calibri" w:eastAsia="Calibri" w:hAnsi="Calibri"/>
      <w:color w:val="366091"/>
      <w:sz w:val="26"/>
      <w:szCs w:val="26"/>
    </w:rPr>
  </w:style>
  <w:style w:type="paragraph" w:styleId="Ttulo3">
    <w:name w:val="heading 3"/>
    <w:basedOn w:val="Normal"/>
    <w:next w:val="Normal"/>
    <w:uiPriority w:val="9"/>
    <w:semiHidden w:val="1"/>
    <w:unhideWhenUsed w:val="1"/>
    <w:qFormat w:val="1"/>
    <w:pPr>
      <w:keepNext w:val="1"/>
      <w:spacing w:after="60" w:before="240"/>
      <w:ind w:left="2160" w:hanging="720"/>
      <w:outlineLvl w:val="2"/>
    </w:pPr>
    <w:rPr>
      <w:rFonts w:ascii="Calibri" w:cs="Calibri" w:eastAsia="Calibri" w:hAnsi="Calibri"/>
      <w:b w:val="1"/>
      <w:sz w:val="26"/>
      <w:szCs w:val="26"/>
    </w:rPr>
  </w:style>
  <w:style w:type="paragraph" w:styleId="Ttulo4">
    <w:name w:val="heading 4"/>
    <w:basedOn w:val="Normal"/>
    <w:next w:val="Normal"/>
    <w:uiPriority w:val="9"/>
    <w:semiHidden w:val="1"/>
    <w:unhideWhenUsed w:val="1"/>
    <w:qFormat w:val="1"/>
    <w:pPr>
      <w:keepNext w:val="1"/>
      <w:spacing w:after="60" w:before="240"/>
      <w:ind w:left="2880" w:hanging="720"/>
      <w:outlineLvl w:val="3"/>
    </w:pPr>
    <w:rPr>
      <w:rFonts w:ascii="Cambria" w:cs="Cambria" w:eastAsia="Cambria" w:hAnsi="Cambria"/>
      <w:b w:val="1"/>
      <w:sz w:val="28"/>
      <w:szCs w:val="28"/>
    </w:rPr>
  </w:style>
  <w:style w:type="paragraph" w:styleId="Ttulo5">
    <w:name w:val="heading 5"/>
    <w:basedOn w:val="Normal"/>
    <w:next w:val="Normal"/>
    <w:uiPriority w:val="9"/>
    <w:semiHidden w:val="1"/>
    <w:unhideWhenUsed w:val="1"/>
    <w:qFormat w:val="1"/>
    <w:pPr>
      <w:spacing w:after="60" w:before="240"/>
      <w:ind w:left="3600" w:hanging="720"/>
      <w:outlineLvl w:val="4"/>
    </w:pPr>
    <w:rPr>
      <w:rFonts w:ascii="Cambria" w:cs="Cambria" w:eastAsia="Cambria" w:hAnsi="Cambria"/>
      <w:b w:val="1"/>
      <w:i w:val="1"/>
      <w:sz w:val="26"/>
      <w:szCs w:val="26"/>
    </w:rPr>
  </w:style>
  <w:style w:type="paragraph" w:styleId="Ttulo6">
    <w:name w:val="heading 6"/>
    <w:basedOn w:val="Normal"/>
    <w:next w:val="Normal"/>
    <w:uiPriority w:val="9"/>
    <w:semiHidden w:val="1"/>
    <w:unhideWhenUsed w:val="1"/>
    <w:qFormat w:val="1"/>
    <w:pPr>
      <w:spacing w:after="60" w:before="240"/>
      <w:ind w:left="4320" w:hanging="720"/>
      <w:outlineLvl w:val="5"/>
    </w:pPr>
    <w:rPr>
      <w:b w:val="1"/>
      <w:sz w:val="22"/>
      <w:szCs w:val="22"/>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5"/>
    <w:tblPr>
      <w:tblStyleRowBandSize w:val="1"/>
      <w:tblStyleColBandSize w:val="1"/>
      <w:tblCellMar>
        <w:left w:w="115.0" w:type="dxa"/>
        <w:right w:w="115.0" w:type="dxa"/>
      </w:tblCellMar>
    </w:tblPr>
  </w:style>
  <w:style w:type="table" w:styleId="a0" w:customStyle="1">
    <w:basedOn w:val="TableNormal5"/>
    <w:tblPr>
      <w:tblStyleRowBandSize w:val="1"/>
      <w:tblStyleColBandSize w:val="1"/>
      <w:tblCellMar>
        <w:left w:w="115.0" w:type="dxa"/>
        <w:right w:w="115.0" w:type="dxa"/>
      </w:tblCellMar>
    </w:tblPr>
  </w:style>
  <w:style w:type="paragraph" w:styleId="Encabezado">
    <w:name w:val="header"/>
    <w:basedOn w:val="Normal"/>
    <w:link w:val="EncabezadoCar"/>
    <w:uiPriority w:val="99"/>
    <w:unhideWhenUsed w:val="1"/>
    <w:rsid w:val="00B215CF"/>
    <w:pPr>
      <w:tabs>
        <w:tab w:val="center" w:pos="4419"/>
        <w:tab w:val="right" w:pos="8838"/>
      </w:tabs>
    </w:pPr>
  </w:style>
  <w:style w:type="character" w:styleId="EncabezadoCar" w:customStyle="1">
    <w:name w:val="Encabezado Car"/>
    <w:basedOn w:val="Fuentedeprrafopredeter"/>
    <w:link w:val="Encabezado"/>
    <w:uiPriority w:val="99"/>
    <w:rsid w:val="00B215CF"/>
  </w:style>
  <w:style w:type="paragraph" w:styleId="Piedepgina">
    <w:name w:val="footer"/>
    <w:basedOn w:val="Normal"/>
    <w:link w:val="PiedepginaCar"/>
    <w:uiPriority w:val="99"/>
    <w:unhideWhenUsed w:val="1"/>
    <w:rsid w:val="00B215CF"/>
    <w:pPr>
      <w:tabs>
        <w:tab w:val="center" w:pos="4419"/>
        <w:tab w:val="right" w:pos="8838"/>
      </w:tabs>
    </w:pPr>
  </w:style>
  <w:style w:type="character" w:styleId="PiedepginaCar" w:customStyle="1">
    <w:name w:val="Pie de página Car"/>
    <w:basedOn w:val="Fuentedeprrafopredeter"/>
    <w:link w:val="Piedepgina"/>
    <w:uiPriority w:val="99"/>
    <w:rsid w:val="00B215CF"/>
  </w:style>
  <w:style w:type="paragraph" w:styleId="NormalWeb">
    <w:name w:val="Normal (Web)"/>
    <w:basedOn w:val="Normal"/>
    <w:uiPriority w:val="99"/>
    <w:unhideWhenUsed w:val="1"/>
    <w:rsid w:val="00DA0443"/>
    <w:pPr>
      <w:spacing w:after="100" w:afterAutospacing="1" w:before="100" w:beforeAutospacing="1"/>
    </w:pPr>
  </w:style>
  <w:style w:type="paragraph" w:styleId="Prrafodelista">
    <w:name w:val="List Paragraph"/>
    <w:basedOn w:val="Normal"/>
    <w:uiPriority w:val="34"/>
    <w:qFormat w:val="1"/>
    <w:rsid w:val="000038B1"/>
    <w:pPr>
      <w:ind w:left="720"/>
      <w:contextualSpacing w:val="1"/>
    </w:pPr>
  </w:style>
  <w:style w:type="table" w:styleId="a1" w:customStyle="1">
    <w:basedOn w:val="TableNormal5"/>
    <w:tblPr>
      <w:tblStyleRowBandSize w:val="1"/>
      <w:tblStyleColBandSize w:val="1"/>
      <w:tblCellMar>
        <w:left w:w="115.0" w:type="dxa"/>
        <w:right w:w="115.0" w:type="dxa"/>
      </w:tblCellMar>
    </w:tblPr>
  </w:style>
  <w:style w:type="table" w:styleId="a2" w:customStyle="1">
    <w:basedOn w:val="TableNormal5"/>
    <w:tblPr>
      <w:tblStyleRowBandSize w:val="1"/>
      <w:tblStyleColBandSize w:val="1"/>
      <w:tblCellMar>
        <w:left w:w="115.0" w:type="dxa"/>
        <w:right w:w="115.0" w:type="dxa"/>
      </w:tblCellMar>
    </w:tblPr>
  </w:style>
  <w:style w:type="table" w:styleId="a3" w:customStyle="1">
    <w:basedOn w:val="TableNormal4"/>
    <w:tblPr>
      <w:tblStyleRowBandSize w:val="1"/>
      <w:tblStyleColBandSize w:val="1"/>
      <w:tblCellMar>
        <w:left w:w="115.0" w:type="dxa"/>
        <w:right w:w="115.0" w:type="dxa"/>
      </w:tblCellMar>
    </w:tblPr>
  </w:style>
  <w:style w:type="table" w:styleId="a4" w:customStyle="1">
    <w:basedOn w:val="TableNormal4"/>
    <w:tblPr>
      <w:tblStyleRowBandSize w:val="1"/>
      <w:tblStyleColBandSize w:val="1"/>
      <w:tblCellMar>
        <w:left w:w="115.0" w:type="dxa"/>
        <w:right w:w="115.0" w:type="dxa"/>
      </w:tblCellMar>
    </w:tblPr>
  </w:style>
  <w:style w:type="table" w:styleId="a5" w:customStyle="1">
    <w:basedOn w:val="TableNormal3"/>
    <w:tblPr>
      <w:tblStyleRowBandSize w:val="1"/>
      <w:tblStyleColBandSize w:val="1"/>
      <w:tblCellMar>
        <w:left w:w="115.0" w:type="dxa"/>
        <w:right w:w="115.0" w:type="dxa"/>
      </w:tblCellMar>
    </w:tblPr>
  </w:style>
  <w:style w:type="table" w:styleId="a6" w:customStyle="1">
    <w:basedOn w:val="TableNormal3"/>
    <w:tblPr>
      <w:tblStyleRowBandSize w:val="1"/>
      <w:tblStyleColBandSize w:val="1"/>
      <w:tblCellMar>
        <w:left w:w="115.0" w:type="dxa"/>
        <w:right w:w="115.0" w:type="dxa"/>
      </w:tblCellMar>
    </w:tblPr>
  </w:style>
  <w:style w:type="character" w:styleId="Hipervnculo">
    <w:name w:val="Hyperlink"/>
    <w:basedOn w:val="Fuentedeprrafopredeter"/>
    <w:uiPriority w:val="99"/>
    <w:unhideWhenUsed w:val="1"/>
    <w:rsid w:val="00455091"/>
    <w:rPr>
      <w:color w:val="0000ff" w:themeColor="hyperlink"/>
      <w:u w:val="single"/>
    </w:rPr>
  </w:style>
  <w:style w:type="paragraph" w:styleId="Listaconvietas3">
    <w:name w:val="List Bullet 3"/>
    <w:basedOn w:val="Normal"/>
    <w:uiPriority w:val="99"/>
    <w:unhideWhenUsed w:val="1"/>
    <w:rsid w:val="00210E50"/>
    <w:pPr>
      <w:numPr>
        <w:numId w:val="4"/>
      </w:numPr>
      <w:contextualSpacing w:val="1"/>
    </w:pPr>
    <w:rPr>
      <w:lang w:val="es-ES"/>
    </w:rPr>
  </w:style>
  <w:style w:type="table" w:styleId="a7" w:customStyle="1">
    <w:basedOn w:val="TableNormal2"/>
    <w:tblPr>
      <w:tblStyleRowBandSize w:val="1"/>
      <w:tblStyleColBandSize w:val="1"/>
      <w:tblCellMar>
        <w:left w:w="115.0" w:type="dxa"/>
        <w:right w:w="115.0" w:type="dxa"/>
      </w:tblCellMar>
    </w:tblPr>
  </w:style>
  <w:style w:type="table" w:styleId="a8" w:customStyle="1">
    <w:basedOn w:val="TableNormal2"/>
    <w:tblPr>
      <w:tblStyleRowBandSize w:val="1"/>
      <w:tblStyleColBandSize w:val="1"/>
      <w:tblCellMar>
        <w:left w:w="115.0" w:type="dxa"/>
        <w:right w:w="115.0" w:type="dxa"/>
      </w:tblCellMar>
    </w:tblPr>
  </w:style>
  <w:style w:type="table" w:styleId="a9" w:customStyle="1">
    <w:basedOn w:val="TableNormal1"/>
    <w:tblPr>
      <w:tblStyleRowBandSize w:val="1"/>
      <w:tblStyleColBandSize w:val="1"/>
      <w:tblCellMar>
        <w:left w:w="115.0" w:type="dxa"/>
        <w:right w:w="115.0" w:type="dxa"/>
      </w:tblCellMar>
    </w:tblPr>
  </w:style>
  <w:style w:type="table" w:styleId="aa" w:customStyle="1">
    <w:basedOn w:val="TableNormal1"/>
    <w:tblPr>
      <w:tblStyleRowBandSize w:val="1"/>
      <w:tblStyleColBandSize w:val="1"/>
      <w:tblCellMar>
        <w:left w:w="115.0" w:type="dxa"/>
        <w:right w:w="115.0" w:type="dxa"/>
      </w:tblCellMar>
    </w:tblPr>
  </w:style>
  <w:style w:type="table" w:styleId="ab" w:customStyle="1">
    <w:basedOn w:val="TableNormal0"/>
    <w:tblPr>
      <w:tblStyleRowBandSize w:val="1"/>
      <w:tblStyleColBandSize w:val="1"/>
      <w:tblCellMar>
        <w:left w:w="115.0" w:type="dxa"/>
        <w:right w:w="115.0" w:type="dxa"/>
      </w:tblCellMar>
    </w:tblPr>
  </w:style>
  <w:style w:type="table" w:styleId="ac" w:customStyle="1">
    <w:basedOn w:val="TableNormal0"/>
    <w:tblPr>
      <w:tblStyleRowBandSize w:val="1"/>
      <w:tblStyleColBandSize w:val="1"/>
      <w:tblCellMar>
        <w:left w:w="115.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7.png"/><Relationship Id="rId13" Type="http://schemas.openxmlformats.org/officeDocument/2006/relationships/image" Target="media/image1.png"/><Relationship Id="rId12" Type="http://schemas.openxmlformats.org/officeDocument/2006/relationships/image" Target="media/image9.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5" Type="http://schemas.openxmlformats.org/officeDocument/2006/relationships/image" Target="media/image5.png"/><Relationship Id="rId14" Type="http://schemas.openxmlformats.org/officeDocument/2006/relationships/image" Target="media/image2.png"/><Relationship Id="rId17" Type="http://schemas.openxmlformats.org/officeDocument/2006/relationships/header" Target="header2.xml"/><Relationship Id="rId16" Type="http://schemas.openxmlformats.org/officeDocument/2006/relationships/header" Target="header1.xml"/><Relationship Id="rId5" Type="http://schemas.openxmlformats.org/officeDocument/2006/relationships/numbering" Target="numbering.xml"/><Relationship Id="rId19" Type="http://schemas.openxmlformats.org/officeDocument/2006/relationships/footer" Target="footer2.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nLnyNe7oXEOo2RwiivyT8UQoow==">CgMxLjAyCWguMWZvYjl0ZTIIaC5namRneHMyCWguM2R5NnZrbTIJaC4zMGowemxsMgloLjJzOGV5bzEyCGgudHlqY3d0MgloLjN6bnlzaDcyCWguMmV0OTJwMDIJaC40ZDM0b2c4Mg5oLmlqdjk4cG50Y2Q1czIJaC4yNmluMXJnMghoLmxueGJ6OTIJaC4xN2RwOHZ1MgloLjNyZGNyam4yCWguMXQzaDVzZjgAciExXzhTaHcxNG1hV3N4NHV3emxYLWNYcmFsYXo1SW9sbG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2024-10-24T19:52:00Z</dcterms:created>
  <dc:creator>USUARIO</dc:creator>
</cp:coreProperties>
</file>