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D9120" w14:textId="77777777" w:rsidR="00492FA8" w:rsidRPr="00DA2451" w:rsidRDefault="00B93E7D">
      <w:pP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DA2451">
        <w:rPr>
          <w:rFonts w:ascii="Palatino Linotype" w:eastAsia="Palatino Linotype" w:hAnsi="Palatino Linotype" w:cs="Palatino Linotype"/>
          <w:b/>
        </w:rPr>
        <w:t>treinta y uno de enero de dos mil veinticuatro</w:t>
      </w:r>
      <w:r w:rsidRPr="00DA2451">
        <w:rPr>
          <w:rFonts w:ascii="Palatino Linotype" w:eastAsia="Palatino Linotype" w:hAnsi="Palatino Linotype" w:cs="Palatino Linotype"/>
        </w:rPr>
        <w:t xml:space="preserve">. </w:t>
      </w:r>
    </w:p>
    <w:p w14:paraId="0F357D8D" w14:textId="0EF0AD59" w:rsidR="00492FA8" w:rsidRPr="00DA2451" w:rsidRDefault="00B93E7D">
      <w:pP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b/>
        </w:rPr>
        <w:t>Visto</w:t>
      </w:r>
      <w:r w:rsidRPr="00DA2451">
        <w:rPr>
          <w:rFonts w:ascii="Palatino Linotype" w:eastAsia="Palatino Linotype" w:hAnsi="Palatino Linotype" w:cs="Palatino Linotype"/>
        </w:rPr>
        <w:t xml:space="preserve"> el expediente formado con motivo del recurso de revisión </w:t>
      </w:r>
      <w:r w:rsidRPr="00DA2451">
        <w:rPr>
          <w:rFonts w:ascii="Palatino Linotype" w:eastAsia="Palatino Linotype" w:hAnsi="Palatino Linotype" w:cs="Palatino Linotype"/>
          <w:b/>
        </w:rPr>
        <w:t>06034/INFOEM/IP/RR/2023</w:t>
      </w:r>
      <w:r w:rsidRPr="00DA2451">
        <w:rPr>
          <w:rFonts w:ascii="Palatino Linotype" w:eastAsia="Palatino Linotype" w:hAnsi="Palatino Linotype" w:cs="Palatino Linotype"/>
        </w:rPr>
        <w:t>, por interpuesto por</w:t>
      </w:r>
      <w:r w:rsidR="005B6503">
        <w:rPr>
          <w:rFonts w:ascii="Palatino Linotype" w:eastAsia="Palatino Linotype" w:hAnsi="Palatino Linotype" w:cs="Palatino Linotype"/>
          <w:b/>
        </w:rPr>
        <w:t xml:space="preserve"> XXXXXXX</w:t>
      </w:r>
      <w:bookmarkStart w:id="0" w:name="_GoBack"/>
      <w:bookmarkEnd w:id="0"/>
      <w:r w:rsidRPr="00DA2451">
        <w:rPr>
          <w:rFonts w:ascii="Palatino Linotype" w:eastAsia="Palatino Linotype" w:hAnsi="Palatino Linotype" w:cs="Palatino Linotype"/>
        </w:rPr>
        <w:t xml:space="preserve">, en lo sucesivo </w:t>
      </w:r>
      <w:r w:rsidRPr="00DA2451">
        <w:rPr>
          <w:rFonts w:ascii="Palatino Linotype" w:eastAsia="Palatino Linotype" w:hAnsi="Palatino Linotype" w:cs="Palatino Linotype"/>
          <w:b/>
        </w:rPr>
        <w:t>la parte Recurrente,</w:t>
      </w:r>
      <w:r w:rsidRPr="00DA2451">
        <w:rPr>
          <w:rFonts w:ascii="Palatino Linotype" w:eastAsia="Palatino Linotype" w:hAnsi="Palatino Linotype" w:cs="Palatino Linotype"/>
        </w:rPr>
        <w:t xml:space="preserve"> en contra de la respuesta a su solicitud por parte del </w:t>
      </w:r>
      <w:r w:rsidRPr="00DA2451">
        <w:rPr>
          <w:rFonts w:ascii="Palatino Linotype" w:eastAsia="Palatino Linotype" w:hAnsi="Palatino Linotype" w:cs="Palatino Linotype"/>
          <w:b/>
        </w:rPr>
        <w:t xml:space="preserve">Ayuntamiento de Rayón, </w:t>
      </w:r>
      <w:r w:rsidRPr="00DA2451">
        <w:rPr>
          <w:rFonts w:ascii="Palatino Linotype" w:eastAsia="Palatino Linotype" w:hAnsi="Palatino Linotype" w:cs="Palatino Linotype"/>
        </w:rPr>
        <w:t xml:space="preserve">en lo sucesivo el </w:t>
      </w:r>
      <w:r w:rsidRPr="00DA2451">
        <w:rPr>
          <w:rFonts w:ascii="Palatino Linotype" w:eastAsia="Palatino Linotype" w:hAnsi="Palatino Linotype" w:cs="Palatino Linotype"/>
          <w:b/>
        </w:rPr>
        <w:t xml:space="preserve">Sujeto Obligado, </w:t>
      </w:r>
      <w:r w:rsidRPr="00DA2451">
        <w:rPr>
          <w:rFonts w:ascii="Palatino Linotype" w:eastAsia="Palatino Linotype" w:hAnsi="Palatino Linotype" w:cs="Palatino Linotype"/>
        </w:rPr>
        <w:t xml:space="preserve">se procede a dictar la presente resolución con base en los siguientes: </w:t>
      </w:r>
    </w:p>
    <w:p w14:paraId="121E46B1" w14:textId="77777777" w:rsidR="00492FA8" w:rsidRPr="00DA2451" w:rsidRDefault="00B93E7D">
      <w:pPr>
        <w:spacing w:before="240" w:after="240" w:line="360" w:lineRule="auto"/>
        <w:jc w:val="center"/>
        <w:rPr>
          <w:rFonts w:ascii="Palatino Linotype" w:eastAsia="Palatino Linotype" w:hAnsi="Palatino Linotype" w:cs="Palatino Linotype"/>
          <w:b/>
        </w:rPr>
      </w:pPr>
      <w:r w:rsidRPr="00DA2451">
        <w:rPr>
          <w:rFonts w:ascii="Palatino Linotype" w:eastAsia="Palatino Linotype" w:hAnsi="Palatino Linotype" w:cs="Palatino Linotype"/>
          <w:b/>
        </w:rPr>
        <w:t>I. A N T E C E D E N T E S</w:t>
      </w:r>
    </w:p>
    <w:p w14:paraId="2E8ABE2E" w14:textId="77777777" w:rsidR="00492FA8" w:rsidRPr="00DA2451" w:rsidRDefault="00B93E7D">
      <w:pP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b/>
        </w:rPr>
        <w:t>1. Solicitud de acceso a la información.</w:t>
      </w:r>
      <w:r w:rsidRPr="00DA2451">
        <w:rPr>
          <w:rFonts w:ascii="Palatino Linotype" w:eastAsia="Palatino Linotype" w:hAnsi="Palatino Linotype" w:cs="Palatino Linotype"/>
        </w:rPr>
        <w:t xml:space="preserve"> El </w:t>
      </w:r>
      <w:r w:rsidRPr="00DA2451">
        <w:rPr>
          <w:rFonts w:ascii="Palatino Linotype" w:eastAsia="Palatino Linotype" w:hAnsi="Palatino Linotype" w:cs="Palatino Linotype"/>
          <w:b/>
        </w:rPr>
        <w:t>veintidós</w:t>
      </w:r>
      <w:r w:rsidRPr="00DA2451">
        <w:rPr>
          <w:rFonts w:ascii="Palatino Linotype" w:eastAsia="Palatino Linotype" w:hAnsi="Palatino Linotype" w:cs="Palatino Linotype"/>
        </w:rPr>
        <w:t xml:space="preserve"> </w:t>
      </w:r>
      <w:r w:rsidRPr="00DA2451">
        <w:rPr>
          <w:rFonts w:ascii="Palatino Linotype" w:eastAsia="Palatino Linotype" w:hAnsi="Palatino Linotype" w:cs="Palatino Linotype"/>
          <w:b/>
        </w:rPr>
        <w:t>de agosto del dos mil veintitrés,</w:t>
      </w:r>
      <w:r w:rsidRPr="00DA2451">
        <w:rPr>
          <w:rFonts w:ascii="Palatino Linotype" w:eastAsia="Palatino Linotype" w:hAnsi="Palatino Linotype" w:cs="Palatino Linotype"/>
        </w:rPr>
        <w:t xml:space="preserve"> </w:t>
      </w:r>
      <w:r w:rsidRPr="00DA2451">
        <w:rPr>
          <w:rFonts w:ascii="Palatino Linotype" w:eastAsia="Palatino Linotype" w:hAnsi="Palatino Linotype" w:cs="Palatino Linotype"/>
          <w:b/>
        </w:rPr>
        <w:t xml:space="preserve">la parte Recurrente </w:t>
      </w:r>
      <w:r w:rsidRPr="00DA2451">
        <w:rPr>
          <w:rFonts w:ascii="Palatino Linotype" w:eastAsia="Palatino Linotype" w:hAnsi="Palatino Linotype" w:cs="Palatino Linotype"/>
        </w:rPr>
        <w:t xml:space="preserve">presentó, a través del Sistema de Acceso a la Información Mexiquense, en lo subsecuente el </w:t>
      </w:r>
      <w:r w:rsidRPr="00DA2451">
        <w:rPr>
          <w:rFonts w:ascii="Palatino Linotype" w:eastAsia="Palatino Linotype" w:hAnsi="Palatino Linotype" w:cs="Palatino Linotype"/>
          <w:b/>
        </w:rPr>
        <w:t>SAIMEX,</w:t>
      </w:r>
      <w:r w:rsidRPr="00DA2451">
        <w:rPr>
          <w:rFonts w:ascii="Palatino Linotype" w:eastAsia="Palatino Linotype" w:hAnsi="Palatino Linotype" w:cs="Palatino Linotype"/>
        </w:rPr>
        <w:t xml:space="preserve"> ante el </w:t>
      </w:r>
      <w:r w:rsidRPr="00DA2451">
        <w:rPr>
          <w:rFonts w:ascii="Palatino Linotype" w:eastAsia="Palatino Linotype" w:hAnsi="Palatino Linotype" w:cs="Palatino Linotype"/>
          <w:b/>
        </w:rPr>
        <w:t>Sujeto Obligado</w:t>
      </w:r>
      <w:r w:rsidRPr="00DA2451">
        <w:rPr>
          <w:rFonts w:ascii="Palatino Linotype" w:eastAsia="Palatino Linotype" w:hAnsi="Palatino Linotype" w:cs="Palatino Linotype"/>
        </w:rPr>
        <w:t>, la solicitud de acceso a la información pública, a la que se le asignó el número</w:t>
      </w:r>
      <w:r w:rsidRPr="00DA2451">
        <w:rPr>
          <w:rFonts w:ascii="Palatino Linotype" w:eastAsia="Palatino Linotype" w:hAnsi="Palatino Linotype" w:cs="Palatino Linotype"/>
          <w:b/>
        </w:rPr>
        <w:t xml:space="preserve">  00059/RAYON/IP/2023, </w:t>
      </w:r>
      <w:r w:rsidRPr="00DA2451">
        <w:rPr>
          <w:rFonts w:ascii="Palatino Linotype" w:eastAsia="Palatino Linotype" w:hAnsi="Palatino Linotype" w:cs="Palatino Linotype"/>
        </w:rPr>
        <w:t xml:space="preserve">mediante la cual requirió la información siguiente: </w:t>
      </w:r>
    </w:p>
    <w:p w14:paraId="1BAEC84D" w14:textId="77777777" w:rsidR="00492FA8" w:rsidRPr="00DA2451" w:rsidRDefault="00B93E7D">
      <w:pPr>
        <w:spacing w:before="240"/>
        <w:ind w:left="851" w:right="902"/>
        <w:jc w:val="both"/>
        <w:rPr>
          <w:rFonts w:ascii="Palatino Linotype" w:eastAsia="Palatino Linotype" w:hAnsi="Palatino Linotype" w:cs="Palatino Linotype"/>
          <w:b/>
          <w:i/>
          <w:sz w:val="22"/>
          <w:szCs w:val="22"/>
          <w:u w:val="single"/>
        </w:rPr>
      </w:pPr>
      <w:bookmarkStart w:id="1" w:name="_heading=h.gjdgxs" w:colFirst="0" w:colLast="0"/>
      <w:bookmarkEnd w:id="1"/>
      <w:r w:rsidRPr="00DA2451">
        <w:rPr>
          <w:rFonts w:ascii="Palatino Linotype" w:eastAsia="Palatino Linotype" w:hAnsi="Palatino Linotype" w:cs="Palatino Linotype"/>
          <w:i/>
          <w:sz w:val="22"/>
          <w:szCs w:val="22"/>
        </w:rPr>
        <w:t>“Que presupuesto destinó a sus murales que está haciendo en el andador. Que permiso de medio ambiente tiene para poder hacer sus murales, ya que está usando aerosoles.” (Sic)</w:t>
      </w:r>
    </w:p>
    <w:p w14:paraId="1B46E06E" w14:textId="77777777" w:rsidR="00492FA8" w:rsidRPr="00DA2451" w:rsidRDefault="00492FA8">
      <w:pPr>
        <w:spacing w:line="360" w:lineRule="auto"/>
        <w:ind w:right="900"/>
        <w:jc w:val="both"/>
        <w:rPr>
          <w:rFonts w:ascii="Palatino Linotype" w:eastAsia="Palatino Linotype" w:hAnsi="Palatino Linotype" w:cs="Palatino Linotype"/>
        </w:rPr>
      </w:pPr>
    </w:p>
    <w:p w14:paraId="091CA71E" w14:textId="77777777" w:rsidR="00492FA8" w:rsidRPr="00DA2451" w:rsidRDefault="00B93E7D">
      <w:pPr>
        <w:spacing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b/>
        </w:rPr>
        <w:t>Modalidad de Entrega:</w:t>
      </w:r>
      <w:r w:rsidRPr="00DA2451">
        <w:rPr>
          <w:rFonts w:ascii="Palatino Linotype" w:eastAsia="Palatino Linotype" w:hAnsi="Palatino Linotype" w:cs="Palatino Linotype"/>
        </w:rPr>
        <w:t xml:space="preserve"> A través de </w:t>
      </w:r>
      <w:r w:rsidRPr="00DA2451">
        <w:rPr>
          <w:rFonts w:ascii="Palatino Linotype" w:eastAsia="Palatino Linotype" w:hAnsi="Palatino Linotype" w:cs="Palatino Linotype"/>
          <w:b/>
        </w:rPr>
        <w:t>SAIMEX</w:t>
      </w:r>
      <w:r w:rsidRPr="00DA2451">
        <w:rPr>
          <w:rFonts w:ascii="Palatino Linotype" w:eastAsia="Palatino Linotype" w:hAnsi="Palatino Linotype" w:cs="Palatino Linotype"/>
        </w:rPr>
        <w:t>.</w:t>
      </w:r>
    </w:p>
    <w:p w14:paraId="2B43E47E" w14:textId="77777777" w:rsidR="00492FA8" w:rsidRPr="00DA2451" w:rsidRDefault="00492FA8">
      <w:pPr>
        <w:spacing w:line="360" w:lineRule="auto"/>
        <w:jc w:val="both"/>
        <w:rPr>
          <w:rFonts w:ascii="Palatino Linotype" w:eastAsia="Palatino Linotype" w:hAnsi="Palatino Linotype" w:cs="Palatino Linotype"/>
        </w:rPr>
      </w:pPr>
    </w:p>
    <w:p w14:paraId="66A19142" w14:textId="77777777" w:rsidR="00492FA8" w:rsidRPr="00DA2451" w:rsidRDefault="00B93E7D">
      <w:pPr>
        <w:spacing w:after="240" w:line="360" w:lineRule="auto"/>
        <w:jc w:val="both"/>
        <w:rPr>
          <w:rFonts w:ascii="Palatino Linotype" w:eastAsia="Palatino Linotype" w:hAnsi="Palatino Linotype" w:cs="Palatino Linotype"/>
          <w:b/>
        </w:rPr>
      </w:pPr>
      <w:r w:rsidRPr="00DA2451">
        <w:rPr>
          <w:rFonts w:ascii="Palatino Linotype" w:eastAsia="Palatino Linotype" w:hAnsi="Palatino Linotype" w:cs="Palatino Linotype"/>
          <w:b/>
        </w:rPr>
        <w:t xml:space="preserve">2. Respuesta. </w:t>
      </w:r>
      <w:r w:rsidRPr="00DA2451">
        <w:rPr>
          <w:rFonts w:ascii="Palatino Linotype" w:eastAsia="Palatino Linotype" w:hAnsi="Palatino Linotype" w:cs="Palatino Linotype"/>
        </w:rPr>
        <w:t xml:space="preserve">El </w:t>
      </w:r>
      <w:r w:rsidRPr="00DA2451">
        <w:rPr>
          <w:rFonts w:ascii="Palatino Linotype" w:eastAsia="Palatino Linotype" w:hAnsi="Palatino Linotype" w:cs="Palatino Linotype"/>
          <w:b/>
        </w:rPr>
        <w:t>doce de septiembre de dos mil veintitrés</w:t>
      </w:r>
      <w:r w:rsidRPr="00DA2451">
        <w:rPr>
          <w:rFonts w:ascii="Palatino Linotype" w:eastAsia="Palatino Linotype" w:hAnsi="Palatino Linotype" w:cs="Palatino Linotype"/>
        </w:rPr>
        <w:t xml:space="preserve">, el </w:t>
      </w:r>
      <w:r w:rsidRPr="00DA2451">
        <w:rPr>
          <w:rFonts w:ascii="Palatino Linotype" w:eastAsia="Palatino Linotype" w:hAnsi="Palatino Linotype" w:cs="Palatino Linotype"/>
          <w:b/>
        </w:rPr>
        <w:t xml:space="preserve">Sujeto Obligado </w:t>
      </w:r>
      <w:r w:rsidRPr="00DA2451">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5F4E88DC" w14:textId="77777777" w:rsidR="00492FA8" w:rsidRPr="00DA2451" w:rsidRDefault="00B93E7D">
      <w:pPr>
        <w:spacing w:before="240" w:after="240"/>
        <w:ind w:left="567" w:right="902"/>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a interponer recurso de revisión en términos de lo establecido en los artículos 176, 177 y 178 de la Ley invocada.” ATENTAMENTE Mtra. NORMA ARANSASU VALDES PEDRAZA Unidad de Transparencia Ayuntamiento de Rayón ATENTAMENTE Mtra. NORMA ARANSASU VALDES PEDRAZA Unidad de Transparencia Ayuntamiento de Rayón</w:t>
      </w:r>
    </w:p>
    <w:p w14:paraId="62E551BC" w14:textId="77777777" w:rsidR="00492FA8" w:rsidRPr="00DA2451" w:rsidRDefault="00B93E7D">
      <w:pPr>
        <w:spacing w:before="240" w:after="240"/>
        <w:ind w:left="567" w:right="902"/>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i/>
          <w:sz w:val="22"/>
          <w:szCs w:val="22"/>
        </w:rPr>
        <w:t>ATENTAMENTE</w:t>
      </w:r>
    </w:p>
    <w:p w14:paraId="127D9621" w14:textId="77777777" w:rsidR="00492FA8" w:rsidRPr="00DA2451" w:rsidRDefault="00B93E7D">
      <w:pPr>
        <w:spacing w:before="240" w:after="240"/>
        <w:ind w:left="567" w:right="902"/>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i/>
          <w:sz w:val="22"/>
          <w:szCs w:val="22"/>
        </w:rPr>
        <w:t>Mtra. NORMA ARANSASU VALDES PEDRAZA” (Sic)</w:t>
      </w:r>
    </w:p>
    <w:p w14:paraId="76F53AFD" w14:textId="77777777" w:rsidR="00492FA8" w:rsidRPr="00DA2451" w:rsidRDefault="00B93E7D">
      <w:pPr>
        <w:spacing w:before="240" w:after="240" w:line="360" w:lineRule="auto"/>
        <w:ind w:right="49"/>
        <w:jc w:val="both"/>
        <w:rPr>
          <w:rFonts w:ascii="Palatino Linotype" w:eastAsia="Palatino Linotype" w:hAnsi="Palatino Linotype" w:cs="Palatino Linotype"/>
        </w:rPr>
      </w:pPr>
      <w:r w:rsidRPr="00DA2451">
        <w:rPr>
          <w:rFonts w:ascii="Palatino Linotype" w:eastAsia="Palatino Linotype" w:hAnsi="Palatino Linotype" w:cs="Palatino Linotype"/>
        </w:rPr>
        <w:t xml:space="preserve">Es de precisar que en esta etapa procesal, el </w:t>
      </w:r>
      <w:r w:rsidRPr="00DA2451">
        <w:rPr>
          <w:rFonts w:ascii="Palatino Linotype" w:eastAsia="Palatino Linotype" w:hAnsi="Palatino Linotype" w:cs="Palatino Linotype"/>
          <w:b/>
        </w:rPr>
        <w:t>Sujeto Obligado</w:t>
      </w:r>
      <w:r w:rsidRPr="00DA2451">
        <w:rPr>
          <w:rFonts w:ascii="Palatino Linotype" w:eastAsia="Palatino Linotype" w:hAnsi="Palatino Linotype" w:cs="Palatino Linotype"/>
        </w:rPr>
        <w:t xml:space="preserve"> no adjuntó archivo alguno.</w:t>
      </w:r>
    </w:p>
    <w:p w14:paraId="38E4F54B" w14:textId="77777777" w:rsidR="00492FA8" w:rsidRPr="00DA2451" w:rsidRDefault="00B93E7D">
      <w:pPr>
        <w:spacing w:before="240" w:after="240" w:line="360" w:lineRule="auto"/>
        <w:ind w:right="49"/>
        <w:jc w:val="both"/>
        <w:rPr>
          <w:rFonts w:ascii="Palatino Linotype" w:eastAsia="Palatino Linotype" w:hAnsi="Palatino Linotype" w:cs="Palatino Linotype"/>
        </w:rPr>
      </w:pPr>
      <w:r w:rsidRPr="00DA2451">
        <w:rPr>
          <w:rFonts w:ascii="Palatino Linotype" w:eastAsia="Palatino Linotype" w:hAnsi="Palatino Linotype" w:cs="Palatino Linotype"/>
          <w:b/>
        </w:rPr>
        <w:t xml:space="preserve">3. Interposición del recurso de revisión. </w:t>
      </w:r>
      <w:r w:rsidRPr="00DA2451">
        <w:rPr>
          <w:rFonts w:ascii="Palatino Linotype" w:eastAsia="Palatino Linotype" w:hAnsi="Palatino Linotype" w:cs="Palatino Linotype"/>
        </w:rPr>
        <w:t xml:space="preserve">Inconforme con los términos de la respuesta emitida por parte del </w:t>
      </w:r>
      <w:r w:rsidRPr="00DA2451">
        <w:rPr>
          <w:rFonts w:ascii="Palatino Linotype" w:eastAsia="Palatino Linotype" w:hAnsi="Palatino Linotype" w:cs="Palatino Linotype"/>
          <w:b/>
        </w:rPr>
        <w:t>Sujeto Obligado</w:t>
      </w:r>
      <w:r w:rsidRPr="00DA2451">
        <w:rPr>
          <w:rFonts w:ascii="Palatino Linotype" w:eastAsia="Palatino Linotype" w:hAnsi="Palatino Linotype" w:cs="Palatino Linotype"/>
        </w:rPr>
        <w:t xml:space="preserve">, el </w:t>
      </w:r>
      <w:r w:rsidRPr="00DA2451">
        <w:rPr>
          <w:rFonts w:ascii="Palatino Linotype" w:eastAsia="Palatino Linotype" w:hAnsi="Palatino Linotype" w:cs="Palatino Linotype"/>
          <w:b/>
        </w:rPr>
        <w:t>doce de septiembre de dos mil veintitrés,</w:t>
      </w:r>
      <w:r w:rsidRPr="00DA2451">
        <w:rPr>
          <w:rFonts w:ascii="Palatino Linotype" w:eastAsia="Palatino Linotype" w:hAnsi="Palatino Linotype" w:cs="Palatino Linotype"/>
        </w:rPr>
        <w:t xml:space="preserve"> </w:t>
      </w:r>
      <w:r w:rsidRPr="00DA2451">
        <w:rPr>
          <w:rFonts w:ascii="Palatino Linotype" w:eastAsia="Palatino Linotype" w:hAnsi="Palatino Linotype" w:cs="Palatino Linotype"/>
          <w:b/>
        </w:rPr>
        <w:t>la parte Recurrente</w:t>
      </w:r>
      <w:r w:rsidRPr="00DA2451">
        <w:rPr>
          <w:rFonts w:ascii="Palatino Linotype" w:eastAsia="Palatino Linotype" w:hAnsi="Palatino Linotype" w:cs="Palatino Linotype"/>
        </w:rPr>
        <w:t xml:space="preserve"> interpuso el recurso de revisión a través de </w:t>
      </w:r>
      <w:r w:rsidRPr="00DA2451">
        <w:rPr>
          <w:rFonts w:ascii="Palatino Linotype" w:eastAsia="Palatino Linotype" w:hAnsi="Palatino Linotype" w:cs="Palatino Linotype"/>
          <w:b/>
        </w:rPr>
        <w:t xml:space="preserve">SAIMEX, </w:t>
      </w:r>
      <w:r w:rsidRPr="00DA2451">
        <w:rPr>
          <w:rFonts w:ascii="Palatino Linotype" w:eastAsia="Palatino Linotype" w:hAnsi="Palatino Linotype" w:cs="Palatino Linotype"/>
        </w:rPr>
        <w:t>en donde se manifestó de la siguiente manera:</w:t>
      </w:r>
    </w:p>
    <w:p w14:paraId="42A321FA" w14:textId="77777777" w:rsidR="00492FA8" w:rsidRPr="00DA2451" w:rsidRDefault="00B93E7D">
      <w:pPr>
        <w:tabs>
          <w:tab w:val="left" w:pos="2745"/>
        </w:tabs>
        <w:spacing w:before="240" w:after="240" w:line="360" w:lineRule="auto"/>
        <w:jc w:val="both"/>
        <w:rPr>
          <w:rFonts w:ascii="Palatino Linotype" w:eastAsia="Palatino Linotype" w:hAnsi="Palatino Linotype" w:cs="Palatino Linotype"/>
          <w:b/>
        </w:rPr>
      </w:pPr>
      <w:r w:rsidRPr="00DA2451">
        <w:rPr>
          <w:rFonts w:ascii="Palatino Linotype" w:eastAsia="Palatino Linotype" w:hAnsi="Palatino Linotype" w:cs="Palatino Linotype"/>
          <w:b/>
        </w:rPr>
        <w:t xml:space="preserve">a) Acto impugnado: </w:t>
      </w:r>
      <w:r w:rsidRPr="00DA2451">
        <w:rPr>
          <w:rFonts w:ascii="Palatino Linotype" w:eastAsia="Palatino Linotype" w:hAnsi="Palatino Linotype" w:cs="Palatino Linotype"/>
          <w:b/>
        </w:rPr>
        <w:tab/>
      </w:r>
    </w:p>
    <w:p w14:paraId="075B4499" w14:textId="77777777" w:rsidR="00492FA8" w:rsidRPr="00DA2451" w:rsidRDefault="00B93E7D">
      <w:pPr>
        <w:ind w:left="567" w:right="902"/>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i/>
          <w:sz w:val="22"/>
          <w:szCs w:val="22"/>
        </w:rPr>
        <w:t>“Completamente todo” (Sic)</w:t>
      </w:r>
    </w:p>
    <w:p w14:paraId="53634DB7" w14:textId="77777777" w:rsidR="00492FA8" w:rsidRPr="00DA2451" w:rsidRDefault="00492FA8">
      <w:pPr>
        <w:ind w:left="851" w:right="902"/>
        <w:jc w:val="both"/>
        <w:rPr>
          <w:rFonts w:ascii="Palatino Linotype" w:eastAsia="Palatino Linotype" w:hAnsi="Palatino Linotype" w:cs="Palatino Linotype"/>
          <w:i/>
          <w:sz w:val="22"/>
          <w:szCs w:val="22"/>
        </w:rPr>
      </w:pPr>
    </w:p>
    <w:p w14:paraId="23A93ECC" w14:textId="77777777" w:rsidR="00492FA8" w:rsidRPr="00DA2451" w:rsidRDefault="00B93E7D">
      <w:pPr>
        <w:spacing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b/>
        </w:rPr>
        <w:t>b) Razones o motivos de inconformidad</w:t>
      </w:r>
      <w:r w:rsidRPr="00DA2451">
        <w:rPr>
          <w:rFonts w:ascii="Palatino Linotype" w:eastAsia="Palatino Linotype" w:hAnsi="Palatino Linotype" w:cs="Palatino Linotype"/>
        </w:rPr>
        <w:t>:</w:t>
      </w:r>
    </w:p>
    <w:p w14:paraId="2EDADF5E" w14:textId="77777777" w:rsidR="00492FA8" w:rsidRPr="00DA2451" w:rsidRDefault="00B93E7D">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DA2451">
        <w:rPr>
          <w:rFonts w:ascii="Palatino Linotype" w:eastAsia="Palatino Linotype" w:hAnsi="Palatino Linotype" w:cs="Palatino Linotype"/>
          <w:i/>
          <w:sz w:val="22"/>
          <w:szCs w:val="22"/>
        </w:rPr>
        <w:t xml:space="preserve"> “No recibí respuesta, ni archivo adjunto” (Sic) </w:t>
      </w:r>
    </w:p>
    <w:p w14:paraId="1DB7E906" w14:textId="77777777" w:rsidR="00492FA8" w:rsidRPr="00DA2451" w:rsidRDefault="00492FA8">
      <w:pPr>
        <w:ind w:left="567" w:right="902"/>
        <w:jc w:val="both"/>
        <w:rPr>
          <w:rFonts w:ascii="Palatino Linotype" w:eastAsia="Palatino Linotype" w:hAnsi="Palatino Linotype" w:cs="Palatino Linotype"/>
          <w:i/>
          <w:sz w:val="22"/>
          <w:szCs w:val="22"/>
        </w:rPr>
      </w:pPr>
    </w:p>
    <w:p w14:paraId="337356C9" w14:textId="77777777" w:rsidR="00492FA8" w:rsidRPr="00DA2451" w:rsidRDefault="00492FA8">
      <w:pPr>
        <w:ind w:right="902"/>
        <w:jc w:val="both"/>
        <w:rPr>
          <w:rFonts w:ascii="Palatino Linotype" w:eastAsia="Palatino Linotype" w:hAnsi="Palatino Linotype" w:cs="Palatino Linotype"/>
          <w:sz w:val="22"/>
          <w:szCs w:val="22"/>
        </w:rPr>
      </w:pPr>
    </w:p>
    <w:p w14:paraId="6AD51B0F" w14:textId="77777777" w:rsidR="00492FA8" w:rsidRPr="00DA2451" w:rsidRDefault="00B93E7D">
      <w:pPr>
        <w:spacing w:line="360" w:lineRule="auto"/>
        <w:ind w:right="51"/>
        <w:jc w:val="both"/>
        <w:rPr>
          <w:rFonts w:ascii="Palatino Linotype" w:eastAsia="Palatino Linotype" w:hAnsi="Palatino Linotype" w:cs="Palatino Linotype"/>
        </w:rPr>
      </w:pPr>
      <w:r w:rsidRPr="00DA2451">
        <w:rPr>
          <w:rFonts w:ascii="Palatino Linotype" w:eastAsia="Palatino Linotype" w:hAnsi="Palatino Linotype" w:cs="Palatino Linotype"/>
          <w:b/>
        </w:rPr>
        <w:lastRenderedPageBreak/>
        <w:t xml:space="preserve">4. Turno. </w:t>
      </w:r>
      <w:r w:rsidRPr="00DA245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DA2451">
        <w:rPr>
          <w:rFonts w:ascii="Palatino Linotype" w:eastAsia="Palatino Linotype" w:hAnsi="Palatino Linotype" w:cs="Palatino Linotype"/>
          <w:b/>
        </w:rPr>
        <w:t>Comisionada</w:t>
      </w:r>
      <w:r w:rsidRPr="00DA2451">
        <w:rPr>
          <w:rFonts w:ascii="Palatino Linotype" w:eastAsia="Palatino Linotype" w:hAnsi="Palatino Linotype" w:cs="Palatino Linotype"/>
        </w:rPr>
        <w:t xml:space="preserve"> </w:t>
      </w:r>
      <w:r w:rsidRPr="00DA2451">
        <w:rPr>
          <w:rFonts w:ascii="Palatino Linotype" w:eastAsia="Palatino Linotype" w:hAnsi="Palatino Linotype" w:cs="Palatino Linotype"/>
          <w:b/>
        </w:rPr>
        <w:t xml:space="preserve">Guadalupe Ramírez Peña, </w:t>
      </w:r>
      <w:r w:rsidRPr="00DA2451">
        <w:rPr>
          <w:rFonts w:ascii="Palatino Linotype" w:eastAsia="Palatino Linotype" w:hAnsi="Palatino Linotype" w:cs="Palatino Linotype"/>
        </w:rPr>
        <w:t xml:space="preserve">a efecto de que analizará sobre su admisión o su </w:t>
      </w:r>
      <w:proofErr w:type="spellStart"/>
      <w:r w:rsidRPr="00DA2451">
        <w:rPr>
          <w:rFonts w:ascii="Palatino Linotype" w:eastAsia="Palatino Linotype" w:hAnsi="Palatino Linotype" w:cs="Palatino Linotype"/>
        </w:rPr>
        <w:t>desechamiento</w:t>
      </w:r>
      <w:proofErr w:type="spellEnd"/>
      <w:r w:rsidRPr="00DA2451">
        <w:rPr>
          <w:rFonts w:ascii="Palatino Linotype" w:eastAsia="Palatino Linotype" w:hAnsi="Palatino Linotype" w:cs="Palatino Linotype"/>
        </w:rPr>
        <w:t>.</w:t>
      </w:r>
    </w:p>
    <w:p w14:paraId="0C7BF794" w14:textId="77777777" w:rsidR="00492FA8" w:rsidRPr="00DA2451" w:rsidRDefault="00492FA8">
      <w:pPr>
        <w:spacing w:line="360" w:lineRule="auto"/>
        <w:ind w:right="51"/>
        <w:jc w:val="both"/>
        <w:rPr>
          <w:rFonts w:ascii="Palatino Linotype" w:eastAsia="Palatino Linotype" w:hAnsi="Palatino Linotype" w:cs="Palatino Linotype"/>
        </w:rPr>
      </w:pPr>
    </w:p>
    <w:p w14:paraId="0AD59640" w14:textId="77777777" w:rsidR="00492FA8" w:rsidRPr="00DA2451" w:rsidRDefault="00B93E7D">
      <w:pPr>
        <w:spacing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b/>
        </w:rPr>
        <w:t>5. Admisión del Recurso de Revisión.</w:t>
      </w:r>
      <w:r w:rsidRPr="00DA2451">
        <w:rPr>
          <w:rFonts w:ascii="Palatino Linotype" w:eastAsia="Palatino Linotype" w:hAnsi="Palatino Linotype" w:cs="Palatino Linotype"/>
        </w:rPr>
        <w:t xml:space="preserve"> El </w:t>
      </w:r>
      <w:r w:rsidRPr="00DA2451">
        <w:rPr>
          <w:rFonts w:ascii="Palatino Linotype" w:eastAsia="Palatino Linotype" w:hAnsi="Palatino Linotype" w:cs="Palatino Linotype"/>
          <w:b/>
        </w:rPr>
        <w:t xml:space="preserve">quince de septiembre de dos mil veintitrés, </w:t>
      </w:r>
      <w:r w:rsidRPr="00DA245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DA2451">
        <w:rPr>
          <w:rFonts w:ascii="Palatino Linotype" w:eastAsia="Palatino Linotype" w:hAnsi="Palatino Linotype" w:cs="Palatino Linotype"/>
          <w:b/>
        </w:rPr>
        <w:t xml:space="preserve">Sujeto Obligado </w:t>
      </w:r>
      <w:r w:rsidRPr="00DA2451">
        <w:rPr>
          <w:rFonts w:ascii="Palatino Linotype" w:eastAsia="Palatino Linotype" w:hAnsi="Palatino Linotype" w:cs="Palatino Linotype"/>
        </w:rPr>
        <w:t>presentara su informe justificado.</w:t>
      </w:r>
    </w:p>
    <w:p w14:paraId="3EF1D28B" w14:textId="77777777" w:rsidR="00492FA8" w:rsidRPr="00DA2451" w:rsidRDefault="00B93E7D">
      <w:pPr>
        <w:spacing w:after="240" w:line="360" w:lineRule="auto"/>
        <w:jc w:val="both"/>
        <w:rPr>
          <w:rFonts w:ascii="Palatino Linotype" w:eastAsia="Palatino Linotype" w:hAnsi="Palatino Linotype" w:cs="Palatino Linotype"/>
        </w:rPr>
      </w:pPr>
      <w:bookmarkStart w:id="3" w:name="_heading=h.2s8eyo1" w:colFirst="0" w:colLast="0"/>
      <w:bookmarkEnd w:id="3"/>
      <w:r w:rsidRPr="00DA2451">
        <w:rPr>
          <w:rFonts w:ascii="Palatino Linotype" w:eastAsia="Palatino Linotype" w:hAnsi="Palatino Linotype" w:cs="Palatino Linotype"/>
          <w:b/>
        </w:rPr>
        <w:t>6. Manifestaciones</w:t>
      </w:r>
      <w:r w:rsidRPr="00DA2451">
        <w:rPr>
          <w:rFonts w:ascii="Palatino Linotype" w:eastAsia="Palatino Linotype" w:hAnsi="Palatino Linotype" w:cs="Palatino Linotype"/>
        </w:rPr>
        <w:t xml:space="preserve">. El </w:t>
      </w:r>
      <w:r w:rsidRPr="00DA2451">
        <w:rPr>
          <w:rFonts w:ascii="Palatino Linotype" w:eastAsia="Palatino Linotype" w:hAnsi="Palatino Linotype" w:cs="Palatino Linotype"/>
          <w:b/>
        </w:rPr>
        <w:t>nueve de octubre de dos mil veintitrés</w:t>
      </w:r>
      <w:r w:rsidRPr="00DA2451">
        <w:rPr>
          <w:rFonts w:ascii="Palatino Linotype" w:eastAsia="Palatino Linotype" w:hAnsi="Palatino Linotype" w:cs="Palatino Linotype"/>
        </w:rPr>
        <w:t xml:space="preserve">, el </w:t>
      </w:r>
      <w:r w:rsidRPr="00DA2451">
        <w:rPr>
          <w:rFonts w:ascii="Palatino Linotype" w:eastAsia="Palatino Linotype" w:hAnsi="Palatino Linotype" w:cs="Palatino Linotype"/>
          <w:b/>
        </w:rPr>
        <w:t>Sujeto Obligado</w:t>
      </w:r>
      <w:r w:rsidRPr="00DA2451">
        <w:rPr>
          <w:rFonts w:ascii="Palatino Linotype" w:eastAsia="Palatino Linotype" w:hAnsi="Palatino Linotype" w:cs="Palatino Linotype"/>
        </w:rPr>
        <w:t xml:space="preserve"> remitió su informe justificado mediante el archivo electrónico “</w:t>
      </w:r>
      <w:r w:rsidRPr="00DA2451">
        <w:rPr>
          <w:rFonts w:ascii="Palatino Linotype" w:eastAsia="Palatino Linotype" w:hAnsi="Palatino Linotype" w:cs="Palatino Linotype"/>
          <w:b/>
          <w:i/>
        </w:rPr>
        <w:t xml:space="preserve">Escaneo0024.pdf”, </w:t>
      </w:r>
      <w:r w:rsidRPr="00DA2451">
        <w:rPr>
          <w:rFonts w:ascii="Palatino Linotype" w:eastAsia="Palatino Linotype" w:hAnsi="Palatino Linotype" w:cs="Palatino Linotype"/>
        </w:rPr>
        <w:t>en el cual medularmente se aprecia la factura correspondiente al costo del mural y la respuesta entregada por la Directora de Medio Ambiente del Ayuntamiento de Rayón.</w:t>
      </w:r>
    </w:p>
    <w:p w14:paraId="5E26E84D" w14:textId="77777777" w:rsidR="00492FA8" w:rsidRPr="00DA2451" w:rsidRDefault="00B93E7D">
      <w:pPr>
        <w:spacing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 xml:space="preserve">Es de precisar que una vez analizados estos soportes documentales, se hicieron del conocimiento de la parte </w:t>
      </w:r>
      <w:r w:rsidRPr="00DA2451">
        <w:rPr>
          <w:rFonts w:ascii="Palatino Linotype" w:eastAsia="Palatino Linotype" w:hAnsi="Palatino Linotype" w:cs="Palatino Linotype"/>
          <w:b/>
        </w:rPr>
        <w:t>Recurrente</w:t>
      </w:r>
      <w:r w:rsidRPr="00DA2451">
        <w:rPr>
          <w:rFonts w:ascii="Palatino Linotype" w:eastAsia="Palatino Linotype" w:hAnsi="Palatino Linotype" w:cs="Palatino Linotype"/>
        </w:rPr>
        <w:t xml:space="preserve">, mediante acuerdo emitido por la Comisionada Ponente, el </w:t>
      </w:r>
      <w:r w:rsidRPr="00DA2451">
        <w:rPr>
          <w:rFonts w:ascii="Palatino Linotype" w:eastAsia="Palatino Linotype" w:hAnsi="Palatino Linotype" w:cs="Palatino Linotype"/>
          <w:b/>
        </w:rPr>
        <w:t>veinte de diciembre de dos mil veintitrés</w:t>
      </w:r>
      <w:r w:rsidRPr="00DA2451">
        <w:rPr>
          <w:rFonts w:ascii="Palatino Linotype" w:eastAsia="Palatino Linotype" w:hAnsi="Palatino Linotype" w:cs="Palatino Linotype"/>
        </w:rPr>
        <w:t xml:space="preserve">, asimismo es de señalar que </w:t>
      </w:r>
      <w:r w:rsidRPr="00DA2451">
        <w:rPr>
          <w:rFonts w:ascii="Palatino Linotype" w:eastAsia="Palatino Linotype" w:hAnsi="Palatino Linotype" w:cs="Palatino Linotype"/>
          <w:b/>
        </w:rPr>
        <w:t>la persona Recurrente</w:t>
      </w:r>
      <w:r w:rsidRPr="00DA2451">
        <w:rPr>
          <w:rFonts w:ascii="Palatino Linotype" w:eastAsia="Palatino Linotype" w:hAnsi="Palatino Linotype" w:cs="Palatino Linotype"/>
        </w:rPr>
        <w:t xml:space="preserve"> fue omisa en pronunciarse durante esta etapa, por lo que se tiene por </w:t>
      </w:r>
      <w:proofErr w:type="spellStart"/>
      <w:r w:rsidRPr="00DA2451">
        <w:rPr>
          <w:rFonts w:ascii="Palatino Linotype" w:eastAsia="Palatino Linotype" w:hAnsi="Palatino Linotype" w:cs="Palatino Linotype"/>
        </w:rPr>
        <w:t>precluido</w:t>
      </w:r>
      <w:proofErr w:type="spellEnd"/>
      <w:r w:rsidRPr="00DA2451">
        <w:rPr>
          <w:rFonts w:ascii="Palatino Linotype" w:eastAsia="Palatino Linotype" w:hAnsi="Palatino Linotype" w:cs="Palatino Linotype"/>
        </w:rPr>
        <w:t xml:space="preserve"> su derecho para tal efecto.</w:t>
      </w:r>
    </w:p>
    <w:p w14:paraId="15AAA898" w14:textId="77777777" w:rsidR="00492FA8" w:rsidRPr="00DA2451" w:rsidRDefault="00B93E7D">
      <w:pPr>
        <w:spacing w:after="240" w:line="360" w:lineRule="auto"/>
        <w:jc w:val="both"/>
        <w:rPr>
          <w:rFonts w:ascii="Palatino Linotype" w:eastAsia="Palatino Linotype" w:hAnsi="Palatino Linotype" w:cs="Palatino Linotype"/>
        </w:rPr>
      </w:pPr>
      <w:r w:rsidRPr="00DA2451">
        <w:rPr>
          <w:noProof/>
          <w:lang w:val="es-MX"/>
        </w:rPr>
        <w:lastRenderedPageBreak/>
        <w:drawing>
          <wp:inline distT="0" distB="0" distL="0" distR="0" wp14:anchorId="400131B7" wp14:editId="08DD0B75">
            <wp:extent cx="5612130" cy="2453005"/>
            <wp:effectExtent l="0" t="0" r="0" b="0"/>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2453005"/>
                    </a:xfrm>
                    <a:prstGeom prst="rect">
                      <a:avLst/>
                    </a:prstGeom>
                    <a:ln/>
                  </pic:spPr>
                </pic:pic>
              </a:graphicData>
            </a:graphic>
          </wp:inline>
        </w:drawing>
      </w:r>
    </w:p>
    <w:p w14:paraId="4F1281CB" w14:textId="77777777" w:rsidR="00492FA8" w:rsidRPr="00DA2451" w:rsidRDefault="00B93E7D">
      <w:pPr>
        <w:widowControl w:val="0"/>
        <w:spacing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b/>
        </w:rPr>
        <w:t>7.</w:t>
      </w:r>
      <w:r w:rsidRPr="00DA2451">
        <w:rPr>
          <w:rFonts w:ascii="Palatino Linotype" w:eastAsia="Palatino Linotype" w:hAnsi="Palatino Linotype" w:cs="Palatino Linotype"/>
        </w:rPr>
        <w:t xml:space="preserve"> </w:t>
      </w:r>
      <w:r w:rsidRPr="00DA2451">
        <w:rPr>
          <w:rFonts w:ascii="Palatino Linotype" w:eastAsia="Palatino Linotype" w:hAnsi="Palatino Linotype" w:cs="Palatino Linotype"/>
          <w:b/>
        </w:rPr>
        <w:t>Ampliación del plazo para emitir resolución.</w:t>
      </w:r>
      <w:r w:rsidRPr="00DA2451">
        <w:rPr>
          <w:rFonts w:ascii="Palatino Linotype" w:eastAsia="Palatino Linotype" w:hAnsi="Palatino Linotype" w:cs="Palatino Linotype"/>
        </w:rPr>
        <w:t xml:space="preserve"> El </w:t>
      </w:r>
      <w:r w:rsidRPr="00DA2451">
        <w:rPr>
          <w:rFonts w:ascii="Palatino Linotype" w:eastAsia="Palatino Linotype" w:hAnsi="Palatino Linotype" w:cs="Palatino Linotype"/>
          <w:b/>
        </w:rPr>
        <w:t>veinte de diciembre del año dos mil veintitrés</w:t>
      </w:r>
      <w:r w:rsidRPr="00DA2451">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140A39E4" w14:textId="77777777" w:rsidR="00492FA8" w:rsidRPr="00DA2451" w:rsidRDefault="00B93E7D">
      <w:pPr>
        <w:spacing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75B9DF1" w14:textId="77777777" w:rsidR="00492FA8" w:rsidRPr="00DA2451" w:rsidRDefault="00492FA8">
      <w:pPr>
        <w:spacing w:line="360" w:lineRule="auto"/>
        <w:jc w:val="both"/>
        <w:rPr>
          <w:rFonts w:ascii="Palatino Linotype" w:eastAsia="Palatino Linotype" w:hAnsi="Palatino Linotype" w:cs="Palatino Linotype"/>
        </w:rPr>
      </w:pPr>
    </w:p>
    <w:p w14:paraId="40C716A5" w14:textId="77777777" w:rsidR="00492FA8" w:rsidRPr="00DA2451" w:rsidRDefault="00B93E7D">
      <w:pPr>
        <w:spacing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DA2451">
        <w:rPr>
          <w:rFonts w:ascii="Palatino Linotype" w:eastAsia="Palatino Linotype" w:hAnsi="Palatino Linotype" w:cs="Palatino Linotype"/>
        </w:rPr>
        <w:lastRenderedPageBreak/>
        <w:t>órganos jurisdiccionales federales, aplicables también en procedimientos análogos, como el que nos ocupa.</w:t>
      </w:r>
    </w:p>
    <w:p w14:paraId="30BC8797" w14:textId="77777777" w:rsidR="00492FA8" w:rsidRPr="00DA2451" w:rsidRDefault="00492FA8">
      <w:pPr>
        <w:spacing w:line="360" w:lineRule="auto"/>
        <w:jc w:val="both"/>
        <w:rPr>
          <w:rFonts w:ascii="Palatino Linotype" w:eastAsia="Palatino Linotype" w:hAnsi="Palatino Linotype" w:cs="Palatino Linotype"/>
        </w:rPr>
      </w:pPr>
    </w:p>
    <w:p w14:paraId="4BAA88EB" w14:textId="77777777" w:rsidR="00492FA8" w:rsidRPr="00DA2451" w:rsidRDefault="00B93E7D">
      <w:pPr>
        <w:spacing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5369C6" w14:textId="77777777" w:rsidR="00492FA8" w:rsidRPr="00DA2451" w:rsidRDefault="00492FA8">
      <w:pPr>
        <w:spacing w:line="360" w:lineRule="auto"/>
        <w:jc w:val="both"/>
        <w:rPr>
          <w:rFonts w:ascii="Palatino Linotype" w:eastAsia="Palatino Linotype" w:hAnsi="Palatino Linotype" w:cs="Palatino Linotype"/>
        </w:rPr>
      </w:pPr>
    </w:p>
    <w:p w14:paraId="630DB8EE" w14:textId="77777777" w:rsidR="00492FA8" w:rsidRPr="00DA2451" w:rsidRDefault="00B93E7D">
      <w:pPr>
        <w:spacing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07C60CC" w14:textId="77777777" w:rsidR="00492FA8" w:rsidRPr="00DA2451" w:rsidRDefault="00492FA8">
      <w:pPr>
        <w:spacing w:line="360" w:lineRule="auto"/>
        <w:jc w:val="both"/>
        <w:rPr>
          <w:rFonts w:ascii="Palatino Linotype" w:eastAsia="Palatino Linotype" w:hAnsi="Palatino Linotype" w:cs="Palatino Linotype"/>
        </w:rPr>
      </w:pPr>
    </w:p>
    <w:p w14:paraId="5E9A3FE2" w14:textId="77777777" w:rsidR="00492FA8" w:rsidRPr="00DA2451" w:rsidRDefault="00B93E7D">
      <w:pPr>
        <w:spacing w:line="360" w:lineRule="auto"/>
        <w:jc w:val="both"/>
        <w:rPr>
          <w:rFonts w:ascii="Palatino Linotype" w:eastAsia="Palatino Linotype" w:hAnsi="Palatino Linotype" w:cs="Palatino Linotype"/>
          <w:strike/>
        </w:rPr>
      </w:pPr>
      <w:r w:rsidRPr="00DA245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E91AFC5" w14:textId="77777777" w:rsidR="00492FA8" w:rsidRPr="00DA2451" w:rsidRDefault="00492FA8">
      <w:pPr>
        <w:spacing w:line="360" w:lineRule="auto"/>
        <w:jc w:val="both"/>
        <w:rPr>
          <w:rFonts w:ascii="Palatino Linotype" w:eastAsia="Palatino Linotype" w:hAnsi="Palatino Linotype" w:cs="Palatino Linotype"/>
        </w:rPr>
      </w:pPr>
    </w:p>
    <w:p w14:paraId="1610FD46" w14:textId="77777777" w:rsidR="00492FA8" w:rsidRPr="00DA2451" w:rsidRDefault="00B93E7D">
      <w:pPr>
        <w:numPr>
          <w:ilvl w:val="0"/>
          <w:numId w:val="2"/>
        </w:numPr>
        <w:spacing w:line="360" w:lineRule="auto"/>
        <w:ind w:left="567" w:right="900" w:hanging="283"/>
        <w:jc w:val="both"/>
        <w:rPr>
          <w:rFonts w:ascii="Palatino Linotype" w:eastAsia="Palatino Linotype" w:hAnsi="Palatino Linotype" w:cs="Palatino Linotype"/>
        </w:rPr>
      </w:pPr>
      <w:r w:rsidRPr="00DA2451">
        <w:rPr>
          <w:rFonts w:ascii="Palatino Linotype" w:eastAsia="Palatino Linotype" w:hAnsi="Palatino Linotype" w:cs="Palatino Linotype"/>
          <w:b/>
        </w:rPr>
        <w:t>Complejidad del Asunto:</w:t>
      </w:r>
      <w:r w:rsidRPr="00DA2451">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24D11EB4" w14:textId="77777777" w:rsidR="00492FA8" w:rsidRPr="00DA2451" w:rsidRDefault="00492FA8">
      <w:pPr>
        <w:spacing w:line="360" w:lineRule="auto"/>
        <w:ind w:left="567" w:right="900" w:hanging="283"/>
        <w:jc w:val="both"/>
        <w:rPr>
          <w:rFonts w:ascii="Palatino Linotype" w:eastAsia="Palatino Linotype" w:hAnsi="Palatino Linotype" w:cs="Palatino Linotype"/>
        </w:rPr>
      </w:pPr>
    </w:p>
    <w:p w14:paraId="0593A2AE" w14:textId="77777777" w:rsidR="00492FA8" w:rsidRPr="00DA2451" w:rsidRDefault="00B93E7D">
      <w:pPr>
        <w:numPr>
          <w:ilvl w:val="0"/>
          <w:numId w:val="2"/>
        </w:numPr>
        <w:spacing w:line="360" w:lineRule="auto"/>
        <w:ind w:left="567" w:right="900" w:hanging="283"/>
        <w:jc w:val="both"/>
        <w:rPr>
          <w:rFonts w:ascii="Palatino Linotype" w:eastAsia="Palatino Linotype" w:hAnsi="Palatino Linotype" w:cs="Palatino Linotype"/>
        </w:rPr>
      </w:pPr>
      <w:r w:rsidRPr="00DA2451">
        <w:rPr>
          <w:rFonts w:ascii="Palatino Linotype" w:eastAsia="Palatino Linotype" w:hAnsi="Palatino Linotype" w:cs="Palatino Linotype"/>
          <w:b/>
        </w:rPr>
        <w:t>Actividad Procesal del interesado</w:t>
      </w:r>
      <w:r w:rsidRPr="00DA2451">
        <w:rPr>
          <w:rFonts w:ascii="Palatino Linotype" w:eastAsia="Palatino Linotype" w:hAnsi="Palatino Linotype" w:cs="Palatino Linotype"/>
        </w:rPr>
        <w:t>. Acciones u omisiones del interesado.</w:t>
      </w:r>
    </w:p>
    <w:p w14:paraId="0BD4A509" w14:textId="77777777" w:rsidR="00492FA8" w:rsidRPr="00DA2451" w:rsidRDefault="00492FA8">
      <w:pPr>
        <w:spacing w:line="360" w:lineRule="auto"/>
        <w:ind w:left="567" w:right="900" w:hanging="283"/>
        <w:jc w:val="both"/>
        <w:rPr>
          <w:rFonts w:ascii="Palatino Linotype" w:eastAsia="Palatino Linotype" w:hAnsi="Palatino Linotype" w:cs="Palatino Linotype"/>
          <w:b/>
        </w:rPr>
      </w:pPr>
    </w:p>
    <w:p w14:paraId="77CC0A1B" w14:textId="77777777" w:rsidR="00492FA8" w:rsidRPr="00DA2451" w:rsidRDefault="00B93E7D">
      <w:pPr>
        <w:numPr>
          <w:ilvl w:val="0"/>
          <w:numId w:val="2"/>
        </w:numPr>
        <w:spacing w:line="360" w:lineRule="auto"/>
        <w:ind w:left="567" w:right="900" w:hanging="283"/>
        <w:jc w:val="both"/>
        <w:rPr>
          <w:rFonts w:ascii="Palatino Linotype" w:eastAsia="Palatino Linotype" w:hAnsi="Palatino Linotype" w:cs="Palatino Linotype"/>
        </w:rPr>
      </w:pPr>
      <w:r w:rsidRPr="00DA2451">
        <w:rPr>
          <w:rFonts w:ascii="Palatino Linotype" w:eastAsia="Palatino Linotype" w:hAnsi="Palatino Linotype" w:cs="Palatino Linotype"/>
          <w:b/>
        </w:rPr>
        <w:lastRenderedPageBreak/>
        <w:t>Conducta de la Autoridad:</w:t>
      </w:r>
      <w:r w:rsidRPr="00DA2451">
        <w:rPr>
          <w:rFonts w:ascii="Palatino Linotype" w:eastAsia="Palatino Linotype" w:hAnsi="Palatino Linotype" w:cs="Palatino Linotype"/>
        </w:rPr>
        <w:t xml:space="preserve"> Las Acciones u omisiones realizadas en el procedimiento. Así como si la autoridad actuó con la debida diligencia.</w:t>
      </w:r>
    </w:p>
    <w:p w14:paraId="69ACA4B8" w14:textId="77777777" w:rsidR="00492FA8" w:rsidRPr="00DA2451" w:rsidRDefault="00492FA8">
      <w:pPr>
        <w:spacing w:line="360" w:lineRule="auto"/>
        <w:ind w:left="567" w:right="900" w:hanging="283"/>
        <w:rPr>
          <w:rFonts w:ascii="Palatino Linotype" w:eastAsia="Palatino Linotype" w:hAnsi="Palatino Linotype" w:cs="Palatino Linotype"/>
        </w:rPr>
      </w:pPr>
    </w:p>
    <w:p w14:paraId="1F380AE0" w14:textId="77777777" w:rsidR="00492FA8" w:rsidRPr="00DA2451" w:rsidRDefault="00B93E7D">
      <w:pPr>
        <w:spacing w:line="360" w:lineRule="auto"/>
        <w:ind w:left="567" w:right="900" w:hanging="283"/>
        <w:jc w:val="both"/>
        <w:rPr>
          <w:rFonts w:ascii="Palatino Linotype" w:eastAsia="Palatino Linotype" w:hAnsi="Palatino Linotype" w:cs="Palatino Linotype"/>
        </w:rPr>
      </w:pPr>
      <w:r w:rsidRPr="00DA2451">
        <w:rPr>
          <w:rFonts w:ascii="Palatino Linotype" w:eastAsia="Palatino Linotype" w:hAnsi="Palatino Linotype" w:cs="Palatino Linotype"/>
          <w:b/>
        </w:rPr>
        <w:t>d) La afectación generada en la situación jurídica de la persona involucrada en el proceso:</w:t>
      </w:r>
      <w:r w:rsidRPr="00DA2451">
        <w:rPr>
          <w:rFonts w:ascii="Palatino Linotype" w:eastAsia="Palatino Linotype" w:hAnsi="Palatino Linotype" w:cs="Palatino Linotype"/>
        </w:rPr>
        <w:t xml:space="preserve"> Violación a sus derechos humanos.</w:t>
      </w:r>
    </w:p>
    <w:p w14:paraId="4405F9A8" w14:textId="77777777" w:rsidR="00492FA8" w:rsidRPr="00DA2451" w:rsidRDefault="00492FA8">
      <w:pPr>
        <w:spacing w:line="360" w:lineRule="auto"/>
        <w:jc w:val="both"/>
        <w:rPr>
          <w:rFonts w:ascii="Palatino Linotype" w:eastAsia="Palatino Linotype" w:hAnsi="Palatino Linotype" w:cs="Palatino Linotype"/>
        </w:rPr>
      </w:pPr>
    </w:p>
    <w:p w14:paraId="34478A68" w14:textId="77777777" w:rsidR="00492FA8" w:rsidRPr="00DA2451" w:rsidRDefault="00B93E7D">
      <w:pPr>
        <w:spacing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7959298" w14:textId="77777777" w:rsidR="00492FA8" w:rsidRPr="00DA2451" w:rsidRDefault="00492FA8">
      <w:pPr>
        <w:spacing w:line="360" w:lineRule="auto"/>
        <w:jc w:val="both"/>
        <w:rPr>
          <w:rFonts w:ascii="Palatino Linotype" w:eastAsia="Palatino Linotype" w:hAnsi="Palatino Linotype" w:cs="Palatino Linotype"/>
        </w:rPr>
      </w:pPr>
    </w:p>
    <w:p w14:paraId="0025B0C2" w14:textId="77777777" w:rsidR="00492FA8" w:rsidRPr="00DA2451" w:rsidRDefault="00B93E7D">
      <w:pPr>
        <w:spacing w:line="360" w:lineRule="auto"/>
        <w:jc w:val="both"/>
        <w:rPr>
          <w:rFonts w:ascii="Palatino Linotype" w:eastAsia="Palatino Linotype" w:hAnsi="Palatino Linotype" w:cs="Palatino Linotype"/>
          <w:b/>
        </w:rPr>
      </w:pPr>
      <w:r w:rsidRPr="00DA2451">
        <w:rPr>
          <w:rFonts w:ascii="Palatino Linotype" w:eastAsia="Palatino Linotype" w:hAnsi="Palatino Linotype" w:cs="Palatino Linotype"/>
        </w:rPr>
        <w:t>Argumento que encuentra sustento en la jurisprudencia P</w:t>
      </w:r>
      <w:proofErr w:type="gramStart"/>
      <w:r w:rsidRPr="00DA2451">
        <w:rPr>
          <w:rFonts w:ascii="Palatino Linotype" w:eastAsia="Palatino Linotype" w:hAnsi="Palatino Linotype" w:cs="Palatino Linotype"/>
        </w:rPr>
        <w:t>./</w:t>
      </w:r>
      <w:proofErr w:type="gramEnd"/>
      <w:r w:rsidRPr="00DA2451">
        <w:rPr>
          <w:rFonts w:ascii="Palatino Linotype" w:eastAsia="Palatino Linotype" w:hAnsi="Palatino Linotype" w:cs="Palatino Linotype"/>
        </w:rPr>
        <w:t xml:space="preserve">J. 32/92 emitida por el Pleno de la Suprema Corte de Justicia de la Nación de rubro </w:t>
      </w:r>
      <w:r w:rsidRPr="00DA245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DA2451">
        <w:rPr>
          <w:rFonts w:ascii="Palatino Linotype" w:eastAsia="Palatino Linotype" w:hAnsi="Palatino Linotype" w:cs="Palatino Linotype"/>
        </w:rPr>
        <w:t>, visible en la Gaceta del Seminario Judicial de la Federación con el registro digital 205635.</w:t>
      </w:r>
    </w:p>
    <w:p w14:paraId="40FAA64B" w14:textId="77777777" w:rsidR="00492FA8" w:rsidRPr="00DA2451" w:rsidRDefault="00492FA8">
      <w:pPr>
        <w:spacing w:line="360" w:lineRule="auto"/>
        <w:jc w:val="both"/>
        <w:rPr>
          <w:rFonts w:ascii="Palatino Linotype" w:eastAsia="Palatino Linotype" w:hAnsi="Palatino Linotype" w:cs="Palatino Linotype"/>
        </w:rPr>
      </w:pPr>
    </w:p>
    <w:p w14:paraId="6ACA5E57" w14:textId="77777777" w:rsidR="00492FA8" w:rsidRPr="00DA2451" w:rsidRDefault="00B93E7D">
      <w:pPr>
        <w:spacing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sidRPr="00DA2451">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09228B0" w14:textId="77777777" w:rsidR="00492FA8" w:rsidRPr="00DA2451" w:rsidRDefault="00492FA8">
      <w:pPr>
        <w:spacing w:line="360" w:lineRule="auto"/>
        <w:jc w:val="both"/>
        <w:rPr>
          <w:rFonts w:ascii="Palatino Linotype" w:eastAsia="Palatino Linotype" w:hAnsi="Palatino Linotype" w:cs="Palatino Linotype"/>
        </w:rPr>
      </w:pPr>
    </w:p>
    <w:p w14:paraId="322FD628" w14:textId="77777777" w:rsidR="00492FA8" w:rsidRPr="00DA2451" w:rsidRDefault="00B93E7D">
      <w:pPr>
        <w:spacing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0379DDC" w14:textId="77777777" w:rsidR="00492FA8" w:rsidRPr="00DA2451" w:rsidRDefault="00492FA8">
      <w:pPr>
        <w:spacing w:line="360" w:lineRule="auto"/>
        <w:jc w:val="both"/>
        <w:rPr>
          <w:rFonts w:ascii="Palatino Linotype" w:eastAsia="Palatino Linotype" w:hAnsi="Palatino Linotype" w:cs="Palatino Linotype"/>
        </w:rPr>
      </w:pPr>
    </w:p>
    <w:p w14:paraId="20AFFF41" w14:textId="77777777" w:rsidR="00492FA8" w:rsidRPr="00DA2451" w:rsidRDefault="00B93E7D">
      <w:pPr>
        <w:spacing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 xml:space="preserve"> </w:t>
      </w:r>
      <w:r w:rsidRPr="00DA2451">
        <w:rPr>
          <w:rFonts w:ascii="Palatino Linotype" w:eastAsia="Palatino Linotype" w:hAnsi="Palatino Linotype" w:cs="Palatino Linotype"/>
          <w:i/>
        </w:rPr>
        <w:t>“PLAZO RAZONABLE PARA RESOLVER. DIMENSIÓN Y EFECTOS DE ESTE CONCEPTO CUANDO SE ADUCE EXCESIVA CARGA DE TRABAJO.”</w:t>
      </w:r>
      <w:r w:rsidRPr="00DA2451">
        <w:rPr>
          <w:rFonts w:ascii="Palatino Linotype" w:eastAsia="Palatino Linotype" w:hAnsi="Palatino Linotype" w:cs="Palatino Linotype"/>
        </w:rPr>
        <w:t xml:space="preserve"> consultable en el Seminario Judicial de la Federación y su gaceta, con el registro digital 2002351.</w:t>
      </w:r>
    </w:p>
    <w:p w14:paraId="1AE01DAF" w14:textId="77777777" w:rsidR="00492FA8" w:rsidRPr="00DA2451" w:rsidRDefault="00492FA8">
      <w:pPr>
        <w:spacing w:line="360" w:lineRule="auto"/>
        <w:jc w:val="both"/>
        <w:rPr>
          <w:rFonts w:ascii="Palatino Linotype" w:eastAsia="Palatino Linotype" w:hAnsi="Palatino Linotype" w:cs="Palatino Linotype"/>
          <w:b/>
        </w:rPr>
      </w:pPr>
    </w:p>
    <w:p w14:paraId="22DF777A" w14:textId="77777777" w:rsidR="00492FA8" w:rsidRPr="00DA2451" w:rsidRDefault="00B93E7D">
      <w:pPr>
        <w:spacing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i/>
        </w:rPr>
        <w:t>“PLAZO RAZONABLE PARA RESOLVER. CONCEPTO Y ELEMENTOS QUE LO INTEGRAN A LA LUZ DEL DERECHO INTERNACIONAL DE LOS DERECHOS HUMANOS.”</w:t>
      </w:r>
      <w:r w:rsidRPr="00DA2451">
        <w:rPr>
          <w:rFonts w:ascii="Palatino Linotype" w:eastAsia="Palatino Linotype" w:hAnsi="Palatino Linotype" w:cs="Palatino Linotype"/>
        </w:rPr>
        <w:t>, visible en el Seminario Judicial de la Federación y su gaceta, con el registro digital 2002350.</w:t>
      </w:r>
    </w:p>
    <w:p w14:paraId="71F73FEF" w14:textId="77777777" w:rsidR="00492FA8" w:rsidRPr="00DA2451" w:rsidRDefault="00492FA8">
      <w:pPr>
        <w:spacing w:line="360" w:lineRule="auto"/>
        <w:jc w:val="both"/>
        <w:rPr>
          <w:rFonts w:ascii="Palatino Linotype" w:eastAsia="Palatino Linotype" w:hAnsi="Palatino Linotype" w:cs="Palatino Linotype"/>
        </w:rPr>
      </w:pPr>
    </w:p>
    <w:p w14:paraId="355CB201" w14:textId="77777777" w:rsidR="00492FA8" w:rsidRPr="00DA2451" w:rsidRDefault="00B93E7D">
      <w:pPr>
        <w:spacing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4025A5B5" w14:textId="77777777" w:rsidR="00492FA8" w:rsidRPr="00DA2451" w:rsidRDefault="00492FA8">
      <w:pPr>
        <w:widowControl w:val="0"/>
        <w:spacing w:line="360" w:lineRule="auto"/>
        <w:ind w:right="49"/>
        <w:jc w:val="both"/>
        <w:rPr>
          <w:rFonts w:ascii="Palatino Linotype" w:eastAsia="Palatino Linotype" w:hAnsi="Palatino Linotype" w:cs="Palatino Linotype"/>
        </w:rPr>
      </w:pPr>
    </w:p>
    <w:p w14:paraId="7F52E652" w14:textId="77777777" w:rsidR="00492FA8" w:rsidRPr="00DA2451" w:rsidRDefault="00B93E7D">
      <w:pPr>
        <w:widowControl w:val="0"/>
        <w:spacing w:line="360" w:lineRule="auto"/>
        <w:ind w:right="49"/>
        <w:jc w:val="both"/>
        <w:rPr>
          <w:rFonts w:ascii="Palatino Linotype" w:eastAsia="Palatino Linotype" w:hAnsi="Palatino Linotype" w:cs="Palatino Linotype"/>
          <w:b/>
        </w:rPr>
      </w:pPr>
      <w:r w:rsidRPr="00DA2451">
        <w:rPr>
          <w:rFonts w:ascii="Palatino Linotype" w:eastAsia="Palatino Linotype" w:hAnsi="Palatino Linotype" w:cs="Palatino Linotype"/>
          <w:b/>
        </w:rPr>
        <w:t>8.</w:t>
      </w:r>
      <w:r w:rsidRPr="00DA2451">
        <w:rPr>
          <w:rFonts w:ascii="Palatino Linotype" w:eastAsia="Palatino Linotype" w:hAnsi="Palatino Linotype" w:cs="Palatino Linotype"/>
        </w:rPr>
        <w:t xml:space="preserve"> </w:t>
      </w:r>
      <w:r w:rsidRPr="00DA2451">
        <w:rPr>
          <w:rFonts w:ascii="Palatino Linotype" w:eastAsia="Palatino Linotype" w:hAnsi="Palatino Linotype" w:cs="Palatino Linotype"/>
          <w:b/>
        </w:rPr>
        <w:t xml:space="preserve">Cierre de instrucción. </w:t>
      </w:r>
      <w:r w:rsidRPr="00DA2451">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4F23AF" w:rsidRPr="00DA2451">
        <w:rPr>
          <w:rFonts w:ascii="Palatino Linotype" w:eastAsia="Palatino Linotype" w:hAnsi="Palatino Linotype" w:cs="Palatino Linotype"/>
          <w:b/>
        </w:rPr>
        <w:t>veinticinco</w:t>
      </w:r>
      <w:r w:rsidRPr="00DA2451">
        <w:rPr>
          <w:rFonts w:ascii="Palatino Linotype" w:eastAsia="Palatino Linotype" w:hAnsi="Palatino Linotype" w:cs="Palatino Linotype"/>
          <w:b/>
        </w:rPr>
        <w:t xml:space="preserve"> de enero de dos mil veinticuatro, </w:t>
      </w:r>
      <w:r w:rsidRPr="00DA2451">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2A5AC244" w14:textId="77777777" w:rsidR="00492FA8" w:rsidRPr="00DA2451" w:rsidRDefault="00B93E7D">
      <w:pP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6DB6286" w14:textId="77777777" w:rsidR="00492FA8" w:rsidRPr="00DA2451" w:rsidRDefault="00B93E7D">
      <w:pPr>
        <w:widowControl w:val="0"/>
        <w:spacing w:line="360" w:lineRule="auto"/>
        <w:jc w:val="center"/>
        <w:rPr>
          <w:rFonts w:ascii="Palatino Linotype" w:eastAsia="Palatino Linotype" w:hAnsi="Palatino Linotype" w:cs="Palatino Linotype"/>
          <w:b/>
        </w:rPr>
      </w:pPr>
      <w:r w:rsidRPr="00DA2451">
        <w:rPr>
          <w:rFonts w:ascii="Palatino Linotype" w:eastAsia="Palatino Linotype" w:hAnsi="Palatino Linotype" w:cs="Palatino Linotype"/>
          <w:b/>
        </w:rPr>
        <w:t>II. C O N S I D E R A N D O S</w:t>
      </w:r>
    </w:p>
    <w:p w14:paraId="595F94E1" w14:textId="77777777" w:rsidR="00492FA8" w:rsidRPr="00DA2451" w:rsidRDefault="00492FA8">
      <w:pPr>
        <w:widowControl w:val="0"/>
        <w:spacing w:line="360" w:lineRule="auto"/>
        <w:jc w:val="center"/>
        <w:rPr>
          <w:rFonts w:ascii="Palatino Linotype" w:eastAsia="Palatino Linotype" w:hAnsi="Palatino Linotype" w:cs="Palatino Linotype"/>
          <w:b/>
        </w:rPr>
      </w:pPr>
    </w:p>
    <w:p w14:paraId="42DF72A6" w14:textId="77777777" w:rsidR="00492FA8" w:rsidRPr="00DA2451" w:rsidRDefault="00B93E7D">
      <w:pPr>
        <w:spacing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b/>
        </w:rPr>
        <w:t>Primero. Competencia.</w:t>
      </w:r>
      <w:r w:rsidRPr="00DA245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w:t>
      </w:r>
      <w:r w:rsidRPr="00DA2451">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14:paraId="113E2E43" w14:textId="77777777" w:rsidR="00492FA8" w:rsidRPr="00DA2451" w:rsidRDefault="00B93E7D">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DA2451">
        <w:rPr>
          <w:rFonts w:ascii="Palatino Linotype" w:eastAsia="Palatino Linotype" w:hAnsi="Palatino Linotype" w:cs="Palatino Linotype"/>
          <w:b/>
        </w:rPr>
        <w:t xml:space="preserve">Segundo. Oportunidad y </w:t>
      </w:r>
      <w:proofErr w:type="spellStart"/>
      <w:r w:rsidRPr="00DA2451">
        <w:rPr>
          <w:rFonts w:ascii="Palatino Linotype" w:eastAsia="Palatino Linotype" w:hAnsi="Palatino Linotype" w:cs="Palatino Linotype"/>
          <w:b/>
        </w:rPr>
        <w:t>Procedibilidad</w:t>
      </w:r>
      <w:proofErr w:type="spellEnd"/>
      <w:r w:rsidRPr="00DA2451">
        <w:rPr>
          <w:rFonts w:ascii="Palatino Linotype" w:eastAsia="Palatino Linotype" w:hAnsi="Palatino Linotype" w:cs="Palatino Linotype"/>
          <w:b/>
        </w:rPr>
        <w:t xml:space="preserve"> del Recurso de Revisión. </w:t>
      </w:r>
      <w:r w:rsidRPr="00DA2451">
        <w:rPr>
          <w:rFonts w:ascii="Palatino Linotype" w:eastAsia="Palatino Linotype" w:hAnsi="Palatino Linotype" w:cs="Palatino Linotype"/>
        </w:rPr>
        <w:t xml:space="preserve">Previo al estudio del fondo del asunto, se procede a analizar los requisitos de oportunidad y </w:t>
      </w:r>
      <w:proofErr w:type="spellStart"/>
      <w:r w:rsidRPr="00DA2451">
        <w:rPr>
          <w:rFonts w:ascii="Palatino Linotype" w:eastAsia="Palatino Linotype" w:hAnsi="Palatino Linotype" w:cs="Palatino Linotype"/>
        </w:rPr>
        <w:t>procedibilidad</w:t>
      </w:r>
      <w:proofErr w:type="spellEnd"/>
      <w:r w:rsidRPr="00DA2451">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19817FA8" w14:textId="77777777" w:rsidR="00492FA8" w:rsidRPr="00DA2451" w:rsidRDefault="00B93E7D">
      <w:pP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Al respecto la Ley de Transparencia y Acceso a la Información Pública del Estado de México y Municipios, establece lo siguiente:</w:t>
      </w:r>
    </w:p>
    <w:p w14:paraId="180B162B" w14:textId="77777777" w:rsidR="00492FA8" w:rsidRPr="00DA2451" w:rsidRDefault="00B93E7D">
      <w:pPr>
        <w:ind w:left="851" w:right="900"/>
        <w:jc w:val="both"/>
        <w:rPr>
          <w:rFonts w:ascii="Palatino Linotype" w:eastAsia="Palatino Linotype" w:hAnsi="Palatino Linotype" w:cs="Palatino Linotype"/>
          <w:i/>
          <w:sz w:val="28"/>
          <w:szCs w:val="28"/>
        </w:rPr>
      </w:pPr>
      <w:r w:rsidRPr="00DA2451">
        <w:rPr>
          <w:rFonts w:ascii="Palatino Linotype" w:eastAsia="Palatino Linotype" w:hAnsi="Palatino Linotype" w:cs="Palatino Linotype"/>
          <w:b/>
          <w:i/>
          <w:sz w:val="22"/>
          <w:szCs w:val="22"/>
        </w:rPr>
        <w:t xml:space="preserve">“Artículo 178. </w:t>
      </w:r>
      <w:r w:rsidRPr="00DA2451">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C5E23B1" w14:textId="77777777" w:rsidR="00492FA8" w:rsidRPr="00DA2451" w:rsidRDefault="00B93E7D">
      <w:pP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DA2451">
        <w:rPr>
          <w:rFonts w:ascii="Palatino Linotype" w:eastAsia="Palatino Linotype" w:hAnsi="Palatino Linotype" w:cs="Palatino Linotype"/>
          <w:b/>
        </w:rPr>
        <w:t xml:space="preserve">Sujeto Obligado </w:t>
      </w:r>
      <w:r w:rsidRPr="00DA2451">
        <w:rPr>
          <w:rFonts w:ascii="Palatino Linotype" w:eastAsia="Palatino Linotype" w:hAnsi="Palatino Linotype" w:cs="Palatino Linotype"/>
        </w:rPr>
        <w:t xml:space="preserve">remitió la respuesta a la solicitud de información el día </w:t>
      </w:r>
      <w:r w:rsidRPr="00DA2451">
        <w:rPr>
          <w:rFonts w:ascii="Palatino Linotype" w:eastAsia="Palatino Linotype" w:hAnsi="Palatino Linotype" w:cs="Palatino Linotype"/>
          <w:b/>
        </w:rPr>
        <w:t xml:space="preserve">doce de septiembre de dos mil veintitrés, </w:t>
      </w:r>
      <w:r w:rsidRPr="00DA2451">
        <w:rPr>
          <w:rFonts w:ascii="Palatino Linotype" w:eastAsia="Palatino Linotype" w:hAnsi="Palatino Linotype" w:cs="Palatino Linotype"/>
        </w:rPr>
        <w:t xml:space="preserve">mientras que el recurso de revisión interpuesto por </w:t>
      </w:r>
      <w:r w:rsidRPr="00DA2451">
        <w:rPr>
          <w:rFonts w:ascii="Palatino Linotype" w:eastAsia="Palatino Linotype" w:hAnsi="Palatino Linotype" w:cs="Palatino Linotype"/>
          <w:b/>
        </w:rPr>
        <w:t>la parte Recurrente</w:t>
      </w:r>
      <w:r w:rsidRPr="00DA2451">
        <w:rPr>
          <w:rFonts w:ascii="Palatino Linotype" w:eastAsia="Palatino Linotype" w:hAnsi="Palatino Linotype" w:cs="Palatino Linotype"/>
        </w:rPr>
        <w:t xml:space="preserve">, se tuvo por presentado el día </w:t>
      </w:r>
      <w:r w:rsidRPr="00DA2451">
        <w:rPr>
          <w:rFonts w:ascii="Palatino Linotype" w:eastAsia="Palatino Linotype" w:hAnsi="Palatino Linotype" w:cs="Palatino Linotype"/>
          <w:b/>
        </w:rPr>
        <w:t>doce de septiembre de dos mil veintitrés</w:t>
      </w:r>
      <w:r w:rsidRPr="00DA2451">
        <w:rPr>
          <w:rFonts w:ascii="Palatino Linotype" w:eastAsia="Palatino Linotype" w:hAnsi="Palatino Linotype" w:cs="Palatino Linotype"/>
        </w:rPr>
        <w:t xml:space="preserve">; esto es, al </w:t>
      </w:r>
      <w:r w:rsidRPr="00DA2451">
        <w:rPr>
          <w:rFonts w:ascii="Palatino Linotype" w:eastAsia="Palatino Linotype" w:hAnsi="Palatino Linotype" w:cs="Palatino Linotype"/>
          <w:b/>
        </w:rPr>
        <w:t xml:space="preserve">mismo día hábil siguiente </w:t>
      </w:r>
      <w:r w:rsidRPr="00DA2451">
        <w:rPr>
          <w:rFonts w:ascii="Palatino Linotype" w:eastAsia="Palatino Linotype" w:hAnsi="Palatino Linotype" w:cs="Palatino Linotype"/>
        </w:rPr>
        <w:t xml:space="preserve">en que tuvo conocimiento de la respuesta impugnada. </w:t>
      </w:r>
    </w:p>
    <w:p w14:paraId="428C46B8" w14:textId="77777777" w:rsidR="00492FA8" w:rsidRPr="00DA2451" w:rsidRDefault="00B93E7D">
      <w:pPr>
        <w:pBdr>
          <w:top w:val="nil"/>
          <w:left w:val="nil"/>
          <w:bottom w:val="nil"/>
          <w:right w:val="nil"/>
          <w:between w:val="nil"/>
        </w:pBdr>
        <w:spacing w:before="240" w:after="240" w:line="360" w:lineRule="auto"/>
        <w:jc w:val="both"/>
      </w:pPr>
      <w:r w:rsidRPr="00DA2451">
        <w:rPr>
          <w:rFonts w:ascii="Palatino Linotype" w:eastAsia="Palatino Linotype" w:hAnsi="Palatino Linotype" w:cs="Palatino Linotype"/>
        </w:rPr>
        <w:lastRenderedPageBreak/>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1A81DFC8" w14:textId="77777777" w:rsidR="00492FA8" w:rsidRPr="00DA2451" w:rsidRDefault="00B93E7D">
      <w:pPr>
        <w:pBdr>
          <w:top w:val="nil"/>
          <w:left w:val="nil"/>
          <w:bottom w:val="nil"/>
          <w:right w:val="nil"/>
          <w:between w:val="nil"/>
        </w:pBdr>
        <w:spacing w:before="120" w:after="120"/>
        <w:ind w:left="851" w:right="902"/>
        <w:jc w:val="both"/>
      </w:pPr>
      <w:r w:rsidRPr="00DA2451">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DA2451">
        <w:rPr>
          <w:rFonts w:ascii="Palatino Linotype" w:eastAsia="Palatino Linotype" w:hAnsi="Palatino Linotype" w:cs="Palatino Linotype"/>
          <w:i/>
          <w:sz w:val="22"/>
          <w:szCs w:val="22"/>
        </w:rPr>
        <w:t>.</w:t>
      </w:r>
    </w:p>
    <w:p w14:paraId="0372B475" w14:textId="77777777" w:rsidR="00492FA8" w:rsidRPr="00DA2451" w:rsidRDefault="00B93E7D">
      <w:pPr>
        <w:pBdr>
          <w:top w:val="nil"/>
          <w:left w:val="nil"/>
          <w:bottom w:val="nil"/>
          <w:right w:val="nil"/>
          <w:between w:val="nil"/>
        </w:pBdr>
        <w:spacing w:before="120" w:after="120"/>
        <w:ind w:left="851" w:right="902"/>
        <w:jc w:val="both"/>
      </w:pPr>
      <w:r w:rsidRPr="00DA2451">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28193D7" w14:textId="77777777" w:rsidR="00492FA8" w:rsidRPr="00DA2451" w:rsidRDefault="00B93E7D">
      <w:pP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 xml:space="preserve">En este sentido, al considerar la fecha en que se formuló la solicitud y la fecha en que respondió a esta el </w:t>
      </w:r>
      <w:r w:rsidRPr="00DA2451">
        <w:rPr>
          <w:rFonts w:ascii="Palatino Linotype" w:eastAsia="Palatino Linotype" w:hAnsi="Palatino Linotype" w:cs="Palatino Linotype"/>
          <w:b/>
        </w:rPr>
        <w:t>Sujeto Obligado</w:t>
      </w:r>
      <w:r w:rsidRPr="00DA2451">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201186CF" w14:textId="77777777" w:rsidR="00492FA8" w:rsidRPr="00DA2451" w:rsidRDefault="00B93E7D">
      <w:pP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 xml:space="preserve">Asimismo, por cuanto hace a la </w:t>
      </w:r>
      <w:proofErr w:type="spellStart"/>
      <w:r w:rsidRPr="00DA2451">
        <w:rPr>
          <w:rFonts w:ascii="Palatino Linotype" w:eastAsia="Palatino Linotype" w:hAnsi="Palatino Linotype" w:cs="Palatino Linotype"/>
        </w:rPr>
        <w:t>procedibilidad</w:t>
      </w:r>
      <w:proofErr w:type="spellEnd"/>
      <w:r w:rsidRPr="00DA2451">
        <w:rPr>
          <w:rFonts w:ascii="Palatino Linotype" w:eastAsia="Palatino Linotype" w:hAnsi="Palatino Linotype" w:cs="Palatino Linotype"/>
        </w:rPr>
        <w:t xml:space="preserve"> del  recurso de revisión, es de suma importancia señalar que </w:t>
      </w:r>
      <w:r w:rsidRPr="00DA2451">
        <w:rPr>
          <w:rFonts w:ascii="Palatino Linotype" w:eastAsia="Palatino Linotype" w:hAnsi="Palatino Linotype" w:cs="Palatino Linotype"/>
          <w:b/>
        </w:rPr>
        <w:t>la parte Recurrente</w:t>
      </w:r>
      <w:r w:rsidRPr="00DA2451">
        <w:rPr>
          <w:rFonts w:ascii="Palatino Linotype" w:eastAsia="Palatino Linotype" w:hAnsi="Palatino Linotype" w:cs="Palatino Linotype"/>
        </w:rPr>
        <w:t xml:space="preserve">, no señaló nombre con el que pueda ser </w:t>
      </w:r>
      <w:r w:rsidRPr="00DA2451">
        <w:rPr>
          <w:rFonts w:ascii="Palatino Linotype" w:eastAsia="Palatino Linotype" w:hAnsi="Palatino Linotype" w:cs="Palatino Linotype"/>
        </w:rPr>
        <w:lastRenderedPageBreak/>
        <w:t>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B6D75A9" w14:textId="77777777" w:rsidR="00492FA8" w:rsidRPr="00DA2451" w:rsidRDefault="00B93E7D">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1147B2A8" w14:textId="77777777" w:rsidR="00492FA8" w:rsidRPr="00DA2451" w:rsidRDefault="00B93E7D">
      <w:pP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 xml:space="preserve">Así también, por cuanto hace a la </w:t>
      </w:r>
      <w:proofErr w:type="spellStart"/>
      <w:r w:rsidRPr="00DA2451">
        <w:rPr>
          <w:rFonts w:ascii="Palatino Linotype" w:eastAsia="Palatino Linotype" w:hAnsi="Palatino Linotype" w:cs="Palatino Linotype"/>
        </w:rPr>
        <w:t>procedibilidad</w:t>
      </w:r>
      <w:proofErr w:type="spellEnd"/>
      <w:r w:rsidRPr="00DA2451">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69D9DD8" w14:textId="77777777" w:rsidR="00492FA8" w:rsidRPr="00DA2451" w:rsidRDefault="00B93E7D">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DA2451">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fracción I de la Ley de Transparencia y Acceso a la Información Pública del Estado de México y Municipios; que a la letra dice:</w:t>
      </w:r>
    </w:p>
    <w:p w14:paraId="67BD0D88" w14:textId="77777777" w:rsidR="00492FA8" w:rsidRPr="00DA2451" w:rsidRDefault="00B93E7D">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b/>
          <w:i/>
          <w:sz w:val="22"/>
          <w:szCs w:val="22"/>
        </w:rPr>
        <w:t>“Artículo 179</w:t>
      </w:r>
      <w:r w:rsidRPr="00DA2451">
        <w:rPr>
          <w:rFonts w:ascii="Palatino Linotype" w:eastAsia="Palatino Linotype" w:hAnsi="Palatino Linotype" w:cs="Palatino Linotype"/>
          <w:i/>
          <w:sz w:val="22"/>
          <w:szCs w:val="22"/>
        </w:rPr>
        <w:t xml:space="preserve">. </w:t>
      </w:r>
      <w:r w:rsidRPr="00DA2451">
        <w:rPr>
          <w:rFonts w:ascii="Palatino Linotype" w:eastAsia="Palatino Linotype" w:hAnsi="Palatino Linotype" w:cs="Palatino Linotype"/>
          <w:b/>
          <w:i/>
          <w:sz w:val="22"/>
          <w:szCs w:val="22"/>
        </w:rPr>
        <w:t>El recurso de revisión</w:t>
      </w:r>
      <w:r w:rsidRPr="00DA2451">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DA2451">
        <w:rPr>
          <w:rFonts w:ascii="Palatino Linotype" w:eastAsia="Palatino Linotype" w:hAnsi="Palatino Linotype" w:cs="Palatino Linotype"/>
          <w:b/>
          <w:i/>
          <w:sz w:val="22"/>
          <w:szCs w:val="22"/>
        </w:rPr>
        <w:t>, y procederá en contra de las siguientes causas</w:t>
      </w:r>
      <w:r w:rsidRPr="00DA2451">
        <w:rPr>
          <w:rFonts w:ascii="Palatino Linotype" w:eastAsia="Palatino Linotype" w:hAnsi="Palatino Linotype" w:cs="Palatino Linotype"/>
          <w:i/>
          <w:sz w:val="22"/>
          <w:szCs w:val="22"/>
        </w:rPr>
        <w:t>:</w:t>
      </w:r>
    </w:p>
    <w:p w14:paraId="5ABCFEBC" w14:textId="77777777" w:rsidR="00492FA8" w:rsidRPr="00DA2451" w:rsidRDefault="00B93E7D">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b/>
          <w:i/>
          <w:sz w:val="22"/>
          <w:szCs w:val="22"/>
        </w:rPr>
        <w:t>I. La negativa a la información solicitada</w:t>
      </w:r>
      <w:r w:rsidRPr="00DA2451">
        <w:rPr>
          <w:rFonts w:ascii="Palatino Linotype" w:eastAsia="Palatino Linotype" w:hAnsi="Palatino Linotype" w:cs="Palatino Linotype"/>
          <w:i/>
          <w:sz w:val="22"/>
          <w:szCs w:val="22"/>
        </w:rPr>
        <w:t>;” (Énfasis añadido)</w:t>
      </w:r>
    </w:p>
    <w:p w14:paraId="1F855475" w14:textId="77777777" w:rsidR="00492FA8" w:rsidRPr="00DA2451" w:rsidRDefault="00B93E7D">
      <w:pP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b/>
        </w:rPr>
        <w:t xml:space="preserve">Tercero. Análisis de las causas de sobreseimiento del recurso de revisión. </w:t>
      </w:r>
      <w:r w:rsidRPr="00DA2451">
        <w:rPr>
          <w:rFonts w:ascii="Palatino Linotype" w:eastAsia="Palatino Linotype" w:hAnsi="Palatino Linotype" w:cs="Palatino Linotype"/>
        </w:rPr>
        <w:t xml:space="preserve">En primera instancia, debe apuntarse que del análisis al recurso de revisión que ahora </w:t>
      </w:r>
      <w:r w:rsidRPr="00DA2451">
        <w:rPr>
          <w:rFonts w:ascii="Palatino Linotype" w:eastAsia="Palatino Linotype" w:hAnsi="Palatino Linotype" w:cs="Palatino Linotype"/>
        </w:rPr>
        <w:lastRenderedPageBreak/>
        <w:t>se resuelve, se tiene que se actualiza la causal de sobreseimiento del recurso de revisión establecido en la fracción III del artículo 192</w:t>
      </w:r>
      <w:r w:rsidRPr="00DA2451">
        <w:rPr>
          <w:rFonts w:ascii="Palatino Linotype" w:eastAsia="Palatino Linotype" w:hAnsi="Palatino Linotype" w:cs="Palatino Linotype"/>
          <w:vertAlign w:val="superscript"/>
        </w:rPr>
        <w:footnoteReference w:id="1"/>
      </w:r>
      <w:r w:rsidRPr="00DA2451">
        <w:rPr>
          <w:rFonts w:ascii="Palatino Linotype" w:eastAsia="Palatino Linotype" w:hAnsi="Palatino Linotype" w:cs="Palatino Linotype"/>
        </w:rPr>
        <w:t xml:space="preserve"> en relación con el diverso 186 fracción I</w:t>
      </w:r>
      <w:r w:rsidRPr="00DA2451">
        <w:rPr>
          <w:rFonts w:ascii="Palatino Linotype" w:eastAsia="Palatino Linotype" w:hAnsi="Palatino Linotype" w:cs="Palatino Linotype"/>
          <w:vertAlign w:val="superscript"/>
        </w:rPr>
        <w:footnoteReference w:id="2"/>
      </w:r>
      <w:r w:rsidRPr="00DA2451">
        <w:rPr>
          <w:rFonts w:ascii="Palatino Linotype" w:eastAsia="Palatino Linotype" w:hAnsi="Palatino Linotype" w:cs="Palatino Linotype"/>
        </w:rPr>
        <w:t xml:space="preserve">, ambos de la Ley de Transparencia y Acceso a la Información Pública del Estado de México y Municipios, derivado del contenido del informe justificado rendido por el </w:t>
      </w:r>
      <w:r w:rsidRPr="00DA2451">
        <w:rPr>
          <w:rFonts w:ascii="Palatino Linotype" w:eastAsia="Palatino Linotype" w:hAnsi="Palatino Linotype" w:cs="Palatino Linotype"/>
          <w:b/>
        </w:rPr>
        <w:t>Sujeto Obligado.</w:t>
      </w:r>
      <w:r w:rsidRPr="00DA2451">
        <w:rPr>
          <w:rFonts w:ascii="Palatino Linotype" w:eastAsia="Palatino Linotype" w:hAnsi="Palatino Linotype" w:cs="Palatino Linotype"/>
        </w:rPr>
        <w:t xml:space="preserve"> </w:t>
      </w:r>
    </w:p>
    <w:p w14:paraId="5905BE08" w14:textId="77777777" w:rsidR="00492FA8" w:rsidRPr="00DA2451" w:rsidRDefault="00B93E7D">
      <w:pPr>
        <w:tabs>
          <w:tab w:val="left" w:pos="7513"/>
        </w:tabs>
        <w:spacing w:after="240" w:line="360" w:lineRule="auto"/>
        <w:ind w:right="49"/>
        <w:jc w:val="both"/>
        <w:rPr>
          <w:rFonts w:ascii="Palatino Linotype" w:eastAsia="Palatino Linotype" w:hAnsi="Palatino Linotype" w:cs="Palatino Linotype"/>
        </w:rPr>
      </w:pPr>
      <w:r w:rsidRPr="00DA2451">
        <w:rPr>
          <w:rFonts w:ascii="Palatino Linotype" w:eastAsia="Palatino Linotype" w:hAnsi="Palatino Linotype" w:cs="Palatino Linotype"/>
        </w:rPr>
        <w:t>Para una mejor comprensión del asunto, de las constancias que obran en el expediente electrónico, valoradas anteriormente, destacan por su importancia los antecedentes siguientes:</w:t>
      </w:r>
    </w:p>
    <w:p w14:paraId="4C581538" w14:textId="77777777" w:rsidR="00492FA8" w:rsidRPr="00DA2451" w:rsidRDefault="00B93E7D">
      <w:pPr>
        <w:tabs>
          <w:tab w:val="left" w:pos="7513"/>
        </w:tabs>
        <w:spacing w:line="360" w:lineRule="auto"/>
        <w:ind w:right="49"/>
        <w:jc w:val="both"/>
        <w:rPr>
          <w:rFonts w:ascii="Palatino Linotype" w:eastAsia="Palatino Linotype" w:hAnsi="Palatino Linotype" w:cs="Palatino Linotype"/>
        </w:rPr>
      </w:pPr>
      <w:r w:rsidRPr="00DA2451">
        <w:rPr>
          <w:rFonts w:ascii="Palatino Linotype" w:eastAsia="Palatino Linotype" w:hAnsi="Palatino Linotype" w:cs="Palatino Linotype"/>
        </w:rPr>
        <w:t xml:space="preserve">En la solicitud de información materia del presente recurso, la parte solicitante requirió al </w:t>
      </w:r>
      <w:r w:rsidRPr="00DA2451">
        <w:rPr>
          <w:rFonts w:ascii="Palatino Linotype" w:eastAsia="Palatino Linotype" w:hAnsi="Palatino Linotype" w:cs="Palatino Linotype"/>
          <w:b/>
        </w:rPr>
        <w:t>Sujeto Obligado</w:t>
      </w:r>
      <w:r w:rsidRPr="00DA2451">
        <w:rPr>
          <w:rFonts w:ascii="Palatino Linotype" w:eastAsia="Palatino Linotype" w:hAnsi="Palatino Linotype" w:cs="Palatino Linotype"/>
        </w:rPr>
        <w:t xml:space="preserve"> lo siguiente:</w:t>
      </w:r>
    </w:p>
    <w:p w14:paraId="6A32D6CA" w14:textId="77777777" w:rsidR="00492FA8" w:rsidRPr="00DA2451" w:rsidRDefault="00492FA8">
      <w:pPr>
        <w:tabs>
          <w:tab w:val="left" w:pos="7513"/>
        </w:tabs>
        <w:spacing w:line="360" w:lineRule="auto"/>
        <w:ind w:right="49"/>
        <w:jc w:val="both"/>
        <w:rPr>
          <w:rFonts w:ascii="Palatino Linotype" w:eastAsia="Palatino Linotype" w:hAnsi="Palatino Linotype" w:cs="Palatino Linotype"/>
        </w:rPr>
      </w:pPr>
    </w:p>
    <w:p w14:paraId="3B66EE3B" w14:textId="77777777" w:rsidR="00492FA8" w:rsidRPr="00DA2451" w:rsidRDefault="00B93E7D">
      <w:pPr>
        <w:numPr>
          <w:ilvl w:val="0"/>
          <w:numId w:val="1"/>
        </w:numPr>
        <w:pBdr>
          <w:top w:val="nil"/>
          <w:left w:val="nil"/>
          <w:bottom w:val="nil"/>
          <w:right w:val="nil"/>
          <w:between w:val="nil"/>
        </w:pBdr>
        <w:tabs>
          <w:tab w:val="left" w:pos="7513"/>
        </w:tabs>
        <w:spacing w:line="360" w:lineRule="auto"/>
        <w:ind w:right="900"/>
        <w:jc w:val="both"/>
        <w:rPr>
          <w:rFonts w:ascii="Palatino Linotype" w:eastAsia="Palatino Linotype" w:hAnsi="Palatino Linotype" w:cs="Palatino Linotype"/>
          <w:b/>
        </w:rPr>
      </w:pPr>
      <w:r w:rsidRPr="00DA2451">
        <w:rPr>
          <w:rFonts w:ascii="Palatino Linotype" w:eastAsia="Palatino Linotype" w:hAnsi="Palatino Linotype" w:cs="Palatino Linotype"/>
          <w:b/>
        </w:rPr>
        <w:t xml:space="preserve">Qué presupuesto destinó a sus murales que está haciendo en el andador. </w:t>
      </w:r>
    </w:p>
    <w:p w14:paraId="76CE2805" w14:textId="77777777" w:rsidR="00492FA8" w:rsidRPr="00DA2451" w:rsidRDefault="00B93E7D">
      <w:pPr>
        <w:numPr>
          <w:ilvl w:val="0"/>
          <w:numId w:val="1"/>
        </w:numPr>
        <w:pBdr>
          <w:top w:val="nil"/>
          <w:left w:val="nil"/>
          <w:bottom w:val="nil"/>
          <w:right w:val="nil"/>
          <w:between w:val="nil"/>
        </w:pBdr>
        <w:tabs>
          <w:tab w:val="left" w:pos="7513"/>
        </w:tabs>
        <w:spacing w:line="360" w:lineRule="auto"/>
        <w:ind w:right="900"/>
        <w:jc w:val="both"/>
        <w:rPr>
          <w:rFonts w:ascii="Palatino Linotype" w:eastAsia="Palatino Linotype" w:hAnsi="Palatino Linotype" w:cs="Palatino Linotype"/>
          <w:b/>
        </w:rPr>
      </w:pPr>
      <w:r w:rsidRPr="00DA2451">
        <w:rPr>
          <w:rFonts w:ascii="Palatino Linotype" w:eastAsia="Palatino Linotype" w:hAnsi="Palatino Linotype" w:cs="Palatino Linotype"/>
          <w:b/>
        </w:rPr>
        <w:t>Qué permiso de medio ambiente tiene para poder hacer sus murales, ya que está usando aerosoles.</w:t>
      </w:r>
    </w:p>
    <w:p w14:paraId="5DE238CF" w14:textId="77777777" w:rsidR="00492FA8" w:rsidRPr="00DA2451" w:rsidRDefault="00B93E7D">
      <w:pPr>
        <w:spacing w:before="240" w:after="240" w:line="360" w:lineRule="auto"/>
        <w:ind w:right="-93"/>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rPr>
        <w:t xml:space="preserve">El </w:t>
      </w:r>
      <w:r w:rsidRPr="00DA2451">
        <w:rPr>
          <w:rFonts w:ascii="Palatino Linotype" w:eastAsia="Palatino Linotype" w:hAnsi="Palatino Linotype" w:cs="Palatino Linotype"/>
          <w:b/>
        </w:rPr>
        <w:t>Sujeto Obligado</w:t>
      </w:r>
      <w:r w:rsidRPr="00DA2451">
        <w:rPr>
          <w:rFonts w:ascii="Palatino Linotype" w:eastAsia="Palatino Linotype" w:hAnsi="Palatino Linotype" w:cs="Palatino Linotype"/>
        </w:rPr>
        <w:t xml:space="preserve"> en respuesta refirió remitir la respuesta en archivo adjunto, sin embargo, de las constancias que obran en el expediente electrónico, no se advierte que se haya remitido el archivo electrónico referido.</w:t>
      </w:r>
    </w:p>
    <w:p w14:paraId="4AAA33BE" w14:textId="77777777" w:rsidR="00492FA8" w:rsidRPr="00DA2451" w:rsidRDefault="00B93E7D">
      <w:pPr>
        <w:spacing w:before="240" w:after="240" w:line="360" w:lineRule="auto"/>
        <w:ind w:right="49"/>
        <w:jc w:val="both"/>
        <w:rPr>
          <w:rFonts w:ascii="Palatino Linotype" w:eastAsia="Palatino Linotype" w:hAnsi="Palatino Linotype" w:cs="Palatino Linotype"/>
        </w:rPr>
      </w:pPr>
      <w:r w:rsidRPr="00DA2451">
        <w:rPr>
          <w:rFonts w:ascii="Palatino Linotype" w:eastAsia="Palatino Linotype" w:hAnsi="Palatino Linotype" w:cs="Palatino Linotype"/>
        </w:rPr>
        <w:lastRenderedPageBreak/>
        <w:t xml:space="preserve">Una vez conocida la respuesta del </w:t>
      </w:r>
      <w:r w:rsidRPr="00DA2451">
        <w:rPr>
          <w:rFonts w:ascii="Palatino Linotype" w:eastAsia="Palatino Linotype" w:hAnsi="Palatino Linotype" w:cs="Palatino Linotype"/>
          <w:b/>
        </w:rPr>
        <w:t>Sujeto Obligado</w:t>
      </w:r>
      <w:r w:rsidRPr="00DA2451">
        <w:rPr>
          <w:rFonts w:ascii="Palatino Linotype" w:eastAsia="Palatino Linotype" w:hAnsi="Palatino Linotype" w:cs="Palatino Linotype"/>
        </w:rPr>
        <w:t xml:space="preserve">, </w:t>
      </w:r>
      <w:r w:rsidRPr="00DA2451">
        <w:rPr>
          <w:rFonts w:ascii="Palatino Linotype" w:eastAsia="Palatino Linotype" w:hAnsi="Palatino Linotype" w:cs="Palatino Linotype"/>
          <w:b/>
        </w:rPr>
        <w:t>la ahora parte Recurrente</w:t>
      </w:r>
      <w:r w:rsidRPr="00DA2451">
        <w:rPr>
          <w:rFonts w:ascii="Palatino Linotype" w:eastAsia="Palatino Linotype" w:hAnsi="Palatino Linotype" w:cs="Palatino Linotype"/>
        </w:rPr>
        <w:t xml:space="preserve"> interpuso el recurso de revisión que nos ocupa, inconformándose con las siguientes consideraciones: </w:t>
      </w:r>
    </w:p>
    <w:p w14:paraId="7E8FD1FE" w14:textId="77777777" w:rsidR="00492FA8" w:rsidRPr="00DA2451" w:rsidRDefault="00B93E7D">
      <w:pPr>
        <w:tabs>
          <w:tab w:val="left" w:pos="2745"/>
        </w:tabs>
        <w:spacing w:before="240" w:after="240" w:line="360" w:lineRule="auto"/>
        <w:jc w:val="both"/>
        <w:rPr>
          <w:rFonts w:ascii="Palatino Linotype" w:eastAsia="Palatino Linotype" w:hAnsi="Palatino Linotype" w:cs="Palatino Linotype"/>
          <w:b/>
        </w:rPr>
      </w:pPr>
      <w:r w:rsidRPr="00DA2451">
        <w:rPr>
          <w:rFonts w:ascii="Palatino Linotype" w:eastAsia="Palatino Linotype" w:hAnsi="Palatino Linotype" w:cs="Palatino Linotype"/>
          <w:b/>
        </w:rPr>
        <w:t xml:space="preserve">a) Acto impugnado: </w:t>
      </w:r>
      <w:r w:rsidRPr="00DA2451">
        <w:rPr>
          <w:rFonts w:ascii="Palatino Linotype" w:eastAsia="Palatino Linotype" w:hAnsi="Palatino Linotype" w:cs="Palatino Linotype"/>
          <w:b/>
        </w:rPr>
        <w:tab/>
      </w:r>
    </w:p>
    <w:p w14:paraId="6E77F289" w14:textId="77777777" w:rsidR="00492FA8" w:rsidRPr="00DA2451" w:rsidRDefault="00B93E7D">
      <w:pPr>
        <w:ind w:left="567" w:right="902"/>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i/>
          <w:sz w:val="22"/>
          <w:szCs w:val="22"/>
        </w:rPr>
        <w:t>“Completamente todo” (Sic)</w:t>
      </w:r>
    </w:p>
    <w:p w14:paraId="0AA055F4" w14:textId="77777777" w:rsidR="00492FA8" w:rsidRPr="00DA2451" w:rsidRDefault="00492FA8">
      <w:pPr>
        <w:ind w:left="851" w:right="902"/>
        <w:jc w:val="both"/>
        <w:rPr>
          <w:rFonts w:ascii="Palatino Linotype" w:eastAsia="Palatino Linotype" w:hAnsi="Palatino Linotype" w:cs="Palatino Linotype"/>
          <w:i/>
          <w:sz w:val="22"/>
          <w:szCs w:val="22"/>
        </w:rPr>
      </w:pPr>
    </w:p>
    <w:p w14:paraId="440E1F92" w14:textId="77777777" w:rsidR="00492FA8" w:rsidRPr="00DA2451" w:rsidRDefault="00B93E7D">
      <w:pPr>
        <w:spacing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b/>
        </w:rPr>
        <w:t>b) Razones o motivos de inconformidad</w:t>
      </w:r>
      <w:r w:rsidRPr="00DA2451">
        <w:rPr>
          <w:rFonts w:ascii="Palatino Linotype" w:eastAsia="Palatino Linotype" w:hAnsi="Palatino Linotype" w:cs="Palatino Linotype"/>
        </w:rPr>
        <w:t>:</w:t>
      </w:r>
    </w:p>
    <w:p w14:paraId="6CDE0B23" w14:textId="77777777" w:rsidR="00492FA8" w:rsidRPr="00DA2451" w:rsidRDefault="00B93E7D">
      <w:pPr>
        <w:ind w:left="567" w:right="902"/>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i/>
          <w:sz w:val="22"/>
          <w:szCs w:val="22"/>
        </w:rPr>
        <w:t xml:space="preserve"> “No recibí respuesta, ni archivo adjunto” (Sic) </w:t>
      </w:r>
    </w:p>
    <w:p w14:paraId="1D5E3B86" w14:textId="77777777" w:rsidR="00492FA8" w:rsidRPr="00DA2451" w:rsidRDefault="00B93E7D">
      <w:pPr>
        <w:spacing w:before="240" w:after="240" w:line="360" w:lineRule="auto"/>
        <w:ind w:right="49"/>
        <w:jc w:val="both"/>
        <w:rPr>
          <w:rFonts w:ascii="Palatino Linotype" w:eastAsia="Palatino Linotype" w:hAnsi="Palatino Linotype" w:cs="Palatino Linotype"/>
        </w:rPr>
      </w:pPr>
      <w:r w:rsidRPr="00DA2451">
        <w:rPr>
          <w:rFonts w:ascii="Palatino Linotype" w:eastAsia="Palatino Linotype" w:hAnsi="Palatino Linotype" w:cs="Palatino Linotype"/>
        </w:rPr>
        <w:t xml:space="preserve">Así las cosas, una vez admitido el presente recurso de revisión, dentro del término otorgado para realizar toda clase de manifestaciones, el </w:t>
      </w:r>
      <w:r w:rsidRPr="00DA2451">
        <w:rPr>
          <w:rFonts w:ascii="Palatino Linotype" w:eastAsia="Palatino Linotype" w:hAnsi="Palatino Linotype" w:cs="Palatino Linotype"/>
          <w:b/>
        </w:rPr>
        <w:t>Sujeto Obligado</w:t>
      </w:r>
      <w:r w:rsidRPr="00DA2451">
        <w:rPr>
          <w:rFonts w:ascii="Palatino Linotype" w:eastAsia="Palatino Linotype" w:hAnsi="Palatino Linotype" w:cs="Palatino Linotype"/>
        </w:rPr>
        <w:t xml:space="preserve"> remitió a través del SAIMEX, su informe justificado, a través del cual adjuntó la factura correspondiente al costo del mural y también se visualiza la respuesta entregada por la Directora de Medio Ambiente del Ayuntamiento de Rayón, tal como se visualiza a continuación.</w:t>
      </w:r>
    </w:p>
    <w:p w14:paraId="431E3642" w14:textId="77777777" w:rsidR="00492FA8" w:rsidRPr="00DA2451" w:rsidRDefault="00B93E7D">
      <w:pPr>
        <w:spacing w:after="240" w:line="360" w:lineRule="auto"/>
        <w:ind w:right="49"/>
        <w:jc w:val="both"/>
        <w:rPr>
          <w:rFonts w:ascii="Palatino Linotype" w:eastAsia="Palatino Linotype" w:hAnsi="Palatino Linotype" w:cs="Palatino Linotype"/>
        </w:rPr>
      </w:pPr>
      <w:r w:rsidRPr="00DA2451">
        <w:rPr>
          <w:rFonts w:ascii="Palatino Linotype" w:eastAsia="Palatino Linotype" w:hAnsi="Palatino Linotype" w:cs="Palatino Linotype"/>
        </w:rPr>
        <w:t>Atentos a lo anterior, a continuación se inserta el siguiente esquema para efecto de analizar la información provista durante las constancias que conforman el expediente electrónico:</w:t>
      </w:r>
    </w:p>
    <w:tbl>
      <w:tblPr>
        <w:tblStyle w:val="a6"/>
        <w:tblW w:w="908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2239"/>
        <w:gridCol w:w="3147"/>
        <w:gridCol w:w="1995"/>
      </w:tblGrid>
      <w:tr w:rsidR="00DA2451" w:rsidRPr="00DA2451" w14:paraId="2C57A7DA" w14:textId="77777777">
        <w:tc>
          <w:tcPr>
            <w:tcW w:w="1702" w:type="dxa"/>
            <w:shd w:val="clear" w:color="auto" w:fill="DDD9C4"/>
          </w:tcPr>
          <w:p w14:paraId="79144CC0" w14:textId="77777777" w:rsidR="00492FA8" w:rsidRPr="00DA2451" w:rsidRDefault="00B93E7D">
            <w:pPr>
              <w:spacing w:after="240"/>
              <w:ind w:right="49"/>
              <w:jc w:val="center"/>
              <w:rPr>
                <w:rFonts w:ascii="Palatino Linotype" w:eastAsia="Palatino Linotype" w:hAnsi="Palatino Linotype" w:cs="Palatino Linotype"/>
                <w:b/>
                <w:sz w:val="18"/>
                <w:szCs w:val="18"/>
              </w:rPr>
            </w:pPr>
            <w:r w:rsidRPr="00DA2451">
              <w:rPr>
                <w:rFonts w:ascii="Palatino Linotype" w:eastAsia="Palatino Linotype" w:hAnsi="Palatino Linotype" w:cs="Palatino Linotype"/>
                <w:b/>
                <w:sz w:val="18"/>
                <w:szCs w:val="18"/>
              </w:rPr>
              <w:t>Requerimiento de información</w:t>
            </w:r>
          </w:p>
        </w:tc>
        <w:tc>
          <w:tcPr>
            <w:tcW w:w="2239" w:type="dxa"/>
            <w:shd w:val="clear" w:color="auto" w:fill="DDD9C4"/>
          </w:tcPr>
          <w:p w14:paraId="1AD16C98" w14:textId="77777777" w:rsidR="00492FA8" w:rsidRPr="00DA2451" w:rsidRDefault="00B93E7D">
            <w:pPr>
              <w:spacing w:after="240"/>
              <w:ind w:right="49"/>
              <w:jc w:val="center"/>
              <w:rPr>
                <w:rFonts w:ascii="Palatino Linotype" w:eastAsia="Palatino Linotype" w:hAnsi="Palatino Linotype" w:cs="Palatino Linotype"/>
                <w:b/>
                <w:sz w:val="18"/>
                <w:szCs w:val="18"/>
              </w:rPr>
            </w:pPr>
            <w:r w:rsidRPr="00DA2451">
              <w:rPr>
                <w:rFonts w:ascii="Palatino Linotype" w:eastAsia="Palatino Linotype" w:hAnsi="Palatino Linotype" w:cs="Palatino Linotype"/>
                <w:b/>
                <w:sz w:val="18"/>
                <w:szCs w:val="18"/>
              </w:rPr>
              <w:t>Respuesta</w:t>
            </w:r>
          </w:p>
          <w:p w14:paraId="6F3FCD05" w14:textId="77777777" w:rsidR="00492FA8" w:rsidRPr="00DA2451" w:rsidRDefault="00B93E7D">
            <w:pPr>
              <w:spacing w:after="240"/>
              <w:ind w:right="49"/>
              <w:jc w:val="center"/>
              <w:rPr>
                <w:rFonts w:ascii="Palatino Linotype" w:eastAsia="Palatino Linotype" w:hAnsi="Palatino Linotype" w:cs="Palatino Linotype"/>
                <w:b/>
                <w:sz w:val="18"/>
                <w:szCs w:val="18"/>
              </w:rPr>
            </w:pPr>
            <w:r w:rsidRPr="00DA2451">
              <w:rPr>
                <w:rFonts w:ascii="Palatino Linotype" w:eastAsia="Palatino Linotype" w:hAnsi="Palatino Linotype" w:cs="Palatino Linotype"/>
                <w:b/>
                <w:sz w:val="18"/>
                <w:szCs w:val="18"/>
              </w:rPr>
              <w:t>Titular de la Unidad de Transparencia</w:t>
            </w:r>
          </w:p>
        </w:tc>
        <w:tc>
          <w:tcPr>
            <w:tcW w:w="3147" w:type="dxa"/>
            <w:shd w:val="clear" w:color="auto" w:fill="DDD9C4"/>
          </w:tcPr>
          <w:p w14:paraId="7DA935CB" w14:textId="77777777" w:rsidR="00492FA8" w:rsidRPr="00DA2451" w:rsidRDefault="00B93E7D">
            <w:pPr>
              <w:spacing w:after="240"/>
              <w:ind w:right="49"/>
              <w:jc w:val="center"/>
              <w:rPr>
                <w:rFonts w:ascii="Palatino Linotype" w:eastAsia="Palatino Linotype" w:hAnsi="Palatino Linotype" w:cs="Palatino Linotype"/>
                <w:b/>
                <w:sz w:val="18"/>
                <w:szCs w:val="18"/>
              </w:rPr>
            </w:pPr>
            <w:r w:rsidRPr="00DA2451">
              <w:rPr>
                <w:rFonts w:ascii="Palatino Linotype" w:eastAsia="Palatino Linotype" w:hAnsi="Palatino Linotype" w:cs="Palatino Linotype"/>
                <w:b/>
                <w:sz w:val="18"/>
                <w:szCs w:val="18"/>
              </w:rPr>
              <w:t>Informe Justificado</w:t>
            </w:r>
          </w:p>
          <w:p w14:paraId="5F81AC0C" w14:textId="77777777" w:rsidR="00492FA8" w:rsidRPr="00DA2451" w:rsidRDefault="00B93E7D">
            <w:pPr>
              <w:spacing w:after="240"/>
              <w:ind w:right="49"/>
              <w:jc w:val="center"/>
              <w:rPr>
                <w:rFonts w:ascii="Palatino Linotype" w:eastAsia="Palatino Linotype" w:hAnsi="Palatino Linotype" w:cs="Palatino Linotype"/>
                <w:b/>
                <w:sz w:val="18"/>
                <w:szCs w:val="18"/>
              </w:rPr>
            </w:pPr>
            <w:r w:rsidRPr="00DA2451">
              <w:rPr>
                <w:rFonts w:ascii="Palatino Linotype" w:eastAsia="Palatino Linotype" w:hAnsi="Palatino Linotype" w:cs="Palatino Linotype"/>
                <w:b/>
                <w:sz w:val="18"/>
                <w:szCs w:val="18"/>
              </w:rPr>
              <w:t>Directora de Medio Ambiente del Ayuntamiento de Rayón</w:t>
            </w:r>
          </w:p>
        </w:tc>
        <w:tc>
          <w:tcPr>
            <w:tcW w:w="1995" w:type="dxa"/>
            <w:shd w:val="clear" w:color="auto" w:fill="DDD9C4"/>
          </w:tcPr>
          <w:p w14:paraId="0CB23994" w14:textId="77777777" w:rsidR="00492FA8" w:rsidRPr="00DA2451" w:rsidRDefault="00B93E7D">
            <w:pPr>
              <w:spacing w:after="240"/>
              <w:ind w:left="65" w:right="49" w:hanging="65"/>
              <w:jc w:val="center"/>
              <w:rPr>
                <w:rFonts w:ascii="Palatino Linotype" w:eastAsia="Palatino Linotype" w:hAnsi="Palatino Linotype" w:cs="Palatino Linotype"/>
                <w:b/>
                <w:sz w:val="18"/>
                <w:szCs w:val="18"/>
              </w:rPr>
            </w:pPr>
            <w:r w:rsidRPr="00DA2451">
              <w:rPr>
                <w:rFonts w:ascii="Palatino Linotype" w:eastAsia="Palatino Linotype" w:hAnsi="Palatino Linotype" w:cs="Palatino Linotype"/>
                <w:b/>
                <w:sz w:val="16"/>
                <w:szCs w:val="16"/>
              </w:rPr>
              <w:t>¿El pronunciamiento satisface el requerimiento de información?</w:t>
            </w:r>
          </w:p>
        </w:tc>
      </w:tr>
      <w:tr w:rsidR="00DA2451" w:rsidRPr="00DA2451" w14:paraId="35F37DA7" w14:textId="77777777">
        <w:tc>
          <w:tcPr>
            <w:tcW w:w="1702" w:type="dxa"/>
          </w:tcPr>
          <w:p w14:paraId="39CF1BCE" w14:textId="77777777" w:rsidR="00492FA8" w:rsidRPr="00DA2451" w:rsidRDefault="00B93E7D">
            <w:pPr>
              <w:spacing w:after="240" w:line="276" w:lineRule="auto"/>
              <w:ind w:right="49"/>
              <w:jc w:val="both"/>
              <w:rPr>
                <w:rFonts w:ascii="Palatino Linotype" w:eastAsia="Palatino Linotype" w:hAnsi="Palatino Linotype" w:cs="Palatino Linotype"/>
                <w:b/>
                <w:sz w:val="18"/>
                <w:szCs w:val="18"/>
              </w:rPr>
            </w:pPr>
            <w:r w:rsidRPr="00DA2451">
              <w:rPr>
                <w:rFonts w:ascii="Palatino Linotype" w:eastAsia="Palatino Linotype" w:hAnsi="Palatino Linotype" w:cs="Palatino Linotype"/>
                <w:b/>
                <w:sz w:val="18"/>
                <w:szCs w:val="18"/>
              </w:rPr>
              <w:t xml:space="preserve">●Qué presupuesto destinó a sus murales que está </w:t>
            </w:r>
            <w:r w:rsidRPr="00DA2451">
              <w:rPr>
                <w:rFonts w:ascii="Palatino Linotype" w:eastAsia="Palatino Linotype" w:hAnsi="Palatino Linotype" w:cs="Palatino Linotype"/>
                <w:b/>
                <w:sz w:val="18"/>
                <w:szCs w:val="18"/>
              </w:rPr>
              <w:lastRenderedPageBreak/>
              <w:t xml:space="preserve">haciendo en el andador. </w:t>
            </w:r>
          </w:p>
          <w:p w14:paraId="596A7DDC" w14:textId="77777777" w:rsidR="00492FA8" w:rsidRPr="00DA2451" w:rsidRDefault="00B93E7D">
            <w:pPr>
              <w:spacing w:after="240" w:line="276" w:lineRule="auto"/>
              <w:ind w:right="49"/>
              <w:jc w:val="both"/>
              <w:rPr>
                <w:rFonts w:ascii="Palatino Linotype" w:eastAsia="Palatino Linotype" w:hAnsi="Palatino Linotype" w:cs="Palatino Linotype"/>
                <w:b/>
              </w:rPr>
            </w:pPr>
            <w:r w:rsidRPr="00DA2451">
              <w:rPr>
                <w:rFonts w:ascii="Palatino Linotype" w:eastAsia="Palatino Linotype" w:hAnsi="Palatino Linotype" w:cs="Palatino Linotype"/>
                <w:b/>
                <w:sz w:val="18"/>
                <w:szCs w:val="18"/>
              </w:rPr>
              <w:t>●Qué permiso de medio ambiente tiene para poder hacer sus murales, ya que está usando aerosoles</w:t>
            </w:r>
          </w:p>
        </w:tc>
        <w:tc>
          <w:tcPr>
            <w:tcW w:w="2239" w:type="dxa"/>
          </w:tcPr>
          <w:p w14:paraId="656B3A76" w14:textId="77777777" w:rsidR="00492FA8" w:rsidRPr="00DA2451" w:rsidRDefault="00B93E7D">
            <w:pPr>
              <w:spacing w:after="240" w:line="276" w:lineRule="auto"/>
              <w:ind w:right="49"/>
              <w:jc w:val="both"/>
              <w:rPr>
                <w:rFonts w:ascii="Palatino Linotype" w:eastAsia="Palatino Linotype" w:hAnsi="Palatino Linotype" w:cs="Palatino Linotype"/>
                <w:sz w:val="18"/>
                <w:szCs w:val="18"/>
              </w:rPr>
            </w:pPr>
            <w:r w:rsidRPr="00DA2451">
              <w:rPr>
                <w:rFonts w:ascii="Palatino Linotype" w:eastAsia="Palatino Linotype" w:hAnsi="Palatino Linotype" w:cs="Palatino Linotype"/>
                <w:sz w:val="18"/>
                <w:szCs w:val="18"/>
              </w:rPr>
              <w:lastRenderedPageBreak/>
              <w:t xml:space="preserve">Refiere adjuntar archivo electrónico, sin embargo, en el expediente electrónico </w:t>
            </w:r>
            <w:r w:rsidRPr="00DA2451">
              <w:rPr>
                <w:rFonts w:ascii="Palatino Linotype" w:eastAsia="Palatino Linotype" w:hAnsi="Palatino Linotype" w:cs="Palatino Linotype"/>
                <w:sz w:val="18"/>
                <w:szCs w:val="18"/>
              </w:rPr>
              <w:lastRenderedPageBreak/>
              <w:t>no se tiene constancia de ello.</w:t>
            </w:r>
          </w:p>
        </w:tc>
        <w:tc>
          <w:tcPr>
            <w:tcW w:w="3147" w:type="dxa"/>
          </w:tcPr>
          <w:p w14:paraId="5DAE9D07" w14:textId="77777777" w:rsidR="00492FA8" w:rsidRPr="00DA2451" w:rsidRDefault="00B93E7D">
            <w:pPr>
              <w:spacing w:after="240"/>
              <w:ind w:right="49"/>
              <w:jc w:val="both"/>
              <w:rPr>
                <w:rFonts w:ascii="Palatino Linotype" w:eastAsia="Palatino Linotype" w:hAnsi="Palatino Linotype" w:cs="Palatino Linotype"/>
                <w:sz w:val="18"/>
                <w:szCs w:val="18"/>
              </w:rPr>
            </w:pPr>
            <w:r w:rsidRPr="00DA2451">
              <w:rPr>
                <w:rFonts w:ascii="Palatino Linotype" w:eastAsia="Palatino Linotype" w:hAnsi="Palatino Linotype" w:cs="Palatino Linotype"/>
                <w:sz w:val="18"/>
                <w:szCs w:val="18"/>
              </w:rPr>
              <w:lastRenderedPageBreak/>
              <w:t xml:space="preserve">Respecto al permiso, señala que no se cuenta con un permiso ambiental asignado, sin embargo, si se cuenta con una verificación del cumplimiento de parámetros de </w:t>
            </w:r>
            <w:r w:rsidRPr="00DA2451">
              <w:rPr>
                <w:rFonts w:ascii="Palatino Linotype" w:eastAsia="Palatino Linotype" w:hAnsi="Palatino Linotype" w:cs="Palatino Linotype"/>
                <w:sz w:val="18"/>
                <w:szCs w:val="18"/>
              </w:rPr>
              <w:lastRenderedPageBreak/>
              <w:t xml:space="preserve">baja contaminación, que a continuación se exponen: </w:t>
            </w:r>
          </w:p>
          <w:p w14:paraId="0ECAFF6C" w14:textId="77777777" w:rsidR="00492FA8" w:rsidRPr="00DA2451" w:rsidRDefault="00B93E7D">
            <w:pPr>
              <w:spacing w:after="240"/>
              <w:ind w:right="49"/>
              <w:jc w:val="both"/>
              <w:rPr>
                <w:rFonts w:ascii="Palatino Linotype" w:eastAsia="Palatino Linotype" w:hAnsi="Palatino Linotype" w:cs="Palatino Linotype"/>
                <w:sz w:val="18"/>
                <w:szCs w:val="18"/>
              </w:rPr>
            </w:pPr>
            <w:r w:rsidRPr="00DA2451">
              <w:rPr>
                <w:rFonts w:ascii="Palatino Linotype" w:eastAsia="Palatino Linotype" w:hAnsi="Palatino Linotype" w:cs="Palatino Linotype"/>
                <w:sz w:val="18"/>
                <w:szCs w:val="18"/>
              </w:rPr>
              <w:t>Se usan pinturas en aerosol libres de compuestos orgánicos volátiles (</w:t>
            </w:r>
            <w:proofErr w:type="spellStart"/>
            <w:r w:rsidRPr="00DA2451">
              <w:rPr>
                <w:rFonts w:ascii="Palatino Linotype" w:eastAsia="Palatino Linotype" w:hAnsi="Palatino Linotype" w:cs="Palatino Linotype"/>
                <w:sz w:val="18"/>
                <w:szCs w:val="18"/>
              </w:rPr>
              <w:t>COVs</w:t>
            </w:r>
            <w:proofErr w:type="spellEnd"/>
            <w:r w:rsidRPr="00DA2451">
              <w:rPr>
                <w:rFonts w:ascii="Palatino Linotype" w:eastAsia="Palatino Linotype" w:hAnsi="Palatino Linotype" w:cs="Palatino Linotype"/>
                <w:sz w:val="18"/>
                <w:szCs w:val="18"/>
              </w:rPr>
              <w:t>), es decir, no se liberan orgánicos dañinos en el aire.</w:t>
            </w:r>
          </w:p>
          <w:p w14:paraId="1CB5789A" w14:textId="77777777" w:rsidR="00492FA8" w:rsidRPr="00DA2451" w:rsidRDefault="00B93E7D">
            <w:pPr>
              <w:spacing w:after="240"/>
              <w:ind w:right="49"/>
              <w:jc w:val="both"/>
              <w:rPr>
                <w:rFonts w:ascii="Palatino Linotype" w:eastAsia="Palatino Linotype" w:hAnsi="Palatino Linotype" w:cs="Palatino Linotype"/>
                <w:sz w:val="18"/>
                <w:szCs w:val="18"/>
              </w:rPr>
            </w:pPr>
            <w:r w:rsidRPr="00DA2451">
              <w:rPr>
                <w:rFonts w:ascii="Palatino Linotype" w:eastAsia="Palatino Linotype" w:hAnsi="Palatino Linotype" w:cs="Palatino Linotype"/>
                <w:sz w:val="18"/>
                <w:szCs w:val="18"/>
              </w:rPr>
              <w:t>Las pinturas son de base agua y no base solvente, lo que quiere decir que está elaborada con materias primas que no contienen plomo, por lo que reduce la emisión de contaminantes durante el proceso de aplicación.</w:t>
            </w:r>
          </w:p>
          <w:p w14:paraId="78E05F6B" w14:textId="77777777" w:rsidR="00492FA8" w:rsidRPr="00DA2451" w:rsidRDefault="00B93E7D">
            <w:pPr>
              <w:spacing w:after="240"/>
              <w:ind w:right="49"/>
              <w:jc w:val="both"/>
              <w:rPr>
                <w:rFonts w:ascii="Palatino Linotype" w:eastAsia="Palatino Linotype" w:hAnsi="Palatino Linotype" w:cs="Palatino Linotype"/>
                <w:sz w:val="18"/>
                <w:szCs w:val="18"/>
              </w:rPr>
            </w:pPr>
            <w:r w:rsidRPr="00DA2451">
              <w:rPr>
                <w:rFonts w:ascii="Palatino Linotype" w:eastAsia="Palatino Linotype" w:hAnsi="Palatino Linotype" w:cs="Palatino Linotype"/>
                <w:sz w:val="18"/>
                <w:szCs w:val="18"/>
              </w:rPr>
              <w:t>Se evitan pinturas que contengan altos niveles de negro de humo/carbón.</w:t>
            </w:r>
          </w:p>
          <w:p w14:paraId="52B983E8" w14:textId="77777777" w:rsidR="00492FA8" w:rsidRPr="00DA2451" w:rsidRDefault="00B93E7D">
            <w:pPr>
              <w:spacing w:after="240"/>
              <w:ind w:right="49"/>
              <w:jc w:val="both"/>
              <w:rPr>
                <w:rFonts w:ascii="Palatino Linotype" w:eastAsia="Palatino Linotype" w:hAnsi="Palatino Linotype" w:cs="Palatino Linotype"/>
                <w:sz w:val="18"/>
                <w:szCs w:val="18"/>
              </w:rPr>
            </w:pPr>
            <w:r w:rsidRPr="00DA2451">
              <w:rPr>
                <w:rFonts w:ascii="Palatino Linotype" w:eastAsia="Palatino Linotype" w:hAnsi="Palatino Linotype" w:cs="Palatino Linotype"/>
                <w:sz w:val="18"/>
                <w:szCs w:val="18"/>
              </w:rPr>
              <w:t xml:space="preserve">Se verifica que cumpla con la NOM-123-SEMARNAT-1998. </w:t>
            </w:r>
          </w:p>
          <w:p w14:paraId="320634D2" w14:textId="77777777" w:rsidR="00492FA8" w:rsidRPr="00DA2451" w:rsidRDefault="00B93E7D">
            <w:pPr>
              <w:spacing w:after="240"/>
              <w:ind w:right="49"/>
              <w:jc w:val="both"/>
              <w:rPr>
                <w:rFonts w:ascii="Palatino Linotype" w:eastAsia="Palatino Linotype" w:hAnsi="Palatino Linotype" w:cs="Palatino Linotype"/>
                <w:sz w:val="18"/>
                <w:szCs w:val="18"/>
              </w:rPr>
            </w:pPr>
            <w:r w:rsidRPr="00DA2451">
              <w:rPr>
                <w:rFonts w:ascii="Palatino Linotype" w:eastAsia="Palatino Linotype" w:hAnsi="Palatino Linotype" w:cs="Palatino Linotype"/>
                <w:sz w:val="18"/>
                <w:szCs w:val="18"/>
              </w:rPr>
              <w:t xml:space="preserve">Respecto al presupuesto, adjuntó una factura en la que se advierte que por la pinta de mural de la Unidad de Rehabilitación e Integración Social de Rayón, se pagó la cantidad de $18,000 (dieciocho mil pesos M.N 100/00) </w:t>
            </w:r>
          </w:p>
        </w:tc>
        <w:tc>
          <w:tcPr>
            <w:tcW w:w="1995" w:type="dxa"/>
          </w:tcPr>
          <w:p w14:paraId="33253874" w14:textId="77777777" w:rsidR="00492FA8" w:rsidRPr="00DA2451" w:rsidRDefault="00B93E7D">
            <w:pPr>
              <w:spacing w:after="240"/>
              <w:ind w:right="49"/>
              <w:jc w:val="center"/>
              <w:rPr>
                <w:rFonts w:ascii="Palatino Linotype" w:eastAsia="Palatino Linotype" w:hAnsi="Palatino Linotype" w:cs="Palatino Linotype"/>
                <w:b/>
                <w:sz w:val="18"/>
                <w:szCs w:val="18"/>
              </w:rPr>
            </w:pPr>
            <w:r w:rsidRPr="00DA2451">
              <w:rPr>
                <w:rFonts w:ascii="Palatino Linotype" w:eastAsia="Palatino Linotype" w:hAnsi="Palatino Linotype" w:cs="Palatino Linotype"/>
                <w:b/>
                <w:sz w:val="22"/>
                <w:szCs w:val="22"/>
              </w:rPr>
              <w:lastRenderedPageBreak/>
              <w:t>Sí</w:t>
            </w:r>
          </w:p>
        </w:tc>
      </w:tr>
    </w:tbl>
    <w:p w14:paraId="59283C65" w14:textId="77777777" w:rsidR="00492FA8" w:rsidRPr="00DA2451" w:rsidRDefault="00B93E7D">
      <w:pPr>
        <w:pBdr>
          <w:top w:val="nil"/>
          <w:left w:val="nil"/>
          <w:bottom w:val="nil"/>
          <w:right w:val="nil"/>
          <w:between w:val="nil"/>
        </w:pBdr>
        <w:spacing w:before="240" w:after="240" w:line="360" w:lineRule="auto"/>
        <w:jc w:val="both"/>
      </w:pPr>
      <w:r w:rsidRPr="00DA2451">
        <w:rPr>
          <w:rFonts w:ascii="Palatino Linotype" w:eastAsia="Palatino Linotype" w:hAnsi="Palatino Linotype" w:cs="Palatino Linotype"/>
        </w:rPr>
        <w:t>En tal sentido, con la información remitida  a través del informe justificado se hizo del conocimiento del particular el monto total pagado por el mural, el cual se visualiza en la siguiente factura:</w:t>
      </w:r>
    </w:p>
    <w:p w14:paraId="77A1C887" w14:textId="77777777" w:rsidR="00492FA8" w:rsidRPr="00DA2451" w:rsidRDefault="00B93E7D">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DA2451">
        <w:rPr>
          <w:rFonts w:ascii="Palatino Linotype" w:eastAsia="Palatino Linotype" w:hAnsi="Palatino Linotype" w:cs="Palatino Linotype"/>
          <w:noProof/>
          <w:lang w:val="es-MX"/>
        </w:rPr>
        <w:lastRenderedPageBreak/>
        <w:drawing>
          <wp:inline distT="0" distB="0" distL="0" distR="0" wp14:anchorId="230D300B" wp14:editId="4BF8D3BD">
            <wp:extent cx="5612130" cy="4779010"/>
            <wp:effectExtent l="0" t="0" r="0" b="0"/>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612130" cy="4779010"/>
                    </a:xfrm>
                    <a:prstGeom prst="rect">
                      <a:avLst/>
                    </a:prstGeom>
                    <a:ln/>
                  </pic:spPr>
                </pic:pic>
              </a:graphicData>
            </a:graphic>
          </wp:inline>
        </w:drawing>
      </w:r>
    </w:p>
    <w:p w14:paraId="1496DB15" w14:textId="77777777" w:rsidR="00492FA8" w:rsidRPr="00DA2451" w:rsidRDefault="00B93E7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Por otro lado, respecto al permiso en materia ambiental para la realización del mural solicitado, debemos recordar que la Directora de Medio Ambiente del Ayuntamiento de Rayón señaló que no se cuenta con un permiso ambiental asignado, sin embargo, si se realiza una verificación del cumplimiento de parámetros de baja contaminación, los cuales consisten en usar pinturas en aerosol libres de compuestos orgánicos volátiles (</w:t>
      </w:r>
      <w:proofErr w:type="spellStart"/>
      <w:r w:rsidRPr="00DA2451">
        <w:rPr>
          <w:rFonts w:ascii="Palatino Linotype" w:eastAsia="Palatino Linotype" w:hAnsi="Palatino Linotype" w:cs="Palatino Linotype"/>
        </w:rPr>
        <w:t>COVs</w:t>
      </w:r>
      <w:proofErr w:type="spellEnd"/>
      <w:r w:rsidRPr="00DA2451">
        <w:rPr>
          <w:rFonts w:ascii="Palatino Linotype" w:eastAsia="Palatino Linotype" w:hAnsi="Palatino Linotype" w:cs="Palatino Linotype"/>
        </w:rPr>
        <w:t xml:space="preserve">), es decir, no se liberan orgánicos dañinos en el aire, por lo que se procede a analizar el Bando Municipal, el cual </w:t>
      </w:r>
      <w:r w:rsidRPr="00DA2451">
        <w:rPr>
          <w:rFonts w:ascii="Palatino Linotype" w:eastAsia="Palatino Linotype" w:hAnsi="Palatino Linotype" w:cs="Palatino Linotype"/>
        </w:rPr>
        <w:lastRenderedPageBreak/>
        <w:t>establece que la Dirección de Medio Ambiente, cuenta con las siguientes atribuciones:</w:t>
      </w:r>
    </w:p>
    <w:p w14:paraId="7A5F67CD" w14:textId="77777777" w:rsidR="00492FA8" w:rsidRPr="00DA2451" w:rsidRDefault="00B93E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i/>
          <w:sz w:val="22"/>
          <w:szCs w:val="22"/>
        </w:rPr>
        <w:t xml:space="preserve">“ARTÍCULO 90. </w:t>
      </w:r>
      <w:r w:rsidRPr="00DA2451">
        <w:rPr>
          <w:rFonts w:ascii="Palatino Linotype" w:eastAsia="Palatino Linotype" w:hAnsi="Palatino Linotype" w:cs="Palatino Linotype"/>
          <w:b/>
          <w:i/>
          <w:sz w:val="22"/>
          <w:szCs w:val="22"/>
          <w:u w:val="single"/>
        </w:rPr>
        <w:t xml:space="preserve">La Dirección de Juventud y Medio Ambiente es la Dependencia que se encarga de </w:t>
      </w:r>
      <w:r w:rsidRPr="00DA2451">
        <w:rPr>
          <w:rFonts w:ascii="Palatino Linotype" w:eastAsia="Palatino Linotype" w:hAnsi="Palatino Linotype" w:cs="Palatino Linotype"/>
          <w:i/>
          <w:sz w:val="22"/>
          <w:szCs w:val="22"/>
        </w:rPr>
        <w:t xml:space="preserve">diseñar y ejecutar políticas públicas municipales para preservar la flora y fauna, así como </w:t>
      </w:r>
      <w:r w:rsidRPr="00DA2451">
        <w:rPr>
          <w:rFonts w:ascii="Palatino Linotype" w:eastAsia="Palatino Linotype" w:hAnsi="Palatino Linotype" w:cs="Palatino Linotype"/>
          <w:b/>
          <w:i/>
          <w:sz w:val="22"/>
          <w:szCs w:val="22"/>
          <w:u w:val="single"/>
        </w:rPr>
        <w:t>gestionar previo la autorización del Ejecutivo Municipal, ante los Gobiernos Federal y/o Estatal, programas y actividades relacionadas con el cuidado y preservación ambiental, así como protección y bienestar animal, proponer, ejecutar y vigilar las medidas y criterios para la prevención y control de residuos y emisiones generadas por fuentes contaminante.</w:t>
      </w:r>
      <w:r w:rsidRPr="00DA2451">
        <w:rPr>
          <w:rFonts w:ascii="Palatino Linotype" w:eastAsia="Palatino Linotype" w:hAnsi="Palatino Linotype" w:cs="Palatino Linotype"/>
          <w:i/>
          <w:sz w:val="22"/>
          <w:szCs w:val="22"/>
        </w:rPr>
        <w:t>” (Énfasis añadido)</w:t>
      </w:r>
    </w:p>
    <w:p w14:paraId="391E2600" w14:textId="77777777" w:rsidR="00492FA8" w:rsidRPr="00DA2451" w:rsidRDefault="00B93E7D">
      <w:pPr>
        <w:spacing w:line="360" w:lineRule="auto"/>
        <w:ind w:right="49"/>
        <w:jc w:val="both"/>
        <w:rPr>
          <w:rFonts w:ascii="Palatino Linotype" w:eastAsia="Palatino Linotype" w:hAnsi="Palatino Linotype" w:cs="Palatino Linotype"/>
        </w:rPr>
      </w:pPr>
      <w:r w:rsidRPr="00DA2451">
        <w:rPr>
          <w:rFonts w:ascii="Palatino Linotype" w:eastAsia="Palatino Linotype" w:hAnsi="Palatino Linotype" w:cs="Palatino Linotype"/>
        </w:rPr>
        <w:t xml:space="preserve">De tal suerte que como se desprende de lo anteriormente citado, la Dirección del Medio Ambiente es la encargada de </w:t>
      </w:r>
      <w:r w:rsidRPr="00DA2451">
        <w:rPr>
          <w:rFonts w:ascii="Palatino Linotype" w:eastAsia="Palatino Linotype" w:hAnsi="Palatino Linotype" w:cs="Palatino Linotype"/>
          <w:b/>
          <w:u w:val="single"/>
        </w:rPr>
        <w:t>gestionar previo la autorización del Ejecutivo Municipal, ante los Gobiernos Federal y/o Estatal, programas y actividades relacionadas con el cuidado y preservación ambiental, así como protección y bienestar animal, proponer, ejecutar y vigilar las medidas y criterios para la prevención y control de residuos y emisiones generadas por fuentes contaminantes</w:t>
      </w:r>
      <w:r w:rsidRPr="00DA2451">
        <w:rPr>
          <w:rFonts w:ascii="Palatino Linotype" w:eastAsia="Palatino Linotype" w:hAnsi="Palatino Linotype" w:cs="Palatino Linotype"/>
        </w:rPr>
        <w:t>, por ende, se determina que la respuesta fue proporcionada por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54A491A9" w14:textId="77777777" w:rsidR="00492FA8" w:rsidRPr="00DA2451" w:rsidRDefault="00492FA8"/>
    <w:p w14:paraId="4874DB0F" w14:textId="77777777" w:rsidR="00492FA8" w:rsidRPr="00DA2451" w:rsidRDefault="00B93E7D">
      <w:pPr>
        <w:pBdr>
          <w:top w:val="nil"/>
          <w:left w:val="nil"/>
          <w:bottom w:val="nil"/>
          <w:right w:val="nil"/>
          <w:between w:val="nil"/>
        </w:pBdr>
        <w:ind w:left="864" w:right="864"/>
        <w:jc w:val="both"/>
      </w:pPr>
      <w:r w:rsidRPr="00DA2451">
        <w:rPr>
          <w:rFonts w:ascii="Palatino Linotype" w:eastAsia="Palatino Linotype" w:hAnsi="Palatino Linotype" w:cs="Palatino Linotype"/>
          <w:i/>
          <w:sz w:val="22"/>
          <w:szCs w:val="22"/>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w:t>
      </w:r>
      <w:r w:rsidRPr="00DA2451">
        <w:rPr>
          <w:rFonts w:ascii="Palatino Linotype" w:eastAsia="Palatino Linotype" w:hAnsi="Palatino Linotype" w:cs="Palatino Linotype"/>
          <w:i/>
          <w:sz w:val="22"/>
          <w:szCs w:val="22"/>
        </w:rPr>
        <w:lastRenderedPageBreak/>
        <w:t>aportar en primera instancia el fundamento y motivación de la clasificación de la información. </w:t>
      </w:r>
    </w:p>
    <w:p w14:paraId="4604A00C" w14:textId="77777777" w:rsidR="00492FA8" w:rsidRPr="00DA2451" w:rsidRDefault="00492FA8"/>
    <w:p w14:paraId="3A7CBEC8" w14:textId="77777777" w:rsidR="00492FA8" w:rsidRPr="00DA2451" w:rsidRDefault="00B93E7D">
      <w:pPr>
        <w:pBdr>
          <w:top w:val="nil"/>
          <w:left w:val="nil"/>
          <w:bottom w:val="nil"/>
          <w:right w:val="nil"/>
          <w:between w:val="nil"/>
        </w:pBdr>
        <w:shd w:val="clear" w:color="auto" w:fill="FFFFFF"/>
        <w:spacing w:line="360" w:lineRule="auto"/>
        <w:jc w:val="both"/>
      </w:pPr>
      <w:r w:rsidRPr="00DA2451">
        <w:rPr>
          <w:rFonts w:ascii="Palatino Linotype" w:eastAsia="Palatino Linotype" w:hAnsi="Palatino Linotype" w:cs="Palatino Linotype"/>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5EAFD100" w14:textId="77777777" w:rsidR="00492FA8" w:rsidRPr="00DA2451" w:rsidRDefault="00492FA8"/>
    <w:p w14:paraId="19F1DEBE" w14:textId="77777777" w:rsidR="00492FA8" w:rsidRPr="00DA2451" w:rsidRDefault="00B93E7D">
      <w:pPr>
        <w:pBdr>
          <w:top w:val="nil"/>
          <w:left w:val="nil"/>
          <w:bottom w:val="nil"/>
          <w:right w:val="nil"/>
          <w:between w:val="nil"/>
        </w:pBdr>
        <w:ind w:left="864" w:right="864"/>
        <w:jc w:val="both"/>
      </w:pPr>
      <w:r w:rsidRPr="00DA2451">
        <w:rPr>
          <w:rFonts w:ascii="Palatino Linotype" w:eastAsia="Palatino Linotype" w:hAnsi="Palatino Linotype" w:cs="Palatino Linotype"/>
          <w:i/>
          <w:sz w:val="22"/>
          <w:szCs w:val="22"/>
        </w:rPr>
        <w:t xml:space="preserve">Artículo 162. Las unidades de transparencia deberán garantizar que las solicitudes </w:t>
      </w:r>
      <w:r w:rsidRPr="00DA2451">
        <w:rPr>
          <w:rFonts w:ascii="Palatino Linotype" w:eastAsia="Palatino Linotype" w:hAnsi="Palatino Linotype" w:cs="Palatino Linotype"/>
          <w:b/>
          <w:i/>
          <w:sz w:val="22"/>
          <w:szCs w:val="22"/>
        </w:rPr>
        <w:t xml:space="preserve">se turnen a todas las Áreas competentes </w:t>
      </w:r>
      <w:r w:rsidRPr="00DA2451">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6EFAEE85" w14:textId="77777777" w:rsidR="00492FA8" w:rsidRPr="00DA2451" w:rsidRDefault="00B93E7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Aunado a lo anterior, el Código para la Biodiversidad del Estado de México señala en su artículo 2.9, las facultades de los Municipios en materia del medio ambiente, mismas que se insertan a continuación:</w:t>
      </w:r>
    </w:p>
    <w:p w14:paraId="2B9D59CE" w14:textId="77777777" w:rsidR="00492FA8" w:rsidRPr="00DA2451" w:rsidRDefault="00B93E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i/>
          <w:sz w:val="22"/>
          <w:szCs w:val="22"/>
        </w:rPr>
        <w:t>“Artículo 2.9. Corresponden a las autoridades municipales del Estado en el ámbito de su competencia las siguientes facultades:</w:t>
      </w:r>
    </w:p>
    <w:p w14:paraId="4E8B067B" w14:textId="77777777" w:rsidR="00492FA8" w:rsidRPr="00DA2451" w:rsidRDefault="00B93E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i/>
          <w:sz w:val="22"/>
          <w:szCs w:val="22"/>
        </w:rPr>
        <w:t>I. Formular, conducir y evaluar la política ambiental municipal en congruencia con los criterios que hubiere formulado la Federación y el Gobierno del Estado;</w:t>
      </w:r>
    </w:p>
    <w:p w14:paraId="468483EF" w14:textId="77777777" w:rsidR="00492FA8" w:rsidRPr="00DA2451" w:rsidRDefault="00B93E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i/>
          <w:sz w:val="22"/>
          <w:szCs w:val="22"/>
        </w:rPr>
        <w:t>…</w:t>
      </w:r>
    </w:p>
    <w:p w14:paraId="64C64D33" w14:textId="77777777" w:rsidR="00492FA8" w:rsidRPr="00DA2451" w:rsidRDefault="00B93E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b/>
          <w:i/>
          <w:sz w:val="22"/>
          <w:szCs w:val="22"/>
          <w:u w:val="single"/>
        </w:rPr>
        <w:t>XX. Verificar el cumplimiento de las normas oficiales mexicanas y normas técnicas estatales en materia de emisiones a la atmósfera</w:t>
      </w:r>
      <w:r w:rsidRPr="00DA2451">
        <w:rPr>
          <w:rFonts w:ascii="Palatino Linotype" w:eastAsia="Palatino Linotype" w:hAnsi="Palatino Linotype" w:cs="Palatino Linotype"/>
          <w:i/>
          <w:sz w:val="22"/>
          <w:szCs w:val="22"/>
        </w:rPr>
        <w:t>, residuos sólidos, contaminación por ruido, vibraciones, malos olores y contaminación por energía térmica, lumínica y electromagnética, para el vertimiento de aguas residuales en los sistemas de drenaje, alcantarillado y saneamiento que administren;” (Énfasis añadido)</w:t>
      </w:r>
    </w:p>
    <w:p w14:paraId="268C9484" w14:textId="77777777" w:rsidR="00492FA8" w:rsidRPr="00DA2451" w:rsidRDefault="00492FA8">
      <w:pPr>
        <w:pBdr>
          <w:top w:val="nil"/>
          <w:left w:val="nil"/>
          <w:bottom w:val="nil"/>
          <w:right w:val="nil"/>
          <w:between w:val="nil"/>
        </w:pBdr>
        <w:spacing w:before="240" w:after="240" w:line="276" w:lineRule="auto"/>
        <w:ind w:right="900"/>
        <w:jc w:val="both"/>
        <w:rPr>
          <w:rFonts w:ascii="Palatino Linotype" w:eastAsia="Palatino Linotype" w:hAnsi="Palatino Linotype" w:cs="Palatino Linotype"/>
        </w:rPr>
      </w:pPr>
    </w:p>
    <w:p w14:paraId="7A2A5082" w14:textId="77777777" w:rsidR="00492FA8" w:rsidRPr="00DA2451" w:rsidRDefault="00B93E7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lastRenderedPageBreak/>
        <w:t>Asimismo, el artículo 362 del Reglamento del Libro Segundo del Código para la Biodiversidad del Estado de México señala lo siguiente respecto a la contaminación atmosférica por medio de gases:</w:t>
      </w:r>
    </w:p>
    <w:p w14:paraId="445F9326" w14:textId="77777777" w:rsidR="00492FA8" w:rsidRPr="00DA2451" w:rsidRDefault="00B93E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i/>
          <w:sz w:val="22"/>
          <w:szCs w:val="22"/>
        </w:rPr>
        <w:t>“</w:t>
      </w:r>
      <w:r w:rsidRPr="00DA2451">
        <w:rPr>
          <w:rFonts w:ascii="Palatino Linotype" w:eastAsia="Palatino Linotype" w:hAnsi="Palatino Linotype" w:cs="Palatino Linotype"/>
          <w:b/>
          <w:i/>
          <w:sz w:val="22"/>
          <w:szCs w:val="22"/>
          <w:u w:val="single"/>
        </w:rPr>
        <w:t>Artículo 362. Quedan prohibidas las emisiones de ruido, vibraciones, energía térmica y lumínica, olores, vapores, gases</w:t>
      </w:r>
      <w:r w:rsidRPr="00DA2451">
        <w:rPr>
          <w:rFonts w:ascii="Palatino Linotype" w:eastAsia="Palatino Linotype" w:hAnsi="Palatino Linotype" w:cs="Palatino Linotype"/>
          <w:i/>
          <w:sz w:val="22"/>
          <w:szCs w:val="22"/>
        </w:rPr>
        <w:t xml:space="preserve"> y la generación de contaminación visual, en cuanto rebasen los límites máximos establecidos en las Normas Oficiales Mexicanas y en los criterios y normas estatales que para ese efecto se expidan, considerando los valores de concentración máxima permisibles para el ser humano, de contaminación en el ambiente que se determinen. La Secretaría y </w:t>
      </w:r>
      <w:r w:rsidRPr="00DA2451">
        <w:rPr>
          <w:rFonts w:ascii="Palatino Linotype" w:eastAsia="Palatino Linotype" w:hAnsi="Palatino Linotype" w:cs="Palatino Linotype"/>
          <w:b/>
          <w:i/>
          <w:sz w:val="22"/>
          <w:szCs w:val="22"/>
          <w:u w:val="single"/>
        </w:rPr>
        <w:t>las autoridades de los municipios del Estado de México, en términos de lo dispuesto por en el Código y los ordenamientos municipales, adoptarán las medidas para impedir que se transgredan dichos límites y aplicarán las sanciones correspondientes</w:t>
      </w:r>
      <w:r w:rsidRPr="00DA2451">
        <w:rPr>
          <w:rFonts w:ascii="Palatino Linotype" w:eastAsia="Palatino Linotype" w:hAnsi="Palatino Linotype" w:cs="Palatino Linotype"/>
          <w:i/>
          <w:sz w:val="22"/>
          <w:szCs w:val="22"/>
        </w:rPr>
        <w:t>.”</w:t>
      </w:r>
    </w:p>
    <w:p w14:paraId="219CDF77" w14:textId="77777777" w:rsidR="00492FA8" w:rsidRPr="00DA2451" w:rsidRDefault="00B93E7D">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DA2451">
        <w:rPr>
          <w:rFonts w:ascii="Palatino Linotype" w:eastAsia="Palatino Linotype" w:hAnsi="Palatino Linotype" w:cs="Palatino Linotype"/>
        </w:rPr>
        <w:t xml:space="preserve">Bajo otro orden de ideas, este Instituto realizó la búsqueda de la norma estatal en materia de emisiones a la atmósfera, obteniendo así que existe la Norma Técnica Estatal Ambiental NTEA-024-SeMAGEM-CA-2023, que establece los umbrales de compuestos orgánicos volátiles (COV) y criterios para su cuantificación en las fuentes fijas de competencia estatal, la cual </w:t>
      </w:r>
      <w:r w:rsidRPr="00DA2451">
        <w:rPr>
          <w:rFonts w:ascii="Palatino Linotype" w:eastAsia="Palatino Linotype" w:hAnsi="Palatino Linotype" w:cs="Palatino Linotype"/>
          <w:b/>
        </w:rPr>
        <w:t>únicamente le resulta aplicable a las fuentes fijas, las cuales se conciben como una instalación establecida en un solo lugar, que tenga como finalidad desarrollar operaciones o procesos industriales, comerciales, de servicios o actividades que generen o puedan generar emisiones contaminantes a la atmósfera.</w:t>
      </w:r>
    </w:p>
    <w:p w14:paraId="1A3596B9" w14:textId="77777777" w:rsidR="00492FA8" w:rsidRPr="00DA2451" w:rsidRDefault="00B93E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i/>
          <w:sz w:val="22"/>
          <w:szCs w:val="22"/>
        </w:rPr>
        <w:t>“En este sentido, las fuentes fijas se encuentran obligadas a cumplir con los siguientes requisitos:</w:t>
      </w:r>
    </w:p>
    <w:p w14:paraId="14E3FD6B" w14:textId="77777777" w:rsidR="00492FA8" w:rsidRPr="00DA2451" w:rsidRDefault="00B93E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i/>
          <w:sz w:val="22"/>
          <w:szCs w:val="22"/>
        </w:rPr>
        <w:t>7. Consideraciones para la determinación de las emisiones de COV.</w:t>
      </w:r>
    </w:p>
    <w:p w14:paraId="097DACEB" w14:textId="77777777" w:rsidR="00492FA8" w:rsidRPr="00DA2451" w:rsidRDefault="00B93E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i/>
          <w:sz w:val="22"/>
          <w:szCs w:val="22"/>
        </w:rPr>
        <w:t>Para la determinación de la emisión total de COV, la fuente fija debe:</w:t>
      </w:r>
    </w:p>
    <w:p w14:paraId="355F6BF1" w14:textId="77777777" w:rsidR="00492FA8" w:rsidRPr="00DA2451" w:rsidRDefault="00B93E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i/>
          <w:sz w:val="22"/>
          <w:szCs w:val="22"/>
        </w:rPr>
        <w:lastRenderedPageBreak/>
        <w:t>a) Identificar y representar por medio de diagramas de flujo, los puntos de emisiones conducidas y fugitivas de COV en los procesos productivos y servicios auxiliares, a los cuales se les debe asignar un número de identificación de proceso (NIP).</w:t>
      </w:r>
    </w:p>
    <w:p w14:paraId="28BCDBB6" w14:textId="77777777" w:rsidR="00492FA8" w:rsidRPr="00DA2451" w:rsidRDefault="00B93E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i/>
          <w:sz w:val="22"/>
          <w:szCs w:val="22"/>
        </w:rPr>
        <w:t>b) Realizar la medición directa en la fuente generadora de COV para las emisiones conducidas, conforme con lo establecido en el numeral 9.1. (</w:t>
      </w:r>
      <w:proofErr w:type="gramStart"/>
      <w:r w:rsidRPr="00DA2451">
        <w:rPr>
          <w:rFonts w:ascii="Palatino Linotype" w:eastAsia="Palatino Linotype" w:hAnsi="Palatino Linotype" w:cs="Palatino Linotype"/>
          <w:i/>
          <w:sz w:val="22"/>
          <w:szCs w:val="22"/>
        </w:rPr>
        <w:t>concentración</w:t>
      </w:r>
      <w:proofErr w:type="gramEnd"/>
      <w:r w:rsidRPr="00DA2451">
        <w:rPr>
          <w:rFonts w:ascii="Palatino Linotype" w:eastAsia="Palatino Linotype" w:hAnsi="Palatino Linotype" w:cs="Palatino Linotype"/>
          <w:i/>
          <w:sz w:val="22"/>
          <w:szCs w:val="22"/>
        </w:rPr>
        <w:t xml:space="preserve"> y emisión).</w:t>
      </w:r>
    </w:p>
    <w:p w14:paraId="7045A2D1" w14:textId="77777777" w:rsidR="00492FA8" w:rsidRPr="00DA2451" w:rsidRDefault="00B93E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i/>
          <w:sz w:val="22"/>
          <w:szCs w:val="22"/>
        </w:rPr>
        <w:t xml:space="preserve">c) Cuantificar la emisión fugitiva y de los servicios auxiliares, mediante la metodología de balance de materia o factor de emisión descrito en el numeral 9.2.1. </w:t>
      </w:r>
      <w:proofErr w:type="gramStart"/>
      <w:r w:rsidRPr="00DA2451">
        <w:rPr>
          <w:rFonts w:ascii="Palatino Linotype" w:eastAsia="Palatino Linotype" w:hAnsi="Palatino Linotype" w:cs="Palatino Linotype"/>
          <w:i/>
          <w:sz w:val="22"/>
          <w:szCs w:val="22"/>
        </w:rPr>
        <w:t>y</w:t>
      </w:r>
      <w:proofErr w:type="gramEnd"/>
      <w:r w:rsidRPr="00DA2451">
        <w:rPr>
          <w:rFonts w:ascii="Palatino Linotype" w:eastAsia="Palatino Linotype" w:hAnsi="Palatino Linotype" w:cs="Palatino Linotype"/>
          <w:i/>
          <w:sz w:val="22"/>
          <w:szCs w:val="22"/>
        </w:rPr>
        <w:t xml:space="preserve"> 9.2.2. </w:t>
      </w:r>
      <w:proofErr w:type="gramStart"/>
      <w:r w:rsidRPr="00DA2451">
        <w:rPr>
          <w:rFonts w:ascii="Palatino Linotype" w:eastAsia="Palatino Linotype" w:hAnsi="Palatino Linotype" w:cs="Palatino Linotype"/>
          <w:i/>
          <w:sz w:val="22"/>
          <w:szCs w:val="22"/>
        </w:rPr>
        <w:t>respectivamente</w:t>
      </w:r>
      <w:proofErr w:type="gramEnd"/>
      <w:r w:rsidRPr="00DA2451">
        <w:rPr>
          <w:rFonts w:ascii="Palatino Linotype" w:eastAsia="Palatino Linotype" w:hAnsi="Palatino Linotype" w:cs="Palatino Linotype"/>
          <w:i/>
          <w:sz w:val="22"/>
          <w:szCs w:val="22"/>
        </w:rPr>
        <w:t>.</w:t>
      </w:r>
    </w:p>
    <w:p w14:paraId="3A8413A1" w14:textId="77777777" w:rsidR="00492FA8" w:rsidRPr="00DA2451" w:rsidRDefault="00B93E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i/>
          <w:sz w:val="22"/>
          <w:szCs w:val="22"/>
        </w:rPr>
        <w:t>d) Cuantificar la emisión de COV del consumo de combustibles por factor de emisión descrito en el numeral 9.2.3.</w:t>
      </w:r>
    </w:p>
    <w:p w14:paraId="77F1C9F2" w14:textId="77777777" w:rsidR="00492FA8" w:rsidRPr="00DA2451" w:rsidRDefault="00B93E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i/>
          <w:sz w:val="22"/>
          <w:szCs w:val="22"/>
        </w:rPr>
        <w:t>e) Reportar la emisión total de COV, en toneladas al año.</w:t>
      </w:r>
    </w:p>
    <w:p w14:paraId="11DD4D8A" w14:textId="77777777" w:rsidR="00492FA8" w:rsidRPr="00DA2451" w:rsidRDefault="00B93E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b/>
          <w:i/>
          <w:sz w:val="22"/>
          <w:szCs w:val="22"/>
          <w:u w:val="single"/>
        </w:rPr>
        <w:t>Las fuentes fijas deberán cumplir con lo anterior para el trámite de solicitud, prórroga y actualización de Licencia de Funcionamiento (Registro de emisiones a la atmósfera), así como las demás disposiciones en la materia</w:t>
      </w:r>
      <w:r w:rsidRPr="00DA2451">
        <w:rPr>
          <w:rFonts w:ascii="Palatino Linotype" w:eastAsia="Palatino Linotype" w:hAnsi="Palatino Linotype" w:cs="Palatino Linotype"/>
          <w:i/>
          <w:sz w:val="22"/>
          <w:szCs w:val="22"/>
        </w:rPr>
        <w:t>.”</w:t>
      </w:r>
    </w:p>
    <w:p w14:paraId="71F46E16" w14:textId="77777777" w:rsidR="00492FA8" w:rsidRPr="00DA2451" w:rsidRDefault="00B93E7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Asimismo, esta Norma Técnica Estatal estipula las industrias que contemplan las fuentes fijas emisoras de contaminantes a la atmósfera:</w:t>
      </w:r>
    </w:p>
    <w:p w14:paraId="493042B8" w14:textId="77777777" w:rsidR="00492FA8" w:rsidRPr="00DA2451" w:rsidRDefault="00B93E7D">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DA2451">
        <w:rPr>
          <w:rFonts w:ascii="Palatino Linotype" w:eastAsia="Palatino Linotype" w:hAnsi="Palatino Linotype" w:cs="Palatino Linotype"/>
          <w:noProof/>
          <w:lang w:val="es-MX"/>
        </w:rPr>
        <w:lastRenderedPageBreak/>
        <w:drawing>
          <wp:inline distT="0" distB="0" distL="0" distR="0" wp14:anchorId="23DFC6EA" wp14:editId="5ADEBCE6">
            <wp:extent cx="5239481" cy="3772426"/>
            <wp:effectExtent l="0" t="0" r="0" b="0"/>
            <wp:docPr id="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239481" cy="3772426"/>
                    </a:xfrm>
                    <a:prstGeom prst="rect">
                      <a:avLst/>
                    </a:prstGeom>
                    <a:ln/>
                  </pic:spPr>
                </pic:pic>
              </a:graphicData>
            </a:graphic>
          </wp:inline>
        </w:drawing>
      </w:r>
    </w:p>
    <w:p w14:paraId="5B7C6914" w14:textId="77777777" w:rsidR="00492FA8" w:rsidRPr="00DA2451" w:rsidRDefault="00B93E7D">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DA2451">
        <w:rPr>
          <w:rFonts w:ascii="Palatino Linotype" w:eastAsia="Palatino Linotype" w:hAnsi="Palatino Linotype" w:cs="Palatino Linotype"/>
          <w:noProof/>
          <w:lang w:val="es-MX"/>
        </w:rPr>
        <w:drawing>
          <wp:inline distT="0" distB="0" distL="0" distR="0" wp14:anchorId="2E019EBE" wp14:editId="0F33BB0A">
            <wp:extent cx="5201376" cy="1524213"/>
            <wp:effectExtent l="0" t="0" r="0" b="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201376" cy="1524213"/>
                    </a:xfrm>
                    <a:prstGeom prst="rect">
                      <a:avLst/>
                    </a:prstGeom>
                    <a:ln/>
                  </pic:spPr>
                </pic:pic>
              </a:graphicData>
            </a:graphic>
          </wp:inline>
        </w:drawing>
      </w:r>
    </w:p>
    <w:p w14:paraId="4ED8151B" w14:textId="77777777" w:rsidR="004F23AF" w:rsidRPr="00DA2451" w:rsidRDefault="00B93E7D" w:rsidP="00BF059E">
      <w:pPr>
        <w:pBdr>
          <w:top w:val="nil"/>
          <w:left w:val="nil"/>
          <w:bottom w:val="nil"/>
          <w:right w:val="nil"/>
          <w:between w:val="nil"/>
        </w:pBdr>
        <w:spacing w:before="240" w:after="240" w:line="360" w:lineRule="auto"/>
        <w:jc w:val="both"/>
        <w:rPr>
          <w:rFonts w:ascii="Palatino Linotype" w:eastAsia="Palatino Linotype" w:hAnsi="Palatino Linotype" w:cs="Palatino Linotype"/>
          <w:sz w:val="36"/>
        </w:rPr>
      </w:pPr>
      <w:r w:rsidRPr="00DA2451">
        <w:rPr>
          <w:rFonts w:ascii="Palatino Linotype" w:eastAsia="Palatino Linotype" w:hAnsi="Palatino Linotype" w:cs="Palatino Linotype"/>
        </w:rPr>
        <w:t xml:space="preserve">Por lo anterior, queda acreditado que </w:t>
      </w:r>
      <w:r w:rsidR="004F23AF" w:rsidRPr="00DA2451">
        <w:rPr>
          <w:rFonts w:ascii="Palatino Linotype" w:eastAsia="Palatino Linotype" w:hAnsi="Palatino Linotype" w:cs="Palatino Linotype"/>
        </w:rPr>
        <w:t xml:space="preserve">no existe fuente obligacional para que el Ayuntamiento deba contar con un permiso para emplear aerosoles en un mural, pues como se visualizó en lo anteriormente citado, conforme a las facultades del Ayuntamiento en materia de medio ambiente, únicamente le compete vigilar que se observe lo dispuesto en las normas oficiales mexicanas y normas técnicas estatales; mismas que fueron observadas por este Organismo Garante, obteniendo así que </w:t>
      </w:r>
      <w:r w:rsidR="00BF059E" w:rsidRPr="00DA2451">
        <w:rPr>
          <w:rFonts w:ascii="Palatino Linotype" w:eastAsia="Palatino Linotype" w:hAnsi="Palatino Linotype" w:cs="Palatino Linotype"/>
        </w:rPr>
        <w:t xml:space="preserve">la </w:t>
      </w:r>
      <w:r w:rsidR="00BF059E" w:rsidRPr="00DA2451">
        <w:rPr>
          <w:rFonts w:ascii="Palatino Linotype" w:eastAsia="Palatino Linotype" w:hAnsi="Palatino Linotype" w:cs="Palatino Linotype"/>
        </w:rPr>
        <w:lastRenderedPageBreak/>
        <w:t xml:space="preserve">NTEA-024-SeMAGEM-CA-2023 dispone que </w:t>
      </w:r>
      <w:r w:rsidR="004F23AF" w:rsidRPr="00DA2451">
        <w:rPr>
          <w:rFonts w:ascii="Palatino Linotype" w:eastAsia="Palatino Linotype" w:hAnsi="Palatino Linotype" w:cs="Palatino Linotype"/>
        </w:rPr>
        <w:t xml:space="preserve">es forzoso contar con una licencia de funcionamiento, </w:t>
      </w:r>
      <w:r w:rsidR="004F23AF" w:rsidRPr="00DA2451">
        <w:rPr>
          <w:rFonts w:ascii="Palatino Linotype" w:eastAsia="Palatino Linotype" w:hAnsi="Palatino Linotype" w:cs="Palatino Linotype"/>
          <w:b/>
          <w:u w:val="single"/>
        </w:rPr>
        <w:t>únicamente para los casos de fuentes fijas que emitan contaminantes a la atmósfera</w:t>
      </w:r>
      <w:r w:rsidR="004F23AF" w:rsidRPr="00DA2451">
        <w:rPr>
          <w:rFonts w:ascii="Palatino Linotype" w:eastAsia="Palatino Linotype" w:hAnsi="Palatino Linotype" w:cs="Palatino Linotype"/>
        </w:rPr>
        <w:t xml:space="preserve">, </w:t>
      </w:r>
      <w:r w:rsidR="00BF059E" w:rsidRPr="00DA2451">
        <w:rPr>
          <w:rFonts w:ascii="Palatino Linotype" w:eastAsia="Palatino Linotype" w:hAnsi="Palatino Linotype" w:cs="Palatino Linotype"/>
        </w:rPr>
        <w:t xml:space="preserve">es decir, para aquellas fábricas e industrias que dentro de sus procesos contemplen la emisión de contaminantes, mientras que la NOM-123-SEMARNAT-1998 se enfoca en los compuestos orgánicos volátiles de la fabricación de pinturas de uso doméstico, sin embargo, no le resultarían aplicables estas normas al </w:t>
      </w:r>
      <w:r w:rsidR="00BF059E" w:rsidRPr="00DA2451">
        <w:rPr>
          <w:rFonts w:ascii="Palatino Linotype" w:eastAsia="Palatino Linotype" w:hAnsi="Palatino Linotype" w:cs="Palatino Linotype"/>
          <w:b/>
        </w:rPr>
        <w:t>Sujeto Obligado</w:t>
      </w:r>
      <w:r w:rsidR="00BF059E" w:rsidRPr="00DA2451">
        <w:rPr>
          <w:rFonts w:ascii="Palatino Linotype" w:eastAsia="Palatino Linotype" w:hAnsi="Palatino Linotype" w:cs="Palatino Linotype"/>
        </w:rPr>
        <w:t xml:space="preserve"> pues en su informe justificado señala que </w:t>
      </w:r>
      <w:r w:rsidR="00BF059E" w:rsidRPr="00DA2451">
        <w:rPr>
          <w:rFonts w:ascii="Palatino Linotype" w:eastAsia="Palatino Linotype" w:hAnsi="Palatino Linotype" w:cs="Palatino Linotype"/>
          <w:szCs w:val="18"/>
        </w:rPr>
        <w:t>s</w:t>
      </w:r>
      <w:r w:rsidR="004F23AF" w:rsidRPr="00DA2451">
        <w:rPr>
          <w:rFonts w:ascii="Palatino Linotype" w:eastAsia="Palatino Linotype" w:hAnsi="Palatino Linotype" w:cs="Palatino Linotype"/>
          <w:szCs w:val="18"/>
        </w:rPr>
        <w:t>e usan pinturas en aerosol libres de compuestos orgánicos volátiles (</w:t>
      </w:r>
      <w:proofErr w:type="spellStart"/>
      <w:r w:rsidR="004F23AF" w:rsidRPr="00DA2451">
        <w:rPr>
          <w:rFonts w:ascii="Palatino Linotype" w:eastAsia="Palatino Linotype" w:hAnsi="Palatino Linotype" w:cs="Palatino Linotype"/>
          <w:szCs w:val="18"/>
        </w:rPr>
        <w:t>COVs</w:t>
      </w:r>
      <w:proofErr w:type="spellEnd"/>
      <w:r w:rsidR="004F23AF" w:rsidRPr="00DA2451">
        <w:rPr>
          <w:rFonts w:ascii="Palatino Linotype" w:eastAsia="Palatino Linotype" w:hAnsi="Palatino Linotype" w:cs="Palatino Linotype"/>
          <w:szCs w:val="18"/>
        </w:rPr>
        <w:t>), es decir, no se liberan orgánicos dañinos en el aire.</w:t>
      </w:r>
    </w:p>
    <w:p w14:paraId="52AE9BC7" w14:textId="77777777" w:rsidR="00BF059E" w:rsidRPr="00DA2451" w:rsidRDefault="00BF059E" w:rsidP="00BF059E">
      <w:pPr>
        <w:spacing w:after="240" w:line="360" w:lineRule="auto"/>
        <w:ind w:right="49"/>
        <w:jc w:val="both"/>
        <w:rPr>
          <w:rFonts w:ascii="Palatino Linotype" w:eastAsia="Palatino Linotype" w:hAnsi="Palatino Linotype" w:cs="Palatino Linotype"/>
          <w:szCs w:val="18"/>
        </w:rPr>
      </w:pPr>
      <w:r w:rsidRPr="00DA2451">
        <w:rPr>
          <w:rFonts w:ascii="Palatino Linotype" w:eastAsia="Palatino Linotype" w:hAnsi="Palatino Linotype" w:cs="Palatino Linotype"/>
          <w:szCs w:val="18"/>
        </w:rPr>
        <w:t>Aunado a lo anterior, este Instituto considera importante mencionar que de la consulta a los trámites en materia de medio ambiente por parte del Ayuntamiento, se advierte que únicamente cuentan con un trámite, el cual consiste en el visto bueno a las condiciones de los resolutivos de las manifestaciones de impacto ambiental, se inserta la cédula de dicho trámite para mejor referencia:</w:t>
      </w:r>
    </w:p>
    <w:p w14:paraId="0F9AFB83" w14:textId="77777777" w:rsidR="004F23AF" w:rsidRPr="00DA2451" w:rsidRDefault="00BF059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noProof/>
          <w:lang w:val="es-MX"/>
        </w:rPr>
        <w:lastRenderedPageBreak/>
        <w:drawing>
          <wp:inline distT="0" distB="0" distL="0" distR="0" wp14:anchorId="4E9B2435" wp14:editId="30C8DA39">
            <wp:extent cx="5515745" cy="7192379"/>
            <wp:effectExtent l="0" t="0" r="889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5745" cy="7192379"/>
                    </a:xfrm>
                    <a:prstGeom prst="rect">
                      <a:avLst/>
                    </a:prstGeom>
                  </pic:spPr>
                </pic:pic>
              </a:graphicData>
            </a:graphic>
          </wp:inline>
        </w:drawing>
      </w:r>
    </w:p>
    <w:p w14:paraId="47AF7860" w14:textId="77777777" w:rsidR="00F93C92" w:rsidRPr="00DA2451" w:rsidRDefault="00F93C92" w:rsidP="00F93C9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lastRenderedPageBreak/>
        <w:t xml:space="preserve">Es de precisar que el desahogo de dicho trámite no resultaría aplicable para pintar un mural, pues una manifestación de impacto ambiental de conformidad con la Procuraduría Federal de Protección al Ambiente, dicha manifestación es un estudio técnico-científico que </w:t>
      </w:r>
      <w:r w:rsidRPr="00DA2451">
        <w:rPr>
          <w:rFonts w:ascii="Palatino Linotype" w:eastAsia="Palatino Linotype" w:hAnsi="Palatino Linotype" w:cs="Palatino Linotype"/>
          <w:b/>
          <w:u w:val="single"/>
        </w:rPr>
        <w:t>indica los efectos que puede ocasionar una obra</w:t>
      </w:r>
      <w:r w:rsidRPr="00DA2451">
        <w:rPr>
          <w:rFonts w:ascii="Palatino Linotype" w:eastAsia="Palatino Linotype" w:hAnsi="Palatino Linotype" w:cs="Palatino Linotype"/>
        </w:rPr>
        <w:t xml:space="preserve"> o actividad sobre el medio ambiente, y señala las medidas preventivas que podrían minimizar dichos efectos negativos producidos por la ejecución de las obras o actividades. </w:t>
      </w:r>
      <w:r w:rsidRPr="00DA2451">
        <w:rPr>
          <w:rFonts w:ascii="Palatino Linotype" w:eastAsia="Palatino Linotype" w:hAnsi="Palatino Linotype" w:cs="Palatino Linotype"/>
          <w:b/>
          <w:u w:val="single"/>
        </w:rPr>
        <w:t>Este estudio permite evaluar la factibilidad  ambiental para la ejecución de proyectos de inversión industrial, de infraestructura, manufactura, comercios o servicios.</w:t>
      </w:r>
    </w:p>
    <w:p w14:paraId="31A9E606" w14:textId="77777777" w:rsidR="00492FA8" w:rsidRPr="00DA2451" w:rsidRDefault="00F93C9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 xml:space="preserve">Asimismo, de la revisión a los trámites susceptibles a desahogarse ante la Secretaría del Medio Ambiente, este Instituto no localizó alguno que resulte aplicable para el caso particular, por lo tanto, nos encontramos ante una situación en la que se reitera, no existe la fuente obligacional para contar con la información solicitada, por ello </w:t>
      </w:r>
      <w:r w:rsidR="00B93E7D" w:rsidRPr="00DA2451">
        <w:rPr>
          <w:rFonts w:ascii="Palatino Linotype" w:eastAsia="Palatino Linotype" w:hAnsi="Palatino Linotype" w:cs="Palatino Linotype"/>
        </w:rPr>
        <w:t xml:space="preserve">es necesario señalar que con lo establecido en el artículo 12 de la Ley de Transparencia y Acceso a la Información Pública del Estado de México y Municipios, el </w:t>
      </w:r>
      <w:r w:rsidR="00B93E7D" w:rsidRPr="00DA2451">
        <w:rPr>
          <w:rFonts w:ascii="Palatino Linotype" w:eastAsia="Palatino Linotype" w:hAnsi="Palatino Linotype" w:cs="Palatino Linotype"/>
          <w:b/>
        </w:rPr>
        <w:t>Sujeto Obligado</w:t>
      </w:r>
      <w:r w:rsidR="00B93E7D" w:rsidRPr="00DA2451">
        <w:rPr>
          <w:rFonts w:ascii="Palatino Linotype" w:eastAsia="Palatino Linotype" w:hAnsi="Palatino Linotype" w:cs="Palatino Linotype"/>
        </w:rPr>
        <w:t xml:space="preserve"> sólo proporcionará la información que obra en sus archivos, lo que significa que no se está obligado a proporcionar lo que no obre en sus archivos; por ende, al no obrar fuente obligacional para contar con lo solicitado, consecuentemente el </w:t>
      </w:r>
      <w:r w:rsidR="00B93E7D" w:rsidRPr="00DA2451">
        <w:rPr>
          <w:rFonts w:ascii="Palatino Linotype" w:eastAsia="Palatino Linotype" w:hAnsi="Palatino Linotype" w:cs="Palatino Linotype"/>
          <w:b/>
        </w:rPr>
        <w:t>Sujeto Obligado</w:t>
      </w:r>
      <w:r w:rsidR="00B93E7D" w:rsidRPr="00DA2451">
        <w:rPr>
          <w:rFonts w:ascii="Palatino Linotype" w:eastAsia="Palatino Linotype" w:hAnsi="Palatino Linotype" w:cs="Palatino Linotype"/>
        </w:rPr>
        <w:t xml:space="preserve"> no contará con la información en su patrimonio documental.</w:t>
      </w:r>
    </w:p>
    <w:p w14:paraId="5DEA4447" w14:textId="77777777" w:rsidR="00492FA8" w:rsidRPr="00DA2451" w:rsidRDefault="00BF059E">
      <w:pPr>
        <w:pBdr>
          <w:top w:val="nil"/>
          <w:left w:val="nil"/>
          <w:bottom w:val="nil"/>
          <w:right w:val="nil"/>
          <w:between w:val="nil"/>
        </w:pBdr>
        <w:spacing w:before="240" w:after="240" w:line="360" w:lineRule="auto"/>
        <w:jc w:val="both"/>
        <w:rPr>
          <w:sz w:val="28"/>
          <w:szCs w:val="28"/>
        </w:rPr>
      </w:pPr>
      <w:r w:rsidRPr="00DA2451">
        <w:rPr>
          <w:rFonts w:ascii="Palatino Linotype" w:eastAsia="Palatino Linotype" w:hAnsi="Palatino Linotype" w:cs="Palatino Linotype"/>
        </w:rPr>
        <w:t>En esta tesitura</w:t>
      </w:r>
      <w:r w:rsidR="00B93E7D" w:rsidRPr="00DA2451">
        <w:rPr>
          <w:rFonts w:ascii="Palatino Linotype" w:eastAsia="Palatino Linotype" w:hAnsi="Palatino Linotype" w:cs="Palatino Linotype"/>
        </w:rPr>
        <w:t xml:space="preserve">, este Pleno considera necesario dejar claro que, al haber existido un pronunciamiento por parte del </w:t>
      </w:r>
      <w:r w:rsidR="00B93E7D" w:rsidRPr="00DA2451">
        <w:rPr>
          <w:rFonts w:ascii="Palatino Linotype" w:eastAsia="Palatino Linotype" w:hAnsi="Palatino Linotype" w:cs="Palatino Linotype"/>
          <w:b/>
        </w:rPr>
        <w:t>Sujeto Obligado</w:t>
      </w:r>
      <w:r w:rsidR="00B93E7D" w:rsidRPr="00DA2451">
        <w:rPr>
          <w:rFonts w:ascii="Palatino Linotype" w:eastAsia="Palatino Linotype" w:hAnsi="Palatino Linotype" w:cs="Palatino Linotype"/>
        </w:rPr>
        <w:t xml:space="preserve">,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w:t>
      </w:r>
      <w:r w:rsidR="00B93E7D" w:rsidRPr="00DA2451">
        <w:rPr>
          <w:rFonts w:ascii="Palatino Linotype" w:eastAsia="Palatino Linotype" w:hAnsi="Palatino Linotype" w:cs="Palatino Linotype"/>
        </w:rPr>
        <w:lastRenderedPageBreak/>
        <w:t>apoyo a lo anterior por analogía el criterio 31-10 emitido por el entonces Instituto Federal de Acceso a la Información y Protección de Datos, que a la letra dice:</w:t>
      </w:r>
    </w:p>
    <w:p w14:paraId="7F4A384C" w14:textId="77777777" w:rsidR="00492FA8" w:rsidRPr="00DA2451" w:rsidRDefault="00B93E7D">
      <w:pPr>
        <w:pBdr>
          <w:top w:val="nil"/>
          <w:left w:val="nil"/>
          <w:bottom w:val="nil"/>
          <w:right w:val="nil"/>
          <w:between w:val="nil"/>
        </w:pBdr>
        <w:ind w:left="860" w:right="560"/>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i/>
          <w:sz w:val="22"/>
          <w:szCs w:val="22"/>
        </w:rPr>
        <w:t>“</w:t>
      </w:r>
      <w:r w:rsidRPr="00DA2451">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DA2451">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D5EBA03" w14:textId="77777777" w:rsidR="00492FA8" w:rsidRPr="00DA2451" w:rsidRDefault="00492FA8">
      <w:pPr>
        <w:pBdr>
          <w:top w:val="nil"/>
          <w:left w:val="nil"/>
          <w:bottom w:val="nil"/>
          <w:right w:val="nil"/>
          <w:between w:val="nil"/>
        </w:pBdr>
        <w:ind w:left="860" w:right="560"/>
        <w:jc w:val="both"/>
      </w:pPr>
    </w:p>
    <w:p w14:paraId="1612EF6A" w14:textId="77777777" w:rsidR="00492FA8" w:rsidRPr="00DA2451" w:rsidRDefault="00B93E7D">
      <w:pPr>
        <w:spacing w:line="360" w:lineRule="auto"/>
        <w:ind w:right="49"/>
        <w:jc w:val="both"/>
        <w:rPr>
          <w:rFonts w:ascii="Palatino Linotype" w:eastAsia="Palatino Linotype" w:hAnsi="Palatino Linotype" w:cs="Palatino Linotype"/>
        </w:rPr>
      </w:pPr>
      <w:r w:rsidRPr="00DA2451">
        <w:rPr>
          <w:rFonts w:ascii="Palatino Linotype" w:eastAsia="Palatino Linotype" w:hAnsi="Palatino Linotype" w:cs="Palatino Linotype"/>
        </w:rPr>
        <w:t xml:space="preserve"> En consecuencia, de todo lo anterior, se actualiza la causal de sobreseimiento prevista en la fracción III del artículo 192 de la Ley de Transparencia y Acceso a la Información Pública del Estado de México y Municipios, que dispone lo siguiente:</w:t>
      </w:r>
    </w:p>
    <w:p w14:paraId="6F7785AE" w14:textId="77777777" w:rsidR="00492FA8" w:rsidRPr="00DA2451" w:rsidRDefault="00492FA8">
      <w:pPr>
        <w:spacing w:line="360" w:lineRule="auto"/>
        <w:jc w:val="both"/>
        <w:rPr>
          <w:rFonts w:ascii="Palatino Linotype" w:eastAsia="Palatino Linotype" w:hAnsi="Palatino Linotype" w:cs="Palatino Linotype"/>
        </w:rPr>
      </w:pPr>
    </w:p>
    <w:p w14:paraId="57504BB0" w14:textId="77777777" w:rsidR="00492FA8" w:rsidRPr="00DA2451" w:rsidRDefault="00B93E7D">
      <w:pPr>
        <w:ind w:left="992" w:right="1043"/>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b/>
          <w:i/>
          <w:sz w:val="22"/>
          <w:szCs w:val="22"/>
        </w:rPr>
        <w:t xml:space="preserve">“Artículo 192. </w:t>
      </w:r>
      <w:r w:rsidRPr="00DA2451">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3E7472EF" w14:textId="77777777" w:rsidR="00492FA8" w:rsidRPr="00DA2451" w:rsidRDefault="00B93E7D">
      <w:pPr>
        <w:ind w:left="992" w:right="1043"/>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b/>
          <w:i/>
          <w:sz w:val="22"/>
          <w:szCs w:val="22"/>
        </w:rPr>
        <w:t>…</w:t>
      </w:r>
    </w:p>
    <w:p w14:paraId="146A060E" w14:textId="77777777" w:rsidR="00492FA8" w:rsidRPr="00DA2451" w:rsidRDefault="00B93E7D">
      <w:pPr>
        <w:ind w:left="992" w:right="1043"/>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b/>
          <w:i/>
          <w:sz w:val="22"/>
          <w:szCs w:val="22"/>
        </w:rPr>
        <w:t>III. El sujeto obligado responsable del acto lo modifique o revoque de tal manera que el recurso d</w:t>
      </w:r>
      <w:r w:rsidR="00BF059E" w:rsidRPr="00DA2451">
        <w:rPr>
          <w:rFonts w:ascii="Palatino Linotype" w:eastAsia="Palatino Linotype" w:hAnsi="Palatino Linotype" w:cs="Palatino Linotype"/>
          <w:b/>
          <w:i/>
          <w:sz w:val="22"/>
          <w:szCs w:val="22"/>
        </w:rPr>
        <w:t xml:space="preserve">e revisión quede sin materia…” </w:t>
      </w:r>
      <w:r w:rsidRPr="00DA2451">
        <w:rPr>
          <w:rFonts w:ascii="Palatino Linotype" w:eastAsia="Palatino Linotype" w:hAnsi="Palatino Linotype" w:cs="Palatino Linotype"/>
          <w:i/>
          <w:sz w:val="22"/>
          <w:szCs w:val="22"/>
        </w:rPr>
        <w:t>(Énfasis añadido)</w:t>
      </w:r>
    </w:p>
    <w:p w14:paraId="427708A6" w14:textId="77777777" w:rsidR="00492FA8" w:rsidRPr="00DA2451" w:rsidRDefault="00492FA8">
      <w:pPr>
        <w:spacing w:line="360" w:lineRule="auto"/>
        <w:jc w:val="both"/>
        <w:rPr>
          <w:rFonts w:ascii="Palatino Linotype" w:eastAsia="Palatino Linotype" w:hAnsi="Palatino Linotype" w:cs="Palatino Linotype"/>
          <w:b/>
          <w:i/>
        </w:rPr>
      </w:pPr>
    </w:p>
    <w:p w14:paraId="6B939FAB" w14:textId="77777777" w:rsidR="00492FA8" w:rsidRPr="00DA2451" w:rsidRDefault="00B93E7D">
      <w:pPr>
        <w:spacing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De lo establecido en el precepto legal citado se advierte que el sobreseimiento del recurso de revisión procede en los siguientes casos:</w:t>
      </w:r>
    </w:p>
    <w:p w14:paraId="19615B62" w14:textId="77777777" w:rsidR="00492FA8" w:rsidRPr="00DA2451" w:rsidRDefault="00B93E7D">
      <w:pP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a) Cuando el sujeto obligado modifique el acto impugnado.</w:t>
      </w:r>
    </w:p>
    <w:p w14:paraId="46FB869C" w14:textId="77777777" w:rsidR="00492FA8" w:rsidRPr="00DA2451" w:rsidRDefault="00B93E7D">
      <w:pP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lastRenderedPageBreak/>
        <w:t>b) Cuando el sujeto obligado revoque el acto impugnado.</w:t>
      </w:r>
    </w:p>
    <w:p w14:paraId="3A67D781" w14:textId="77777777" w:rsidR="00492FA8" w:rsidRPr="00DA2451" w:rsidRDefault="00B93E7D">
      <w:pP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Quedando en ambos casos el acto combatido sin materia o sin efectos.</w:t>
      </w:r>
    </w:p>
    <w:p w14:paraId="3CC3389F" w14:textId="77777777" w:rsidR="00492FA8" w:rsidRPr="00DA2451" w:rsidRDefault="00B93E7D">
      <w:pP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 xml:space="preserve">Como se observa de lo anterior, un acto impugnado es modificado en aquellos casos en los que el </w:t>
      </w:r>
      <w:r w:rsidRPr="00DA2451">
        <w:rPr>
          <w:rFonts w:ascii="Palatino Linotype" w:eastAsia="Palatino Linotype" w:hAnsi="Palatino Linotype" w:cs="Palatino Linotype"/>
          <w:b/>
        </w:rPr>
        <w:t>Sujeto Obligado</w:t>
      </w:r>
      <w:r w:rsidRPr="00DA2451">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w:t>
      </w:r>
      <w:r w:rsidRPr="00DA2451">
        <w:rPr>
          <w:rFonts w:ascii="Palatino Linotype" w:eastAsia="Palatino Linotype" w:hAnsi="Palatino Linotype" w:cs="Palatino Linotype"/>
          <w:b/>
        </w:rPr>
        <w:t>la parte</w:t>
      </w:r>
      <w:r w:rsidRPr="00DA2451">
        <w:rPr>
          <w:rFonts w:ascii="Palatino Linotype" w:eastAsia="Palatino Linotype" w:hAnsi="Palatino Linotype" w:cs="Palatino Linotype"/>
        </w:rPr>
        <w:t xml:space="preserve"> </w:t>
      </w:r>
      <w:r w:rsidRPr="00DA2451">
        <w:rPr>
          <w:rFonts w:ascii="Palatino Linotype" w:eastAsia="Palatino Linotype" w:hAnsi="Palatino Linotype" w:cs="Palatino Linotype"/>
          <w:b/>
        </w:rPr>
        <w:t>Recurrente</w:t>
      </w:r>
      <w:r w:rsidRPr="00DA2451">
        <w:rPr>
          <w:rFonts w:ascii="Palatino Linotype" w:eastAsia="Palatino Linotype" w:hAnsi="Palatino Linotype" w:cs="Palatino Linotype"/>
        </w:rPr>
        <w:t>.</w:t>
      </w:r>
    </w:p>
    <w:p w14:paraId="285FED8D" w14:textId="77777777" w:rsidR="00492FA8" w:rsidRPr="00DA2451" w:rsidRDefault="00B93E7D">
      <w:pP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 xml:space="preserve">Por lo que hace a la revocación, esta se actualiza cuando el </w:t>
      </w:r>
      <w:r w:rsidRPr="00DA2451">
        <w:rPr>
          <w:rFonts w:ascii="Palatino Linotype" w:eastAsia="Palatino Linotype" w:hAnsi="Palatino Linotype" w:cs="Palatino Linotype"/>
          <w:b/>
        </w:rPr>
        <w:t xml:space="preserve">Sujeto Obligado </w:t>
      </w:r>
      <w:r w:rsidRPr="00DA2451">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03290023" w14:textId="77777777" w:rsidR="00492FA8" w:rsidRPr="00DA2451" w:rsidRDefault="00B93E7D">
      <w:pPr>
        <w:spacing w:before="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56F6DDE2" w14:textId="77777777" w:rsidR="00492FA8" w:rsidRPr="00DA2451" w:rsidRDefault="00492FA8">
      <w:pPr>
        <w:spacing w:line="360" w:lineRule="auto"/>
        <w:jc w:val="both"/>
        <w:rPr>
          <w:rFonts w:ascii="Palatino Linotype" w:eastAsia="Palatino Linotype" w:hAnsi="Palatino Linotype" w:cs="Palatino Linotype"/>
        </w:rPr>
      </w:pPr>
    </w:p>
    <w:p w14:paraId="57AB1685" w14:textId="77777777" w:rsidR="00492FA8" w:rsidRPr="00DA2451" w:rsidRDefault="00B93E7D">
      <w:pPr>
        <w:spacing w:line="360" w:lineRule="auto"/>
        <w:jc w:val="both"/>
        <w:rPr>
          <w:rFonts w:ascii="Palatino Linotype" w:eastAsia="Palatino Linotype" w:hAnsi="Palatino Linotype" w:cs="Palatino Linotype"/>
          <w:b/>
        </w:rPr>
      </w:pPr>
      <w:bookmarkStart w:id="5" w:name="_heading=h.1fob9te" w:colFirst="0" w:colLast="0"/>
      <w:bookmarkEnd w:id="5"/>
      <w:r w:rsidRPr="00DA2451">
        <w:rPr>
          <w:rFonts w:ascii="Palatino Linotype" w:eastAsia="Palatino Linotype" w:hAnsi="Palatino Linotype" w:cs="Palatino Linotype"/>
        </w:rPr>
        <w:t xml:space="preserve">En tanto, en el presente caso queda sin materia, toda vez que con el Informe Justificado, el </w:t>
      </w:r>
      <w:r w:rsidRPr="00DA2451">
        <w:rPr>
          <w:rFonts w:ascii="Palatino Linotype" w:eastAsia="Palatino Linotype" w:hAnsi="Palatino Linotype" w:cs="Palatino Linotype"/>
          <w:b/>
        </w:rPr>
        <w:t>Sujeto Obligado</w:t>
      </w:r>
      <w:r w:rsidRPr="00DA2451">
        <w:rPr>
          <w:rFonts w:ascii="Palatino Linotype" w:eastAsia="Palatino Linotype" w:hAnsi="Palatino Linotype" w:cs="Palatino Linotype"/>
        </w:rPr>
        <w:t xml:space="preserve"> modificó la respuesta </w:t>
      </w:r>
      <w:r w:rsidRPr="00DA2451">
        <w:rPr>
          <w:rFonts w:ascii="Palatino Linotype" w:eastAsia="Palatino Linotype" w:hAnsi="Palatino Linotype" w:cs="Palatino Linotype"/>
          <w:b/>
        </w:rPr>
        <w:t xml:space="preserve">al adjuntar la información proporcionada referente al permiso de medio ambiente y costo del mural, solicitados por la parte Recurrente, </w:t>
      </w:r>
      <w:r w:rsidRPr="00DA2451">
        <w:rPr>
          <w:rFonts w:ascii="Palatino Linotype" w:eastAsia="Palatino Linotype" w:hAnsi="Palatino Linotype" w:cs="Palatino Linotype"/>
        </w:rPr>
        <w:t xml:space="preserve">por lo que tomando en consideración dicha circunstancia, así como el hecho de que la información proporcionada por el </w:t>
      </w:r>
      <w:r w:rsidRPr="00DA2451">
        <w:rPr>
          <w:rFonts w:ascii="Palatino Linotype" w:eastAsia="Palatino Linotype" w:hAnsi="Palatino Linotype" w:cs="Palatino Linotype"/>
          <w:b/>
        </w:rPr>
        <w:t>Sujeto Obligado</w:t>
      </w:r>
      <w:r w:rsidRPr="00DA2451">
        <w:rPr>
          <w:rFonts w:ascii="Palatino Linotype" w:eastAsia="Palatino Linotype" w:hAnsi="Palatino Linotype" w:cs="Palatino Linotype"/>
        </w:rPr>
        <w:t xml:space="preserve"> fue puesta a la vista de la parte </w:t>
      </w:r>
      <w:r w:rsidRPr="00DA2451">
        <w:rPr>
          <w:rFonts w:ascii="Palatino Linotype" w:eastAsia="Palatino Linotype" w:hAnsi="Palatino Linotype" w:cs="Palatino Linotype"/>
          <w:b/>
        </w:rPr>
        <w:t xml:space="preserve">Recurrente </w:t>
      </w:r>
      <w:r w:rsidRPr="00DA2451">
        <w:rPr>
          <w:rFonts w:ascii="Palatino Linotype" w:eastAsia="Palatino Linotype" w:hAnsi="Palatino Linotype" w:cs="Palatino Linotype"/>
        </w:rPr>
        <w:t xml:space="preserve">con la finalidad de que manifestara lo que a su derecho conviniera, sin que obre constancia en el expediente electrónico de que dicho derecho se hiciera valer, debe entenderse que ha quedado satisfecha la solicitud planteada, quedando sin materia el presente recurso de </w:t>
      </w:r>
      <w:r w:rsidRPr="00DA2451">
        <w:rPr>
          <w:rFonts w:ascii="Palatino Linotype" w:eastAsia="Palatino Linotype" w:hAnsi="Palatino Linotype" w:cs="Palatino Linotype"/>
        </w:rPr>
        <w:lastRenderedPageBreak/>
        <w:t>revisión, consecuentemente se actualiza la causal prevista en la fracción III del artículo 192 de la Ley de la Materia vigente en la Entidad, antes transcrita.</w:t>
      </w:r>
    </w:p>
    <w:p w14:paraId="598BE0FB" w14:textId="77777777" w:rsidR="00492FA8" w:rsidRPr="00DA2451" w:rsidRDefault="00B93E7D">
      <w:pP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 xml:space="preserve">En resumen, el </w:t>
      </w:r>
      <w:r w:rsidRPr="00DA2451">
        <w:rPr>
          <w:rFonts w:ascii="Palatino Linotype" w:eastAsia="Palatino Linotype" w:hAnsi="Palatino Linotype" w:cs="Palatino Linotype"/>
          <w:b/>
        </w:rPr>
        <w:t>Sujeto Obligado</w:t>
      </w:r>
      <w:r w:rsidRPr="00DA2451">
        <w:rPr>
          <w:rFonts w:ascii="Palatino Linotype" w:eastAsia="Palatino Linotype" w:hAnsi="Palatino Linotype" w:cs="Palatino Linotype"/>
        </w:rPr>
        <w:t xml:space="preserve"> dio respuesta completa a la solicitud de acceso a la información pública de </w:t>
      </w:r>
      <w:r w:rsidRPr="00DA2451">
        <w:rPr>
          <w:rFonts w:ascii="Palatino Linotype" w:eastAsia="Palatino Linotype" w:hAnsi="Palatino Linotype" w:cs="Palatino Linotype"/>
          <w:b/>
        </w:rPr>
        <w:t>la ahora parte</w:t>
      </w:r>
      <w:r w:rsidRPr="00DA2451">
        <w:rPr>
          <w:rFonts w:ascii="Palatino Linotype" w:eastAsia="Palatino Linotype" w:hAnsi="Palatino Linotype" w:cs="Palatino Linotype"/>
        </w:rPr>
        <w:t xml:space="preserve"> </w:t>
      </w:r>
      <w:r w:rsidRPr="00DA2451">
        <w:rPr>
          <w:rFonts w:ascii="Palatino Linotype" w:eastAsia="Palatino Linotype" w:hAnsi="Palatino Linotype" w:cs="Palatino Linotype"/>
          <w:b/>
        </w:rPr>
        <w:t>Recurrente</w:t>
      </w:r>
      <w:r w:rsidRPr="00DA2451">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6642CFE7" w14:textId="77777777" w:rsidR="00492FA8" w:rsidRPr="00DA2451" w:rsidRDefault="00B93E7D">
      <w:pPr>
        <w:spacing w:before="240"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 xml:space="preserve">Siendo el </w:t>
      </w:r>
      <w:r w:rsidRPr="00DA2451">
        <w:rPr>
          <w:rFonts w:ascii="Palatino Linotype" w:eastAsia="Palatino Linotype" w:hAnsi="Palatino Linotype" w:cs="Palatino Linotype"/>
          <w:i/>
        </w:rPr>
        <w:t>sobreseimiento</w:t>
      </w:r>
      <w:r w:rsidRPr="00DA2451">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w:t>
      </w:r>
      <w:r w:rsidRPr="00DA2451">
        <w:rPr>
          <w:rFonts w:ascii="Palatino Linotype" w:eastAsia="Palatino Linotype" w:hAnsi="Palatino Linotype" w:cs="Palatino Linotype"/>
          <w:b/>
        </w:rPr>
        <w:t>Recurrente</w:t>
      </w:r>
      <w:r w:rsidRPr="00DA2451">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2C2EBF24" w14:textId="77777777" w:rsidR="00492FA8" w:rsidRPr="00DA2451" w:rsidRDefault="00B93E7D">
      <w:pPr>
        <w:spacing w:before="240"/>
        <w:ind w:left="567" w:right="567"/>
        <w:jc w:val="both"/>
        <w:rPr>
          <w:rFonts w:ascii="Palatino Linotype" w:eastAsia="Palatino Linotype" w:hAnsi="Palatino Linotype" w:cs="Palatino Linotype"/>
          <w:b/>
          <w:i/>
        </w:rPr>
      </w:pPr>
      <w:r w:rsidRPr="00DA2451">
        <w:rPr>
          <w:rFonts w:ascii="Palatino Linotype" w:eastAsia="Palatino Linotype" w:hAnsi="Palatino Linotype" w:cs="Palatino Linotype"/>
          <w:i/>
          <w:sz w:val="22"/>
          <w:szCs w:val="22"/>
        </w:rPr>
        <w:t>“</w:t>
      </w:r>
      <w:r w:rsidRPr="00DA2451">
        <w:rPr>
          <w:rFonts w:ascii="Palatino Linotype" w:eastAsia="Palatino Linotype" w:hAnsi="Palatino Linotype" w:cs="Palatino Linotype"/>
          <w:b/>
          <w:i/>
          <w:sz w:val="22"/>
          <w:szCs w:val="22"/>
        </w:rPr>
        <w:t>SOBRESEIMIENTO, NO PERMITE ENTRAR AL ESTUDIO DE LAS CUESTIONES DE FONDO</w:t>
      </w:r>
    </w:p>
    <w:p w14:paraId="186782F9" w14:textId="77777777" w:rsidR="00492FA8" w:rsidRPr="00DA2451" w:rsidRDefault="00B93E7D">
      <w:pPr>
        <w:ind w:left="567" w:right="567"/>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56185B74" w14:textId="77777777" w:rsidR="00492FA8" w:rsidRPr="00DA2451" w:rsidRDefault="00B93E7D">
      <w:pPr>
        <w:ind w:left="567" w:right="567"/>
        <w:jc w:val="both"/>
        <w:rPr>
          <w:rFonts w:ascii="Palatino Linotype" w:eastAsia="Palatino Linotype" w:hAnsi="Palatino Linotype" w:cs="Palatino Linotype"/>
          <w:i/>
          <w:sz w:val="22"/>
          <w:szCs w:val="22"/>
        </w:rPr>
      </w:pPr>
      <w:bookmarkStart w:id="6" w:name="_heading=h.3znysh7" w:colFirst="0" w:colLast="0"/>
      <w:bookmarkEnd w:id="6"/>
      <w:r w:rsidRPr="00DA2451">
        <w:rPr>
          <w:rFonts w:ascii="Palatino Linotype" w:eastAsia="Palatino Linotype" w:hAnsi="Palatino Linotype" w:cs="Palatino Linotype"/>
          <w:i/>
          <w:sz w:val="22"/>
          <w:szCs w:val="22"/>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w:t>
      </w:r>
    </w:p>
    <w:p w14:paraId="7F79588A" w14:textId="77777777" w:rsidR="00492FA8" w:rsidRPr="00DA2451" w:rsidRDefault="00492FA8">
      <w:pPr>
        <w:ind w:left="567" w:right="567"/>
        <w:jc w:val="both"/>
        <w:rPr>
          <w:rFonts w:ascii="Palatino Linotype" w:eastAsia="Palatino Linotype" w:hAnsi="Palatino Linotype" w:cs="Palatino Linotype"/>
          <w:i/>
          <w:sz w:val="22"/>
          <w:szCs w:val="22"/>
        </w:rPr>
      </w:pPr>
    </w:p>
    <w:p w14:paraId="6D469972" w14:textId="77777777" w:rsidR="00492FA8" w:rsidRPr="00DA2451" w:rsidRDefault="00B93E7D">
      <w:pPr>
        <w:spacing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4879993C" w14:textId="77777777" w:rsidR="00492FA8" w:rsidRPr="00DA2451" w:rsidRDefault="00B93E7D">
      <w:pPr>
        <w:spacing w:before="240"/>
        <w:ind w:left="567" w:right="567"/>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rPr>
        <w:lastRenderedPageBreak/>
        <w:t xml:space="preserve"> </w:t>
      </w:r>
      <w:r w:rsidRPr="00DA2451">
        <w:rPr>
          <w:rFonts w:ascii="Palatino Linotype" w:eastAsia="Palatino Linotype" w:hAnsi="Palatino Linotype" w:cs="Palatino Linotype"/>
          <w:i/>
          <w:sz w:val="22"/>
          <w:szCs w:val="22"/>
        </w:rPr>
        <w:t>“</w:t>
      </w:r>
      <w:r w:rsidRPr="00DA2451">
        <w:rPr>
          <w:rFonts w:ascii="Palatino Linotype" w:eastAsia="Palatino Linotype" w:hAnsi="Palatino Linotype" w:cs="Palatino Linotype"/>
          <w:b/>
          <w:i/>
          <w:sz w:val="22"/>
          <w:szCs w:val="22"/>
        </w:rPr>
        <w:t>DESECHAMIENTO O SOBRESEIMIENTO EN EL JUICIO DE AMPARO. NO IMPLICA DENEGACIÓN DE JUSTICIA NI GENERA INSEGURIDAD JURÍDICA</w:t>
      </w:r>
      <w:r w:rsidRPr="00DA2451">
        <w:rPr>
          <w:rFonts w:ascii="Palatino Linotype" w:eastAsia="Palatino Linotype" w:hAnsi="Palatino Linotype" w:cs="Palatino Linotype"/>
          <w:i/>
          <w:sz w:val="22"/>
          <w:szCs w:val="22"/>
        </w:rPr>
        <w:t>”</w:t>
      </w:r>
    </w:p>
    <w:p w14:paraId="7BF85F25" w14:textId="77777777" w:rsidR="00492FA8" w:rsidRPr="00DA2451" w:rsidRDefault="00B93E7D">
      <w:pPr>
        <w:ind w:left="567" w:right="567"/>
        <w:jc w:val="both"/>
        <w:rPr>
          <w:rFonts w:ascii="Palatino Linotype" w:eastAsia="Palatino Linotype" w:hAnsi="Palatino Linotype" w:cs="Palatino Linotype"/>
          <w:i/>
          <w:sz w:val="22"/>
          <w:szCs w:val="22"/>
        </w:rPr>
      </w:pPr>
      <w:r w:rsidRPr="00DA2451">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DA2451">
        <w:rPr>
          <w:rFonts w:ascii="Palatino Linotype" w:eastAsia="Palatino Linotype" w:hAnsi="Palatino Linotype" w:cs="Palatino Linotype"/>
          <w:i/>
          <w:sz w:val="22"/>
          <w:szCs w:val="22"/>
        </w:rPr>
        <w:t>promovente</w:t>
      </w:r>
      <w:proofErr w:type="spellEnd"/>
      <w:r w:rsidRPr="00DA2451">
        <w:rPr>
          <w:rFonts w:ascii="Palatino Linotype" w:eastAsia="Palatino Linotype" w:hAnsi="Palatino Linotype" w:cs="Palatino Linotype"/>
          <w:i/>
          <w:sz w:val="22"/>
          <w:szCs w:val="22"/>
        </w:rPr>
        <w:t xml:space="preserv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w:t>
      </w:r>
    </w:p>
    <w:p w14:paraId="0267122B" w14:textId="77777777" w:rsidR="00492FA8" w:rsidRPr="00DA2451" w:rsidRDefault="00492FA8">
      <w:pPr>
        <w:spacing w:line="360" w:lineRule="auto"/>
        <w:jc w:val="both"/>
        <w:rPr>
          <w:rFonts w:ascii="Palatino Linotype" w:eastAsia="Palatino Linotype" w:hAnsi="Palatino Linotype" w:cs="Palatino Linotype"/>
        </w:rPr>
      </w:pPr>
    </w:p>
    <w:p w14:paraId="4730BBAF" w14:textId="77777777" w:rsidR="00492FA8" w:rsidRPr="00DA2451" w:rsidRDefault="00B93E7D">
      <w:pPr>
        <w:spacing w:after="240"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14:paraId="339D0E08" w14:textId="77777777" w:rsidR="00492FA8" w:rsidRPr="00DA2451" w:rsidRDefault="00B93E7D">
      <w:pPr>
        <w:numPr>
          <w:ilvl w:val="0"/>
          <w:numId w:val="3"/>
        </w:numPr>
        <w:spacing w:before="280" w:after="280" w:line="360" w:lineRule="auto"/>
        <w:ind w:left="284" w:hanging="426"/>
        <w:jc w:val="center"/>
        <w:rPr>
          <w:rFonts w:ascii="Palatino Linotype" w:eastAsia="Palatino Linotype" w:hAnsi="Palatino Linotype" w:cs="Palatino Linotype"/>
          <w:b/>
        </w:rPr>
      </w:pPr>
      <w:r w:rsidRPr="00DA2451">
        <w:rPr>
          <w:rFonts w:ascii="Palatino Linotype" w:eastAsia="Palatino Linotype" w:hAnsi="Palatino Linotype" w:cs="Palatino Linotype"/>
          <w:b/>
        </w:rPr>
        <w:t>R E S U E L V E:</w:t>
      </w:r>
    </w:p>
    <w:p w14:paraId="2B301124" w14:textId="77777777" w:rsidR="00492FA8" w:rsidRPr="00DA2451" w:rsidRDefault="00B93E7D">
      <w:pPr>
        <w:spacing w:line="360" w:lineRule="auto"/>
        <w:jc w:val="both"/>
        <w:rPr>
          <w:rFonts w:ascii="Palatino Linotype" w:eastAsia="Palatino Linotype" w:hAnsi="Palatino Linotype" w:cs="Palatino Linotype"/>
        </w:rPr>
      </w:pPr>
      <w:r w:rsidRPr="00DA2451">
        <w:rPr>
          <w:rFonts w:ascii="Palatino Linotype" w:eastAsia="Palatino Linotype" w:hAnsi="Palatino Linotype" w:cs="Palatino Linotype"/>
          <w:b/>
        </w:rPr>
        <w:t>Primero.</w:t>
      </w:r>
      <w:r w:rsidRPr="00DA2451">
        <w:rPr>
          <w:rFonts w:ascii="Palatino Linotype" w:eastAsia="Palatino Linotype" w:hAnsi="Palatino Linotype" w:cs="Palatino Linotype"/>
        </w:rPr>
        <w:t xml:space="preserve"> Se </w:t>
      </w:r>
      <w:r w:rsidRPr="00DA2451">
        <w:rPr>
          <w:rFonts w:ascii="Palatino Linotype" w:eastAsia="Palatino Linotype" w:hAnsi="Palatino Linotype" w:cs="Palatino Linotype"/>
          <w:b/>
        </w:rPr>
        <w:t>SOBRESEE</w:t>
      </w:r>
      <w:r w:rsidRPr="00DA2451">
        <w:rPr>
          <w:rFonts w:ascii="Palatino Linotype" w:eastAsia="Palatino Linotype" w:hAnsi="Palatino Linotype" w:cs="Palatino Linotype"/>
        </w:rPr>
        <w:t xml:space="preserve"> el recurso de revisión </w:t>
      </w:r>
      <w:r w:rsidRPr="00DA2451">
        <w:rPr>
          <w:rFonts w:ascii="Palatino Linotype" w:eastAsia="Palatino Linotype" w:hAnsi="Palatino Linotype" w:cs="Palatino Linotype"/>
          <w:b/>
        </w:rPr>
        <w:t xml:space="preserve">06034/INFOEM/IP/RR/2023, </w:t>
      </w:r>
      <w:r w:rsidRPr="00DA2451">
        <w:rPr>
          <w:rFonts w:ascii="Palatino Linotype" w:eastAsia="Palatino Linotype" w:hAnsi="Palatino Linotype" w:cs="Palatino Linotype"/>
        </w:rPr>
        <w:t xml:space="preserve">porque al </w:t>
      </w:r>
      <w:r w:rsidRPr="00DA2451">
        <w:rPr>
          <w:rFonts w:ascii="Palatino Linotype" w:eastAsia="Palatino Linotype" w:hAnsi="Palatino Linotype" w:cs="Palatino Linotype"/>
          <w:b/>
        </w:rPr>
        <w:t>modificar la respuesta</w:t>
      </w:r>
      <w:r w:rsidRPr="00DA2451">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w:t>
      </w:r>
      <w:r w:rsidRPr="00DA2451">
        <w:rPr>
          <w:rFonts w:ascii="Palatino Linotype" w:eastAsia="Palatino Linotype" w:hAnsi="Palatino Linotype" w:cs="Palatino Linotype"/>
          <w:b/>
        </w:rPr>
        <w:t xml:space="preserve">Considerando Tercero </w:t>
      </w:r>
      <w:r w:rsidRPr="00DA2451">
        <w:rPr>
          <w:rFonts w:ascii="Palatino Linotype" w:eastAsia="Palatino Linotype" w:hAnsi="Palatino Linotype" w:cs="Palatino Linotype"/>
        </w:rPr>
        <w:t>de la presente Resolución.</w:t>
      </w:r>
    </w:p>
    <w:p w14:paraId="6E0E4973" w14:textId="77777777" w:rsidR="00492FA8" w:rsidRPr="00DA2451" w:rsidRDefault="00B93E7D">
      <w:pPr>
        <w:spacing w:before="240" w:after="240" w:line="360" w:lineRule="auto"/>
        <w:ind w:right="49"/>
        <w:jc w:val="both"/>
        <w:rPr>
          <w:rFonts w:ascii="Palatino Linotype" w:eastAsia="Palatino Linotype" w:hAnsi="Palatino Linotype" w:cs="Palatino Linotype"/>
        </w:rPr>
      </w:pPr>
      <w:r w:rsidRPr="00DA2451">
        <w:rPr>
          <w:rFonts w:ascii="Palatino Linotype" w:eastAsia="Palatino Linotype" w:hAnsi="Palatino Linotype" w:cs="Palatino Linotype"/>
          <w:b/>
        </w:rPr>
        <w:lastRenderedPageBreak/>
        <w:t>Segundo</w:t>
      </w:r>
      <w:r w:rsidRPr="00DA2451">
        <w:rPr>
          <w:rFonts w:ascii="Palatino Linotype" w:eastAsia="Palatino Linotype" w:hAnsi="Palatino Linotype" w:cs="Palatino Linotype"/>
          <w:b/>
          <w:sz w:val="28"/>
          <w:szCs w:val="28"/>
        </w:rPr>
        <w:t>.</w:t>
      </w:r>
      <w:r w:rsidRPr="00DA2451">
        <w:rPr>
          <w:rFonts w:ascii="Palatino Linotype" w:eastAsia="Palatino Linotype" w:hAnsi="Palatino Linotype" w:cs="Palatino Linotype"/>
          <w:b/>
          <w:sz w:val="19"/>
          <w:szCs w:val="19"/>
        </w:rPr>
        <w:t xml:space="preserve"> </w:t>
      </w:r>
      <w:r w:rsidRPr="00DA2451">
        <w:rPr>
          <w:rFonts w:ascii="Palatino Linotype" w:eastAsia="Palatino Linotype" w:hAnsi="Palatino Linotype" w:cs="Palatino Linotype"/>
          <w:b/>
        </w:rPr>
        <w:t>Notifíquese vía Sistema de Acceso a la Información Mexiquense</w:t>
      </w:r>
      <w:r w:rsidRPr="00DA2451">
        <w:rPr>
          <w:rFonts w:ascii="Palatino Linotype" w:eastAsia="Palatino Linotype" w:hAnsi="Palatino Linotype" w:cs="Palatino Linotype"/>
        </w:rPr>
        <w:t xml:space="preserve"> (</w:t>
      </w:r>
      <w:r w:rsidRPr="00DA2451">
        <w:rPr>
          <w:rFonts w:ascii="Palatino Linotype" w:eastAsia="Palatino Linotype" w:hAnsi="Palatino Linotype" w:cs="Palatino Linotype"/>
          <w:b/>
        </w:rPr>
        <w:t>SAIMEX)</w:t>
      </w:r>
      <w:r w:rsidRPr="00DA2451">
        <w:rPr>
          <w:rFonts w:ascii="Palatino Linotype" w:eastAsia="Palatino Linotype" w:hAnsi="Palatino Linotype" w:cs="Palatino Linotype"/>
          <w:b/>
          <w:i/>
        </w:rPr>
        <w:t xml:space="preserve">, </w:t>
      </w:r>
      <w:r w:rsidRPr="00DA2451">
        <w:rPr>
          <w:rFonts w:ascii="Palatino Linotype" w:eastAsia="Palatino Linotype" w:hAnsi="Palatino Linotype" w:cs="Palatino Linotype"/>
        </w:rPr>
        <w:t xml:space="preserve">al Titular de la Unidad de Transparencia del </w:t>
      </w:r>
      <w:r w:rsidRPr="00DA2451">
        <w:rPr>
          <w:rFonts w:ascii="Palatino Linotype" w:eastAsia="Palatino Linotype" w:hAnsi="Palatino Linotype" w:cs="Palatino Linotype"/>
          <w:b/>
        </w:rPr>
        <w:t>Sujeto Obligado</w:t>
      </w:r>
      <w:r w:rsidRPr="00DA2451">
        <w:rPr>
          <w:rFonts w:ascii="Palatino Linotype" w:eastAsia="Palatino Linotype" w:hAnsi="Palatino Linotype" w:cs="Palatino Linotype"/>
        </w:rPr>
        <w:t xml:space="preserve"> la presente resolución, para su conocimiento.</w:t>
      </w:r>
    </w:p>
    <w:p w14:paraId="3524A389" w14:textId="77777777" w:rsidR="00492FA8" w:rsidRPr="00DA2451" w:rsidRDefault="00B93E7D">
      <w:pPr>
        <w:spacing w:before="240" w:after="240" w:line="360" w:lineRule="auto"/>
        <w:jc w:val="both"/>
        <w:rPr>
          <w:rFonts w:ascii="Palatino Linotype" w:eastAsia="Palatino Linotype" w:hAnsi="Palatino Linotype" w:cs="Palatino Linotype"/>
        </w:rPr>
      </w:pPr>
      <w:bookmarkStart w:id="7" w:name="_heading=h.3rdcrjn" w:colFirst="0" w:colLast="0"/>
      <w:bookmarkEnd w:id="7"/>
      <w:r w:rsidRPr="00DA2451">
        <w:rPr>
          <w:rFonts w:ascii="Palatino Linotype" w:eastAsia="Palatino Linotype" w:hAnsi="Palatino Linotype" w:cs="Palatino Linotype"/>
          <w:b/>
        </w:rPr>
        <w:t>Tercero.</w:t>
      </w:r>
      <w:r w:rsidRPr="00DA2451">
        <w:rPr>
          <w:rFonts w:ascii="Palatino Linotype" w:eastAsia="Palatino Linotype" w:hAnsi="Palatino Linotype" w:cs="Palatino Linotype"/>
          <w:b/>
          <w:sz w:val="28"/>
          <w:szCs w:val="28"/>
        </w:rPr>
        <w:t xml:space="preserve"> </w:t>
      </w:r>
      <w:r w:rsidRPr="00DA2451">
        <w:rPr>
          <w:rFonts w:ascii="Palatino Linotype" w:eastAsia="Palatino Linotype" w:hAnsi="Palatino Linotype" w:cs="Palatino Linotype"/>
          <w:b/>
        </w:rPr>
        <w:t xml:space="preserve">Notifíquese, vía Sistema de Acceso a la Información Mexiquense (SAIMEX), </w:t>
      </w:r>
      <w:r w:rsidRPr="00DA2451">
        <w:rPr>
          <w:rFonts w:ascii="Palatino Linotype" w:eastAsia="Palatino Linotype" w:hAnsi="Palatino Linotype" w:cs="Palatino Linotype"/>
        </w:rPr>
        <w:t xml:space="preserve">la presente resolución a la parte recurrente, así como que podrá impugnarla vía </w:t>
      </w:r>
      <w:r w:rsidRPr="00DA2451">
        <w:rPr>
          <w:rFonts w:ascii="Palatino Linotype" w:eastAsia="Palatino Linotype" w:hAnsi="Palatino Linotype" w:cs="Palatino Linotype"/>
          <w:b/>
        </w:rPr>
        <w:t>Juicio de Amparo</w:t>
      </w:r>
      <w:r w:rsidRPr="00DA2451">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w:t>
      </w:r>
    </w:p>
    <w:p w14:paraId="59A281D4" w14:textId="77777777" w:rsidR="00492FA8" w:rsidRPr="00DA2451" w:rsidRDefault="00B93E7D">
      <w:pPr>
        <w:spacing w:before="240" w:after="240" w:line="360" w:lineRule="auto"/>
        <w:jc w:val="both"/>
        <w:rPr>
          <w:rFonts w:ascii="Palatino Linotype" w:eastAsia="Palatino Linotype" w:hAnsi="Palatino Linotype" w:cs="Palatino Linotype"/>
        </w:rPr>
      </w:pPr>
      <w:bookmarkStart w:id="8" w:name="_heading=h.2et92p0" w:colFirst="0" w:colLast="0"/>
      <w:bookmarkEnd w:id="8"/>
      <w:r w:rsidRPr="00DA2451">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TERCERA SESIÓN ORDINARIA CELEBRADA EL TREINTA Y UNO DE ENERO DE DOS MIL VEINTICUATRO, ANTE EL SECRETARIO TÉCNICO DEL PLENO ALEXIS TAPIA RAMÍREZ.</w:t>
      </w:r>
    </w:p>
    <w:p w14:paraId="4A5B91A9" w14:textId="77777777" w:rsidR="00492FA8" w:rsidRPr="00DA2451" w:rsidRDefault="00492FA8">
      <w:pPr>
        <w:spacing w:before="240" w:after="240" w:line="360" w:lineRule="auto"/>
        <w:jc w:val="both"/>
        <w:rPr>
          <w:rFonts w:ascii="Palatino Linotype" w:eastAsia="Palatino Linotype" w:hAnsi="Palatino Linotype" w:cs="Palatino Linotype"/>
        </w:rPr>
      </w:pPr>
    </w:p>
    <w:p w14:paraId="35EFCC99" w14:textId="77777777" w:rsidR="00492FA8" w:rsidRPr="00DA2451" w:rsidRDefault="00492FA8">
      <w:pPr>
        <w:spacing w:before="240" w:after="240" w:line="360" w:lineRule="auto"/>
        <w:jc w:val="both"/>
        <w:rPr>
          <w:rFonts w:ascii="Palatino Linotype" w:eastAsia="Palatino Linotype" w:hAnsi="Palatino Linotype" w:cs="Palatino Linotype"/>
        </w:rPr>
      </w:pPr>
    </w:p>
    <w:p w14:paraId="4B88D901" w14:textId="77777777" w:rsidR="00492FA8" w:rsidRPr="00DA2451" w:rsidRDefault="00492FA8">
      <w:pPr>
        <w:spacing w:before="240" w:after="240" w:line="360" w:lineRule="auto"/>
        <w:jc w:val="both"/>
        <w:rPr>
          <w:rFonts w:ascii="Palatino Linotype" w:eastAsia="Palatino Linotype" w:hAnsi="Palatino Linotype" w:cs="Palatino Linotype"/>
        </w:rPr>
      </w:pPr>
    </w:p>
    <w:p w14:paraId="5BF9E9E2" w14:textId="77777777" w:rsidR="00492FA8" w:rsidRPr="00DA2451" w:rsidRDefault="00492FA8">
      <w:pPr>
        <w:spacing w:before="240" w:after="240" w:line="360" w:lineRule="auto"/>
        <w:jc w:val="both"/>
        <w:rPr>
          <w:rFonts w:ascii="Palatino Linotype" w:eastAsia="Palatino Linotype" w:hAnsi="Palatino Linotype" w:cs="Palatino Linotype"/>
        </w:rPr>
      </w:pPr>
    </w:p>
    <w:p w14:paraId="1D8E59DF" w14:textId="77777777" w:rsidR="00492FA8" w:rsidRPr="00DA2451" w:rsidRDefault="00492FA8">
      <w:pPr>
        <w:spacing w:before="240" w:after="240" w:line="360" w:lineRule="auto"/>
        <w:jc w:val="both"/>
        <w:rPr>
          <w:rFonts w:ascii="Palatino Linotype" w:eastAsia="Palatino Linotype" w:hAnsi="Palatino Linotype" w:cs="Palatino Linotype"/>
        </w:rPr>
      </w:pPr>
    </w:p>
    <w:p w14:paraId="791A8086" w14:textId="77777777" w:rsidR="00492FA8" w:rsidRPr="00DA2451" w:rsidRDefault="00492FA8">
      <w:pPr>
        <w:spacing w:before="240" w:after="240" w:line="360" w:lineRule="auto"/>
        <w:jc w:val="both"/>
        <w:rPr>
          <w:rFonts w:ascii="Palatino Linotype" w:eastAsia="Palatino Linotype" w:hAnsi="Palatino Linotype" w:cs="Palatino Linotype"/>
        </w:rPr>
      </w:pPr>
    </w:p>
    <w:p w14:paraId="08C17D95" w14:textId="77777777" w:rsidR="00492FA8" w:rsidRPr="00DA2451" w:rsidRDefault="00492FA8">
      <w:pPr>
        <w:spacing w:before="240" w:after="240" w:line="360" w:lineRule="auto"/>
        <w:jc w:val="both"/>
        <w:rPr>
          <w:rFonts w:ascii="Palatino Linotype" w:eastAsia="Palatino Linotype" w:hAnsi="Palatino Linotype" w:cs="Palatino Linotype"/>
        </w:rPr>
      </w:pPr>
    </w:p>
    <w:p w14:paraId="01FB7BFF" w14:textId="77777777" w:rsidR="00492FA8" w:rsidRPr="00DA2451" w:rsidRDefault="00492FA8">
      <w:pPr>
        <w:spacing w:before="240" w:after="240" w:line="360" w:lineRule="auto"/>
        <w:jc w:val="both"/>
        <w:rPr>
          <w:rFonts w:ascii="Palatino Linotype" w:eastAsia="Palatino Linotype" w:hAnsi="Palatino Linotype" w:cs="Palatino Linotype"/>
        </w:rPr>
      </w:pPr>
    </w:p>
    <w:p w14:paraId="27D0A853" w14:textId="77777777" w:rsidR="00492FA8" w:rsidRPr="00DA2451" w:rsidRDefault="00492FA8">
      <w:pPr>
        <w:spacing w:before="240" w:after="240" w:line="360" w:lineRule="auto"/>
        <w:jc w:val="both"/>
        <w:rPr>
          <w:rFonts w:ascii="Palatino Linotype" w:eastAsia="Palatino Linotype" w:hAnsi="Palatino Linotype" w:cs="Palatino Linotype"/>
        </w:rPr>
      </w:pPr>
    </w:p>
    <w:p w14:paraId="0AD644F6" w14:textId="77777777" w:rsidR="00492FA8" w:rsidRPr="00DA2451" w:rsidRDefault="00492FA8">
      <w:pPr>
        <w:spacing w:before="240" w:after="240" w:line="360" w:lineRule="auto"/>
        <w:jc w:val="both"/>
        <w:rPr>
          <w:rFonts w:ascii="Palatino Linotype" w:eastAsia="Palatino Linotype" w:hAnsi="Palatino Linotype" w:cs="Palatino Linotype"/>
        </w:rPr>
      </w:pPr>
    </w:p>
    <w:p w14:paraId="59203C73" w14:textId="77777777" w:rsidR="00492FA8" w:rsidRPr="00DA2451" w:rsidRDefault="00492FA8">
      <w:pPr>
        <w:spacing w:before="240" w:after="240" w:line="360" w:lineRule="auto"/>
        <w:jc w:val="both"/>
        <w:rPr>
          <w:rFonts w:ascii="Palatino Linotype" w:eastAsia="Palatino Linotype" w:hAnsi="Palatino Linotype" w:cs="Palatino Linotype"/>
        </w:rPr>
      </w:pPr>
    </w:p>
    <w:p w14:paraId="44BBF2A0" w14:textId="77777777" w:rsidR="00492FA8" w:rsidRPr="00DA2451" w:rsidRDefault="00492FA8">
      <w:pPr>
        <w:spacing w:before="240" w:after="240" w:line="360" w:lineRule="auto"/>
        <w:jc w:val="both"/>
        <w:rPr>
          <w:rFonts w:ascii="Palatino Linotype" w:eastAsia="Palatino Linotype" w:hAnsi="Palatino Linotype" w:cs="Palatino Linotype"/>
        </w:rPr>
      </w:pPr>
    </w:p>
    <w:p w14:paraId="7957BEB6" w14:textId="77777777" w:rsidR="00492FA8" w:rsidRPr="00DA2451" w:rsidRDefault="00492FA8">
      <w:pPr>
        <w:spacing w:before="240" w:after="240" w:line="360" w:lineRule="auto"/>
        <w:jc w:val="both"/>
        <w:rPr>
          <w:rFonts w:ascii="Palatino Linotype" w:eastAsia="Palatino Linotype" w:hAnsi="Palatino Linotype" w:cs="Palatino Linotype"/>
        </w:rPr>
      </w:pPr>
    </w:p>
    <w:p w14:paraId="363C3D1C" w14:textId="77777777" w:rsidR="00492FA8" w:rsidRPr="00DA2451" w:rsidRDefault="00492FA8">
      <w:pPr>
        <w:spacing w:before="240" w:after="240" w:line="360" w:lineRule="auto"/>
        <w:jc w:val="both"/>
        <w:rPr>
          <w:rFonts w:ascii="Palatino Linotype" w:eastAsia="Palatino Linotype" w:hAnsi="Palatino Linotype" w:cs="Palatino Linotype"/>
        </w:rPr>
      </w:pPr>
    </w:p>
    <w:sectPr w:rsidR="00492FA8" w:rsidRPr="00DA2451">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1B2291" w14:textId="77777777" w:rsidR="009170D6" w:rsidRDefault="009170D6">
      <w:r>
        <w:separator/>
      </w:r>
    </w:p>
  </w:endnote>
  <w:endnote w:type="continuationSeparator" w:id="0">
    <w:p w14:paraId="45AB9FA9" w14:textId="77777777" w:rsidR="009170D6" w:rsidRDefault="00917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E1C43" w14:textId="77777777" w:rsidR="00492FA8" w:rsidRDefault="00B93E7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B6503">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B6503">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14:paraId="7DAF1AD1" w14:textId="77777777" w:rsidR="00492FA8" w:rsidRDefault="00492FA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00640" w14:textId="77777777" w:rsidR="00492FA8" w:rsidRDefault="00B93E7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B650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B6503">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14:paraId="220C8A90" w14:textId="77777777" w:rsidR="00492FA8" w:rsidRDefault="00492FA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50B0AB" w14:textId="77777777" w:rsidR="009170D6" w:rsidRDefault="009170D6">
      <w:r>
        <w:separator/>
      </w:r>
    </w:p>
  </w:footnote>
  <w:footnote w:type="continuationSeparator" w:id="0">
    <w:p w14:paraId="0F640DFB" w14:textId="77777777" w:rsidR="009170D6" w:rsidRDefault="009170D6">
      <w:r>
        <w:continuationSeparator/>
      </w:r>
    </w:p>
  </w:footnote>
  <w:footnote w:id="1">
    <w:p w14:paraId="0D042C85" w14:textId="77777777" w:rsidR="00492FA8" w:rsidRDefault="00B93E7D">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color w:val="000000"/>
          <w:sz w:val="18"/>
          <w:szCs w:val="18"/>
        </w:rPr>
        <w:t>Artículo 192.</w:t>
      </w:r>
      <w:r>
        <w:rPr>
          <w:rFonts w:ascii="Palatino Linotype" w:eastAsia="Palatino Linotype" w:hAnsi="Palatino Linotype" w:cs="Palatino Linotype"/>
          <w:color w:val="000000"/>
          <w:sz w:val="18"/>
          <w:szCs w:val="18"/>
        </w:rPr>
        <w:t xml:space="preserve"> El recurso será sobreseído, en todo o en parte, cuando una vez admitido, se actualicen alguno de los siguientes supuestos:</w:t>
      </w:r>
    </w:p>
    <w:p w14:paraId="742C915A" w14:textId="77777777" w:rsidR="00492FA8" w:rsidRDefault="00B93E7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p w14:paraId="6CD12763" w14:textId="77777777" w:rsidR="00492FA8" w:rsidRDefault="00B93E7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III. El sujeto obligado responsable del acto lo modifique o revoque de tal manera que el recurso de revisión quede sin materia;</w:t>
      </w:r>
    </w:p>
  </w:footnote>
  <w:footnote w:id="2">
    <w:p w14:paraId="2EE0E299" w14:textId="77777777" w:rsidR="00492FA8" w:rsidRDefault="00B93E7D">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Artículo 186</w:t>
      </w:r>
      <w:r>
        <w:rPr>
          <w:rFonts w:ascii="Palatino Linotype" w:eastAsia="Palatino Linotype" w:hAnsi="Palatino Linotype" w:cs="Palatino Linotype"/>
          <w:color w:val="000000"/>
          <w:sz w:val="18"/>
          <w:szCs w:val="18"/>
        </w:rPr>
        <w:t>. Las resoluciones del Instituto podrán:</w:t>
      </w:r>
    </w:p>
    <w:p w14:paraId="0461D523" w14:textId="77777777" w:rsidR="00492FA8" w:rsidRDefault="00B93E7D">
      <w:pPr>
        <w:pBdr>
          <w:top w:val="nil"/>
          <w:left w:val="nil"/>
          <w:bottom w:val="nil"/>
          <w:right w:val="nil"/>
          <w:between w:val="nil"/>
        </w:pBdr>
        <w:rPr>
          <w:rFonts w:ascii="Cambria" w:eastAsia="Cambria" w:hAnsi="Cambria" w:cs="Cambria"/>
          <w:color w:val="000000"/>
          <w:sz w:val="20"/>
          <w:szCs w:val="20"/>
        </w:rPr>
      </w:pPr>
      <w:r>
        <w:rPr>
          <w:rFonts w:ascii="Palatino Linotype" w:eastAsia="Palatino Linotype" w:hAnsi="Palatino Linotype" w:cs="Palatino Linotype"/>
          <w:color w:val="000000"/>
          <w:sz w:val="18"/>
          <w:szCs w:val="18"/>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5785C" w14:textId="77777777" w:rsidR="00492FA8" w:rsidRDefault="00B93E7D">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8FD777F" wp14:editId="7EDDEE5E">
          <wp:simplePos x="0" y="0"/>
          <wp:positionH relativeFrom="column">
            <wp:posOffset>-1127122</wp:posOffset>
          </wp:positionH>
          <wp:positionV relativeFrom="paragraph">
            <wp:posOffset>-344802</wp:posOffset>
          </wp:positionV>
          <wp:extent cx="7809865" cy="10165715"/>
          <wp:effectExtent l="0" t="0" r="0" b="0"/>
          <wp:wrapNone/>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492FA8" w14:paraId="57AD63C8" w14:textId="77777777">
      <w:tc>
        <w:tcPr>
          <w:tcW w:w="2489" w:type="dxa"/>
          <w:shd w:val="clear" w:color="auto" w:fill="auto"/>
        </w:tcPr>
        <w:p w14:paraId="2347642C" w14:textId="77777777" w:rsidR="00492FA8" w:rsidRDefault="00B93E7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4DAC467" w14:textId="77777777" w:rsidR="00492FA8" w:rsidRDefault="00B93E7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06034/INFOEM/IP/RR/2023</w:t>
          </w:r>
        </w:p>
      </w:tc>
    </w:tr>
    <w:tr w:rsidR="00492FA8" w14:paraId="0A77B8F4" w14:textId="77777777">
      <w:trPr>
        <w:trHeight w:val="228"/>
      </w:trPr>
      <w:tc>
        <w:tcPr>
          <w:tcW w:w="2489" w:type="dxa"/>
          <w:shd w:val="clear" w:color="auto" w:fill="auto"/>
          <w:vAlign w:val="center"/>
        </w:tcPr>
        <w:p w14:paraId="31D9CA9F" w14:textId="77777777" w:rsidR="00492FA8" w:rsidRDefault="00B93E7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B3EFCDF" w14:textId="77777777" w:rsidR="00492FA8" w:rsidRDefault="00B93E7D">
          <w:pPr>
            <w:tabs>
              <w:tab w:val="left" w:pos="2499"/>
            </w:tabs>
            <w:ind w:left="-45"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Rayón</w:t>
          </w:r>
        </w:p>
      </w:tc>
    </w:tr>
    <w:tr w:rsidR="00492FA8" w14:paraId="6544AF2C" w14:textId="77777777">
      <w:tc>
        <w:tcPr>
          <w:tcW w:w="2489" w:type="dxa"/>
          <w:shd w:val="clear" w:color="auto" w:fill="auto"/>
          <w:vAlign w:val="center"/>
        </w:tcPr>
        <w:p w14:paraId="2DFF1620" w14:textId="77777777" w:rsidR="00492FA8" w:rsidRDefault="00B93E7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E0086EB" w14:textId="77777777" w:rsidR="00492FA8" w:rsidRDefault="00B93E7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70127F8" w14:textId="77777777" w:rsidR="00492FA8" w:rsidRDefault="00B93E7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AF377" w14:textId="77777777" w:rsidR="00492FA8" w:rsidRDefault="00B93E7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230E9070" wp14:editId="00C7D35C">
          <wp:simplePos x="0" y="0"/>
          <wp:positionH relativeFrom="column">
            <wp:posOffset>-955671</wp:posOffset>
          </wp:positionH>
          <wp:positionV relativeFrom="paragraph">
            <wp:posOffset>-288922</wp:posOffset>
          </wp:positionV>
          <wp:extent cx="7809865" cy="10165715"/>
          <wp:effectExtent l="0" t="0" r="0" b="0"/>
          <wp:wrapNone/>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670" w:type="dxa"/>
      <w:tblInd w:w="3261" w:type="dxa"/>
      <w:tblLayout w:type="fixed"/>
      <w:tblLook w:val="0400" w:firstRow="0" w:lastRow="0" w:firstColumn="0" w:lastColumn="0" w:noHBand="0" w:noVBand="1"/>
    </w:tblPr>
    <w:tblGrid>
      <w:gridCol w:w="2551"/>
      <w:gridCol w:w="3119"/>
    </w:tblGrid>
    <w:tr w:rsidR="00492FA8" w14:paraId="1E4CD44F" w14:textId="77777777">
      <w:tc>
        <w:tcPr>
          <w:tcW w:w="2551" w:type="dxa"/>
          <w:shd w:val="clear" w:color="auto" w:fill="auto"/>
          <w:vAlign w:val="center"/>
        </w:tcPr>
        <w:p w14:paraId="617AF94A" w14:textId="77777777" w:rsidR="00492FA8" w:rsidRDefault="00B93E7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5BA7CA6" w14:textId="77777777" w:rsidR="00492FA8" w:rsidRDefault="00B93E7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06034/INFOEM/IP/RR/2023</w:t>
          </w:r>
        </w:p>
      </w:tc>
    </w:tr>
    <w:tr w:rsidR="00492FA8" w14:paraId="645038A5" w14:textId="77777777">
      <w:trPr>
        <w:trHeight w:val="130"/>
      </w:trPr>
      <w:tc>
        <w:tcPr>
          <w:tcW w:w="2551" w:type="dxa"/>
          <w:shd w:val="clear" w:color="auto" w:fill="auto"/>
          <w:vAlign w:val="center"/>
        </w:tcPr>
        <w:p w14:paraId="047992AD" w14:textId="77777777" w:rsidR="00492FA8" w:rsidRDefault="00B93E7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6FC9E43" w14:textId="0604E7E0" w:rsidR="00492FA8" w:rsidRDefault="005B6503" w:rsidP="005B6503">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w:t>
          </w:r>
        </w:p>
      </w:tc>
    </w:tr>
    <w:tr w:rsidR="00492FA8" w14:paraId="4DDB4F20" w14:textId="77777777">
      <w:trPr>
        <w:trHeight w:val="228"/>
      </w:trPr>
      <w:tc>
        <w:tcPr>
          <w:tcW w:w="2551" w:type="dxa"/>
          <w:shd w:val="clear" w:color="auto" w:fill="auto"/>
          <w:vAlign w:val="center"/>
        </w:tcPr>
        <w:p w14:paraId="7499F6A4" w14:textId="77777777" w:rsidR="00492FA8" w:rsidRDefault="00B93E7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197F693" w14:textId="77777777" w:rsidR="00492FA8" w:rsidRDefault="00B93E7D">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Rayón</w:t>
          </w:r>
        </w:p>
      </w:tc>
    </w:tr>
    <w:tr w:rsidR="00492FA8" w14:paraId="682A52DF" w14:textId="77777777">
      <w:tc>
        <w:tcPr>
          <w:tcW w:w="2551" w:type="dxa"/>
          <w:shd w:val="clear" w:color="auto" w:fill="auto"/>
          <w:vAlign w:val="center"/>
        </w:tcPr>
        <w:p w14:paraId="717763C7" w14:textId="77777777" w:rsidR="00492FA8" w:rsidRDefault="00B93E7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C3BAB61" w14:textId="77777777" w:rsidR="00492FA8" w:rsidRDefault="00B93E7D">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ABA1C6A" w14:textId="77777777" w:rsidR="00492FA8" w:rsidRDefault="00492FA8">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66573E"/>
    <w:multiLevelType w:val="multilevel"/>
    <w:tmpl w:val="7A3CED30"/>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423D586A"/>
    <w:multiLevelType w:val="multilevel"/>
    <w:tmpl w:val="671E7B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3957B08"/>
    <w:multiLevelType w:val="multilevel"/>
    <w:tmpl w:val="8724CF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FA8"/>
    <w:rsid w:val="00261DB1"/>
    <w:rsid w:val="00492FA8"/>
    <w:rsid w:val="004F23AF"/>
    <w:rsid w:val="00566225"/>
    <w:rsid w:val="005B6503"/>
    <w:rsid w:val="009170D6"/>
    <w:rsid w:val="00B3016C"/>
    <w:rsid w:val="00B93E7D"/>
    <w:rsid w:val="00BA725B"/>
    <w:rsid w:val="00BF059E"/>
    <w:rsid w:val="00CB4CD6"/>
    <w:rsid w:val="00DA2451"/>
    <w:rsid w:val="00F93C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3A175"/>
  <w15:docId w15:val="{70402ED9-8CD3-426A-AC3F-86E417131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F0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A944AD"/>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1"/>
    <w:rPr>
      <w:rFonts w:ascii="Cambria" w:eastAsia="Cambria" w:hAnsi="Cambria" w:cs="Cambria"/>
    </w:rPr>
    <w:tblPr>
      <w:tblStyleRowBandSize w:val="1"/>
      <w:tblStyleColBandSize w:val="1"/>
      <w:tblCellMar>
        <w:left w:w="115" w:type="dxa"/>
        <w:right w:w="115" w:type="dxa"/>
      </w:tblCellMar>
    </w:tblPr>
  </w:style>
  <w:style w:type="table" w:customStyle="1" w:styleId="a4">
    <w:basedOn w:val="TableNormal1"/>
    <w:rPr>
      <w:rFonts w:ascii="Cambria" w:eastAsia="Cambria" w:hAnsi="Cambria" w:cs="Cambria"/>
    </w:rPr>
    <w:tblPr>
      <w:tblStyleRowBandSize w:val="1"/>
      <w:tblStyleColBandSize w:val="1"/>
      <w:tblCellMar>
        <w:left w:w="115" w:type="dxa"/>
        <w:right w:w="115" w:type="dxa"/>
      </w:tblCellMar>
    </w:tblPr>
  </w:style>
  <w:style w:type="table" w:customStyle="1" w:styleId="a5">
    <w:basedOn w:val="TableNormal1"/>
    <w:rPr>
      <w:rFonts w:ascii="Cambria" w:eastAsia="Cambria" w:hAnsi="Cambria" w:cs="Cambria"/>
    </w:rPr>
    <w:tblPr>
      <w:tblStyleRowBandSize w:val="1"/>
      <w:tblStyleColBandSize w:val="1"/>
      <w:tblCellMar>
        <w:left w:w="115" w:type="dxa"/>
        <w:right w:w="115" w:type="dxa"/>
      </w:tblCellMar>
    </w:tblPr>
  </w:style>
  <w:style w:type="table" w:customStyle="1" w:styleId="a6">
    <w:basedOn w:val="TableNormal0"/>
    <w:rPr>
      <w:rFonts w:ascii="Cambria" w:eastAsia="Cambria" w:hAnsi="Cambria" w:cs="Cambria"/>
    </w:rPr>
    <w:tblPr>
      <w:tblStyleRowBandSize w:val="1"/>
      <w:tblStyleColBandSize w:val="1"/>
      <w:tblCellMar>
        <w:left w:w="115" w:type="dxa"/>
        <w:right w:w="115" w:type="dxa"/>
      </w:tblCellMar>
    </w:tblPr>
  </w:style>
  <w:style w:type="table" w:customStyle="1" w:styleId="a7">
    <w:basedOn w:val="TableNormal0"/>
    <w:rPr>
      <w:rFonts w:ascii="Cambria" w:eastAsia="Cambria" w:hAnsi="Cambria" w:cs="Cambria"/>
    </w:rPr>
    <w:tblPr>
      <w:tblStyleRowBandSize w:val="1"/>
      <w:tblStyleColBandSize w:val="1"/>
      <w:tblCellMar>
        <w:left w:w="115" w:type="dxa"/>
        <w:right w:w="115" w:type="dxa"/>
      </w:tblCellMar>
    </w:tblPr>
  </w:style>
  <w:style w:type="table" w:customStyle="1" w:styleId="a8">
    <w:basedOn w:val="TableNormal0"/>
    <w:rPr>
      <w:rFonts w:ascii="Cambria" w:eastAsia="Cambria" w:hAnsi="Cambria" w:cs="Cambria"/>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fTnr8x3NCl01TDFM0i+mdj4EJw==">CgMxLjAyCGguZ2pkZ3hzMgloLjMwajB6bGwyCWguMnM4ZXlvMTIIaC50eWpjd3QyCWguMWZvYjl0ZTIJaC4zem55c2g3MgloLjNyZGNyam4yCWguMmV0OTJwMDgAciExZ1JibVR4cFhVTXkya0ZNNlQ0RXZhWEFSbk5IZ3pmQUU=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5982</Words>
  <Characters>32906</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38811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INFOEM563</cp:lastModifiedBy>
  <cp:revision>2</cp:revision>
  <cp:lastPrinted>2024-02-02T16:17:00Z</cp:lastPrinted>
  <dcterms:created xsi:type="dcterms:W3CDTF">2024-02-07T20:23:00Z</dcterms:created>
  <dcterms:modified xsi:type="dcterms:W3CDTF">2024-02-07T20:23:00Z</dcterms:modified>
</cp:coreProperties>
</file>