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24D14"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once de septiembre del dos mil veinticuatro.</w:t>
      </w:r>
    </w:p>
    <w:p w14:paraId="1373E7D6" w14:textId="039A2BED"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VISTO</w:t>
      </w:r>
      <w:r w:rsidRPr="00E91A66">
        <w:rPr>
          <w:rFonts w:ascii="Palatino Linotype" w:eastAsia="Palatino Linotype" w:hAnsi="Palatino Linotype" w:cs="Palatino Linotype"/>
        </w:rPr>
        <w:t xml:space="preserve"> el expediente formado con motivo del recurso de revisión </w:t>
      </w:r>
      <w:hyperlink r:id="rId8">
        <w:r w:rsidRPr="00E91A66">
          <w:rPr>
            <w:rFonts w:ascii="Palatino Linotype" w:eastAsia="Palatino Linotype" w:hAnsi="Palatino Linotype" w:cs="Palatino Linotype"/>
            <w:b/>
          </w:rPr>
          <w:t>01859/INFOEM/ICR-27/IP/RR/2024</w:t>
        </w:r>
      </w:hyperlink>
      <w:r w:rsidRPr="00E91A66">
        <w:rPr>
          <w:rFonts w:ascii="Palatino Linotype" w:eastAsia="Palatino Linotype" w:hAnsi="Palatino Linotype" w:cs="Palatino Linotype"/>
          <w:b/>
        </w:rPr>
        <w:t xml:space="preserve">, </w:t>
      </w:r>
      <w:r w:rsidRPr="00E91A66">
        <w:rPr>
          <w:rFonts w:ascii="Palatino Linotype" w:eastAsia="Palatino Linotype" w:hAnsi="Palatino Linotype" w:cs="Palatino Linotype"/>
        </w:rPr>
        <w:t xml:space="preserve">interpuesto por </w:t>
      </w:r>
      <w:r w:rsidR="007259AC" w:rsidRPr="007259AC">
        <w:rPr>
          <w:rFonts w:ascii="Palatino Linotype" w:eastAsia="Palatino Linotype" w:hAnsi="Palatino Linotype" w:cs="Palatino Linotype"/>
          <w:b/>
        </w:rPr>
        <w:t>XXXXX XXXXXX</w:t>
      </w:r>
      <w:r w:rsidRPr="00E91A66">
        <w:rPr>
          <w:rFonts w:ascii="Palatino Linotype" w:eastAsia="Palatino Linotype" w:hAnsi="Palatino Linotype" w:cs="Palatino Linotype"/>
        </w:rPr>
        <w:t>,</w:t>
      </w:r>
      <w:r w:rsidRPr="00E91A66">
        <w:rPr>
          <w:rFonts w:ascii="Palatino Linotype" w:eastAsia="Palatino Linotype" w:hAnsi="Palatino Linotype" w:cs="Palatino Linotype"/>
          <w:b/>
        </w:rPr>
        <w:t xml:space="preserve"> </w:t>
      </w:r>
      <w:r w:rsidRPr="00E91A66">
        <w:rPr>
          <w:rFonts w:ascii="Palatino Linotype" w:eastAsia="Palatino Linotype" w:hAnsi="Palatino Linotype" w:cs="Palatino Linotype"/>
        </w:rPr>
        <w:t>en lo sucesivo</w:t>
      </w:r>
      <w:r w:rsidRPr="00E91A66">
        <w:rPr>
          <w:rFonts w:ascii="Palatino Linotype" w:eastAsia="Palatino Linotype" w:hAnsi="Palatino Linotype" w:cs="Palatino Linotype"/>
          <w:b/>
        </w:rPr>
        <w:t xml:space="preserve"> </w:t>
      </w:r>
      <w:r w:rsidRPr="00E91A66">
        <w:rPr>
          <w:rFonts w:ascii="Palatino Linotype" w:eastAsia="Palatino Linotype" w:hAnsi="Palatino Linotype" w:cs="Palatino Linotype"/>
        </w:rPr>
        <w:t xml:space="preserve">el </w:t>
      </w:r>
      <w:r w:rsidRPr="00E91A66">
        <w:rPr>
          <w:rFonts w:ascii="Palatino Linotype" w:eastAsia="Palatino Linotype" w:hAnsi="Palatino Linotype" w:cs="Palatino Linotype"/>
          <w:b/>
        </w:rPr>
        <w:t>RECURRENT</w:t>
      </w:r>
      <w:r w:rsidRPr="00E91A66">
        <w:rPr>
          <w:rFonts w:ascii="Palatino Linotype" w:eastAsia="Palatino Linotype" w:hAnsi="Palatino Linotype" w:cs="Palatino Linotype"/>
        </w:rPr>
        <w:t>E</w:t>
      </w:r>
      <w:r w:rsidRPr="00E91A66">
        <w:rPr>
          <w:rFonts w:ascii="Palatino Linotype" w:eastAsia="Palatino Linotype" w:hAnsi="Palatino Linotype" w:cs="Palatino Linotype"/>
          <w:b/>
        </w:rPr>
        <w:t>,</w:t>
      </w:r>
      <w:r w:rsidRPr="00E91A66">
        <w:rPr>
          <w:rFonts w:ascii="Palatino Linotype" w:eastAsia="Palatino Linotype" w:hAnsi="Palatino Linotype" w:cs="Palatino Linotype"/>
        </w:rPr>
        <w:t xml:space="preserve"> en contra de la respuesta por el </w:t>
      </w:r>
      <w:r w:rsidRPr="00E91A66">
        <w:rPr>
          <w:rFonts w:ascii="Palatino Linotype" w:eastAsia="Palatino Linotype" w:hAnsi="Palatino Linotype" w:cs="Palatino Linotype"/>
          <w:b/>
        </w:rPr>
        <w:t>Ayuntamiento de Xalatlaco</w:t>
      </w:r>
      <w:r w:rsidRPr="00E91A66">
        <w:rPr>
          <w:rFonts w:ascii="Palatino Linotype" w:eastAsia="Palatino Linotype" w:hAnsi="Palatino Linotype" w:cs="Palatino Linotype"/>
        </w:rPr>
        <w:t xml:space="preserve">, en lo sucesivo el </w:t>
      </w:r>
      <w:r w:rsidRPr="00E91A66">
        <w:rPr>
          <w:rFonts w:ascii="Palatino Linotype" w:eastAsia="Palatino Linotype" w:hAnsi="Palatino Linotype" w:cs="Palatino Linotype"/>
          <w:b/>
        </w:rPr>
        <w:t xml:space="preserve">SUJETO OBLIGADO, </w:t>
      </w:r>
      <w:r w:rsidRPr="00E91A66">
        <w:rPr>
          <w:rFonts w:ascii="Palatino Linotype" w:eastAsia="Palatino Linotype" w:hAnsi="Palatino Linotype" w:cs="Palatino Linotype"/>
        </w:rPr>
        <w:t xml:space="preserve">se procede a dictar la presente resolución con base en los siguientes.  </w:t>
      </w:r>
    </w:p>
    <w:p w14:paraId="6091C1F9" w14:textId="77777777" w:rsidR="0032757E" w:rsidRPr="00E91A66" w:rsidRDefault="00C12375">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91A66">
        <w:rPr>
          <w:rFonts w:ascii="Palatino Linotype" w:eastAsia="Palatino Linotype" w:hAnsi="Palatino Linotype" w:cs="Palatino Linotype"/>
          <w:b/>
        </w:rPr>
        <w:t>A N T E C E D E N T E S</w:t>
      </w:r>
    </w:p>
    <w:p w14:paraId="52CB675D" w14:textId="77777777" w:rsidR="0032757E" w:rsidRPr="00E91A66" w:rsidRDefault="00C12375">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91A66">
        <w:rPr>
          <w:rFonts w:ascii="Palatino Linotype" w:eastAsia="Palatino Linotype" w:hAnsi="Palatino Linotype" w:cs="Palatino Linotype"/>
          <w:b/>
        </w:rPr>
        <w:t>Solicitud de acceso a la información.</w:t>
      </w:r>
      <w:r w:rsidRPr="00E91A66">
        <w:rPr>
          <w:rFonts w:ascii="Palatino Linotype" w:eastAsia="Palatino Linotype" w:hAnsi="Palatino Linotype" w:cs="Palatino Linotype"/>
        </w:rPr>
        <w:t xml:space="preserve"> Con fecha </w:t>
      </w:r>
      <w:r w:rsidRPr="00E91A66">
        <w:rPr>
          <w:rFonts w:ascii="Palatino Linotype" w:eastAsia="Palatino Linotype" w:hAnsi="Palatino Linotype" w:cs="Palatino Linotype"/>
          <w:b/>
        </w:rPr>
        <w:t xml:space="preserve">cinco de marzo de dos mil veinticuatro </w:t>
      </w:r>
      <w:r w:rsidRPr="00E91A66">
        <w:rPr>
          <w:rFonts w:ascii="Palatino Linotype" w:eastAsia="Palatino Linotype" w:hAnsi="Palatino Linotype" w:cs="Palatino Linotype"/>
        </w:rPr>
        <w:t xml:space="preserve">la parte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xml:space="preserve"> formuló solicitud de acceso a información pública al</w:t>
      </w:r>
      <w:r w:rsidRPr="00E91A66">
        <w:rPr>
          <w:rFonts w:ascii="Palatino Linotype" w:eastAsia="Palatino Linotype" w:hAnsi="Palatino Linotype" w:cs="Palatino Linotype"/>
          <w:b/>
        </w:rPr>
        <w:t xml:space="preserve"> Sujeto Obligado</w:t>
      </w:r>
      <w:r w:rsidRPr="00E91A66">
        <w:rPr>
          <w:rFonts w:ascii="Palatino Linotype" w:eastAsia="Palatino Linotype" w:hAnsi="Palatino Linotype" w:cs="Palatino Linotype"/>
        </w:rPr>
        <w:t xml:space="preserve"> a través de la Plataforma Nacional de Transparencia vinculada </w:t>
      </w:r>
      <w:proofErr w:type="gramStart"/>
      <w:r w:rsidRPr="00E91A66">
        <w:rPr>
          <w:rFonts w:ascii="Palatino Linotype" w:eastAsia="Palatino Linotype" w:hAnsi="Palatino Linotype" w:cs="Palatino Linotype"/>
        </w:rPr>
        <w:t>al  Sistema</w:t>
      </w:r>
      <w:proofErr w:type="gramEnd"/>
      <w:r w:rsidRPr="00E91A66">
        <w:rPr>
          <w:rFonts w:ascii="Palatino Linotype" w:eastAsia="Palatino Linotype" w:hAnsi="Palatino Linotype" w:cs="Palatino Linotype"/>
        </w:rPr>
        <w:t xml:space="preserve"> de Acceso a la Información Mexiquense, en adelante SAIMEX, en la que requirió lo siguiente: </w:t>
      </w:r>
    </w:p>
    <w:p w14:paraId="604948EE" w14:textId="77777777" w:rsidR="0032757E" w:rsidRPr="00E91A66" w:rsidRDefault="0032757E">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67FACBF" w14:textId="77777777" w:rsidR="0032757E" w:rsidRPr="00E91A66" w:rsidRDefault="00C12375">
      <w:pPr>
        <w:ind w:left="567" w:right="560"/>
        <w:jc w:val="both"/>
        <w:rPr>
          <w:rFonts w:ascii="Palatino Linotype" w:eastAsia="Palatino Linotype" w:hAnsi="Palatino Linotype" w:cs="Palatino Linotype"/>
          <w:i/>
        </w:rPr>
      </w:pPr>
      <w:r w:rsidRPr="00E91A66">
        <w:rPr>
          <w:rFonts w:ascii="Palatino Linotype" w:eastAsia="Palatino Linotype" w:hAnsi="Palatino Linotype" w:cs="Palatino Linotype"/>
          <w:i/>
        </w:rPr>
        <w:t xml:space="preserve">“Se solicita de la forma más atenta se proporcione la información relacionada con la rehabilitación de la red de aguas que corre por la Av. </w:t>
      </w:r>
      <w:proofErr w:type="gramStart"/>
      <w:r w:rsidRPr="00E91A66">
        <w:rPr>
          <w:rFonts w:ascii="Palatino Linotype" w:eastAsia="Palatino Linotype" w:hAnsi="Palatino Linotype" w:cs="Palatino Linotype"/>
          <w:i/>
        </w:rPr>
        <w:t>Moctezuma</w:t>
      </w:r>
      <w:proofErr w:type="gramEnd"/>
      <w:r w:rsidRPr="00E91A66">
        <w:rPr>
          <w:rFonts w:ascii="Palatino Linotype" w:eastAsia="Palatino Linotype" w:hAnsi="Palatino Linotype" w:cs="Palatino Linotype"/>
          <w:i/>
        </w:rPr>
        <w:t xml:space="preserve"> así como de la avenida misma, costos que se generaron y el despliegue de dichos costos, así mismo la procedencia de dichos recursos como los actores involucrado en dicha </w:t>
      </w:r>
      <w:proofErr w:type="spellStart"/>
      <w:r w:rsidRPr="00E91A66">
        <w:rPr>
          <w:rFonts w:ascii="Palatino Linotype" w:eastAsia="Palatino Linotype" w:hAnsi="Palatino Linotype" w:cs="Palatino Linotype"/>
          <w:i/>
        </w:rPr>
        <w:t>gestion</w:t>
      </w:r>
      <w:proofErr w:type="spellEnd"/>
      <w:r w:rsidRPr="00E91A66">
        <w:rPr>
          <w:rFonts w:ascii="Palatino Linotype" w:eastAsia="Palatino Linotype" w:hAnsi="Palatino Linotype" w:cs="Palatino Linotype"/>
          <w:i/>
        </w:rPr>
        <w:t xml:space="preserve"> y ejecución. Se hace del conocimiento de la autoridad competente que dicha obra tuvo lugar durante la </w:t>
      </w:r>
      <w:proofErr w:type="spellStart"/>
      <w:r w:rsidRPr="00E91A66">
        <w:rPr>
          <w:rFonts w:ascii="Palatino Linotype" w:eastAsia="Palatino Linotype" w:hAnsi="Palatino Linotype" w:cs="Palatino Linotype"/>
          <w:i/>
        </w:rPr>
        <w:t>administracion</w:t>
      </w:r>
      <w:proofErr w:type="spellEnd"/>
      <w:r w:rsidRPr="00E91A66">
        <w:rPr>
          <w:rFonts w:ascii="Palatino Linotype" w:eastAsia="Palatino Linotype" w:hAnsi="Palatino Linotype" w:cs="Palatino Linotype"/>
          <w:i/>
        </w:rPr>
        <w:t xml:space="preserve"> 2016-2018, tal y como consta en el documento anexo, en una lista que identifica dicha obra con el numero </w:t>
      </w:r>
      <w:proofErr w:type="gramStart"/>
      <w:r w:rsidRPr="00E91A66">
        <w:rPr>
          <w:rFonts w:ascii="Palatino Linotype" w:eastAsia="Palatino Linotype" w:hAnsi="Palatino Linotype" w:cs="Palatino Linotype"/>
          <w:i/>
        </w:rPr>
        <w:t>21”(</w:t>
      </w:r>
      <w:proofErr w:type="gramEnd"/>
      <w:r w:rsidRPr="00E91A66">
        <w:rPr>
          <w:rFonts w:ascii="Palatino Linotype" w:eastAsia="Palatino Linotype" w:hAnsi="Palatino Linotype" w:cs="Palatino Linotype"/>
          <w:i/>
        </w:rPr>
        <w:t>Sic.)</w:t>
      </w:r>
    </w:p>
    <w:p w14:paraId="1B1316DF" w14:textId="77777777" w:rsidR="0032757E" w:rsidRPr="00E91A66" w:rsidRDefault="0032757E">
      <w:pPr>
        <w:ind w:right="560"/>
        <w:jc w:val="both"/>
        <w:rPr>
          <w:rFonts w:ascii="Palatino Linotype" w:eastAsia="Palatino Linotype" w:hAnsi="Palatino Linotype" w:cs="Palatino Linotype"/>
        </w:rPr>
      </w:pPr>
    </w:p>
    <w:p w14:paraId="466129AD" w14:textId="77777777" w:rsidR="0032757E" w:rsidRPr="00E91A66" w:rsidRDefault="00C12375">
      <w:pPr>
        <w:spacing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 xml:space="preserve">Asimismo, adjuntó a su solicitud el archivo en formato </w:t>
      </w:r>
      <w:proofErr w:type="spellStart"/>
      <w:r w:rsidRPr="00E91A66">
        <w:rPr>
          <w:rFonts w:ascii="Palatino Linotype" w:eastAsia="Palatino Linotype" w:hAnsi="Palatino Linotype" w:cs="Palatino Linotype"/>
        </w:rPr>
        <w:t>pdf</w:t>
      </w:r>
      <w:proofErr w:type="spellEnd"/>
      <w:r w:rsidRPr="00E91A66">
        <w:rPr>
          <w:rFonts w:ascii="Palatino Linotype" w:eastAsia="Palatino Linotype" w:hAnsi="Palatino Linotype" w:cs="Palatino Linotype"/>
        </w:rPr>
        <w:t xml:space="preserve">. que contiene diversas documentales relacionadas con la atención a una solicitud de información diversa. </w:t>
      </w:r>
    </w:p>
    <w:p w14:paraId="1888A253" w14:textId="77777777" w:rsidR="0032757E" w:rsidRPr="00E91A66" w:rsidRDefault="0032757E">
      <w:pPr>
        <w:spacing w:line="360" w:lineRule="auto"/>
        <w:ind w:right="49"/>
        <w:jc w:val="both"/>
        <w:rPr>
          <w:rFonts w:ascii="Palatino Linotype" w:eastAsia="Palatino Linotype" w:hAnsi="Palatino Linotype" w:cs="Palatino Linotype"/>
          <w:b/>
        </w:rPr>
      </w:pPr>
    </w:p>
    <w:p w14:paraId="4CC800C6" w14:textId="77777777" w:rsidR="0032757E" w:rsidRPr="00E91A66" w:rsidRDefault="00C12375">
      <w:pPr>
        <w:spacing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b/>
        </w:rPr>
        <w:t>Modalidad elegida para la entrega de la información:</w:t>
      </w:r>
      <w:r w:rsidRPr="00E91A66">
        <w:rPr>
          <w:rFonts w:ascii="Palatino Linotype" w:eastAsia="Palatino Linotype" w:hAnsi="Palatino Linotype" w:cs="Palatino Linotype"/>
        </w:rPr>
        <w:t xml:space="preserve"> a través del Sistema de Acceso a la Información Mexiquense (SAIMEX). </w:t>
      </w:r>
    </w:p>
    <w:p w14:paraId="2FD295BB" w14:textId="77777777" w:rsidR="0032757E" w:rsidRPr="00E91A66" w:rsidRDefault="0032757E">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CC6ECB1" w14:textId="77777777" w:rsidR="0032757E" w:rsidRPr="00E91A66" w:rsidRDefault="00C12375">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91A66">
        <w:rPr>
          <w:rFonts w:ascii="Palatino Linotype" w:eastAsia="Palatino Linotype" w:hAnsi="Palatino Linotype" w:cs="Palatino Linotype"/>
          <w:b/>
        </w:rPr>
        <w:t>Respuesta.</w:t>
      </w:r>
      <w:r w:rsidRPr="00E91A66">
        <w:rPr>
          <w:rFonts w:ascii="Palatino Linotype" w:eastAsia="Palatino Linotype" w:hAnsi="Palatino Linotype" w:cs="Palatino Linotype"/>
        </w:rPr>
        <w:t xml:space="preserve"> El </w:t>
      </w:r>
      <w:r w:rsidRPr="00E91A66">
        <w:rPr>
          <w:rFonts w:ascii="Palatino Linotype" w:eastAsia="Palatino Linotype" w:hAnsi="Palatino Linotype" w:cs="Palatino Linotype"/>
          <w:b/>
        </w:rPr>
        <w:t xml:space="preserve">SUJETO OBLIGADO </w:t>
      </w:r>
      <w:r w:rsidRPr="00E91A66">
        <w:rPr>
          <w:rFonts w:ascii="Palatino Linotype" w:eastAsia="Palatino Linotype" w:hAnsi="Palatino Linotype" w:cs="Palatino Linotype"/>
        </w:rPr>
        <w:t xml:space="preserve">De las constancias que obran en </w:t>
      </w:r>
      <w:r w:rsidRPr="00E91A66">
        <w:rPr>
          <w:rFonts w:ascii="Palatino Linotype" w:eastAsia="Palatino Linotype" w:hAnsi="Palatino Linotype" w:cs="Palatino Linotype"/>
          <w:b/>
        </w:rPr>
        <w:t>SAIMEX</w:t>
      </w:r>
      <w:r w:rsidRPr="00E91A66">
        <w:rPr>
          <w:rFonts w:ascii="Palatino Linotype" w:eastAsia="Palatino Linotype" w:hAnsi="Palatino Linotype" w:cs="Palatino Linotype"/>
        </w:rPr>
        <w:t xml:space="preserve">, se observa que </w:t>
      </w:r>
      <w:r w:rsidRPr="00E91A66">
        <w:rPr>
          <w:rFonts w:ascii="Palatino Linotype" w:eastAsia="Palatino Linotype" w:hAnsi="Palatino Linotype" w:cs="Palatino Linotype"/>
          <w:b/>
        </w:rPr>
        <w:t xml:space="preserve">EL SUJETO OBLIGADO </w:t>
      </w:r>
      <w:r w:rsidRPr="00E91A66">
        <w:rPr>
          <w:rFonts w:ascii="Palatino Linotype" w:eastAsia="Palatino Linotype" w:hAnsi="Palatino Linotype" w:cs="Palatino Linotype"/>
        </w:rPr>
        <w:t xml:space="preserve">no emitió respuesta a la solicitud de información formulada por </w:t>
      </w:r>
      <w:r w:rsidRPr="00E91A66">
        <w:rPr>
          <w:rFonts w:ascii="Palatino Linotype" w:eastAsia="Palatino Linotype" w:hAnsi="Palatino Linotype" w:cs="Palatino Linotype"/>
          <w:b/>
        </w:rPr>
        <w:t>LA PARTE RECURRENTE.</w:t>
      </w:r>
    </w:p>
    <w:p w14:paraId="36732043" w14:textId="77777777" w:rsidR="0032757E" w:rsidRPr="00E91A66" w:rsidRDefault="0032757E">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9A97BA2" w14:textId="77777777" w:rsidR="0032757E" w:rsidRPr="00E91A66" w:rsidRDefault="00C12375">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Recurso de Revisión. </w:t>
      </w:r>
      <w:r w:rsidRPr="00E91A66">
        <w:rPr>
          <w:rFonts w:ascii="Palatino Linotype" w:eastAsia="Palatino Linotype" w:hAnsi="Palatino Linotype" w:cs="Palatino Linotype"/>
        </w:rPr>
        <w:t xml:space="preserve">En fecha </w:t>
      </w:r>
      <w:r w:rsidRPr="00E91A66">
        <w:rPr>
          <w:rFonts w:ascii="Palatino Linotype" w:eastAsia="Palatino Linotype" w:hAnsi="Palatino Linotype" w:cs="Palatino Linotype"/>
          <w:b/>
        </w:rPr>
        <w:t>doce de abril de dos mil veinticuatro</w:t>
      </w:r>
      <w:r w:rsidRPr="00E91A66">
        <w:rPr>
          <w:rFonts w:ascii="Palatino Linotype" w:eastAsia="Palatino Linotype" w:hAnsi="Palatino Linotype" w:cs="Palatino Linotype"/>
        </w:rPr>
        <w:t xml:space="preserve"> la persona Solicitante interpuso Recurso de Revisión a través del </w:t>
      </w:r>
      <w:r w:rsidRPr="00E91A66">
        <w:rPr>
          <w:rFonts w:ascii="Palatino Linotype" w:eastAsia="Palatino Linotype" w:hAnsi="Palatino Linotype" w:cs="Palatino Linotype"/>
          <w:b/>
        </w:rPr>
        <w:t>SAIMEX</w:t>
      </w:r>
      <w:r w:rsidRPr="00E91A66">
        <w:rPr>
          <w:rFonts w:ascii="Palatino Linotype" w:eastAsia="Palatino Linotype" w:hAnsi="Palatino Linotype" w:cs="Palatino Linotype"/>
        </w:rPr>
        <w:t>, a través del cual expresó lo siguiente:</w:t>
      </w:r>
    </w:p>
    <w:p w14:paraId="75F8F91F" w14:textId="77777777" w:rsidR="0032757E" w:rsidRPr="00E91A66" w:rsidRDefault="0032757E">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6B7A2374" w14:textId="77777777" w:rsidR="0032757E" w:rsidRPr="00E91A66" w:rsidRDefault="00C12375">
      <w:pPr>
        <w:ind w:left="567" w:right="560"/>
        <w:jc w:val="both"/>
        <w:rPr>
          <w:rFonts w:ascii="Palatino Linotype" w:eastAsia="Palatino Linotype" w:hAnsi="Palatino Linotype" w:cs="Palatino Linotype"/>
          <w:i/>
        </w:rPr>
      </w:pPr>
      <w:r w:rsidRPr="00E91A66">
        <w:rPr>
          <w:rFonts w:ascii="Palatino Linotype" w:eastAsia="Palatino Linotype" w:hAnsi="Palatino Linotype" w:cs="Palatino Linotype"/>
          <w:b/>
        </w:rPr>
        <w:t>Acto impugnado</w:t>
      </w:r>
      <w:r w:rsidRPr="00E91A66">
        <w:rPr>
          <w:rFonts w:ascii="Palatino Linotype" w:eastAsia="Palatino Linotype" w:hAnsi="Palatino Linotype" w:cs="Palatino Linotype"/>
          <w:b/>
          <w:i/>
        </w:rPr>
        <w:t xml:space="preserve">. </w:t>
      </w:r>
      <w:r w:rsidRPr="00E91A66">
        <w:rPr>
          <w:rFonts w:ascii="Palatino Linotype" w:eastAsia="Palatino Linotype" w:hAnsi="Palatino Linotype" w:cs="Palatino Linotype"/>
          <w:i/>
        </w:rPr>
        <w:t xml:space="preserve">“La omisión del Ayuntamiento de Xalatlaco como Sujeto Obligado a proporcionar respuesta alguna a la solicitud del recurrente; solicitud misma que se tramito ante la Plataforma Nacional de Transparencia y le fue asignada el folio 00008/XALATLA/IP/2024.” (sic) </w:t>
      </w:r>
    </w:p>
    <w:p w14:paraId="47AF0975" w14:textId="77777777" w:rsidR="0032757E" w:rsidRPr="00E91A66" w:rsidRDefault="0032757E">
      <w:pPr>
        <w:ind w:left="567" w:right="560"/>
        <w:jc w:val="both"/>
        <w:rPr>
          <w:rFonts w:ascii="Palatino Linotype" w:eastAsia="Palatino Linotype" w:hAnsi="Palatino Linotype" w:cs="Palatino Linotype"/>
          <w:i/>
        </w:rPr>
      </w:pPr>
    </w:p>
    <w:p w14:paraId="210AB223" w14:textId="77777777" w:rsidR="0032757E" w:rsidRPr="00E91A66" w:rsidRDefault="00C12375">
      <w:pPr>
        <w:pBdr>
          <w:top w:val="nil"/>
          <w:left w:val="nil"/>
          <w:bottom w:val="nil"/>
          <w:right w:val="nil"/>
          <w:between w:val="nil"/>
        </w:pBdr>
        <w:tabs>
          <w:tab w:val="left" w:pos="1276"/>
        </w:tabs>
        <w:ind w:left="567" w:right="701"/>
        <w:jc w:val="both"/>
        <w:rPr>
          <w:rFonts w:ascii="Palatino Linotype" w:eastAsia="Palatino Linotype" w:hAnsi="Palatino Linotype" w:cs="Palatino Linotype"/>
          <w:i/>
        </w:rPr>
      </w:pPr>
      <w:r w:rsidRPr="00E91A66">
        <w:rPr>
          <w:rFonts w:ascii="Palatino Linotype" w:eastAsia="Palatino Linotype" w:hAnsi="Palatino Linotype" w:cs="Palatino Linotype"/>
          <w:b/>
        </w:rPr>
        <w:t xml:space="preserve">Razones o motivos de la inconformidad: </w:t>
      </w:r>
      <w:proofErr w:type="gramStart"/>
      <w:r w:rsidRPr="00E91A66">
        <w:rPr>
          <w:rFonts w:ascii="Palatino Linotype" w:eastAsia="Palatino Linotype" w:hAnsi="Palatino Linotype" w:cs="Palatino Linotype"/>
          <w:i/>
        </w:rPr>
        <w:t>“ Que</w:t>
      </w:r>
      <w:proofErr w:type="gramEnd"/>
      <w:r w:rsidRPr="00E91A66">
        <w:rPr>
          <w:rFonts w:ascii="Palatino Linotype" w:eastAsia="Palatino Linotype" w:hAnsi="Palatino Linotype" w:cs="Palatino Linotype"/>
          <w:i/>
        </w:rPr>
        <w:t xml:space="preserve"> en términos de los artículos 176, 177, 178 y 179, fracción VII de la Ley de Transparencia y Acceso a la Información del Estado de México y Municipios, el recurrente se inconforma ante este Instituto ante la omisión del Ayuntamiento de Xalatlaco al no dar respuesta alguna a la solicitud que le fue presentada, máxime le hecho de que se le proporcionaron elementos suficientes para localizar la información solicitada. Lo anterior deviene en violaciones directas a los derechos resguardados por los artículos 8 y 9 de la Constitución Política de los Estados Unidos Mexicanos al no emitir respuesta alguna que diera atención a la solicitud del recurrente en los términos señalados por la Ley de Transparencia y Acceso a la Información del Estado de México y Municipios, pues, tal y como </w:t>
      </w:r>
      <w:r w:rsidRPr="00E91A66">
        <w:rPr>
          <w:rFonts w:ascii="Palatino Linotype" w:eastAsia="Palatino Linotype" w:hAnsi="Palatino Linotype" w:cs="Palatino Linotype"/>
          <w:i/>
        </w:rPr>
        <w:lastRenderedPageBreak/>
        <w:t xml:space="preserve">se desprende del acuse de la solicitud el plazo para contestar o prorrogar la respuesta han vencido en fechas 2 y 3 de abril respectivamente y, que </w:t>
      </w:r>
      <w:proofErr w:type="spellStart"/>
      <w:r w:rsidRPr="00E91A66">
        <w:rPr>
          <w:rFonts w:ascii="Palatino Linotype" w:eastAsia="Palatino Linotype" w:hAnsi="Palatino Linotype" w:cs="Palatino Linotype"/>
          <w:i/>
        </w:rPr>
        <w:t>aún</w:t>
      </w:r>
      <w:proofErr w:type="spellEnd"/>
      <w:r w:rsidRPr="00E91A66">
        <w:rPr>
          <w:rFonts w:ascii="Palatino Linotype" w:eastAsia="Palatino Linotype" w:hAnsi="Palatino Linotype" w:cs="Palatino Linotype"/>
          <w:i/>
        </w:rPr>
        <w:t xml:space="preserve"> prorrogando la respuesta el plazo ha fenecido en fecha 12 de abril, </w:t>
      </w:r>
      <w:proofErr w:type="spellStart"/>
      <w:r w:rsidRPr="00E91A66">
        <w:rPr>
          <w:rFonts w:ascii="Palatino Linotype" w:eastAsia="Palatino Linotype" w:hAnsi="Palatino Linotype" w:cs="Palatino Linotype"/>
          <w:i/>
        </w:rPr>
        <w:t>entendiendose</w:t>
      </w:r>
      <w:proofErr w:type="spellEnd"/>
      <w:r w:rsidRPr="00E91A66">
        <w:rPr>
          <w:rFonts w:ascii="Palatino Linotype" w:eastAsia="Palatino Linotype" w:hAnsi="Palatino Linotype" w:cs="Palatino Linotype"/>
          <w:i/>
        </w:rPr>
        <w:t xml:space="preserve"> que el Sujeto Obligado niega el acceso a la información al recurrente.”.</w:t>
      </w:r>
    </w:p>
    <w:p w14:paraId="32609A05" w14:textId="77777777" w:rsidR="0032757E" w:rsidRPr="00E91A66" w:rsidRDefault="0032757E">
      <w:pPr>
        <w:pBdr>
          <w:top w:val="nil"/>
          <w:left w:val="nil"/>
          <w:bottom w:val="nil"/>
          <w:right w:val="nil"/>
          <w:between w:val="nil"/>
        </w:pBdr>
        <w:tabs>
          <w:tab w:val="left" w:pos="1276"/>
        </w:tabs>
        <w:spacing w:line="360" w:lineRule="auto"/>
        <w:ind w:right="701"/>
        <w:jc w:val="both"/>
        <w:rPr>
          <w:rFonts w:ascii="Palatino Linotype" w:eastAsia="Palatino Linotype" w:hAnsi="Palatino Linotype" w:cs="Palatino Linotype"/>
        </w:rPr>
      </w:pPr>
    </w:p>
    <w:p w14:paraId="3F017939" w14:textId="77777777" w:rsidR="0032757E" w:rsidRPr="00E91A66" w:rsidRDefault="00C12375">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91A66">
        <w:rPr>
          <w:rFonts w:ascii="Palatino Linotype" w:eastAsia="Palatino Linotype" w:hAnsi="Palatino Linotype" w:cs="Palatino Linotype"/>
          <w:b/>
        </w:rPr>
        <w:t>Turno.</w:t>
      </w:r>
      <w:r w:rsidRPr="00E91A66">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E91A66">
        <w:rPr>
          <w:rFonts w:ascii="Palatino Linotype" w:eastAsia="Palatino Linotype" w:hAnsi="Palatino Linotype" w:cs="Palatino Linotype"/>
          <w:b/>
        </w:rPr>
        <w:t>01859/INFOEM/IP/RR/2024</w:t>
      </w:r>
      <w:r w:rsidRPr="00E91A66">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36945D85" w14:textId="77777777" w:rsidR="0032757E" w:rsidRPr="00E91A66" w:rsidRDefault="0032757E">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4D47AAD" w14:textId="77777777" w:rsidR="0032757E" w:rsidRPr="00E91A66" w:rsidRDefault="00C12375">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91A66">
        <w:rPr>
          <w:rFonts w:ascii="Palatino Linotype" w:eastAsia="Palatino Linotype" w:hAnsi="Palatino Linotype" w:cs="Palatino Linotype"/>
          <w:b/>
        </w:rPr>
        <w:t>Admisión del recurso de revisión</w:t>
      </w:r>
      <w:r w:rsidRPr="00E91A66">
        <w:rPr>
          <w:rFonts w:ascii="Palatino Linotype" w:eastAsia="Palatino Linotype" w:hAnsi="Palatino Linotype" w:cs="Palatino Linotype"/>
        </w:rPr>
        <w:t>: En fecha</w:t>
      </w:r>
      <w:r w:rsidRPr="00E91A66">
        <w:rPr>
          <w:rFonts w:ascii="Palatino Linotype" w:eastAsia="Palatino Linotype" w:hAnsi="Palatino Linotype" w:cs="Palatino Linotype"/>
          <w:b/>
        </w:rPr>
        <w:t xml:space="preserve"> diecisiete de abril de dos mil veinticuatro</w:t>
      </w:r>
      <w:r w:rsidRPr="00E91A66">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16732401" w14:textId="77777777" w:rsidR="0032757E" w:rsidRPr="00E91A66" w:rsidRDefault="0032757E">
      <w:pPr>
        <w:pBdr>
          <w:top w:val="nil"/>
          <w:left w:val="nil"/>
          <w:bottom w:val="nil"/>
          <w:right w:val="nil"/>
          <w:between w:val="nil"/>
        </w:pBdr>
        <w:ind w:left="720"/>
        <w:rPr>
          <w:rFonts w:ascii="Palatino Linotype" w:eastAsia="Palatino Linotype" w:hAnsi="Palatino Linotype" w:cs="Palatino Linotype"/>
        </w:rPr>
      </w:pPr>
    </w:p>
    <w:p w14:paraId="5A38F614" w14:textId="77777777" w:rsidR="0032757E" w:rsidRPr="00E91A66" w:rsidRDefault="00C12375">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Manifestaciones. </w:t>
      </w:r>
      <w:r w:rsidRPr="00E91A66">
        <w:rPr>
          <w:rFonts w:ascii="Palatino Linotype" w:eastAsia="Palatino Linotype" w:hAnsi="Palatino Linotype" w:cs="Palatino Linotype"/>
        </w:rPr>
        <w:t xml:space="preserve">De las constancias que obran en el expediente electrónico del SAIMEX se desprende que </w:t>
      </w:r>
      <w:r w:rsidRPr="00E91A66">
        <w:rPr>
          <w:rFonts w:ascii="Palatino Linotype" w:eastAsia="Palatino Linotype" w:hAnsi="Palatino Linotype" w:cs="Palatino Linotype"/>
          <w:b/>
        </w:rPr>
        <w:t>EL SUJETO OBLIGADO</w:t>
      </w:r>
      <w:r w:rsidRPr="00E91A66">
        <w:rPr>
          <w:rFonts w:ascii="Palatino Linotype" w:eastAsia="Palatino Linotype" w:hAnsi="Palatino Linotype" w:cs="Palatino Linotype"/>
        </w:rPr>
        <w:t xml:space="preserve"> no rindió su Informe Justificado, del mismo modo </w:t>
      </w:r>
      <w:r w:rsidRPr="00E91A66">
        <w:rPr>
          <w:rFonts w:ascii="Palatino Linotype" w:eastAsia="Palatino Linotype" w:hAnsi="Palatino Linotype" w:cs="Palatino Linotype"/>
          <w:b/>
        </w:rPr>
        <w:t>LA PARTE RECURRENTE</w:t>
      </w:r>
      <w:r w:rsidRPr="00E91A66">
        <w:rPr>
          <w:rFonts w:ascii="Palatino Linotype" w:eastAsia="Palatino Linotype" w:hAnsi="Palatino Linotype" w:cs="Palatino Linotype"/>
        </w:rPr>
        <w:t xml:space="preserve"> omitió realizar manifestaciones, como se observa a continuación:</w:t>
      </w:r>
    </w:p>
    <w:p w14:paraId="5645548D" w14:textId="77777777" w:rsidR="0032757E" w:rsidRPr="00E91A66" w:rsidRDefault="0032757E">
      <w:pPr>
        <w:pBdr>
          <w:top w:val="nil"/>
          <w:left w:val="nil"/>
          <w:bottom w:val="nil"/>
          <w:right w:val="nil"/>
          <w:between w:val="nil"/>
        </w:pBdr>
        <w:ind w:left="708"/>
        <w:rPr>
          <w:rFonts w:ascii="Palatino Linotype" w:eastAsia="Palatino Linotype" w:hAnsi="Palatino Linotype" w:cs="Palatino Linotype"/>
        </w:rPr>
      </w:pPr>
    </w:p>
    <w:p w14:paraId="3CC985A8" w14:textId="77777777" w:rsidR="0032757E" w:rsidRPr="00E91A66" w:rsidRDefault="00C12375">
      <w:pPr>
        <w:pBdr>
          <w:top w:val="nil"/>
          <w:left w:val="nil"/>
          <w:bottom w:val="nil"/>
          <w:right w:val="nil"/>
          <w:between w:val="nil"/>
        </w:pBdr>
        <w:ind w:left="708"/>
        <w:rPr>
          <w:rFonts w:ascii="Palatino Linotype" w:eastAsia="Palatino Linotype" w:hAnsi="Palatino Linotype" w:cs="Palatino Linotype"/>
        </w:rPr>
      </w:pPr>
      <w:r w:rsidRPr="00E91A66">
        <w:rPr>
          <w:rFonts w:ascii="Palatino Linotype" w:eastAsia="Palatino Linotype" w:hAnsi="Palatino Linotype" w:cs="Palatino Linotype"/>
          <w:noProof/>
          <w:lang w:val="es-MX" w:eastAsia="es-MX"/>
        </w:rPr>
        <w:lastRenderedPageBreak/>
        <w:drawing>
          <wp:inline distT="0" distB="0" distL="0" distR="0" wp14:anchorId="67838E31" wp14:editId="3CF2E65C">
            <wp:extent cx="5612130" cy="1377950"/>
            <wp:effectExtent l="0" t="0" r="0" b="0"/>
            <wp:docPr id="2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1377950"/>
                    </a:xfrm>
                    <a:prstGeom prst="rect">
                      <a:avLst/>
                    </a:prstGeom>
                    <a:ln/>
                  </pic:spPr>
                </pic:pic>
              </a:graphicData>
            </a:graphic>
          </wp:inline>
        </w:drawing>
      </w:r>
    </w:p>
    <w:p w14:paraId="1A194F1B" w14:textId="77777777" w:rsidR="0032757E" w:rsidRPr="00E91A66" w:rsidRDefault="0032757E">
      <w:pPr>
        <w:pBdr>
          <w:top w:val="nil"/>
          <w:left w:val="nil"/>
          <w:bottom w:val="nil"/>
          <w:right w:val="nil"/>
          <w:between w:val="nil"/>
        </w:pBdr>
        <w:ind w:left="708"/>
        <w:rPr>
          <w:rFonts w:ascii="Palatino Linotype" w:eastAsia="Palatino Linotype" w:hAnsi="Palatino Linotype" w:cs="Palatino Linotype"/>
        </w:rPr>
      </w:pPr>
    </w:p>
    <w:p w14:paraId="57FC86D0" w14:textId="77777777" w:rsidR="0032757E" w:rsidRPr="00E91A66" w:rsidRDefault="00C12375">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 Cierre de Instrucción. </w:t>
      </w:r>
      <w:r w:rsidRPr="00E91A66">
        <w:rPr>
          <w:rFonts w:ascii="Palatino Linotype" w:eastAsia="Palatino Linotype" w:hAnsi="Palatino Linotype" w:cs="Palatino Linotype"/>
        </w:rPr>
        <w:t xml:space="preserve">Con fecha </w:t>
      </w:r>
      <w:r w:rsidRPr="00E91A66">
        <w:rPr>
          <w:rFonts w:ascii="Palatino Linotype" w:eastAsia="Palatino Linotype" w:hAnsi="Palatino Linotype" w:cs="Palatino Linotype"/>
          <w:b/>
        </w:rPr>
        <w:t>siete de mayo de dos mil veinticuatro,</w:t>
      </w:r>
      <w:r w:rsidRPr="00E91A66">
        <w:rPr>
          <w:rFonts w:ascii="Palatino Linotype" w:eastAsia="Palatino Linotype" w:hAnsi="Palatino Linotype" w:cs="Palatino Linotype"/>
        </w:rPr>
        <w:t xml:space="preserve"> con fundamento en lo establecido en el artículo 185, fracción VI de la Ley de Transparencia y Acceso a la Información Pública del Estado de México y Municipios, al no existir trámite pendiente por realizar y haber sido sustanciado el medio de impugnación, se acordó el cierre de instrucción y se procedió a formular la resolución que en derecho corresponda, y</w:t>
      </w:r>
    </w:p>
    <w:p w14:paraId="0DCCC8C2" w14:textId="77777777" w:rsidR="0032757E" w:rsidRPr="00E91A66" w:rsidRDefault="0032757E">
      <w:pPr>
        <w:spacing w:line="360" w:lineRule="auto"/>
        <w:jc w:val="both"/>
        <w:rPr>
          <w:rFonts w:ascii="Palatino Linotype" w:eastAsia="Palatino Linotype" w:hAnsi="Palatino Linotype" w:cs="Palatino Linotype"/>
          <w:b/>
        </w:rPr>
      </w:pPr>
    </w:p>
    <w:p w14:paraId="043E833C"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8.-</w:t>
      </w:r>
      <w:r w:rsidRPr="00E91A66">
        <w:rPr>
          <w:rFonts w:ascii="Palatino Linotype" w:eastAsia="Palatino Linotype" w:hAnsi="Palatino Linotype" w:cs="Palatino Linotype"/>
        </w:rPr>
        <w:t xml:space="preserve"> En la Décima Séptima Sesión Ordinaria Celebrada el quince de mayo de dos mil veinticuatro, el Pleno del Instituto de Transparencia, Acceso a la Información Pública y Protección de Datos Personales del Estado de México y Municipios, aprobó, por unanimidad de votos, la resolución dictada en el recurso de revisión </w:t>
      </w:r>
      <w:r w:rsidRPr="00E91A66">
        <w:rPr>
          <w:rFonts w:ascii="Palatino Linotype" w:eastAsia="Palatino Linotype" w:hAnsi="Palatino Linotype" w:cs="Palatino Linotype"/>
          <w:b/>
        </w:rPr>
        <w:t xml:space="preserve">01859/INFOEM/IP/RR/2024, </w:t>
      </w:r>
      <w:r w:rsidRPr="00E91A66">
        <w:rPr>
          <w:rFonts w:ascii="Palatino Linotype" w:eastAsia="Palatino Linotype" w:hAnsi="Palatino Linotype" w:cs="Palatino Linotype"/>
        </w:rPr>
        <w:t>en la cual se determinó lo siguiente:</w:t>
      </w:r>
    </w:p>
    <w:p w14:paraId="6D3D5695" w14:textId="77777777" w:rsidR="0032757E" w:rsidRPr="00E91A66" w:rsidRDefault="0032757E">
      <w:pPr>
        <w:spacing w:line="360" w:lineRule="auto"/>
        <w:jc w:val="both"/>
        <w:rPr>
          <w:rFonts w:ascii="Palatino Linotype" w:eastAsia="Palatino Linotype" w:hAnsi="Palatino Linotype" w:cs="Palatino Linotype"/>
        </w:rPr>
      </w:pPr>
    </w:p>
    <w:p w14:paraId="652F7E66" w14:textId="77777777" w:rsidR="0032757E" w:rsidRPr="00E91A66" w:rsidRDefault="00C12375">
      <w:pPr>
        <w:spacing w:line="276" w:lineRule="auto"/>
        <w:ind w:left="567" w:right="61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 xml:space="preserve">“PRIMERO. </w:t>
      </w:r>
      <w:r w:rsidRPr="00E91A66">
        <w:rPr>
          <w:rFonts w:ascii="Palatino Linotype" w:eastAsia="Palatino Linotype" w:hAnsi="Palatino Linotype" w:cs="Palatino Linotype"/>
          <w:i/>
          <w:sz w:val="22"/>
          <w:szCs w:val="22"/>
        </w:rPr>
        <w:t xml:space="preserve">Resultan </w:t>
      </w:r>
      <w:r w:rsidRPr="00E91A66">
        <w:rPr>
          <w:rFonts w:ascii="Palatino Linotype" w:eastAsia="Palatino Linotype" w:hAnsi="Palatino Linotype" w:cs="Palatino Linotype"/>
          <w:b/>
          <w:i/>
          <w:sz w:val="22"/>
          <w:szCs w:val="22"/>
        </w:rPr>
        <w:t>FUNDADOS</w:t>
      </w:r>
      <w:r w:rsidRPr="00E91A66">
        <w:rPr>
          <w:rFonts w:ascii="Palatino Linotype" w:eastAsia="Palatino Linotype" w:hAnsi="Palatino Linotype" w:cs="Palatino Linotype"/>
          <w:i/>
          <w:sz w:val="22"/>
          <w:szCs w:val="22"/>
        </w:rPr>
        <w:t xml:space="preserve"> los motivos de inconformidad de </w:t>
      </w:r>
      <w:r w:rsidRPr="00E91A66">
        <w:rPr>
          <w:rFonts w:ascii="Palatino Linotype" w:eastAsia="Palatino Linotype" w:hAnsi="Palatino Linotype" w:cs="Palatino Linotype"/>
          <w:b/>
          <w:i/>
          <w:sz w:val="22"/>
          <w:szCs w:val="22"/>
        </w:rPr>
        <w:t>LA PARTE</w:t>
      </w:r>
      <w:r w:rsidRPr="00E91A66">
        <w:rPr>
          <w:rFonts w:ascii="Palatino Linotype" w:eastAsia="Palatino Linotype" w:hAnsi="Palatino Linotype" w:cs="Palatino Linotype"/>
          <w:i/>
          <w:sz w:val="22"/>
          <w:szCs w:val="22"/>
        </w:rPr>
        <w:t xml:space="preserve"> </w:t>
      </w:r>
      <w:r w:rsidRPr="00E91A66">
        <w:rPr>
          <w:rFonts w:ascii="Palatino Linotype" w:eastAsia="Palatino Linotype" w:hAnsi="Palatino Linotype" w:cs="Palatino Linotype"/>
          <w:b/>
          <w:i/>
          <w:sz w:val="22"/>
          <w:szCs w:val="22"/>
        </w:rPr>
        <w:t>RECURRENTE</w:t>
      </w:r>
      <w:r w:rsidRPr="00E91A66">
        <w:rPr>
          <w:rFonts w:ascii="Palatino Linotype" w:eastAsia="Palatino Linotype" w:hAnsi="Palatino Linotype" w:cs="Palatino Linotype"/>
          <w:i/>
          <w:sz w:val="22"/>
          <w:szCs w:val="22"/>
        </w:rPr>
        <w:t xml:space="preserve">, en términos del </w:t>
      </w:r>
      <w:r w:rsidRPr="00E91A66">
        <w:rPr>
          <w:rFonts w:ascii="Palatino Linotype" w:eastAsia="Palatino Linotype" w:hAnsi="Palatino Linotype" w:cs="Palatino Linotype"/>
          <w:b/>
          <w:i/>
          <w:sz w:val="22"/>
          <w:szCs w:val="22"/>
        </w:rPr>
        <w:t>CONSIDERANDO</w:t>
      </w:r>
      <w:r w:rsidRPr="00E91A66">
        <w:rPr>
          <w:rFonts w:ascii="Palatino Linotype" w:eastAsia="Palatino Linotype" w:hAnsi="Palatino Linotype" w:cs="Palatino Linotype"/>
          <w:i/>
          <w:sz w:val="22"/>
          <w:szCs w:val="22"/>
        </w:rPr>
        <w:t xml:space="preserve"> </w:t>
      </w:r>
      <w:r w:rsidRPr="00E91A66">
        <w:rPr>
          <w:rFonts w:ascii="Palatino Linotype" w:eastAsia="Palatino Linotype" w:hAnsi="Palatino Linotype" w:cs="Palatino Linotype"/>
          <w:b/>
          <w:i/>
          <w:sz w:val="22"/>
          <w:szCs w:val="22"/>
        </w:rPr>
        <w:t>CUARTO</w:t>
      </w:r>
      <w:r w:rsidRPr="00E91A66">
        <w:rPr>
          <w:rFonts w:ascii="Palatino Linotype" w:eastAsia="Palatino Linotype" w:hAnsi="Palatino Linotype" w:cs="Palatino Linotype"/>
          <w:i/>
          <w:sz w:val="22"/>
          <w:szCs w:val="22"/>
        </w:rPr>
        <w:t xml:space="preserve"> de la presente resolución.</w:t>
      </w:r>
    </w:p>
    <w:p w14:paraId="6A10FB06" w14:textId="77777777" w:rsidR="0032757E" w:rsidRPr="00E91A66" w:rsidRDefault="0032757E">
      <w:pPr>
        <w:spacing w:line="276" w:lineRule="auto"/>
        <w:ind w:left="567" w:right="618"/>
        <w:jc w:val="both"/>
        <w:rPr>
          <w:rFonts w:ascii="Palatino Linotype" w:eastAsia="Palatino Linotype" w:hAnsi="Palatino Linotype" w:cs="Palatino Linotype"/>
          <w:i/>
          <w:sz w:val="22"/>
          <w:szCs w:val="22"/>
        </w:rPr>
      </w:pPr>
    </w:p>
    <w:p w14:paraId="287B0B91" w14:textId="77777777" w:rsidR="0032757E" w:rsidRPr="00E91A66" w:rsidRDefault="00C12375">
      <w:pPr>
        <w:spacing w:line="276" w:lineRule="auto"/>
        <w:ind w:left="567" w:right="618"/>
        <w:jc w:val="both"/>
        <w:rPr>
          <w:rFonts w:ascii="Palatino Linotype" w:eastAsia="Palatino Linotype" w:hAnsi="Palatino Linotype" w:cs="Palatino Linotype"/>
          <w:i/>
          <w:sz w:val="22"/>
          <w:szCs w:val="22"/>
        </w:rPr>
      </w:pPr>
      <w:bookmarkStart w:id="0" w:name="_heading=h.3dy6vkm" w:colFirst="0" w:colLast="0"/>
      <w:bookmarkEnd w:id="0"/>
      <w:r w:rsidRPr="00E91A66">
        <w:rPr>
          <w:rFonts w:ascii="Palatino Linotype" w:eastAsia="Palatino Linotype" w:hAnsi="Palatino Linotype" w:cs="Palatino Linotype"/>
          <w:b/>
          <w:i/>
          <w:sz w:val="22"/>
          <w:szCs w:val="22"/>
        </w:rPr>
        <w:t>SEGUNDO.</w:t>
      </w:r>
      <w:r w:rsidRPr="00E91A66">
        <w:rPr>
          <w:rFonts w:ascii="Palatino Linotype" w:eastAsia="Palatino Linotype" w:hAnsi="Palatino Linotype" w:cs="Palatino Linotype"/>
          <w:i/>
          <w:sz w:val="22"/>
          <w:szCs w:val="22"/>
        </w:rPr>
        <w:t xml:space="preserve"> Se </w:t>
      </w:r>
      <w:r w:rsidRPr="00E91A66">
        <w:rPr>
          <w:rFonts w:ascii="Palatino Linotype" w:eastAsia="Palatino Linotype" w:hAnsi="Palatino Linotype" w:cs="Palatino Linotype"/>
          <w:b/>
          <w:i/>
          <w:sz w:val="22"/>
          <w:szCs w:val="22"/>
        </w:rPr>
        <w:t>ORDENA</w:t>
      </w:r>
      <w:r w:rsidRPr="00E91A66">
        <w:rPr>
          <w:rFonts w:ascii="Palatino Linotype" w:eastAsia="Palatino Linotype" w:hAnsi="Palatino Linotype" w:cs="Palatino Linotype"/>
          <w:i/>
          <w:sz w:val="22"/>
          <w:szCs w:val="22"/>
        </w:rPr>
        <w:t xml:space="preserve"> al </w:t>
      </w:r>
      <w:r w:rsidRPr="00E91A66">
        <w:rPr>
          <w:rFonts w:ascii="Palatino Linotype" w:eastAsia="Palatino Linotype" w:hAnsi="Palatino Linotype" w:cs="Palatino Linotype"/>
          <w:b/>
          <w:i/>
          <w:sz w:val="22"/>
          <w:szCs w:val="22"/>
        </w:rPr>
        <w:t>SUJETO OBLIGADO</w:t>
      </w:r>
      <w:r w:rsidRPr="00E91A66">
        <w:rPr>
          <w:rFonts w:ascii="Palatino Linotype" w:eastAsia="Palatino Linotype" w:hAnsi="Palatino Linotype" w:cs="Palatino Linotype"/>
          <w:i/>
          <w:sz w:val="22"/>
          <w:szCs w:val="22"/>
        </w:rPr>
        <w:t xml:space="preserve"> atienda la Solicitud de Acceso a la Información Pública </w:t>
      </w:r>
      <w:r w:rsidRPr="00E91A66">
        <w:rPr>
          <w:rFonts w:ascii="Palatino Linotype" w:eastAsia="Palatino Linotype" w:hAnsi="Palatino Linotype" w:cs="Palatino Linotype"/>
          <w:b/>
          <w:i/>
          <w:sz w:val="22"/>
          <w:szCs w:val="22"/>
        </w:rPr>
        <w:t xml:space="preserve">00008/XALATLA/IP/2024, </w:t>
      </w:r>
      <w:r w:rsidRPr="00E91A66">
        <w:rPr>
          <w:rFonts w:ascii="Palatino Linotype" w:eastAsia="Palatino Linotype" w:hAnsi="Palatino Linotype" w:cs="Palatino Linotype"/>
          <w:i/>
          <w:sz w:val="22"/>
          <w:szCs w:val="22"/>
        </w:rPr>
        <w:t xml:space="preserve">que dio origen al recurso de revisión </w:t>
      </w:r>
      <w:r w:rsidRPr="00E91A66">
        <w:rPr>
          <w:rFonts w:ascii="Palatino Linotype" w:eastAsia="Palatino Linotype" w:hAnsi="Palatino Linotype" w:cs="Palatino Linotype"/>
          <w:b/>
          <w:i/>
          <w:sz w:val="22"/>
          <w:szCs w:val="22"/>
        </w:rPr>
        <w:t xml:space="preserve">01859/INFOEM/IP/RR/2024, </w:t>
      </w:r>
      <w:r w:rsidRPr="00E91A66">
        <w:rPr>
          <w:rFonts w:ascii="Palatino Linotype" w:eastAsia="Palatino Linotype" w:hAnsi="Palatino Linotype" w:cs="Palatino Linotype"/>
          <w:i/>
          <w:sz w:val="22"/>
          <w:szCs w:val="22"/>
        </w:rPr>
        <w:t xml:space="preserve">en términos del </w:t>
      </w:r>
      <w:r w:rsidRPr="00E91A66">
        <w:rPr>
          <w:rFonts w:ascii="Palatino Linotype" w:eastAsia="Palatino Linotype" w:hAnsi="Palatino Linotype" w:cs="Palatino Linotype"/>
          <w:b/>
          <w:i/>
          <w:sz w:val="22"/>
          <w:szCs w:val="22"/>
        </w:rPr>
        <w:t>CONSIDERANDO CUARTO</w:t>
      </w:r>
      <w:r w:rsidRPr="00E91A66">
        <w:rPr>
          <w:rFonts w:ascii="Palatino Linotype" w:eastAsia="Palatino Linotype" w:hAnsi="Palatino Linotype" w:cs="Palatino Linotype"/>
          <w:i/>
          <w:sz w:val="22"/>
          <w:szCs w:val="22"/>
        </w:rPr>
        <w:t xml:space="preserve"> de esta resolución y emita respuesta, debiendo observar las excepciones </w:t>
      </w:r>
      <w:r w:rsidRPr="00E91A66">
        <w:rPr>
          <w:rFonts w:ascii="Palatino Linotype" w:eastAsia="Palatino Linotype" w:hAnsi="Palatino Linotype" w:cs="Palatino Linotype"/>
          <w:i/>
          <w:sz w:val="22"/>
          <w:szCs w:val="22"/>
        </w:rPr>
        <w:lastRenderedPageBreak/>
        <w:t>contenidas en la Ley de Transparencia y Acceso a la Información Pública del Estado de México y Municipios.</w:t>
      </w:r>
    </w:p>
    <w:p w14:paraId="13779338" w14:textId="77777777" w:rsidR="0032757E" w:rsidRPr="00E91A66" w:rsidRDefault="00C12375">
      <w:pPr>
        <w:spacing w:line="276" w:lineRule="auto"/>
        <w:ind w:left="567" w:right="618"/>
        <w:jc w:val="both"/>
        <w:rPr>
          <w:rFonts w:ascii="Palatino Linotype" w:eastAsia="Palatino Linotype" w:hAnsi="Palatino Linotype" w:cs="Palatino Linotype"/>
          <w:i/>
          <w:sz w:val="22"/>
          <w:szCs w:val="22"/>
        </w:rPr>
      </w:pPr>
      <w:bookmarkStart w:id="1" w:name="_heading=h.3znysh7" w:colFirst="0" w:colLast="0"/>
      <w:bookmarkEnd w:id="1"/>
      <w:r w:rsidRPr="00E91A66">
        <w:rPr>
          <w:rFonts w:ascii="Palatino Linotype" w:eastAsia="Palatino Linotype" w:hAnsi="Palatino Linotype" w:cs="Palatino Linotype"/>
          <w:b/>
          <w:i/>
          <w:sz w:val="22"/>
          <w:szCs w:val="22"/>
        </w:rPr>
        <w:t xml:space="preserve">TERCERO. NOTIFÍQUESE </w:t>
      </w:r>
      <w:r w:rsidRPr="00E91A66">
        <w:rPr>
          <w:rFonts w:ascii="Palatino Linotype" w:eastAsia="Palatino Linotype" w:hAnsi="Palatino Linotype" w:cs="Palatino Linotype"/>
          <w:i/>
          <w:sz w:val="22"/>
          <w:szCs w:val="22"/>
        </w:rPr>
        <w:t>vía SAIMEX,</w:t>
      </w:r>
      <w:r w:rsidRPr="00E91A66">
        <w:rPr>
          <w:rFonts w:ascii="Palatino Linotype" w:eastAsia="Palatino Linotype" w:hAnsi="Palatino Linotype" w:cs="Palatino Linotype"/>
          <w:b/>
          <w:i/>
          <w:sz w:val="22"/>
          <w:szCs w:val="22"/>
        </w:rPr>
        <w:t xml:space="preserve"> </w:t>
      </w:r>
      <w:r w:rsidRPr="00E91A66">
        <w:rPr>
          <w:rFonts w:ascii="Palatino Linotype" w:eastAsia="Palatino Linotype" w:hAnsi="Palatino Linotype" w:cs="Palatino Linotype"/>
          <w:i/>
          <w:sz w:val="22"/>
          <w:szCs w:val="22"/>
        </w:rPr>
        <w:t>la presente resolución a la Persona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578124" w14:textId="77777777" w:rsidR="0032757E" w:rsidRPr="00E91A66" w:rsidRDefault="0032757E">
      <w:pPr>
        <w:spacing w:line="276" w:lineRule="auto"/>
        <w:ind w:left="567" w:right="618"/>
        <w:jc w:val="both"/>
        <w:rPr>
          <w:rFonts w:ascii="Palatino Linotype" w:eastAsia="Palatino Linotype" w:hAnsi="Palatino Linotype" w:cs="Palatino Linotype"/>
          <w:i/>
          <w:sz w:val="22"/>
          <w:szCs w:val="22"/>
        </w:rPr>
      </w:pPr>
    </w:p>
    <w:p w14:paraId="51022BF3" w14:textId="77777777" w:rsidR="0032757E" w:rsidRPr="00E91A66" w:rsidRDefault="00C12375">
      <w:pPr>
        <w:spacing w:line="276" w:lineRule="auto"/>
        <w:ind w:left="567" w:right="61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CUARTO. NOTIFÍQUESE</w:t>
      </w:r>
      <w:r w:rsidRPr="00E91A66">
        <w:rPr>
          <w:rFonts w:ascii="Palatino Linotype" w:eastAsia="Palatino Linotype" w:hAnsi="Palatino Linotype" w:cs="Palatino Linotype"/>
          <w:i/>
          <w:sz w:val="22"/>
          <w:szCs w:val="22"/>
        </w:rPr>
        <w:t>,</w:t>
      </w:r>
      <w:r w:rsidRPr="00E91A66">
        <w:rPr>
          <w:rFonts w:ascii="Palatino Linotype" w:eastAsia="Palatino Linotype" w:hAnsi="Palatino Linotype" w:cs="Palatino Linotype"/>
          <w:b/>
          <w:i/>
          <w:sz w:val="22"/>
          <w:szCs w:val="22"/>
        </w:rPr>
        <w:t xml:space="preserve"> </w:t>
      </w:r>
      <w:r w:rsidRPr="00E91A66">
        <w:rPr>
          <w:rFonts w:ascii="Palatino Linotype" w:eastAsia="Palatino Linotype" w:hAnsi="Palatino Linotype" w:cs="Palatino Linotype"/>
          <w:i/>
          <w:sz w:val="22"/>
          <w:szCs w:val="22"/>
        </w:rPr>
        <w:t xml:space="preserve">vía SAIMEX, a </w:t>
      </w:r>
      <w:r w:rsidRPr="00E91A66">
        <w:rPr>
          <w:rFonts w:ascii="Palatino Linotype" w:eastAsia="Palatino Linotype" w:hAnsi="Palatino Linotype" w:cs="Palatino Linotype"/>
          <w:b/>
          <w:i/>
          <w:sz w:val="22"/>
          <w:szCs w:val="22"/>
        </w:rPr>
        <w:t>LA PARTE</w:t>
      </w:r>
      <w:r w:rsidRPr="00E91A66">
        <w:rPr>
          <w:rFonts w:ascii="Palatino Linotype" w:eastAsia="Palatino Linotype" w:hAnsi="Palatino Linotype" w:cs="Palatino Linotype"/>
          <w:i/>
          <w:sz w:val="22"/>
          <w:szCs w:val="22"/>
        </w:rPr>
        <w:t xml:space="preserve"> </w:t>
      </w:r>
      <w:r w:rsidRPr="00E91A66">
        <w:rPr>
          <w:rFonts w:ascii="Palatino Linotype" w:eastAsia="Palatino Linotype" w:hAnsi="Palatino Linotype" w:cs="Palatino Linotype"/>
          <w:b/>
          <w:i/>
          <w:sz w:val="22"/>
          <w:szCs w:val="22"/>
        </w:rPr>
        <w:t xml:space="preserve">RECURRENTE </w:t>
      </w:r>
      <w:r w:rsidRPr="00E91A66">
        <w:rPr>
          <w:rFonts w:ascii="Palatino Linotype" w:eastAsia="Palatino Linotype" w:hAnsi="Palatino Linotype" w:cs="Palatino Linotype"/>
          <w:i/>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B5CFC71" w14:textId="77777777" w:rsidR="0032757E" w:rsidRPr="00E91A66" w:rsidRDefault="0032757E">
      <w:pPr>
        <w:spacing w:line="276" w:lineRule="auto"/>
        <w:ind w:left="567" w:right="618"/>
        <w:jc w:val="both"/>
        <w:rPr>
          <w:rFonts w:ascii="Palatino Linotype" w:eastAsia="Palatino Linotype" w:hAnsi="Palatino Linotype" w:cs="Palatino Linotype"/>
          <w:i/>
          <w:sz w:val="22"/>
          <w:szCs w:val="22"/>
        </w:rPr>
      </w:pPr>
    </w:p>
    <w:p w14:paraId="194D5BDC" w14:textId="77777777" w:rsidR="0032757E" w:rsidRPr="00E91A66" w:rsidRDefault="00C12375">
      <w:pPr>
        <w:spacing w:line="276" w:lineRule="auto"/>
        <w:ind w:left="567" w:right="61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 xml:space="preserve">QUINTO. NOTIFÍQUESE, </w:t>
      </w:r>
      <w:r w:rsidRPr="00E91A66">
        <w:rPr>
          <w:rFonts w:ascii="Palatino Linotype" w:eastAsia="Palatino Linotype" w:hAnsi="Palatino Linotype" w:cs="Palatino Linotype"/>
          <w:i/>
          <w:sz w:val="22"/>
          <w:szCs w:val="22"/>
        </w:rPr>
        <w:t xml:space="preserve">a </w:t>
      </w:r>
      <w:r w:rsidRPr="00E91A66">
        <w:rPr>
          <w:rFonts w:ascii="Palatino Linotype" w:eastAsia="Palatino Linotype" w:hAnsi="Palatino Linotype" w:cs="Palatino Linotype"/>
          <w:b/>
          <w:i/>
          <w:sz w:val="22"/>
          <w:szCs w:val="22"/>
        </w:rPr>
        <w:t xml:space="preserve">LA PARTE RECURRENTE </w:t>
      </w:r>
      <w:r w:rsidRPr="00E91A66">
        <w:rPr>
          <w:rFonts w:ascii="Palatino Linotype" w:eastAsia="Palatino Linotype" w:hAnsi="Palatino Linotype" w:cs="Palatino Linotype"/>
          <w:i/>
          <w:sz w:val="22"/>
          <w:szCs w:val="22"/>
        </w:rPr>
        <w:t xml:space="preserve">que la respuesta que dé </w:t>
      </w:r>
      <w:r w:rsidRPr="00E91A66">
        <w:rPr>
          <w:rFonts w:ascii="Palatino Linotype" w:eastAsia="Palatino Linotype" w:hAnsi="Palatino Linotype" w:cs="Palatino Linotype"/>
          <w:b/>
          <w:i/>
          <w:sz w:val="22"/>
          <w:szCs w:val="22"/>
        </w:rPr>
        <w:t>EL SUJETO OBLIGADO</w:t>
      </w:r>
      <w:r w:rsidRPr="00E91A66">
        <w:rPr>
          <w:rFonts w:ascii="Palatino Linotype" w:eastAsia="Palatino Linotype" w:hAnsi="Palatino Linotype" w:cs="Palatino Linotype"/>
          <w:i/>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7C9D479" w14:textId="77777777" w:rsidR="0032757E" w:rsidRPr="00E91A66" w:rsidRDefault="0032757E">
      <w:pPr>
        <w:spacing w:line="276" w:lineRule="auto"/>
        <w:ind w:left="567" w:right="618"/>
        <w:jc w:val="both"/>
        <w:rPr>
          <w:rFonts w:ascii="Palatino Linotype" w:eastAsia="Palatino Linotype" w:hAnsi="Palatino Linotype" w:cs="Palatino Linotype"/>
          <w:i/>
          <w:sz w:val="22"/>
          <w:szCs w:val="22"/>
        </w:rPr>
      </w:pPr>
    </w:p>
    <w:p w14:paraId="24E8FFB9" w14:textId="77777777" w:rsidR="0032757E" w:rsidRPr="00E91A66" w:rsidRDefault="00C12375">
      <w:pPr>
        <w:spacing w:line="276" w:lineRule="auto"/>
        <w:ind w:left="567" w:right="61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 xml:space="preserve">SEXTO. GÍRESE </w:t>
      </w:r>
      <w:r w:rsidRPr="00E91A66">
        <w:rPr>
          <w:rFonts w:ascii="Palatino Linotype" w:eastAsia="Palatino Linotype" w:hAnsi="Palatino Linotype" w:cs="Palatino Linotype"/>
          <w:i/>
          <w:sz w:val="22"/>
          <w:szCs w:val="22"/>
        </w:rPr>
        <w:t>oficio a la</w:t>
      </w:r>
      <w:r w:rsidRPr="00E91A66">
        <w:rPr>
          <w:rFonts w:ascii="Palatino Linotype" w:eastAsia="Palatino Linotype" w:hAnsi="Palatino Linotype" w:cs="Palatino Linotype"/>
          <w:b/>
          <w:i/>
          <w:sz w:val="22"/>
          <w:szCs w:val="22"/>
        </w:rPr>
        <w:t xml:space="preserve"> SECRETARÍA TÉCNICA DEL PLENO </w:t>
      </w:r>
      <w:r w:rsidRPr="00E91A66">
        <w:rPr>
          <w:rFonts w:ascii="Palatino Linotype" w:eastAsia="Palatino Linotype" w:hAnsi="Palatino Linotype" w:cs="Palatino Linotype"/>
          <w:i/>
          <w:sz w:val="22"/>
          <w:szCs w:val="22"/>
        </w:rPr>
        <w:t xml:space="preserve">de este Instituto a fin de que en ejercicio de sus atribuciones haga del conocimiento del </w:t>
      </w:r>
      <w:r w:rsidRPr="00E91A66">
        <w:rPr>
          <w:rFonts w:ascii="Palatino Linotype" w:eastAsia="Palatino Linotype" w:hAnsi="Palatino Linotype" w:cs="Palatino Linotype"/>
          <w:b/>
          <w:i/>
          <w:sz w:val="22"/>
          <w:szCs w:val="22"/>
        </w:rPr>
        <w:t>ÓRGANO INTERNO DE CONTROL COMPETENTE</w:t>
      </w:r>
      <w:r w:rsidRPr="00E91A66">
        <w:rPr>
          <w:rFonts w:ascii="Palatino Linotype" w:eastAsia="Palatino Linotype" w:hAnsi="Palatino Linotype" w:cs="Palatino Linotype"/>
          <w:i/>
          <w:sz w:val="22"/>
          <w:szCs w:val="22"/>
        </w:rPr>
        <w:t xml:space="preserve"> la presente resolución, para que de conformidad con el artículo 190, de la Ley de Transparencia y Acceso a la Información Pública del Estado de México y Municipios, determine lo conducente, en términos de lo señalado en el </w:t>
      </w:r>
      <w:r w:rsidRPr="00E91A66">
        <w:rPr>
          <w:rFonts w:ascii="Palatino Linotype" w:eastAsia="Palatino Linotype" w:hAnsi="Palatino Linotype" w:cs="Palatino Linotype"/>
          <w:b/>
          <w:i/>
          <w:sz w:val="22"/>
          <w:szCs w:val="22"/>
        </w:rPr>
        <w:t>CONSIDERANDO CUARTO</w:t>
      </w:r>
      <w:r w:rsidRPr="00E91A66">
        <w:rPr>
          <w:rFonts w:ascii="Palatino Linotype" w:eastAsia="Palatino Linotype" w:hAnsi="Palatino Linotype" w:cs="Palatino Linotype"/>
          <w:i/>
          <w:sz w:val="22"/>
          <w:szCs w:val="22"/>
        </w:rPr>
        <w:t xml:space="preserve"> de este fallo.” </w:t>
      </w:r>
    </w:p>
    <w:p w14:paraId="19A726EA" w14:textId="77777777" w:rsidR="0032757E" w:rsidRPr="00E91A66" w:rsidRDefault="0032757E">
      <w:pPr>
        <w:ind w:left="567" w:right="618"/>
        <w:jc w:val="both"/>
        <w:rPr>
          <w:rFonts w:ascii="Palatino Linotype" w:eastAsia="Palatino Linotype" w:hAnsi="Palatino Linotype" w:cs="Palatino Linotype"/>
          <w:sz w:val="22"/>
          <w:szCs w:val="22"/>
        </w:rPr>
      </w:pPr>
    </w:p>
    <w:p w14:paraId="3C8C9628"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9. </w:t>
      </w:r>
      <w:r w:rsidRPr="00E91A66">
        <w:rPr>
          <w:rFonts w:ascii="Palatino Linotype" w:eastAsia="Palatino Linotype" w:hAnsi="Palatino Linotype" w:cs="Palatino Linotype"/>
        </w:rPr>
        <w:t>En fecha veinte de mayo del dos mil veinticuatro, se notificó a las partes la Resolución.</w:t>
      </w:r>
    </w:p>
    <w:p w14:paraId="78694A61" w14:textId="77777777" w:rsidR="0032757E" w:rsidRPr="00E91A66" w:rsidRDefault="0032757E">
      <w:pPr>
        <w:spacing w:line="360" w:lineRule="auto"/>
        <w:jc w:val="both"/>
        <w:rPr>
          <w:rFonts w:ascii="Palatino Linotype" w:eastAsia="Palatino Linotype" w:hAnsi="Palatino Linotype" w:cs="Palatino Linotype"/>
        </w:rPr>
      </w:pPr>
    </w:p>
    <w:p w14:paraId="7A5760DF"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10. </w:t>
      </w:r>
      <w:r w:rsidRPr="00E91A66">
        <w:rPr>
          <w:rFonts w:ascii="Palatino Linotype" w:eastAsia="Palatino Linotype" w:hAnsi="Palatino Linotype" w:cs="Palatino Linotype"/>
        </w:rPr>
        <w:t>Posteriormente, el tres de junio del dos mil veinticuatro</w:t>
      </w:r>
      <w:r w:rsidRPr="00E91A66">
        <w:t>, el</w:t>
      </w:r>
      <w:r w:rsidRPr="00E91A66">
        <w:rPr>
          <w:rFonts w:ascii="Palatino Linotype" w:eastAsia="Palatino Linotype" w:hAnsi="Palatino Linotype" w:cs="Palatino Linotype"/>
        </w:rPr>
        <w:t xml:space="preserve">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en cumplimiento a la resolución aprobada en la Décima Séptima Sesión Ordinaria Celebrada el quince de mayo de dos mil veinticuatro, en el recurso de revisión </w:t>
      </w:r>
      <w:r w:rsidRPr="00E91A66">
        <w:rPr>
          <w:rFonts w:ascii="Palatino Linotype" w:eastAsia="Palatino Linotype" w:hAnsi="Palatino Linotype" w:cs="Palatino Linotype"/>
          <w:b/>
        </w:rPr>
        <w:t xml:space="preserve">01859/INFOEM/IP/RR/2024, </w:t>
      </w:r>
      <w:r w:rsidRPr="00E91A66">
        <w:rPr>
          <w:rFonts w:ascii="Palatino Linotype" w:eastAsia="Palatino Linotype" w:hAnsi="Palatino Linotype" w:cs="Palatino Linotype"/>
        </w:rPr>
        <w:t>entregó información en los siguientes términos:</w:t>
      </w:r>
    </w:p>
    <w:p w14:paraId="052C51F6" w14:textId="77777777" w:rsidR="0032757E" w:rsidRPr="00E91A66" w:rsidRDefault="0032757E">
      <w:pPr>
        <w:spacing w:line="360" w:lineRule="auto"/>
        <w:ind w:right="50"/>
        <w:jc w:val="both"/>
        <w:rPr>
          <w:rFonts w:ascii="Palatino Linotype" w:eastAsia="Palatino Linotype" w:hAnsi="Palatino Linotype" w:cs="Palatino Linotype"/>
        </w:rPr>
      </w:pPr>
    </w:p>
    <w:p w14:paraId="10510317" w14:textId="77777777" w:rsidR="0032757E" w:rsidRPr="00E91A66" w:rsidRDefault="00C12375">
      <w:pPr>
        <w:pBdr>
          <w:top w:val="nil"/>
          <w:left w:val="nil"/>
          <w:bottom w:val="nil"/>
          <w:right w:val="nil"/>
          <w:between w:val="nil"/>
        </w:pBdr>
        <w:ind w:left="1077"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“Le </w:t>
      </w:r>
      <w:proofErr w:type="spellStart"/>
      <w:r w:rsidRPr="00E91A66">
        <w:rPr>
          <w:rFonts w:ascii="Palatino Linotype" w:eastAsia="Palatino Linotype" w:hAnsi="Palatino Linotype" w:cs="Palatino Linotype"/>
          <w:i/>
          <w:sz w:val="22"/>
          <w:szCs w:val="22"/>
        </w:rPr>
        <w:t>envio</w:t>
      </w:r>
      <w:proofErr w:type="spellEnd"/>
      <w:r w:rsidRPr="00E91A66">
        <w:rPr>
          <w:rFonts w:ascii="Palatino Linotype" w:eastAsia="Palatino Linotype" w:hAnsi="Palatino Linotype" w:cs="Palatino Linotype"/>
          <w:i/>
          <w:sz w:val="22"/>
          <w:szCs w:val="22"/>
        </w:rPr>
        <w:t xml:space="preserve"> la respuesta por medio del oficio que remitió el área de Tesorería Municipal de Xalatlaco.” (Sic)</w:t>
      </w:r>
    </w:p>
    <w:p w14:paraId="0EF05017" w14:textId="77777777" w:rsidR="0032757E" w:rsidRPr="00E91A66" w:rsidRDefault="0032757E">
      <w:pPr>
        <w:spacing w:line="360" w:lineRule="auto"/>
        <w:ind w:right="50"/>
        <w:jc w:val="both"/>
        <w:rPr>
          <w:rFonts w:ascii="Palatino Linotype" w:eastAsia="Palatino Linotype" w:hAnsi="Palatino Linotype" w:cs="Palatino Linotype"/>
        </w:rPr>
      </w:pPr>
    </w:p>
    <w:p w14:paraId="343D47D1"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adjuntó a su cumplimiento el siguiente archivo electrónico:</w:t>
      </w:r>
    </w:p>
    <w:p w14:paraId="2DF8DF04" w14:textId="77777777" w:rsidR="0032757E" w:rsidRPr="00E91A66" w:rsidRDefault="0032757E">
      <w:pPr>
        <w:spacing w:line="360" w:lineRule="auto"/>
        <w:ind w:right="50"/>
        <w:jc w:val="both"/>
        <w:rPr>
          <w:rFonts w:ascii="Palatino Linotype" w:eastAsia="Palatino Linotype" w:hAnsi="Palatino Linotype" w:cs="Palatino Linotype"/>
        </w:rPr>
      </w:pPr>
    </w:p>
    <w:p w14:paraId="3F9057DF"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w:t>
      </w:r>
      <w:hyperlink r:id="rId10">
        <w:r w:rsidRPr="00E91A66">
          <w:rPr>
            <w:rFonts w:ascii="Palatino Linotype" w:eastAsia="Palatino Linotype" w:hAnsi="Palatino Linotype" w:cs="Palatino Linotype"/>
          </w:rPr>
          <w:t>Solicitud 08.pdf</w:t>
        </w:r>
      </w:hyperlink>
      <w:r w:rsidRPr="00E91A66">
        <w:rPr>
          <w:rFonts w:ascii="Palatino Linotype" w:eastAsia="Palatino Linotype" w:hAnsi="Palatino Linotype" w:cs="Palatino Linotype"/>
        </w:rPr>
        <w:t>”, el cual contiene diversos oficios:</w:t>
      </w:r>
    </w:p>
    <w:p w14:paraId="1F87E16D" w14:textId="77777777" w:rsidR="0032757E" w:rsidRPr="00E91A66" w:rsidRDefault="0032757E">
      <w:pPr>
        <w:spacing w:line="360" w:lineRule="auto"/>
        <w:ind w:right="50"/>
        <w:jc w:val="both"/>
        <w:rPr>
          <w:rFonts w:ascii="Palatino Linotype" w:eastAsia="Palatino Linotype" w:hAnsi="Palatino Linotype" w:cs="Palatino Linotype"/>
        </w:rPr>
      </w:pPr>
    </w:p>
    <w:p w14:paraId="3ADFDD27"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El primero corresponde al oficio número PM/XAL/007/2024, por medio del cual el Titular de la Unidad de Transparencia, turno la solicitud número 00008/XALATLA/IP/2024, a la Tesorería Municipal del Ayuntamiento de Xalatlaco, para que entregue la información solicitada.  </w:t>
      </w:r>
    </w:p>
    <w:p w14:paraId="3933F0BE" w14:textId="77777777" w:rsidR="0032757E" w:rsidRPr="00E91A66" w:rsidRDefault="0032757E">
      <w:pPr>
        <w:spacing w:line="360" w:lineRule="auto"/>
        <w:ind w:right="50"/>
        <w:jc w:val="both"/>
        <w:rPr>
          <w:rFonts w:ascii="Palatino Linotype" w:eastAsia="Palatino Linotype" w:hAnsi="Palatino Linotype" w:cs="Palatino Linotype"/>
        </w:rPr>
      </w:pPr>
    </w:p>
    <w:p w14:paraId="18A77F1E"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El segundo corresponde al oficio número RR/XAL/009/2024, por medio del cual el Titular de la Unidad de Transparencia, turno los motivos de inconformidad hechos valer por el Recurrente en el recurso de revisión </w:t>
      </w:r>
      <w:r w:rsidRPr="00E91A66">
        <w:rPr>
          <w:rFonts w:ascii="Palatino Linotype" w:eastAsia="Palatino Linotype" w:hAnsi="Palatino Linotype" w:cs="Palatino Linotype"/>
          <w:b/>
        </w:rPr>
        <w:t>01859/INFOEM/IP/RR/2024</w:t>
      </w:r>
      <w:r w:rsidRPr="00E91A66">
        <w:rPr>
          <w:rFonts w:ascii="Palatino Linotype" w:eastAsia="Palatino Linotype" w:hAnsi="Palatino Linotype" w:cs="Palatino Linotype"/>
        </w:rPr>
        <w:t xml:space="preserve">, a la Tesorería Municipal del Ayuntamiento de Xalatlaco, para que entregue su respuesta. </w:t>
      </w:r>
    </w:p>
    <w:p w14:paraId="6CC4706C" w14:textId="77777777" w:rsidR="0032757E" w:rsidRPr="00E91A66" w:rsidRDefault="0032757E">
      <w:pPr>
        <w:spacing w:line="360" w:lineRule="auto"/>
        <w:ind w:right="50"/>
        <w:jc w:val="both"/>
        <w:rPr>
          <w:rFonts w:ascii="Palatino Linotype" w:eastAsia="Palatino Linotype" w:hAnsi="Palatino Linotype" w:cs="Palatino Linotype"/>
        </w:rPr>
      </w:pPr>
    </w:p>
    <w:p w14:paraId="4719C6DC"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El tercero corresponde al oficio número RR/XAL/010/2024, por medio del cual el Titular de la Unidad de Transparencia, turno </w:t>
      </w:r>
      <w:proofErr w:type="gramStart"/>
      <w:r w:rsidRPr="00E91A66">
        <w:rPr>
          <w:rFonts w:ascii="Palatino Linotype" w:eastAsia="Palatino Linotype" w:hAnsi="Palatino Linotype" w:cs="Palatino Linotype"/>
        </w:rPr>
        <w:t>las resolución recaída</w:t>
      </w:r>
      <w:proofErr w:type="gramEnd"/>
      <w:r w:rsidRPr="00E91A66">
        <w:rPr>
          <w:rFonts w:ascii="Palatino Linotype" w:eastAsia="Palatino Linotype" w:hAnsi="Palatino Linotype" w:cs="Palatino Linotype"/>
        </w:rPr>
        <w:t xml:space="preserve"> al recurso de revisión </w:t>
      </w:r>
      <w:r w:rsidRPr="00E91A66">
        <w:rPr>
          <w:rFonts w:ascii="Palatino Linotype" w:eastAsia="Palatino Linotype" w:hAnsi="Palatino Linotype" w:cs="Palatino Linotype"/>
          <w:b/>
        </w:rPr>
        <w:t xml:space="preserve">01859/INFOEM/IP/RR/2024, </w:t>
      </w:r>
      <w:r w:rsidRPr="00E91A66">
        <w:rPr>
          <w:rFonts w:ascii="Palatino Linotype" w:eastAsia="Palatino Linotype" w:hAnsi="Palatino Linotype" w:cs="Palatino Linotype"/>
        </w:rPr>
        <w:t>a la Tesorería Municipal del Ayuntamiento de Xalatlaco, para que envié la información solicitada.</w:t>
      </w:r>
    </w:p>
    <w:p w14:paraId="42EEC7DA" w14:textId="77777777" w:rsidR="0032757E" w:rsidRPr="00E91A66" w:rsidRDefault="0032757E">
      <w:pPr>
        <w:spacing w:line="360" w:lineRule="auto"/>
        <w:ind w:right="50"/>
        <w:jc w:val="both"/>
        <w:rPr>
          <w:rFonts w:ascii="Palatino Linotype" w:eastAsia="Palatino Linotype" w:hAnsi="Palatino Linotype" w:cs="Palatino Linotype"/>
        </w:rPr>
      </w:pPr>
    </w:p>
    <w:p w14:paraId="5D75DF8B"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El cuarto corresponde al oficio número PMX/TES/0042/2024, por medio del cual el Tesorero Municipal informó en relación a la información requerida en la solicitud número 00008/XALATLA/IP/2024, que para poder identificar dicha información en los archivos digitales y físicos que obran en dicha Tesorería Municipal, es necesario verificar el nombre completo, preciso y actual, debido a que la solicitud de información corresponde a la administración 2016-2018 por lo cual obra en el Archivo Municipal para verificar la existencia de la misma. </w:t>
      </w:r>
    </w:p>
    <w:p w14:paraId="0E0DC02D" w14:textId="77777777" w:rsidR="0032757E" w:rsidRPr="00E91A66" w:rsidRDefault="0032757E">
      <w:pPr>
        <w:spacing w:line="360" w:lineRule="auto"/>
        <w:ind w:right="50"/>
        <w:jc w:val="both"/>
        <w:rPr>
          <w:rFonts w:ascii="Palatino Linotype" w:eastAsia="Palatino Linotype" w:hAnsi="Palatino Linotype" w:cs="Palatino Linotype"/>
        </w:rPr>
      </w:pPr>
    </w:p>
    <w:p w14:paraId="4092284F"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b/>
        </w:rPr>
        <w:t>11.</w:t>
      </w:r>
      <w:r w:rsidRPr="00E91A66">
        <w:rPr>
          <w:rFonts w:ascii="Palatino Linotype" w:eastAsia="Palatino Linotype" w:hAnsi="Palatino Linotype" w:cs="Palatino Linotype"/>
        </w:rPr>
        <w:t xml:space="preserve"> En fecha</w:t>
      </w:r>
      <w:r w:rsidRPr="00E91A66">
        <w:rPr>
          <w:rFonts w:ascii="Palatino Linotype" w:eastAsia="Palatino Linotype" w:hAnsi="Palatino Linotype" w:cs="Palatino Linotype"/>
          <w:b/>
          <w:sz w:val="28"/>
          <w:szCs w:val="28"/>
        </w:rPr>
        <w:t xml:space="preserve"> </w:t>
      </w:r>
      <w:r w:rsidRPr="00E91A66">
        <w:rPr>
          <w:rFonts w:ascii="Palatino Linotype" w:eastAsia="Palatino Linotype" w:hAnsi="Palatino Linotype" w:cs="Palatino Linotype"/>
        </w:rPr>
        <w:t>cuatro de junio del dos mil veinticuatro, el</w:t>
      </w:r>
      <w:r w:rsidRPr="00E91A66">
        <w:rPr>
          <w:rFonts w:ascii="Palatino Linotype" w:eastAsia="Palatino Linotype" w:hAnsi="Palatino Linotype" w:cs="Palatino Linotype"/>
          <w:b/>
        </w:rPr>
        <w:t xml:space="preserve"> RECURRENTE</w:t>
      </w:r>
      <w:r w:rsidRPr="00E91A66">
        <w:rPr>
          <w:rFonts w:ascii="Palatino Linotype" w:eastAsia="Palatino Linotype" w:hAnsi="Palatino Linotype" w:cs="Palatino Linotype"/>
        </w:rPr>
        <w:t xml:space="preserve"> interpuso nuevamente el recurso de revisión sujeto del presente estudio, el cual fue registrado en </w:t>
      </w:r>
      <w:r w:rsidRPr="00E91A66">
        <w:rPr>
          <w:rFonts w:ascii="Palatino Linotype" w:eastAsia="Palatino Linotype" w:hAnsi="Palatino Linotype" w:cs="Palatino Linotype"/>
          <w:b/>
        </w:rPr>
        <w:t>EL SAIMEX</w:t>
      </w:r>
      <w:r w:rsidRPr="00E91A66">
        <w:rPr>
          <w:rFonts w:ascii="Palatino Linotype" w:eastAsia="Palatino Linotype" w:hAnsi="Palatino Linotype" w:cs="Palatino Linotype"/>
        </w:rPr>
        <w:t xml:space="preserve"> y se le asignó el número de expediente </w:t>
      </w:r>
      <w:hyperlink r:id="rId11">
        <w:r w:rsidRPr="00E91A66">
          <w:rPr>
            <w:rFonts w:ascii="Palatino Linotype" w:eastAsia="Palatino Linotype" w:hAnsi="Palatino Linotype" w:cs="Palatino Linotype"/>
            <w:b/>
          </w:rPr>
          <w:t>01859/INFOEM/ICR-27/IP/RR/2024</w:t>
        </w:r>
      </w:hyperlink>
      <w:r w:rsidRPr="00E91A66">
        <w:rPr>
          <w:rFonts w:ascii="Palatino Linotype" w:eastAsia="Palatino Linotype" w:hAnsi="Palatino Linotype" w:cs="Palatino Linotype"/>
          <w:b/>
        </w:rPr>
        <w:t xml:space="preserve">, </w:t>
      </w:r>
      <w:r w:rsidRPr="00E91A66">
        <w:rPr>
          <w:rFonts w:ascii="Palatino Linotype" w:eastAsia="Palatino Linotype" w:hAnsi="Palatino Linotype" w:cs="Palatino Linotype"/>
        </w:rPr>
        <w:t>en</w:t>
      </w:r>
      <w:r w:rsidRPr="00E91A66">
        <w:rPr>
          <w:rFonts w:ascii="Palatino Linotype" w:eastAsia="Palatino Linotype" w:hAnsi="Palatino Linotype" w:cs="Palatino Linotype"/>
          <w:b/>
        </w:rPr>
        <w:t xml:space="preserve"> </w:t>
      </w:r>
      <w:r w:rsidRPr="00E91A66">
        <w:rPr>
          <w:rFonts w:ascii="Palatino Linotype" w:eastAsia="Palatino Linotype" w:hAnsi="Palatino Linotype" w:cs="Palatino Linotype"/>
        </w:rPr>
        <w:t xml:space="preserve">el que señaló como acto impugnado: </w:t>
      </w:r>
    </w:p>
    <w:p w14:paraId="42212DC0" w14:textId="77777777" w:rsidR="0032757E" w:rsidRPr="00E91A66" w:rsidRDefault="0032757E">
      <w:pPr>
        <w:ind w:left="850" w:right="901"/>
        <w:jc w:val="both"/>
        <w:rPr>
          <w:rFonts w:ascii="Palatino Linotype" w:eastAsia="Palatino Linotype" w:hAnsi="Palatino Linotype" w:cs="Palatino Linotype"/>
          <w:i/>
          <w:sz w:val="22"/>
          <w:szCs w:val="22"/>
        </w:rPr>
      </w:pPr>
    </w:p>
    <w:p w14:paraId="0DE4EA6E" w14:textId="77777777" w:rsidR="0032757E" w:rsidRPr="00E91A66" w:rsidRDefault="00C12375">
      <w:pPr>
        <w:spacing w:line="276" w:lineRule="auto"/>
        <w:ind w:left="850" w:right="90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“Que en términos del artículo 179, último párrafo, de la Ley de Transparencia y Acceso a la Información Pública del Estado de México y Municipios, se impugna la respuesta del Sujeto Obligado que recayó al recurso de revisión radicado bajo el número de folio 01859/INFOEM/IPRR/2024. Toda vez que la respuesta ofrecida por el Sujeto Obligado no satisface la solicitud presentada por el recurrente, ni satisface los puntos acotados en los puntos resolutivos de la resolución que condenan al Sujeto Obligado, ni tampoco gozan de la fundamentación y motivación adecuadas para tener dicha respuesta por legal y eficaz. Que considerando los preceptos jurídicos contenidos en el Título Séptimo, </w:t>
      </w:r>
      <w:r w:rsidRPr="00E91A66">
        <w:rPr>
          <w:rFonts w:ascii="Palatino Linotype" w:eastAsia="Palatino Linotype" w:hAnsi="Palatino Linotype" w:cs="Palatino Linotype"/>
          <w:i/>
          <w:sz w:val="22"/>
          <w:szCs w:val="22"/>
        </w:rPr>
        <w:lastRenderedPageBreak/>
        <w:t>Capítulo I de la ley en la materia, la resolución que recayó al recurso de revisión 01859/INFOEM/IPRR/2024 y del análisis de los documentos ofrecidos por el Sujeto Obligado como respuesta, se impugnan dicha actuaciones, pues, el propio Instituto reconociendo la negativa de acceso a la información, tal y como consta en la foja cinco de la resolución, el Ayuntamiento de Xalatlaco debió emitir documentos legibles sobre la información solicitada al recurrente para cumplimentar sus obligaciones y, no, solicitar información complementaria para la localización de dicha información, pues, dicha oportunidad no corresponde al estado procesal de este asunto en particular, máxime el hecho de que los documentos entregados al recurrente hacen patente la nulidad de actuaciones por parte de las dependencias del Ayuntamiento.” (Sic)</w:t>
      </w:r>
    </w:p>
    <w:p w14:paraId="220242F9" w14:textId="77777777" w:rsidR="0032757E" w:rsidRPr="00E91A66" w:rsidRDefault="0032757E">
      <w:pPr>
        <w:ind w:right="50"/>
        <w:jc w:val="both"/>
        <w:rPr>
          <w:rFonts w:ascii="Palatino Linotype" w:eastAsia="Palatino Linotype" w:hAnsi="Palatino Linotype" w:cs="Palatino Linotype"/>
        </w:rPr>
      </w:pPr>
    </w:p>
    <w:p w14:paraId="4BD00919" w14:textId="77777777" w:rsidR="0032757E" w:rsidRPr="00E91A66" w:rsidRDefault="00C12375">
      <w:pPr>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Así como las razones o motivos de inconformidad:</w:t>
      </w:r>
    </w:p>
    <w:p w14:paraId="06F9D83B" w14:textId="77777777" w:rsidR="0032757E" w:rsidRPr="00E91A66" w:rsidRDefault="0032757E">
      <w:pPr>
        <w:ind w:left="850" w:right="901"/>
        <w:jc w:val="both"/>
        <w:rPr>
          <w:rFonts w:ascii="Palatino Linotype" w:eastAsia="Palatino Linotype" w:hAnsi="Palatino Linotype" w:cs="Palatino Linotype"/>
          <w:i/>
          <w:sz w:val="22"/>
          <w:szCs w:val="22"/>
        </w:rPr>
      </w:pPr>
    </w:p>
    <w:p w14:paraId="39E9023C" w14:textId="77777777" w:rsidR="0032757E" w:rsidRPr="00E91A66" w:rsidRDefault="00C12375">
      <w:pPr>
        <w:spacing w:line="276" w:lineRule="auto"/>
        <w:ind w:left="850" w:right="90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“La negativa de acceso a la información los términos anteriormente expuestos. La falta de fundamentación y motivación adecuada que de soporte y eficacia legal a las actuaciones de sujeto obligado</w:t>
      </w:r>
      <w:proofErr w:type="gramStart"/>
      <w:r w:rsidRPr="00E91A66">
        <w:rPr>
          <w:rFonts w:ascii="Palatino Linotype" w:eastAsia="Palatino Linotype" w:hAnsi="Palatino Linotype" w:cs="Palatino Linotype"/>
          <w:i/>
          <w:sz w:val="22"/>
          <w:szCs w:val="22"/>
        </w:rPr>
        <w:t>.”(</w:t>
      </w:r>
      <w:proofErr w:type="gramEnd"/>
      <w:r w:rsidRPr="00E91A66">
        <w:rPr>
          <w:rFonts w:ascii="Palatino Linotype" w:eastAsia="Palatino Linotype" w:hAnsi="Palatino Linotype" w:cs="Palatino Linotype"/>
          <w:i/>
          <w:sz w:val="22"/>
          <w:szCs w:val="22"/>
        </w:rPr>
        <w:t>Sic)</w:t>
      </w:r>
    </w:p>
    <w:p w14:paraId="3B07977B" w14:textId="77777777" w:rsidR="0032757E" w:rsidRPr="00E91A66" w:rsidRDefault="0032757E">
      <w:pPr>
        <w:ind w:left="850" w:right="901"/>
        <w:jc w:val="both"/>
        <w:rPr>
          <w:rFonts w:ascii="Palatino Linotype" w:eastAsia="Palatino Linotype" w:hAnsi="Palatino Linotype" w:cs="Palatino Linotype"/>
          <w:i/>
          <w:sz w:val="22"/>
          <w:szCs w:val="22"/>
        </w:rPr>
      </w:pPr>
    </w:p>
    <w:p w14:paraId="2D4B21CD"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La parte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adjuntó a su acuse del recurso de revisión el siguiente archivo electrónico:</w:t>
      </w:r>
    </w:p>
    <w:p w14:paraId="365C8054" w14:textId="77777777" w:rsidR="0032757E" w:rsidRPr="00E91A66" w:rsidRDefault="0032757E">
      <w:pPr>
        <w:spacing w:line="360" w:lineRule="auto"/>
        <w:jc w:val="both"/>
        <w:rPr>
          <w:rFonts w:ascii="Palatino Linotype" w:eastAsia="Palatino Linotype" w:hAnsi="Palatino Linotype" w:cs="Palatino Linotype"/>
        </w:rPr>
      </w:pPr>
    </w:p>
    <w:p w14:paraId="15B3DB9A" w14:textId="77777777" w:rsidR="0032757E" w:rsidRPr="00E91A66" w:rsidRDefault="00C12375">
      <w:pPr>
        <w:spacing w:line="360" w:lineRule="auto"/>
        <w:jc w:val="both"/>
        <w:rPr>
          <w:rFonts w:ascii="Palatino Linotype" w:eastAsia="Palatino Linotype" w:hAnsi="Palatino Linotype" w:cs="Palatino Linotype"/>
          <w:b/>
        </w:rPr>
      </w:pPr>
      <w:r w:rsidRPr="00E91A66">
        <w:rPr>
          <w:rFonts w:ascii="Palatino Linotype" w:eastAsia="Palatino Linotype" w:hAnsi="Palatino Linotype" w:cs="Palatino Linotype"/>
        </w:rPr>
        <w:t>“</w:t>
      </w:r>
      <w:hyperlink r:id="rId12">
        <w:r w:rsidRPr="00E91A66">
          <w:rPr>
            <w:rFonts w:ascii="Palatino Linotype" w:eastAsia="Palatino Linotype" w:hAnsi="Palatino Linotype" w:cs="Palatino Linotype"/>
          </w:rPr>
          <w:t>2b0a6c3c2f5a29a0f4fa24e511f27f64.pdf</w:t>
        </w:r>
      </w:hyperlink>
      <w:r w:rsidRPr="00E91A66">
        <w:rPr>
          <w:rFonts w:ascii="Palatino Linotype" w:eastAsia="Palatino Linotype" w:hAnsi="Palatino Linotype" w:cs="Palatino Linotype"/>
        </w:rPr>
        <w:t xml:space="preserve">”, el cual corresponde a los oficios descritos en el antecedente número 10 de la presente resolución. </w:t>
      </w:r>
    </w:p>
    <w:p w14:paraId="2FFC688E" w14:textId="77777777" w:rsidR="0032757E" w:rsidRPr="00E91A66" w:rsidRDefault="0032757E">
      <w:pPr>
        <w:spacing w:line="360" w:lineRule="auto"/>
        <w:jc w:val="both"/>
        <w:rPr>
          <w:rFonts w:ascii="Palatino Linotype" w:eastAsia="Palatino Linotype" w:hAnsi="Palatino Linotype" w:cs="Palatino Linotype"/>
          <w:b/>
        </w:rPr>
      </w:pPr>
    </w:p>
    <w:p w14:paraId="0143DF9D"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12.</w:t>
      </w:r>
      <w:r w:rsidRPr="00E91A66">
        <w:rPr>
          <w:rFonts w:ascii="Palatino Linotype" w:eastAsia="Palatino Linotype" w:hAnsi="Palatino Linotype" w:cs="Palatino Linotype"/>
          <w:b/>
          <w:sz w:val="28"/>
          <w:szCs w:val="28"/>
        </w:rPr>
        <w:t xml:space="preserve"> </w:t>
      </w:r>
      <w:r w:rsidRPr="00E91A66">
        <w:rPr>
          <w:rFonts w:ascii="Palatino Linotype" w:eastAsia="Palatino Linotype" w:hAnsi="Palatino Linotype" w:cs="Palatino Linotype"/>
        </w:rPr>
        <w:t xml:space="preserve">El cuatro de junio del dos mil veinticuatro,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E91A66">
        <w:rPr>
          <w:rFonts w:ascii="Palatino Linotype" w:eastAsia="Palatino Linotype" w:hAnsi="Palatino Linotype" w:cs="Palatino Linotype"/>
          <w:b/>
        </w:rPr>
        <w:lastRenderedPageBreak/>
        <w:t>SAIMEX</w:t>
      </w:r>
      <w:r w:rsidRPr="00E91A66">
        <w:rPr>
          <w:rFonts w:ascii="Palatino Linotype" w:eastAsia="Palatino Linotype" w:hAnsi="Palatino Linotype" w:cs="Palatino Linotype"/>
        </w:rPr>
        <w:t xml:space="preserve">, a la Comisionada </w:t>
      </w:r>
      <w:r w:rsidRPr="00E91A66">
        <w:rPr>
          <w:rFonts w:ascii="Palatino Linotype" w:eastAsia="Palatino Linotype" w:hAnsi="Palatino Linotype" w:cs="Palatino Linotype"/>
          <w:b/>
        </w:rPr>
        <w:t>Guadalupe Ramírez Peña</w:t>
      </w:r>
      <w:r w:rsidRPr="00E91A66">
        <w:rPr>
          <w:rFonts w:ascii="Palatino Linotype" w:eastAsia="Palatino Linotype" w:hAnsi="Palatino Linotype" w:cs="Palatino Linotype"/>
        </w:rPr>
        <w:t xml:space="preserve">, a efecto de decretar su admisión o </w:t>
      </w:r>
      <w:proofErr w:type="spellStart"/>
      <w:r w:rsidRPr="00E91A66">
        <w:rPr>
          <w:rFonts w:ascii="Palatino Linotype" w:eastAsia="Palatino Linotype" w:hAnsi="Palatino Linotype" w:cs="Palatino Linotype"/>
        </w:rPr>
        <w:t>desechamiento</w:t>
      </w:r>
      <w:proofErr w:type="spellEnd"/>
      <w:r w:rsidRPr="00E91A66">
        <w:rPr>
          <w:rFonts w:ascii="Palatino Linotype" w:eastAsia="Palatino Linotype" w:hAnsi="Palatino Linotype" w:cs="Palatino Linotype"/>
        </w:rPr>
        <w:t>.</w:t>
      </w:r>
    </w:p>
    <w:p w14:paraId="23E63D37" w14:textId="77777777" w:rsidR="0032757E" w:rsidRPr="00E91A66" w:rsidRDefault="0032757E">
      <w:pPr>
        <w:tabs>
          <w:tab w:val="center" w:pos="4419"/>
          <w:tab w:val="right" w:pos="8838"/>
        </w:tabs>
        <w:spacing w:line="360" w:lineRule="auto"/>
        <w:jc w:val="both"/>
        <w:rPr>
          <w:rFonts w:ascii="Palatino Linotype" w:eastAsia="Palatino Linotype" w:hAnsi="Palatino Linotype" w:cs="Palatino Linotype"/>
          <w:b/>
          <w:sz w:val="28"/>
          <w:szCs w:val="28"/>
        </w:rPr>
      </w:pPr>
    </w:p>
    <w:p w14:paraId="52C71CC8" w14:textId="77777777" w:rsidR="0032757E" w:rsidRPr="00E91A66" w:rsidRDefault="00C12375">
      <w:pPr>
        <w:tabs>
          <w:tab w:val="center" w:pos="4419"/>
          <w:tab w:val="right" w:pos="8838"/>
        </w:tabs>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13.</w:t>
      </w:r>
      <w:r w:rsidRPr="00E91A66">
        <w:rPr>
          <w:rFonts w:ascii="Palatino Linotype" w:eastAsia="Palatino Linotype" w:hAnsi="Palatino Linotype" w:cs="Palatino Linotype"/>
          <w:b/>
          <w:sz w:val="28"/>
          <w:szCs w:val="28"/>
        </w:rPr>
        <w:t xml:space="preserve"> </w:t>
      </w:r>
      <w:r w:rsidRPr="00E91A66">
        <w:rPr>
          <w:rFonts w:ascii="Palatino Linotype" w:eastAsia="Palatino Linotype" w:hAnsi="Palatino Linotype" w:cs="Palatino Linotype"/>
        </w:rPr>
        <w:t>De las constancias del expediente electrónico del</w:t>
      </w:r>
      <w:r w:rsidRPr="00E91A66">
        <w:rPr>
          <w:rFonts w:ascii="Palatino Linotype" w:eastAsia="Palatino Linotype" w:hAnsi="Palatino Linotype" w:cs="Palatino Linotype"/>
          <w:b/>
        </w:rPr>
        <w:t xml:space="preserve"> SAIMEX</w:t>
      </w:r>
      <w:r w:rsidRPr="00E91A66">
        <w:rPr>
          <w:rFonts w:ascii="Palatino Linotype" w:eastAsia="Palatino Linotype" w:hAnsi="Palatino Linotype" w:cs="Palatino Linotype"/>
        </w:rPr>
        <w:t xml:space="preserve">, se advierte que en fecha siete de junio de dos mil veinticuatro,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91A66">
        <w:rPr>
          <w:rFonts w:ascii="Palatino Linotype" w:eastAsia="Palatino Linotype" w:hAnsi="Palatino Linotype" w:cs="Palatino Linotype"/>
          <w:b/>
        </w:rPr>
        <w:t xml:space="preserve">EL SUJETO OBLIGADO </w:t>
      </w:r>
      <w:r w:rsidRPr="00E91A66">
        <w:rPr>
          <w:rFonts w:ascii="Palatino Linotype" w:eastAsia="Palatino Linotype" w:hAnsi="Palatino Linotype" w:cs="Palatino Linotype"/>
        </w:rPr>
        <w:t>rindiera su</w:t>
      </w:r>
      <w:r w:rsidRPr="00E91A66">
        <w:rPr>
          <w:rFonts w:ascii="Palatino Linotype" w:eastAsia="Palatino Linotype" w:hAnsi="Palatino Linotype" w:cs="Palatino Linotype"/>
          <w:b/>
        </w:rPr>
        <w:t xml:space="preserve"> </w:t>
      </w:r>
      <w:r w:rsidRPr="00E91A66">
        <w:rPr>
          <w:rFonts w:ascii="Palatino Linotype" w:eastAsia="Palatino Linotype" w:hAnsi="Palatino Linotype" w:cs="Palatino Linotype"/>
        </w:rPr>
        <w:t>Informe Justificado.</w:t>
      </w:r>
    </w:p>
    <w:p w14:paraId="3BA7F3AB" w14:textId="77777777" w:rsidR="0032757E" w:rsidRPr="00E91A66" w:rsidRDefault="0032757E">
      <w:pPr>
        <w:tabs>
          <w:tab w:val="center" w:pos="4419"/>
          <w:tab w:val="right" w:pos="8838"/>
        </w:tabs>
        <w:spacing w:line="360" w:lineRule="auto"/>
        <w:jc w:val="both"/>
        <w:rPr>
          <w:rFonts w:ascii="Palatino Linotype" w:eastAsia="Palatino Linotype" w:hAnsi="Palatino Linotype" w:cs="Palatino Linotype"/>
        </w:rPr>
      </w:pPr>
    </w:p>
    <w:p w14:paraId="353BC289" w14:textId="77777777" w:rsidR="0032757E" w:rsidRPr="00E91A66" w:rsidRDefault="00C12375">
      <w:pPr>
        <w:tabs>
          <w:tab w:val="center" w:pos="4419"/>
          <w:tab w:val="right" w:pos="8838"/>
        </w:tabs>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14</w:t>
      </w:r>
      <w:r w:rsidRPr="00E91A66">
        <w:rPr>
          <w:rFonts w:ascii="Palatino Linotype" w:eastAsia="Palatino Linotype" w:hAnsi="Palatino Linotype" w:cs="Palatino Linotype"/>
          <w:b/>
          <w:sz w:val="28"/>
          <w:szCs w:val="28"/>
        </w:rPr>
        <w:t xml:space="preserve">. </w:t>
      </w:r>
      <w:r w:rsidRPr="00E91A66">
        <w:rPr>
          <w:rFonts w:ascii="Palatino Linotype" w:eastAsia="Palatino Linotype" w:hAnsi="Palatino Linotype" w:cs="Palatino Linotype"/>
        </w:rPr>
        <w:t xml:space="preserve">Conforme a las constancias del </w:t>
      </w:r>
      <w:r w:rsidRPr="00E91A66">
        <w:rPr>
          <w:rFonts w:ascii="Palatino Linotype" w:eastAsia="Palatino Linotype" w:hAnsi="Palatino Linotype" w:cs="Palatino Linotype"/>
          <w:b/>
        </w:rPr>
        <w:t>SAIMEX</w:t>
      </w:r>
      <w:r w:rsidRPr="00E91A66">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este en fecha trece de junio del año en curso en vía de alegatos remitió el siguiente archivo electrónico:</w:t>
      </w:r>
    </w:p>
    <w:p w14:paraId="50A2CC53" w14:textId="77777777" w:rsidR="0032757E" w:rsidRPr="00E91A66" w:rsidRDefault="0032757E">
      <w:pPr>
        <w:tabs>
          <w:tab w:val="center" w:pos="4419"/>
          <w:tab w:val="right" w:pos="8838"/>
        </w:tabs>
        <w:spacing w:line="360" w:lineRule="auto"/>
        <w:jc w:val="both"/>
        <w:rPr>
          <w:rFonts w:ascii="Palatino Linotype" w:eastAsia="Palatino Linotype" w:hAnsi="Palatino Linotype" w:cs="Palatino Linotype"/>
        </w:rPr>
      </w:pPr>
    </w:p>
    <w:p w14:paraId="10855BBB" w14:textId="77777777" w:rsidR="0032757E" w:rsidRPr="00E91A66" w:rsidRDefault="00C12375">
      <w:pPr>
        <w:tabs>
          <w:tab w:val="center" w:pos="4419"/>
          <w:tab w:val="right" w:pos="8838"/>
        </w:tabs>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w:t>
      </w:r>
      <w:hyperlink r:id="rId13">
        <w:r w:rsidRPr="00E91A66">
          <w:rPr>
            <w:rFonts w:ascii="Palatino Linotype" w:eastAsia="Palatino Linotype" w:hAnsi="Palatino Linotype" w:cs="Palatino Linotype"/>
          </w:rPr>
          <w:t>Alegatos RRIP Xalatlaco.docx</w:t>
        </w:r>
      </w:hyperlink>
      <w:r w:rsidRPr="00E91A66">
        <w:rPr>
          <w:rFonts w:ascii="Palatino Linotype" w:eastAsia="Palatino Linotype" w:hAnsi="Palatino Linotype" w:cs="Palatino Linotype"/>
        </w:rPr>
        <w:t>”, el cual contiene las siguientes manifestaciones:</w:t>
      </w:r>
    </w:p>
    <w:p w14:paraId="671CC4A9" w14:textId="77777777" w:rsidR="0032757E" w:rsidRPr="00E91A66" w:rsidRDefault="0032757E">
      <w:pPr>
        <w:tabs>
          <w:tab w:val="center" w:pos="4419"/>
          <w:tab w:val="right" w:pos="8838"/>
        </w:tabs>
        <w:spacing w:line="360" w:lineRule="auto"/>
        <w:jc w:val="both"/>
        <w:rPr>
          <w:rFonts w:ascii="Palatino Linotype" w:eastAsia="Palatino Linotype" w:hAnsi="Palatino Linotype" w:cs="Palatino Linotype"/>
        </w:rPr>
      </w:pPr>
    </w:p>
    <w:p w14:paraId="55B17C48" w14:textId="77777777" w:rsidR="0032757E" w:rsidRPr="00E91A66" w:rsidRDefault="00C12375">
      <w:pPr>
        <w:spacing w:line="276" w:lineRule="auto"/>
        <w:ind w:left="567" w:right="616"/>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18"/>
          <w:szCs w:val="18"/>
        </w:rPr>
        <w:t>“</w:t>
      </w:r>
      <w:r w:rsidRPr="00E91A66">
        <w:rPr>
          <w:rFonts w:ascii="Palatino Linotype" w:eastAsia="Palatino Linotype" w:hAnsi="Palatino Linotype" w:cs="Palatino Linotype"/>
          <w:b/>
          <w:i/>
          <w:sz w:val="22"/>
          <w:szCs w:val="22"/>
        </w:rPr>
        <w:t>C. GUADALUPE RAMÍREZ PEÑA.</w:t>
      </w:r>
    </w:p>
    <w:p w14:paraId="14F9BDC9" w14:textId="77777777" w:rsidR="0032757E" w:rsidRPr="00E91A66" w:rsidRDefault="00C12375">
      <w:pPr>
        <w:spacing w:line="276" w:lineRule="auto"/>
        <w:ind w:left="567" w:right="616"/>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 xml:space="preserve">COMISIONADO PONENTE DEL INSTITUTO DE TRANSPARENCIA, </w:t>
      </w:r>
    </w:p>
    <w:p w14:paraId="4BF28383" w14:textId="77777777" w:rsidR="0032757E" w:rsidRPr="00E91A66" w:rsidRDefault="00C12375">
      <w:pPr>
        <w:spacing w:line="276" w:lineRule="auto"/>
        <w:ind w:left="567" w:right="616"/>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ACCESO A LA INFORMACIÓN PÚBLICA Y PROTECCIÓN DE DATOS</w:t>
      </w:r>
    </w:p>
    <w:p w14:paraId="31AC1AF9" w14:textId="77777777" w:rsidR="0032757E" w:rsidRPr="00E91A66" w:rsidRDefault="00C12375">
      <w:pPr>
        <w:spacing w:line="276" w:lineRule="auto"/>
        <w:ind w:left="567" w:right="616"/>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PERSONALES DEL ESTADO DE MÉXICO Y MUNICIPIOS.</w:t>
      </w:r>
    </w:p>
    <w:p w14:paraId="329388E4" w14:textId="77777777" w:rsidR="0032757E" w:rsidRPr="00E91A66" w:rsidRDefault="0032757E">
      <w:pPr>
        <w:spacing w:line="276" w:lineRule="auto"/>
        <w:ind w:left="567" w:right="616"/>
        <w:jc w:val="both"/>
        <w:rPr>
          <w:rFonts w:ascii="Palatino Linotype" w:eastAsia="Palatino Linotype" w:hAnsi="Palatino Linotype" w:cs="Palatino Linotype"/>
          <w:i/>
          <w:sz w:val="22"/>
          <w:szCs w:val="22"/>
        </w:rPr>
      </w:pPr>
    </w:p>
    <w:p w14:paraId="60F762C6"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lastRenderedPageBreak/>
        <w:t>JULIO EDUARDO JÁCOME CARMONA,</w:t>
      </w:r>
      <w:r w:rsidRPr="00E91A66">
        <w:rPr>
          <w:rFonts w:ascii="Palatino Linotype" w:eastAsia="Palatino Linotype" w:hAnsi="Palatino Linotype" w:cs="Palatino Linotype"/>
          <w:i/>
          <w:sz w:val="22"/>
          <w:szCs w:val="22"/>
        </w:rPr>
        <w:t xml:space="preserve"> mexicano, mayor de edad, por mi propio derecho señalando como domicilio para oír y recibir toda clase de notificaciones; aún las de carácter personal, el correo electrónico jc.julioeduardo@gmail.com ante usted con el debido respeto comparezco para exponer:</w:t>
      </w:r>
    </w:p>
    <w:p w14:paraId="0D953EDE"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Que, con el citado carácter, por medio del presente escrito y con fundamento en lo dispuesto en el título octavo de la Ley de Transparencia y Acceso a la Información Pública del Estado de México y Municipios, vengo a ofrecer los </w:t>
      </w:r>
      <w:r w:rsidRPr="00E91A66">
        <w:rPr>
          <w:rFonts w:ascii="Palatino Linotype" w:eastAsia="Palatino Linotype" w:hAnsi="Palatino Linotype" w:cs="Palatino Linotype"/>
          <w:b/>
          <w:i/>
          <w:sz w:val="22"/>
          <w:szCs w:val="22"/>
        </w:rPr>
        <w:t xml:space="preserve">ALEGATOS </w:t>
      </w:r>
      <w:r w:rsidRPr="00E91A66">
        <w:rPr>
          <w:rFonts w:ascii="Palatino Linotype" w:eastAsia="Palatino Linotype" w:hAnsi="Palatino Linotype" w:cs="Palatino Linotype"/>
          <w:i/>
          <w:sz w:val="22"/>
          <w:szCs w:val="22"/>
        </w:rPr>
        <w:t>en relación con el expediente numerado con el folio 01859/INFOEM/ICR-27/IP/RR/2024, en relación con el recurso de revisión radicado bajo el folio 01859/INFOEM/IPRR/2024 relativo a la solicitud de acceso a la información pública con número de folio  00008/XALATLA/IP/2024, resolución notificada en fecha 20 de mayo del 2024, del cual el recurrente manifiesta su absoluta inconformidad con el proceder del Sujeto Obligado, pues, la respuesta proporcionada al recurrente carece de eficacia legal para tenerse por aceptada.</w:t>
      </w:r>
    </w:p>
    <w:p w14:paraId="31998492"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Que en fecha 03 de junio de 2024 el Sujeto Obligado proporciono al recurrente como respuesta un compendio de 4 oficios consistentes en 6 fojas, oficios los cuales se encuentran foliados y dirigidos a las siguientes dependencias del Ayuntamiento de Xalatlaco:</w:t>
      </w:r>
    </w:p>
    <w:p w14:paraId="697F982C" w14:textId="77777777" w:rsidR="0032757E" w:rsidRPr="00E91A66" w:rsidRDefault="00C12375">
      <w:pPr>
        <w:numPr>
          <w:ilvl w:val="0"/>
          <w:numId w:val="1"/>
        </w:num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PM/XAL/007/2024 (11 de marzo de 2024), RR/XAL/009/2024 (17 de abril de 2024), RR/XAL/010/2024 (21 de mayo de 2024), dirigidos todos a la Tesorería Municipal.</w:t>
      </w:r>
    </w:p>
    <w:p w14:paraId="5EFDC698" w14:textId="77777777" w:rsidR="0032757E" w:rsidRPr="00E91A66" w:rsidRDefault="00C12375">
      <w:pPr>
        <w:numPr>
          <w:ilvl w:val="0"/>
          <w:numId w:val="1"/>
        </w:numPr>
        <w:pBdr>
          <w:top w:val="nil"/>
          <w:left w:val="nil"/>
          <w:bottom w:val="nil"/>
          <w:right w:val="nil"/>
          <w:between w:val="nil"/>
        </w:pBdr>
        <w:spacing w:after="160" w:line="276" w:lineRule="auto"/>
        <w:ind w:left="567" w:right="616"/>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PMX/TES/0042/2024 (24 de mayo de 2024) dirigido a la Unidad de Transparencia y Acceso a la Información Pública. </w:t>
      </w:r>
    </w:p>
    <w:p w14:paraId="48B8A3AA"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Que partiendo de los principios constitucionales que resguardan el derecho de acceso a la información pública, contenidos en el artículo 6º de la Constitución Política de los Estados Unidos Mexicanos, el Ayuntamiento de Xalatlaco tiene la obligación de generar evidencia documental de los actos administrativos que este efectué, máxime esta obligación cuando se trata del manejo de recursos públicos, como lo es el caso de la solicitud de acceso a la información pública presentada por el hoy recurrente.</w:t>
      </w:r>
    </w:p>
    <w:p w14:paraId="6E6B808E"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Ahora bien, dicha obligación se encuentra ampliamente regulada por la Ley de Transparencia y Acceso a la Información Pública del Estado de México y Municipios, la misma Ley establece la forma y tiempos en que habrán de conducirse los sujetos obligados cuando la ciudadanía requiera de estos la información que tienen a su resguardo. En ese tenor, puede observarse la ineficacia del Ayuntamiento de Xalatlaco para responder a la solicitud de acceso a información pública presentada por el hoy recurrente.</w:t>
      </w:r>
    </w:p>
    <w:p w14:paraId="2D2FB296"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lastRenderedPageBreak/>
        <w:t xml:space="preserve">Lo anterior es así, porque el Sujeto Obligado en ningún momento dio oportuna contestación a la solicitud de forma electrónica, aún y cuando el solicitante había señalado que le fuera notificada la respuesta a través del SAIMEX. A lo anterior, se aúna el hecho de que en ningún momento fue registrado actividad alguna en la plataforma SAIMEX, ni durante el trámite de la solicitud, ni durante la sustanciación y </w:t>
      </w:r>
      <w:proofErr w:type="spellStart"/>
      <w:r w:rsidRPr="00E91A66">
        <w:rPr>
          <w:rFonts w:ascii="Palatino Linotype" w:eastAsia="Palatino Linotype" w:hAnsi="Palatino Linotype" w:cs="Palatino Linotype"/>
          <w:i/>
          <w:sz w:val="22"/>
          <w:szCs w:val="22"/>
        </w:rPr>
        <w:t>tramite</w:t>
      </w:r>
      <w:proofErr w:type="spellEnd"/>
      <w:r w:rsidRPr="00E91A66">
        <w:rPr>
          <w:rFonts w:ascii="Palatino Linotype" w:eastAsia="Palatino Linotype" w:hAnsi="Palatino Linotype" w:cs="Palatino Linotype"/>
          <w:i/>
          <w:sz w:val="22"/>
          <w:szCs w:val="22"/>
        </w:rPr>
        <w:t xml:space="preserve"> del recurso de revisión respectivo, por lo que, la respuesta entregada al recurrente no se puede tomar por satisfactoria ni que contenga la eficacia legal para revertir los efectos de la sentencia que condena al Sujeto Obligado por su incumplimiento y su cumplimiento negligentes, pues, como he referido la negativa ficta que el propio Instituto reconoce en la sentencia da pleno reconocimiento al incumplimiento de las obligaciones en la materia y, por otra parte, la respuesta proporcionada no es </w:t>
      </w:r>
      <w:proofErr w:type="spellStart"/>
      <w:r w:rsidRPr="00E91A66">
        <w:rPr>
          <w:rFonts w:ascii="Palatino Linotype" w:eastAsia="Palatino Linotype" w:hAnsi="Palatino Linotype" w:cs="Palatino Linotype"/>
          <w:i/>
          <w:sz w:val="22"/>
          <w:szCs w:val="22"/>
        </w:rPr>
        <w:t>mas</w:t>
      </w:r>
      <w:proofErr w:type="spellEnd"/>
      <w:r w:rsidRPr="00E91A66">
        <w:rPr>
          <w:rFonts w:ascii="Palatino Linotype" w:eastAsia="Palatino Linotype" w:hAnsi="Palatino Linotype" w:cs="Palatino Linotype"/>
          <w:i/>
          <w:sz w:val="22"/>
          <w:szCs w:val="22"/>
        </w:rPr>
        <w:t xml:space="preserve"> que un cumplimiento negligente e ineficaz, pues, ni atiende a los resolutivos de la sentencia ni a los preceptos legales que regulan las actuaciones en la materia.</w:t>
      </w:r>
    </w:p>
    <w:p w14:paraId="19E2E6A8"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El Sujeto Obligado en ningún momento se condujo de forma oportuna, ni en tiempo ni en forma. Lo anterior tiene sustento y registro en la plataforma SAIMEX, si se toma la respuesta del sujeto obligado puede observarse un cumplimiento inadecuado, pues, en el oficio PMX/TES/0042/2024 que dirige la Tesorería Municipal a la Unidad de Transparencia, consta lo siguiente:</w:t>
      </w:r>
    </w:p>
    <w:p w14:paraId="30B77D6B"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noProof/>
          <w:sz w:val="22"/>
          <w:szCs w:val="22"/>
          <w:lang w:val="es-MX" w:eastAsia="es-MX"/>
        </w:rPr>
        <w:drawing>
          <wp:inline distT="0" distB="0" distL="0" distR="0" wp14:anchorId="4D7C3B3A" wp14:editId="31F8F7D0">
            <wp:extent cx="4501779" cy="1953770"/>
            <wp:effectExtent l="0" t="0" r="0" b="0"/>
            <wp:docPr id="2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3592" t="13881" r="5635" b="42063"/>
                    <a:stretch>
                      <a:fillRect/>
                    </a:stretch>
                  </pic:blipFill>
                  <pic:spPr>
                    <a:xfrm>
                      <a:off x="0" y="0"/>
                      <a:ext cx="4501779" cy="1953770"/>
                    </a:xfrm>
                    <a:prstGeom prst="rect">
                      <a:avLst/>
                    </a:prstGeom>
                    <a:ln/>
                  </pic:spPr>
                </pic:pic>
              </a:graphicData>
            </a:graphic>
          </wp:inline>
        </w:drawing>
      </w:r>
    </w:p>
    <w:p w14:paraId="0A53492B"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 </w:t>
      </w:r>
    </w:p>
    <w:p w14:paraId="382A9B30"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No obstante, la respuesta de la Tesorería Municipal no corresponde al momento procesal adecuado, ni tampoco contiene congruencia alguna. Pues esta respuesta es posterior a la emisión de la resolución del recurso de revisión, en este sentido, si consideramos que el Instituto al estudiar el fondo del asunto da por reconocida la </w:t>
      </w:r>
      <w:r w:rsidRPr="00E91A66">
        <w:rPr>
          <w:rFonts w:ascii="Palatino Linotype" w:eastAsia="Palatino Linotype" w:hAnsi="Palatino Linotype" w:cs="Palatino Linotype"/>
          <w:b/>
          <w:i/>
          <w:sz w:val="22"/>
          <w:szCs w:val="22"/>
        </w:rPr>
        <w:t xml:space="preserve">negativa ficta, </w:t>
      </w:r>
      <w:r w:rsidRPr="00E91A66">
        <w:rPr>
          <w:rFonts w:ascii="Palatino Linotype" w:eastAsia="Palatino Linotype" w:hAnsi="Palatino Linotype" w:cs="Palatino Linotype"/>
          <w:i/>
          <w:sz w:val="22"/>
          <w:szCs w:val="22"/>
        </w:rPr>
        <w:t xml:space="preserve">el sujeto obligado tiene la obligación de entregar la información solicitada y no la de sustanciar y dar </w:t>
      </w:r>
      <w:proofErr w:type="spellStart"/>
      <w:r w:rsidRPr="00E91A66">
        <w:rPr>
          <w:rFonts w:ascii="Palatino Linotype" w:eastAsia="Palatino Linotype" w:hAnsi="Palatino Linotype" w:cs="Palatino Linotype"/>
          <w:i/>
          <w:sz w:val="22"/>
          <w:szCs w:val="22"/>
        </w:rPr>
        <w:t>tramite</w:t>
      </w:r>
      <w:proofErr w:type="spellEnd"/>
      <w:r w:rsidRPr="00E91A66">
        <w:rPr>
          <w:rFonts w:ascii="Palatino Linotype" w:eastAsia="Palatino Linotype" w:hAnsi="Palatino Linotype" w:cs="Palatino Linotype"/>
          <w:i/>
          <w:sz w:val="22"/>
          <w:szCs w:val="22"/>
        </w:rPr>
        <w:t xml:space="preserve"> nuevamente a la solicitud, pues, dicha </w:t>
      </w:r>
      <w:r w:rsidRPr="00E91A66">
        <w:rPr>
          <w:rFonts w:ascii="Palatino Linotype" w:eastAsia="Palatino Linotype" w:hAnsi="Palatino Linotype" w:cs="Palatino Linotype"/>
          <w:i/>
          <w:sz w:val="22"/>
          <w:szCs w:val="22"/>
        </w:rPr>
        <w:lastRenderedPageBreak/>
        <w:t>actuación se traduciría en la repetición del acto impugnado, pues, en primer lugar el solicitante proporciono todos los medios para localizar dicha información y, en segundo lugar, el derecho de solicitar dicha información ya ha precluido, lo que resulta en la  violación  del derecho de acceso a la información pública así como el de acceso a la justicia, pues, se entiende que el propio Instituto tiene funciones jurisdiccionales en un sentido material, lo anterior tiene como sustento las tesis 1a. LV/2017 (10a.)</w:t>
      </w:r>
      <w:r w:rsidRPr="00E91A66">
        <w:rPr>
          <w:rFonts w:ascii="Palatino Linotype" w:eastAsia="Palatino Linotype" w:hAnsi="Palatino Linotype" w:cs="Palatino Linotype"/>
          <w:i/>
          <w:sz w:val="22"/>
          <w:szCs w:val="22"/>
          <w:vertAlign w:val="superscript"/>
        </w:rPr>
        <w:footnoteReference w:id="1"/>
      </w:r>
      <w:r w:rsidRPr="00E91A66">
        <w:rPr>
          <w:rFonts w:ascii="Palatino Linotype" w:eastAsia="Palatino Linotype" w:hAnsi="Palatino Linotype" w:cs="Palatino Linotype"/>
          <w:i/>
          <w:sz w:val="22"/>
          <w:szCs w:val="22"/>
        </w:rPr>
        <w:t xml:space="preserve"> y I.4o.A. J/5 A (11a.)</w:t>
      </w:r>
      <w:r w:rsidRPr="00E91A66">
        <w:rPr>
          <w:rFonts w:ascii="Palatino Linotype" w:eastAsia="Palatino Linotype" w:hAnsi="Palatino Linotype" w:cs="Palatino Linotype"/>
          <w:i/>
          <w:sz w:val="22"/>
          <w:szCs w:val="22"/>
          <w:vertAlign w:val="superscript"/>
        </w:rPr>
        <w:footnoteReference w:id="2"/>
      </w:r>
      <w:r w:rsidRPr="00E91A66">
        <w:rPr>
          <w:rFonts w:ascii="Palatino Linotype" w:eastAsia="Palatino Linotype" w:hAnsi="Palatino Linotype" w:cs="Palatino Linotype"/>
          <w:i/>
          <w:sz w:val="22"/>
          <w:szCs w:val="22"/>
        </w:rPr>
        <w:t>.</w:t>
      </w:r>
    </w:p>
    <w:p w14:paraId="55904C7D"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Considerando los argumentos de la Primera Sala de la Suprema Corte de Justicia de la Nación, las actuaciones del Sujeto Obligado para dar cumplimiento a la resolución del Instituto no se han acatado de forma cabal y han incurrido en la repetición del acto, pues, aunque, prima facie, se </w:t>
      </w:r>
      <w:proofErr w:type="spellStart"/>
      <w:r w:rsidRPr="00E91A66">
        <w:rPr>
          <w:rFonts w:ascii="Palatino Linotype" w:eastAsia="Palatino Linotype" w:hAnsi="Palatino Linotype" w:cs="Palatino Linotype"/>
          <w:i/>
          <w:sz w:val="22"/>
          <w:szCs w:val="22"/>
        </w:rPr>
        <w:t>este</w:t>
      </w:r>
      <w:proofErr w:type="spellEnd"/>
      <w:r w:rsidRPr="00E91A66">
        <w:rPr>
          <w:rFonts w:ascii="Palatino Linotype" w:eastAsia="Palatino Linotype" w:hAnsi="Palatino Linotype" w:cs="Palatino Linotype"/>
          <w:i/>
          <w:sz w:val="22"/>
          <w:szCs w:val="22"/>
        </w:rPr>
        <w:t xml:space="preserve"> dando atención a la solicitud, esta no atiende el considerando cuarto de la sentencia, ni considera todos los elementos vertidos en el expediente desde el momento en que se ha presentado la solicitud, de tal forma, que la tramitación de la solicitud viola las garantías de no repetición y el derecho de acceso a la información pública conforme a los principios que establece la Ley en la materia.</w:t>
      </w:r>
    </w:p>
    <w:p w14:paraId="1BD33F43"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Por otra parte, las actuaciones del Sujeto Obligado tanto en atención a la solicitud como el recurso de revisión fueron nulas, de tal forma, que de acuerdo con el principio de eventualidad resultan en su absoluto perjuicio por no actuar en el momento procesal oportuno. En otro sentido, permitir que el Sujeto Obligado de nuevamente tramite a la solicitud de acceso, viola dicho principio, pues, permite que este justifique su actuar negligente, cuando en ningún momento, ni durante la solicitud, ni durante la tramitación del recurso, tuvo interés de responder o defenderse de las pretensiones del recurrente, sin obviar, el hecho de que el propio Instituto ha determinado que hubo un incumplimiento efectivo de las obligaciones del Sujeto Obligado en la materia.</w:t>
      </w:r>
    </w:p>
    <w:p w14:paraId="122EBDBE"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Por lo anteriormente expuesto, a este H. Ponencia pido atentamente:</w:t>
      </w:r>
    </w:p>
    <w:p w14:paraId="2631D1AE"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PRIMERO. – Obligar al Sujeto Obligado a localizar y entregar la información solicitada por el recurrente.</w:t>
      </w:r>
    </w:p>
    <w:p w14:paraId="6045C7C4"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lastRenderedPageBreak/>
        <w:t>SEGUNDO. – Determinar el grado y naturaleza de la responsabilidad del Sujeto Obligado, sancionando en el momento oportuno las actuaciones y omisiones del mismo conforme a las disposiciones legales aplicables.</w:t>
      </w:r>
    </w:p>
    <w:p w14:paraId="700D95F3" w14:textId="77777777" w:rsidR="0032757E" w:rsidRPr="00E91A66" w:rsidRDefault="00C12375">
      <w:pPr>
        <w:spacing w:line="276" w:lineRule="auto"/>
        <w:ind w:left="567" w:right="616" w:firstLine="70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TERCERO. – Notificarme del procedimiento y sanción respectiva.</w:t>
      </w:r>
    </w:p>
    <w:p w14:paraId="543E6CC2" w14:textId="77777777" w:rsidR="0032757E" w:rsidRPr="00E91A66" w:rsidRDefault="0032757E">
      <w:pPr>
        <w:spacing w:line="276" w:lineRule="auto"/>
        <w:ind w:left="567" w:right="616" w:firstLine="708"/>
        <w:jc w:val="both"/>
        <w:rPr>
          <w:rFonts w:ascii="Palatino Linotype" w:eastAsia="Palatino Linotype" w:hAnsi="Palatino Linotype" w:cs="Palatino Linotype"/>
          <w:i/>
          <w:sz w:val="22"/>
          <w:szCs w:val="22"/>
        </w:rPr>
      </w:pPr>
    </w:p>
    <w:p w14:paraId="79DF3473" w14:textId="77777777" w:rsidR="0032757E" w:rsidRPr="00E91A66" w:rsidRDefault="0032757E">
      <w:pPr>
        <w:spacing w:line="276" w:lineRule="auto"/>
        <w:ind w:left="567" w:right="616" w:firstLine="708"/>
        <w:jc w:val="both"/>
        <w:rPr>
          <w:rFonts w:ascii="Palatino Linotype" w:eastAsia="Palatino Linotype" w:hAnsi="Palatino Linotype" w:cs="Palatino Linotype"/>
          <w:i/>
          <w:sz w:val="22"/>
          <w:szCs w:val="22"/>
        </w:rPr>
      </w:pPr>
    </w:p>
    <w:p w14:paraId="02EC2827" w14:textId="77777777" w:rsidR="0032757E" w:rsidRPr="00E91A66" w:rsidRDefault="00C12375">
      <w:pPr>
        <w:spacing w:line="276" w:lineRule="auto"/>
        <w:ind w:left="567" w:right="616" w:firstLine="708"/>
        <w:jc w:val="center"/>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PROTESTO LO NECESARIO</w:t>
      </w:r>
    </w:p>
    <w:p w14:paraId="38CD03C2" w14:textId="77777777" w:rsidR="0032757E" w:rsidRPr="00E91A66" w:rsidRDefault="00C12375">
      <w:pPr>
        <w:spacing w:line="276" w:lineRule="auto"/>
        <w:ind w:left="567" w:right="616" w:firstLine="708"/>
        <w:jc w:val="center"/>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Xalatlaco, México a junio de 2024.</w:t>
      </w:r>
    </w:p>
    <w:p w14:paraId="2C160E09"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Por su parte, el </w:t>
      </w:r>
      <w:r w:rsidRPr="00E91A66">
        <w:rPr>
          <w:rFonts w:ascii="Palatino Linotype" w:eastAsia="Palatino Linotype" w:hAnsi="Palatino Linotype" w:cs="Palatino Linotype"/>
          <w:b/>
        </w:rPr>
        <w:t xml:space="preserve">SUJETO OBLIGADO, </w:t>
      </w:r>
      <w:r w:rsidRPr="00E91A66">
        <w:rPr>
          <w:rFonts w:ascii="Palatino Linotype" w:eastAsia="Palatino Linotype" w:hAnsi="Palatino Linotype" w:cs="Palatino Linotype"/>
        </w:rPr>
        <w:t>en fecha catorce de junio del año dos mil veinticuatro, adjuntó el archivo electrónico denominado:</w:t>
      </w:r>
    </w:p>
    <w:p w14:paraId="6525309B" w14:textId="77777777" w:rsidR="0032757E" w:rsidRPr="00E91A66" w:rsidRDefault="00C12375">
      <w:pPr>
        <w:spacing w:before="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w:t>
      </w:r>
      <w:hyperlink r:id="rId15">
        <w:r w:rsidRPr="00E91A66">
          <w:rPr>
            <w:rFonts w:ascii="Palatino Linotype" w:eastAsia="Palatino Linotype" w:hAnsi="Palatino Linotype" w:cs="Palatino Linotype"/>
          </w:rPr>
          <w:t>Solicitud 08.1.pdf</w:t>
        </w:r>
      </w:hyperlink>
      <w:r w:rsidRPr="00E91A66">
        <w:rPr>
          <w:rFonts w:ascii="Palatino Linotype" w:eastAsia="Palatino Linotype" w:hAnsi="Palatino Linotype" w:cs="Palatino Linotype"/>
        </w:rPr>
        <w:t xml:space="preserve">”, el cual contiene el oficio número PM/XAL/TES/0072/2024, por medio del cual el Tesorero Municipal del Ayuntamiento de Xalatlaco, informó que después de haber realizado una búsqueda minuciosa en los archivos que obran en la Tesorería Municipal en formato electrónico y físico, se encontró documentación en relación a dicho ejercicio, adjuntando para tal efecto dos facturas una por la renta de una zanjadora por la obra de rehabilitación de red de agua potable en la calle Moctezuma, 5 de mayo, Miguel Hidalgo y Mariano Escobedo hidráulica, Municipio de Xalatlaco, México y la otra por el desglose de gastos, constante de una y tres fojas respectivamente.  </w:t>
      </w:r>
    </w:p>
    <w:p w14:paraId="5EC69322" w14:textId="77777777" w:rsidR="0032757E" w:rsidRPr="00E91A66" w:rsidRDefault="0032757E">
      <w:pPr>
        <w:spacing w:line="360" w:lineRule="auto"/>
        <w:jc w:val="both"/>
        <w:rPr>
          <w:rFonts w:ascii="Palatino Linotype" w:eastAsia="Palatino Linotype" w:hAnsi="Palatino Linotype" w:cs="Palatino Linotype"/>
        </w:rPr>
      </w:pPr>
    </w:p>
    <w:p w14:paraId="03075D9E"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Dicho archivo, se puso a la vista del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w:t>
      </w:r>
    </w:p>
    <w:p w14:paraId="4C9F16D8"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 </w:t>
      </w:r>
    </w:p>
    <w:p w14:paraId="0E3C28E7" w14:textId="77777777" w:rsidR="0032757E" w:rsidRPr="00E91A66" w:rsidRDefault="00C12375">
      <w:pPr>
        <w:widowControl w:val="0"/>
        <w:spacing w:line="360" w:lineRule="auto"/>
        <w:jc w:val="both"/>
        <w:rPr>
          <w:rFonts w:ascii="Palatino Linotype" w:eastAsia="Palatino Linotype" w:hAnsi="Palatino Linotype" w:cs="Palatino Linotype"/>
          <w:b/>
        </w:rPr>
      </w:pPr>
      <w:r w:rsidRPr="00E91A66">
        <w:rPr>
          <w:rFonts w:ascii="Palatino Linotype" w:eastAsia="Palatino Linotype" w:hAnsi="Palatino Linotype" w:cs="Palatino Linotype"/>
          <w:b/>
        </w:rPr>
        <w:t>15. Ampliación del plazo.</w:t>
      </w:r>
      <w:r w:rsidR="00E91A66" w:rsidRPr="00E91A66">
        <w:rPr>
          <w:rFonts w:ascii="Palatino Linotype" w:eastAsia="Palatino Linotype" w:hAnsi="Palatino Linotype" w:cs="Palatino Linotype"/>
        </w:rPr>
        <w:t xml:space="preserve"> El </w:t>
      </w:r>
      <w:r w:rsidRPr="00E91A66">
        <w:rPr>
          <w:rFonts w:ascii="Palatino Linotype" w:eastAsia="Palatino Linotype" w:hAnsi="Palatino Linotype" w:cs="Palatino Linotype"/>
        </w:rPr>
        <w:t xml:space="preserve">tres de septiembre del año dos mil veinticuatro, con </w:t>
      </w:r>
      <w:r w:rsidRPr="00E91A66">
        <w:rPr>
          <w:rFonts w:ascii="Palatino Linotype" w:eastAsia="Palatino Linotype" w:hAnsi="Palatino Linotype" w:cs="Palatino Linotype"/>
        </w:rPr>
        <w:lastRenderedPageBreak/>
        <w:t>fundamento en el artículo 181, párrafo tercero de la Ley de Transparencia y Acceso a la Información Pública del Estado de México y Municipios, se acordó la ampliación del plazo para su resolución</w:t>
      </w:r>
      <w:r w:rsidR="00577D28" w:rsidRPr="00E91A66">
        <w:rPr>
          <w:rFonts w:ascii="Palatino Linotype" w:eastAsia="Palatino Linotype" w:hAnsi="Palatino Linotype" w:cs="Palatino Linotype"/>
        </w:rPr>
        <w:t xml:space="preserve"> el cual fue notificado a las partes el </w:t>
      </w:r>
      <w:r w:rsidR="00577D28" w:rsidRPr="00E91A66">
        <w:rPr>
          <w:rFonts w:ascii="Palatino Linotype" w:eastAsia="Palatino Linotype" w:hAnsi="Palatino Linotype" w:cs="Palatino Linotype"/>
          <w:b/>
        </w:rPr>
        <w:t>cuatro de septiembre del mismo año</w:t>
      </w:r>
      <w:r w:rsidRPr="00E91A66">
        <w:rPr>
          <w:rFonts w:ascii="Palatino Linotype" w:eastAsia="Palatino Linotype" w:hAnsi="Palatino Linotype" w:cs="Palatino Linotype"/>
          <w:b/>
        </w:rPr>
        <w:t>.</w:t>
      </w:r>
    </w:p>
    <w:p w14:paraId="34F9D486" w14:textId="77777777" w:rsidR="0032757E" w:rsidRPr="00E91A66" w:rsidRDefault="0032757E">
      <w:pPr>
        <w:widowControl w:val="0"/>
        <w:spacing w:line="360" w:lineRule="auto"/>
        <w:jc w:val="both"/>
        <w:rPr>
          <w:rFonts w:ascii="Palatino Linotype" w:eastAsia="Palatino Linotype" w:hAnsi="Palatino Linotype" w:cs="Palatino Linotype"/>
        </w:rPr>
      </w:pPr>
    </w:p>
    <w:p w14:paraId="6F5AF1C4" w14:textId="77777777" w:rsidR="0032757E" w:rsidRPr="00E91A66" w:rsidRDefault="00C12375">
      <w:pPr>
        <w:widowControl w:val="0"/>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EF9EB49" w14:textId="77777777" w:rsidR="0032757E" w:rsidRPr="00E91A66" w:rsidRDefault="0032757E">
      <w:pPr>
        <w:widowControl w:val="0"/>
        <w:spacing w:line="360" w:lineRule="auto"/>
        <w:jc w:val="both"/>
        <w:rPr>
          <w:rFonts w:ascii="Palatino Linotype" w:eastAsia="Palatino Linotype" w:hAnsi="Palatino Linotype" w:cs="Palatino Linotype"/>
        </w:rPr>
      </w:pPr>
    </w:p>
    <w:p w14:paraId="24C40565"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F0FBE2C" w14:textId="77777777" w:rsidR="0032757E" w:rsidRPr="00E91A66" w:rsidRDefault="0032757E">
      <w:pPr>
        <w:spacing w:line="360" w:lineRule="auto"/>
        <w:jc w:val="both"/>
        <w:rPr>
          <w:rFonts w:ascii="Palatino Linotype" w:eastAsia="Palatino Linotype" w:hAnsi="Palatino Linotype" w:cs="Palatino Linotype"/>
        </w:rPr>
      </w:pPr>
    </w:p>
    <w:p w14:paraId="69FF6696"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0F8913" w14:textId="77777777" w:rsidR="0032757E" w:rsidRPr="00E91A66" w:rsidRDefault="0032757E">
      <w:pPr>
        <w:spacing w:line="360" w:lineRule="auto"/>
        <w:jc w:val="both"/>
        <w:rPr>
          <w:rFonts w:ascii="Palatino Linotype" w:eastAsia="Palatino Linotype" w:hAnsi="Palatino Linotype" w:cs="Palatino Linotype"/>
        </w:rPr>
      </w:pPr>
    </w:p>
    <w:p w14:paraId="1D0A45B1"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E91A66">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2E205C16" w14:textId="77777777" w:rsidR="0032757E" w:rsidRPr="00E91A66" w:rsidRDefault="0032757E">
      <w:pPr>
        <w:spacing w:line="360" w:lineRule="auto"/>
        <w:jc w:val="both"/>
        <w:rPr>
          <w:rFonts w:ascii="Palatino Linotype" w:eastAsia="Palatino Linotype" w:hAnsi="Palatino Linotype" w:cs="Palatino Linotype"/>
        </w:rPr>
      </w:pPr>
    </w:p>
    <w:p w14:paraId="2A798818" w14:textId="77777777" w:rsidR="0032757E" w:rsidRPr="00E91A66" w:rsidRDefault="00C12375">
      <w:pPr>
        <w:spacing w:line="360" w:lineRule="auto"/>
        <w:jc w:val="both"/>
        <w:rPr>
          <w:rFonts w:ascii="Palatino Linotype" w:eastAsia="Palatino Linotype" w:hAnsi="Palatino Linotype" w:cs="Palatino Linotype"/>
          <w:strike/>
        </w:rPr>
      </w:pPr>
      <w:r w:rsidRPr="00E91A6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366BADE" w14:textId="77777777" w:rsidR="0032757E" w:rsidRPr="00E91A66" w:rsidRDefault="0032757E">
      <w:pPr>
        <w:spacing w:line="360" w:lineRule="auto"/>
        <w:jc w:val="both"/>
        <w:rPr>
          <w:rFonts w:ascii="Palatino Linotype" w:eastAsia="Palatino Linotype" w:hAnsi="Palatino Linotype" w:cs="Palatino Linotype"/>
        </w:rPr>
      </w:pPr>
    </w:p>
    <w:p w14:paraId="671B8853" w14:textId="77777777" w:rsidR="0032757E" w:rsidRPr="00E91A66" w:rsidRDefault="00C12375">
      <w:pPr>
        <w:numPr>
          <w:ilvl w:val="0"/>
          <w:numId w:val="2"/>
        </w:numPr>
        <w:ind w:left="851"/>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649C267" w14:textId="77777777" w:rsidR="0032757E" w:rsidRPr="00E91A66" w:rsidRDefault="0032757E">
      <w:pPr>
        <w:ind w:left="851" w:hanging="360"/>
        <w:jc w:val="both"/>
        <w:rPr>
          <w:rFonts w:ascii="Palatino Linotype" w:eastAsia="Palatino Linotype" w:hAnsi="Palatino Linotype" w:cs="Palatino Linotype"/>
        </w:rPr>
      </w:pPr>
    </w:p>
    <w:p w14:paraId="76B3B29F" w14:textId="77777777" w:rsidR="0032757E" w:rsidRPr="00E91A66" w:rsidRDefault="00C12375">
      <w:pPr>
        <w:numPr>
          <w:ilvl w:val="0"/>
          <w:numId w:val="2"/>
        </w:numPr>
        <w:ind w:left="851"/>
        <w:jc w:val="both"/>
        <w:rPr>
          <w:rFonts w:ascii="Palatino Linotype" w:eastAsia="Palatino Linotype" w:hAnsi="Palatino Linotype" w:cs="Palatino Linotype"/>
        </w:rPr>
      </w:pPr>
      <w:r w:rsidRPr="00E91A66">
        <w:rPr>
          <w:rFonts w:ascii="Palatino Linotype" w:eastAsia="Palatino Linotype" w:hAnsi="Palatino Linotype" w:cs="Palatino Linotype"/>
        </w:rPr>
        <w:t>Actividad Procesal del interesado. Acciones u omisiones del interesado.</w:t>
      </w:r>
    </w:p>
    <w:p w14:paraId="66D8695B" w14:textId="77777777" w:rsidR="0032757E" w:rsidRPr="00E91A66" w:rsidRDefault="0032757E">
      <w:pPr>
        <w:ind w:left="851" w:hanging="360"/>
        <w:jc w:val="both"/>
        <w:rPr>
          <w:rFonts w:ascii="Palatino Linotype" w:eastAsia="Palatino Linotype" w:hAnsi="Palatino Linotype" w:cs="Palatino Linotype"/>
        </w:rPr>
      </w:pPr>
    </w:p>
    <w:p w14:paraId="174EC1F8" w14:textId="77777777" w:rsidR="0032757E" w:rsidRPr="00E91A66" w:rsidRDefault="00C12375">
      <w:pPr>
        <w:numPr>
          <w:ilvl w:val="0"/>
          <w:numId w:val="2"/>
        </w:numPr>
        <w:ind w:left="851"/>
        <w:jc w:val="both"/>
        <w:rPr>
          <w:rFonts w:ascii="Palatino Linotype" w:eastAsia="Palatino Linotype" w:hAnsi="Palatino Linotype" w:cs="Palatino Linotype"/>
        </w:rPr>
      </w:pPr>
      <w:r w:rsidRPr="00E91A66">
        <w:rPr>
          <w:rFonts w:ascii="Palatino Linotype" w:eastAsia="Palatino Linotype" w:hAnsi="Palatino Linotype" w:cs="Palatino Linotype"/>
        </w:rPr>
        <w:t>Conducta de la Autoridad: Las Acciones u omisiones realizadas en el procedimiento. Así como si la autoridad actuó con la debida diligencia.</w:t>
      </w:r>
    </w:p>
    <w:p w14:paraId="43740EE0" w14:textId="77777777" w:rsidR="0032757E" w:rsidRPr="00E91A66" w:rsidRDefault="0032757E">
      <w:pPr>
        <w:ind w:left="851" w:hanging="360"/>
        <w:rPr>
          <w:rFonts w:ascii="Palatino Linotype" w:eastAsia="Palatino Linotype" w:hAnsi="Palatino Linotype" w:cs="Palatino Linotype"/>
        </w:rPr>
      </w:pPr>
    </w:p>
    <w:p w14:paraId="566B81AA" w14:textId="77777777" w:rsidR="0032757E" w:rsidRPr="00E91A66" w:rsidRDefault="00C12375">
      <w:pPr>
        <w:ind w:left="851" w:hanging="360"/>
        <w:jc w:val="both"/>
        <w:rPr>
          <w:rFonts w:ascii="Palatino Linotype" w:eastAsia="Palatino Linotype" w:hAnsi="Palatino Linotype" w:cs="Palatino Linotype"/>
        </w:rPr>
      </w:pPr>
      <w:r w:rsidRPr="00E91A66">
        <w:rPr>
          <w:rFonts w:ascii="Palatino Linotype" w:eastAsia="Palatino Linotype" w:hAnsi="Palatino Linotype" w:cs="Palatino Linotype"/>
        </w:rPr>
        <w:t>d) La afectación generada en la situación jurídica de la persona involucrada en el proceso: Violación a sus derechos humanos.</w:t>
      </w:r>
    </w:p>
    <w:p w14:paraId="755A2BE0" w14:textId="77777777" w:rsidR="0032757E" w:rsidRPr="00E91A66" w:rsidRDefault="0032757E">
      <w:pPr>
        <w:spacing w:line="360" w:lineRule="auto"/>
        <w:jc w:val="both"/>
        <w:rPr>
          <w:rFonts w:ascii="Palatino Linotype" w:eastAsia="Palatino Linotype" w:hAnsi="Palatino Linotype" w:cs="Palatino Linotype"/>
        </w:rPr>
      </w:pPr>
    </w:p>
    <w:p w14:paraId="1F521767"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589AF8" w14:textId="77777777" w:rsidR="0032757E" w:rsidRPr="00E91A66" w:rsidRDefault="0032757E">
      <w:pPr>
        <w:spacing w:line="360" w:lineRule="auto"/>
        <w:jc w:val="both"/>
        <w:rPr>
          <w:rFonts w:ascii="Palatino Linotype" w:eastAsia="Palatino Linotype" w:hAnsi="Palatino Linotype" w:cs="Palatino Linotype"/>
        </w:rPr>
      </w:pPr>
    </w:p>
    <w:p w14:paraId="013DD9B0" w14:textId="77777777" w:rsidR="0032757E" w:rsidRPr="00E91A66" w:rsidRDefault="00C12375">
      <w:pPr>
        <w:spacing w:line="360" w:lineRule="auto"/>
        <w:jc w:val="both"/>
        <w:rPr>
          <w:rFonts w:ascii="Palatino Linotype" w:eastAsia="Palatino Linotype" w:hAnsi="Palatino Linotype" w:cs="Palatino Linotype"/>
          <w:b/>
        </w:rPr>
      </w:pPr>
      <w:r w:rsidRPr="00E91A6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91A66">
        <w:rPr>
          <w:rFonts w:ascii="Palatino Linotype" w:eastAsia="Palatino Linotype" w:hAnsi="Palatino Linotype" w:cs="Palatino Linotype"/>
          <w:i/>
        </w:rPr>
        <w:t xml:space="preserve">“TÉRMINOS </w:t>
      </w:r>
      <w:r w:rsidRPr="00E91A66">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E91A66">
        <w:rPr>
          <w:rFonts w:ascii="Palatino Linotype" w:eastAsia="Palatino Linotype" w:hAnsi="Palatino Linotype" w:cs="Palatino Linotype"/>
        </w:rPr>
        <w:t>, visible en la Gaceta del Seminario Judicial de la Federación con el registro digital 205635.</w:t>
      </w:r>
    </w:p>
    <w:p w14:paraId="3CD4F441" w14:textId="77777777" w:rsidR="0032757E" w:rsidRPr="00E91A66" w:rsidRDefault="0032757E">
      <w:pPr>
        <w:spacing w:line="360" w:lineRule="auto"/>
        <w:jc w:val="both"/>
        <w:rPr>
          <w:rFonts w:ascii="Palatino Linotype" w:eastAsia="Palatino Linotype" w:hAnsi="Palatino Linotype" w:cs="Palatino Linotype"/>
        </w:rPr>
      </w:pPr>
    </w:p>
    <w:p w14:paraId="50AB27BF"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20B04A" w14:textId="77777777" w:rsidR="0032757E" w:rsidRPr="00E91A66" w:rsidRDefault="0032757E">
      <w:pPr>
        <w:spacing w:line="360" w:lineRule="auto"/>
        <w:jc w:val="both"/>
        <w:rPr>
          <w:rFonts w:ascii="Palatino Linotype" w:eastAsia="Palatino Linotype" w:hAnsi="Palatino Linotype" w:cs="Palatino Linotype"/>
        </w:rPr>
      </w:pPr>
    </w:p>
    <w:p w14:paraId="6E17E1EB"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542E8D0" w14:textId="77777777" w:rsidR="0032757E" w:rsidRPr="00E91A66" w:rsidRDefault="0032757E">
      <w:pPr>
        <w:spacing w:line="360" w:lineRule="auto"/>
        <w:jc w:val="both"/>
        <w:rPr>
          <w:rFonts w:ascii="Palatino Linotype" w:eastAsia="Palatino Linotype" w:hAnsi="Palatino Linotype" w:cs="Palatino Linotype"/>
        </w:rPr>
      </w:pPr>
    </w:p>
    <w:p w14:paraId="12EA3162"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 </w:t>
      </w:r>
      <w:r w:rsidRPr="00E91A66">
        <w:rPr>
          <w:rFonts w:ascii="Palatino Linotype" w:eastAsia="Palatino Linotype" w:hAnsi="Palatino Linotype" w:cs="Palatino Linotype"/>
          <w:i/>
        </w:rPr>
        <w:t>“PLAZO RAZONABLE PARA RESOLVER. DIMENSIÓN Y EFECTOS DE ESTE CONCEPTO CUANDO SE ADUCE EXCESIVA CARGA DE TRABAJO.”</w:t>
      </w:r>
      <w:r w:rsidRPr="00E91A66">
        <w:rPr>
          <w:rFonts w:ascii="Palatino Linotype" w:eastAsia="Palatino Linotype" w:hAnsi="Palatino Linotype" w:cs="Palatino Linotype"/>
        </w:rPr>
        <w:t xml:space="preserve"> consultable en el Seminario Judicial de la Federación y su gaceta, con el registro digital 2002351.</w:t>
      </w:r>
    </w:p>
    <w:p w14:paraId="3D752A75" w14:textId="77777777" w:rsidR="0032757E" w:rsidRPr="00E91A66" w:rsidRDefault="0032757E">
      <w:pPr>
        <w:spacing w:line="360" w:lineRule="auto"/>
        <w:jc w:val="both"/>
        <w:rPr>
          <w:rFonts w:ascii="Palatino Linotype" w:eastAsia="Palatino Linotype" w:hAnsi="Palatino Linotype" w:cs="Palatino Linotype"/>
          <w:b/>
        </w:rPr>
      </w:pPr>
    </w:p>
    <w:p w14:paraId="52EAAAA3"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E91A66">
        <w:rPr>
          <w:rFonts w:ascii="Palatino Linotype" w:eastAsia="Palatino Linotype" w:hAnsi="Palatino Linotype" w:cs="Palatino Linotype"/>
        </w:rPr>
        <w:t>, visible en el Seminario Judicial de la Federación y su gaceta, con el registro digital 2002350.</w:t>
      </w:r>
    </w:p>
    <w:p w14:paraId="0FA10AC8" w14:textId="77777777" w:rsidR="0032757E" w:rsidRPr="00E91A66" w:rsidRDefault="0032757E">
      <w:pPr>
        <w:spacing w:line="360" w:lineRule="auto"/>
        <w:jc w:val="both"/>
        <w:rPr>
          <w:rFonts w:ascii="Palatino Linotype" w:eastAsia="Palatino Linotype" w:hAnsi="Palatino Linotype" w:cs="Palatino Linotype"/>
          <w:b/>
        </w:rPr>
      </w:pPr>
    </w:p>
    <w:p w14:paraId="30274CC9" w14:textId="77777777" w:rsidR="0032757E" w:rsidRPr="00E91A66" w:rsidRDefault="00C12375">
      <w:pPr>
        <w:spacing w:line="360" w:lineRule="auto"/>
        <w:jc w:val="both"/>
        <w:rPr>
          <w:rFonts w:ascii="Palatino Linotype" w:eastAsia="Palatino Linotype" w:hAnsi="Palatino Linotype" w:cs="Palatino Linotype"/>
        </w:rPr>
      </w:pPr>
      <w:bookmarkStart w:id="2" w:name="_heading=h.gjdgxs" w:colFirst="0" w:colLast="0"/>
      <w:bookmarkEnd w:id="2"/>
      <w:r w:rsidRPr="00E91A66">
        <w:rPr>
          <w:rFonts w:ascii="Palatino Linotype" w:eastAsia="Palatino Linotype" w:hAnsi="Palatino Linotype" w:cs="Palatino Linotype"/>
          <w:b/>
        </w:rPr>
        <w:t xml:space="preserve">16. </w:t>
      </w:r>
      <w:r w:rsidRPr="00E91A66">
        <w:rPr>
          <w:rFonts w:ascii="Palatino Linotype" w:eastAsia="Palatino Linotype" w:hAnsi="Palatino Linotype" w:cs="Palatino Linotype"/>
        </w:rPr>
        <w:t>Transcurrido el plazo señalado en el párrafo anterior y, una vez analizado el estado procesal qu</w:t>
      </w:r>
      <w:r w:rsidR="00577D28" w:rsidRPr="00E91A66">
        <w:rPr>
          <w:rFonts w:ascii="Palatino Linotype" w:eastAsia="Palatino Linotype" w:hAnsi="Palatino Linotype" w:cs="Palatino Linotype"/>
        </w:rPr>
        <w:t xml:space="preserve">e guarda el expediente, el </w:t>
      </w:r>
      <w:r w:rsidR="00577D28" w:rsidRPr="00F935E5">
        <w:rPr>
          <w:rFonts w:ascii="Palatino Linotype" w:eastAsia="Palatino Linotype" w:hAnsi="Palatino Linotype" w:cs="Palatino Linotype"/>
          <w:b/>
          <w:bCs/>
        </w:rPr>
        <w:t>diez</w:t>
      </w:r>
      <w:r w:rsidRPr="00F935E5">
        <w:rPr>
          <w:rFonts w:ascii="Palatino Linotype" w:eastAsia="Palatino Linotype" w:hAnsi="Palatino Linotype" w:cs="Palatino Linotype"/>
          <w:b/>
          <w:bCs/>
        </w:rPr>
        <w:t xml:space="preserve"> de septiembre del dos mil veinticuatro la Comisionada Ponente acordó el cierre de instrucción</w:t>
      </w:r>
      <w:r w:rsidRPr="00E91A66">
        <w:rPr>
          <w:rFonts w:ascii="Palatino Linotype" w:eastAsia="Palatino Linotype" w:hAnsi="Palatino Linotype" w:cs="Palatino Linotype"/>
        </w:rPr>
        <w:t>, así como la remisión del mismo a efecto de ser resuelto, de conformidad con lo establecido en el artículo 185, fracciones VI y VIII de la Ley de Transparencia y Acceso a la Información Pública del Estado de México y Municipios.</w:t>
      </w:r>
    </w:p>
    <w:p w14:paraId="6EB98259" w14:textId="77777777" w:rsidR="0032757E" w:rsidRPr="00E91A66" w:rsidRDefault="0032757E">
      <w:pPr>
        <w:spacing w:after="240" w:line="360" w:lineRule="auto"/>
        <w:jc w:val="both"/>
        <w:rPr>
          <w:rFonts w:ascii="Palatino Linotype" w:eastAsia="Palatino Linotype" w:hAnsi="Palatino Linotype" w:cs="Palatino Linotype"/>
        </w:rPr>
      </w:pPr>
    </w:p>
    <w:p w14:paraId="5DCA8D89" w14:textId="77777777" w:rsidR="0032757E" w:rsidRPr="00E91A66" w:rsidRDefault="00C12375">
      <w:pPr>
        <w:spacing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EA4AEB1" w14:textId="77777777" w:rsidR="0032757E" w:rsidRPr="00E91A66" w:rsidRDefault="00C12375">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91A66">
        <w:rPr>
          <w:rFonts w:ascii="Palatino Linotype" w:eastAsia="Palatino Linotype" w:hAnsi="Palatino Linotype" w:cs="Palatino Linotype"/>
          <w:b/>
          <w:sz w:val="22"/>
          <w:szCs w:val="22"/>
        </w:rPr>
        <w:t>CONSIDERANDO</w:t>
      </w:r>
    </w:p>
    <w:p w14:paraId="4ECE81AF"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Primero.</w:t>
      </w:r>
      <w:r w:rsidRPr="00E91A66">
        <w:rPr>
          <w:rFonts w:ascii="Palatino Linotype" w:eastAsia="Palatino Linotype" w:hAnsi="Palatino Linotype" w:cs="Palatino Linotype"/>
        </w:rPr>
        <w:t xml:space="preserve"> </w:t>
      </w:r>
      <w:r w:rsidRPr="00E91A66">
        <w:rPr>
          <w:rFonts w:ascii="Palatino Linotype" w:eastAsia="Palatino Linotype" w:hAnsi="Palatino Linotype" w:cs="Palatino Linotype"/>
          <w:b/>
        </w:rPr>
        <w:t xml:space="preserve">Competencia. </w:t>
      </w:r>
      <w:r w:rsidRPr="00E91A66">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w:t>
      </w:r>
      <w:r w:rsidRPr="00E91A66">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XXIII y XXIV 11 del Reglamento Interior del Instituto de Transparencia, Acceso a la Información Pública y Protección de Datos Personales del Estado de México y Municipios.</w:t>
      </w:r>
    </w:p>
    <w:p w14:paraId="6351F80E" w14:textId="77777777" w:rsidR="0032757E" w:rsidRPr="00E91A66" w:rsidRDefault="00C12375">
      <w:pPr>
        <w:spacing w:before="240" w:after="240" w:line="360" w:lineRule="auto"/>
        <w:jc w:val="both"/>
        <w:rPr>
          <w:rFonts w:ascii="Palatino Linotype" w:eastAsia="Palatino Linotype" w:hAnsi="Palatino Linotype" w:cs="Palatino Linotype"/>
        </w:rPr>
      </w:pPr>
      <w:r w:rsidRPr="00F935E5">
        <w:rPr>
          <w:rFonts w:ascii="Palatino Linotype" w:eastAsia="Palatino Linotype" w:hAnsi="Palatino Linotype" w:cs="Palatino Linotype"/>
          <w:b/>
        </w:rPr>
        <w:t>Segundo. Oportunidad y Procedibilidad del Recurso de Revisión.</w:t>
      </w:r>
      <w:r w:rsidRPr="00F935E5">
        <w:rPr>
          <w:rFonts w:ascii="Palatino Linotype" w:eastAsia="Palatino Linotype" w:hAnsi="Palatino Linotype" w:cs="Palatino Linotype"/>
          <w:b/>
          <w:sz w:val="22"/>
          <w:szCs w:val="22"/>
        </w:rPr>
        <w:t xml:space="preserve"> </w:t>
      </w:r>
      <w:r w:rsidRPr="00E91A66">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A616FD"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Al respecto la Ley de Transparencia y Acceso a la Información Pública del Estado de México y Municipios, establece lo siguiente:</w:t>
      </w:r>
    </w:p>
    <w:p w14:paraId="30CCC2F3" w14:textId="77777777" w:rsidR="0032757E" w:rsidRPr="00E91A66" w:rsidRDefault="00C12375">
      <w:pPr>
        <w:ind w:left="851" w:right="900"/>
        <w:jc w:val="both"/>
        <w:rPr>
          <w:rFonts w:ascii="Palatino Linotype" w:eastAsia="Palatino Linotype" w:hAnsi="Palatino Linotype" w:cs="Palatino Linotype"/>
          <w:i/>
          <w:sz w:val="28"/>
          <w:szCs w:val="28"/>
        </w:rPr>
      </w:pPr>
      <w:r w:rsidRPr="00E91A66">
        <w:rPr>
          <w:rFonts w:ascii="Palatino Linotype" w:eastAsia="Palatino Linotype" w:hAnsi="Palatino Linotype" w:cs="Palatino Linotype"/>
          <w:b/>
          <w:i/>
          <w:sz w:val="22"/>
          <w:szCs w:val="22"/>
        </w:rPr>
        <w:t xml:space="preserve">“Artículo 178. </w:t>
      </w:r>
      <w:r w:rsidRPr="00E91A6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A5FB25A" w14:textId="77777777" w:rsidR="0032757E" w:rsidRPr="00E91A66" w:rsidRDefault="00C12375">
      <w:pPr>
        <w:tabs>
          <w:tab w:val="left" w:pos="1418"/>
        </w:tabs>
        <w:spacing w:before="240" w:after="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remitió la respuesta a la solicitud de información el día </w:t>
      </w:r>
      <w:r w:rsidRPr="00E91A66">
        <w:rPr>
          <w:rFonts w:ascii="Palatino Linotype" w:eastAsia="Palatino Linotype" w:hAnsi="Palatino Linotype" w:cs="Palatino Linotype"/>
          <w:b/>
        </w:rPr>
        <w:t xml:space="preserve">tres de junio de dos mil veinticuatro, </w:t>
      </w:r>
      <w:r w:rsidRPr="00E91A66">
        <w:rPr>
          <w:rFonts w:ascii="Palatino Linotype" w:eastAsia="Palatino Linotype" w:hAnsi="Palatino Linotype" w:cs="Palatino Linotype"/>
        </w:rPr>
        <w:t xml:space="preserve">mientras que el recurso de revisión interpuesto por la parte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xml:space="preserve">, se tuvo por presentado el día </w:t>
      </w:r>
      <w:r w:rsidRPr="00E91A66">
        <w:rPr>
          <w:rFonts w:ascii="Palatino Linotype" w:eastAsia="Palatino Linotype" w:hAnsi="Palatino Linotype" w:cs="Palatino Linotype"/>
          <w:b/>
        </w:rPr>
        <w:lastRenderedPageBreak/>
        <w:t>cuatro del mismo mes y año</w:t>
      </w:r>
      <w:r w:rsidRPr="00E91A66">
        <w:rPr>
          <w:rFonts w:ascii="Palatino Linotype" w:eastAsia="Palatino Linotype" w:hAnsi="Palatino Linotype" w:cs="Palatino Linotype"/>
        </w:rPr>
        <w:t>; esto es, al primer día hábil en que tuvo conocimiento de la respuesta impugnada.</w:t>
      </w:r>
    </w:p>
    <w:p w14:paraId="044A0AE1"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7900799"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Asimismo, resulta procedente la interposición del recurso de revisión a los rubros anotados, toda vez que se actualiza las hipótesis previstas en el artículo 179 fracción XIII de la ley de la materia, que a la letra dice:</w:t>
      </w:r>
    </w:p>
    <w:p w14:paraId="5B80325A" w14:textId="77777777" w:rsidR="0032757E" w:rsidRPr="00E91A66" w:rsidRDefault="00C12375">
      <w:pPr>
        <w:ind w:left="1276" w:right="175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r w:rsidRPr="00E91A66">
        <w:rPr>
          <w:rFonts w:ascii="Palatino Linotype" w:eastAsia="Palatino Linotype" w:hAnsi="Palatino Linotype" w:cs="Palatino Linotype"/>
          <w:b/>
          <w:i/>
          <w:sz w:val="22"/>
          <w:szCs w:val="22"/>
        </w:rPr>
        <w:t xml:space="preserve">Artículo 179. </w:t>
      </w:r>
      <w:r w:rsidRPr="00E91A6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0188242" w14:textId="77777777" w:rsidR="0032757E" w:rsidRPr="00E91A66" w:rsidRDefault="00C12375">
      <w:pPr>
        <w:ind w:left="1276" w:right="175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2749F678" w14:textId="77777777" w:rsidR="0032757E" w:rsidRPr="00E91A66" w:rsidRDefault="00C12375">
      <w:pPr>
        <w:ind w:left="1276" w:right="175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XIII. La falta, deficiencia o insuficiencia de la fundamentación y/o motivación en la respuesta…”</w:t>
      </w:r>
    </w:p>
    <w:p w14:paraId="5B8120ED" w14:textId="77777777" w:rsidR="0032757E" w:rsidRPr="00E91A66" w:rsidRDefault="00C12375">
      <w:pPr>
        <w:spacing w:before="280" w:after="28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Tercero. Materia de la revisión. </w:t>
      </w:r>
      <w:r w:rsidRPr="00E91A66">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E91A66">
        <w:rPr>
          <w:rFonts w:ascii="Palatino Linotype" w:eastAsia="Palatino Linotype" w:hAnsi="Palatino Linotype" w:cs="Palatino Linotype"/>
          <w:b/>
        </w:rPr>
        <w:t xml:space="preserve">verificar si la respuesta como informe justificado otorgados por el SUJETO OBLIGADO en cumplimiento a la resolución </w:t>
      </w:r>
      <w:r w:rsidRPr="00E91A66">
        <w:rPr>
          <w:rFonts w:ascii="Palatino Linotype" w:eastAsia="Palatino Linotype" w:hAnsi="Palatino Linotype" w:cs="Palatino Linotype"/>
        </w:rPr>
        <w:t xml:space="preserve">aprobada en la Décima Séptima Sesión Ordinaria Celebrada el quince de mayo de dos mil veinticuatro, recaída en el recurso de revisión </w:t>
      </w:r>
      <w:r w:rsidRPr="00E91A66">
        <w:rPr>
          <w:rFonts w:ascii="Palatino Linotype" w:eastAsia="Palatino Linotype" w:hAnsi="Palatino Linotype" w:cs="Palatino Linotype"/>
          <w:b/>
        </w:rPr>
        <w:t xml:space="preserve">01859/INFOEM/IP/RR/2024; son adecuados y suficientes para </w:t>
      </w:r>
      <w:r w:rsidRPr="00E91A66">
        <w:rPr>
          <w:rFonts w:ascii="Palatino Linotype" w:eastAsia="Palatino Linotype" w:hAnsi="Palatino Linotype" w:cs="Palatino Linotype"/>
          <w:b/>
        </w:rPr>
        <w:lastRenderedPageBreak/>
        <w:t xml:space="preserve">satisfacer el derecho de acceso a la información pública </w:t>
      </w:r>
      <w:r w:rsidRPr="00E91A66">
        <w:rPr>
          <w:rFonts w:ascii="Palatino Linotype" w:eastAsia="Palatino Linotype" w:hAnsi="Palatino Linotype" w:cs="Palatino Linotype"/>
        </w:rPr>
        <w:t xml:space="preserve">de la parte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o en su defecto, en caso de ser procedente, ordenar la entrega de información.</w:t>
      </w:r>
    </w:p>
    <w:p w14:paraId="03D8FAF2"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Cuarto. Estudio del asunto. </w:t>
      </w:r>
      <w:r w:rsidRPr="00E91A66">
        <w:rPr>
          <w:rFonts w:ascii="Palatino Linotype" w:eastAsia="Palatino Linotype" w:hAnsi="Palatino Linotype" w:cs="Palatino Linotype"/>
        </w:rPr>
        <w:t xml:space="preserve">Es conveniente analizar si la respuesta del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61FB709" w14:textId="77777777" w:rsidR="0032757E" w:rsidRPr="00E91A66" w:rsidRDefault="00C12375">
      <w:pPr>
        <w:spacing w:before="240"/>
        <w:ind w:left="709" w:right="76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r w:rsidRPr="00E91A66">
        <w:rPr>
          <w:rFonts w:ascii="Palatino Linotype" w:eastAsia="Palatino Linotype" w:hAnsi="Palatino Linotype" w:cs="Palatino Linotype"/>
          <w:b/>
          <w:i/>
          <w:sz w:val="22"/>
          <w:szCs w:val="22"/>
        </w:rPr>
        <w:t>Artículo 4.</w:t>
      </w:r>
      <w:r w:rsidRPr="00E91A6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9BD92AE" w14:textId="77777777" w:rsidR="0032757E" w:rsidRPr="00E91A66" w:rsidRDefault="00C12375">
      <w:pPr>
        <w:ind w:left="709" w:right="76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91A6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8B1292D" w14:textId="77777777" w:rsidR="0032757E" w:rsidRPr="00E91A66" w:rsidRDefault="00C12375">
      <w:pPr>
        <w:ind w:left="709" w:right="76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91A66">
        <w:rPr>
          <w:rFonts w:ascii="Palatino Linotype" w:eastAsia="Palatino Linotype" w:hAnsi="Palatino Linotype" w:cs="Palatino Linotype"/>
          <w:i/>
          <w:sz w:val="22"/>
          <w:szCs w:val="22"/>
        </w:rPr>
        <w:t>.”</w:t>
      </w:r>
    </w:p>
    <w:p w14:paraId="3F8588E0" w14:textId="77777777" w:rsidR="0032757E" w:rsidRPr="00E91A66" w:rsidRDefault="0032757E">
      <w:pPr>
        <w:ind w:left="709" w:right="760"/>
        <w:jc w:val="both"/>
        <w:rPr>
          <w:rFonts w:ascii="Palatino Linotype" w:eastAsia="Palatino Linotype" w:hAnsi="Palatino Linotype" w:cs="Palatino Linotype"/>
          <w:i/>
        </w:rPr>
      </w:pPr>
    </w:p>
    <w:p w14:paraId="00E0D803"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w:t>
      </w:r>
      <w:r w:rsidRPr="00E91A66">
        <w:rPr>
          <w:rFonts w:ascii="Palatino Linotype" w:eastAsia="Palatino Linotype" w:hAnsi="Palatino Linotype" w:cs="Palatino Linotype"/>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CCBAE60" w14:textId="77777777" w:rsidR="0032757E" w:rsidRPr="00E91A66" w:rsidRDefault="00C12375">
      <w:pPr>
        <w:ind w:left="567" w:right="75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r w:rsidRPr="00E91A66">
        <w:rPr>
          <w:rFonts w:ascii="Palatino Linotype" w:eastAsia="Palatino Linotype" w:hAnsi="Palatino Linotype" w:cs="Palatino Linotype"/>
          <w:b/>
          <w:i/>
          <w:sz w:val="22"/>
          <w:szCs w:val="22"/>
        </w:rPr>
        <w:t>Artículo12.-</w:t>
      </w:r>
      <w:r w:rsidRPr="00E91A6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CED7710" w14:textId="77777777" w:rsidR="0032757E" w:rsidRPr="00E91A66" w:rsidRDefault="00C12375">
      <w:pPr>
        <w:ind w:left="567" w:right="758"/>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91A66">
        <w:rPr>
          <w:rFonts w:ascii="Palatino Linotype" w:eastAsia="Palatino Linotype" w:hAnsi="Palatino Linotype" w:cs="Palatino Linotype"/>
          <w:i/>
          <w:sz w:val="22"/>
          <w:szCs w:val="22"/>
        </w:rPr>
        <w:t xml:space="preserve">. </w:t>
      </w:r>
      <w:r w:rsidRPr="00E91A6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CFD6C1D" w14:textId="77777777" w:rsidR="0032757E" w:rsidRPr="00E91A66" w:rsidRDefault="0032757E">
      <w:pPr>
        <w:spacing w:line="360" w:lineRule="auto"/>
        <w:ind w:right="-93"/>
        <w:jc w:val="both"/>
        <w:rPr>
          <w:rFonts w:ascii="Palatino Linotype" w:eastAsia="Palatino Linotype" w:hAnsi="Palatino Linotype" w:cs="Palatino Linotype"/>
        </w:rPr>
      </w:pPr>
    </w:p>
    <w:p w14:paraId="2129836E" w14:textId="77777777" w:rsidR="0032757E" w:rsidRPr="00E91A66" w:rsidRDefault="00C12375">
      <w:pPr>
        <w:spacing w:line="360" w:lineRule="auto"/>
        <w:ind w:right="-93"/>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Es decir, todo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50A3E635" w14:textId="77777777" w:rsidR="0032757E" w:rsidRPr="00E91A66" w:rsidRDefault="0032757E">
      <w:pPr>
        <w:spacing w:line="360" w:lineRule="auto"/>
        <w:ind w:right="-93"/>
        <w:jc w:val="both"/>
        <w:rPr>
          <w:rFonts w:ascii="Palatino Linotype" w:eastAsia="Palatino Linotype" w:hAnsi="Palatino Linotype" w:cs="Palatino Linotype"/>
        </w:rPr>
      </w:pPr>
    </w:p>
    <w:p w14:paraId="3AC35187" w14:textId="77777777" w:rsidR="0032757E" w:rsidRPr="00E91A66" w:rsidRDefault="00C12375">
      <w:pPr>
        <w:spacing w:line="360" w:lineRule="auto"/>
        <w:jc w:val="both"/>
        <w:rPr>
          <w:rFonts w:ascii="Palatino Linotype" w:eastAsia="Palatino Linotype" w:hAnsi="Palatino Linotype" w:cs="Palatino Linotype"/>
          <w:b/>
        </w:rPr>
      </w:pPr>
      <w:r w:rsidRPr="00E91A66">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91A66">
        <w:rPr>
          <w:rFonts w:ascii="Palatino Linotype" w:eastAsia="Palatino Linotype" w:hAnsi="Palatino Linotype" w:cs="Palatino Linotype"/>
          <w:b/>
        </w:rPr>
        <w:t xml:space="preserve"> </w:t>
      </w:r>
    </w:p>
    <w:p w14:paraId="721B6C73" w14:textId="77777777" w:rsidR="0032757E" w:rsidRPr="00E91A66" w:rsidRDefault="0032757E">
      <w:pPr>
        <w:ind w:left="851" w:right="850"/>
        <w:jc w:val="both"/>
        <w:rPr>
          <w:rFonts w:ascii="Palatino Linotype" w:eastAsia="Palatino Linotype" w:hAnsi="Palatino Linotype" w:cs="Palatino Linotype"/>
        </w:rPr>
      </w:pPr>
    </w:p>
    <w:p w14:paraId="211C71C3" w14:textId="77777777" w:rsidR="0032757E" w:rsidRPr="00E91A66" w:rsidRDefault="00C12375">
      <w:pPr>
        <w:ind w:left="851" w:right="90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r w:rsidRPr="00E91A66">
        <w:rPr>
          <w:rFonts w:ascii="Palatino Linotype" w:eastAsia="Palatino Linotype" w:hAnsi="Palatino Linotype" w:cs="Palatino Linotype"/>
          <w:b/>
          <w:i/>
          <w:sz w:val="22"/>
          <w:szCs w:val="22"/>
        </w:rPr>
        <w:t>No existe obligación de elaborar documentos ad hoc para atender las solicitudes de acceso a la información.</w:t>
      </w:r>
      <w:r w:rsidRPr="00E91A6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w:t>
      </w:r>
      <w:r w:rsidRPr="00E91A66">
        <w:rPr>
          <w:rFonts w:ascii="Palatino Linotype" w:eastAsia="Palatino Linotype" w:hAnsi="Palatino Linotype" w:cs="Palatino Linotype"/>
          <w:i/>
          <w:sz w:val="22"/>
          <w:szCs w:val="22"/>
        </w:rPr>
        <w:lastRenderedPageBreak/>
        <w:t>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B451497" w14:textId="77777777" w:rsidR="0032757E" w:rsidRPr="00E91A66" w:rsidRDefault="00C12375">
      <w:pPr>
        <w:ind w:left="851" w:right="90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Resoluciones: </w:t>
      </w:r>
    </w:p>
    <w:p w14:paraId="0433BB07" w14:textId="77777777" w:rsidR="0032757E" w:rsidRPr="00E91A66" w:rsidRDefault="00C12375">
      <w:pPr>
        <w:ind w:left="851" w:right="901"/>
        <w:jc w:val="both"/>
        <w:rPr>
          <w:rFonts w:ascii="Palatino Linotype" w:eastAsia="Palatino Linotype" w:hAnsi="Palatino Linotype" w:cs="Palatino Linotype"/>
          <w:i/>
          <w:sz w:val="22"/>
          <w:szCs w:val="22"/>
        </w:rPr>
      </w:pPr>
      <w:r w:rsidRPr="00E91A66">
        <w:rPr>
          <w:rFonts w:ascii="Symbol" w:eastAsia="Symbol" w:hAnsi="Symbol" w:cs="Symbol"/>
          <w:i/>
          <w:sz w:val="22"/>
          <w:szCs w:val="22"/>
        </w:rPr>
        <w:t>∙</w:t>
      </w:r>
      <w:r w:rsidRPr="00E91A66">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F9AAAAC" w14:textId="77777777" w:rsidR="0032757E" w:rsidRPr="00E91A66" w:rsidRDefault="00C12375">
      <w:pPr>
        <w:ind w:left="851" w:right="901"/>
        <w:jc w:val="both"/>
        <w:rPr>
          <w:rFonts w:ascii="Palatino Linotype" w:eastAsia="Palatino Linotype" w:hAnsi="Palatino Linotype" w:cs="Palatino Linotype"/>
          <w:i/>
          <w:sz w:val="22"/>
          <w:szCs w:val="22"/>
        </w:rPr>
      </w:pPr>
      <w:r w:rsidRPr="00E91A66">
        <w:rPr>
          <w:rFonts w:ascii="Symbol" w:eastAsia="Symbol" w:hAnsi="Symbol" w:cs="Symbol"/>
          <w:i/>
          <w:sz w:val="22"/>
          <w:szCs w:val="22"/>
        </w:rPr>
        <w:t>∙</w:t>
      </w:r>
      <w:r w:rsidRPr="00E91A66">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B926BFC" w14:textId="77777777" w:rsidR="0032757E" w:rsidRPr="00E91A66" w:rsidRDefault="00C12375">
      <w:pPr>
        <w:ind w:left="851" w:right="901"/>
        <w:jc w:val="both"/>
        <w:rPr>
          <w:rFonts w:ascii="Palatino Linotype" w:eastAsia="Palatino Linotype" w:hAnsi="Palatino Linotype" w:cs="Palatino Linotype"/>
          <w:i/>
          <w:sz w:val="22"/>
          <w:szCs w:val="22"/>
        </w:rPr>
      </w:pPr>
      <w:r w:rsidRPr="00E91A66">
        <w:rPr>
          <w:rFonts w:ascii="Symbol" w:eastAsia="Symbol" w:hAnsi="Symbol" w:cs="Symbol"/>
          <w:i/>
          <w:sz w:val="22"/>
          <w:szCs w:val="22"/>
        </w:rPr>
        <w:t>∙</w:t>
      </w:r>
      <w:r w:rsidRPr="00E91A66">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
    <w:p w14:paraId="3B45AB24" w14:textId="77777777" w:rsidR="0032757E" w:rsidRPr="00E91A66" w:rsidRDefault="0032757E">
      <w:pPr>
        <w:spacing w:line="360" w:lineRule="auto"/>
        <w:jc w:val="both"/>
        <w:rPr>
          <w:rFonts w:ascii="Palatino Linotype" w:eastAsia="Palatino Linotype" w:hAnsi="Palatino Linotype" w:cs="Palatino Linotype"/>
        </w:rPr>
      </w:pPr>
    </w:p>
    <w:p w14:paraId="7AC36302"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4BA4940" w14:textId="77777777" w:rsidR="0032757E" w:rsidRPr="00E91A66" w:rsidRDefault="0032757E">
      <w:pPr>
        <w:spacing w:line="360" w:lineRule="auto"/>
        <w:jc w:val="both"/>
        <w:rPr>
          <w:rFonts w:ascii="Palatino Linotype" w:eastAsia="Palatino Linotype" w:hAnsi="Palatino Linotype" w:cs="Palatino Linotype"/>
        </w:rPr>
      </w:pPr>
    </w:p>
    <w:p w14:paraId="6998E9F3" w14:textId="77777777" w:rsidR="0032757E" w:rsidRPr="00E91A66" w:rsidRDefault="00C12375">
      <w:pPr>
        <w:spacing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E91A66">
        <w:rPr>
          <w:rFonts w:ascii="Palatino Linotype" w:eastAsia="Palatino Linotype" w:hAnsi="Palatino Linotype" w:cs="Palatino Linotype"/>
        </w:rPr>
        <w:lastRenderedPageBreak/>
        <w:t>Ley de Transparencia y Acceso a la Información Pública del Estado de México y Municipios.</w:t>
      </w:r>
    </w:p>
    <w:p w14:paraId="2A53F6FB" w14:textId="77777777" w:rsidR="0032757E" w:rsidRPr="00E91A66" w:rsidRDefault="0032757E">
      <w:pPr>
        <w:spacing w:line="360" w:lineRule="auto"/>
        <w:ind w:right="49"/>
        <w:jc w:val="both"/>
        <w:rPr>
          <w:rFonts w:ascii="Palatino Linotype" w:eastAsia="Palatino Linotype" w:hAnsi="Palatino Linotype" w:cs="Palatino Linotype"/>
        </w:rPr>
      </w:pPr>
    </w:p>
    <w:p w14:paraId="7236BDA4"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9164134" w14:textId="77777777" w:rsidR="0032757E" w:rsidRPr="00E91A66" w:rsidRDefault="0032757E">
      <w:pPr>
        <w:ind w:left="851" w:right="899"/>
        <w:jc w:val="both"/>
        <w:rPr>
          <w:rFonts w:ascii="Palatino Linotype" w:eastAsia="Palatino Linotype" w:hAnsi="Palatino Linotype" w:cs="Palatino Linotype"/>
          <w:i/>
          <w:sz w:val="22"/>
          <w:szCs w:val="22"/>
        </w:rPr>
      </w:pPr>
    </w:p>
    <w:p w14:paraId="25D02EB3" w14:textId="77777777" w:rsidR="0032757E" w:rsidRPr="00E91A66" w:rsidRDefault="00C12375">
      <w:pPr>
        <w:ind w:left="851" w:right="89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r w:rsidRPr="00E91A66">
        <w:rPr>
          <w:rFonts w:ascii="Palatino Linotype" w:eastAsia="Palatino Linotype" w:hAnsi="Palatino Linotype" w:cs="Palatino Linotype"/>
          <w:b/>
          <w:i/>
          <w:sz w:val="22"/>
          <w:szCs w:val="22"/>
        </w:rPr>
        <w:t xml:space="preserve">Artículo 3. </w:t>
      </w:r>
      <w:r w:rsidRPr="00E91A66">
        <w:rPr>
          <w:rFonts w:ascii="Palatino Linotype" w:eastAsia="Palatino Linotype" w:hAnsi="Palatino Linotype" w:cs="Palatino Linotype"/>
          <w:i/>
          <w:sz w:val="22"/>
          <w:szCs w:val="22"/>
        </w:rPr>
        <w:t>Para los efectos de la presente Ley se entenderá por:</w:t>
      </w:r>
    </w:p>
    <w:p w14:paraId="3E9C5574" w14:textId="77777777" w:rsidR="0032757E" w:rsidRPr="00E91A66" w:rsidRDefault="00C12375">
      <w:pPr>
        <w:ind w:left="851" w:right="89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0E872779" w14:textId="77777777" w:rsidR="0032757E" w:rsidRPr="00E91A66" w:rsidRDefault="00C12375">
      <w:pPr>
        <w:ind w:left="851" w:right="89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XI. Documento:</w:t>
      </w:r>
      <w:r w:rsidRPr="00E91A66">
        <w:rPr>
          <w:rFonts w:ascii="Palatino Linotype" w:eastAsia="Palatino Linotype" w:hAnsi="Palatino Linotype" w:cs="Palatino Linotype"/>
          <w:i/>
          <w:sz w:val="22"/>
          <w:szCs w:val="22"/>
        </w:rPr>
        <w:t xml:space="preserve"> Los expedientes, reportes, estudios, actas</w:t>
      </w:r>
      <w:r w:rsidRPr="00E91A66">
        <w:rPr>
          <w:rFonts w:ascii="Palatino Linotype" w:eastAsia="Palatino Linotype" w:hAnsi="Palatino Linotype" w:cs="Palatino Linotype"/>
          <w:b/>
          <w:i/>
          <w:sz w:val="22"/>
          <w:szCs w:val="22"/>
        </w:rPr>
        <w:t>,</w:t>
      </w:r>
      <w:r w:rsidRPr="00E91A6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20208BF" w14:textId="77777777" w:rsidR="0032757E" w:rsidRPr="00E91A66" w:rsidRDefault="0032757E">
      <w:pPr>
        <w:ind w:left="851" w:right="899"/>
        <w:jc w:val="both"/>
        <w:rPr>
          <w:rFonts w:ascii="Palatino Linotype" w:eastAsia="Palatino Linotype" w:hAnsi="Palatino Linotype" w:cs="Palatino Linotype"/>
          <w:sz w:val="22"/>
          <w:szCs w:val="22"/>
        </w:rPr>
      </w:pPr>
    </w:p>
    <w:p w14:paraId="531685A4"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11C0F8" w14:textId="77777777" w:rsidR="0032757E" w:rsidRPr="00E91A66" w:rsidRDefault="0032757E">
      <w:pPr>
        <w:ind w:left="851" w:right="899"/>
        <w:jc w:val="both"/>
        <w:rPr>
          <w:rFonts w:ascii="Palatino Linotype" w:eastAsia="Palatino Linotype" w:hAnsi="Palatino Linotype" w:cs="Palatino Linotype"/>
        </w:rPr>
      </w:pPr>
    </w:p>
    <w:p w14:paraId="1E249C26" w14:textId="77777777" w:rsidR="0032757E" w:rsidRPr="00E91A66" w:rsidRDefault="00C12375">
      <w:pPr>
        <w:ind w:left="851" w:right="899"/>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sz w:val="22"/>
          <w:szCs w:val="22"/>
        </w:rPr>
        <w:lastRenderedPageBreak/>
        <w:t>“</w:t>
      </w:r>
      <w:r w:rsidRPr="00E91A66">
        <w:rPr>
          <w:rFonts w:ascii="Palatino Linotype" w:eastAsia="Palatino Linotype" w:hAnsi="Palatino Linotype" w:cs="Palatino Linotype"/>
          <w:b/>
          <w:i/>
          <w:sz w:val="22"/>
          <w:szCs w:val="22"/>
        </w:rPr>
        <w:t>CRITERIO 0002-11</w:t>
      </w:r>
    </w:p>
    <w:p w14:paraId="7D871E2A" w14:textId="77777777" w:rsidR="0032757E" w:rsidRPr="00E91A66" w:rsidRDefault="00C12375">
      <w:pPr>
        <w:ind w:left="851" w:right="89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91A6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9D3296" w14:textId="77777777" w:rsidR="0032757E" w:rsidRPr="00E91A66" w:rsidRDefault="00C12375">
      <w:pPr>
        <w:ind w:left="851" w:right="89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En </w:t>
      </w:r>
      <w:proofErr w:type="gramStart"/>
      <w:r w:rsidRPr="00E91A66">
        <w:rPr>
          <w:rFonts w:ascii="Palatino Linotype" w:eastAsia="Palatino Linotype" w:hAnsi="Palatino Linotype" w:cs="Palatino Linotype"/>
          <w:i/>
          <w:sz w:val="22"/>
          <w:szCs w:val="22"/>
        </w:rPr>
        <w:t>consecuencia</w:t>
      </w:r>
      <w:proofErr w:type="gramEnd"/>
      <w:r w:rsidRPr="00E91A6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0AA6B9A" w14:textId="77777777" w:rsidR="0032757E" w:rsidRPr="00E91A66" w:rsidRDefault="00C12375">
      <w:pPr>
        <w:ind w:left="851" w:right="89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91A66">
        <w:rPr>
          <w:rFonts w:ascii="Palatino Linotype" w:eastAsia="Palatino Linotype" w:hAnsi="Palatino Linotype" w:cs="Palatino Linotype"/>
          <w:i/>
          <w:sz w:val="22"/>
          <w:szCs w:val="22"/>
        </w:rPr>
        <w:t>que</w:t>
      </w:r>
      <w:proofErr w:type="gramEnd"/>
      <w:r w:rsidRPr="00E91A66">
        <w:rPr>
          <w:rFonts w:ascii="Palatino Linotype" w:eastAsia="Palatino Linotype" w:hAnsi="Palatino Linotype" w:cs="Palatino Linotype"/>
          <w:i/>
          <w:sz w:val="22"/>
          <w:szCs w:val="22"/>
        </w:rPr>
        <w:t xml:space="preserve"> en ejercicio de las atribuciones conferidas, sea generada por los Sujetos Obligados;</w:t>
      </w:r>
    </w:p>
    <w:p w14:paraId="24EEB4E2" w14:textId="77777777" w:rsidR="0032757E" w:rsidRPr="00E91A66" w:rsidRDefault="00C12375">
      <w:pPr>
        <w:ind w:left="851" w:right="899"/>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91A66">
        <w:rPr>
          <w:rFonts w:ascii="Palatino Linotype" w:eastAsia="Palatino Linotype" w:hAnsi="Palatino Linotype" w:cs="Palatino Linotype"/>
          <w:b/>
          <w:i/>
          <w:sz w:val="22"/>
          <w:szCs w:val="22"/>
        </w:rPr>
        <w:t>que</w:t>
      </w:r>
      <w:proofErr w:type="gramEnd"/>
      <w:r w:rsidRPr="00E91A66">
        <w:rPr>
          <w:rFonts w:ascii="Palatino Linotype" w:eastAsia="Palatino Linotype" w:hAnsi="Palatino Linotype" w:cs="Palatino Linotype"/>
          <w:b/>
          <w:i/>
          <w:sz w:val="22"/>
          <w:szCs w:val="22"/>
        </w:rPr>
        <w:t xml:space="preserve"> en ejercicio de las atribuciones conferidas, sea administrada por los Sujetos Obligados, y</w:t>
      </w:r>
    </w:p>
    <w:p w14:paraId="749E15F2" w14:textId="77777777" w:rsidR="0032757E" w:rsidRPr="00E91A66" w:rsidRDefault="00C12375">
      <w:pPr>
        <w:ind w:left="851" w:right="899"/>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91A66">
        <w:rPr>
          <w:rFonts w:ascii="Palatino Linotype" w:eastAsia="Palatino Linotype" w:hAnsi="Palatino Linotype" w:cs="Palatino Linotype"/>
          <w:b/>
          <w:i/>
          <w:sz w:val="22"/>
          <w:szCs w:val="22"/>
        </w:rPr>
        <w:t>que</w:t>
      </w:r>
      <w:proofErr w:type="gramEnd"/>
      <w:r w:rsidRPr="00E91A66">
        <w:rPr>
          <w:rFonts w:ascii="Palatino Linotype" w:eastAsia="Palatino Linotype" w:hAnsi="Palatino Linotype" w:cs="Palatino Linotype"/>
          <w:b/>
          <w:i/>
          <w:sz w:val="22"/>
          <w:szCs w:val="22"/>
        </w:rPr>
        <w:t xml:space="preserve"> en ejercicio de las atribuciones conferidas, se encuentre en posesión de los Sujetos Obligados.”</w:t>
      </w:r>
    </w:p>
    <w:p w14:paraId="6FBCD411" w14:textId="77777777" w:rsidR="0032757E" w:rsidRPr="00E91A66" w:rsidRDefault="0032757E">
      <w:pPr>
        <w:spacing w:line="360" w:lineRule="auto"/>
        <w:ind w:right="-93"/>
        <w:jc w:val="both"/>
        <w:rPr>
          <w:rFonts w:ascii="Palatino Linotype" w:eastAsia="Palatino Linotype" w:hAnsi="Palatino Linotype" w:cs="Palatino Linotype"/>
        </w:rPr>
      </w:pPr>
    </w:p>
    <w:p w14:paraId="3A208F08" w14:textId="77777777" w:rsidR="0032757E" w:rsidRPr="00E91A66" w:rsidRDefault="00C12375">
      <w:pPr>
        <w:spacing w:line="360" w:lineRule="auto"/>
        <w:ind w:right="-93"/>
        <w:jc w:val="both"/>
        <w:rPr>
          <w:rFonts w:ascii="Palatino Linotype" w:eastAsia="Palatino Linotype" w:hAnsi="Palatino Linotype" w:cs="Palatino Linotype"/>
        </w:rPr>
      </w:pPr>
      <w:r w:rsidRPr="00E91A66">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Xalatlaco, le proporcionara lo siguiente:</w:t>
      </w:r>
    </w:p>
    <w:p w14:paraId="0E1BED51" w14:textId="77777777" w:rsidR="0032757E" w:rsidRPr="00E91A66" w:rsidRDefault="00C12375">
      <w:pPr>
        <w:numPr>
          <w:ilvl w:val="0"/>
          <w:numId w:val="3"/>
        </w:num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La información relacionada con la rehabilitación de la red de aguas que corre por la Av. </w:t>
      </w:r>
      <w:proofErr w:type="gramStart"/>
      <w:r w:rsidRPr="00E91A66">
        <w:rPr>
          <w:rFonts w:ascii="Palatino Linotype" w:eastAsia="Palatino Linotype" w:hAnsi="Palatino Linotype" w:cs="Palatino Linotype"/>
        </w:rPr>
        <w:t>Moctezuma</w:t>
      </w:r>
      <w:proofErr w:type="gramEnd"/>
      <w:r w:rsidRPr="00E91A66">
        <w:rPr>
          <w:rFonts w:ascii="Palatino Linotype" w:eastAsia="Palatino Linotype" w:hAnsi="Palatino Linotype" w:cs="Palatino Linotype"/>
        </w:rPr>
        <w:t xml:space="preserve"> así como de la avenida misma, costos que se generaron y el despliegue de dichos costos, así mismo la procedencia de dichos recursos como los actores involucrados en dicha gestión y ejecución. </w:t>
      </w:r>
    </w:p>
    <w:p w14:paraId="606BF3DF"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En respuesta, el </w:t>
      </w:r>
      <w:r w:rsidRPr="00E91A66">
        <w:rPr>
          <w:rFonts w:ascii="Palatino Linotype" w:eastAsia="Palatino Linotype" w:hAnsi="Palatino Linotype" w:cs="Palatino Linotype"/>
          <w:b/>
        </w:rPr>
        <w:t xml:space="preserve">SUJETO OBLIGADO </w:t>
      </w:r>
      <w:r w:rsidRPr="00E91A66">
        <w:rPr>
          <w:rFonts w:ascii="Palatino Linotype" w:eastAsia="Palatino Linotype" w:hAnsi="Palatino Linotype" w:cs="Palatino Linotype"/>
        </w:rPr>
        <w:t xml:space="preserve">a través de Tesorero Municipal informó, que para poder identificar dicha información en los archivos digitales y físicos que obran en dicha Tesorería Municipal, es necesario verificar el nombre completo, preciso y actual, debido a que la solicitud de información corresponde a la administración </w:t>
      </w:r>
      <w:r w:rsidRPr="00E91A66">
        <w:rPr>
          <w:rFonts w:ascii="Palatino Linotype" w:eastAsia="Palatino Linotype" w:hAnsi="Palatino Linotype" w:cs="Palatino Linotype"/>
        </w:rPr>
        <w:lastRenderedPageBreak/>
        <w:t xml:space="preserve">2016-2018 por lo cual obra en el Archivo Municipal para verificar la existencia de la misma. </w:t>
      </w:r>
    </w:p>
    <w:p w14:paraId="28779BBD" w14:textId="77777777" w:rsidR="0032757E" w:rsidRPr="00E91A66" w:rsidRDefault="00C12375">
      <w:pPr>
        <w:spacing w:before="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No obstante, la parte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al presentar el recurso de revisión que nos ocupa, señaló en lo medular que la respuesta no satisface la solicitud presentada por el recurrente, ni satisface los puntos acotados en los puntos resolutivos de la resolución que condenan al Sujeto Obligado, ni tampoco gozan de la fundamentación y motivación adecuadas para tener dicha respuesta por legal y eficaz.</w:t>
      </w:r>
    </w:p>
    <w:p w14:paraId="0F9E6074" w14:textId="77777777" w:rsidR="0032757E" w:rsidRPr="00E91A66" w:rsidRDefault="00C12375">
      <w:pPr>
        <w:spacing w:before="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Ante la interposición del recurso de revisión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rindió su informe justificado, mediante el cual el Tesorero Municipal del Ayuntamiento de Xalatlaco, informó que después de haber realizado una búsqueda minuciosa en los archivos que obran en la Tesorería Municipal en formato electrónico y físico, se encontró documentación en relación a dicho ejercicio, adjuntando para tal efecto dos facturas una por la renta de una zanjadora y la otra por el desglose de gastos, por la obra de rehabilitación de red de agua potable en la calle Moctezuma, 5 de mayo, Miguel Hidalgo y Mariano Escobedo hidráulica, Municipio de Xalatlaco, México, constante de una y tres fojas respectivamente.  </w:t>
      </w:r>
    </w:p>
    <w:p w14:paraId="49E6FDDC"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En virtud de lo anterior, se determina que la información emitida por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w:t>
      </w:r>
      <w:r w:rsidRPr="00E91A66">
        <w:rPr>
          <w:rFonts w:ascii="Palatino Linotype" w:eastAsia="Palatino Linotype" w:hAnsi="Palatino Linotype" w:cs="Palatino Linotype"/>
          <w:b/>
        </w:rPr>
        <w:t xml:space="preserve">en cumplimiento a la resolución </w:t>
      </w:r>
      <w:r w:rsidRPr="00E91A66">
        <w:rPr>
          <w:rFonts w:ascii="Palatino Linotype" w:eastAsia="Palatino Linotype" w:hAnsi="Palatino Linotype" w:cs="Palatino Linotype"/>
        </w:rPr>
        <w:t xml:space="preserve">aprobada en la Décima Séptima Sesión Ordinaria Celebrada el quince de mayo de dos mil veinticuatro, recaída en el recurso de revisión </w:t>
      </w:r>
      <w:r w:rsidRPr="00E91A66">
        <w:rPr>
          <w:rFonts w:ascii="Palatino Linotype" w:eastAsia="Palatino Linotype" w:hAnsi="Palatino Linotype" w:cs="Palatino Linotype"/>
          <w:b/>
        </w:rPr>
        <w:t>01859/INFOEM/IP/RR/2024</w:t>
      </w:r>
      <w:r w:rsidRPr="00E91A66">
        <w:rPr>
          <w:rFonts w:ascii="Palatino Linotype" w:eastAsia="Palatino Linotype" w:hAnsi="Palatino Linotype" w:cs="Palatino Linotype"/>
        </w:rPr>
        <w:t xml:space="preserve">, no cumple con lo establecido por los artículos 4, 12, 24 último párrafo y 162 de la Ley de Transparencia y Acceso a la Información Pública del Estado de México y Municipios; de ahí que, los motivos de </w:t>
      </w:r>
      <w:r w:rsidRPr="00E91A66">
        <w:rPr>
          <w:rFonts w:ascii="Palatino Linotype" w:eastAsia="Palatino Linotype" w:hAnsi="Palatino Linotype" w:cs="Palatino Linotype"/>
        </w:rPr>
        <w:lastRenderedPageBreak/>
        <w:t xml:space="preserve">inconformidad acontecen fundados para revocar la respuesta del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en razón de las consideraciones de derecho que a continuación se exponen:</w:t>
      </w:r>
    </w:p>
    <w:p w14:paraId="3DA5B1D8" w14:textId="77777777" w:rsidR="0032757E" w:rsidRPr="00E91A66" w:rsidRDefault="00C12375">
      <w:pPr>
        <w:spacing w:before="240" w:after="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Antes del estudio de fondo, es pertinente aclarar </w:t>
      </w:r>
      <w:proofErr w:type="gramStart"/>
      <w:r w:rsidRPr="00E91A66">
        <w:rPr>
          <w:rFonts w:ascii="Palatino Linotype" w:eastAsia="Palatino Linotype" w:hAnsi="Palatino Linotype" w:cs="Palatino Linotype"/>
        </w:rPr>
        <w:t>que</w:t>
      </w:r>
      <w:proofErr w:type="gramEnd"/>
      <w:r w:rsidRPr="00E91A66">
        <w:rPr>
          <w:rFonts w:ascii="Palatino Linotype" w:eastAsia="Palatino Linotype" w:hAnsi="Palatino Linotype" w:cs="Palatino Linotype"/>
        </w:rPr>
        <w:t xml:space="preserve"> de la solicitud de información, se advierte que el particular hace referencia a una obra pública 21, que de acuerdo al documento anexo a su solicitud de acceso a la información pública, esta corresponde a la rehabilitación de red de agua potable en calle Moctezuma, 5 de Mayo, Miguel Hidalgo y Mariano Escobedo, como se observa a continuación:</w:t>
      </w:r>
    </w:p>
    <w:p w14:paraId="18A48BE7" w14:textId="77777777" w:rsidR="0032757E" w:rsidRPr="00E91A66" w:rsidRDefault="00C12375">
      <w:pPr>
        <w:spacing w:before="240" w:after="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noProof/>
          <w:lang w:val="es-MX" w:eastAsia="es-MX"/>
        </w:rPr>
        <w:lastRenderedPageBreak/>
        <w:drawing>
          <wp:inline distT="0" distB="0" distL="0" distR="0" wp14:anchorId="3747B4F0" wp14:editId="54F534E0">
            <wp:extent cx="5612130" cy="6512560"/>
            <wp:effectExtent l="0" t="0" r="0" b="0"/>
            <wp:docPr id="2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6512560"/>
                    </a:xfrm>
                    <a:prstGeom prst="rect">
                      <a:avLst/>
                    </a:prstGeom>
                    <a:ln/>
                  </pic:spPr>
                </pic:pic>
              </a:graphicData>
            </a:graphic>
          </wp:inline>
        </w:drawing>
      </w:r>
      <w:r w:rsidRPr="00E91A66">
        <w:rPr>
          <w:noProof/>
          <w:lang w:val="es-MX" w:eastAsia="es-MX"/>
        </w:rPr>
        <mc:AlternateContent>
          <mc:Choice Requires="wpg">
            <w:drawing>
              <wp:anchor distT="0" distB="0" distL="114300" distR="114300" simplePos="0" relativeHeight="251658240" behindDoc="0" locked="0" layoutInCell="1" hidden="0" allowOverlap="1" wp14:anchorId="5DFA5F79" wp14:editId="692D8696">
                <wp:simplePos x="0" y="0"/>
                <wp:positionH relativeFrom="column">
                  <wp:posOffset>5269230</wp:posOffset>
                </wp:positionH>
                <wp:positionV relativeFrom="paragraph">
                  <wp:posOffset>5972175</wp:posOffset>
                </wp:positionV>
                <wp:extent cx="342900" cy="298450"/>
                <wp:effectExtent l="0" t="0" r="0" b="0"/>
                <wp:wrapNone/>
                <wp:docPr id="284" name="Flecha izquierda 284"/>
                <wp:cNvGraphicFramePr/>
                <a:graphic xmlns:a="http://schemas.openxmlformats.org/drawingml/2006/main">
                  <a:graphicData uri="http://schemas.microsoft.com/office/word/2010/wordprocessingShape">
                    <wps:wsp>
                      <wps:cNvSpPr/>
                      <wps:spPr>
                        <a:xfrm>
                          <a:off x="5180900" y="3637125"/>
                          <a:ext cx="330200" cy="28575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9A7A0D4" w14:textId="77777777" w:rsidR="0032757E" w:rsidRDefault="0032757E">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5269230</wp:posOffset>
                </wp:positionH>
                <wp:positionV relativeFrom="paragraph">
                  <wp:posOffset>5972175</wp:posOffset>
                </wp:positionV>
                <wp:extent cx="342900" cy="298450"/>
                <wp:effectExtent b="0" l="0" r="0" t="0"/>
                <wp:wrapNone/>
                <wp:docPr id="284"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342900" cy="298450"/>
                        </a:xfrm>
                        <a:prstGeom prst="rect"/>
                        <a:ln/>
                      </pic:spPr>
                    </pic:pic>
                  </a:graphicData>
                </a:graphic>
              </wp:anchor>
            </w:drawing>
          </mc:Fallback>
        </mc:AlternateContent>
      </w:r>
    </w:p>
    <w:p w14:paraId="7B97EDFD"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Por ello, se deberá ordenar lo correspondiente a dicha obra pública. </w:t>
      </w:r>
    </w:p>
    <w:p w14:paraId="0E91F148" w14:textId="77777777" w:rsidR="0032757E" w:rsidRPr="00E91A66" w:rsidRDefault="0032757E">
      <w:pPr>
        <w:spacing w:before="240" w:after="240" w:line="360" w:lineRule="auto"/>
        <w:jc w:val="both"/>
        <w:rPr>
          <w:rFonts w:ascii="Palatino Linotype" w:eastAsia="Palatino Linotype" w:hAnsi="Palatino Linotype" w:cs="Palatino Linotype"/>
        </w:rPr>
      </w:pPr>
    </w:p>
    <w:p w14:paraId="0FE22011"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Sobre la naturaleza de la información requerida, sobre obra pública, es importante traer a contexto en los artículos 31, fracciones VII, de la Ley Orgánica Municipal del Estado de México, que a la letra indican:</w:t>
      </w:r>
    </w:p>
    <w:p w14:paraId="70F4D589" w14:textId="77777777" w:rsidR="0032757E" w:rsidRPr="00E91A66" w:rsidRDefault="00C12375">
      <w:pPr>
        <w:spacing w:before="240"/>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31.- Son atribuciones de los ayuntamientos: </w:t>
      </w:r>
    </w:p>
    <w:p w14:paraId="7BB0CCCC"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 </w:t>
      </w:r>
    </w:p>
    <w:p w14:paraId="48AD9AD5"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4719A66F" w14:textId="77777777" w:rsidR="0032757E" w:rsidRPr="00E91A66" w:rsidRDefault="0032757E">
      <w:pPr>
        <w:ind w:left="992" w:right="1043"/>
        <w:jc w:val="both"/>
        <w:rPr>
          <w:rFonts w:ascii="Palatino Linotype" w:eastAsia="Palatino Linotype" w:hAnsi="Palatino Linotype" w:cs="Palatino Linotype"/>
          <w:i/>
          <w:sz w:val="22"/>
          <w:szCs w:val="22"/>
        </w:rPr>
      </w:pPr>
    </w:p>
    <w:p w14:paraId="3E12CDFC"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Asimismo, se trae a colación lo establecido en los artículos 12.1, fracción IV, 12.8, 12.20, 12.21, 12.38, 12.60, fracción I y 12.64, del Libro Décimo Segundo del Código Administrativo del Estado de México, los cuales se transcriben a continuación:</w:t>
      </w:r>
    </w:p>
    <w:p w14:paraId="72751855" w14:textId="77777777" w:rsidR="0032757E" w:rsidRPr="00E91A66" w:rsidRDefault="0032757E">
      <w:pPr>
        <w:spacing w:line="360" w:lineRule="auto"/>
        <w:jc w:val="both"/>
        <w:rPr>
          <w:rFonts w:ascii="Palatino Linotype" w:eastAsia="Palatino Linotype" w:hAnsi="Palatino Linotype" w:cs="Palatino Linotype"/>
        </w:rPr>
      </w:pPr>
    </w:p>
    <w:p w14:paraId="11336247"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14:paraId="7B4DF8C2"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 </w:t>
      </w:r>
    </w:p>
    <w:p w14:paraId="794D28CD"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 xml:space="preserve">IV. </w:t>
      </w:r>
      <w:r w:rsidRPr="00E91A66">
        <w:rPr>
          <w:rFonts w:ascii="Palatino Linotype" w:eastAsia="Palatino Linotype" w:hAnsi="Palatino Linotype" w:cs="Palatino Linotype"/>
          <w:i/>
          <w:sz w:val="22"/>
          <w:szCs w:val="22"/>
        </w:rPr>
        <w:t xml:space="preserve">Los organismos auxiliares y fideicomisos públicos del Estado y </w:t>
      </w:r>
      <w:r w:rsidRPr="00E91A66">
        <w:rPr>
          <w:rFonts w:ascii="Palatino Linotype" w:eastAsia="Palatino Linotype" w:hAnsi="Palatino Linotype" w:cs="Palatino Linotype"/>
          <w:b/>
          <w:i/>
          <w:sz w:val="22"/>
          <w:szCs w:val="22"/>
        </w:rPr>
        <w:t>municipios;</w:t>
      </w:r>
      <w:r w:rsidRPr="00E91A66">
        <w:rPr>
          <w:rFonts w:ascii="Palatino Linotype" w:eastAsia="Palatino Linotype" w:hAnsi="Palatino Linotype" w:cs="Palatino Linotype"/>
          <w:i/>
          <w:sz w:val="22"/>
          <w:szCs w:val="22"/>
        </w:rPr>
        <w:t xml:space="preserve"> </w:t>
      </w:r>
    </w:p>
    <w:p w14:paraId="20234A1E"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12.8.- Corresponde a la Secretaría del Ramo y a los ayuntamientos, en el ámbito de sus respectivas competencias, ejecutar la obra pública, mediante contrato con terceros o por administración directa. </w:t>
      </w:r>
    </w:p>
    <w:p w14:paraId="04DF2E4E"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La Secretaría del Ramo podrá autorizar a las dependencias y entidades estatales, a ejecutar obras, por contrato o por administración directa, cuando a su juicio éstas cuenten con elementos propios y organización necesarios. </w:t>
      </w:r>
    </w:p>
    <w:p w14:paraId="01000BCE"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El acuerdo de autorización deberá publicarse en la Gaceta del Gobierno. </w:t>
      </w:r>
    </w:p>
    <w:p w14:paraId="79D18A6A"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 </w:t>
      </w:r>
    </w:p>
    <w:p w14:paraId="76B807A1"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lastRenderedPageBreak/>
        <w:t xml:space="preserve">Artículo 12.20.- Los contratos a que se refiere este Libro, se adjudicarán a través de licitaciones públicas, mediante convocatoria pública. </w:t>
      </w:r>
    </w:p>
    <w:p w14:paraId="0D09B24A"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12.21.- </w:t>
      </w:r>
      <w:r w:rsidRPr="00E91A66">
        <w:rPr>
          <w:rFonts w:ascii="Palatino Linotype" w:eastAsia="Palatino Linotype" w:hAnsi="Palatino Linotype" w:cs="Palatino Linotype"/>
          <w:b/>
          <w:i/>
          <w:sz w:val="22"/>
          <w:szCs w:val="22"/>
        </w:rPr>
        <w:t>Las dependencias, entidades y ayuntamientos podrán adjudicar contratos para la ejecución de obra pública o servicios relacionados con la misma mediante las excepciones al procedimiento de licitación siguientes</w:t>
      </w:r>
      <w:r w:rsidRPr="00E91A66">
        <w:rPr>
          <w:rFonts w:ascii="Palatino Linotype" w:eastAsia="Palatino Linotype" w:hAnsi="Palatino Linotype" w:cs="Palatino Linotype"/>
          <w:i/>
          <w:sz w:val="22"/>
          <w:szCs w:val="22"/>
        </w:rPr>
        <w:t xml:space="preserve">: </w:t>
      </w:r>
    </w:p>
    <w:p w14:paraId="48096BAB" w14:textId="77777777" w:rsidR="0032757E" w:rsidRPr="00E91A66" w:rsidRDefault="00C12375">
      <w:pPr>
        <w:ind w:left="992" w:right="1043"/>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 xml:space="preserve">I. Invitación restringida; </w:t>
      </w:r>
    </w:p>
    <w:p w14:paraId="2C744E19" w14:textId="77777777" w:rsidR="0032757E" w:rsidRPr="00E91A66" w:rsidRDefault="00C12375">
      <w:pPr>
        <w:ind w:left="992" w:right="1043"/>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 xml:space="preserve">II. Adjudicación directa. </w:t>
      </w:r>
    </w:p>
    <w:p w14:paraId="04E4D9CC"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12.38.- 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5A8409E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Si la dependencia, entidad o ayuntamiento no firmare el contrato dentro del plazo a que se refiere el párrafo anterior, el licitante ganador podrá exigir que se le cubran los gastos que realizo en preparar y elaborar su propuesta. </w:t>
      </w:r>
    </w:p>
    <w:p w14:paraId="167BBB02"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 </w:t>
      </w:r>
    </w:p>
    <w:p w14:paraId="23C1ED08"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 Utilizar mano de obra local complementaria, la que necesariamente deberá contratarse por obra determinada; </w:t>
      </w:r>
    </w:p>
    <w:p w14:paraId="61AF135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 Alquilar equipo y maquinaria de construcción complementaria; </w:t>
      </w:r>
    </w:p>
    <w:p w14:paraId="1484C1E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III. Utilizar preferentemente los materiales de la región; </w:t>
      </w:r>
    </w:p>
    <w:p w14:paraId="440E71BC"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IV. Contratar equipos, instrumentos, elementos prefabricados terminados y materiales u otros bienes que deban ser instalados, montados, colocados o aplicados; </w:t>
      </w:r>
    </w:p>
    <w:p w14:paraId="792E1E72"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 Utilizar servicios de fletes y acarreos complementarios. </w:t>
      </w:r>
    </w:p>
    <w:p w14:paraId="795303DB"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 </w:t>
      </w:r>
    </w:p>
    <w:p w14:paraId="00C7DFEC"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 </w:t>
      </w:r>
    </w:p>
    <w:p w14:paraId="0EE621DA" w14:textId="77777777" w:rsidR="0032757E" w:rsidRPr="00E91A66" w:rsidRDefault="0032757E">
      <w:pPr>
        <w:ind w:left="992" w:right="1043"/>
        <w:jc w:val="both"/>
        <w:rPr>
          <w:rFonts w:ascii="Palatino Linotype" w:eastAsia="Palatino Linotype" w:hAnsi="Palatino Linotype" w:cs="Palatino Linotype"/>
          <w:i/>
          <w:sz w:val="22"/>
          <w:szCs w:val="22"/>
        </w:rPr>
      </w:pPr>
    </w:p>
    <w:p w14:paraId="2DAD55C1"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De lo anterior, se puede advertir que los Ayuntamientos del Estado de México, en este caso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tienen la atribución de convenir, contratar o concesionar la ejecución de obras públicas,, en los términos de la legislación aplicable; asimismo, los procedimientos de obra desde su planeación, programación, presupuestación, adjudicación, contratación, ejecución y control de la obra pública </w:t>
      </w:r>
      <w:r w:rsidRPr="00E91A66">
        <w:rPr>
          <w:rFonts w:ascii="Palatino Linotype" w:eastAsia="Palatino Linotype" w:hAnsi="Palatino Linotype" w:cs="Palatino Linotype"/>
        </w:rPr>
        <w:lastRenderedPageBreak/>
        <w:t xml:space="preserve">involucran la participación tanto del Director de Obra Pública, o su equivalente, así como del Tesorero Municipal o su equivalente, al tener la atribución de autorizar la entrega de recursos públicos municipales, además contar con los registros contables, financieros y administrativos, que pudieran soportar cualquier ejecución de obra. </w:t>
      </w:r>
    </w:p>
    <w:p w14:paraId="6DBF9CDF" w14:textId="77777777" w:rsidR="0032757E" w:rsidRPr="00E91A66" w:rsidRDefault="0032757E">
      <w:pPr>
        <w:spacing w:line="360" w:lineRule="auto"/>
        <w:jc w:val="both"/>
        <w:rPr>
          <w:rFonts w:ascii="Palatino Linotype" w:eastAsia="Palatino Linotype" w:hAnsi="Palatino Linotype" w:cs="Palatino Linotype"/>
        </w:rPr>
      </w:pPr>
    </w:p>
    <w:p w14:paraId="6AF211B4"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Asimismo, de los preceptos en cita, es importante resaltar que, la ejecución de obra pública puede llevarse a cabo a través de dos vías, la administración directa, o bien, mediante la contratación de terceros.</w:t>
      </w:r>
    </w:p>
    <w:p w14:paraId="639E2432" w14:textId="77777777" w:rsidR="0032757E" w:rsidRPr="00E91A66" w:rsidRDefault="0032757E">
      <w:pPr>
        <w:spacing w:line="360" w:lineRule="auto"/>
        <w:jc w:val="both"/>
        <w:rPr>
          <w:rFonts w:ascii="Palatino Linotype" w:eastAsia="Palatino Linotype" w:hAnsi="Palatino Linotype" w:cs="Palatino Linotype"/>
        </w:rPr>
      </w:pPr>
    </w:p>
    <w:p w14:paraId="44DF6B1B"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Aunado a lo anterior, debe observarse lo establecido en los artículos 3 fracción XIII, 8, 214, 215, 217, 218 y 219, del Reglamento del Libro Décimo Segundo del Código Administrativo del Estado de México:</w:t>
      </w:r>
    </w:p>
    <w:p w14:paraId="4A1CB596" w14:textId="77777777" w:rsidR="0032757E" w:rsidRPr="00E91A66" w:rsidRDefault="0032757E">
      <w:pPr>
        <w:spacing w:line="360" w:lineRule="auto"/>
        <w:jc w:val="both"/>
        <w:rPr>
          <w:rFonts w:ascii="Palatino Linotype" w:eastAsia="Palatino Linotype" w:hAnsi="Palatino Linotype" w:cs="Palatino Linotype"/>
        </w:rPr>
      </w:pPr>
    </w:p>
    <w:p w14:paraId="4A6F1FF9"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“Artículo 3.- Para los efectos del presente reglamento, se entiende por:</w:t>
      </w:r>
    </w:p>
    <w:p w14:paraId="242A5D3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0845CA17"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 xml:space="preserve">XIII. Entidades: </w:t>
      </w:r>
      <w:r w:rsidRPr="00E91A66">
        <w:rPr>
          <w:rFonts w:ascii="Palatino Linotype" w:eastAsia="Palatino Linotype" w:hAnsi="Palatino Linotype" w:cs="Palatino Linotype"/>
          <w:i/>
          <w:sz w:val="22"/>
          <w:szCs w:val="22"/>
        </w:rPr>
        <w:t xml:space="preserve">los organismos auxiliares y fideicomisos públicos del Estado y de los </w:t>
      </w:r>
      <w:r w:rsidRPr="00E91A66">
        <w:rPr>
          <w:rFonts w:ascii="Palatino Linotype" w:eastAsia="Palatino Linotype" w:hAnsi="Palatino Linotype" w:cs="Palatino Linotype"/>
          <w:b/>
          <w:i/>
          <w:sz w:val="22"/>
          <w:szCs w:val="22"/>
        </w:rPr>
        <w:t>municipios.</w:t>
      </w:r>
    </w:p>
    <w:p w14:paraId="78668B0D"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10F1627E"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8.- </w:t>
      </w:r>
      <w:r w:rsidRPr="00E91A66">
        <w:rPr>
          <w:rFonts w:ascii="Palatino Linotype" w:eastAsia="Palatino Linotype" w:hAnsi="Palatino Linotype" w:cs="Palatino Linotype"/>
          <w:b/>
          <w:i/>
          <w:sz w:val="22"/>
          <w:szCs w:val="22"/>
        </w:rPr>
        <w:t>Las</w:t>
      </w:r>
      <w:r w:rsidRPr="00E91A66">
        <w:rPr>
          <w:rFonts w:ascii="Palatino Linotype" w:eastAsia="Palatino Linotype" w:hAnsi="Palatino Linotype" w:cs="Palatino Linotype"/>
          <w:i/>
          <w:sz w:val="22"/>
          <w:szCs w:val="22"/>
        </w:rPr>
        <w:t xml:space="preserve"> dependencias, </w:t>
      </w:r>
      <w:r w:rsidRPr="00E91A66">
        <w:rPr>
          <w:rFonts w:ascii="Palatino Linotype" w:eastAsia="Palatino Linotype" w:hAnsi="Palatino Linotype" w:cs="Palatino Linotype"/>
          <w:b/>
          <w:i/>
          <w:sz w:val="22"/>
          <w:szCs w:val="22"/>
        </w:rPr>
        <w:t>entidades</w:t>
      </w:r>
      <w:r w:rsidRPr="00E91A66">
        <w:rPr>
          <w:rFonts w:ascii="Palatino Linotype" w:eastAsia="Palatino Linotype" w:hAnsi="Palatino Linotype" w:cs="Palatino Linotype"/>
          <w:i/>
          <w:sz w:val="22"/>
          <w:szCs w:val="22"/>
        </w:rPr>
        <w:t xml:space="preserve"> y, en su caso, los ayuntamientos, al realizar la planeación de una obra pública o servicio, deberán considerar, además de lo previsto en el Libro, lo siguiente: </w:t>
      </w:r>
    </w:p>
    <w:p w14:paraId="175C3D7D"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 Que los proyectos arquitectónicos y de ingeniería aseguren condiciones adecuadas de accesibilidad y libertad de movimiento para todas las personas,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14:paraId="48AFA35A"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 La debida realización del análisis de factibilidad técnica, económica, social, ecológica, ambiental y, en su caso, los estudios de costo beneficio; </w:t>
      </w:r>
    </w:p>
    <w:p w14:paraId="151A7D5A"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III. La congruencia de la obra con las características ambientales, climáticas y geográficas de la región donde se realizará, así como los impactos previsibles; </w:t>
      </w:r>
    </w:p>
    <w:p w14:paraId="3447AE6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lastRenderedPageBreak/>
        <w:t xml:space="preserve">IV. La determinación de la forma de ejecución, por contrato o administración directa. </w:t>
      </w:r>
      <w:r w:rsidRPr="00E91A66">
        <w:rPr>
          <w:rFonts w:ascii="Palatino Linotype" w:eastAsia="Palatino Linotype" w:hAnsi="Palatino Linotype" w:cs="Palatino Linotype"/>
          <w:b/>
          <w:i/>
          <w:sz w:val="22"/>
          <w:szCs w:val="22"/>
          <w:u w:val="single"/>
        </w:rPr>
        <w:t>En el caso de contrato, precisar las áreas responsables de la contratación y la supervisión de los trabajos</w:t>
      </w:r>
      <w:r w:rsidRPr="00E91A66">
        <w:rPr>
          <w:rFonts w:ascii="Palatino Linotype" w:eastAsia="Palatino Linotype" w:hAnsi="Palatino Linotype" w:cs="Palatino Linotype"/>
          <w:b/>
          <w:i/>
          <w:sz w:val="22"/>
          <w:szCs w:val="22"/>
        </w:rPr>
        <w:t>; y en el caso de obras por administración directa, de los responsables de las áreas de ejecución</w:t>
      </w:r>
      <w:r w:rsidRPr="00E91A66">
        <w:rPr>
          <w:rFonts w:ascii="Palatino Linotype" w:eastAsia="Palatino Linotype" w:hAnsi="Palatino Linotype" w:cs="Palatino Linotype"/>
          <w:i/>
          <w:sz w:val="22"/>
          <w:szCs w:val="22"/>
        </w:rPr>
        <w:t xml:space="preserve">; </w:t>
      </w:r>
    </w:p>
    <w:p w14:paraId="3CF97A0F"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 La coordinación con otras dependencias, entidades o ayuntamientos que realicen trabajos en el lugar de ejecución, o bien, que cuenten con instalaciones en operación, con el propósito de identificar aquellos trabajos que pudieran ocasionar daños, interferencias o suspensiones de los servicios públicos. Para tal efecto, las dependencias o entidades y, en su caso, ayuntamientos, delimitarán los alcances de los trabajos que a cada una de ellas corresponda realizar. El programa de ejecución preverá una secuencia de actividades, que evite la duplicidad o repetición de acciones y trabajos; </w:t>
      </w:r>
    </w:p>
    <w:p w14:paraId="49CC5B7A"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VI. La determinación de los materiales, productos, equipos y procedimientos de construcción que satisfagan los requerimientos técnicos y económicos del proyecto, considerando preferentemente el empleo de los recursos humanos y los materiales propios de la región donde se ubiquen las obras; </w:t>
      </w:r>
    </w:p>
    <w:p w14:paraId="3FDE42D8"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VII. El análisis de los avances tecnológicos y la determinación de los criterios de tecnología aplicables en función de la naturaleza de la obra pública y los servicios que satisfagan los requerimientos técnicos, económicos, ambientales y culturales; </w:t>
      </w:r>
    </w:p>
    <w:p w14:paraId="4CB7250C"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VIII. La definición de las obras principales, de infraestructura; de las complementarias, inducidas y accesorias; y de las acciones requeridas para ponerlas en servicio e incorporarlas en el programa general de la obra; </w:t>
      </w:r>
    </w:p>
    <w:p w14:paraId="29150943"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u w:val="single"/>
        </w:rPr>
        <w:t>IX. La determinación del presupuesto total de la obra y, en su caso, por ejercicios presupuéstales</w:t>
      </w:r>
      <w:r w:rsidRPr="00E91A66">
        <w:rPr>
          <w:rFonts w:ascii="Palatino Linotype" w:eastAsia="Palatino Linotype" w:hAnsi="Palatino Linotype" w:cs="Palatino Linotype"/>
          <w:i/>
          <w:sz w:val="22"/>
          <w:szCs w:val="22"/>
        </w:rPr>
        <w:t xml:space="preserve">; </w:t>
      </w:r>
    </w:p>
    <w:p w14:paraId="27112941"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X. La determinación de acciones de adquisición y, en su caso, de regularización de la tenencia de la tierra; y </w:t>
      </w:r>
    </w:p>
    <w:p w14:paraId="58687B41"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XI. En el caso de las obras por administración directa, la evaluación de la disponibilidad de personal en las áreas responsables de la ejecución, así como de la maquinaria y equipo, que determine la capacidad real para ejecutar la obra con recursos propios </w:t>
      </w:r>
    </w:p>
    <w:p w14:paraId="3B4D41E2"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214.- La ejecución de los trabajos deberá realizarse en el orden y tiempo previstos en los programas pactados en el contrato. </w:t>
      </w:r>
    </w:p>
    <w:p w14:paraId="1DE549B4"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215.- Para dar inicio a la ejecución de los trabajos, el contratante nombrará al servidor público residente de obra; y el contratista, al superintendente de la obra que lo representará. Cuando la supervisión sea contratada con terceras personas, es conveniente que participe desde el fallo del procedimiento de adjudicación del contrato de obra. </w:t>
      </w:r>
    </w:p>
    <w:p w14:paraId="004946A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217.- Las funciones de la residencia de obra serán: </w:t>
      </w:r>
    </w:p>
    <w:p w14:paraId="16271F8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lastRenderedPageBreak/>
        <w:t xml:space="preserve">I. Vigilar que se cuente con el oficio de autorización de los recursos presupuestales; </w:t>
      </w:r>
    </w:p>
    <w:p w14:paraId="75F02DE4"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 Verificar que, antes del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programas de ejecución y suministros o utilización, términos de referencia y alcance de servicios; en caso contrario, informar a su inmediato superior; </w:t>
      </w:r>
    </w:p>
    <w:p w14:paraId="1A1D7B79"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III. Abrir la bitácora de obra, la cual quedará bajo su resguardo, y por medio de ella dar las instrucciones pertinentes, y recibir las solicitudes que le formule la supervisión y el contratista; </w:t>
      </w:r>
    </w:p>
    <w:p w14:paraId="78168F5F"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IV. Supervisar, revisar, vigilar y controlar los trabajos; </w:t>
      </w:r>
    </w:p>
    <w:p w14:paraId="1487151E"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 Vigilar y controlar el desarrollo de los trabajos, en sus aspectos de tiempo, calidad, costo y apego a los programas de ejecución de los trabajos de acuerdo con los avances, recursos asignados, rendimientos y consumos pactados en el contrato; </w:t>
      </w:r>
    </w:p>
    <w:p w14:paraId="1D41DF11"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218.- La supervisión es el auxiliar de la residencia de obra. Tendrá las funciones que se señalan en este Reglamento, así como las que, en su caso, se pacten en el contrato de supervisión. </w:t>
      </w:r>
    </w:p>
    <w:p w14:paraId="0317476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Para tal función se deberá contar con la certificación de conocimientos y habilidades en la materia. </w:t>
      </w:r>
    </w:p>
    <w:p w14:paraId="2F19EA32"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219.- Las funciones de la supervisión serán: </w:t>
      </w:r>
    </w:p>
    <w:p w14:paraId="103A3C1D"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 Revisar, antes del inicio de los trabajos, la información que le proporcione la residencia de obra respecto del contrato, con el objeto de enterarse con detalle de las características del proyecto y del sitio de la obra, obteniendo la información que le permita iniciar los trabajos de supervisión según lo programado y ejecutarlos ininterrumpidamente hasta su conclusión;</w:t>
      </w:r>
    </w:p>
    <w:p w14:paraId="2520D4A4"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 […] </w:t>
      </w:r>
    </w:p>
    <w:p w14:paraId="778A6294"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III. Integrar y mantener en orden y actualizado el archivo y documentación derivada de la realización de los trabajos, el que contendrá, entre otros: a. Contrato, convenios, programas de obra y suministros, números generadores, cantidades de obra realizadas y faltantes de ejecutar y presupuesto; b. Permisos, licencias y autorizaciones; c. Especificaciones de construcción y procedimientos constructivos; d. Registro y control de la bitácora y de las minutas de las juntas de obra; e. Copia de planos y sus modificaciones; f. Matrices de precios unitarios o cédula de avances y pagos programados, según corresponda; g. Estimaciones; h. Reportes de laboratorio y resultado de las pruebas, y i. Manuales y garantía de la maquinaria y equipo…”</w:t>
      </w:r>
    </w:p>
    <w:p w14:paraId="12F4C127" w14:textId="77777777" w:rsidR="0032757E" w:rsidRPr="00E91A66" w:rsidRDefault="0032757E">
      <w:pPr>
        <w:spacing w:line="360" w:lineRule="auto"/>
        <w:jc w:val="both"/>
        <w:rPr>
          <w:rFonts w:ascii="Palatino Linotype" w:eastAsia="Palatino Linotype" w:hAnsi="Palatino Linotype" w:cs="Palatino Linotype"/>
        </w:rPr>
      </w:pPr>
    </w:p>
    <w:p w14:paraId="52A2B289"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Ahora bien, los artículos 3 fracción 22, 24, fracción II, 26 y 27, de la Ley de Contratación Pública del Estado de México y Municipios precisan, a su vez, lo siguiente:</w:t>
      </w:r>
    </w:p>
    <w:p w14:paraId="46A8028B" w14:textId="77777777" w:rsidR="0032757E" w:rsidRPr="00E91A66" w:rsidRDefault="0032757E">
      <w:pPr>
        <w:spacing w:line="360" w:lineRule="auto"/>
        <w:jc w:val="both"/>
        <w:rPr>
          <w:rFonts w:ascii="Palatino Linotype" w:eastAsia="Palatino Linotype" w:hAnsi="Palatino Linotype" w:cs="Palatino Linotype"/>
        </w:rPr>
      </w:pPr>
    </w:p>
    <w:p w14:paraId="367660FE"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“Artículo 3.- Para los efectos de la presente Ley se entenderá por:</w:t>
      </w:r>
    </w:p>
    <w:p w14:paraId="7673C996"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53096D1D"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 xml:space="preserve">III. Entidades: </w:t>
      </w:r>
      <w:r w:rsidRPr="00E91A66">
        <w:rPr>
          <w:rFonts w:ascii="Palatino Linotype" w:eastAsia="Palatino Linotype" w:hAnsi="Palatino Linotype" w:cs="Palatino Linotype"/>
          <w:i/>
          <w:sz w:val="22"/>
          <w:szCs w:val="22"/>
        </w:rPr>
        <w:t xml:space="preserve">A los organismos auxiliares y a los fideicomisos públicos, de carácter estatal o </w:t>
      </w:r>
      <w:r w:rsidRPr="00E91A66">
        <w:rPr>
          <w:rFonts w:ascii="Palatino Linotype" w:eastAsia="Palatino Linotype" w:hAnsi="Palatino Linotype" w:cs="Palatino Linotype"/>
          <w:b/>
          <w:i/>
          <w:sz w:val="22"/>
          <w:szCs w:val="22"/>
        </w:rPr>
        <w:t>municipal</w:t>
      </w:r>
    </w:p>
    <w:p w14:paraId="2BABC17C"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772A849D"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22.- Los comités son órganos colegiados con facultades de opinión, que tienen por objeto auxiliar a la Oficialía Mayor, </w:t>
      </w:r>
      <w:r w:rsidRPr="00E91A66">
        <w:rPr>
          <w:rFonts w:ascii="Palatino Linotype" w:eastAsia="Palatino Linotype" w:hAnsi="Palatino Linotype" w:cs="Palatino Linotype"/>
          <w:b/>
          <w:i/>
          <w:sz w:val="22"/>
          <w:szCs w:val="22"/>
        </w:rPr>
        <w:t>entidades</w:t>
      </w:r>
      <w:r w:rsidRPr="00E91A66">
        <w:rPr>
          <w:rFonts w:ascii="Palatino Linotype" w:eastAsia="Palatino Linotype" w:hAnsi="Palatino Linotype" w:cs="Palatino Linotype"/>
          <w:i/>
          <w:sz w:val="22"/>
          <w:szCs w:val="22"/>
        </w:rPr>
        <w:t xml:space="preserve">, tribunales administrativos y ayuntamientos, en la substanciación de los procedimientos de adquisiciones y de servicios, de conformidad con el Reglamento y los manuales de operación. </w:t>
      </w:r>
    </w:p>
    <w:p w14:paraId="352E81AF"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En la Oficialía Mayor, en cada entidad, tribunal administrativo y ayuntamiento se constituirá un comité de adquisiciones y servicios. </w:t>
      </w:r>
    </w:p>
    <w:p w14:paraId="5431D9C9"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La Oficialía Mayor, </w:t>
      </w:r>
      <w:r w:rsidRPr="00E91A66">
        <w:rPr>
          <w:rFonts w:ascii="Palatino Linotype" w:eastAsia="Palatino Linotype" w:hAnsi="Palatino Linotype" w:cs="Palatino Linotype"/>
          <w:b/>
          <w:i/>
          <w:sz w:val="22"/>
          <w:szCs w:val="22"/>
        </w:rPr>
        <w:t>las entidades</w:t>
      </w:r>
      <w:r w:rsidRPr="00E91A66">
        <w:rPr>
          <w:rFonts w:ascii="Palatino Linotype" w:eastAsia="Palatino Linotype" w:hAnsi="Palatino Linotype" w:cs="Palatino Linotype"/>
          <w:i/>
          <w:sz w:val="22"/>
          <w:szCs w:val="22"/>
        </w:rPr>
        <w:t>, los tribunales administrativos y los ayuntamientos se auxiliarán de un comité de arrendamientos, adquisiciones de inmuebles y enajenaciones</w:t>
      </w:r>
      <w:r w:rsidRPr="00E91A66">
        <w:t>.</w:t>
      </w:r>
      <w:r w:rsidRPr="00E91A66">
        <w:rPr>
          <w:rFonts w:ascii="Palatino Linotype" w:eastAsia="Palatino Linotype" w:hAnsi="Palatino Linotype" w:cs="Palatino Linotype"/>
          <w:i/>
          <w:sz w:val="22"/>
          <w:szCs w:val="22"/>
        </w:rPr>
        <w:t xml:space="preserve"> </w:t>
      </w:r>
    </w:p>
    <w:p w14:paraId="177CCB3D"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24.- El comité de arrendamientos, adquisiciones de inmuebles y enajenaciones tendrá las funciones siguientes: </w:t>
      </w:r>
    </w:p>
    <w:p w14:paraId="298DA71F"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 </w:t>
      </w:r>
    </w:p>
    <w:p w14:paraId="3A51207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 Participar en los procedimientos de licitación, invitación restringida y adjudicación directa, hasta dejarlos en estado de dictar el fallo correspondiente, tratándose de adquisición de inmuebles y arrendamientos. </w:t>
      </w:r>
    </w:p>
    <w:p w14:paraId="555629CD"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25.- La integración y el funcionamiento de los comités a que se refiere el presente capítulo se determinará en el reglamento de esta Ley. </w:t>
      </w:r>
    </w:p>
    <w:p w14:paraId="658E7164"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26.- Las adquisiciones, arrendamientos y servicios se adjudicarán a través de licitaciones públicas, mediante convocatoria pública. </w:t>
      </w:r>
    </w:p>
    <w:p w14:paraId="24A0F3F4"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27.- La Secretaría, </w:t>
      </w:r>
      <w:r w:rsidRPr="00E91A66">
        <w:rPr>
          <w:rFonts w:ascii="Palatino Linotype" w:eastAsia="Palatino Linotype" w:hAnsi="Palatino Linotype" w:cs="Palatino Linotype"/>
          <w:b/>
          <w:i/>
          <w:sz w:val="22"/>
          <w:szCs w:val="22"/>
        </w:rPr>
        <w:t>las entidades</w:t>
      </w:r>
      <w:r w:rsidRPr="00E91A66">
        <w:rPr>
          <w:rFonts w:ascii="Palatino Linotype" w:eastAsia="Palatino Linotype" w:hAnsi="Palatino Linotype" w:cs="Palatino Linotype"/>
          <w:i/>
          <w:sz w:val="22"/>
          <w:szCs w:val="22"/>
        </w:rPr>
        <w:t xml:space="preserve">, los tribunales administrativos y los ayuntamientos podrán adjudicar adquisiciones, arrendamientos y servicios, mediante las excepciones al procedimiento de licitación que a continuación se señalan: </w:t>
      </w:r>
    </w:p>
    <w:p w14:paraId="4DBB9D53"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 Invitación restringida. </w:t>
      </w:r>
    </w:p>
    <w:p w14:paraId="318F5025"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 Adjudicación directa.”</w:t>
      </w:r>
    </w:p>
    <w:p w14:paraId="620270DC" w14:textId="77777777" w:rsidR="0032757E" w:rsidRPr="00E91A66" w:rsidRDefault="0032757E">
      <w:pPr>
        <w:spacing w:line="360" w:lineRule="auto"/>
        <w:jc w:val="both"/>
        <w:rPr>
          <w:rFonts w:ascii="Palatino Linotype" w:eastAsia="Palatino Linotype" w:hAnsi="Palatino Linotype" w:cs="Palatino Linotype"/>
        </w:rPr>
      </w:pPr>
    </w:p>
    <w:p w14:paraId="12B08476"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Bajo esa óptica, los artículos 43 y 44 del Reglamento de la Ley de Contratación Pública del Estado de México y Municipios, indican:</w:t>
      </w:r>
    </w:p>
    <w:p w14:paraId="18D662DC"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43.- La Secretaría, organismos auxiliares, tribunales administrativos y </w:t>
      </w:r>
      <w:r w:rsidRPr="00E91A66">
        <w:rPr>
          <w:rFonts w:ascii="Palatino Linotype" w:eastAsia="Palatino Linotype" w:hAnsi="Palatino Linotype" w:cs="Palatino Linotype"/>
          <w:b/>
          <w:i/>
          <w:sz w:val="22"/>
          <w:szCs w:val="22"/>
        </w:rPr>
        <w:t>municipios</w:t>
      </w:r>
      <w:r w:rsidRPr="00E91A66">
        <w:rPr>
          <w:rFonts w:ascii="Palatino Linotype" w:eastAsia="Palatino Linotype" w:hAnsi="Palatino Linotype" w:cs="Palatino Linotype"/>
          <w:i/>
          <w:sz w:val="22"/>
          <w:szCs w:val="22"/>
        </w:rPr>
        <w:t xml:space="preserve">, se auxiliarán de un Comité de Adquisiciones y Servicios, para la substanciación de los procedimientos de adquisición regulados en la Ley. </w:t>
      </w:r>
    </w:p>
    <w:p w14:paraId="739B4A0A"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44.- El Comité de Adquisiciones y Servicios se integrará por: </w:t>
      </w:r>
    </w:p>
    <w:p w14:paraId="277463B6"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 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14:paraId="3721FD2F"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 Un representante del área financiera de la Secretaría, entidad, tribunal administrativo o municipio, con función de vocal; </w:t>
      </w:r>
    </w:p>
    <w:p w14:paraId="2DFAB32A"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III. Un representante de cada dependencia o unidad administrativa interesada en la adquisición de los bienes o contratación del servicio, con función de vocal; IV. Un representante de la Consejería Jurídica o del área jurídica respectiva o quien lleve a cabo las funciones de esta naturaleza, con función de vocal; </w:t>
      </w:r>
    </w:p>
    <w:p w14:paraId="05B829DA"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 Un representante del Órgano de Control, con función de vocal; y </w:t>
      </w:r>
    </w:p>
    <w:p w14:paraId="052A50A3"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VI. Un secretario ejecutivo, que será designado por el presidente. 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436438C8"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w:t>
      </w:r>
    </w:p>
    <w:p w14:paraId="76E33A01"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En caso de empate, el presidente tendrá voto de calidad. A las sesiones del comité podrá invitarse a cualquier persona cuya intervención se considere necesaria por el secretario ejecutivo, para aclarar aspectos técnicos o administrativos relacionados con los asuntos sometidos al comité. </w:t>
      </w:r>
    </w:p>
    <w:p w14:paraId="0635210B"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lastRenderedPageBreak/>
        <w:t xml:space="preserve">Los integrantes del comité designarán por escrito a sus respectivos suplentes, y sólo participarán en ausencia del titular. </w:t>
      </w:r>
    </w:p>
    <w:p w14:paraId="3F414D08" w14:textId="77777777" w:rsidR="0032757E" w:rsidRPr="00E91A66" w:rsidRDefault="00C12375">
      <w:pPr>
        <w:spacing w:before="240"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Los cargos de los integrantes del comité serán honoríficos</w:t>
      </w:r>
      <w:proofErr w:type="gramStart"/>
      <w:r w:rsidRPr="00E91A66">
        <w:rPr>
          <w:rFonts w:ascii="Palatino Linotype" w:eastAsia="Palatino Linotype" w:hAnsi="Palatino Linotype" w:cs="Palatino Linotype"/>
          <w:i/>
          <w:sz w:val="22"/>
          <w:szCs w:val="22"/>
        </w:rPr>
        <w:t>. ”</w:t>
      </w:r>
      <w:proofErr w:type="gramEnd"/>
      <w:r w:rsidRPr="00E91A66">
        <w:rPr>
          <w:rFonts w:ascii="Palatino Linotype" w:eastAsia="Palatino Linotype" w:hAnsi="Palatino Linotype" w:cs="Palatino Linotype"/>
          <w:i/>
          <w:sz w:val="22"/>
          <w:szCs w:val="22"/>
        </w:rPr>
        <w:t xml:space="preserve"> (Sic)</w:t>
      </w:r>
    </w:p>
    <w:p w14:paraId="473501EC" w14:textId="77777777" w:rsidR="0032757E" w:rsidRPr="00E91A66" w:rsidRDefault="00C12375">
      <w:pPr>
        <w:spacing w:before="240" w:after="240" w:line="360" w:lineRule="auto"/>
        <w:ind w:right="51"/>
        <w:jc w:val="both"/>
        <w:rPr>
          <w:rFonts w:ascii="Palatino Linotype" w:eastAsia="Palatino Linotype" w:hAnsi="Palatino Linotype" w:cs="Palatino Linotype"/>
        </w:rPr>
      </w:pPr>
      <w:r w:rsidRPr="00E91A66">
        <w:rPr>
          <w:rFonts w:ascii="Palatino Linotype" w:eastAsia="Palatino Linotype" w:hAnsi="Palatino Linotype" w:cs="Palatino Linotype"/>
        </w:rPr>
        <w:t>Además,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de los contratos celebrados, requisiciones y facturas, a saber:</w:t>
      </w:r>
    </w:p>
    <w:p w14:paraId="5797A8A7" w14:textId="77777777" w:rsidR="0032757E" w:rsidRPr="00E91A66" w:rsidRDefault="00C12375">
      <w:pPr>
        <w:ind w:left="85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r w:rsidRPr="00E91A66">
        <w:rPr>
          <w:rFonts w:ascii="Palatino Linotype" w:eastAsia="Palatino Linotype" w:hAnsi="Palatino Linotype" w:cs="Palatino Linotype"/>
          <w:b/>
          <w:i/>
          <w:sz w:val="22"/>
          <w:szCs w:val="22"/>
        </w:rPr>
        <w:t>Artículo 92</w:t>
      </w:r>
      <w:r w:rsidRPr="00E91A66">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2DFA6A" w14:textId="77777777" w:rsidR="0032757E" w:rsidRPr="00E91A66" w:rsidRDefault="00C12375">
      <w:pPr>
        <w:tabs>
          <w:tab w:val="left" w:pos="426"/>
        </w:tabs>
        <w:spacing w:before="120" w:after="120"/>
        <w:ind w:left="1134"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2EEC95FE" w14:textId="77777777" w:rsidR="0032757E" w:rsidRPr="00E91A66" w:rsidRDefault="00C12375">
      <w:pPr>
        <w:tabs>
          <w:tab w:val="left" w:pos="426"/>
        </w:tabs>
        <w:spacing w:before="120" w:after="120"/>
        <w:ind w:left="1134"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XXIX.</w:t>
      </w:r>
      <w:r w:rsidRPr="00E91A66">
        <w:rPr>
          <w:rFonts w:ascii="Palatino Linotype" w:eastAsia="Palatino Linotype" w:hAnsi="Palatino Linotype" w:cs="Palatino Linotype"/>
          <w:i/>
          <w:sz w:val="22"/>
          <w:szCs w:val="22"/>
        </w:rPr>
        <w:t xml:space="preserve"> La </w:t>
      </w:r>
      <w:r w:rsidRPr="00E91A66">
        <w:rPr>
          <w:rFonts w:ascii="Palatino Linotype" w:eastAsia="Palatino Linotype" w:hAnsi="Palatino Linotype" w:cs="Palatino Linotype"/>
          <w:b/>
          <w:i/>
          <w:sz w:val="22"/>
          <w:szCs w:val="22"/>
        </w:rPr>
        <w:t xml:space="preserve">información sobre los procesos y resultados </w:t>
      </w:r>
      <w:r w:rsidRPr="00E91A66">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E91A66">
        <w:rPr>
          <w:rFonts w:ascii="Palatino Linotype" w:eastAsia="Palatino Linotype" w:hAnsi="Palatino Linotype" w:cs="Palatino Linotype"/>
          <w:i/>
          <w:sz w:val="22"/>
          <w:szCs w:val="22"/>
          <w:u w:val="single"/>
        </w:rPr>
        <w:t xml:space="preserve">, </w:t>
      </w:r>
      <w:r w:rsidRPr="00E91A66">
        <w:rPr>
          <w:rFonts w:ascii="Palatino Linotype" w:eastAsia="Palatino Linotype" w:hAnsi="Palatino Linotype" w:cs="Palatino Linotype"/>
          <w:b/>
          <w:i/>
          <w:sz w:val="22"/>
          <w:szCs w:val="22"/>
        </w:rPr>
        <w:t>incluyendo la versión pública</w:t>
      </w:r>
      <w:r w:rsidRPr="00E91A66">
        <w:rPr>
          <w:rFonts w:ascii="Palatino Linotype" w:eastAsia="Palatino Linotype" w:hAnsi="Palatino Linotype" w:cs="Palatino Linotype"/>
          <w:i/>
          <w:sz w:val="22"/>
          <w:szCs w:val="22"/>
        </w:rPr>
        <w:t xml:space="preserve"> del expediente respectivo y </w:t>
      </w:r>
      <w:r w:rsidRPr="00E91A66">
        <w:rPr>
          <w:rFonts w:ascii="Palatino Linotype" w:eastAsia="Palatino Linotype" w:hAnsi="Palatino Linotype" w:cs="Palatino Linotype"/>
          <w:b/>
          <w:i/>
          <w:sz w:val="22"/>
          <w:szCs w:val="22"/>
        </w:rPr>
        <w:t>de los contratos celebrados</w:t>
      </w:r>
      <w:r w:rsidRPr="00E91A66">
        <w:rPr>
          <w:rFonts w:ascii="Palatino Linotype" w:eastAsia="Palatino Linotype" w:hAnsi="Palatino Linotype" w:cs="Palatino Linotype"/>
          <w:i/>
          <w:sz w:val="22"/>
          <w:szCs w:val="22"/>
        </w:rPr>
        <w:t>, que deberán contener, por los menos, lo siguiente:</w:t>
      </w:r>
    </w:p>
    <w:p w14:paraId="4542F0E3" w14:textId="77777777" w:rsidR="0032757E" w:rsidRPr="00E91A66" w:rsidRDefault="00C12375">
      <w:pPr>
        <w:tabs>
          <w:tab w:val="left" w:pos="426"/>
        </w:tabs>
        <w:spacing w:before="120" w:after="120"/>
        <w:ind w:left="1418" w:right="902"/>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a) De licitaciones públicas o procedimientos de invitación restringida:</w:t>
      </w:r>
    </w:p>
    <w:p w14:paraId="34201679"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1)</w:t>
      </w:r>
      <w:r w:rsidRPr="00E91A66">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4E0AE9E9"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2)</w:t>
      </w:r>
      <w:r w:rsidRPr="00E91A66">
        <w:rPr>
          <w:rFonts w:ascii="Palatino Linotype" w:eastAsia="Palatino Linotype" w:hAnsi="Palatino Linotype" w:cs="Palatino Linotype"/>
          <w:i/>
          <w:sz w:val="22"/>
          <w:szCs w:val="22"/>
        </w:rPr>
        <w:t xml:space="preserve"> Los nombres de los participantes o invitados;</w:t>
      </w:r>
    </w:p>
    <w:p w14:paraId="13BC7434"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u w:val="single"/>
        </w:rPr>
        <w:t>3) El nombre del ganador y las razones que lo justifican;</w:t>
      </w:r>
    </w:p>
    <w:p w14:paraId="3FC2993A"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u w:val="single"/>
        </w:rPr>
        <w:t>4) El área solicitante y la responsable de su ejecución;</w:t>
      </w:r>
    </w:p>
    <w:p w14:paraId="277D119A"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lastRenderedPageBreak/>
        <w:t>5)</w:t>
      </w:r>
      <w:r w:rsidRPr="00E91A66">
        <w:rPr>
          <w:rFonts w:ascii="Palatino Linotype" w:eastAsia="Palatino Linotype" w:hAnsi="Palatino Linotype" w:cs="Palatino Linotype"/>
          <w:i/>
          <w:sz w:val="22"/>
          <w:szCs w:val="22"/>
        </w:rPr>
        <w:t xml:space="preserve"> Las convocatorias e invitaciones emitidas; </w:t>
      </w:r>
    </w:p>
    <w:p w14:paraId="0418F806"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6)</w:t>
      </w:r>
      <w:r w:rsidRPr="00E91A66">
        <w:rPr>
          <w:rFonts w:ascii="Palatino Linotype" w:eastAsia="Palatino Linotype" w:hAnsi="Palatino Linotype" w:cs="Palatino Linotype"/>
          <w:i/>
          <w:sz w:val="22"/>
          <w:szCs w:val="22"/>
        </w:rPr>
        <w:t xml:space="preserve"> Los dictámenes y fallo de adjudicación;</w:t>
      </w:r>
    </w:p>
    <w:p w14:paraId="4CEF9EB3"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u w:val="single"/>
        </w:rPr>
        <w:t xml:space="preserve">7) El contrato y, en su caso, sus anexos; </w:t>
      </w:r>
    </w:p>
    <w:p w14:paraId="1FA80C6D"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8)</w:t>
      </w:r>
      <w:r w:rsidRPr="00E91A66">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0CF16B72"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rPr>
        <w:t>9</w:t>
      </w:r>
      <w:r w:rsidRPr="00E91A66">
        <w:rPr>
          <w:rFonts w:ascii="Palatino Linotype" w:eastAsia="Palatino Linotype" w:hAnsi="Palatino Linotype" w:cs="Palatino Linotype"/>
          <w:b/>
          <w:i/>
          <w:sz w:val="22"/>
          <w:szCs w:val="22"/>
          <w:u w:val="single"/>
        </w:rPr>
        <w:t xml:space="preserve">) La partida presupuestal, de conformidad con el clasificador por objeto del gasto, en el caso de ser aplicable; </w:t>
      </w:r>
    </w:p>
    <w:p w14:paraId="24B3B095"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u w:val="single"/>
        </w:rPr>
        <w:t>10) Origen de los recursos especificando si son federales, estatales o municipales, así como el tipo de fondo de participación o aportación respectiva;</w:t>
      </w:r>
    </w:p>
    <w:p w14:paraId="1C8A1880"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11)</w:t>
      </w:r>
      <w:r w:rsidRPr="00E91A66">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78DAAE34"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12)</w:t>
      </w:r>
      <w:r w:rsidRPr="00E91A66">
        <w:rPr>
          <w:rFonts w:ascii="Palatino Linotype" w:eastAsia="Palatino Linotype" w:hAnsi="Palatino Linotype" w:cs="Palatino Linotype"/>
          <w:i/>
          <w:sz w:val="22"/>
          <w:szCs w:val="22"/>
        </w:rPr>
        <w:t xml:space="preserve"> Los informes de avance físico y financiero sobre las obras o servicios contratados; </w:t>
      </w:r>
    </w:p>
    <w:p w14:paraId="7859FA92"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13) El convenio de terminación; </w:t>
      </w:r>
    </w:p>
    <w:p w14:paraId="2EEEB2A5"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14) El finiquito.</w:t>
      </w:r>
    </w:p>
    <w:p w14:paraId="1648244F" w14:textId="77777777" w:rsidR="0032757E" w:rsidRPr="00E91A66" w:rsidRDefault="00C12375">
      <w:pPr>
        <w:tabs>
          <w:tab w:val="left" w:pos="426"/>
        </w:tabs>
        <w:spacing w:before="120" w:after="120"/>
        <w:ind w:left="1418" w:right="902"/>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 xml:space="preserve">b) De las adjudicaciones directas: </w:t>
      </w:r>
    </w:p>
    <w:p w14:paraId="68A59F4C"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1</w:t>
      </w:r>
      <w:r w:rsidRPr="00E91A66">
        <w:rPr>
          <w:rFonts w:ascii="Palatino Linotype" w:eastAsia="Palatino Linotype" w:hAnsi="Palatino Linotype" w:cs="Palatino Linotype"/>
          <w:b/>
          <w:i/>
          <w:sz w:val="22"/>
          <w:szCs w:val="22"/>
          <w:u w:val="single"/>
        </w:rPr>
        <w:t>) La propuesta enviada por el participante;</w:t>
      </w:r>
      <w:r w:rsidRPr="00E91A66">
        <w:rPr>
          <w:rFonts w:ascii="Palatino Linotype" w:eastAsia="Palatino Linotype" w:hAnsi="Palatino Linotype" w:cs="Palatino Linotype"/>
          <w:i/>
          <w:sz w:val="22"/>
          <w:szCs w:val="22"/>
        </w:rPr>
        <w:t xml:space="preserve"> </w:t>
      </w:r>
    </w:p>
    <w:p w14:paraId="34DD1415"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2)</w:t>
      </w:r>
      <w:r w:rsidRPr="00E91A66">
        <w:rPr>
          <w:rFonts w:ascii="Palatino Linotype" w:eastAsia="Palatino Linotype" w:hAnsi="Palatino Linotype" w:cs="Palatino Linotype"/>
          <w:i/>
          <w:sz w:val="22"/>
          <w:szCs w:val="22"/>
        </w:rPr>
        <w:t xml:space="preserve"> Los motivos y fundamentos legales aplicados para llevarla a cabo;</w:t>
      </w:r>
    </w:p>
    <w:p w14:paraId="20582B91"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u w:val="single"/>
        </w:rPr>
        <w:t xml:space="preserve">3) La autorización del ejercicio de la opción; </w:t>
      </w:r>
    </w:p>
    <w:p w14:paraId="718C2D85"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u w:val="single"/>
        </w:rPr>
        <w:t xml:space="preserve">4) En su caso, las cotizaciones consideradas, especificando los nombres de los proveedores y sus montos; </w:t>
      </w:r>
    </w:p>
    <w:p w14:paraId="29BB2AF9"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u w:val="single"/>
        </w:rPr>
        <w:t xml:space="preserve">5) El nombre de la persona física o jurídica colectiva adjudicada; </w:t>
      </w:r>
    </w:p>
    <w:p w14:paraId="0C6C5C44"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u w:val="single"/>
        </w:rPr>
        <w:t xml:space="preserve">6) La unidad administrativa solicitante y la responsable de su ejecución; </w:t>
      </w:r>
    </w:p>
    <w:p w14:paraId="341C4CF5"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u w:val="single"/>
        </w:rPr>
      </w:pPr>
      <w:r w:rsidRPr="00E91A66">
        <w:rPr>
          <w:rFonts w:ascii="Palatino Linotype" w:eastAsia="Palatino Linotype" w:hAnsi="Palatino Linotype" w:cs="Palatino Linotype"/>
          <w:b/>
          <w:i/>
          <w:sz w:val="22"/>
          <w:szCs w:val="22"/>
          <w:u w:val="single"/>
        </w:rPr>
        <w:t xml:space="preserve">7) El número, fecha, el monto del contrato y el plazo de entrega o de ejecución de los servicios u obra; </w:t>
      </w:r>
    </w:p>
    <w:p w14:paraId="3CC12BF2"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8)</w:t>
      </w:r>
      <w:r w:rsidRPr="00E91A66">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59BFADB1"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9)</w:t>
      </w:r>
      <w:r w:rsidRPr="00E91A66">
        <w:rPr>
          <w:rFonts w:ascii="Palatino Linotype" w:eastAsia="Palatino Linotype" w:hAnsi="Palatino Linotype" w:cs="Palatino Linotype"/>
          <w:i/>
          <w:sz w:val="22"/>
          <w:szCs w:val="22"/>
        </w:rPr>
        <w:t xml:space="preserve"> Los informes de avance sobre las obras o servicios contratados; </w:t>
      </w:r>
    </w:p>
    <w:p w14:paraId="297743C8"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 xml:space="preserve">10) El convenio de terminación; y </w:t>
      </w:r>
    </w:p>
    <w:p w14:paraId="5F701962" w14:textId="77777777" w:rsidR="0032757E" w:rsidRPr="00E91A66" w:rsidRDefault="00C12375">
      <w:pPr>
        <w:tabs>
          <w:tab w:val="left" w:pos="426"/>
        </w:tabs>
        <w:spacing w:before="120" w:after="120"/>
        <w:ind w:left="1701" w:right="902"/>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11) El finiquito;”</w:t>
      </w:r>
    </w:p>
    <w:p w14:paraId="6A8ABA9D" w14:textId="77777777" w:rsidR="0032757E" w:rsidRPr="00E91A66" w:rsidRDefault="00C12375">
      <w:pPr>
        <w:spacing w:before="240" w:after="240" w:line="360" w:lineRule="auto"/>
        <w:ind w:right="51"/>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 xml:space="preserve">Por su parte, los </w:t>
      </w:r>
      <w:r w:rsidRPr="00E91A66">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E91A66">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fracción XXVIII de la </w:t>
      </w:r>
      <w:r w:rsidRPr="00E91A66">
        <w:rPr>
          <w:rFonts w:ascii="Palatino Linotype" w:eastAsia="Palatino Linotype" w:hAnsi="Palatino Linotype" w:cs="Palatino Linotype"/>
          <w:i/>
        </w:rPr>
        <w:t>Ley General de Transparencia y Acceso a la Información Pública</w:t>
      </w:r>
      <w:r w:rsidRPr="00E91A66">
        <w:rPr>
          <w:rFonts w:ascii="Palatino Linotype" w:eastAsia="Palatino Linotype" w:hAnsi="Palatino Linotype" w:cs="Palatino Linotype"/>
        </w:rPr>
        <w:t xml:space="preserve">, los sujetos obligados deben publicar información sobre </w:t>
      </w:r>
      <w:r w:rsidRPr="00E91A66">
        <w:rPr>
          <w:rFonts w:ascii="Palatino Linotype" w:eastAsia="Palatino Linotype" w:hAnsi="Palatino Linotype" w:cs="Palatino Linotype"/>
          <w:b/>
          <w:u w:val="single"/>
        </w:rPr>
        <w:t>el origen de los recursos, la persona adjudicada, nombre del ganador, área solicitante y responsable de su ejecución, monto de la obra, costos generados, entre otros, respectivamente</w:t>
      </w:r>
      <w:r w:rsidRPr="00E91A66">
        <w:rPr>
          <w:rFonts w:ascii="Palatino Linotype" w:eastAsia="Palatino Linotype" w:hAnsi="Palatino Linotype" w:cs="Palatino Linotype"/>
        </w:rPr>
        <w:t xml:space="preserve">, misma que </w:t>
      </w:r>
      <w:r w:rsidRPr="00E91A66">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E91A66">
        <w:rPr>
          <w:rFonts w:ascii="Palatino Linotype" w:eastAsia="Palatino Linotype" w:hAnsi="Palatino Linotype" w:cs="Palatino Linotype"/>
        </w:rPr>
        <w:t xml:space="preserve">, especificando para cada tipo de procedimiento la materia, </w:t>
      </w:r>
      <w:r w:rsidRPr="00E91A66">
        <w:rPr>
          <w:rFonts w:ascii="Palatino Linotype" w:eastAsia="Palatino Linotype" w:hAnsi="Palatino Linotype" w:cs="Palatino Linotype"/>
          <w:b/>
          <w:u w:val="single"/>
        </w:rPr>
        <w:t>pudiendo ser obra pública</w:t>
      </w:r>
      <w:r w:rsidRPr="00E91A66">
        <w:rPr>
          <w:rFonts w:ascii="Palatino Linotype" w:eastAsia="Palatino Linotype" w:hAnsi="Palatino Linotype" w:cs="Palatino Linotype"/>
        </w:rPr>
        <w:t>, servicios relacionados con obra pública, arrendamiento, adquisiciones, o servicios, así como el carácter de cada uno, es decir, nacional o internacional, además se debe elaborar versión pública los documentos fuente que deban ser publicados en este apartado, tales como contratos, facturas, registros contables, pólizas, finiquitos, entre otros, incluyendo sus anexos correspondientes, información que debe ser actualizada de manera trimestral, y conservarse la generada en el ejercicio en curso y la correspondiente a dos ejercicios anteriores</w:t>
      </w:r>
    </w:p>
    <w:p w14:paraId="6725F618" w14:textId="77777777" w:rsidR="0032757E" w:rsidRPr="00E91A66" w:rsidRDefault="00C12375">
      <w:pPr>
        <w:spacing w:before="240" w:after="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En virtud de lo anterior, se advierte que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acorde a sus atribuciones, funciones, facultades o competencias se encuentra en posibilidad de entregar todo lo relacionado con los procedimientos de contratación (adjudicación directa e invitación restringida); por tanto, este Organismo Garante advierte la </w:t>
      </w:r>
      <w:r w:rsidRPr="00E91A66">
        <w:rPr>
          <w:rFonts w:ascii="Palatino Linotype" w:eastAsia="Palatino Linotype" w:hAnsi="Palatino Linotype" w:cs="Palatino Linotype"/>
        </w:rPr>
        <w:lastRenderedPageBreak/>
        <w:t xml:space="preserve">presencia de elementos suficientes para concluir que </w:t>
      </w:r>
      <w:r w:rsidRPr="00E91A66">
        <w:rPr>
          <w:rFonts w:ascii="Palatino Linotype" w:eastAsia="Palatino Linotype" w:hAnsi="Palatino Linotype" w:cs="Palatino Linotype"/>
          <w:b/>
        </w:rPr>
        <w:t>EL SUJETO OBLIGADO</w:t>
      </w:r>
      <w:r w:rsidRPr="00E91A66">
        <w:rPr>
          <w:rFonts w:ascii="Palatino Linotype" w:eastAsia="Palatino Linotype" w:hAnsi="Palatino Linotype" w:cs="Palatino Linotype"/>
        </w:rPr>
        <w:t xml:space="preserve">, puede contar en sus archivos con la información requerida por </w:t>
      </w:r>
      <w:r w:rsidRPr="00E91A66">
        <w:rPr>
          <w:rFonts w:ascii="Palatino Linotype" w:eastAsia="Palatino Linotype" w:hAnsi="Palatino Linotype" w:cs="Palatino Linotype"/>
          <w:b/>
        </w:rPr>
        <w:t>EL RECURRENTE</w:t>
      </w:r>
      <w:r w:rsidRPr="00E91A66">
        <w:rPr>
          <w:rFonts w:ascii="Palatino Linotype" w:eastAsia="Palatino Linotype" w:hAnsi="Palatino Linotype" w:cs="Palatino Linotype"/>
        </w:rPr>
        <w:t>.</w:t>
      </w:r>
    </w:p>
    <w:p w14:paraId="365EE77D"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Precisado lo anterior, si bien es cierto que la Tesorería Municipal del Ayuntamiento de Xalatlaco, sólo se concretó en señalar que es necesario verificar el nombre completo, preciso y actual, debido a que la solicitud de información corresponde a la administración 2016-2018. </w:t>
      </w:r>
    </w:p>
    <w:p w14:paraId="71E3680B"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No obstante, a través del informe justificado el Tesorero Municipal del Ayuntamiento de Xalatlaco, modifica su respuesta y hace entrega de dos facturas una por la renta de una zanjadora por la obra de rehabilitación de red de agua potable en la calle Moctezuma, 5 de mayo, Miguel Hidalgo y Mariano Escobedo hidráulica, Municipio de Xalatlaco, México y la otra por el desglose de gastos, constante de una y tres fojas respectivamente, siendo el competente en términos de lo señalado por el artículo 95 fracción IV Ley Orgánica Municipal del Estado de México, es competente para:</w:t>
      </w:r>
    </w:p>
    <w:p w14:paraId="3C1B72B2" w14:textId="77777777" w:rsidR="0032757E" w:rsidRPr="00E91A66" w:rsidRDefault="0032757E">
      <w:pPr>
        <w:ind w:left="596" w:right="851"/>
        <w:jc w:val="both"/>
        <w:rPr>
          <w:rFonts w:ascii="Palatino Linotype" w:eastAsia="Palatino Linotype" w:hAnsi="Palatino Linotype" w:cs="Palatino Linotype"/>
          <w:i/>
          <w:sz w:val="22"/>
          <w:szCs w:val="22"/>
        </w:rPr>
      </w:pPr>
    </w:p>
    <w:p w14:paraId="040BE485" w14:textId="77777777" w:rsidR="0032757E" w:rsidRPr="00E91A66" w:rsidRDefault="00C12375">
      <w:pPr>
        <w:ind w:left="596" w:right="85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“Artículo 95.- Son atribuciones del tesorero municipal:</w:t>
      </w:r>
    </w:p>
    <w:p w14:paraId="574A6B3A" w14:textId="77777777" w:rsidR="0032757E" w:rsidRPr="00E91A66" w:rsidRDefault="00C12375">
      <w:pPr>
        <w:ind w:left="596" w:right="85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5D0070A7" w14:textId="77777777" w:rsidR="0032757E" w:rsidRPr="00E91A66" w:rsidRDefault="00C12375">
      <w:pPr>
        <w:ind w:left="596" w:right="85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IV. Llevar los registros contables, financieros y administrativos de los ingresos, egresos, e inventarios.”</w:t>
      </w:r>
    </w:p>
    <w:p w14:paraId="74EE95AD" w14:textId="77777777" w:rsidR="0032757E" w:rsidRPr="00E91A66" w:rsidRDefault="00C12375">
      <w:pPr>
        <w:spacing w:before="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Pero, las mismas no dan cuenta de lo solicitado ya que estos son los costos de los materiales, no así de la obra, ya que de la solicitud se pide de la rehabilitación de la red de agua en la avenida señalada, además de la factura enviada en la que se desglose los materiales, no se advierte que se trate de la obra solicitada; de ahí que,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deberá hacer de nueva cuenta una nueva búsqueda de la información requerida. </w:t>
      </w:r>
    </w:p>
    <w:p w14:paraId="7FF0F3F9" w14:textId="77777777" w:rsidR="0032757E" w:rsidRPr="00E91A66" w:rsidRDefault="00C12375">
      <w:pPr>
        <w:spacing w:before="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 xml:space="preserve">También, debemos recordar que la parte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xml:space="preserve">, no sólo requirió los costos de dicha Rehabilitación, sino la procedencia de dichos recursos como los </w:t>
      </w:r>
      <w:proofErr w:type="gramStart"/>
      <w:r w:rsidRPr="00E91A66">
        <w:rPr>
          <w:rFonts w:ascii="Palatino Linotype" w:eastAsia="Palatino Linotype" w:hAnsi="Palatino Linotype" w:cs="Palatino Linotype"/>
        </w:rPr>
        <w:t>actores involucrado</w:t>
      </w:r>
      <w:proofErr w:type="gramEnd"/>
      <w:r w:rsidRPr="00E91A66">
        <w:rPr>
          <w:rFonts w:ascii="Palatino Linotype" w:eastAsia="Palatino Linotype" w:hAnsi="Palatino Linotype" w:cs="Palatino Linotype"/>
        </w:rPr>
        <w:t xml:space="preserve"> en dicha gestión y ejecución, y toda la información relacionada con dicha obra pública, de los cuales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no se pronunció.</w:t>
      </w:r>
    </w:p>
    <w:p w14:paraId="59CC8779" w14:textId="77777777" w:rsidR="0032757E" w:rsidRPr="00E91A66" w:rsidRDefault="0032757E">
      <w:pPr>
        <w:spacing w:line="360" w:lineRule="auto"/>
        <w:jc w:val="both"/>
        <w:rPr>
          <w:rFonts w:ascii="Palatino Linotype" w:eastAsia="Palatino Linotype" w:hAnsi="Palatino Linotype" w:cs="Palatino Linotype"/>
        </w:rPr>
      </w:pPr>
    </w:p>
    <w:p w14:paraId="16761C14"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Por consiguiente, se determina que la respuesta del Ayuntamiento de Xalatlaco,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4C1FED0D" w14:textId="77777777" w:rsidR="0032757E" w:rsidRPr="00E91A66" w:rsidRDefault="0032757E">
      <w:pPr>
        <w:spacing w:line="360" w:lineRule="auto"/>
        <w:jc w:val="both"/>
        <w:rPr>
          <w:rFonts w:ascii="Palatino Linotype" w:eastAsia="Palatino Linotype" w:hAnsi="Palatino Linotype" w:cs="Palatino Linotype"/>
        </w:rPr>
      </w:pPr>
    </w:p>
    <w:p w14:paraId="7FD5F7FE"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91A66">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91A66">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E91A66">
        <w:rPr>
          <w:rFonts w:ascii="Palatino Linotype" w:eastAsia="Palatino Linotype" w:hAnsi="Palatino Linotype" w:cs="Palatino Linotype"/>
          <w:i/>
          <w:sz w:val="22"/>
          <w:szCs w:val="22"/>
        </w:rPr>
        <w:t xml:space="preserve">; mientras que </w:t>
      </w:r>
      <w:r w:rsidRPr="00E91A66">
        <w:rPr>
          <w:rFonts w:ascii="Palatino Linotype" w:eastAsia="Palatino Linotype" w:hAnsi="Palatino Linotype" w:cs="Palatino Linotype"/>
          <w:b/>
          <w:i/>
          <w:sz w:val="22"/>
          <w:szCs w:val="22"/>
        </w:rPr>
        <w:t>la exhaustividad significa que dicha respuesta se refiera expresamente a cada uno de los puntos solicitados</w:t>
      </w:r>
      <w:r w:rsidRPr="00E91A66">
        <w:rPr>
          <w:rFonts w:ascii="Palatino Linotype" w:eastAsia="Palatino Linotype" w:hAnsi="Palatino Linotype" w:cs="Palatino Linotype"/>
          <w:i/>
          <w:sz w:val="22"/>
          <w:szCs w:val="22"/>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 </w:t>
      </w:r>
    </w:p>
    <w:p w14:paraId="4E97B72B" w14:textId="77777777" w:rsidR="0032757E" w:rsidRPr="00E91A66" w:rsidRDefault="00C12375">
      <w:pPr>
        <w:spacing w:before="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Y toda vez que conforme a lo señalado en el presente estudio se advierte que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debe generar los expedientes respectivos sobre los procedimientos de adjudicación directa, invitación restringida y licitación de cualquier naturaleza, dentro de los cuales encontramos documentos que dan cuenta del origen de los recursos, facturas, montos, la persona adjudicada, nombre del </w:t>
      </w:r>
      <w:r w:rsidRPr="00E91A66">
        <w:rPr>
          <w:rFonts w:ascii="Palatino Linotype" w:eastAsia="Palatino Linotype" w:hAnsi="Palatino Linotype" w:cs="Palatino Linotype"/>
        </w:rPr>
        <w:lastRenderedPageBreak/>
        <w:t xml:space="preserve">ganador, área solicitante, responsable de su ejecución así como toda la información relacionada, respectivamente; de ahí que, es que es procedente ordenar su entrega, en versión pública de ser procedente conforme a lo señalado en el considerando quinto del presente fallo.  </w:t>
      </w:r>
    </w:p>
    <w:p w14:paraId="2D5ADC0A" w14:textId="77777777" w:rsidR="0032757E" w:rsidRPr="00E91A66" w:rsidRDefault="00C12375">
      <w:pPr>
        <w:spacing w:before="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No se omite comentar, que de la respuesta se advierte que sólo se pronunció Tesorería Municipal, en este sentido se puede concluir que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11B8494C" w14:textId="77777777" w:rsidR="0032757E" w:rsidRPr="00E91A66" w:rsidRDefault="00C12375">
      <w:pPr>
        <w:spacing w:before="240" w:after="240"/>
        <w:ind w:left="709" w:right="902"/>
        <w:jc w:val="both"/>
        <w:rPr>
          <w:rFonts w:ascii="Palatino Linotype" w:eastAsia="Palatino Linotype" w:hAnsi="Palatino Linotype" w:cs="Palatino Linotype"/>
          <w:i/>
          <w:sz w:val="20"/>
          <w:szCs w:val="20"/>
        </w:rPr>
      </w:pPr>
      <w:r w:rsidRPr="00E91A66">
        <w:rPr>
          <w:rFonts w:ascii="Palatino Linotype" w:eastAsia="Palatino Linotype" w:hAnsi="Palatino Linotype" w:cs="Palatino Linotype"/>
          <w:i/>
          <w:sz w:val="20"/>
          <w:szCs w:val="2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5E09E08" w14:textId="77777777" w:rsidR="0032757E" w:rsidRPr="00E91A66" w:rsidRDefault="00C12375">
      <w:pPr>
        <w:shd w:val="clear" w:color="auto" w:fill="FFFFFF"/>
        <w:spacing w:before="240" w:after="240" w:line="360" w:lineRule="auto"/>
        <w:jc w:val="both"/>
      </w:pPr>
      <w:r w:rsidRPr="00E91A66">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751B864C" w14:textId="77777777" w:rsidR="0032757E" w:rsidRPr="00E91A66" w:rsidRDefault="00C12375">
      <w:pPr>
        <w:shd w:val="clear" w:color="auto" w:fill="FFFFFF"/>
        <w:spacing w:after="240" w:line="276" w:lineRule="auto"/>
        <w:ind w:left="993" w:right="1041"/>
        <w:jc w:val="both"/>
      </w:pPr>
      <w:r w:rsidRPr="00E91A66">
        <w:rPr>
          <w:rFonts w:ascii="Palatino Linotype" w:eastAsia="Palatino Linotype" w:hAnsi="Palatino Linotype" w:cs="Palatino Linotype"/>
          <w:b/>
          <w:i/>
          <w:sz w:val="22"/>
          <w:szCs w:val="22"/>
        </w:rPr>
        <w:t>“Artículo 162.</w:t>
      </w:r>
      <w:r w:rsidRPr="00E91A66">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w:t>
      </w:r>
      <w:r w:rsidRPr="00E91A66">
        <w:rPr>
          <w:rFonts w:ascii="Palatino Linotype" w:eastAsia="Palatino Linotype" w:hAnsi="Palatino Linotype" w:cs="Palatino Linotype"/>
          <w:i/>
          <w:sz w:val="22"/>
          <w:szCs w:val="22"/>
        </w:rPr>
        <w:lastRenderedPageBreak/>
        <w:t xml:space="preserve">funciones, con el objeto de que realicen una búsqueda exhaustiva y razonable de la información solicitada.” </w:t>
      </w:r>
    </w:p>
    <w:p w14:paraId="3BFC194E" w14:textId="77777777" w:rsidR="0032757E" w:rsidRPr="00E91A66" w:rsidRDefault="00C12375">
      <w:pPr>
        <w:shd w:val="clear" w:color="auto" w:fill="FFFFFF"/>
        <w:spacing w:line="360" w:lineRule="auto"/>
        <w:jc w:val="both"/>
      </w:pPr>
      <w:r w:rsidRPr="00E91A66">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E91A66">
        <w:rPr>
          <w:rFonts w:ascii="Palatino Linotype" w:eastAsia="Palatino Linotype" w:hAnsi="Palatino Linotype" w:cs="Palatino Linotype"/>
          <w:vertAlign w:val="superscript"/>
        </w:rPr>
        <w:footnoteReference w:id="3"/>
      </w:r>
      <w:r w:rsidRPr="00E91A66">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51639D60" w14:textId="77777777" w:rsidR="0032757E" w:rsidRPr="00E91A66" w:rsidRDefault="0032757E">
      <w:pPr>
        <w:shd w:val="clear" w:color="auto" w:fill="FFFFFF"/>
        <w:ind w:left="993" w:right="1041"/>
        <w:jc w:val="both"/>
        <w:rPr>
          <w:rFonts w:ascii="Palatino Linotype" w:eastAsia="Palatino Linotype" w:hAnsi="Palatino Linotype" w:cs="Palatino Linotype"/>
          <w:b/>
          <w:i/>
          <w:sz w:val="22"/>
          <w:szCs w:val="22"/>
        </w:rPr>
      </w:pPr>
    </w:p>
    <w:p w14:paraId="7599561F" w14:textId="77777777" w:rsidR="0032757E" w:rsidRPr="00E91A66" w:rsidRDefault="00C12375">
      <w:pPr>
        <w:shd w:val="clear" w:color="auto" w:fill="FFFFFF"/>
        <w:ind w:left="993" w:right="1041"/>
        <w:jc w:val="both"/>
      </w:pPr>
      <w:r w:rsidRPr="00E91A66">
        <w:rPr>
          <w:rFonts w:ascii="Palatino Linotype" w:eastAsia="Palatino Linotype" w:hAnsi="Palatino Linotype" w:cs="Palatino Linotype"/>
          <w:b/>
          <w:i/>
          <w:sz w:val="22"/>
          <w:szCs w:val="22"/>
        </w:rPr>
        <w:t>“Artículo 160. </w:t>
      </w:r>
      <w:r w:rsidRPr="00E91A66">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689D2D5" w14:textId="77777777" w:rsidR="0032757E" w:rsidRPr="00E91A66" w:rsidRDefault="00C12375">
      <w:pPr>
        <w:shd w:val="clear" w:color="auto" w:fill="FFFFFF"/>
        <w:ind w:left="993" w:right="1041"/>
        <w:jc w:val="both"/>
      </w:pPr>
      <w:r w:rsidRPr="00E91A66">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4069FAB0" w14:textId="77777777" w:rsidR="0032757E" w:rsidRPr="00E91A66" w:rsidRDefault="00C12375">
      <w:pPr>
        <w:shd w:val="clear" w:color="auto" w:fill="FFFFFF"/>
        <w:ind w:left="993" w:right="1041"/>
        <w:jc w:val="both"/>
      </w:pPr>
      <w:r w:rsidRPr="00E91A66">
        <w:rPr>
          <w:rFonts w:ascii="Palatino Linotype" w:eastAsia="Palatino Linotype" w:hAnsi="Palatino Linotype" w:cs="Palatino Linotype"/>
          <w:b/>
          <w:i/>
          <w:sz w:val="22"/>
          <w:szCs w:val="22"/>
        </w:rPr>
        <w:t>Artículo 163.</w:t>
      </w:r>
      <w:r w:rsidRPr="00E91A66">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3CC30C74" w14:textId="77777777" w:rsidR="0032757E" w:rsidRPr="00E91A66" w:rsidRDefault="00C12375">
      <w:pPr>
        <w:shd w:val="clear" w:color="auto" w:fill="FFFFFF"/>
        <w:ind w:left="993" w:right="1041"/>
        <w:jc w:val="both"/>
      </w:pPr>
      <w:r w:rsidRPr="00E91A66">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w:t>
      </w:r>
      <w:r w:rsidRPr="00E91A66">
        <w:rPr>
          <w:rFonts w:ascii="Palatino Linotype" w:eastAsia="Palatino Linotype" w:hAnsi="Palatino Linotype" w:cs="Palatino Linotype"/>
          <w:i/>
          <w:sz w:val="22"/>
          <w:szCs w:val="22"/>
        </w:rPr>
        <w:lastRenderedPageBreak/>
        <w:t>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1C181CE" w14:textId="77777777" w:rsidR="0032757E" w:rsidRPr="00E91A66" w:rsidRDefault="00C12375">
      <w:pPr>
        <w:shd w:val="clear" w:color="auto" w:fill="FFFFFF"/>
        <w:ind w:left="993" w:right="1041"/>
        <w:jc w:val="both"/>
      </w:pPr>
      <w:r w:rsidRPr="00E91A66">
        <w:rPr>
          <w:rFonts w:ascii="Palatino Linotype" w:eastAsia="Palatino Linotype" w:hAnsi="Palatino Linotype" w:cs="Palatino Linotype"/>
          <w:b/>
          <w:i/>
          <w:sz w:val="22"/>
          <w:szCs w:val="22"/>
        </w:rPr>
        <w:t>Artículo 165.</w:t>
      </w:r>
      <w:r w:rsidRPr="00E91A66">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179D7024" w14:textId="77777777" w:rsidR="0032757E" w:rsidRPr="00E91A66" w:rsidRDefault="00C12375">
      <w:pPr>
        <w:shd w:val="clear" w:color="auto" w:fill="FFFFFF"/>
        <w:ind w:left="993" w:right="1041"/>
        <w:jc w:val="both"/>
      </w:pPr>
      <w:r w:rsidRPr="00E91A66">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0DE3C051" w14:textId="77777777" w:rsidR="0032757E" w:rsidRPr="00E91A66" w:rsidRDefault="00C12375">
      <w:pPr>
        <w:shd w:val="clear" w:color="auto" w:fill="FFFFFF"/>
        <w:spacing w:after="240"/>
        <w:ind w:left="993" w:right="1041"/>
        <w:jc w:val="both"/>
      </w:pPr>
      <w:r w:rsidRPr="00E91A66">
        <w:rPr>
          <w:rFonts w:ascii="Palatino Linotype" w:eastAsia="Palatino Linotype" w:hAnsi="Palatino Linotype" w:cs="Palatino Linotype"/>
          <w:i/>
          <w:sz w:val="22"/>
          <w:szCs w:val="22"/>
        </w:rPr>
        <w:t xml:space="preserve">Ante la falta de respuesta a una solicitud en el plazo previsto y en caso de que proceda el acceso, los costos de reproducción y envío correrán a cargo del sujeto obligado.” </w:t>
      </w:r>
    </w:p>
    <w:p w14:paraId="75558F7B" w14:textId="77777777" w:rsidR="0032757E" w:rsidRPr="00E91A66" w:rsidRDefault="00C12375">
      <w:pPr>
        <w:shd w:val="clear" w:color="auto" w:fill="FFFFFF"/>
        <w:spacing w:before="240" w:after="240" w:line="360" w:lineRule="auto"/>
        <w:jc w:val="both"/>
      </w:pPr>
      <w:r w:rsidRPr="00E91A66">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E91A66">
        <w:rPr>
          <w:rFonts w:ascii="Palatino Linotype" w:eastAsia="Palatino Linotype" w:hAnsi="Palatino Linotype" w:cs="Palatino Linotype"/>
          <w:vertAlign w:val="superscript"/>
        </w:rPr>
        <w:footnoteReference w:id="4"/>
      </w:r>
      <w:r w:rsidRPr="00E91A66">
        <w:rPr>
          <w:rFonts w:ascii="Palatino Linotype" w:eastAsia="Palatino Linotype" w:hAnsi="Palatino Linotype" w:cs="Palatino Linotype"/>
        </w:rPr>
        <w:t xml:space="preserve">, situación que no se advierte en el presente caso, toda vez que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6E6E5A64" w14:textId="77777777" w:rsidR="0032757E" w:rsidRPr="00E91A66" w:rsidRDefault="00C12375">
      <w:pPr>
        <w:spacing w:line="360" w:lineRule="auto"/>
        <w:ind w:right="51"/>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En mérito de lo anterior, se colige que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w:t>
      </w:r>
      <w:r w:rsidRPr="00E91A66">
        <w:rPr>
          <w:rFonts w:ascii="Palatino Linotype" w:eastAsia="Palatino Linotype" w:hAnsi="Palatino Linotype" w:cs="Palatino Linotype"/>
        </w:rPr>
        <w:lastRenderedPageBreak/>
        <w:t>pudieran ser la Dirección de Obras Públicas y Desarrollo Urbano en términos de lo señalado por el artículo 78 del Bando Municipal del Ayuntamiento de Xalatlaco para el año 2024, que señala:</w:t>
      </w:r>
    </w:p>
    <w:p w14:paraId="1A8EA026" w14:textId="77777777" w:rsidR="0032757E" w:rsidRPr="00E91A66" w:rsidRDefault="0032757E">
      <w:pPr>
        <w:spacing w:line="360" w:lineRule="auto"/>
        <w:ind w:right="51"/>
        <w:jc w:val="both"/>
        <w:rPr>
          <w:rFonts w:ascii="Palatino Linotype" w:eastAsia="Palatino Linotype" w:hAnsi="Palatino Linotype" w:cs="Palatino Linotype"/>
        </w:rPr>
      </w:pPr>
    </w:p>
    <w:p w14:paraId="6CA281FB"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CAPÍTULO I DE LA OBRA PÚBLICA </w:t>
      </w:r>
    </w:p>
    <w:p w14:paraId="31617285"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78.- El Ayuntamiento, a través de la </w:t>
      </w:r>
      <w:r w:rsidRPr="00E91A66">
        <w:rPr>
          <w:rFonts w:ascii="Palatino Linotype" w:eastAsia="Palatino Linotype" w:hAnsi="Palatino Linotype" w:cs="Palatino Linotype"/>
          <w:b/>
          <w:i/>
          <w:sz w:val="22"/>
          <w:szCs w:val="22"/>
        </w:rPr>
        <w:t>Dirección de Obras Públicas</w:t>
      </w:r>
      <w:r w:rsidRPr="00E91A66">
        <w:rPr>
          <w:rFonts w:ascii="Palatino Linotype" w:eastAsia="Palatino Linotype" w:hAnsi="Palatino Linotype" w:cs="Palatino Linotype"/>
          <w:i/>
          <w:sz w:val="22"/>
          <w:szCs w:val="22"/>
        </w:rPr>
        <w:t xml:space="preserve"> y Desarrollo Urbano, de conformidad con las disposiciones de la legislación federal, estatal y municipal, tiene las siguientes atribuciones: </w:t>
      </w:r>
    </w:p>
    <w:p w14:paraId="02732738"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 Proyectar y proponer los programas anuales de obra pública de acuerdo a la normatividad aplicable y en congruencia con el Plan de Desarrollo Municipal y con la política, objetivos y prioridades del municipio, así como vigilar su ejecución;</w:t>
      </w:r>
    </w:p>
    <w:p w14:paraId="16B44D16"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 II. Elaborar los estudios técnicos, sociales, de impacto ambiental en caso de requerirlo y los proyectos ejecutivos de las obras públicas incluidas en los programas operativos anuales; </w:t>
      </w:r>
    </w:p>
    <w:p w14:paraId="1DFE123F"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III. Ejecutar las obras públicas de los programas anuales aprobados en la modalidad de administración o contrato</w:t>
      </w:r>
      <w:r w:rsidRPr="00E91A66">
        <w:rPr>
          <w:rFonts w:ascii="Palatino Linotype" w:eastAsia="Palatino Linotype" w:hAnsi="Palatino Linotype" w:cs="Palatino Linotype"/>
          <w:i/>
          <w:sz w:val="22"/>
          <w:szCs w:val="22"/>
        </w:rPr>
        <w:t xml:space="preserve">; </w:t>
      </w:r>
    </w:p>
    <w:p w14:paraId="370ECFC8"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IV</w:t>
      </w:r>
      <w:r w:rsidRPr="00E91A66">
        <w:rPr>
          <w:rFonts w:ascii="Palatino Linotype" w:eastAsia="Palatino Linotype" w:hAnsi="Palatino Linotype" w:cs="Palatino Linotype"/>
          <w:b/>
          <w:i/>
          <w:sz w:val="22"/>
          <w:szCs w:val="22"/>
        </w:rPr>
        <w:t>. Licitar o asignar según sea el caso, servicios de obra y las obras públicas aprobadas en los programas anuales, de conformidad con la normatividad de la fuente de recursos y los montos aprobados</w:t>
      </w:r>
      <w:r w:rsidRPr="00E91A66">
        <w:rPr>
          <w:rFonts w:ascii="Palatino Linotype" w:eastAsia="Palatino Linotype" w:hAnsi="Palatino Linotype" w:cs="Palatino Linotype"/>
          <w:i/>
          <w:sz w:val="22"/>
          <w:szCs w:val="22"/>
        </w:rPr>
        <w:t xml:space="preserve">; </w:t>
      </w:r>
    </w:p>
    <w:p w14:paraId="4E45FDC7"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 Supervisar y verificar que todas las obras del programa anual se ejecuten de conformidad con el proyecto y las especificaciones técnicas respectivas; </w:t>
      </w:r>
    </w:p>
    <w:p w14:paraId="6E259820"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VI. Celebrar convenios con particulares, dependencias y organismos de los ámbitos de gobierno federal, estatal y de otros municipios para la ejecución de obras públicas; VII. Instaurar y resolver procedimientos de Suspensión Temporal, Terminación Anticipada y Rescisión Administrativa de contratos de Obra Pública y servicios relacionados con las mismas; </w:t>
      </w:r>
    </w:p>
    <w:p w14:paraId="334A05DA"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VIII. Las que le señale el Reglamento Orgánico de la Administración Pública Municipal, y </w:t>
      </w:r>
    </w:p>
    <w:p w14:paraId="39CF4A32" w14:textId="77777777" w:rsidR="0032757E" w:rsidRPr="00E91A66" w:rsidRDefault="00C12375">
      <w:pPr>
        <w:spacing w:before="80" w:after="240"/>
        <w:ind w:left="567" w:right="900"/>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IX. Las demás que establezcan los ordenamientos legales aplicables.</w:t>
      </w:r>
    </w:p>
    <w:p w14:paraId="605E3D60" w14:textId="77777777" w:rsidR="0032757E" w:rsidRPr="00E91A66" w:rsidRDefault="00C12375">
      <w:pPr>
        <w:spacing w:before="240"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Lo que se robustece con lo señalado por el artículo 96 Bis de la Ley Orgánica Municipal del Estado de México, que señala:</w:t>
      </w:r>
    </w:p>
    <w:p w14:paraId="1A656438" w14:textId="77777777" w:rsidR="0032757E" w:rsidRPr="00E91A66" w:rsidRDefault="0032757E">
      <w:pPr>
        <w:ind w:left="567" w:right="902"/>
        <w:jc w:val="both"/>
        <w:rPr>
          <w:rFonts w:ascii="Palatino Linotype" w:eastAsia="Palatino Linotype" w:hAnsi="Palatino Linotype" w:cs="Palatino Linotype"/>
          <w:i/>
          <w:sz w:val="22"/>
          <w:szCs w:val="22"/>
        </w:rPr>
      </w:pPr>
    </w:p>
    <w:p w14:paraId="3EC271BD" w14:textId="77777777" w:rsidR="0032757E" w:rsidRPr="00E91A66" w:rsidRDefault="00C12375">
      <w:pPr>
        <w:ind w:left="567"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Artículo 96. </w:t>
      </w:r>
      <w:proofErr w:type="gramStart"/>
      <w:r w:rsidRPr="00E91A66">
        <w:rPr>
          <w:rFonts w:ascii="Palatino Linotype" w:eastAsia="Palatino Linotype" w:hAnsi="Palatino Linotype" w:cs="Palatino Linotype"/>
          <w:i/>
          <w:sz w:val="22"/>
          <w:szCs w:val="22"/>
        </w:rPr>
        <w:t>Bis.-</w:t>
      </w:r>
      <w:proofErr w:type="gramEnd"/>
      <w:r w:rsidRPr="00E91A66">
        <w:rPr>
          <w:rFonts w:ascii="Palatino Linotype" w:eastAsia="Palatino Linotype" w:hAnsi="Palatino Linotype" w:cs="Palatino Linotype"/>
          <w:i/>
          <w:sz w:val="22"/>
          <w:szCs w:val="22"/>
        </w:rPr>
        <w:t xml:space="preserve"> El Director de Obras Públicas o el Titular de la Unidad Administrativa equivalente, tiene las siguientes atribuciones:</w:t>
      </w:r>
    </w:p>
    <w:p w14:paraId="44923EBF" w14:textId="77777777" w:rsidR="0032757E" w:rsidRPr="00E91A66" w:rsidRDefault="00C12375">
      <w:pPr>
        <w:ind w:left="567"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397DEC1F" w14:textId="77777777" w:rsidR="0032757E" w:rsidRPr="00E91A66" w:rsidRDefault="00C12375">
      <w:pPr>
        <w:ind w:left="567"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 Planear y coordinar los proyectos de obras públicas y servicios relacionados con las mismas que autorice el Ayuntamiento, una vez que se cumplan los requisitos de licitación y otros que determine la ley de la materia;</w:t>
      </w:r>
    </w:p>
    <w:p w14:paraId="2ED826B9" w14:textId="77777777" w:rsidR="0032757E" w:rsidRPr="00E91A66" w:rsidRDefault="00C12375">
      <w:pPr>
        <w:ind w:left="567"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3552494B" w14:textId="77777777" w:rsidR="0032757E" w:rsidRPr="00E91A66" w:rsidRDefault="00C12375">
      <w:pPr>
        <w:ind w:left="567"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30D2A407" w14:textId="77777777" w:rsidR="0032757E" w:rsidRPr="00E91A66" w:rsidRDefault="00C12375">
      <w:pPr>
        <w:ind w:left="567"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p>
    <w:p w14:paraId="1BEB7BF5" w14:textId="77777777" w:rsidR="0032757E" w:rsidRPr="00E91A66" w:rsidRDefault="00C12375">
      <w:pPr>
        <w:ind w:left="567" w:right="902"/>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XI. Integrar y verificar que se elaboren de manera correcta y completa las bitácoras y/o expedientes abiertos con motivo de la obra pública y servicios relacionados con la misma, conforme a lo establecido en las disposiciones legales aplicables…”</w:t>
      </w:r>
    </w:p>
    <w:p w14:paraId="33FF308F" w14:textId="77777777" w:rsidR="0032757E" w:rsidRPr="00E91A66" w:rsidRDefault="0032757E">
      <w:pPr>
        <w:spacing w:line="360" w:lineRule="auto"/>
        <w:jc w:val="both"/>
        <w:rPr>
          <w:rFonts w:ascii="Palatino Linotype" w:eastAsia="Palatino Linotype" w:hAnsi="Palatino Linotype" w:cs="Palatino Linotype"/>
        </w:rPr>
      </w:pPr>
    </w:p>
    <w:p w14:paraId="5FF6AD85"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Por otro lado, respecto del origen de los recursos solicitados, del mismo documento que adjunto el particular a su solicitud de acceso a la información pública se advierte que la obra de la cual se pide la información fue realizada con el fondo del programa denominado FISMDF, el cual corresponde al Fondo para la Infraestructura Social Municipal y de las Demarcaciones Territoriales del Distrito Federal, luego entonces el documento que daría cuenta del origen de los recursos sería de manera enunciativa mas no limitada el acuerdo por el que se dan a conocer la fórmula, metodología, distribución y el calendario de las asignaciones por municipio que corresponden al ejercicio fiscal 2018.</w:t>
      </w:r>
    </w:p>
    <w:p w14:paraId="156BC3C6" w14:textId="77777777" w:rsidR="0032757E" w:rsidRPr="00E91A66" w:rsidRDefault="0032757E">
      <w:pPr>
        <w:spacing w:line="360" w:lineRule="auto"/>
        <w:jc w:val="both"/>
        <w:rPr>
          <w:rFonts w:ascii="Palatino Linotype" w:eastAsia="Palatino Linotype" w:hAnsi="Palatino Linotype" w:cs="Palatino Linotype"/>
        </w:rPr>
      </w:pPr>
    </w:p>
    <w:p w14:paraId="62425174"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 xml:space="preserve">Finalmente, en cuanto a los involucrados en diga gestión y ejecución de la mencionada obra, los documentos que darían cuenta de lo solicitado, sería de manera enunciativa mas no limitada, en términos de lo señalado en la fracción XIX del artículo 92 de la Ley de la Materia, serían los propios fallos de adjudicación, contratos, convenios modificatorios, informes de avance físico y financiero, convenio de terminación, finiquitos, etcétera, respectivamente. </w:t>
      </w:r>
    </w:p>
    <w:p w14:paraId="253BB6C5" w14:textId="77777777" w:rsidR="0032757E" w:rsidRPr="00E91A66" w:rsidRDefault="0032757E">
      <w:pPr>
        <w:spacing w:line="360" w:lineRule="auto"/>
        <w:jc w:val="both"/>
        <w:rPr>
          <w:rFonts w:ascii="Palatino Linotype" w:eastAsia="Palatino Linotype" w:hAnsi="Palatino Linotype" w:cs="Palatino Linotype"/>
        </w:rPr>
      </w:pPr>
    </w:p>
    <w:p w14:paraId="7EDF5F0E"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Quinto. Versión Pública. </w:t>
      </w:r>
      <w:r w:rsidRPr="00E91A66">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xml:space="preserve"> sin menoscabar el derecho a la protección de los datos personales de terceros.</w:t>
      </w:r>
    </w:p>
    <w:p w14:paraId="5A4EA4D4" w14:textId="77777777" w:rsidR="0032757E" w:rsidRPr="00E91A66" w:rsidRDefault="00C12375">
      <w:pPr>
        <w:spacing w:before="240" w:after="240"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161645E4" w14:textId="77777777" w:rsidR="0032757E" w:rsidRPr="00E91A66" w:rsidRDefault="00C12375">
      <w:pPr>
        <w:ind w:left="993" w:right="1041"/>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 xml:space="preserve"> “Artículo 3. Para los efectos de la presente Ley se entenderá por:</w:t>
      </w:r>
    </w:p>
    <w:p w14:paraId="6F83EC61" w14:textId="77777777" w:rsidR="0032757E" w:rsidRPr="00E91A66" w:rsidRDefault="00C12375">
      <w:pPr>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IX. Datos personales:</w:t>
      </w:r>
      <w:r w:rsidRPr="00E91A66">
        <w:rPr>
          <w:rFonts w:ascii="Palatino Linotype" w:eastAsia="Palatino Linotype" w:hAnsi="Palatino Linotype" w:cs="Palatino Linotype"/>
          <w:i/>
          <w:sz w:val="22"/>
          <w:szCs w:val="22"/>
        </w:rPr>
        <w:t xml:space="preserve"> </w:t>
      </w:r>
      <w:r w:rsidRPr="00E91A66">
        <w:rPr>
          <w:rFonts w:ascii="Palatino Linotype" w:eastAsia="Palatino Linotype" w:hAnsi="Palatino Linotype" w:cs="Palatino Linotype"/>
          <w:b/>
          <w:i/>
          <w:sz w:val="22"/>
          <w:szCs w:val="22"/>
        </w:rPr>
        <w:t>La información concerniente a una persona, identificada o identificable</w:t>
      </w:r>
      <w:r w:rsidRPr="00E91A66">
        <w:rPr>
          <w:rFonts w:ascii="Palatino Linotype" w:eastAsia="Palatino Linotype" w:hAnsi="Palatino Linotype" w:cs="Palatino Linotype"/>
          <w:i/>
          <w:sz w:val="22"/>
          <w:szCs w:val="22"/>
        </w:rPr>
        <w:t xml:space="preserve"> según lo dispuesto por la Ley de Protección de Datos Personales del Estado de México;</w:t>
      </w:r>
    </w:p>
    <w:p w14:paraId="33103A0D" w14:textId="77777777" w:rsidR="0032757E" w:rsidRPr="00E91A66" w:rsidRDefault="00C12375">
      <w:pPr>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XX. Información clasificada:</w:t>
      </w:r>
      <w:r w:rsidRPr="00E91A66">
        <w:rPr>
          <w:rFonts w:ascii="Palatino Linotype" w:eastAsia="Palatino Linotype" w:hAnsi="Palatino Linotype" w:cs="Palatino Linotype"/>
          <w:i/>
          <w:sz w:val="22"/>
          <w:szCs w:val="22"/>
        </w:rPr>
        <w:t xml:space="preserve"> Aquella considerada por la presente Ley como reservada o confidencial;</w:t>
      </w:r>
    </w:p>
    <w:p w14:paraId="108FE575" w14:textId="77777777" w:rsidR="0032757E" w:rsidRPr="00E91A66" w:rsidRDefault="00C12375">
      <w:pPr>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lastRenderedPageBreak/>
        <w:t>XXXII. Protección de Datos Personales:</w:t>
      </w:r>
      <w:r w:rsidRPr="00E91A66">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B628015" w14:textId="77777777" w:rsidR="0032757E" w:rsidRPr="00E91A66" w:rsidRDefault="00C12375">
      <w:pPr>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XLV. Versión pública</w:t>
      </w:r>
      <w:r w:rsidRPr="00E91A6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CD8A9E1" w14:textId="77777777" w:rsidR="0032757E" w:rsidRPr="00E91A66" w:rsidRDefault="0032757E">
      <w:pPr>
        <w:ind w:left="993" w:right="1041"/>
        <w:jc w:val="both"/>
        <w:rPr>
          <w:rFonts w:ascii="Palatino Linotype" w:eastAsia="Palatino Linotype" w:hAnsi="Palatino Linotype" w:cs="Palatino Linotype"/>
          <w:i/>
          <w:sz w:val="22"/>
          <w:szCs w:val="22"/>
        </w:rPr>
      </w:pPr>
    </w:p>
    <w:p w14:paraId="6EF9E724" w14:textId="77777777" w:rsidR="0032757E" w:rsidRPr="00E91A66" w:rsidRDefault="00C12375">
      <w:pPr>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“Artículo 6.</w:t>
      </w:r>
      <w:r w:rsidRPr="00E91A66">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4253815" w14:textId="77777777" w:rsidR="0032757E" w:rsidRPr="00E91A66" w:rsidRDefault="0032757E">
      <w:pPr>
        <w:ind w:left="993" w:right="1041"/>
        <w:jc w:val="both"/>
        <w:rPr>
          <w:rFonts w:ascii="Palatino Linotype" w:eastAsia="Palatino Linotype" w:hAnsi="Palatino Linotype" w:cs="Palatino Linotype"/>
          <w:i/>
          <w:sz w:val="22"/>
          <w:szCs w:val="22"/>
        </w:rPr>
      </w:pPr>
    </w:p>
    <w:p w14:paraId="22E5359A" w14:textId="77777777" w:rsidR="0032757E" w:rsidRPr="00E91A66" w:rsidRDefault="00C12375">
      <w:pPr>
        <w:ind w:left="993" w:right="1041"/>
        <w:jc w:val="both"/>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“Artículo 137.</w:t>
      </w:r>
      <w:r w:rsidRPr="00E91A6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E4622B8" w14:textId="77777777" w:rsidR="0032757E" w:rsidRPr="00E91A66" w:rsidRDefault="0032757E">
      <w:pPr>
        <w:ind w:left="993" w:right="1041"/>
        <w:jc w:val="both"/>
        <w:rPr>
          <w:rFonts w:ascii="Palatino Linotype" w:eastAsia="Palatino Linotype" w:hAnsi="Palatino Linotype" w:cs="Palatino Linotype"/>
          <w:b/>
          <w:i/>
          <w:sz w:val="22"/>
          <w:szCs w:val="22"/>
        </w:rPr>
      </w:pPr>
    </w:p>
    <w:p w14:paraId="73AEDB83" w14:textId="77777777" w:rsidR="0032757E" w:rsidRPr="00E91A66" w:rsidRDefault="00C12375">
      <w:pPr>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“Artículo 143</w:t>
      </w:r>
      <w:r w:rsidRPr="00E91A6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628154C" w14:textId="77777777" w:rsidR="0032757E" w:rsidRPr="00E91A66" w:rsidRDefault="00C12375">
      <w:pPr>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I.</w:t>
      </w:r>
      <w:r w:rsidRPr="00E91A66">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AC5BCE2" w14:textId="77777777" w:rsidR="0032757E" w:rsidRPr="00E91A66" w:rsidRDefault="00C12375">
      <w:pPr>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EEBED63" w14:textId="77777777" w:rsidR="0032757E" w:rsidRPr="00E91A66" w:rsidRDefault="00C12375">
      <w:pPr>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14:paraId="2BFECD27" w14:textId="77777777" w:rsidR="0032757E" w:rsidRPr="00E91A66" w:rsidRDefault="0032757E">
      <w:pPr>
        <w:ind w:left="993" w:right="1041"/>
        <w:jc w:val="both"/>
        <w:rPr>
          <w:rFonts w:ascii="Palatino Linotype" w:eastAsia="Palatino Linotype" w:hAnsi="Palatino Linotype" w:cs="Palatino Linotype"/>
          <w:i/>
          <w:sz w:val="22"/>
          <w:szCs w:val="22"/>
        </w:rPr>
      </w:pPr>
    </w:p>
    <w:p w14:paraId="69111101" w14:textId="77777777" w:rsidR="0032757E" w:rsidRPr="00E91A66" w:rsidRDefault="00C12375">
      <w:pPr>
        <w:spacing w:line="360" w:lineRule="auto"/>
        <w:ind w:right="51"/>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w:t>
      </w:r>
      <w:r w:rsidRPr="00E91A66">
        <w:rPr>
          <w:rFonts w:ascii="Palatino Linotype" w:eastAsia="Palatino Linotype" w:hAnsi="Palatino Linotype" w:cs="Palatino Linotype"/>
        </w:rPr>
        <w:lastRenderedPageBreak/>
        <w:t xml:space="preserve">Obligado deberá proceder a testar los datos personales que se encuentren contenidos en los documentos a entregar por parte del Sujeto Obligado para satisfacer el derecho de acceso a la información pública de la parte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EC64A46" w14:textId="77777777" w:rsidR="0032757E" w:rsidRPr="00E91A66" w:rsidRDefault="0032757E">
      <w:pPr>
        <w:spacing w:line="360" w:lineRule="auto"/>
        <w:ind w:right="51"/>
        <w:jc w:val="both"/>
        <w:rPr>
          <w:rFonts w:ascii="Palatino Linotype" w:eastAsia="Palatino Linotype" w:hAnsi="Palatino Linotype" w:cs="Palatino Linotype"/>
        </w:rPr>
      </w:pPr>
    </w:p>
    <w:p w14:paraId="281C4363"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F51EC47" w14:textId="77777777" w:rsidR="0032757E" w:rsidRPr="00E91A66" w:rsidRDefault="0032757E">
      <w:pPr>
        <w:spacing w:line="360" w:lineRule="auto"/>
        <w:ind w:right="50"/>
        <w:jc w:val="both"/>
        <w:rPr>
          <w:rFonts w:ascii="Palatino Linotype" w:eastAsia="Palatino Linotype" w:hAnsi="Palatino Linotype" w:cs="Palatino Linotype"/>
        </w:rPr>
      </w:pPr>
    </w:p>
    <w:p w14:paraId="64E24C4A" w14:textId="77777777" w:rsidR="0032757E" w:rsidRPr="00E91A66" w:rsidRDefault="00C12375">
      <w:pPr>
        <w:spacing w:line="360" w:lineRule="auto"/>
        <w:ind w:right="51"/>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E91A66">
        <w:rPr>
          <w:rFonts w:ascii="Palatino Linotype" w:eastAsia="Palatino Linotype" w:hAnsi="Palatino Linotype" w:cs="Palatino Linotype"/>
        </w:rPr>
        <w:t>Responsable</w:t>
      </w:r>
      <w:proofErr w:type="gramEnd"/>
      <w:r w:rsidRPr="00E91A66">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8958D52" w14:textId="77777777" w:rsidR="0032757E" w:rsidRPr="00E91A66" w:rsidRDefault="0032757E">
      <w:pPr>
        <w:spacing w:line="360" w:lineRule="auto"/>
        <w:ind w:right="51"/>
        <w:jc w:val="both"/>
        <w:rPr>
          <w:rFonts w:ascii="Palatino Linotype" w:eastAsia="Palatino Linotype" w:hAnsi="Palatino Linotype" w:cs="Palatino Linotype"/>
        </w:rPr>
      </w:pPr>
    </w:p>
    <w:p w14:paraId="7C5B65D7"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“Artículo 49.</w:t>
      </w:r>
      <w:r w:rsidRPr="00E91A66">
        <w:rPr>
          <w:rFonts w:ascii="Palatino Linotype" w:eastAsia="Palatino Linotype" w:hAnsi="Palatino Linotype" w:cs="Palatino Linotype"/>
          <w:i/>
          <w:sz w:val="22"/>
          <w:szCs w:val="22"/>
        </w:rPr>
        <w:t xml:space="preserve"> </w:t>
      </w:r>
      <w:r w:rsidRPr="00E91A66">
        <w:rPr>
          <w:rFonts w:ascii="Palatino Linotype" w:eastAsia="Palatino Linotype" w:hAnsi="Palatino Linotype" w:cs="Palatino Linotype"/>
          <w:b/>
          <w:i/>
          <w:sz w:val="22"/>
          <w:szCs w:val="22"/>
        </w:rPr>
        <w:t>Los Comités de Transparencia</w:t>
      </w:r>
      <w:r w:rsidRPr="00E91A66">
        <w:rPr>
          <w:rFonts w:ascii="Palatino Linotype" w:eastAsia="Palatino Linotype" w:hAnsi="Palatino Linotype" w:cs="Palatino Linotype"/>
          <w:i/>
          <w:sz w:val="22"/>
          <w:szCs w:val="22"/>
        </w:rPr>
        <w:t xml:space="preserve"> tendrán las siguientes atribuciones:</w:t>
      </w:r>
    </w:p>
    <w:p w14:paraId="595EEE4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VIII. Aprobar, modificar o revocar la clasificación de la información</w:t>
      </w:r>
      <w:r w:rsidRPr="00E91A66">
        <w:rPr>
          <w:rFonts w:ascii="Palatino Linotype" w:eastAsia="Palatino Linotype" w:hAnsi="Palatino Linotype" w:cs="Palatino Linotype"/>
          <w:i/>
          <w:sz w:val="22"/>
          <w:szCs w:val="22"/>
        </w:rPr>
        <w:t>…”</w:t>
      </w:r>
    </w:p>
    <w:p w14:paraId="29E704EA"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lastRenderedPageBreak/>
        <w:t>“</w:t>
      </w:r>
      <w:r w:rsidRPr="00E91A66">
        <w:rPr>
          <w:rFonts w:ascii="Palatino Linotype" w:eastAsia="Palatino Linotype" w:hAnsi="Palatino Linotype" w:cs="Palatino Linotype"/>
          <w:b/>
          <w:i/>
          <w:sz w:val="22"/>
          <w:szCs w:val="22"/>
        </w:rPr>
        <w:t>Artículo 53.</w:t>
      </w:r>
      <w:r w:rsidRPr="00E91A66">
        <w:rPr>
          <w:rFonts w:ascii="Palatino Linotype" w:eastAsia="Palatino Linotype" w:hAnsi="Palatino Linotype" w:cs="Palatino Linotype"/>
          <w:i/>
          <w:sz w:val="22"/>
          <w:szCs w:val="22"/>
        </w:rPr>
        <w:t xml:space="preserve"> Las </w:t>
      </w:r>
      <w:r w:rsidRPr="00E91A66">
        <w:rPr>
          <w:rFonts w:ascii="Palatino Linotype" w:eastAsia="Palatino Linotype" w:hAnsi="Palatino Linotype" w:cs="Palatino Linotype"/>
          <w:b/>
          <w:i/>
          <w:sz w:val="22"/>
          <w:szCs w:val="22"/>
        </w:rPr>
        <w:t>Unidades de Transparencia</w:t>
      </w:r>
      <w:r w:rsidRPr="00E91A66">
        <w:rPr>
          <w:rFonts w:ascii="Palatino Linotype" w:eastAsia="Palatino Linotype" w:hAnsi="Palatino Linotype" w:cs="Palatino Linotype"/>
          <w:i/>
          <w:sz w:val="22"/>
          <w:szCs w:val="22"/>
        </w:rPr>
        <w:t xml:space="preserve"> tendrán las siguientes </w:t>
      </w:r>
      <w:r w:rsidRPr="00E91A66">
        <w:rPr>
          <w:rFonts w:ascii="Palatino Linotype" w:eastAsia="Palatino Linotype" w:hAnsi="Palatino Linotype" w:cs="Palatino Linotype"/>
          <w:b/>
          <w:i/>
          <w:sz w:val="22"/>
          <w:szCs w:val="22"/>
        </w:rPr>
        <w:t>funciones</w:t>
      </w:r>
      <w:r w:rsidRPr="00E91A66">
        <w:rPr>
          <w:rFonts w:ascii="Palatino Linotype" w:eastAsia="Palatino Linotype" w:hAnsi="Palatino Linotype" w:cs="Palatino Linotype"/>
          <w:i/>
          <w:sz w:val="22"/>
          <w:szCs w:val="22"/>
        </w:rPr>
        <w:t>:</w:t>
      </w:r>
    </w:p>
    <w:p w14:paraId="1EB43B8F"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X. Presentar ante el Comité, el proyecto de clasificación de información</w:t>
      </w:r>
      <w:r w:rsidRPr="00E91A66">
        <w:rPr>
          <w:rFonts w:ascii="Palatino Linotype" w:eastAsia="Palatino Linotype" w:hAnsi="Palatino Linotype" w:cs="Palatino Linotype"/>
          <w:i/>
          <w:sz w:val="22"/>
          <w:szCs w:val="22"/>
        </w:rPr>
        <w:t xml:space="preserve">…” </w:t>
      </w:r>
    </w:p>
    <w:p w14:paraId="035D996C"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“Artículo 59.</w:t>
      </w:r>
      <w:r w:rsidRPr="00E91A66">
        <w:rPr>
          <w:rFonts w:ascii="Palatino Linotype" w:eastAsia="Palatino Linotype" w:hAnsi="Palatino Linotype" w:cs="Palatino Linotype"/>
          <w:i/>
          <w:sz w:val="22"/>
          <w:szCs w:val="22"/>
        </w:rPr>
        <w:t xml:space="preserve"> Los </w:t>
      </w:r>
      <w:r w:rsidRPr="00E91A66">
        <w:rPr>
          <w:rFonts w:ascii="Palatino Linotype" w:eastAsia="Palatino Linotype" w:hAnsi="Palatino Linotype" w:cs="Palatino Linotype"/>
          <w:b/>
          <w:i/>
          <w:sz w:val="22"/>
          <w:szCs w:val="22"/>
        </w:rPr>
        <w:t>servidores públicos habilitados</w:t>
      </w:r>
      <w:r w:rsidRPr="00E91A66">
        <w:rPr>
          <w:rFonts w:ascii="Palatino Linotype" w:eastAsia="Palatino Linotype" w:hAnsi="Palatino Linotype" w:cs="Palatino Linotype"/>
          <w:i/>
          <w:sz w:val="22"/>
          <w:szCs w:val="22"/>
        </w:rPr>
        <w:t xml:space="preserve"> tendrán las </w:t>
      </w:r>
      <w:r w:rsidRPr="00E91A66">
        <w:rPr>
          <w:rFonts w:ascii="Palatino Linotype" w:eastAsia="Palatino Linotype" w:hAnsi="Palatino Linotype" w:cs="Palatino Linotype"/>
          <w:b/>
          <w:i/>
          <w:sz w:val="22"/>
          <w:szCs w:val="22"/>
        </w:rPr>
        <w:t>funciones</w:t>
      </w:r>
      <w:r w:rsidRPr="00E91A66">
        <w:rPr>
          <w:rFonts w:ascii="Palatino Linotype" w:eastAsia="Palatino Linotype" w:hAnsi="Palatino Linotype" w:cs="Palatino Linotype"/>
          <w:i/>
          <w:sz w:val="22"/>
          <w:szCs w:val="22"/>
        </w:rPr>
        <w:t xml:space="preserve"> siguientes:</w:t>
      </w:r>
    </w:p>
    <w:p w14:paraId="38D367C0" w14:textId="77777777" w:rsidR="0032757E" w:rsidRPr="00E91A66" w:rsidRDefault="00C12375">
      <w:pPr>
        <w:ind w:left="992" w:right="1043"/>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91A66">
        <w:rPr>
          <w:rFonts w:ascii="Palatino Linotype" w:eastAsia="Palatino Linotype" w:hAnsi="Palatino Linotype" w:cs="Palatino Linotype"/>
          <w:i/>
          <w:sz w:val="22"/>
          <w:szCs w:val="22"/>
        </w:rPr>
        <w:t>, la cual tendrá los fundamentos y argumentos en que se basa dicha propuesta…”</w:t>
      </w:r>
    </w:p>
    <w:p w14:paraId="21400E56" w14:textId="77777777" w:rsidR="0032757E" w:rsidRPr="00E91A66" w:rsidRDefault="0032757E">
      <w:pPr>
        <w:ind w:left="992" w:right="1043"/>
        <w:jc w:val="both"/>
        <w:rPr>
          <w:rFonts w:ascii="Palatino Linotype" w:eastAsia="Palatino Linotype" w:hAnsi="Palatino Linotype" w:cs="Palatino Linotype"/>
          <w:i/>
          <w:sz w:val="22"/>
          <w:szCs w:val="22"/>
        </w:rPr>
      </w:pPr>
    </w:p>
    <w:p w14:paraId="3172CE10"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proofErr w:type="spellStart"/>
      <w:r w:rsidRPr="00E91A66">
        <w:rPr>
          <w:rFonts w:ascii="Palatino Linotype" w:eastAsia="Palatino Linotype" w:hAnsi="Palatino Linotype" w:cs="Palatino Linotype"/>
        </w:rPr>
        <w:t>esta</w:t>
      </w:r>
      <w:proofErr w:type="spellEnd"/>
      <w:r w:rsidRPr="00E91A66">
        <w:rPr>
          <w:rFonts w:ascii="Palatino Linotype" w:eastAsia="Palatino Linotype" w:hAnsi="Palatino Linotype" w:cs="Palatino Linotype"/>
        </w:rPr>
        <w:t xml:space="preserve"> presente ante al Comité de Transparencia de así resultar procedente el proyecto de clasificación de la información y finalmente sea éste último quien apruebe, modifique o revoque la clasificación de la información solicitada.</w:t>
      </w:r>
    </w:p>
    <w:p w14:paraId="1C5806F8" w14:textId="77777777" w:rsidR="0032757E" w:rsidRPr="00E91A66" w:rsidRDefault="0032757E">
      <w:pPr>
        <w:spacing w:line="360" w:lineRule="auto"/>
        <w:jc w:val="both"/>
        <w:rPr>
          <w:rFonts w:ascii="Palatino Linotype" w:eastAsia="Palatino Linotype" w:hAnsi="Palatino Linotype" w:cs="Palatino Linotype"/>
        </w:rPr>
      </w:pPr>
    </w:p>
    <w:p w14:paraId="781012AF"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BA9C56D" w14:textId="77777777" w:rsidR="0032757E" w:rsidRPr="00E91A66" w:rsidRDefault="0032757E">
      <w:pPr>
        <w:spacing w:line="360" w:lineRule="auto"/>
        <w:jc w:val="both"/>
        <w:rPr>
          <w:rFonts w:ascii="Palatino Linotype" w:eastAsia="Palatino Linotype" w:hAnsi="Palatino Linotype" w:cs="Palatino Linotype"/>
        </w:rPr>
      </w:pPr>
    </w:p>
    <w:p w14:paraId="5B07B831" w14:textId="77777777" w:rsidR="0032757E" w:rsidRPr="00E91A66" w:rsidRDefault="00C12375">
      <w:pPr>
        <w:spacing w:after="240"/>
        <w:ind w:left="993" w:right="1041"/>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w:t>
      </w:r>
      <w:r w:rsidRPr="00E91A66">
        <w:rPr>
          <w:rFonts w:ascii="Palatino Linotype" w:eastAsia="Palatino Linotype" w:hAnsi="Palatino Linotype" w:cs="Palatino Linotype"/>
          <w:b/>
          <w:i/>
          <w:sz w:val="22"/>
          <w:szCs w:val="22"/>
        </w:rPr>
        <w:t>Artículo 149.</w:t>
      </w:r>
      <w:r w:rsidRPr="00E91A66">
        <w:rPr>
          <w:rFonts w:ascii="Palatino Linotype" w:eastAsia="Palatino Linotype" w:hAnsi="Palatino Linotype" w:cs="Palatino Linotype"/>
          <w:i/>
          <w:sz w:val="22"/>
          <w:szCs w:val="22"/>
        </w:rPr>
        <w:t xml:space="preserve"> El </w:t>
      </w:r>
      <w:r w:rsidRPr="00E91A66">
        <w:rPr>
          <w:rFonts w:ascii="Palatino Linotype" w:eastAsia="Palatino Linotype" w:hAnsi="Palatino Linotype" w:cs="Palatino Linotype"/>
          <w:b/>
          <w:i/>
          <w:sz w:val="22"/>
          <w:szCs w:val="22"/>
        </w:rPr>
        <w:t>acuerdo que clasifique la información como confidencial</w:t>
      </w:r>
      <w:r w:rsidRPr="00E91A6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52322896" w14:textId="77777777" w:rsidR="0032757E" w:rsidRPr="00E91A66" w:rsidRDefault="0032757E">
      <w:pPr>
        <w:spacing w:after="240"/>
        <w:ind w:left="993" w:right="1041"/>
        <w:jc w:val="both"/>
        <w:rPr>
          <w:rFonts w:ascii="Palatino Linotype" w:eastAsia="Palatino Linotype" w:hAnsi="Palatino Linotype" w:cs="Palatino Linotype"/>
          <w:i/>
          <w:sz w:val="22"/>
          <w:szCs w:val="22"/>
        </w:rPr>
      </w:pPr>
    </w:p>
    <w:p w14:paraId="694BD4D6" w14:textId="77777777" w:rsidR="0032757E" w:rsidRPr="00E91A66" w:rsidRDefault="00C12375">
      <w:pPr>
        <w:spacing w:line="360" w:lineRule="auto"/>
        <w:ind w:right="51"/>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Es decir,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a través de su Comité de Transparencia, deberá elaborar acuerdo que contenga un razonamiento lógico con el que se demuestre que </w:t>
      </w:r>
      <w:r w:rsidRPr="00E91A66">
        <w:rPr>
          <w:rFonts w:ascii="Palatino Linotype" w:eastAsia="Palatino Linotype" w:hAnsi="Palatino Linotype" w:cs="Palatino Linotype"/>
        </w:rPr>
        <w:lastRenderedPageBreak/>
        <w:t>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D31077C" w14:textId="77777777" w:rsidR="0032757E" w:rsidRPr="00E91A66" w:rsidRDefault="00C12375">
      <w:pPr>
        <w:spacing w:before="240" w:after="240"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w:t>
      </w:r>
    </w:p>
    <w:p w14:paraId="7CF8EF8B" w14:textId="77777777" w:rsidR="0032757E" w:rsidRPr="00E91A66" w:rsidRDefault="00C12375">
      <w:pPr>
        <w:spacing w:before="240" w:after="240"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En razón de que el domicilio fiscal, de acuerdo a lo señalado en el artículo 2.21 del Código Civil del Estado de México, el domicilio de las personas morales, es aquel donde se halle su administración, o bien, las sucursales que operen en lugares distintos de donde radica la casa matriz. Además, respecto al domicilio fiscal, resulta necesario traer el artículo 10 del Código Fiscal de la Federación, que establece </w:t>
      </w:r>
      <w:proofErr w:type="gramStart"/>
      <w:r w:rsidRPr="00E91A66">
        <w:rPr>
          <w:rFonts w:ascii="Palatino Linotype" w:eastAsia="Palatino Linotype" w:hAnsi="Palatino Linotype" w:cs="Palatino Linotype"/>
        </w:rPr>
        <w:t>que</w:t>
      </w:r>
      <w:proofErr w:type="gramEnd"/>
      <w:r w:rsidRPr="00E91A66">
        <w:rPr>
          <w:rFonts w:ascii="Palatino Linotype" w:eastAsia="Palatino Linotype" w:hAnsi="Palatino Linotype" w:cs="Palatino Linotype"/>
        </w:rPr>
        <w:t xml:space="preserve"> tratándose de personas morales, el domicilio fiscal corresponderá al local donde se encuentra la administración principal del negocio. 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w:t>
      </w:r>
      <w:r w:rsidRPr="00E91A66">
        <w:rPr>
          <w:rFonts w:ascii="Palatino Linotype" w:eastAsia="Palatino Linotype" w:hAnsi="Palatino Linotype" w:cs="Palatino Linotype"/>
        </w:rPr>
        <w:lastRenderedPageBreak/>
        <w:t xml:space="preserve">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 </w:t>
      </w:r>
    </w:p>
    <w:p w14:paraId="750A9CFB" w14:textId="77777777" w:rsidR="0032757E" w:rsidRPr="00E91A66" w:rsidRDefault="00C12375">
      <w:pPr>
        <w:spacing w:before="240" w:after="240" w:line="360" w:lineRule="auto"/>
        <w:ind w:right="50"/>
        <w:jc w:val="both"/>
        <w:rPr>
          <w:rFonts w:ascii="Palatino Linotype" w:eastAsia="Palatino Linotype" w:hAnsi="Palatino Linotype" w:cs="Palatino Linotype"/>
        </w:rPr>
      </w:pPr>
      <w:r w:rsidRPr="00E91A66">
        <w:rPr>
          <w:noProof/>
          <w:lang w:val="es-MX" w:eastAsia="es-MX"/>
        </w:rPr>
        <w:drawing>
          <wp:inline distT="0" distB="0" distL="0" distR="0" wp14:anchorId="12911C56" wp14:editId="63F8BBAC">
            <wp:extent cx="5664200" cy="1257300"/>
            <wp:effectExtent l="0" t="0" r="0" b="0"/>
            <wp:docPr id="2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43210" t="71135" r="28792" b="14952"/>
                    <a:stretch>
                      <a:fillRect/>
                    </a:stretch>
                  </pic:blipFill>
                  <pic:spPr>
                    <a:xfrm>
                      <a:off x="0" y="0"/>
                      <a:ext cx="5664200" cy="1257300"/>
                    </a:xfrm>
                    <a:prstGeom prst="rect">
                      <a:avLst/>
                    </a:prstGeom>
                    <a:ln/>
                  </pic:spPr>
                </pic:pic>
              </a:graphicData>
            </a:graphic>
          </wp:inline>
        </w:drawing>
      </w:r>
    </w:p>
    <w:p w14:paraId="33354232" w14:textId="77777777" w:rsidR="0032757E" w:rsidRPr="00E91A66" w:rsidRDefault="00C12375">
      <w:pPr>
        <w:spacing w:before="240" w:after="240"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Como se logra observar, es obligación de transparencia proporcionar el domicilio fiscal de los proveedores, por lo que, se considera que dicho dato, al corresponder a un local o al lugar donde realiza la persona moral sus actividades empresariales, es que guarda la naturaleza de público. De tal suerte que, tratándose de proveedores (jurídico-colectivas), el domicilio fiscal, no actualiza la causal de clasificación, establecida en el artículo 143, fracción I de la Ley de Transparencia y Acceso a la Información Pública del Estado de México y Municipios.</w:t>
      </w:r>
    </w:p>
    <w:p w14:paraId="1D393921" w14:textId="77777777" w:rsidR="0032757E" w:rsidRPr="00E91A66" w:rsidRDefault="00C12375">
      <w:pPr>
        <w:spacing w:before="240" w:after="240"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7516CF9" w14:textId="77777777" w:rsidR="0032757E" w:rsidRPr="00E91A66" w:rsidRDefault="00C12375">
      <w:pPr>
        <w:spacing w:before="240" w:after="240"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49CE58F5"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Por cuanto hace al número de cuenta bancaria de personas de personas físicas o morales, debe ser clasificado como confidencial con fundamento en las fracciones I y II del artículo 143 de la Ley de la Materia de la Entidad; en razón de que, con su difusión se estaría poniendo en riesgo la seguridad de su titular.</w:t>
      </w:r>
    </w:p>
    <w:p w14:paraId="0C379A4E" w14:textId="77777777" w:rsidR="0032757E" w:rsidRPr="00E91A66" w:rsidRDefault="0032757E">
      <w:pPr>
        <w:spacing w:line="360" w:lineRule="auto"/>
        <w:ind w:right="50"/>
        <w:jc w:val="both"/>
        <w:rPr>
          <w:rFonts w:ascii="Palatino Linotype" w:eastAsia="Palatino Linotype" w:hAnsi="Palatino Linotype" w:cs="Palatino Linotype"/>
        </w:rPr>
      </w:pPr>
    </w:p>
    <w:p w14:paraId="4C275A02" w14:textId="77777777" w:rsidR="0032757E" w:rsidRPr="00E91A66" w:rsidRDefault="00C12375">
      <w:pPr>
        <w:spacing w:line="360" w:lineRule="auto"/>
        <w:ind w:right="51"/>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Además de que, la publicidad de dichos números de cuenta bancaria nada contribuye a la rendición de cuentas, sino por el contrario, dar a conocer los números de las cuentas bancarias hace vulnerable a las personas físicas o morales,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CB4D6FF" w14:textId="77777777" w:rsidR="0032757E" w:rsidRPr="00E91A66" w:rsidRDefault="0032757E">
      <w:pPr>
        <w:spacing w:line="360" w:lineRule="auto"/>
        <w:ind w:right="51"/>
        <w:jc w:val="both"/>
        <w:rPr>
          <w:rFonts w:ascii="Palatino Linotype" w:eastAsia="Palatino Linotype" w:hAnsi="Palatino Linotype" w:cs="Palatino Linotype"/>
        </w:rPr>
      </w:pPr>
    </w:p>
    <w:p w14:paraId="60A8A710" w14:textId="77777777" w:rsidR="0032757E" w:rsidRPr="00E91A66" w:rsidRDefault="00C12375">
      <w:pPr>
        <w:spacing w:line="360" w:lineRule="auto"/>
        <w:ind w:right="50"/>
        <w:jc w:val="both"/>
        <w:rPr>
          <w:rFonts w:ascii="Palatino Linotype" w:eastAsia="Palatino Linotype" w:hAnsi="Palatino Linotype" w:cs="Palatino Linotype"/>
        </w:rPr>
      </w:pPr>
      <w:r w:rsidRPr="00E91A66">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411DF405" w14:textId="77777777" w:rsidR="0032757E" w:rsidRPr="00E91A66" w:rsidRDefault="0032757E">
      <w:pPr>
        <w:ind w:right="50"/>
        <w:jc w:val="both"/>
        <w:rPr>
          <w:rFonts w:ascii="Palatino Linotype" w:eastAsia="Palatino Linotype" w:hAnsi="Palatino Linotype" w:cs="Palatino Linotype"/>
        </w:rPr>
      </w:pPr>
    </w:p>
    <w:p w14:paraId="35272A2D" w14:textId="77777777" w:rsidR="0032757E" w:rsidRPr="00E91A66" w:rsidRDefault="00C12375">
      <w:pPr>
        <w:ind w:left="851" w:right="1134"/>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“Cuentas bancarias y/o CLABE interbancaria de personas físicas y morales privadas.</w:t>
      </w:r>
      <w:r w:rsidRPr="00E91A66">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A89C954" w14:textId="77777777" w:rsidR="0032757E" w:rsidRPr="00E91A66" w:rsidRDefault="0032757E">
      <w:pPr>
        <w:spacing w:line="360" w:lineRule="auto"/>
        <w:jc w:val="both"/>
        <w:rPr>
          <w:rFonts w:ascii="Palatino Linotype" w:eastAsia="Palatino Linotype" w:hAnsi="Palatino Linotype" w:cs="Palatino Linotype"/>
        </w:rPr>
      </w:pPr>
    </w:p>
    <w:p w14:paraId="52FD7235"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Al respecto, se destaca que la versión pública que elabore el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91A66">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E91A66">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0133B29" w14:textId="77777777" w:rsidR="0032757E" w:rsidRPr="00E91A66" w:rsidRDefault="0032757E">
      <w:pPr>
        <w:ind w:left="709" w:right="709"/>
        <w:jc w:val="both"/>
        <w:rPr>
          <w:rFonts w:ascii="Palatino Linotype" w:eastAsia="Palatino Linotype" w:hAnsi="Palatino Linotype" w:cs="Palatino Linotype"/>
          <w:b/>
          <w:i/>
          <w:sz w:val="22"/>
          <w:szCs w:val="22"/>
        </w:rPr>
      </w:pPr>
    </w:p>
    <w:p w14:paraId="5CD180EA"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C4B75DC" w14:textId="77777777" w:rsidR="0032757E" w:rsidRPr="00E91A66" w:rsidRDefault="00C12375">
      <w:pPr>
        <w:ind w:left="709" w:right="709"/>
        <w:jc w:val="both"/>
      </w:pPr>
      <w:r w:rsidRPr="00E91A66">
        <w:rPr>
          <w:rFonts w:ascii="Palatino Linotype" w:eastAsia="Palatino Linotype" w:hAnsi="Palatino Linotype" w:cs="Palatino Linotype"/>
          <w:i/>
          <w:sz w:val="22"/>
          <w:szCs w:val="22"/>
        </w:rPr>
        <w:t>“</w:t>
      </w:r>
      <w:proofErr w:type="gramStart"/>
      <w:r w:rsidRPr="00E91A66">
        <w:rPr>
          <w:rFonts w:ascii="Palatino Linotype" w:eastAsia="Palatino Linotype" w:hAnsi="Palatino Linotype" w:cs="Palatino Linotype"/>
          <w:b/>
          <w:i/>
          <w:sz w:val="22"/>
          <w:szCs w:val="22"/>
        </w:rPr>
        <w:t>Segundo.-</w:t>
      </w:r>
      <w:proofErr w:type="gramEnd"/>
      <w:r w:rsidRPr="00E91A66">
        <w:rPr>
          <w:rFonts w:ascii="Palatino Linotype" w:eastAsia="Palatino Linotype" w:hAnsi="Palatino Linotype" w:cs="Palatino Linotype"/>
          <w:i/>
          <w:sz w:val="22"/>
          <w:szCs w:val="22"/>
        </w:rPr>
        <w:t xml:space="preserve"> Para efectos de los presentes Lineamientos Generales, se entenderá por:</w:t>
      </w:r>
    </w:p>
    <w:p w14:paraId="25F5657F"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XVIII.</w:t>
      </w:r>
      <w:r w:rsidRPr="00E91A66">
        <w:rPr>
          <w:rFonts w:ascii="Palatino Linotype" w:eastAsia="Palatino Linotype" w:hAnsi="Palatino Linotype" w:cs="Palatino Linotype"/>
          <w:i/>
          <w:sz w:val="22"/>
          <w:szCs w:val="22"/>
        </w:rPr>
        <w:t xml:space="preserve"> </w:t>
      </w:r>
      <w:r w:rsidRPr="00E91A66">
        <w:rPr>
          <w:rFonts w:ascii="Palatino Linotype" w:eastAsia="Palatino Linotype" w:hAnsi="Palatino Linotype" w:cs="Palatino Linotype"/>
          <w:b/>
          <w:i/>
          <w:sz w:val="22"/>
          <w:szCs w:val="22"/>
        </w:rPr>
        <w:t>Versión pública:</w:t>
      </w:r>
      <w:r w:rsidRPr="00E91A6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91A66">
        <w:rPr>
          <w:rFonts w:ascii="Palatino Linotype" w:eastAsia="Palatino Linotype" w:hAnsi="Palatino Linotype" w:cs="Palatino Linotype"/>
          <w:b/>
          <w:i/>
          <w:sz w:val="22"/>
          <w:szCs w:val="22"/>
          <w:u w:val="single"/>
        </w:rPr>
        <w:t>fundando y motivando la</w:t>
      </w:r>
      <w:r w:rsidRPr="00E91A66">
        <w:rPr>
          <w:rFonts w:ascii="Palatino Linotype" w:eastAsia="Palatino Linotype" w:hAnsi="Palatino Linotype" w:cs="Palatino Linotype"/>
          <w:i/>
          <w:sz w:val="22"/>
          <w:szCs w:val="22"/>
        </w:rPr>
        <w:t xml:space="preserve"> reserva o </w:t>
      </w:r>
      <w:r w:rsidRPr="00E91A66">
        <w:rPr>
          <w:rFonts w:ascii="Palatino Linotype" w:eastAsia="Palatino Linotype" w:hAnsi="Palatino Linotype" w:cs="Palatino Linotype"/>
          <w:b/>
          <w:i/>
          <w:sz w:val="22"/>
          <w:szCs w:val="22"/>
          <w:u w:val="single"/>
        </w:rPr>
        <w:lastRenderedPageBreak/>
        <w:t>confidencialidad</w:t>
      </w:r>
      <w:r w:rsidRPr="00E91A66">
        <w:rPr>
          <w:rFonts w:ascii="Palatino Linotype" w:eastAsia="Palatino Linotype" w:hAnsi="Palatino Linotype" w:cs="Palatino Linotype"/>
          <w:i/>
          <w:sz w:val="22"/>
          <w:szCs w:val="22"/>
        </w:rPr>
        <w:t>, a través de la resolución que para tal efecto emita el Comité de Transparencia.</w:t>
      </w:r>
    </w:p>
    <w:p w14:paraId="52437441"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Cuarto.</w:t>
      </w:r>
      <w:r w:rsidRPr="00E91A6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CFC785" w14:textId="77777777" w:rsidR="0032757E" w:rsidRPr="00E91A66" w:rsidRDefault="00C12375">
      <w:pPr>
        <w:ind w:left="709" w:right="709"/>
        <w:jc w:val="both"/>
      </w:pPr>
      <w:r w:rsidRPr="00E91A6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E25EDFE"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Quinto.</w:t>
      </w:r>
      <w:r w:rsidRPr="00E91A6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27F759"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w:t>
      </w:r>
    </w:p>
    <w:p w14:paraId="284900FA"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Séptimo.</w:t>
      </w:r>
      <w:r w:rsidRPr="00E91A66">
        <w:rPr>
          <w:rFonts w:ascii="Palatino Linotype" w:eastAsia="Palatino Linotype" w:hAnsi="Palatino Linotype" w:cs="Palatino Linotype"/>
          <w:i/>
          <w:sz w:val="22"/>
          <w:szCs w:val="22"/>
        </w:rPr>
        <w:t xml:space="preserve"> La clasificación de la información se llevará a cabo en el momento en que:</w:t>
      </w:r>
    </w:p>
    <w:p w14:paraId="13B74307"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I.</w:t>
      </w:r>
      <w:r w:rsidRPr="00E91A66">
        <w:rPr>
          <w:rFonts w:ascii="Palatino Linotype" w:eastAsia="Palatino Linotype" w:hAnsi="Palatino Linotype" w:cs="Palatino Linotype"/>
          <w:i/>
          <w:sz w:val="22"/>
          <w:szCs w:val="22"/>
        </w:rPr>
        <w:t xml:space="preserve"> Se reciba una solicitud de acceso a la información;</w:t>
      </w:r>
    </w:p>
    <w:p w14:paraId="78930C9A" w14:textId="77777777" w:rsidR="0032757E" w:rsidRPr="00E91A66" w:rsidRDefault="00C12375">
      <w:pPr>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II.</w:t>
      </w:r>
      <w:r w:rsidRPr="00E91A66">
        <w:rPr>
          <w:rFonts w:ascii="Palatino Linotype" w:eastAsia="Palatino Linotype" w:hAnsi="Palatino Linotype" w:cs="Palatino Linotype"/>
          <w:i/>
          <w:sz w:val="22"/>
          <w:szCs w:val="22"/>
        </w:rPr>
        <w:t xml:space="preserve"> </w:t>
      </w:r>
      <w:proofErr w:type="gramStart"/>
      <w:r w:rsidRPr="00E91A66">
        <w:rPr>
          <w:rFonts w:ascii="Palatino Linotype" w:eastAsia="Palatino Linotype" w:hAnsi="Palatino Linotype" w:cs="Palatino Linotype"/>
          <w:i/>
          <w:sz w:val="22"/>
          <w:szCs w:val="22"/>
        </w:rPr>
        <w:t>Se  determine</w:t>
      </w:r>
      <w:proofErr w:type="gramEnd"/>
      <w:r w:rsidRPr="00E91A66">
        <w:rPr>
          <w:rFonts w:ascii="Palatino Linotype" w:eastAsia="Palatino Linotype" w:hAnsi="Palatino Linotype" w:cs="Palatino Linotype"/>
          <w:i/>
          <w:sz w:val="22"/>
          <w:szCs w:val="22"/>
        </w:rPr>
        <w:t xml:space="preserve"> mediante resolución del Comité de Transparencia, el órgano garante </w:t>
      </w:r>
    </w:p>
    <w:p w14:paraId="3C575E77" w14:textId="77777777" w:rsidR="0032757E" w:rsidRPr="00E91A66" w:rsidRDefault="00C12375">
      <w:pPr>
        <w:ind w:left="709" w:right="709"/>
        <w:jc w:val="both"/>
      </w:pPr>
      <w:r w:rsidRPr="00E91A66">
        <w:rPr>
          <w:rFonts w:ascii="Palatino Linotype" w:eastAsia="Palatino Linotype" w:hAnsi="Palatino Linotype" w:cs="Palatino Linotype"/>
          <w:i/>
          <w:sz w:val="22"/>
          <w:szCs w:val="22"/>
        </w:rPr>
        <w:t>competente, o en cumplimiento a una sentencia del Poder Judicial; o</w:t>
      </w:r>
    </w:p>
    <w:p w14:paraId="7ECFD212"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III.</w:t>
      </w:r>
      <w:r w:rsidRPr="00E91A6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5BAEA63" w14:textId="77777777" w:rsidR="0032757E" w:rsidRPr="00E91A66" w:rsidRDefault="00C12375">
      <w:pPr>
        <w:ind w:left="709" w:right="709"/>
        <w:jc w:val="both"/>
      </w:pPr>
      <w:r w:rsidRPr="00E91A6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EBE9661"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Octavo.</w:t>
      </w:r>
      <w:r w:rsidRPr="00E91A6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9BECD8" w14:textId="77777777" w:rsidR="0032757E" w:rsidRPr="00E91A66" w:rsidRDefault="00C12375">
      <w:pPr>
        <w:ind w:left="709" w:right="709"/>
        <w:jc w:val="both"/>
      </w:pPr>
      <w:r w:rsidRPr="00E91A6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8D9D9A3" w14:textId="77777777" w:rsidR="0032757E" w:rsidRPr="00E91A66" w:rsidRDefault="00C12375">
      <w:pPr>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87EFA68"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lastRenderedPageBreak/>
        <w:t>Noveno.</w:t>
      </w:r>
      <w:r w:rsidRPr="00E91A6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A5970D3" w14:textId="77777777" w:rsidR="0032757E" w:rsidRPr="00E91A66" w:rsidRDefault="00C12375">
      <w:pPr>
        <w:ind w:left="709" w:right="709"/>
        <w:jc w:val="both"/>
      </w:pPr>
      <w:r w:rsidRPr="00E91A66">
        <w:rPr>
          <w:rFonts w:ascii="Palatino Linotype" w:eastAsia="Palatino Linotype" w:hAnsi="Palatino Linotype" w:cs="Palatino Linotype"/>
          <w:b/>
          <w:i/>
          <w:sz w:val="22"/>
          <w:szCs w:val="22"/>
        </w:rPr>
        <w:t>Décimo.</w:t>
      </w:r>
      <w:r w:rsidRPr="00E91A6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44A3109" w14:textId="77777777" w:rsidR="0032757E" w:rsidRPr="00E91A66" w:rsidRDefault="00C12375">
      <w:pPr>
        <w:ind w:left="709" w:right="709"/>
        <w:jc w:val="both"/>
      </w:pPr>
      <w:r w:rsidRPr="00E91A6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D47ECB3" w14:textId="77777777" w:rsidR="0032757E" w:rsidRPr="00E91A66" w:rsidRDefault="00C12375">
      <w:pPr>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Décimo primero.</w:t>
      </w:r>
      <w:r w:rsidRPr="00E91A6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B508557" w14:textId="77777777" w:rsidR="0032757E" w:rsidRPr="00E91A66" w:rsidRDefault="0032757E">
      <w:pPr>
        <w:ind w:right="709"/>
        <w:jc w:val="both"/>
      </w:pPr>
    </w:p>
    <w:p w14:paraId="6B182D40" w14:textId="77777777" w:rsidR="0032757E" w:rsidRPr="00E91A66" w:rsidRDefault="00C12375">
      <w:pPr>
        <w:ind w:left="709" w:right="709"/>
        <w:jc w:val="both"/>
      </w:pPr>
      <w:r w:rsidRPr="00E91A66">
        <w:rPr>
          <w:rFonts w:ascii="Palatino Linotype" w:eastAsia="Palatino Linotype" w:hAnsi="Palatino Linotype" w:cs="Palatino Linotype"/>
          <w:i/>
          <w:sz w:val="22"/>
          <w:szCs w:val="22"/>
        </w:rPr>
        <w:t>[…]</w:t>
      </w:r>
    </w:p>
    <w:p w14:paraId="198CD781" w14:textId="77777777" w:rsidR="0032757E" w:rsidRPr="00E91A66" w:rsidRDefault="00C12375">
      <w:pPr>
        <w:ind w:left="709" w:right="709"/>
        <w:jc w:val="center"/>
      </w:pPr>
      <w:r w:rsidRPr="00E91A66">
        <w:rPr>
          <w:rFonts w:ascii="Palatino Linotype" w:eastAsia="Palatino Linotype" w:hAnsi="Palatino Linotype" w:cs="Palatino Linotype"/>
          <w:b/>
          <w:i/>
          <w:sz w:val="22"/>
          <w:szCs w:val="22"/>
        </w:rPr>
        <w:t>CAPÍTULO VIII</w:t>
      </w:r>
    </w:p>
    <w:p w14:paraId="4B342EE1" w14:textId="77777777" w:rsidR="0032757E" w:rsidRPr="00E91A66" w:rsidRDefault="00C12375">
      <w:pPr>
        <w:spacing w:after="160"/>
        <w:ind w:left="709" w:right="709"/>
        <w:jc w:val="center"/>
        <w:rPr>
          <w:rFonts w:ascii="Palatino Linotype" w:eastAsia="Palatino Linotype" w:hAnsi="Palatino Linotype" w:cs="Palatino Linotype"/>
          <w:b/>
          <w:i/>
          <w:sz w:val="22"/>
          <w:szCs w:val="22"/>
        </w:rPr>
      </w:pPr>
      <w:r w:rsidRPr="00E91A66">
        <w:rPr>
          <w:rFonts w:ascii="Palatino Linotype" w:eastAsia="Palatino Linotype" w:hAnsi="Palatino Linotype" w:cs="Palatino Linotype"/>
          <w:b/>
          <w:i/>
          <w:sz w:val="22"/>
          <w:szCs w:val="22"/>
        </w:rPr>
        <w:t>DE LOS ELEMENTOS PARA LA CLASIFICACIÓN</w:t>
      </w:r>
    </w:p>
    <w:p w14:paraId="2BF73E5D"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Quincuagésimo</w:t>
      </w:r>
      <w:r w:rsidRPr="00E91A66">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7203A58"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Quincuagésimo primero</w:t>
      </w:r>
      <w:r w:rsidRPr="00E91A66">
        <w:rPr>
          <w:rFonts w:ascii="Palatino Linotype" w:eastAsia="Palatino Linotype" w:hAnsi="Palatino Linotype" w:cs="Palatino Linotype"/>
          <w:i/>
          <w:sz w:val="22"/>
          <w:szCs w:val="22"/>
        </w:rPr>
        <w:t>. Toda acta del Comité de Transparencia deberá contener:</w:t>
      </w:r>
    </w:p>
    <w:p w14:paraId="3A6B2387"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I. El número de sesión y fecha; </w:t>
      </w:r>
    </w:p>
    <w:p w14:paraId="3B3EB88D"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 El nombre del área que solicitó la clasificación de información;</w:t>
      </w:r>
    </w:p>
    <w:p w14:paraId="703AD023"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III. La fundamentación legal y motivación correspondiente;</w:t>
      </w:r>
    </w:p>
    <w:p w14:paraId="1B4FC388"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IV. La resolución o resoluciones aprobadas; y</w:t>
      </w:r>
    </w:p>
    <w:p w14:paraId="5E0CF2C6"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V. La rúbrica o firma digital de cada integrante del Comité de Transparencia. </w:t>
      </w:r>
    </w:p>
    <w:p w14:paraId="31CA82E0"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410BA943"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lastRenderedPageBreak/>
        <w:t>I. Los motivos y razonamientos que sustenten la confirmación o modificación de la prueba de daño;</w:t>
      </w:r>
    </w:p>
    <w:p w14:paraId="776939AA"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 Descripción de las partes o secciones reservadas, en caso de clasificación parcial;</w:t>
      </w:r>
    </w:p>
    <w:p w14:paraId="1AD63628"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III. El periodo por el que mantendrá su clasificación y fecha de expiración; y</w:t>
      </w:r>
    </w:p>
    <w:p w14:paraId="26E858B3"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IV. El nombre del titular y área encargada de realizar la versión pública del documento, en su caso.</w:t>
      </w:r>
    </w:p>
    <w:p w14:paraId="3A9F9F66"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8B2D3C4"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F72B32A"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Quincuagésimo segundo</w:t>
      </w:r>
      <w:r w:rsidRPr="00E91A66">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E500523"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EE1D001"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7F58A5C"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1C9B6A7"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III. Señalar las personas o instancias autorizadas a acceder a la información clasificada.</w:t>
      </w:r>
    </w:p>
    <w:p w14:paraId="0270E63C"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03D3CCD"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b/>
          <w:i/>
          <w:sz w:val="22"/>
          <w:szCs w:val="22"/>
        </w:rPr>
        <w:t>…</w:t>
      </w:r>
    </w:p>
    <w:p w14:paraId="08525660" w14:textId="77777777" w:rsidR="0032757E" w:rsidRPr="00E91A66" w:rsidRDefault="00C12375">
      <w:pPr>
        <w:spacing w:after="160"/>
        <w:ind w:left="709" w:right="709"/>
        <w:jc w:val="both"/>
        <w:rPr>
          <w:rFonts w:ascii="Palatino Linotype" w:eastAsia="Palatino Linotype" w:hAnsi="Palatino Linotype" w:cs="Palatino Linotype"/>
          <w:i/>
          <w:sz w:val="22"/>
          <w:szCs w:val="22"/>
        </w:rPr>
      </w:pPr>
      <w:r w:rsidRPr="00E91A66">
        <w:rPr>
          <w:rFonts w:ascii="Palatino Linotype" w:eastAsia="Palatino Linotype" w:hAnsi="Palatino Linotype" w:cs="Palatino Linotype"/>
          <w:i/>
          <w:sz w:val="22"/>
          <w:szCs w:val="22"/>
        </w:rPr>
        <w:t xml:space="preserve">Quincuagésimo cuarto. Cuando el Comité de Transparencia confirme la clasificación de documentos reservados y/o confidenciales, sea total o parcialmente; se deberá anexar al expediente la resolución que determinó la clasificación o, en su defecto, </w:t>
      </w:r>
      <w:r w:rsidRPr="00E91A66">
        <w:rPr>
          <w:rFonts w:ascii="Palatino Linotype" w:eastAsia="Palatino Linotype" w:hAnsi="Palatino Linotype" w:cs="Palatino Linotype"/>
          <w:i/>
          <w:sz w:val="22"/>
          <w:szCs w:val="22"/>
        </w:rPr>
        <w:lastRenderedPageBreak/>
        <w:t>identificar en la carátula del expediente del cual formen parte, la fecha y sesión del Comité de Transparencia en la que se confirmó dicha clasificación.</w:t>
      </w:r>
    </w:p>
    <w:p w14:paraId="59C85972" w14:textId="77777777" w:rsidR="0032757E" w:rsidRPr="00E91A66" w:rsidRDefault="00C12375">
      <w:pPr>
        <w:spacing w:after="160"/>
        <w:ind w:left="709" w:right="709"/>
        <w:jc w:val="both"/>
      </w:pPr>
      <w:r w:rsidRPr="00E91A66">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E91A66">
        <w:rPr>
          <w:rFonts w:ascii="Palatino Linotype" w:eastAsia="Palatino Linotype" w:hAnsi="Palatino Linotype" w:cs="Palatino Linotype"/>
          <w:i/>
          <w:sz w:val="22"/>
          <w:szCs w:val="22"/>
        </w:rPr>
        <w:t>testado</w:t>
      </w:r>
      <w:proofErr w:type="spellEnd"/>
      <w:r w:rsidRPr="00E91A66">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E91A66">
        <w:t>.</w:t>
      </w:r>
    </w:p>
    <w:p w14:paraId="761C4992" w14:textId="77777777" w:rsidR="0032757E" w:rsidRPr="00E91A66" w:rsidRDefault="0032757E">
      <w:pPr>
        <w:spacing w:line="360" w:lineRule="auto"/>
        <w:jc w:val="both"/>
        <w:rPr>
          <w:rFonts w:ascii="Palatino Linotype" w:eastAsia="Palatino Linotype" w:hAnsi="Palatino Linotype" w:cs="Palatino Linotype"/>
        </w:rPr>
      </w:pPr>
    </w:p>
    <w:p w14:paraId="363F5A1B"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7707F39" w14:textId="77777777" w:rsidR="0032757E" w:rsidRPr="00E91A66" w:rsidRDefault="0032757E">
      <w:pPr>
        <w:shd w:val="clear" w:color="auto" w:fill="FFFFFF"/>
        <w:spacing w:line="360" w:lineRule="auto"/>
        <w:ind w:right="51"/>
        <w:jc w:val="both"/>
        <w:rPr>
          <w:rFonts w:ascii="Palatino Linotype" w:eastAsia="Palatino Linotype" w:hAnsi="Palatino Linotype" w:cs="Palatino Linotype"/>
        </w:rPr>
      </w:pPr>
    </w:p>
    <w:p w14:paraId="71CD7722" w14:textId="77777777" w:rsidR="0032757E" w:rsidRPr="00E91A66" w:rsidRDefault="00C12375">
      <w:pPr>
        <w:shd w:val="clear" w:color="auto" w:fill="FFFFFF"/>
        <w:spacing w:line="360" w:lineRule="auto"/>
        <w:ind w:right="51"/>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E91A66">
        <w:rPr>
          <w:rFonts w:ascii="Palatino Linotype" w:eastAsia="Palatino Linotype" w:hAnsi="Palatino Linotype" w:cs="Palatino Linotype"/>
          <w:b/>
        </w:rPr>
        <w:t>RECURRENTE</w:t>
      </w:r>
      <w:r w:rsidRPr="00E91A66">
        <w:rPr>
          <w:rFonts w:ascii="Palatino Linotype" w:eastAsia="Palatino Linotype" w:hAnsi="Palatino Linotype" w:cs="Palatino Linotype"/>
        </w:rPr>
        <w:t>.</w:t>
      </w:r>
    </w:p>
    <w:p w14:paraId="726053DA" w14:textId="77777777" w:rsidR="0032757E" w:rsidRPr="00E91A66" w:rsidRDefault="0032757E">
      <w:pPr>
        <w:shd w:val="clear" w:color="auto" w:fill="FFFFFF"/>
        <w:spacing w:line="360" w:lineRule="auto"/>
        <w:ind w:right="51"/>
        <w:jc w:val="both"/>
        <w:rPr>
          <w:rFonts w:ascii="Palatino Linotype" w:eastAsia="Palatino Linotype" w:hAnsi="Palatino Linotype" w:cs="Palatino Linotype"/>
        </w:rPr>
      </w:pPr>
    </w:p>
    <w:p w14:paraId="747DBFD0"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173484E1" w14:textId="77777777" w:rsidR="0032757E" w:rsidRPr="00E91A66" w:rsidRDefault="0032757E">
      <w:pPr>
        <w:spacing w:line="360" w:lineRule="auto"/>
        <w:jc w:val="both"/>
        <w:rPr>
          <w:rFonts w:ascii="Palatino Linotype" w:eastAsia="Palatino Linotype" w:hAnsi="Palatino Linotype" w:cs="Palatino Linotype"/>
        </w:rPr>
      </w:pPr>
    </w:p>
    <w:p w14:paraId="54DA5805" w14:textId="77777777" w:rsidR="0032757E" w:rsidRPr="00E91A66" w:rsidRDefault="00C12375">
      <w:pPr>
        <w:spacing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76F9F11" w14:textId="77777777" w:rsidR="0032757E" w:rsidRPr="00E91A66" w:rsidRDefault="00C12375">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91A66">
        <w:rPr>
          <w:rFonts w:ascii="Palatino Linotype" w:eastAsia="Palatino Linotype" w:hAnsi="Palatino Linotype" w:cs="Palatino Linotype"/>
          <w:b/>
        </w:rPr>
        <w:t>R E S U E L V E:</w:t>
      </w:r>
    </w:p>
    <w:p w14:paraId="7036348D" w14:textId="77777777" w:rsidR="0032757E" w:rsidRPr="00E91A66" w:rsidRDefault="00C12375">
      <w:pPr>
        <w:spacing w:before="240" w:after="240" w:line="360" w:lineRule="auto"/>
        <w:jc w:val="both"/>
        <w:rPr>
          <w:rFonts w:ascii="Palatino Linotype" w:eastAsia="Palatino Linotype" w:hAnsi="Palatino Linotype" w:cs="Palatino Linotype"/>
          <w:b/>
        </w:rPr>
      </w:pPr>
      <w:bookmarkStart w:id="3" w:name="_heading=h.30j0zll" w:colFirst="0" w:colLast="0"/>
      <w:bookmarkEnd w:id="3"/>
      <w:r w:rsidRPr="00E91A66">
        <w:rPr>
          <w:rFonts w:ascii="Palatino Linotype" w:eastAsia="Palatino Linotype" w:hAnsi="Palatino Linotype" w:cs="Palatino Linotype"/>
          <w:b/>
        </w:rPr>
        <w:t xml:space="preserve">Primero. </w:t>
      </w:r>
      <w:r w:rsidRPr="00E91A66">
        <w:rPr>
          <w:rFonts w:ascii="Palatino Linotype" w:eastAsia="Palatino Linotype" w:hAnsi="Palatino Linotype" w:cs="Palatino Linotype"/>
        </w:rPr>
        <w:t xml:space="preserve">Resultan </w:t>
      </w:r>
      <w:r w:rsidRPr="00E91A66">
        <w:rPr>
          <w:rFonts w:ascii="Palatino Linotype" w:eastAsia="Palatino Linotype" w:hAnsi="Palatino Linotype" w:cs="Palatino Linotype"/>
          <w:b/>
        </w:rPr>
        <w:t>fundados</w:t>
      </w:r>
      <w:r w:rsidRPr="00E91A66">
        <w:rPr>
          <w:rFonts w:ascii="Palatino Linotype" w:eastAsia="Palatino Linotype" w:hAnsi="Palatino Linotype" w:cs="Palatino Linotype"/>
        </w:rPr>
        <w:t xml:space="preserve"> los motivos de inconformidad hechos valer por la parte</w:t>
      </w:r>
      <w:r w:rsidRPr="00E91A66">
        <w:rPr>
          <w:rFonts w:ascii="Palatino Linotype" w:eastAsia="Palatino Linotype" w:hAnsi="Palatino Linotype" w:cs="Palatino Linotype"/>
          <w:b/>
        </w:rPr>
        <w:t xml:space="preserve"> RECURRENTE </w:t>
      </w:r>
      <w:r w:rsidRPr="00E91A66">
        <w:rPr>
          <w:rFonts w:ascii="Palatino Linotype" w:eastAsia="Palatino Linotype" w:hAnsi="Palatino Linotype" w:cs="Palatino Linotype"/>
        </w:rPr>
        <w:t xml:space="preserve">en el Recurso de Revisión </w:t>
      </w:r>
      <w:r w:rsidRPr="00E91A66">
        <w:rPr>
          <w:rFonts w:ascii="Palatino Linotype" w:eastAsia="Palatino Linotype" w:hAnsi="Palatino Linotype" w:cs="Palatino Linotype"/>
          <w:b/>
        </w:rPr>
        <w:t xml:space="preserve">01859/INFOEM/ICR-27/IP/RR/2024, </w:t>
      </w:r>
      <w:r w:rsidRPr="00E91A66">
        <w:rPr>
          <w:rFonts w:ascii="Palatino Linotype" w:eastAsia="Palatino Linotype" w:hAnsi="Palatino Linotype" w:cs="Palatino Linotype"/>
        </w:rPr>
        <w:t xml:space="preserve">por lo que, en términos del Considerando </w:t>
      </w:r>
      <w:r w:rsidRPr="00E91A66">
        <w:rPr>
          <w:rFonts w:ascii="Palatino Linotype" w:eastAsia="Palatino Linotype" w:hAnsi="Palatino Linotype" w:cs="Palatino Linotype"/>
          <w:b/>
        </w:rPr>
        <w:t>Cuarto</w:t>
      </w:r>
      <w:r w:rsidRPr="00E91A66">
        <w:rPr>
          <w:rFonts w:ascii="Palatino Linotype" w:eastAsia="Palatino Linotype" w:hAnsi="Palatino Linotype" w:cs="Palatino Linotype"/>
        </w:rPr>
        <w:t xml:space="preserve"> de la presente resolución, se</w:t>
      </w:r>
      <w:r w:rsidRPr="00E91A66">
        <w:rPr>
          <w:rFonts w:ascii="Palatino Linotype" w:eastAsia="Palatino Linotype" w:hAnsi="Palatino Linotype" w:cs="Palatino Linotype"/>
          <w:b/>
        </w:rPr>
        <w:t xml:space="preserve"> REVOCA </w:t>
      </w:r>
      <w:r w:rsidRPr="00E91A66">
        <w:rPr>
          <w:rFonts w:ascii="Palatino Linotype" w:eastAsia="Palatino Linotype" w:hAnsi="Palatino Linotype" w:cs="Palatino Linotype"/>
        </w:rPr>
        <w:t xml:space="preserve">la respuesta emitida por el </w:t>
      </w:r>
      <w:r w:rsidRPr="00E91A66">
        <w:rPr>
          <w:rFonts w:ascii="Palatino Linotype" w:eastAsia="Palatino Linotype" w:hAnsi="Palatino Linotype" w:cs="Palatino Linotype"/>
          <w:b/>
        </w:rPr>
        <w:t xml:space="preserve">SUJETO OBLIGADO, </w:t>
      </w:r>
      <w:r w:rsidRPr="00E91A66">
        <w:rPr>
          <w:rFonts w:ascii="Palatino Linotype" w:eastAsia="Palatino Linotype" w:hAnsi="Palatino Linotype" w:cs="Palatino Linotype"/>
        </w:rPr>
        <w:t xml:space="preserve">en cumplimiento a la resolución del Recurso de Revisión </w:t>
      </w:r>
      <w:r w:rsidRPr="00E91A66">
        <w:rPr>
          <w:rFonts w:ascii="Palatino Linotype" w:eastAsia="Palatino Linotype" w:hAnsi="Palatino Linotype" w:cs="Palatino Linotype"/>
          <w:b/>
        </w:rPr>
        <w:t>01859/INFOEM/IP/RR/2024</w:t>
      </w:r>
      <w:r w:rsidRPr="00E91A66">
        <w:rPr>
          <w:rFonts w:ascii="Palatino Linotype" w:eastAsia="Palatino Linotype" w:hAnsi="Palatino Linotype" w:cs="Palatino Linotype"/>
        </w:rPr>
        <w:t>.</w:t>
      </w:r>
    </w:p>
    <w:p w14:paraId="6A8AFC35" w14:textId="77777777" w:rsidR="0032757E" w:rsidRPr="00E91A66" w:rsidRDefault="00C12375">
      <w:pPr>
        <w:spacing w:line="360" w:lineRule="auto"/>
        <w:ind w:right="49"/>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Segundo. </w:t>
      </w:r>
      <w:r w:rsidRPr="00E91A66">
        <w:rPr>
          <w:rFonts w:ascii="Palatino Linotype" w:eastAsia="Palatino Linotype" w:hAnsi="Palatino Linotype" w:cs="Palatino Linotype"/>
        </w:rPr>
        <w:t>Se</w:t>
      </w:r>
      <w:r w:rsidRPr="00E91A66">
        <w:rPr>
          <w:rFonts w:ascii="Palatino Linotype" w:eastAsia="Palatino Linotype" w:hAnsi="Palatino Linotype" w:cs="Palatino Linotype"/>
          <w:b/>
        </w:rPr>
        <w:t xml:space="preserve"> ORDENA </w:t>
      </w:r>
      <w:r w:rsidRPr="00E91A66">
        <w:rPr>
          <w:rFonts w:ascii="Palatino Linotype" w:eastAsia="Palatino Linotype" w:hAnsi="Palatino Linotype" w:cs="Palatino Linotype"/>
        </w:rPr>
        <w:t xml:space="preserve">al </w:t>
      </w:r>
      <w:r w:rsidRPr="00E91A66">
        <w:rPr>
          <w:rFonts w:ascii="Palatino Linotype" w:eastAsia="Palatino Linotype" w:hAnsi="Palatino Linotype" w:cs="Palatino Linotype"/>
          <w:b/>
        </w:rPr>
        <w:t>SUJETO OBLIGADO</w:t>
      </w:r>
      <w:r w:rsidRPr="00E91A66">
        <w:rPr>
          <w:rFonts w:ascii="Palatino Linotype" w:eastAsia="Palatino Linotype" w:hAnsi="Palatino Linotype" w:cs="Palatino Linotype"/>
        </w:rPr>
        <w:t xml:space="preserve"> a que,</w:t>
      </w:r>
      <w:r w:rsidRPr="00E91A66">
        <w:rPr>
          <w:rFonts w:ascii="Palatino Linotype" w:eastAsia="Palatino Linotype" w:hAnsi="Palatino Linotype" w:cs="Palatino Linotype"/>
          <w:b/>
        </w:rPr>
        <w:t xml:space="preserve"> </w:t>
      </w:r>
      <w:r w:rsidRPr="00E91A66">
        <w:rPr>
          <w:rFonts w:ascii="Palatino Linotype" w:eastAsia="Palatino Linotype" w:hAnsi="Palatino Linotype" w:cs="Palatino Linotype"/>
        </w:rPr>
        <w:t>en términos del Considerando Cuarto y Quinto, haga entrega vía Sistema de Acceso a la Información Mexiquense (SAIMEX), previa búsqueda exhaustiva y razonable, en versión pública de ser procedente, de lo siguiente:</w:t>
      </w:r>
    </w:p>
    <w:p w14:paraId="5C0325C7" w14:textId="77777777" w:rsidR="00F935E5" w:rsidRDefault="00C12375" w:rsidP="00F935E5">
      <w:pPr>
        <w:numPr>
          <w:ilvl w:val="0"/>
          <w:numId w:val="5"/>
        </w:numPr>
        <w:pBdr>
          <w:top w:val="nil"/>
          <w:left w:val="nil"/>
          <w:bottom w:val="nil"/>
          <w:right w:val="nil"/>
          <w:between w:val="nil"/>
        </w:pBdr>
        <w:spacing w:before="240" w:after="240" w:line="276"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De la obra pública denominada Rehabilitación de Red de Agua Potable en Calle Moctezuma, 5 de </w:t>
      </w:r>
      <w:proofErr w:type="gramStart"/>
      <w:r w:rsidRPr="00E91A66">
        <w:rPr>
          <w:rFonts w:ascii="Palatino Linotype" w:eastAsia="Palatino Linotype" w:hAnsi="Palatino Linotype" w:cs="Palatino Linotype"/>
        </w:rPr>
        <w:t>Mayo</w:t>
      </w:r>
      <w:proofErr w:type="gramEnd"/>
      <w:r w:rsidRPr="00E91A66">
        <w:rPr>
          <w:rFonts w:ascii="Palatino Linotype" w:eastAsia="Palatino Linotype" w:hAnsi="Palatino Linotype" w:cs="Palatino Linotype"/>
        </w:rPr>
        <w:t xml:space="preserve">, Miguel Hidalgo y Mariano Escobedo, los </w:t>
      </w:r>
      <w:r w:rsidRPr="00E91A66">
        <w:rPr>
          <w:rFonts w:ascii="Palatino Linotype" w:eastAsia="Palatino Linotype" w:hAnsi="Palatino Linotype" w:cs="Palatino Linotype"/>
        </w:rPr>
        <w:lastRenderedPageBreak/>
        <w:t>documentos donde conste y con los que cuente al cinco de marzo de dos mil veinticuatro, a mayor grado de desagregación, los costos de la obra, la procedencia de los recursos; así como, los actores involucrados en la gestión y ejecución de dicha obra realizada en la administración pública del Ayuntamiento de Xalatlaco 2016-2018.</w:t>
      </w:r>
    </w:p>
    <w:p w14:paraId="517B67E7" w14:textId="1DB8F7B2" w:rsidR="0032757E" w:rsidRPr="00F935E5" w:rsidRDefault="00C12375" w:rsidP="00F935E5">
      <w:pPr>
        <w:pBdr>
          <w:top w:val="nil"/>
          <w:left w:val="nil"/>
          <w:bottom w:val="nil"/>
          <w:right w:val="nil"/>
          <w:between w:val="nil"/>
        </w:pBdr>
        <w:spacing w:before="240" w:after="240" w:line="276" w:lineRule="auto"/>
        <w:ind w:left="720"/>
        <w:jc w:val="both"/>
        <w:rPr>
          <w:rFonts w:ascii="Palatino Linotype" w:eastAsia="Palatino Linotype" w:hAnsi="Palatino Linotype" w:cs="Palatino Linotype"/>
        </w:rPr>
      </w:pPr>
      <w:r w:rsidRPr="00F935E5">
        <w:rPr>
          <w:rFonts w:ascii="Palatino Linotype" w:eastAsia="Palatino Linotype" w:hAnsi="Palatino Linotype" w:cs="Palatino Linotype"/>
          <w:i/>
          <w:sz w:val="22"/>
          <w:szCs w:val="22"/>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r w:rsidRPr="00F935E5">
        <w:rPr>
          <w:rFonts w:ascii="Palatino Linotype" w:eastAsia="Palatino Linotype" w:hAnsi="Palatino Linotype" w:cs="Palatino Linotype"/>
          <w:i/>
        </w:rPr>
        <w:t xml:space="preserve">. </w:t>
      </w:r>
    </w:p>
    <w:p w14:paraId="064DF5CB" w14:textId="77777777" w:rsidR="0032757E" w:rsidRPr="00E91A66" w:rsidRDefault="0032757E">
      <w:pPr>
        <w:ind w:left="851" w:right="51"/>
        <w:jc w:val="both"/>
        <w:rPr>
          <w:rFonts w:ascii="Palatino Linotype" w:eastAsia="Palatino Linotype" w:hAnsi="Palatino Linotype" w:cs="Palatino Linotype"/>
          <w:i/>
        </w:rPr>
      </w:pPr>
    </w:p>
    <w:p w14:paraId="77DB1D4C" w14:textId="77777777" w:rsidR="0032757E" w:rsidRPr="00E91A66" w:rsidRDefault="00C12375">
      <w:pPr>
        <w:spacing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 xml:space="preserve">Tercero. Notifíquese, </w:t>
      </w:r>
      <w:r w:rsidRPr="00E91A66">
        <w:rPr>
          <w:rFonts w:ascii="Palatino Linotype" w:eastAsia="Palatino Linotype" w:hAnsi="Palatino Linotype" w:cs="Palatino Linotype"/>
        </w:rPr>
        <w:t xml:space="preserve">vía </w:t>
      </w:r>
      <w:r w:rsidRPr="00E91A66">
        <w:rPr>
          <w:rFonts w:ascii="Palatino Linotype" w:eastAsia="Palatino Linotype" w:hAnsi="Palatino Linotype" w:cs="Palatino Linotype"/>
          <w:b/>
        </w:rPr>
        <w:t>SAIMEX</w:t>
      </w:r>
      <w:r w:rsidRPr="00E91A66">
        <w:rPr>
          <w:rFonts w:ascii="Palatino Linotype" w:eastAsia="Palatino Linotype" w:hAnsi="Palatino Linotype" w:cs="Palatino Linotype"/>
        </w:rPr>
        <w:t>,</w:t>
      </w:r>
      <w:r w:rsidRPr="00E91A66">
        <w:rPr>
          <w:rFonts w:ascii="Palatino Linotype" w:eastAsia="Palatino Linotype" w:hAnsi="Palatino Linotype" w:cs="Palatino Linotype"/>
          <w:b/>
          <w:sz w:val="28"/>
          <w:szCs w:val="28"/>
        </w:rPr>
        <w:t xml:space="preserve"> </w:t>
      </w:r>
      <w:r w:rsidRPr="00E91A66">
        <w:rPr>
          <w:rFonts w:ascii="Palatino Linotype" w:eastAsia="Palatino Linotype" w:hAnsi="Palatino Linotype" w:cs="Palatino Linotype"/>
        </w:rPr>
        <w:t>la presente resolución a la Persona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BFFE16D"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b/>
        </w:rPr>
        <w:t>Cuarto. Notifíquese</w:t>
      </w:r>
      <w:r w:rsidR="001119E8" w:rsidRPr="00E91A66">
        <w:rPr>
          <w:rFonts w:ascii="Palatino Linotype" w:eastAsia="Palatino Linotype" w:hAnsi="Palatino Linotype" w:cs="Palatino Linotype"/>
          <w:b/>
        </w:rPr>
        <w:t xml:space="preserve"> </w:t>
      </w:r>
      <w:r w:rsidR="001119E8" w:rsidRPr="00E91A66">
        <w:rPr>
          <w:rFonts w:ascii="Palatino Linotype" w:eastAsia="Palatino Linotype" w:hAnsi="Palatino Linotype" w:cs="Palatino Linotype"/>
        </w:rPr>
        <w:t xml:space="preserve">vía </w:t>
      </w:r>
      <w:r w:rsidR="001119E8" w:rsidRPr="00E91A66">
        <w:rPr>
          <w:rFonts w:ascii="Palatino Linotype" w:eastAsia="Palatino Linotype" w:hAnsi="Palatino Linotype" w:cs="Palatino Linotype"/>
          <w:b/>
        </w:rPr>
        <w:t>SAIMEX,</w:t>
      </w:r>
      <w:r w:rsidR="001119E8" w:rsidRPr="00E91A66">
        <w:rPr>
          <w:rFonts w:ascii="Palatino Linotype" w:eastAsia="Palatino Linotype" w:hAnsi="Palatino Linotype" w:cs="Palatino Linotype"/>
        </w:rPr>
        <w:t xml:space="preserve"> a la parte</w:t>
      </w:r>
      <w:r w:rsidRPr="00E91A66">
        <w:rPr>
          <w:rFonts w:ascii="Palatino Linotype" w:eastAsia="Palatino Linotype" w:hAnsi="Palatino Linotype" w:cs="Palatino Linotype"/>
          <w:b/>
        </w:rPr>
        <w:t xml:space="preserve"> RECURRENTE</w:t>
      </w:r>
      <w:r w:rsidRPr="00E91A66">
        <w:rPr>
          <w:rFonts w:ascii="Palatino Linotype" w:eastAsia="Palatino Linotype" w:hAnsi="Palatino Linotype" w:cs="Palatino Linotype"/>
        </w:rPr>
        <w:t xml:space="preserve"> la presente resolución, así como, de conformidad con lo establecido en el artículo 196 de la Ley de Transparencia y Acceso a la Información Pública del Estado de México y Municipios, podrá impugnarla vía Juicio de Amparo en los términos de las leyes aplicables.</w:t>
      </w:r>
    </w:p>
    <w:p w14:paraId="1277CCF8" w14:textId="77777777" w:rsidR="00E91A66" w:rsidRPr="00E91A66" w:rsidRDefault="00E91A66">
      <w:pPr>
        <w:spacing w:before="240" w:after="240" w:line="360" w:lineRule="auto"/>
        <w:jc w:val="both"/>
        <w:rPr>
          <w:rFonts w:ascii="Palatino Linotype" w:eastAsia="Palatino Linotype" w:hAnsi="Palatino Linotype" w:cs="Palatino Linotype"/>
        </w:rPr>
      </w:pPr>
    </w:p>
    <w:p w14:paraId="18FF0CAE" w14:textId="77777777" w:rsidR="00E91A66" w:rsidRPr="00E91A66" w:rsidRDefault="00E91A66">
      <w:pPr>
        <w:spacing w:before="240" w:after="240" w:line="360" w:lineRule="auto"/>
        <w:jc w:val="both"/>
        <w:rPr>
          <w:rFonts w:ascii="Palatino Linotype" w:eastAsia="Palatino Linotype" w:hAnsi="Palatino Linotype" w:cs="Palatino Linotype"/>
        </w:rPr>
      </w:pPr>
    </w:p>
    <w:p w14:paraId="0B9626BD" w14:textId="77777777" w:rsidR="0032757E" w:rsidRPr="00E91A66" w:rsidRDefault="00C12375">
      <w:pPr>
        <w:spacing w:before="240" w:after="240" w:line="360" w:lineRule="auto"/>
        <w:jc w:val="both"/>
        <w:rPr>
          <w:rFonts w:ascii="Palatino Linotype" w:eastAsia="Palatino Linotype" w:hAnsi="Palatino Linotype" w:cs="Palatino Linotype"/>
        </w:rPr>
      </w:pPr>
      <w:r w:rsidRPr="00E91A6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ONCE DE SEPTIEMBRE DE DOS MIL VEINTICUATRO, ANTE EL SECRETARIO TÉCNICO DEL PLENO, ALEXIS TAPIA RAMÍREZ. </w:t>
      </w:r>
    </w:p>
    <w:p w14:paraId="1A58C4A1" w14:textId="77777777" w:rsidR="0032757E" w:rsidRPr="00E91A66" w:rsidRDefault="0032757E">
      <w:pPr>
        <w:jc w:val="both"/>
        <w:rPr>
          <w:rFonts w:ascii="Palatino Linotype" w:eastAsia="Palatino Linotype" w:hAnsi="Palatino Linotype" w:cs="Palatino Linotype"/>
          <w:sz w:val="20"/>
          <w:szCs w:val="20"/>
        </w:rPr>
      </w:pPr>
    </w:p>
    <w:p w14:paraId="5A7C0F28" w14:textId="77777777" w:rsidR="0032757E" w:rsidRPr="00E91A66" w:rsidRDefault="0032757E">
      <w:pPr>
        <w:jc w:val="both"/>
        <w:rPr>
          <w:rFonts w:ascii="Palatino Linotype" w:eastAsia="Palatino Linotype" w:hAnsi="Palatino Linotype" w:cs="Palatino Linotype"/>
          <w:sz w:val="20"/>
          <w:szCs w:val="20"/>
        </w:rPr>
      </w:pPr>
    </w:p>
    <w:p w14:paraId="645E53FC" w14:textId="77777777" w:rsidR="0032757E" w:rsidRPr="00E91A66" w:rsidRDefault="0032757E">
      <w:pPr>
        <w:jc w:val="both"/>
        <w:rPr>
          <w:rFonts w:ascii="Palatino Linotype" w:eastAsia="Palatino Linotype" w:hAnsi="Palatino Linotype" w:cs="Palatino Linotype"/>
          <w:sz w:val="20"/>
          <w:szCs w:val="20"/>
        </w:rPr>
      </w:pPr>
    </w:p>
    <w:p w14:paraId="11C8DE50" w14:textId="77777777" w:rsidR="0032757E" w:rsidRPr="00E91A66" w:rsidRDefault="0032757E">
      <w:pPr>
        <w:jc w:val="both"/>
        <w:rPr>
          <w:rFonts w:ascii="Palatino Linotype" w:eastAsia="Palatino Linotype" w:hAnsi="Palatino Linotype" w:cs="Palatino Linotype"/>
          <w:sz w:val="20"/>
          <w:szCs w:val="20"/>
        </w:rPr>
      </w:pPr>
    </w:p>
    <w:p w14:paraId="62056EE3" w14:textId="77777777" w:rsidR="0032757E" w:rsidRPr="00E91A66" w:rsidRDefault="0032757E">
      <w:pPr>
        <w:jc w:val="both"/>
        <w:rPr>
          <w:rFonts w:ascii="Palatino Linotype" w:eastAsia="Palatino Linotype" w:hAnsi="Palatino Linotype" w:cs="Palatino Linotype"/>
          <w:sz w:val="20"/>
          <w:szCs w:val="20"/>
        </w:rPr>
      </w:pPr>
    </w:p>
    <w:p w14:paraId="057BF3C7" w14:textId="77777777" w:rsidR="0032757E" w:rsidRPr="00E91A66" w:rsidRDefault="0032757E">
      <w:pPr>
        <w:spacing w:after="160" w:line="259" w:lineRule="auto"/>
        <w:rPr>
          <w:rFonts w:ascii="Palatino Linotype" w:eastAsia="Palatino Linotype" w:hAnsi="Palatino Linotype" w:cs="Palatino Linotype"/>
          <w:sz w:val="20"/>
          <w:szCs w:val="20"/>
        </w:rPr>
        <w:sectPr w:rsidR="0032757E" w:rsidRPr="00E91A66">
          <w:headerReference w:type="default" r:id="rId19"/>
          <w:footerReference w:type="default" r:id="rId20"/>
          <w:headerReference w:type="first" r:id="rId21"/>
          <w:footerReference w:type="first" r:id="rId22"/>
          <w:pgSz w:w="12240" w:h="15840"/>
          <w:pgMar w:top="1985" w:right="1701" w:bottom="1560" w:left="1701" w:header="709" w:footer="709" w:gutter="0"/>
          <w:pgNumType w:start="1"/>
          <w:cols w:space="720"/>
          <w:titlePg/>
        </w:sectPr>
      </w:pPr>
    </w:p>
    <w:p w14:paraId="7F43CFB0" w14:textId="77777777" w:rsidR="0032757E" w:rsidRPr="00E91A66" w:rsidRDefault="0032757E">
      <w:pPr>
        <w:jc w:val="both"/>
        <w:rPr>
          <w:rFonts w:ascii="Palatino Linotype" w:eastAsia="Palatino Linotype" w:hAnsi="Palatino Linotype" w:cs="Palatino Linotype"/>
          <w:sz w:val="20"/>
          <w:szCs w:val="20"/>
        </w:rPr>
      </w:pPr>
    </w:p>
    <w:sectPr w:rsidR="0032757E" w:rsidRPr="00E91A66">
      <w:headerReference w:type="first" r:id="rId23"/>
      <w:pgSz w:w="12240" w:h="15840"/>
      <w:pgMar w:top="1985" w:right="1701" w:bottom="1559"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E1BDE" w14:textId="77777777" w:rsidR="009B7BB9" w:rsidRDefault="009B7BB9">
      <w:r>
        <w:separator/>
      </w:r>
    </w:p>
  </w:endnote>
  <w:endnote w:type="continuationSeparator" w:id="0">
    <w:p w14:paraId="1AF49376" w14:textId="77777777" w:rsidR="009B7BB9" w:rsidRDefault="009B7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charset w:val="4D"/>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6010" w14:textId="77777777" w:rsidR="0032757E" w:rsidRDefault="00C1237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265EA">
      <w:rPr>
        <w:rFonts w:ascii="Arial" w:eastAsia="Arial" w:hAnsi="Arial" w:cs="Arial"/>
        <w:b/>
        <w:noProof/>
        <w:color w:val="000000"/>
        <w:sz w:val="20"/>
        <w:szCs w:val="20"/>
      </w:rPr>
      <w:t>59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265EA">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4F202A84" w14:textId="77777777" w:rsidR="0032757E" w:rsidRDefault="0032757E">
    <w:pPr>
      <w:pBdr>
        <w:top w:val="nil"/>
        <w:left w:val="nil"/>
        <w:bottom w:val="nil"/>
        <w:right w:val="nil"/>
        <w:between w:val="nil"/>
      </w:pBdr>
      <w:tabs>
        <w:tab w:val="center" w:pos="4252"/>
        <w:tab w:val="right" w:pos="8504"/>
      </w:tabs>
      <w:rPr>
        <w:color w:val="000000"/>
      </w:rPr>
    </w:pPr>
  </w:p>
  <w:p w14:paraId="200BE897" w14:textId="77777777" w:rsidR="0032757E" w:rsidRDefault="0032757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8AD2" w14:textId="77777777" w:rsidR="0032757E" w:rsidRDefault="00C1237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91A66">
      <w:rPr>
        <w:rFonts w:ascii="Arial" w:eastAsia="Arial" w:hAnsi="Arial" w:cs="Arial"/>
        <w:b/>
        <w:noProof/>
        <w:color w:val="000000"/>
        <w:sz w:val="20"/>
        <w:szCs w:val="20"/>
      </w:rPr>
      <w:t>60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91A66">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31BB4021" w14:textId="77777777" w:rsidR="0032757E" w:rsidRDefault="0032757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81E7" w14:textId="77777777" w:rsidR="009B7BB9" w:rsidRDefault="009B7BB9">
      <w:r>
        <w:separator/>
      </w:r>
    </w:p>
  </w:footnote>
  <w:footnote w:type="continuationSeparator" w:id="0">
    <w:p w14:paraId="6518F726" w14:textId="77777777" w:rsidR="009B7BB9" w:rsidRDefault="009B7BB9">
      <w:r>
        <w:continuationSeparator/>
      </w:r>
    </w:p>
  </w:footnote>
  <w:footnote w:id="1">
    <w:p w14:paraId="3F0FA6EE" w14:textId="77777777" w:rsidR="0032757E" w:rsidRDefault="00C12375">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b/>
          <w:color w:val="000000"/>
          <w:sz w:val="20"/>
          <w:szCs w:val="20"/>
        </w:rPr>
        <w:t>“REPARACIÓN INTEGRAL ANTE VIOLACIONES A DERECHOS HUMANOS. INTERPRETACIÓN DE LAS INSTITUCIONES PREVISTAS EN LA LEY DE AMPARO COMO "GARANTÍAS DE NO REPETICIÓN".</w:t>
      </w:r>
      <w:r>
        <w:rPr>
          <w:color w:val="000000"/>
          <w:sz w:val="20"/>
          <w:szCs w:val="20"/>
        </w:rPr>
        <w:t xml:space="preserve"> Primera Sala de la Suprema Corte de Justicia de la Nación, tesis aislada en materia común. Décima Época. Gaceta del Semanario Judicial de la Federación. Libro 42, mayo de 2017, Tomo I, página 470. Reg. digital 2014343</w:t>
      </w:r>
    </w:p>
  </w:footnote>
  <w:footnote w:id="2">
    <w:p w14:paraId="5683CBDB" w14:textId="77777777" w:rsidR="0032757E" w:rsidRDefault="00C12375">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color w:val="000000"/>
          <w:sz w:val="20"/>
          <w:szCs w:val="20"/>
        </w:rPr>
        <w:t xml:space="preserve">. </w:t>
      </w:r>
      <w:r>
        <w:rPr>
          <w:b/>
          <w:color w:val="000000"/>
          <w:sz w:val="20"/>
          <w:szCs w:val="20"/>
        </w:rPr>
        <w:t xml:space="preserve">“PRINCIPIO DE EVENTUALIDAD. SU CONCEPTO Y ALCANCE EN LOS PROCESOS JURISDICCIONALES”. </w:t>
      </w:r>
      <w:r>
        <w:rPr>
          <w:color w:val="000000"/>
          <w:sz w:val="20"/>
          <w:szCs w:val="20"/>
        </w:rPr>
        <w:t>Cuarto Tribunal Colegiado en Materia Administrativa del Primer Circuito. Onceava Época. Gaceta del Semanario Judicial de la Federación. Libro 35, marzo de 2024, Tomo VII, página 6269. Reg. digital 2028440.</w:t>
      </w:r>
    </w:p>
  </w:footnote>
  <w:footnote w:id="3">
    <w:p w14:paraId="193070C5" w14:textId="77777777" w:rsidR="0032757E" w:rsidRDefault="00C12375">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4">
    <w:p w14:paraId="7262F1BB" w14:textId="77777777" w:rsidR="0032757E" w:rsidRDefault="00C12375">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21BA" w14:textId="77777777" w:rsidR="0032757E" w:rsidRDefault="0032757E">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Style w:val="a"/>
      <w:tblW w:w="6324" w:type="dxa"/>
      <w:tblInd w:w="2890" w:type="dxa"/>
      <w:tblLayout w:type="fixed"/>
      <w:tblLook w:val="0400" w:firstRow="0" w:lastRow="0" w:firstColumn="0" w:lastColumn="0" w:noHBand="0" w:noVBand="1"/>
    </w:tblPr>
    <w:tblGrid>
      <w:gridCol w:w="2750"/>
      <w:gridCol w:w="3574"/>
    </w:tblGrid>
    <w:tr w:rsidR="0032757E" w14:paraId="5F9EFC61" w14:textId="77777777">
      <w:trPr>
        <w:trHeight w:val="318"/>
      </w:trPr>
      <w:tc>
        <w:tcPr>
          <w:tcW w:w="2750" w:type="dxa"/>
          <w:vAlign w:val="center"/>
        </w:tcPr>
        <w:p w14:paraId="774BC41E" w14:textId="77777777" w:rsidR="0032757E" w:rsidRDefault="00C123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74" w:type="dxa"/>
          <w:vAlign w:val="center"/>
        </w:tcPr>
        <w:p w14:paraId="30AFB427" w14:textId="77777777" w:rsidR="0032757E" w:rsidRDefault="007259AC">
          <w:pPr>
            <w:ind w:left="-108" w:right="-108"/>
            <w:rPr>
              <w:rFonts w:ascii="Palatino Linotype" w:eastAsia="Palatino Linotype" w:hAnsi="Palatino Linotype" w:cs="Palatino Linotype"/>
              <w:b/>
              <w:sz w:val="20"/>
              <w:szCs w:val="20"/>
            </w:rPr>
          </w:pPr>
          <w:hyperlink r:id="rId1">
            <w:r w:rsidR="00C12375">
              <w:rPr>
                <w:rFonts w:ascii="Palatino Linotype" w:eastAsia="Palatino Linotype" w:hAnsi="Palatino Linotype" w:cs="Palatino Linotype"/>
                <w:b/>
                <w:sz w:val="22"/>
                <w:szCs w:val="22"/>
              </w:rPr>
              <w:t>01859/INFOEM/ICR-27/IP/RR/2024</w:t>
            </w:r>
          </w:hyperlink>
          <w:r w:rsidR="00C12375">
            <w:rPr>
              <w:rFonts w:ascii="Palatino Linotype" w:eastAsia="Palatino Linotype" w:hAnsi="Palatino Linotype" w:cs="Palatino Linotype"/>
              <w:b/>
              <w:sz w:val="22"/>
              <w:szCs w:val="22"/>
            </w:rPr>
            <w:t>.</w:t>
          </w:r>
        </w:p>
      </w:tc>
    </w:tr>
    <w:tr w:rsidR="0032757E" w14:paraId="512D145E" w14:textId="77777777">
      <w:trPr>
        <w:trHeight w:val="242"/>
      </w:trPr>
      <w:tc>
        <w:tcPr>
          <w:tcW w:w="2750" w:type="dxa"/>
          <w:vAlign w:val="center"/>
        </w:tcPr>
        <w:p w14:paraId="714508A0" w14:textId="77777777" w:rsidR="0032757E" w:rsidRDefault="00C123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74" w:type="dxa"/>
          <w:vAlign w:val="center"/>
        </w:tcPr>
        <w:p w14:paraId="0068D7D7" w14:textId="77777777" w:rsidR="0032757E" w:rsidRDefault="00C12375">
          <w:pPr>
            <w:ind w:left="-108"/>
            <w:rPr>
              <w:rFonts w:ascii="Palatino Linotype" w:eastAsia="Palatino Linotype" w:hAnsi="Palatino Linotype" w:cs="Palatino Linotype"/>
              <w:b/>
              <w:sz w:val="22"/>
              <w:szCs w:val="22"/>
            </w:rPr>
          </w:pPr>
          <w:bookmarkStart w:id="4" w:name="_heading=h.1fob9te" w:colFirst="0" w:colLast="0"/>
          <w:bookmarkEnd w:id="4"/>
          <w:r>
            <w:rPr>
              <w:rFonts w:ascii="Palatino Linotype" w:eastAsia="Palatino Linotype" w:hAnsi="Palatino Linotype" w:cs="Palatino Linotype"/>
              <w:b/>
              <w:sz w:val="22"/>
              <w:szCs w:val="22"/>
            </w:rPr>
            <w:t xml:space="preserve">Ayuntamiento de Xalatlaco. </w:t>
          </w:r>
        </w:p>
      </w:tc>
    </w:tr>
    <w:tr w:rsidR="0032757E" w14:paraId="630350FD" w14:textId="77777777">
      <w:trPr>
        <w:trHeight w:val="299"/>
      </w:trPr>
      <w:tc>
        <w:tcPr>
          <w:tcW w:w="2750" w:type="dxa"/>
          <w:vAlign w:val="center"/>
        </w:tcPr>
        <w:p w14:paraId="49733C02" w14:textId="77777777" w:rsidR="0032757E" w:rsidRDefault="00C123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74" w:type="dxa"/>
          <w:vAlign w:val="center"/>
        </w:tcPr>
        <w:p w14:paraId="64D1E321" w14:textId="77777777" w:rsidR="0032757E" w:rsidRDefault="00C12375">
          <w:pPr>
            <w:ind w:left="-78"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46D840" w14:textId="77777777" w:rsidR="0032757E" w:rsidRDefault="00C1237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6229B27D" wp14:editId="74B15C78">
          <wp:simplePos x="0" y="0"/>
          <wp:positionH relativeFrom="column">
            <wp:posOffset>-1080134</wp:posOffset>
          </wp:positionH>
          <wp:positionV relativeFrom="paragraph">
            <wp:posOffset>-1237325</wp:posOffset>
          </wp:positionV>
          <wp:extent cx="7634230" cy="9559637"/>
          <wp:effectExtent l="0" t="0" r="0" b="0"/>
          <wp:wrapNone/>
          <wp:docPr id="28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7634230" cy="955963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BF43" w14:textId="77777777" w:rsidR="0032757E" w:rsidRDefault="00C12375">
    <w:pPr>
      <w:pBdr>
        <w:top w:val="nil"/>
        <w:left w:val="nil"/>
        <w:bottom w:val="nil"/>
        <w:right w:val="nil"/>
        <w:between w:val="nil"/>
      </w:pBdr>
      <w:tabs>
        <w:tab w:val="center" w:pos="4252"/>
        <w:tab w:val="right" w:pos="8504"/>
      </w:tabs>
      <w:ind w:left="-249" w:firstLine="249"/>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5335597C" wp14:editId="40B6C77C">
          <wp:simplePos x="0" y="0"/>
          <wp:positionH relativeFrom="column">
            <wp:posOffset>-1080134</wp:posOffset>
          </wp:positionH>
          <wp:positionV relativeFrom="paragraph">
            <wp:posOffset>-397220</wp:posOffset>
          </wp:positionV>
          <wp:extent cx="7635600" cy="9943200"/>
          <wp:effectExtent l="0" t="0" r="0" b="0"/>
          <wp:wrapNone/>
          <wp:docPr id="28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520" w:type="dxa"/>
      <w:tblInd w:w="3119" w:type="dxa"/>
      <w:tblLayout w:type="fixed"/>
      <w:tblLook w:val="0400" w:firstRow="0" w:lastRow="0" w:firstColumn="0" w:lastColumn="0" w:noHBand="0" w:noVBand="1"/>
    </w:tblPr>
    <w:tblGrid>
      <w:gridCol w:w="2410"/>
      <w:gridCol w:w="4110"/>
    </w:tblGrid>
    <w:tr w:rsidR="0032757E" w14:paraId="3C31A5F3" w14:textId="77777777">
      <w:tc>
        <w:tcPr>
          <w:tcW w:w="2410" w:type="dxa"/>
          <w:vAlign w:val="center"/>
        </w:tcPr>
        <w:p w14:paraId="57C4538A" w14:textId="77777777" w:rsidR="0032757E" w:rsidRDefault="00C1237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110" w:type="dxa"/>
          <w:vAlign w:val="center"/>
        </w:tcPr>
        <w:p w14:paraId="21C5CC0C" w14:textId="77777777" w:rsidR="0032757E" w:rsidRDefault="007259AC">
          <w:pPr>
            <w:ind w:left="-45"/>
            <w:rPr>
              <w:rFonts w:ascii="Palatino Linotype" w:eastAsia="Palatino Linotype" w:hAnsi="Palatino Linotype" w:cs="Palatino Linotype"/>
              <w:sz w:val="22"/>
              <w:szCs w:val="22"/>
            </w:rPr>
          </w:pPr>
          <w:hyperlink r:id="rId2">
            <w:r w:rsidR="00C12375">
              <w:rPr>
                <w:rFonts w:ascii="Palatino Linotype" w:eastAsia="Palatino Linotype" w:hAnsi="Palatino Linotype" w:cs="Palatino Linotype"/>
                <w:sz w:val="22"/>
                <w:szCs w:val="22"/>
              </w:rPr>
              <w:t>01859/INFOEM/ICR-27/IP/RR/2024</w:t>
            </w:r>
          </w:hyperlink>
          <w:r w:rsidR="00C12375">
            <w:rPr>
              <w:rFonts w:ascii="Palatino Linotype" w:eastAsia="Palatino Linotype" w:hAnsi="Palatino Linotype" w:cs="Palatino Linotype"/>
              <w:sz w:val="22"/>
              <w:szCs w:val="22"/>
            </w:rPr>
            <w:t>.</w:t>
          </w:r>
        </w:p>
      </w:tc>
    </w:tr>
    <w:tr w:rsidR="0032757E" w14:paraId="7B84C226" w14:textId="77777777">
      <w:tc>
        <w:tcPr>
          <w:tcW w:w="2410" w:type="dxa"/>
          <w:vAlign w:val="center"/>
        </w:tcPr>
        <w:p w14:paraId="57B840F4" w14:textId="77777777" w:rsidR="0032757E" w:rsidRDefault="00C12375">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4110" w:type="dxa"/>
          <w:vAlign w:val="center"/>
        </w:tcPr>
        <w:p w14:paraId="52A0BD23" w14:textId="69AA1776" w:rsidR="0032757E" w:rsidRDefault="00C12375">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r w:rsidR="007259AC">
            <w:rPr>
              <w:rFonts w:ascii="Palatino Linotype" w:eastAsia="Palatino Linotype" w:hAnsi="Palatino Linotype" w:cs="Palatino Linotype"/>
              <w:b/>
              <w:sz w:val="22"/>
              <w:szCs w:val="22"/>
            </w:rPr>
            <w:t xml:space="preserve">XXXXX XXXXXX </w:t>
          </w:r>
        </w:p>
      </w:tc>
    </w:tr>
    <w:tr w:rsidR="0032757E" w14:paraId="416874FF" w14:textId="77777777">
      <w:trPr>
        <w:trHeight w:val="228"/>
      </w:trPr>
      <w:tc>
        <w:tcPr>
          <w:tcW w:w="2410" w:type="dxa"/>
          <w:vAlign w:val="center"/>
        </w:tcPr>
        <w:p w14:paraId="2F193539" w14:textId="77777777" w:rsidR="0032757E" w:rsidRDefault="00C1237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110" w:type="dxa"/>
          <w:vAlign w:val="center"/>
        </w:tcPr>
        <w:p w14:paraId="751BAA7D" w14:textId="77777777" w:rsidR="0032757E" w:rsidRDefault="00C12375">
          <w:pPr>
            <w:tabs>
              <w:tab w:val="left" w:pos="3152"/>
            </w:tabs>
            <w:ind w:left="-45" w:right="60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Xalatlaco. </w:t>
          </w:r>
        </w:p>
      </w:tc>
    </w:tr>
    <w:tr w:rsidR="0032757E" w14:paraId="2879505A" w14:textId="77777777">
      <w:tc>
        <w:tcPr>
          <w:tcW w:w="2410" w:type="dxa"/>
          <w:vAlign w:val="center"/>
        </w:tcPr>
        <w:p w14:paraId="5F5D3094" w14:textId="77777777" w:rsidR="0032757E" w:rsidRDefault="00C1237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110" w:type="dxa"/>
          <w:vAlign w:val="center"/>
        </w:tcPr>
        <w:p w14:paraId="151D84B8" w14:textId="77777777" w:rsidR="0032757E" w:rsidRDefault="00C12375">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10C4770" w14:textId="77777777" w:rsidR="0032757E" w:rsidRDefault="0032757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07AB" w14:textId="77777777" w:rsidR="0032757E" w:rsidRDefault="00C12375">
    <w:pPr>
      <w:pBdr>
        <w:top w:val="nil"/>
        <w:left w:val="nil"/>
        <w:bottom w:val="nil"/>
        <w:right w:val="nil"/>
        <w:between w:val="nil"/>
      </w:pBdr>
      <w:tabs>
        <w:tab w:val="center" w:pos="4252"/>
        <w:tab w:val="right" w:pos="8504"/>
      </w:tabs>
      <w:ind w:left="-249" w:firstLine="249"/>
      <w:jc w:val="both"/>
      <w:rPr>
        <w:rFonts w:ascii="Calibri" w:eastAsia="Calibri" w:hAnsi="Calibri" w:cs="Calibri"/>
        <w:color w:val="000000"/>
      </w:rPr>
    </w:pPr>
    <w:r>
      <w:rPr>
        <w:rFonts w:ascii="Calibri" w:eastAsia="Calibri" w:hAnsi="Calibri" w:cs="Calibri"/>
        <w:color w:val="000000"/>
      </w:rPr>
      <w:t xml:space="preserve">                                  </w:t>
    </w:r>
  </w:p>
  <w:tbl>
    <w:tblPr>
      <w:tblStyle w:val="a1"/>
      <w:tblW w:w="6520" w:type="dxa"/>
      <w:tblInd w:w="3119" w:type="dxa"/>
      <w:tblLayout w:type="fixed"/>
      <w:tblLook w:val="0400" w:firstRow="0" w:lastRow="0" w:firstColumn="0" w:lastColumn="0" w:noHBand="0" w:noVBand="1"/>
    </w:tblPr>
    <w:tblGrid>
      <w:gridCol w:w="2410"/>
      <w:gridCol w:w="4110"/>
    </w:tblGrid>
    <w:tr w:rsidR="0032757E" w14:paraId="09A9BC61" w14:textId="77777777">
      <w:tc>
        <w:tcPr>
          <w:tcW w:w="2410" w:type="dxa"/>
          <w:vAlign w:val="center"/>
        </w:tcPr>
        <w:p w14:paraId="13E1DB9A" w14:textId="77777777" w:rsidR="0032757E" w:rsidRDefault="0032757E">
          <w:pPr>
            <w:rPr>
              <w:rFonts w:ascii="Palatino Linotype" w:eastAsia="Palatino Linotype" w:hAnsi="Palatino Linotype" w:cs="Palatino Linotype"/>
              <w:b/>
              <w:sz w:val="21"/>
              <w:szCs w:val="21"/>
            </w:rPr>
          </w:pPr>
        </w:p>
      </w:tc>
      <w:tc>
        <w:tcPr>
          <w:tcW w:w="4110" w:type="dxa"/>
          <w:vAlign w:val="center"/>
        </w:tcPr>
        <w:p w14:paraId="5AB26A6D" w14:textId="77777777" w:rsidR="0032757E" w:rsidRDefault="0032757E">
          <w:pPr>
            <w:tabs>
              <w:tab w:val="left" w:pos="3153"/>
            </w:tabs>
            <w:ind w:left="-45"/>
            <w:rPr>
              <w:rFonts w:ascii="Palatino Linotype" w:eastAsia="Palatino Linotype" w:hAnsi="Palatino Linotype" w:cs="Palatino Linotype"/>
              <w:b/>
              <w:sz w:val="22"/>
              <w:szCs w:val="22"/>
            </w:rPr>
          </w:pPr>
        </w:p>
      </w:tc>
    </w:tr>
    <w:tr w:rsidR="0032757E" w14:paraId="79F2F063" w14:textId="77777777">
      <w:tc>
        <w:tcPr>
          <w:tcW w:w="2410" w:type="dxa"/>
          <w:vAlign w:val="center"/>
        </w:tcPr>
        <w:p w14:paraId="4FAC947A" w14:textId="77777777" w:rsidR="0032757E" w:rsidRDefault="0032757E">
          <w:pPr>
            <w:ind w:left="35" w:hanging="35"/>
            <w:rPr>
              <w:rFonts w:ascii="Palatino Linotype" w:eastAsia="Palatino Linotype" w:hAnsi="Palatino Linotype" w:cs="Palatino Linotype"/>
              <w:b/>
              <w:sz w:val="21"/>
              <w:szCs w:val="21"/>
            </w:rPr>
          </w:pPr>
        </w:p>
      </w:tc>
      <w:tc>
        <w:tcPr>
          <w:tcW w:w="4110" w:type="dxa"/>
          <w:vAlign w:val="center"/>
        </w:tcPr>
        <w:p w14:paraId="2AC8F1DA" w14:textId="77777777" w:rsidR="0032757E" w:rsidRDefault="0032757E">
          <w:pPr>
            <w:ind w:left="-45"/>
            <w:rPr>
              <w:rFonts w:ascii="Palatino Linotype" w:eastAsia="Palatino Linotype" w:hAnsi="Palatino Linotype" w:cs="Palatino Linotype"/>
              <w:b/>
              <w:sz w:val="22"/>
              <w:szCs w:val="22"/>
            </w:rPr>
          </w:pPr>
        </w:p>
      </w:tc>
    </w:tr>
    <w:tr w:rsidR="0032757E" w14:paraId="1E98D2AF" w14:textId="77777777">
      <w:trPr>
        <w:trHeight w:val="228"/>
      </w:trPr>
      <w:tc>
        <w:tcPr>
          <w:tcW w:w="2410" w:type="dxa"/>
          <w:vAlign w:val="center"/>
        </w:tcPr>
        <w:p w14:paraId="77FD0F01" w14:textId="77777777" w:rsidR="0032757E" w:rsidRDefault="0032757E">
          <w:pPr>
            <w:rPr>
              <w:rFonts w:ascii="Palatino Linotype" w:eastAsia="Palatino Linotype" w:hAnsi="Palatino Linotype" w:cs="Palatino Linotype"/>
              <w:b/>
              <w:sz w:val="21"/>
              <w:szCs w:val="21"/>
            </w:rPr>
          </w:pPr>
        </w:p>
      </w:tc>
      <w:tc>
        <w:tcPr>
          <w:tcW w:w="4110" w:type="dxa"/>
          <w:vAlign w:val="center"/>
        </w:tcPr>
        <w:p w14:paraId="4235A21C" w14:textId="77777777" w:rsidR="0032757E" w:rsidRDefault="0032757E">
          <w:pPr>
            <w:tabs>
              <w:tab w:val="left" w:pos="3152"/>
            </w:tabs>
            <w:ind w:left="-45" w:right="601"/>
            <w:jc w:val="both"/>
            <w:rPr>
              <w:rFonts w:ascii="Palatino Linotype" w:eastAsia="Palatino Linotype" w:hAnsi="Palatino Linotype" w:cs="Palatino Linotype"/>
              <w:b/>
              <w:sz w:val="22"/>
              <w:szCs w:val="22"/>
            </w:rPr>
          </w:pPr>
        </w:p>
      </w:tc>
    </w:tr>
    <w:tr w:rsidR="0032757E" w14:paraId="486C3D58" w14:textId="77777777">
      <w:tc>
        <w:tcPr>
          <w:tcW w:w="2410" w:type="dxa"/>
          <w:vAlign w:val="center"/>
        </w:tcPr>
        <w:p w14:paraId="67D73420" w14:textId="77777777" w:rsidR="0032757E" w:rsidRDefault="0032757E">
          <w:pPr>
            <w:rPr>
              <w:rFonts w:ascii="Palatino Linotype" w:eastAsia="Palatino Linotype" w:hAnsi="Palatino Linotype" w:cs="Palatino Linotype"/>
              <w:b/>
              <w:sz w:val="21"/>
              <w:szCs w:val="21"/>
            </w:rPr>
          </w:pPr>
        </w:p>
      </w:tc>
      <w:tc>
        <w:tcPr>
          <w:tcW w:w="4110" w:type="dxa"/>
          <w:vAlign w:val="center"/>
        </w:tcPr>
        <w:p w14:paraId="45F7A470" w14:textId="77777777" w:rsidR="0032757E" w:rsidRDefault="0032757E">
          <w:pPr>
            <w:ind w:right="-533"/>
            <w:jc w:val="both"/>
            <w:rPr>
              <w:rFonts w:ascii="Palatino Linotype" w:eastAsia="Palatino Linotype" w:hAnsi="Palatino Linotype" w:cs="Palatino Linotype"/>
              <w:b/>
              <w:sz w:val="21"/>
              <w:szCs w:val="21"/>
            </w:rPr>
          </w:pPr>
        </w:p>
      </w:tc>
    </w:tr>
  </w:tbl>
  <w:p w14:paraId="7B7A3EF1" w14:textId="77777777" w:rsidR="0032757E" w:rsidRDefault="0032757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740B1"/>
    <w:multiLevelType w:val="multilevel"/>
    <w:tmpl w:val="23B4F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4605E0"/>
    <w:multiLevelType w:val="multilevel"/>
    <w:tmpl w:val="1CECE55C"/>
    <w:lvl w:ilvl="0">
      <w:start w:val="1"/>
      <w:numFmt w:val="decimal"/>
      <w:lvlText w:val="%1."/>
      <w:lvlJc w:val="left"/>
      <w:pPr>
        <w:ind w:left="360" w:hanging="360"/>
      </w:pPr>
      <w:rPr>
        <w:b/>
      </w:rPr>
    </w:lvl>
    <w:lvl w:ilvl="1">
      <w:start w:val="1"/>
      <w:numFmt w:val="decimal"/>
      <w:lvlText w:val="%2."/>
      <w:lvlJc w:val="left"/>
      <w:pPr>
        <w:ind w:left="-262" w:hanging="360"/>
      </w:pPr>
    </w:lvl>
    <w:lvl w:ilvl="2">
      <w:start w:val="1"/>
      <w:numFmt w:val="lowerRoman"/>
      <w:lvlText w:val="%3."/>
      <w:lvlJc w:val="right"/>
      <w:pPr>
        <w:ind w:left="458" w:hanging="180"/>
      </w:pPr>
    </w:lvl>
    <w:lvl w:ilvl="3">
      <w:start w:val="1"/>
      <w:numFmt w:val="decimal"/>
      <w:lvlText w:val="%4."/>
      <w:lvlJc w:val="left"/>
      <w:pPr>
        <w:ind w:left="1178" w:hanging="360"/>
      </w:pPr>
    </w:lvl>
    <w:lvl w:ilvl="4">
      <w:start w:val="1"/>
      <w:numFmt w:val="lowerLetter"/>
      <w:lvlText w:val="%5."/>
      <w:lvlJc w:val="left"/>
      <w:pPr>
        <w:ind w:left="1898" w:hanging="360"/>
      </w:pPr>
    </w:lvl>
    <w:lvl w:ilvl="5">
      <w:start w:val="1"/>
      <w:numFmt w:val="lowerRoman"/>
      <w:lvlText w:val="%6."/>
      <w:lvlJc w:val="right"/>
      <w:pPr>
        <w:ind w:left="2618" w:hanging="180"/>
      </w:pPr>
    </w:lvl>
    <w:lvl w:ilvl="6">
      <w:start w:val="1"/>
      <w:numFmt w:val="decimal"/>
      <w:lvlText w:val="%7."/>
      <w:lvlJc w:val="left"/>
      <w:pPr>
        <w:ind w:left="3338" w:hanging="360"/>
      </w:pPr>
    </w:lvl>
    <w:lvl w:ilvl="7">
      <w:start w:val="1"/>
      <w:numFmt w:val="lowerLetter"/>
      <w:lvlText w:val="%8."/>
      <w:lvlJc w:val="left"/>
      <w:pPr>
        <w:ind w:left="4058" w:hanging="360"/>
      </w:pPr>
    </w:lvl>
    <w:lvl w:ilvl="8">
      <w:start w:val="1"/>
      <w:numFmt w:val="lowerRoman"/>
      <w:lvlText w:val="%9."/>
      <w:lvlJc w:val="right"/>
      <w:pPr>
        <w:ind w:left="4778" w:hanging="180"/>
      </w:pPr>
    </w:lvl>
  </w:abstractNum>
  <w:abstractNum w:abstractNumId="2" w15:restartNumberingAfterBreak="0">
    <w:nsid w:val="1C4362FD"/>
    <w:multiLevelType w:val="multilevel"/>
    <w:tmpl w:val="8690D7E8"/>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26A54DB9"/>
    <w:multiLevelType w:val="multilevel"/>
    <w:tmpl w:val="DD3CEC1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31235C"/>
    <w:multiLevelType w:val="multilevel"/>
    <w:tmpl w:val="56F2DB3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E620D84"/>
    <w:multiLevelType w:val="multilevel"/>
    <w:tmpl w:val="7902B2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E9638BB"/>
    <w:multiLevelType w:val="multilevel"/>
    <w:tmpl w:val="1A7AFB02"/>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0"/>
  </w:num>
  <w:num w:numId="4">
    <w:abstractNumId w:val="3"/>
  </w:num>
  <w:num w:numId="5">
    <w:abstractNumId w:val="6"/>
  </w:num>
  <w:num w:numId="6">
    <w:abstractNumId w:val="1"/>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57E"/>
    <w:rsid w:val="001119E8"/>
    <w:rsid w:val="0032757E"/>
    <w:rsid w:val="00577D28"/>
    <w:rsid w:val="007259AC"/>
    <w:rsid w:val="009B7BB9"/>
    <w:rsid w:val="00C12375"/>
    <w:rsid w:val="00D310E2"/>
    <w:rsid w:val="00D96639"/>
    <w:rsid w:val="00DE61FE"/>
    <w:rsid w:val="00E91A66"/>
    <w:rsid w:val="00F265EA"/>
    <w:rsid w:val="00F935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5AC2F"/>
  <w15:docId w15:val="{A0EFEEEF-DA97-491F-8D6A-38160E39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A47"/>
    <w:rPr>
      <w:lang w:eastAsia="es-ES"/>
    </w:rPr>
  </w:style>
  <w:style w:type="paragraph" w:styleId="Ttulo1">
    <w:name w:val="heading 1"/>
    <w:basedOn w:val="Normal"/>
    <w:next w:val="Normal"/>
    <w:link w:val="Ttulo1Car"/>
    <w:uiPriority w:val="9"/>
    <w:qFormat/>
    <w:rsid w:val="000B5D87"/>
    <w:pPr>
      <w:keepNext/>
      <w:keepLines/>
      <w:spacing w:before="240"/>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203E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B5D87"/>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0B5D87"/>
    <w:pPr>
      <w:keepNext/>
      <w:keepLines/>
      <w:spacing w:before="40"/>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0B5D87"/>
    <w:pPr>
      <w:keepNext/>
      <w:keepLines/>
      <w:spacing w:before="40"/>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0B5D87"/>
    <w:pPr>
      <w:keepNext/>
      <w:keepLines/>
      <w:spacing w:before="40"/>
      <w:outlineLvl w:val="5"/>
    </w:pPr>
    <w:rPr>
      <w:rFonts w:ascii="Calibri" w:eastAsia="MS Gothic" w:hAnsi="Calibri"/>
      <w:color w:val="243F60"/>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F6A4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F6A47"/>
    <w:rPr>
      <w:rFonts w:eastAsiaTheme="minorEastAsia"/>
      <w:sz w:val="24"/>
      <w:szCs w:val="24"/>
      <w:lang w:val="es-ES_tradnl" w:eastAsia="es-ES"/>
    </w:rPr>
  </w:style>
  <w:style w:type="paragraph" w:styleId="Piedepgina">
    <w:name w:val="footer"/>
    <w:basedOn w:val="Normal"/>
    <w:link w:val="PiedepginaCar"/>
    <w:uiPriority w:val="99"/>
    <w:unhideWhenUsed/>
    <w:rsid w:val="00CF6A4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F6A4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F6A47"/>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6A47"/>
    <w:pPr>
      <w:ind w:left="708"/>
    </w:pPr>
    <w:rPr>
      <w:sz w:val="22"/>
      <w:szCs w:val="22"/>
      <w:lang w:val="es-MX" w:eastAsia="en-US"/>
    </w:rPr>
  </w:style>
  <w:style w:type="table" w:styleId="Tablaconcuadrcula">
    <w:name w:val="Table Grid"/>
    <w:basedOn w:val="Tablanormal"/>
    <w:uiPriority w:val="59"/>
    <w:rsid w:val="00CF6A4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CF6A47"/>
  </w:style>
  <w:style w:type="character" w:customStyle="1" w:styleId="apple-converted-space">
    <w:name w:val="apple-converted-space"/>
    <w:basedOn w:val="Fuentedeprrafopredeter"/>
    <w:rsid w:val="00CF6A47"/>
  </w:style>
  <w:style w:type="character" w:styleId="Hipervnculo">
    <w:name w:val="Hyperlink"/>
    <w:basedOn w:val="Fuentedeprrafopredeter"/>
    <w:uiPriority w:val="99"/>
    <w:unhideWhenUsed/>
    <w:rsid w:val="00CF6A47"/>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F6A47"/>
    <w:rPr>
      <w:vertAlign w:val="superscript"/>
    </w:rPr>
  </w:style>
  <w:style w:type="paragraph" w:styleId="NormalWeb">
    <w:name w:val="Normal (Web)"/>
    <w:basedOn w:val="Normal"/>
    <w:uiPriority w:val="99"/>
    <w:unhideWhenUsed/>
    <w:rsid w:val="00CF6A47"/>
    <w:pPr>
      <w:spacing w:before="100" w:beforeAutospacing="1" w:after="100" w:afterAutospacing="1"/>
    </w:pPr>
    <w:rPr>
      <w:lang w:val="es-MX" w:eastAsia="es-MX"/>
    </w:rPr>
  </w:style>
  <w:style w:type="paragraph" w:styleId="Sinespaciado">
    <w:name w:val="No Spacing"/>
    <w:aliases w:val="Francesa"/>
    <w:link w:val="SinespaciadoCar"/>
    <w:uiPriority w:val="1"/>
    <w:qFormat/>
    <w:rsid w:val="00CF6A47"/>
    <w:rPr>
      <w:lang w:eastAsia="es-ES"/>
    </w:rPr>
  </w:style>
  <w:style w:type="character" w:customStyle="1" w:styleId="SinespaciadoCar">
    <w:name w:val="Sin espaciado Car"/>
    <w:aliases w:val="Francesa Car"/>
    <w:link w:val="Sinespaciado"/>
    <w:uiPriority w:val="1"/>
    <w:locked/>
    <w:rsid w:val="00CF6A47"/>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F6A47"/>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F6A47"/>
    <w:rPr>
      <w:sz w:val="20"/>
      <w:szCs w:val="20"/>
    </w:rPr>
  </w:style>
  <w:style w:type="character" w:styleId="Textoennegrita">
    <w:name w:val="Strong"/>
    <w:uiPriority w:val="22"/>
    <w:qFormat/>
    <w:rsid w:val="00CF6A47"/>
    <w:rPr>
      <w:b/>
      <w:bCs/>
    </w:rPr>
  </w:style>
  <w:style w:type="paragraph" w:customStyle="1" w:styleId="paragraph">
    <w:name w:val="paragraph"/>
    <w:basedOn w:val="Normal"/>
    <w:uiPriority w:val="99"/>
    <w:rsid w:val="00CF6A4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F58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58CF"/>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99"/>
    <w:unhideWhenUsed/>
    <w:qFormat/>
    <w:rsid w:val="0035062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350623"/>
    <w:rPr>
      <w:rFonts w:ascii="Times New Roman" w:hAnsi="Times New Roman" w:cs="Times New Roman"/>
      <w:sz w:val="23"/>
      <w:szCs w:val="23"/>
    </w:rPr>
  </w:style>
  <w:style w:type="character" w:customStyle="1" w:styleId="Ttulo2Car">
    <w:name w:val="Título 2 Car"/>
    <w:basedOn w:val="Fuentedeprrafopredeter"/>
    <w:link w:val="Ttulo2"/>
    <w:uiPriority w:val="9"/>
    <w:rsid w:val="00203E59"/>
    <w:rPr>
      <w:rFonts w:asciiTheme="majorHAnsi" w:eastAsiaTheme="majorEastAsia" w:hAnsiTheme="majorHAnsi" w:cstheme="majorBidi"/>
      <w:color w:val="2E74B5" w:themeColor="accent1" w:themeShade="BF"/>
      <w:sz w:val="26"/>
      <w:szCs w:val="26"/>
      <w:lang w:val="es-ES" w:eastAsia="es-ES"/>
    </w:rPr>
  </w:style>
  <w:style w:type="paragraph" w:customStyle="1" w:styleId="Listavistosa-nfasis11">
    <w:name w:val="Lista vistosa - Énfasis 11"/>
    <w:basedOn w:val="Normal"/>
    <w:link w:val="Listavistosa-nfasis1Car"/>
    <w:uiPriority w:val="34"/>
    <w:qFormat/>
    <w:rsid w:val="00203E59"/>
    <w:pPr>
      <w:ind w:left="708"/>
    </w:pPr>
  </w:style>
  <w:style w:type="character" w:customStyle="1" w:styleId="Listavistosa-nfasis1Car">
    <w:name w:val="Lista vistosa - Énfasis 1 Car"/>
    <w:link w:val="Listavistosa-nfasis11"/>
    <w:uiPriority w:val="34"/>
    <w:locked/>
    <w:rsid w:val="00203E59"/>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203E59"/>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03E59"/>
  </w:style>
  <w:style w:type="paragraph" w:styleId="Textoindependiente2">
    <w:name w:val="Body Text 2"/>
    <w:basedOn w:val="Normal"/>
    <w:link w:val="Textoindependiente2Car"/>
    <w:uiPriority w:val="99"/>
    <w:unhideWhenUsed/>
    <w:rsid w:val="00203E59"/>
    <w:pPr>
      <w:spacing w:after="120" w:line="480" w:lineRule="auto"/>
    </w:pPr>
  </w:style>
  <w:style w:type="character" w:customStyle="1" w:styleId="Textoindependiente2Car">
    <w:name w:val="Texto independiente 2 Car"/>
    <w:basedOn w:val="Fuentedeprrafopredeter"/>
    <w:link w:val="Textoindependiente2"/>
    <w:uiPriority w:val="99"/>
    <w:rsid w:val="00203E59"/>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203E59"/>
    <w:rPr>
      <w:rFonts w:ascii="Courier New" w:hAnsi="Courier New"/>
      <w:sz w:val="20"/>
      <w:szCs w:val="20"/>
    </w:rPr>
  </w:style>
  <w:style w:type="character" w:customStyle="1" w:styleId="TextosinformatoCar">
    <w:name w:val="Texto sin formato Car"/>
    <w:basedOn w:val="Fuentedeprrafopredeter"/>
    <w:link w:val="Textosinformato"/>
    <w:rsid w:val="00203E59"/>
    <w:rPr>
      <w:rFonts w:ascii="Courier New" w:eastAsia="Times New Roman" w:hAnsi="Courier New" w:cs="Times New Roman"/>
      <w:sz w:val="20"/>
      <w:szCs w:val="20"/>
      <w:lang w:val="es-ES" w:eastAsia="es-ES"/>
    </w:rPr>
  </w:style>
  <w:style w:type="paragraph" w:customStyle="1" w:styleId="Standard">
    <w:name w:val="Standard"/>
    <w:rsid w:val="00203E59"/>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03E59"/>
    <w:rPr>
      <w:rFonts w:ascii="Arial" w:hAnsi="Arial" w:cs="Arial" w:hint="default"/>
      <w:b/>
      <w:bCs/>
      <w:sz w:val="18"/>
      <w:szCs w:val="18"/>
    </w:rPr>
  </w:style>
  <w:style w:type="paragraph" w:customStyle="1" w:styleId="Pa2">
    <w:name w:val="Pa2"/>
    <w:basedOn w:val="Normal"/>
    <w:next w:val="Normal"/>
    <w:uiPriority w:val="99"/>
    <w:rsid w:val="00203E59"/>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03E59"/>
    <w:pPr>
      <w:autoSpaceDE w:val="0"/>
      <w:autoSpaceDN w:val="0"/>
      <w:adjustRightInd w:val="0"/>
    </w:pPr>
    <w:rPr>
      <w:rFonts w:ascii="Arial" w:hAnsi="Arial" w:cs="Arial"/>
      <w:color w:val="000000"/>
    </w:rPr>
  </w:style>
  <w:style w:type="paragraph" w:customStyle="1" w:styleId="q">
    <w:name w:val="q"/>
    <w:basedOn w:val="Normal"/>
    <w:rsid w:val="00203E59"/>
    <w:pPr>
      <w:spacing w:before="100" w:beforeAutospacing="1" w:after="100" w:afterAutospacing="1"/>
    </w:pPr>
    <w:rPr>
      <w:lang w:val="es-MX" w:eastAsia="es-MX"/>
    </w:rPr>
  </w:style>
  <w:style w:type="character" w:customStyle="1" w:styleId="d">
    <w:name w:val="d"/>
    <w:basedOn w:val="Fuentedeprrafopredeter"/>
    <w:rsid w:val="00203E59"/>
  </w:style>
  <w:style w:type="character" w:customStyle="1" w:styleId="b">
    <w:name w:val="b"/>
    <w:basedOn w:val="Fuentedeprrafopredeter"/>
    <w:rsid w:val="00203E59"/>
  </w:style>
  <w:style w:type="character" w:customStyle="1" w:styleId="k">
    <w:name w:val="k"/>
    <w:basedOn w:val="Fuentedeprrafopredeter"/>
    <w:rsid w:val="00203E59"/>
  </w:style>
  <w:style w:type="character" w:customStyle="1" w:styleId="h">
    <w:name w:val="h"/>
    <w:basedOn w:val="Fuentedeprrafopredeter"/>
    <w:rsid w:val="00203E59"/>
  </w:style>
  <w:style w:type="character" w:styleId="Hipervnculovisitado">
    <w:name w:val="FollowedHyperlink"/>
    <w:basedOn w:val="Fuentedeprrafopredeter"/>
    <w:uiPriority w:val="99"/>
    <w:semiHidden/>
    <w:unhideWhenUsed/>
    <w:rsid w:val="00203E59"/>
    <w:rPr>
      <w:color w:val="954F72" w:themeColor="followedHyperlink"/>
      <w:u w:val="single"/>
    </w:rPr>
  </w:style>
  <w:style w:type="character" w:styleId="CitaHTML">
    <w:name w:val="HTML Cite"/>
    <w:uiPriority w:val="99"/>
    <w:semiHidden/>
    <w:unhideWhenUsed/>
    <w:rsid w:val="00203E59"/>
    <w:rPr>
      <w:i/>
      <w:iCs/>
    </w:rPr>
  </w:style>
  <w:style w:type="character" w:customStyle="1" w:styleId="medium">
    <w:name w:val="medium"/>
    <w:basedOn w:val="Fuentedeprrafopredeter"/>
    <w:rsid w:val="00203E59"/>
  </w:style>
  <w:style w:type="character" w:customStyle="1" w:styleId="numeroconsecutivo">
    <w:name w:val="numeroconsecutivo"/>
    <w:basedOn w:val="Fuentedeprrafopredeter"/>
    <w:rsid w:val="00203E59"/>
  </w:style>
  <w:style w:type="character" w:customStyle="1" w:styleId="titulorubrolgt">
    <w:name w:val="titulorubrolgt"/>
    <w:basedOn w:val="Fuentedeprrafopredeter"/>
    <w:rsid w:val="00203E59"/>
  </w:style>
  <w:style w:type="character" w:customStyle="1" w:styleId="ctr">
    <w:name w:val="ctr"/>
    <w:basedOn w:val="Fuentedeprrafopredeter"/>
    <w:rsid w:val="00203E59"/>
  </w:style>
  <w:style w:type="table" w:customStyle="1" w:styleId="Tablaconcuadrcula1">
    <w:name w:val="Tabla con cuadrícula1"/>
    <w:basedOn w:val="Tablanormal"/>
    <w:next w:val="Tablaconcuadrcula"/>
    <w:uiPriority w:val="39"/>
    <w:rsid w:val="00203E59"/>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03E59"/>
    <w:rPr>
      <w:sz w:val="16"/>
      <w:szCs w:val="16"/>
    </w:rPr>
  </w:style>
  <w:style w:type="paragraph" w:styleId="Textocomentario">
    <w:name w:val="annotation text"/>
    <w:basedOn w:val="Normal"/>
    <w:link w:val="TextocomentarioCar"/>
    <w:uiPriority w:val="99"/>
    <w:semiHidden/>
    <w:unhideWhenUsed/>
    <w:rsid w:val="00203E59"/>
    <w:rPr>
      <w:sz w:val="20"/>
      <w:szCs w:val="20"/>
    </w:rPr>
  </w:style>
  <w:style w:type="character" w:customStyle="1" w:styleId="TextocomentarioCar">
    <w:name w:val="Texto comentario Car"/>
    <w:basedOn w:val="Fuentedeprrafopredeter"/>
    <w:link w:val="Textocomentario"/>
    <w:uiPriority w:val="99"/>
    <w:semiHidden/>
    <w:rsid w:val="00203E5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03E59"/>
    <w:rPr>
      <w:b/>
      <w:bCs/>
    </w:rPr>
  </w:style>
  <w:style w:type="character" w:customStyle="1" w:styleId="AsuntodelcomentarioCar">
    <w:name w:val="Asunto del comentario Car"/>
    <w:basedOn w:val="TextocomentarioCar"/>
    <w:link w:val="Asuntodelcomentario"/>
    <w:uiPriority w:val="99"/>
    <w:semiHidden/>
    <w:rsid w:val="00203E59"/>
    <w:rPr>
      <w:rFonts w:ascii="Times New Roman" w:eastAsia="Times New Roman" w:hAnsi="Times New Roman" w:cs="Times New Roman"/>
      <w:b/>
      <w:bCs/>
      <w:sz w:val="20"/>
      <w:szCs w:val="20"/>
      <w:lang w:val="es-ES" w:eastAsia="es-ES"/>
    </w:rPr>
  </w:style>
  <w:style w:type="character" w:customStyle="1" w:styleId="nacep">
    <w:name w:val="n_acep"/>
    <w:basedOn w:val="Fuentedeprrafopredeter"/>
    <w:rsid w:val="00203E59"/>
  </w:style>
  <w:style w:type="table" w:customStyle="1" w:styleId="Tabladelista1clara-nfasis111">
    <w:name w:val="Tabla de lista 1 clara - Énfasis 111"/>
    <w:basedOn w:val="Tablanormal"/>
    <w:next w:val="Tabladelista1clara-nfasis1"/>
    <w:uiPriority w:val="46"/>
    <w:rsid w:val="00203E59"/>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203E59"/>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1clara-nfasis1111">
    <w:name w:val="Tabla de lista 1 clara - Énfasis 1111"/>
    <w:basedOn w:val="Tablanormal"/>
    <w:next w:val="Tabladelista1clara-nfasis1"/>
    <w:uiPriority w:val="46"/>
    <w:rsid w:val="00203E59"/>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FAFunotente1">
    <w:name w:val="FA Fu?notente1"/>
    <w:basedOn w:val="Normal"/>
    <w:next w:val="Textonotapie"/>
    <w:uiPriority w:val="99"/>
    <w:unhideWhenUsed/>
    <w:rsid w:val="00203E59"/>
    <w:rPr>
      <w:rFonts w:ascii="Calibri" w:eastAsia="Cambria" w:hAnsi="Calibri"/>
      <w:sz w:val="20"/>
      <w:szCs w:val="20"/>
      <w:lang w:val="es-MX" w:eastAsia="en-US"/>
    </w:rPr>
  </w:style>
  <w:style w:type="numbering" w:customStyle="1" w:styleId="Sinlista1">
    <w:name w:val="Sin lista1"/>
    <w:next w:val="Sinlista"/>
    <w:uiPriority w:val="99"/>
    <w:semiHidden/>
    <w:unhideWhenUsed/>
    <w:rsid w:val="00AF3E45"/>
  </w:style>
  <w:style w:type="table" w:customStyle="1" w:styleId="Tablaconcuadrcula2">
    <w:name w:val="Tabla con cuadrícula2"/>
    <w:basedOn w:val="Tablanormal"/>
    <w:next w:val="Tablaconcuadrcula"/>
    <w:uiPriority w:val="59"/>
    <w:rsid w:val="00AF3E45"/>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F3E45"/>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2">
    <w:name w:val="Tabla de lista 1 clara - Énfasis 1112"/>
    <w:basedOn w:val="Tablanormal"/>
    <w:next w:val="Tabladelista1clara-nfasis1"/>
    <w:uiPriority w:val="46"/>
    <w:rsid w:val="00AF3E45"/>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
    <w:name w:val="Tabla de lista 1 clara - Énfasis 11"/>
    <w:basedOn w:val="Tablanormal"/>
    <w:next w:val="Tabladelista1clara-nfasis1"/>
    <w:uiPriority w:val="46"/>
    <w:rsid w:val="00AF3E45"/>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1">
    <w:name w:val="Tabla de lista 1 clara - Énfasis 11111"/>
    <w:basedOn w:val="Tablanormal"/>
    <w:next w:val="Tabladelista1clara-nfasis1"/>
    <w:uiPriority w:val="46"/>
    <w:rsid w:val="00AF3E45"/>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eop">
    <w:name w:val="eop"/>
    <w:basedOn w:val="Fuentedeprrafopredeter"/>
    <w:rsid w:val="00AF3E45"/>
  </w:style>
  <w:style w:type="numbering" w:customStyle="1" w:styleId="Sinlista2">
    <w:name w:val="Sin lista2"/>
    <w:next w:val="Sinlista"/>
    <w:uiPriority w:val="99"/>
    <w:semiHidden/>
    <w:unhideWhenUsed/>
    <w:rsid w:val="00C94E6F"/>
  </w:style>
  <w:style w:type="table" w:customStyle="1" w:styleId="Tablaconcuadrcula3">
    <w:name w:val="Tabla con cuadrícula3"/>
    <w:basedOn w:val="Tablanormal"/>
    <w:next w:val="Tablaconcuadrcula"/>
    <w:uiPriority w:val="59"/>
    <w:rsid w:val="00C94E6F"/>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94E6F"/>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3">
    <w:name w:val="Tabla de lista 1 clara - Énfasis 1113"/>
    <w:basedOn w:val="Tablanormal"/>
    <w:next w:val="Tabladelista1clara-nfasis1"/>
    <w:uiPriority w:val="46"/>
    <w:rsid w:val="00C94E6F"/>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C94E6F"/>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2">
    <w:name w:val="Tabla de lista 1 clara - Énfasis 11112"/>
    <w:basedOn w:val="Tablanormal"/>
    <w:next w:val="Tabladelista1clara-nfasis1"/>
    <w:uiPriority w:val="46"/>
    <w:rsid w:val="00C94E6F"/>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11">
    <w:name w:val="Tabla con cuadrícula111"/>
    <w:basedOn w:val="Tablanormal"/>
    <w:next w:val="Tablaconcuadrcula"/>
    <w:uiPriority w:val="39"/>
    <w:rsid w:val="00C94E6F"/>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0B5D87"/>
    <w:pPr>
      <w:keepNext/>
      <w:keepLines/>
      <w:spacing w:before="240"/>
      <w:outlineLvl w:val="0"/>
    </w:pPr>
    <w:rPr>
      <w:rFonts w:ascii="Calibri" w:eastAsia="MS Gothic" w:hAnsi="Calibri"/>
      <w:color w:val="365F91"/>
      <w:sz w:val="32"/>
      <w:szCs w:val="32"/>
    </w:rPr>
  </w:style>
  <w:style w:type="character" w:customStyle="1" w:styleId="Ttulo3Car">
    <w:name w:val="Título 3 Car"/>
    <w:basedOn w:val="Fuentedeprrafopredeter"/>
    <w:link w:val="Ttulo3"/>
    <w:uiPriority w:val="9"/>
    <w:rsid w:val="000B5D87"/>
    <w:rPr>
      <w:rFonts w:ascii="Times New Roman" w:eastAsia="Times New Roman" w:hAnsi="Times New Roman" w:cs="Times New Roman"/>
      <w:b/>
      <w:bCs/>
      <w:sz w:val="27"/>
      <w:szCs w:val="27"/>
      <w:lang w:eastAsia="es-MX"/>
    </w:rPr>
  </w:style>
  <w:style w:type="paragraph" w:customStyle="1" w:styleId="Ttulo41">
    <w:name w:val="Título 41"/>
    <w:basedOn w:val="Normal"/>
    <w:next w:val="Normal"/>
    <w:uiPriority w:val="9"/>
    <w:unhideWhenUsed/>
    <w:qFormat/>
    <w:rsid w:val="000B5D87"/>
    <w:pPr>
      <w:keepNext/>
      <w:keepLines/>
      <w:spacing w:before="40"/>
      <w:outlineLvl w:val="3"/>
    </w:pPr>
    <w:rPr>
      <w:rFonts w:ascii="Calibri" w:eastAsia="MS Gothic" w:hAnsi="Calibri"/>
      <w:i/>
      <w:iCs/>
      <w:color w:val="365F91"/>
    </w:rPr>
  </w:style>
  <w:style w:type="paragraph" w:customStyle="1" w:styleId="Ttulo51">
    <w:name w:val="Título 51"/>
    <w:basedOn w:val="Normal"/>
    <w:next w:val="Normal"/>
    <w:uiPriority w:val="9"/>
    <w:unhideWhenUsed/>
    <w:qFormat/>
    <w:rsid w:val="000B5D87"/>
    <w:pPr>
      <w:keepNext/>
      <w:keepLines/>
      <w:spacing w:before="40"/>
      <w:outlineLvl w:val="4"/>
    </w:pPr>
    <w:rPr>
      <w:rFonts w:ascii="Calibri" w:eastAsia="MS Gothic" w:hAnsi="Calibri"/>
      <w:color w:val="365F91"/>
    </w:rPr>
  </w:style>
  <w:style w:type="paragraph" w:customStyle="1" w:styleId="Ttulo61">
    <w:name w:val="Título 61"/>
    <w:basedOn w:val="Normal"/>
    <w:next w:val="Normal"/>
    <w:uiPriority w:val="9"/>
    <w:unhideWhenUsed/>
    <w:qFormat/>
    <w:rsid w:val="000B5D87"/>
    <w:pPr>
      <w:keepNext/>
      <w:keepLines/>
      <w:spacing w:before="40"/>
      <w:outlineLvl w:val="5"/>
    </w:pPr>
    <w:rPr>
      <w:rFonts w:ascii="Calibri" w:eastAsia="MS Gothic" w:hAnsi="Calibri"/>
      <w:color w:val="243F60"/>
    </w:rPr>
  </w:style>
  <w:style w:type="numbering" w:customStyle="1" w:styleId="Sinlista3">
    <w:name w:val="Sin lista3"/>
    <w:next w:val="Sinlista"/>
    <w:uiPriority w:val="99"/>
    <w:semiHidden/>
    <w:unhideWhenUsed/>
    <w:rsid w:val="000B5D87"/>
  </w:style>
  <w:style w:type="table" w:customStyle="1" w:styleId="Tablaconcuadrcula4">
    <w:name w:val="Tabla con cuadrícula4"/>
    <w:basedOn w:val="Tablanormal"/>
    <w:next w:val="Tablaconcuadrcula"/>
    <w:uiPriority w:val="59"/>
    <w:rsid w:val="000B5D87"/>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0B5D87"/>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4">
    <w:name w:val="Tabla de lista 1 clara - Énfasis 1114"/>
    <w:basedOn w:val="Tablanormal"/>
    <w:next w:val="Tabladelista1clara-nfasis1"/>
    <w:uiPriority w:val="46"/>
    <w:rsid w:val="000B5D8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3">
    <w:name w:val="Tabla de lista 1 clara - Énfasis 13"/>
    <w:basedOn w:val="Tablanormal"/>
    <w:next w:val="Tabladelista1clara-nfasis1"/>
    <w:uiPriority w:val="46"/>
    <w:rsid w:val="000B5D8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3">
    <w:name w:val="Tabla de lista 1 clara - Énfasis 11113"/>
    <w:basedOn w:val="Tablanormal"/>
    <w:next w:val="Tabladelista1clara-nfasis1"/>
    <w:uiPriority w:val="46"/>
    <w:rsid w:val="000B5D8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1Car">
    <w:name w:val="Título 1 Car"/>
    <w:basedOn w:val="Fuentedeprrafopredeter"/>
    <w:link w:val="Ttulo1"/>
    <w:uiPriority w:val="9"/>
    <w:rsid w:val="000B5D87"/>
    <w:rPr>
      <w:rFonts w:ascii="Calibri" w:eastAsia="MS Gothic" w:hAnsi="Calibri" w:cs="Times New Roman"/>
      <w:color w:val="365F91"/>
      <w:sz w:val="32"/>
      <w:szCs w:val="32"/>
      <w:lang w:val="es-ES"/>
    </w:rPr>
  </w:style>
  <w:style w:type="character" w:customStyle="1" w:styleId="Ttulo4Car">
    <w:name w:val="Título 4 Car"/>
    <w:basedOn w:val="Fuentedeprrafopredeter"/>
    <w:link w:val="Ttulo4"/>
    <w:uiPriority w:val="9"/>
    <w:rsid w:val="000B5D87"/>
    <w:rPr>
      <w:rFonts w:ascii="Calibri" w:eastAsia="MS Gothic" w:hAnsi="Calibri" w:cs="Times New Roman"/>
      <w:i/>
      <w:iCs/>
      <w:color w:val="365F91"/>
      <w:lang w:val="es-ES"/>
    </w:rPr>
  </w:style>
  <w:style w:type="character" w:customStyle="1" w:styleId="Ttulo5Car">
    <w:name w:val="Título 5 Car"/>
    <w:basedOn w:val="Fuentedeprrafopredeter"/>
    <w:link w:val="Ttulo5"/>
    <w:uiPriority w:val="9"/>
    <w:rsid w:val="000B5D87"/>
    <w:rPr>
      <w:rFonts w:ascii="Calibri" w:eastAsia="MS Gothic" w:hAnsi="Calibri" w:cs="Times New Roman"/>
      <w:color w:val="365F91"/>
      <w:lang w:val="es-ES"/>
    </w:rPr>
  </w:style>
  <w:style w:type="character" w:customStyle="1" w:styleId="Ttulo6Car">
    <w:name w:val="Título 6 Car"/>
    <w:basedOn w:val="Fuentedeprrafopredeter"/>
    <w:link w:val="Ttulo6"/>
    <w:uiPriority w:val="9"/>
    <w:rsid w:val="000B5D87"/>
    <w:rPr>
      <w:rFonts w:ascii="Calibri" w:eastAsia="MS Gothic" w:hAnsi="Calibri" w:cs="Times New Roman"/>
      <w:color w:val="243F60"/>
      <w:lang w:val="es-ES"/>
    </w:rPr>
  </w:style>
  <w:style w:type="paragraph" w:customStyle="1" w:styleId="RSCGnotaalpie">
    <w:name w:val="RSCG nota al pie"/>
    <w:basedOn w:val="Normal"/>
    <w:uiPriority w:val="99"/>
    <w:qFormat/>
    <w:rsid w:val="000B5D87"/>
    <w:pPr>
      <w:spacing w:after="120"/>
      <w:jc w:val="both"/>
    </w:pPr>
    <w:rPr>
      <w:rFonts w:ascii="Palatino" w:hAnsi="Palatino"/>
      <w:sz w:val="22"/>
      <w:szCs w:val="22"/>
      <w:lang w:val="es-MX" w:eastAsia="en-US"/>
    </w:rPr>
  </w:style>
  <w:style w:type="character" w:customStyle="1" w:styleId="lbl-encabezado-blanco2">
    <w:name w:val="lbl-encabezado-blanco2"/>
    <w:rsid w:val="000B5D87"/>
    <w:rPr>
      <w:color w:val="FFFFFF"/>
    </w:rPr>
  </w:style>
  <w:style w:type="character" w:customStyle="1" w:styleId="TextoCar">
    <w:name w:val="Texto Car"/>
    <w:link w:val="Texto"/>
    <w:locked/>
    <w:rsid w:val="000B5D87"/>
    <w:rPr>
      <w:rFonts w:ascii="Arial" w:eastAsia="Times New Roman" w:hAnsi="Arial" w:cs="Arial"/>
      <w:sz w:val="18"/>
      <w:szCs w:val="18"/>
      <w:lang w:eastAsia="es-ES"/>
    </w:rPr>
  </w:style>
  <w:style w:type="paragraph" w:customStyle="1" w:styleId="ANOTACION">
    <w:name w:val="ANOTACION"/>
    <w:basedOn w:val="Normal"/>
    <w:link w:val="ANOTACIONCar"/>
    <w:rsid w:val="000B5D87"/>
    <w:pPr>
      <w:spacing w:before="101" w:after="101"/>
      <w:jc w:val="center"/>
    </w:pPr>
    <w:rPr>
      <w:b/>
      <w:sz w:val="18"/>
      <w:szCs w:val="18"/>
      <w:lang w:val="es-MX"/>
    </w:rPr>
  </w:style>
  <w:style w:type="character" w:customStyle="1" w:styleId="ANOTACIONCar">
    <w:name w:val="ANOTACION Car"/>
    <w:link w:val="ANOTACION"/>
    <w:locked/>
    <w:rsid w:val="000B5D87"/>
    <w:rPr>
      <w:rFonts w:ascii="Times New Roman" w:eastAsia="Times New Roman" w:hAnsi="Times New Roman" w:cs="Times New Roman"/>
      <w:b/>
      <w:sz w:val="18"/>
      <w:szCs w:val="18"/>
      <w:lang w:eastAsia="es-ES"/>
    </w:rPr>
  </w:style>
  <w:style w:type="table" w:customStyle="1" w:styleId="Tablaconcuadrcula21">
    <w:name w:val="Tabla con cuadrícula21"/>
    <w:basedOn w:val="Tablanormal"/>
    <w:next w:val="Tablaconcuadrcula"/>
    <w:uiPriority w:val="59"/>
    <w:rsid w:val="000B5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B5D87"/>
    <w:rPr>
      <w:i/>
      <w:iCs/>
    </w:rPr>
  </w:style>
  <w:style w:type="paragraph" w:styleId="Bibliografa">
    <w:name w:val="Bibliography"/>
    <w:basedOn w:val="Normal"/>
    <w:next w:val="Normal"/>
    <w:uiPriority w:val="37"/>
    <w:semiHidden/>
    <w:unhideWhenUsed/>
    <w:rsid w:val="000B5D87"/>
    <w:rPr>
      <w:lang w:val="es-MX"/>
    </w:rPr>
  </w:style>
  <w:style w:type="paragraph" w:customStyle="1" w:styleId="ROMANOS">
    <w:name w:val="ROMANOS"/>
    <w:basedOn w:val="Normal"/>
    <w:link w:val="ROMANOSCar"/>
    <w:rsid w:val="000B5D8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0B5D87"/>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0B5D87"/>
  </w:style>
  <w:style w:type="character" w:customStyle="1" w:styleId="Ninguno">
    <w:name w:val="Ninguno"/>
    <w:rsid w:val="000B5D87"/>
    <w:rPr>
      <w:lang w:val="es-ES_tradnl"/>
    </w:rPr>
  </w:style>
  <w:style w:type="paragraph" w:customStyle="1" w:styleId="Cuerpo">
    <w:name w:val="Cuerpo"/>
    <w:rsid w:val="000B5D87"/>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0B5D87"/>
  </w:style>
  <w:style w:type="numbering" w:customStyle="1" w:styleId="Estiloimportado1">
    <w:name w:val="Estilo importado 1"/>
    <w:rsid w:val="000B5D87"/>
  </w:style>
  <w:style w:type="paragraph" w:customStyle="1" w:styleId="INCISO">
    <w:name w:val="INCISO"/>
    <w:basedOn w:val="Normal"/>
    <w:rsid w:val="000B5D87"/>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0B5D87"/>
    <w:pPr>
      <w:spacing w:before="100" w:beforeAutospacing="1" w:after="100" w:afterAutospacing="1"/>
    </w:pPr>
    <w:rPr>
      <w:lang w:val="es-MX" w:eastAsia="es-MX"/>
    </w:rPr>
  </w:style>
  <w:style w:type="paragraph" w:customStyle="1" w:styleId="j">
    <w:name w:val="j"/>
    <w:basedOn w:val="Normal"/>
    <w:rsid w:val="000B5D87"/>
    <w:pPr>
      <w:spacing w:before="100" w:beforeAutospacing="1" w:after="100" w:afterAutospacing="1"/>
    </w:pPr>
    <w:rPr>
      <w:lang w:val="es-MX" w:eastAsia="es-MX"/>
    </w:rPr>
  </w:style>
  <w:style w:type="paragraph" w:customStyle="1" w:styleId="m5212863947045306324gmail-msonormal">
    <w:name w:val="m_5212863947045306324gmail-msonormal"/>
    <w:basedOn w:val="Normal"/>
    <w:rsid w:val="000B5D87"/>
    <w:pPr>
      <w:spacing w:before="100" w:beforeAutospacing="1" w:after="100" w:afterAutospacing="1"/>
    </w:pPr>
    <w:rPr>
      <w:lang w:val="es-MX" w:eastAsia="es-MX"/>
    </w:rPr>
  </w:style>
  <w:style w:type="character" w:customStyle="1" w:styleId="user-highlighted-active">
    <w:name w:val="user-highlighted-active"/>
    <w:basedOn w:val="Fuentedeprrafopredeter"/>
    <w:rsid w:val="000B5D87"/>
  </w:style>
  <w:style w:type="paragraph" w:styleId="Lista">
    <w:name w:val="List"/>
    <w:basedOn w:val="Normal"/>
    <w:uiPriority w:val="99"/>
    <w:unhideWhenUsed/>
    <w:rsid w:val="000B5D87"/>
    <w:pPr>
      <w:ind w:left="283" w:hanging="283"/>
      <w:contextualSpacing/>
    </w:pPr>
  </w:style>
  <w:style w:type="paragraph" w:styleId="Lista2">
    <w:name w:val="List 2"/>
    <w:basedOn w:val="Normal"/>
    <w:uiPriority w:val="99"/>
    <w:unhideWhenUsed/>
    <w:rsid w:val="000B5D87"/>
    <w:pPr>
      <w:ind w:left="566" w:hanging="283"/>
      <w:contextualSpacing/>
    </w:pPr>
  </w:style>
  <w:style w:type="paragraph" w:styleId="Lista3">
    <w:name w:val="List 3"/>
    <w:basedOn w:val="Normal"/>
    <w:uiPriority w:val="99"/>
    <w:unhideWhenUsed/>
    <w:rsid w:val="000B5D87"/>
    <w:pPr>
      <w:ind w:left="849" w:hanging="283"/>
      <w:contextualSpacing/>
    </w:pPr>
  </w:style>
  <w:style w:type="paragraph" w:styleId="Sangradetextonormal">
    <w:name w:val="Body Text Indent"/>
    <w:basedOn w:val="Normal"/>
    <w:link w:val="SangradetextonormalCar"/>
    <w:uiPriority w:val="99"/>
    <w:unhideWhenUsed/>
    <w:rsid w:val="000B5D87"/>
    <w:pPr>
      <w:spacing w:after="120"/>
      <w:ind w:left="283"/>
    </w:pPr>
  </w:style>
  <w:style w:type="character" w:customStyle="1" w:styleId="SangradetextonormalCar">
    <w:name w:val="Sangría de texto normal Car"/>
    <w:basedOn w:val="Fuentedeprrafopredeter"/>
    <w:link w:val="Sangradetextonormal"/>
    <w:uiPriority w:val="99"/>
    <w:rsid w:val="000B5D8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B5D8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B5D87"/>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B5D87"/>
  </w:style>
  <w:style w:type="paragraph" w:customStyle="1" w:styleId="Text">
    <w:name w:val="Text"/>
    <w:basedOn w:val="Normal"/>
    <w:link w:val="TextChar"/>
    <w:rsid w:val="000B5D87"/>
    <w:pPr>
      <w:spacing w:after="240"/>
    </w:pPr>
    <w:rPr>
      <w:szCs w:val="20"/>
      <w:lang w:val="en-US" w:eastAsia="en-US"/>
    </w:rPr>
  </w:style>
  <w:style w:type="character" w:customStyle="1" w:styleId="TextChar">
    <w:name w:val="Text Char"/>
    <w:link w:val="Text"/>
    <w:locked/>
    <w:rsid w:val="000B5D87"/>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0B5D87"/>
    <w:pPr>
      <w:spacing w:line="360" w:lineRule="auto"/>
      <w:ind w:left="709" w:right="709"/>
      <w:jc w:val="both"/>
    </w:pPr>
    <w:rPr>
      <w:rFonts w:ascii="Arial" w:hAnsi="Arial" w:cs="Arial"/>
      <w:b/>
      <w:bCs/>
      <w:i/>
      <w:iCs/>
      <w:sz w:val="30"/>
      <w:szCs w:val="30"/>
      <w:lang w:val="es-MX" w:eastAsia="es-MX"/>
    </w:rPr>
  </w:style>
  <w:style w:type="character" w:customStyle="1" w:styleId="Ttulo1Car1">
    <w:name w:val="Título 1 Car1"/>
    <w:basedOn w:val="Fuentedeprrafopredeter"/>
    <w:uiPriority w:val="9"/>
    <w:rsid w:val="000B5D87"/>
    <w:rPr>
      <w:rFonts w:asciiTheme="majorHAnsi" w:eastAsiaTheme="majorEastAsia" w:hAnsiTheme="majorHAnsi" w:cstheme="majorBidi"/>
      <w:color w:val="2E74B5" w:themeColor="accent1" w:themeShade="BF"/>
      <w:sz w:val="32"/>
      <w:szCs w:val="32"/>
      <w:lang w:val="es-ES" w:eastAsia="es-ES"/>
    </w:rPr>
  </w:style>
  <w:style w:type="character" w:customStyle="1" w:styleId="Ttulo4Car1">
    <w:name w:val="Título 4 Car1"/>
    <w:basedOn w:val="Fuentedeprrafopredeter"/>
    <w:uiPriority w:val="9"/>
    <w:semiHidden/>
    <w:rsid w:val="000B5D87"/>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1">
    <w:name w:val="Título 5 Car1"/>
    <w:basedOn w:val="Fuentedeprrafopredeter"/>
    <w:uiPriority w:val="9"/>
    <w:semiHidden/>
    <w:rsid w:val="000B5D87"/>
    <w:rPr>
      <w:rFonts w:asciiTheme="majorHAnsi" w:eastAsiaTheme="majorEastAsia" w:hAnsiTheme="majorHAnsi" w:cstheme="majorBidi"/>
      <w:color w:val="2E74B5" w:themeColor="accent1" w:themeShade="BF"/>
      <w:sz w:val="24"/>
      <w:szCs w:val="24"/>
      <w:lang w:val="es-ES" w:eastAsia="es-ES"/>
    </w:rPr>
  </w:style>
  <w:style w:type="character" w:customStyle="1" w:styleId="Ttulo6Car1">
    <w:name w:val="Título 6 Car1"/>
    <w:basedOn w:val="Fuentedeprrafopredeter"/>
    <w:uiPriority w:val="9"/>
    <w:semiHidden/>
    <w:rsid w:val="000B5D87"/>
    <w:rPr>
      <w:rFonts w:asciiTheme="majorHAnsi" w:eastAsiaTheme="majorEastAsia" w:hAnsiTheme="majorHAnsi" w:cstheme="majorBidi"/>
      <w:color w:val="1F4D78" w:themeColor="accent1" w:themeShade="7F"/>
      <w:sz w:val="24"/>
      <w:szCs w:val="24"/>
      <w:lang w:val="es-ES" w:eastAsia="es-ES"/>
    </w:rPr>
  </w:style>
  <w:style w:type="numbering" w:customStyle="1" w:styleId="Sinlista4">
    <w:name w:val="Sin lista4"/>
    <w:next w:val="Sinlista"/>
    <w:uiPriority w:val="99"/>
    <w:semiHidden/>
    <w:unhideWhenUsed/>
    <w:rsid w:val="005745B7"/>
  </w:style>
  <w:style w:type="table" w:customStyle="1" w:styleId="Tablaconcuadrcula5">
    <w:name w:val="Tabla con cuadrícula5"/>
    <w:basedOn w:val="Tablanormal"/>
    <w:next w:val="Tablaconcuadrcula"/>
    <w:uiPriority w:val="59"/>
    <w:rsid w:val="005745B7"/>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unhideWhenUsed/>
    <w:rsid w:val="005745B7"/>
    <w:rPr>
      <w:rFonts w:ascii="Calibri" w:eastAsia="Calibri" w:hAnsi="Calibri"/>
      <w:sz w:val="20"/>
      <w:szCs w:val="20"/>
      <w:lang w:val="es-MX" w:eastAsia="en-US"/>
    </w:rPr>
  </w:style>
  <w:style w:type="paragraph" w:styleId="Saludo">
    <w:name w:val="Salutation"/>
    <w:basedOn w:val="Normal"/>
    <w:next w:val="Normal"/>
    <w:link w:val="SaludoCar"/>
    <w:uiPriority w:val="99"/>
    <w:unhideWhenUsed/>
    <w:rsid w:val="005745B7"/>
    <w:rPr>
      <w:lang w:val="es-MX"/>
    </w:rPr>
  </w:style>
  <w:style w:type="character" w:customStyle="1" w:styleId="SaludoCar">
    <w:name w:val="Saludo Car"/>
    <w:basedOn w:val="Fuentedeprrafopredeter"/>
    <w:link w:val="Saludo"/>
    <w:uiPriority w:val="99"/>
    <w:rsid w:val="005745B7"/>
    <w:rPr>
      <w:rFonts w:ascii="Times New Roman" w:eastAsia="Times New Roman" w:hAnsi="Times New Roman" w:cs="Times New Roman"/>
      <w:sz w:val="24"/>
      <w:szCs w:val="24"/>
      <w:lang w:eastAsia="es-ES"/>
    </w:rPr>
  </w:style>
  <w:style w:type="paragraph" w:styleId="Listaconvietas2">
    <w:name w:val="List Bullet 2"/>
    <w:basedOn w:val="Normal"/>
    <w:uiPriority w:val="99"/>
    <w:unhideWhenUsed/>
    <w:rsid w:val="005745B7"/>
    <w:pPr>
      <w:numPr>
        <w:numId w:val="5"/>
      </w:numPr>
      <w:contextualSpacing/>
    </w:pPr>
    <w:rPr>
      <w:lang w:val="es-MX"/>
    </w:rPr>
  </w:style>
  <w:style w:type="paragraph" w:customStyle="1" w:styleId="ListaCC">
    <w:name w:val="Lista CC."/>
    <w:basedOn w:val="Normal"/>
    <w:rsid w:val="005745B7"/>
    <w:rPr>
      <w:lang w:val="es-MX"/>
    </w:rPr>
  </w:style>
  <w:style w:type="paragraph" w:styleId="Continuarlista">
    <w:name w:val="List Continue"/>
    <w:basedOn w:val="Normal"/>
    <w:uiPriority w:val="99"/>
    <w:unhideWhenUsed/>
    <w:rsid w:val="005745B7"/>
    <w:pPr>
      <w:spacing w:after="120"/>
      <w:ind w:left="283"/>
      <w:contextualSpacing/>
    </w:pPr>
    <w:rPr>
      <w:lang w:val="es-MX"/>
    </w:rPr>
  </w:style>
  <w:style w:type="paragraph" w:customStyle="1" w:styleId="texto0">
    <w:name w:val="texto"/>
    <w:basedOn w:val="Normal"/>
    <w:rsid w:val="005745B7"/>
    <w:pPr>
      <w:spacing w:before="100" w:beforeAutospacing="1" w:after="100" w:afterAutospacing="1"/>
    </w:pPr>
    <w:rPr>
      <w:lang w:val="es-MX" w:eastAsia="es-MX"/>
    </w:rPr>
  </w:style>
  <w:style w:type="table" w:customStyle="1" w:styleId="Tabladelista1clara-nfasis111111">
    <w:name w:val="Tabla de lista 1 clara - Énfasis 111111"/>
    <w:basedOn w:val="Tablanormal"/>
    <w:next w:val="Tabladelista1clara-nfasis1"/>
    <w:uiPriority w:val="46"/>
    <w:rsid w:val="005745B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4">
    <w:name w:val="Tabla de lista 1 clara - Énfasis 14"/>
    <w:basedOn w:val="Tablanormal"/>
    <w:next w:val="Tabladelista1clara-nfasis1"/>
    <w:uiPriority w:val="46"/>
    <w:rsid w:val="005745B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745B7"/>
    <w:rPr>
      <w:rFonts w:ascii="Times New Roman" w:eastAsia="Times New Roman" w:hAnsi="Times New Roman" w:cs="Times New Roman"/>
      <w:sz w:val="20"/>
      <w:szCs w:val="20"/>
      <w:lang w:eastAsia="es-ES"/>
    </w:rPr>
  </w:style>
  <w:style w:type="table" w:customStyle="1" w:styleId="Tabladecuadrcula1clara-nfasis11">
    <w:name w:val="Tabla de cuadrícula 1 clara - Énfasis 11"/>
    <w:basedOn w:val="Tablanormal"/>
    <w:uiPriority w:val="46"/>
    <w:rsid w:val="005745B7"/>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Estiloimportado21">
    <w:name w:val="Estilo importado 21"/>
    <w:rsid w:val="005745B7"/>
  </w:style>
  <w:style w:type="numbering" w:customStyle="1" w:styleId="Estiloimportado11">
    <w:name w:val="Estilo importado 11"/>
    <w:rsid w:val="005745B7"/>
  </w:style>
  <w:style w:type="table" w:customStyle="1" w:styleId="Tablaconcuadrcula14">
    <w:name w:val="Tabla con cuadrícula1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5745B7"/>
  </w:style>
  <w:style w:type="table" w:customStyle="1" w:styleId="Tablaconcuadrcula22">
    <w:name w:val="Tabla con cuadrícula2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745B7"/>
  </w:style>
  <w:style w:type="table" w:customStyle="1" w:styleId="Tablaconcuadrcula112">
    <w:name w:val="Tabla con cuadrícula11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5745B7"/>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5745B7"/>
    <w:rPr>
      <w:rFonts w:ascii="Times New Roman" w:eastAsia="Times New Roman" w:hAnsi="Times New Roman" w:cs="Times New Roman"/>
      <w:sz w:val="16"/>
      <w:szCs w:val="16"/>
      <w:lang w:eastAsia="es-ES"/>
    </w:rPr>
  </w:style>
  <w:style w:type="paragraph" w:customStyle="1" w:styleId="xmsonormal">
    <w:name w:val="x_msonormal"/>
    <w:basedOn w:val="Normal"/>
    <w:rsid w:val="005745B7"/>
    <w:pPr>
      <w:spacing w:before="100" w:beforeAutospacing="1" w:after="100" w:afterAutospacing="1"/>
    </w:pPr>
    <w:rPr>
      <w:lang w:val="es-MX" w:eastAsia="es-MX"/>
    </w:rPr>
  </w:style>
  <w:style w:type="numbering" w:customStyle="1" w:styleId="Sinlista21">
    <w:name w:val="Sin lista21"/>
    <w:next w:val="Sinlista"/>
    <w:uiPriority w:val="99"/>
    <w:semiHidden/>
    <w:unhideWhenUsed/>
    <w:rsid w:val="005745B7"/>
  </w:style>
  <w:style w:type="numbering" w:customStyle="1" w:styleId="Sinlista31">
    <w:name w:val="Sin lista31"/>
    <w:next w:val="Sinlista"/>
    <w:uiPriority w:val="99"/>
    <w:semiHidden/>
    <w:unhideWhenUsed/>
    <w:rsid w:val="005745B7"/>
  </w:style>
  <w:style w:type="table" w:customStyle="1" w:styleId="Tablaconcuadrcula31">
    <w:name w:val="Tabla con cuadrícula3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745B7"/>
  </w:style>
  <w:style w:type="table" w:customStyle="1" w:styleId="Tablaconcuadrcula41">
    <w:name w:val="Tabla con cuadrícula4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5745B7"/>
  </w:style>
  <w:style w:type="table" w:customStyle="1" w:styleId="Tablaconcuadrcula51">
    <w:name w:val="Tabla con cuadrícula5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745B7"/>
  </w:style>
  <w:style w:type="table" w:customStyle="1" w:styleId="Tablaconcuadrcula211">
    <w:name w:val="Tabla con cuadrícula2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5745B7"/>
  </w:style>
  <w:style w:type="table" w:customStyle="1" w:styleId="Tablaconcuadrcula1111">
    <w:name w:val="Tabla con cuadrícula11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5745B7"/>
  </w:style>
  <w:style w:type="numbering" w:customStyle="1" w:styleId="Sinlista311">
    <w:name w:val="Sin lista311"/>
    <w:next w:val="Sinlista"/>
    <w:uiPriority w:val="99"/>
    <w:semiHidden/>
    <w:unhideWhenUsed/>
    <w:rsid w:val="005745B7"/>
  </w:style>
  <w:style w:type="numbering" w:customStyle="1" w:styleId="Sinlista411">
    <w:name w:val="Sin lista411"/>
    <w:next w:val="Sinlista"/>
    <w:uiPriority w:val="99"/>
    <w:semiHidden/>
    <w:unhideWhenUsed/>
    <w:rsid w:val="005745B7"/>
  </w:style>
  <w:style w:type="table" w:customStyle="1" w:styleId="Tablaconcuadrcula1121">
    <w:name w:val="Tabla con cuadrícula1121"/>
    <w:basedOn w:val="Tablanormal"/>
    <w:next w:val="Tablaconcuadrcula"/>
    <w:uiPriority w:val="39"/>
    <w:rsid w:val="005745B7"/>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5745B7"/>
  </w:style>
  <w:style w:type="numbering" w:customStyle="1" w:styleId="Estiloimportado111">
    <w:name w:val="Estilo importado 111"/>
    <w:rsid w:val="005745B7"/>
  </w:style>
  <w:style w:type="numbering" w:customStyle="1" w:styleId="Sinlista11111">
    <w:name w:val="Sin lista11111"/>
    <w:next w:val="Sinlista"/>
    <w:uiPriority w:val="99"/>
    <w:semiHidden/>
    <w:unhideWhenUsed/>
    <w:rsid w:val="005745B7"/>
  </w:style>
  <w:style w:type="numbering" w:customStyle="1" w:styleId="Sinlista6">
    <w:name w:val="Sin lista6"/>
    <w:next w:val="Sinlista"/>
    <w:uiPriority w:val="99"/>
    <w:semiHidden/>
    <w:unhideWhenUsed/>
    <w:rsid w:val="005745B7"/>
  </w:style>
  <w:style w:type="table" w:customStyle="1" w:styleId="Tablaconcuadrcula6">
    <w:name w:val="Tabla con cuadrícula6"/>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745B7"/>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745B7"/>
  </w:style>
  <w:style w:type="table" w:customStyle="1" w:styleId="Tablaconcuadrcula7">
    <w:name w:val="Tabla con cuadrícula7"/>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5745B7"/>
  </w:style>
  <w:style w:type="table" w:customStyle="1" w:styleId="Tablaconcuadrcula131">
    <w:name w:val="Tabla con cuadrícula131"/>
    <w:basedOn w:val="Tablanormal"/>
    <w:next w:val="Tablaconcuadrcula"/>
    <w:uiPriority w:val="5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745B7"/>
  </w:style>
  <w:style w:type="numbering" w:customStyle="1" w:styleId="Sinlista32">
    <w:name w:val="Sin lista32"/>
    <w:next w:val="Sinlista"/>
    <w:uiPriority w:val="99"/>
    <w:semiHidden/>
    <w:unhideWhenUsed/>
    <w:rsid w:val="005745B7"/>
  </w:style>
  <w:style w:type="table" w:customStyle="1" w:styleId="Tablaconcuadrcula32">
    <w:name w:val="Tabla con cuadrícula3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745B7"/>
  </w:style>
  <w:style w:type="table" w:customStyle="1" w:styleId="Tablaconcuadrcula42">
    <w:name w:val="Tabla con cuadrícula4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745B7"/>
  </w:style>
  <w:style w:type="table" w:customStyle="1" w:styleId="Tablaconcuadrcula114">
    <w:name w:val="Tabla con cuadrícula11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745B7"/>
  </w:style>
  <w:style w:type="table" w:customStyle="1" w:styleId="Tablaconcuadrcula61">
    <w:name w:val="Tabla con cuadrícula6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745B7"/>
  </w:style>
  <w:style w:type="numbering" w:customStyle="1" w:styleId="Estiloimportado12">
    <w:name w:val="Estilo importado 12"/>
    <w:rsid w:val="005745B7"/>
  </w:style>
  <w:style w:type="numbering" w:customStyle="1" w:styleId="Sinlista112">
    <w:name w:val="Sin lista112"/>
    <w:next w:val="Sinlista"/>
    <w:uiPriority w:val="99"/>
    <w:semiHidden/>
    <w:unhideWhenUsed/>
    <w:rsid w:val="005745B7"/>
  </w:style>
  <w:style w:type="numbering" w:customStyle="1" w:styleId="Sinlista1112">
    <w:name w:val="Sin lista1112"/>
    <w:next w:val="Sinlista"/>
    <w:uiPriority w:val="99"/>
    <w:semiHidden/>
    <w:unhideWhenUsed/>
    <w:rsid w:val="005745B7"/>
  </w:style>
  <w:style w:type="numbering" w:customStyle="1" w:styleId="Sinlista2111">
    <w:name w:val="Sin lista2111"/>
    <w:next w:val="Sinlista"/>
    <w:uiPriority w:val="99"/>
    <w:semiHidden/>
    <w:unhideWhenUsed/>
    <w:rsid w:val="005745B7"/>
  </w:style>
  <w:style w:type="numbering" w:customStyle="1" w:styleId="Sinlista3111">
    <w:name w:val="Sin lista3111"/>
    <w:next w:val="Sinlista"/>
    <w:uiPriority w:val="99"/>
    <w:semiHidden/>
    <w:unhideWhenUsed/>
    <w:rsid w:val="005745B7"/>
  </w:style>
  <w:style w:type="table" w:customStyle="1" w:styleId="Tablaconcuadrcula311">
    <w:name w:val="Tabla con cuadrícula3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5745B7"/>
  </w:style>
  <w:style w:type="table" w:customStyle="1" w:styleId="Tablaconcuadrcula411">
    <w:name w:val="Tabla con cuadrícula4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5745B7"/>
  </w:style>
  <w:style w:type="numbering" w:customStyle="1" w:styleId="Sinlista121">
    <w:name w:val="Sin lista121"/>
    <w:next w:val="Sinlista"/>
    <w:uiPriority w:val="99"/>
    <w:semiHidden/>
    <w:unhideWhenUsed/>
    <w:rsid w:val="005745B7"/>
  </w:style>
  <w:style w:type="numbering" w:customStyle="1" w:styleId="Sinlista111111">
    <w:name w:val="Sin lista111111"/>
    <w:next w:val="Sinlista"/>
    <w:uiPriority w:val="99"/>
    <w:semiHidden/>
    <w:unhideWhenUsed/>
    <w:rsid w:val="005745B7"/>
  </w:style>
  <w:style w:type="numbering" w:customStyle="1" w:styleId="Sinlista21111">
    <w:name w:val="Sin lista21111"/>
    <w:next w:val="Sinlista"/>
    <w:uiPriority w:val="99"/>
    <w:semiHidden/>
    <w:unhideWhenUsed/>
    <w:rsid w:val="005745B7"/>
  </w:style>
  <w:style w:type="numbering" w:customStyle="1" w:styleId="Sinlista31111">
    <w:name w:val="Sin lista31111"/>
    <w:next w:val="Sinlista"/>
    <w:uiPriority w:val="99"/>
    <w:semiHidden/>
    <w:unhideWhenUsed/>
    <w:rsid w:val="005745B7"/>
  </w:style>
  <w:style w:type="numbering" w:customStyle="1" w:styleId="Sinlista41111">
    <w:name w:val="Sin lista41111"/>
    <w:next w:val="Sinlista"/>
    <w:uiPriority w:val="99"/>
    <w:semiHidden/>
    <w:unhideWhenUsed/>
    <w:rsid w:val="005745B7"/>
  </w:style>
  <w:style w:type="numbering" w:customStyle="1" w:styleId="Sinlista71">
    <w:name w:val="Sin lista71"/>
    <w:next w:val="Sinlista"/>
    <w:uiPriority w:val="99"/>
    <w:semiHidden/>
    <w:unhideWhenUsed/>
    <w:rsid w:val="005745B7"/>
  </w:style>
  <w:style w:type="table" w:customStyle="1" w:styleId="Tablaconcuadrcula8">
    <w:name w:val="Tabla con cuadrícula8"/>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5745B7"/>
  </w:style>
  <w:style w:type="numbering" w:customStyle="1" w:styleId="Estiloimportado1111">
    <w:name w:val="Estilo importado 1111"/>
    <w:rsid w:val="005745B7"/>
  </w:style>
  <w:style w:type="numbering" w:customStyle="1" w:styleId="Sinlista131">
    <w:name w:val="Sin lista131"/>
    <w:next w:val="Sinlista"/>
    <w:uiPriority w:val="99"/>
    <w:semiHidden/>
    <w:unhideWhenUsed/>
    <w:rsid w:val="005745B7"/>
  </w:style>
  <w:style w:type="numbering" w:customStyle="1" w:styleId="Sinlista1121">
    <w:name w:val="Sin lista1121"/>
    <w:next w:val="Sinlista"/>
    <w:uiPriority w:val="99"/>
    <w:semiHidden/>
    <w:unhideWhenUsed/>
    <w:rsid w:val="005745B7"/>
  </w:style>
  <w:style w:type="table" w:customStyle="1" w:styleId="Tablaconcuadrcula11211">
    <w:name w:val="Tabla con cuadrícula112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745B7"/>
  </w:style>
  <w:style w:type="numbering" w:customStyle="1" w:styleId="Sinlista321">
    <w:name w:val="Sin lista321"/>
    <w:next w:val="Sinlista"/>
    <w:uiPriority w:val="99"/>
    <w:semiHidden/>
    <w:unhideWhenUsed/>
    <w:rsid w:val="005745B7"/>
  </w:style>
  <w:style w:type="numbering" w:customStyle="1" w:styleId="Sinlista421">
    <w:name w:val="Sin lista421"/>
    <w:next w:val="Sinlista"/>
    <w:uiPriority w:val="99"/>
    <w:semiHidden/>
    <w:unhideWhenUsed/>
    <w:rsid w:val="005745B7"/>
  </w:style>
  <w:style w:type="numbering" w:customStyle="1" w:styleId="Estiloimportado23">
    <w:name w:val="Estilo importado 23"/>
    <w:rsid w:val="005745B7"/>
  </w:style>
  <w:style w:type="numbering" w:customStyle="1" w:styleId="Estiloimportado13">
    <w:name w:val="Estilo importado 13"/>
    <w:rsid w:val="005745B7"/>
  </w:style>
  <w:style w:type="numbering" w:customStyle="1" w:styleId="Estiloimportado212">
    <w:name w:val="Estilo importado 212"/>
    <w:rsid w:val="005745B7"/>
  </w:style>
  <w:style w:type="numbering" w:customStyle="1" w:styleId="Estiloimportado112">
    <w:name w:val="Estilo importado 112"/>
    <w:rsid w:val="005745B7"/>
  </w:style>
  <w:style w:type="table" w:customStyle="1" w:styleId="Tablaconcuadrcula1122">
    <w:name w:val="Tabla con cuadrícula112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745B7"/>
  </w:style>
  <w:style w:type="table" w:customStyle="1" w:styleId="Tablaconcuadrcula9">
    <w:name w:val="Tabla con cuadrícula9"/>
    <w:basedOn w:val="Tablanormal"/>
    <w:next w:val="Tablaconcuadrcula"/>
    <w:uiPriority w:val="5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5745B7"/>
  </w:style>
  <w:style w:type="numbering" w:customStyle="1" w:styleId="Sinlista23">
    <w:name w:val="Sin lista23"/>
    <w:next w:val="Sinlista"/>
    <w:uiPriority w:val="99"/>
    <w:semiHidden/>
    <w:unhideWhenUsed/>
    <w:rsid w:val="005745B7"/>
  </w:style>
  <w:style w:type="table" w:customStyle="1" w:styleId="Tablaconcuadrcula23">
    <w:name w:val="Tabla con cuadrícula2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5745B7"/>
  </w:style>
  <w:style w:type="table" w:customStyle="1" w:styleId="Tablaconcuadrcula33">
    <w:name w:val="Tabla con cuadrícula3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745B7"/>
  </w:style>
  <w:style w:type="table" w:customStyle="1" w:styleId="Tablaconcuadrcula43">
    <w:name w:val="Tabla con cuadrícula4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5745B7"/>
  </w:style>
  <w:style w:type="table" w:customStyle="1" w:styleId="Tablaconcuadrcula52">
    <w:name w:val="Tabla con cuadrícula5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5745B7"/>
  </w:style>
  <w:style w:type="table" w:customStyle="1" w:styleId="Tablaconcuadrcula62">
    <w:name w:val="Tabla con cuadrícula6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5745B7"/>
  </w:style>
  <w:style w:type="numbering" w:customStyle="1" w:styleId="Estiloimportado14">
    <w:name w:val="Estilo importado 14"/>
    <w:rsid w:val="005745B7"/>
  </w:style>
  <w:style w:type="table" w:customStyle="1" w:styleId="Tablaconcuadrcula122">
    <w:name w:val="Tabla con cuadrícula122"/>
    <w:basedOn w:val="Tablanormal"/>
    <w:next w:val="Tablaconcuadrcula"/>
    <w:uiPriority w:val="5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745B7"/>
  </w:style>
  <w:style w:type="table" w:customStyle="1" w:styleId="Tablaconcuadrcula212">
    <w:name w:val="Tabla con cuadrícula21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5745B7"/>
  </w:style>
  <w:style w:type="table" w:customStyle="1" w:styleId="Tablaconcuadrcula1112">
    <w:name w:val="Tabla con cuadrícula111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5745B7"/>
  </w:style>
  <w:style w:type="numbering" w:customStyle="1" w:styleId="Sinlista312">
    <w:name w:val="Sin lista312"/>
    <w:next w:val="Sinlista"/>
    <w:uiPriority w:val="99"/>
    <w:semiHidden/>
    <w:unhideWhenUsed/>
    <w:rsid w:val="005745B7"/>
  </w:style>
  <w:style w:type="table" w:customStyle="1" w:styleId="Tablaconcuadrcula312">
    <w:name w:val="Tabla con cuadrícula31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745B7"/>
  </w:style>
  <w:style w:type="table" w:customStyle="1" w:styleId="Tablaconcuadrcula412">
    <w:name w:val="Tabla con cuadrícula41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5745B7"/>
  </w:style>
  <w:style w:type="table" w:customStyle="1" w:styleId="Tablaconcuadrcula511">
    <w:name w:val="Tabla con cuadrícula5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745B7"/>
  </w:style>
  <w:style w:type="numbering" w:customStyle="1" w:styleId="Sinlista11112">
    <w:name w:val="Sin lista11112"/>
    <w:next w:val="Sinlista"/>
    <w:uiPriority w:val="99"/>
    <w:semiHidden/>
    <w:unhideWhenUsed/>
    <w:rsid w:val="005745B7"/>
  </w:style>
  <w:style w:type="numbering" w:customStyle="1" w:styleId="Sinlista2112">
    <w:name w:val="Sin lista2112"/>
    <w:next w:val="Sinlista"/>
    <w:uiPriority w:val="99"/>
    <w:semiHidden/>
    <w:unhideWhenUsed/>
    <w:rsid w:val="005745B7"/>
  </w:style>
  <w:style w:type="numbering" w:customStyle="1" w:styleId="Sinlista3112">
    <w:name w:val="Sin lista3112"/>
    <w:next w:val="Sinlista"/>
    <w:uiPriority w:val="99"/>
    <w:semiHidden/>
    <w:unhideWhenUsed/>
    <w:rsid w:val="005745B7"/>
  </w:style>
  <w:style w:type="numbering" w:customStyle="1" w:styleId="Sinlista4112">
    <w:name w:val="Sin lista4112"/>
    <w:next w:val="Sinlista"/>
    <w:uiPriority w:val="99"/>
    <w:semiHidden/>
    <w:unhideWhenUsed/>
    <w:rsid w:val="005745B7"/>
  </w:style>
  <w:style w:type="numbering" w:customStyle="1" w:styleId="Sinlista72">
    <w:name w:val="Sin lista72"/>
    <w:next w:val="Sinlista"/>
    <w:uiPriority w:val="99"/>
    <w:semiHidden/>
    <w:unhideWhenUsed/>
    <w:rsid w:val="005745B7"/>
  </w:style>
  <w:style w:type="table" w:customStyle="1" w:styleId="Tablaconcuadrcula81">
    <w:name w:val="Tabla con cuadrícula8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5745B7"/>
  </w:style>
  <w:style w:type="numbering" w:customStyle="1" w:styleId="Estiloimportado113">
    <w:name w:val="Estilo importado 113"/>
    <w:rsid w:val="005745B7"/>
  </w:style>
  <w:style w:type="numbering" w:customStyle="1" w:styleId="Sinlista132">
    <w:name w:val="Sin lista132"/>
    <w:next w:val="Sinlista"/>
    <w:uiPriority w:val="99"/>
    <w:semiHidden/>
    <w:unhideWhenUsed/>
    <w:rsid w:val="005745B7"/>
  </w:style>
  <w:style w:type="table" w:customStyle="1" w:styleId="Tablaconcuadrcula221">
    <w:name w:val="Tabla con cuadrícula22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5745B7"/>
  </w:style>
  <w:style w:type="table" w:customStyle="1" w:styleId="Tablaconcuadrcula1123">
    <w:name w:val="Tabla con cuadrícula112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5745B7"/>
  </w:style>
  <w:style w:type="numbering" w:customStyle="1" w:styleId="Sinlista322">
    <w:name w:val="Sin lista322"/>
    <w:next w:val="Sinlista"/>
    <w:uiPriority w:val="99"/>
    <w:semiHidden/>
    <w:unhideWhenUsed/>
    <w:rsid w:val="005745B7"/>
  </w:style>
  <w:style w:type="table" w:customStyle="1" w:styleId="Tablaconcuadrcula321">
    <w:name w:val="Tabla con cuadrícula32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5745B7"/>
  </w:style>
  <w:style w:type="table" w:customStyle="1" w:styleId="Tablaconcuadrcula421">
    <w:name w:val="Tabla con cuadrícula42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745B7"/>
  </w:style>
  <w:style w:type="table" w:customStyle="1" w:styleId="Tablaconcuadrcula10">
    <w:name w:val="Tabla con cuadrícula10"/>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5745B7"/>
  </w:style>
  <w:style w:type="table" w:customStyle="1" w:styleId="Tablaconcuadrcula24">
    <w:name w:val="Tabla con cuadrícula2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5745B7"/>
  </w:style>
  <w:style w:type="table" w:customStyle="1" w:styleId="Tablaconcuadrcula116">
    <w:name w:val="Tabla con cuadrícula116"/>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5745B7"/>
  </w:style>
  <w:style w:type="numbering" w:customStyle="1" w:styleId="Sinlista34">
    <w:name w:val="Sin lista34"/>
    <w:next w:val="Sinlista"/>
    <w:uiPriority w:val="99"/>
    <w:semiHidden/>
    <w:unhideWhenUsed/>
    <w:rsid w:val="005745B7"/>
  </w:style>
  <w:style w:type="table" w:customStyle="1" w:styleId="Tablaconcuadrcula34">
    <w:name w:val="Tabla con cuadrícula3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5745B7"/>
  </w:style>
  <w:style w:type="table" w:customStyle="1" w:styleId="Tablaconcuadrcula44">
    <w:name w:val="Tabla con cuadrícula4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5745B7"/>
  </w:style>
  <w:style w:type="table" w:customStyle="1" w:styleId="Tablaconcuadrcula53">
    <w:name w:val="Tabla con cuadrícula5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745B7"/>
  </w:style>
  <w:style w:type="table" w:customStyle="1" w:styleId="Tablaconcuadrcula213">
    <w:name w:val="Tabla con cuadrícula21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5745B7"/>
  </w:style>
  <w:style w:type="table" w:customStyle="1" w:styleId="Tablaconcuadrcula1113">
    <w:name w:val="Tabla con cuadrícula111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5745B7"/>
  </w:style>
  <w:style w:type="numbering" w:customStyle="1" w:styleId="Sinlista313">
    <w:name w:val="Sin lista313"/>
    <w:next w:val="Sinlista"/>
    <w:uiPriority w:val="99"/>
    <w:semiHidden/>
    <w:unhideWhenUsed/>
    <w:rsid w:val="005745B7"/>
  </w:style>
  <w:style w:type="table" w:customStyle="1" w:styleId="Tablaconcuadrcula313">
    <w:name w:val="Tabla con cuadrícula31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5745B7"/>
  </w:style>
  <w:style w:type="table" w:customStyle="1" w:styleId="Tablaconcuadrcula413">
    <w:name w:val="Tabla con cuadrícula41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5745B7"/>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5745B7"/>
  </w:style>
  <w:style w:type="numbering" w:customStyle="1" w:styleId="Estiloimportado114">
    <w:name w:val="Estilo importado 114"/>
    <w:rsid w:val="005745B7"/>
  </w:style>
  <w:style w:type="numbering" w:customStyle="1" w:styleId="Sinlista11113">
    <w:name w:val="Sin lista11113"/>
    <w:next w:val="Sinlista"/>
    <w:uiPriority w:val="99"/>
    <w:semiHidden/>
    <w:unhideWhenUsed/>
    <w:rsid w:val="005745B7"/>
  </w:style>
  <w:style w:type="numbering" w:customStyle="1" w:styleId="Sinlista63">
    <w:name w:val="Sin lista63"/>
    <w:next w:val="Sinlista"/>
    <w:uiPriority w:val="99"/>
    <w:semiHidden/>
    <w:unhideWhenUsed/>
    <w:rsid w:val="005745B7"/>
  </w:style>
  <w:style w:type="table" w:customStyle="1" w:styleId="Tablaconcuadrcula63">
    <w:name w:val="Tabla con cuadrícula63"/>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5745B7"/>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5745B7"/>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5745B7"/>
  </w:style>
  <w:style w:type="table" w:customStyle="1" w:styleId="Tablaconcuadrcula16">
    <w:name w:val="Tabla con cuadrícula16"/>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5745B7"/>
  </w:style>
  <w:style w:type="numbering" w:customStyle="1" w:styleId="Estiloimportado15">
    <w:name w:val="Estilo importado 15"/>
    <w:rsid w:val="005745B7"/>
  </w:style>
  <w:style w:type="table" w:customStyle="1" w:styleId="Tablaconcuadrcula1114">
    <w:name w:val="Tabla con cuadrícula111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745B7"/>
  </w:style>
  <w:style w:type="table" w:customStyle="1" w:styleId="Tablaconcuadrcula17">
    <w:name w:val="Tabla con cuadrícula17"/>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5745B7"/>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5745B7"/>
  </w:style>
  <w:style w:type="numbering" w:customStyle="1" w:styleId="Sinlista25">
    <w:name w:val="Sin lista25"/>
    <w:next w:val="Sinlista"/>
    <w:uiPriority w:val="99"/>
    <w:semiHidden/>
    <w:unhideWhenUsed/>
    <w:rsid w:val="005745B7"/>
  </w:style>
  <w:style w:type="numbering" w:customStyle="1" w:styleId="Sinlista35">
    <w:name w:val="Sin lista35"/>
    <w:next w:val="Sinlista"/>
    <w:uiPriority w:val="99"/>
    <w:semiHidden/>
    <w:unhideWhenUsed/>
    <w:rsid w:val="005745B7"/>
  </w:style>
  <w:style w:type="table" w:customStyle="1" w:styleId="Tablaconcuadrcula35">
    <w:name w:val="Tabla con cuadrícula35"/>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5745B7"/>
  </w:style>
  <w:style w:type="table" w:customStyle="1" w:styleId="Tablaconcuadrcula45">
    <w:name w:val="Tabla con cuadrícula45"/>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5745B7"/>
  </w:style>
  <w:style w:type="table" w:customStyle="1" w:styleId="Tablaconcuadrcula54">
    <w:name w:val="Tabla con cuadrícula5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5745B7"/>
  </w:style>
  <w:style w:type="table" w:customStyle="1" w:styleId="Tablaconcuadrcula214">
    <w:name w:val="Tabla con cuadrícula21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5745B7"/>
  </w:style>
  <w:style w:type="numbering" w:customStyle="1" w:styleId="Sinlista214">
    <w:name w:val="Sin lista214"/>
    <w:next w:val="Sinlista"/>
    <w:uiPriority w:val="99"/>
    <w:semiHidden/>
    <w:unhideWhenUsed/>
    <w:rsid w:val="005745B7"/>
  </w:style>
  <w:style w:type="numbering" w:customStyle="1" w:styleId="Sinlista314">
    <w:name w:val="Sin lista314"/>
    <w:next w:val="Sinlista"/>
    <w:uiPriority w:val="99"/>
    <w:semiHidden/>
    <w:unhideWhenUsed/>
    <w:rsid w:val="005745B7"/>
  </w:style>
  <w:style w:type="table" w:customStyle="1" w:styleId="Tablaconcuadrcula314">
    <w:name w:val="Tabla con cuadrícula31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5745B7"/>
  </w:style>
  <w:style w:type="table" w:customStyle="1" w:styleId="Tablaconcuadrcula414">
    <w:name w:val="Tabla con cuadrícula41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5745B7"/>
  </w:style>
  <w:style w:type="numbering" w:customStyle="1" w:styleId="Estiloimportado115">
    <w:name w:val="Estilo importado 115"/>
    <w:rsid w:val="005745B7"/>
  </w:style>
  <w:style w:type="numbering" w:customStyle="1" w:styleId="Sinlista64">
    <w:name w:val="Sin lista64"/>
    <w:next w:val="Sinlista"/>
    <w:uiPriority w:val="99"/>
    <w:semiHidden/>
    <w:unhideWhenUsed/>
    <w:rsid w:val="005745B7"/>
  </w:style>
  <w:style w:type="table" w:customStyle="1" w:styleId="Tablaconcuadrcula64">
    <w:name w:val="Tabla con cuadrícula64"/>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5745B7"/>
  </w:style>
  <w:style w:type="table" w:customStyle="1" w:styleId="Tablaconcuadrcula72">
    <w:name w:val="Tabla con cuadrícula7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5745B7"/>
  </w:style>
  <w:style w:type="numbering" w:customStyle="1" w:styleId="Estiloimportado121">
    <w:name w:val="Estilo importado 121"/>
    <w:rsid w:val="005745B7"/>
  </w:style>
  <w:style w:type="table" w:customStyle="1" w:styleId="Tablaconcuadrcula11121">
    <w:name w:val="Tabla con cuadrícula1112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5745B7"/>
  </w:style>
  <w:style w:type="table" w:customStyle="1" w:styleId="Tablaconcuadrcula132">
    <w:name w:val="Tabla con cuadrícula13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5745B7"/>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5745B7"/>
  </w:style>
  <w:style w:type="numbering" w:customStyle="1" w:styleId="Sinlista223">
    <w:name w:val="Sin lista223"/>
    <w:next w:val="Sinlista"/>
    <w:uiPriority w:val="99"/>
    <w:semiHidden/>
    <w:unhideWhenUsed/>
    <w:rsid w:val="005745B7"/>
  </w:style>
  <w:style w:type="numbering" w:customStyle="1" w:styleId="Sinlista323">
    <w:name w:val="Sin lista323"/>
    <w:next w:val="Sinlista"/>
    <w:uiPriority w:val="99"/>
    <w:semiHidden/>
    <w:unhideWhenUsed/>
    <w:rsid w:val="005745B7"/>
  </w:style>
  <w:style w:type="table" w:customStyle="1" w:styleId="Tablaconcuadrcula322">
    <w:name w:val="Tabla con cuadrícula32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5745B7"/>
  </w:style>
  <w:style w:type="table" w:customStyle="1" w:styleId="Tablaconcuadrcula422">
    <w:name w:val="Tabla con cuadrícula42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5745B7"/>
  </w:style>
  <w:style w:type="table" w:customStyle="1" w:styleId="Tablaconcuadrcula512">
    <w:name w:val="Tabla con cuadrícula51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5745B7"/>
  </w:style>
  <w:style w:type="table" w:customStyle="1" w:styleId="Tablaconcuadrcula2111">
    <w:name w:val="Tabla con cuadrícula21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5745B7"/>
  </w:style>
  <w:style w:type="numbering" w:customStyle="1" w:styleId="Sinlista2113">
    <w:name w:val="Sin lista2113"/>
    <w:next w:val="Sinlista"/>
    <w:uiPriority w:val="99"/>
    <w:semiHidden/>
    <w:unhideWhenUsed/>
    <w:rsid w:val="005745B7"/>
  </w:style>
  <w:style w:type="numbering" w:customStyle="1" w:styleId="Sinlista3113">
    <w:name w:val="Sin lista3113"/>
    <w:next w:val="Sinlista"/>
    <w:uiPriority w:val="99"/>
    <w:semiHidden/>
    <w:unhideWhenUsed/>
    <w:rsid w:val="005745B7"/>
  </w:style>
  <w:style w:type="table" w:customStyle="1" w:styleId="Tablaconcuadrcula3111">
    <w:name w:val="Tabla con cuadrícula31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5745B7"/>
  </w:style>
  <w:style w:type="table" w:customStyle="1" w:styleId="Tablaconcuadrcula4111">
    <w:name w:val="Tabla con cuadrícula41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5745B7"/>
  </w:style>
  <w:style w:type="numbering" w:customStyle="1" w:styleId="Estiloimportado11111">
    <w:name w:val="Estilo importado 11111"/>
    <w:rsid w:val="005745B7"/>
  </w:style>
  <w:style w:type="numbering" w:customStyle="1" w:styleId="Sinlista611">
    <w:name w:val="Sin lista611"/>
    <w:next w:val="Sinlista"/>
    <w:uiPriority w:val="99"/>
    <w:semiHidden/>
    <w:unhideWhenUsed/>
    <w:rsid w:val="005745B7"/>
  </w:style>
  <w:style w:type="table" w:customStyle="1" w:styleId="Tablaconcuadrcula611">
    <w:name w:val="Tabla con cuadrícula6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57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5745B7"/>
  </w:style>
  <w:style w:type="numbering" w:customStyle="1" w:styleId="Estiloimportado131">
    <w:name w:val="Estilo importado 131"/>
    <w:rsid w:val="005745B7"/>
  </w:style>
  <w:style w:type="table" w:customStyle="1" w:styleId="Tablaconcuadrcula11221">
    <w:name w:val="Tabla con cuadrícula11221"/>
    <w:basedOn w:val="Tablanormal"/>
    <w:next w:val="Tablaconcuadrcula"/>
    <w:uiPriority w:val="39"/>
    <w:rsid w:val="005745B7"/>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745B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745B7"/>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7">
    <w:name w:val="Sin lista17"/>
    <w:next w:val="Sinlista"/>
    <w:uiPriority w:val="99"/>
    <w:semiHidden/>
    <w:unhideWhenUsed/>
    <w:rsid w:val="00B00625"/>
  </w:style>
  <w:style w:type="table" w:customStyle="1" w:styleId="Tablaconcuadrcula19">
    <w:name w:val="Tabla con cuadrícula19"/>
    <w:basedOn w:val="Tablanormal"/>
    <w:next w:val="Tablaconcuadrcula"/>
    <w:uiPriority w:val="59"/>
    <w:rsid w:val="00B00625"/>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B00625"/>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5">
    <w:name w:val="Tabla de lista 1 clara - Énfasis 1115"/>
    <w:basedOn w:val="Tablanormal"/>
    <w:next w:val="Tabladelista1clara-nfasis1"/>
    <w:uiPriority w:val="46"/>
    <w:rsid w:val="00B00625"/>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5">
    <w:name w:val="Tabla de lista 1 clara - Énfasis 15"/>
    <w:basedOn w:val="Tablanormal"/>
    <w:next w:val="Tabladelista1clara-nfasis1"/>
    <w:uiPriority w:val="46"/>
    <w:rsid w:val="00B00625"/>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4">
    <w:name w:val="Tabla de lista 1 clara - Énfasis 11114"/>
    <w:basedOn w:val="Tablanormal"/>
    <w:next w:val="Tabladelista1clara-nfasis1"/>
    <w:uiPriority w:val="46"/>
    <w:rsid w:val="00B00625"/>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21">
    <w:name w:val="Tabla de lista 1 clara - Énfasis 11121"/>
    <w:basedOn w:val="Tablanormal"/>
    <w:next w:val="Tabladelista1clara-nfasis1"/>
    <w:uiPriority w:val="46"/>
    <w:rsid w:val="00B00625"/>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basedOn w:val="Fuentedeprrafopredeter"/>
    <w:uiPriority w:val="99"/>
    <w:semiHidden/>
    <w:unhideWhenUsed/>
    <w:rsid w:val="00DE72AA"/>
    <w:rPr>
      <w:color w:val="605E5C"/>
      <w:shd w:val="clear" w:color="auto" w:fill="E1DFDD"/>
    </w:rPr>
  </w:style>
  <w:style w:type="character" w:customStyle="1" w:styleId="Hipervnculo1">
    <w:name w:val="Hipervínculo1"/>
    <w:basedOn w:val="Fuentedeprrafopredeter"/>
    <w:uiPriority w:val="99"/>
    <w:unhideWhenUsed/>
    <w:rsid w:val="00FD0E69"/>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revision/acuse/582876/0/1.page" TargetMode="External"/><Relationship Id="rId13" Type="http://schemas.openxmlformats.org/officeDocument/2006/relationships/hyperlink" Target="https://saimex.org.mx/saimex/solicitud/downloadAttach/2139422.pag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2129906.page"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revision/acuse/582876/0/1.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2139978.page" TargetMode="External"/><Relationship Id="rId23" Type="http://schemas.openxmlformats.org/officeDocument/2006/relationships/header" Target="header3.xml"/><Relationship Id="rId10" Type="http://schemas.openxmlformats.org/officeDocument/2006/relationships/hyperlink" Target="https://saimex.org.mx/saimex/upload/2024/6/2b0a6c3c2f5a29a0f4fa24e511f27f64.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saimex.org.mx/saimex/revision/acuse/582876/0/1.page"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saimex.org.mx/saimex/revision/acuse/582876/0/1.page" TargetMode="External"/><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rVTaFSCt5kiuFRCKawMgggKyIA==">CgMxLjAyCWguM2R5NnZrbTIJaC4zem55c2g3MghoLmdqZGd4czIJaC4xZm9iOXRlMgloLjMwajB6bGwyCWguMWZvYjl0ZTgAciExbE5BSG9aVHIxY3RLaEpNTVpwNXJRYzVvc2hMR0FvcHI=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16266</Words>
  <Characters>89465</Characters>
  <Application>Microsoft Office Word</Application>
  <DocSecurity>0</DocSecurity>
  <Lines>745</Lines>
  <Paragraphs>211</Paragraphs>
  <ScaleCrop>false</ScaleCrop>
  <Company>HP Inc.</Company>
  <LinksUpToDate>false</LinksUpToDate>
  <CharactersWithSpaces>105520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2024-09-13T17:50:00Z</cp:lastPrinted>
  <dcterms:created xsi:type="dcterms:W3CDTF">2024-09-23T19:19:00Z</dcterms:created>
  <dcterms:modified xsi:type="dcterms:W3CDTF">2024-09-23T19:19:00Z</dcterms:modified>
</cp:coreProperties>
</file>