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10C" w:rsidRDefault="00EB010C">
      <w:pPr>
        <w:widowControl w:val="0"/>
        <w:pBdr>
          <w:top w:val="nil"/>
          <w:left w:val="nil"/>
          <w:bottom w:val="nil"/>
          <w:right w:val="nil"/>
          <w:between w:val="nil"/>
        </w:pBdr>
        <w:spacing w:after="0" w:line="276" w:lineRule="auto"/>
        <w:jc w:val="left"/>
      </w:pPr>
    </w:p>
    <w:p w:rsidR="00EB010C" w:rsidRPr="0030613D" w:rsidRDefault="006A2F9C">
      <w:pPr>
        <w:tabs>
          <w:tab w:val="left" w:pos="8931"/>
        </w:tabs>
        <w:spacing w:after="0" w:line="360" w:lineRule="auto"/>
      </w:pPr>
      <w:r w:rsidRPr="0030613D">
        <w:t xml:space="preserve">Resolución del Pleno del Instituto de Transparencia, Acceso a la Información Pública y Protección de Datos Personales del Estado de México y Municipios, con domicilio en Metepec, Estado de México, de fecha nueve de mayo de dos mil veinticuatro. </w:t>
      </w:r>
    </w:p>
    <w:p w:rsidR="00EB010C" w:rsidRPr="0030613D" w:rsidRDefault="00EB010C">
      <w:pPr>
        <w:spacing w:after="0" w:line="360" w:lineRule="auto"/>
        <w:rPr>
          <w:b/>
        </w:rPr>
      </w:pPr>
    </w:p>
    <w:p w:rsidR="00EB010C" w:rsidRPr="0030613D" w:rsidRDefault="006A2F9C">
      <w:pPr>
        <w:spacing w:after="0" w:line="360" w:lineRule="auto"/>
        <w:rPr>
          <w:color w:val="0D0D0D"/>
        </w:rPr>
      </w:pPr>
      <w:r w:rsidRPr="0030613D">
        <w:rPr>
          <w:b/>
        </w:rPr>
        <w:t xml:space="preserve">VISTO </w:t>
      </w:r>
      <w:r w:rsidRPr="0030613D">
        <w:t xml:space="preserve">el expediente electrónico conformado con motivo del Recurso de Revisión </w:t>
      </w:r>
      <w:r w:rsidRPr="00135E7A">
        <w:rPr>
          <w:b/>
        </w:rPr>
        <w:t>01866/INFOEM/IP/RR/2024</w:t>
      </w:r>
      <w:r w:rsidRPr="0030613D">
        <w:t>, interpuesto por la persona Recurrente o Particular,</w:t>
      </w:r>
      <w:r w:rsidRPr="0030613D">
        <w:rPr>
          <w:color w:val="0D0D0D"/>
        </w:rPr>
        <w:t xml:space="preserve"> en contra de la respuesta del Sujeto Obligado, </w:t>
      </w:r>
      <w:r w:rsidRPr="00135E7A">
        <w:rPr>
          <w:b/>
        </w:rPr>
        <w:t>Ayuntamiento de Zinacantepec</w:t>
      </w:r>
      <w:r w:rsidRPr="0030613D">
        <w:rPr>
          <w:color w:val="0D0D0D"/>
        </w:rPr>
        <w:t>, a la solicitud de acceso a la información pública 00092/ZINACANT/IP/2024</w:t>
      </w:r>
      <w:r w:rsidRPr="0030613D">
        <w:rPr>
          <w:color w:val="000000"/>
        </w:rPr>
        <w:t xml:space="preserve">, </w:t>
      </w:r>
      <w:r w:rsidRPr="0030613D">
        <w:rPr>
          <w:color w:val="0D0D0D"/>
        </w:rPr>
        <w:t>se emite la presente Resolución, con base en los Antecedentes y Considerandos que se exponen a continuación:</w:t>
      </w:r>
    </w:p>
    <w:p w:rsidR="00EB010C" w:rsidRPr="0030613D" w:rsidRDefault="00EB010C">
      <w:pPr>
        <w:spacing w:after="0" w:line="360" w:lineRule="auto"/>
        <w:rPr>
          <w:b/>
        </w:rPr>
      </w:pPr>
    </w:p>
    <w:p w:rsidR="00EB010C" w:rsidRPr="0030613D" w:rsidRDefault="006A2F9C">
      <w:pPr>
        <w:spacing w:after="0" w:line="360" w:lineRule="auto"/>
        <w:jc w:val="center"/>
        <w:rPr>
          <w:b/>
        </w:rPr>
      </w:pPr>
      <w:r w:rsidRPr="0030613D">
        <w:rPr>
          <w:b/>
        </w:rPr>
        <w:t>A N T E C E D E N T E S</w:t>
      </w:r>
    </w:p>
    <w:p w:rsidR="00EB010C" w:rsidRPr="0030613D" w:rsidRDefault="00EB010C">
      <w:pPr>
        <w:spacing w:after="0" w:line="360" w:lineRule="auto"/>
        <w:jc w:val="center"/>
        <w:rPr>
          <w:b/>
        </w:rPr>
      </w:pPr>
    </w:p>
    <w:p w:rsidR="00EB010C" w:rsidRPr="0030613D" w:rsidRDefault="006A2F9C">
      <w:pPr>
        <w:tabs>
          <w:tab w:val="left" w:pos="567"/>
        </w:tabs>
        <w:spacing w:after="0" w:line="360" w:lineRule="auto"/>
        <w:rPr>
          <w:b/>
        </w:rPr>
      </w:pPr>
      <w:r w:rsidRPr="0030613D">
        <w:rPr>
          <w:b/>
        </w:rPr>
        <w:t>I. Presentación de la solicitud de información</w:t>
      </w:r>
    </w:p>
    <w:p w:rsidR="00EB010C" w:rsidRPr="0030613D" w:rsidRDefault="00EB010C">
      <w:pPr>
        <w:tabs>
          <w:tab w:val="left" w:pos="567"/>
        </w:tabs>
        <w:spacing w:after="0" w:line="360" w:lineRule="auto"/>
      </w:pPr>
    </w:p>
    <w:p w:rsidR="00EB010C" w:rsidRPr="0030613D" w:rsidRDefault="006A2F9C">
      <w:pPr>
        <w:spacing w:after="0" w:line="360" w:lineRule="auto"/>
      </w:pPr>
      <w:r w:rsidRPr="0030613D">
        <w:t xml:space="preserve">Con fecha cinco de marzo de dos mil veinticuatro, la persona Solicitante presentó un </w:t>
      </w:r>
      <w:proofErr w:type="spellStart"/>
      <w:r w:rsidRPr="0030613D">
        <w:t>requirimiento</w:t>
      </w:r>
      <w:proofErr w:type="spellEnd"/>
      <w:r w:rsidRPr="0030613D">
        <w:t xml:space="preserve"> de acceso a la información pública, a través del Sistema de Acceso a la Información Mexiquense (SAIMEX), ante el Ayuntamiento de Zinacantepec, en los siguientes </w:t>
      </w:r>
      <w:proofErr w:type="gramStart"/>
      <w:r w:rsidRPr="0030613D">
        <w:t>términos</w:t>
      </w:r>
      <w:proofErr w:type="gramEnd"/>
      <w:r w:rsidRPr="0030613D">
        <w:t xml:space="preserve">: </w:t>
      </w:r>
    </w:p>
    <w:p w:rsidR="00EB010C" w:rsidRPr="0030613D" w:rsidRDefault="00EB010C">
      <w:pPr>
        <w:spacing w:after="0" w:line="360" w:lineRule="auto"/>
      </w:pPr>
    </w:p>
    <w:p w:rsidR="00EB010C" w:rsidRPr="0030613D" w:rsidRDefault="006A2F9C">
      <w:pPr>
        <w:tabs>
          <w:tab w:val="left" w:pos="4667"/>
        </w:tabs>
        <w:spacing w:after="0" w:line="360" w:lineRule="auto"/>
        <w:ind w:left="567" w:right="567"/>
        <w:rPr>
          <w:b/>
          <w:i/>
          <w:sz w:val="20"/>
          <w:szCs w:val="20"/>
        </w:rPr>
      </w:pPr>
      <w:r w:rsidRPr="0030613D">
        <w:rPr>
          <w:b/>
          <w:i/>
          <w:sz w:val="20"/>
          <w:szCs w:val="20"/>
        </w:rPr>
        <w:t>“DESCRIPCIÓN CLARA Y PRECISA DE LA INFORMACIÓN SOLICITADA.</w:t>
      </w:r>
    </w:p>
    <w:p w:rsidR="00EB010C" w:rsidRPr="0030613D" w:rsidRDefault="006A2F9C">
      <w:pPr>
        <w:tabs>
          <w:tab w:val="left" w:pos="4667"/>
        </w:tabs>
        <w:spacing w:after="0" w:line="360" w:lineRule="auto"/>
        <w:ind w:left="567" w:right="567"/>
        <w:rPr>
          <w:i/>
          <w:sz w:val="20"/>
          <w:szCs w:val="20"/>
        </w:rPr>
      </w:pPr>
      <w:r w:rsidRPr="0030613D">
        <w:rPr>
          <w:i/>
          <w:sz w:val="18"/>
          <w:szCs w:val="18"/>
        </w:rPr>
        <w:t xml:space="preserve">SOLICITO TODOS LOS COMPROBANTES DE PAGO A ACTORES DE JUICIOS LABORALES DURANTE LA PRESENTE ADMINISTRACIÓN 2022-2024 </w:t>
      </w:r>
      <w:r w:rsidRPr="0030613D">
        <w:rPr>
          <w:i/>
          <w:sz w:val="16"/>
          <w:szCs w:val="16"/>
        </w:rPr>
        <w:t>“(</w:t>
      </w:r>
      <w:r w:rsidRPr="0030613D">
        <w:rPr>
          <w:i/>
          <w:sz w:val="20"/>
          <w:szCs w:val="20"/>
        </w:rPr>
        <w:t xml:space="preserve">Sic) </w:t>
      </w:r>
    </w:p>
    <w:p w:rsidR="00EB010C" w:rsidRPr="0030613D" w:rsidRDefault="00EB010C">
      <w:pPr>
        <w:tabs>
          <w:tab w:val="left" w:pos="4667"/>
        </w:tabs>
        <w:spacing w:after="0" w:line="360" w:lineRule="auto"/>
        <w:ind w:left="567" w:right="567"/>
        <w:rPr>
          <w:b/>
          <w:i/>
          <w:sz w:val="20"/>
          <w:szCs w:val="20"/>
        </w:rPr>
      </w:pPr>
    </w:p>
    <w:p w:rsidR="00EB010C" w:rsidRPr="0030613D" w:rsidRDefault="006A2F9C">
      <w:pPr>
        <w:tabs>
          <w:tab w:val="left" w:pos="4667"/>
        </w:tabs>
        <w:spacing w:after="0" w:line="360" w:lineRule="auto"/>
        <w:ind w:left="567" w:right="567"/>
        <w:rPr>
          <w:b/>
          <w:i/>
          <w:sz w:val="20"/>
          <w:szCs w:val="20"/>
        </w:rPr>
      </w:pPr>
      <w:r w:rsidRPr="0030613D">
        <w:rPr>
          <w:b/>
          <w:i/>
          <w:sz w:val="20"/>
          <w:szCs w:val="20"/>
        </w:rPr>
        <w:t>“MODALIDAD DE ENTREGA</w:t>
      </w:r>
    </w:p>
    <w:p w:rsidR="00EB010C" w:rsidRPr="0030613D" w:rsidRDefault="006A2F9C">
      <w:pPr>
        <w:spacing w:after="0" w:line="360" w:lineRule="auto"/>
        <w:ind w:left="567" w:right="567"/>
        <w:rPr>
          <w:i/>
          <w:sz w:val="20"/>
          <w:szCs w:val="20"/>
        </w:rPr>
      </w:pPr>
      <w:r w:rsidRPr="0030613D">
        <w:rPr>
          <w:i/>
          <w:sz w:val="20"/>
          <w:szCs w:val="20"/>
        </w:rPr>
        <w:t>A través del SAIMEX”</w:t>
      </w:r>
    </w:p>
    <w:p w:rsidR="00EB010C" w:rsidRPr="0030613D" w:rsidRDefault="00EB010C">
      <w:pPr>
        <w:spacing w:after="0" w:line="360" w:lineRule="auto"/>
        <w:ind w:left="567" w:right="567"/>
        <w:rPr>
          <w:i/>
          <w:sz w:val="20"/>
          <w:szCs w:val="20"/>
        </w:rPr>
      </w:pPr>
    </w:p>
    <w:p w:rsidR="00EB010C" w:rsidRPr="0030613D" w:rsidRDefault="006A2F9C">
      <w:pPr>
        <w:tabs>
          <w:tab w:val="left" w:pos="4667"/>
        </w:tabs>
        <w:spacing w:after="0" w:line="360" w:lineRule="auto"/>
        <w:ind w:right="567"/>
        <w:rPr>
          <w:b/>
        </w:rPr>
      </w:pPr>
      <w:r w:rsidRPr="0030613D">
        <w:rPr>
          <w:b/>
        </w:rPr>
        <w:t xml:space="preserve">II. Prórroga para atender su solicitud de información. </w:t>
      </w:r>
    </w:p>
    <w:p w:rsidR="00EB010C" w:rsidRPr="0030613D" w:rsidRDefault="00EB010C">
      <w:pPr>
        <w:tabs>
          <w:tab w:val="left" w:pos="4667"/>
        </w:tabs>
        <w:spacing w:after="0" w:line="360" w:lineRule="auto"/>
        <w:ind w:right="567"/>
        <w:rPr>
          <w:b/>
        </w:rPr>
      </w:pPr>
    </w:p>
    <w:p w:rsidR="00EB010C" w:rsidRPr="0030613D" w:rsidRDefault="006A2F9C">
      <w:pPr>
        <w:tabs>
          <w:tab w:val="left" w:pos="4667"/>
        </w:tabs>
        <w:spacing w:after="0" w:line="360" w:lineRule="auto"/>
      </w:pPr>
      <w:r w:rsidRPr="0030613D">
        <w:t xml:space="preserve">Con fecha tres de abril de dos mil veinticuatro, el Sujeto Obligado, a través del Sistema de Acceso a la Información Mexiquense (SAIMEX) notificó la ampliación de término para atender las solicitudes de información, en los términos siguientes: </w:t>
      </w:r>
    </w:p>
    <w:p w:rsidR="00EB010C" w:rsidRPr="0030613D" w:rsidRDefault="00EB010C">
      <w:pPr>
        <w:tabs>
          <w:tab w:val="left" w:pos="4667"/>
        </w:tabs>
        <w:spacing w:after="0" w:line="360" w:lineRule="auto"/>
        <w:ind w:right="567"/>
      </w:pPr>
    </w:p>
    <w:p w:rsidR="00EB010C" w:rsidRPr="0030613D" w:rsidRDefault="006A2F9C">
      <w:pPr>
        <w:tabs>
          <w:tab w:val="left" w:pos="4667"/>
        </w:tabs>
        <w:spacing w:after="0" w:line="360" w:lineRule="auto"/>
        <w:ind w:left="567" w:right="567"/>
        <w:rPr>
          <w:i/>
          <w:sz w:val="20"/>
          <w:szCs w:val="20"/>
        </w:rPr>
      </w:pPr>
      <w:r w:rsidRPr="0030613D">
        <w:rPr>
          <w:i/>
          <w:sz w:val="20"/>
          <w:szCs w:val="20"/>
        </w:rPr>
        <w:t>“…</w:t>
      </w:r>
    </w:p>
    <w:p w:rsidR="00EB010C" w:rsidRPr="0030613D" w:rsidRDefault="006A2F9C">
      <w:pPr>
        <w:tabs>
          <w:tab w:val="left" w:pos="4667"/>
        </w:tabs>
        <w:spacing w:after="0" w:line="360" w:lineRule="auto"/>
        <w:ind w:left="567" w:right="567"/>
        <w:rPr>
          <w:i/>
          <w:sz w:val="20"/>
          <w:szCs w:val="20"/>
        </w:rPr>
      </w:pPr>
      <w:r w:rsidRPr="0030613D">
        <w:rPr>
          <w:i/>
          <w:sz w:val="20"/>
          <w:szCs w:val="20"/>
        </w:rPr>
        <w:t>Con fundamento en el artículo 163 de la Ley de Transparencia y Acceso a la Información Pública del Estado de México y Municipios se aprueba prórroga solicitada con la finalidad de dar cabal cumplimiento a su requerimiento.</w:t>
      </w:r>
    </w:p>
    <w:p w:rsidR="00EB010C" w:rsidRPr="0030613D" w:rsidRDefault="006A2F9C">
      <w:pPr>
        <w:tabs>
          <w:tab w:val="left" w:pos="4667"/>
        </w:tabs>
        <w:spacing w:after="0" w:line="360" w:lineRule="auto"/>
        <w:ind w:left="567" w:right="567"/>
        <w:rPr>
          <w:i/>
          <w:sz w:val="20"/>
          <w:szCs w:val="20"/>
        </w:rPr>
      </w:pPr>
      <w:r w:rsidRPr="0030613D">
        <w:rPr>
          <w:i/>
          <w:sz w:val="20"/>
          <w:szCs w:val="20"/>
        </w:rPr>
        <w:t>…”</w:t>
      </w:r>
    </w:p>
    <w:p w:rsidR="00EB010C" w:rsidRPr="0030613D" w:rsidRDefault="00EB010C">
      <w:pPr>
        <w:spacing w:after="0" w:line="360" w:lineRule="auto"/>
        <w:rPr>
          <w:b/>
        </w:rPr>
      </w:pPr>
    </w:p>
    <w:p w:rsidR="00EB010C" w:rsidRPr="0030613D" w:rsidRDefault="006A2F9C">
      <w:pPr>
        <w:spacing w:after="0" w:line="360" w:lineRule="auto"/>
        <w:rPr>
          <w:b/>
        </w:rPr>
      </w:pPr>
      <w:r w:rsidRPr="0030613D">
        <w:rPr>
          <w:b/>
        </w:rPr>
        <w:t>III. Respuesta del Sujeto Obligado</w:t>
      </w:r>
    </w:p>
    <w:p w:rsidR="00EB010C" w:rsidRPr="0030613D" w:rsidRDefault="00EB010C">
      <w:pPr>
        <w:spacing w:after="0" w:line="360" w:lineRule="auto"/>
      </w:pPr>
    </w:p>
    <w:p w:rsidR="00EB010C" w:rsidRPr="0030613D" w:rsidRDefault="006A2F9C">
      <w:pPr>
        <w:spacing w:after="0" w:line="360" w:lineRule="auto"/>
      </w:pPr>
      <w:r w:rsidRPr="0030613D">
        <w:t>Con fecha doce de abril de dos mil veinticuatro, el Sujeto Obligado notificó, a través del Sistema de Acceso a la Información Mexiquense (SAIMEX), la respuesta a la solicitud por medio de la digitalización de los siguientes documentos:</w:t>
      </w:r>
    </w:p>
    <w:p w:rsidR="00EB010C" w:rsidRPr="0030613D" w:rsidRDefault="00EB010C">
      <w:pPr>
        <w:spacing w:after="0" w:line="360" w:lineRule="auto"/>
        <w:rPr>
          <w:rFonts w:ascii="Verdana" w:eastAsia="Verdana" w:hAnsi="Verdana" w:cs="Verdana"/>
          <w:color w:val="000000"/>
          <w:sz w:val="18"/>
          <w:szCs w:val="18"/>
        </w:rPr>
      </w:pPr>
    </w:p>
    <w:p w:rsidR="00EB010C" w:rsidRPr="0030613D" w:rsidRDefault="006A2F9C">
      <w:pPr>
        <w:spacing w:after="0" w:line="360" w:lineRule="auto"/>
      </w:pPr>
      <w:r w:rsidRPr="0030613D">
        <w:t>i) Oficio sin número, del doce de abril de dos mil veinticuatro, rubricado por la Titular de la Unidad de Transparencia y dirigido al Solicitante, por medio del cual remite la respuesta proporcionada por el área competente.</w:t>
      </w:r>
    </w:p>
    <w:p w:rsidR="00EB010C" w:rsidRPr="0030613D" w:rsidRDefault="00EB010C">
      <w:pPr>
        <w:spacing w:after="0" w:line="360" w:lineRule="auto"/>
      </w:pPr>
    </w:p>
    <w:p w:rsidR="00EB010C" w:rsidRPr="0030613D" w:rsidRDefault="006A2F9C">
      <w:pPr>
        <w:spacing w:after="0" w:line="360" w:lineRule="auto"/>
      </w:pPr>
      <w:r w:rsidRPr="0030613D">
        <w:t xml:space="preserve">ii) Oficio número ZIN/TM/0472/2024, del diecinueve de marzo de dos mil veinticuatro, suscrito por el Tesorero Municipal y dirigido a la Titular de la Unidad de Transparencia por medio del cual precisa que remite los comprobantes de pago a actores de juicios laborales realizados durante la presente </w:t>
      </w:r>
      <w:proofErr w:type="spellStart"/>
      <w:r w:rsidRPr="0030613D">
        <w:t>adminsitración</w:t>
      </w:r>
      <w:proofErr w:type="spellEnd"/>
      <w:r w:rsidRPr="0030613D">
        <w:t xml:space="preserve"> 2022-2024.</w:t>
      </w:r>
    </w:p>
    <w:p w:rsidR="00EB010C" w:rsidRPr="0030613D" w:rsidRDefault="00EB010C">
      <w:pPr>
        <w:spacing w:after="0" w:line="360" w:lineRule="auto"/>
      </w:pPr>
    </w:p>
    <w:p w:rsidR="00EB010C" w:rsidRPr="0030613D" w:rsidRDefault="006A2F9C">
      <w:pPr>
        <w:spacing w:after="0" w:line="360" w:lineRule="auto"/>
      </w:pPr>
      <w:r w:rsidRPr="0030613D">
        <w:t>iii) Versión pública de sesenta y cinco pólizas de cheque.</w:t>
      </w:r>
    </w:p>
    <w:p w:rsidR="00EB010C" w:rsidRPr="0030613D" w:rsidRDefault="00EB010C">
      <w:pPr>
        <w:spacing w:after="0" w:line="360" w:lineRule="auto"/>
      </w:pPr>
    </w:p>
    <w:p w:rsidR="00EB010C" w:rsidRPr="0030613D" w:rsidRDefault="006A2F9C">
      <w:pPr>
        <w:spacing w:after="0" w:line="360" w:lineRule="auto"/>
        <w:rPr>
          <w:b/>
        </w:rPr>
      </w:pPr>
      <w:r w:rsidRPr="0030613D">
        <w:rPr>
          <w:b/>
        </w:rPr>
        <w:lastRenderedPageBreak/>
        <w:t>IV. Interposición del Recurso de Revisión</w:t>
      </w:r>
    </w:p>
    <w:p w:rsidR="00EB010C" w:rsidRPr="0030613D" w:rsidRDefault="00EB010C">
      <w:pPr>
        <w:spacing w:after="0" w:line="360" w:lineRule="auto"/>
        <w:rPr>
          <w:b/>
        </w:rPr>
      </w:pPr>
    </w:p>
    <w:p w:rsidR="00EB010C" w:rsidRPr="0030613D" w:rsidRDefault="006A2F9C">
      <w:pPr>
        <w:spacing w:after="0" w:line="360" w:lineRule="auto"/>
      </w:pPr>
      <w:r w:rsidRPr="0030613D">
        <w:t>Con fecha quince de abril de dos mil veinticuatro, se recibió en este Instituto, a través del Sistema de Acceso a la Información Mexiquense (SAIMEX), Recurso de Revisión interpuesto por la persona Recurrente, en contra de la respuesta por el Sujeto Obligado, a la solicitud de información, en los siguientes términos:</w:t>
      </w:r>
    </w:p>
    <w:p w:rsidR="00EB010C" w:rsidRPr="0030613D" w:rsidRDefault="00EB010C">
      <w:pPr>
        <w:spacing w:after="0" w:line="360" w:lineRule="auto"/>
      </w:pPr>
    </w:p>
    <w:p w:rsidR="00EB010C" w:rsidRPr="0030613D" w:rsidRDefault="006A2F9C">
      <w:pPr>
        <w:spacing w:after="0" w:line="360" w:lineRule="auto"/>
        <w:ind w:left="567" w:right="567"/>
        <w:rPr>
          <w:i/>
          <w:sz w:val="20"/>
          <w:szCs w:val="20"/>
        </w:rPr>
      </w:pPr>
      <w:r w:rsidRPr="0030613D">
        <w:rPr>
          <w:b/>
          <w:i/>
          <w:sz w:val="20"/>
          <w:szCs w:val="20"/>
        </w:rPr>
        <w:t>“ACTO IMPUGNADO”</w:t>
      </w:r>
    </w:p>
    <w:p w:rsidR="00EB010C" w:rsidRPr="0030613D" w:rsidRDefault="006A2F9C">
      <w:pPr>
        <w:spacing w:after="0" w:line="360" w:lineRule="auto"/>
        <w:ind w:left="567" w:right="567"/>
        <w:rPr>
          <w:i/>
          <w:sz w:val="20"/>
          <w:szCs w:val="20"/>
        </w:rPr>
      </w:pPr>
      <w:r w:rsidRPr="0030613D">
        <w:rPr>
          <w:i/>
          <w:sz w:val="20"/>
          <w:szCs w:val="20"/>
        </w:rPr>
        <w:t>TESTA INFORMACIÓN QUE ES PÚBLICA” (Sic.)</w:t>
      </w:r>
    </w:p>
    <w:p w:rsidR="00EB010C" w:rsidRPr="0030613D" w:rsidRDefault="00EB010C">
      <w:pPr>
        <w:spacing w:after="0" w:line="360" w:lineRule="auto"/>
        <w:ind w:left="567" w:right="567"/>
        <w:rPr>
          <w:i/>
          <w:sz w:val="20"/>
          <w:szCs w:val="20"/>
        </w:rPr>
      </w:pPr>
    </w:p>
    <w:p w:rsidR="00EB010C" w:rsidRPr="0030613D" w:rsidRDefault="006A2F9C">
      <w:pPr>
        <w:spacing w:after="0" w:line="360" w:lineRule="auto"/>
        <w:ind w:left="567" w:right="567"/>
        <w:rPr>
          <w:b/>
          <w:i/>
          <w:sz w:val="20"/>
          <w:szCs w:val="20"/>
        </w:rPr>
      </w:pPr>
      <w:r w:rsidRPr="0030613D">
        <w:rPr>
          <w:b/>
          <w:i/>
          <w:sz w:val="20"/>
          <w:szCs w:val="20"/>
        </w:rPr>
        <w:t>“RAZONES O MOTIVOS DE LA INCONFORMIDAD”</w:t>
      </w:r>
    </w:p>
    <w:p w:rsidR="00EB010C" w:rsidRPr="0030613D" w:rsidRDefault="006A2F9C">
      <w:pPr>
        <w:spacing w:after="0" w:line="360" w:lineRule="auto"/>
        <w:ind w:left="567" w:right="567"/>
        <w:rPr>
          <w:i/>
          <w:sz w:val="20"/>
          <w:szCs w:val="20"/>
        </w:rPr>
      </w:pPr>
      <w:r w:rsidRPr="0030613D">
        <w:rPr>
          <w:i/>
          <w:color w:val="000000"/>
          <w:sz w:val="20"/>
          <w:szCs w:val="20"/>
        </w:rPr>
        <w:t>TESTA INFORMACIÓN QUE ES PÚBLICA</w:t>
      </w:r>
      <w:r w:rsidRPr="0030613D">
        <w:rPr>
          <w:i/>
          <w:sz w:val="20"/>
          <w:szCs w:val="20"/>
        </w:rPr>
        <w:t>” (Sic.)</w:t>
      </w:r>
    </w:p>
    <w:p w:rsidR="00EB010C" w:rsidRPr="0030613D" w:rsidRDefault="00EB010C">
      <w:pPr>
        <w:spacing w:after="0" w:line="360" w:lineRule="auto"/>
      </w:pPr>
    </w:p>
    <w:p w:rsidR="00EB010C" w:rsidRPr="0030613D" w:rsidRDefault="006A2F9C">
      <w:pPr>
        <w:spacing w:after="0" w:line="360" w:lineRule="auto"/>
        <w:rPr>
          <w:b/>
        </w:rPr>
      </w:pPr>
      <w:r w:rsidRPr="0030613D">
        <w:rPr>
          <w:b/>
        </w:rPr>
        <w:t>V. Trámite del Recurso de Revisión ante este Instituto</w:t>
      </w:r>
    </w:p>
    <w:p w:rsidR="00EB010C" w:rsidRPr="0030613D" w:rsidRDefault="00EB010C">
      <w:pPr>
        <w:spacing w:after="0" w:line="360" w:lineRule="auto"/>
        <w:rPr>
          <w:b/>
        </w:rPr>
      </w:pPr>
    </w:p>
    <w:p w:rsidR="00EB010C" w:rsidRPr="0030613D" w:rsidRDefault="006A2F9C">
      <w:pPr>
        <w:spacing w:after="0" w:line="360" w:lineRule="auto"/>
        <w:rPr>
          <w:b/>
        </w:rPr>
      </w:pPr>
      <w:r w:rsidRPr="0030613D">
        <w:rPr>
          <w:b/>
        </w:rPr>
        <w:t xml:space="preserve">a) Turno del Medio de Impugnación. </w:t>
      </w:r>
      <w:r w:rsidRPr="0030613D">
        <w:t xml:space="preserve">El quince de abril de dos mil veinticuatro, el Sistema de Acceso a la Información Mexiquense (SAIMEX), asignó el número de expediente </w:t>
      </w:r>
      <w:r w:rsidRPr="0030613D">
        <w:rPr>
          <w:b/>
        </w:rPr>
        <w:t>01866/INFOEM/IP/RR/2024,</w:t>
      </w:r>
      <w:r w:rsidRPr="0030613D">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EB010C" w:rsidRPr="0030613D" w:rsidRDefault="00EB010C">
      <w:pPr>
        <w:spacing w:after="0" w:line="360" w:lineRule="auto"/>
      </w:pPr>
    </w:p>
    <w:p w:rsidR="00EB010C" w:rsidRPr="0030613D" w:rsidRDefault="006A2F9C">
      <w:pPr>
        <w:spacing w:after="0" w:line="360" w:lineRule="auto"/>
      </w:pPr>
      <w:r w:rsidRPr="0030613D">
        <w:rPr>
          <w:b/>
        </w:rPr>
        <w:t xml:space="preserve">b) Admisión del Recurso de Revisión. </w:t>
      </w:r>
      <w:r w:rsidRPr="0030613D">
        <w:t xml:space="preserve">El dieciocho de abril de dos mil veinticuatro,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veintidós de dicho mes y año, a través del Sistema de Acceso a la Información </w:t>
      </w:r>
      <w:r w:rsidRPr="0030613D">
        <w:lastRenderedPageBreak/>
        <w:t>Mexiquense (SAIMEX), en el que se les otorgó un plazo de siete días hábiles posteriores a la misma, para que manifestaran lo que a su derecho conviniera y formularan alegatos.</w:t>
      </w:r>
    </w:p>
    <w:p w:rsidR="00EB010C" w:rsidRPr="0030613D" w:rsidRDefault="006A2F9C">
      <w:pPr>
        <w:spacing w:after="0" w:line="360" w:lineRule="auto"/>
      </w:pPr>
      <w:r w:rsidRPr="0030613D">
        <w:rPr>
          <w:b/>
        </w:rPr>
        <w:t xml:space="preserve">c) Informe Justificado o manifestaciones. </w:t>
      </w:r>
      <w:r w:rsidRPr="0030613D">
        <w:t>Las partes fueron omisas en emitir manifestaciones o alegatos.</w:t>
      </w:r>
    </w:p>
    <w:p w:rsidR="00EB010C" w:rsidRPr="0030613D" w:rsidRDefault="00EB010C">
      <w:pPr>
        <w:spacing w:after="0" w:line="360" w:lineRule="auto"/>
      </w:pPr>
    </w:p>
    <w:p w:rsidR="00EB010C" w:rsidRPr="0030613D" w:rsidRDefault="006A2F9C">
      <w:pPr>
        <w:spacing w:after="0" w:line="360" w:lineRule="auto"/>
      </w:pPr>
      <w:r w:rsidRPr="0030613D">
        <w:rPr>
          <w:b/>
          <w:color w:val="000000"/>
        </w:rPr>
        <w:t xml:space="preserve">d) </w:t>
      </w:r>
      <w:r w:rsidRPr="0030613D">
        <w:rPr>
          <w:b/>
        </w:rPr>
        <w:t>Cierre de instrucción.</w:t>
      </w:r>
      <w:r w:rsidRPr="0030613D">
        <w:t xml:space="preserve"> El dos de mayo de dos mil veinticuatro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EB010C" w:rsidRPr="0030613D" w:rsidRDefault="00EB010C">
      <w:pPr>
        <w:spacing w:after="0" w:line="360" w:lineRule="auto"/>
        <w:ind w:right="-28"/>
      </w:pPr>
    </w:p>
    <w:p w:rsidR="00EB010C" w:rsidRPr="0030613D" w:rsidRDefault="006A2F9C">
      <w:pPr>
        <w:spacing w:after="0" w:line="360" w:lineRule="auto"/>
        <w:rPr>
          <w:color w:val="000000"/>
        </w:rPr>
      </w:pPr>
      <w:r w:rsidRPr="0030613D">
        <w:rPr>
          <w:color w:val="000000"/>
        </w:rPr>
        <w:t>En razón de que fue debidamente sustanciado e integrado el expediente electrónico y no existe diligencia pendiente de desahogo, se emite la resolución que conforme a Derecho proceda, de acuerdo a los siguientes:</w:t>
      </w:r>
    </w:p>
    <w:p w:rsidR="00EB010C" w:rsidRPr="0030613D" w:rsidRDefault="00EB010C">
      <w:pPr>
        <w:spacing w:after="0" w:line="360" w:lineRule="auto"/>
        <w:rPr>
          <w:b/>
          <w:color w:val="000000"/>
        </w:rPr>
      </w:pPr>
    </w:p>
    <w:p w:rsidR="00EB010C" w:rsidRPr="0030613D" w:rsidRDefault="006A2F9C">
      <w:pPr>
        <w:spacing w:after="0" w:line="360" w:lineRule="auto"/>
        <w:jc w:val="center"/>
        <w:rPr>
          <w:b/>
          <w:color w:val="000000"/>
        </w:rPr>
      </w:pPr>
      <w:r w:rsidRPr="0030613D">
        <w:rPr>
          <w:b/>
          <w:color w:val="000000"/>
        </w:rPr>
        <w:t>C O N S I D E R A N D O S</w:t>
      </w:r>
    </w:p>
    <w:p w:rsidR="00EB010C" w:rsidRPr="0030613D" w:rsidRDefault="00EB010C">
      <w:pPr>
        <w:spacing w:after="0" w:line="360" w:lineRule="auto"/>
        <w:jc w:val="center"/>
        <w:rPr>
          <w:b/>
          <w:color w:val="000000"/>
        </w:rPr>
      </w:pPr>
    </w:p>
    <w:p w:rsidR="00EB010C" w:rsidRPr="0030613D" w:rsidRDefault="006A2F9C">
      <w:pPr>
        <w:spacing w:after="0" w:line="360" w:lineRule="auto"/>
        <w:rPr>
          <w:b/>
          <w:color w:val="000000"/>
        </w:rPr>
      </w:pPr>
      <w:r w:rsidRPr="0030613D">
        <w:rPr>
          <w:b/>
          <w:color w:val="000000"/>
        </w:rPr>
        <w:t>PRIMERO</w:t>
      </w:r>
      <w:r w:rsidRPr="0030613D">
        <w:rPr>
          <w:color w:val="000000"/>
        </w:rPr>
        <w:t xml:space="preserve">. </w:t>
      </w:r>
      <w:r w:rsidRPr="0030613D">
        <w:rPr>
          <w:b/>
          <w:color w:val="000000"/>
        </w:rPr>
        <w:t>Competencia</w:t>
      </w:r>
    </w:p>
    <w:p w:rsidR="00EB010C" w:rsidRPr="0030613D" w:rsidRDefault="00EB010C">
      <w:pPr>
        <w:spacing w:after="0" w:line="360" w:lineRule="auto"/>
        <w:rPr>
          <w:b/>
          <w:color w:val="000000"/>
        </w:rPr>
      </w:pPr>
    </w:p>
    <w:p w:rsidR="00EB010C" w:rsidRPr="0030613D" w:rsidRDefault="006A2F9C">
      <w:pPr>
        <w:spacing w:after="0" w:line="360" w:lineRule="auto"/>
        <w:rPr>
          <w:color w:val="000000"/>
        </w:rPr>
      </w:pPr>
      <w:bookmarkStart w:id="0" w:name="_heading=h.30j0zll" w:colFirst="0" w:colLast="0"/>
      <w:bookmarkEnd w:id="0"/>
      <w:r w:rsidRPr="0030613D">
        <w:rPr>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56 y 42, fracciones I, II y III, de la Ley General de Transparencia y Acceso a la Información Pública; </w:t>
      </w:r>
      <w:r w:rsidRPr="0030613D">
        <w:rPr>
          <w:color w:val="000000"/>
        </w:rPr>
        <w:lastRenderedPageBreak/>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EB010C" w:rsidRPr="0030613D" w:rsidRDefault="00EB010C">
      <w:pPr>
        <w:spacing w:after="0" w:line="360" w:lineRule="auto"/>
        <w:rPr>
          <w:b/>
          <w:color w:val="000000"/>
        </w:rPr>
      </w:pPr>
    </w:p>
    <w:p w:rsidR="00EB010C" w:rsidRPr="0030613D" w:rsidRDefault="006A2F9C">
      <w:pPr>
        <w:spacing w:after="0" w:line="360" w:lineRule="auto"/>
        <w:rPr>
          <w:color w:val="000000"/>
        </w:rPr>
      </w:pPr>
      <w:r w:rsidRPr="0030613D">
        <w:rPr>
          <w:b/>
          <w:color w:val="000000"/>
        </w:rPr>
        <w:t>SEGUNDO</w:t>
      </w:r>
      <w:r w:rsidRPr="0030613D">
        <w:rPr>
          <w:color w:val="000000"/>
        </w:rPr>
        <w:t xml:space="preserve">. </w:t>
      </w:r>
      <w:r w:rsidRPr="0030613D">
        <w:rPr>
          <w:b/>
          <w:color w:val="000000"/>
        </w:rPr>
        <w:t>Causales de improcedencia y sobreseimiento</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 xml:space="preserve">De las constancias que forma parte del Recurso de Revisión que se analiza, se advierte que previo al estudio del fondo de la </w:t>
      </w:r>
      <w:proofErr w:type="spellStart"/>
      <w:r w:rsidRPr="0030613D">
        <w:rPr>
          <w:i/>
          <w:color w:val="000000"/>
        </w:rPr>
        <w:t>litis</w:t>
      </w:r>
      <w:proofErr w:type="spellEnd"/>
      <w:r w:rsidRPr="0030613D">
        <w:rPr>
          <w:color w:val="000000"/>
        </w:rPr>
        <w:t>, es necesario estudiar las causales de improcedencia y sobreseimiento que se adviertan, para determinar lo que en Derecho proceda.</w:t>
      </w:r>
    </w:p>
    <w:p w:rsidR="00EB010C" w:rsidRPr="0030613D" w:rsidRDefault="00EB010C">
      <w:pPr>
        <w:spacing w:after="0" w:line="360" w:lineRule="auto"/>
        <w:rPr>
          <w:b/>
        </w:rPr>
      </w:pPr>
    </w:p>
    <w:p w:rsidR="00EB010C" w:rsidRPr="0030613D" w:rsidRDefault="006A2F9C">
      <w:pPr>
        <w:spacing w:after="0" w:line="360" w:lineRule="auto"/>
        <w:rPr>
          <w:b/>
        </w:rPr>
      </w:pPr>
      <w:r w:rsidRPr="0030613D">
        <w:rPr>
          <w:b/>
        </w:rPr>
        <w:t>Causales de improcedencia</w:t>
      </w:r>
    </w:p>
    <w:p w:rsidR="00EB010C" w:rsidRPr="0030613D" w:rsidRDefault="00EB010C">
      <w:pPr>
        <w:spacing w:after="0" w:line="360" w:lineRule="auto"/>
      </w:pPr>
    </w:p>
    <w:p w:rsidR="00EB010C" w:rsidRPr="0030613D" w:rsidRDefault="006A2F9C">
      <w:pPr>
        <w:spacing w:after="0" w:line="360" w:lineRule="auto"/>
        <w:rPr>
          <w:color w:val="000000"/>
        </w:rPr>
      </w:pPr>
      <w:r w:rsidRPr="0030613D">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En el presente caso, </w:t>
      </w:r>
      <w:r w:rsidRPr="0030613D">
        <w:rPr>
          <w:b/>
          <w:color w:val="000000"/>
        </w:rPr>
        <w:t>no se actualiza ninguna de las causales de improcedencia</w:t>
      </w:r>
      <w:r w:rsidRPr="0030613D">
        <w:rPr>
          <w:color w:val="000000"/>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30613D">
        <w:rPr>
          <w:color w:val="000000"/>
        </w:rPr>
        <w:lastRenderedPageBreak/>
        <w:t>formó parte del agravio; ni se realizó una consulta o ampliación a los alcances del requerimiento informativo.</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t xml:space="preserve">Asimismo, se actualiza la causal de procedencia del Recurso de Revisión señalada en el artículo 179, fracción II, de la Ley en cita, </w:t>
      </w:r>
      <w:r w:rsidRPr="0030613D">
        <w:rPr>
          <w:color w:val="000000"/>
        </w:rPr>
        <w:t>pues la Recurrente se inconformó con la clasificación de datos de naturaleza pública.</w:t>
      </w:r>
    </w:p>
    <w:p w:rsidR="00EB010C" w:rsidRPr="0030613D" w:rsidRDefault="00EB010C">
      <w:pPr>
        <w:spacing w:after="0" w:line="360" w:lineRule="auto"/>
      </w:pPr>
    </w:p>
    <w:p w:rsidR="00EB010C" w:rsidRPr="0030613D" w:rsidRDefault="006A2F9C">
      <w:pPr>
        <w:tabs>
          <w:tab w:val="left" w:pos="3795"/>
        </w:tabs>
        <w:spacing w:after="0" w:line="360" w:lineRule="auto"/>
        <w:rPr>
          <w:color w:val="0D0D0D"/>
        </w:rPr>
      </w:pPr>
      <w:r w:rsidRPr="0030613D">
        <w:rPr>
          <w:b/>
          <w:color w:val="0D0D0D"/>
        </w:rPr>
        <w:t xml:space="preserve">Causales de sobreseimiento </w:t>
      </w:r>
    </w:p>
    <w:p w:rsidR="00EB010C" w:rsidRPr="0030613D" w:rsidRDefault="00EB010C">
      <w:pPr>
        <w:spacing w:after="0" w:line="360" w:lineRule="auto"/>
        <w:rPr>
          <w:color w:val="0D0D0D"/>
        </w:rPr>
      </w:pPr>
    </w:p>
    <w:p w:rsidR="00EB010C" w:rsidRPr="0030613D" w:rsidRDefault="006A2F9C">
      <w:pPr>
        <w:spacing w:after="0" w:line="360" w:lineRule="auto"/>
        <w:rPr>
          <w:color w:val="0D0D0D"/>
        </w:rPr>
      </w:pPr>
      <w:r w:rsidRPr="0030613D">
        <w:rPr>
          <w:color w:val="0D0D0D"/>
        </w:rPr>
        <w:t>Por ser de previo y especial pronunciamiento, este Instituto analiza si se actualiza alguna causal de sobreseimiento.</w:t>
      </w:r>
    </w:p>
    <w:p w:rsidR="00EB010C" w:rsidRPr="0030613D" w:rsidRDefault="00EB010C">
      <w:pPr>
        <w:spacing w:after="0" w:line="360" w:lineRule="auto"/>
        <w:rPr>
          <w:color w:val="0D0D0D"/>
        </w:rPr>
      </w:pPr>
    </w:p>
    <w:p w:rsidR="00EB010C" w:rsidRPr="0030613D" w:rsidRDefault="006A2F9C">
      <w:pPr>
        <w:spacing w:after="0" w:line="360" w:lineRule="auto"/>
        <w:rPr>
          <w:color w:val="000000"/>
        </w:rPr>
      </w:pPr>
      <w:r w:rsidRPr="0030613D">
        <w:rPr>
          <w:color w:val="0D0D0D"/>
        </w:rPr>
        <w:t>Sobre el tema, e</w:t>
      </w:r>
      <w:r w:rsidRPr="0030613D">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EB010C" w:rsidRPr="0030613D" w:rsidRDefault="00EB010C">
      <w:pPr>
        <w:spacing w:after="0" w:line="360" w:lineRule="auto"/>
        <w:rPr>
          <w:color w:val="000000"/>
        </w:rPr>
      </w:pPr>
    </w:p>
    <w:p w:rsidR="00EB010C" w:rsidRPr="0030613D" w:rsidRDefault="006A2F9C">
      <w:pPr>
        <w:spacing w:after="0" w:line="360" w:lineRule="auto"/>
        <w:rPr>
          <w:color w:val="0D0D0D"/>
        </w:rPr>
      </w:pPr>
      <w:r w:rsidRPr="0030613D">
        <w:rPr>
          <w:color w:val="0D0D0D"/>
        </w:rPr>
        <w:t xml:space="preserve">Por tales motivos, se considera procedente entrar al fondo del presente asunto. </w:t>
      </w:r>
    </w:p>
    <w:p w:rsidR="00EB010C" w:rsidRPr="0030613D" w:rsidRDefault="00EB010C">
      <w:pPr>
        <w:spacing w:after="0" w:line="360" w:lineRule="auto"/>
        <w:rPr>
          <w:b/>
          <w:color w:val="000000"/>
        </w:rPr>
      </w:pPr>
    </w:p>
    <w:p w:rsidR="00EB010C" w:rsidRPr="0030613D" w:rsidRDefault="006A2F9C">
      <w:pPr>
        <w:spacing w:after="0" w:line="360" w:lineRule="auto"/>
        <w:rPr>
          <w:b/>
          <w:color w:val="000000"/>
        </w:rPr>
      </w:pPr>
      <w:r w:rsidRPr="0030613D">
        <w:rPr>
          <w:b/>
          <w:color w:val="000000"/>
        </w:rPr>
        <w:t>TERCERO. Determinación de la Controversia</w:t>
      </w:r>
    </w:p>
    <w:p w:rsidR="00EB010C" w:rsidRPr="0030613D" w:rsidRDefault="00EB010C">
      <w:pPr>
        <w:spacing w:after="0" w:line="360" w:lineRule="auto"/>
        <w:rPr>
          <w:color w:val="000000"/>
        </w:rPr>
      </w:pPr>
    </w:p>
    <w:p w:rsidR="00EB010C" w:rsidRPr="0030613D" w:rsidRDefault="006A2F9C">
      <w:pPr>
        <w:widowControl w:val="0"/>
        <w:spacing w:after="0" w:line="360" w:lineRule="auto"/>
        <w:rPr>
          <w:color w:val="000000"/>
        </w:rPr>
      </w:pPr>
      <w:r w:rsidRPr="0030613D">
        <w:rPr>
          <w:color w:val="000000"/>
        </w:rPr>
        <w:t xml:space="preserve">Una vez realizado el estudio de las constancias que integran el expediente en que se actúa, se desprende que el Particular requirió, del primero de enero de dos mil veintidós al cinco de marzo de dos mil </w:t>
      </w:r>
      <w:proofErr w:type="spellStart"/>
      <w:r w:rsidRPr="0030613D">
        <w:rPr>
          <w:color w:val="000000"/>
        </w:rPr>
        <w:t>veinticutro</w:t>
      </w:r>
      <w:proofErr w:type="spellEnd"/>
      <w:proofErr w:type="gramStart"/>
      <w:r w:rsidRPr="0030613D">
        <w:rPr>
          <w:color w:val="000000"/>
        </w:rPr>
        <w:t>,  los</w:t>
      </w:r>
      <w:proofErr w:type="gramEnd"/>
      <w:r w:rsidRPr="0030613D">
        <w:rPr>
          <w:color w:val="000000"/>
        </w:rPr>
        <w:t xml:space="preserve"> comprobantes de pago a actores de juicios </w:t>
      </w:r>
      <w:proofErr w:type="spellStart"/>
      <w:r w:rsidRPr="0030613D">
        <w:rPr>
          <w:color w:val="000000"/>
        </w:rPr>
        <w:t>laboralres</w:t>
      </w:r>
      <w:proofErr w:type="spellEnd"/>
      <w:r w:rsidRPr="0030613D">
        <w:rPr>
          <w:color w:val="000000"/>
        </w:rPr>
        <w:t>.</w:t>
      </w:r>
    </w:p>
    <w:p w:rsidR="00EB010C" w:rsidRPr="0030613D" w:rsidRDefault="00EB010C">
      <w:pPr>
        <w:widowControl w:val="0"/>
        <w:spacing w:after="0" w:line="360" w:lineRule="auto"/>
        <w:rPr>
          <w:color w:val="000000"/>
        </w:rPr>
      </w:pPr>
    </w:p>
    <w:p w:rsidR="00EB010C" w:rsidRPr="0030613D" w:rsidRDefault="006A2F9C">
      <w:pPr>
        <w:spacing w:after="0" w:line="360" w:lineRule="auto"/>
        <w:ind w:right="-28"/>
        <w:rPr>
          <w:color w:val="000000"/>
        </w:rPr>
      </w:pPr>
      <w:r w:rsidRPr="0030613D">
        <w:rPr>
          <w:color w:val="000000"/>
        </w:rPr>
        <w:t>En respuesta, el Sujeto Obligado a través de la Tesorería Municipal, proporcionó la versión pública de sesenta y cinco pólizas de cheque, donde se advierte el pago a actores en procedimientos laborales; ante dicha respuesta, el Particular, se inconformó de la clasificación de datos de naturaleza pública, lo cual, actualiza el supuesto previsto en el artículo 179, fracciones II, de la Ley de Transparencia y Acceso a la Información Pública del Estado de México y Municipios</w:t>
      </w:r>
      <w:r w:rsidRPr="0030613D">
        <w:t>.</w:t>
      </w:r>
      <w:r w:rsidRPr="0030613D">
        <w:rPr>
          <w:color w:val="000000"/>
        </w:rPr>
        <w:t xml:space="preserve"> </w:t>
      </w:r>
    </w:p>
    <w:p w:rsidR="00EB010C" w:rsidRPr="0030613D" w:rsidRDefault="00EB010C">
      <w:pPr>
        <w:spacing w:after="0" w:line="360" w:lineRule="auto"/>
      </w:pPr>
    </w:p>
    <w:p w:rsidR="00EB010C" w:rsidRPr="0030613D" w:rsidRDefault="006A2F9C">
      <w:pPr>
        <w:spacing w:after="0" w:line="360" w:lineRule="auto"/>
        <w:rPr>
          <w:color w:val="000000"/>
        </w:rPr>
      </w:pPr>
      <w:r w:rsidRPr="0030613D">
        <w:rPr>
          <w:color w:val="000000"/>
        </w:rPr>
        <w:t xml:space="preserve">Conforme a lo anterior, se logra vislumbrar que el ahora Recurrente no se agravió sobre las pólizas de cheque entregadas, sino únicamente sobre el </w:t>
      </w:r>
      <w:proofErr w:type="spellStart"/>
      <w:r w:rsidRPr="0030613D">
        <w:rPr>
          <w:color w:val="000000"/>
        </w:rPr>
        <w:t>testado</w:t>
      </w:r>
      <w:proofErr w:type="spellEnd"/>
      <w:r w:rsidRPr="0030613D">
        <w:rPr>
          <w:color w:val="000000"/>
        </w:rPr>
        <w:t xml:space="preserve"> de los datos, por lo que, no se hará algún pronunciamiento sobre si la información se encontraba completa o 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30613D">
        <w:rPr>
          <w:b/>
          <w:color w:val="000000"/>
        </w:rPr>
        <w:t>los actos que se hayan consentido tácitamente,</w:t>
      </w:r>
      <w:r w:rsidRPr="0030613D">
        <w:rPr>
          <w:color w:val="000000"/>
        </w:rPr>
        <w:t> entendiéndose por estos cuando el agravio no se haya promovido en el plazo señalado para el efecto.</w:t>
      </w:r>
    </w:p>
    <w:p w:rsidR="00EB010C" w:rsidRPr="0030613D" w:rsidRDefault="006A2F9C">
      <w:pPr>
        <w:spacing w:after="0" w:line="360" w:lineRule="auto"/>
        <w:rPr>
          <w:color w:val="000000"/>
        </w:rPr>
      </w:pPr>
      <w:r w:rsidRPr="0030613D">
        <w:rPr>
          <w:color w:val="000000"/>
        </w:rPr>
        <w:t> </w:t>
      </w:r>
    </w:p>
    <w:p w:rsidR="00EB010C" w:rsidRPr="0030613D" w:rsidRDefault="006A2F9C">
      <w:pPr>
        <w:spacing w:after="0" w:line="360" w:lineRule="auto"/>
        <w:rPr>
          <w:color w:val="000000"/>
        </w:rPr>
      </w:pPr>
      <w:r w:rsidRPr="0030613D">
        <w:rPr>
          <w:color w:val="000000"/>
        </w:rPr>
        <w:t>De la misma manera resulta aplicable el criterio sostenido por el Poder Judicial de la Federación de rubro </w:t>
      </w:r>
      <w:r w:rsidRPr="0030613D">
        <w:rPr>
          <w:b/>
          <w:color w:val="000000"/>
        </w:rPr>
        <w:t>ACTOS CONSENTIDOS TÁCITAMENTE</w:t>
      </w:r>
      <w:r w:rsidRPr="0030613D">
        <w:rPr>
          <w:color w:val="000000"/>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EB010C" w:rsidRPr="0030613D" w:rsidRDefault="006A2F9C">
      <w:pPr>
        <w:spacing w:after="0" w:line="360" w:lineRule="auto"/>
        <w:rPr>
          <w:color w:val="000000"/>
        </w:rPr>
      </w:pPr>
      <w:r w:rsidRPr="0030613D">
        <w:rPr>
          <w:color w:val="000000"/>
        </w:rPr>
        <w:t> </w:t>
      </w:r>
    </w:p>
    <w:p w:rsidR="00EB010C" w:rsidRPr="0030613D" w:rsidRDefault="006A2F9C">
      <w:pPr>
        <w:spacing w:after="0" w:line="360" w:lineRule="auto"/>
        <w:rPr>
          <w:color w:val="000000"/>
        </w:rPr>
      </w:pPr>
      <w:r w:rsidRPr="0030613D">
        <w:rPr>
          <w:color w:val="000000"/>
        </w:rPr>
        <w:lastRenderedPageBreak/>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00EB010C" w:rsidRPr="0030613D" w:rsidRDefault="006A2F9C">
      <w:pPr>
        <w:spacing w:after="0" w:line="360" w:lineRule="auto"/>
        <w:rPr>
          <w:color w:val="000000"/>
        </w:rPr>
      </w:pPr>
      <w:r w:rsidRPr="0030613D">
        <w:rPr>
          <w:color w:val="000000"/>
        </w:rPr>
        <w:t> </w:t>
      </w:r>
    </w:p>
    <w:p w:rsidR="00EB010C" w:rsidRPr="0030613D" w:rsidRDefault="006A2F9C">
      <w:pPr>
        <w:spacing w:after="0" w:line="360" w:lineRule="auto"/>
        <w:rPr>
          <w:color w:val="000000"/>
        </w:rPr>
      </w:pPr>
      <w:r w:rsidRPr="0030613D">
        <w:rPr>
          <w:color w:val="000000"/>
        </w:rPr>
        <w:t>Asimismo, resulta relevante traer a colación el Criterio de Interpretación, de la Segunda Época, con número de registro SO/001/2020, emitido por el Instituto Nacional de Transparencia, Acceso a la Información y Protección de Datos Personales, que establece lo siguiente:</w:t>
      </w:r>
    </w:p>
    <w:p w:rsidR="00EB010C" w:rsidRPr="0030613D" w:rsidRDefault="006A2F9C">
      <w:pPr>
        <w:spacing w:after="0" w:line="360" w:lineRule="auto"/>
        <w:rPr>
          <w:color w:val="000000"/>
        </w:rPr>
      </w:pPr>
      <w:r w:rsidRPr="0030613D">
        <w:rPr>
          <w:color w:val="000000"/>
        </w:rPr>
        <w:t> </w:t>
      </w:r>
    </w:p>
    <w:p w:rsidR="00EB010C" w:rsidRPr="0030613D" w:rsidRDefault="006A2F9C">
      <w:pPr>
        <w:spacing w:after="0" w:line="360" w:lineRule="auto"/>
        <w:ind w:left="567" w:right="567"/>
        <w:rPr>
          <w:color w:val="000000"/>
        </w:rPr>
      </w:pPr>
      <w:r w:rsidRPr="0030613D">
        <w:rPr>
          <w:b/>
          <w:i/>
          <w:color w:val="000000"/>
          <w:sz w:val="20"/>
          <w:szCs w:val="20"/>
        </w:rPr>
        <w:t>“Actos consentidos tácitamente. Improcedencia de su análisis. </w:t>
      </w:r>
      <w:r w:rsidRPr="0030613D">
        <w:rPr>
          <w:i/>
          <w:color w:val="000000"/>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 xml:space="preserve">Conforme al Criterio establecido, es improcedente entrar al análisis de las partes de la respuesta del Sujeto Obligado que no fueron impugnadas por la Recurrente; por lo que, en el presente caso, se tiene por consentida la información entregada y únicamente se entrará al estudio respecto a los datos testados. Así las cosas, una vez admitido y notificado el Recurso de Revisión a las partes, estas fueron omisas en manifestarse.   </w:t>
      </w:r>
    </w:p>
    <w:p w:rsidR="00EB010C" w:rsidRPr="0030613D" w:rsidRDefault="00EB010C">
      <w:pPr>
        <w:spacing w:after="0" w:line="360" w:lineRule="auto"/>
      </w:pPr>
    </w:p>
    <w:p w:rsidR="00EB010C" w:rsidRPr="0030613D" w:rsidRDefault="006A2F9C">
      <w:pPr>
        <w:tabs>
          <w:tab w:val="left" w:pos="4962"/>
        </w:tabs>
        <w:spacing w:after="0" w:line="360" w:lineRule="auto"/>
      </w:pPr>
      <w:r w:rsidRPr="0030613D">
        <w:t xml:space="preserve">Lo anterior, se desprende de las documentales que obran en el expediente de referencia, materia de la presente resolución, consistente en: la solicitud de acceso a la información, la respuesta y el escrito </w:t>
      </w:r>
      <w:proofErr w:type="spellStart"/>
      <w:r w:rsidRPr="0030613D">
        <w:t>recursal</w:t>
      </w:r>
      <w:proofErr w:type="spellEnd"/>
      <w:r w:rsidRPr="0030613D">
        <w:t>; instrumentales que se toman en cuenta a efecto de resolver el presente medio de impugnación, conforme a lo dispuesto por el artículo 185, fracción IV, de la Ley de Transparencia y Acceso a la Información Pública del Estado de México y Municipios.</w:t>
      </w:r>
    </w:p>
    <w:p w:rsidR="00EB010C" w:rsidRPr="0030613D" w:rsidRDefault="00EB010C">
      <w:pPr>
        <w:tabs>
          <w:tab w:val="left" w:pos="4962"/>
        </w:tabs>
        <w:spacing w:after="0" w:line="360" w:lineRule="auto"/>
      </w:pPr>
    </w:p>
    <w:p w:rsidR="00EB010C" w:rsidRPr="0030613D" w:rsidRDefault="006A2F9C">
      <w:pPr>
        <w:spacing w:after="0" w:line="360" w:lineRule="auto"/>
        <w:rPr>
          <w:b/>
          <w:color w:val="000000"/>
        </w:rPr>
      </w:pPr>
      <w:r w:rsidRPr="0030613D">
        <w:rPr>
          <w:b/>
          <w:color w:val="000000"/>
        </w:rPr>
        <w:t>CUARTO. Marco normativo aplicable en materia de transparencia y acceso a la información pública</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Por su parte, la Ley de Transparencia y Acceso a la Información Pública del Estado de México y Municipios (Reglamentaria del artículo 5° de la Constitución Local), establece lo siguiente:</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El artículo 12, que, quienes generen, recopilen, administren, manejen, procesen, archiven o conserven información pública serán responsables de la misma.</w:t>
      </w:r>
    </w:p>
    <w:p w:rsidR="00EB010C" w:rsidRPr="0030613D" w:rsidRDefault="00EB010C">
      <w:pPr>
        <w:spacing w:after="0" w:line="360" w:lineRule="auto"/>
        <w:rPr>
          <w:color w:val="000000"/>
        </w:rPr>
      </w:pPr>
    </w:p>
    <w:p w:rsidR="00EB010C" w:rsidRPr="0030613D" w:rsidRDefault="006A2F9C">
      <w:pPr>
        <w:widowControl w:val="0"/>
        <w:spacing w:after="0" w:line="360" w:lineRule="auto"/>
        <w:rPr>
          <w:color w:val="000000"/>
        </w:rPr>
      </w:pPr>
      <w:r w:rsidRPr="0030613D">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B010C" w:rsidRPr="0030613D" w:rsidRDefault="00EB010C">
      <w:pPr>
        <w:spacing w:after="0" w:line="360" w:lineRule="auto"/>
      </w:pPr>
    </w:p>
    <w:p w:rsidR="00EB010C" w:rsidRPr="0030613D" w:rsidRDefault="006A2F9C">
      <w:pPr>
        <w:spacing w:after="0" w:line="360" w:lineRule="auto"/>
        <w:rPr>
          <w:b/>
          <w:color w:val="000000"/>
        </w:rPr>
      </w:pPr>
      <w:r w:rsidRPr="0030613D">
        <w:rPr>
          <w:b/>
          <w:color w:val="000000"/>
        </w:rPr>
        <w:t>Quinto. Estudio de Fondo</w:t>
      </w:r>
    </w:p>
    <w:p w:rsidR="00EB010C" w:rsidRPr="0030613D" w:rsidRDefault="00EB010C">
      <w:pPr>
        <w:spacing w:after="0" w:line="360" w:lineRule="auto"/>
        <w:rPr>
          <w:b/>
          <w:color w:val="000000"/>
        </w:rPr>
      </w:pPr>
    </w:p>
    <w:p w:rsidR="00EB010C" w:rsidRPr="0030613D" w:rsidRDefault="006A2F9C">
      <w:pPr>
        <w:widowControl w:val="0"/>
        <w:spacing w:after="0" w:line="360" w:lineRule="auto"/>
      </w:pPr>
      <w:r w:rsidRPr="0030613D">
        <w:rPr>
          <w:color w:val="000000"/>
        </w:rPr>
        <w:t xml:space="preserve">Expuestas las posturas de las partes, se procede al análisis del agravio hecho valer por el Recurrente, concerniente </w:t>
      </w:r>
      <w:r w:rsidRPr="0030613D">
        <w:t>a la clasificación de la información, por lo que, de la revisión de la información entregada, se logra vislumbrar que el Sujeto Obligado clasificó los siguientes datos:</w:t>
      </w:r>
    </w:p>
    <w:p w:rsidR="00EB010C" w:rsidRPr="0030613D" w:rsidRDefault="00EB010C">
      <w:pPr>
        <w:widowControl w:val="0"/>
        <w:spacing w:after="0" w:line="360" w:lineRule="auto"/>
      </w:pPr>
    </w:p>
    <w:p w:rsidR="00EB010C" w:rsidRPr="0030613D" w:rsidRDefault="006A2F9C">
      <w:pPr>
        <w:widowControl w:val="0"/>
        <w:numPr>
          <w:ilvl w:val="0"/>
          <w:numId w:val="3"/>
        </w:numPr>
        <w:pBdr>
          <w:top w:val="nil"/>
          <w:left w:val="nil"/>
          <w:bottom w:val="nil"/>
          <w:right w:val="nil"/>
          <w:between w:val="nil"/>
        </w:pBdr>
        <w:spacing w:after="0" w:line="360" w:lineRule="auto"/>
        <w:rPr>
          <w:color w:val="000000"/>
        </w:rPr>
      </w:pPr>
      <w:r w:rsidRPr="0030613D">
        <w:rPr>
          <w:color w:val="000000"/>
        </w:rPr>
        <w:t>Nombre de actor (</w:t>
      </w:r>
      <w:proofErr w:type="spellStart"/>
      <w:r w:rsidRPr="0030613D">
        <w:rPr>
          <w:color w:val="000000"/>
        </w:rPr>
        <w:t>exservidor</w:t>
      </w:r>
      <w:proofErr w:type="spellEnd"/>
      <w:r w:rsidRPr="0030613D">
        <w:rPr>
          <w:color w:val="000000"/>
        </w:rPr>
        <w:t xml:space="preserve"> público);</w:t>
      </w:r>
    </w:p>
    <w:p w:rsidR="00EB010C" w:rsidRPr="0030613D" w:rsidRDefault="006A2F9C">
      <w:pPr>
        <w:widowControl w:val="0"/>
        <w:numPr>
          <w:ilvl w:val="0"/>
          <w:numId w:val="3"/>
        </w:numPr>
        <w:pBdr>
          <w:top w:val="nil"/>
          <w:left w:val="nil"/>
          <w:bottom w:val="nil"/>
          <w:right w:val="nil"/>
          <w:between w:val="nil"/>
        </w:pBdr>
        <w:spacing w:after="0" w:line="360" w:lineRule="auto"/>
        <w:rPr>
          <w:color w:val="000000"/>
        </w:rPr>
      </w:pPr>
      <w:r w:rsidRPr="0030613D">
        <w:rPr>
          <w:color w:val="000000"/>
        </w:rPr>
        <w:t>Número de cuenta del Sujeto Obligado;</w:t>
      </w:r>
    </w:p>
    <w:p w:rsidR="00EB010C" w:rsidRPr="0030613D" w:rsidRDefault="006A2F9C">
      <w:pPr>
        <w:widowControl w:val="0"/>
        <w:numPr>
          <w:ilvl w:val="0"/>
          <w:numId w:val="3"/>
        </w:numPr>
        <w:pBdr>
          <w:top w:val="nil"/>
          <w:left w:val="nil"/>
          <w:bottom w:val="nil"/>
          <w:right w:val="nil"/>
          <w:between w:val="nil"/>
        </w:pBdr>
        <w:spacing w:after="0" w:line="360" w:lineRule="auto"/>
        <w:rPr>
          <w:color w:val="000000"/>
        </w:rPr>
      </w:pPr>
      <w:r w:rsidRPr="0030613D">
        <w:rPr>
          <w:color w:val="000000"/>
        </w:rPr>
        <w:t>Número de cheque;</w:t>
      </w:r>
    </w:p>
    <w:p w:rsidR="00EB010C" w:rsidRPr="0030613D" w:rsidRDefault="006A2F9C">
      <w:pPr>
        <w:widowControl w:val="0"/>
        <w:numPr>
          <w:ilvl w:val="0"/>
          <w:numId w:val="3"/>
        </w:numPr>
        <w:pBdr>
          <w:top w:val="nil"/>
          <w:left w:val="nil"/>
          <w:bottom w:val="nil"/>
          <w:right w:val="nil"/>
          <w:between w:val="nil"/>
        </w:pBdr>
        <w:spacing w:after="0" w:line="360" w:lineRule="auto"/>
        <w:rPr>
          <w:color w:val="000000"/>
        </w:rPr>
      </w:pPr>
      <w:r w:rsidRPr="0030613D">
        <w:rPr>
          <w:color w:val="000000"/>
        </w:rPr>
        <w:t>Número de expediente de juicio, y</w:t>
      </w:r>
    </w:p>
    <w:p w:rsidR="00EB010C" w:rsidRPr="0030613D" w:rsidRDefault="006A2F9C">
      <w:pPr>
        <w:widowControl w:val="0"/>
        <w:numPr>
          <w:ilvl w:val="0"/>
          <w:numId w:val="3"/>
        </w:numPr>
        <w:pBdr>
          <w:top w:val="nil"/>
          <w:left w:val="nil"/>
          <w:bottom w:val="nil"/>
          <w:right w:val="nil"/>
          <w:between w:val="nil"/>
        </w:pBdr>
        <w:spacing w:after="0" w:line="360" w:lineRule="auto"/>
        <w:rPr>
          <w:color w:val="000000"/>
        </w:rPr>
      </w:pPr>
      <w:r w:rsidRPr="0030613D">
        <w:rPr>
          <w:color w:val="000000"/>
        </w:rPr>
        <w:t xml:space="preserve">Firma del </w:t>
      </w:r>
      <w:proofErr w:type="spellStart"/>
      <w:r w:rsidRPr="0030613D">
        <w:rPr>
          <w:color w:val="000000"/>
        </w:rPr>
        <w:t>exservidor</w:t>
      </w:r>
      <w:proofErr w:type="spellEnd"/>
      <w:r w:rsidRPr="0030613D">
        <w:rPr>
          <w:color w:val="000000"/>
        </w:rPr>
        <w:t xml:space="preserve"> público.</w:t>
      </w:r>
    </w:p>
    <w:p w:rsidR="00EB010C" w:rsidRPr="0030613D" w:rsidRDefault="00EB010C">
      <w:pPr>
        <w:widowControl w:val="0"/>
        <w:spacing w:after="0" w:line="360" w:lineRule="auto"/>
        <w:rPr>
          <w:color w:val="000000"/>
        </w:rPr>
      </w:pPr>
    </w:p>
    <w:p w:rsidR="00EB010C" w:rsidRPr="0030613D" w:rsidRDefault="006A2F9C">
      <w:pPr>
        <w:spacing w:after="0" w:line="360" w:lineRule="auto"/>
      </w:pPr>
      <w:r w:rsidRPr="0030613D">
        <w:t xml:space="preserve">Al respecto, resulta procedente analizar si dichos datos son públicos o privados; para lo cual,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w:t>
      </w:r>
      <w:r w:rsidRPr="0030613D">
        <w:lastRenderedPageBreak/>
        <w:t>datos, por razones de seguridad nacional, disposiciones de orden público, seguridad y salud públicas o para proteger los derechos de terceros.</w:t>
      </w:r>
    </w:p>
    <w:p w:rsidR="00EB010C" w:rsidRPr="0030613D" w:rsidRDefault="00EB010C">
      <w:pPr>
        <w:spacing w:after="0" w:line="360" w:lineRule="auto"/>
      </w:pPr>
    </w:p>
    <w:p w:rsidR="00EB010C" w:rsidRPr="0030613D" w:rsidRDefault="006A2F9C">
      <w:pPr>
        <w:spacing w:after="0" w:line="360" w:lineRule="auto"/>
      </w:pPr>
      <w:r w:rsidRPr="0030613D">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EB010C" w:rsidRPr="0030613D" w:rsidRDefault="00EB010C">
      <w:pPr>
        <w:spacing w:after="0" w:line="360" w:lineRule="auto"/>
      </w:pPr>
    </w:p>
    <w:p w:rsidR="00EB010C" w:rsidRPr="0030613D" w:rsidRDefault="006A2F9C">
      <w:pPr>
        <w:spacing w:after="0" w:line="360" w:lineRule="auto"/>
      </w:pPr>
      <w:r w:rsidRPr="0030613D">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EB010C" w:rsidRPr="0030613D" w:rsidRDefault="00EB010C">
      <w:pPr>
        <w:spacing w:after="0" w:line="360" w:lineRule="auto"/>
      </w:pPr>
    </w:p>
    <w:p w:rsidR="00EB010C" w:rsidRPr="0030613D" w:rsidRDefault="006A2F9C">
      <w:pPr>
        <w:spacing w:after="0" w:line="360" w:lineRule="auto"/>
      </w:pPr>
      <w:r w:rsidRPr="0030613D">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EB010C" w:rsidRPr="0030613D" w:rsidRDefault="00EB010C">
      <w:pPr>
        <w:spacing w:after="0" w:line="360" w:lineRule="auto"/>
      </w:pPr>
    </w:p>
    <w:p w:rsidR="00EB010C" w:rsidRPr="0030613D" w:rsidRDefault="006A2F9C">
      <w:pPr>
        <w:spacing w:after="0" w:line="360" w:lineRule="auto"/>
      </w:pPr>
      <w:r w:rsidRPr="0030613D">
        <w:t>En concordancia con lo previo, el artículo 143, fracción I, de la Ley previamente citada, establece que la información privada y los datos personales, concernientes a una persona física o jurídica colectiva identificada o identificable son confidenciales.</w:t>
      </w:r>
    </w:p>
    <w:p w:rsidR="00EB010C" w:rsidRPr="0030613D" w:rsidRDefault="00EB010C">
      <w:pPr>
        <w:spacing w:after="0" w:line="360" w:lineRule="auto"/>
      </w:pPr>
    </w:p>
    <w:p w:rsidR="00EB010C" w:rsidRPr="0030613D" w:rsidRDefault="006A2F9C">
      <w:pPr>
        <w:spacing w:after="0" w:line="360" w:lineRule="auto"/>
      </w:pPr>
      <w:r w:rsidRPr="0030613D">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w:t>
      </w:r>
      <w:r w:rsidRPr="0030613D">
        <w:lastRenderedPageBreak/>
        <w:t>exista una orden judicial, iv) por razones de seguridad nacional y salubridad general o v) para proteger los derechos de terceros o cuando se transmita entre sujetos obligados en términos de los tratados y los acuerdos interinstitucionales.</w:t>
      </w:r>
    </w:p>
    <w:p w:rsidR="00EB010C" w:rsidRPr="0030613D" w:rsidRDefault="00EB010C">
      <w:pPr>
        <w:spacing w:after="0" w:line="360" w:lineRule="auto"/>
      </w:pPr>
    </w:p>
    <w:p w:rsidR="00EB010C" w:rsidRPr="0030613D" w:rsidRDefault="006A2F9C">
      <w:pPr>
        <w:spacing w:after="0" w:line="360" w:lineRule="auto"/>
      </w:pPr>
      <w:r w:rsidRPr="0030613D">
        <w:t>En términos de lo expuesto, la documentación y aquellos datos que se consideren confidenciales, serán una limitante del derecho de acceso a la información, siempre y cuando:</w:t>
      </w:r>
    </w:p>
    <w:p w:rsidR="00EB010C" w:rsidRPr="0030613D" w:rsidRDefault="00EB010C">
      <w:pPr>
        <w:spacing w:after="0" w:line="360" w:lineRule="auto"/>
      </w:pPr>
    </w:p>
    <w:p w:rsidR="00EB010C" w:rsidRPr="0030613D" w:rsidRDefault="006A2F9C">
      <w:pPr>
        <w:numPr>
          <w:ilvl w:val="0"/>
          <w:numId w:val="4"/>
        </w:numPr>
        <w:spacing w:after="0" w:line="360" w:lineRule="auto"/>
        <w:jc w:val="left"/>
      </w:pPr>
      <w:r w:rsidRPr="0030613D">
        <w:t xml:space="preserve">Se trate de datos personales o información privada; esto es, información concerniente a una persona física o jurídico colectiva y que esta sea identificada o identificable. </w:t>
      </w:r>
    </w:p>
    <w:p w:rsidR="00EB010C" w:rsidRPr="0030613D" w:rsidRDefault="00EB010C">
      <w:pPr>
        <w:spacing w:after="0" w:line="360" w:lineRule="auto"/>
        <w:ind w:left="720"/>
      </w:pPr>
    </w:p>
    <w:p w:rsidR="00EB010C" w:rsidRPr="0030613D" w:rsidRDefault="006A2F9C">
      <w:pPr>
        <w:numPr>
          <w:ilvl w:val="0"/>
          <w:numId w:val="4"/>
        </w:numPr>
        <w:spacing w:after="0" w:line="360" w:lineRule="auto"/>
        <w:jc w:val="left"/>
      </w:pPr>
      <w:r w:rsidRPr="0030613D">
        <w:t xml:space="preserve">Para la difusión de los datos, se requiera el consentimiento del titular. </w:t>
      </w:r>
    </w:p>
    <w:p w:rsidR="00EB010C" w:rsidRPr="0030613D" w:rsidRDefault="00EB010C">
      <w:pPr>
        <w:spacing w:after="0" w:line="360" w:lineRule="auto"/>
      </w:pPr>
    </w:p>
    <w:p w:rsidR="00EB010C" w:rsidRPr="0030613D" w:rsidRDefault="006A2F9C">
      <w:pPr>
        <w:spacing w:after="0" w:line="360" w:lineRule="auto"/>
      </w:pPr>
      <w:r w:rsidRPr="0030613D">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00EB010C" w:rsidRPr="0030613D" w:rsidRDefault="00EB010C">
      <w:pPr>
        <w:spacing w:after="0" w:line="360" w:lineRule="auto"/>
      </w:pPr>
    </w:p>
    <w:p w:rsidR="00EB010C" w:rsidRPr="0030613D" w:rsidRDefault="006A2F9C">
      <w:pPr>
        <w:spacing w:after="0" w:line="360" w:lineRule="auto"/>
      </w:pPr>
      <w:r w:rsidRPr="0030613D">
        <w:t>Además, en el artículo 5° de dicho ordenamiento jurídico, establece que es la Ley aplicable para todo tratamiento de datos personales.</w:t>
      </w:r>
    </w:p>
    <w:p w:rsidR="00EB010C" w:rsidRPr="0030613D" w:rsidRDefault="00EB010C">
      <w:pPr>
        <w:spacing w:after="0" w:line="360" w:lineRule="auto"/>
      </w:pPr>
    </w:p>
    <w:p w:rsidR="00EB010C" w:rsidRPr="0030613D" w:rsidRDefault="006A2F9C">
      <w:pPr>
        <w:spacing w:after="0" w:line="360" w:lineRule="auto"/>
      </w:pPr>
      <w:r w:rsidRPr="0030613D">
        <w:t xml:space="preserve">En ese orden de ideas, los artículos 6°, 7°, 8° y 14 de la Ley de Protección de Datos Personales en Posesión de Sujetos Obligados del Estado de México y Municipios disponen que los </w:t>
      </w:r>
      <w:r w:rsidRPr="0030613D">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EB010C" w:rsidRPr="0030613D" w:rsidRDefault="00EB010C">
      <w:pPr>
        <w:spacing w:after="0" w:line="360" w:lineRule="auto"/>
      </w:pPr>
    </w:p>
    <w:p w:rsidR="00EB010C" w:rsidRPr="0030613D" w:rsidRDefault="006A2F9C">
      <w:pPr>
        <w:spacing w:after="0" w:line="360" w:lineRule="auto"/>
      </w:pPr>
      <w:r w:rsidRPr="0030613D">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EB010C" w:rsidRPr="0030613D" w:rsidRDefault="00EB010C">
      <w:pPr>
        <w:spacing w:after="0" w:line="360" w:lineRule="auto"/>
      </w:pPr>
    </w:p>
    <w:p w:rsidR="00EB010C" w:rsidRPr="0030613D" w:rsidRDefault="006A2F9C">
      <w:pPr>
        <w:spacing w:after="0" w:line="360" w:lineRule="auto"/>
      </w:pPr>
      <w:r w:rsidRPr="0030613D">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EB010C" w:rsidRPr="0030613D" w:rsidRDefault="00EB010C">
      <w:pPr>
        <w:spacing w:after="0" w:line="360" w:lineRule="auto"/>
      </w:pPr>
    </w:p>
    <w:p w:rsidR="00EB010C" w:rsidRPr="0030613D" w:rsidRDefault="006A2F9C">
      <w:pPr>
        <w:spacing w:after="0" w:line="360" w:lineRule="auto"/>
      </w:pPr>
      <w:r w:rsidRPr="0030613D">
        <w:t>De tal suerte, las instituciones públicas tienen la doble responsabilidad, por un lado, de proteger los datos personales y por otro, darles publicidad cuando la relevancia de esos datos sea de interés público.</w:t>
      </w:r>
    </w:p>
    <w:p w:rsidR="00EB010C" w:rsidRPr="0030613D" w:rsidRDefault="00EB010C">
      <w:pPr>
        <w:spacing w:after="0" w:line="360" w:lineRule="auto"/>
      </w:pPr>
    </w:p>
    <w:p w:rsidR="00EB010C" w:rsidRPr="0030613D" w:rsidRDefault="006A2F9C">
      <w:pPr>
        <w:spacing w:after="0" w:line="360" w:lineRule="auto"/>
      </w:pPr>
      <w:r w:rsidRPr="0030613D">
        <w:t xml:space="preserve">En este orden de ideas, toda la información que transparente la gestión pública, favorezca la rendición de cuentas y contribuya a la democratización del Estado Mexicano es, sin </w:t>
      </w:r>
      <w:r w:rsidRPr="0030613D">
        <w:lastRenderedPageBreak/>
        <w:t>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EB010C" w:rsidRPr="0030613D" w:rsidRDefault="00EB010C">
      <w:pPr>
        <w:spacing w:after="0" w:line="360" w:lineRule="auto"/>
      </w:pPr>
    </w:p>
    <w:p w:rsidR="00EB010C" w:rsidRPr="0030613D" w:rsidRDefault="006A2F9C">
      <w:pPr>
        <w:spacing w:after="0" w:line="360" w:lineRule="auto"/>
      </w:pPr>
      <w:r w:rsidRPr="0030613D">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EB010C" w:rsidRPr="0030613D" w:rsidRDefault="00EB010C">
      <w:pPr>
        <w:spacing w:after="0" w:line="360" w:lineRule="auto"/>
      </w:pPr>
    </w:p>
    <w:p w:rsidR="00EB010C" w:rsidRPr="0030613D" w:rsidRDefault="006A2F9C">
      <w:pPr>
        <w:spacing w:after="0" w:line="360" w:lineRule="auto"/>
      </w:pPr>
      <w:r w:rsidRPr="0030613D">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rsidR="00EB010C" w:rsidRPr="0030613D" w:rsidRDefault="00EB010C">
      <w:pPr>
        <w:spacing w:after="0" w:line="360" w:lineRule="auto"/>
      </w:pPr>
    </w:p>
    <w:p w:rsidR="00EB010C" w:rsidRPr="0030613D" w:rsidRDefault="006A2F9C">
      <w:pPr>
        <w:numPr>
          <w:ilvl w:val="0"/>
          <w:numId w:val="5"/>
        </w:numPr>
        <w:spacing w:after="0" w:line="360" w:lineRule="auto"/>
        <w:jc w:val="left"/>
        <w:rPr>
          <w:b/>
        </w:rPr>
      </w:pPr>
      <w:r w:rsidRPr="0030613D">
        <w:rPr>
          <w:b/>
        </w:rPr>
        <w:lastRenderedPageBreak/>
        <w:t>Nombre de actor en juicio laboral (</w:t>
      </w:r>
      <w:proofErr w:type="spellStart"/>
      <w:r w:rsidRPr="0030613D">
        <w:rPr>
          <w:b/>
        </w:rPr>
        <w:t>exservidor</w:t>
      </w:r>
      <w:proofErr w:type="spellEnd"/>
      <w:r w:rsidRPr="0030613D">
        <w:rPr>
          <w:b/>
        </w:rPr>
        <w:t xml:space="preserve"> público)</w:t>
      </w:r>
    </w:p>
    <w:p w:rsidR="00EB010C" w:rsidRPr="0030613D" w:rsidRDefault="00EB010C">
      <w:pPr>
        <w:spacing w:after="0" w:line="360" w:lineRule="auto"/>
        <w:ind w:left="720"/>
        <w:rPr>
          <w:b/>
        </w:rPr>
      </w:pPr>
    </w:p>
    <w:p w:rsidR="00EB010C" w:rsidRPr="0030613D" w:rsidRDefault="006A2F9C">
      <w:pPr>
        <w:spacing w:after="0" w:line="360" w:lineRule="auto"/>
      </w:pPr>
      <w:r w:rsidRPr="0030613D">
        <w:t xml:space="preserve">En principio, resulta necesario traer a colación el Criterio de interpretación, con clave de control SO/015/2023, de la Tercera Época, emitido por el Instituto Nacional de Transparencia y Acceso a la Información y Protección de Datos Personales, en el cual se precisa lo siguiente:  </w:t>
      </w:r>
    </w:p>
    <w:p w:rsidR="00EB010C" w:rsidRPr="0030613D" w:rsidRDefault="00EB010C">
      <w:pPr>
        <w:spacing w:after="0" w:line="360" w:lineRule="auto"/>
        <w:ind w:right="-93"/>
      </w:pPr>
    </w:p>
    <w:p w:rsidR="00EB010C" w:rsidRPr="0030613D" w:rsidRDefault="006A2F9C">
      <w:pPr>
        <w:spacing w:after="0" w:line="360" w:lineRule="auto"/>
        <w:ind w:left="567" w:right="567"/>
        <w:rPr>
          <w:i/>
          <w:sz w:val="20"/>
          <w:szCs w:val="20"/>
        </w:rPr>
      </w:pPr>
      <w:r w:rsidRPr="0030613D">
        <w:rPr>
          <w:b/>
          <w:i/>
          <w:sz w:val="20"/>
          <w:szCs w:val="20"/>
        </w:rPr>
        <w:t xml:space="preserve">“Nombre de actores en juicios laborales. Constituye, en principio, información confidencial. </w:t>
      </w:r>
      <w:r w:rsidRPr="0030613D">
        <w:rPr>
          <w:i/>
          <w:sz w:val="20"/>
          <w:szCs w:val="20"/>
        </w:rPr>
        <w:t>El nombre es un atributo de la personalidad y la manifestación principal del derecho a la identidad, debido a que por sí mismo permite identificar a una persona física. Por lo que respecta al nombre de las personas que han entablado un juicio laboral, éste permite identificar a quienes presentaron una demanda laboral y participan en un juicio, lo cual constituye una decisión personal que refleja un acto de voluntad de quien lo realiza. En efecto, las acciones legales que emprende la parte actora en el ejercicio de sus derechos laborales hacen evidente la posición jurídica en la cual se ha colocado por decisión propia, con relación a determinados entes públicos, para la obtención de algunas prestaciones laborales o económicas, lo cual constituye cuestiones de carácter estrictamente privado. En este tenor, el nombre de la parte actora en un juicio laboral que se encuentra en trámite o que, en su defecto, concluyó con la emisión de un laudo desfavorable a los intereses personales de dicha parte, constituye información confidencial. No obstante, procede la entrega del nombre de las partes actoras en juicios laborales cuando, en definitiva, se haya condenado al sujeto obligado demandado al pago de las prestaciones económicas reclamadas y/o a la reinstalación de la persona servidora pública, en virtud de que el cumplimiento de dicho fallo se realiza necesariamente con recursos públicos a cargo del presupuesto del sujeto obligado, lo cual por una parte permite dar cumplimiento a la obligación de transparentar la gestión pública y por la otra favorece la rendición de cuentas a las y los ciudadanos, ya que se refiere al ejercicio de los recursos públicos y al cumplimiento que se da a las resoluciones emitidas por alguna autoridad jurisdiccional encargada de dirimir conflictos laborales.”</w:t>
      </w:r>
    </w:p>
    <w:p w:rsidR="00EB010C" w:rsidRPr="0030613D" w:rsidRDefault="00EB010C">
      <w:pPr>
        <w:spacing w:after="0" w:line="360" w:lineRule="auto"/>
        <w:ind w:right="-93"/>
      </w:pPr>
    </w:p>
    <w:p w:rsidR="00EB010C" w:rsidRPr="0030613D" w:rsidRDefault="006A2F9C">
      <w:pPr>
        <w:spacing w:after="0" w:line="360" w:lineRule="auto"/>
        <w:rPr>
          <w:b/>
        </w:rPr>
      </w:pPr>
      <w:r w:rsidRPr="0030613D">
        <w:t xml:space="preserve">Del citado criterio, se puede desprender que el nombre de los actores en conflictos laborales, evidencian un acto de voluntad de quien lo realiza y refleja la posición jurídica en la que se </w:t>
      </w:r>
      <w:r w:rsidRPr="0030613D">
        <w:lastRenderedPageBreak/>
        <w:t>han colocado por decisión propia, con la finalidad de obtener sus pretensiones laborales, las cuales revisten de carácter estrictamente privado; por lo cual, el nombre de los actores de los juicios laborales que se encuentran en trámite o que, en su defecto, concluyeron con la emisión de un laudo desfavorable, se trata de información confidencial;</w:t>
      </w:r>
      <w:r w:rsidRPr="0030613D">
        <w:rPr>
          <w:b/>
        </w:rPr>
        <w:t xml:space="preserve"> </w:t>
      </w:r>
      <w:r w:rsidRPr="0030613D">
        <w:t xml:space="preserve">sin embargo, </w:t>
      </w:r>
      <w:r w:rsidRPr="0030613D">
        <w:rPr>
          <w:b/>
        </w:rPr>
        <w:t>procede la entrega de dicho dato, cuando en definitiva se haya condenado a una dependencia o entidad al pago de las prestaciones económicas reclamadas o la reinstalación del servidor público.</w:t>
      </w:r>
    </w:p>
    <w:p w:rsidR="00EB010C" w:rsidRPr="0030613D" w:rsidRDefault="00EB010C">
      <w:pPr>
        <w:spacing w:after="0" w:line="360" w:lineRule="auto"/>
        <w:rPr>
          <w:b/>
        </w:rPr>
      </w:pPr>
    </w:p>
    <w:p w:rsidR="00EB010C" w:rsidRPr="0030613D" w:rsidRDefault="006A2F9C">
      <w:pPr>
        <w:spacing w:after="0" w:line="360" w:lineRule="auto"/>
      </w:pPr>
      <w:r w:rsidRPr="0030613D">
        <w:t xml:space="preserve">Como se logra observar, únicamente procede la entrega de los nombres de los actores que hayan obtenido una determinación del Tribunal Estatal de Conciliación y Arbitraje favorable, que implique el pago de las prestaciones o bien, la reinstalación, pues el cumplimiento de dicha resolución, </w:t>
      </w:r>
      <w:r w:rsidRPr="0030613D">
        <w:rPr>
          <w:b/>
        </w:rPr>
        <w:t xml:space="preserve">se realiza necesariamente con recursos públicos; </w:t>
      </w:r>
      <w:r w:rsidRPr="0030613D">
        <w:t xml:space="preserve">por lo que, en el presente caso, no procede la clasificación del dato, en términos del artículo 143, fracción I, de la Ley de la materia, pues se entregaron recursos públicos a los </w:t>
      </w:r>
      <w:proofErr w:type="spellStart"/>
      <w:r w:rsidRPr="0030613D">
        <w:t>exservidores</w:t>
      </w:r>
      <w:proofErr w:type="spellEnd"/>
      <w:r w:rsidRPr="0030613D">
        <w:t xml:space="preserve"> públicos.</w:t>
      </w:r>
    </w:p>
    <w:p w:rsidR="00EB010C" w:rsidRPr="0030613D" w:rsidRDefault="00EB010C">
      <w:pPr>
        <w:spacing w:after="0" w:line="360" w:lineRule="auto"/>
        <w:rPr>
          <w:color w:val="000000"/>
        </w:rPr>
      </w:pPr>
    </w:p>
    <w:p w:rsidR="00EB010C" w:rsidRPr="0030613D" w:rsidRDefault="006A2F9C">
      <w:pPr>
        <w:numPr>
          <w:ilvl w:val="0"/>
          <w:numId w:val="5"/>
        </w:numPr>
        <w:spacing w:after="0" w:line="360" w:lineRule="auto"/>
        <w:jc w:val="left"/>
        <w:rPr>
          <w:b/>
        </w:rPr>
      </w:pPr>
      <w:r w:rsidRPr="0030613D">
        <w:rPr>
          <w:b/>
        </w:rPr>
        <w:t>Cuenta bancaria del Sujeto Obligado</w:t>
      </w:r>
    </w:p>
    <w:p w:rsidR="00EB010C" w:rsidRPr="0030613D" w:rsidRDefault="00EB010C">
      <w:pPr>
        <w:spacing w:after="0" w:line="360" w:lineRule="auto"/>
      </w:pPr>
    </w:p>
    <w:p w:rsidR="00EB010C" w:rsidRPr="0030613D" w:rsidRDefault="006A2F9C">
      <w:pPr>
        <w:spacing w:after="0" w:line="360" w:lineRule="auto"/>
      </w:pPr>
      <w:r w:rsidRPr="0030613D">
        <w:t xml:space="preserve">En relación con el número de cuenta del </w:t>
      </w:r>
      <w:r w:rsidR="0030613D" w:rsidRPr="0030613D">
        <w:rPr>
          <w:color w:val="000000"/>
        </w:rPr>
        <w:t>Ayuntamiento de Zinacantepec</w:t>
      </w:r>
      <w:r w:rsidRPr="0030613D">
        <w:t>, en donde reciben o transfieren recursos públicos, debe señalarse que la misma es considerada como información pública, pues su difusión favorece la rendición de cuentas al transparentar la forma en que se administran los recursos públicos, razón por la cual no pueden considerarse como información clasificada. Lo anterior se robustece con el Criterio SO/011/2017, emitido por el Instituto Nacional de Transparencia, Acceso a la Información y Protección de Datos Personales, mismo que a la letra señala:</w:t>
      </w:r>
    </w:p>
    <w:p w:rsidR="00EB010C" w:rsidRPr="0030613D" w:rsidRDefault="00EB010C">
      <w:pPr>
        <w:spacing w:after="0" w:line="360" w:lineRule="auto"/>
        <w:rPr>
          <w:i/>
        </w:rPr>
      </w:pPr>
    </w:p>
    <w:p w:rsidR="00EB010C" w:rsidRPr="0030613D" w:rsidRDefault="006A2F9C">
      <w:pPr>
        <w:spacing w:after="0" w:line="360" w:lineRule="auto"/>
        <w:ind w:left="567" w:right="567"/>
        <w:rPr>
          <w:i/>
          <w:sz w:val="20"/>
          <w:szCs w:val="20"/>
        </w:rPr>
      </w:pPr>
      <w:r w:rsidRPr="0030613D">
        <w:rPr>
          <w:b/>
          <w:i/>
          <w:sz w:val="20"/>
          <w:szCs w:val="20"/>
        </w:rPr>
        <w:t>“Cuentas bancarias y/o CLABE interbancaria de sujetos obligados que reciben y/o transfieren recursos públicos, son información pública.</w:t>
      </w:r>
      <w:r w:rsidRPr="0030613D">
        <w:rPr>
          <w:i/>
          <w:sz w:val="20"/>
          <w:szCs w:val="20"/>
        </w:rPr>
        <w:t xml:space="preserve"> La difusión de las cuentas bancarias y claves interbancarias pertenecientes a un sujeto obligado favorece la rendición de cuentas al </w:t>
      </w:r>
      <w:r w:rsidRPr="0030613D">
        <w:rPr>
          <w:i/>
          <w:sz w:val="20"/>
          <w:szCs w:val="20"/>
        </w:rPr>
        <w:lastRenderedPageBreak/>
        <w:t xml:space="preserve">transparentar la forma en que se administran los recursos públicos, </w:t>
      </w:r>
      <w:r w:rsidRPr="0030613D">
        <w:rPr>
          <w:i/>
          <w:sz w:val="20"/>
          <w:szCs w:val="20"/>
          <w:u w:val="single"/>
        </w:rPr>
        <w:t>razón por la cual no pueden considerarse como información clasificada.</w:t>
      </w:r>
      <w:r w:rsidRPr="0030613D">
        <w:rPr>
          <w:i/>
          <w:sz w:val="20"/>
          <w:szCs w:val="20"/>
        </w:rPr>
        <w:t>”</w:t>
      </w:r>
    </w:p>
    <w:p w:rsidR="00EB010C" w:rsidRPr="0030613D" w:rsidRDefault="00EB010C">
      <w:pPr>
        <w:spacing w:after="0" w:line="360" w:lineRule="auto"/>
        <w:rPr>
          <w:b/>
        </w:rPr>
      </w:pPr>
    </w:p>
    <w:p w:rsidR="00EB010C" w:rsidRPr="0030613D" w:rsidRDefault="006A2F9C">
      <w:pPr>
        <w:spacing w:after="0" w:line="360" w:lineRule="auto"/>
      </w:pPr>
      <w:r w:rsidRPr="0030613D">
        <w:t>Por tales circunstancias, no puede ser considera como información confidencial el número de cuenta del Sujeto Obligado y, por lo tanto, no procede su clasificación en términos del artículo 143, fracción I, de la Ley de Transparencia y Acceso a la Información Pública del Estado de México y Municipios.</w:t>
      </w:r>
    </w:p>
    <w:p w:rsidR="00EB010C" w:rsidRPr="0030613D" w:rsidRDefault="00EB010C">
      <w:pPr>
        <w:shd w:val="clear" w:color="auto" w:fill="FFFFFF"/>
        <w:spacing w:after="0" w:line="360" w:lineRule="auto"/>
        <w:rPr>
          <w:b/>
        </w:rPr>
      </w:pPr>
    </w:p>
    <w:p w:rsidR="00EB010C" w:rsidRPr="0030613D" w:rsidRDefault="006A2F9C">
      <w:pPr>
        <w:numPr>
          <w:ilvl w:val="0"/>
          <w:numId w:val="5"/>
        </w:numPr>
        <w:spacing w:after="0" w:line="360" w:lineRule="auto"/>
        <w:jc w:val="left"/>
        <w:rPr>
          <w:b/>
        </w:rPr>
      </w:pPr>
      <w:r w:rsidRPr="0030613D">
        <w:rPr>
          <w:b/>
        </w:rPr>
        <w:t>Número de cheque</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Al respecto, dicho dato corresponde a un grupo de números que van en ascendencia, mismos que permiten llevar la cuenta de los cheques emitidos; en otras palabras, es la numeración específica con la que cuenta los cheques, misma que va en orden ascendente y que solamente se encuentra para poder tener un control sobre los cheques emitidos por la Institución Bancaria, a través de una chequera y que fueron entregados al Sujeto Obligado para su utilización.</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Por lo que, en el presente caso, al no dar acceso a datos confidenciales o patrimoniales, se considera que no actualiza la causal de clasificación, prevista en el artículo 143, fracción I, de la Ley de Transparencia y Acceso a la Información Pública del Estado de México y Municipios.</w:t>
      </w:r>
    </w:p>
    <w:p w:rsidR="00EB010C" w:rsidRPr="0030613D" w:rsidRDefault="00EB010C">
      <w:pPr>
        <w:spacing w:after="0" w:line="360" w:lineRule="auto"/>
        <w:rPr>
          <w:color w:val="000000"/>
        </w:rPr>
      </w:pPr>
    </w:p>
    <w:p w:rsidR="00EB010C" w:rsidRPr="0030613D" w:rsidRDefault="006A2F9C">
      <w:pPr>
        <w:numPr>
          <w:ilvl w:val="0"/>
          <w:numId w:val="2"/>
        </w:numPr>
        <w:spacing w:after="0" w:line="360" w:lineRule="auto"/>
        <w:jc w:val="left"/>
        <w:rPr>
          <w:b/>
        </w:rPr>
      </w:pPr>
      <w:r w:rsidRPr="0030613D">
        <w:rPr>
          <w:b/>
          <w:color w:val="000000"/>
        </w:rPr>
        <w:t>Número</w:t>
      </w:r>
      <w:r w:rsidRPr="0030613D">
        <w:rPr>
          <w:b/>
        </w:rPr>
        <w:t xml:space="preserve"> de expediente</w:t>
      </w:r>
    </w:p>
    <w:p w:rsidR="00EB010C" w:rsidRPr="0030613D" w:rsidRDefault="00EB010C">
      <w:pPr>
        <w:spacing w:after="0" w:line="360" w:lineRule="auto"/>
      </w:pPr>
    </w:p>
    <w:p w:rsidR="00EB010C" w:rsidRPr="0030613D" w:rsidRDefault="006A2F9C">
      <w:pPr>
        <w:spacing w:after="0" w:line="360" w:lineRule="auto"/>
      </w:pPr>
      <w:r w:rsidRPr="0030613D">
        <w:t xml:space="preserve">Respecto al presente dato es oportuno traer al estudio lo previsto en la Tesis de Jurisprudencia 1a./J. 51/2006, de la Primera Sala de la Suprema Corte de Justicia de la Nación, de la Novena Época, con número de registro 174116, que establece que las sentencias de </w:t>
      </w:r>
      <w:r w:rsidRPr="0030613D">
        <w:lastRenderedPageBreak/>
        <w:t>segunda instancia, es decir, aquellas contra las cuales las leyes comunes que rigen en la jurisdicción local no conceden algún recurso ordinario por virtud del cual puedan ser confirmadas, modificadas o revocadas, causan estado o ejecutoria por ministerio de ley y producen los efectos de cosa juzgada.</w:t>
      </w:r>
    </w:p>
    <w:p w:rsidR="00EB010C" w:rsidRPr="0030613D" w:rsidRDefault="00EB010C">
      <w:pPr>
        <w:spacing w:after="0" w:line="360" w:lineRule="auto"/>
      </w:pPr>
    </w:p>
    <w:p w:rsidR="00EB010C" w:rsidRPr="0030613D" w:rsidRDefault="006A2F9C">
      <w:pPr>
        <w:spacing w:after="0" w:line="360" w:lineRule="auto"/>
      </w:pPr>
      <w:r w:rsidRPr="0030613D">
        <w:t xml:space="preserve">En ese orden de ideas, la Suprema Corte de Justicia de la Nación, al resolver la contradicción de tesis 14/2005-PS, una sentencia </w:t>
      </w:r>
      <w:r w:rsidRPr="0030613D">
        <w:rPr>
          <w:b/>
        </w:rPr>
        <w:t>causa ejecutoria</w:t>
      </w:r>
      <w:r w:rsidRPr="0030613D">
        <w:t xml:space="preserve"> cuando ya no puede ser impugnada por recurso ordinario alguno y, en consecuencia, </w:t>
      </w:r>
      <w:r w:rsidRPr="0030613D">
        <w:rPr>
          <w:b/>
        </w:rPr>
        <w:t>constituye la cosa juzgada</w:t>
      </w:r>
      <w:r w:rsidRPr="0030613D">
        <w:t>, pero tal circunstancia, debe entenderse en el sentido de que esas sentencias no admiten ningún recurso o medio de defensa establecido en la legislación ordinaria.</w:t>
      </w:r>
    </w:p>
    <w:p w:rsidR="00EB010C" w:rsidRPr="0030613D" w:rsidRDefault="00EB010C">
      <w:pPr>
        <w:spacing w:after="0" w:line="360" w:lineRule="auto"/>
      </w:pPr>
    </w:p>
    <w:p w:rsidR="00EB010C" w:rsidRPr="0030613D" w:rsidRDefault="006A2F9C">
      <w:pPr>
        <w:spacing w:after="0" w:line="360" w:lineRule="auto"/>
      </w:pPr>
      <w:r w:rsidRPr="0030613D">
        <w:t xml:space="preserve">En consecuente a lo anterior, toda vez que en el presente caso, los juicios seguidos ante el </w:t>
      </w:r>
      <w:r w:rsidRPr="0030613D">
        <w:rPr>
          <w:color w:val="000000"/>
        </w:rPr>
        <w:t>Tribunal Estatal de Conciliación y Arbitraje que fueron referidos en respuesta ya se les dicto el laudo correspondiente, estos se encuentran concluidos</w:t>
      </w:r>
      <w:r w:rsidRPr="0030613D">
        <w:rPr>
          <w:b/>
        </w:rPr>
        <w:t xml:space="preserve"> </w:t>
      </w:r>
      <w:r w:rsidRPr="0030613D">
        <w:t>y en proceso de ejecución; por lo que, el número de expediente no actualiza la causal de clasificación prevista en la fracción I, del artículo 143 de la Ley de Transparencia y Acceso a la Información Pública del Estado de México y Municipios, pues inclusive derivado de este procedimiento se entregaron recursos públicos.</w:t>
      </w:r>
    </w:p>
    <w:p w:rsidR="00EB010C" w:rsidRPr="0030613D" w:rsidRDefault="00EB010C">
      <w:pPr>
        <w:spacing w:after="0" w:line="360" w:lineRule="auto"/>
        <w:rPr>
          <w:color w:val="000000"/>
        </w:rPr>
      </w:pPr>
    </w:p>
    <w:p w:rsidR="00EB010C" w:rsidRPr="0030613D" w:rsidRDefault="006A2F9C">
      <w:pPr>
        <w:numPr>
          <w:ilvl w:val="0"/>
          <w:numId w:val="5"/>
        </w:numPr>
        <w:spacing w:after="0" w:line="360" w:lineRule="auto"/>
        <w:jc w:val="left"/>
        <w:rPr>
          <w:b/>
        </w:rPr>
      </w:pPr>
      <w:r w:rsidRPr="0030613D">
        <w:rPr>
          <w:b/>
        </w:rPr>
        <w:t xml:space="preserve">Firma de la </w:t>
      </w:r>
      <w:proofErr w:type="spellStart"/>
      <w:r w:rsidRPr="0030613D">
        <w:rPr>
          <w:b/>
        </w:rPr>
        <w:t>exservidores</w:t>
      </w:r>
      <w:proofErr w:type="spellEnd"/>
      <w:r w:rsidRPr="0030613D">
        <w:rPr>
          <w:b/>
        </w:rPr>
        <w:t xml:space="preserve"> públicos</w:t>
      </w:r>
    </w:p>
    <w:p w:rsidR="00EB010C" w:rsidRPr="0030613D" w:rsidRDefault="00EB010C">
      <w:pPr>
        <w:spacing w:after="0" w:line="360" w:lineRule="auto"/>
        <w:ind w:left="720"/>
        <w:jc w:val="left"/>
        <w:rPr>
          <w:b/>
        </w:rPr>
      </w:pPr>
    </w:p>
    <w:p w:rsidR="00EB010C" w:rsidRPr="0030613D" w:rsidRDefault="006A2F9C">
      <w:pPr>
        <w:spacing w:after="0" w:line="360" w:lineRule="auto"/>
      </w:pPr>
      <w:r w:rsidRPr="0030613D">
        <w:t xml:space="preserve">Al respecto, la firma, por regla general, es considerada un dato personal, al tratarse de información gráfica a través de la cual su titular exterioriza su voluntad determinados actos; sin embargo, en el presente caso, se trata de una </w:t>
      </w:r>
      <w:proofErr w:type="spellStart"/>
      <w:r w:rsidRPr="0030613D">
        <w:t>extrabajadora</w:t>
      </w:r>
      <w:proofErr w:type="spellEnd"/>
      <w:r w:rsidRPr="0030613D">
        <w:t>, por lo que dicho dato exterioriza la voluntad de aceptación del finiquito, es decir, que asienta la entrega de recursos públicos derivados de la terminación laboral.</w:t>
      </w:r>
    </w:p>
    <w:p w:rsidR="00EB010C" w:rsidRPr="0030613D" w:rsidRDefault="00EB010C">
      <w:pPr>
        <w:spacing w:after="0" w:line="360" w:lineRule="auto"/>
      </w:pPr>
    </w:p>
    <w:p w:rsidR="00EB010C" w:rsidRPr="0030613D" w:rsidRDefault="006A2F9C">
      <w:pPr>
        <w:spacing w:after="0" w:line="360" w:lineRule="auto"/>
        <w:rPr>
          <w:color w:val="000000"/>
        </w:rPr>
      </w:pPr>
      <w:r w:rsidRPr="0030613D">
        <w:rPr>
          <w:color w:val="000000"/>
        </w:rPr>
        <w:lastRenderedPageBreak/>
        <w:t xml:space="preserve">Conforme a lo anterior, no procede la clasificación de la firma de la </w:t>
      </w:r>
      <w:proofErr w:type="spellStart"/>
      <w:r w:rsidRPr="0030613D">
        <w:rPr>
          <w:color w:val="000000"/>
        </w:rPr>
        <w:t>exservidora</w:t>
      </w:r>
      <w:proofErr w:type="spellEnd"/>
      <w:r w:rsidRPr="0030613D">
        <w:rPr>
          <w:color w:val="000000"/>
        </w:rPr>
        <w:t xml:space="preserve"> localizada en la póliza, en términos del artículo 143, fracción I de la Ley de Transparencia y Acceso a la Información Pública del Estado de México y Municipios.</w:t>
      </w:r>
    </w:p>
    <w:p w:rsidR="00EB010C" w:rsidRPr="0030613D" w:rsidRDefault="00EB010C">
      <w:pPr>
        <w:spacing w:after="0" w:line="360" w:lineRule="auto"/>
        <w:rPr>
          <w:color w:val="000000"/>
        </w:rPr>
      </w:pPr>
    </w:p>
    <w:p w:rsidR="00EB010C" w:rsidRPr="0030613D" w:rsidRDefault="006A2F9C">
      <w:pPr>
        <w:spacing w:after="0" w:line="360" w:lineRule="auto"/>
        <w:rPr>
          <w:color w:val="000000"/>
        </w:rPr>
      </w:pPr>
      <w:r w:rsidRPr="0030613D">
        <w:rPr>
          <w:color w:val="000000"/>
        </w:rPr>
        <w:t>Así se concluye que no se actualizó la clasificación de los datos testados por el Sujeto Obligado, por lo que, para atender el requerimiento de información, se considera que deberá proporcionar las pólizas en versión íntegra.</w:t>
      </w:r>
    </w:p>
    <w:p w:rsidR="00EB010C" w:rsidRPr="0030613D" w:rsidRDefault="00EB010C">
      <w:pPr>
        <w:spacing w:after="0" w:line="360" w:lineRule="auto"/>
        <w:rPr>
          <w:color w:val="000000"/>
        </w:rPr>
      </w:pPr>
    </w:p>
    <w:p w:rsidR="00EB010C" w:rsidRPr="0030613D" w:rsidRDefault="006A2F9C">
      <w:pPr>
        <w:spacing w:after="0" w:line="360" w:lineRule="auto"/>
        <w:rPr>
          <w:b/>
        </w:rPr>
      </w:pPr>
      <w:r w:rsidRPr="0030613D">
        <w:rPr>
          <w:b/>
        </w:rPr>
        <w:t>SEXTO. Decisión</w:t>
      </w:r>
    </w:p>
    <w:p w:rsidR="00EB010C" w:rsidRPr="0030613D" w:rsidRDefault="00EB010C">
      <w:pPr>
        <w:spacing w:after="0" w:line="360" w:lineRule="auto"/>
        <w:rPr>
          <w:b/>
        </w:rPr>
      </w:pPr>
    </w:p>
    <w:p w:rsidR="00EB010C" w:rsidRPr="0030613D" w:rsidRDefault="006A2F9C">
      <w:pPr>
        <w:spacing w:after="0" w:line="360" w:lineRule="auto"/>
      </w:pPr>
      <w:r w:rsidRPr="0030613D">
        <w:t xml:space="preserve">Con fundamento en el artículo 186, fracción III, de la Ley de Transparencia y Acceso a la Información Pública del Estado de México y Municipios, este Instituto considera procedente </w:t>
      </w:r>
      <w:r w:rsidRPr="0030613D">
        <w:rPr>
          <w:b/>
        </w:rPr>
        <w:t xml:space="preserve">MODIFICAR </w:t>
      </w:r>
      <w:r w:rsidRPr="0030613D">
        <w:t>la respuesta otorgada por el Ayuntamiento de Zinacantepec, a efecto de que, entregue la información en versión íntegra.</w:t>
      </w:r>
    </w:p>
    <w:p w:rsidR="00EB010C" w:rsidRPr="0030613D" w:rsidRDefault="00EB010C">
      <w:pPr>
        <w:tabs>
          <w:tab w:val="left" w:pos="4962"/>
        </w:tabs>
        <w:spacing w:after="0" w:line="360" w:lineRule="auto"/>
      </w:pPr>
    </w:p>
    <w:p w:rsidR="00EB010C" w:rsidRPr="0030613D" w:rsidRDefault="006A2F9C">
      <w:pPr>
        <w:spacing w:after="0" w:line="360" w:lineRule="auto"/>
        <w:rPr>
          <w:b/>
        </w:rPr>
      </w:pPr>
      <w:r w:rsidRPr="0030613D">
        <w:rPr>
          <w:b/>
        </w:rPr>
        <w:t>Términos de la Resolución para conocimiento del Particular</w:t>
      </w:r>
    </w:p>
    <w:p w:rsidR="00EB010C" w:rsidRPr="0030613D" w:rsidRDefault="00EB010C">
      <w:pPr>
        <w:spacing w:after="0" w:line="360" w:lineRule="auto"/>
        <w:rPr>
          <w:b/>
        </w:rPr>
      </w:pPr>
    </w:p>
    <w:p w:rsidR="00EB010C" w:rsidRPr="0030613D" w:rsidRDefault="006A2F9C">
      <w:pPr>
        <w:spacing w:after="0" w:line="360" w:lineRule="auto"/>
      </w:pPr>
      <w:bookmarkStart w:id="1" w:name="_heading=h.1fob9te" w:colFirst="0" w:colLast="0"/>
      <w:bookmarkEnd w:id="1"/>
      <w:r w:rsidRPr="0030613D">
        <w:t xml:space="preserve">Se le hace del conocimiento al ahora Recurrente que, en el presente asunto, se le da la razón, pues el Sujeto Obligado clasificó datos de naturaleza pública, por lo que, en el presente caso, deberá </w:t>
      </w:r>
      <w:proofErr w:type="spellStart"/>
      <w:r w:rsidRPr="0030613D">
        <w:t>proporcionarselos</w:t>
      </w:r>
      <w:proofErr w:type="spellEnd"/>
      <w:r w:rsidRPr="0030613D">
        <w:t xml:space="preserve"> de manera íntegra. </w:t>
      </w:r>
    </w:p>
    <w:p w:rsidR="00EB010C" w:rsidRPr="0030613D" w:rsidRDefault="00EB010C">
      <w:pPr>
        <w:spacing w:after="0" w:line="360" w:lineRule="auto"/>
      </w:pPr>
    </w:p>
    <w:p w:rsidR="00EB010C" w:rsidRPr="0030613D" w:rsidRDefault="006A2F9C">
      <w:pPr>
        <w:spacing w:after="0" w:line="360" w:lineRule="auto"/>
        <w:rPr>
          <w:color w:val="000000"/>
        </w:rPr>
      </w:pPr>
      <w:r w:rsidRPr="0030613D">
        <w:rPr>
          <w:color w:val="000000"/>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rsidR="00EB010C" w:rsidRPr="0030613D" w:rsidRDefault="00EB010C">
      <w:pPr>
        <w:spacing w:after="0" w:line="360" w:lineRule="auto"/>
      </w:pPr>
    </w:p>
    <w:p w:rsidR="00EB010C" w:rsidRPr="0030613D" w:rsidRDefault="006A2F9C">
      <w:pPr>
        <w:spacing w:after="0" w:line="360" w:lineRule="auto"/>
      </w:pPr>
      <w:r w:rsidRPr="0030613D">
        <w:t>Por lo expuesto y fundado, este Pleno:</w:t>
      </w:r>
    </w:p>
    <w:p w:rsidR="00EB010C" w:rsidRPr="0030613D" w:rsidRDefault="00EB010C">
      <w:pPr>
        <w:spacing w:after="0" w:line="360" w:lineRule="auto"/>
        <w:rPr>
          <w:b/>
        </w:rPr>
      </w:pPr>
    </w:p>
    <w:p w:rsidR="00EB010C" w:rsidRPr="0030613D" w:rsidRDefault="006A2F9C">
      <w:pPr>
        <w:spacing w:after="0" w:line="360" w:lineRule="auto"/>
        <w:jc w:val="center"/>
        <w:rPr>
          <w:b/>
        </w:rPr>
      </w:pPr>
      <w:r w:rsidRPr="0030613D">
        <w:rPr>
          <w:b/>
        </w:rPr>
        <w:t>R E S U E L V E</w:t>
      </w:r>
    </w:p>
    <w:p w:rsidR="00EB010C" w:rsidRPr="0030613D" w:rsidRDefault="00EB010C">
      <w:pPr>
        <w:spacing w:after="0" w:line="360" w:lineRule="auto"/>
      </w:pPr>
    </w:p>
    <w:p w:rsidR="00EB010C" w:rsidRPr="0030613D" w:rsidRDefault="006A2F9C">
      <w:pPr>
        <w:spacing w:after="0" w:line="360" w:lineRule="auto"/>
      </w:pPr>
      <w:r w:rsidRPr="0030613D">
        <w:rPr>
          <w:b/>
        </w:rPr>
        <w:t xml:space="preserve">PRIMERO. </w:t>
      </w:r>
      <w:r w:rsidRPr="0030613D">
        <w:t xml:space="preserve">Se </w:t>
      </w:r>
      <w:r w:rsidRPr="0030613D">
        <w:rPr>
          <w:b/>
        </w:rPr>
        <w:t xml:space="preserve">MODIFICA </w:t>
      </w:r>
      <w:r w:rsidRPr="0030613D">
        <w:t xml:space="preserve">la respuesta entregada por el Ayuntamiento de Zinacantepec, a la solicitud de información </w:t>
      </w:r>
      <w:r w:rsidRPr="0030613D">
        <w:rPr>
          <w:color w:val="000000"/>
        </w:rPr>
        <w:t>00092/ZINACANT/IP/2024,</w:t>
      </w:r>
      <w:r w:rsidRPr="0030613D">
        <w:t xml:space="preserve"> por resultar</w:t>
      </w:r>
      <w:r w:rsidRPr="0030613D">
        <w:rPr>
          <w:b/>
        </w:rPr>
        <w:t xml:space="preserve"> FUNDADAS </w:t>
      </w:r>
      <w:r w:rsidRPr="0030613D">
        <w:t>las razones o motivos de inconformidad hechos valer por el Recurrente, en términos de los considerandos QUINTO y SEXTO de la presente Resolución.</w:t>
      </w:r>
    </w:p>
    <w:p w:rsidR="00EB010C" w:rsidRPr="0030613D" w:rsidRDefault="00EB010C">
      <w:pPr>
        <w:spacing w:after="0" w:line="360" w:lineRule="auto"/>
      </w:pPr>
    </w:p>
    <w:p w:rsidR="00EB010C" w:rsidRPr="0030613D" w:rsidRDefault="006A2F9C">
      <w:pPr>
        <w:spacing w:after="0" w:line="360" w:lineRule="auto"/>
        <w:rPr>
          <w:color w:val="000000"/>
        </w:rPr>
      </w:pPr>
      <w:r w:rsidRPr="0030613D">
        <w:rPr>
          <w:b/>
        </w:rPr>
        <w:t xml:space="preserve">SEGUNDO. </w:t>
      </w:r>
      <w:r w:rsidRPr="0030613D">
        <w:t xml:space="preserve">Se </w:t>
      </w:r>
      <w:r w:rsidRPr="0030613D">
        <w:rPr>
          <w:b/>
        </w:rPr>
        <w:t>ORDENA</w:t>
      </w:r>
      <w:r w:rsidRPr="0030613D">
        <w:t xml:space="preserve"> al Ente Recurrido</w:t>
      </w:r>
      <w:r w:rsidRPr="0030613D">
        <w:rPr>
          <w:b/>
        </w:rPr>
        <w:t xml:space="preserve">, </w:t>
      </w:r>
      <w:r w:rsidRPr="0030613D">
        <w:t xml:space="preserve">a efecto de que previa búsqueda exhaustiva y razonable en los archivos de las unidades administrativas competentes, entregue a través del Sistema de Acceso a la Información Mexiquense (SAIMEX), </w:t>
      </w:r>
      <w:r w:rsidRPr="0030613D">
        <w:rPr>
          <w:color w:val="000000"/>
        </w:rPr>
        <w:t>lo siguiente:</w:t>
      </w:r>
    </w:p>
    <w:p w:rsidR="00EB010C" w:rsidRPr="0030613D" w:rsidRDefault="00EB010C">
      <w:pPr>
        <w:spacing w:after="0" w:line="360" w:lineRule="auto"/>
      </w:pPr>
    </w:p>
    <w:p w:rsidR="00EB010C" w:rsidRPr="0030613D" w:rsidRDefault="006A2F9C">
      <w:pPr>
        <w:numPr>
          <w:ilvl w:val="0"/>
          <w:numId w:val="1"/>
        </w:numPr>
        <w:spacing w:after="0" w:line="360" w:lineRule="auto"/>
      </w:pPr>
      <w:r w:rsidRPr="0030613D">
        <w:rPr>
          <w:color w:val="000000"/>
        </w:rPr>
        <w:t xml:space="preserve">La versión íntegra de las pólizas de cheque entregadas en respuesta. </w:t>
      </w:r>
    </w:p>
    <w:p w:rsidR="00EB010C" w:rsidRPr="0030613D" w:rsidRDefault="00EB010C">
      <w:pPr>
        <w:pBdr>
          <w:top w:val="nil"/>
          <w:left w:val="nil"/>
          <w:bottom w:val="nil"/>
          <w:right w:val="nil"/>
          <w:between w:val="nil"/>
        </w:pBdr>
        <w:spacing w:after="0" w:line="360" w:lineRule="auto"/>
        <w:ind w:right="-28"/>
      </w:pPr>
    </w:p>
    <w:p w:rsidR="00EB010C" w:rsidRPr="0030613D" w:rsidRDefault="006A2F9C">
      <w:pPr>
        <w:spacing w:after="0" w:line="360" w:lineRule="auto"/>
        <w:ind w:right="-28"/>
        <w:rPr>
          <w:b/>
        </w:rPr>
      </w:pPr>
      <w:r w:rsidRPr="0030613D">
        <w:rPr>
          <w:b/>
        </w:rPr>
        <w:t xml:space="preserve">TERCERO. NOTIFÍQUESE </w:t>
      </w:r>
      <w:r w:rsidRPr="0030613D">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EB010C" w:rsidRPr="0030613D" w:rsidRDefault="00EB010C">
      <w:pPr>
        <w:spacing w:after="0" w:line="360" w:lineRule="auto"/>
        <w:ind w:right="-28"/>
        <w:rPr>
          <w:color w:val="000000"/>
        </w:rPr>
      </w:pPr>
    </w:p>
    <w:p w:rsidR="00EB010C" w:rsidRPr="0030613D" w:rsidRDefault="006A2F9C">
      <w:pPr>
        <w:spacing w:after="0" w:line="360" w:lineRule="auto"/>
        <w:rPr>
          <w:color w:val="000000"/>
        </w:rPr>
      </w:pPr>
      <w:r w:rsidRPr="0030613D">
        <w:rPr>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B010C" w:rsidRPr="0030613D" w:rsidRDefault="00EB010C">
      <w:pPr>
        <w:spacing w:after="0" w:line="360" w:lineRule="auto"/>
        <w:rPr>
          <w:color w:val="000000"/>
        </w:rPr>
      </w:pPr>
    </w:p>
    <w:p w:rsidR="00EB010C" w:rsidRPr="0030613D" w:rsidRDefault="006A2F9C">
      <w:pPr>
        <w:spacing w:after="0" w:line="360" w:lineRule="auto"/>
      </w:pPr>
      <w:r w:rsidRPr="0030613D">
        <w:rPr>
          <w:b/>
        </w:rPr>
        <w:t>CUARTO. NOTIFÍQUESE</w:t>
      </w:r>
      <w:r w:rsidRPr="0030613D">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EB010C" w:rsidRPr="0030613D" w:rsidRDefault="00EB010C">
      <w:pPr>
        <w:spacing w:after="0" w:line="360" w:lineRule="auto"/>
        <w:rPr>
          <w:b/>
        </w:rPr>
      </w:pPr>
    </w:p>
    <w:p w:rsidR="00EB010C" w:rsidRDefault="006A2F9C">
      <w:pPr>
        <w:spacing w:after="0" w:line="360" w:lineRule="auto"/>
        <w:rPr>
          <w:b/>
        </w:rPr>
      </w:pPr>
      <w:r w:rsidRPr="0030613D">
        <w:t>ASÍ LO RESUELVE, POR </w:t>
      </w:r>
      <w:r w:rsidRPr="0030613D">
        <w:rPr>
          <w:b/>
        </w:rPr>
        <w:t>UNANIMIDAD</w:t>
      </w:r>
      <w:r w:rsidRPr="0030613D">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00135E7A">
        <w:t>MARTÍNEZ (AUSENCIA JUSTIFICADA)</w:t>
      </w:r>
      <w:bookmarkStart w:id="2" w:name="_GoBack"/>
      <w:bookmarkEnd w:id="2"/>
      <w:r w:rsidRPr="0030613D">
        <w:t>, LUIS GUSTAVO PARRA NORIEGA Y GUADALUPE RAMÍREZ PEÑA, EN LA DÉCIMA SEXTA SESIÓN ORDINARIA, CELEBRADA EL NUEVE DE MAYO DE DOS MIL VEINTICUATRO, ANTE EL SECRETARIO TÉCNICO DEL PLENO, ALEXIS TAPIA RAMÍREZ.</w:t>
      </w: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p w:rsidR="00EB010C" w:rsidRDefault="00EB010C">
      <w:pPr>
        <w:spacing w:after="0" w:line="360" w:lineRule="auto"/>
      </w:pPr>
    </w:p>
    <w:sectPr w:rsidR="00EB010C">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5CE" w:rsidRDefault="00A245CE">
      <w:pPr>
        <w:spacing w:after="0" w:line="240" w:lineRule="auto"/>
      </w:pPr>
      <w:r>
        <w:separator/>
      </w:r>
    </w:p>
  </w:endnote>
  <w:endnote w:type="continuationSeparator" w:id="0">
    <w:p w:rsidR="00A245CE" w:rsidRDefault="00A2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0C" w:rsidRDefault="006A2F9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7351C9">
      <w:rPr>
        <w:b/>
        <w:color w:val="000000"/>
        <w:sz w:val="24"/>
        <w:szCs w:val="24"/>
      </w:rPr>
      <w:fldChar w:fldCharType="separate"/>
    </w:r>
    <w:r w:rsidR="007351C9">
      <w:rPr>
        <w:b/>
        <w:noProof/>
        <w:color w:val="000000"/>
        <w:sz w:val="24"/>
        <w:szCs w:val="24"/>
      </w:rPr>
      <w:t>22</w:t>
    </w:r>
    <w:r>
      <w:rPr>
        <w:b/>
        <w:color w:val="000000"/>
        <w:sz w:val="24"/>
        <w:szCs w:val="24"/>
      </w:rPr>
      <w:fldChar w:fldCharType="end"/>
    </w:r>
  </w:p>
  <w:p w:rsidR="00EB010C" w:rsidRDefault="00EB010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0C" w:rsidRDefault="006A2F9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51C9">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51C9">
      <w:rPr>
        <w:b/>
        <w:noProof/>
        <w:color w:val="000000"/>
        <w:sz w:val="24"/>
        <w:szCs w:val="24"/>
      </w:rPr>
      <w:t>22</w:t>
    </w:r>
    <w:r>
      <w:rPr>
        <w:b/>
        <w:color w:val="000000"/>
        <w:sz w:val="24"/>
        <w:szCs w:val="24"/>
      </w:rPr>
      <w:fldChar w:fldCharType="end"/>
    </w:r>
  </w:p>
  <w:p w:rsidR="00EB010C" w:rsidRDefault="00EB010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0C" w:rsidRDefault="006A2F9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51C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51C9">
      <w:rPr>
        <w:b/>
        <w:noProof/>
        <w:color w:val="000000"/>
        <w:sz w:val="24"/>
        <w:szCs w:val="24"/>
      </w:rPr>
      <w:t>22</w:t>
    </w:r>
    <w:r>
      <w:rPr>
        <w:b/>
        <w:color w:val="000000"/>
        <w:sz w:val="24"/>
        <w:szCs w:val="24"/>
      </w:rPr>
      <w:fldChar w:fldCharType="end"/>
    </w:r>
  </w:p>
  <w:p w:rsidR="00EB010C" w:rsidRDefault="00EB010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5CE" w:rsidRDefault="00A245CE">
      <w:pPr>
        <w:spacing w:after="0" w:line="240" w:lineRule="auto"/>
      </w:pPr>
      <w:r>
        <w:separator/>
      </w:r>
    </w:p>
  </w:footnote>
  <w:footnote w:type="continuationSeparator" w:id="0">
    <w:p w:rsidR="00A245CE" w:rsidRDefault="00A24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0C" w:rsidRDefault="00EB010C">
    <w:pPr>
      <w:widowControl w:val="0"/>
      <w:pBdr>
        <w:top w:val="nil"/>
        <w:left w:val="nil"/>
        <w:bottom w:val="nil"/>
        <w:right w:val="nil"/>
        <w:between w:val="nil"/>
      </w:pBdr>
      <w:spacing w:after="0" w:line="276" w:lineRule="auto"/>
      <w:jc w:val="left"/>
      <w:rPr>
        <w:color w:val="000000"/>
      </w:rPr>
    </w:pPr>
  </w:p>
  <w:tbl>
    <w:tblPr>
      <w:tblStyle w:val="a4"/>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B010C">
      <w:trPr>
        <w:trHeight w:val="132"/>
      </w:trPr>
      <w:tc>
        <w:tcPr>
          <w:tcW w:w="0" w:type="auto"/>
        </w:tcPr>
        <w:p w:rsidR="00EB010C" w:rsidRDefault="006A2F9C">
          <w:pPr>
            <w:tabs>
              <w:tab w:val="right" w:pos="8838"/>
            </w:tabs>
            <w:ind w:right="-105"/>
            <w:rPr>
              <w:b/>
            </w:rPr>
          </w:pPr>
          <w:r>
            <w:rPr>
              <w:b/>
            </w:rPr>
            <w:t>Recurso de Revisión:</w:t>
          </w:r>
        </w:p>
      </w:tc>
      <w:tc>
        <w:tcPr>
          <w:tcW w:w="0" w:type="auto"/>
        </w:tcPr>
        <w:p w:rsidR="00EB010C" w:rsidRDefault="006A2F9C">
          <w:pPr>
            <w:tabs>
              <w:tab w:val="right" w:pos="8838"/>
            </w:tabs>
            <w:ind w:left="-28" w:right="-32"/>
          </w:pPr>
          <w:r>
            <w:t>03846/INFOEM/IP/RR/2020</w:t>
          </w:r>
        </w:p>
      </w:tc>
    </w:tr>
    <w:tr w:rsidR="00EB010C">
      <w:trPr>
        <w:trHeight w:val="261"/>
      </w:trPr>
      <w:tc>
        <w:tcPr>
          <w:tcW w:w="0" w:type="auto"/>
        </w:tcPr>
        <w:p w:rsidR="00EB010C" w:rsidRDefault="006A2F9C">
          <w:pPr>
            <w:tabs>
              <w:tab w:val="right" w:pos="8838"/>
            </w:tabs>
            <w:ind w:right="-105"/>
            <w:rPr>
              <w:b/>
            </w:rPr>
          </w:pPr>
          <w:r>
            <w:rPr>
              <w:b/>
            </w:rPr>
            <w:t>Sujeto Obligado:</w:t>
          </w:r>
        </w:p>
      </w:tc>
      <w:tc>
        <w:tcPr>
          <w:tcW w:w="0" w:type="auto"/>
        </w:tcPr>
        <w:p w:rsidR="00EB010C" w:rsidRDefault="006A2F9C">
          <w:pPr>
            <w:tabs>
              <w:tab w:val="right" w:pos="8838"/>
            </w:tabs>
            <w:ind w:right="-32"/>
          </w:pPr>
          <w:r>
            <w:t xml:space="preserve">Ayuntamiento de </w:t>
          </w:r>
          <w:proofErr w:type="spellStart"/>
          <w:r>
            <w:t>Temascalcingo</w:t>
          </w:r>
          <w:proofErr w:type="spellEnd"/>
        </w:p>
      </w:tc>
    </w:tr>
    <w:tr w:rsidR="00EB010C">
      <w:trPr>
        <w:trHeight w:val="261"/>
      </w:trPr>
      <w:tc>
        <w:tcPr>
          <w:tcW w:w="0" w:type="auto"/>
        </w:tcPr>
        <w:p w:rsidR="00EB010C" w:rsidRDefault="006A2F9C">
          <w:pPr>
            <w:tabs>
              <w:tab w:val="right" w:pos="8838"/>
            </w:tabs>
            <w:ind w:right="-105"/>
            <w:rPr>
              <w:b/>
            </w:rPr>
          </w:pPr>
          <w:r>
            <w:rPr>
              <w:b/>
            </w:rPr>
            <w:t>Comisionado Ponente:</w:t>
          </w:r>
        </w:p>
      </w:tc>
      <w:tc>
        <w:tcPr>
          <w:tcW w:w="0" w:type="auto"/>
        </w:tcPr>
        <w:p w:rsidR="00EB010C" w:rsidRDefault="006A2F9C">
          <w:pPr>
            <w:tabs>
              <w:tab w:val="right" w:pos="8838"/>
            </w:tabs>
            <w:ind w:right="-32"/>
            <w:rPr>
              <w:b/>
            </w:rPr>
          </w:pPr>
          <w:r>
            <w:t>Luis Gustavo Parra Noriega</w:t>
          </w:r>
        </w:p>
      </w:tc>
    </w:tr>
  </w:tbl>
  <w:p w:rsidR="00EB010C" w:rsidRDefault="00A245CE">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0C" w:rsidRDefault="00A245CE">
    <w:pPr>
      <w:widowControl w:val="0"/>
      <w:pBdr>
        <w:top w:val="nil"/>
        <w:left w:val="nil"/>
        <w:bottom w:val="nil"/>
        <w:right w:val="nil"/>
        <w:between w:val="nil"/>
      </w:pBdr>
      <w:spacing w:after="0" w:line="276" w:lineRule="auto"/>
      <w:jc w:val="left"/>
    </w:pPr>
    <w:r>
      <w:rPr>
        <w:color w:val="000000"/>
      </w:rPr>
      <w:pict w14:anchorId="0E4A9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85.8pt;margin-top:-122.45pt;width:663.5pt;height:12in;z-index:-251659776;mso-position-horizontal:absolute;mso-position-horizontal-relative:margin;mso-position-vertical:absolute;mso-position-vertical-relative:margin">
          <v:imagedata r:id="rId1" o:title="image1"/>
          <w10:wrap anchorx="margin" anchory="margin"/>
        </v:shape>
      </w:pict>
    </w:r>
  </w:p>
  <w:tbl>
    <w:tblPr>
      <w:tblStyle w:val="a3"/>
      <w:tblW w:w="6378"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685"/>
    </w:tblGrid>
    <w:tr w:rsidR="00EB010C">
      <w:trPr>
        <w:trHeight w:val="138"/>
      </w:trPr>
      <w:tc>
        <w:tcPr>
          <w:tcW w:w="2693" w:type="dxa"/>
          <w:vAlign w:val="center"/>
        </w:tcPr>
        <w:p w:rsidR="00EB010C" w:rsidRDefault="00EB010C">
          <w:pPr>
            <w:tabs>
              <w:tab w:val="right" w:pos="8838"/>
            </w:tabs>
            <w:ind w:left="-108" w:right="-105"/>
            <w:jc w:val="left"/>
            <w:rPr>
              <w:b/>
            </w:rPr>
          </w:pPr>
        </w:p>
        <w:p w:rsidR="00EB010C" w:rsidRDefault="006A2F9C">
          <w:pPr>
            <w:tabs>
              <w:tab w:val="right" w:pos="8838"/>
            </w:tabs>
            <w:ind w:left="-108" w:right="-105"/>
            <w:jc w:val="left"/>
            <w:rPr>
              <w:b/>
            </w:rPr>
          </w:pPr>
          <w:r>
            <w:rPr>
              <w:b/>
            </w:rPr>
            <w:t>Recurso de Revisión:</w:t>
          </w:r>
        </w:p>
      </w:tc>
      <w:tc>
        <w:tcPr>
          <w:tcW w:w="3685" w:type="dxa"/>
        </w:tcPr>
        <w:p w:rsidR="00EB010C" w:rsidRDefault="00EB010C">
          <w:pPr>
            <w:tabs>
              <w:tab w:val="right" w:pos="8838"/>
            </w:tabs>
            <w:ind w:right="57"/>
            <w:rPr>
              <w:highlight w:val="yellow"/>
            </w:rPr>
          </w:pPr>
        </w:p>
        <w:p w:rsidR="00EB010C" w:rsidRDefault="006A2F9C">
          <w:pPr>
            <w:tabs>
              <w:tab w:val="right" w:pos="8838"/>
            </w:tabs>
            <w:ind w:right="57"/>
            <w:rPr>
              <w:highlight w:val="yellow"/>
            </w:rPr>
          </w:pPr>
          <w:r>
            <w:t>01866/INFOEM/IP/RR/2024</w:t>
          </w:r>
        </w:p>
      </w:tc>
    </w:tr>
    <w:tr w:rsidR="00EB010C">
      <w:trPr>
        <w:trHeight w:val="273"/>
      </w:trPr>
      <w:tc>
        <w:tcPr>
          <w:tcW w:w="2693" w:type="dxa"/>
        </w:tcPr>
        <w:p w:rsidR="00EB010C" w:rsidRDefault="006A2F9C">
          <w:pPr>
            <w:tabs>
              <w:tab w:val="right" w:pos="8838"/>
            </w:tabs>
            <w:ind w:left="-108" w:right="-105"/>
            <w:rPr>
              <w:b/>
            </w:rPr>
          </w:pPr>
          <w:r>
            <w:rPr>
              <w:b/>
            </w:rPr>
            <w:t>Sujeto Obligado:</w:t>
          </w:r>
        </w:p>
      </w:tc>
      <w:tc>
        <w:tcPr>
          <w:tcW w:w="3685" w:type="dxa"/>
        </w:tcPr>
        <w:p w:rsidR="00EB010C" w:rsidRDefault="006A2F9C">
          <w:pPr>
            <w:tabs>
              <w:tab w:val="right" w:pos="8838"/>
            </w:tabs>
            <w:ind w:right="33"/>
          </w:pPr>
          <w:r>
            <w:t>Ayuntamiento de Zinacantepec</w:t>
          </w:r>
        </w:p>
      </w:tc>
    </w:tr>
    <w:tr w:rsidR="00EB010C">
      <w:trPr>
        <w:trHeight w:val="273"/>
      </w:trPr>
      <w:tc>
        <w:tcPr>
          <w:tcW w:w="2693" w:type="dxa"/>
        </w:tcPr>
        <w:p w:rsidR="00EB010C" w:rsidRDefault="006A2F9C">
          <w:pPr>
            <w:tabs>
              <w:tab w:val="right" w:pos="8838"/>
            </w:tabs>
            <w:ind w:left="-108" w:right="-105"/>
            <w:rPr>
              <w:b/>
            </w:rPr>
          </w:pPr>
          <w:r>
            <w:rPr>
              <w:b/>
            </w:rPr>
            <w:t>Comisionado Ponente:</w:t>
          </w:r>
        </w:p>
      </w:tc>
      <w:tc>
        <w:tcPr>
          <w:tcW w:w="3685" w:type="dxa"/>
        </w:tcPr>
        <w:p w:rsidR="00EB010C" w:rsidRDefault="006A2F9C">
          <w:pPr>
            <w:tabs>
              <w:tab w:val="right" w:pos="8838"/>
            </w:tabs>
            <w:ind w:right="-170"/>
          </w:pPr>
          <w:r>
            <w:t>Luis Gustavo Parra Noriega</w:t>
          </w:r>
        </w:p>
      </w:tc>
    </w:tr>
  </w:tbl>
  <w:p w:rsidR="00EB010C" w:rsidRDefault="00EB010C">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0C" w:rsidRDefault="00EB010C">
    <w:pPr>
      <w:widowControl w:val="0"/>
      <w:pBdr>
        <w:top w:val="nil"/>
        <w:left w:val="nil"/>
        <w:bottom w:val="nil"/>
        <w:right w:val="nil"/>
        <w:between w:val="nil"/>
      </w:pBdr>
      <w:spacing w:after="0" w:line="276" w:lineRule="auto"/>
      <w:jc w:val="left"/>
      <w:rPr>
        <w:color w:val="000000"/>
      </w:rPr>
    </w:pPr>
  </w:p>
  <w:tbl>
    <w:tblPr>
      <w:tblStyle w:val="a5"/>
      <w:tblW w:w="6095"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3544"/>
    </w:tblGrid>
    <w:tr w:rsidR="00EB010C">
      <w:trPr>
        <w:trHeight w:val="132"/>
      </w:trPr>
      <w:tc>
        <w:tcPr>
          <w:tcW w:w="2551" w:type="dxa"/>
        </w:tcPr>
        <w:p w:rsidR="00EB010C" w:rsidRDefault="006A2F9C">
          <w:pPr>
            <w:tabs>
              <w:tab w:val="right" w:pos="8838"/>
            </w:tabs>
            <w:ind w:right="-105"/>
            <w:rPr>
              <w:b/>
            </w:rPr>
          </w:pPr>
          <w:r>
            <w:rPr>
              <w:b/>
            </w:rPr>
            <w:t>Recurso de Revisión:</w:t>
          </w:r>
        </w:p>
      </w:tc>
      <w:tc>
        <w:tcPr>
          <w:tcW w:w="3544" w:type="dxa"/>
        </w:tcPr>
        <w:p w:rsidR="00EB010C" w:rsidRDefault="006A2F9C">
          <w:pPr>
            <w:tabs>
              <w:tab w:val="right" w:pos="8838"/>
            </w:tabs>
            <w:ind w:left="-111" w:right="-32"/>
            <w:rPr>
              <w:highlight w:val="yellow"/>
            </w:rPr>
          </w:pPr>
          <w:r>
            <w:t>01866/INFOEM/IP/RR/2024</w:t>
          </w:r>
        </w:p>
      </w:tc>
    </w:tr>
    <w:tr w:rsidR="00EB010C">
      <w:trPr>
        <w:trHeight w:val="132"/>
      </w:trPr>
      <w:tc>
        <w:tcPr>
          <w:tcW w:w="2551" w:type="dxa"/>
          <w:shd w:val="clear" w:color="auto" w:fill="auto"/>
        </w:tcPr>
        <w:p w:rsidR="00EB010C" w:rsidRDefault="006A2F9C">
          <w:pPr>
            <w:tabs>
              <w:tab w:val="left" w:pos="1875"/>
            </w:tabs>
            <w:ind w:right="-105"/>
            <w:rPr>
              <w:b/>
            </w:rPr>
          </w:pPr>
          <w:r>
            <w:rPr>
              <w:b/>
            </w:rPr>
            <w:t>Recurrente:</w:t>
          </w:r>
          <w:r>
            <w:rPr>
              <w:b/>
            </w:rPr>
            <w:tab/>
            <w:t xml:space="preserve">           </w:t>
          </w:r>
        </w:p>
      </w:tc>
      <w:tc>
        <w:tcPr>
          <w:tcW w:w="3544" w:type="dxa"/>
          <w:shd w:val="clear" w:color="auto" w:fill="auto"/>
        </w:tcPr>
        <w:p w:rsidR="00EB010C" w:rsidRDefault="00EB010C">
          <w:pPr>
            <w:tabs>
              <w:tab w:val="right" w:pos="8838"/>
            </w:tabs>
            <w:ind w:left="-113"/>
            <w:rPr>
              <w:highlight w:val="yellow"/>
            </w:rPr>
          </w:pPr>
        </w:p>
      </w:tc>
    </w:tr>
    <w:tr w:rsidR="00EB010C">
      <w:trPr>
        <w:trHeight w:val="261"/>
      </w:trPr>
      <w:tc>
        <w:tcPr>
          <w:tcW w:w="2551" w:type="dxa"/>
        </w:tcPr>
        <w:p w:rsidR="00EB010C" w:rsidRDefault="006A2F9C">
          <w:pPr>
            <w:tabs>
              <w:tab w:val="right" w:pos="8838"/>
            </w:tabs>
            <w:ind w:right="-105"/>
            <w:rPr>
              <w:b/>
            </w:rPr>
          </w:pPr>
          <w:r>
            <w:rPr>
              <w:b/>
            </w:rPr>
            <w:t>Sujeto Obligado:</w:t>
          </w:r>
        </w:p>
      </w:tc>
      <w:tc>
        <w:tcPr>
          <w:tcW w:w="3544" w:type="dxa"/>
        </w:tcPr>
        <w:p w:rsidR="00EB010C" w:rsidRDefault="006A2F9C">
          <w:pPr>
            <w:tabs>
              <w:tab w:val="right" w:pos="8838"/>
            </w:tabs>
            <w:ind w:left="-111" w:right="-32"/>
          </w:pPr>
          <w:r>
            <w:t>Ayuntamiento de Zinacantepec</w:t>
          </w:r>
        </w:p>
      </w:tc>
    </w:tr>
    <w:tr w:rsidR="00EB010C">
      <w:trPr>
        <w:trHeight w:val="261"/>
      </w:trPr>
      <w:tc>
        <w:tcPr>
          <w:tcW w:w="2551" w:type="dxa"/>
        </w:tcPr>
        <w:p w:rsidR="00EB010C" w:rsidRDefault="006A2F9C">
          <w:pPr>
            <w:tabs>
              <w:tab w:val="right" w:pos="8838"/>
            </w:tabs>
            <w:ind w:right="-105"/>
            <w:rPr>
              <w:b/>
            </w:rPr>
          </w:pPr>
          <w:r>
            <w:rPr>
              <w:b/>
            </w:rPr>
            <w:t>Comisionado Ponente:</w:t>
          </w:r>
        </w:p>
      </w:tc>
      <w:tc>
        <w:tcPr>
          <w:tcW w:w="3544" w:type="dxa"/>
        </w:tcPr>
        <w:p w:rsidR="00EB010C" w:rsidRDefault="006A2F9C">
          <w:pPr>
            <w:tabs>
              <w:tab w:val="right" w:pos="8838"/>
            </w:tabs>
            <w:ind w:left="-111" w:right="-32"/>
            <w:rPr>
              <w:b/>
            </w:rPr>
          </w:pPr>
          <w:r>
            <w:t>Luis Gustavo Parra Noriega</w:t>
          </w:r>
        </w:p>
      </w:tc>
    </w:tr>
  </w:tbl>
  <w:p w:rsidR="00EB010C" w:rsidRDefault="00A245CE">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44634"/>
    <w:multiLevelType w:val="multilevel"/>
    <w:tmpl w:val="15968D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D1583D"/>
    <w:multiLevelType w:val="multilevel"/>
    <w:tmpl w:val="B96855D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4F3987"/>
    <w:multiLevelType w:val="multilevel"/>
    <w:tmpl w:val="6366CE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89171B"/>
    <w:multiLevelType w:val="multilevel"/>
    <w:tmpl w:val="2FD09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341337"/>
    <w:multiLevelType w:val="multilevel"/>
    <w:tmpl w:val="D398F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0C"/>
    <w:rsid w:val="00135E7A"/>
    <w:rsid w:val="0030613D"/>
    <w:rsid w:val="006A2F9C"/>
    <w:rsid w:val="007351C9"/>
    <w:rsid w:val="00A245CE"/>
    <w:rsid w:val="00EB01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96AA202-1D38-4013-8DF3-539998A9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1B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1256B2"/>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WRN8GrhZHgzsegTaGOrh2kX4A==">CgMxLjAyCWguMzBqMHpsbDIJaC4xZm9iOXRlOAByITFTSjBENVpyWlhRNDB4S25YdTduTzBNZVdPUWZrcWhfRQ==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5378</Words>
  <Characters>29580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2024-05-11T19:09:00Z</cp:lastPrinted>
  <dcterms:created xsi:type="dcterms:W3CDTF">2024-05-11T19:09:00Z</dcterms:created>
  <dcterms:modified xsi:type="dcterms:W3CDTF">2024-05-11T19:10:00Z</dcterms:modified>
</cp:coreProperties>
</file>