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szCs w:val="20"/>
        </w:rPr>
      </w:sdtEndPr>
      <w:sdtContent>
        <w:p w14:paraId="1AE18B79" w14:textId="6B195B53" w:rsidR="00AE3DA7" w:rsidRPr="001B3076" w:rsidRDefault="00AE3DA7" w:rsidP="001B3076">
          <w:pPr>
            <w:pStyle w:val="TtulodeTDC"/>
            <w:spacing w:before="0" w:line="240" w:lineRule="auto"/>
            <w:rPr>
              <w:rFonts w:ascii="Palatino Linotype" w:hAnsi="Palatino Linotype"/>
              <w:color w:val="auto"/>
              <w:sz w:val="20"/>
              <w:szCs w:val="20"/>
              <w:lang w:val="es-ES"/>
            </w:rPr>
          </w:pPr>
          <w:r w:rsidRPr="001B3076">
            <w:rPr>
              <w:rFonts w:ascii="Palatino Linotype" w:hAnsi="Palatino Linotype"/>
              <w:color w:val="auto"/>
              <w:sz w:val="20"/>
              <w:szCs w:val="20"/>
              <w:lang w:val="es-ES"/>
            </w:rPr>
            <w:t>Contenido</w:t>
          </w:r>
        </w:p>
        <w:p w14:paraId="3EB312A7" w14:textId="77777777" w:rsidR="00AA6EA9" w:rsidRPr="001B3076" w:rsidRDefault="00AA6EA9" w:rsidP="001B3076">
          <w:pPr>
            <w:spacing w:line="240" w:lineRule="auto"/>
            <w:rPr>
              <w:sz w:val="20"/>
              <w:lang w:val="es-ES" w:eastAsia="es-MX"/>
            </w:rPr>
          </w:pPr>
        </w:p>
        <w:p w14:paraId="005B3EB7" w14:textId="77777777" w:rsidR="001B3076" w:rsidRPr="001B3076" w:rsidRDefault="00AE3DA7" w:rsidP="001B3076">
          <w:pPr>
            <w:pStyle w:val="TDC1"/>
            <w:tabs>
              <w:tab w:val="right" w:leader="dot" w:pos="9034"/>
            </w:tabs>
            <w:rPr>
              <w:rFonts w:asciiTheme="minorHAnsi" w:eastAsiaTheme="minorEastAsia" w:hAnsiTheme="minorHAnsi" w:cstheme="minorBidi"/>
              <w:noProof/>
              <w:szCs w:val="22"/>
              <w:lang w:eastAsia="es-MX"/>
            </w:rPr>
          </w:pPr>
          <w:r w:rsidRPr="001B3076">
            <w:rPr>
              <w:sz w:val="20"/>
            </w:rPr>
            <w:fldChar w:fldCharType="begin"/>
          </w:r>
          <w:r w:rsidRPr="001B3076">
            <w:rPr>
              <w:sz w:val="20"/>
            </w:rPr>
            <w:instrText xml:space="preserve"> TOC \o "1-3" \h \z \u </w:instrText>
          </w:r>
          <w:r w:rsidRPr="001B3076">
            <w:rPr>
              <w:sz w:val="20"/>
            </w:rPr>
            <w:fldChar w:fldCharType="separate"/>
          </w:r>
          <w:hyperlink w:anchor="_Toc179389814" w:history="1">
            <w:r w:rsidR="001B3076" w:rsidRPr="001B3076">
              <w:rPr>
                <w:rStyle w:val="Hipervnculo"/>
                <w:noProof/>
                <w:color w:val="auto"/>
              </w:rPr>
              <w:t>ANTECEDENTES</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_Toc179389814 \h </w:instrText>
            </w:r>
            <w:r w:rsidR="001B3076" w:rsidRPr="001B3076">
              <w:rPr>
                <w:noProof/>
                <w:webHidden/>
              </w:rPr>
            </w:r>
            <w:r w:rsidR="001B3076" w:rsidRPr="001B3076">
              <w:rPr>
                <w:noProof/>
                <w:webHidden/>
              </w:rPr>
              <w:fldChar w:fldCharType="separate"/>
            </w:r>
            <w:r w:rsidR="00616A06">
              <w:rPr>
                <w:noProof/>
                <w:webHidden/>
              </w:rPr>
              <w:t>1</w:t>
            </w:r>
            <w:r w:rsidR="001B3076" w:rsidRPr="001B3076">
              <w:rPr>
                <w:noProof/>
                <w:webHidden/>
              </w:rPr>
              <w:fldChar w:fldCharType="end"/>
            </w:r>
          </w:hyperlink>
        </w:p>
        <w:p w14:paraId="4781A222" w14:textId="77777777" w:rsidR="001B3076" w:rsidRPr="001B3076" w:rsidRDefault="006728EA" w:rsidP="001B3076">
          <w:pPr>
            <w:pStyle w:val="TDC2"/>
            <w:rPr>
              <w:rFonts w:asciiTheme="minorHAnsi" w:eastAsiaTheme="minorEastAsia" w:hAnsiTheme="minorHAnsi" w:cstheme="minorBidi"/>
              <w:noProof/>
              <w:szCs w:val="22"/>
              <w:lang w:eastAsia="es-MX"/>
            </w:rPr>
          </w:pPr>
          <w:hyperlink w:anchor="_Toc179389815" w:history="1">
            <w:r w:rsidR="001B3076" w:rsidRPr="001B3076">
              <w:rPr>
                <w:rStyle w:val="Hipervnculo"/>
                <w:noProof/>
                <w:color w:val="auto"/>
              </w:rPr>
              <w:t>DE LA SOLICITUD DE INFORMACIÓN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_Toc179389815 \h </w:instrText>
            </w:r>
            <w:r w:rsidR="001B3076" w:rsidRPr="001B3076">
              <w:rPr>
                <w:noProof/>
                <w:webHidden/>
              </w:rPr>
            </w:r>
            <w:r w:rsidR="001B3076" w:rsidRPr="001B3076">
              <w:rPr>
                <w:noProof/>
                <w:webHidden/>
              </w:rPr>
              <w:fldChar w:fldCharType="separate"/>
            </w:r>
            <w:r w:rsidR="00616A06">
              <w:rPr>
                <w:noProof/>
                <w:webHidden/>
              </w:rPr>
              <w:t>1</w:t>
            </w:r>
            <w:r w:rsidR="001B3076" w:rsidRPr="001B3076">
              <w:rPr>
                <w:noProof/>
                <w:webHidden/>
              </w:rPr>
              <w:fldChar w:fldCharType="end"/>
            </w:r>
          </w:hyperlink>
        </w:p>
        <w:p w14:paraId="5335E046"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16" w:history="1">
            <w:r w:rsidR="001B3076" w:rsidRPr="001B3076">
              <w:rPr>
                <w:rStyle w:val="Hipervnculo"/>
                <w:noProof/>
                <w:color w:val="auto"/>
              </w:rPr>
              <w:t>a) Solicitud de información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_Toc179389816 \h </w:instrText>
            </w:r>
            <w:r w:rsidR="001B3076" w:rsidRPr="001B3076">
              <w:rPr>
                <w:noProof/>
                <w:webHidden/>
              </w:rPr>
            </w:r>
            <w:r w:rsidR="001B3076" w:rsidRPr="001B3076">
              <w:rPr>
                <w:noProof/>
                <w:webHidden/>
              </w:rPr>
              <w:fldChar w:fldCharType="separate"/>
            </w:r>
            <w:r w:rsidR="00616A06">
              <w:rPr>
                <w:noProof/>
                <w:webHidden/>
              </w:rPr>
              <w:t>1</w:t>
            </w:r>
            <w:r w:rsidR="001B3076" w:rsidRPr="001B3076">
              <w:rPr>
                <w:noProof/>
                <w:webHidden/>
              </w:rPr>
              <w:fldChar w:fldCharType="end"/>
            </w:r>
          </w:hyperlink>
        </w:p>
        <w:p w14:paraId="54E9B133"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17" w:history="1">
            <w:r w:rsidR="001B3076" w:rsidRPr="001B3076">
              <w:rPr>
                <w:rStyle w:val="Hipervnculo"/>
                <w:noProof/>
                <w:color w:val="auto"/>
              </w:rPr>
              <w:t xml:space="preserve">b) </w:t>
            </w:r>
            <w:r w:rsidR="001B3076" w:rsidRPr="001B3076">
              <w:rPr>
                <w:rStyle w:val="Hipervnculo"/>
                <w:bCs/>
                <w:noProof/>
                <w:color w:val="auto"/>
              </w:rPr>
              <w:t>Turno de la solicitud de información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_Toc179389817 \h </w:instrText>
            </w:r>
            <w:r w:rsidR="001B3076" w:rsidRPr="001B3076">
              <w:rPr>
                <w:noProof/>
                <w:webHidden/>
              </w:rPr>
            </w:r>
            <w:r w:rsidR="001B3076" w:rsidRPr="001B3076">
              <w:rPr>
                <w:noProof/>
                <w:webHidden/>
              </w:rPr>
              <w:fldChar w:fldCharType="separate"/>
            </w:r>
            <w:r w:rsidR="00616A06">
              <w:rPr>
                <w:noProof/>
                <w:webHidden/>
              </w:rPr>
              <w:t>2</w:t>
            </w:r>
            <w:r w:rsidR="001B3076" w:rsidRPr="001B3076">
              <w:rPr>
                <w:noProof/>
                <w:webHidden/>
              </w:rPr>
              <w:fldChar w:fldCharType="end"/>
            </w:r>
          </w:hyperlink>
        </w:p>
        <w:p w14:paraId="243FCE37"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18" w:history="1">
            <w:r w:rsidR="001B3076" w:rsidRPr="001B3076">
              <w:rPr>
                <w:rStyle w:val="Hipervnculo"/>
                <w:noProof/>
                <w:color w:val="auto"/>
                <w:lang w:val="es-ES"/>
              </w:rPr>
              <w:t xml:space="preserve">c) Respuesta </w:t>
            </w:r>
            <w:r w:rsidR="001B3076" w:rsidRPr="001B3076">
              <w:rPr>
                <w:rStyle w:val="Hipervnculo"/>
                <w:rFonts w:eastAsia="Calibri"/>
                <w:noProof/>
                <w:color w:val="auto"/>
                <w:lang w:eastAsia="en-US"/>
              </w:rPr>
              <w:t>del Sujeto Obligado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_Toc179389818 \h </w:instrText>
            </w:r>
            <w:r w:rsidR="001B3076" w:rsidRPr="001B3076">
              <w:rPr>
                <w:noProof/>
                <w:webHidden/>
              </w:rPr>
            </w:r>
            <w:r w:rsidR="001B3076" w:rsidRPr="001B3076">
              <w:rPr>
                <w:noProof/>
                <w:webHidden/>
              </w:rPr>
              <w:fldChar w:fldCharType="separate"/>
            </w:r>
            <w:r w:rsidR="00616A06">
              <w:rPr>
                <w:noProof/>
                <w:webHidden/>
              </w:rPr>
              <w:t>2</w:t>
            </w:r>
            <w:r w:rsidR="001B3076" w:rsidRPr="001B3076">
              <w:rPr>
                <w:noProof/>
                <w:webHidden/>
              </w:rPr>
              <w:fldChar w:fldCharType="end"/>
            </w:r>
          </w:hyperlink>
        </w:p>
        <w:p w14:paraId="3ED6E1E8" w14:textId="77777777" w:rsidR="001B3076" w:rsidRPr="001B3076" w:rsidRDefault="006728EA" w:rsidP="001B3076">
          <w:pPr>
            <w:pStyle w:val="TDC2"/>
            <w:rPr>
              <w:rFonts w:asciiTheme="minorHAnsi" w:eastAsiaTheme="minorEastAsia" w:hAnsiTheme="minorHAnsi" w:cstheme="minorBidi"/>
              <w:noProof/>
              <w:szCs w:val="22"/>
              <w:lang w:eastAsia="es-MX"/>
            </w:rPr>
          </w:pPr>
          <w:hyperlink w:anchor="_Toc179389819" w:history="1">
            <w:r w:rsidR="001B3076" w:rsidRPr="001B3076">
              <w:rPr>
                <w:rStyle w:val="Hipervnculo"/>
                <w:noProof/>
                <w:color w:val="auto"/>
              </w:rPr>
              <w:t>DEL RECURSO DE REVISIÓN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_Toc179389819 \h </w:instrText>
            </w:r>
            <w:r w:rsidR="001B3076" w:rsidRPr="001B3076">
              <w:rPr>
                <w:noProof/>
                <w:webHidden/>
              </w:rPr>
            </w:r>
            <w:r w:rsidR="001B3076" w:rsidRPr="001B3076">
              <w:rPr>
                <w:noProof/>
                <w:webHidden/>
              </w:rPr>
              <w:fldChar w:fldCharType="separate"/>
            </w:r>
            <w:r w:rsidR="00616A06">
              <w:rPr>
                <w:noProof/>
                <w:webHidden/>
              </w:rPr>
              <w:t>7</w:t>
            </w:r>
            <w:r w:rsidR="001B3076" w:rsidRPr="001B3076">
              <w:rPr>
                <w:noProof/>
                <w:webHidden/>
              </w:rPr>
              <w:fldChar w:fldCharType="end"/>
            </w:r>
          </w:hyperlink>
        </w:p>
        <w:p w14:paraId="54A55786"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0" w:history="1">
            <w:r w:rsidR="001B3076" w:rsidRPr="001B3076">
              <w:rPr>
                <w:rStyle w:val="Hipervnculo"/>
                <w:noProof/>
                <w:color w:val="auto"/>
              </w:rPr>
              <w:t>a) Interposición del Recurso de Revisión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_Toc179389820 \h </w:instrText>
            </w:r>
            <w:r w:rsidR="001B3076" w:rsidRPr="001B3076">
              <w:rPr>
                <w:noProof/>
                <w:webHidden/>
              </w:rPr>
            </w:r>
            <w:r w:rsidR="001B3076" w:rsidRPr="001B3076">
              <w:rPr>
                <w:noProof/>
                <w:webHidden/>
              </w:rPr>
              <w:fldChar w:fldCharType="separate"/>
            </w:r>
            <w:r w:rsidR="00616A06">
              <w:rPr>
                <w:noProof/>
                <w:webHidden/>
              </w:rPr>
              <w:t>7</w:t>
            </w:r>
            <w:r w:rsidR="001B3076" w:rsidRPr="001B3076">
              <w:rPr>
                <w:noProof/>
                <w:webHidden/>
              </w:rPr>
              <w:fldChar w:fldCharType="end"/>
            </w:r>
          </w:hyperlink>
        </w:p>
        <w:p w14:paraId="661B8C24"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1" w:history="1">
            <w:r w:rsidR="001B3076" w:rsidRPr="001B3076">
              <w:rPr>
                <w:rStyle w:val="Hipervnculo"/>
                <w:noProof/>
                <w:color w:val="auto"/>
              </w:rPr>
              <w:t>b) Turno del Recurso de Revisión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_Toc179389821 \h </w:instrText>
            </w:r>
            <w:r w:rsidR="001B3076" w:rsidRPr="001B3076">
              <w:rPr>
                <w:noProof/>
                <w:webHidden/>
              </w:rPr>
            </w:r>
            <w:r w:rsidR="001B3076" w:rsidRPr="001B3076">
              <w:rPr>
                <w:noProof/>
                <w:webHidden/>
              </w:rPr>
              <w:fldChar w:fldCharType="separate"/>
            </w:r>
            <w:r w:rsidR="00616A06">
              <w:rPr>
                <w:noProof/>
                <w:webHidden/>
              </w:rPr>
              <w:t>8</w:t>
            </w:r>
            <w:r w:rsidR="001B3076" w:rsidRPr="001B3076">
              <w:rPr>
                <w:noProof/>
                <w:webHidden/>
              </w:rPr>
              <w:fldChar w:fldCharType="end"/>
            </w:r>
          </w:hyperlink>
        </w:p>
        <w:p w14:paraId="49DC2076"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2" w:history="1">
            <w:r w:rsidR="001B3076" w:rsidRPr="001B3076">
              <w:rPr>
                <w:rStyle w:val="Hipervnculo"/>
                <w:noProof/>
                <w:color w:val="auto"/>
              </w:rPr>
              <w:t>c) Admisión del Recurso de Revisión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_Toc179389822 \h </w:instrText>
            </w:r>
            <w:r w:rsidR="001B3076" w:rsidRPr="001B3076">
              <w:rPr>
                <w:noProof/>
                <w:webHidden/>
              </w:rPr>
            </w:r>
            <w:r w:rsidR="001B3076" w:rsidRPr="001B3076">
              <w:rPr>
                <w:noProof/>
                <w:webHidden/>
              </w:rPr>
              <w:fldChar w:fldCharType="separate"/>
            </w:r>
            <w:r w:rsidR="00616A06">
              <w:rPr>
                <w:noProof/>
                <w:webHidden/>
              </w:rPr>
              <w:t>8</w:t>
            </w:r>
            <w:r w:rsidR="001B3076" w:rsidRPr="001B3076">
              <w:rPr>
                <w:noProof/>
                <w:webHidden/>
              </w:rPr>
              <w:fldChar w:fldCharType="end"/>
            </w:r>
          </w:hyperlink>
        </w:p>
        <w:p w14:paraId="1CD6317A"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3" w:history="1">
            <w:r w:rsidR="001B3076" w:rsidRPr="001B3076">
              <w:rPr>
                <w:rStyle w:val="Hipervnculo"/>
                <w:noProof/>
                <w:color w:val="auto"/>
              </w:rPr>
              <w:t>d) Informe Justificado del Sujeto Obligado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_Toc179389823 \h </w:instrText>
            </w:r>
            <w:r w:rsidR="001B3076" w:rsidRPr="001B3076">
              <w:rPr>
                <w:noProof/>
                <w:webHidden/>
              </w:rPr>
            </w:r>
            <w:r w:rsidR="001B3076" w:rsidRPr="001B3076">
              <w:rPr>
                <w:noProof/>
                <w:webHidden/>
              </w:rPr>
              <w:fldChar w:fldCharType="separate"/>
            </w:r>
            <w:r w:rsidR="00616A06">
              <w:rPr>
                <w:noProof/>
                <w:webHidden/>
              </w:rPr>
              <w:t>8</w:t>
            </w:r>
            <w:r w:rsidR="001B3076" w:rsidRPr="001B3076">
              <w:rPr>
                <w:noProof/>
                <w:webHidden/>
              </w:rPr>
              <w:fldChar w:fldCharType="end"/>
            </w:r>
          </w:hyperlink>
        </w:p>
        <w:p w14:paraId="6034CA4B"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4" w:history="1">
            <w:r w:rsidR="001B3076" w:rsidRPr="001B3076">
              <w:rPr>
                <w:rStyle w:val="Hipervnculo"/>
                <w:rFonts w:eastAsia="Calibri"/>
                <w:bCs/>
                <w:noProof/>
                <w:color w:val="auto"/>
                <w:lang w:eastAsia="en-US"/>
              </w:rPr>
              <w:t>e)</w:t>
            </w:r>
            <w:r w:rsidR="001B3076" w:rsidRPr="001B3076">
              <w:rPr>
                <w:rStyle w:val="Hipervnculo"/>
                <w:noProof/>
                <w:color w:val="auto"/>
              </w:rPr>
              <w:t xml:space="preserve"> </w:t>
            </w:r>
            <w:r w:rsidR="001B3076" w:rsidRPr="001B3076">
              <w:rPr>
                <w:rStyle w:val="Hipervnculo"/>
                <w:noProof/>
                <w:color w:val="auto"/>
                <w:lang w:val="es-ES"/>
              </w:rPr>
              <w:t>Manifestaciones de la Parte Recurrente</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_Toc179389824 \h </w:instrText>
            </w:r>
            <w:r w:rsidR="001B3076" w:rsidRPr="001B3076">
              <w:rPr>
                <w:noProof/>
                <w:webHidden/>
              </w:rPr>
            </w:r>
            <w:r w:rsidR="001B3076" w:rsidRPr="001B3076">
              <w:rPr>
                <w:noProof/>
                <w:webHidden/>
              </w:rPr>
              <w:fldChar w:fldCharType="separate"/>
            </w:r>
            <w:r w:rsidR="00616A06">
              <w:rPr>
                <w:noProof/>
                <w:webHidden/>
              </w:rPr>
              <w:t>10</w:t>
            </w:r>
            <w:r w:rsidR="001B3076" w:rsidRPr="001B3076">
              <w:rPr>
                <w:noProof/>
                <w:webHidden/>
              </w:rPr>
              <w:fldChar w:fldCharType="end"/>
            </w:r>
          </w:hyperlink>
        </w:p>
        <w:p w14:paraId="64418931"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5" w:history="1">
            <w:r w:rsidR="001B3076" w:rsidRPr="001B3076">
              <w:rPr>
                <w:rStyle w:val="Hipervnculo"/>
                <w:rFonts w:eastAsia="Calibri"/>
                <w:noProof/>
                <w:color w:val="auto"/>
              </w:rPr>
              <w:t xml:space="preserve">f) </w:t>
            </w:r>
            <w:r w:rsidR="001B3076" w:rsidRPr="001B3076">
              <w:rPr>
                <w:rStyle w:val="Hipervnculo"/>
                <w:noProof/>
                <w:color w:val="auto"/>
              </w:rPr>
              <w:t>Cierre de instrucción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_Toc179389825 \h </w:instrText>
            </w:r>
            <w:r w:rsidR="001B3076" w:rsidRPr="001B3076">
              <w:rPr>
                <w:noProof/>
                <w:webHidden/>
              </w:rPr>
            </w:r>
            <w:r w:rsidR="001B3076" w:rsidRPr="001B3076">
              <w:rPr>
                <w:noProof/>
                <w:webHidden/>
              </w:rPr>
              <w:fldChar w:fldCharType="separate"/>
            </w:r>
            <w:r w:rsidR="00616A06">
              <w:rPr>
                <w:noProof/>
                <w:webHidden/>
              </w:rPr>
              <w:t>10</w:t>
            </w:r>
            <w:r w:rsidR="001B3076" w:rsidRPr="001B3076">
              <w:rPr>
                <w:noProof/>
                <w:webHidden/>
              </w:rPr>
              <w:fldChar w:fldCharType="end"/>
            </w:r>
          </w:hyperlink>
        </w:p>
        <w:p w14:paraId="413916DC" w14:textId="77777777" w:rsidR="001B3076" w:rsidRPr="001B3076" w:rsidRDefault="006728EA" w:rsidP="001B3076">
          <w:pPr>
            <w:pStyle w:val="TDC1"/>
            <w:tabs>
              <w:tab w:val="right" w:leader="dot" w:pos="9034"/>
            </w:tabs>
            <w:rPr>
              <w:rFonts w:asciiTheme="minorHAnsi" w:eastAsiaTheme="minorEastAsia" w:hAnsiTheme="minorHAnsi" w:cstheme="minorBidi"/>
              <w:noProof/>
              <w:szCs w:val="22"/>
              <w:lang w:eastAsia="es-MX"/>
            </w:rPr>
          </w:pPr>
          <w:hyperlink w:anchor="_Toc179389826" w:history="1">
            <w:r w:rsidR="001B3076" w:rsidRPr="001B3076">
              <w:rPr>
                <w:rStyle w:val="Hipervnculo"/>
                <w:rFonts w:eastAsiaTheme="minorHAnsi"/>
                <w:noProof/>
                <w:color w:val="auto"/>
                <w:lang w:eastAsia="en-US"/>
              </w:rPr>
              <w:t>CONSIDERANDOS</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_Toc179389826 \h </w:instrText>
            </w:r>
            <w:r w:rsidR="001B3076" w:rsidRPr="001B3076">
              <w:rPr>
                <w:noProof/>
                <w:webHidden/>
              </w:rPr>
            </w:r>
            <w:r w:rsidR="001B3076" w:rsidRPr="001B3076">
              <w:rPr>
                <w:noProof/>
                <w:webHidden/>
              </w:rPr>
              <w:fldChar w:fldCharType="separate"/>
            </w:r>
            <w:r w:rsidR="00616A06">
              <w:rPr>
                <w:noProof/>
                <w:webHidden/>
              </w:rPr>
              <w:t>10</w:t>
            </w:r>
            <w:r w:rsidR="001B3076" w:rsidRPr="001B3076">
              <w:rPr>
                <w:noProof/>
                <w:webHidden/>
              </w:rPr>
              <w:fldChar w:fldCharType="end"/>
            </w:r>
          </w:hyperlink>
        </w:p>
        <w:p w14:paraId="462ECBA4" w14:textId="77777777" w:rsidR="001B3076" w:rsidRPr="001B3076" w:rsidRDefault="006728EA" w:rsidP="001B3076">
          <w:pPr>
            <w:pStyle w:val="TDC2"/>
            <w:rPr>
              <w:rFonts w:asciiTheme="minorHAnsi" w:eastAsiaTheme="minorEastAsia" w:hAnsiTheme="minorHAnsi" w:cstheme="minorBidi"/>
              <w:noProof/>
              <w:szCs w:val="22"/>
              <w:lang w:eastAsia="es-MX"/>
            </w:rPr>
          </w:pPr>
          <w:hyperlink w:anchor="_Toc179389827" w:history="1">
            <w:r w:rsidR="001B3076" w:rsidRPr="001B3076">
              <w:rPr>
                <w:rStyle w:val="Hipervnculo"/>
                <w:rFonts w:eastAsia="Batang"/>
                <w:noProof/>
                <w:color w:val="auto"/>
              </w:rPr>
              <w:t>PRIMERO. Procedibilidad</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_Toc179389827 \h </w:instrText>
            </w:r>
            <w:r w:rsidR="001B3076" w:rsidRPr="001B3076">
              <w:rPr>
                <w:noProof/>
                <w:webHidden/>
              </w:rPr>
            </w:r>
            <w:r w:rsidR="001B3076" w:rsidRPr="001B3076">
              <w:rPr>
                <w:noProof/>
                <w:webHidden/>
              </w:rPr>
              <w:fldChar w:fldCharType="separate"/>
            </w:r>
            <w:r w:rsidR="00616A06">
              <w:rPr>
                <w:noProof/>
                <w:webHidden/>
              </w:rPr>
              <w:t>11</w:t>
            </w:r>
            <w:r w:rsidR="001B3076" w:rsidRPr="001B3076">
              <w:rPr>
                <w:noProof/>
                <w:webHidden/>
              </w:rPr>
              <w:fldChar w:fldCharType="end"/>
            </w:r>
          </w:hyperlink>
        </w:p>
        <w:p w14:paraId="0C4724A1"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8" w:history="1">
            <w:r w:rsidR="001B3076" w:rsidRPr="001B3076">
              <w:rPr>
                <w:rStyle w:val="Hipervnculo"/>
                <w:noProof/>
                <w:color w:val="auto"/>
              </w:rPr>
              <w:t>a) Competencia del Instituto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_Toc179389828 \h </w:instrText>
            </w:r>
            <w:r w:rsidR="001B3076" w:rsidRPr="001B3076">
              <w:rPr>
                <w:noProof/>
                <w:webHidden/>
              </w:rPr>
            </w:r>
            <w:r w:rsidR="001B3076" w:rsidRPr="001B3076">
              <w:rPr>
                <w:noProof/>
                <w:webHidden/>
              </w:rPr>
              <w:fldChar w:fldCharType="separate"/>
            </w:r>
            <w:r w:rsidR="00616A06">
              <w:rPr>
                <w:noProof/>
                <w:webHidden/>
              </w:rPr>
              <w:t>11</w:t>
            </w:r>
            <w:r w:rsidR="001B3076" w:rsidRPr="001B3076">
              <w:rPr>
                <w:noProof/>
                <w:webHidden/>
              </w:rPr>
              <w:fldChar w:fldCharType="end"/>
            </w:r>
          </w:hyperlink>
        </w:p>
        <w:p w14:paraId="2054E3FF"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29" w:history="1">
            <w:r w:rsidR="001B3076" w:rsidRPr="001B3076">
              <w:rPr>
                <w:rStyle w:val="Hipervnculo"/>
                <w:noProof/>
                <w:color w:val="auto"/>
              </w:rPr>
              <w:t>b) Legitimidad de la parte recurrente</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_Toc179389829 \h </w:instrText>
            </w:r>
            <w:r w:rsidR="001B3076" w:rsidRPr="001B3076">
              <w:rPr>
                <w:noProof/>
                <w:webHidden/>
              </w:rPr>
            </w:r>
            <w:r w:rsidR="001B3076" w:rsidRPr="001B3076">
              <w:rPr>
                <w:noProof/>
                <w:webHidden/>
              </w:rPr>
              <w:fldChar w:fldCharType="separate"/>
            </w:r>
            <w:r w:rsidR="00616A06">
              <w:rPr>
                <w:noProof/>
                <w:webHidden/>
              </w:rPr>
              <w:t>11</w:t>
            </w:r>
            <w:r w:rsidR="001B3076" w:rsidRPr="001B3076">
              <w:rPr>
                <w:noProof/>
                <w:webHidden/>
              </w:rPr>
              <w:fldChar w:fldCharType="end"/>
            </w:r>
          </w:hyperlink>
        </w:p>
        <w:p w14:paraId="73BB6741"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0" w:history="1">
            <w:r w:rsidR="001B3076" w:rsidRPr="001B3076">
              <w:rPr>
                <w:rStyle w:val="Hipervnculo"/>
                <w:rFonts w:eastAsia="Calibri"/>
                <w:noProof/>
                <w:color w:val="auto"/>
                <w:lang w:eastAsia="es-ES_tradnl"/>
              </w:rPr>
              <w:t>c) Plazo para interponer el recurso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_Toc179389830 \h </w:instrText>
            </w:r>
            <w:r w:rsidR="001B3076" w:rsidRPr="001B3076">
              <w:rPr>
                <w:noProof/>
                <w:webHidden/>
              </w:rPr>
            </w:r>
            <w:r w:rsidR="001B3076" w:rsidRPr="001B3076">
              <w:rPr>
                <w:noProof/>
                <w:webHidden/>
              </w:rPr>
              <w:fldChar w:fldCharType="separate"/>
            </w:r>
            <w:r w:rsidR="00616A06">
              <w:rPr>
                <w:noProof/>
                <w:webHidden/>
              </w:rPr>
              <w:t>11</w:t>
            </w:r>
            <w:r w:rsidR="001B3076" w:rsidRPr="001B3076">
              <w:rPr>
                <w:noProof/>
                <w:webHidden/>
              </w:rPr>
              <w:fldChar w:fldCharType="end"/>
            </w:r>
          </w:hyperlink>
        </w:p>
        <w:p w14:paraId="77751C99"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1" w:history="1">
            <w:r w:rsidR="001B3076" w:rsidRPr="001B3076">
              <w:rPr>
                <w:rStyle w:val="Hipervnculo"/>
                <w:rFonts w:eastAsia="Calibri"/>
                <w:noProof/>
                <w:color w:val="auto"/>
                <w:lang w:eastAsia="es-ES_tradnl"/>
              </w:rPr>
              <w:t>d) Causal de Procedencia</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_Toc179389831 \h </w:instrText>
            </w:r>
            <w:r w:rsidR="001B3076" w:rsidRPr="001B3076">
              <w:rPr>
                <w:noProof/>
                <w:webHidden/>
              </w:rPr>
            </w:r>
            <w:r w:rsidR="001B3076" w:rsidRPr="001B3076">
              <w:rPr>
                <w:noProof/>
                <w:webHidden/>
              </w:rPr>
              <w:fldChar w:fldCharType="separate"/>
            </w:r>
            <w:r w:rsidR="00616A06">
              <w:rPr>
                <w:noProof/>
                <w:webHidden/>
              </w:rPr>
              <w:t>12</w:t>
            </w:r>
            <w:r w:rsidR="001B3076" w:rsidRPr="001B3076">
              <w:rPr>
                <w:noProof/>
                <w:webHidden/>
              </w:rPr>
              <w:fldChar w:fldCharType="end"/>
            </w:r>
          </w:hyperlink>
        </w:p>
        <w:p w14:paraId="62D720AD"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2" w:history="1">
            <w:r w:rsidR="001B3076" w:rsidRPr="001B3076">
              <w:rPr>
                <w:rStyle w:val="Hipervnculo"/>
                <w:noProof/>
                <w:color w:val="auto"/>
              </w:rPr>
              <w:t>e) Requisitos formales para la interposición del recurso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_Toc179389832 \h </w:instrText>
            </w:r>
            <w:r w:rsidR="001B3076" w:rsidRPr="001B3076">
              <w:rPr>
                <w:noProof/>
                <w:webHidden/>
              </w:rPr>
            </w:r>
            <w:r w:rsidR="001B3076" w:rsidRPr="001B3076">
              <w:rPr>
                <w:noProof/>
                <w:webHidden/>
              </w:rPr>
              <w:fldChar w:fldCharType="separate"/>
            </w:r>
            <w:r w:rsidR="00616A06">
              <w:rPr>
                <w:noProof/>
                <w:webHidden/>
              </w:rPr>
              <w:t>12</w:t>
            </w:r>
            <w:r w:rsidR="001B3076" w:rsidRPr="001B3076">
              <w:rPr>
                <w:noProof/>
                <w:webHidden/>
              </w:rPr>
              <w:fldChar w:fldCharType="end"/>
            </w:r>
          </w:hyperlink>
        </w:p>
        <w:p w14:paraId="720D79DE" w14:textId="77777777" w:rsidR="001B3076" w:rsidRPr="001B3076" w:rsidRDefault="006728EA" w:rsidP="001B3076">
          <w:pPr>
            <w:pStyle w:val="TDC2"/>
            <w:rPr>
              <w:rFonts w:asciiTheme="minorHAnsi" w:eastAsiaTheme="minorEastAsia" w:hAnsiTheme="minorHAnsi" w:cstheme="minorBidi"/>
              <w:noProof/>
              <w:szCs w:val="22"/>
              <w:lang w:eastAsia="es-MX"/>
            </w:rPr>
          </w:pPr>
          <w:hyperlink w:anchor="_Toc179389833" w:history="1">
            <w:r w:rsidR="001B3076" w:rsidRPr="001B3076">
              <w:rPr>
                <w:rStyle w:val="Hipervnculo"/>
                <w:noProof/>
                <w:color w:val="auto"/>
              </w:rPr>
              <w:t>SEGUNDO. Estudio de Fondo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_Toc179389833 \h </w:instrText>
            </w:r>
            <w:r w:rsidR="001B3076" w:rsidRPr="001B3076">
              <w:rPr>
                <w:noProof/>
                <w:webHidden/>
              </w:rPr>
            </w:r>
            <w:r w:rsidR="001B3076" w:rsidRPr="001B3076">
              <w:rPr>
                <w:noProof/>
                <w:webHidden/>
              </w:rPr>
              <w:fldChar w:fldCharType="separate"/>
            </w:r>
            <w:r w:rsidR="00616A06">
              <w:rPr>
                <w:noProof/>
                <w:webHidden/>
              </w:rPr>
              <w:t>13</w:t>
            </w:r>
            <w:r w:rsidR="001B3076" w:rsidRPr="001B3076">
              <w:rPr>
                <w:noProof/>
                <w:webHidden/>
              </w:rPr>
              <w:fldChar w:fldCharType="end"/>
            </w:r>
          </w:hyperlink>
        </w:p>
        <w:p w14:paraId="0A091E81"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4" w:history="1">
            <w:r w:rsidR="001B3076" w:rsidRPr="001B3076">
              <w:rPr>
                <w:rStyle w:val="Hipervnculo"/>
                <w:noProof/>
                <w:color w:val="auto"/>
              </w:rPr>
              <w:t>a) Mandato de transparencia y responsabilidad del Sujeto Obligado</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_Toc179389834 \h </w:instrText>
            </w:r>
            <w:r w:rsidR="001B3076" w:rsidRPr="001B3076">
              <w:rPr>
                <w:noProof/>
                <w:webHidden/>
              </w:rPr>
            </w:r>
            <w:r w:rsidR="001B3076" w:rsidRPr="001B3076">
              <w:rPr>
                <w:noProof/>
                <w:webHidden/>
              </w:rPr>
              <w:fldChar w:fldCharType="separate"/>
            </w:r>
            <w:r w:rsidR="00616A06">
              <w:rPr>
                <w:noProof/>
                <w:webHidden/>
              </w:rPr>
              <w:t>13</w:t>
            </w:r>
            <w:r w:rsidR="001B3076" w:rsidRPr="001B3076">
              <w:rPr>
                <w:noProof/>
                <w:webHidden/>
              </w:rPr>
              <w:fldChar w:fldCharType="end"/>
            </w:r>
          </w:hyperlink>
        </w:p>
        <w:p w14:paraId="1AE40139"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5" w:history="1">
            <w:r w:rsidR="001B3076" w:rsidRPr="001B3076">
              <w:rPr>
                <w:rStyle w:val="Hipervnculo"/>
                <w:rFonts w:eastAsia="Calibri"/>
                <w:noProof/>
                <w:color w:val="auto"/>
                <w:lang w:eastAsia="es-ES_tradnl"/>
              </w:rPr>
              <w:t>b) Controversia a resolver</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_Toc179389835 \h </w:instrText>
            </w:r>
            <w:r w:rsidR="001B3076" w:rsidRPr="001B3076">
              <w:rPr>
                <w:noProof/>
                <w:webHidden/>
              </w:rPr>
            </w:r>
            <w:r w:rsidR="001B3076" w:rsidRPr="001B3076">
              <w:rPr>
                <w:noProof/>
                <w:webHidden/>
              </w:rPr>
              <w:fldChar w:fldCharType="separate"/>
            </w:r>
            <w:r w:rsidR="00616A06">
              <w:rPr>
                <w:noProof/>
                <w:webHidden/>
              </w:rPr>
              <w:t>15</w:t>
            </w:r>
            <w:r w:rsidR="001B3076" w:rsidRPr="001B3076">
              <w:rPr>
                <w:noProof/>
                <w:webHidden/>
              </w:rPr>
              <w:fldChar w:fldCharType="end"/>
            </w:r>
          </w:hyperlink>
        </w:p>
        <w:p w14:paraId="380FB0B0"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6" w:history="1">
            <w:r w:rsidR="001B3076" w:rsidRPr="001B3076">
              <w:rPr>
                <w:rStyle w:val="Hipervnculo"/>
                <w:rFonts w:eastAsia="Palatino Linotype"/>
                <w:noProof/>
                <w:color w:val="auto"/>
              </w:rPr>
              <w:t>c) Estudio de la controversia</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_Toc179389836 \h </w:instrText>
            </w:r>
            <w:r w:rsidR="001B3076" w:rsidRPr="001B3076">
              <w:rPr>
                <w:noProof/>
                <w:webHidden/>
              </w:rPr>
            </w:r>
            <w:r w:rsidR="001B3076" w:rsidRPr="001B3076">
              <w:rPr>
                <w:noProof/>
                <w:webHidden/>
              </w:rPr>
              <w:fldChar w:fldCharType="separate"/>
            </w:r>
            <w:r w:rsidR="00616A06">
              <w:rPr>
                <w:noProof/>
                <w:webHidden/>
              </w:rPr>
              <w:t>16</w:t>
            </w:r>
            <w:r w:rsidR="001B3076" w:rsidRPr="001B3076">
              <w:rPr>
                <w:noProof/>
                <w:webHidden/>
              </w:rPr>
              <w:fldChar w:fldCharType="end"/>
            </w:r>
          </w:hyperlink>
        </w:p>
        <w:p w14:paraId="4CFA26A1"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7" w:history="1">
            <w:r w:rsidR="001B3076" w:rsidRPr="001B3076">
              <w:rPr>
                <w:rStyle w:val="Hipervnculo"/>
                <w:noProof/>
                <w:color w:val="auto"/>
              </w:rPr>
              <w:t>d) Versión pública</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_Toc179389837 \h </w:instrText>
            </w:r>
            <w:r w:rsidR="001B3076" w:rsidRPr="001B3076">
              <w:rPr>
                <w:noProof/>
                <w:webHidden/>
              </w:rPr>
            </w:r>
            <w:r w:rsidR="001B3076" w:rsidRPr="001B3076">
              <w:rPr>
                <w:noProof/>
                <w:webHidden/>
              </w:rPr>
              <w:fldChar w:fldCharType="separate"/>
            </w:r>
            <w:r w:rsidR="00616A06">
              <w:rPr>
                <w:noProof/>
                <w:webHidden/>
              </w:rPr>
              <w:t>37</w:t>
            </w:r>
            <w:r w:rsidR="001B3076" w:rsidRPr="001B3076">
              <w:rPr>
                <w:noProof/>
                <w:webHidden/>
              </w:rPr>
              <w:fldChar w:fldCharType="end"/>
            </w:r>
          </w:hyperlink>
        </w:p>
        <w:p w14:paraId="33A8CE66" w14:textId="77777777" w:rsidR="001B3076" w:rsidRPr="001B3076" w:rsidRDefault="006728EA" w:rsidP="001B3076">
          <w:pPr>
            <w:pStyle w:val="TDC3"/>
            <w:rPr>
              <w:rFonts w:asciiTheme="minorHAnsi" w:eastAsiaTheme="minorEastAsia" w:hAnsiTheme="minorHAnsi" w:cstheme="minorBidi"/>
              <w:noProof/>
              <w:szCs w:val="22"/>
              <w:lang w:eastAsia="es-MX"/>
            </w:rPr>
          </w:pPr>
          <w:hyperlink w:anchor="_Toc179389838" w:history="1">
            <w:r w:rsidR="001B3076" w:rsidRPr="001B3076">
              <w:rPr>
                <w:rStyle w:val="Hipervnculo"/>
                <w:noProof/>
                <w:color w:val="auto"/>
              </w:rPr>
              <w:t>e) Conclusión</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_Toc179389838 \h </w:instrText>
            </w:r>
            <w:r w:rsidR="001B3076" w:rsidRPr="001B3076">
              <w:rPr>
                <w:noProof/>
                <w:webHidden/>
              </w:rPr>
            </w:r>
            <w:r w:rsidR="001B3076" w:rsidRPr="001B3076">
              <w:rPr>
                <w:noProof/>
                <w:webHidden/>
              </w:rPr>
              <w:fldChar w:fldCharType="separate"/>
            </w:r>
            <w:r w:rsidR="00616A06">
              <w:rPr>
                <w:noProof/>
                <w:webHidden/>
              </w:rPr>
              <w:t>51</w:t>
            </w:r>
            <w:r w:rsidR="001B3076" w:rsidRPr="001B3076">
              <w:rPr>
                <w:noProof/>
                <w:webHidden/>
              </w:rPr>
              <w:fldChar w:fldCharType="end"/>
            </w:r>
          </w:hyperlink>
        </w:p>
        <w:p w14:paraId="0C82FD7A" w14:textId="00335BFA" w:rsidR="009B2945" w:rsidRPr="001B3076" w:rsidRDefault="006728EA" w:rsidP="001B3076">
          <w:pPr>
            <w:pStyle w:val="TDC1"/>
            <w:tabs>
              <w:tab w:val="right" w:leader="dot" w:pos="9034"/>
            </w:tabs>
            <w:rPr>
              <w:b/>
              <w:bCs/>
              <w:lang w:val="es-ES"/>
            </w:rPr>
          </w:pPr>
          <w:hyperlink w:anchor="_Toc179389839" w:history="1">
            <w:r w:rsidR="001B3076" w:rsidRPr="001B3076">
              <w:rPr>
                <w:rStyle w:val="Hipervnculo"/>
                <w:rFonts w:eastAsia="Palatino Linotype"/>
                <w:noProof/>
                <w:color w:val="auto"/>
              </w:rPr>
              <w:t>RESUELVE</w:t>
            </w:r>
            <w:r w:rsidR="001B3076" w:rsidRPr="001B3076">
              <w:rPr>
                <w:noProof/>
                <w:webHidden/>
              </w:rPr>
              <w:tab/>
            </w:r>
            <w:r w:rsidR="001B3076" w:rsidRPr="001B3076">
              <w:rPr>
                <w:noProof/>
                <w:webHidden/>
              </w:rPr>
              <w:fldChar w:fldCharType="begin"/>
            </w:r>
            <w:r w:rsidR="001B3076" w:rsidRPr="001B3076">
              <w:rPr>
                <w:noProof/>
                <w:webHidden/>
              </w:rPr>
              <w:instrText xml:space="preserve"> PAGEREF _Toc179389839 \h </w:instrText>
            </w:r>
            <w:r w:rsidR="001B3076" w:rsidRPr="001B3076">
              <w:rPr>
                <w:noProof/>
                <w:webHidden/>
              </w:rPr>
            </w:r>
            <w:r w:rsidR="001B3076" w:rsidRPr="001B3076">
              <w:rPr>
                <w:noProof/>
                <w:webHidden/>
              </w:rPr>
              <w:fldChar w:fldCharType="separate"/>
            </w:r>
            <w:r w:rsidR="00616A06">
              <w:rPr>
                <w:noProof/>
                <w:webHidden/>
              </w:rPr>
              <w:t>52</w:t>
            </w:r>
            <w:r w:rsidR="001B3076" w:rsidRPr="001B3076">
              <w:rPr>
                <w:noProof/>
                <w:webHidden/>
              </w:rPr>
              <w:fldChar w:fldCharType="end"/>
            </w:r>
          </w:hyperlink>
          <w:r w:rsidR="00AE3DA7" w:rsidRPr="001B3076">
            <w:rPr>
              <w:b/>
              <w:bCs/>
              <w:sz w:val="20"/>
              <w:lang w:val="es-ES"/>
            </w:rPr>
            <w:fldChar w:fldCharType="end"/>
          </w:r>
        </w:p>
      </w:sdtContent>
    </w:sdt>
    <w:p w14:paraId="603A07E2" w14:textId="77777777" w:rsidR="00646436" w:rsidRPr="001B3076" w:rsidRDefault="00646436" w:rsidP="001B3076">
      <w:pPr>
        <w:rPr>
          <w:rFonts w:cs="Tahoma"/>
          <w:szCs w:val="22"/>
        </w:rPr>
        <w:sectPr w:rsidR="00646436" w:rsidRPr="001B307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25FCDD4" w:rsidR="00775BFC" w:rsidRPr="001B3076" w:rsidRDefault="00775BFC" w:rsidP="001B3076">
      <w:pPr>
        <w:rPr>
          <w:b/>
          <w:szCs w:val="22"/>
        </w:rPr>
      </w:pPr>
      <w:r w:rsidRPr="001B3076">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413154" w:rsidRPr="001B3076">
        <w:rPr>
          <w:b/>
          <w:szCs w:val="22"/>
        </w:rPr>
        <w:t>nueve de octubre</w:t>
      </w:r>
      <w:r w:rsidR="00ED7170" w:rsidRPr="001B3076">
        <w:rPr>
          <w:b/>
          <w:szCs w:val="22"/>
        </w:rPr>
        <w:t xml:space="preserve"> de dos mil veinticuatro.</w:t>
      </w:r>
    </w:p>
    <w:p w14:paraId="0AF3AAC4" w14:textId="77777777" w:rsidR="00775BFC" w:rsidRPr="001B3076" w:rsidRDefault="00775BFC" w:rsidP="001B3076">
      <w:pPr>
        <w:rPr>
          <w:szCs w:val="22"/>
        </w:rPr>
      </w:pPr>
    </w:p>
    <w:p w14:paraId="40EAE038" w14:textId="4A65F8EE" w:rsidR="00775BFC" w:rsidRPr="001B3076" w:rsidRDefault="00775BFC" w:rsidP="001B3076">
      <w:pPr>
        <w:rPr>
          <w:szCs w:val="22"/>
        </w:rPr>
      </w:pPr>
      <w:r w:rsidRPr="001B3076">
        <w:rPr>
          <w:b/>
          <w:szCs w:val="22"/>
        </w:rPr>
        <w:t xml:space="preserve">VISTO </w:t>
      </w:r>
      <w:r w:rsidRPr="001B3076">
        <w:rPr>
          <w:szCs w:val="22"/>
        </w:rPr>
        <w:t xml:space="preserve">el expediente formado con motivo del Recurso de Revisión </w:t>
      </w:r>
      <w:r w:rsidR="00413154" w:rsidRPr="001B3076">
        <w:rPr>
          <w:rFonts w:eastAsia="Calibri"/>
          <w:b/>
          <w:szCs w:val="22"/>
          <w:lang w:eastAsia="en-US"/>
        </w:rPr>
        <w:t>05667/INFOEM/IP/RR/2024</w:t>
      </w:r>
      <w:r w:rsidR="005314A3" w:rsidRPr="001B3076">
        <w:rPr>
          <w:rFonts w:eastAsia="Calibri"/>
          <w:b/>
          <w:szCs w:val="22"/>
          <w:lang w:eastAsia="en-US"/>
        </w:rPr>
        <w:t xml:space="preserve"> </w:t>
      </w:r>
      <w:r w:rsidRPr="001B3076">
        <w:rPr>
          <w:szCs w:val="22"/>
        </w:rPr>
        <w:t xml:space="preserve">interpuesto por </w:t>
      </w:r>
      <w:r w:rsidR="00CA434C" w:rsidRPr="001B3076">
        <w:rPr>
          <w:b/>
          <w:bCs/>
          <w:szCs w:val="22"/>
        </w:rPr>
        <w:t>una persona que no se identificó</w:t>
      </w:r>
      <w:r w:rsidRPr="001B3076">
        <w:rPr>
          <w:szCs w:val="22"/>
        </w:rPr>
        <w:t xml:space="preserve">, a quien en lo subsecuente se le denominará </w:t>
      </w:r>
      <w:r w:rsidRPr="001B3076">
        <w:rPr>
          <w:b/>
          <w:bCs/>
          <w:szCs w:val="22"/>
        </w:rPr>
        <w:t>LA PARTE RECURRENTE</w:t>
      </w:r>
      <w:r w:rsidRPr="001B3076">
        <w:rPr>
          <w:szCs w:val="22"/>
        </w:rPr>
        <w:t>, en contra de la respuesta emitida por</w:t>
      </w:r>
      <w:r w:rsidR="00A0449B" w:rsidRPr="001B3076">
        <w:rPr>
          <w:szCs w:val="22"/>
        </w:rPr>
        <w:t xml:space="preserve"> </w:t>
      </w:r>
      <w:r w:rsidR="002E2C99" w:rsidRPr="001B3076">
        <w:rPr>
          <w:szCs w:val="22"/>
        </w:rPr>
        <w:t>l</w:t>
      </w:r>
      <w:r w:rsidR="00CA434C" w:rsidRPr="001B3076">
        <w:rPr>
          <w:szCs w:val="22"/>
        </w:rPr>
        <w:t>a</w:t>
      </w:r>
      <w:r w:rsidR="000748DF" w:rsidRPr="001B3076">
        <w:rPr>
          <w:szCs w:val="22"/>
        </w:rPr>
        <w:t xml:space="preserve"> </w:t>
      </w:r>
      <w:r w:rsidR="00CA434C" w:rsidRPr="001B3076">
        <w:rPr>
          <w:b/>
          <w:bCs/>
          <w:szCs w:val="22"/>
        </w:rPr>
        <w:t>Secretaría de Movilidad</w:t>
      </w:r>
      <w:r w:rsidRPr="001B3076">
        <w:rPr>
          <w:szCs w:val="22"/>
        </w:rPr>
        <w:t xml:space="preserve">, en adelante </w:t>
      </w:r>
      <w:r w:rsidRPr="001B3076">
        <w:rPr>
          <w:b/>
          <w:bCs/>
          <w:szCs w:val="22"/>
        </w:rPr>
        <w:t>EL SUJETO OBLIGADO</w:t>
      </w:r>
      <w:r w:rsidRPr="001B3076">
        <w:rPr>
          <w:rFonts w:eastAsia="Calibri"/>
          <w:szCs w:val="22"/>
          <w:lang w:eastAsia="en-US"/>
        </w:rPr>
        <w:t xml:space="preserve">, </w:t>
      </w:r>
      <w:r w:rsidRPr="001B3076">
        <w:rPr>
          <w:szCs w:val="22"/>
        </w:rPr>
        <w:t>se emite la presente Resolución con base en los Antecedentes y Considerandos que se exponen a continuación:</w:t>
      </w:r>
    </w:p>
    <w:p w14:paraId="2116968C" w14:textId="77777777" w:rsidR="00775BFC" w:rsidRPr="001B3076" w:rsidRDefault="00775BFC" w:rsidP="001B3076">
      <w:pPr>
        <w:rPr>
          <w:szCs w:val="22"/>
        </w:rPr>
      </w:pPr>
    </w:p>
    <w:p w14:paraId="5A444FB6" w14:textId="639D3567" w:rsidR="00664420" w:rsidRPr="001B3076" w:rsidRDefault="00664420" w:rsidP="001B3076">
      <w:pPr>
        <w:pStyle w:val="Ttulo1"/>
        <w:rPr>
          <w:szCs w:val="22"/>
        </w:rPr>
      </w:pPr>
      <w:bookmarkStart w:id="3" w:name="_Toc179389814"/>
      <w:r w:rsidRPr="001B3076">
        <w:rPr>
          <w:szCs w:val="22"/>
        </w:rPr>
        <w:t>ANTECEDENTES</w:t>
      </w:r>
      <w:bookmarkEnd w:id="3"/>
    </w:p>
    <w:p w14:paraId="7CE9E53D" w14:textId="77777777" w:rsidR="00E37A3F" w:rsidRPr="001B3076" w:rsidRDefault="00E37A3F" w:rsidP="001B3076">
      <w:pPr>
        <w:rPr>
          <w:szCs w:val="22"/>
        </w:rPr>
      </w:pPr>
    </w:p>
    <w:p w14:paraId="09B2D38F" w14:textId="6E49D146" w:rsidR="00664420" w:rsidRPr="001B3076" w:rsidRDefault="00E37A3F" w:rsidP="001B3076">
      <w:pPr>
        <w:pStyle w:val="Ttulo2"/>
        <w:rPr>
          <w:szCs w:val="22"/>
        </w:rPr>
      </w:pPr>
      <w:bookmarkStart w:id="4" w:name="_Toc179389815"/>
      <w:r w:rsidRPr="001B3076">
        <w:rPr>
          <w:szCs w:val="22"/>
        </w:rPr>
        <w:t>DE LA SOLICITUD DE INFORMACIÓN</w:t>
      </w:r>
      <w:bookmarkEnd w:id="4"/>
    </w:p>
    <w:p w14:paraId="7B7535DF" w14:textId="77777777" w:rsidR="00E37A3F" w:rsidRPr="001B3076" w:rsidRDefault="00E37A3F" w:rsidP="001B3076">
      <w:pPr>
        <w:rPr>
          <w:szCs w:val="22"/>
        </w:rPr>
      </w:pPr>
    </w:p>
    <w:p w14:paraId="2C6AD1A5" w14:textId="0405B3CD" w:rsidR="00664420" w:rsidRPr="001B3076" w:rsidRDefault="00E37A3F" w:rsidP="001B3076">
      <w:pPr>
        <w:pStyle w:val="Ttulo3"/>
        <w:rPr>
          <w:szCs w:val="22"/>
        </w:rPr>
      </w:pPr>
      <w:bookmarkStart w:id="5" w:name="_Toc179389816"/>
      <w:r w:rsidRPr="001B3076">
        <w:rPr>
          <w:szCs w:val="22"/>
        </w:rPr>
        <w:t xml:space="preserve">a) </w:t>
      </w:r>
      <w:r w:rsidR="006B10B0" w:rsidRPr="001B3076">
        <w:rPr>
          <w:szCs w:val="22"/>
        </w:rPr>
        <w:t>S</w:t>
      </w:r>
      <w:r w:rsidR="00664420" w:rsidRPr="001B3076">
        <w:rPr>
          <w:szCs w:val="22"/>
        </w:rPr>
        <w:t xml:space="preserve">olicitud de </w:t>
      </w:r>
      <w:r w:rsidR="006B10B0" w:rsidRPr="001B3076">
        <w:rPr>
          <w:szCs w:val="22"/>
        </w:rPr>
        <w:t>i</w:t>
      </w:r>
      <w:r w:rsidR="00664420" w:rsidRPr="001B3076">
        <w:rPr>
          <w:szCs w:val="22"/>
        </w:rPr>
        <w:t>nformación</w:t>
      </w:r>
      <w:bookmarkEnd w:id="5"/>
    </w:p>
    <w:p w14:paraId="63FC8527" w14:textId="0CE1F121" w:rsidR="006A28B4" w:rsidRPr="001B3076" w:rsidRDefault="006A28B4" w:rsidP="001B3076">
      <w:pPr>
        <w:pBdr>
          <w:top w:val="nil"/>
          <w:left w:val="nil"/>
          <w:bottom w:val="nil"/>
          <w:right w:val="nil"/>
          <w:between w:val="nil"/>
        </w:pBdr>
        <w:tabs>
          <w:tab w:val="left" w:pos="0"/>
        </w:tabs>
        <w:rPr>
          <w:rFonts w:eastAsia="Palatino Linotype" w:cs="Palatino Linotype"/>
          <w:szCs w:val="22"/>
        </w:rPr>
      </w:pPr>
      <w:r w:rsidRPr="001B3076">
        <w:rPr>
          <w:rFonts w:eastAsia="Palatino Linotype" w:cs="Palatino Linotype"/>
          <w:szCs w:val="22"/>
        </w:rPr>
        <w:t xml:space="preserve">El </w:t>
      </w:r>
      <w:r w:rsidR="007E42B7" w:rsidRPr="001B3076">
        <w:rPr>
          <w:rFonts w:eastAsia="Palatino Linotype" w:cs="Palatino Linotype"/>
          <w:b/>
          <w:szCs w:val="22"/>
        </w:rPr>
        <w:t>diecinueve de agosto</w:t>
      </w:r>
      <w:r w:rsidRPr="001B3076">
        <w:rPr>
          <w:rFonts w:eastAsia="Palatino Linotype" w:cs="Palatino Linotype"/>
          <w:b/>
          <w:szCs w:val="22"/>
        </w:rPr>
        <w:t xml:space="preserve"> de dos mil veinticuatro</w:t>
      </w:r>
      <w:r w:rsidR="00721C9E" w:rsidRPr="001B3076">
        <w:rPr>
          <w:rFonts w:eastAsia="Palatino Linotype" w:cs="Palatino Linotype"/>
          <w:b/>
          <w:szCs w:val="22"/>
        </w:rPr>
        <w:t>,</w:t>
      </w:r>
      <w:r w:rsidRPr="001B3076">
        <w:rPr>
          <w:rFonts w:eastAsia="Palatino Linotype" w:cs="Palatino Linotype"/>
          <w:szCs w:val="22"/>
        </w:rPr>
        <w:t xml:space="preserve"> </w:t>
      </w:r>
      <w:r w:rsidRPr="001B3076">
        <w:rPr>
          <w:rFonts w:eastAsia="Palatino Linotype" w:cs="Palatino Linotype"/>
          <w:b/>
          <w:szCs w:val="22"/>
        </w:rPr>
        <w:t>LA PARTE RECURRENTE</w:t>
      </w:r>
      <w:r w:rsidRPr="001B3076">
        <w:rPr>
          <w:rFonts w:eastAsia="Palatino Linotype" w:cs="Palatino Linotype"/>
          <w:szCs w:val="22"/>
        </w:rPr>
        <w:t xml:space="preserve"> presentó una solicitud de acceso a la información pública ante el </w:t>
      </w:r>
      <w:r w:rsidRPr="001B3076">
        <w:rPr>
          <w:rFonts w:eastAsia="Palatino Linotype" w:cs="Palatino Linotype"/>
          <w:b/>
          <w:szCs w:val="22"/>
        </w:rPr>
        <w:t>SUJETO OBLIGADO</w:t>
      </w:r>
      <w:r w:rsidRPr="001B3076">
        <w:rPr>
          <w:rFonts w:eastAsia="Palatino Linotype" w:cs="Palatino Linotype"/>
          <w:szCs w:val="22"/>
        </w:rPr>
        <w:t xml:space="preserve">, a través </w:t>
      </w:r>
      <w:r w:rsidR="007E42B7" w:rsidRPr="001B3076">
        <w:rPr>
          <w:rFonts w:eastAsia="Palatino Linotype" w:cs="Palatino Linotype"/>
          <w:szCs w:val="22"/>
        </w:rPr>
        <w:t>del</w:t>
      </w:r>
      <w:r w:rsidRPr="001B3076">
        <w:rPr>
          <w:rFonts w:eastAsia="Palatino Linotype" w:cs="Palatino Linotype"/>
          <w:szCs w:val="22"/>
        </w:rPr>
        <w:t xml:space="preserve"> Sistema de Acceso a la Información Mexiquense (SAIMEX). Dicha solicitud quedó registrada con el número de folio</w:t>
      </w:r>
      <w:r w:rsidRPr="001B3076">
        <w:rPr>
          <w:rFonts w:eastAsia="Palatino Linotype" w:cs="Palatino Linotype"/>
          <w:b/>
          <w:szCs w:val="22"/>
        </w:rPr>
        <w:t xml:space="preserve"> </w:t>
      </w:r>
      <w:r w:rsidR="00413154" w:rsidRPr="001B3076">
        <w:rPr>
          <w:rFonts w:eastAsia="Palatino Linotype" w:cs="Palatino Linotype"/>
          <w:b/>
          <w:szCs w:val="22"/>
        </w:rPr>
        <w:t>00568/SMOV/IP/2024</w:t>
      </w:r>
      <w:r w:rsidRPr="001B3076">
        <w:rPr>
          <w:rFonts w:eastAsia="Palatino Linotype" w:cs="Palatino Linotype"/>
          <w:b/>
          <w:szCs w:val="22"/>
        </w:rPr>
        <w:t xml:space="preserve"> </w:t>
      </w:r>
      <w:r w:rsidRPr="001B3076">
        <w:rPr>
          <w:rFonts w:eastAsia="Palatino Linotype" w:cs="Palatino Linotype"/>
          <w:szCs w:val="22"/>
        </w:rPr>
        <w:t>y en ella se requirió la siguiente información:</w:t>
      </w:r>
    </w:p>
    <w:p w14:paraId="596FDDE9" w14:textId="77777777" w:rsidR="002E2C99" w:rsidRPr="001B3076" w:rsidRDefault="002E2C99" w:rsidP="001B3076">
      <w:pPr>
        <w:tabs>
          <w:tab w:val="left" w:pos="4667"/>
        </w:tabs>
        <w:ind w:right="567"/>
        <w:rPr>
          <w:rFonts w:eastAsiaTheme="majorEastAsia" w:cstheme="majorBidi"/>
          <w:i/>
          <w:kern w:val="28"/>
          <w:szCs w:val="56"/>
        </w:rPr>
      </w:pPr>
    </w:p>
    <w:p w14:paraId="390B514D" w14:textId="64712C2B" w:rsidR="00413154" w:rsidRPr="001B3076" w:rsidRDefault="007E42B7" w:rsidP="001B3076">
      <w:pPr>
        <w:pStyle w:val="Puesto"/>
      </w:pPr>
      <w:r w:rsidRPr="001B3076">
        <w:t>DE CONFORMIDAD CON EL ARTÍCULO 4 DE LA LEY DE TRANSPARENCIA SE SOLICITA EL NOMBRE DE LA EMPRESA O REPRESENTACIÓN, EL NOMBRE REPRESENTANTE LEGAL UBICACIÓN DE LOS DEPOSITO DE GUARDA Y CUSTODIA CONOCIDOS COMO CORRALONES, QUE FUERON CLAUSURADOS CON SU EXPDEIENTE COMPLETOS, FECHA DE CLAUSURA, Y A LA FECHA CUALES Y CUANTOS DE ELOS VOLVIERON ABRIR CON QUE RESOLUCIÓN ESTOS DESDE SEPTIEMBRE 2023 A AGOSTO 2024</w:t>
      </w:r>
    </w:p>
    <w:p w14:paraId="2A3C0CC8" w14:textId="77777777" w:rsidR="007E42B7" w:rsidRPr="001B3076" w:rsidRDefault="007E42B7" w:rsidP="001B3076"/>
    <w:p w14:paraId="0BD6321D" w14:textId="0A5D6479" w:rsidR="00664420" w:rsidRPr="001B3076" w:rsidRDefault="009A2D78" w:rsidP="001B3076">
      <w:pPr>
        <w:tabs>
          <w:tab w:val="left" w:pos="4667"/>
        </w:tabs>
        <w:ind w:right="567"/>
        <w:rPr>
          <w:rFonts w:cs="Tahoma"/>
          <w:bCs/>
          <w:i/>
          <w:szCs w:val="22"/>
        </w:rPr>
      </w:pPr>
      <w:r w:rsidRPr="001B3076">
        <w:rPr>
          <w:rFonts w:cs="Tahoma"/>
          <w:b/>
          <w:bCs/>
          <w:szCs w:val="22"/>
        </w:rPr>
        <w:lastRenderedPageBreak/>
        <w:t>Modalidad de entrega</w:t>
      </w:r>
      <w:r w:rsidRPr="001B3076">
        <w:rPr>
          <w:rFonts w:cs="Tahoma"/>
          <w:bCs/>
          <w:szCs w:val="22"/>
        </w:rPr>
        <w:t>: a</w:t>
      </w:r>
      <w:r w:rsidR="00664420" w:rsidRPr="001B3076">
        <w:rPr>
          <w:rFonts w:cs="Tahoma"/>
          <w:bCs/>
          <w:i/>
          <w:szCs w:val="22"/>
        </w:rPr>
        <w:t xml:space="preserve"> través </w:t>
      </w:r>
      <w:r w:rsidR="00C84660" w:rsidRPr="001B3076">
        <w:rPr>
          <w:rFonts w:cs="Tahoma"/>
          <w:bCs/>
          <w:i/>
          <w:szCs w:val="22"/>
        </w:rPr>
        <w:t>de</w:t>
      </w:r>
      <w:r w:rsidR="00664420" w:rsidRPr="001B3076">
        <w:rPr>
          <w:rFonts w:cs="Tahoma"/>
          <w:bCs/>
          <w:i/>
          <w:szCs w:val="22"/>
        </w:rPr>
        <w:t xml:space="preserve">l </w:t>
      </w:r>
      <w:r w:rsidR="00664420" w:rsidRPr="001B3076">
        <w:rPr>
          <w:rFonts w:cs="Tahoma"/>
          <w:b/>
          <w:bCs/>
          <w:i/>
          <w:szCs w:val="22"/>
        </w:rPr>
        <w:t>SAIMEX</w:t>
      </w:r>
      <w:r w:rsidRPr="001B3076">
        <w:rPr>
          <w:rFonts w:cs="Tahoma"/>
          <w:bCs/>
          <w:i/>
          <w:szCs w:val="22"/>
        </w:rPr>
        <w:t>.</w:t>
      </w:r>
    </w:p>
    <w:p w14:paraId="23D7A976" w14:textId="77777777" w:rsidR="000748DF" w:rsidRPr="001B3076" w:rsidRDefault="000748DF" w:rsidP="001B3076">
      <w:pPr>
        <w:tabs>
          <w:tab w:val="left" w:pos="4667"/>
        </w:tabs>
        <w:ind w:right="567"/>
        <w:rPr>
          <w:rFonts w:cs="Tahoma"/>
          <w:bCs/>
          <w:szCs w:val="22"/>
        </w:rPr>
      </w:pPr>
    </w:p>
    <w:p w14:paraId="51E30624" w14:textId="0258823E" w:rsidR="008F3837" w:rsidRPr="001B3076" w:rsidRDefault="008F3837" w:rsidP="001B3076">
      <w:pPr>
        <w:pStyle w:val="Ttulo3"/>
        <w:rPr>
          <w:szCs w:val="22"/>
        </w:rPr>
      </w:pPr>
      <w:bookmarkStart w:id="6" w:name="_Toc179389817"/>
      <w:r w:rsidRPr="001B3076">
        <w:rPr>
          <w:szCs w:val="22"/>
        </w:rPr>
        <w:t xml:space="preserve">b) </w:t>
      </w:r>
      <w:r w:rsidR="00FA7155" w:rsidRPr="001B3076">
        <w:rPr>
          <w:bCs/>
          <w:szCs w:val="22"/>
        </w:rPr>
        <w:t>Turno de la solicitud de información</w:t>
      </w:r>
      <w:bookmarkEnd w:id="6"/>
    </w:p>
    <w:p w14:paraId="73DA7815" w14:textId="444CC894" w:rsidR="008F3837" w:rsidRPr="001B3076" w:rsidRDefault="008F3837" w:rsidP="001B3076">
      <w:pPr>
        <w:tabs>
          <w:tab w:val="left" w:pos="4667"/>
        </w:tabs>
        <w:ind w:right="567"/>
        <w:rPr>
          <w:rFonts w:cs="Tahoma"/>
          <w:bCs/>
          <w:szCs w:val="22"/>
        </w:rPr>
      </w:pPr>
      <w:r w:rsidRPr="001B3076">
        <w:rPr>
          <w:rFonts w:cs="Tahoma"/>
          <w:bCs/>
          <w:szCs w:val="22"/>
        </w:rPr>
        <w:t xml:space="preserve">En cumplimiento al artículo 162 de la Ley de Transparencia y Acceso a la Información Pública del Estado de México y Municipios, el </w:t>
      </w:r>
      <w:r w:rsidR="007E42B7" w:rsidRPr="001B3076">
        <w:rPr>
          <w:rFonts w:cs="Tahoma"/>
          <w:b/>
          <w:bCs/>
          <w:szCs w:val="22"/>
        </w:rPr>
        <w:t>veinte de agosto</w:t>
      </w:r>
      <w:r w:rsidRPr="001B3076">
        <w:rPr>
          <w:rFonts w:cs="Tahoma"/>
          <w:b/>
          <w:bCs/>
          <w:szCs w:val="22"/>
        </w:rPr>
        <w:t xml:space="preserve"> de dos mil veinticuatro</w:t>
      </w:r>
      <w:r w:rsidRPr="001B3076">
        <w:rPr>
          <w:rFonts w:cs="Tahoma"/>
          <w:bCs/>
          <w:szCs w:val="22"/>
        </w:rPr>
        <w:t xml:space="preserve">, el Titular de la Unidad de Transparencia del </w:t>
      </w:r>
      <w:r w:rsidRPr="001B3076">
        <w:rPr>
          <w:rFonts w:cs="Tahoma"/>
          <w:b/>
          <w:bCs/>
          <w:szCs w:val="22"/>
        </w:rPr>
        <w:t>SUJETO OBLIGADO</w:t>
      </w:r>
      <w:r w:rsidRPr="001B3076">
        <w:rPr>
          <w:rFonts w:cs="Tahoma"/>
          <w:bCs/>
          <w:szCs w:val="22"/>
        </w:rPr>
        <w:t xml:space="preserve"> turnó la solicitud de información a los servidores públicos habilitados que estimó pertinente.</w:t>
      </w:r>
    </w:p>
    <w:p w14:paraId="1C0542AF" w14:textId="77777777" w:rsidR="008F3837" w:rsidRPr="001B3076" w:rsidRDefault="008F3837" w:rsidP="001B3076">
      <w:pPr>
        <w:tabs>
          <w:tab w:val="left" w:pos="4667"/>
        </w:tabs>
        <w:ind w:right="567"/>
        <w:rPr>
          <w:rFonts w:cs="Tahoma"/>
          <w:bCs/>
          <w:szCs w:val="22"/>
        </w:rPr>
      </w:pPr>
    </w:p>
    <w:p w14:paraId="3212BA4D" w14:textId="091C39CE" w:rsidR="00664420" w:rsidRPr="001B3076" w:rsidRDefault="002E2C99" w:rsidP="001B3076">
      <w:pPr>
        <w:pStyle w:val="Ttulo3"/>
        <w:rPr>
          <w:szCs w:val="22"/>
        </w:rPr>
      </w:pPr>
      <w:bookmarkStart w:id="7" w:name="_Toc179389818"/>
      <w:r w:rsidRPr="001B3076">
        <w:rPr>
          <w:szCs w:val="22"/>
          <w:lang w:val="es-ES"/>
        </w:rPr>
        <w:t xml:space="preserve">c) </w:t>
      </w:r>
      <w:r w:rsidR="00664420" w:rsidRPr="001B3076">
        <w:rPr>
          <w:szCs w:val="22"/>
          <w:lang w:val="es-ES"/>
        </w:rPr>
        <w:t xml:space="preserve">Respuesta </w:t>
      </w:r>
      <w:r w:rsidR="00664420" w:rsidRPr="001B3076">
        <w:rPr>
          <w:rFonts w:eastAsia="Calibri"/>
          <w:szCs w:val="22"/>
          <w:lang w:eastAsia="en-US"/>
        </w:rPr>
        <w:t>del Sujeto Obligado</w:t>
      </w:r>
      <w:bookmarkEnd w:id="7"/>
    </w:p>
    <w:p w14:paraId="79199CC1" w14:textId="181B6C2D" w:rsidR="00664420" w:rsidRPr="001B3076" w:rsidRDefault="00664420" w:rsidP="001B3076">
      <w:pPr>
        <w:pStyle w:val="Sinespaciado"/>
        <w:spacing w:line="360" w:lineRule="auto"/>
        <w:rPr>
          <w:szCs w:val="22"/>
          <w:lang w:val="es-ES"/>
        </w:rPr>
      </w:pPr>
      <w:r w:rsidRPr="001B3076">
        <w:rPr>
          <w:szCs w:val="22"/>
          <w:lang w:val="es-ES"/>
        </w:rPr>
        <w:t xml:space="preserve">El </w:t>
      </w:r>
      <w:r w:rsidR="007E42B7" w:rsidRPr="001B3076">
        <w:rPr>
          <w:rFonts w:eastAsia="Calibri" w:cs="Arial"/>
          <w:b/>
          <w:bCs/>
          <w:szCs w:val="22"/>
          <w:lang w:val="es-ES" w:eastAsia="en-US"/>
        </w:rPr>
        <w:t>nueve de septiembre</w:t>
      </w:r>
      <w:r w:rsidR="000748DF" w:rsidRPr="001B3076">
        <w:rPr>
          <w:rFonts w:eastAsia="Calibri" w:cs="Arial"/>
          <w:b/>
          <w:bCs/>
          <w:szCs w:val="22"/>
          <w:lang w:val="es-ES" w:eastAsia="en-US"/>
        </w:rPr>
        <w:t xml:space="preserve"> </w:t>
      </w:r>
      <w:r w:rsidR="000748DF" w:rsidRPr="001B3076">
        <w:rPr>
          <w:rFonts w:eastAsia="Calibri" w:cs="Arial"/>
          <w:b/>
          <w:szCs w:val="22"/>
          <w:lang w:val="es-ES" w:eastAsia="en-US"/>
        </w:rPr>
        <w:t>de dos mil veinticuatro</w:t>
      </w:r>
      <w:r w:rsidR="00983EEF" w:rsidRPr="001B3076">
        <w:rPr>
          <w:b/>
          <w:szCs w:val="22"/>
          <w:lang w:val="es-ES"/>
        </w:rPr>
        <w:t xml:space="preserve">, </w:t>
      </w:r>
      <w:r w:rsidR="00F07EE6" w:rsidRPr="001B3076">
        <w:rPr>
          <w:szCs w:val="22"/>
          <w:lang w:val="es-ES"/>
        </w:rPr>
        <w:t>l</w:t>
      </w:r>
      <w:r w:rsidR="002268D4" w:rsidRPr="001B3076">
        <w:rPr>
          <w:szCs w:val="22"/>
          <w:lang w:val="es-ES"/>
        </w:rPr>
        <w:t>a</w:t>
      </w:r>
      <w:r w:rsidR="00F07EE6" w:rsidRPr="001B3076">
        <w:rPr>
          <w:szCs w:val="22"/>
          <w:lang w:val="es-ES"/>
        </w:rPr>
        <w:t xml:space="preserve"> Titular de la Unidad de Transparencia del </w:t>
      </w:r>
      <w:r w:rsidR="00F07EE6" w:rsidRPr="001B3076">
        <w:rPr>
          <w:b/>
          <w:szCs w:val="22"/>
          <w:lang w:val="es-ES"/>
        </w:rPr>
        <w:t>SUJETO OBLIGADO</w:t>
      </w:r>
      <w:r w:rsidR="00F07EE6" w:rsidRPr="001B3076">
        <w:rPr>
          <w:szCs w:val="22"/>
          <w:lang w:val="es-ES"/>
        </w:rPr>
        <w:t xml:space="preserve"> notificó la siguiente respuesta a través del </w:t>
      </w:r>
      <w:r w:rsidRPr="001B3076">
        <w:rPr>
          <w:szCs w:val="22"/>
          <w:lang w:val="es-ES"/>
        </w:rPr>
        <w:t>SAIMEX</w:t>
      </w:r>
      <w:r w:rsidR="00F07EE6" w:rsidRPr="001B3076">
        <w:rPr>
          <w:szCs w:val="22"/>
          <w:lang w:val="es-ES"/>
        </w:rPr>
        <w:t>:</w:t>
      </w:r>
    </w:p>
    <w:p w14:paraId="66410657" w14:textId="77777777" w:rsidR="002268D4" w:rsidRPr="001B3076" w:rsidRDefault="002268D4" w:rsidP="001B3076">
      <w:pPr>
        <w:pStyle w:val="Puesto"/>
        <w:ind w:left="0"/>
      </w:pPr>
    </w:p>
    <w:p w14:paraId="6A8A4429" w14:textId="77777777" w:rsidR="007E42B7" w:rsidRPr="001B3076" w:rsidRDefault="007E42B7" w:rsidP="001B3076">
      <w:pPr>
        <w:pStyle w:val="Puesto"/>
        <w:jc w:val="right"/>
      </w:pPr>
      <w:r w:rsidRPr="001B3076">
        <w:t>Folio de la solicitud: 00568/SMOV/IP/2024</w:t>
      </w:r>
    </w:p>
    <w:p w14:paraId="05771880" w14:textId="77777777" w:rsidR="007E42B7" w:rsidRPr="001B3076" w:rsidRDefault="007E42B7" w:rsidP="001B3076">
      <w:pPr>
        <w:pStyle w:val="Puesto"/>
      </w:pPr>
    </w:p>
    <w:p w14:paraId="5565CE02" w14:textId="77777777" w:rsidR="007E42B7" w:rsidRPr="001B3076" w:rsidRDefault="007E42B7" w:rsidP="001B3076">
      <w:pPr>
        <w:pStyle w:val="Puesto"/>
      </w:pPr>
      <w:r w:rsidRPr="001B3076">
        <w:t>En respuesta a la solicitud recibida, nos permitimos hacer de su conocimiento que con fundamento en el artículo 53, Fracciones: II, V y VI de la Ley de Transparencia y Acceso a la Información Pública del Estado de México y Municipios, le contestamos que:</w:t>
      </w:r>
    </w:p>
    <w:p w14:paraId="512774D4" w14:textId="77777777" w:rsidR="007E42B7" w:rsidRPr="001B3076" w:rsidRDefault="007E42B7" w:rsidP="001B3076">
      <w:pPr>
        <w:pStyle w:val="Puesto"/>
      </w:pPr>
    </w:p>
    <w:p w14:paraId="3D9CF8E5" w14:textId="77777777" w:rsidR="007E42B7" w:rsidRPr="001B3076" w:rsidRDefault="007E42B7" w:rsidP="001B3076">
      <w:pPr>
        <w:pStyle w:val="Puesto"/>
      </w:pPr>
      <w:r w:rsidRPr="001B3076">
        <w:t>se anexa respuesta</w:t>
      </w:r>
    </w:p>
    <w:p w14:paraId="44F39EFF" w14:textId="77777777" w:rsidR="007E42B7" w:rsidRPr="001B3076" w:rsidRDefault="007E42B7" w:rsidP="001B3076">
      <w:pPr>
        <w:pStyle w:val="Puesto"/>
      </w:pPr>
    </w:p>
    <w:p w14:paraId="4A053EAF" w14:textId="77777777" w:rsidR="007E42B7" w:rsidRPr="001B3076" w:rsidRDefault="007E42B7" w:rsidP="001B3076">
      <w:pPr>
        <w:pStyle w:val="Puesto"/>
      </w:pPr>
      <w:r w:rsidRPr="001B3076">
        <w:t>ATENTAMENTE</w:t>
      </w:r>
    </w:p>
    <w:p w14:paraId="75642CED" w14:textId="4642A314" w:rsidR="000748DF" w:rsidRPr="001B3076" w:rsidRDefault="007E42B7" w:rsidP="001B3076">
      <w:pPr>
        <w:pStyle w:val="Puesto"/>
      </w:pPr>
      <w:r w:rsidRPr="001B3076">
        <w:t>Lic. Alejandro Hernández Aguilar</w:t>
      </w:r>
    </w:p>
    <w:p w14:paraId="467AF2AE" w14:textId="77777777" w:rsidR="002E2C99" w:rsidRPr="001B3076" w:rsidRDefault="002E2C99" w:rsidP="001B3076">
      <w:pPr>
        <w:autoSpaceDE w:val="0"/>
        <w:autoSpaceDN w:val="0"/>
        <w:adjustRightInd w:val="0"/>
        <w:ind w:right="-28"/>
        <w:rPr>
          <w:rFonts w:cs="Tahoma"/>
          <w:bCs/>
          <w:szCs w:val="22"/>
        </w:rPr>
      </w:pPr>
    </w:p>
    <w:p w14:paraId="2211D1AB" w14:textId="7F306D69" w:rsidR="00983EEF" w:rsidRPr="001B3076" w:rsidRDefault="00F07EE6" w:rsidP="001B3076">
      <w:pPr>
        <w:autoSpaceDE w:val="0"/>
        <w:autoSpaceDN w:val="0"/>
        <w:adjustRightInd w:val="0"/>
        <w:ind w:right="-28"/>
        <w:rPr>
          <w:rFonts w:cs="Tahoma"/>
          <w:bCs/>
          <w:szCs w:val="22"/>
          <w:lang w:val="es-ES"/>
        </w:rPr>
      </w:pPr>
      <w:r w:rsidRPr="001B3076">
        <w:rPr>
          <w:rFonts w:cs="Tahoma"/>
          <w:bCs/>
          <w:szCs w:val="22"/>
          <w:lang w:val="es-ES"/>
        </w:rPr>
        <w:t xml:space="preserve">Asimismo, </w:t>
      </w:r>
      <w:r w:rsidRPr="001B3076">
        <w:rPr>
          <w:rFonts w:cs="Tahoma"/>
          <w:b/>
          <w:szCs w:val="22"/>
          <w:lang w:val="es-ES"/>
        </w:rPr>
        <w:t xml:space="preserve">EL SUJETO OBLIGADO </w:t>
      </w:r>
      <w:r w:rsidRPr="001B3076">
        <w:rPr>
          <w:rFonts w:cs="Tahoma"/>
          <w:bCs/>
          <w:szCs w:val="22"/>
          <w:lang w:val="es-ES"/>
        </w:rPr>
        <w:t xml:space="preserve">adjuntó a su respuesta </w:t>
      </w:r>
      <w:r w:rsidR="002E2C99" w:rsidRPr="001B3076">
        <w:rPr>
          <w:rFonts w:cs="Tahoma"/>
          <w:bCs/>
          <w:szCs w:val="22"/>
          <w:lang w:val="es-ES"/>
        </w:rPr>
        <w:t xml:space="preserve">los </w:t>
      </w:r>
      <w:r w:rsidRPr="001B3076">
        <w:rPr>
          <w:rFonts w:cs="Tahoma"/>
          <w:bCs/>
          <w:szCs w:val="22"/>
          <w:lang w:val="es-ES"/>
        </w:rPr>
        <w:t>archivo</w:t>
      </w:r>
      <w:r w:rsidR="002E2C99" w:rsidRPr="001B3076">
        <w:rPr>
          <w:rFonts w:cs="Tahoma"/>
          <w:bCs/>
          <w:szCs w:val="22"/>
          <w:lang w:val="es-ES"/>
        </w:rPr>
        <w:t>s</w:t>
      </w:r>
      <w:r w:rsidRPr="001B3076">
        <w:rPr>
          <w:rFonts w:cs="Tahoma"/>
          <w:bCs/>
          <w:szCs w:val="22"/>
          <w:lang w:val="es-ES"/>
        </w:rPr>
        <w:t xml:space="preserve"> electrónico</w:t>
      </w:r>
      <w:r w:rsidR="002E2C99" w:rsidRPr="001B3076">
        <w:rPr>
          <w:rFonts w:cs="Tahoma"/>
          <w:bCs/>
          <w:szCs w:val="22"/>
          <w:lang w:val="es-ES"/>
        </w:rPr>
        <w:t>s</w:t>
      </w:r>
      <w:r w:rsidR="004252F1" w:rsidRPr="001B3076">
        <w:rPr>
          <w:rFonts w:cs="Tahoma"/>
          <w:bCs/>
          <w:szCs w:val="22"/>
          <w:lang w:val="es-ES"/>
        </w:rPr>
        <w:t xml:space="preserve"> </w:t>
      </w:r>
      <w:r w:rsidR="00721C9E" w:rsidRPr="001B3076">
        <w:rPr>
          <w:rFonts w:cs="Tahoma"/>
          <w:bCs/>
          <w:szCs w:val="22"/>
          <w:lang w:val="es-ES"/>
        </w:rPr>
        <w:t>que se describen a continuación:</w:t>
      </w:r>
    </w:p>
    <w:p w14:paraId="4B4CF35D" w14:textId="77777777" w:rsidR="007E42B7" w:rsidRPr="001B3076" w:rsidRDefault="007E42B7" w:rsidP="001B3076">
      <w:pPr>
        <w:pStyle w:val="Prrafodelista"/>
        <w:autoSpaceDE w:val="0"/>
        <w:autoSpaceDN w:val="0"/>
        <w:adjustRightInd w:val="0"/>
        <w:ind w:right="-28"/>
        <w:rPr>
          <w:rFonts w:cs="Tahoma"/>
          <w:b/>
          <w:bCs/>
          <w:i/>
          <w:szCs w:val="22"/>
          <w:lang w:val="es-ES"/>
        </w:rPr>
      </w:pPr>
    </w:p>
    <w:p w14:paraId="5C9749F0" w14:textId="77777777" w:rsidR="001B3076" w:rsidRPr="001B3076" w:rsidRDefault="001B3076" w:rsidP="001B3076">
      <w:pPr>
        <w:pStyle w:val="Prrafodelista"/>
        <w:autoSpaceDE w:val="0"/>
        <w:autoSpaceDN w:val="0"/>
        <w:adjustRightInd w:val="0"/>
        <w:ind w:right="-28"/>
        <w:rPr>
          <w:rFonts w:cs="Tahoma"/>
          <w:b/>
          <w:bCs/>
          <w:i/>
          <w:szCs w:val="22"/>
          <w:lang w:val="es-ES"/>
        </w:rPr>
      </w:pPr>
    </w:p>
    <w:p w14:paraId="32FC6F5A" w14:textId="77777777" w:rsidR="001B3076" w:rsidRPr="001B3076" w:rsidRDefault="001B3076" w:rsidP="001B3076">
      <w:pPr>
        <w:pStyle w:val="Prrafodelista"/>
        <w:autoSpaceDE w:val="0"/>
        <w:autoSpaceDN w:val="0"/>
        <w:adjustRightInd w:val="0"/>
        <w:ind w:right="-28"/>
        <w:rPr>
          <w:rFonts w:cs="Tahoma"/>
          <w:b/>
          <w:bCs/>
          <w:i/>
          <w:szCs w:val="22"/>
          <w:lang w:val="es-ES"/>
        </w:rPr>
      </w:pPr>
    </w:p>
    <w:p w14:paraId="1948B081" w14:textId="77777777" w:rsidR="001B3076" w:rsidRPr="001B3076" w:rsidRDefault="001B3076" w:rsidP="001B3076">
      <w:pPr>
        <w:pStyle w:val="Prrafodelista"/>
        <w:autoSpaceDE w:val="0"/>
        <w:autoSpaceDN w:val="0"/>
        <w:adjustRightInd w:val="0"/>
        <w:ind w:right="-28"/>
        <w:rPr>
          <w:rFonts w:cs="Tahoma"/>
          <w:b/>
          <w:bCs/>
          <w:i/>
          <w:szCs w:val="22"/>
          <w:lang w:val="es-ES"/>
        </w:rPr>
      </w:pPr>
    </w:p>
    <w:p w14:paraId="5FD5588C" w14:textId="403539AA" w:rsidR="00CA434C" w:rsidRPr="001B3076" w:rsidRDefault="007E42B7" w:rsidP="001B3076">
      <w:pPr>
        <w:pStyle w:val="Prrafodelista"/>
        <w:numPr>
          <w:ilvl w:val="0"/>
          <w:numId w:val="30"/>
        </w:numPr>
        <w:autoSpaceDE w:val="0"/>
        <w:autoSpaceDN w:val="0"/>
        <w:adjustRightInd w:val="0"/>
        <w:ind w:right="-28"/>
        <w:rPr>
          <w:rFonts w:cs="Tahoma"/>
          <w:b/>
          <w:bCs/>
          <w:i/>
          <w:szCs w:val="22"/>
          <w:lang w:val="es-ES"/>
        </w:rPr>
      </w:pPr>
      <w:r w:rsidRPr="001B3076">
        <w:rPr>
          <w:rFonts w:cs="Tahoma"/>
          <w:b/>
          <w:bCs/>
          <w:i/>
          <w:szCs w:val="22"/>
          <w:lang w:val="es-ES"/>
        </w:rPr>
        <w:lastRenderedPageBreak/>
        <w:t>Respuesta a solicitud 568.pdf</w:t>
      </w:r>
    </w:p>
    <w:p w14:paraId="18F9BB9E" w14:textId="549757E9" w:rsidR="007E42B7" w:rsidRPr="001B3076" w:rsidRDefault="004650AF" w:rsidP="001B3076">
      <w:pPr>
        <w:pStyle w:val="Prrafodelista"/>
        <w:rPr>
          <w:rFonts w:cs="Tahoma"/>
          <w:bCs/>
          <w:szCs w:val="22"/>
          <w:lang w:val="es-ES"/>
        </w:rPr>
      </w:pPr>
      <w:r w:rsidRPr="001B3076">
        <w:rPr>
          <w:rFonts w:cs="Tahoma"/>
          <w:bCs/>
          <w:szCs w:val="22"/>
          <w:lang w:val="es-ES"/>
        </w:rPr>
        <w:t>Archivo constante de 6 páginas, en las que se aprecia como asunto respuesta a la solicitud de información 00568/SMV/IP/2024 de fecha 20 de agosto de 2024, dirigido al solicitante en el que se contiene de manera medular:</w:t>
      </w:r>
    </w:p>
    <w:p w14:paraId="4D14773C" w14:textId="77777777" w:rsidR="004650AF" w:rsidRPr="001B3076" w:rsidRDefault="004650AF" w:rsidP="001B3076">
      <w:pPr>
        <w:pStyle w:val="Prrafodelista"/>
        <w:rPr>
          <w:rFonts w:cs="Tahoma"/>
          <w:bCs/>
          <w:szCs w:val="22"/>
          <w:lang w:val="es-ES"/>
        </w:rPr>
      </w:pPr>
    </w:p>
    <w:p w14:paraId="252F20B9" w14:textId="34557ADD" w:rsidR="004650AF" w:rsidRPr="001B3076" w:rsidRDefault="004650AF" w:rsidP="001B3076">
      <w:pPr>
        <w:pStyle w:val="Prrafodelista"/>
        <w:rPr>
          <w:rFonts w:cs="Tahoma"/>
          <w:bCs/>
          <w:i/>
          <w:iCs/>
          <w:szCs w:val="22"/>
          <w:lang w:val="es-ES"/>
        </w:rPr>
      </w:pPr>
      <w:r w:rsidRPr="001B3076">
        <w:rPr>
          <w:i/>
          <w:iCs/>
        </w:rPr>
        <w:t>“…se hace de su apreciable conocimiento que, mediante comunicado electrónico remitido al suscrito a través del SAIMEX, por parte del Servidor Público Habilitado de la unidad administrativa que a continuación se indica, así como por el organismo auxiliar de esta Secretaría que se detalla, como áreas competentes para atender su requerimiento de información, señalaron lo siguiente:</w:t>
      </w:r>
    </w:p>
    <w:p w14:paraId="3F76896B" w14:textId="77777777" w:rsidR="004650AF" w:rsidRPr="001B3076" w:rsidRDefault="004650AF" w:rsidP="001B3076">
      <w:pPr>
        <w:pStyle w:val="Prrafodelista"/>
        <w:rPr>
          <w:i/>
          <w:iCs/>
        </w:rPr>
      </w:pPr>
    </w:p>
    <w:p w14:paraId="6F8B2451" w14:textId="19D9469C" w:rsidR="004650AF" w:rsidRPr="001B3076" w:rsidRDefault="004650AF" w:rsidP="001B3076">
      <w:pPr>
        <w:pStyle w:val="Prrafodelista"/>
        <w:rPr>
          <w:rFonts w:cs="Tahoma"/>
          <w:b/>
          <w:bCs/>
          <w:i/>
          <w:iCs/>
          <w:szCs w:val="22"/>
          <w:u w:val="single"/>
          <w:lang w:val="es-ES"/>
        </w:rPr>
      </w:pPr>
      <w:r w:rsidRPr="001B3076">
        <w:rPr>
          <w:b/>
          <w:bCs/>
          <w:i/>
          <w:iCs/>
          <w:u w:val="single"/>
        </w:rPr>
        <w:t>Dirección General de Movilidad Zona I</w:t>
      </w:r>
    </w:p>
    <w:p w14:paraId="47FD1EE7" w14:textId="4981A2D7" w:rsidR="004650AF" w:rsidRPr="001B3076" w:rsidRDefault="004650AF" w:rsidP="001B3076">
      <w:pPr>
        <w:pStyle w:val="Prrafodelista"/>
        <w:rPr>
          <w:i/>
          <w:iCs/>
        </w:rPr>
      </w:pPr>
      <w:r w:rsidRPr="001B3076">
        <w:rPr>
          <w:rFonts w:cs="Tahoma"/>
          <w:bCs/>
          <w:i/>
          <w:iCs/>
          <w:szCs w:val="22"/>
          <w:lang w:val="es-ES"/>
        </w:rPr>
        <w:t>…</w:t>
      </w:r>
      <w:r w:rsidRPr="001B3076">
        <w:rPr>
          <w:i/>
          <w:iCs/>
        </w:rPr>
        <w:t xml:space="preserve"> me permito hacerle del conocimiento que mediante oficio número 22001001A000000/2024/1021, emitido por esta Dirección General en fecha cuatro de septiembre del año en curso, se solicitó al Titular de la Unidad de Transparencia y Coordinador de Control Técnico, llevar a cabo Sesión de Comité de Información, con la finalidad de clasificar como RESERVADA todos los oficios, escritos, documentos, cartas que dieron origen a “EL NOMBRE DE LA EMPRESA O REPRESENTACIÓN, EL NOMBRE REPRESENTANTE LEGAL UBICACIÓN DE LOS DEPOSITO DE GUARDA Y CUSTODIA CONOCIDOS COMO CORRALONES, QUE FUERON CLAUSURADOS CON SU EXPEDIENTE COMPLETO, FECHA DE CLAUSURA, Y A LA FECHA CUALES Y CUANTOS DE ELLOS VOLVIERON ABRIR CON QUE RESOLUCIÓN ESTOS DESDE SEPTIEMBRE 2023 A AGOSTO 2024” (sic) correspondientes a la jurisdicción de esta Dirección General de Movilidad Zona I....”</w:t>
      </w:r>
    </w:p>
    <w:p w14:paraId="0D50E4FB" w14:textId="736D209C" w:rsidR="00E22F2B" w:rsidRPr="001B3076" w:rsidRDefault="00E22F2B" w:rsidP="001B3076">
      <w:pPr>
        <w:pStyle w:val="Prrafodelista"/>
        <w:rPr>
          <w:i/>
          <w:iCs/>
        </w:rPr>
      </w:pPr>
    </w:p>
    <w:p w14:paraId="0A64A59B" w14:textId="77777777" w:rsidR="006978D7" w:rsidRPr="001B3076" w:rsidRDefault="006978D7" w:rsidP="001B3076">
      <w:pPr>
        <w:pStyle w:val="Prrafodelista"/>
        <w:rPr>
          <w:i/>
          <w:iCs/>
        </w:rPr>
      </w:pPr>
    </w:p>
    <w:p w14:paraId="3C89000D" w14:textId="46723E45" w:rsidR="00E22F2B" w:rsidRPr="001B3076" w:rsidRDefault="00E22F2B" w:rsidP="001B3076">
      <w:pPr>
        <w:pStyle w:val="Prrafodelista"/>
        <w:rPr>
          <w:b/>
          <w:bCs/>
          <w:i/>
          <w:iCs/>
          <w:u w:val="single"/>
        </w:rPr>
      </w:pPr>
      <w:r w:rsidRPr="001B3076">
        <w:rPr>
          <w:b/>
          <w:bCs/>
          <w:i/>
          <w:iCs/>
          <w:u w:val="single"/>
        </w:rPr>
        <w:lastRenderedPageBreak/>
        <w:t>Dirección General de Movilidad Zona II</w:t>
      </w:r>
    </w:p>
    <w:p w14:paraId="22E86BF0" w14:textId="65811B7F" w:rsidR="00E22F2B" w:rsidRPr="001B3076" w:rsidRDefault="00E22F2B" w:rsidP="001B3076">
      <w:pPr>
        <w:pStyle w:val="Prrafodelista"/>
        <w:rPr>
          <w:i/>
          <w:iCs/>
        </w:rPr>
      </w:pPr>
      <w:r w:rsidRPr="001B3076">
        <w:rPr>
          <w:i/>
          <w:iCs/>
        </w:rPr>
        <w:t>“…me permito informar, que esta Dirección General de Movilidad Zona II, solicitó la RESERVA de información al Comité de la Secretaría de Movilidad, a través de oficio número 22001002000000T/706/2024, de fecha 03 de agosto de 2024, por lo que, por el momento esta Unidad Administrativa, se encuentra imposibilitada a emitir respuesta a la presente, en tanto se encuentren los Procedimientos en subjudice; es decir, pendientes de resolución. Se adjunta al presente dicha solicitud de reserva, en el cual se exponen los motivos y pruebas de daño., así como temporalidad de reserva. Sin más por el momento, le envío un cordial saludo...”</w:t>
      </w:r>
    </w:p>
    <w:p w14:paraId="4D5172A9" w14:textId="77777777" w:rsidR="00E22F2B" w:rsidRPr="001B3076" w:rsidRDefault="00E22F2B" w:rsidP="001B3076">
      <w:pPr>
        <w:pStyle w:val="Prrafodelista"/>
        <w:rPr>
          <w:i/>
          <w:iCs/>
        </w:rPr>
      </w:pPr>
    </w:p>
    <w:p w14:paraId="078FC77C" w14:textId="567C8E81" w:rsidR="00893F31" w:rsidRPr="001B3076" w:rsidRDefault="00893F31" w:rsidP="001B3076">
      <w:pPr>
        <w:pStyle w:val="Prrafodelista"/>
        <w:rPr>
          <w:b/>
          <w:bCs/>
          <w:i/>
          <w:iCs/>
          <w:u w:val="single"/>
        </w:rPr>
      </w:pPr>
      <w:r w:rsidRPr="001B3076">
        <w:rPr>
          <w:b/>
          <w:bCs/>
          <w:i/>
          <w:iCs/>
          <w:u w:val="single"/>
        </w:rPr>
        <w:t>Dirección General de Movilidad Zona III</w:t>
      </w:r>
    </w:p>
    <w:p w14:paraId="0373E1B4" w14:textId="77777777" w:rsidR="00E22F2B" w:rsidRPr="001B3076" w:rsidRDefault="00E22F2B" w:rsidP="001B3076">
      <w:pPr>
        <w:pStyle w:val="Prrafodelista"/>
        <w:rPr>
          <w:b/>
          <w:bCs/>
          <w:i/>
          <w:iCs/>
          <w:u w:val="single"/>
        </w:rPr>
      </w:pPr>
    </w:p>
    <w:p w14:paraId="38C6F777" w14:textId="0FA66D04" w:rsidR="00893F31" w:rsidRPr="001B3076" w:rsidRDefault="00893F31" w:rsidP="001B3076">
      <w:pPr>
        <w:pStyle w:val="Prrafodelista"/>
        <w:rPr>
          <w:i/>
          <w:iCs/>
        </w:rPr>
      </w:pPr>
      <w:r w:rsidRPr="001B3076">
        <w:rPr>
          <w:i/>
          <w:iCs/>
        </w:rPr>
        <w:t>… no clausuró ningún corralón en los ejercicios fiscales 2022, 2023 y 2024, por lo que en términos del numeral 12 segundo párrafo de la Ley de Transparencia y Acceso a la Información Pública del Estado de México y Municipios, no se procesara dicha información ya que no obra en nuestros archivos. Sin más por el momento, en espera de que la información proporcionada sea de utilidad, quedo de Usted. Cordialmente Sergio García Romero, Director General de Movilidad Zona III....”</w:t>
      </w:r>
    </w:p>
    <w:p w14:paraId="466EB676" w14:textId="77777777" w:rsidR="00893F31" w:rsidRPr="001B3076" w:rsidRDefault="00893F31" w:rsidP="001B3076">
      <w:pPr>
        <w:pStyle w:val="Prrafodelista"/>
        <w:rPr>
          <w:i/>
          <w:iCs/>
        </w:rPr>
      </w:pPr>
    </w:p>
    <w:p w14:paraId="18C8E738" w14:textId="77777777" w:rsidR="00893F31" w:rsidRPr="001B3076" w:rsidRDefault="00893F31" w:rsidP="001B3076">
      <w:pPr>
        <w:pStyle w:val="Prrafodelista"/>
        <w:rPr>
          <w:b/>
          <w:bCs/>
          <w:i/>
          <w:iCs/>
          <w:u w:val="single"/>
        </w:rPr>
      </w:pPr>
      <w:r w:rsidRPr="001B3076">
        <w:rPr>
          <w:b/>
          <w:bCs/>
          <w:i/>
          <w:iCs/>
          <w:u w:val="single"/>
        </w:rPr>
        <w:t xml:space="preserve">Dirección General de Movilidad Zona IV </w:t>
      </w:r>
    </w:p>
    <w:p w14:paraId="205AA12A" w14:textId="6E5B17DF" w:rsidR="00893F31" w:rsidRPr="001B3076" w:rsidRDefault="00893F31" w:rsidP="001B3076">
      <w:pPr>
        <w:pStyle w:val="Prrafodelista"/>
        <w:rPr>
          <w:i/>
          <w:iCs/>
        </w:rPr>
      </w:pPr>
      <w:r w:rsidRPr="001B3076">
        <w:rPr>
          <w:i/>
          <w:iCs/>
        </w:rPr>
        <w:t>“Se anexa en formato PDF, la respuesta de la solicitud de información...”</w:t>
      </w:r>
    </w:p>
    <w:p w14:paraId="5779A9F2" w14:textId="77777777" w:rsidR="00893F31" w:rsidRPr="001B3076" w:rsidRDefault="00893F31" w:rsidP="001B3076">
      <w:pPr>
        <w:pStyle w:val="Prrafodelista"/>
        <w:rPr>
          <w:i/>
          <w:iCs/>
        </w:rPr>
      </w:pPr>
    </w:p>
    <w:p w14:paraId="31161F99" w14:textId="2B863A5C" w:rsidR="00893F31" w:rsidRPr="001B3076" w:rsidRDefault="00893F31" w:rsidP="001B3076">
      <w:pPr>
        <w:pStyle w:val="Prrafodelista"/>
        <w:rPr>
          <w:b/>
          <w:bCs/>
          <w:i/>
          <w:iCs/>
          <w:u w:val="single"/>
        </w:rPr>
      </w:pPr>
      <w:r w:rsidRPr="001B3076">
        <w:rPr>
          <w:b/>
          <w:bCs/>
          <w:i/>
          <w:iCs/>
          <w:u w:val="single"/>
        </w:rPr>
        <w:t>Registro Estatal de Transporte Público</w:t>
      </w:r>
    </w:p>
    <w:p w14:paraId="31E49A44" w14:textId="4EC6996C" w:rsidR="00893F31" w:rsidRPr="001B3076" w:rsidRDefault="002B4A8C" w:rsidP="001B3076">
      <w:pPr>
        <w:pStyle w:val="Prrafodelista"/>
        <w:rPr>
          <w:i/>
          <w:iCs/>
        </w:rPr>
      </w:pPr>
      <w:r w:rsidRPr="001B3076">
        <w:rPr>
          <w:rFonts w:cs="Tahoma"/>
          <w:bCs/>
          <w:i/>
          <w:iCs/>
          <w:szCs w:val="22"/>
          <w:lang w:val="es-ES"/>
        </w:rPr>
        <w:t>“…</w:t>
      </w:r>
      <w:r w:rsidRPr="001B3076">
        <w:rPr>
          <w:i/>
          <w:iCs/>
        </w:rPr>
        <w:t>se realizó una búsqueda en los archivos digitales del Registro Estatal de Transporte Publico, así como en los archivos físicos, sin embargo, no se localizó antecedente de los datos requeridos. Sin más por el momento envío un cordial saludo...”</w:t>
      </w:r>
    </w:p>
    <w:p w14:paraId="33F8B0F5" w14:textId="77777777" w:rsidR="002B4A8C" w:rsidRPr="001B3076" w:rsidRDefault="002B4A8C" w:rsidP="001B3076">
      <w:pPr>
        <w:pStyle w:val="Prrafodelista"/>
        <w:rPr>
          <w:i/>
          <w:iCs/>
        </w:rPr>
      </w:pPr>
    </w:p>
    <w:p w14:paraId="66A96FFB" w14:textId="5E4467DC" w:rsidR="002B4A8C" w:rsidRPr="001B3076" w:rsidRDefault="002B4A8C" w:rsidP="001B3076">
      <w:pPr>
        <w:pStyle w:val="Prrafodelista"/>
        <w:rPr>
          <w:b/>
          <w:bCs/>
          <w:i/>
          <w:iCs/>
          <w:u w:val="single"/>
        </w:rPr>
      </w:pPr>
      <w:r w:rsidRPr="001B3076">
        <w:rPr>
          <w:b/>
          <w:bCs/>
          <w:i/>
          <w:iCs/>
          <w:u w:val="single"/>
        </w:rPr>
        <w:lastRenderedPageBreak/>
        <w:t>Coordinación Jurídica, de Igualdad de Género y Erradicación de la Violencia</w:t>
      </w:r>
    </w:p>
    <w:p w14:paraId="01514203" w14:textId="62A07200" w:rsidR="002B4A8C" w:rsidRPr="001B3076" w:rsidRDefault="00E572D8" w:rsidP="001B3076">
      <w:pPr>
        <w:pStyle w:val="Prrafodelista"/>
        <w:rPr>
          <w:i/>
          <w:iCs/>
        </w:rPr>
      </w:pPr>
      <w:r w:rsidRPr="001B3076">
        <w:rPr>
          <w:rFonts w:cs="Tahoma"/>
          <w:bCs/>
          <w:i/>
          <w:iCs/>
          <w:szCs w:val="22"/>
          <w:lang w:val="es-ES"/>
        </w:rPr>
        <w:t>“…</w:t>
      </w:r>
      <w:r w:rsidRPr="001B3076">
        <w:rPr>
          <w:i/>
          <w:iCs/>
        </w:rPr>
        <w:t>Al respecto, se informa que con fundamento en el numeral 143 de la Constitución Política del Estado Libre y Soberano de México, así como el artículo 16 del Reglamento Interior de la Secretaría de Movilidad, se hace patente que esta Coordinación Jurídica, de Igualdad de Género y Erradicación de la Violencia y en torno a las atribuciones legalmente conferidas por el Reglamento antes mencionado; en relación con lo solicitado por el peticionario, es menester precisar que esta Unidad Administrativa no genera, no posee o no administra la información solicitada, por lo que no está en el ámbito de su competencia, atribuciones y/o responsabilidad. No obstante, lo anterior, se procedió a realizar una búsqueda exhaustiva dentro de los archivos físicos y digitales con los que cuenta esta Coordinación Jurídica, obteniendo como resultado que no se cuenta con la información requerida. Razón por la cual se precisa que, en los casos en que ciertas facultades, competencias o funciones no se hayan ejercido, se debe motivar la respuesta en función de las causas que motiven la inexistencia, ya que, ante la negativa del acceso a la información o su inexistencia, el sujeto oblig0ado deberá demostrar que la información solicitada está prevista en alguna de las excepciones contenidas en Ley</w:t>
      </w:r>
      <w:r w:rsidR="006978D7" w:rsidRPr="001B3076">
        <w:rPr>
          <w:i/>
          <w:iCs/>
        </w:rPr>
        <w:t>”</w:t>
      </w:r>
    </w:p>
    <w:p w14:paraId="461C45D5" w14:textId="77777777" w:rsidR="00E572D8" w:rsidRPr="001B3076" w:rsidRDefault="00E572D8" w:rsidP="001B3076">
      <w:pPr>
        <w:pStyle w:val="Prrafodelista"/>
        <w:rPr>
          <w:i/>
          <w:iCs/>
        </w:rPr>
      </w:pPr>
    </w:p>
    <w:p w14:paraId="45AFCDE7" w14:textId="5633D153" w:rsidR="00E572D8" w:rsidRPr="001B3076" w:rsidRDefault="00E572D8" w:rsidP="001B3076">
      <w:pPr>
        <w:pStyle w:val="Prrafodelista"/>
        <w:rPr>
          <w:b/>
          <w:bCs/>
          <w:i/>
          <w:iCs/>
          <w:u w:val="single"/>
        </w:rPr>
      </w:pPr>
      <w:r w:rsidRPr="001B3076">
        <w:rPr>
          <w:b/>
          <w:bCs/>
          <w:i/>
          <w:iCs/>
          <w:u w:val="single"/>
        </w:rPr>
        <w:t>Subsecretaría de Movilidad</w:t>
      </w:r>
    </w:p>
    <w:p w14:paraId="1CF2320C" w14:textId="455A765C" w:rsidR="00E572D8" w:rsidRPr="001B3076" w:rsidRDefault="00E572D8" w:rsidP="001B3076">
      <w:pPr>
        <w:pStyle w:val="Prrafodelista"/>
        <w:rPr>
          <w:i/>
          <w:iCs/>
        </w:rPr>
      </w:pPr>
      <w:r w:rsidRPr="001B3076">
        <w:rPr>
          <w:i/>
          <w:iCs/>
        </w:rPr>
        <w:t>… Al respecto me permito informar , que lo solicitado no se encuentra dentro de las facultades de esta Subsecretaría de Movilidad , por tal motivo no es posible proporcionar la información requerida, no obstante se realizó una búsqueda minuciosa y exhaustiva en los archivos que obran en esta Unidad Administrativa y no se localizó registro alguno de lo solicitado para atender su requerimiento.- Sin ,más por el momento me reitero a sus apreciables órdenes.…” (Sic)</w:t>
      </w:r>
    </w:p>
    <w:p w14:paraId="77F2DC49" w14:textId="77777777" w:rsidR="00E572D8" w:rsidRPr="001B3076" w:rsidRDefault="00E572D8" w:rsidP="001B3076">
      <w:pPr>
        <w:pStyle w:val="Prrafodelista"/>
        <w:rPr>
          <w:i/>
          <w:iCs/>
        </w:rPr>
      </w:pPr>
    </w:p>
    <w:p w14:paraId="047AE260" w14:textId="18F859A3" w:rsidR="00E572D8" w:rsidRPr="001B3076" w:rsidRDefault="00E572D8" w:rsidP="001B3076">
      <w:pPr>
        <w:pStyle w:val="Prrafodelista"/>
        <w:rPr>
          <w:i/>
          <w:iCs/>
        </w:rPr>
      </w:pPr>
      <w:r w:rsidRPr="001B3076">
        <w:rPr>
          <w:i/>
          <w:iCs/>
        </w:rPr>
        <w:lastRenderedPageBreak/>
        <w:t>Ahora bien, se anexa el Acta de la Centésima Quincuagésima Quinta Sesión Extraordinaria, celebrada en fecha nueve de septiembre de la presente anualidad, para aprobar las solicitudes de reserva de información solicitadas por los sujetos habilidados.</w:t>
      </w:r>
    </w:p>
    <w:p w14:paraId="0A938A39" w14:textId="592A7589" w:rsidR="00360DDD" w:rsidRPr="001B3076" w:rsidRDefault="00360DDD" w:rsidP="001B3076">
      <w:pPr>
        <w:pStyle w:val="Prrafodelista"/>
      </w:pPr>
    </w:p>
    <w:p w14:paraId="1391A79E" w14:textId="77777777" w:rsidR="00360DDD" w:rsidRPr="001B3076" w:rsidRDefault="00360DDD" w:rsidP="001B3076">
      <w:pPr>
        <w:pStyle w:val="Prrafodelista"/>
        <w:numPr>
          <w:ilvl w:val="0"/>
          <w:numId w:val="30"/>
        </w:numPr>
        <w:autoSpaceDE w:val="0"/>
        <w:autoSpaceDN w:val="0"/>
        <w:adjustRightInd w:val="0"/>
        <w:ind w:right="-28"/>
        <w:rPr>
          <w:rFonts w:cs="Tahoma"/>
          <w:b/>
          <w:bCs/>
          <w:i/>
          <w:szCs w:val="22"/>
          <w:lang w:val="es-ES"/>
        </w:rPr>
      </w:pPr>
      <w:r w:rsidRPr="001B3076">
        <w:rPr>
          <w:rFonts w:cs="Tahoma"/>
          <w:b/>
          <w:bCs/>
          <w:i/>
          <w:szCs w:val="22"/>
          <w:lang w:val="es-ES"/>
        </w:rPr>
        <w:t>RESPUESTA SOLICITUD 00568-IP-2024.pdf</w:t>
      </w:r>
    </w:p>
    <w:p w14:paraId="55D81E4E" w14:textId="77777777" w:rsidR="00360DDD" w:rsidRPr="001B3076" w:rsidRDefault="00360DDD" w:rsidP="001B3076">
      <w:pPr>
        <w:pStyle w:val="Prrafodelista"/>
        <w:autoSpaceDE w:val="0"/>
        <w:autoSpaceDN w:val="0"/>
        <w:adjustRightInd w:val="0"/>
        <w:ind w:right="-28"/>
        <w:rPr>
          <w:rFonts w:cs="Tahoma"/>
          <w:bCs/>
          <w:szCs w:val="22"/>
          <w:lang w:val="es-ES"/>
        </w:rPr>
      </w:pPr>
      <w:r w:rsidRPr="001B3076">
        <w:rPr>
          <w:rFonts w:cs="Tahoma"/>
          <w:bCs/>
          <w:szCs w:val="22"/>
          <w:lang w:val="es-ES"/>
        </w:rPr>
        <w:t>Archivo constante de 8 páginas, en las que se aprecia el oficio de fecha 09 de septiembre de 2024, suscrito por el Director General de Movilidad Zona IV, en el que refiere de manera medular respecto de lo peticionado por el particular:</w:t>
      </w:r>
    </w:p>
    <w:p w14:paraId="5F0F823B" w14:textId="77777777" w:rsidR="00360DDD" w:rsidRPr="001B3076" w:rsidRDefault="00360DDD" w:rsidP="001B3076">
      <w:pPr>
        <w:pStyle w:val="Prrafodelista"/>
        <w:autoSpaceDE w:val="0"/>
        <w:autoSpaceDN w:val="0"/>
        <w:adjustRightInd w:val="0"/>
        <w:ind w:right="-28"/>
        <w:rPr>
          <w:rFonts w:cs="Tahoma"/>
          <w:bCs/>
          <w:szCs w:val="22"/>
          <w:lang w:val="es-ES"/>
        </w:rPr>
      </w:pPr>
    </w:p>
    <w:p w14:paraId="710400D9" w14:textId="15D47CD1" w:rsidR="00360DDD" w:rsidRPr="001B3076" w:rsidRDefault="00360DDD" w:rsidP="001B3076">
      <w:pPr>
        <w:pStyle w:val="Prrafodelista"/>
        <w:autoSpaceDE w:val="0"/>
        <w:autoSpaceDN w:val="0"/>
        <w:adjustRightInd w:val="0"/>
        <w:ind w:right="-28"/>
        <w:rPr>
          <w:rFonts w:cs="Tahoma"/>
          <w:bCs/>
          <w:i/>
          <w:iCs/>
          <w:szCs w:val="22"/>
          <w:lang w:val="es-ES"/>
        </w:rPr>
      </w:pPr>
      <w:r w:rsidRPr="001B3076">
        <w:rPr>
          <w:rFonts w:cs="Tahoma"/>
          <w:bCs/>
          <w:szCs w:val="22"/>
          <w:lang w:val="es-ES"/>
        </w:rPr>
        <w:t>“</w:t>
      </w:r>
      <w:r w:rsidRPr="001B3076">
        <w:rPr>
          <w:rFonts w:cs="Tahoma"/>
          <w:bCs/>
          <w:i/>
          <w:iCs/>
          <w:szCs w:val="22"/>
          <w:lang w:val="es-ES"/>
        </w:rPr>
        <w:t>Por último, se reitera que esta Unidad Administrativa realizó una búsqueda exhaustiva en sus archivos físicos y digitales, pero la misma no rindió resultado alguno, porque esta Autoridad no ha dictado, ordenado, ejecutado o tratado de ejecutar el cierre o clausura de los servicios de arrastre, salvamento, custodia y depósito de vehículos, aunado a lo anterior se enfatiza que esta Dirección cuenta con las facultades establecidas en el artículo 12 del Reglamento Interno de la Secretaría de Movilidad, mismas que se cita a continuación:</w:t>
      </w:r>
    </w:p>
    <w:p w14:paraId="287B7370" w14:textId="7E489051" w:rsidR="00E22F2B" w:rsidRPr="001B3076" w:rsidRDefault="00E22F2B" w:rsidP="001B3076">
      <w:pPr>
        <w:pStyle w:val="Prrafodelista"/>
        <w:autoSpaceDE w:val="0"/>
        <w:autoSpaceDN w:val="0"/>
        <w:adjustRightInd w:val="0"/>
        <w:ind w:right="-28"/>
        <w:rPr>
          <w:rFonts w:cs="Tahoma"/>
          <w:bCs/>
          <w:i/>
          <w:iCs/>
          <w:szCs w:val="22"/>
          <w:lang w:val="es-ES"/>
        </w:rPr>
      </w:pPr>
      <w:r w:rsidRPr="001B3076">
        <w:rPr>
          <w:rFonts w:cs="Tahoma"/>
          <w:bCs/>
          <w:i/>
          <w:iCs/>
          <w:szCs w:val="22"/>
          <w:lang w:val="es-ES"/>
        </w:rPr>
        <w:t>…</w:t>
      </w:r>
    </w:p>
    <w:p w14:paraId="41A188DB" w14:textId="577C93DD" w:rsidR="00360DDD" w:rsidRPr="001B3076" w:rsidRDefault="00360DDD" w:rsidP="001B3076">
      <w:pPr>
        <w:pStyle w:val="Prrafodelista"/>
        <w:autoSpaceDE w:val="0"/>
        <w:autoSpaceDN w:val="0"/>
        <w:adjustRightInd w:val="0"/>
        <w:ind w:right="-28"/>
        <w:rPr>
          <w:rFonts w:cs="Tahoma"/>
          <w:bCs/>
          <w:i/>
          <w:iCs/>
          <w:szCs w:val="22"/>
          <w:lang w:val="es-ES"/>
        </w:rPr>
      </w:pPr>
      <w:r w:rsidRPr="001B3076">
        <w:rPr>
          <w:rFonts w:cs="Tahoma"/>
          <w:bCs/>
          <w:i/>
          <w:iCs/>
          <w:szCs w:val="22"/>
          <w:lang w:val="es-ES"/>
        </w:rPr>
        <w:t>Del cual se desprende que esta Dirección no cuenta con facultad expresa para clausurar los servicios de arrastre, salvamento, custodia y depósito de vehículos, concluyendo que esta Dirección, no solo no ha dictado, ordenado, ejecutado o tratado de ejecutar el cierre o clausura, sino que no cuenta con dicha facultad, por lo que se está ante una imposibilidad jurídica, material y real de rendir información sobre un acto que no es propio, ni facultad de esta Dirección</w:t>
      </w:r>
      <w:r w:rsidR="00E22F2B" w:rsidRPr="001B3076">
        <w:rPr>
          <w:rFonts w:cs="Tahoma"/>
          <w:bCs/>
          <w:i/>
          <w:iCs/>
          <w:szCs w:val="22"/>
          <w:lang w:val="es-ES"/>
        </w:rPr>
        <w:t>”</w:t>
      </w:r>
      <w:r w:rsidRPr="001B3076">
        <w:rPr>
          <w:rFonts w:cs="Tahoma"/>
          <w:bCs/>
          <w:i/>
          <w:iCs/>
          <w:szCs w:val="22"/>
          <w:lang w:val="es-ES"/>
        </w:rPr>
        <w:t>. Sic.</w:t>
      </w:r>
    </w:p>
    <w:p w14:paraId="656FAB0C" w14:textId="77777777" w:rsidR="00360DDD" w:rsidRPr="001B3076" w:rsidRDefault="00360DDD" w:rsidP="001B3076">
      <w:pPr>
        <w:autoSpaceDE w:val="0"/>
        <w:autoSpaceDN w:val="0"/>
        <w:adjustRightInd w:val="0"/>
        <w:ind w:right="-28"/>
        <w:rPr>
          <w:rFonts w:cs="Tahoma"/>
          <w:bCs/>
          <w:szCs w:val="22"/>
          <w:lang w:val="es-ES"/>
        </w:rPr>
      </w:pPr>
    </w:p>
    <w:p w14:paraId="0801D204" w14:textId="77777777" w:rsidR="00360DDD" w:rsidRPr="001B3076" w:rsidRDefault="00360DDD" w:rsidP="001B3076">
      <w:pPr>
        <w:pStyle w:val="Prrafodelista"/>
        <w:numPr>
          <w:ilvl w:val="0"/>
          <w:numId w:val="30"/>
        </w:numPr>
        <w:autoSpaceDE w:val="0"/>
        <w:autoSpaceDN w:val="0"/>
        <w:adjustRightInd w:val="0"/>
        <w:ind w:right="-28"/>
        <w:rPr>
          <w:rFonts w:cs="Tahoma"/>
          <w:b/>
          <w:bCs/>
          <w:i/>
          <w:szCs w:val="22"/>
          <w:lang w:val="es-ES"/>
        </w:rPr>
      </w:pPr>
      <w:r w:rsidRPr="001B3076">
        <w:rPr>
          <w:rFonts w:cs="Tahoma"/>
          <w:b/>
          <w:bCs/>
          <w:i/>
          <w:szCs w:val="22"/>
          <w:lang w:val="es-ES"/>
        </w:rPr>
        <w:t>Reserva de sol. 568 .pdf</w:t>
      </w:r>
    </w:p>
    <w:p w14:paraId="1A575F5D" w14:textId="0BB08C0A" w:rsidR="00A00828" w:rsidRPr="001B3076" w:rsidRDefault="003171F3" w:rsidP="001B3076">
      <w:pPr>
        <w:pStyle w:val="Prrafodelista"/>
      </w:pPr>
      <w:r w:rsidRPr="001B3076">
        <w:t xml:space="preserve">Archivo constante de 3 páginas, en las que se aprecia el oficio número 22001002000000T/0706/2024 de fecha 03 de agosto de 2024, suscrito por la Directora </w:t>
      </w:r>
      <w:r w:rsidRPr="001B3076">
        <w:lastRenderedPageBreak/>
        <w:t>General de Movilidad Zona II, dirigido al Titular de la Unidad de Transparencia y Coordinador de Control Técnico, en el que le refiere:</w:t>
      </w:r>
    </w:p>
    <w:p w14:paraId="0EF90572" w14:textId="0252A788" w:rsidR="003171F3" w:rsidRPr="001B3076" w:rsidRDefault="003171F3" w:rsidP="001B3076">
      <w:pPr>
        <w:pStyle w:val="Prrafodelista"/>
      </w:pPr>
    </w:p>
    <w:p w14:paraId="6245EE49" w14:textId="77777777" w:rsidR="003171F3" w:rsidRPr="001B3076" w:rsidRDefault="003171F3" w:rsidP="001B3076">
      <w:pPr>
        <w:pStyle w:val="Prrafodelista"/>
        <w:rPr>
          <w:i/>
          <w:iCs/>
        </w:rPr>
      </w:pPr>
      <w:r w:rsidRPr="001B3076">
        <w:t>“</w:t>
      </w:r>
      <w:r w:rsidRPr="001B3076">
        <w:rPr>
          <w:i/>
          <w:iCs/>
        </w:rPr>
        <w:t>En esa virtud; con fundamento en lo dispuesto por el Artículo 140, fracción VII: El acceso a la información pública será restringido excepcionalmente, cuando por razones de interés público, está sea clasificada como reservada, conforme a los criterios siguientes</w:t>
      </w:r>
    </w:p>
    <w:p w14:paraId="15443AC7" w14:textId="77777777" w:rsidR="003171F3" w:rsidRPr="001B3076" w:rsidRDefault="003171F3" w:rsidP="001B3076">
      <w:pPr>
        <w:pStyle w:val="Prrafodelista"/>
        <w:jc w:val="center"/>
        <w:rPr>
          <w:b/>
          <w:bCs/>
          <w:i/>
          <w:iCs/>
        </w:rPr>
      </w:pPr>
      <w:r w:rsidRPr="001B3076">
        <w:rPr>
          <w:i/>
          <w:iCs/>
        </w:rPr>
        <w:t>…</w:t>
      </w:r>
    </w:p>
    <w:p w14:paraId="37F1B9F7" w14:textId="223CAE11" w:rsidR="003171F3" w:rsidRPr="001B3076" w:rsidRDefault="003171F3" w:rsidP="001B3076">
      <w:pPr>
        <w:pStyle w:val="Prrafodelista"/>
        <w:jc w:val="center"/>
        <w:rPr>
          <w:b/>
          <w:bCs/>
          <w:i/>
          <w:iCs/>
        </w:rPr>
      </w:pPr>
      <w:r w:rsidRPr="001B3076">
        <w:rPr>
          <w:b/>
          <w:bCs/>
          <w:i/>
          <w:iCs/>
        </w:rPr>
        <w:t>PRUEBA DE DAÑO</w:t>
      </w:r>
    </w:p>
    <w:p w14:paraId="0CEE8FF4" w14:textId="37154BF3" w:rsidR="003171F3" w:rsidRPr="001B3076" w:rsidRDefault="003171F3" w:rsidP="001B3076">
      <w:pPr>
        <w:pStyle w:val="Prrafodelista"/>
        <w:jc w:val="center"/>
        <w:rPr>
          <w:b/>
          <w:bCs/>
          <w:i/>
          <w:iCs/>
        </w:rPr>
      </w:pPr>
    </w:p>
    <w:p w14:paraId="470F679E" w14:textId="33994EB2" w:rsidR="003171F3" w:rsidRPr="001B3076" w:rsidRDefault="003171F3" w:rsidP="001B3076">
      <w:pPr>
        <w:pStyle w:val="Prrafodelista"/>
        <w:rPr>
          <w:i/>
          <w:iCs/>
        </w:rPr>
      </w:pPr>
      <w:r w:rsidRPr="001B3076">
        <w:rPr>
          <w:i/>
          <w:iCs/>
        </w:rPr>
        <w:t xml:space="preserve">En este tenor, la divulgación de la información solicitada representa un riesgo real, ya que, dificultaría el derecho al debido proceso de quienes participan en el mismo, y sólo es procedente la transparencia de la información hasta que estén concluidos totalmente, </w:t>
      </w:r>
      <w:r w:rsidRPr="001B3076">
        <w:rPr>
          <w:b/>
          <w:bCs/>
          <w:i/>
          <w:iCs/>
        </w:rPr>
        <w:t xml:space="preserve">YA QUE PODRÍA ENTORPERCER EL PROCEDIMIENTO ADMINISTRATIVO, QUEDANDO ACREDITADO CON ELLO EL DAÑO, </w:t>
      </w:r>
      <w:r w:rsidRPr="001B3076">
        <w:rPr>
          <w:i/>
          <w:iCs/>
        </w:rPr>
        <w:t>misma que fue solicitada en ….</w:t>
      </w:r>
    </w:p>
    <w:p w14:paraId="2BACA319" w14:textId="77777777" w:rsidR="007E42B7" w:rsidRPr="001B3076" w:rsidRDefault="007E42B7" w:rsidP="001B3076">
      <w:pPr>
        <w:autoSpaceDE w:val="0"/>
        <w:autoSpaceDN w:val="0"/>
        <w:adjustRightInd w:val="0"/>
        <w:ind w:right="-28"/>
        <w:rPr>
          <w:rFonts w:cs="Tahoma"/>
          <w:b/>
          <w:bCs/>
          <w:i/>
          <w:szCs w:val="22"/>
          <w:lang w:val="es-ES"/>
        </w:rPr>
      </w:pPr>
    </w:p>
    <w:p w14:paraId="5A5DAB9E" w14:textId="77777777" w:rsidR="00E37A3F" w:rsidRPr="001B3076" w:rsidRDefault="00E37A3F" w:rsidP="001B3076">
      <w:pPr>
        <w:pStyle w:val="Ttulo2"/>
        <w:jc w:val="left"/>
        <w:rPr>
          <w:szCs w:val="22"/>
        </w:rPr>
      </w:pPr>
      <w:bookmarkStart w:id="8" w:name="_Toc179389819"/>
      <w:r w:rsidRPr="001B3076">
        <w:rPr>
          <w:szCs w:val="22"/>
        </w:rPr>
        <w:t>DEL RECURSO DE REVISIÓN</w:t>
      </w:r>
      <w:bookmarkEnd w:id="8"/>
    </w:p>
    <w:p w14:paraId="2B216813" w14:textId="61ADBB2B" w:rsidR="00664420" w:rsidRPr="001B3076" w:rsidRDefault="006E25BC" w:rsidP="001B3076">
      <w:pPr>
        <w:pStyle w:val="Ttulo3"/>
        <w:rPr>
          <w:szCs w:val="22"/>
        </w:rPr>
      </w:pPr>
      <w:bookmarkStart w:id="9" w:name="_Toc179389820"/>
      <w:r w:rsidRPr="001B3076">
        <w:rPr>
          <w:szCs w:val="22"/>
        </w:rPr>
        <w:t xml:space="preserve">a) </w:t>
      </w:r>
      <w:r w:rsidR="00664420" w:rsidRPr="001B3076">
        <w:rPr>
          <w:szCs w:val="22"/>
        </w:rPr>
        <w:t>Interposición del Recurso de Revisión</w:t>
      </w:r>
      <w:bookmarkEnd w:id="9"/>
    </w:p>
    <w:p w14:paraId="6279C622" w14:textId="3BB01F0D" w:rsidR="00664420" w:rsidRPr="001B3076" w:rsidRDefault="00664420" w:rsidP="001B3076">
      <w:pPr>
        <w:autoSpaceDE w:val="0"/>
        <w:autoSpaceDN w:val="0"/>
        <w:adjustRightInd w:val="0"/>
        <w:ind w:right="-28"/>
        <w:rPr>
          <w:rFonts w:cs="Tahoma"/>
          <w:szCs w:val="22"/>
        </w:rPr>
      </w:pPr>
      <w:r w:rsidRPr="001B3076">
        <w:rPr>
          <w:rFonts w:cs="Tahoma"/>
          <w:szCs w:val="22"/>
        </w:rPr>
        <w:t xml:space="preserve">El </w:t>
      </w:r>
      <w:r w:rsidR="007E42B7" w:rsidRPr="001B3076">
        <w:rPr>
          <w:rFonts w:cs="Tahoma"/>
          <w:b/>
          <w:bCs/>
          <w:szCs w:val="22"/>
        </w:rPr>
        <w:t>diecisiete de septiembre</w:t>
      </w:r>
      <w:r w:rsidRPr="001B3076">
        <w:rPr>
          <w:rFonts w:cs="Tahoma"/>
          <w:b/>
          <w:bCs/>
          <w:szCs w:val="22"/>
        </w:rPr>
        <w:t xml:space="preserve"> de dos mil </w:t>
      </w:r>
      <w:r w:rsidR="00E810F7" w:rsidRPr="001B3076">
        <w:rPr>
          <w:rFonts w:cs="Tahoma"/>
          <w:b/>
          <w:bCs/>
          <w:szCs w:val="22"/>
        </w:rPr>
        <w:t>veinticuatro</w:t>
      </w:r>
      <w:r w:rsidR="009C7CDB" w:rsidRPr="001B3076">
        <w:rPr>
          <w:rFonts w:cs="Tahoma"/>
          <w:b/>
          <w:bCs/>
          <w:szCs w:val="22"/>
        </w:rPr>
        <w:t>,</w:t>
      </w:r>
      <w:r w:rsidRPr="001B3076">
        <w:rPr>
          <w:rFonts w:cs="Tahoma"/>
          <w:szCs w:val="22"/>
        </w:rPr>
        <w:t xml:space="preserve"> </w:t>
      </w:r>
      <w:r w:rsidR="00F75D23" w:rsidRPr="001B3076">
        <w:rPr>
          <w:rFonts w:cs="Tahoma"/>
          <w:b/>
          <w:bCs/>
          <w:szCs w:val="22"/>
        </w:rPr>
        <w:t>LA PARTE RECURRENTE</w:t>
      </w:r>
      <w:r w:rsidR="00F75D23" w:rsidRPr="001B3076">
        <w:rPr>
          <w:rFonts w:cs="Tahoma"/>
          <w:szCs w:val="22"/>
        </w:rPr>
        <w:t xml:space="preserve"> interpuso el recurso de revisión en contra de la respuesta emitida por el </w:t>
      </w:r>
      <w:r w:rsidR="00F75D23" w:rsidRPr="001B3076">
        <w:rPr>
          <w:rFonts w:cs="Tahoma"/>
          <w:b/>
          <w:bCs/>
          <w:szCs w:val="22"/>
        </w:rPr>
        <w:t>SUJETO OBLIGADO</w:t>
      </w:r>
      <w:r w:rsidR="00953430" w:rsidRPr="001B3076">
        <w:rPr>
          <w:rFonts w:cs="Tahoma"/>
          <w:szCs w:val="22"/>
        </w:rPr>
        <w:t xml:space="preserve">, mismo que fue registrado en el </w:t>
      </w:r>
      <w:r w:rsidR="00953430" w:rsidRPr="001B3076">
        <w:rPr>
          <w:rFonts w:cs="Tahoma"/>
          <w:b/>
          <w:szCs w:val="22"/>
        </w:rPr>
        <w:t>SAIMEX</w:t>
      </w:r>
      <w:r w:rsidR="00953430" w:rsidRPr="001B3076">
        <w:rPr>
          <w:rFonts w:cs="Tahoma"/>
          <w:szCs w:val="22"/>
        </w:rPr>
        <w:t xml:space="preserve"> con el número de expediente </w:t>
      </w:r>
      <w:r w:rsidR="00413154" w:rsidRPr="001B3076">
        <w:rPr>
          <w:rFonts w:cs="Tahoma"/>
          <w:b/>
          <w:bCs/>
          <w:szCs w:val="22"/>
        </w:rPr>
        <w:t>05667/INFOEM/IP/RR/2024</w:t>
      </w:r>
      <w:r w:rsidR="00953430" w:rsidRPr="001B3076">
        <w:rPr>
          <w:rFonts w:cs="Tahoma"/>
          <w:szCs w:val="22"/>
        </w:rPr>
        <w:t>, y en el cual manifiesta lo siguiente</w:t>
      </w:r>
      <w:r w:rsidRPr="001B3076">
        <w:rPr>
          <w:rFonts w:cs="Tahoma"/>
          <w:szCs w:val="22"/>
        </w:rPr>
        <w:t>:</w:t>
      </w:r>
    </w:p>
    <w:p w14:paraId="74B30008" w14:textId="77777777" w:rsidR="00664420" w:rsidRPr="001B3076" w:rsidRDefault="00664420" w:rsidP="001B3076">
      <w:pPr>
        <w:tabs>
          <w:tab w:val="left" w:pos="4667"/>
        </w:tabs>
        <w:spacing w:line="240" w:lineRule="auto"/>
        <w:ind w:right="539"/>
        <w:rPr>
          <w:rFonts w:cs="Tahoma"/>
          <w:szCs w:val="22"/>
        </w:rPr>
      </w:pPr>
    </w:p>
    <w:p w14:paraId="6900A410" w14:textId="77777777" w:rsidR="0009347C" w:rsidRPr="001B3076" w:rsidRDefault="00664420" w:rsidP="001B3076">
      <w:pPr>
        <w:tabs>
          <w:tab w:val="left" w:pos="4667"/>
        </w:tabs>
        <w:spacing w:line="240" w:lineRule="auto"/>
        <w:ind w:left="567" w:right="539"/>
        <w:rPr>
          <w:rFonts w:cs="Tahoma"/>
          <w:b/>
          <w:iCs/>
          <w:szCs w:val="22"/>
        </w:rPr>
      </w:pPr>
      <w:r w:rsidRPr="001B3076">
        <w:rPr>
          <w:rFonts w:cs="Tahoma"/>
          <w:b/>
          <w:iCs/>
          <w:szCs w:val="22"/>
        </w:rPr>
        <w:t>ACTO IMPUGNADO</w:t>
      </w:r>
    </w:p>
    <w:p w14:paraId="55B09D47" w14:textId="6FCDEE61" w:rsidR="003B3762" w:rsidRPr="001B3076" w:rsidRDefault="007E42B7" w:rsidP="001B3076">
      <w:pPr>
        <w:tabs>
          <w:tab w:val="left" w:pos="4667"/>
        </w:tabs>
        <w:ind w:left="567" w:right="539"/>
        <w:rPr>
          <w:rFonts w:eastAsiaTheme="majorEastAsia" w:cstheme="majorBidi"/>
          <w:i/>
          <w:kern w:val="28"/>
          <w:szCs w:val="56"/>
        </w:rPr>
      </w:pPr>
      <w:r w:rsidRPr="001B3076">
        <w:rPr>
          <w:rFonts w:eastAsiaTheme="majorEastAsia" w:cstheme="majorBidi"/>
          <w:i/>
          <w:kern w:val="28"/>
          <w:szCs w:val="56"/>
        </w:rPr>
        <w:t>Niegan la informaicón que es de su facultad</w:t>
      </w:r>
    </w:p>
    <w:p w14:paraId="4A3EEF55" w14:textId="77777777" w:rsidR="007E42B7" w:rsidRPr="001B3076" w:rsidRDefault="007E42B7" w:rsidP="001B3076">
      <w:pPr>
        <w:tabs>
          <w:tab w:val="left" w:pos="4667"/>
        </w:tabs>
        <w:spacing w:line="240" w:lineRule="auto"/>
        <w:ind w:left="567" w:right="539"/>
        <w:rPr>
          <w:rFonts w:cs="Tahoma"/>
          <w:b/>
          <w:iCs/>
          <w:szCs w:val="22"/>
        </w:rPr>
      </w:pPr>
    </w:p>
    <w:p w14:paraId="047D036B" w14:textId="77777777" w:rsidR="00664420" w:rsidRPr="001B3076" w:rsidRDefault="00664420" w:rsidP="001B3076">
      <w:pPr>
        <w:tabs>
          <w:tab w:val="left" w:pos="4667"/>
        </w:tabs>
        <w:spacing w:line="240" w:lineRule="auto"/>
        <w:ind w:left="567" w:right="539"/>
        <w:rPr>
          <w:rFonts w:cs="Tahoma"/>
          <w:b/>
          <w:iCs/>
          <w:szCs w:val="22"/>
        </w:rPr>
      </w:pPr>
      <w:r w:rsidRPr="001B3076">
        <w:rPr>
          <w:rFonts w:cs="Tahoma"/>
          <w:b/>
          <w:iCs/>
          <w:szCs w:val="22"/>
        </w:rPr>
        <w:t>RAZONES O MOTIVOS DE LA INCONFORMIDAD</w:t>
      </w:r>
      <w:r w:rsidRPr="001B3076">
        <w:rPr>
          <w:rFonts w:cs="Tahoma"/>
          <w:b/>
          <w:iCs/>
          <w:szCs w:val="22"/>
        </w:rPr>
        <w:tab/>
      </w:r>
    </w:p>
    <w:p w14:paraId="503AD335" w14:textId="1640199C" w:rsidR="002E2C99" w:rsidRPr="001B3076" w:rsidRDefault="007E42B7" w:rsidP="001B3076">
      <w:pPr>
        <w:tabs>
          <w:tab w:val="left" w:pos="4667"/>
        </w:tabs>
        <w:ind w:left="567" w:right="567"/>
        <w:rPr>
          <w:rFonts w:eastAsiaTheme="majorEastAsia" w:cstheme="majorBidi"/>
          <w:i/>
          <w:kern w:val="28"/>
          <w:szCs w:val="56"/>
        </w:rPr>
      </w:pPr>
      <w:r w:rsidRPr="001B3076">
        <w:rPr>
          <w:rFonts w:eastAsiaTheme="majorEastAsia" w:cstheme="majorBidi"/>
          <w:i/>
          <w:kern w:val="28"/>
          <w:szCs w:val="56"/>
        </w:rPr>
        <w:t>No entrega la información solicitada</w:t>
      </w:r>
    </w:p>
    <w:p w14:paraId="6804DEF1" w14:textId="3C4F6CB5" w:rsidR="00664420" w:rsidRPr="001B3076" w:rsidRDefault="006E25BC" w:rsidP="001B3076">
      <w:pPr>
        <w:pStyle w:val="Ttulo3"/>
        <w:rPr>
          <w:szCs w:val="22"/>
        </w:rPr>
      </w:pPr>
      <w:bookmarkStart w:id="10" w:name="_Toc179389821"/>
      <w:r w:rsidRPr="001B3076">
        <w:rPr>
          <w:szCs w:val="22"/>
        </w:rPr>
        <w:lastRenderedPageBreak/>
        <w:t>b</w:t>
      </w:r>
      <w:r w:rsidR="00664420" w:rsidRPr="001B3076">
        <w:rPr>
          <w:szCs w:val="22"/>
        </w:rPr>
        <w:t>) Turno del Recurso de Revisión</w:t>
      </w:r>
      <w:bookmarkEnd w:id="10"/>
    </w:p>
    <w:p w14:paraId="1173671B" w14:textId="77FCC9F1" w:rsidR="00C72DAA" w:rsidRPr="001B3076" w:rsidRDefault="00C72DAA" w:rsidP="001B3076">
      <w:pPr>
        <w:rPr>
          <w:szCs w:val="22"/>
        </w:rPr>
      </w:pPr>
      <w:r w:rsidRPr="001B3076">
        <w:rPr>
          <w:szCs w:val="22"/>
        </w:rPr>
        <w:t>Con fundamento en el artículo 185, fracción I de la Ley de Transparencia y Acceso a la Información Pública del Estado de México y Municipios, el</w:t>
      </w:r>
      <w:r w:rsidRPr="001B3076">
        <w:rPr>
          <w:b/>
          <w:bCs/>
          <w:szCs w:val="22"/>
        </w:rPr>
        <w:t xml:space="preserve"> </w:t>
      </w:r>
      <w:r w:rsidR="007E42B7" w:rsidRPr="001B3076">
        <w:rPr>
          <w:rFonts w:cs="Tahoma"/>
          <w:b/>
          <w:bCs/>
          <w:szCs w:val="22"/>
        </w:rPr>
        <w:t>diecisiete de septiembre</w:t>
      </w:r>
      <w:r w:rsidR="004252F1" w:rsidRPr="001B3076">
        <w:rPr>
          <w:rFonts w:cs="Tahoma"/>
          <w:b/>
          <w:bCs/>
          <w:szCs w:val="22"/>
        </w:rPr>
        <w:t xml:space="preserve"> de dos mil veinticuatro</w:t>
      </w:r>
      <w:r w:rsidR="00003628" w:rsidRPr="001B3076">
        <w:rPr>
          <w:rFonts w:cs="Tahoma"/>
          <w:b/>
          <w:bCs/>
          <w:szCs w:val="22"/>
        </w:rPr>
        <w:t>,</w:t>
      </w:r>
      <w:r w:rsidRPr="001B3076">
        <w:rPr>
          <w:szCs w:val="22"/>
        </w:rPr>
        <w:t xml:space="preserve"> se turnó el recurso de revisión a través del</w:t>
      </w:r>
      <w:r w:rsidRPr="001B3076">
        <w:rPr>
          <w:rFonts w:eastAsia="Arial Unicode MS"/>
          <w:szCs w:val="22"/>
        </w:rPr>
        <w:t xml:space="preserve"> </w:t>
      </w:r>
      <w:r w:rsidRPr="001B3076">
        <w:rPr>
          <w:rFonts w:eastAsia="Arial Unicode MS"/>
          <w:bCs/>
          <w:szCs w:val="22"/>
        </w:rPr>
        <w:t>SAIMEX</w:t>
      </w:r>
      <w:r w:rsidRPr="001B3076">
        <w:rPr>
          <w:szCs w:val="22"/>
        </w:rPr>
        <w:t xml:space="preserve"> a la </w:t>
      </w:r>
      <w:r w:rsidRPr="001B3076">
        <w:rPr>
          <w:b/>
          <w:szCs w:val="22"/>
        </w:rPr>
        <w:t>Comisionada Sharon Cristina Morales Martínez</w:t>
      </w:r>
      <w:r w:rsidRPr="001B3076">
        <w:rPr>
          <w:bCs/>
          <w:szCs w:val="22"/>
        </w:rPr>
        <w:t xml:space="preserve">, </w:t>
      </w:r>
      <w:r w:rsidRPr="001B3076">
        <w:rPr>
          <w:szCs w:val="22"/>
        </w:rPr>
        <w:t xml:space="preserve">a efecto de decretar su admisión o desechamiento. </w:t>
      </w:r>
    </w:p>
    <w:p w14:paraId="18F305CB" w14:textId="77777777" w:rsidR="00664420" w:rsidRPr="001B3076" w:rsidRDefault="00664420" w:rsidP="001B3076">
      <w:pPr>
        <w:rPr>
          <w:rFonts w:eastAsia="Batang" w:cs="Tahoma"/>
          <w:bCs/>
          <w:szCs w:val="22"/>
        </w:rPr>
      </w:pPr>
    </w:p>
    <w:p w14:paraId="3E31EC2D" w14:textId="295256A1" w:rsidR="00664420" w:rsidRPr="001B3076" w:rsidRDefault="006E25BC" w:rsidP="001B3076">
      <w:pPr>
        <w:pStyle w:val="Ttulo3"/>
        <w:rPr>
          <w:szCs w:val="22"/>
        </w:rPr>
      </w:pPr>
      <w:bookmarkStart w:id="11" w:name="_Toc179389822"/>
      <w:r w:rsidRPr="001B3076">
        <w:rPr>
          <w:szCs w:val="22"/>
        </w:rPr>
        <w:t>c</w:t>
      </w:r>
      <w:r w:rsidR="00664420" w:rsidRPr="001B3076">
        <w:rPr>
          <w:szCs w:val="22"/>
        </w:rPr>
        <w:t>) Admisión del Recurso de Revisión</w:t>
      </w:r>
      <w:bookmarkEnd w:id="11"/>
    </w:p>
    <w:p w14:paraId="240447D5" w14:textId="4068DAEA" w:rsidR="000E09C4" w:rsidRPr="001B3076" w:rsidRDefault="000E09C4" w:rsidP="001B3076">
      <w:pPr>
        <w:rPr>
          <w:rFonts w:cs="Arial"/>
          <w:szCs w:val="22"/>
        </w:rPr>
      </w:pPr>
      <w:r w:rsidRPr="001B3076">
        <w:rPr>
          <w:rFonts w:cs="Arial"/>
          <w:szCs w:val="22"/>
        </w:rPr>
        <w:t xml:space="preserve">El </w:t>
      </w:r>
      <w:r w:rsidR="007E42B7" w:rsidRPr="001B3076">
        <w:rPr>
          <w:rFonts w:cs="Arial"/>
          <w:b/>
          <w:bCs/>
          <w:szCs w:val="22"/>
        </w:rPr>
        <w:t>diecinueve</w:t>
      </w:r>
      <w:r w:rsidR="003B3762" w:rsidRPr="001B3076">
        <w:rPr>
          <w:rFonts w:cs="Arial"/>
          <w:b/>
          <w:bCs/>
          <w:szCs w:val="22"/>
        </w:rPr>
        <w:t xml:space="preserve"> de septiembre</w:t>
      </w:r>
      <w:r w:rsidR="004252F1" w:rsidRPr="001B3076">
        <w:rPr>
          <w:rFonts w:cs="Arial"/>
          <w:b/>
          <w:bCs/>
          <w:szCs w:val="22"/>
        </w:rPr>
        <w:t xml:space="preserve"> de dos mil veinticuatro</w:t>
      </w:r>
      <w:r w:rsidR="00003628" w:rsidRPr="001B3076">
        <w:rPr>
          <w:rFonts w:cs="Arial"/>
          <w:b/>
          <w:bCs/>
          <w:szCs w:val="22"/>
        </w:rPr>
        <w:t>,</w:t>
      </w:r>
      <w:r w:rsidR="004252F1" w:rsidRPr="001B3076">
        <w:rPr>
          <w:rFonts w:cs="Arial"/>
          <w:szCs w:val="22"/>
        </w:rPr>
        <w:t xml:space="preserve"> </w:t>
      </w:r>
      <w:r w:rsidRPr="001B3076">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B3076">
        <w:rPr>
          <w:rFonts w:cs="Arial"/>
          <w:szCs w:val="22"/>
        </w:rPr>
        <w:t>, fracción II</w:t>
      </w:r>
      <w:r w:rsidRPr="001B3076">
        <w:rPr>
          <w:rFonts w:cs="Arial"/>
          <w:szCs w:val="22"/>
        </w:rPr>
        <w:t xml:space="preserve"> de la Ley de Transparencia y Acceso a la Información Pública del Estado de México y Municipios.</w:t>
      </w:r>
    </w:p>
    <w:p w14:paraId="34EC3F86" w14:textId="77777777" w:rsidR="00D2790D" w:rsidRPr="001B3076" w:rsidRDefault="00D2790D" w:rsidP="001B3076">
      <w:pPr>
        <w:rPr>
          <w:rFonts w:cs="Arial"/>
          <w:szCs w:val="22"/>
        </w:rPr>
      </w:pPr>
    </w:p>
    <w:p w14:paraId="3B820F58" w14:textId="5EBF1699" w:rsidR="00865CF4" w:rsidRPr="001B3076" w:rsidRDefault="006E25BC" w:rsidP="001B3076">
      <w:pPr>
        <w:pStyle w:val="Ttulo3"/>
        <w:rPr>
          <w:szCs w:val="22"/>
        </w:rPr>
      </w:pPr>
      <w:bookmarkStart w:id="12" w:name="_Toc179389823"/>
      <w:r w:rsidRPr="001B3076">
        <w:rPr>
          <w:szCs w:val="22"/>
        </w:rPr>
        <w:t>d</w:t>
      </w:r>
      <w:r w:rsidR="00D2790D" w:rsidRPr="001B3076">
        <w:rPr>
          <w:szCs w:val="22"/>
        </w:rPr>
        <w:t xml:space="preserve">) </w:t>
      </w:r>
      <w:r w:rsidR="00865CF4" w:rsidRPr="001B3076">
        <w:rPr>
          <w:szCs w:val="22"/>
        </w:rPr>
        <w:t>Informe Justificado del Sujeto Obligado</w:t>
      </w:r>
      <w:bookmarkEnd w:id="12"/>
    </w:p>
    <w:p w14:paraId="1D3DF806" w14:textId="1FB63F55" w:rsidR="0096663A" w:rsidRPr="001B3076" w:rsidRDefault="0096663A" w:rsidP="001B3076">
      <w:pPr>
        <w:rPr>
          <w:iCs/>
          <w:szCs w:val="22"/>
        </w:rPr>
      </w:pPr>
      <w:r w:rsidRPr="001B3076">
        <w:rPr>
          <w:szCs w:val="22"/>
        </w:rPr>
        <w:t xml:space="preserve">El </w:t>
      </w:r>
      <w:r w:rsidR="007E42B7" w:rsidRPr="001B3076">
        <w:rPr>
          <w:b/>
          <w:bCs/>
          <w:szCs w:val="22"/>
        </w:rPr>
        <w:t>treinta</w:t>
      </w:r>
      <w:r w:rsidR="003B3762" w:rsidRPr="001B3076">
        <w:rPr>
          <w:b/>
          <w:bCs/>
          <w:szCs w:val="22"/>
        </w:rPr>
        <w:t xml:space="preserve"> de septiembre</w:t>
      </w:r>
      <w:r w:rsidR="004427CC" w:rsidRPr="001B3076">
        <w:rPr>
          <w:b/>
          <w:bCs/>
          <w:szCs w:val="22"/>
        </w:rPr>
        <w:t xml:space="preserve"> </w:t>
      </w:r>
      <w:r w:rsidR="004427CC" w:rsidRPr="001B3076">
        <w:rPr>
          <w:rFonts w:cs="Tahoma"/>
          <w:b/>
          <w:bCs/>
          <w:szCs w:val="22"/>
        </w:rPr>
        <w:t>de dos mil veinticuatro</w:t>
      </w:r>
      <w:r w:rsidR="004427CC" w:rsidRPr="001B3076">
        <w:rPr>
          <w:b/>
          <w:szCs w:val="22"/>
        </w:rPr>
        <w:t xml:space="preserve"> </w:t>
      </w:r>
      <w:r w:rsidRPr="001B3076">
        <w:rPr>
          <w:b/>
          <w:szCs w:val="22"/>
        </w:rPr>
        <w:t>EL SUJETO OBLIGADO</w:t>
      </w:r>
      <w:r w:rsidRPr="001B3076">
        <w:rPr>
          <w:szCs w:val="22"/>
        </w:rPr>
        <w:t xml:space="preserve"> rindió su informe justificado a través del SAIMEX, </w:t>
      </w:r>
      <w:r w:rsidR="004427CC" w:rsidRPr="001B3076">
        <w:rPr>
          <w:iCs/>
          <w:szCs w:val="22"/>
        </w:rPr>
        <w:t>que contienen lo siguiente:</w:t>
      </w:r>
    </w:p>
    <w:p w14:paraId="53A713D0" w14:textId="77777777" w:rsidR="005856CA" w:rsidRPr="001B3076" w:rsidRDefault="005856CA" w:rsidP="001B3076">
      <w:pPr>
        <w:rPr>
          <w:iCs/>
          <w:szCs w:val="22"/>
        </w:rPr>
      </w:pPr>
    </w:p>
    <w:p w14:paraId="3F08BE32" w14:textId="2EA1A0BD" w:rsidR="00214FC7" w:rsidRPr="001B3076" w:rsidRDefault="00214FC7" w:rsidP="001B3076">
      <w:pPr>
        <w:pStyle w:val="Prrafodelista"/>
        <w:numPr>
          <w:ilvl w:val="0"/>
          <w:numId w:val="31"/>
        </w:numPr>
        <w:ind w:left="1068" w:right="539"/>
        <w:rPr>
          <w:b/>
          <w:i/>
          <w:iCs/>
          <w:szCs w:val="22"/>
        </w:rPr>
      </w:pPr>
      <w:r w:rsidRPr="001B3076">
        <w:rPr>
          <w:b/>
          <w:i/>
          <w:iCs/>
          <w:szCs w:val="22"/>
        </w:rPr>
        <w:t>Informe Justificado 5667.pdf</w:t>
      </w:r>
    </w:p>
    <w:p w14:paraId="5413187F" w14:textId="4EBB5C6E" w:rsidR="00214FC7" w:rsidRPr="001B3076" w:rsidRDefault="001D4CD0" w:rsidP="001B3076">
      <w:pPr>
        <w:ind w:left="708" w:right="539"/>
        <w:rPr>
          <w:bCs/>
          <w:szCs w:val="22"/>
        </w:rPr>
      </w:pPr>
      <w:r w:rsidRPr="001B3076">
        <w:rPr>
          <w:bCs/>
          <w:szCs w:val="22"/>
        </w:rPr>
        <w:t xml:space="preserve">Archivo constante de 3 páginas, en las que se aprecia el oficio CCT/UT/1168/2024 de fecha 30 de septiembre del 2024, dirigido a la Comisionada Ponente, suscrito por el Titular de la Unidad de Transparencia y Coordinador de Control Técnico, mediante el cual le remite el informe justificado mediante el cual </w:t>
      </w:r>
      <w:r w:rsidR="00075514" w:rsidRPr="001B3076">
        <w:rPr>
          <w:bCs/>
          <w:szCs w:val="22"/>
        </w:rPr>
        <w:t>remite los pronunciamientos de los servidores públicos habilitados correspondientes, y solicitando se confirme la respuesta primigenia.</w:t>
      </w:r>
    </w:p>
    <w:p w14:paraId="04D5CC38" w14:textId="77777777" w:rsidR="00075514" w:rsidRPr="001B3076" w:rsidRDefault="00075514" w:rsidP="001B3076">
      <w:pPr>
        <w:ind w:left="708" w:right="539"/>
        <w:rPr>
          <w:bCs/>
          <w:szCs w:val="22"/>
        </w:rPr>
      </w:pPr>
    </w:p>
    <w:p w14:paraId="725F01F7" w14:textId="3BC01C86" w:rsidR="00214FC7" w:rsidRPr="001B3076" w:rsidRDefault="00214FC7" w:rsidP="001B3076">
      <w:pPr>
        <w:pStyle w:val="Prrafodelista"/>
        <w:numPr>
          <w:ilvl w:val="0"/>
          <w:numId w:val="31"/>
        </w:numPr>
        <w:ind w:left="1068" w:right="539"/>
        <w:rPr>
          <w:b/>
          <w:i/>
          <w:iCs/>
          <w:szCs w:val="22"/>
        </w:rPr>
      </w:pPr>
      <w:r w:rsidRPr="001B3076">
        <w:rPr>
          <w:b/>
          <w:i/>
          <w:iCs/>
          <w:szCs w:val="22"/>
        </w:rPr>
        <w:lastRenderedPageBreak/>
        <w:t>ANEXOS.pdf</w:t>
      </w:r>
    </w:p>
    <w:p w14:paraId="6E0C8237" w14:textId="13BC923F" w:rsidR="00214FC7" w:rsidRPr="001B3076" w:rsidRDefault="00075514" w:rsidP="001B3076">
      <w:pPr>
        <w:ind w:left="708" w:right="539"/>
        <w:rPr>
          <w:bCs/>
          <w:szCs w:val="22"/>
        </w:rPr>
      </w:pPr>
      <w:r w:rsidRPr="001B3076">
        <w:rPr>
          <w:bCs/>
          <w:szCs w:val="22"/>
        </w:rPr>
        <w:t>Documental constante de 21 páginas, en las que se aprecia:</w:t>
      </w:r>
    </w:p>
    <w:p w14:paraId="4EE2F655" w14:textId="77777777" w:rsidR="00075514" w:rsidRPr="001B3076" w:rsidRDefault="00075514" w:rsidP="001B3076">
      <w:pPr>
        <w:ind w:left="708" w:right="539"/>
        <w:rPr>
          <w:bCs/>
          <w:szCs w:val="22"/>
        </w:rPr>
      </w:pPr>
    </w:p>
    <w:p w14:paraId="44433961" w14:textId="1BDB80A5" w:rsidR="00075514" w:rsidRPr="001B3076" w:rsidRDefault="00075514" w:rsidP="001B3076">
      <w:pPr>
        <w:ind w:left="708" w:right="539"/>
        <w:rPr>
          <w:bCs/>
          <w:szCs w:val="22"/>
        </w:rPr>
      </w:pPr>
      <w:r w:rsidRPr="001B3076">
        <w:rPr>
          <w:bCs/>
          <w:szCs w:val="22"/>
        </w:rPr>
        <w:t>Página 1. El oficio 22001000010000S/2024/175 de fecha 23 de septiembre de 2024, suscrito por el Director de la Unidad de Servicios Metropolitanos, mediante el cual reitera la respuesta.</w:t>
      </w:r>
    </w:p>
    <w:p w14:paraId="0E4C3009" w14:textId="74110426" w:rsidR="00075514" w:rsidRPr="001B3076" w:rsidRDefault="00075514" w:rsidP="001B3076">
      <w:pPr>
        <w:ind w:left="708" w:right="539"/>
        <w:rPr>
          <w:bCs/>
          <w:szCs w:val="22"/>
        </w:rPr>
      </w:pPr>
    </w:p>
    <w:p w14:paraId="4BD92DE0" w14:textId="1E1742C6" w:rsidR="00075514" w:rsidRPr="001B3076" w:rsidRDefault="00075514" w:rsidP="001B3076">
      <w:pPr>
        <w:ind w:left="708" w:right="539"/>
        <w:rPr>
          <w:bCs/>
          <w:szCs w:val="22"/>
        </w:rPr>
      </w:pPr>
      <w:r w:rsidRPr="001B3076">
        <w:rPr>
          <w:bCs/>
          <w:szCs w:val="22"/>
        </w:rPr>
        <w:t>Páginas 2-5. Oficio DGRTP/22000007000000L/2024/4052 de fecha 24 de septiembre de 2024, suscrito por el Director del Registro Estatal de Transporte Público, mediante el cual confirma su respuesta primigenia.</w:t>
      </w:r>
    </w:p>
    <w:p w14:paraId="7D69756D" w14:textId="51CACC16" w:rsidR="00075514" w:rsidRPr="001B3076" w:rsidRDefault="00075514" w:rsidP="001B3076">
      <w:pPr>
        <w:ind w:left="708" w:right="539"/>
        <w:rPr>
          <w:bCs/>
          <w:szCs w:val="22"/>
        </w:rPr>
      </w:pPr>
    </w:p>
    <w:p w14:paraId="47A7991C" w14:textId="66DC9650" w:rsidR="00075514" w:rsidRPr="001B3076" w:rsidRDefault="00075514" w:rsidP="001B3076">
      <w:pPr>
        <w:ind w:left="708" w:right="539"/>
        <w:rPr>
          <w:bCs/>
          <w:szCs w:val="22"/>
        </w:rPr>
      </w:pPr>
      <w:r w:rsidRPr="001B3076">
        <w:rPr>
          <w:bCs/>
          <w:szCs w:val="22"/>
        </w:rPr>
        <w:t>Página 6. Oficio 22001001A000000/2024/1113 de fecha 24 de septiembre de 2024, suscrito por el Director General de Movilidad Zona I, mediante el cual confirma su respuesta primigenia.</w:t>
      </w:r>
    </w:p>
    <w:p w14:paraId="6C043AA3" w14:textId="2F13639C" w:rsidR="00075514" w:rsidRPr="001B3076" w:rsidRDefault="00075514" w:rsidP="001B3076">
      <w:pPr>
        <w:ind w:left="708" w:right="539"/>
        <w:rPr>
          <w:bCs/>
          <w:szCs w:val="22"/>
        </w:rPr>
      </w:pPr>
    </w:p>
    <w:p w14:paraId="7BFB9756" w14:textId="6F269080" w:rsidR="00075514" w:rsidRPr="001B3076" w:rsidRDefault="00075514" w:rsidP="001B3076">
      <w:pPr>
        <w:ind w:left="708" w:right="539"/>
        <w:rPr>
          <w:bCs/>
          <w:szCs w:val="22"/>
        </w:rPr>
      </w:pPr>
      <w:r w:rsidRPr="001B3076">
        <w:rPr>
          <w:bCs/>
          <w:szCs w:val="22"/>
        </w:rPr>
        <w:t>Página 7. Oficio 22001003T/592/2024 de fecha 9 de septiembre de 2024, suscrito por el Director General de Movilidad Zona III, mediante el cual confirma su respuesta primigenia.</w:t>
      </w:r>
    </w:p>
    <w:p w14:paraId="35827171" w14:textId="6846D37D" w:rsidR="00075514" w:rsidRPr="001B3076" w:rsidRDefault="00075514" w:rsidP="001B3076">
      <w:pPr>
        <w:ind w:left="708" w:right="539"/>
        <w:rPr>
          <w:bCs/>
          <w:szCs w:val="22"/>
        </w:rPr>
      </w:pPr>
    </w:p>
    <w:p w14:paraId="171DDCF6" w14:textId="77777777" w:rsidR="00336D38" w:rsidRPr="001B3076" w:rsidRDefault="00075514" w:rsidP="001B3076">
      <w:pPr>
        <w:ind w:left="708" w:right="539"/>
        <w:rPr>
          <w:bCs/>
          <w:szCs w:val="22"/>
        </w:rPr>
      </w:pPr>
      <w:r w:rsidRPr="001B3076">
        <w:rPr>
          <w:bCs/>
          <w:szCs w:val="22"/>
        </w:rPr>
        <w:t xml:space="preserve">Páginas 8 – 13. </w:t>
      </w:r>
      <w:r w:rsidR="00336D38" w:rsidRPr="001B3076">
        <w:rPr>
          <w:bCs/>
          <w:szCs w:val="22"/>
        </w:rPr>
        <w:t>Oficio 22000006030000L/0142/2024 de fecha 20 de septiembre del 2024, s</w:t>
      </w:r>
      <w:r w:rsidRPr="001B3076">
        <w:rPr>
          <w:bCs/>
          <w:szCs w:val="22"/>
        </w:rPr>
        <w:t xml:space="preserve">uscrito por el Director de Asuntos jurídicos, </w:t>
      </w:r>
      <w:r w:rsidR="00336D38" w:rsidRPr="001B3076">
        <w:rPr>
          <w:bCs/>
          <w:szCs w:val="22"/>
        </w:rPr>
        <w:t>mediante el cual confirma su respuesta primigenia.</w:t>
      </w:r>
    </w:p>
    <w:p w14:paraId="002C61A5" w14:textId="2CD9A2BD" w:rsidR="00075514" w:rsidRPr="001B3076" w:rsidRDefault="00075514" w:rsidP="001B3076">
      <w:pPr>
        <w:ind w:left="708" w:right="539"/>
        <w:rPr>
          <w:bCs/>
          <w:szCs w:val="22"/>
        </w:rPr>
      </w:pPr>
    </w:p>
    <w:p w14:paraId="3444F21F" w14:textId="3F3928A4" w:rsidR="00336D38" w:rsidRPr="001B3076" w:rsidRDefault="008C7FAF" w:rsidP="001B3076">
      <w:pPr>
        <w:ind w:left="708" w:right="539"/>
        <w:rPr>
          <w:bCs/>
          <w:szCs w:val="22"/>
        </w:rPr>
      </w:pPr>
      <w:r w:rsidRPr="001B3076">
        <w:rPr>
          <w:bCs/>
          <w:szCs w:val="22"/>
        </w:rPr>
        <w:t xml:space="preserve">Páginas 14 – 21. Oficio 22001004000000/1348/2024 de fecha 24 de septiembre de 2024, suscrito por el Director General de Movilidad Zona IV, confirmando la </w:t>
      </w:r>
      <w:r w:rsidRPr="001B3076">
        <w:rPr>
          <w:bCs/>
          <w:szCs w:val="22"/>
        </w:rPr>
        <w:lastRenderedPageBreak/>
        <w:t>respuesta y a su vez, solicita se decrete el sobreseimiento toda vez que no existen causales para</w:t>
      </w:r>
      <w:r w:rsidR="00A93923" w:rsidRPr="001B3076">
        <w:rPr>
          <w:bCs/>
          <w:szCs w:val="22"/>
        </w:rPr>
        <w:t xml:space="preserve"> </w:t>
      </w:r>
      <w:r w:rsidRPr="001B3076">
        <w:rPr>
          <w:bCs/>
          <w:szCs w:val="22"/>
        </w:rPr>
        <w:t>su procedencia.</w:t>
      </w:r>
    </w:p>
    <w:p w14:paraId="63503EDD" w14:textId="77777777" w:rsidR="00075514" w:rsidRPr="001B3076" w:rsidRDefault="00075514" w:rsidP="001B3076">
      <w:pPr>
        <w:rPr>
          <w:bCs/>
          <w:szCs w:val="22"/>
        </w:rPr>
      </w:pPr>
    </w:p>
    <w:p w14:paraId="2EE87BD1" w14:textId="49163B54" w:rsidR="00942A3F" w:rsidRPr="001B3076" w:rsidRDefault="00942A3F" w:rsidP="001B3076">
      <w:r w:rsidRPr="001B3076">
        <w:t xml:space="preserve">Esta información fue puesta a la vista de </w:t>
      </w:r>
      <w:r w:rsidRPr="001B3076">
        <w:rPr>
          <w:b/>
        </w:rPr>
        <w:t xml:space="preserve">LA PARTE RECURRENTE </w:t>
      </w:r>
      <w:r w:rsidRPr="001B3076">
        <w:t xml:space="preserve">el </w:t>
      </w:r>
      <w:r w:rsidR="007E5A3D" w:rsidRPr="001B3076">
        <w:rPr>
          <w:rFonts w:cs="Tahoma"/>
          <w:b/>
          <w:bCs/>
        </w:rPr>
        <w:t>dos de octubre</w:t>
      </w:r>
      <w:r w:rsidRPr="001B3076">
        <w:rPr>
          <w:rFonts w:cs="Tahoma"/>
          <w:b/>
          <w:bCs/>
        </w:rPr>
        <w:t xml:space="preserve"> de dos mil veinticuatro</w:t>
      </w:r>
      <w:r w:rsidRPr="001B3076">
        <w:rPr>
          <w:rFonts w:cs="Tahoma"/>
        </w:rPr>
        <w:t xml:space="preserve"> </w:t>
      </w:r>
      <w:r w:rsidRPr="001B3076">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1B3076" w:rsidRDefault="00865CF4" w:rsidP="001B3076">
      <w:pPr>
        <w:rPr>
          <w:rFonts w:cs="Tahoma"/>
          <w:bCs/>
          <w:szCs w:val="22"/>
        </w:rPr>
      </w:pPr>
    </w:p>
    <w:p w14:paraId="755B7730" w14:textId="2A0EB956" w:rsidR="00664420" w:rsidRPr="001B3076" w:rsidRDefault="00E810F7" w:rsidP="001B3076">
      <w:pPr>
        <w:pStyle w:val="Ttulo3"/>
        <w:rPr>
          <w:szCs w:val="22"/>
          <w:lang w:val="es-ES"/>
        </w:rPr>
      </w:pPr>
      <w:bookmarkStart w:id="13" w:name="_Toc179389824"/>
      <w:r w:rsidRPr="001B3076">
        <w:rPr>
          <w:rFonts w:eastAsia="Calibri"/>
          <w:bCs/>
          <w:szCs w:val="22"/>
          <w:lang w:eastAsia="en-US"/>
        </w:rPr>
        <w:t>e</w:t>
      </w:r>
      <w:r w:rsidR="00664420" w:rsidRPr="001B3076">
        <w:rPr>
          <w:rFonts w:eastAsia="Calibri"/>
          <w:bCs/>
          <w:szCs w:val="22"/>
          <w:lang w:eastAsia="en-US"/>
        </w:rPr>
        <w:t>)</w:t>
      </w:r>
      <w:r w:rsidR="00664420" w:rsidRPr="001B3076">
        <w:rPr>
          <w:szCs w:val="22"/>
        </w:rPr>
        <w:t xml:space="preserve"> </w:t>
      </w:r>
      <w:r w:rsidR="00865CF4" w:rsidRPr="001B3076">
        <w:rPr>
          <w:szCs w:val="22"/>
          <w:lang w:val="es-ES"/>
        </w:rPr>
        <w:t>Manifestaciones de la Parte Recurrente</w:t>
      </w:r>
      <w:bookmarkEnd w:id="13"/>
    </w:p>
    <w:p w14:paraId="1F7D92DC" w14:textId="1D5CE992" w:rsidR="0009347C" w:rsidRPr="001B3076" w:rsidRDefault="00A850A3" w:rsidP="001B3076">
      <w:r w:rsidRPr="001B3076">
        <w:rPr>
          <w:b/>
          <w:bCs/>
        </w:rPr>
        <w:t xml:space="preserve">LA PARTE RECURRENTE </w:t>
      </w:r>
      <w:r w:rsidRPr="001B3076">
        <w:t>no realizó manifestación alguna dentro del término legalmente concedido para tal efecto, ni presentó pruebas o alegatos.</w:t>
      </w:r>
    </w:p>
    <w:p w14:paraId="10795278" w14:textId="77777777" w:rsidR="003B3762" w:rsidRPr="001B3076" w:rsidRDefault="003B3762" w:rsidP="001B3076"/>
    <w:p w14:paraId="0E651988" w14:textId="57633342" w:rsidR="00664420" w:rsidRPr="001B3076" w:rsidRDefault="000863CE" w:rsidP="001B3076">
      <w:pPr>
        <w:pStyle w:val="Ttulo3"/>
        <w:rPr>
          <w:szCs w:val="22"/>
        </w:rPr>
      </w:pPr>
      <w:bookmarkStart w:id="14" w:name="_Toc179389825"/>
      <w:r w:rsidRPr="001B3076">
        <w:rPr>
          <w:rFonts w:eastAsia="Calibri"/>
          <w:szCs w:val="22"/>
        </w:rPr>
        <w:t>f</w:t>
      </w:r>
      <w:r w:rsidR="00664420" w:rsidRPr="001B3076">
        <w:rPr>
          <w:rFonts w:eastAsia="Calibri"/>
          <w:szCs w:val="22"/>
        </w:rPr>
        <w:t xml:space="preserve">) </w:t>
      </w:r>
      <w:r w:rsidR="00664420" w:rsidRPr="001B3076">
        <w:rPr>
          <w:szCs w:val="22"/>
        </w:rPr>
        <w:t>Cierre de instrucción</w:t>
      </w:r>
      <w:bookmarkEnd w:id="14"/>
    </w:p>
    <w:p w14:paraId="79AF95DC" w14:textId="457CBCDB" w:rsidR="00664420" w:rsidRPr="001B3076" w:rsidRDefault="00BF091A" w:rsidP="001B3076">
      <w:pPr>
        <w:rPr>
          <w:szCs w:val="22"/>
        </w:rPr>
      </w:pPr>
      <w:r w:rsidRPr="001B3076">
        <w:rPr>
          <w:rFonts w:cs="Tahoma"/>
          <w:szCs w:val="22"/>
        </w:rPr>
        <w:t>Al no existir diligencias pendientes por desahogar</w:t>
      </w:r>
      <w:r w:rsidRPr="001B3076">
        <w:rPr>
          <w:rFonts w:cs="Arial"/>
          <w:szCs w:val="22"/>
        </w:rPr>
        <w:t xml:space="preserve">, el </w:t>
      </w:r>
      <w:r w:rsidR="007E42B7" w:rsidRPr="001B3076">
        <w:rPr>
          <w:rFonts w:cs="Tahoma"/>
          <w:b/>
          <w:bCs/>
          <w:szCs w:val="22"/>
        </w:rPr>
        <w:t>ocho de octubre</w:t>
      </w:r>
      <w:r w:rsidR="00E810F7" w:rsidRPr="001B3076">
        <w:rPr>
          <w:rFonts w:cs="Tahoma"/>
          <w:b/>
          <w:bCs/>
          <w:szCs w:val="22"/>
        </w:rPr>
        <w:t xml:space="preserve"> de dos mil veinticuatro</w:t>
      </w:r>
      <w:r w:rsidR="00003628" w:rsidRPr="001B3076">
        <w:rPr>
          <w:rFonts w:cs="Tahoma"/>
          <w:b/>
          <w:bCs/>
          <w:szCs w:val="22"/>
        </w:rPr>
        <w:t>,</w:t>
      </w:r>
      <w:r w:rsidR="00E810F7" w:rsidRPr="001B3076">
        <w:rPr>
          <w:rFonts w:cs="Tahoma"/>
          <w:szCs w:val="22"/>
        </w:rPr>
        <w:t xml:space="preserve"> </w:t>
      </w:r>
      <w:r w:rsidRPr="001B3076">
        <w:rPr>
          <w:rFonts w:cs="Arial"/>
          <w:szCs w:val="22"/>
        </w:rPr>
        <w:t xml:space="preserve">la </w:t>
      </w:r>
      <w:r w:rsidRPr="001B3076">
        <w:rPr>
          <w:rFonts w:cs="Arial"/>
          <w:b/>
          <w:bCs/>
          <w:szCs w:val="22"/>
        </w:rPr>
        <w:t xml:space="preserve">Comisionada </w:t>
      </w:r>
      <w:r w:rsidRPr="001B3076">
        <w:rPr>
          <w:b/>
          <w:szCs w:val="22"/>
        </w:rPr>
        <w:t xml:space="preserve">Sharon Cristina Morales Martínez </w:t>
      </w:r>
      <w:r w:rsidRPr="001B3076">
        <w:rPr>
          <w:rFonts w:cs="Arial"/>
          <w:szCs w:val="22"/>
        </w:rPr>
        <w:t>acordó el cierre de instrucción</w:t>
      </w:r>
      <w:r w:rsidR="0011350D" w:rsidRPr="001B3076">
        <w:rPr>
          <w:rFonts w:cs="Arial"/>
          <w:szCs w:val="22"/>
        </w:rPr>
        <w:t xml:space="preserve"> y</w:t>
      </w:r>
      <w:r w:rsidRPr="001B3076">
        <w:rPr>
          <w:rFonts w:cs="Arial"/>
          <w:szCs w:val="22"/>
        </w:rPr>
        <w:t xml:space="preserve"> </w:t>
      </w:r>
      <w:r w:rsidR="0011350D" w:rsidRPr="001B3076">
        <w:rPr>
          <w:rFonts w:cs="Arial"/>
          <w:szCs w:val="22"/>
        </w:rPr>
        <w:t xml:space="preserve">la </w:t>
      </w:r>
      <w:r w:rsidRPr="001B3076">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1B3076">
        <w:rPr>
          <w:szCs w:val="22"/>
        </w:rPr>
        <w:t>.</w:t>
      </w:r>
      <w:r w:rsidR="0011350D" w:rsidRPr="001B3076">
        <w:rPr>
          <w:szCs w:val="22"/>
        </w:rPr>
        <w:t xml:space="preserve"> Dicho acuerdo </w:t>
      </w:r>
      <w:r w:rsidR="00664420" w:rsidRPr="001B3076">
        <w:rPr>
          <w:rFonts w:cs="Tahoma"/>
          <w:szCs w:val="22"/>
        </w:rPr>
        <w:t xml:space="preserve">fue notificado a las partes el mismo día a través del </w:t>
      </w:r>
      <w:r w:rsidR="00664420" w:rsidRPr="001B3076">
        <w:rPr>
          <w:rFonts w:cs="Tahoma"/>
          <w:szCs w:val="22"/>
          <w:lang w:val="es-ES"/>
        </w:rPr>
        <w:t>SAIMEX</w:t>
      </w:r>
      <w:r w:rsidR="00664420" w:rsidRPr="001B3076">
        <w:rPr>
          <w:rFonts w:cs="Tahoma"/>
          <w:szCs w:val="22"/>
        </w:rPr>
        <w:t>.</w:t>
      </w:r>
    </w:p>
    <w:p w14:paraId="741683E3" w14:textId="77777777" w:rsidR="0011350D" w:rsidRPr="001B3076" w:rsidRDefault="0011350D" w:rsidP="001B3076">
      <w:pPr>
        <w:rPr>
          <w:rFonts w:cs="Tahoma"/>
          <w:szCs w:val="22"/>
        </w:rPr>
      </w:pPr>
    </w:p>
    <w:p w14:paraId="7A9629DE" w14:textId="77777777" w:rsidR="00664420" w:rsidRPr="001B3076" w:rsidRDefault="00664420" w:rsidP="001B3076">
      <w:pPr>
        <w:pStyle w:val="Ttulo1"/>
        <w:rPr>
          <w:rFonts w:eastAsiaTheme="minorHAnsi"/>
          <w:szCs w:val="22"/>
          <w:lang w:eastAsia="en-US"/>
        </w:rPr>
      </w:pPr>
      <w:bookmarkStart w:id="15" w:name="_Toc179389826"/>
      <w:r w:rsidRPr="001B3076">
        <w:rPr>
          <w:rFonts w:eastAsiaTheme="minorHAnsi"/>
          <w:szCs w:val="22"/>
          <w:lang w:eastAsia="en-US"/>
        </w:rPr>
        <w:t>CONSIDERANDOS</w:t>
      </w:r>
      <w:bookmarkEnd w:id="15"/>
    </w:p>
    <w:p w14:paraId="6DD1243B" w14:textId="77777777" w:rsidR="00664420" w:rsidRPr="001B3076" w:rsidRDefault="00664420" w:rsidP="001B3076">
      <w:pPr>
        <w:contextualSpacing/>
        <w:jc w:val="center"/>
        <w:rPr>
          <w:rFonts w:eastAsiaTheme="minorHAnsi" w:cs="Tahoma"/>
          <w:b/>
          <w:szCs w:val="22"/>
          <w:lang w:eastAsia="en-US"/>
        </w:rPr>
      </w:pPr>
    </w:p>
    <w:p w14:paraId="0B67CB92" w14:textId="2E307D3B" w:rsidR="00664420" w:rsidRPr="001B3076" w:rsidRDefault="00664420" w:rsidP="001B3076">
      <w:pPr>
        <w:pStyle w:val="Ttulo2"/>
        <w:rPr>
          <w:rFonts w:eastAsia="Batang"/>
          <w:szCs w:val="22"/>
        </w:rPr>
      </w:pPr>
      <w:bookmarkStart w:id="16" w:name="_Toc179389827"/>
      <w:r w:rsidRPr="001B3076">
        <w:rPr>
          <w:rFonts w:eastAsia="Batang"/>
          <w:szCs w:val="22"/>
        </w:rPr>
        <w:lastRenderedPageBreak/>
        <w:t xml:space="preserve">PRIMERO. </w:t>
      </w:r>
      <w:r w:rsidR="00BA55A8" w:rsidRPr="001B3076">
        <w:rPr>
          <w:rFonts w:eastAsia="Batang"/>
          <w:szCs w:val="22"/>
        </w:rPr>
        <w:t>Procedibilidad</w:t>
      </w:r>
      <w:bookmarkEnd w:id="16"/>
    </w:p>
    <w:p w14:paraId="39C52BC1" w14:textId="56FCC20D" w:rsidR="00BA55A8" w:rsidRPr="001B3076" w:rsidRDefault="00BA55A8" w:rsidP="001B3076">
      <w:pPr>
        <w:pStyle w:val="Ttulo3"/>
        <w:rPr>
          <w:szCs w:val="22"/>
        </w:rPr>
      </w:pPr>
      <w:bookmarkStart w:id="17" w:name="_Toc179389828"/>
      <w:r w:rsidRPr="001B3076">
        <w:rPr>
          <w:szCs w:val="22"/>
        </w:rPr>
        <w:t>a) Competencia</w:t>
      </w:r>
      <w:r w:rsidR="00150C49" w:rsidRPr="001B3076">
        <w:rPr>
          <w:szCs w:val="22"/>
        </w:rPr>
        <w:t xml:space="preserve"> del Instituto</w:t>
      </w:r>
      <w:bookmarkEnd w:id="17"/>
    </w:p>
    <w:p w14:paraId="56E64942" w14:textId="6572EDF7" w:rsidR="0011350D" w:rsidRPr="001B3076" w:rsidRDefault="0011350D" w:rsidP="001B3076">
      <w:pPr>
        <w:rPr>
          <w:rFonts w:cs="Arial"/>
          <w:szCs w:val="22"/>
        </w:rPr>
      </w:pPr>
      <w:r w:rsidRPr="001B3076">
        <w:rPr>
          <w:szCs w:val="22"/>
        </w:rPr>
        <w:t xml:space="preserve">Este Instituto de Transparencia, Acceso a la Información Pública y Protección de Datos Personales del Estado de México y Municipios es competente para conocer y resolver </w:t>
      </w:r>
      <w:r w:rsidR="005F65B7" w:rsidRPr="001B3076">
        <w:rPr>
          <w:szCs w:val="22"/>
        </w:rPr>
        <w:t xml:space="preserve">el </w:t>
      </w:r>
      <w:r w:rsidRPr="001B3076">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B3076">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1B3076" w:rsidRDefault="00DB1C09" w:rsidP="001B3076">
      <w:pPr>
        <w:rPr>
          <w:rFonts w:cs="Arial"/>
          <w:szCs w:val="22"/>
        </w:rPr>
      </w:pPr>
    </w:p>
    <w:p w14:paraId="517A2DD6" w14:textId="4169BE4D" w:rsidR="00664420" w:rsidRPr="001B3076" w:rsidRDefault="00BA55A8" w:rsidP="001B3076">
      <w:pPr>
        <w:pStyle w:val="Ttulo3"/>
        <w:rPr>
          <w:szCs w:val="22"/>
        </w:rPr>
      </w:pPr>
      <w:bookmarkStart w:id="18" w:name="_Toc179389829"/>
      <w:r w:rsidRPr="001B3076">
        <w:rPr>
          <w:szCs w:val="22"/>
        </w:rPr>
        <w:t>b)</w:t>
      </w:r>
      <w:r w:rsidR="00664420" w:rsidRPr="001B3076">
        <w:rPr>
          <w:szCs w:val="22"/>
        </w:rPr>
        <w:t xml:space="preserve"> </w:t>
      </w:r>
      <w:r w:rsidR="00D91CB4" w:rsidRPr="001B3076">
        <w:rPr>
          <w:szCs w:val="22"/>
        </w:rPr>
        <w:t>Legitimidad</w:t>
      </w:r>
      <w:r w:rsidRPr="001B3076">
        <w:rPr>
          <w:szCs w:val="22"/>
        </w:rPr>
        <w:t xml:space="preserve"> de la parte recurrente</w:t>
      </w:r>
      <w:bookmarkEnd w:id="18"/>
    </w:p>
    <w:p w14:paraId="26FEA382" w14:textId="0B06695C" w:rsidR="00D91CB4" w:rsidRPr="001B3076" w:rsidRDefault="00D91CB4" w:rsidP="001B3076">
      <w:pPr>
        <w:rPr>
          <w:rFonts w:cs="Arial"/>
          <w:bCs/>
          <w:szCs w:val="22"/>
        </w:rPr>
      </w:pPr>
      <w:r w:rsidRPr="001B3076">
        <w:rPr>
          <w:rFonts w:cs="Arial"/>
          <w:bCs/>
          <w:szCs w:val="22"/>
        </w:rPr>
        <w:t>El recurso de revisión fue interpuesto por parte legítima, ya que se presentó por la misma persona que formuló la solicitud de acceso a la Información Pública,</w:t>
      </w:r>
      <w:r w:rsidRPr="001B3076">
        <w:rPr>
          <w:rFonts w:cs="Arial"/>
          <w:b/>
          <w:bCs/>
          <w:szCs w:val="22"/>
        </w:rPr>
        <w:t xml:space="preserve"> </w:t>
      </w:r>
      <w:r w:rsidRPr="001B3076">
        <w:rPr>
          <w:rFonts w:cs="Arial"/>
          <w:szCs w:val="22"/>
        </w:rPr>
        <w:t>debido a que los datos de acceso</w:t>
      </w:r>
      <w:r w:rsidRPr="001B3076">
        <w:rPr>
          <w:rFonts w:cs="Arial"/>
          <w:b/>
          <w:bCs/>
          <w:szCs w:val="22"/>
        </w:rPr>
        <w:t xml:space="preserve"> </w:t>
      </w:r>
      <w:r w:rsidRPr="001B3076">
        <w:rPr>
          <w:rFonts w:cs="Arial"/>
          <w:szCs w:val="22"/>
        </w:rPr>
        <w:t>SAIMEX</w:t>
      </w:r>
      <w:r w:rsidRPr="001B3076">
        <w:rPr>
          <w:rFonts w:eastAsia="Calibri" w:cs="Arial"/>
          <w:szCs w:val="22"/>
          <w:lang w:eastAsia="en-US"/>
        </w:rPr>
        <w:t xml:space="preserve"> son personales e irrepetibles.</w:t>
      </w:r>
    </w:p>
    <w:p w14:paraId="2C367810" w14:textId="77777777" w:rsidR="00D91CB4" w:rsidRPr="001B3076" w:rsidRDefault="00D91CB4" w:rsidP="001B3076">
      <w:pPr>
        <w:rPr>
          <w:szCs w:val="22"/>
        </w:rPr>
      </w:pPr>
    </w:p>
    <w:p w14:paraId="496490FC" w14:textId="1A5F3FDB" w:rsidR="00D91CB4" w:rsidRPr="001B3076" w:rsidRDefault="00BA55A8" w:rsidP="001B3076">
      <w:pPr>
        <w:pStyle w:val="Ttulo3"/>
        <w:rPr>
          <w:rFonts w:eastAsia="Calibri"/>
          <w:szCs w:val="22"/>
          <w:lang w:eastAsia="es-ES_tradnl"/>
        </w:rPr>
      </w:pPr>
      <w:bookmarkStart w:id="19" w:name="_Toc179389830"/>
      <w:r w:rsidRPr="001B3076">
        <w:rPr>
          <w:rFonts w:eastAsia="Calibri"/>
          <w:szCs w:val="22"/>
          <w:lang w:eastAsia="es-ES_tradnl"/>
        </w:rPr>
        <w:t>c)</w:t>
      </w:r>
      <w:r w:rsidR="00664420" w:rsidRPr="001B3076">
        <w:rPr>
          <w:rFonts w:eastAsia="Calibri"/>
          <w:szCs w:val="22"/>
          <w:lang w:eastAsia="es-ES_tradnl"/>
        </w:rPr>
        <w:t xml:space="preserve"> </w:t>
      </w:r>
      <w:r w:rsidR="00D91CB4" w:rsidRPr="001B3076">
        <w:rPr>
          <w:rFonts w:eastAsia="Calibri"/>
          <w:szCs w:val="22"/>
          <w:lang w:eastAsia="es-ES_tradnl"/>
        </w:rPr>
        <w:t>Plazo para interponer el recurso</w:t>
      </w:r>
      <w:bookmarkEnd w:id="19"/>
    </w:p>
    <w:p w14:paraId="106D37EE" w14:textId="3B739F72" w:rsidR="00D91CB4" w:rsidRPr="001B3076" w:rsidRDefault="00D91CB4" w:rsidP="001B3076">
      <w:pPr>
        <w:rPr>
          <w:rFonts w:eastAsiaTheme="minorEastAsia" w:cs="Arial"/>
          <w:szCs w:val="22"/>
          <w:lang w:val="es-ES_tradnl"/>
        </w:rPr>
      </w:pPr>
      <w:r w:rsidRPr="001B3076">
        <w:rPr>
          <w:rFonts w:cs="Arial"/>
          <w:b/>
          <w:szCs w:val="22"/>
        </w:rPr>
        <w:t>EL SUJETO OBLIGADO</w:t>
      </w:r>
      <w:r w:rsidRPr="001B3076">
        <w:rPr>
          <w:rFonts w:cs="Arial"/>
          <w:szCs w:val="22"/>
        </w:rPr>
        <w:t xml:space="preserve"> notificó la respuesta a la solicitud de acceso a la Información Pública el </w:t>
      </w:r>
      <w:r w:rsidR="007328F2" w:rsidRPr="001B3076">
        <w:rPr>
          <w:rFonts w:cs="Tahoma"/>
          <w:b/>
          <w:bCs/>
          <w:szCs w:val="22"/>
        </w:rPr>
        <w:t>nueve de septiembre</w:t>
      </w:r>
      <w:r w:rsidR="00DE285A" w:rsidRPr="001B3076">
        <w:rPr>
          <w:rFonts w:cs="Tahoma"/>
          <w:b/>
          <w:bCs/>
          <w:szCs w:val="22"/>
        </w:rPr>
        <w:t xml:space="preserve"> de dos mil veinticuatro</w:t>
      </w:r>
      <w:r w:rsidR="00DE285A" w:rsidRPr="001B3076">
        <w:rPr>
          <w:rFonts w:cs="Tahoma"/>
          <w:szCs w:val="22"/>
        </w:rPr>
        <w:t xml:space="preserve"> </w:t>
      </w:r>
      <w:r w:rsidR="00A53315" w:rsidRPr="001B3076">
        <w:rPr>
          <w:rFonts w:cs="Arial"/>
          <w:szCs w:val="22"/>
        </w:rPr>
        <w:t xml:space="preserve">y el recurso </w:t>
      </w:r>
      <w:r w:rsidR="00A53315" w:rsidRPr="001B3076">
        <w:rPr>
          <w:rFonts w:eastAsia="Palatino Linotype" w:cs="Palatino Linotype"/>
          <w:szCs w:val="22"/>
        </w:rPr>
        <w:t xml:space="preserve">que nos ocupa se </w:t>
      </w:r>
      <w:r w:rsidR="006A61F1" w:rsidRPr="001B3076">
        <w:rPr>
          <w:rFonts w:eastAsia="Palatino Linotype" w:cs="Palatino Linotype"/>
          <w:szCs w:val="22"/>
        </w:rPr>
        <w:t>tuvo por presentado</w:t>
      </w:r>
      <w:r w:rsidR="00A53315" w:rsidRPr="001B3076">
        <w:rPr>
          <w:rFonts w:eastAsia="Palatino Linotype" w:cs="Palatino Linotype"/>
          <w:szCs w:val="22"/>
        </w:rPr>
        <w:t xml:space="preserve"> el </w:t>
      </w:r>
      <w:r w:rsidR="007328F2" w:rsidRPr="001B3076">
        <w:rPr>
          <w:rFonts w:cs="Tahoma"/>
          <w:b/>
          <w:bCs/>
          <w:szCs w:val="22"/>
        </w:rPr>
        <w:t>diecisiete de septiembre</w:t>
      </w:r>
      <w:r w:rsidR="00DE285A" w:rsidRPr="001B3076">
        <w:rPr>
          <w:rFonts w:cs="Tahoma"/>
          <w:b/>
          <w:bCs/>
          <w:szCs w:val="22"/>
        </w:rPr>
        <w:t xml:space="preserve"> de dos mil veinticuatro</w:t>
      </w:r>
      <w:r w:rsidR="00A53315" w:rsidRPr="001B3076">
        <w:rPr>
          <w:rFonts w:eastAsia="Palatino Linotype" w:cs="Palatino Linotype"/>
          <w:bCs/>
          <w:szCs w:val="22"/>
        </w:rPr>
        <w:t>;</w:t>
      </w:r>
      <w:r w:rsidR="00A53315" w:rsidRPr="001B3076">
        <w:rPr>
          <w:rFonts w:eastAsia="Palatino Linotype" w:cs="Palatino Linotype"/>
          <w:szCs w:val="22"/>
        </w:rPr>
        <w:t xml:space="preserve"> por lo tanto, éste se encuentra dentro del margen temporal previsto en el artículo 178 de la </w:t>
      </w:r>
      <w:r w:rsidR="00A53315" w:rsidRPr="001B3076">
        <w:rPr>
          <w:rFonts w:cs="Arial"/>
          <w:szCs w:val="22"/>
        </w:rPr>
        <w:t>Ley de Transparencia y Acceso a la Información Pública del Estado de México y Municipios</w:t>
      </w:r>
      <w:r w:rsidR="007328F2" w:rsidRPr="001B3076">
        <w:rPr>
          <w:rFonts w:cs="Arial"/>
          <w:szCs w:val="22"/>
        </w:rPr>
        <w:t>.</w:t>
      </w:r>
    </w:p>
    <w:p w14:paraId="49076992" w14:textId="77777777" w:rsidR="00D91CB4" w:rsidRPr="001B3076" w:rsidRDefault="00D91CB4" w:rsidP="001B3076">
      <w:pPr>
        <w:rPr>
          <w:rFonts w:eastAsia="Palatino Linotype" w:cs="Palatino Linotype"/>
          <w:szCs w:val="22"/>
        </w:rPr>
      </w:pPr>
    </w:p>
    <w:p w14:paraId="46C0EB3A" w14:textId="28FD0C2E" w:rsidR="00A53315" w:rsidRPr="001B3076" w:rsidRDefault="00BA55A8" w:rsidP="001B3076">
      <w:pPr>
        <w:pStyle w:val="Ttulo3"/>
        <w:rPr>
          <w:rFonts w:eastAsia="Calibri"/>
          <w:szCs w:val="22"/>
          <w:lang w:eastAsia="es-ES_tradnl"/>
        </w:rPr>
      </w:pPr>
      <w:bookmarkStart w:id="20" w:name="_Toc179389831"/>
      <w:r w:rsidRPr="001B3076">
        <w:rPr>
          <w:rFonts w:eastAsia="Calibri"/>
          <w:szCs w:val="22"/>
          <w:lang w:eastAsia="es-ES_tradnl"/>
        </w:rPr>
        <w:lastRenderedPageBreak/>
        <w:t>d)</w:t>
      </w:r>
      <w:r w:rsidR="00D91CB4" w:rsidRPr="001B3076">
        <w:rPr>
          <w:rFonts w:eastAsia="Calibri"/>
          <w:szCs w:val="22"/>
          <w:lang w:eastAsia="es-ES_tradnl"/>
        </w:rPr>
        <w:t xml:space="preserve"> </w:t>
      </w:r>
      <w:r w:rsidR="00E325AD" w:rsidRPr="001B3076">
        <w:rPr>
          <w:rFonts w:eastAsia="Calibri"/>
          <w:szCs w:val="22"/>
          <w:lang w:eastAsia="es-ES_tradnl"/>
        </w:rPr>
        <w:t>Causal de Procedencia</w:t>
      </w:r>
      <w:bookmarkEnd w:id="20"/>
    </w:p>
    <w:p w14:paraId="190404A6" w14:textId="3316C94A" w:rsidR="00BA55A8" w:rsidRPr="001B3076" w:rsidRDefault="00BA55A8" w:rsidP="001B3076">
      <w:pPr>
        <w:rPr>
          <w:szCs w:val="22"/>
        </w:rPr>
      </w:pPr>
      <w:r w:rsidRPr="001B3076">
        <w:rPr>
          <w:rFonts w:cs="Arial"/>
          <w:szCs w:val="22"/>
        </w:rPr>
        <w:t xml:space="preserve">Resulta procedente la interposición del recurso de revisión, ya que </w:t>
      </w:r>
      <w:r w:rsidRPr="001B3076">
        <w:rPr>
          <w:rFonts w:eastAsia="Calibri" w:cs="Tahoma"/>
          <w:szCs w:val="22"/>
          <w:lang w:eastAsia="es-MX"/>
        </w:rPr>
        <w:t>se actualiza la causal de procedencia señalada en el artículo 179, fracci</w:t>
      </w:r>
      <w:r w:rsidR="007328F2" w:rsidRPr="001B3076">
        <w:rPr>
          <w:rFonts w:eastAsia="Calibri" w:cs="Tahoma"/>
          <w:szCs w:val="22"/>
          <w:lang w:eastAsia="es-MX"/>
        </w:rPr>
        <w:t>ones</w:t>
      </w:r>
      <w:r w:rsidR="00EE1B1C" w:rsidRPr="001B3076">
        <w:rPr>
          <w:rFonts w:eastAsia="Calibri" w:cs="Tahoma"/>
          <w:szCs w:val="22"/>
          <w:lang w:eastAsia="es-MX"/>
        </w:rPr>
        <w:t xml:space="preserve"> </w:t>
      </w:r>
      <w:r w:rsidR="003F780F" w:rsidRPr="001B3076">
        <w:rPr>
          <w:rFonts w:eastAsia="Calibri" w:cs="Tahoma"/>
          <w:szCs w:val="22"/>
          <w:lang w:eastAsia="es-MX"/>
        </w:rPr>
        <w:t>I</w:t>
      </w:r>
      <w:r w:rsidR="00EE1B1C" w:rsidRPr="001B3076">
        <w:rPr>
          <w:rFonts w:eastAsia="Calibri" w:cs="Tahoma"/>
          <w:szCs w:val="22"/>
          <w:lang w:eastAsia="es-MX"/>
        </w:rPr>
        <w:t xml:space="preserve"> </w:t>
      </w:r>
      <w:r w:rsidR="007328F2" w:rsidRPr="001B3076">
        <w:rPr>
          <w:rFonts w:eastAsia="Calibri" w:cs="Tahoma"/>
          <w:szCs w:val="22"/>
          <w:lang w:eastAsia="es-MX"/>
        </w:rPr>
        <w:t xml:space="preserve">y II </w:t>
      </w:r>
      <w:r w:rsidRPr="001B3076">
        <w:rPr>
          <w:rFonts w:cs="Arial"/>
          <w:szCs w:val="22"/>
        </w:rPr>
        <w:t xml:space="preserve">de la </w:t>
      </w:r>
      <w:r w:rsidRPr="001B3076">
        <w:rPr>
          <w:szCs w:val="22"/>
        </w:rPr>
        <w:t>Ley de Transparencia y Acceso a la Información Pública del Estado de México y Municipios.</w:t>
      </w:r>
    </w:p>
    <w:p w14:paraId="0EFF7141" w14:textId="77777777" w:rsidR="00362A11" w:rsidRPr="001B3076" w:rsidRDefault="00362A11" w:rsidP="001B3076">
      <w:pPr>
        <w:rPr>
          <w:szCs w:val="22"/>
        </w:rPr>
      </w:pPr>
    </w:p>
    <w:p w14:paraId="2284D7EB" w14:textId="3EE1D036" w:rsidR="00BA55A8" w:rsidRPr="001B3076" w:rsidRDefault="00362A11" w:rsidP="001B3076">
      <w:pPr>
        <w:pStyle w:val="Ttulo3"/>
        <w:rPr>
          <w:szCs w:val="22"/>
        </w:rPr>
      </w:pPr>
      <w:bookmarkStart w:id="21" w:name="_Toc179389832"/>
      <w:r w:rsidRPr="001B3076">
        <w:rPr>
          <w:szCs w:val="22"/>
        </w:rPr>
        <w:t>e) Requisitos formales para la interposición del recurso</w:t>
      </w:r>
      <w:bookmarkEnd w:id="21"/>
    </w:p>
    <w:p w14:paraId="057A099D" w14:textId="77777777" w:rsidR="0033585B" w:rsidRPr="001B3076" w:rsidRDefault="0033585B" w:rsidP="001B3076">
      <w:pPr>
        <w:rPr>
          <w:rFonts w:cs="Arial"/>
        </w:rPr>
      </w:pPr>
      <w:r w:rsidRPr="001B3076">
        <w:rPr>
          <w:rFonts w:cs="Arial"/>
        </w:rPr>
        <w:t xml:space="preserve">Es importante mencionar que, de la revisión del expediente electrónico del </w:t>
      </w:r>
      <w:r w:rsidRPr="001B3076">
        <w:rPr>
          <w:rFonts w:cs="Arial"/>
          <w:b/>
          <w:bCs/>
        </w:rPr>
        <w:t>SAIMEX</w:t>
      </w:r>
      <w:r w:rsidRPr="001B3076">
        <w:rPr>
          <w:rFonts w:cs="Arial"/>
        </w:rPr>
        <w:t xml:space="preserve">, se observa que </w:t>
      </w:r>
      <w:r w:rsidRPr="001B3076">
        <w:rPr>
          <w:rFonts w:cs="Arial"/>
          <w:b/>
          <w:bCs/>
        </w:rPr>
        <w:t>LA PARTE RECURRENTE</w:t>
      </w:r>
      <w:r w:rsidRPr="001B3076">
        <w:rPr>
          <w:rFonts w:cs="Arial"/>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B3076">
        <w:rPr>
          <w:rFonts w:cs="Arial"/>
          <w:b/>
          <w:bCs/>
          <w:u w:val="single"/>
        </w:rPr>
        <w:t>el nombre no es un requisito indispensable</w:t>
      </w:r>
      <w:r w:rsidRPr="001B3076">
        <w:rPr>
          <w:rFonts w:cs="Arial"/>
        </w:rPr>
        <w:t xml:space="preserve"> para que las y los ciudadanos ejerzan el derecho de acceso a la información pública. </w:t>
      </w:r>
    </w:p>
    <w:p w14:paraId="35CF9158" w14:textId="77777777" w:rsidR="0033585B" w:rsidRPr="001B3076" w:rsidRDefault="0033585B" w:rsidP="001B3076">
      <w:pPr>
        <w:rPr>
          <w:rFonts w:cs="Arial"/>
        </w:rPr>
      </w:pPr>
    </w:p>
    <w:p w14:paraId="7707B77B" w14:textId="77777777" w:rsidR="0033585B" w:rsidRPr="001B3076" w:rsidRDefault="0033585B" w:rsidP="001B3076">
      <w:pPr>
        <w:rPr>
          <w:rFonts w:cs="Arial"/>
        </w:rPr>
      </w:pPr>
      <w:r w:rsidRPr="001B3076">
        <w:rPr>
          <w:rFonts w:cs="Arial"/>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B3076">
        <w:rPr>
          <w:rFonts w:cs="Arial"/>
          <w:b/>
          <w:bCs/>
        </w:rPr>
        <w:t>LA PARTE RECURRENTE</w:t>
      </w:r>
      <w:r w:rsidRPr="001B3076">
        <w:rPr>
          <w:rFonts w:cs="Arial"/>
        </w:rPr>
        <w:t xml:space="preserve">; por lo que, en el presente caso, al haber sido presentado el recurso de revisión vía </w:t>
      </w:r>
      <w:r w:rsidRPr="001B3076">
        <w:rPr>
          <w:rFonts w:cs="Arial"/>
          <w:b/>
          <w:bCs/>
        </w:rPr>
        <w:t>SAIMEX</w:t>
      </w:r>
      <w:r w:rsidRPr="001B3076">
        <w:rPr>
          <w:rFonts w:cs="Arial"/>
        </w:rPr>
        <w:t>, dicho requisito resulta innecesario.</w:t>
      </w:r>
    </w:p>
    <w:p w14:paraId="07882DF4" w14:textId="77777777" w:rsidR="0083518A" w:rsidRPr="001B3076" w:rsidRDefault="0083518A" w:rsidP="001B3076">
      <w:pPr>
        <w:rPr>
          <w:bCs/>
          <w:szCs w:val="22"/>
          <w:lang w:val="es-ES_tradnl"/>
        </w:rPr>
      </w:pPr>
    </w:p>
    <w:p w14:paraId="457548E9" w14:textId="3F7AF03B" w:rsidR="00C71CEF" w:rsidRPr="001B3076" w:rsidRDefault="00C71CEF" w:rsidP="001B3076">
      <w:pPr>
        <w:pStyle w:val="Ttulo2"/>
        <w:rPr>
          <w:szCs w:val="22"/>
        </w:rPr>
      </w:pPr>
      <w:bookmarkStart w:id="22" w:name="_Toc179389833"/>
      <w:r w:rsidRPr="001B3076">
        <w:rPr>
          <w:szCs w:val="22"/>
        </w:rPr>
        <w:lastRenderedPageBreak/>
        <w:t>SEGUNDO. Estudio de Fondo</w:t>
      </w:r>
      <w:bookmarkEnd w:id="22"/>
    </w:p>
    <w:p w14:paraId="2A308F59" w14:textId="0FF373F0" w:rsidR="00C049E2" w:rsidRPr="001B3076" w:rsidRDefault="00C71CEF" w:rsidP="001B3076">
      <w:pPr>
        <w:pStyle w:val="Ttulo3"/>
        <w:rPr>
          <w:szCs w:val="22"/>
        </w:rPr>
      </w:pPr>
      <w:bookmarkStart w:id="23" w:name="_Toc179389834"/>
      <w:r w:rsidRPr="001B3076">
        <w:rPr>
          <w:szCs w:val="22"/>
        </w:rPr>
        <w:t>a</w:t>
      </w:r>
      <w:r w:rsidR="00C049E2" w:rsidRPr="001B3076">
        <w:rPr>
          <w:szCs w:val="22"/>
        </w:rPr>
        <w:t>) Mandato de transparencia y responsabilidad del Sujeto Obligado</w:t>
      </w:r>
      <w:bookmarkEnd w:id="23"/>
    </w:p>
    <w:p w14:paraId="6901A889" w14:textId="59EEDAE1" w:rsidR="00C049E2" w:rsidRPr="001B3076" w:rsidRDefault="00C049E2" w:rsidP="001B3076">
      <w:pPr>
        <w:rPr>
          <w:rFonts w:eastAsia="Palatino Linotype"/>
          <w:szCs w:val="22"/>
        </w:rPr>
      </w:pPr>
      <w:r w:rsidRPr="001B3076">
        <w:rPr>
          <w:rFonts w:eastAsia="Palatino Linotype"/>
          <w:szCs w:val="22"/>
        </w:rPr>
        <w:t xml:space="preserve">El </w:t>
      </w:r>
      <w:r w:rsidR="00717E59" w:rsidRPr="001B3076">
        <w:rPr>
          <w:rFonts w:eastAsia="Palatino Linotype"/>
          <w:szCs w:val="22"/>
        </w:rPr>
        <w:t>d</w:t>
      </w:r>
      <w:r w:rsidRPr="001B3076">
        <w:rPr>
          <w:rFonts w:eastAsia="Palatino Linotype"/>
          <w:szCs w:val="22"/>
        </w:rPr>
        <w:t xml:space="preserve">erecho de </w:t>
      </w:r>
      <w:r w:rsidR="00717E59" w:rsidRPr="001B3076">
        <w:rPr>
          <w:rFonts w:eastAsia="Palatino Linotype"/>
          <w:szCs w:val="22"/>
        </w:rPr>
        <w:t>a</w:t>
      </w:r>
      <w:r w:rsidRPr="001B3076">
        <w:rPr>
          <w:rFonts w:eastAsia="Palatino Linotype"/>
          <w:szCs w:val="22"/>
        </w:rPr>
        <w:t xml:space="preserve">cceso a la </w:t>
      </w:r>
      <w:r w:rsidR="00717E59" w:rsidRPr="001B3076">
        <w:rPr>
          <w:rFonts w:eastAsia="Palatino Linotype"/>
          <w:szCs w:val="22"/>
        </w:rPr>
        <w:t>i</w:t>
      </w:r>
      <w:r w:rsidRPr="001B3076">
        <w:rPr>
          <w:rFonts w:eastAsia="Palatino Linotype"/>
          <w:szCs w:val="22"/>
        </w:rPr>
        <w:t xml:space="preserve">nformación </w:t>
      </w:r>
      <w:r w:rsidR="00717E59" w:rsidRPr="001B3076">
        <w:rPr>
          <w:rFonts w:eastAsia="Palatino Linotype"/>
          <w:szCs w:val="22"/>
        </w:rPr>
        <w:t>p</w:t>
      </w:r>
      <w:r w:rsidRPr="001B307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B3076">
        <w:rPr>
          <w:rFonts w:eastAsia="Palatino Linotype"/>
          <w:szCs w:val="22"/>
        </w:rPr>
        <w:t>:</w:t>
      </w:r>
    </w:p>
    <w:p w14:paraId="7FAB8D32" w14:textId="77777777" w:rsidR="00C049E2" w:rsidRPr="001B3076" w:rsidRDefault="00C049E2" w:rsidP="001B3076">
      <w:pPr>
        <w:rPr>
          <w:rFonts w:eastAsia="Palatino Linotype"/>
          <w:szCs w:val="22"/>
        </w:rPr>
      </w:pPr>
    </w:p>
    <w:p w14:paraId="05320813" w14:textId="77777777" w:rsidR="00C049E2" w:rsidRPr="001B3076" w:rsidRDefault="00C049E2" w:rsidP="001B3076">
      <w:pPr>
        <w:spacing w:line="240" w:lineRule="auto"/>
        <w:ind w:left="567" w:right="539"/>
        <w:rPr>
          <w:rFonts w:eastAsia="Palatino Linotype"/>
          <w:b/>
          <w:i/>
          <w:szCs w:val="22"/>
        </w:rPr>
      </w:pPr>
      <w:r w:rsidRPr="001B3076">
        <w:rPr>
          <w:rFonts w:eastAsia="Palatino Linotype"/>
          <w:b/>
          <w:i/>
          <w:szCs w:val="22"/>
        </w:rPr>
        <w:t>Constitución Política de los Estados Unidos Mexicanos</w:t>
      </w:r>
    </w:p>
    <w:p w14:paraId="6B6C67B6" w14:textId="77777777" w:rsidR="00C049E2" w:rsidRPr="001B3076" w:rsidRDefault="00C049E2" w:rsidP="001B3076">
      <w:pPr>
        <w:spacing w:line="240" w:lineRule="auto"/>
        <w:ind w:left="567" w:right="539"/>
        <w:rPr>
          <w:rFonts w:eastAsia="Palatino Linotype"/>
          <w:b/>
          <w:i/>
          <w:szCs w:val="22"/>
        </w:rPr>
      </w:pPr>
      <w:r w:rsidRPr="001B3076">
        <w:rPr>
          <w:rFonts w:eastAsia="Palatino Linotype"/>
          <w:b/>
          <w:i/>
          <w:szCs w:val="22"/>
        </w:rPr>
        <w:t>“Artículo 6.</w:t>
      </w:r>
    </w:p>
    <w:p w14:paraId="38D3B4C4" w14:textId="77777777" w:rsidR="00C049E2" w:rsidRPr="001B3076" w:rsidRDefault="00C049E2" w:rsidP="001B3076">
      <w:pPr>
        <w:spacing w:line="240" w:lineRule="auto"/>
        <w:ind w:left="567" w:right="539"/>
        <w:rPr>
          <w:rFonts w:eastAsia="Palatino Linotype"/>
          <w:i/>
          <w:szCs w:val="22"/>
        </w:rPr>
      </w:pPr>
      <w:r w:rsidRPr="001B3076">
        <w:rPr>
          <w:rFonts w:eastAsia="Palatino Linotype"/>
          <w:i/>
          <w:szCs w:val="22"/>
        </w:rPr>
        <w:t>(…)</w:t>
      </w:r>
    </w:p>
    <w:p w14:paraId="2CCAA297" w14:textId="6602827B" w:rsidR="00C049E2" w:rsidRPr="001B3076" w:rsidRDefault="00C049E2" w:rsidP="001B3076">
      <w:pPr>
        <w:spacing w:line="240" w:lineRule="auto"/>
        <w:ind w:left="567" w:right="539"/>
        <w:rPr>
          <w:rFonts w:eastAsia="Palatino Linotype"/>
          <w:i/>
          <w:szCs w:val="22"/>
        </w:rPr>
      </w:pPr>
      <w:r w:rsidRPr="001B3076">
        <w:rPr>
          <w:rFonts w:eastAsia="Palatino Linotype"/>
          <w:i/>
          <w:szCs w:val="22"/>
        </w:rPr>
        <w:t>Para efectos de lo dispuesto en el presente artículo se observará lo siguiente:</w:t>
      </w:r>
    </w:p>
    <w:p w14:paraId="74CC3718" w14:textId="77777777" w:rsidR="00C049E2" w:rsidRPr="001B3076" w:rsidRDefault="00C049E2" w:rsidP="001B3076">
      <w:pPr>
        <w:spacing w:line="240" w:lineRule="auto"/>
        <w:ind w:left="567" w:right="539"/>
        <w:rPr>
          <w:rFonts w:eastAsia="Palatino Linotype"/>
          <w:b/>
          <w:i/>
          <w:szCs w:val="22"/>
        </w:rPr>
      </w:pPr>
      <w:r w:rsidRPr="001B3076">
        <w:rPr>
          <w:rFonts w:eastAsia="Palatino Linotype"/>
          <w:b/>
          <w:i/>
          <w:szCs w:val="22"/>
        </w:rPr>
        <w:t>A</w:t>
      </w:r>
      <w:r w:rsidRPr="001B3076">
        <w:rPr>
          <w:rFonts w:eastAsia="Palatino Linotype"/>
          <w:i/>
          <w:szCs w:val="22"/>
        </w:rPr>
        <w:t xml:space="preserve">. </w:t>
      </w:r>
      <w:r w:rsidRPr="001B3076">
        <w:rPr>
          <w:rFonts w:eastAsia="Palatino Linotype"/>
          <w:b/>
          <w:i/>
          <w:szCs w:val="22"/>
        </w:rPr>
        <w:t>Para el ejercicio del derecho de acceso a la información</w:t>
      </w:r>
      <w:r w:rsidRPr="001B3076">
        <w:rPr>
          <w:rFonts w:eastAsia="Palatino Linotype"/>
          <w:i/>
          <w:szCs w:val="22"/>
        </w:rPr>
        <w:t xml:space="preserve">, la Federación y </w:t>
      </w:r>
      <w:r w:rsidRPr="001B3076">
        <w:rPr>
          <w:rFonts w:eastAsia="Palatino Linotype"/>
          <w:b/>
          <w:i/>
          <w:szCs w:val="22"/>
        </w:rPr>
        <w:t>las entidades federativas, en el ámbito de sus respectivas competencias, se regirán por los siguientes principios y bases:</w:t>
      </w:r>
    </w:p>
    <w:p w14:paraId="596A956B" w14:textId="77777777" w:rsidR="00C049E2" w:rsidRPr="001B3076" w:rsidRDefault="00C049E2" w:rsidP="001B3076">
      <w:pPr>
        <w:spacing w:line="240" w:lineRule="auto"/>
        <w:ind w:left="567" w:right="539"/>
        <w:rPr>
          <w:rFonts w:eastAsia="Palatino Linotype"/>
          <w:i/>
          <w:szCs w:val="22"/>
        </w:rPr>
      </w:pPr>
      <w:r w:rsidRPr="001B3076">
        <w:rPr>
          <w:rFonts w:eastAsia="Palatino Linotype"/>
          <w:b/>
          <w:i/>
          <w:szCs w:val="22"/>
        </w:rPr>
        <w:t xml:space="preserve">I. </w:t>
      </w:r>
      <w:r w:rsidRPr="001B3076">
        <w:rPr>
          <w:rFonts w:eastAsia="Palatino Linotype"/>
          <w:b/>
          <w:i/>
          <w:szCs w:val="22"/>
        </w:rPr>
        <w:tab/>
        <w:t>Toda la información en posesión de cualquier</w:t>
      </w:r>
      <w:r w:rsidRPr="001B3076">
        <w:rPr>
          <w:rFonts w:eastAsia="Palatino Linotype"/>
          <w:i/>
          <w:szCs w:val="22"/>
        </w:rPr>
        <w:t xml:space="preserve"> </w:t>
      </w:r>
      <w:r w:rsidRPr="001B3076">
        <w:rPr>
          <w:rFonts w:eastAsia="Palatino Linotype"/>
          <w:b/>
          <w:i/>
          <w:szCs w:val="22"/>
        </w:rPr>
        <w:t>autoridad</w:t>
      </w:r>
      <w:r w:rsidRPr="001B307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B3076">
        <w:rPr>
          <w:rFonts w:eastAsia="Palatino Linotype"/>
          <w:b/>
          <w:i/>
          <w:szCs w:val="22"/>
        </w:rPr>
        <w:t>municipal</w:t>
      </w:r>
      <w:r w:rsidRPr="001B3076">
        <w:rPr>
          <w:rFonts w:eastAsia="Palatino Linotype"/>
          <w:i/>
          <w:szCs w:val="22"/>
        </w:rPr>
        <w:t xml:space="preserve">, </w:t>
      </w:r>
      <w:r w:rsidRPr="001B3076">
        <w:rPr>
          <w:rFonts w:eastAsia="Palatino Linotype"/>
          <w:b/>
          <w:i/>
          <w:szCs w:val="22"/>
        </w:rPr>
        <w:t>es pública</w:t>
      </w:r>
      <w:r w:rsidRPr="001B3076">
        <w:rPr>
          <w:rFonts w:eastAsia="Palatino Linotype"/>
          <w:i/>
          <w:szCs w:val="22"/>
        </w:rPr>
        <w:t xml:space="preserve"> y sólo podrá ser reservada temporalmente por razones de interés público y seguridad nacional, en los términos que fijen las leyes. </w:t>
      </w:r>
      <w:r w:rsidRPr="001B307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B3076">
        <w:rPr>
          <w:rFonts w:eastAsia="Palatino Linotype"/>
          <w:i/>
          <w:szCs w:val="22"/>
        </w:rPr>
        <w:t>, la ley determinará los supuestos específicos bajo los cuales procederá la declaración de inexistencia de la información.”</w:t>
      </w:r>
    </w:p>
    <w:p w14:paraId="68F313E4" w14:textId="77777777" w:rsidR="00C049E2" w:rsidRPr="001B3076" w:rsidRDefault="00C049E2" w:rsidP="001B3076">
      <w:pPr>
        <w:spacing w:line="240" w:lineRule="auto"/>
        <w:ind w:left="567" w:right="539"/>
        <w:rPr>
          <w:rFonts w:eastAsia="Palatino Linotype"/>
          <w:b/>
          <w:i/>
          <w:szCs w:val="22"/>
        </w:rPr>
      </w:pPr>
    </w:p>
    <w:p w14:paraId="504F12DB" w14:textId="77777777" w:rsidR="00C049E2" w:rsidRPr="001B3076" w:rsidRDefault="00C049E2" w:rsidP="001B3076">
      <w:pPr>
        <w:spacing w:line="240" w:lineRule="auto"/>
        <w:ind w:left="567" w:right="539"/>
        <w:rPr>
          <w:rFonts w:eastAsia="Palatino Linotype"/>
          <w:b/>
          <w:i/>
          <w:szCs w:val="22"/>
        </w:rPr>
      </w:pPr>
      <w:r w:rsidRPr="001B3076">
        <w:rPr>
          <w:rFonts w:eastAsia="Palatino Linotype"/>
          <w:b/>
          <w:i/>
          <w:szCs w:val="22"/>
        </w:rPr>
        <w:t>Constitución Política del Estado Libre y Soberano de México</w:t>
      </w:r>
    </w:p>
    <w:p w14:paraId="04932D29" w14:textId="77777777" w:rsidR="00C049E2" w:rsidRPr="001B3076" w:rsidRDefault="00C049E2" w:rsidP="001B3076">
      <w:pPr>
        <w:spacing w:line="240" w:lineRule="auto"/>
        <w:ind w:left="567" w:right="539"/>
        <w:rPr>
          <w:rFonts w:eastAsia="Palatino Linotype"/>
          <w:i/>
          <w:szCs w:val="22"/>
        </w:rPr>
      </w:pPr>
      <w:r w:rsidRPr="001B3076">
        <w:rPr>
          <w:rFonts w:eastAsia="Palatino Linotype"/>
          <w:b/>
          <w:i/>
          <w:szCs w:val="22"/>
        </w:rPr>
        <w:t>“Artículo 5</w:t>
      </w:r>
      <w:r w:rsidRPr="001B3076">
        <w:rPr>
          <w:rFonts w:eastAsia="Palatino Linotype"/>
          <w:i/>
          <w:szCs w:val="22"/>
        </w:rPr>
        <w:t xml:space="preserve">.- </w:t>
      </w:r>
    </w:p>
    <w:p w14:paraId="1D3829F4" w14:textId="77777777" w:rsidR="00C049E2" w:rsidRPr="001B3076" w:rsidRDefault="00C049E2" w:rsidP="001B3076">
      <w:pPr>
        <w:spacing w:line="240" w:lineRule="auto"/>
        <w:ind w:left="567" w:right="539"/>
        <w:rPr>
          <w:rFonts w:eastAsia="Palatino Linotype"/>
          <w:i/>
          <w:szCs w:val="22"/>
        </w:rPr>
      </w:pPr>
      <w:r w:rsidRPr="001B3076">
        <w:rPr>
          <w:rFonts w:eastAsia="Palatino Linotype"/>
          <w:i/>
          <w:szCs w:val="22"/>
        </w:rPr>
        <w:t>(…)</w:t>
      </w:r>
    </w:p>
    <w:p w14:paraId="0EAE47FD" w14:textId="77777777" w:rsidR="00C049E2" w:rsidRPr="001B3076" w:rsidRDefault="00C049E2" w:rsidP="001B3076">
      <w:pPr>
        <w:spacing w:line="240" w:lineRule="auto"/>
        <w:ind w:left="567" w:right="539"/>
        <w:rPr>
          <w:rFonts w:eastAsia="Palatino Linotype"/>
          <w:i/>
          <w:szCs w:val="22"/>
        </w:rPr>
      </w:pPr>
      <w:r w:rsidRPr="001B3076">
        <w:rPr>
          <w:rFonts w:eastAsia="Palatino Linotype"/>
          <w:b/>
          <w:i/>
          <w:szCs w:val="22"/>
        </w:rPr>
        <w:t>El derecho a la información será garantizado por el Estado. La ley establecerá las previsiones que permitan asegurar la protección, el respeto y la difusión de este derecho</w:t>
      </w:r>
      <w:r w:rsidRPr="001B3076">
        <w:rPr>
          <w:rFonts w:eastAsia="Palatino Linotype"/>
          <w:i/>
          <w:szCs w:val="22"/>
        </w:rPr>
        <w:t>.</w:t>
      </w:r>
    </w:p>
    <w:p w14:paraId="4F0C804A" w14:textId="77777777" w:rsidR="00C049E2" w:rsidRPr="001B3076" w:rsidRDefault="00C049E2" w:rsidP="001B3076">
      <w:pPr>
        <w:spacing w:line="240" w:lineRule="auto"/>
        <w:ind w:left="567" w:right="539"/>
        <w:rPr>
          <w:rFonts w:eastAsia="Palatino Linotype"/>
          <w:i/>
          <w:szCs w:val="22"/>
        </w:rPr>
      </w:pPr>
      <w:r w:rsidRPr="001B307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B3076" w:rsidRDefault="00C049E2" w:rsidP="001B3076">
      <w:pPr>
        <w:spacing w:line="240" w:lineRule="auto"/>
        <w:ind w:left="567" w:right="539"/>
        <w:rPr>
          <w:rFonts w:eastAsia="Palatino Linotype"/>
          <w:i/>
          <w:szCs w:val="22"/>
        </w:rPr>
      </w:pPr>
      <w:r w:rsidRPr="001B3076">
        <w:rPr>
          <w:rFonts w:eastAsia="Palatino Linotype"/>
          <w:b/>
          <w:i/>
          <w:szCs w:val="22"/>
        </w:rPr>
        <w:t>Este derecho se regirá por los principios y bases siguientes</w:t>
      </w:r>
      <w:r w:rsidRPr="001B3076">
        <w:rPr>
          <w:rFonts w:eastAsia="Palatino Linotype"/>
          <w:i/>
          <w:szCs w:val="22"/>
        </w:rPr>
        <w:t>:</w:t>
      </w:r>
    </w:p>
    <w:p w14:paraId="4A3E8CBA" w14:textId="77777777" w:rsidR="00C049E2" w:rsidRPr="001B3076" w:rsidRDefault="00C049E2" w:rsidP="001B3076">
      <w:pPr>
        <w:spacing w:line="240" w:lineRule="auto"/>
        <w:ind w:left="567" w:right="539"/>
        <w:rPr>
          <w:rFonts w:eastAsia="Palatino Linotype"/>
          <w:i/>
          <w:szCs w:val="22"/>
        </w:rPr>
      </w:pPr>
      <w:r w:rsidRPr="001B3076">
        <w:rPr>
          <w:rFonts w:eastAsia="Palatino Linotype"/>
          <w:b/>
          <w:i/>
          <w:szCs w:val="22"/>
        </w:rPr>
        <w:lastRenderedPageBreak/>
        <w:t>I. Toda la información en posesión de cualquier autoridad, entidad, órgano y organismos de los</w:t>
      </w:r>
      <w:r w:rsidRPr="001B3076">
        <w:rPr>
          <w:rFonts w:eastAsia="Palatino Linotype"/>
          <w:i/>
          <w:szCs w:val="22"/>
        </w:rPr>
        <w:t xml:space="preserve"> Poderes Ejecutivo, Legislativo y Judicial, órganos autónomos, partidos políticos, fideicomisos y fondos públicos estatales y </w:t>
      </w:r>
      <w:r w:rsidRPr="001B3076">
        <w:rPr>
          <w:rFonts w:eastAsia="Palatino Linotype"/>
          <w:b/>
          <w:i/>
          <w:szCs w:val="22"/>
        </w:rPr>
        <w:t>municipales</w:t>
      </w:r>
      <w:r w:rsidRPr="001B307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B3076">
        <w:rPr>
          <w:rFonts w:eastAsia="Palatino Linotype"/>
          <w:b/>
          <w:i/>
          <w:szCs w:val="22"/>
        </w:rPr>
        <w:t>es pública</w:t>
      </w:r>
      <w:r w:rsidRPr="001B307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B3076">
        <w:rPr>
          <w:rFonts w:eastAsia="Palatino Linotype"/>
          <w:b/>
          <w:i/>
          <w:szCs w:val="22"/>
        </w:rPr>
        <w:t>En la interpretación de este derecho deberá prevalecer el principio de máxima publicidad</w:t>
      </w:r>
      <w:r w:rsidRPr="001B3076">
        <w:rPr>
          <w:rFonts w:eastAsia="Palatino Linotype"/>
          <w:i/>
          <w:szCs w:val="22"/>
        </w:rPr>
        <w:t xml:space="preserve">. </w:t>
      </w:r>
      <w:r w:rsidRPr="001B3076">
        <w:rPr>
          <w:rFonts w:eastAsia="Palatino Linotype"/>
          <w:b/>
          <w:i/>
          <w:szCs w:val="22"/>
        </w:rPr>
        <w:t>Los sujetos obligados deberán documentar todo acto que derive del ejercicio de sus facultades, competencias o funciones</w:t>
      </w:r>
      <w:r w:rsidRPr="001B3076">
        <w:rPr>
          <w:rFonts w:eastAsia="Palatino Linotype"/>
          <w:i/>
          <w:szCs w:val="22"/>
        </w:rPr>
        <w:t>, la ley determinará los supuestos específicos bajo los cuales procederá la declaración de inexistencia de la información.”</w:t>
      </w:r>
    </w:p>
    <w:p w14:paraId="5CA98E37" w14:textId="77777777" w:rsidR="00C049E2" w:rsidRPr="001B3076" w:rsidRDefault="00C049E2" w:rsidP="001B3076">
      <w:pPr>
        <w:rPr>
          <w:rFonts w:eastAsia="Palatino Linotype"/>
          <w:b/>
          <w:i/>
          <w:szCs w:val="22"/>
        </w:rPr>
      </w:pPr>
    </w:p>
    <w:p w14:paraId="6FC1BB3B" w14:textId="3BF4A33D" w:rsidR="00C049E2" w:rsidRPr="001B3076" w:rsidRDefault="00717E59" w:rsidP="001B3076">
      <w:pPr>
        <w:rPr>
          <w:rFonts w:eastAsia="Palatino Linotype"/>
          <w:i/>
          <w:szCs w:val="22"/>
        </w:rPr>
      </w:pPr>
      <w:r w:rsidRPr="001B3076">
        <w:rPr>
          <w:rFonts w:eastAsia="Palatino Linotype"/>
          <w:szCs w:val="22"/>
        </w:rPr>
        <w:t xml:space="preserve">Asimismo, </w:t>
      </w:r>
      <w:r w:rsidR="00C049E2" w:rsidRPr="001B3076">
        <w:rPr>
          <w:rFonts w:eastAsia="Palatino Linotype"/>
          <w:szCs w:val="22"/>
        </w:rPr>
        <w:t>el artículo 150 de la Ley de Transparencia y Acceso a la Información Pública del Estado de México y Municipios</w:t>
      </w:r>
      <w:r w:rsidR="00057B2D" w:rsidRPr="001B3076">
        <w:rPr>
          <w:rFonts w:eastAsia="Palatino Linotype"/>
          <w:szCs w:val="22"/>
        </w:rPr>
        <w:t xml:space="preserve"> </w:t>
      </w:r>
      <w:r w:rsidR="00E9335C" w:rsidRPr="001B3076">
        <w:rPr>
          <w:rFonts w:eastAsia="Palatino Linotype"/>
          <w:szCs w:val="22"/>
        </w:rPr>
        <w:t xml:space="preserve">indica </w:t>
      </w:r>
      <w:r w:rsidR="00057B2D" w:rsidRPr="001B3076">
        <w:rPr>
          <w:rFonts w:eastAsia="Palatino Linotype"/>
          <w:szCs w:val="22"/>
        </w:rPr>
        <w:t>que</w:t>
      </w:r>
      <w:r w:rsidR="00C049E2" w:rsidRPr="001B3076">
        <w:rPr>
          <w:rFonts w:eastAsia="Palatino Linotype"/>
          <w:szCs w:val="22"/>
        </w:rPr>
        <w:t xml:space="preserve"> la solicitud es la garantía primaria del Derecho de Acceso a la Información, además, establece que se regirá </w:t>
      </w:r>
      <w:r w:rsidR="00C049E2" w:rsidRPr="001B3076">
        <w:rPr>
          <w:rFonts w:eastAsia="Palatino Linotype"/>
          <w:i/>
          <w:szCs w:val="22"/>
        </w:rPr>
        <w:t>por los principios de simplicidad, rapidez</w:t>
      </w:r>
      <w:r w:rsidR="005F65B7" w:rsidRPr="001B3076">
        <w:rPr>
          <w:rFonts w:eastAsia="Palatino Linotype"/>
          <w:i/>
          <w:szCs w:val="22"/>
        </w:rPr>
        <w:t>,</w:t>
      </w:r>
      <w:r w:rsidR="00C049E2" w:rsidRPr="001B3076">
        <w:rPr>
          <w:rFonts w:eastAsia="Palatino Linotype"/>
          <w:i/>
          <w:szCs w:val="22"/>
        </w:rPr>
        <w:t xml:space="preserve"> gratuidad del procedimiento, auxilio y orientación a los particulare</w:t>
      </w:r>
      <w:r w:rsidR="001A58B3" w:rsidRPr="001B3076">
        <w:rPr>
          <w:rFonts w:eastAsia="Palatino Linotype"/>
          <w:i/>
          <w:szCs w:val="22"/>
        </w:rPr>
        <w:t>s.</w:t>
      </w:r>
    </w:p>
    <w:p w14:paraId="033466A6" w14:textId="77777777" w:rsidR="001A58B3" w:rsidRPr="001B3076" w:rsidRDefault="001A58B3" w:rsidP="001B3076">
      <w:pPr>
        <w:rPr>
          <w:rFonts w:eastAsia="Palatino Linotype"/>
          <w:i/>
          <w:szCs w:val="22"/>
        </w:rPr>
      </w:pPr>
    </w:p>
    <w:p w14:paraId="04ADA10B" w14:textId="574A944A" w:rsidR="001A58B3" w:rsidRPr="001B3076" w:rsidRDefault="00233F17" w:rsidP="001B3076">
      <w:pPr>
        <w:rPr>
          <w:rFonts w:eastAsia="Palatino Linotype" w:cs="Palatino Linotype"/>
          <w:i/>
          <w:szCs w:val="22"/>
        </w:rPr>
      </w:pPr>
      <w:r w:rsidRPr="001B3076">
        <w:rPr>
          <w:rFonts w:eastAsia="Palatino Linotype" w:cs="Palatino Linotype"/>
          <w:szCs w:val="22"/>
        </w:rPr>
        <w:t xml:space="preserve">Por su parte, el artículo 4 de </w:t>
      </w:r>
      <w:r w:rsidR="001A58B3" w:rsidRPr="001B307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B3076">
        <w:rPr>
          <w:rFonts w:eastAsia="Palatino Linotype" w:cs="Palatino Linotype"/>
          <w:szCs w:val="22"/>
        </w:rPr>
        <w:t>.</w:t>
      </w:r>
    </w:p>
    <w:p w14:paraId="1407DBB8" w14:textId="77777777" w:rsidR="001A58B3" w:rsidRPr="001B3076" w:rsidRDefault="001A58B3" w:rsidP="001B3076">
      <w:pPr>
        <w:rPr>
          <w:rFonts w:eastAsia="Palatino Linotype" w:cs="Palatino Linotype"/>
          <w:szCs w:val="22"/>
        </w:rPr>
      </w:pPr>
    </w:p>
    <w:p w14:paraId="7552AA79" w14:textId="5C52E4A4" w:rsidR="001A58B3" w:rsidRPr="001B3076" w:rsidRDefault="001A58B3" w:rsidP="001B3076">
      <w:pPr>
        <w:rPr>
          <w:rFonts w:eastAsia="Palatino Linotype" w:cs="Palatino Linotype"/>
          <w:szCs w:val="22"/>
        </w:rPr>
      </w:pPr>
      <w:r w:rsidRPr="001B3076">
        <w:rPr>
          <w:rFonts w:eastAsia="Palatino Linotype" w:cs="Palatino Linotype"/>
          <w:szCs w:val="22"/>
        </w:rPr>
        <w:t xml:space="preserve">Esto es, que los Sujetos Obligados </w:t>
      </w:r>
      <w:r w:rsidR="00FA5957" w:rsidRPr="001B3076">
        <w:rPr>
          <w:rFonts w:eastAsia="Palatino Linotype" w:cs="Palatino Linotype"/>
          <w:szCs w:val="22"/>
        </w:rPr>
        <w:t>deben</w:t>
      </w:r>
      <w:r w:rsidRPr="001B3076">
        <w:rPr>
          <w:rFonts w:eastAsia="Palatino Linotype" w:cs="Palatino Linotype"/>
          <w:szCs w:val="22"/>
        </w:rPr>
        <w:t xml:space="preserve"> atender las solicitudes de acceso a la información pública que se les </w:t>
      </w:r>
      <w:r w:rsidR="00FA5957" w:rsidRPr="001B3076">
        <w:rPr>
          <w:rFonts w:eastAsia="Palatino Linotype" w:cs="Palatino Linotype"/>
          <w:szCs w:val="22"/>
        </w:rPr>
        <w:t>sean realizadas,</w:t>
      </w:r>
      <w:r w:rsidRPr="001B3076">
        <w:rPr>
          <w:rFonts w:eastAsia="Palatino Linotype" w:cs="Palatino Linotype"/>
          <w:szCs w:val="22"/>
        </w:rPr>
        <w:t xml:space="preserve"> y proporcionar la información pública que obre en su poder</w:t>
      </w:r>
      <w:r w:rsidR="00FA5957" w:rsidRPr="001B3076">
        <w:rPr>
          <w:rFonts w:eastAsia="Palatino Linotype" w:cs="Palatino Linotype"/>
          <w:szCs w:val="22"/>
        </w:rPr>
        <w:t>,</w:t>
      </w:r>
      <w:r w:rsidRPr="001B3076">
        <w:rPr>
          <w:rFonts w:eastAsia="Palatino Linotype" w:cs="Palatino Linotype"/>
          <w:szCs w:val="22"/>
        </w:rPr>
        <w:t xml:space="preserve"> conforme </w:t>
      </w:r>
      <w:r w:rsidR="00FA5957" w:rsidRPr="001B3076">
        <w:rPr>
          <w:rFonts w:eastAsia="Palatino Linotype" w:cs="Palatino Linotype"/>
          <w:szCs w:val="22"/>
        </w:rPr>
        <w:t>a</w:t>
      </w:r>
      <w:r w:rsidRPr="001B3076">
        <w:rPr>
          <w:rFonts w:eastAsia="Palatino Linotype" w:cs="Palatino Linotype"/>
          <w:szCs w:val="22"/>
        </w:rPr>
        <w:t xml:space="preserve">l estado </w:t>
      </w:r>
      <w:r w:rsidR="00FA5957" w:rsidRPr="001B3076">
        <w:rPr>
          <w:rFonts w:eastAsia="Palatino Linotype" w:cs="Palatino Linotype"/>
          <w:szCs w:val="22"/>
        </w:rPr>
        <w:t xml:space="preserve">en </w:t>
      </w:r>
      <w:r w:rsidRPr="001B3076">
        <w:rPr>
          <w:rFonts w:eastAsia="Palatino Linotype" w:cs="Palatino Linotype"/>
          <w:szCs w:val="22"/>
        </w:rPr>
        <w:t>que se encuentr</w:t>
      </w:r>
      <w:r w:rsidR="00FA5957" w:rsidRPr="001B3076">
        <w:rPr>
          <w:rFonts w:eastAsia="Palatino Linotype" w:cs="Palatino Linotype"/>
          <w:szCs w:val="22"/>
        </w:rPr>
        <w:t>e, sin que sea necesario</w:t>
      </w:r>
      <w:r w:rsidRPr="001B3076">
        <w:rPr>
          <w:rFonts w:eastAsia="Palatino Linotype" w:cs="Palatino Linotype"/>
          <w:szCs w:val="22"/>
        </w:rPr>
        <w:t xml:space="preserve"> </w:t>
      </w:r>
      <w:r w:rsidR="00FA5957" w:rsidRPr="001B3076">
        <w:rPr>
          <w:rFonts w:eastAsia="Palatino Linotype" w:cs="Palatino Linotype"/>
          <w:szCs w:val="22"/>
        </w:rPr>
        <w:t>procesar</w:t>
      </w:r>
      <w:r w:rsidRPr="001B3076">
        <w:rPr>
          <w:rFonts w:eastAsia="Palatino Linotype" w:cs="Palatino Linotype"/>
          <w:szCs w:val="22"/>
        </w:rPr>
        <w:t xml:space="preserve"> la misma, ni presentarla conforme al interés del solicitante; </w:t>
      </w:r>
      <w:r w:rsidR="00FA5957" w:rsidRPr="001B3076">
        <w:rPr>
          <w:rFonts w:eastAsia="Palatino Linotype" w:cs="Palatino Linotype"/>
          <w:szCs w:val="22"/>
        </w:rPr>
        <w:t>tal y como</w:t>
      </w:r>
      <w:r w:rsidRPr="001B3076">
        <w:rPr>
          <w:rFonts w:eastAsia="Palatino Linotype" w:cs="Palatino Linotype"/>
          <w:szCs w:val="22"/>
        </w:rPr>
        <w:t xml:space="preserve"> lo establece el artículo 12 de la Ley de Transparencia y Acceso a la Información Pública del Estado de México y Municipios</w:t>
      </w:r>
      <w:r w:rsidR="00970EB3" w:rsidRPr="001B3076">
        <w:rPr>
          <w:rFonts w:eastAsia="Palatino Linotype" w:cs="Palatino Linotype"/>
          <w:szCs w:val="22"/>
        </w:rPr>
        <w:t>.</w:t>
      </w:r>
    </w:p>
    <w:p w14:paraId="73245195" w14:textId="77777777" w:rsidR="00970EB3" w:rsidRPr="001B3076" w:rsidRDefault="00970EB3" w:rsidP="001B3076">
      <w:pPr>
        <w:rPr>
          <w:rFonts w:eastAsia="Palatino Linotype" w:cs="Palatino Linotype"/>
          <w:szCs w:val="22"/>
        </w:rPr>
      </w:pPr>
    </w:p>
    <w:p w14:paraId="7F62D4DF" w14:textId="775730E1" w:rsidR="001A58B3" w:rsidRPr="001B3076" w:rsidRDefault="001A58B3" w:rsidP="001B3076">
      <w:pPr>
        <w:rPr>
          <w:rFonts w:eastAsia="Palatino Linotype" w:cs="Palatino Linotype"/>
          <w:szCs w:val="22"/>
        </w:rPr>
      </w:pPr>
      <w:r w:rsidRPr="001B3076">
        <w:rPr>
          <w:rFonts w:eastAsia="Palatino Linotype" w:cs="Palatino Linotype"/>
          <w:szCs w:val="22"/>
        </w:rPr>
        <w:lastRenderedPageBreak/>
        <w:t>Es decir, que todo sujeto obligado que genere, recopile, administre, procese, archive, posea o conserven, son responsables de la misma</w:t>
      </w:r>
      <w:r w:rsidR="00970EB3" w:rsidRPr="001B3076">
        <w:rPr>
          <w:rFonts w:eastAsia="Palatino Linotype" w:cs="Palatino Linotype"/>
          <w:szCs w:val="22"/>
        </w:rPr>
        <w:t>,</w:t>
      </w:r>
      <w:r w:rsidRPr="001B307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B3076">
        <w:rPr>
          <w:rFonts w:eastAsia="Palatino Linotype" w:cs="Palatino Linotype"/>
          <w:szCs w:val="22"/>
        </w:rPr>
        <w:t>o</w:t>
      </w:r>
      <w:r w:rsidRPr="001B307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B3076" w:rsidRDefault="001A58B3" w:rsidP="001B3076">
      <w:pPr>
        <w:rPr>
          <w:rFonts w:eastAsia="Palatino Linotype" w:cs="Palatino Linotype"/>
          <w:szCs w:val="22"/>
        </w:rPr>
      </w:pPr>
    </w:p>
    <w:p w14:paraId="04E42DFE" w14:textId="573F1198" w:rsidR="001A58B3" w:rsidRPr="001B3076" w:rsidRDefault="001A58B3" w:rsidP="001B3076">
      <w:pPr>
        <w:rPr>
          <w:rFonts w:eastAsia="Palatino Linotype" w:cs="Palatino Linotype"/>
          <w:szCs w:val="22"/>
        </w:rPr>
      </w:pPr>
      <w:r w:rsidRPr="001B3076">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B3076">
        <w:rPr>
          <w:rFonts w:eastAsia="Palatino Linotype" w:cs="Palatino Linotype"/>
          <w:szCs w:val="22"/>
        </w:rPr>
        <w:t>, s</w:t>
      </w:r>
      <w:r w:rsidRPr="001B3076">
        <w:rPr>
          <w:rFonts w:eastAsia="Palatino Linotype" w:cs="Palatino Linotype"/>
          <w:szCs w:val="22"/>
        </w:rPr>
        <w:t xml:space="preserve">iempre y cuando no se trate de información reservada o </w:t>
      </w:r>
      <w:r w:rsidR="00331F35" w:rsidRPr="001B3076">
        <w:rPr>
          <w:rFonts w:eastAsia="Palatino Linotype" w:cs="Palatino Linotype"/>
          <w:szCs w:val="22"/>
        </w:rPr>
        <w:t>confidencial.</w:t>
      </w:r>
    </w:p>
    <w:p w14:paraId="40C5219F" w14:textId="77777777" w:rsidR="001A58B3" w:rsidRPr="001B3076" w:rsidRDefault="001A58B3" w:rsidP="001B3076">
      <w:pPr>
        <w:rPr>
          <w:rFonts w:eastAsia="Palatino Linotype" w:cs="Palatino Linotype"/>
          <w:szCs w:val="22"/>
        </w:rPr>
      </w:pPr>
    </w:p>
    <w:p w14:paraId="51A0E8B4" w14:textId="676DCA47" w:rsidR="00664420" w:rsidRPr="001B3076" w:rsidRDefault="00C71CEF" w:rsidP="001B3076">
      <w:pPr>
        <w:pStyle w:val="Ttulo3"/>
        <w:rPr>
          <w:rFonts w:eastAsia="Calibri"/>
          <w:szCs w:val="22"/>
          <w:lang w:eastAsia="es-ES_tradnl"/>
        </w:rPr>
      </w:pPr>
      <w:bookmarkStart w:id="24" w:name="_heading=h.2s8eyo1" w:colFirst="0" w:colLast="0"/>
      <w:bookmarkStart w:id="25" w:name="_Toc179389835"/>
      <w:bookmarkEnd w:id="24"/>
      <w:r w:rsidRPr="001B3076">
        <w:rPr>
          <w:rFonts w:eastAsia="Calibri"/>
          <w:szCs w:val="22"/>
          <w:lang w:eastAsia="es-ES_tradnl"/>
        </w:rPr>
        <w:t>b)</w:t>
      </w:r>
      <w:r w:rsidR="00A53315" w:rsidRPr="001B3076">
        <w:rPr>
          <w:rFonts w:eastAsia="Calibri"/>
          <w:szCs w:val="22"/>
          <w:lang w:eastAsia="es-ES_tradnl"/>
        </w:rPr>
        <w:t xml:space="preserve"> </w:t>
      </w:r>
      <w:r w:rsidR="00A21A20" w:rsidRPr="001B3076">
        <w:rPr>
          <w:rFonts w:eastAsia="Calibri"/>
          <w:szCs w:val="22"/>
          <w:lang w:eastAsia="es-ES_tradnl"/>
        </w:rPr>
        <w:t>Controversia a resolver</w:t>
      </w:r>
      <w:bookmarkEnd w:id="25"/>
    </w:p>
    <w:p w14:paraId="5DAE2A65" w14:textId="382C31A9" w:rsidR="00664420" w:rsidRPr="001B3076" w:rsidRDefault="00664420" w:rsidP="001B3076">
      <w:pPr>
        <w:rPr>
          <w:rFonts w:eastAsia="Calibri"/>
          <w:szCs w:val="22"/>
          <w:lang w:eastAsia="es-ES_tradnl"/>
        </w:rPr>
      </w:pPr>
      <w:r w:rsidRPr="001B3076">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B3076">
        <w:rPr>
          <w:rFonts w:eastAsia="Calibri"/>
          <w:b/>
          <w:bCs/>
          <w:szCs w:val="22"/>
          <w:lang w:eastAsia="es-ES_tradnl"/>
        </w:rPr>
        <w:t>LA PARTE RECURRENTE</w:t>
      </w:r>
      <w:r w:rsidRPr="001B3076">
        <w:rPr>
          <w:rFonts w:eastAsia="Calibri"/>
          <w:szCs w:val="22"/>
          <w:lang w:eastAsia="es-ES_tradnl"/>
        </w:rPr>
        <w:t xml:space="preserve"> solicitó lo siguiente:</w:t>
      </w:r>
    </w:p>
    <w:p w14:paraId="6328D20E" w14:textId="4D080659" w:rsidR="00C70B3F" w:rsidRPr="001B3076" w:rsidRDefault="00C70B3F" w:rsidP="001B3076">
      <w:pPr>
        <w:tabs>
          <w:tab w:val="left" w:pos="4962"/>
        </w:tabs>
        <w:rPr>
          <w:rFonts w:cs="Tahoma"/>
          <w:bCs/>
          <w:iCs/>
          <w:szCs w:val="22"/>
        </w:rPr>
      </w:pPr>
    </w:p>
    <w:p w14:paraId="38A79140" w14:textId="4DB1E653" w:rsidR="00125D09" w:rsidRPr="001B3076" w:rsidRDefault="00125D09" w:rsidP="001B3076">
      <w:pPr>
        <w:pStyle w:val="Prrafodelista"/>
        <w:tabs>
          <w:tab w:val="left" w:pos="4962"/>
        </w:tabs>
        <w:ind w:left="0"/>
        <w:rPr>
          <w:rFonts w:cs="Tahoma"/>
          <w:bCs/>
          <w:iCs/>
          <w:szCs w:val="22"/>
        </w:rPr>
      </w:pPr>
      <w:r w:rsidRPr="001B3076">
        <w:rPr>
          <w:rFonts w:cs="Tahoma"/>
          <w:bCs/>
          <w:iCs/>
          <w:szCs w:val="22"/>
        </w:rPr>
        <w:t>De septiembre de 2023 al 19 de agosto 2024 de los depósitos de guarda y custodia conocidos como corralones, que fueron clausurados:</w:t>
      </w:r>
    </w:p>
    <w:p w14:paraId="4C020024" w14:textId="077670DA" w:rsidR="00125D09" w:rsidRPr="001B3076" w:rsidRDefault="00125D09" w:rsidP="001B3076">
      <w:pPr>
        <w:pStyle w:val="Prrafodelista"/>
        <w:numPr>
          <w:ilvl w:val="0"/>
          <w:numId w:val="33"/>
        </w:numPr>
        <w:tabs>
          <w:tab w:val="left" w:pos="4962"/>
        </w:tabs>
        <w:ind w:left="284" w:hanging="284"/>
        <w:rPr>
          <w:rFonts w:cs="Tahoma"/>
          <w:bCs/>
          <w:iCs/>
          <w:szCs w:val="22"/>
        </w:rPr>
      </w:pPr>
      <w:r w:rsidRPr="001B3076">
        <w:rPr>
          <w:rFonts w:cs="Tahoma"/>
          <w:bCs/>
          <w:iCs/>
          <w:szCs w:val="22"/>
        </w:rPr>
        <w:t>Nombre de la empresa o representación</w:t>
      </w:r>
      <w:r w:rsidR="00900DC0" w:rsidRPr="001B3076">
        <w:rPr>
          <w:rFonts w:cs="Tahoma"/>
          <w:bCs/>
          <w:iCs/>
          <w:szCs w:val="22"/>
        </w:rPr>
        <w:t>.</w:t>
      </w:r>
    </w:p>
    <w:p w14:paraId="37128ECE" w14:textId="2C6A5CCA" w:rsidR="00125D09" w:rsidRPr="001B3076" w:rsidRDefault="00125D09" w:rsidP="001B3076">
      <w:pPr>
        <w:pStyle w:val="Prrafodelista"/>
        <w:numPr>
          <w:ilvl w:val="0"/>
          <w:numId w:val="33"/>
        </w:numPr>
        <w:tabs>
          <w:tab w:val="left" w:pos="4962"/>
        </w:tabs>
        <w:ind w:left="284" w:hanging="284"/>
        <w:rPr>
          <w:rFonts w:cs="Tahoma"/>
          <w:bCs/>
          <w:iCs/>
          <w:szCs w:val="22"/>
        </w:rPr>
      </w:pPr>
      <w:r w:rsidRPr="001B3076">
        <w:rPr>
          <w:rFonts w:cs="Tahoma"/>
          <w:bCs/>
          <w:iCs/>
          <w:szCs w:val="22"/>
        </w:rPr>
        <w:t>Nombre del representante legal</w:t>
      </w:r>
      <w:r w:rsidR="00900DC0" w:rsidRPr="001B3076">
        <w:rPr>
          <w:rFonts w:cs="Tahoma"/>
          <w:bCs/>
          <w:iCs/>
          <w:szCs w:val="22"/>
        </w:rPr>
        <w:t>.</w:t>
      </w:r>
      <w:r w:rsidRPr="001B3076">
        <w:rPr>
          <w:rFonts w:cs="Tahoma"/>
          <w:bCs/>
          <w:iCs/>
          <w:szCs w:val="22"/>
        </w:rPr>
        <w:t xml:space="preserve"> </w:t>
      </w:r>
    </w:p>
    <w:p w14:paraId="285BC15D" w14:textId="584D66B7" w:rsidR="00125D09" w:rsidRPr="001B3076" w:rsidRDefault="00125D09" w:rsidP="001B3076">
      <w:pPr>
        <w:pStyle w:val="Prrafodelista"/>
        <w:numPr>
          <w:ilvl w:val="0"/>
          <w:numId w:val="33"/>
        </w:numPr>
        <w:tabs>
          <w:tab w:val="left" w:pos="4962"/>
        </w:tabs>
        <w:ind w:left="284" w:hanging="284"/>
        <w:rPr>
          <w:rFonts w:cs="Tahoma"/>
          <w:bCs/>
          <w:iCs/>
          <w:szCs w:val="22"/>
        </w:rPr>
      </w:pPr>
      <w:r w:rsidRPr="001B3076">
        <w:rPr>
          <w:rFonts w:cs="Tahoma"/>
          <w:bCs/>
          <w:iCs/>
          <w:szCs w:val="22"/>
        </w:rPr>
        <w:t>Ubicación de los depósitos</w:t>
      </w:r>
      <w:r w:rsidR="00900DC0" w:rsidRPr="001B3076">
        <w:rPr>
          <w:rFonts w:cs="Tahoma"/>
          <w:bCs/>
          <w:iCs/>
          <w:szCs w:val="22"/>
        </w:rPr>
        <w:t>.</w:t>
      </w:r>
    </w:p>
    <w:p w14:paraId="141BF7D4" w14:textId="441E646B" w:rsidR="00125D09" w:rsidRPr="001B3076" w:rsidRDefault="00125D09" w:rsidP="001B3076">
      <w:pPr>
        <w:pStyle w:val="Prrafodelista"/>
        <w:numPr>
          <w:ilvl w:val="0"/>
          <w:numId w:val="33"/>
        </w:numPr>
        <w:tabs>
          <w:tab w:val="left" w:pos="4962"/>
        </w:tabs>
        <w:ind w:left="284" w:hanging="284"/>
        <w:rPr>
          <w:rFonts w:cs="Tahoma"/>
          <w:bCs/>
          <w:iCs/>
          <w:szCs w:val="22"/>
        </w:rPr>
      </w:pPr>
      <w:r w:rsidRPr="001B3076">
        <w:rPr>
          <w:rFonts w:cs="Tahoma"/>
          <w:bCs/>
          <w:iCs/>
          <w:szCs w:val="22"/>
        </w:rPr>
        <w:t>Expedientes completos</w:t>
      </w:r>
      <w:r w:rsidR="00900DC0" w:rsidRPr="001B3076">
        <w:rPr>
          <w:rFonts w:cs="Tahoma"/>
          <w:bCs/>
          <w:iCs/>
          <w:szCs w:val="22"/>
        </w:rPr>
        <w:t>.</w:t>
      </w:r>
    </w:p>
    <w:p w14:paraId="5EDCD031" w14:textId="7B4F3456" w:rsidR="00125D09" w:rsidRPr="001B3076" w:rsidRDefault="00125D09" w:rsidP="001B3076">
      <w:pPr>
        <w:pStyle w:val="Prrafodelista"/>
        <w:numPr>
          <w:ilvl w:val="0"/>
          <w:numId w:val="33"/>
        </w:numPr>
        <w:tabs>
          <w:tab w:val="left" w:pos="4962"/>
        </w:tabs>
        <w:ind w:left="284" w:hanging="284"/>
        <w:rPr>
          <w:rFonts w:cs="Tahoma"/>
          <w:bCs/>
          <w:iCs/>
          <w:szCs w:val="22"/>
        </w:rPr>
      </w:pPr>
      <w:r w:rsidRPr="001B3076">
        <w:rPr>
          <w:rFonts w:cs="Tahoma"/>
          <w:bCs/>
          <w:iCs/>
          <w:szCs w:val="22"/>
        </w:rPr>
        <w:lastRenderedPageBreak/>
        <w:t>Fecha de clausura</w:t>
      </w:r>
      <w:r w:rsidR="00900DC0" w:rsidRPr="001B3076">
        <w:rPr>
          <w:rFonts w:cs="Tahoma"/>
          <w:bCs/>
          <w:iCs/>
          <w:szCs w:val="22"/>
        </w:rPr>
        <w:t>.</w:t>
      </w:r>
    </w:p>
    <w:p w14:paraId="743D7167" w14:textId="617AB5C8" w:rsidR="00125D09" w:rsidRPr="001B3076" w:rsidRDefault="00900DC0" w:rsidP="001B3076">
      <w:pPr>
        <w:pStyle w:val="Prrafodelista"/>
        <w:numPr>
          <w:ilvl w:val="0"/>
          <w:numId w:val="33"/>
        </w:numPr>
        <w:tabs>
          <w:tab w:val="left" w:pos="4962"/>
        </w:tabs>
        <w:ind w:left="284" w:hanging="284"/>
        <w:rPr>
          <w:rFonts w:cs="Tahoma"/>
          <w:bCs/>
          <w:iCs/>
          <w:szCs w:val="22"/>
        </w:rPr>
      </w:pPr>
      <w:r w:rsidRPr="001B3076">
        <w:rPr>
          <w:rFonts w:cs="Tahoma"/>
          <w:bCs/>
          <w:iCs/>
          <w:szCs w:val="22"/>
        </w:rPr>
        <w:t>C</w:t>
      </w:r>
      <w:r w:rsidR="00125D09" w:rsidRPr="001B3076">
        <w:rPr>
          <w:rFonts w:cs="Tahoma"/>
          <w:bCs/>
          <w:iCs/>
          <w:szCs w:val="22"/>
        </w:rPr>
        <w:t>uáles y cuántos de los clausurados volvieron a abrir y la resolución, al 19 de agosto de 2024.</w:t>
      </w:r>
    </w:p>
    <w:p w14:paraId="1B253975" w14:textId="77777777" w:rsidR="00125D09" w:rsidRPr="001B3076" w:rsidRDefault="00125D09" w:rsidP="001B3076">
      <w:pPr>
        <w:pStyle w:val="Prrafodelista"/>
        <w:tabs>
          <w:tab w:val="left" w:pos="4962"/>
        </w:tabs>
        <w:rPr>
          <w:rFonts w:cs="Tahoma"/>
          <w:bCs/>
          <w:iCs/>
          <w:szCs w:val="22"/>
        </w:rPr>
      </w:pPr>
    </w:p>
    <w:p w14:paraId="6774E6DA" w14:textId="0E602823" w:rsidR="003B77A8" w:rsidRPr="001B3076" w:rsidRDefault="00664420" w:rsidP="001B3076">
      <w:pPr>
        <w:tabs>
          <w:tab w:val="left" w:pos="4962"/>
        </w:tabs>
        <w:contextualSpacing/>
        <w:rPr>
          <w:szCs w:val="22"/>
        </w:rPr>
      </w:pPr>
      <w:r w:rsidRPr="001B3076">
        <w:rPr>
          <w:rFonts w:eastAsiaTheme="minorHAnsi" w:cs="Tahoma"/>
          <w:bCs/>
          <w:iCs/>
          <w:szCs w:val="22"/>
          <w:lang w:eastAsia="en-US"/>
        </w:rPr>
        <w:t>En respuesta,</w:t>
      </w:r>
      <w:r w:rsidR="000820ED" w:rsidRPr="001B3076">
        <w:rPr>
          <w:rFonts w:eastAsiaTheme="minorHAnsi" w:cs="Tahoma"/>
          <w:bCs/>
          <w:iCs/>
          <w:szCs w:val="22"/>
          <w:lang w:eastAsia="en-US"/>
        </w:rPr>
        <w:t xml:space="preserve"> conforme a las constancias que obran en</w:t>
      </w:r>
      <w:r w:rsidR="00837517" w:rsidRPr="001B3076">
        <w:rPr>
          <w:rFonts w:eastAsiaTheme="minorHAnsi" w:cs="Tahoma"/>
          <w:bCs/>
          <w:iCs/>
          <w:szCs w:val="22"/>
          <w:lang w:eastAsia="en-US"/>
        </w:rPr>
        <w:t xml:space="preserve"> el</w:t>
      </w:r>
      <w:r w:rsidR="000820ED" w:rsidRPr="001B3076">
        <w:rPr>
          <w:rFonts w:eastAsiaTheme="minorHAnsi" w:cs="Tahoma"/>
          <w:bCs/>
          <w:iCs/>
          <w:szCs w:val="22"/>
          <w:lang w:eastAsia="en-US"/>
        </w:rPr>
        <w:t xml:space="preserve"> SAIMEX,</w:t>
      </w:r>
      <w:r w:rsidRPr="001B3076">
        <w:rPr>
          <w:rFonts w:eastAsiaTheme="minorHAnsi" w:cs="Tahoma"/>
          <w:bCs/>
          <w:iCs/>
          <w:szCs w:val="22"/>
          <w:lang w:eastAsia="en-US"/>
        </w:rPr>
        <w:t xml:space="preserve"> </w:t>
      </w:r>
      <w:r w:rsidR="00670197" w:rsidRPr="001B3076">
        <w:rPr>
          <w:rFonts w:eastAsiaTheme="minorHAnsi" w:cs="Tahoma"/>
          <w:bCs/>
          <w:iCs/>
          <w:szCs w:val="22"/>
          <w:lang w:eastAsia="en-US"/>
        </w:rPr>
        <w:t xml:space="preserve">el titular de la Unidad de Transparencia del </w:t>
      </w:r>
      <w:r w:rsidR="005D5A50" w:rsidRPr="001B3076">
        <w:rPr>
          <w:rFonts w:eastAsiaTheme="minorHAnsi" w:cs="Tahoma"/>
          <w:b/>
          <w:iCs/>
          <w:szCs w:val="22"/>
          <w:lang w:eastAsia="en-US"/>
        </w:rPr>
        <w:t>SUJETO OBLIGADO</w:t>
      </w:r>
      <w:r w:rsidRPr="001B3076">
        <w:rPr>
          <w:rFonts w:eastAsiaTheme="minorHAnsi" w:cs="Tahoma"/>
          <w:bCs/>
          <w:iCs/>
          <w:szCs w:val="22"/>
          <w:lang w:eastAsia="en-US"/>
        </w:rPr>
        <w:t xml:space="preserve"> </w:t>
      </w:r>
      <w:r w:rsidR="00670197" w:rsidRPr="001B3076">
        <w:rPr>
          <w:rFonts w:eastAsiaTheme="minorHAnsi" w:cs="Tahoma"/>
          <w:bCs/>
          <w:iCs/>
          <w:szCs w:val="22"/>
          <w:lang w:eastAsia="en-US"/>
        </w:rPr>
        <w:t>remitió las respuestas proporcionadas por</w:t>
      </w:r>
      <w:r w:rsidR="003B77A8" w:rsidRPr="001B3076">
        <w:rPr>
          <w:rFonts w:eastAsiaTheme="minorHAnsi" w:cs="Tahoma"/>
          <w:bCs/>
          <w:iCs/>
          <w:szCs w:val="22"/>
          <w:lang w:eastAsia="en-US"/>
        </w:rPr>
        <w:t xml:space="preserve"> </w:t>
      </w:r>
      <w:r w:rsidR="00D13A56" w:rsidRPr="001B3076">
        <w:rPr>
          <w:szCs w:val="22"/>
        </w:rPr>
        <w:t>l</w:t>
      </w:r>
      <w:r w:rsidR="003B77A8" w:rsidRPr="001B3076">
        <w:rPr>
          <w:szCs w:val="22"/>
        </w:rPr>
        <w:t xml:space="preserve">a </w:t>
      </w:r>
      <w:r w:rsidR="00900DC0" w:rsidRPr="001B3076">
        <w:rPr>
          <w:szCs w:val="22"/>
        </w:rPr>
        <w:t>Dirección General de Movilidad Zona I y II, quiénes manifestaron que la información peticionada estaba reservada; así como por medio de la</w:t>
      </w:r>
      <w:r w:rsidR="00F605F3" w:rsidRPr="001B3076">
        <w:rPr>
          <w:szCs w:val="22"/>
        </w:rPr>
        <w:t>s</w:t>
      </w:r>
      <w:r w:rsidR="00900DC0" w:rsidRPr="001B3076">
        <w:rPr>
          <w:szCs w:val="22"/>
        </w:rPr>
        <w:t xml:space="preserve"> Direcci</w:t>
      </w:r>
      <w:r w:rsidR="00F605F3" w:rsidRPr="001B3076">
        <w:rPr>
          <w:szCs w:val="22"/>
        </w:rPr>
        <w:t>ones</w:t>
      </w:r>
      <w:r w:rsidR="00900DC0" w:rsidRPr="001B3076">
        <w:rPr>
          <w:szCs w:val="22"/>
        </w:rPr>
        <w:t xml:space="preserve"> General</w:t>
      </w:r>
      <w:r w:rsidR="00F605F3" w:rsidRPr="001B3076">
        <w:rPr>
          <w:szCs w:val="22"/>
        </w:rPr>
        <w:t>es</w:t>
      </w:r>
      <w:r w:rsidR="00900DC0" w:rsidRPr="001B3076">
        <w:rPr>
          <w:szCs w:val="22"/>
        </w:rPr>
        <w:t xml:space="preserve"> de Movilidad Zona</w:t>
      </w:r>
      <w:r w:rsidR="00F605F3" w:rsidRPr="001B3076">
        <w:rPr>
          <w:szCs w:val="22"/>
        </w:rPr>
        <w:t>s</w:t>
      </w:r>
      <w:r w:rsidR="00900DC0" w:rsidRPr="001B3076">
        <w:rPr>
          <w:szCs w:val="22"/>
        </w:rPr>
        <w:t xml:space="preserve"> </w:t>
      </w:r>
      <w:r w:rsidR="00F605F3" w:rsidRPr="001B3076">
        <w:rPr>
          <w:szCs w:val="22"/>
        </w:rPr>
        <w:t xml:space="preserve">III y </w:t>
      </w:r>
      <w:r w:rsidR="00900DC0" w:rsidRPr="001B3076">
        <w:rPr>
          <w:szCs w:val="22"/>
        </w:rPr>
        <w:t>IV, Registro Estatal de Transporte Público, Coordinación Jurídica, de Igualdad de Género y Erradicación de la Violencia</w:t>
      </w:r>
      <w:r w:rsidR="003B77A8" w:rsidRPr="001B3076">
        <w:rPr>
          <w:szCs w:val="22"/>
        </w:rPr>
        <w:t xml:space="preserve">, </w:t>
      </w:r>
      <w:r w:rsidR="00900DC0" w:rsidRPr="001B3076">
        <w:rPr>
          <w:szCs w:val="22"/>
        </w:rPr>
        <w:t>y la Subsecretaría de Movilidad</w:t>
      </w:r>
      <w:r w:rsidR="009C644C" w:rsidRPr="001B3076">
        <w:rPr>
          <w:szCs w:val="22"/>
        </w:rPr>
        <w:t xml:space="preserve">, </w:t>
      </w:r>
      <w:r w:rsidR="003B77A8" w:rsidRPr="001B3076">
        <w:rPr>
          <w:szCs w:val="22"/>
        </w:rPr>
        <w:t xml:space="preserve">las cuáles fueron coincidentes en </w:t>
      </w:r>
      <w:r w:rsidR="00211229" w:rsidRPr="001B3076">
        <w:rPr>
          <w:szCs w:val="22"/>
        </w:rPr>
        <w:t xml:space="preserve">términos generales en </w:t>
      </w:r>
      <w:r w:rsidR="003B77A8" w:rsidRPr="001B3076">
        <w:rPr>
          <w:szCs w:val="22"/>
        </w:rPr>
        <w:t xml:space="preserve">referir que </w:t>
      </w:r>
      <w:r w:rsidR="00C32E8B" w:rsidRPr="001B3076">
        <w:rPr>
          <w:szCs w:val="22"/>
        </w:rPr>
        <w:t>no se cuenta con la información requerida.</w:t>
      </w:r>
    </w:p>
    <w:p w14:paraId="64611316" w14:textId="77777777" w:rsidR="003B77A8" w:rsidRPr="001B3076" w:rsidRDefault="003B77A8" w:rsidP="001B3076">
      <w:pPr>
        <w:tabs>
          <w:tab w:val="left" w:pos="4962"/>
        </w:tabs>
        <w:contextualSpacing/>
        <w:rPr>
          <w:szCs w:val="22"/>
        </w:rPr>
      </w:pPr>
    </w:p>
    <w:p w14:paraId="570E4E2F" w14:textId="5BF45966" w:rsidR="00BC67B0" w:rsidRPr="001B3076" w:rsidRDefault="00CF7586" w:rsidP="001B3076">
      <w:pPr>
        <w:tabs>
          <w:tab w:val="left" w:pos="4962"/>
        </w:tabs>
        <w:contextualSpacing/>
        <w:rPr>
          <w:rFonts w:eastAsiaTheme="minorHAnsi" w:cs="Tahoma"/>
          <w:bCs/>
          <w:iCs/>
          <w:szCs w:val="22"/>
          <w:lang w:eastAsia="en-US"/>
        </w:rPr>
      </w:pPr>
      <w:r w:rsidRPr="001B3076">
        <w:rPr>
          <w:rFonts w:eastAsiaTheme="minorHAnsi" w:cs="Tahoma"/>
          <w:bCs/>
          <w:iCs/>
          <w:szCs w:val="22"/>
          <w:lang w:eastAsia="en-US"/>
        </w:rPr>
        <w:t xml:space="preserve">Ahora bien, en la interposición del presente recurso </w:t>
      </w:r>
      <w:r w:rsidRPr="001B3076">
        <w:rPr>
          <w:rFonts w:eastAsiaTheme="minorHAnsi" w:cs="Tahoma"/>
          <w:b/>
          <w:iCs/>
          <w:szCs w:val="22"/>
          <w:lang w:eastAsia="en-US"/>
        </w:rPr>
        <w:t>LA PARTE RECURRENTE</w:t>
      </w:r>
      <w:r w:rsidR="00664420" w:rsidRPr="001B3076">
        <w:rPr>
          <w:rFonts w:eastAsiaTheme="minorHAnsi" w:cs="Tahoma"/>
          <w:bCs/>
          <w:iCs/>
          <w:szCs w:val="22"/>
          <w:lang w:eastAsia="en-US"/>
        </w:rPr>
        <w:t xml:space="preserve"> se inconformó </w:t>
      </w:r>
      <w:r w:rsidR="00C32E8B" w:rsidRPr="001B3076">
        <w:rPr>
          <w:rFonts w:eastAsiaTheme="minorHAnsi" w:cs="Tahoma"/>
          <w:bCs/>
          <w:iCs/>
          <w:szCs w:val="22"/>
          <w:lang w:eastAsia="en-US"/>
        </w:rPr>
        <w:t xml:space="preserve">precisamente por la negativa de la información. </w:t>
      </w:r>
    </w:p>
    <w:p w14:paraId="23859DE5" w14:textId="77777777" w:rsidR="00D1261A" w:rsidRPr="001B3076" w:rsidRDefault="00D1261A" w:rsidP="001B3076">
      <w:pPr>
        <w:tabs>
          <w:tab w:val="left" w:pos="4962"/>
        </w:tabs>
        <w:contextualSpacing/>
        <w:rPr>
          <w:rFonts w:eastAsiaTheme="minorHAnsi" w:cs="Tahoma"/>
          <w:bCs/>
          <w:iCs/>
          <w:szCs w:val="22"/>
          <w:lang w:eastAsia="en-US"/>
        </w:rPr>
      </w:pPr>
    </w:p>
    <w:p w14:paraId="78DD5F22" w14:textId="16461F7B" w:rsidR="0009347C" w:rsidRPr="001B3076" w:rsidRDefault="00BC67B0" w:rsidP="001B3076">
      <w:pPr>
        <w:tabs>
          <w:tab w:val="left" w:pos="4962"/>
        </w:tabs>
        <w:rPr>
          <w:lang w:val="es-ES"/>
        </w:rPr>
      </w:pPr>
      <w:r w:rsidRPr="001B3076">
        <w:rPr>
          <w:lang w:val="es-ES"/>
        </w:rPr>
        <w:t xml:space="preserve">Abierta la etapa de instrucción, </w:t>
      </w:r>
      <w:r w:rsidRPr="001B3076">
        <w:rPr>
          <w:b/>
          <w:lang w:val="es-ES"/>
        </w:rPr>
        <w:t>EL SUJETO OBLIGADO</w:t>
      </w:r>
      <w:r w:rsidRPr="001B3076">
        <w:rPr>
          <w:lang w:val="es-ES"/>
        </w:rPr>
        <w:t xml:space="preserve"> rindió su Informe Justificado, </w:t>
      </w:r>
      <w:r w:rsidR="00227FB3" w:rsidRPr="001B3076">
        <w:rPr>
          <w:lang w:val="es-ES"/>
        </w:rPr>
        <w:t xml:space="preserve">en el que </w:t>
      </w:r>
      <w:r w:rsidR="00900DC0" w:rsidRPr="001B3076">
        <w:rPr>
          <w:lang w:val="es-ES"/>
        </w:rPr>
        <w:t xml:space="preserve">los servidores públicos ratificaron sus respuestas primigenias. </w:t>
      </w:r>
    </w:p>
    <w:p w14:paraId="2C520154" w14:textId="77777777" w:rsidR="00C82CA9" w:rsidRPr="001B3076" w:rsidRDefault="00C82CA9" w:rsidP="001B3076">
      <w:pPr>
        <w:tabs>
          <w:tab w:val="left" w:pos="4962"/>
        </w:tabs>
      </w:pPr>
    </w:p>
    <w:p w14:paraId="1435A67C" w14:textId="7BF35FFA" w:rsidR="001C1AE4" w:rsidRPr="001B3076" w:rsidRDefault="001C1AE4" w:rsidP="001B3076">
      <w:pPr>
        <w:rPr>
          <w:rFonts w:eastAsia="Palatino Linotype" w:cs="Palatino Linotype"/>
          <w:szCs w:val="22"/>
        </w:rPr>
      </w:pPr>
      <w:r w:rsidRPr="001B3076">
        <w:rPr>
          <w:rFonts w:eastAsia="Palatino Linotype" w:cs="Palatino Linotype"/>
          <w:szCs w:val="22"/>
        </w:rPr>
        <w:t xml:space="preserve">Bajo las premisas anteriores, se concluye que la controversia a dilucidar en el presente medio de impugnación será </w:t>
      </w:r>
      <w:r w:rsidR="00EE1B1C" w:rsidRPr="001B3076">
        <w:rPr>
          <w:rFonts w:eastAsia="Palatino Linotype" w:cs="Palatino Linotype"/>
          <w:b/>
        </w:rPr>
        <w:t xml:space="preserve">verificar si la </w:t>
      </w:r>
      <w:r w:rsidR="002B3577" w:rsidRPr="001B3076">
        <w:rPr>
          <w:rFonts w:eastAsia="Palatino Linotype" w:cs="Palatino Linotype"/>
          <w:b/>
        </w:rPr>
        <w:t xml:space="preserve">información proporcionada en </w:t>
      </w:r>
      <w:r w:rsidR="00EE1B1C" w:rsidRPr="001B3076">
        <w:rPr>
          <w:rFonts w:eastAsia="Palatino Linotype" w:cs="Palatino Linotype"/>
          <w:b/>
        </w:rPr>
        <w:t xml:space="preserve">respuesta e informe justificado por </w:t>
      </w:r>
      <w:r w:rsidR="002B3577" w:rsidRPr="001B3076">
        <w:rPr>
          <w:rFonts w:eastAsia="Palatino Linotype" w:cs="Palatino Linotype"/>
          <w:b/>
        </w:rPr>
        <w:t xml:space="preserve">EL SUJETO OBLIGADO </w:t>
      </w:r>
      <w:r w:rsidR="00EE1B1C" w:rsidRPr="001B3076">
        <w:rPr>
          <w:rFonts w:eastAsia="Palatino Linotype" w:cs="Palatino Linotype"/>
          <w:b/>
        </w:rPr>
        <w:t xml:space="preserve">es adecuada y suficiente para satisfacer el derecho de acceso a la información pública </w:t>
      </w:r>
      <w:r w:rsidR="00EE1B1C" w:rsidRPr="001B3076">
        <w:rPr>
          <w:rFonts w:eastAsia="Palatino Linotype" w:cs="Palatino Linotype"/>
        </w:rPr>
        <w:t xml:space="preserve">de </w:t>
      </w:r>
      <w:r w:rsidR="002B3577" w:rsidRPr="001B3076">
        <w:rPr>
          <w:rFonts w:eastAsia="Palatino Linotype" w:cs="Palatino Linotype"/>
          <w:b/>
        </w:rPr>
        <w:t>LA PARTE RECURRENTE</w:t>
      </w:r>
      <w:r w:rsidR="00255111" w:rsidRPr="001B3076">
        <w:rPr>
          <w:rFonts w:eastAsia="Palatino Linotype" w:cs="Palatino Linotype"/>
          <w:b/>
        </w:rPr>
        <w:t>.</w:t>
      </w:r>
    </w:p>
    <w:p w14:paraId="2B9C19AB" w14:textId="77777777" w:rsidR="00EE1B1C" w:rsidRPr="001B3076" w:rsidRDefault="00EE1B1C" w:rsidP="001B3076">
      <w:pPr>
        <w:rPr>
          <w:rFonts w:eastAsia="Palatino Linotype" w:cs="Palatino Linotype"/>
          <w:szCs w:val="22"/>
        </w:rPr>
      </w:pPr>
    </w:p>
    <w:p w14:paraId="55073879" w14:textId="77777777" w:rsidR="004F0690" w:rsidRPr="001B3076" w:rsidRDefault="004F0690" w:rsidP="001B3076">
      <w:pPr>
        <w:pStyle w:val="Ttulo3"/>
        <w:rPr>
          <w:rFonts w:eastAsia="Palatino Linotype"/>
          <w:lang w:eastAsia="es-MX"/>
        </w:rPr>
      </w:pPr>
      <w:bookmarkStart w:id="26" w:name="_Toc174021582"/>
      <w:bookmarkStart w:id="27" w:name="_Toc179389836"/>
      <w:r w:rsidRPr="001B3076">
        <w:rPr>
          <w:rFonts w:eastAsia="Palatino Linotype"/>
        </w:rPr>
        <w:t>c) Estudio de la controversia</w:t>
      </w:r>
      <w:bookmarkEnd w:id="26"/>
      <w:bookmarkEnd w:id="27"/>
    </w:p>
    <w:p w14:paraId="14BC0C5A" w14:textId="56D8CBE0" w:rsidR="0099459E" w:rsidRPr="001B3076" w:rsidRDefault="0099459E" w:rsidP="001B3076">
      <w:pPr>
        <w:pStyle w:val="Prrafodelista"/>
        <w:tabs>
          <w:tab w:val="left" w:pos="4962"/>
        </w:tabs>
        <w:ind w:left="0"/>
        <w:rPr>
          <w:rFonts w:cs="Tahoma"/>
          <w:bCs/>
          <w:iCs/>
          <w:szCs w:val="22"/>
        </w:rPr>
      </w:pPr>
      <w:bookmarkStart w:id="28" w:name="_Toc165304079"/>
      <w:bookmarkStart w:id="29" w:name="_Toc170837737"/>
      <w:r w:rsidRPr="001B3076">
        <w:rPr>
          <w:rFonts w:eastAsia="Palatino Linotype" w:cs="Palatino Linotype"/>
          <w:szCs w:val="22"/>
        </w:rPr>
        <w:t xml:space="preserve">Es por ello que, </w:t>
      </w:r>
      <w:r w:rsidRPr="001B3076">
        <w:rPr>
          <w:rFonts w:eastAsia="Palatino Linotype" w:cs="Palatino Linotype"/>
        </w:rPr>
        <w:t xml:space="preserve">previo a entrar al estudio de fondo, es de puntualizar que del análisis de la solicitud de información pública de mérito, se advierte que </w:t>
      </w:r>
      <w:r w:rsidRPr="001B3076">
        <w:rPr>
          <w:rFonts w:eastAsia="Palatino Linotype" w:cs="Palatino Linotype"/>
          <w:b/>
        </w:rPr>
        <w:t xml:space="preserve">LA PERSONA RECURRENTE </w:t>
      </w:r>
      <w:r w:rsidRPr="001B3076">
        <w:rPr>
          <w:rFonts w:eastAsia="Palatino Linotype" w:cs="Palatino Linotype"/>
        </w:rPr>
        <w:t xml:space="preserve">no </w:t>
      </w:r>
      <w:r w:rsidRPr="001B3076">
        <w:rPr>
          <w:rFonts w:eastAsia="Palatino Linotype" w:cs="Palatino Linotype"/>
        </w:rPr>
        <w:lastRenderedPageBreak/>
        <w:t>especificó con claridad el tipo de documento que requería, limitándose a referir que solicitaba; no obstante, aun cuando los particulares no identifican de forma precisa el documento requerido, bastará con que se remita cualquiera que refleje la información solicitada, por lo que de igual manera se determina que desea conocer</w:t>
      </w:r>
      <w:r w:rsidR="00E71EF9" w:rsidRPr="001B3076">
        <w:rPr>
          <w:rFonts w:eastAsia="Palatino Linotype" w:cs="Palatino Linotype"/>
        </w:rPr>
        <w:t xml:space="preserve"> </w:t>
      </w:r>
      <w:r w:rsidR="00E71EF9" w:rsidRPr="001B3076">
        <w:rPr>
          <w:rFonts w:cs="Tahoma"/>
          <w:bCs/>
          <w:iCs/>
          <w:szCs w:val="22"/>
        </w:rPr>
        <w:t xml:space="preserve">de los depósitos de guarda y custodia conocidos como corralones, que fueron clausurados. </w:t>
      </w:r>
      <w:r w:rsidRPr="001B3076">
        <w:rPr>
          <w:rFonts w:eastAsia="Palatino Linotype" w:cs="Palatino Linotype"/>
        </w:rPr>
        <w:t xml:space="preserve">Al respecto, cobra relevancia el criterio emitido por el Órgano Garante Nacional con número </w:t>
      </w:r>
      <w:r w:rsidRPr="001B3076">
        <w:rPr>
          <w:rFonts w:eastAsia="Palatino Linotype" w:cs="Palatino Linotype"/>
          <w:b/>
        </w:rPr>
        <w:t xml:space="preserve">16/17 </w:t>
      </w:r>
      <w:r w:rsidRPr="001B3076">
        <w:rPr>
          <w:rFonts w:eastAsia="Palatino Linotype" w:cs="Palatino Linotype"/>
        </w:rPr>
        <w:t>cuyo rubro y texto disponen a la literalidad lo siguiente:</w:t>
      </w:r>
    </w:p>
    <w:p w14:paraId="1F2E7BB1" w14:textId="77777777" w:rsidR="00900DC0" w:rsidRPr="001B3076" w:rsidRDefault="00900DC0" w:rsidP="001B3076">
      <w:pPr>
        <w:spacing w:before="240"/>
        <w:rPr>
          <w:rFonts w:ascii="Times New Roman" w:hAnsi="Times New Roman"/>
        </w:rPr>
      </w:pPr>
    </w:p>
    <w:p w14:paraId="0D3299A9" w14:textId="77777777" w:rsidR="0099459E" w:rsidRPr="001B3076" w:rsidRDefault="0099459E" w:rsidP="001B3076">
      <w:pPr>
        <w:ind w:left="851" w:right="851"/>
        <w:jc w:val="center"/>
        <w:rPr>
          <w:rFonts w:eastAsia="Palatino Linotype" w:cs="Palatino Linotype"/>
          <w:b/>
          <w:i/>
        </w:rPr>
      </w:pPr>
      <w:r w:rsidRPr="001B3076">
        <w:rPr>
          <w:rFonts w:eastAsia="Palatino Linotype" w:cs="Palatino Linotype"/>
          <w:b/>
          <w:i/>
        </w:rPr>
        <w:t>“EXPRESIÓN DOCUMENTAL.</w:t>
      </w:r>
    </w:p>
    <w:p w14:paraId="693DAE60" w14:textId="77777777" w:rsidR="0099459E" w:rsidRPr="001B3076" w:rsidRDefault="0099459E" w:rsidP="001B3076">
      <w:pPr>
        <w:ind w:left="851" w:right="851"/>
        <w:rPr>
          <w:rFonts w:eastAsia="Palatino Linotype" w:cs="Palatino Linotype"/>
          <w:i/>
          <w:szCs w:val="22"/>
        </w:rPr>
      </w:pPr>
      <w:r w:rsidRPr="001B3076">
        <w:rPr>
          <w:rFonts w:eastAsia="Palatino Linotype" w:cs="Palatino Linotype"/>
          <w:i/>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E578BBD" w14:textId="77777777" w:rsidR="0099459E" w:rsidRPr="001B3076" w:rsidRDefault="0099459E" w:rsidP="001B3076">
      <w:pPr>
        <w:rPr>
          <w:rFonts w:eastAsia="Palatino Linotype" w:cs="Palatino Linotype"/>
          <w:sz w:val="24"/>
          <w:szCs w:val="24"/>
        </w:rPr>
      </w:pPr>
    </w:p>
    <w:p w14:paraId="43227571" w14:textId="5E9F57B5" w:rsidR="00C5073C" w:rsidRPr="001B3076" w:rsidRDefault="00F23C4F" w:rsidP="001B3076">
      <w:pPr>
        <w:ind w:right="-93"/>
        <w:rPr>
          <w:rFonts w:eastAsia="Palatino Linotype" w:cs="Palatino Linotype"/>
          <w:lang w:val="es-ES"/>
        </w:rPr>
      </w:pPr>
      <w:r w:rsidRPr="001B3076">
        <w:rPr>
          <w:rFonts w:eastAsia="Palatino Linotype"/>
        </w:rPr>
        <w:t xml:space="preserve">Expuesto lo anterior, </w:t>
      </w:r>
      <w:r w:rsidR="00C5073C" w:rsidRPr="001B3076">
        <w:rPr>
          <w:rFonts w:eastAsia="Palatino Linotype" w:cs="Palatino Linotype"/>
          <w:lang w:val="es-ES"/>
        </w:rPr>
        <w:t>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C0049BE" w14:textId="77777777" w:rsidR="00C5073C" w:rsidRPr="001B3076" w:rsidRDefault="00C5073C" w:rsidP="001B3076">
      <w:pPr>
        <w:ind w:right="-93"/>
        <w:rPr>
          <w:rFonts w:eastAsia="Palatino Linotype" w:cs="Palatino Linotype"/>
          <w:lang w:val="es-ES"/>
        </w:rPr>
      </w:pPr>
    </w:p>
    <w:p w14:paraId="5219C1C2" w14:textId="77777777" w:rsidR="00C5073C" w:rsidRPr="001B3076" w:rsidRDefault="00C5073C" w:rsidP="001B3076">
      <w:pPr>
        <w:numPr>
          <w:ilvl w:val="0"/>
          <w:numId w:val="9"/>
        </w:numPr>
        <w:ind w:right="-93"/>
        <w:rPr>
          <w:rFonts w:eastAsia="Palatino Linotype" w:cs="Palatino Linotype"/>
          <w:lang w:val="es-ES"/>
        </w:rPr>
      </w:pPr>
      <w:r w:rsidRPr="001B3076">
        <w:rPr>
          <w:rFonts w:eastAsia="Palatino Linotype" w:cs="Palatino Linotype"/>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12B111C" w14:textId="77777777" w:rsidR="00C5073C" w:rsidRPr="001B3076" w:rsidRDefault="00C5073C" w:rsidP="001B3076">
      <w:pPr>
        <w:ind w:left="720" w:right="-93"/>
        <w:rPr>
          <w:rFonts w:eastAsia="Palatino Linotype" w:cs="Palatino Linotype"/>
          <w:lang w:val="es-ES"/>
        </w:rPr>
      </w:pPr>
    </w:p>
    <w:p w14:paraId="2C3C2CA6" w14:textId="77777777" w:rsidR="00C5073C" w:rsidRPr="001B3076" w:rsidRDefault="00C5073C" w:rsidP="001B3076">
      <w:pPr>
        <w:numPr>
          <w:ilvl w:val="0"/>
          <w:numId w:val="9"/>
        </w:numPr>
        <w:ind w:right="-93"/>
        <w:rPr>
          <w:rFonts w:eastAsia="Palatino Linotype" w:cs="Palatino Linotype"/>
          <w:lang w:val="es-ES"/>
        </w:rPr>
      </w:pPr>
      <w:r w:rsidRPr="001B3076">
        <w:rPr>
          <w:rFonts w:eastAsia="Palatino Linotype" w:cs="Palatino Linotype"/>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1B89AF1A" w14:textId="77777777" w:rsidR="00C5073C" w:rsidRPr="001B3076" w:rsidRDefault="00C5073C" w:rsidP="001B3076">
      <w:pPr>
        <w:pStyle w:val="Prrafodelista"/>
        <w:rPr>
          <w:rFonts w:eastAsia="Palatino Linotype" w:cs="Palatino Linotype"/>
          <w:lang w:val="es-ES"/>
        </w:rPr>
      </w:pPr>
    </w:p>
    <w:p w14:paraId="75A72E6C" w14:textId="6345E5A2" w:rsidR="00F57997" w:rsidRPr="001B3076" w:rsidRDefault="00C5073C" w:rsidP="001B3076">
      <w:r w:rsidRPr="001B3076">
        <w:rPr>
          <w:rFonts w:eastAsia="Palatino Linotype" w:cs="Palatino Linotype"/>
        </w:rPr>
        <w:t>Así las cosas, no obsta mencionar que de las constancias que obran en el expediente en el que se actúa, se advierte que, en observancia de lo previsto en los artículos 53</w:t>
      </w:r>
      <w:r w:rsidRPr="001B3076">
        <w:rPr>
          <w:rFonts w:eastAsia="Palatino Linotype" w:cs="Palatino Linotype"/>
          <w:vertAlign w:val="superscript"/>
        </w:rPr>
        <w:footnoteReference w:id="1"/>
      </w:r>
      <w:r w:rsidRPr="001B3076">
        <w:rPr>
          <w:rFonts w:eastAsia="Palatino Linotype" w:cs="Palatino Linotype"/>
        </w:rPr>
        <w:t xml:space="preserve"> fracciones II y IV y  162</w:t>
      </w:r>
      <w:r w:rsidRPr="001B3076">
        <w:rPr>
          <w:rFonts w:eastAsia="Palatino Linotype" w:cs="Palatino Linotype"/>
          <w:vertAlign w:val="superscript"/>
        </w:rPr>
        <w:footnoteReference w:id="2"/>
      </w:r>
      <w:r w:rsidRPr="001B3076">
        <w:rPr>
          <w:rFonts w:eastAsia="Palatino Linotype" w:cs="Palatino Linotype"/>
        </w:rPr>
        <w:t xml:space="preserve"> de la Ley de la Materia, la Unidad de Transparencia turnó la solicitud a</w:t>
      </w:r>
      <w:r w:rsidR="004F20B4" w:rsidRPr="001B3076">
        <w:rPr>
          <w:rFonts w:eastAsia="Palatino Linotype" w:cs="Palatino Linotype"/>
        </w:rPr>
        <w:t xml:space="preserve"> las</w:t>
      </w:r>
      <w:r w:rsidRPr="001B3076">
        <w:rPr>
          <w:rFonts w:eastAsia="Palatino Linotype" w:cs="Palatino Linotype"/>
        </w:rPr>
        <w:t xml:space="preserve"> área</w:t>
      </w:r>
      <w:r w:rsidR="004F20B4" w:rsidRPr="001B3076">
        <w:rPr>
          <w:rFonts w:eastAsia="Palatino Linotype" w:cs="Palatino Linotype"/>
        </w:rPr>
        <w:t>s</w:t>
      </w:r>
      <w:r w:rsidRPr="001B3076">
        <w:rPr>
          <w:rFonts w:eastAsia="Palatino Linotype" w:cs="Palatino Linotype"/>
        </w:rPr>
        <w:t xml:space="preserve"> que, de acuerdo con sus facultades, competencias y funciones, pudieran contar con la información materia de misma, esto es</w:t>
      </w:r>
      <w:r w:rsidR="0082245B" w:rsidRPr="001B3076">
        <w:rPr>
          <w:rFonts w:eastAsia="Palatino Linotype" w:cs="Palatino Linotype"/>
        </w:rPr>
        <w:t>,</w:t>
      </w:r>
      <w:r w:rsidRPr="001B3076">
        <w:rPr>
          <w:rFonts w:eastAsia="Palatino Linotype" w:cs="Palatino Linotype"/>
        </w:rPr>
        <w:t xml:space="preserve"> a la </w:t>
      </w:r>
      <w:r w:rsidR="00F57997" w:rsidRPr="001B3076">
        <w:t xml:space="preserve">Subsecretaría de Movilidad y a sus unidades administrativas adscritas, </w:t>
      </w:r>
      <w:r w:rsidR="004F20B4" w:rsidRPr="001B3076">
        <w:t>así como</w:t>
      </w:r>
      <w:r w:rsidR="00F57997" w:rsidRPr="001B3076">
        <w:t xml:space="preserve"> a la </w:t>
      </w:r>
      <w:r w:rsidR="0082245B" w:rsidRPr="001B3076">
        <w:rPr>
          <w:rFonts w:eastAsia="Palatino Linotype" w:cs="Palatino Linotype"/>
          <w:b/>
        </w:rPr>
        <w:t xml:space="preserve">Coordinación de Igualdad de Género y Erradicación de la Violencia, </w:t>
      </w:r>
      <w:r w:rsidRPr="001B3076">
        <w:rPr>
          <w:rFonts w:eastAsia="Palatino Linotype" w:cs="Palatino Linotype"/>
        </w:rPr>
        <w:t xml:space="preserve">que de conformidad con el </w:t>
      </w:r>
      <w:r w:rsidR="0082245B" w:rsidRPr="001B3076">
        <w:rPr>
          <w:rFonts w:eastAsia="Palatino Linotype" w:cs="Palatino Linotype"/>
        </w:rPr>
        <w:t xml:space="preserve">Reglamento Interior </w:t>
      </w:r>
      <w:r w:rsidR="00F57997" w:rsidRPr="001B3076">
        <w:t>entre sus atribuciones se encuentran las siguientes:</w:t>
      </w:r>
    </w:p>
    <w:p w14:paraId="412DFF34" w14:textId="29ACDD92" w:rsidR="00C5073C" w:rsidRPr="001B3076" w:rsidRDefault="00C5073C" w:rsidP="001B3076">
      <w:pPr>
        <w:rPr>
          <w:rFonts w:eastAsia="Palatino Linotype" w:cs="Palatino Linotype"/>
        </w:rPr>
      </w:pPr>
    </w:p>
    <w:p w14:paraId="5956869A" w14:textId="61E59E4A" w:rsidR="00F57997" w:rsidRPr="001B3076" w:rsidRDefault="00C5073C" w:rsidP="001B3076">
      <w:pPr>
        <w:ind w:left="567" w:right="567"/>
        <w:rPr>
          <w:i/>
          <w:szCs w:val="22"/>
        </w:rPr>
      </w:pPr>
      <w:r w:rsidRPr="001B3076">
        <w:rPr>
          <w:rFonts w:eastAsia="Palatino Linotype" w:cs="Palatino Linotype"/>
          <w:b/>
          <w:i/>
          <w:szCs w:val="22"/>
        </w:rPr>
        <w:t xml:space="preserve"> </w:t>
      </w:r>
      <w:r w:rsidRPr="001B3076">
        <w:rPr>
          <w:rFonts w:eastAsia="Palatino Linotype" w:cs="Palatino Linotype"/>
          <w:i/>
          <w:szCs w:val="22"/>
        </w:rPr>
        <w:t>“</w:t>
      </w:r>
      <w:r w:rsidR="00F57997" w:rsidRPr="001B3076">
        <w:rPr>
          <w:i/>
          <w:szCs w:val="22"/>
        </w:rPr>
        <w:t>Artículo 10. Corresponden a la Subsecretaría las siguientes atribuciones:</w:t>
      </w:r>
    </w:p>
    <w:p w14:paraId="677697BC" w14:textId="77777777" w:rsidR="00F57997" w:rsidRPr="001B3076" w:rsidRDefault="00F57997" w:rsidP="001B3076">
      <w:pPr>
        <w:ind w:left="567" w:right="567"/>
        <w:rPr>
          <w:i/>
          <w:szCs w:val="22"/>
        </w:rPr>
      </w:pPr>
      <w:r w:rsidRPr="001B3076">
        <w:rPr>
          <w:i/>
          <w:szCs w:val="22"/>
        </w:rPr>
        <w:t>I a VI…</w:t>
      </w:r>
    </w:p>
    <w:p w14:paraId="4BA806AD" w14:textId="77777777" w:rsidR="00F57997" w:rsidRPr="001B3076" w:rsidRDefault="00F57997" w:rsidP="001B3076">
      <w:pPr>
        <w:ind w:left="567" w:right="567"/>
        <w:rPr>
          <w:i/>
          <w:szCs w:val="22"/>
        </w:rPr>
      </w:pPr>
      <w:r w:rsidRPr="001B3076">
        <w:rPr>
          <w:i/>
          <w:szCs w:val="22"/>
        </w:rPr>
        <w:t xml:space="preserve">VII. Informar a la Coordinación de Asuntos Jurídicos, Igualdad de Género y Erradicación de la Violencia sobre la presunta comisión de delitos de los que tenga conocimiento en el </w:t>
      </w:r>
      <w:r w:rsidRPr="001B3076">
        <w:rPr>
          <w:i/>
          <w:szCs w:val="22"/>
        </w:rPr>
        <w:lastRenderedPageBreak/>
        <w:t>ejercicio de sus funciones, aportando los elementos que sustenten la denuncia o querella correspondiente;</w:t>
      </w:r>
    </w:p>
    <w:p w14:paraId="0814EC99" w14:textId="77777777" w:rsidR="00F57997" w:rsidRPr="001B3076" w:rsidRDefault="00F57997" w:rsidP="001B3076">
      <w:pPr>
        <w:ind w:left="567" w:right="567"/>
        <w:rPr>
          <w:i/>
          <w:szCs w:val="22"/>
        </w:rPr>
      </w:pPr>
      <w:r w:rsidRPr="001B3076">
        <w:rPr>
          <w:i/>
          <w:szCs w:val="22"/>
        </w:rPr>
        <w:t>VIII a X…</w:t>
      </w:r>
    </w:p>
    <w:p w14:paraId="25C56394" w14:textId="77777777" w:rsidR="00F57997" w:rsidRPr="001B3076" w:rsidRDefault="00F57997" w:rsidP="001B3076">
      <w:pPr>
        <w:ind w:left="567" w:right="567"/>
        <w:rPr>
          <w:i/>
          <w:szCs w:val="22"/>
        </w:rPr>
      </w:pPr>
      <w:r w:rsidRPr="001B3076">
        <w:rPr>
          <w:i/>
          <w:szCs w:val="22"/>
        </w:rPr>
        <w:t>XI. Recibir, remitir y dar seguimiento en conjunto con las direcciones generales de movilidad que corresponda a las quejas, sugerencias y denuncias que sean presentadas en contra de concesionarios, permisionarios o autorizados, con motivo de la prestación de la movilidad en el Estado;</w:t>
      </w:r>
    </w:p>
    <w:p w14:paraId="2089EEDF" w14:textId="77777777" w:rsidR="00F57997" w:rsidRPr="001B3076" w:rsidRDefault="00F57997" w:rsidP="001B3076">
      <w:pPr>
        <w:ind w:left="567" w:right="567"/>
        <w:rPr>
          <w:i/>
          <w:szCs w:val="22"/>
        </w:rPr>
      </w:pPr>
      <w:r w:rsidRPr="001B3076">
        <w:rPr>
          <w:i/>
          <w:szCs w:val="22"/>
        </w:rPr>
        <w:t>XII a  XVIII…</w:t>
      </w:r>
    </w:p>
    <w:p w14:paraId="669DAD23" w14:textId="77777777" w:rsidR="00F57997" w:rsidRPr="001B3076" w:rsidRDefault="00F57997" w:rsidP="001B3076">
      <w:pPr>
        <w:ind w:left="567" w:right="567"/>
        <w:rPr>
          <w:i/>
          <w:szCs w:val="22"/>
        </w:rPr>
      </w:pPr>
    </w:p>
    <w:p w14:paraId="4A080689" w14:textId="77777777" w:rsidR="00F57997" w:rsidRPr="001B3076" w:rsidRDefault="00F57997" w:rsidP="001B3076">
      <w:pPr>
        <w:ind w:left="567" w:right="567"/>
        <w:rPr>
          <w:i/>
          <w:szCs w:val="22"/>
        </w:rPr>
      </w:pPr>
      <w:r w:rsidRPr="001B3076">
        <w:rPr>
          <w:i/>
          <w:szCs w:val="22"/>
        </w:rPr>
        <w:t xml:space="preserve">Artículo 11. La Subsecretaría tendrá bajo su adscripción las siguientes unidades administrativas: </w:t>
      </w:r>
    </w:p>
    <w:p w14:paraId="30EF820C" w14:textId="77777777" w:rsidR="00F57997" w:rsidRPr="001B3076" w:rsidRDefault="00F57997" w:rsidP="001B3076">
      <w:pPr>
        <w:ind w:left="567" w:right="567"/>
        <w:rPr>
          <w:i/>
          <w:szCs w:val="22"/>
        </w:rPr>
      </w:pPr>
    </w:p>
    <w:p w14:paraId="6F5CDCC0" w14:textId="77777777" w:rsidR="00F57997" w:rsidRPr="001B3076" w:rsidRDefault="00F57997" w:rsidP="001B3076">
      <w:pPr>
        <w:ind w:left="567" w:right="567"/>
        <w:rPr>
          <w:i/>
          <w:szCs w:val="22"/>
        </w:rPr>
      </w:pPr>
      <w:r w:rsidRPr="001B3076">
        <w:rPr>
          <w:i/>
          <w:szCs w:val="22"/>
        </w:rPr>
        <w:t xml:space="preserve">I. Dirección General de Movilidad Zona I; </w:t>
      </w:r>
    </w:p>
    <w:p w14:paraId="588D9C26" w14:textId="77777777" w:rsidR="00F57997" w:rsidRPr="001B3076" w:rsidRDefault="00F57997" w:rsidP="001B3076">
      <w:pPr>
        <w:ind w:left="567" w:right="567"/>
        <w:rPr>
          <w:i/>
          <w:szCs w:val="22"/>
        </w:rPr>
      </w:pPr>
      <w:r w:rsidRPr="001B3076">
        <w:rPr>
          <w:i/>
          <w:szCs w:val="22"/>
        </w:rPr>
        <w:t xml:space="preserve">II. Dirección General de Movilidad Zona II; </w:t>
      </w:r>
    </w:p>
    <w:p w14:paraId="4BAC34F2" w14:textId="77777777" w:rsidR="00F57997" w:rsidRPr="001B3076" w:rsidRDefault="00F57997" w:rsidP="001B3076">
      <w:pPr>
        <w:ind w:left="567" w:right="567"/>
        <w:rPr>
          <w:i/>
          <w:szCs w:val="22"/>
        </w:rPr>
      </w:pPr>
      <w:r w:rsidRPr="001B3076">
        <w:rPr>
          <w:i/>
          <w:szCs w:val="22"/>
        </w:rPr>
        <w:t xml:space="preserve">III. Dirección General de Movilidad Zona III;  </w:t>
      </w:r>
    </w:p>
    <w:p w14:paraId="28780B45" w14:textId="77777777" w:rsidR="00F57997" w:rsidRPr="001B3076" w:rsidRDefault="00F57997" w:rsidP="001B3076">
      <w:pPr>
        <w:ind w:left="567" w:right="567"/>
        <w:rPr>
          <w:i/>
          <w:szCs w:val="22"/>
        </w:rPr>
      </w:pPr>
      <w:r w:rsidRPr="001B3076">
        <w:rPr>
          <w:i/>
          <w:szCs w:val="22"/>
        </w:rPr>
        <w:t xml:space="preserve">IV. Dirección General de Movilidad Zona IV, y </w:t>
      </w:r>
    </w:p>
    <w:p w14:paraId="20552A5D" w14:textId="77777777" w:rsidR="00F57997" w:rsidRPr="001B3076" w:rsidRDefault="00F57997" w:rsidP="001B3076">
      <w:pPr>
        <w:ind w:left="567" w:right="567"/>
        <w:rPr>
          <w:i/>
          <w:szCs w:val="22"/>
        </w:rPr>
      </w:pPr>
      <w:r w:rsidRPr="001B3076">
        <w:rPr>
          <w:i/>
          <w:szCs w:val="22"/>
        </w:rPr>
        <w:t>V. Dirección del Registro Estatal de Transporte Público.</w:t>
      </w:r>
    </w:p>
    <w:p w14:paraId="7E46F285" w14:textId="77777777" w:rsidR="00F57997" w:rsidRPr="001B3076" w:rsidRDefault="00F57997" w:rsidP="001B3076">
      <w:pPr>
        <w:ind w:left="567" w:right="567"/>
        <w:rPr>
          <w:i/>
          <w:szCs w:val="22"/>
        </w:rPr>
      </w:pPr>
    </w:p>
    <w:p w14:paraId="02D2D620" w14:textId="77777777" w:rsidR="00F57997" w:rsidRPr="001B3076" w:rsidRDefault="00F57997" w:rsidP="001B3076">
      <w:pPr>
        <w:ind w:left="567" w:right="567"/>
        <w:rPr>
          <w:i/>
          <w:szCs w:val="22"/>
        </w:rPr>
      </w:pPr>
      <w:r w:rsidRPr="001B3076">
        <w:rPr>
          <w:i/>
          <w:szCs w:val="22"/>
        </w:rPr>
        <w:t>Artículo 12.  Corresponden a las Direcciones Generales de Movilidad Zona I, II, III y IV, en su respectiva circunscripción territorial, las atribuciones siguientes:</w:t>
      </w:r>
    </w:p>
    <w:p w14:paraId="6D6D3C33" w14:textId="77777777" w:rsidR="00F57997" w:rsidRPr="001B3076" w:rsidRDefault="00F57997" w:rsidP="001B3076">
      <w:pPr>
        <w:ind w:left="567" w:right="567"/>
        <w:rPr>
          <w:i/>
          <w:szCs w:val="22"/>
        </w:rPr>
      </w:pPr>
      <w:r w:rsidRPr="001B3076">
        <w:rPr>
          <w:i/>
          <w:szCs w:val="22"/>
        </w:rPr>
        <w:t>I a XXX…</w:t>
      </w:r>
    </w:p>
    <w:p w14:paraId="12AB61AD" w14:textId="77777777" w:rsidR="00F57997" w:rsidRPr="001B3076" w:rsidRDefault="00F57997" w:rsidP="001B3076">
      <w:pPr>
        <w:ind w:left="567" w:right="567"/>
        <w:rPr>
          <w:i/>
          <w:szCs w:val="22"/>
        </w:rPr>
      </w:pPr>
      <w:r w:rsidRPr="001B3076">
        <w:rPr>
          <w:i/>
          <w:szCs w:val="22"/>
        </w:rPr>
        <w:t>XXXI. Coordinar la realización de los trámites para el otorgamiento de permisos para la prestación de servicios de transporte de pasajeros, de carga y de arrastre y traslado; de servicios conexos; y para la instalación y explotación de anuncios publicitarios en los diversos tipos de vehículos y servicios auxiliares y conexos;</w:t>
      </w:r>
    </w:p>
    <w:p w14:paraId="53CED8AD" w14:textId="77777777" w:rsidR="00F57997" w:rsidRPr="001B3076" w:rsidRDefault="00F57997" w:rsidP="001B3076">
      <w:pPr>
        <w:ind w:left="567" w:right="567"/>
        <w:rPr>
          <w:i/>
          <w:szCs w:val="22"/>
        </w:rPr>
      </w:pPr>
      <w:r w:rsidRPr="001B3076">
        <w:rPr>
          <w:i/>
          <w:szCs w:val="22"/>
        </w:rPr>
        <w:lastRenderedPageBreak/>
        <w:t>XXXII. Supervisar que los concesionarios del servicio público de arrastre, salvamento, guarda, custodia y depósito de vehículos, así como los permisionarios del servicio público de arrastre y traslado cumplan con las obligaciones jurídicas que le sean aplicables;</w:t>
      </w:r>
    </w:p>
    <w:p w14:paraId="415B52D8" w14:textId="77777777" w:rsidR="00F57997" w:rsidRPr="001B3076" w:rsidRDefault="00F57997" w:rsidP="001B3076">
      <w:pPr>
        <w:ind w:left="567" w:right="567"/>
        <w:rPr>
          <w:i/>
          <w:szCs w:val="22"/>
        </w:rPr>
      </w:pPr>
      <w:r w:rsidRPr="001B3076">
        <w:rPr>
          <w:i/>
          <w:szCs w:val="22"/>
        </w:rPr>
        <w:t>XXXVIII…</w:t>
      </w:r>
    </w:p>
    <w:p w14:paraId="6785F4D2" w14:textId="77777777" w:rsidR="00F57997" w:rsidRPr="001B3076" w:rsidRDefault="00F57997" w:rsidP="001B3076">
      <w:pPr>
        <w:ind w:left="567" w:right="567"/>
        <w:rPr>
          <w:i/>
          <w:szCs w:val="22"/>
        </w:rPr>
      </w:pPr>
    </w:p>
    <w:p w14:paraId="190DF9A7" w14:textId="77777777" w:rsidR="00F57997" w:rsidRPr="001B3076" w:rsidRDefault="00F57997" w:rsidP="001B3076">
      <w:pPr>
        <w:ind w:left="567" w:right="567"/>
        <w:rPr>
          <w:i/>
          <w:szCs w:val="22"/>
        </w:rPr>
      </w:pPr>
      <w:r w:rsidRPr="001B3076">
        <w:rPr>
          <w:i/>
          <w:szCs w:val="22"/>
        </w:rPr>
        <w:t>Artículo 16. Corresponden a la Coordinación Jurídica, de Igualdad de Género y Erradicación de la Violencia las atribuciones siguientes:</w:t>
      </w:r>
    </w:p>
    <w:p w14:paraId="482F3B95" w14:textId="77777777" w:rsidR="00F57997" w:rsidRPr="001B3076" w:rsidRDefault="00F57997" w:rsidP="001B3076">
      <w:pPr>
        <w:ind w:left="567" w:right="567"/>
        <w:rPr>
          <w:i/>
          <w:szCs w:val="22"/>
        </w:rPr>
      </w:pPr>
    </w:p>
    <w:p w14:paraId="570D9AA5" w14:textId="77777777" w:rsidR="00F57997" w:rsidRPr="001B3076" w:rsidRDefault="00F57997" w:rsidP="001B3076">
      <w:pPr>
        <w:ind w:left="567" w:right="567"/>
        <w:rPr>
          <w:i/>
          <w:szCs w:val="22"/>
        </w:rPr>
      </w:pPr>
      <w:r w:rsidRPr="001B3076">
        <w:rPr>
          <w:i/>
          <w:szCs w:val="22"/>
        </w:rPr>
        <w:t>I. Representar a la Secretaría, a la persona titular de la misma, y a sus unidades administrativas en todas las controversias que sean de carácter jurídico, ante los órganos estatales, federales o municipales con facultades formales o materialmente jurisdiccionales, en los procedimientos y procesos administrativos, y en los demás asuntos en los que la Secretaría tenga interés jurídico, así como realizar el oportuno seguimiento a los procedimientos y procesos hasta su conclusión;</w:t>
      </w:r>
    </w:p>
    <w:p w14:paraId="3FF28BC6" w14:textId="77777777" w:rsidR="00F57997" w:rsidRPr="001B3076" w:rsidRDefault="00F57997" w:rsidP="001B3076">
      <w:pPr>
        <w:ind w:left="567" w:right="567"/>
        <w:rPr>
          <w:i/>
          <w:szCs w:val="22"/>
        </w:rPr>
      </w:pPr>
      <w:r w:rsidRPr="001B3076">
        <w:rPr>
          <w:i/>
          <w:szCs w:val="22"/>
        </w:rPr>
        <w:t>II a III…</w:t>
      </w:r>
    </w:p>
    <w:p w14:paraId="56E910FB" w14:textId="77777777" w:rsidR="00F57997" w:rsidRPr="001B3076" w:rsidRDefault="00F57997" w:rsidP="001B3076">
      <w:pPr>
        <w:ind w:left="567" w:right="567"/>
        <w:rPr>
          <w:i/>
          <w:szCs w:val="22"/>
        </w:rPr>
      </w:pPr>
      <w:r w:rsidRPr="001B3076">
        <w:rPr>
          <w:i/>
          <w:szCs w:val="22"/>
        </w:rPr>
        <w:t>IV. Asesorar jurídicamente a las unidades administrativas de la Secretaría, en la sustanciación de los procedimientos administrativos correspondientes en ejercicio de sus atribuciones, y fungir como órgano de consulta para emitir opinión jurídica en todos aquellos asuntos competencia de la Secretaría, así como de sus órganos desconcentrados y organismos auxiliares sectorizados a la misma, emitiendo las opiniones correspondientes, mismas que no tendrán carácter vinculatorio sino de orientación;</w:t>
      </w:r>
    </w:p>
    <w:p w14:paraId="463D5628" w14:textId="77777777" w:rsidR="00F57997" w:rsidRPr="001B3076" w:rsidRDefault="00F57997" w:rsidP="001B3076">
      <w:pPr>
        <w:ind w:left="567" w:right="567"/>
        <w:rPr>
          <w:i/>
          <w:szCs w:val="22"/>
        </w:rPr>
      </w:pPr>
      <w:r w:rsidRPr="001B3076">
        <w:rPr>
          <w:i/>
          <w:szCs w:val="22"/>
        </w:rPr>
        <w:t xml:space="preserve">V. Presentar las denuncias, querellas o desistimientos correspondientes ante el Ministerio Público por probables hechos ilícitos contra quien o quienes resulten responsables por la comisión de actos u omisiones en agravio de la Secretaría; así como otorgar perdones legales que procedan, con la autorización de la persona titular de la Secretaría y, en su caso, de la Consejería Jurídica; </w:t>
      </w:r>
    </w:p>
    <w:p w14:paraId="3A1F28BA" w14:textId="77777777" w:rsidR="00F57997" w:rsidRPr="001B3076" w:rsidRDefault="00F57997" w:rsidP="001B3076">
      <w:pPr>
        <w:ind w:left="567" w:right="567"/>
        <w:rPr>
          <w:i/>
          <w:szCs w:val="22"/>
        </w:rPr>
      </w:pPr>
      <w:r w:rsidRPr="001B3076">
        <w:rPr>
          <w:i/>
          <w:szCs w:val="22"/>
        </w:rPr>
        <w:lastRenderedPageBreak/>
        <w:t>VI. Supervisar y verificar que las unidades administrativas de la Secretaría observen la normativa en la que se sustenta su organización y funcionamiento de manera conjunta con el Órgano Interno de Control y la Coordinación Administrativa;</w:t>
      </w:r>
    </w:p>
    <w:p w14:paraId="586A4C7F" w14:textId="77777777" w:rsidR="00F57997" w:rsidRPr="001B3076" w:rsidRDefault="00F57997" w:rsidP="001B3076">
      <w:pPr>
        <w:ind w:left="567" w:right="567"/>
        <w:rPr>
          <w:i/>
          <w:szCs w:val="22"/>
        </w:rPr>
      </w:pPr>
      <w:r w:rsidRPr="001B3076">
        <w:rPr>
          <w:i/>
          <w:szCs w:val="22"/>
        </w:rPr>
        <w:t>VII a VIII…</w:t>
      </w:r>
    </w:p>
    <w:p w14:paraId="010597AE" w14:textId="77777777" w:rsidR="00F57997" w:rsidRPr="001B3076" w:rsidRDefault="00F57997" w:rsidP="001B3076">
      <w:pPr>
        <w:ind w:left="567" w:right="567"/>
        <w:rPr>
          <w:i/>
          <w:szCs w:val="22"/>
        </w:rPr>
      </w:pPr>
      <w:r w:rsidRPr="001B3076">
        <w:rPr>
          <w:i/>
          <w:szCs w:val="22"/>
        </w:rPr>
        <w:t>IX. Definir los procedimientos y mecanismos para hacer del conocimiento a las autoridades competentes, y en su caso, denunciar, las infracciones o delitos que se cometan en las materias de su competencia;</w:t>
      </w:r>
    </w:p>
    <w:p w14:paraId="4E98A522" w14:textId="77777777" w:rsidR="00F57997" w:rsidRPr="001B3076" w:rsidRDefault="00F57997" w:rsidP="001B3076">
      <w:pPr>
        <w:ind w:left="567" w:right="567"/>
        <w:rPr>
          <w:i/>
          <w:szCs w:val="22"/>
        </w:rPr>
      </w:pPr>
      <w:r w:rsidRPr="001B3076">
        <w:rPr>
          <w:i/>
          <w:szCs w:val="22"/>
        </w:rPr>
        <w:t>X a XXIV…</w:t>
      </w:r>
    </w:p>
    <w:p w14:paraId="5103E8A9" w14:textId="77777777" w:rsidR="00F57997" w:rsidRPr="001B3076" w:rsidRDefault="00F57997" w:rsidP="001B3076">
      <w:pPr>
        <w:ind w:left="567" w:right="567"/>
        <w:rPr>
          <w:i/>
          <w:szCs w:val="22"/>
        </w:rPr>
      </w:pPr>
      <w:r w:rsidRPr="001B3076">
        <w:rPr>
          <w:i/>
          <w:szCs w:val="22"/>
        </w:rPr>
        <w:t xml:space="preserve">XXV. Intervenir en los juicios de amparo, procesos y procedimientos administrativos, civiles, laborales, penales, agrarios y cualquier otro asunto de carácter legal, cuando la persona titular de la Secretaría y en su caso, de las unidades administrativas adscritas a ésta, tengan el carácter de autoridad responsable o demandada, quejoso o tercero perjudicado, elaborar los informes previo y justificado, supervisar todas las etapas del proceso, así como tramitar todos los actos procesales inherentes hasta su conclusión; </w:t>
      </w:r>
    </w:p>
    <w:p w14:paraId="1E018280" w14:textId="77777777" w:rsidR="00F57997" w:rsidRPr="001B3076" w:rsidRDefault="00F57997" w:rsidP="001B3076">
      <w:pPr>
        <w:ind w:left="567" w:right="567"/>
        <w:rPr>
          <w:i/>
          <w:szCs w:val="22"/>
        </w:rPr>
      </w:pPr>
      <w:r w:rsidRPr="001B3076">
        <w:rPr>
          <w:i/>
          <w:szCs w:val="22"/>
        </w:rPr>
        <w:t>XXVI a XXVIII…</w:t>
      </w:r>
    </w:p>
    <w:p w14:paraId="40C09AD8" w14:textId="3AF81994" w:rsidR="00C5073C" w:rsidRPr="001B3076" w:rsidRDefault="00C5073C" w:rsidP="001B3076">
      <w:pPr>
        <w:spacing w:line="240" w:lineRule="auto"/>
        <w:ind w:left="567" w:right="539"/>
        <w:rPr>
          <w:rFonts w:eastAsia="Palatino Linotype" w:cs="Palatino Linotype"/>
          <w:i/>
          <w:szCs w:val="22"/>
        </w:rPr>
      </w:pPr>
    </w:p>
    <w:p w14:paraId="3049CFFE" w14:textId="50153981" w:rsidR="00F57997" w:rsidRPr="001B3076" w:rsidRDefault="00F57997" w:rsidP="001B3076">
      <w:pPr>
        <w:rPr>
          <w:rFonts w:cs="Tahoma"/>
          <w:bCs/>
          <w:iCs/>
        </w:rPr>
      </w:pPr>
      <w:r w:rsidRPr="001B3076">
        <w:rPr>
          <w:rFonts w:cs="Tahoma"/>
          <w:bCs/>
          <w:iCs/>
        </w:rPr>
        <w:t>De lo anterior, se advierte que la Secretaría de Movilidad, a través de sus diversas unidades administrativas</w:t>
      </w:r>
      <w:r w:rsidR="00BD1A55" w:rsidRPr="001B3076">
        <w:rPr>
          <w:rFonts w:cs="Tahoma"/>
          <w:bCs/>
          <w:iCs/>
        </w:rPr>
        <w:t>,</w:t>
      </w:r>
      <w:r w:rsidRPr="001B3076">
        <w:rPr>
          <w:rFonts w:cs="Tahoma"/>
          <w:bCs/>
          <w:iCs/>
        </w:rPr>
        <w:t xml:space="preserve"> como lo </w:t>
      </w:r>
      <w:r w:rsidR="00BD1A55" w:rsidRPr="001B3076">
        <w:rPr>
          <w:rFonts w:cs="Tahoma"/>
          <w:bCs/>
          <w:iCs/>
        </w:rPr>
        <w:t>son</w:t>
      </w:r>
      <w:r w:rsidRPr="001B3076">
        <w:rPr>
          <w:rFonts w:cs="Tahoma"/>
          <w:bCs/>
          <w:iCs/>
        </w:rPr>
        <w:t xml:space="preserve"> la Subsecretaría de Movilidad y sus Direcciones Generales de Movilidad Zona I, II, II y IV</w:t>
      </w:r>
      <w:r w:rsidR="00BD1A55" w:rsidRPr="001B3076">
        <w:rPr>
          <w:rFonts w:cs="Tahoma"/>
          <w:bCs/>
          <w:iCs/>
        </w:rPr>
        <w:t>;</w:t>
      </w:r>
      <w:r w:rsidRPr="001B3076">
        <w:rPr>
          <w:rFonts w:cs="Tahoma"/>
          <w:bCs/>
          <w:iCs/>
        </w:rPr>
        <w:t xml:space="preserve"> y la Coordinación Jurídica, de Igualdad de Género y Erradicación de la Violencia, son las</w:t>
      </w:r>
      <w:r w:rsidRPr="001B3076">
        <w:t xml:space="preserve"> unidades administrativas competentes para conocer, poseer, administrar o resguardar, en su caso, la información solicitada.</w:t>
      </w:r>
    </w:p>
    <w:p w14:paraId="201FC61B" w14:textId="77777777" w:rsidR="00C5073C" w:rsidRPr="001B3076" w:rsidRDefault="00C5073C" w:rsidP="001B3076">
      <w:pPr>
        <w:ind w:right="51"/>
        <w:rPr>
          <w:rFonts w:eastAsia="Palatino Linotype" w:cs="Palatino Linotype"/>
        </w:rPr>
      </w:pPr>
    </w:p>
    <w:p w14:paraId="7DFFBE4A" w14:textId="77777777" w:rsidR="00C5073C" w:rsidRPr="001B3076" w:rsidRDefault="00C5073C" w:rsidP="001B3076">
      <w:pPr>
        <w:pBdr>
          <w:top w:val="nil"/>
          <w:left w:val="nil"/>
          <w:bottom w:val="nil"/>
          <w:right w:val="nil"/>
          <w:between w:val="nil"/>
        </w:pBdr>
        <w:spacing w:after="240"/>
        <w:ind w:right="-312"/>
        <w:contextualSpacing/>
        <w:rPr>
          <w:b/>
        </w:rPr>
      </w:pPr>
      <w:r w:rsidRPr="001B3076">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w:t>
      </w:r>
      <w:r w:rsidRPr="001B3076">
        <w:lastRenderedPageBreak/>
        <w:t>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1B3076">
        <w:rPr>
          <w:b/>
        </w:rPr>
        <w:t xml:space="preserve"> </w:t>
      </w:r>
    </w:p>
    <w:p w14:paraId="57341DD5" w14:textId="77777777" w:rsidR="00C5073C" w:rsidRPr="001B3076" w:rsidRDefault="00C5073C" w:rsidP="001B3076">
      <w:pPr>
        <w:pStyle w:val="Puesto"/>
        <w:jc w:val="center"/>
        <w:rPr>
          <w:b/>
        </w:rPr>
      </w:pPr>
      <w:r w:rsidRPr="001B3076">
        <w:t>“</w:t>
      </w:r>
      <w:r w:rsidRPr="001B3076">
        <w:rPr>
          <w:b/>
        </w:rPr>
        <w:t>Ley de Transparencia y Acceso a la Información Pública del Estado de México y Municipios</w:t>
      </w:r>
    </w:p>
    <w:p w14:paraId="05696573" w14:textId="77777777" w:rsidR="00C5073C" w:rsidRPr="001B3076" w:rsidRDefault="00C5073C" w:rsidP="001B3076">
      <w:pPr>
        <w:pStyle w:val="Puesto"/>
      </w:pPr>
      <w:r w:rsidRPr="001B3076">
        <w:rPr>
          <w:b/>
        </w:rPr>
        <w:t>“Artículo 50. Los</w:t>
      </w:r>
      <w:r w:rsidRPr="001B3076">
        <w:t xml:space="preserve"> sujetos obligados contarán con un área responsable para la atención de las solicitudes de información, a la que se le denominará Unidad de Transparencia.</w:t>
      </w:r>
    </w:p>
    <w:p w14:paraId="3765A3ED" w14:textId="77777777" w:rsidR="00C5073C" w:rsidRPr="001B3076" w:rsidRDefault="00C5073C" w:rsidP="001B3076">
      <w:pPr>
        <w:pStyle w:val="Puesto"/>
      </w:pPr>
      <w:r w:rsidRPr="001B3076">
        <w:rPr>
          <w:b/>
        </w:rPr>
        <w:t>Artículo 51.</w:t>
      </w:r>
      <w:r w:rsidRPr="001B3076">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14E88F3" w14:textId="77777777" w:rsidR="00C5073C" w:rsidRPr="001B3076" w:rsidRDefault="00C5073C" w:rsidP="001B3076">
      <w:pPr>
        <w:pStyle w:val="Puesto"/>
      </w:pPr>
      <w:r w:rsidRPr="001B3076">
        <w:t>…</w:t>
      </w:r>
    </w:p>
    <w:p w14:paraId="4CE8A18D" w14:textId="77777777" w:rsidR="00C5073C" w:rsidRPr="001B3076" w:rsidRDefault="00C5073C" w:rsidP="001B3076">
      <w:pPr>
        <w:pStyle w:val="Puesto"/>
      </w:pPr>
      <w:r w:rsidRPr="001B3076">
        <w:rPr>
          <w:b/>
        </w:rPr>
        <w:t>Artículo 53.</w:t>
      </w:r>
      <w:r w:rsidRPr="001B3076">
        <w:t xml:space="preserve"> Las Unidades de Transparencia tendrán las siguientes funciones:</w:t>
      </w:r>
    </w:p>
    <w:p w14:paraId="138A7ECF" w14:textId="77777777" w:rsidR="00C5073C" w:rsidRPr="001B3076" w:rsidRDefault="00C5073C" w:rsidP="001B3076">
      <w:pPr>
        <w:pStyle w:val="Puesto"/>
      </w:pPr>
      <w:r w:rsidRPr="001B3076">
        <w:t>…</w:t>
      </w:r>
    </w:p>
    <w:p w14:paraId="432F83D8" w14:textId="77777777" w:rsidR="00C5073C" w:rsidRPr="001B3076" w:rsidRDefault="00C5073C" w:rsidP="001B3076">
      <w:pPr>
        <w:pStyle w:val="Puesto"/>
      </w:pPr>
      <w:r w:rsidRPr="001B3076">
        <w:rPr>
          <w:b/>
        </w:rPr>
        <w:t>II.</w:t>
      </w:r>
      <w:r w:rsidRPr="001B3076">
        <w:t xml:space="preserve"> Recibir, tramitar y dar respuesta a las solicitudes de acceso a la información; </w:t>
      </w:r>
    </w:p>
    <w:p w14:paraId="10E1DB99" w14:textId="77777777" w:rsidR="00C5073C" w:rsidRPr="001B3076" w:rsidRDefault="00C5073C" w:rsidP="001B3076">
      <w:pPr>
        <w:pStyle w:val="Puesto"/>
      </w:pPr>
      <w:r w:rsidRPr="001B3076">
        <w:t>…</w:t>
      </w:r>
    </w:p>
    <w:p w14:paraId="43B24629" w14:textId="77777777" w:rsidR="00C5073C" w:rsidRPr="001B3076" w:rsidRDefault="00C5073C" w:rsidP="001B3076">
      <w:pPr>
        <w:pStyle w:val="Puesto"/>
      </w:pPr>
      <w:r w:rsidRPr="001B3076">
        <w:rPr>
          <w:b/>
        </w:rPr>
        <w:t>IV.</w:t>
      </w:r>
      <w:r w:rsidRPr="001B3076">
        <w:t xml:space="preserve"> Realizar, con efectividad, los trámites internos necesarios para la atención de las solicitudes de acceso a la información; </w:t>
      </w:r>
    </w:p>
    <w:p w14:paraId="293A7AF9" w14:textId="77777777" w:rsidR="00C5073C" w:rsidRPr="001B3076" w:rsidRDefault="00C5073C" w:rsidP="001B3076">
      <w:pPr>
        <w:pStyle w:val="Puesto"/>
      </w:pPr>
      <w:r w:rsidRPr="001B3076">
        <w:rPr>
          <w:b/>
        </w:rPr>
        <w:t>V.</w:t>
      </w:r>
      <w:r w:rsidRPr="001B3076">
        <w:t xml:space="preserve"> Entregar, en su caso, a los particulares la información solicitada; </w:t>
      </w:r>
    </w:p>
    <w:p w14:paraId="438C6166" w14:textId="77777777" w:rsidR="00C5073C" w:rsidRPr="001B3076" w:rsidRDefault="00C5073C" w:rsidP="001B3076">
      <w:pPr>
        <w:pStyle w:val="Puesto"/>
      </w:pPr>
      <w:r w:rsidRPr="001B3076">
        <w:rPr>
          <w:b/>
        </w:rPr>
        <w:t>VI.</w:t>
      </w:r>
      <w:r w:rsidRPr="001B3076">
        <w:t xml:space="preserve"> Efectuar las notificaciones a los solicitantes;” (Sic)</w:t>
      </w:r>
    </w:p>
    <w:p w14:paraId="7B814FB5" w14:textId="77777777" w:rsidR="00C5073C" w:rsidRPr="001B3076" w:rsidRDefault="00C5073C" w:rsidP="001B3076">
      <w:pPr>
        <w:tabs>
          <w:tab w:val="left" w:pos="709"/>
        </w:tabs>
        <w:ind w:left="851" w:right="-312"/>
      </w:pPr>
    </w:p>
    <w:p w14:paraId="2ADBC1CD" w14:textId="77777777" w:rsidR="00C5073C" w:rsidRPr="001B3076" w:rsidRDefault="00C5073C" w:rsidP="001B3076">
      <w:pPr>
        <w:ind w:right="-312"/>
      </w:pPr>
      <w:r w:rsidRPr="001B3076">
        <w:t xml:space="preserve">Aunado a lo anterior, se debe señalar que aunque la solicitud de información y la respuesta estén dirigidas y atendidas por un </w:t>
      </w:r>
      <w:r w:rsidRPr="001B3076">
        <w:rPr>
          <w:b/>
        </w:rPr>
        <w:t>SUJETO OBLIGADO</w:t>
      </w:r>
      <w:r w:rsidRPr="001B3076">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w:t>
      </w:r>
      <w:r w:rsidRPr="001B3076">
        <w:lastRenderedPageBreak/>
        <w:t>conformidad con los artículos 3 fracción XXXIX, 58 y 59  de la Ley en la materia, que estipulan lo siguiente:</w:t>
      </w:r>
    </w:p>
    <w:p w14:paraId="4BA69071" w14:textId="77777777" w:rsidR="00C5073C" w:rsidRPr="001B3076" w:rsidRDefault="00C5073C" w:rsidP="001B3076">
      <w:pPr>
        <w:spacing w:line="276" w:lineRule="auto"/>
        <w:ind w:right="-312"/>
      </w:pPr>
    </w:p>
    <w:p w14:paraId="50001704" w14:textId="77777777" w:rsidR="00C5073C" w:rsidRPr="001B3076" w:rsidRDefault="00C5073C" w:rsidP="001B3076">
      <w:pPr>
        <w:pStyle w:val="Puesto"/>
      </w:pPr>
      <w:r w:rsidRPr="001B3076">
        <w:t>“</w:t>
      </w:r>
      <w:r w:rsidRPr="001B3076">
        <w:rPr>
          <w:b/>
        </w:rPr>
        <w:t>Artículo 3.</w:t>
      </w:r>
      <w:r w:rsidRPr="001B3076">
        <w:t xml:space="preserve"> Para los efectos de la presente Ley se entenderá por:</w:t>
      </w:r>
    </w:p>
    <w:p w14:paraId="2E7FD7BC" w14:textId="77777777" w:rsidR="00C5073C" w:rsidRPr="001B3076" w:rsidRDefault="00C5073C" w:rsidP="001B3076">
      <w:pPr>
        <w:pStyle w:val="Puesto"/>
      </w:pPr>
      <w:r w:rsidRPr="001B3076">
        <w:t>…</w:t>
      </w:r>
    </w:p>
    <w:p w14:paraId="7984149F" w14:textId="77777777" w:rsidR="00C5073C" w:rsidRPr="001B3076" w:rsidRDefault="00C5073C" w:rsidP="001B3076">
      <w:pPr>
        <w:pStyle w:val="Puesto"/>
      </w:pPr>
      <w:r w:rsidRPr="001B3076">
        <w:rPr>
          <w:b/>
        </w:rPr>
        <w:t>XXXIX. Servidor público habilitado:</w:t>
      </w:r>
      <w:r w:rsidRPr="001B3076">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B1802FC" w14:textId="77777777" w:rsidR="00C5073C" w:rsidRPr="001B3076" w:rsidRDefault="00C5073C" w:rsidP="001B3076">
      <w:pPr>
        <w:pStyle w:val="Puesto"/>
      </w:pPr>
      <w:r w:rsidRPr="001B3076">
        <w:t>…</w:t>
      </w:r>
    </w:p>
    <w:p w14:paraId="433754B0" w14:textId="77777777" w:rsidR="00C5073C" w:rsidRPr="001B3076" w:rsidRDefault="00C5073C" w:rsidP="001B3076">
      <w:pPr>
        <w:pStyle w:val="Puesto"/>
      </w:pPr>
      <w:r w:rsidRPr="001B3076">
        <w:rPr>
          <w:b/>
        </w:rPr>
        <w:t>Artículo 58.</w:t>
      </w:r>
      <w:r w:rsidRPr="001B3076">
        <w:t xml:space="preserve"> Los servidores públicos habilitados serán designados por el titular del sujeto obligado a propuesta del responsable de la Unidad de Transparencia.</w:t>
      </w:r>
    </w:p>
    <w:p w14:paraId="3CB8C74B" w14:textId="77777777" w:rsidR="00C5073C" w:rsidRPr="001B3076" w:rsidRDefault="00C5073C" w:rsidP="001B3076">
      <w:pPr>
        <w:pStyle w:val="Puesto"/>
      </w:pPr>
      <w:r w:rsidRPr="001B3076">
        <w:rPr>
          <w:b/>
        </w:rPr>
        <w:t>Artículo 59.</w:t>
      </w:r>
      <w:r w:rsidRPr="001B3076">
        <w:t xml:space="preserve"> Los servidores públicos habilitados tendrán las funciones siguientes:</w:t>
      </w:r>
    </w:p>
    <w:p w14:paraId="17C25C8B" w14:textId="77777777" w:rsidR="00C5073C" w:rsidRPr="001B3076" w:rsidRDefault="00C5073C" w:rsidP="001B3076">
      <w:pPr>
        <w:pStyle w:val="Puesto"/>
      </w:pPr>
      <w:r w:rsidRPr="001B3076">
        <w:rPr>
          <w:b/>
        </w:rPr>
        <w:t>I.</w:t>
      </w:r>
      <w:r w:rsidRPr="001B3076">
        <w:t xml:space="preserve"> Localizar la información que le solicite la Unidad de Transparencia;</w:t>
      </w:r>
    </w:p>
    <w:p w14:paraId="1665013D" w14:textId="77777777" w:rsidR="00C5073C" w:rsidRPr="001B3076" w:rsidRDefault="00C5073C" w:rsidP="001B3076">
      <w:pPr>
        <w:pStyle w:val="Puesto"/>
      </w:pPr>
      <w:r w:rsidRPr="001B3076">
        <w:rPr>
          <w:b/>
        </w:rPr>
        <w:t>II.</w:t>
      </w:r>
      <w:r w:rsidRPr="001B3076">
        <w:t xml:space="preserve"> Proporcionar la información que obre en los archivos y que le sea solicitada por la Unidad de Transparencia;</w:t>
      </w:r>
    </w:p>
    <w:p w14:paraId="3BED323D" w14:textId="77777777" w:rsidR="00C5073C" w:rsidRPr="001B3076" w:rsidRDefault="00C5073C" w:rsidP="001B3076">
      <w:pPr>
        <w:pStyle w:val="Puesto"/>
      </w:pPr>
      <w:r w:rsidRPr="001B3076">
        <w:rPr>
          <w:b/>
        </w:rPr>
        <w:t>III.</w:t>
      </w:r>
      <w:r w:rsidRPr="001B3076">
        <w:t xml:space="preserve"> Apoyar a la Unidad de Transparencia en lo que esta le solicite para el cumplimiento de sus funciones;</w:t>
      </w:r>
    </w:p>
    <w:p w14:paraId="15AD2707" w14:textId="77777777" w:rsidR="00C5073C" w:rsidRPr="001B3076" w:rsidRDefault="00C5073C" w:rsidP="001B3076">
      <w:pPr>
        <w:pStyle w:val="Puesto"/>
      </w:pPr>
      <w:r w:rsidRPr="001B3076">
        <w:rPr>
          <w:b/>
        </w:rPr>
        <w:t>IV.</w:t>
      </w:r>
      <w:r w:rsidRPr="001B3076">
        <w:t xml:space="preserve"> Proporcionar a la Unidad de Transparencia, las modificaciones a la información pública de oficio que obre en su poder;</w:t>
      </w:r>
    </w:p>
    <w:p w14:paraId="2EBEFB5B" w14:textId="77777777" w:rsidR="00C5073C" w:rsidRPr="001B3076" w:rsidRDefault="00C5073C" w:rsidP="001B3076">
      <w:pPr>
        <w:pStyle w:val="Puesto"/>
      </w:pPr>
      <w:r w:rsidRPr="001B3076">
        <w:rPr>
          <w:b/>
        </w:rPr>
        <w:t>V.</w:t>
      </w:r>
      <w:r w:rsidRPr="001B3076">
        <w:t xml:space="preserve"> Integrar y presentar al responsable de la Unidad de Transparencia la propuesta de clasificación de información, la cual tendrá los fundamentos y argumentos en que se basa dicha propuesta;</w:t>
      </w:r>
    </w:p>
    <w:p w14:paraId="6FBD944B" w14:textId="77777777" w:rsidR="00C5073C" w:rsidRPr="001B3076" w:rsidRDefault="00C5073C" w:rsidP="001B3076">
      <w:pPr>
        <w:pStyle w:val="Puesto"/>
      </w:pPr>
      <w:r w:rsidRPr="001B3076">
        <w:rPr>
          <w:b/>
        </w:rPr>
        <w:t>VI.</w:t>
      </w:r>
      <w:r w:rsidRPr="001B3076">
        <w:t xml:space="preserve"> Verificar, una vez analizado el contenido de la información, que no se encuentre en los supuestos de información clasificada; y</w:t>
      </w:r>
    </w:p>
    <w:p w14:paraId="56EEF0F7" w14:textId="77777777" w:rsidR="00C5073C" w:rsidRPr="001B3076" w:rsidRDefault="00C5073C" w:rsidP="001B3076">
      <w:pPr>
        <w:pStyle w:val="Puesto"/>
      </w:pPr>
      <w:r w:rsidRPr="001B3076">
        <w:rPr>
          <w:b/>
        </w:rPr>
        <w:t>VII.</w:t>
      </w:r>
      <w:r w:rsidRPr="001B3076">
        <w:t xml:space="preserve"> Dar cuenta a la Unidad de Transparencia del vencimiento de los plazos de reserva.” (Sic)</w:t>
      </w:r>
    </w:p>
    <w:p w14:paraId="279F06FA" w14:textId="77777777" w:rsidR="00C5073C" w:rsidRPr="001B3076" w:rsidRDefault="00C5073C" w:rsidP="001B3076">
      <w:pPr>
        <w:spacing w:before="240" w:line="276" w:lineRule="auto"/>
        <w:ind w:left="567" w:right="-312"/>
        <w:contextualSpacing/>
        <w:rPr>
          <w:i/>
        </w:rPr>
      </w:pPr>
    </w:p>
    <w:p w14:paraId="15FA8CA7" w14:textId="51008FD4" w:rsidR="00167FA5" w:rsidRPr="001B3076" w:rsidRDefault="00167FA5" w:rsidP="001B3076">
      <w:pPr>
        <w:ind w:right="-312"/>
      </w:pPr>
      <w:r w:rsidRPr="001B3076">
        <w:rPr>
          <w:rFonts w:cs="Tahoma"/>
          <w:szCs w:val="22"/>
        </w:rPr>
        <w:t xml:space="preserve">Hasta este punto, debemos señalar que quienes se pronunciaron tienen facultades para poseer la información, </w:t>
      </w:r>
      <w:r w:rsidR="00F57997" w:rsidRPr="001B3076">
        <w:rPr>
          <w:rFonts w:cs="Tahoma"/>
          <w:szCs w:val="22"/>
        </w:rPr>
        <w:t>t</w:t>
      </w:r>
      <w:r w:rsidRPr="001B3076">
        <w:rPr>
          <w:rFonts w:eastAsia="Palatino Linotype"/>
        </w:rPr>
        <w:t xml:space="preserve">eniendo así que </w:t>
      </w:r>
      <w:r w:rsidRPr="001B3076">
        <w:rPr>
          <w:b/>
          <w:bCs/>
        </w:rPr>
        <w:t>EL SUJETO OBLIGADO</w:t>
      </w:r>
      <w:r w:rsidRPr="001B3076">
        <w:t xml:space="preserve"> cumplió con el procedimiento de búsqueda exhaustiva y razonable, pues gestionó la solicitud de información en las diversas unidades en donde pudiera obrar la citada información, </w:t>
      </w:r>
      <w:r w:rsidR="00F57997" w:rsidRPr="001B3076">
        <w:t xml:space="preserve">como lo </w:t>
      </w:r>
      <w:r w:rsidRPr="001B3076">
        <w:t xml:space="preserve">dispone el artículo 162 de la Ley </w:t>
      </w:r>
      <w:r w:rsidRPr="001B3076">
        <w:lastRenderedPageBreak/>
        <w:t>de Transparencia y Acceso a la Información Pública del Estado de México y Municipios, que índica:</w:t>
      </w:r>
    </w:p>
    <w:p w14:paraId="47F293D2" w14:textId="77777777" w:rsidR="00167FA5" w:rsidRPr="001B3076" w:rsidRDefault="00167FA5" w:rsidP="001B3076">
      <w:pPr>
        <w:ind w:right="-312"/>
      </w:pPr>
    </w:p>
    <w:p w14:paraId="401DBF1F" w14:textId="77777777" w:rsidR="00167FA5" w:rsidRPr="001B3076" w:rsidRDefault="00167FA5" w:rsidP="001B3076">
      <w:pPr>
        <w:pStyle w:val="Puesto"/>
      </w:pPr>
      <w:r w:rsidRPr="001B3076">
        <w:t>“</w:t>
      </w:r>
      <w:r w:rsidRPr="001B3076">
        <w:rPr>
          <w:b/>
        </w:rPr>
        <w:t xml:space="preserve">Artículo </w:t>
      </w:r>
      <w:r w:rsidRPr="001B3076">
        <w:rPr>
          <w:rStyle w:val="PuestoCar"/>
          <w:b/>
          <w:i/>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B3076">
        <w:rPr>
          <w:rStyle w:val="PuestoCar"/>
          <w:i/>
        </w:rPr>
        <w:t>.” (Sic</w:t>
      </w:r>
      <w:r w:rsidRPr="001B3076">
        <w:t>)</w:t>
      </w:r>
    </w:p>
    <w:p w14:paraId="796FB176" w14:textId="77777777" w:rsidR="00167FA5" w:rsidRPr="001B3076" w:rsidRDefault="00167FA5" w:rsidP="001B3076">
      <w:pPr>
        <w:ind w:right="-312"/>
        <w:contextualSpacing/>
      </w:pPr>
    </w:p>
    <w:p w14:paraId="0A9033B3" w14:textId="1D9A8BCA" w:rsidR="00B0006C" w:rsidRPr="001B3076" w:rsidRDefault="009A42BF" w:rsidP="001B3076">
      <w:pPr>
        <w:ind w:right="-312"/>
      </w:pPr>
      <w:r w:rsidRPr="001B3076">
        <w:t>Establecido lo anterior, se tiene</w:t>
      </w:r>
      <w:r w:rsidRPr="001B3076">
        <w:rPr>
          <w:szCs w:val="22"/>
        </w:rPr>
        <w:t xml:space="preserve"> que </w:t>
      </w:r>
      <w:r w:rsidR="00B0006C" w:rsidRPr="001B3076">
        <w:t xml:space="preserve">la información peticionada por </w:t>
      </w:r>
      <w:r w:rsidR="00B0006C" w:rsidRPr="001B3076">
        <w:rPr>
          <w:b/>
          <w:bCs/>
        </w:rPr>
        <w:t xml:space="preserve">LA PERSONA RECURRENTE </w:t>
      </w:r>
      <w:r w:rsidR="00B0006C" w:rsidRPr="001B3076">
        <w:t xml:space="preserve">corresponde al ámbito de competencia del </w:t>
      </w:r>
      <w:r w:rsidR="00B0006C" w:rsidRPr="001B3076">
        <w:rPr>
          <w:b/>
          <w:bCs/>
        </w:rPr>
        <w:t>SUJETO OBLIGADO</w:t>
      </w:r>
      <w:r w:rsidR="00F57997" w:rsidRPr="001B3076">
        <w:rPr>
          <w:b/>
          <w:bCs/>
        </w:rPr>
        <w:t xml:space="preserve"> </w:t>
      </w:r>
      <w:r w:rsidR="00F57997" w:rsidRPr="001B3076">
        <w:t xml:space="preserve">y que a la misma las Direcciones </w:t>
      </w:r>
      <w:r w:rsidR="00E42F58" w:rsidRPr="001B3076">
        <w:t>Generales de Movilidad I y II le opusieron una restricción de acceso a la información peticionada, al señalar que la misma se encuentra reservada.</w:t>
      </w:r>
    </w:p>
    <w:p w14:paraId="5F8E4116" w14:textId="0D530865" w:rsidR="00C14B8D" w:rsidRPr="001B3076" w:rsidRDefault="00C14B8D" w:rsidP="001B3076">
      <w:pPr>
        <w:ind w:right="-312"/>
      </w:pPr>
    </w:p>
    <w:p w14:paraId="1DC79AC6" w14:textId="7C51C1F8" w:rsidR="000C7151" w:rsidRPr="001B3076" w:rsidRDefault="00C14B8D" w:rsidP="001B3076">
      <w:pPr>
        <w:ind w:right="-312"/>
      </w:pPr>
      <w:r w:rsidRPr="001B3076">
        <w:t>En este contexto, de las respuestas proporcionadas no se puede tener por colmadas en su totalidad, en razón, de que, si bien es cierto se pronunciaron las áreas competentes y en su caso dos unidades administrativas opusieron una restricción a la información, también lo es que</w:t>
      </w:r>
      <w:r w:rsidR="00BD1A55" w:rsidRPr="001B3076">
        <w:t>,</w:t>
      </w:r>
      <w:r w:rsidRPr="001B3076">
        <w:t xml:space="preserve"> para que resulte procedente</w:t>
      </w:r>
      <w:r w:rsidR="00BD1A55" w:rsidRPr="001B3076">
        <w:t>,</w:t>
      </w:r>
      <w:r w:rsidRPr="001B3076">
        <w:t xml:space="preserve"> debe de cumplir con ciertos requisitos de validez que la ley establece.</w:t>
      </w:r>
      <w:r w:rsidR="00BD1A55" w:rsidRPr="001B3076">
        <w:t xml:space="preserve"> P</w:t>
      </w:r>
      <w:r w:rsidR="000C7151" w:rsidRPr="001B3076">
        <w:t>or ello es necesario traer a contexto lo dispuesto por el Artículo 6, apartado A, numeral I de la Constitución Política de los Estados Unidos Mexicanos que a la letra establece:</w:t>
      </w:r>
    </w:p>
    <w:p w14:paraId="0D8970E1" w14:textId="77777777" w:rsidR="000C7151" w:rsidRPr="001B3076" w:rsidRDefault="000C7151" w:rsidP="001B3076">
      <w:pPr>
        <w:pStyle w:val="Puesto"/>
      </w:pPr>
    </w:p>
    <w:p w14:paraId="6CBC1E22" w14:textId="77777777" w:rsidR="000C7151" w:rsidRPr="001B3076" w:rsidRDefault="000C7151" w:rsidP="001B3076">
      <w:pPr>
        <w:pStyle w:val="Puesto"/>
      </w:pPr>
      <w:r w:rsidRPr="001B3076">
        <w:t>“</w:t>
      </w:r>
      <w:r w:rsidRPr="001B3076">
        <w:rPr>
          <w:b/>
        </w:rPr>
        <w:t>Artículo 6</w:t>
      </w:r>
    </w:p>
    <w:p w14:paraId="07DCF99D" w14:textId="77777777" w:rsidR="000C7151" w:rsidRPr="001B3076" w:rsidRDefault="000C7151" w:rsidP="001B3076">
      <w:pPr>
        <w:pStyle w:val="Puesto"/>
      </w:pPr>
      <w:r w:rsidRPr="001B3076">
        <w:t>…</w:t>
      </w:r>
    </w:p>
    <w:p w14:paraId="4360A7DE" w14:textId="77777777" w:rsidR="000C7151" w:rsidRPr="001B3076" w:rsidRDefault="000C7151" w:rsidP="001B3076">
      <w:pPr>
        <w:pStyle w:val="Puesto"/>
      </w:pPr>
      <w:r w:rsidRPr="001B3076">
        <w:t>Para el ejercicio del derecho de acceso a la información, la Federación, los Estados y el Distrito Federal, en el ámbito de sus respectivas competencias, se regirán por los siguientes principios y bases:</w:t>
      </w:r>
    </w:p>
    <w:p w14:paraId="6E14D373" w14:textId="77777777" w:rsidR="000C7151" w:rsidRPr="001B3076" w:rsidRDefault="000C7151" w:rsidP="001B3076">
      <w:pPr>
        <w:pStyle w:val="Puesto"/>
      </w:pPr>
    </w:p>
    <w:p w14:paraId="3000E0E2" w14:textId="77777777" w:rsidR="000C7151" w:rsidRPr="001B3076" w:rsidRDefault="000C7151" w:rsidP="001B3076">
      <w:pPr>
        <w:pStyle w:val="Puesto"/>
      </w:pPr>
      <w:r w:rsidRPr="001B3076">
        <w:t xml:space="preserve">I. </w:t>
      </w:r>
      <w:r w:rsidRPr="001B3076">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1B3076">
        <w:lastRenderedPageBreak/>
        <w:t>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CC00C8E" w14:textId="77777777" w:rsidR="000C7151" w:rsidRPr="001B3076" w:rsidRDefault="000C7151" w:rsidP="001B3076">
      <w:pPr>
        <w:pStyle w:val="Puesto"/>
        <w:rPr>
          <w:b/>
        </w:rPr>
      </w:pPr>
    </w:p>
    <w:p w14:paraId="5EAE5DE1" w14:textId="77777777" w:rsidR="000C7151" w:rsidRPr="001B3076" w:rsidRDefault="000C7151" w:rsidP="001B3076">
      <w:r w:rsidRPr="001B3076">
        <w:t>En el mismo tenor, se trae a colación lo estipulado en el artículo 5, párrafo trigésimo segundo, fracción I de la Constitución Política del Estado Libre y Soberano de México, que dispone:</w:t>
      </w:r>
    </w:p>
    <w:p w14:paraId="625466B7" w14:textId="77777777" w:rsidR="000C7151" w:rsidRPr="001B3076" w:rsidRDefault="000C7151" w:rsidP="001B3076">
      <w:pPr>
        <w:pStyle w:val="Puesto"/>
      </w:pPr>
    </w:p>
    <w:p w14:paraId="5AF55C7C" w14:textId="77777777" w:rsidR="000C7151" w:rsidRPr="001B3076" w:rsidRDefault="000C7151" w:rsidP="001B3076">
      <w:pPr>
        <w:pStyle w:val="Puesto"/>
      </w:pPr>
      <w:r w:rsidRPr="001B3076">
        <w:t>“Artículo 5.-...</w:t>
      </w:r>
    </w:p>
    <w:p w14:paraId="11E9F15E" w14:textId="77777777" w:rsidR="000C7151" w:rsidRPr="001B3076" w:rsidRDefault="000C7151" w:rsidP="001B3076">
      <w:pPr>
        <w:pStyle w:val="Puesto"/>
      </w:pPr>
      <w:r w:rsidRPr="001B3076">
        <w:t>...</w:t>
      </w:r>
    </w:p>
    <w:p w14:paraId="56DD6156" w14:textId="77777777" w:rsidR="000C7151" w:rsidRPr="001B3076" w:rsidRDefault="000C7151" w:rsidP="001B3076">
      <w:pPr>
        <w:pStyle w:val="Puesto"/>
      </w:pPr>
      <w:r w:rsidRPr="001B3076">
        <w:t>Este derecho se regirá por los siguientes principios y bases siguientes:</w:t>
      </w:r>
    </w:p>
    <w:p w14:paraId="05EC174F" w14:textId="77777777" w:rsidR="000C7151" w:rsidRPr="001B3076" w:rsidRDefault="000C7151" w:rsidP="001B3076">
      <w:pPr>
        <w:pStyle w:val="Puesto"/>
      </w:pPr>
    </w:p>
    <w:p w14:paraId="4D46D6DD" w14:textId="77777777" w:rsidR="000C7151" w:rsidRPr="001B3076" w:rsidRDefault="000C7151" w:rsidP="001B3076">
      <w:pPr>
        <w:pStyle w:val="Puesto"/>
      </w:pPr>
      <w:r w:rsidRPr="001B3076">
        <w:t>I</w:t>
      </w:r>
      <w:r w:rsidRPr="001B3076">
        <w:rPr>
          <w:b/>
        </w:rPr>
        <w:t>. Toda la información en posesión de cualquier autoridad, entidad, órgano y organismos de los Poderes Ejecutivo, Legislativo y Judicial, órganos autónomos</w:t>
      </w:r>
      <w:r w:rsidRPr="001B3076">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ADB9B9" w14:textId="77777777" w:rsidR="000C7151" w:rsidRPr="001B3076" w:rsidRDefault="000C7151" w:rsidP="001B3076">
      <w:pPr>
        <w:pStyle w:val="Puesto"/>
      </w:pPr>
      <w:r w:rsidRPr="001B3076">
        <w:t>...”</w:t>
      </w:r>
    </w:p>
    <w:p w14:paraId="70BAB516" w14:textId="77777777" w:rsidR="000C7151" w:rsidRPr="001B3076" w:rsidRDefault="000C7151" w:rsidP="001B3076">
      <w:pPr>
        <w:rPr>
          <w:i/>
        </w:rPr>
      </w:pPr>
    </w:p>
    <w:p w14:paraId="45C206C0" w14:textId="77777777" w:rsidR="000C7151" w:rsidRPr="001B3076" w:rsidRDefault="000C7151" w:rsidP="001B3076">
      <w:r w:rsidRPr="001B3076">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la Ley de la materia, es decir, el derecho de acceso a la información pública no es absoluto pero su restricción debe estar sujeta a un sistema rígido de excepciones, en el que los Sujetos </w:t>
      </w:r>
      <w:r w:rsidRPr="001B3076">
        <w:lastRenderedPageBreak/>
        <w:t>Obligados deben fundar y motivar las causas de interés público que se ponen en riesgo al liberarse la información.</w:t>
      </w:r>
    </w:p>
    <w:p w14:paraId="3F89D409" w14:textId="77777777" w:rsidR="000C7151" w:rsidRPr="001B3076" w:rsidRDefault="000C7151" w:rsidP="001B3076"/>
    <w:p w14:paraId="25982068" w14:textId="77777777" w:rsidR="000C7151" w:rsidRPr="001B3076" w:rsidRDefault="000C7151" w:rsidP="001B3076">
      <w:r w:rsidRPr="001B3076">
        <w:t xml:space="preserve">Asimismo, el reservar la información implica el reconocimiento por parte del </w:t>
      </w:r>
      <w:r w:rsidRPr="001B3076">
        <w:rPr>
          <w:b/>
        </w:rPr>
        <w:t>SUJETO OBLIGADO</w:t>
      </w:r>
      <w:r w:rsidRPr="001B3076">
        <w:t xml:space="preserve"> de que se encuentra dentro de sus archivos; empero, advierte que existen causas presentes que impiden la publicidad y/o entrega de la información durante cierto periodo de tiempo. </w:t>
      </w:r>
    </w:p>
    <w:p w14:paraId="58200607" w14:textId="77777777" w:rsidR="000C7151" w:rsidRPr="001B3076" w:rsidRDefault="000C7151" w:rsidP="001B3076"/>
    <w:p w14:paraId="5F9428FC" w14:textId="1DD4D73A" w:rsidR="000C7151" w:rsidRPr="001B3076" w:rsidRDefault="000C7151" w:rsidP="001B3076">
      <w:r w:rsidRPr="001B3076">
        <w:t xml:space="preserve">Siendo pertinente aclarar que la información que se clasifica bajo la premisa de reservada no pierde el carácter de pública, sino que se impide su acceso temporalmente de la ciudadanía, es decir que, por un tiempo determinado, se conservará y custodiará la información de manera especial, y una vez transcurrido el plazo de custodia, el documento podrá divulgarse. </w:t>
      </w:r>
    </w:p>
    <w:p w14:paraId="51F541B5" w14:textId="77777777" w:rsidR="000C7151" w:rsidRPr="001B3076" w:rsidRDefault="000C7151" w:rsidP="001B3076"/>
    <w:p w14:paraId="48E6A7C0" w14:textId="77777777" w:rsidR="000C7151" w:rsidRPr="001B3076" w:rsidRDefault="000C7151" w:rsidP="001B3076">
      <w:r w:rsidRPr="001B3076">
        <w:t xml:space="preserve">Por todo lo anterior, la reserva de la información implica una medida de protección a la información, la cual debe entenderse como el proceso mediante el cual </w:t>
      </w:r>
      <w:r w:rsidRPr="001B3076">
        <w:rPr>
          <w:b/>
        </w:rPr>
        <w:t>EL SUJETO OBLIGADO</w:t>
      </w:r>
      <w:r w:rsidRPr="001B3076">
        <w:t xml:space="preserve"> determina que la información en su poder actualizar                                                                          alguno de los supuestos conforme a las normas aplicables.</w:t>
      </w:r>
    </w:p>
    <w:p w14:paraId="53BE5946" w14:textId="77777777" w:rsidR="000C7151" w:rsidRPr="001B3076" w:rsidRDefault="000C7151" w:rsidP="001B3076"/>
    <w:p w14:paraId="4873BB2E" w14:textId="77777777" w:rsidR="000C7151" w:rsidRPr="001B3076" w:rsidRDefault="000C7151" w:rsidP="001B3076">
      <w:r w:rsidRPr="001B3076">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1B3076">
        <w:rPr>
          <w:b/>
        </w:rPr>
        <w:t>SUJETO OBLIGADO</w:t>
      </w:r>
      <w:r w:rsidRPr="001B3076">
        <w:t xml:space="preserve"> a concluir </w:t>
      </w:r>
      <w:r w:rsidRPr="001B3076">
        <w:lastRenderedPageBreak/>
        <w:t xml:space="preserve">que el caso particular se ajusta al supuesto previsto por la norma legal invocada como fundamento; siendo que, además, </w:t>
      </w:r>
      <w:r w:rsidRPr="001B3076">
        <w:rPr>
          <w:b/>
        </w:rPr>
        <w:t xml:space="preserve">EL SUJETO OBLIGADO </w:t>
      </w:r>
      <w:r w:rsidRPr="001B3076">
        <w:t>debe, en todo momento, aplicar una prueba de daño.</w:t>
      </w:r>
    </w:p>
    <w:p w14:paraId="1AE0AB01" w14:textId="77777777" w:rsidR="000C7151" w:rsidRPr="001B3076" w:rsidRDefault="000C7151" w:rsidP="001B3076">
      <w:r w:rsidRPr="001B3076">
        <w:t xml:space="preserve"> </w:t>
      </w:r>
    </w:p>
    <w:p w14:paraId="380D104B" w14:textId="6D041013" w:rsidR="000C7151" w:rsidRPr="001B3076" w:rsidRDefault="000C7151" w:rsidP="001B3076">
      <w:r w:rsidRPr="001B3076">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155C5B" w:rsidRPr="001B3076">
        <w:t>información</w:t>
      </w:r>
      <w:r w:rsidRPr="001B3076">
        <w:t xml:space="preserve"> es mayor que el interés de conocerla, por lo que debe clasificarse como reservada. </w:t>
      </w:r>
    </w:p>
    <w:p w14:paraId="6836D94C" w14:textId="77777777" w:rsidR="000C7151" w:rsidRPr="001B3076" w:rsidRDefault="000C7151" w:rsidP="001B3076"/>
    <w:p w14:paraId="1B3B2076" w14:textId="77777777" w:rsidR="000C7151" w:rsidRPr="001B3076" w:rsidRDefault="000C7151" w:rsidP="001B3076">
      <w:r w:rsidRPr="001B3076">
        <w:t xml:space="preserve">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 </w:t>
      </w:r>
    </w:p>
    <w:p w14:paraId="46591F44" w14:textId="77777777" w:rsidR="000C7151" w:rsidRPr="001B3076" w:rsidRDefault="000C7151" w:rsidP="001B3076"/>
    <w:p w14:paraId="641149B8" w14:textId="77777777" w:rsidR="000C7151" w:rsidRPr="001B3076" w:rsidRDefault="000C7151" w:rsidP="001B3076">
      <w:r w:rsidRPr="001B3076">
        <w:t xml:space="preserve">1. Se reciba una solicitud de acceso a la información. </w:t>
      </w:r>
    </w:p>
    <w:p w14:paraId="064605C4" w14:textId="77777777" w:rsidR="000C7151" w:rsidRPr="001B3076" w:rsidRDefault="000C7151" w:rsidP="001B3076">
      <w:r w:rsidRPr="001B3076">
        <w:t xml:space="preserve">2. Se determine mediante resolución de autoridad competente. </w:t>
      </w:r>
    </w:p>
    <w:p w14:paraId="4757F596" w14:textId="77777777" w:rsidR="000C7151" w:rsidRPr="001B3076" w:rsidRDefault="000C7151" w:rsidP="001B3076">
      <w:r w:rsidRPr="001B3076">
        <w:t xml:space="preserve">3. Se generen versiones públicas para dar cumplimiento a las obligaciones de transparencia previstas en la Ley. </w:t>
      </w:r>
    </w:p>
    <w:p w14:paraId="14755CFA" w14:textId="77777777" w:rsidR="000C7151" w:rsidRPr="001B3076" w:rsidRDefault="000C7151" w:rsidP="001B3076"/>
    <w:p w14:paraId="757CA25B" w14:textId="77777777" w:rsidR="000C7151" w:rsidRPr="001B3076" w:rsidRDefault="000C7151" w:rsidP="001B3076">
      <w:r w:rsidRPr="001B3076">
        <w:t>Situación que se robustece con lo previsto en el artículo 141 de citada Ley, que señala que las causales de reserva previstas se deberán fundar y motivar, a través de la aplicación de la prueba de daño.</w:t>
      </w:r>
    </w:p>
    <w:p w14:paraId="496D7E76" w14:textId="77777777" w:rsidR="000C7151" w:rsidRPr="001B3076" w:rsidRDefault="000C7151" w:rsidP="001B3076"/>
    <w:p w14:paraId="08994305" w14:textId="77777777" w:rsidR="000C7151" w:rsidRPr="001B3076" w:rsidRDefault="000C7151" w:rsidP="001B3076">
      <w:r w:rsidRPr="001B3076">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7AACDB99" w14:textId="77777777" w:rsidR="000C7151" w:rsidRPr="001B3076" w:rsidRDefault="000C7151" w:rsidP="001B3076">
      <w:pPr>
        <w:spacing w:line="240" w:lineRule="auto"/>
      </w:pPr>
    </w:p>
    <w:p w14:paraId="5471730B" w14:textId="77777777" w:rsidR="000C7151" w:rsidRPr="001B3076" w:rsidRDefault="000C7151" w:rsidP="001B3076">
      <w:pPr>
        <w:numPr>
          <w:ilvl w:val="0"/>
          <w:numId w:val="13"/>
        </w:numPr>
        <w:pBdr>
          <w:top w:val="nil"/>
          <w:left w:val="nil"/>
          <w:bottom w:val="nil"/>
          <w:right w:val="nil"/>
          <w:between w:val="nil"/>
        </w:pBdr>
        <w:ind w:left="714" w:hanging="357"/>
      </w:pPr>
      <w:r w:rsidRPr="001B3076">
        <w:t xml:space="preserve">La divulgación de la información representa un riesgo real, demostrable e identificable del perjuicio significativo al interés público o a la seguridad pública; </w:t>
      </w:r>
    </w:p>
    <w:p w14:paraId="1F574D95" w14:textId="77777777" w:rsidR="000C7151" w:rsidRPr="001B3076" w:rsidRDefault="000C7151" w:rsidP="001B3076">
      <w:pPr>
        <w:numPr>
          <w:ilvl w:val="0"/>
          <w:numId w:val="13"/>
        </w:numPr>
        <w:pBdr>
          <w:top w:val="nil"/>
          <w:left w:val="nil"/>
          <w:bottom w:val="nil"/>
          <w:right w:val="nil"/>
          <w:between w:val="nil"/>
        </w:pBdr>
      </w:pPr>
      <w:r w:rsidRPr="001B3076">
        <w:t>El riesgo de perjuicio que supondría la divulgación supera el interés público general de que se difunda; y</w:t>
      </w:r>
    </w:p>
    <w:p w14:paraId="734805C6" w14:textId="77777777" w:rsidR="000C7151" w:rsidRPr="001B3076" w:rsidRDefault="000C7151" w:rsidP="001B3076">
      <w:pPr>
        <w:numPr>
          <w:ilvl w:val="0"/>
          <w:numId w:val="13"/>
        </w:numPr>
        <w:pBdr>
          <w:top w:val="nil"/>
          <w:left w:val="nil"/>
          <w:bottom w:val="nil"/>
          <w:right w:val="nil"/>
          <w:between w:val="nil"/>
        </w:pBdr>
      </w:pPr>
      <w:r w:rsidRPr="001B3076">
        <w:t>La limitación se adecua al principio de proporcionalidad y representa el medio menos restrictivo disponible para evitar el perjuicio.</w:t>
      </w:r>
    </w:p>
    <w:p w14:paraId="2D12630F" w14:textId="77777777" w:rsidR="000C7151" w:rsidRPr="001B3076" w:rsidRDefault="000C7151" w:rsidP="001B3076">
      <w:pPr>
        <w:pBdr>
          <w:top w:val="nil"/>
          <w:left w:val="nil"/>
          <w:bottom w:val="nil"/>
          <w:right w:val="nil"/>
          <w:between w:val="nil"/>
        </w:pBdr>
        <w:spacing w:line="240" w:lineRule="auto"/>
        <w:ind w:left="720"/>
      </w:pPr>
    </w:p>
    <w:p w14:paraId="356F001B" w14:textId="77777777" w:rsidR="000C7151" w:rsidRPr="001B3076" w:rsidRDefault="000C7151" w:rsidP="001B3076">
      <w:r w:rsidRPr="001B3076">
        <w:t>De tal manera, las limitaciones y/o restricciones al acceso a la información deben sustentarse en una adecuada clasificación que debe distinguir y tomar en cuenta qué información puede generar un daño desproporcionado o innecesario a valores jurídicamente protegidos.</w:t>
      </w:r>
    </w:p>
    <w:p w14:paraId="7E63D47C" w14:textId="305639CB" w:rsidR="000C7151" w:rsidRPr="001B3076" w:rsidRDefault="000C7151" w:rsidP="001B3076">
      <w:pPr>
        <w:spacing w:before="280"/>
      </w:pPr>
      <w:r w:rsidRPr="001B3076">
        <w:t xml:space="preserve">Por lo que, podemos advertir que la restricción al acceso a la información formulada por </w:t>
      </w:r>
      <w:r w:rsidRPr="001B3076">
        <w:rPr>
          <w:b/>
        </w:rPr>
        <w:t>EL SUJETO OBLIGADO</w:t>
      </w:r>
      <w:r w:rsidRPr="001B3076">
        <w:t>, cobra vital relevancia puesto que sí ésta no arroja resultados contundentes sobre un posible peligro, deberá de concederse al particular el acceso a la consulta de misma y entregarse la información requerida.</w:t>
      </w:r>
    </w:p>
    <w:p w14:paraId="56DBA097" w14:textId="77777777" w:rsidR="000C7151" w:rsidRPr="001B3076" w:rsidRDefault="000C7151" w:rsidP="001B3076">
      <w:pPr>
        <w:spacing w:before="280"/>
      </w:pPr>
      <w:r w:rsidRPr="001B3076">
        <w:t xml:space="preserve">Asimismo, es necesario hacer hincapié que los Sujetos Obligados conforme a lo establecido en la Ley, no pueden emitir acuerdos de carácter general en el que clasifiquen documentos o información como reservada, ya que dicha clasificación, debe estar acorde con la actualización de los supuestos definidos; resaltándose además que, la clasificación de la información se debe </w:t>
      </w:r>
      <w:r w:rsidRPr="001B3076">
        <w:lastRenderedPageBreak/>
        <w:t xml:space="preserve">realizar conforme a un análisis caso por caso, mediante la aplicación de la enunciada prueba de daño. </w:t>
      </w:r>
    </w:p>
    <w:p w14:paraId="42ACB153" w14:textId="77777777" w:rsidR="000C7151" w:rsidRPr="001B3076" w:rsidRDefault="000C7151" w:rsidP="001B3076"/>
    <w:p w14:paraId="761B8947" w14:textId="77777777" w:rsidR="000C7151" w:rsidRPr="001B3076" w:rsidRDefault="000C7151" w:rsidP="001B3076">
      <w:r w:rsidRPr="001B3076">
        <w:t xml:space="preserve">De este modo, es necesario que </w:t>
      </w:r>
      <w:r w:rsidRPr="001B3076">
        <w:rPr>
          <w:b/>
        </w:rPr>
        <w:t>EL SUJETO OBLIGADO</w:t>
      </w:r>
      <w:r w:rsidRPr="001B3076">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196E579D" w14:textId="77777777" w:rsidR="000C7151" w:rsidRPr="001B3076" w:rsidRDefault="000C7151" w:rsidP="001B3076"/>
    <w:p w14:paraId="3923EE63" w14:textId="77777777" w:rsidR="000C7151" w:rsidRPr="001B3076" w:rsidRDefault="000C7151" w:rsidP="001B3076">
      <w:r w:rsidRPr="001B3076">
        <w:t xml:space="preserve">Aunado a lo anterior, es importante señalar el contenido del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 </w:t>
      </w:r>
    </w:p>
    <w:p w14:paraId="327D2954" w14:textId="77777777" w:rsidR="000C7151" w:rsidRPr="001B3076" w:rsidRDefault="000C7151" w:rsidP="001B3076"/>
    <w:p w14:paraId="06A73B6F" w14:textId="77777777" w:rsidR="000C7151" w:rsidRPr="001B3076" w:rsidRDefault="000C7151" w:rsidP="001B3076">
      <w:r w:rsidRPr="001B3076">
        <w:t xml:space="preserve">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 </w:t>
      </w:r>
    </w:p>
    <w:p w14:paraId="589FC27A" w14:textId="77777777" w:rsidR="000C7151" w:rsidRPr="001B3076" w:rsidRDefault="000C7151" w:rsidP="001B3076"/>
    <w:p w14:paraId="03F4A228" w14:textId="77777777" w:rsidR="000C7151" w:rsidRPr="001B3076" w:rsidRDefault="000C7151" w:rsidP="001B3076">
      <w:r w:rsidRPr="001B3076">
        <w:lastRenderedPageBreak/>
        <w:t>Por tanto, la fundamentación y motivación consiste en la obligación que tiene todo ente público de expresar los preceptos jurídicos aplicables al asunto motivo del acto y las razones o argumentos de su actuar.</w:t>
      </w:r>
    </w:p>
    <w:p w14:paraId="5AFD9838" w14:textId="77777777" w:rsidR="000C7151" w:rsidRPr="001B3076" w:rsidRDefault="000C7151" w:rsidP="001B3076"/>
    <w:p w14:paraId="4DC58551" w14:textId="77777777" w:rsidR="000C7151" w:rsidRPr="001B3076" w:rsidRDefault="000C7151" w:rsidP="001B3076">
      <w:r w:rsidRPr="001B3076">
        <w:t>Al respecto, el máximo tribunal del país ha establecido jurisprudencia respecto a qué debe entenderse por fundamentación y motivación, en los siguientes términos:</w:t>
      </w:r>
    </w:p>
    <w:p w14:paraId="2D9860A0" w14:textId="77777777" w:rsidR="000C7151" w:rsidRPr="001B3076" w:rsidRDefault="000C7151" w:rsidP="001B3076"/>
    <w:p w14:paraId="49BF98B1" w14:textId="77777777" w:rsidR="000C7151" w:rsidRPr="001B3076" w:rsidRDefault="000C7151" w:rsidP="001B3076">
      <w:pPr>
        <w:pStyle w:val="Puesto"/>
      </w:pPr>
      <w:r w:rsidRPr="001B3076">
        <w:t>“</w:t>
      </w:r>
      <w:r w:rsidRPr="001B3076">
        <w:rPr>
          <w:b/>
        </w:rPr>
        <w:t>FUNDAMENTACION Y MOTIVACION</w:t>
      </w:r>
      <w:r w:rsidRPr="001B3076">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56518B7A" w14:textId="77777777" w:rsidR="000C7151" w:rsidRPr="001B3076" w:rsidRDefault="000C7151" w:rsidP="001B3076">
      <w:pPr>
        <w:ind w:left="709" w:right="616"/>
        <w:rPr>
          <w:i/>
        </w:rPr>
      </w:pPr>
    </w:p>
    <w:p w14:paraId="1160A49C" w14:textId="77777777" w:rsidR="000C7151" w:rsidRPr="001B3076" w:rsidRDefault="000C7151" w:rsidP="001B3076">
      <w:r w:rsidRPr="001B3076">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397AD9E" w14:textId="77777777" w:rsidR="000C7151" w:rsidRPr="001B3076" w:rsidRDefault="000C7151" w:rsidP="001B3076"/>
    <w:p w14:paraId="2CEC620A" w14:textId="77777777" w:rsidR="000C7151" w:rsidRPr="001B3076" w:rsidRDefault="000C7151" w:rsidP="001B3076">
      <w:r w:rsidRPr="001B3076">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 </w:t>
      </w:r>
    </w:p>
    <w:p w14:paraId="0379D2BB" w14:textId="77777777" w:rsidR="000C7151" w:rsidRPr="001B3076" w:rsidRDefault="000C7151" w:rsidP="001B3076"/>
    <w:p w14:paraId="73961324" w14:textId="77777777" w:rsidR="000C7151" w:rsidRPr="001B3076" w:rsidRDefault="000C7151" w:rsidP="001B3076">
      <w:r w:rsidRPr="001B3076">
        <w:t>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w:t>
      </w:r>
    </w:p>
    <w:p w14:paraId="5F6949A8" w14:textId="77777777" w:rsidR="000C7151" w:rsidRPr="001B3076" w:rsidRDefault="000C7151" w:rsidP="001B3076"/>
    <w:p w14:paraId="653B9C5A" w14:textId="77777777" w:rsidR="000C7151" w:rsidRPr="001B3076" w:rsidRDefault="000C7151" w:rsidP="001B3076">
      <w:r w:rsidRPr="001B3076">
        <w:lastRenderedPageBreak/>
        <w:t>Asimismo, se precisa, que conforme a lo establecido en el artículo 59, fracción V, de la Ley de Transparencia, es una atribución de los Servidores Públicos Habilitados integrar y presentar al responsable de la Unidad de Transparencia la propuesta de clasificación de la información, la cual debe de contener los fundamentos y argumentos en que se basa dicha propuesta, como se advierte enseguida:</w:t>
      </w:r>
    </w:p>
    <w:p w14:paraId="3AEA1F3C" w14:textId="77777777" w:rsidR="000C7151" w:rsidRPr="001B3076" w:rsidRDefault="000C7151" w:rsidP="001B3076"/>
    <w:p w14:paraId="42BD01E9" w14:textId="77777777" w:rsidR="000C7151" w:rsidRPr="001B3076" w:rsidRDefault="000C7151" w:rsidP="001B3076">
      <w:pPr>
        <w:pStyle w:val="Puesto"/>
      </w:pPr>
      <w:r w:rsidRPr="001B3076">
        <w:rPr>
          <w:b/>
        </w:rPr>
        <w:t>Artículo 59.</w:t>
      </w:r>
      <w:r w:rsidRPr="001B3076">
        <w:t xml:space="preserve"> Los servidores públicos habilitados tendrán las funciones siguientes:</w:t>
      </w:r>
    </w:p>
    <w:p w14:paraId="67FF1B90" w14:textId="77777777" w:rsidR="000C7151" w:rsidRPr="001B3076" w:rsidRDefault="000C7151" w:rsidP="001B3076">
      <w:pPr>
        <w:pStyle w:val="Puesto"/>
      </w:pPr>
      <w:r w:rsidRPr="001B3076">
        <w:t>…</w:t>
      </w:r>
    </w:p>
    <w:p w14:paraId="40D14DF0" w14:textId="77777777" w:rsidR="000C7151" w:rsidRPr="001B3076" w:rsidRDefault="000C7151" w:rsidP="001B3076">
      <w:pPr>
        <w:pStyle w:val="Puesto"/>
      </w:pPr>
    </w:p>
    <w:p w14:paraId="38A7B5DF" w14:textId="77777777" w:rsidR="000C7151" w:rsidRPr="001B3076" w:rsidRDefault="000C7151" w:rsidP="001B3076">
      <w:pPr>
        <w:pStyle w:val="Puesto"/>
      </w:pPr>
      <w:r w:rsidRPr="001B3076">
        <w:t>V. Integrar y presentar al responsable de la Unidad de Transparencia la propuesta de clasificación de información, la cual tendrá los fundamentos y argumentos en que se basa dicha propuesta;</w:t>
      </w:r>
    </w:p>
    <w:p w14:paraId="14F90302" w14:textId="77777777" w:rsidR="000C7151" w:rsidRPr="001B3076" w:rsidRDefault="000C7151" w:rsidP="001B3076"/>
    <w:p w14:paraId="2FF512C8" w14:textId="77777777" w:rsidR="000C7151" w:rsidRPr="001B3076" w:rsidRDefault="000C7151" w:rsidP="001B3076">
      <w:pPr>
        <w:ind w:right="49"/>
      </w:pPr>
      <w:r w:rsidRPr="001B3076">
        <w:t>Así, una vez, que el Titular de la Unidad de Transparencia, tiene en su poder la petición formulada por el Servidor Público Habilitado, éste a su vez, lo someterá a la consideración de los integrantes del Comité de Transparencia para su confirmación, modificación o revocación, como lo disponen los artículos 53, fracción X, 49, fracciones II y VIII del ordenamiento invocado, que son del tenor siguiente:</w:t>
      </w:r>
    </w:p>
    <w:p w14:paraId="67DE5F31" w14:textId="77777777" w:rsidR="000C7151" w:rsidRPr="001B3076" w:rsidRDefault="000C7151" w:rsidP="001B3076">
      <w:pPr>
        <w:ind w:left="851" w:right="899"/>
        <w:rPr>
          <w:i/>
        </w:rPr>
      </w:pPr>
    </w:p>
    <w:p w14:paraId="58F6C127" w14:textId="77777777" w:rsidR="000C7151" w:rsidRPr="001B3076" w:rsidRDefault="000C7151" w:rsidP="001B3076">
      <w:pPr>
        <w:pStyle w:val="Puesto"/>
      </w:pPr>
      <w:r w:rsidRPr="001B3076">
        <w:t>“</w:t>
      </w:r>
      <w:r w:rsidRPr="001B3076">
        <w:rPr>
          <w:b/>
        </w:rPr>
        <w:t>Artículo 53.</w:t>
      </w:r>
      <w:r w:rsidRPr="001B3076">
        <w:t xml:space="preserve"> Las Unidades de Transparencia tendrán las siguientes funciones:</w:t>
      </w:r>
    </w:p>
    <w:p w14:paraId="0D5CD3A8" w14:textId="77777777" w:rsidR="000C7151" w:rsidRPr="001B3076" w:rsidRDefault="000C7151" w:rsidP="001B3076">
      <w:pPr>
        <w:pStyle w:val="Puesto"/>
      </w:pPr>
      <w:r w:rsidRPr="001B3076">
        <w:t>…</w:t>
      </w:r>
    </w:p>
    <w:p w14:paraId="3D308961" w14:textId="77777777" w:rsidR="000C7151" w:rsidRPr="001B3076" w:rsidRDefault="000C7151" w:rsidP="001B3076">
      <w:pPr>
        <w:pStyle w:val="Puesto"/>
        <w:rPr>
          <w:b/>
        </w:rPr>
      </w:pPr>
      <w:r w:rsidRPr="001B3076">
        <w:rPr>
          <w:b/>
        </w:rPr>
        <w:t>X. Presentar ante el Comité, el proyecto de clasificación de información;</w:t>
      </w:r>
    </w:p>
    <w:p w14:paraId="0A1334AB" w14:textId="77777777" w:rsidR="000C7151" w:rsidRPr="001B3076" w:rsidRDefault="000C7151" w:rsidP="001B3076">
      <w:pPr>
        <w:pStyle w:val="Puesto"/>
      </w:pPr>
      <w:r w:rsidRPr="001B3076">
        <w:t>…</w:t>
      </w:r>
    </w:p>
    <w:p w14:paraId="1DD84337" w14:textId="77777777" w:rsidR="000C7151" w:rsidRPr="001B3076" w:rsidRDefault="000C7151" w:rsidP="001B3076">
      <w:pPr>
        <w:pStyle w:val="Puesto"/>
      </w:pPr>
      <w:r w:rsidRPr="001B3076">
        <w:rPr>
          <w:b/>
        </w:rPr>
        <w:t>Artículo 49.</w:t>
      </w:r>
      <w:r w:rsidRPr="001B3076">
        <w:t xml:space="preserve"> Los Comités de Transparencia tendrán las siguientes atribuciones:</w:t>
      </w:r>
    </w:p>
    <w:p w14:paraId="0C974636" w14:textId="77777777" w:rsidR="000C7151" w:rsidRPr="001B3076" w:rsidRDefault="000C7151" w:rsidP="001B3076">
      <w:pPr>
        <w:pStyle w:val="Puesto"/>
      </w:pPr>
      <w:r w:rsidRPr="001B3076">
        <w:t>…</w:t>
      </w:r>
    </w:p>
    <w:p w14:paraId="226D460F" w14:textId="77777777" w:rsidR="000C7151" w:rsidRPr="001B3076" w:rsidRDefault="000C7151" w:rsidP="001B3076">
      <w:pPr>
        <w:pStyle w:val="Puesto"/>
      </w:pPr>
      <w:r w:rsidRPr="001B3076">
        <w:t xml:space="preserve">II. </w:t>
      </w:r>
      <w:r w:rsidRPr="001B3076">
        <w:rPr>
          <w:b/>
        </w:rPr>
        <w:t>Confirmar, modificar o revocar las determinaciones que en materia</w:t>
      </w:r>
      <w:r w:rsidRPr="001B3076">
        <w:t xml:space="preserve"> de ampliación del plazo de respuesta, </w:t>
      </w:r>
      <w:r w:rsidRPr="001B3076">
        <w:rPr>
          <w:b/>
        </w:rPr>
        <w:t>clasificación de la información</w:t>
      </w:r>
      <w:r w:rsidRPr="001B3076">
        <w:t xml:space="preserve"> y declaración de inexistencia o de incompetencia realicen los titulares de las áreas de los sujetos obligados;</w:t>
      </w:r>
    </w:p>
    <w:p w14:paraId="55256904" w14:textId="77777777" w:rsidR="000C7151" w:rsidRPr="001B3076" w:rsidRDefault="000C7151" w:rsidP="001B3076">
      <w:pPr>
        <w:pStyle w:val="Puesto"/>
      </w:pPr>
      <w:r w:rsidRPr="001B3076">
        <w:t>…</w:t>
      </w:r>
    </w:p>
    <w:p w14:paraId="173AA7CE" w14:textId="77777777" w:rsidR="000C7151" w:rsidRPr="001B3076" w:rsidRDefault="000C7151" w:rsidP="001B3076">
      <w:pPr>
        <w:pStyle w:val="Puesto"/>
      </w:pPr>
      <w:r w:rsidRPr="001B3076">
        <w:t>VIII. Aprobar, modificar o revocar la clasificación de la información;</w:t>
      </w:r>
    </w:p>
    <w:p w14:paraId="40444C26" w14:textId="77777777" w:rsidR="000C7151" w:rsidRPr="001B3076" w:rsidRDefault="000C7151" w:rsidP="001B3076">
      <w:pPr>
        <w:pStyle w:val="Puesto"/>
      </w:pPr>
      <w:r w:rsidRPr="001B3076">
        <w:t>…” Sic.</w:t>
      </w:r>
    </w:p>
    <w:p w14:paraId="1AFF7BCC" w14:textId="215B2E3B" w:rsidR="00393CD5" w:rsidRPr="001B3076" w:rsidRDefault="008750D5" w:rsidP="001B3076">
      <w:pPr>
        <w:spacing w:before="280"/>
        <w:rPr>
          <w:rFonts w:eastAsia="Palatino Linotype" w:cs="Palatino Linotype"/>
          <w:lang w:val="es-ES" w:eastAsia="es-MX"/>
        </w:rPr>
      </w:pPr>
      <w:r w:rsidRPr="001B3076">
        <w:rPr>
          <w:bCs/>
        </w:rPr>
        <w:lastRenderedPageBreak/>
        <w:t xml:space="preserve">En ese contexto, resulta necesario puntualizar que en el caso en particular, </w:t>
      </w:r>
      <w:r w:rsidRPr="001B3076">
        <w:rPr>
          <w:b/>
          <w:bCs/>
        </w:rPr>
        <w:t xml:space="preserve">EL SUJETO OBLIGADO a través de las Direcciones Generales de Movilidad I y II, </w:t>
      </w:r>
      <w:r w:rsidRPr="001B3076">
        <w:t xml:space="preserve">se limitó a señalar que la información peticionada estaba reservada, de lo que se determina que no se </w:t>
      </w:r>
      <w:r w:rsidRPr="001B3076">
        <w:rPr>
          <w:bCs/>
        </w:rPr>
        <w:t xml:space="preserve">cumplió cabalmente con </w:t>
      </w:r>
      <w:r w:rsidRPr="001B3076">
        <w:rPr>
          <w:rFonts w:eastAsia="Palatino Linotype" w:cs="Palatino Linotype"/>
          <w:lang w:val="es-ES" w:eastAsia="es-MX"/>
        </w:rPr>
        <w:t>las formalidades exigidas por la Ley General de Transparencia y Acceso a la Información Pública, Lineamientos Generales en Materia de Clasificación y Desclasificación de la Información, así como para la Elaboración de Versiones Públicas, así como en la Ley de Transparencia y Acceso a la Información Pública del Estado de México y Municipios, para la clasificación de la información</w:t>
      </w:r>
      <w:r w:rsidR="00F7584E" w:rsidRPr="001B3076">
        <w:rPr>
          <w:rFonts w:eastAsia="Palatino Linotype" w:cs="Palatino Linotype"/>
          <w:lang w:val="es-ES" w:eastAsia="es-MX"/>
        </w:rPr>
        <w:t xml:space="preserve">, en razón de que no se </w:t>
      </w:r>
      <w:r w:rsidR="00A742B6" w:rsidRPr="001B3076">
        <w:rPr>
          <w:rFonts w:eastAsia="Palatino Linotype" w:cs="Palatino Linotype"/>
          <w:lang w:val="es-ES" w:eastAsia="es-MX"/>
        </w:rPr>
        <w:t>acreditó de manera fehaciente la clasificación de la información de la información de manera fehaciente conforme a la normatividad aplicable en materia de transparencia, en consecuencia resulta viable ordenar la entrega de la información peticionada por el</w:t>
      </w:r>
      <w:r w:rsidR="00393CD5" w:rsidRPr="001B3076">
        <w:rPr>
          <w:rFonts w:eastAsia="Palatino Linotype" w:cs="Palatino Linotype"/>
          <w:lang w:val="es-ES" w:eastAsia="es-MX"/>
        </w:rPr>
        <w:t xml:space="preserve"> particular, </w:t>
      </w:r>
      <w:r w:rsidR="00393CD5" w:rsidRPr="001B3076">
        <w:t xml:space="preserve">y ordenar la entrega de la información peticionada por </w:t>
      </w:r>
      <w:r w:rsidR="00393CD5" w:rsidRPr="001B3076">
        <w:rPr>
          <w:b/>
        </w:rPr>
        <w:t>LA PERSONA RECURRENTE</w:t>
      </w:r>
      <w:r w:rsidR="00393CD5" w:rsidRPr="001B3076">
        <w:rPr>
          <w:rFonts w:eastAsia="Palatino Linotype" w:cs="Palatino Linotype"/>
          <w:lang w:val="es-ES" w:eastAsia="es-MX"/>
        </w:rPr>
        <w:t>, empero únicamente de los depósitos de guarda y custodia conocidos como corralones, que fueron clausurados cuyo procedimiento se encuentre concluido y que hayan causado estado, en versión pública.</w:t>
      </w:r>
    </w:p>
    <w:p w14:paraId="4209524B" w14:textId="1EAAC968" w:rsidR="00393CD5" w:rsidRPr="001B3076" w:rsidRDefault="00393CD5" w:rsidP="001B3076">
      <w:pPr>
        <w:spacing w:before="280"/>
        <w:rPr>
          <w:rFonts w:eastAsia="Palatino Linotype" w:cs="Palatino Linotype"/>
          <w:lang w:val="es-ES" w:eastAsia="es-MX"/>
        </w:rPr>
      </w:pPr>
      <w:r w:rsidRPr="001B3076">
        <w:rPr>
          <w:rFonts w:cs="Arial"/>
        </w:rPr>
        <w:t xml:space="preserve">Por otro lado, cabe destacar que, esta ponencia resolutora analizó  lo  requerido por el particular en su solicitud de información y </w:t>
      </w:r>
      <w:r w:rsidR="009F7459" w:rsidRPr="001B3076">
        <w:rPr>
          <w:rFonts w:cs="Arial"/>
        </w:rPr>
        <w:t xml:space="preserve">advirtió que </w:t>
      </w:r>
      <w:r w:rsidRPr="001B3076">
        <w:rPr>
          <w:rFonts w:eastAsia="Palatino Linotype" w:cs="Palatino Linotype"/>
          <w:lang w:val="es-ES" w:eastAsia="es-MX"/>
        </w:rPr>
        <w:t xml:space="preserve"> el contrario, tratándose del expediente depósitos de guarda y custodia conocidos como corralones, que fueron clausurados cuyo procedimien</w:t>
      </w:r>
      <w:r w:rsidR="009F7459" w:rsidRPr="001B3076">
        <w:rPr>
          <w:rFonts w:eastAsia="Palatino Linotype" w:cs="Palatino Linotype"/>
          <w:lang w:val="es-ES" w:eastAsia="es-MX"/>
        </w:rPr>
        <w:t>to aún se encuentre en trámite.</w:t>
      </w:r>
    </w:p>
    <w:p w14:paraId="059BB5ED" w14:textId="77777777" w:rsidR="00DD688C" w:rsidRPr="001B3076" w:rsidRDefault="00DD688C" w:rsidP="001B3076">
      <w:pPr>
        <w:pBdr>
          <w:top w:val="nil"/>
          <w:left w:val="nil"/>
          <w:bottom w:val="nil"/>
          <w:right w:val="nil"/>
          <w:between w:val="nil"/>
        </w:pBdr>
        <w:ind w:right="49"/>
        <w:rPr>
          <w:rFonts w:eastAsia="Palatino Linotype" w:cs="Palatino Linotype"/>
          <w:sz w:val="24"/>
          <w:szCs w:val="24"/>
        </w:rPr>
      </w:pPr>
    </w:p>
    <w:p w14:paraId="28858F45" w14:textId="77777777" w:rsidR="00A7324E" w:rsidRPr="001B3076" w:rsidRDefault="00A7324E" w:rsidP="001B3076">
      <w:pPr>
        <w:pBdr>
          <w:top w:val="nil"/>
          <w:left w:val="nil"/>
          <w:bottom w:val="nil"/>
          <w:right w:val="nil"/>
          <w:between w:val="nil"/>
        </w:pBdr>
        <w:ind w:right="49"/>
        <w:rPr>
          <w:rFonts w:eastAsia="Palatino Linotype" w:cs="Palatino Linotype"/>
          <w:szCs w:val="24"/>
        </w:rPr>
      </w:pPr>
      <w:r w:rsidRPr="001B3076">
        <w:rPr>
          <w:rFonts w:eastAsia="Palatino Linotype" w:cs="Palatino Linotype"/>
          <w:szCs w:val="24"/>
        </w:rPr>
        <w:t xml:space="preserve">En relación con esto, es de destacar que los Lineamientos Generales en materia de Clasificación y Desclasificación de la Información, establecen en su artículo Trigésimo lo siguiente: </w:t>
      </w:r>
    </w:p>
    <w:p w14:paraId="26D61871" w14:textId="77777777" w:rsidR="00A7324E" w:rsidRPr="001B3076" w:rsidRDefault="00A7324E" w:rsidP="001B3076">
      <w:pPr>
        <w:pBdr>
          <w:top w:val="nil"/>
          <w:left w:val="nil"/>
          <w:bottom w:val="nil"/>
          <w:right w:val="nil"/>
          <w:between w:val="nil"/>
        </w:pBdr>
        <w:ind w:right="49"/>
        <w:rPr>
          <w:rFonts w:eastAsia="Palatino Linotype" w:cs="Palatino Linotype"/>
          <w:sz w:val="24"/>
          <w:szCs w:val="24"/>
        </w:rPr>
      </w:pPr>
    </w:p>
    <w:p w14:paraId="7E7480BD"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b/>
          <w:i/>
        </w:rPr>
        <w:t>“Trigésimo.</w:t>
      </w:r>
      <w:r w:rsidRPr="001B3076">
        <w:rPr>
          <w:rFonts w:eastAsia="Palatino Linotype" w:cs="Palatino Linotype"/>
          <w:i/>
        </w:rPr>
        <w:t xml:space="preserve"> De conformidad con el artículo 113, fracción XI de la Ley General,</w:t>
      </w:r>
      <w:r w:rsidRPr="001B3076">
        <w:rPr>
          <w:rFonts w:eastAsia="Palatino Linotype" w:cs="Palatino Linotype"/>
          <w:b/>
          <w:i/>
          <w:u w:val="single"/>
        </w:rPr>
        <w:t xml:space="preserve"> podrá considerarse como información reservada</w:t>
      </w:r>
      <w:r w:rsidRPr="001B3076">
        <w:rPr>
          <w:rFonts w:eastAsia="Palatino Linotype" w:cs="Palatino Linotype"/>
          <w:i/>
        </w:rPr>
        <w:t xml:space="preserve">, aquella que vulnere la conducción de los </w:t>
      </w:r>
      <w:r w:rsidRPr="001B3076">
        <w:rPr>
          <w:rFonts w:eastAsia="Palatino Linotype" w:cs="Palatino Linotype"/>
          <w:i/>
        </w:rPr>
        <w:lastRenderedPageBreak/>
        <w:t xml:space="preserve">expedientes judiciales </w:t>
      </w:r>
      <w:r w:rsidRPr="001B3076">
        <w:rPr>
          <w:rFonts w:eastAsia="Palatino Linotype" w:cs="Palatino Linotype"/>
          <w:b/>
          <w:i/>
          <w:u w:val="single"/>
        </w:rPr>
        <w:t>o de los procedimientos administrativos seguidos en forma de juicio</w:t>
      </w:r>
      <w:r w:rsidRPr="001B3076">
        <w:rPr>
          <w:rFonts w:eastAsia="Palatino Linotype" w:cs="Palatino Linotype"/>
          <w:i/>
        </w:rPr>
        <w:t xml:space="preserve">, siempre y cuando se acrediten los siguientes elementos: </w:t>
      </w:r>
    </w:p>
    <w:p w14:paraId="567BBCC2" w14:textId="77777777" w:rsidR="00A7324E" w:rsidRPr="001B3076" w:rsidRDefault="00A7324E" w:rsidP="001B3076">
      <w:pPr>
        <w:spacing w:line="276" w:lineRule="auto"/>
        <w:ind w:left="567" w:right="567"/>
        <w:rPr>
          <w:rFonts w:eastAsia="Palatino Linotype" w:cs="Palatino Linotype"/>
          <w:b/>
          <w:i/>
          <w:u w:val="single"/>
        </w:rPr>
      </w:pPr>
      <w:r w:rsidRPr="001B3076">
        <w:rPr>
          <w:rFonts w:eastAsia="Palatino Linotype" w:cs="Palatino Linotype"/>
          <w:b/>
          <w:i/>
          <w:u w:val="single"/>
        </w:rPr>
        <w:t xml:space="preserve">I. La existencia de un juicio o procedimiento administrativo materialmente jurisdiccional, que se encuentre en trámite, y </w:t>
      </w:r>
    </w:p>
    <w:p w14:paraId="6405401B" w14:textId="77777777" w:rsidR="00A7324E" w:rsidRPr="001B3076" w:rsidRDefault="00A7324E" w:rsidP="001B3076">
      <w:pPr>
        <w:spacing w:line="276" w:lineRule="auto"/>
        <w:ind w:left="567" w:right="567"/>
        <w:rPr>
          <w:rFonts w:eastAsia="Palatino Linotype" w:cs="Palatino Linotype"/>
          <w:b/>
          <w:i/>
          <w:u w:val="single"/>
        </w:rPr>
      </w:pPr>
      <w:r w:rsidRPr="001B3076">
        <w:rPr>
          <w:rFonts w:eastAsia="Palatino Linotype" w:cs="Palatino Linotype"/>
          <w:b/>
          <w:i/>
          <w:u w:val="single"/>
        </w:rPr>
        <w:t xml:space="preserve">II. Que la información solicitada se refiera a actuaciones, diligencias o constancias propias del procedimiento. </w:t>
      </w:r>
    </w:p>
    <w:p w14:paraId="38793FA6"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i/>
        </w:rPr>
        <w:t xml:space="preserve">Para los efectos del primer párrafo de este numeral, se considera procedimiento seguido en forma de juicio a aquel formalmente administrativo, pero materialmente jurisdiccional; esto es, en el que concurran los siguientes elementos: </w:t>
      </w:r>
    </w:p>
    <w:p w14:paraId="1E8B961A"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b/>
          <w:i/>
        </w:rPr>
        <w:t>1.</w:t>
      </w:r>
      <w:r w:rsidRPr="001B3076">
        <w:rPr>
          <w:rFonts w:eastAsia="Palatino Linotype" w:cs="Palatino Linotype"/>
          <w:i/>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6C0A3244"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b/>
          <w:i/>
        </w:rPr>
        <w:t>2.</w:t>
      </w:r>
      <w:r w:rsidRPr="001B3076">
        <w:rPr>
          <w:rFonts w:eastAsia="Palatino Linotype" w:cs="Palatino Linotype"/>
          <w:i/>
        </w:rPr>
        <w:t xml:space="preserve"> Que se cumplan las formalidades esenciales del procedimiento. </w:t>
      </w:r>
    </w:p>
    <w:p w14:paraId="5E375E33"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i/>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0D25C257" w14:textId="77777777" w:rsidR="00A7324E" w:rsidRPr="001B3076" w:rsidRDefault="00A7324E" w:rsidP="001B3076">
      <w:pPr>
        <w:spacing w:line="276" w:lineRule="auto"/>
        <w:ind w:left="567" w:right="567"/>
        <w:rPr>
          <w:rFonts w:eastAsia="Palatino Linotype" w:cs="Palatino Linotype"/>
          <w:i/>
        </w:rPr>
      </w:pPr>
    </w:p>
    <w:p w14:paraId="7C9D4816" w14:textId="77777777" w:rsidR="00A7324E" w:rsidRPr="001B3076" w:rsidRDefault="00A7324E" w:rsidP="001B3076">
      <w:pPr>
        <w:rPr>
          <w:rFonts w:eastAsia="Palatino Linotype" w:cs="Palatino Linotype"/>
          <w:szCs w:val="24"/>
        </w:rPr>
      </w:pPr>
      <w:r w:rsidRPr="001B3076">
        <w:rPr>
          <w:rFonts w:eastAsia="Palatino Linotype" w:cs="Palatino Linotype"/>
          <w:szCs w:val="24"/>
        </w:rPr>
        <w:t xml:space="preserve">De la normatividad citada, se desprende que de lo solicitado por el Particular se prevé que como información </w:t>
      </w:r>
      <w:r w:rsidRPr="001B3076">
        <w:rPr>
          <w:rFonts w:eastAsia="Palatino Linotype" w:cs="Palatino Linotype"/>
          <w:b/>
          <w:szCs w:val="24"/>
          <w:u w:val="single"/>
        </w:rPr>
        <w:t>reservada podrá clasificarse aquella que vulnere la conducción de los procedimientos administrativos seguidos en forma de juicio, en tanto no hayan causado estado</w:t>
      </w:r>
      <w:r w:rsidRPr="001B3076">
        <w:rPr>
          <w:rFonts w:eastAsia="Palatino Linotype" w:cs="Palatino Linotype"/>
          <w:szCs w:val="24"/>
        </w:rPr>
        <w:t>, por lo cual, para considerar que se actualiza dicha causal es necesario que se configuren los siguientes elementos:</w:t>
      </w:r>
    </w:p>
    <w:p w14:paraId="38E374F2" w14:textId="77777777" w:rsidR="00A7324E" w:rsidRPr="001B3076" w:rsidRDefault="00A7324E" w:rsidP="001B3076">
      <w:pPr>
        <w:rPr>
          <w:rFonts w:eastAsia="Palatino Linotype" w:cs="Palatino Linotype"/>
          <w:sz w:val="24"/>
          <w:szCs w:val="24"/>
        </w:rPr>
      </w:pPr>
    </w:p>
    <w:p w14:paraId="090A329F" w14:textId="77777777" w:rsidR="00A7324E" w:rsidRPr="001B3076" w:rsidRDefault="00A7324E" w:rsidP="001B3076">
      <w:pPr>
        <w:numPr>
          <w:ilvl w:val="0"/>
          <w:numId w:val="44"/>
        </w:numPr>
        <w:rPr>
          <w:rFonts w:eastAsia="Palatino Linotype" w:cs="Palatino Linotype"/>
        </w:rPr>
      </w:pPr>
      <w:r w:rsidRPr="001B3076">
        <w:rPr>
          <w:rFonts w:eastAsia="Palatino Linotype" w:cs="Palatino Linotype"/>
        </w:rPr>
        <w:t>La existencia de un juicio o procedimiento administrativo materialmente jurisdiccional, que se encuentre en trámite, y</w:t>
      </w:r>
    </w:p>
    <w:p w14:paraId="6744B4E8" w14:textId="77777777" w:rsidR="00A7324E" w:rsidRPr="001B3076" w:rsidRDefault="00A7324E" w:rsidP="001B3076">
      <w:pPr>
        <w:numPr>
          <w:ilvl w:val="0"/>
          <w:numId w:val="44"/>
        </w:numPr>
        <w:rPr>
          <w:rFonts w:eastAsia="Palatino Linotype" w:cs="Palatino Linotype"/>
        </w:rPr>
      </w:pPr>
      <w:r w:rsidRPr="001B3076">
        <w:rPr>
          <w:rFonts w:eastAsia="Palatino Linotype" w:cs="Palatino Linotype"/>
        </w:rPr>
        <w:t>Que la información solicitada se refiera a actuaciones, diligencias o constancias propias del procedimiento.</w:t>
      </w:r>
    </w:p>
    <w:p w14:paraId="51DD1C7F" w14:textId="77777777" w:rsidR="00A7324E" w:rsidRPr="001B3076" w:rsidRDefault="00A7324E" w:rsidP="001B3076">
      <w:pPr>
        <w:pBdr>
          <w:top w:val="nil"/>
          <w:left w:val="nil"/>
          <w:bottom w:val="nil"/>
          <w:right w:val="nil"/>
          <w:between w:val="nil"/>
        </w:pBdr>
        <w:ind w:right="49"/>
        <w:rPr>
          <w:rFonts w:eastAsia="Palatino Linotype" w:cs="Palatino Linotype"/>
          <w:szCs w:val="24"/>
        </w:rPr>
      </w:pPr>
    </w:p>
    <w:p w14:paraId="2A9B036A" w14:textId="77777777" w:rsidR="00A7324E" w:rsidRPr="001B3076" w:rsidRDefault="00A7324E" w:rsidP="001B3076">
      <w:pPr>
        <w:rPr>
          <w:rFonts w:eastAsia="Palatino Linotype" w:cs="Palatino Linotype"/>
          <w:b/>
          <w:szCs w:val="24"/>
          <w:u w:val="single"/>
        </w:rPr>
      </w:pPr>
      <w:r w:rsidRPr="001B3076">
        <w:rPr>
          <w:rFonts w:eastAsia="Palatino Linotype" w:cs="Palatino Linotype"/>
          <w:b/>
          <w:szCs w:val="24"/>
          <w:u w:val="single"/>
        </w:rPr>
        <w:lastRenderedPageBreak/>
        <w:t>Con base en lo expuesto, se advierte que la información susceptible de clasificarse como reservada es aquella cuya difusión vulnere la conducción de los procedimientos administrativos seguidos en forma de juicio, en tanto no hayan causado estado.</w:t>
      </w:r>
    </w:p>
    <w:p w14:paraId="17DEB3BB" w14:textId="77777777" w:rsidR="00A7324E" w:rsidRPr="001B3076" w:rsidRDefault="00A7324E" w:rsidP="001B3076">
      <w:pPr>
        <w:rPr>
          <w:rFonts w:eastAsia="Palatino Linotype" w:cs="Palatino Linotype"/>
          <w:b/>
          <w:sz w:val="24"/>
          <w:szCs w:val="24"/>
          <w:u w:val="single"/>
        </w:rPr>
      </w:pPr>
    </w:p>
    <w:p w14:paraId="55A1C594" w14:textId="77777777" w:rsidR="00A7324E" w:rsidRPr="001B3076" w:rsidRDefault="00A7324E" w:rsidP="001B3076">
      <w:pPr>
        <w:rPr>
          <w:rFonts w:eastAsia="Palatino Linotype" w:cs="Palatino Linotype"/>
          <w:szCs w:val="24"/>
        </w:rPr>
      </w:pPr>
      <w:r w:rsidRPr="001B3076">
        <w:rPr>
          <w:rFonts w:eastAsia="Palatino Linotype" w:cs="Palatino Linotype"/>
          <w:szCs w:val="24"/>
        </w:rPr>
        <w:t>Por lo cual, se procede analizar cada uno de los requisitos señalados en los Lineamientos Generales, con la finalidad de verificar si se configura la hipótesis de reserva en estudio:</w:t>
      </w:r>
    </w:p>
    <w:p w14:paraId="3A25A4E5" w14:textId="77777777" w:rsidR="00A7324E" w:rsidRPr="001B3076" w:rsidRDefault="00A7324E" w:rsidP="001B3076">
      <w:pPr>
        <w:rPr>
          <w:rFonts w:eastAsia="Palatino Linotype" w:cs="Palatino Linotype"/>
        </w:rPr>
      </w:pPr>
    </w:p>
    <w:p w14:paraId="5133AEC5" w14:textId="77777777" w:rsidR="00A7324E" w:rsidRPr="001B3076" w:rsidRDefault="00A7324E" w:rsidP="001B3076">
      <w:pPr>
        <w:numPr>
          <w:ilvl w:val="0"/>
          <w:numId w:val="45"/>
        </w:numPr>
        <w:rPr>
          <w:rFonts w:eastAsia="Palatino Linotype" w:cs="Palatino Linotype"/>
          <w:b/>
        </w:rPr>
      </w:pPr>
      <w:r w:rsidRPr="001B3076">
        <w:rPr>
          <w:rFonts w:eastAsia="Palatino Linotype" w:cs="Palatino Linotype"/>
          <w:b/>
        </w:rPr>
        <w:t>La existencia de un juicio o procedimiento administrativo materialmente jurisdiccional, que se encuentre en trámite.</w:t>
      </w:r>
    </w:p>
    <w:p w14:paraId="46C4A3A4" w14:textId="77777777" w:rsidR="00A7324E" w:rsidRPr="001B3076" w:rsidRDefault="00A7324E" w:rsidP="001B3076">
      <w:pPr>
        <w:rPr>
          <w:rFonts w:eastAsia="Palatino Linotype" w:cs="Palatino Linotype"/>
          <w:b/>
        </w:rPr>
      </w:pPr>
    </w:p>
    <w:p w14:paraId="00C6AFE3" w14:textId="7888C778" w:rsidR="00A7324E" w:rsidRPr="001B3076" w:rsidRDefault="00A7324E" w:rsidP="001B3076">
      <w:pPr>
        <w:rPr>
          <w:rFonts w:eastAsia="Palatino Linotype" w:cs="Palatino Linotype"/>
          <w:szCs w:val="24"/>
        </w:rPr>
      </w:pPr>
      <w:r w:rsidRPr="001B3076">
        <w:rPr>
          <w:rFonts w:eastAsia="Palatino Linotype" w:cs="Palatino Linotype"/>
          <w:szCs w:val="24"/>
        </w:rPr>
        <w:t xml:space="preserve">Al respecto, en el presente caso, se trata de procedimientos administrativos, por lo que es necesario analizar, si corresponden a aquellos seguidos en forma de juicio y determinar, sí se actualiza el </w:t>
      </w:r>
      <w:r w:rsidRPr="001B3076">
        <w:rPr>
          <w:rFonts w:eastAsia="Palatino Linotype" w:cs="Palatino Linotype"/>
          <w:b/>
          <w:szCs w:val="24"/>
        </w:rPr>
        <w:t xml:space="preserve">primer elemento, </w:t>
      </w:r>
      <w:r w:rsidRPr="001B3076">
        <w:rPr>
          <w:rFonts w:eastAsia="Palatino Linotype" w:cs="Palatino Linotype"/>
          <w:szCs w:val="24"/>
        </w:rPr>
        <w:t>para actualizar la causal de clasificación en estudio.</w:t>
      </w:r>
    </w:p>
    <w:p w14:paraId="3259314B" w14:textId="77777777" w:rsidR="00A7324E" w:rsidRPr="001B3076" w:rsidRDefault="00A7324E" w:rsidP="001B3076">
      <w:pPr>
        <w:rPr>
          <w:rFonts w:eastAsia="Palatino Linotype" w:cs="Palatino Linotype"/>
          <w:sz w:val="24"/>
          <w:szCs w:val="24"/>
        </w:rPr>
      </w:pPr>
    </w:p>
    <w:p w14:paraId="5B36EACC" w14:textId="77777777" w:rsidR="00A7324E" w:rsidRPr="001B3076" w:rsidRDefault="00A7324E" w:rsidP="001B3076">
      <w:pPr>
        <w:rPr>
          <w:rFonts w:eastAsia="Palatino Linotype" w:cs="Palatino Linotype"/>
          <w:szCs w:val="24"/>
        </w:rPr>
      </w:pPr>
      <w:r w:rsidRPr="001B3076">
        <w:rPr>
          <w:rFonts w:eastAsia="Palatino Linotype" w:cs="Palatino Linotype"/>
          <w:szCs w:val="24"/>
        </w:rPr>
        <w:t>En relación con lo anterior, es menester precisar que para que se trate de un</w:t>
      </w:r>
      <w:r w:rsidRPr="001B3076">
        <w:rPr>
          <w:rFonts w:eastAsia="Palatino Linotype" w:cs="Palatino Linotype"/>
          <w:b/>
          <w:szCs w:val="24"/>
        </w:rPr>
        <w:t xml:space="preserve"> </w:t>
      </w:r>
      <w:r w:rsidRPr="001B3076">
        <w:rPr>
          <w:rFonts w:eastAsia="Palatino Linotype" w:cs="Palatino Linotype"/>
          <w:szCs w:val="24"/>
        </w:rPr>
        <w:t xml:space="preserve">juicio o procedimiento administrativo materialmente jurisdiccional, debe cumplirse con lo dispuesto en los Lineamientos Generales, así como lo sostenido por la Segunda Sala de la Suprema Corte de Justicia de la Nación, en la Tesis 2a./J. 22/2003, consistente en que un </w:t>
      </w:r>
      <w:r w:rsidRPr="001B3076">
        <w:rPr>
          <w:rFonts w:eastAsia="Palatino Linotype" w:cs="Palatino Linotype"/>
          <w:i/>
          <w:sz w:val="20"/>
        </w:rPr>
        <w:t>“procedimiento en forma de juicio”,</w:t>
      </w:r>
      <w:r w:rsidRPr="001B3076">
        <w:rPr>
          <w:rFonts w:eastAsia="Palatino Linotype" w:cs="Palatino Linotype"/>
          <w:sz w:val="20"/>
        </w:rPr>
        <w:t xml:space="preserve"> </w:t>
      </w:r>
      <w:r w:rsidRPr="001B3076">
        <w:rPr>
          <w:rFonts w:eastAsia="Palatino Linotype" w:cs="Palatino Linotype"/>
          <w:szCs w:val="24"/>
        </w:rPr>
        <w:t xml:space="preserve">debe entenderse </w:t>
      </w:r>
      <w:r w:rsidRPr="001B3076">
        <w:rPr>
          <w:rFonts w:eastAsia="Palatino Linotype" w:cs="Palatino Linotype"/>
          <w:i/>
          <w:szCs w:val="24"/>
        </w:rPr>
        <w:t>lato sensu</w:t>
      </w:r>
      <w:r w:rsidRPr="001B3076">
        <w:rPr>
          <w:rFonts w:eastAsia="Palatino Linotype" w:cs="Palatino Linotype"/>
          <w:szCs w:val="24"/>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sidRPr="001B3076">
        <w:rPr>
          <w:rFonts w:eastAsia="Palatino Linotype" w:cs="Palatino Linotype"/>
          <w:b/>
          <w:szCs w:val="24"/>
        </w:rPr>
        <w:t xml:space="preserve"> </w:t>
      </w:r>
      <w:r w:rsidRPr="001B3076">
        <w:rPr>
          <w:rFonts w:eastAsia="Palatino Linotype" w:cs="Palatino Linotype"/>
          <w:szCs w:val="24"/>
        </w:rPr>
        <w:t>tal como se muestra a continuación:</w:t>
      </w:r>
    </w:p>
    <w:p w14:paraId="64DA8B78" w14:textId="77777777" w:rsidR="00A7324E" w:rsidRPr="001B3076" w:rsidRDefault="00A7324E" w:rsidP="001B3076">
      <w:pPr>
        <w:rPr>
          <w:rFonts w:eastAsia="Palatino Linotype" w:cs="Palatino Linotype"/>
        </w:rPr>
      </w:pPr>
    </w:p>
    <w:p w14:paraId="14A8126B" w14:textId="77777777" w:rsidR="001B3076" w:rsidRPr="001B3076" w:rsidRDefault="001B3076" w:rsidP="001B3076">
      <w:pPr>
        <w:rPr>
          <w:rFonts w:eastAsia="Palatino Linotype" w:cs="Palatino Linotype"/>
        </w:rPr>
      </w:pPr>
    </w:p>
    <w:p w14:paraId="2F2561FF" w14:textId="77777777" w:rsidR="00A7324E" w:rsidRPr="001B3076" w:rsidRDefault="00A7324E" w:rsidP="001B3076">
      <w:pPr>
        <w:spacing w:line="240" w:lineRule="auto"/>
        <w:ind w:left="567" w:right="567"/>
        <w:rPr>
          <w:rFonts w:eastAsia="Palatino Linotype" w:cs="Palatino Linotype"/>
          <w:i/>
        </w:rPr>
      </w:pPr>
      <w:r w:rsidRPr="001B3076">
        <w:rPr>
          <w:rFonts w:eastAsia="Palatino Linotype" w:cs="Palatino Linotype"/>
        </w:rPr>
        <w:lastRenderedPageBreak/>
        <w:t>“</w:t>
      </w:r>
      <w:r w:rsidRPr="001B3076">
        <w:rPr>
          <w:rFonts w:eastAsia="Palatino Linotype" w:cs="Palatino Linotype"/>
          <w:b/>
          <w:i/>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1B3076">
        <w:rPr>
          <w:rFonts w:eastAsia="Palatino Linotype" w:cs="Palatino Linotype"/>
          <w:i/>
        </w:rPr>
        <w:t xml:space="preserve">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y en los procedimientos de remate, como lo establece en sus artículos </w:t>
      </w:r>
      <w:hyperlink r:id="rId14">
        <w:r w:rsidRPr="001B3076">
          <w:rPr>
            <w:i/>
          </w:rPr>
          <w:t>158</w:t>
        </w:r>
      </w:hyperlink>
      <w:r w:rsidRPr="001B3076">
        <w:rPr>
          <w:rFonts w:eastAsia="Palatino Linotype" w:cs="Palatino Linotype"/>
          <w:i/>
        </w:rPr>
        <w:t xml:space="preserve"> y </w:t>
      </w:r>
      <w:hyperlink r:id="rId15">
        <w:r w:rsidRPr="001B3076">
          <w:rPr>
            <w:i/>
          </w:rPr>
          <w:t>114, fracción III</w:t>
        </w:r>
      </w:hyperlink>
      <w:r w:rsidRPr="001B3076">
        <w:rPr>
          <w:rFonts w:eastAsia="Palatino Linotype" w:cs="Palatino Linotype"/>
          <w:i/>
        </w:rPr>
        <w:t>,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482D4097" w14:textId="77777777" w:rsidR="00A7324E" w:rsidRPr="001B3076" w:rsidRDefault="00A7324E" w:rsidP="001B3076">
      <w:pPr>
        <w:rPr>
          <w:rFonts w:eastAsia="Palatino Linotype" w:cs="Palatino Linotype"/>
          <w:b/>
        </w:rPr>
      </w:pPr>
    </w:p>
    <w:p w14:paraId="0B13A93D" w14:textId="77777777" w:rsidR="00A7324E" w:rsidRPr="001B3076" w:rsidRDefault="00A7324E" w:rsidP="001B3076">
      <w:pPr>
        <w:rPr>
          <w:rFonts w:eastAsia="Palatino Linotype" w:cs="Palatino Linotype"/>
          <w:szCs w:val="24"/>
        </w:rPr>
      </w:pPr>
      <w:r w:rsidRPr="001B3076">
        <w:rPr>
          <w:rFonts w:eastAsia="Palatino Linotype" w:cs="Palatino Linotype"/>
          <w:szCs w:val="24"/>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0C504E79" w14:textId="77777777" w:rsidR="00A7324E" w:rsidRPr="001B3076" w:rsidRDefault="00A7324E" w:rsidP="001B3076">
      <w:pPr>
        <w:rPr>
          <w:rFonts w:eastAsia="Palatino Linotype" w:cs="Palatino Linotype"/>
        </w:rPr>
      </w:pPr>
    </w:p>
    <w:p w14:paraId="7FDF2C1B" w14:textId="77777777" w:rsidR="00A7324E" w:rsidRPr="001B3076" w:rsidRDefault="00A7324E" w:rsidP="001B3076">
      <w:pPr>
        <w:spacing w:line="276" w:lineRule="auto"/>
        <w:ind w:left="567" w:right="567"/>
        <w:rPr>
          <w:rFonts w:eastAsia="Palatino Linotype" w:cs="Palatino Linotype"/>
          <w:i/>
        </w:rPr>
      </w:pPr>
      <w:r w:rsidRPr="001B3076">
        <w:rPr>
          <w:rFonts w:eastAsia="Palatino Linotype" w:cs="Palatino Linotype"/>
          <w:b/>
          <w:i/>
        </w:rPr>
        <w:t xml:space="preserve">“FORMALIDADES ESENCIALES DEL PROCEDIMIENTO. SON LAS QUE GARANTIZAN UNA ADECUADA Y OPORTUNA DEFENSA PREVIA AL ACTO PRIVATIVO. </w:t>
      </w:r>
      <w:r w:rsidRPr="001B3076">
        <w:rPr>
          <w:rFonts w:eastAsia="Palatino Linotype" w:cs="Palatino Linotype"/>
          <w:i/>
        </w:rPr>
        <w:t xml:space="preserve">La garantía de audiencia establecida por el artículo 14 constitucional consiste en otorgar al gobernado la oportunidad de defensa previamente al acto privativo </w:t>
      </w:r>
      <w:r w:rsidRPr="001B3076">
        <w:rPr>
          <w:rFonts w:eastAsia="Palatino Linotype" w:cs="Palatino Linotype"/>
          <w:i/>
        </w:rPr>
        <w:lastRenderedPageBreak/>
        <w:t>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2FABF1D5" w14:textId="77777777" w:rsidR="00A7324E" w:rsidRPr="001B3076" w:rsidRDefault="00A7324E" w:rsidP="001B3076">
      <w:pPr>
        <w:rPr>
          <w:rFonts w:eastAsia="Palatino Linotype" w:cs="Palatino Linotype"/>
        </w:rPr>
      </w:pPr>
    </w:p>
    <w:p w14:paraId="7269531D" w14:textId="77777777" w:rsidR="00A7324E" w:rsidRPr="001B3076" w:rsidRDefault="00A7324E" w:rsidP="001B3076">
      <w:pPr>
        <w:rPr>
          <w:rFonts w:eastAsia="Palatino Linotype" w:cs="Palatino Linotype"/>
          <w:szCs w:val="24"/>
        </w:rPr>
      </w:pPr>
      <w:r w:rsidRPr="001B3076">
        <w:rPr>
          <w:rFonts w:eastAsia="Palatino Linotype" w:cs="Palatino Linotype"/>
          <w:szCs w:val="24"/>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4DA67E77" w14:textId="77777777" w:rsidR="00A7324E" w:rsidRPr="001B3076" w:rsidRDefault="00A7324E" w:rsidP="001B3076">
      <w:pPr>
        <w:rPr>
          <w:rFonts w:eastAsia="Palatino Linotype" w:cs="Palatino Linotype"/>
        </w:rPr>
      </w:pPr>
    </w:p>
    <w:p w14:paraId="074E69AF" w14:textId="77777777" w:rsidR="00A7324E" w:rsidRPr="001B3076" w:rsidRDefault="00A7324E" w:rsidP="001B3076">
      <w:pPr>
        <w:numPr>
          <w:ilvl w:val="0"/>
          <w:numId w:val="46"/>
        </w:numPr>
        <w:ind w:left="851"/>
        <w:rPr>
          <w:rFonts w:eastAsia="Palatino Linotype" w:cs="Palatino Linotype"/>
        </w:rPr>
      </w:pPr>
      <w:r w:rsidRPr="001B3076">
        <w:rPr>
          <w:rFonts w:eastAsia="Palatino Linotype" w:cs="Palatino Linotype"/>
        </w:rPr>
        <w:t>La notificación del inicio del procedimiento y sus consecuencias;</w:t>
      </w:r>
    </w:p>
    <w:p w14:paraId="663918DE" w14:textId="77777777" w:rsidR="00A7324E" w:rsidRPr="001B3076" w:rsidRDefault="00A7324E" w:rsidP="001B3076">
      <w:pPr>
        <w:numPr>
          <w:ilvl w:val="0"/>
          <w:numId w:val="46"/>
        </w:numPr>
        <w:ind w:left="851"/>
        <w:rPr>
          <w:rFonts w:eastAsia="Palatino Linotype" w:cs="Palatino Linotype"/>
        </w:rPr>
      </w:pPr>
      <w:r w:rsidRPr="001B3076">
        <w:rPr>
          <w:rFonts w:eastAsia="Palatino Linotype" w:cs="Palatino Linotype"/>
        </w:rPr>
        <w:t xml:space="preserve">La oportunidad de ofrecer y desahogar pruebas; </w:t>
      </w:r>
    </w:p>
    <w:p w14:paraId="377BE2A0" w14:textId="77777777" w:rsidR="00A7324E" w:rsidRPr="001B3076" w:rsidRDefault="00A7324E" w:rsidP="001B3076">
      <w:pPr>
        <w:numPr>
          <w:ilvl w:val="0"/>
          <w:numId w:val="46"/>
        </w:numPr>
        <w:ind w:left="851"/>
        <w:rPr>
          <w:rFonts w:eastAsia="Palatino Linotype" w:cs="Palatino Linotype"/>
        </w:rPr>
      </w:pPr>
      <w:r w:rsidRPr="001B3076">
        <w:rPr>
          <w:rFonts w:eastAsia="Palatino Linotype" w:cs="Palatino Linotype"/>
        </w:rPr>
        <w:t>La oportunidad de alegar; y</w:t>
      </w:r>
    </w:p>
    <w:p w14:paraId="26B1F622" w14:textId="77777777" w:rsidR="00A7324E" w:rsidRPr="001B3076" w:rsidRDefault="00A7324E" w:rsidP="001B3076">
      <w:pPr>
        <w:numPr>
          <w:ilvl w:val="0"/>
          <w:numId w:val="46"/>
        </w:numPr>
        <w:ind w:left="851"/>
        <w:rPr>
          <w:rFonts w:eastAsia="Palatino Linotype" w:cs="Palatino Linotype"/>
        </w:rPr>
      </w:pPr>
      <w:r w:rsidRPr="001B3076">
        <w:rPr>
          <w:rFonts w:eastAsia="Palatino Linotype" w:cs="Palatino Linotype"/>
        </w:rPr>
        <w:t>El dictado de una resolución que dirima las cuestiones debatidas.</w:t>
      </w:r>
    </w:p>
    <w:p w14:paraId="143C404F" w14:textId="77777777" w:rsidR="00A7324E" w:rsidRPr="001B3076" w:rsidRDefault="00A7324E" w:rsidP="001B3076">
      <w:pPr>
        <w:rPr>
          <w:rFonts w:eastAsia="Palatino Linotype" w:cs="Palatino Linotype"/>
        </w:rPr>
      </w:pPr>
    </w:p>
    <w:p w14:paraId="667BD4E3" w14:textId="77777777" w:rsidR="00A7324E" w:rsidRPr="001B3076" w:rsidRDefault="00A7324E" w:rsidP="001B3076">
      <w:pPr>
        <w:rPr>
          <w:rFonts w:eastAsia="Palatino Linotype" w:cs="Palatino Linotype"/>
          <w:szCs w:val="24"/>
        </w:rPr>
      </w:pPr>
      <w:r w:rsidRPr="001B3076">
        <w:rPr>
          <w:rFonts w:eastAsia="Palatino Linotype" w:cs="Palatino Linotype"/>
          <w:szCs w:val="24"/>
        </w:rPr>
        <w:t xml:space="preserve">Por lo que hace a la notificación del inicio del procedimiento y sus consecuencias, es la etapa en la que se hace del conocimiento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w:t>
      </w:r>
      <w:r w:rsidRPr="001B3076">
        <w:rPr>
          <w:rFonts w:eastAsia="Palatino Linotype" w:cs="Palatino Linotype"/>
          <w:szCs w:val="24"/>
        </w:rPr>
        <w:lastRenderedPageBreak/>
        <w:t xml:space="preserve">dictado de la resolución, versa en la determinación de la autoridad competente de las cuestiones debatidas. </w:t>
      </w:r>
    </w:p>
    <w:p w14:paraId="22C4D6E6" w14:textId="77777777" w:rsidR="00A7324E" w:rsidRPr="001B3076" w:rsidRDefault="00A7324E" w:rsidP="001B3076">
      <w:pPr>
        <w:rPr>
          <w:rFonts w:eastAsia="Palatino Linotype" w:cs="Palatino Linotype"/>
          <w:szCs w:val="24"/>
        </w:rPr>
      </w:pPr>
    </w:p>
    <w:p w14:paraId="2343237A" w14:textId="61B4C634" w:rsidR="00A7324E" w:rsidRPr="001B3076" w:rsidRDefault="00A7324E" w:rsidP="001B3076">
      <w:pPr>
        <w:rPr>
          <w:rFonts w:eastAsia="Palatino Linotype" w:cs="Palatino Linotype"/>
          <w:szCs w:val="24"/>
        </w:rPr>
      </w:pPr>
      <w:r w:rsidRPr="001B3076">
        <w:rPr>
          <w:rFonts w:eastAsia="Palatino Linotype" w:cs="Palatino Linotype"/>
          <w:szCs w:val="24"/>
        </w:rPr>
        <w:t xml:space="preserve">Conforme a lo anterior, se logra observar que el Procedimiento Administrativo, cumple con las </w:t>
      </w:r>
      <w:r w:rsidRPr="001B3076">
        <w:rPr>
          <w:rFonts w:eastAsia="Palatino Linotype" w:cs="Palatino Linotype"/>
          <w:b/>
          <w:szCs w:val="24"/>
        </w:rPr>
        <w:t>formalidades esenciales de un procedimiento seguido en forma de juicio</w:t>
      </w:r>
      <w:r w:rsidRPr="001B3076">
        <w:rPr>
          <w:rFonts w:eastAsia="Palatino Linotype" w:cs="Palatino Linotype"/>
          <w:szCs w:val="24"/>
        </w:rPr>
        <w:t xml:space="preserve">; ya que se encuentra integrado por etapas procesales, que incluye la notificación de citación a audiencia, la posibilidad de ofrecer pruebas y alegatos (garantía de audiencia), además, que es sustanciado ante una autoridad, la cual emite una resolución al concluir dicho procedimiento, así como, la posible sanción. </w:t>
      </w:r>
    </w:p>
    <w:p w14:paraId="6D2E3A9B" w14:textId="77777777" w:rsidR="00A7324E" w:rsidRPr="001B3076" w:rsidRDefault="00A7324E" w:rsidP="001B3076">
      <w:pPr>
        <w:pBdr>
          <w:top w:val="nil"/>
          <w:left w:val="nil"/>
          <w:bottom w:val="nil"/>
          <w:right w:val="nil"/>
          <w:between w:val="nil"/>
        </w:pBdr>
        <w:ind w:right="49"/>
        <w:rPr>
          <w:rFonts w:eastAsia="Palatino Linotype" w:cs="Palatino Linotype"/>
          <w:b/>
          <w:szCs w:val="24"/>
        </w:rPr>
      </w:pPr>
    </w:p>
    <w:p w14:paraId="6B992506" w14:textId="36D93485" w:rsidR="00A7324E" w:rsidRPr="001B3076" w:rsidRDefault="00A7324E" w:rsidP="001B3076">
      <w:pPr>
        <w:pBdr>
          <w:top w:val="nil"/>
          <w:left w:val="nil"/>
          <w:bottom w:val="nil"/>
          <w:right w:val="nil"/>
          <w:between w:val="nil"/>
        </w:pBdr>
        <w:ind w:right="49"/>
        <w:rPr>
          <w:rFonts w:eastAsia="Palatino Linotype" w:cs="Palatino Linotype"/>
          <w:b/>
          <w:szCs w:val="24"/>
        </w:rPr>
      </w:pPr>
      <w:r w:rsidRPr="001B3076">
        <w:rPr>
          <w:rFonts w:eastAsia="Palatino Linotype" w:cs="Palatino Linotype"/>
          <w:b/>
          <w:szCs w:val="24"/>
        </w:rPr>
        <w:t xml:space="preserve">Por tales circunstancias, se considerará como información reservada los expedientes requeridos por el particular, </w:t>
      </w:r>
      <w:r w:rsidRPr="001B3076">
        <w:rPr>
          <w:rFonts w:eastAsia="Palatino Linotype" w:cs="Palatino Linotype"/>
          <w:b/>
          <w:szCs w:val="24"/>
          <w:u w:val="single"/>
        </w:rPr>
        <w:t>en tanto estos no hayan causado estado</w:t>
      </w:r>
      <w:r w:rsidRPr="001B3076">
        <w:rPr>
          <w:rFonts w:eastAsia="Palatino Linotype" w:cs="Palatino Linotype"/>
          <w:b/>
          <w:szCs w:val="24"/>
        </w:rPr>
        <w:t xml:space="preserve">, en términos del artículo 140, fracción VIII de la Ley de Transparencia y Acceso a la Información Pública del Estado de México y Municipios. </w:t>
      </w:r>
    </w:p>
    <w:p w14:paraId="0D53D1B6" w14:textId="77777777" w:rsidR="00A7324E" w:rsidRPr="001B3076" w:rsidRDefault="00A7324E" w:rsidP="001B3076">
      <w:pPr>
        <w:pStyle w:val="Ttulo3"/>
        <w:rPr>
          <w:szCs w:val="22"/>
        </w:rPr>
      </w:pPr>
      <w:bookmarkStart w:id="30" w:name="_Toc172153688"/>
      <w:bookmarkStart w:id="31" w:name="_Toc174019541"/>
      <w:bookmarkEnd w:id="28"/>
      <w:bookmarkEnd w:id="29"/>
    </w:p>
    <w:p w14:paraId="426F416B" w14:textId="77777777" w:rsidR="00D107BD" w:rsidRPr="001B3076" w:rsidRDefault="00D107BD" w:rsidP="001B3076">
      <w:pPr>
        <w:pStyle w:val="Ttulo3"/>
        <w:rPr>
          <w:szCs w:val="22"/>
        </w:rPr>
      </w:pPr>
      <w:bookmarkStart w:id="32" w:name="_Toc179389837"/>
      <w:r w:rsidRPr="001B3076">
        <w:rPr>
          <w:szCs w:val="22"/>
        </w:rPr>
        <w:t>d) Versión pública</w:t>
      </w:r>
      <w:bookmarkEnd w:id="30"/>
      <w:bookmarkEnd w:id="31"/>
      <w:bookmarkEnd w:id="32"/>
    </w:p>
    <w:p w14:paraId="412D761F" w14:textId="77777777" w:rsidR="00D107BD" w:rsidRPr="001B3076" w:rsidRDefault="00D107BD" w:rsidP="001B3076">
      <w:pPr>
        <w:rPr>
          <w:szCs w:val="22"/>
        </w:rPr>
      </w:pPr>
      <w:r w:rsidRPr="001B3076">
        <w:rPr>
          <w:szCs w:val="22"/>
        </w:rPr>
        <w:t xml:space="preserve">Para el caso de que el o los documentos de los cuales se ordena su entrega contengan datos personales susceptibles de ser testados, deberán ser entregados en </w:t>
      </w:r>
      <w:r w:rsidRPr="001B3076">
        <w:rPr>
          <w:b/>
          <w:szCs w:val="22"/>
        </w:rPr>
        <w:t>versión pública</w:t>
      </w:r>
      <w:r w:rsidRPr="001B3076">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1B3076">
        <w:rPr>
          <w:szCs w:val="22"/>
        </w:rPr>
        <w:lastRenderedPageBreak/>
        <w:t>elaboración de versiones públicas en las que se suprima aquella información relacionada con la vida privada de los particulares.</w:t>
      </w:r>
    </w:p>
    <w:p w14:paraId="08194B59" w14:textId="77777777" w:rsidR="00D107BD" w:rsidRPr="001B3076" w:rsidRDefault="00D107BD" w:rsidP="001B3076">
      <w:pPr>
        <w:rPr>
          <w:szCs w:val="22"/>
        </w:rPr>
      </w:pPr>
    </w:p>
    <w:p w14:paraId="4D6C3EC4" w14:textId="77777777" w:rsidR="00D107BD" w:rsidRPr="001B3076" w:rsidRDefault="00D107BD" w:rsidP="001B3076">
      <w:pPr>
        <w:rPr>
          <w:szCs w:val="22"/>
        </w:rPr>
      </w:pPr>
      <w:r w:rsidRPr="001B3076">
        <w:rPr>
          <w:szCs w:val="22"/>
        </w:rPr>
        <w:t>A este respecto, los artículos 3, fracciones IX, XX, XXI y XLV; 51 y 52 de la Ley de Transparencia y Acceso a la Información Pública del Estado de México y Municipios establecen:</w:t>
      </w:r>
    </w:p>
    <w:p w14:paraId="4CB0D033" w14:textId="77777777" w:rsidR="00D107BD" w:rsidRPr="001B3076" w:rsidRDefault="00D107BD" w:rsidP="001B3076">
      <w:pPr>
        <w:rPr>
          <w:szCs w:val="22"/>
        </w:rPr>
      </w:pPr>
    </w:p>
    <w:p w14:paraId="36301D0E" w14:textId="77777777" w:rsidR="00D107BD" w:rsidRPr="001B3076" w:rsidRDefault="00D107BD" w:rsidP="001B3076">
      <w:pPr>
        <w:pStyle w:val="Puesto"/>
        <w:rPr>
          <w:szCs w:val="22"/>
        </w:rPr>
      </w:pPr>
      <w:r w:rsidRPr="001B3076">
        <w:rPr>
          <w:b/>
          <w:szCs w:val="22"/>
        </w:rPr>
        <w:t xml:space="preserve">“Artículo 3. </w:t>
      </w:r>
      <w:r w:rsidRPr="001B3076">
        <w:rPr>
          <w:szCs w:val="22"/>
        </w:rPr>
        <w:t xml:space="preserve">Para los efectos de la presente Ley se entenderá por: </w:t>
      </w:r>
    </w:p>
    <w:p w14:paraId="6ED76478" w14:textId="77777777" w:rsidR="00D107BD" w:rsidRPr="001B3076" w:rsidRDefault="00D107BD" w:rsidP="001B3076">
      <w:pPr>
        <w:pStyle w:val="Puesto"/>
        <w:rPr>
          <w:szCs w:val="22"/>
        </w:rPr>
      </w:pPr>
      <w:r w:rsidRPr="001B3076">
        <w:rPr>
          <w:b/>
          <w:szCs w:val="22"/>
        </w:rPr>
        <w:t>IX.</w:t>
      </w:r>
      <w:r w:rsidRPr="001B3076">
        <w:rPr>
          <w:szCs w:val="22"/>
        </w:rPr>
        <w:t xml:space="preserve"> </w:t>
      </w:r>
      <w:r w:rsidRPr="001B3076">
        <w:rPr>
          <w:b/>
          <w:szCs w:val="22"/>
        </w:rPr>
        <w:t xml:space="preserve">Datos personales: </w:t>
      </w:r>
      <w:r w:rsidRPr="001B3076">
        <w:rPr>
          <w:szCs w:val="22"/>
        </w:rPr>
        <w:t xml:space="preserve">La información concerniente a una persona, identificada o identificable según lo dispuesto por la Ley de Protección de Datos Personales del Estado de México; </w:t>
      </w:r>
    </w:p>
    <w:p w14:paraId="58364D3F" w14:textId="77777777" w:rsidR="00D107BD" w:rsidRPr="001B3076" w:rsidRDefault="00D107BD" w:rsidP="001B3076">
      <w:pPr>
        <w:pStyle w:val="Puesto"/>
        <w:rPr>
          <w:szCs w:val="22"/>
        </w:rPr>
      </w:pPr>
    </w:p>
    <w:p w14:paraId="363E5B41" w14:textId="77777777" w:rsidR="00D107BD" w:rsidRPr="001B3076" w:rsidRDefault="00D107BD" w:rsidP="001B3076">
      <w:pPr>
        <w:pStyle w:val="Puesto"/>
        <w:rPr>
          <w:szCs w:val="22"/>
        </w:rPr>
      </w:pPr>
      <w:r w:rsidRPr="001B3076">
        <w:rPr>
          <w:b/>
          <w:szCs w:val="22"/>
        </w:rPr>
        <w:t>XX.</w:t>
      </w:r>
      <w:r w:rsidRPr="001B3076">
        <w:rPr>
          <w:szCs w:val="22"/>
        </w:rPr>
        <w:t xml:space="preserve"> </w:t>
      </w:r>
      <w:r w:rsidRPr="001B3076">
        <w:rPr>
          <w:b/>
          <w:szCs w:val="22"/>
        </w:rPr>
        <w:t>Información clasificada:</w:t>
      </w:r>
      <w:r w:rsidRPr="001B3076">
        <w:rPr>
          <w:szCs w:val="22"/>
        </w:rPr>
        <w:t xml:space="preserve"> Aquella considerada por la presente Ley como reservada o confidencial; </w:t>
      </w:r>
    </w:p>
    <w:p w14:paraId="113F9FA3" w14:textId="77777777" w:rsidR="00D107BD" w:rsidRPr="001B3076" w:rsidRDefault="00D107BD" w:rsidP="001B3076">
      <w:pPr>
        <w:pStyle w:val="Puesto"/>
        <w:rPr>
          <w:szCs w:val="22"/>
        </w:rPr>
      </w:pPr>
    </w:p>
    <w:p w14:paraId="50DBED95" w14:textId="77777777" w:rsidR="00D107BD" w:rsidRPr="001B3076" w:rsidRDefault="00D107BD" w:rsidP="001B3076">
      <w:pPr>
        <w:pStyle w:val="Puesto"/>
        <w:rPr>
          <w:szCs w:val="22"/>
        </w:rPr>
      </w:pPr>
      <w:r w:rsidRPr="001B3076">
        <w:rPr>
          <w:b/>
          <w:szCs w:val="22"/>
        </w:rPr>
        <w:t>XXI.</w:t>
      </w:r>
      <w:r w:rsidRPr="001B3076">
        <w:rPr>
          <w:szCs w:val="22"/>
        </w:rPr>
        <w:t xml:space="preserve"> </w:t>
      </w:r>
      <w:r w:rsidRPr="001B3076">
        <w:rPr>
          <w:b/>
          <w:szCs w:val="22"/>
        </w:rPr>
        <w:t>Información confidencial</w:t>
      </w:r>
      <w:r w:rsidRPr="001B307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0363DE7" w14:textId="77777777" w:rsidR="00D107BD" w:rsidRPr="001B3076" w:rsidRDefault="00D107BD" w:rsidP="001B3076">
      <w:pPr>
        <w:pStyle w:val="Puesto"/>
        <w:rPr>
          <w:szCs w:val="22"/>
        </w:rPr>
      </w:pPr>
    </w:p>
    <w:p w14:paraId="5BF1996A" w14:textId="77777777" w:rsidR="00D107BD" w:rsidRPr="001B3076" w:rsidRDefault="00D107BD" w:rsidP="001B3076">
      <w:pPr>
        <w:pStyle w:val="Puesto"/>
        <w:rPr>
          <w:szCs w:val="22"/>
        </w:rPr>
      </w:pPr>
      <w:r w:rsidRPr="001B3076">
        <w:rPr>
          <w:b/>
          <w:szCs w:val="22"/>
        </w:rPr>
        <w:t>XLV. Versión pública:</w:t>
      </w:r>
      <w:r w:rsidRPr="001B3076">
        <w:rPr>
          <w:szCs w:val="22"/>
        </w:rPr>
        <w:t xml:space="preserve"> Documento en el que se elimine, suprime o borra la información clasificada como reservada o confidencial para permitir su acceso. </w:t>
      </w:r>
    </w:p>
    <w:p w14:paraId="5E9750D2" w14:textId="77777777" w:rsidR="00D107BD" w:rsidRPr="001B3076" w:rsidRDefault="00D107BD" w:rsidP="001B3076">
      <w:pPr>
        <w:pStyle w:val="Puesto"/>
        <w:rPr>
          <w:szCs w:val="22"/>
        </w:rPr>
      </w:pPr>
    </w:p>
    <w:p w14:paraId="6E0475E8" w14:textId="77777777" w:rsidR="00D107BD" w:rsidRPr="001B3076" w:rsidRDefault="00D107BD" w:rsidP="001B3076">
      <w:pPr>
        <w:pStyle w:val="Puesto"/>
        <w:rPr>
          <w:szCs w:val="22"/>
        </w:rPr>
      </w:pPr>
      <w:r w:rsidRPr="001B3076">
        <w:rPr>
          <w:b/>
          <w:szCs w:val="22"/>
        </w:rPr>
        <w:t>Artículo 51.</w:t>
      </w:r>
      <w:r w:rsidRPr="001B307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B3076">
        <w:rPr>
          <w:b/>
          <w:szCs w:val="22"/>
        </w:rPr>
        <w:t xml:space="preserve">y tendrá la responsabilidad de verificar en cada caso que la misma no sea confidencial o reservada. </w:t>
      </w:r>
      <w:r w:rsidRPr="001B3076">
        <w:rPr>
          <w:szCs w:val="22"/>
        </w:rPr>
        <w:t>Dicha Unidad contará con las facultades internas necesarias para gestionar la atención a las solicitudes de información en los términos de la Ley General y la presente Ley.</w:t>
      </w:r>
    </w:p>
    <w:p w14:paraId="3C2C3B85" w14:textId="77777777" w:rsidR="00D107BD" w:rsidRPr="001B3076" w:rsidRDefault="00D107BD" w:rsidP="001B3076">
      <w:pPr>
        <w:pStyle w:val="Puesto"/>
        <w:rPr>
          <w:szCs w:val="22"/>
        </w:rPr>
      </w:pPr>
    </w:p>
    <w:p w14:paraId="07F42913" w14:textId="77777777" w:rsidR="00D107BD" w:rsidRPr="001B3076" w:rsidRDefault="00D107BD" w:rsidP="001B3076">
      <w:pPr>
        <w:pStyle w:val="Puesto"/>
        <w:rPr>
          <w:szCs w:val="22"/>
        </w:rPr>
      </w:pPr>
      <w:r w:rsidRPr="001B3076">
        <w:rPr>
          <w:b/>
          <w:szCs w:val="22"/>
        </w:rPr>
        <w:t>Artículo 52.</w:t>
      </w:r>
      <w:r w:rsidRPr="001B3076">
        <w:rPr>
          <w:szCs w:val="22"/>
        </w:rPr>
        <w:t xml:space="preserve"> Las solicitudes de acceso a la información y las respuestas que se les dé, incluyendo, en su caso, </w:t>
      </w:r>
      <w:r w:rsidRPr="001B307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1B3076">
        <w:rPr>
          <w:szCs w:val="22"/>
        </w:rPr>
        <w:t>, siempre y cuando la resolución de referencia se someta a un proceso de disociación, es decir, no haga identificable al titular de tales datos personales.” (Énfasis añadido)</w:t>
      </w:r>
    </w:p>
    <w:p w14:paraId="546E9FD6" w14:textId="77777777" w:rsidR="00D107BD" w:rsidRPr="001B3076" w:rsidRDefault="00D107BD" w:rsidP="001B3076">
      <w:pPr>
        <w:rPr>
          <w:szCs w:val="22"/>
        </w:rPr>
      </w:pPr>
      <w:r w:rsidRPr="001B3076">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2F6A943" w14:textId="77777777" w:rsidR="00D107BD" w:rsidRPr="001B3076" w:rsidRDefault="00D107BD" w:rsidP="001B3076">
      <w:pPr>
        <w:rPr>
          <w:szCs w:val="22"/>
        </w:rPr>
      </w:pPr>
    </w:p>
    <w:p w14:paraId="3BC844FC" w14:textId="77777777" w:rsidR="00D107BD" w:rsidRPr="001B3076" w:rsidRDefault="00D107BD" w:rsidP="001B3076">
      <w:pPr>
        <w:pStyle w:val="Puesto"/>
        <w:rPr>
          <w:szCs w:val="22"/>
        </w:rPr>
      </w:pPr>
      <w:r w:rsidRPr="001B3076">
        <w:rPr>
          <w:b/>
          <w:szCs w:val="22"/>
        </w:rPr>
        <w:t>“Artículo 22.</w:t>
      </w:r>
      <w:r w:rsidRPr="001B3076">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D0B42A1" w14:textId="77777777" w:rsidR="00D107BD" w:rsidRPr="001B3076" w:rsidRDefault="00D107BD" w:rsidP="001B3076">
      <w:pPr>
        <w:rPr>
          <w:szCs w:val="22"/>
        </w:rPr>
      </w:pPr>
    </w:p>
    <w:p w14:paraId="0407CE1E" w14:textId="77777777" w:rsidR="00D107BD" w:rsidRPr="001B3076" w:rsidRDefault="00D107BD" w:rsidP="001B3076">
      <w:pPr>
        <w:pStyle w:val="Puesto"/>
        <w:rPr>
          <w:szCs w:val="22"/>
        </w:rPr>
      </w:pPr>
      <w:r w:rsidRPr="001B3076">
        <w:rPr>
          <w:b/>
          <w:szCs w:val="22"/>
        </w:rPr>
        <w:t>Artículo 38.</w:t>
      </w:r>
      <w:r w:rsidRPr="001B3076">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B3076">
        <w:rPr>
          <w:b/>
          <w:szCs w:val="22"/>
        </w:rPr>
        <w:t>”</w:t>
      </w:r>
      <w:r w:rsidRPr="001B3076">
        <w:rPr>
          <w:szCs w:val="22"/>
        </w:rPr>
        <w:t xml:space="preserve"> </w:t>
      </w:r>
    </w:p>
    <w:p w14:paraId="3A7B0E25" w14:textId="77777777" w:rsidR="00D107BD" w:rsidRPr="001B3076" w:rsidRDefault="00D107BD" w:rsidP="001B3076">
      <w:pPr>
        <w:rPr>
          <w:i/>
          <w:szCs w:val="22"/>
        </w:rPr>
      </w:pPr>
    </w:p>
    <w:p w14:paraId="1DDA7297" w14:textId="77777777" w:rsidR="00D107BD" w:rsidRPr="001B3076" w:rsidRDefault="00D107BD" w:rsidP="001B3076">
      <w:pPr>
        <w:rPr>
          <w:szCs w:val="22"/>
        </w:rPr>
      </w:pPr>
      <w:r w:rsidRPr="001B307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6AD9D4" w14:textId="77777777" w:rsidR="00D107BD" w:rsidRPr="001B3076" w:rsidRDefault="00D107BD" w:rsidP="001B3076">
      <w:pPr>
        <w:rPr>
          <w:szCs w:val="22"/>
        </w:rPr>
      </w:pPr>
    </w:p>
    <w:p w14:paraId="0ED74646" w14:textId="77777777" w:rsidR="001B3076" w:rsidRPr="001B3076" w:rsidRDefault="001B3076" w:rsidP="001B3076">
      <w:pPr>
        <w:rPr>
          <w:szCs w:val="22"/>
        </w:rPr>
      </w:pPr>
    </w:p>
    <w:p w14:paraId="7E338516" w14:textId="77777777" w:rsidR="00D107BD" w:rsidRPr="001B3076" w:rsidRDefault="00D107BD" w:rsidP="001B3076">
      <w:pPr>
        <w:rPr>
          <w:szCs w:val="22"/>
        </w:rPr>
      </w:pPr>
      <w:r w:rsidRPr="001B3076">
        <w:rPr>
          <w:szCs w:val="22"/>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B3076">
        <w:rPr>
          <w:b/>
          <w:szCs w:val="22"/>
        </w:rPr>
        <w:t>EL SUJETO OBLIGADO,</w:t>
      </w:r>
      <w:r w:rsidRPr="001B3076">
        <w:rPr>
          <w:szCs w:val="22"/>
        </w:rPr>
        <w:t xml:space="preserve"> por lo que, todo dato personal susceptible de clasificación debe ser protegido.</w:t>
      </w:r>
    </w:p>
    <w:p w14:paraId="19858C7D" w14:textId="77777777" w:rsidR="00D107BD" w:rsidRPr="001B3076" w:rsidRDefault="00D107BD" w:rsidP="001B3076">
      <w:pPr>
        <w:rPr>
          <w:szCs w:val="22"/>
        </w:rPr>
      </w:pPr>
    </w:p>
    <w:p w14:paraId="336B55AD" w14:textId="77777777" w:rsidR="00D107BD" w:rsidRPr="001B3076" w:rsidRDefault="00D107BD" w:rsidP="001B3076">
      <w:pPr>
        <w:rPr>
          <w:szCs w:val="22"/>
        </w:rPr>
      </w:pPr>
      <w:r w:rsidRPr="001B3076">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7C2A584" w14:textId="77777777" w:rsidR="00D107BD" w:rsidRPr="001B3076" w:rsidRDefault="00D107BD" w:rsidP="001B3076">
      <w:pPr>
        <w:rPr>
          <w:szCs w:val="22"/>
        </w:rPr>
      </w:pPr>
    </w:p>
    <w:p w14:paraId="4154805C" w14:textId="77777777" w:rsidR="00D107BD" w:rsidRPr="001B3076" w:rsidRDefault="00D107BD" w:rsidP="001B3076">
      <w:pPr>
        <w:rPr>
          <w:szCs w:val="22"/>
        </w:rPr>
      </w:pPr>
      <w:r w:rsidRPr="001B3076">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CD273B" w14:textId="77777777" w:rsidR="00D107BD" w:rsidRPr="001B3076" w:rsidRDefault="00D107BD" w:rsidP="001B3076">
      <w:pPr>
        <w:rPr>
          <w:szCs w:val="22"/>
        </w:rPr>
      </w:pPr>
    </w:p>
    <w:p w14:paraId="1666EC29" w14:textId="77777777" w:rsidR="00D107BD" w:rsidRPr="001B3076" w:rsidRDefault="00D107BD" w:rsidP="001B3076">
      <w:pPr>
        <w:pStyle w:val="Puesto"/>
        <w:rPr>
          <w:b/>
          <w:szCs w:val="22"/>
        </w:rPr>
      </w:pPr>
      <w:r w:rsidRPr="001B3076">
        <w:rPr>
          <w:b/>
          <w:szCs w:val="22"/>
        </w:rPr>
        <w:t>Ley de Transparencia y Acceso a la Información Pública del Estado de México y Municipios</w:t>
      </w:r>
    </w:p>
    <w:p w14:paraId="057E9FB0" w14:textId="77777777" w:rsidR="00D107BD" w:rsidRPr="001B3076" w:rsidRDefault="00D107BD" w:rsidP="001B3076">
      <w:pPr>
        <w:rPr>
          <w:szCs w:val="22"/>
        </w:rPr>
      </w:pPr>
    </w:p>
    <w:p w14:paraId="65C0DEA7" w14:textId="77777777" w:rsidR="00D107BD" w:rsidRPr="001B3076" w:rsidRDefault="00D107BD" w:rsidP="001B3076">
      <w:pPr>
        <w:pStyle w:val="Puesto"/>
        <w:rPr>
          <w:szCs w:val="22"/>
        </w:rPr>
      </w:pPr>
      <w:r w:rsidRPr="001B3076">
        <w:rPr>
          <w:b/>
          <w:szCs w:val="22"/>
        </w:rPr>
        <w:t xml:space="preserve">“Artículo 49. </w:t>
      </w:r>
      <w:r w:rsidRPr="001B3076">
        <w:rPr>
          <w:szCs w:val="22"/>
        </w:rPr>
        <w:t>Los Comités de Transparencia tendrán las siguientes atribuciones:</w:t>
      </w:r>
    </w:p>
    <w:p w14:paraId="332AA3F4" w14:textId="77777777" w:rsidR="00D107BD" w:rsidRPr="001B3076" w:rsidRDefault="00D107BD" w:rsidP="001B3076">
      <w:pPr>
        <w:pStyle w:val="Puesto"/>
        <w:rPr>
          <w:szCs w:val="22"/>
        </w:rPr>
      </w:pPr>
      <w:r w:rsidRPr="001B3076">
        <w:rPr>
          <w:b/>
          <w:szCs w:val="22"/>
        </w:rPr>
        <w:t>VIII.</w:t>
      </w:r>
      <w:r w:rsidRPr="001B3076">
        <w:rPr>
          <w:szCs w:val="22"/>
        </w:rPr>
        <w:t xml:space="preserve"> Aprobar, modificar o revocar la clasificación de la información;</w:t>
      </w:r>
    </w:p>
    <w:p w14:paraId="05E0A814" w14:textId="77777777" w:rsidR="00D107BD" w:rsidRPr="001B3076" w:rsidRDefault="00D107BD" w:rsidP="001B3076">
      <w:pPr>
        <w:pStyle w:val="Puesto"/>
        <w:rPr>
          <w:szCs w:val="22"/>
        </w:rPr>
      </w:pPr>
    </w:p>
    <w:p w14:paraId="169CB1FA" w14:textId="77777777" w:rsidR="00D107BD" w:rsidRPr="001B3076" w:rsidRDefault="00D107BD" w:rsidP="001B3076">
      <w:pPr>
        <w:pStyle w:val="Puesto"/>
        <w:rPr>
          <w:szCs w:val="22"/>
        </w:rPr>
      </w:pPr>
      <w:r w:rsidRPr="001B3076">
        <w:rPr>
          <w:b/>
          <w:szCs w:val="22"/>
        </w:rPr>
        <w:t>Artículo 132.</w:t>
      </w:r>
      <w:r w:rsidRPr="001B3076">
        <w:rPr>
          <w:szCs w:val="22"/>
        </w:rPr>
        <w:t xml:space="preserve"> La clasificación de la información se llevará a cabo en el momento en que:</w:t>
      </w:r>
    </w:p>
    <w:p w14:paraId="14648BD4" w14:textId="77777777" w:rsidR="00D107BD" w:rsidRPr="001B3076" w:rsidRDefault="00D107BD" w:rsidP="001B3076">
      <w:pPr>
        <w:pStyle w:val="Puesto"/>
        <w:rPr>
          <w:szCs w:val="22"/>
        </w:rPr>
      </w:pPr>
      <w:r w:rsidRPr="001B3076">
        <w:rPr>
          <w:b/>
          <w:szCs w:val="22"/>
        </w:rPr>
        <w:lastRenderedPageBreak/>
        <w:t>I.</w:t>
      </w:r>
      <w:r w:rsidRPr="001B3076">
        <w:rPr>
          <w:szCs w:val="22"/>
        </w:rPr>
        <w:t xml:space="preserve"> Se reciba una solicitud de acceso a la información;</w:t>
      </w:r>
    </w:p>
    <w:p w14:paraId="70550CD8" w14:textId="77777777" w:rsidR="00D107BD" w:rsidRPr="001B3076" w:rsidRDefault="00D107BD" w:rsidP="001B3076">
      <w:pPr>
        <w:pStyle w:val="Puesto"/>
        <w:rPr>
          <w:szCs w:val="22"/>
        </w:rPr>
      </w:pPr>
      <w:r w:rsidRPr="001B3076">
        <w:rPr>
          <w:b/>
          <w:szCs w:val="22"/>
        </w:rPr>
        <w:t>II.</w:t>
      </w:r>
      <w:r w:rsidRPr="001B3076">
        <w:rPr>
          <w:szCs w:val="22"/>
        </w:rPr>
        <w:t xml:space="preserve"> Se determine mediante resolución de autoridad competente; o</w:t>
      </w:r>
    </w:p>
    <w:p w14:paraId="09DAA997" w14:textId="77777777" w:rsidR="00D107BD" w:rsidRPr="001B3076" w:rsidRDefault="00D107BD" w:rsidP="001B3076">
      <w:pPr>
        <w:pStyle w:val="Puesto"/>
        <w:rPr>
          <w:b/>
          <w:szCs w:val="22"/>
        </w:rPr>
      </w:pPr>
      <w:r w:rsidRPr="001B3076">
        <w:rPr>
          <w:b/>
          <w:szCs w:val="22"/>
        </w:rPr>
        <w:t>III.</w:t>
      </w:r>
      <w:r w:rsidRPr="001B3076">
        <w:rPr>
          <w:szCs w:val="22"/>
        </w:rPr>
        <w:t xml:space="preserve"> Se generen versiones públicas para dar cumplimiento a las obligaciones de transparencia previstas en esta Ley.</w:t>
      </w:r>
      <w:r w:rsidRPr="001B3076">
        <w:rPr>
          <w:b/>
          <w:szCs w:val="22"/>
        </w:rPr>
        <w:t>”</w:t>
      </w:r>
    </w:p>
    <w:p w14:paraId="24A8C7B8" w14:textId="77777777" w:rsidR="00D107BD" w:rsidRPr="001B3076" w:rsidRDefault="00D107BD" w:rsidP="001B3076">
      <w:pPr>
        <w:pStyle w:val="Puesto"/>
        <w:rPr>
          <w:szCs w:val="22"/>
        </w:rPr>
      </w:pPr>
    </w:p>
    <w:p w14:paraId="7A02AAB8" w14:textId="77777777" w:rsidR="00D107BD" w:rsidRPr="001B3076" w:rsidRDefault="00D107BD" w:rsidP="001B3076">
      <w:pPr>
        <w:pStyle w:val="Puesto"/>
        <w:rPr>
          <w:szCs w:val="22"/>
        </w:rPr>
      </w:pPr>
      <w:r w:rsidRPr="001B3076">
        <w:rPr>
          <w:b/>
          <w:szCs w:val="22"/>
        </w:rPr>
        <w:t>“Segundo. -</w:t>
      </w:r>
      <w:r w:rsidRPr="001B3076">
        <w:rPr>
          <w:szCs w:val="22"/>
        </w:rPr>
        <w:t xml:space="preserve"> Para efectos de los presentes Lineamientos Generales, se entenderá por:</w:t>
      </w:r>
    </w:p>
    <w:p w14:paraId="535C3C9E" w14:textId="77777777" w:rsidR="00D107BD" w:rsidRPr="001B3076" w:rsidRDefault="00D107BD" w:rsidP="001B3076">
      <w:pPr>
        <w:pStyle w:val="Puesto"/>
        <w:rPr>
          <w:szCs w:val="22"/>
        </w:rPr>
      </w:pPr>
      <w:r w:rsidRPr="001B3076">
        <w:rPr>
          <w:b/>
          <w:szCs w:val="22"/>
        </w:rPr>
        <w:t>XVIII.</w:t>
      </w:r>
      <w:r w:rsidRPr="001B3076">
        <w:rPr>
          <w:szCs w:val="22"/>
        </w:rPr>
        <w:t xml:space="preserve">  </w:t>
      </w:r>
      <w:r w:rsidRPr="001B3076">
        <w:rPr>
          <w:b/>
          <w:szCs w:val="22"/>
        </w:rPr>
        <w:t>Versión pública:</w:t>
      </w:r>
      <w:r w:rsidRPr="001B307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48E6945" w14:textId="77777777" w:rsidR="00D107BD" w:rsidRPr="001B3076" w:rsidRDefault="00D107BD" w:rsidP="001B3076">
      <w:pPr>
        <w:pStyle w:val="Puesto"/>
        <w:rPr>
          <w:szCs w:val="22"/>
        </w:rPr>
      </w:pPr>
    </w:p>
    <w:p w14:paraId="366936D0" w14:textId="77777777" w:rsidR="00D107BD" w:rsidRPr="001B3076" w:rsidRDefault="00D107BD" w:rsidP="001B3076">
      <w:pPr>
        <w:pStyle w:val="Puesto"/>
        <w:rPr>
          <w:b/>
          <w:szCs w:val="22"/>
        </w:rPr>
      </w:pPr>
      <w:r w:rsidRPr="001B3076">
        <w:rPr>
          <w:b/>
          <w:szCs w:val="22"/>
        </w:rPr>
        <w:t>Lineamientos Generales en materia de Clasificación y Desclasificación de la Información</w:t>
      </w:r>
    </w:p>
    <w:p w14:paraId="7D688C9F" w14:textId="77777777" w:rsidR="00D107BD" w:rsidRPr="001B3076" w:rsidRDefault="00D107BD" w:rsidP="001B3076">
      <w:pPr>
        <w:pStyle w:val="Puesto"/>
        <w:rPr>
          <w:szCs w:val="22"/>
        </w:rPr>
      </w:pPr>
    </w:p>
    <w:p w14:paraId="2EE79F68" w14:textId="77777777" w:rsidR="00D107BD" w:rsidRPr="001B3076" w:rsidRDefault="00D107BD" w:rsidP="001B3076">
      <w:pPr>
        <w:pStyle w:val="Puesto"/>
        <w:rPr>
          <w:szCs w:val="22"/>
        </w:rPr>
      </w:pPr>
      <w:r w:rsidRPr="001B3076">
        <w:rPr>
          <w:b/>
          <w:szCs w:val="22"/>
        </w:rPr>
        <w:t>Cuarto.</w:t>
      </w:r>
      <w:r w:rsidRPr="001B307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DB2523" w14:textId="77777777" w:rsidR="00D107BD" w:rsidRPr="001B3076" w:rsidRDefault="00D107BD" w:rsidP="001B3076">
      <w:pPr>
        <w:pStyle w:val="Puesto"/>
        <w:rPr>
          <w:szCs w:val="22"/>
        </w:rPr>
      </w:pPr>
      <w:r w:rsidRPr="001B3076">
        <w:rPr>
          <w:szCs w:val="22"/>
        </w:rPr>
        <w:t>Los sujetos obligados deberán aplicar, de manera estricta, las excepciones al derecho de acceso a la información y sólo podrán invocarlas cuando acrediten su procedencia.</w:t>
      </w:r>
    </w:p>
    <w:p w14:paraId="202C66B7" w14:textId="77777777" w:rsidR="00D107BD" w:rsidRPr="001B3076" w:rsidRDefault="00D107BD" w:rsidP="001B3076">
      <w:pPr>
        <w:pStyle w:val="Puesto"/>
        <w:rPr>
          <w:szCs w:val="22"/>
        </w:rPr>
      </w:pPr>
    </w:p>
    <w:p w14:paraId="626D3A64" w14:textId="77777777" w:rsidR="00D107BD" w:rsidRPr="001B3076" w:rsidRDefault="00D107BD" w:rsidP="001B3076">
      <w:pPr>
        <w:pStyle w:val="Puesto"/>
        <w:rPr>
          <w:szCs w:val="22"/>
        </w:rPr>
      </w:pPr>
      <w:r w:rsidRPr="001B3076">
        <w:rPr>
          <w:b/>
          <w:szCs w:val="22"/>
        </w:rPr>
        <w:t>Quinto.</w:t>
      </w:r>
      <w:r w:rsidRPr="001B307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3660C36" w14:textId="77777777" w:rsidR="00D107BD" w:rsidRPr="001B3076" w:rsidRDefault="00D107BD" w:rsidP="001B3076">
      <w:pPr>
        <w:pStyle w:val="Puesto"/>
        <w:rPr>
          <w:szCs w:val="22"/>
        </w:rPr>
      </w:pPr>
    </w:p>
    <w:p w14:paraId="4CEF2D16" w14:textId="77777777" w:rsidR="00D107BD" w:rsidRPr="001B3076" w:rsidRDefault="00D107BD" w:rsidP="001B3076">
      <w:pPr>
        <w:pStyle w:val="Puesto"/>
        <w:rPr>
          <w:szCs w:val="22"/>
        </w:rPr>
      </w:pPr>
      <w:r w:rsidRPr="001B3076">
        <w:rPr>
          <w:b/>
          <w:szCs w:val="22"/>
        </w:rPr>
        <w:t>Sexto.</w:t>
      </w:r>
      <w:r w:rsidRPr="001B3076">
        <w:rPr>
          <w:szCs w:val="22"/>
        </w:rPr>
        <w:t xml:space="preserve"> Se deroga.</w:t>
      </w:r>
    </w:p>
    <w:p w14:paraId="0EA18B0C" w14:textId="77777777" w:rsidR="00D107BD" w:rsidRPr="001B3076" w:rsidRDefault="00D107BD" w:rsidP="001B3076">
      <w:pPr>
        <w:pStyle w:val="Puesto"/>
        <w:rPr>
          <w:szCs w:val="22"/>
        </w:rPr>
      </w:pPr>
    </w:p>
    <w:p w14:paraId="66600DF8" w14:textId="77777777" w:rsidR="00D107BD" w:rsidRPr="001B3076" w:rsidRDefault="00D107BD" w:rsidP="001B3076">
      <w:pPr>
        <w:pStyle w:val="Puesto"/>
        <w:rPr>
          <w:szCs w:val="22"/>
        </w:rPr>
      </w:pPr>
      <w:r w:rsidRPr="001B3076">
        <w:rPr>
          <w:b/>
          <w:szCs w:val="22"/>
        </w:rPr>
        <w:t>Séptimo.</w:t>
      </w:r>
      <w:r w:rsidRPr="001B3076">
        <w:rPr>
          <w:szCs w:val="22"/>
        </w:rPr>
        <w:t xml:space="preserve"> La clasificación de la información se llevará a cabo en el momento en que:</w:t>
      </w:r>
    </w:p>
    <w:p w14:paraId="0E04CF4B" w14:textId="77777777" w:rsidR="00D107BD" w:rsidRPr="001B3076" w:rsidRDefault="00D107BD" w:rsidP="001B3076">
      <w:pPr>
        <w:pStyle w:val="Puesto"/>
        <w:rPr>
          <w:szCs w:val="22"/>
        </w:rPr>
      </w:pPr>
      <w:r w:rsidRPr="001B3076">
        <w:rPr>
          <w:b/>
          <w:szCs w:val="22"/>
        </w:rPr>
        <w:t>I.</w:t>
      </w:r>
      <w:r w:rsidRPr="001B3076">
        <w:rPr>
          <w:szCs w:val="22"/>
        </w:rPr>
        <w:t xml:space="preserve">        Se reciba una solicitud de acceso a la información;</w:t>
      </w:r>
    </w:p>
    <w:p w14:paraId="69912ECF" w14:textId="77777777" w:rsidR="00D107BD" w:rsidRPr="001B3076" w:rsidRDefault="00D107BD" w:rsidP="001B3076">
      <w:pPr>
        <w:pStyle w:val="Puesto"/>
        <w:rPr>
          <w:szCs w:val="22"/>
        </w:rPr>
      </w:pPr>
      <w:r w:rsidRPr="001B3076">
        <w:rPr>
          <w:b/>
          <w:szCs w:val="22"/>
        </w:rPr>
        <w:t>II.</w:t>
      </w:r>
      <w:r w:rsidRPr="001B3076">
        <w:rPr>
          <w:szCs w:val="22"/>
        </w:rPr>
        <w:t xml:space="preserve">       Se determine mediante resolución del Comité de Transparencia, el órgano garante competente, o en cumplimiento a una sentencia del Poder Judicial; o</w:t>
      </w:r>
    </w:p>
    <w:p w14:paraId="01BDAEBE" w14:textId="77777777" w:rsidR="00D107BD" w:rsidRPr="001B3076" w:rsidRDefault="00D107BD" w:rsidP="001B3076">
      <w:pPr>
        <w:pStyle w:val="Puesto"/>
        <w:rPr>
          <w:szCs w:val="22"/>
        </w:rPr>
      </w:pPr>
      <w:r w:rsidRPr="001B3076">
        <w:rPr>
          <w:b/>
          <w:szCs w:val="22"/>
        </w:rPr>
        <w:lastRenderedPageBreak/>
        <w:t>III.</w:t>
      </w:r>
      <w:r w:rsidRPr="001B3076">
        <w:rPr>
          <w:szCs w:val="22"/>
        </w:rPr>
        <w:t xml:space="preserve">      Se generen versiones públicas para dar cumplimiento a las obligaciones de transparencia previstas en la Ley General, la Ley Federal y las correspondientes de las entidades federativas.</w:t>
      </w:r>
    </w:p>
    <w:p w14:paraId="64E565F2" w14:textId="77777777" w:rsidR="00D107BD" w:rsidRPr="001B3076" w:rsidRDefault="00D107BD" w:rsidP="001B3076">
      <w:pPr>
        <w:pStyle w:val="Puesto"/>
        <w:rPr>
          <w:szCs w:val="22"/>
        </w:rPr>
      </w:pPr>
      <w:r w:rsidRPr="001B307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F84D439" w14:textId="77777777" w:rsidR="00D107BD" w:rsidRPr="001B3076" w:rsidRDefault="00D107BD" w:rsidP="001B3076">
      <w:pPr>
        <w:pStyle w:val="Puesto"/>
        <w:rPr>
          <w:szCs w:val="22"/>
        </w:rPr>
      </w:pPr>
    </w:p>
    <w:p w14:paraId="35CE8159" w14:textId="77777777" w:rsidR="00D107BD" w:rsidRPr="001B3076" w:rsidRDefault="00D107BD" w:rsidP="001B3076">
      <w:pPr>
        <w:pStyle w:val="Puesto"/>
        <w:rPr>
          <w:szCs w:val="22"/>
        </w:rPr>
      </w:pPr>
      <w:r w:rsidRPr="001B3076">
        <w:rPr>
          <w:b/>
          <w:szCs w:val="22"/>
        </w:rPr>
        <w:t>Octavo.</w:t>
      </w:r>
      <w:r w:rsidRPr="001B307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4509B9" w14:textId="77777777" w:rsidR="00D107BD" w:rsidRPr="001B3076" w:rsidRDefault="00D107BD" w:rsidP="001B3076">
      <w:pPr>
        <w:pStyle w:val="Puesto"/>
        <w:rPr>
          <w:szCs w:val="22"/>
        </w:rPr>
      </w:pPr>
      <w:r w:rsidRPr="001B3076">
        <w:rPr>
          <w:szCs w:val="22"/>
        </w:rPr>
        <w:t>Para motivar la clasificación se deberán señalar las razones o circunstancias especiales que lo llevaron a concluir que el caso particular se ajusta al supuesto previsto por la norma legal invocada como fundamento.</w:t>
      </w:r>
    </w:p>
    <w:p w14:paraId="4992E89B" w14:textId="77777777" w:rsidR="00D107BD" w:rsidRPr="001B3076" w:rsidRDefault="00D107BD" w:rsidP="001B3076">
      <w:pPr>
        <w:pStyle w:val="Puesto"/>
        <w:rPr>
          <w:szCs w:val="22"/>
        </w:rPr>
      </w:pPr>
      <w:r w:rsidRPr="001B307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F25974" w14:textId="77777777" w:rsidR="00D107BD" w:rsidRPr="001B3076" w:rsidRDefault="00D107BD" w:rsidP="001B3076">
      <w:pPr>
        <w:pStyle w:val="Puesto"/>
        <w:rPr>
          <w:szCs w:val="22"/>
        </w:rPr>
      </w:pPr>
    </w:p>
    <w:p w14:paraId="235E7422" w14:textId="77777777" w:rsidR="00D107BD" w:rsidRPr="001B3076" w:rsidRDefault="00D107BD" w:rsidP="001B3076">
      <w:pPr>
        <w:pStyle w:val="Puesto"/>
        <w:rPr>
          <w:szCs w:val="22"/>
        </w:rPr>
      </w:pPr>
      <w:r w:rsidRPr="001B3076">
        <w:rPr>
          <w:b/>
          <w:szCs w:val="22"/>
        </w:rPr>
        <w:t>Noveno.</w:t>
      </w:r>
      <w:r w:rsidRPr="001B307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9A10A5" w14:textId="77777777" w:rsidR="00D107BD" w:rsidRPr="001B3076" w:rsidRDefault="00D107BD" w:rsidP="001B3076">
      <w:pPr>
        <w:pStyle w:val="Puesto"/>
        <w:rPr>
          <w:szCs w:val="22"/>
        </w:rPr>
      </w:pPr>
    </w:p>
    <w:p w14:paraId="267D710B" w14:textId="77777777" w:rsidR="00D107BD" w:rsidRPr="001B3076" w:rsidRDefault="00D107BD" w:rsidP="001B3076">
      <w:pPr>
        <w:pStyle w:val="Puesto"/>
        <w:rPr>
          <w:szCs w:val="22"/>
        </w:rPr>
      </w:pPr>
      <w:r w:rsidRPr="001B3076">
        <w:rPr>
          <w:b/>
          <w:szCs w:val="22"/>
        </w:rPr>
        <w:t>Décimo.</w:t>
      </w:r>
      <w:r w:rsidRPr="001B307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5668A70" w14:textId="77777777" w:rsidR="00D107BD" w:rsidRPr="001B3076" w:rsidRDefault="00D107BD" w:rsidP="001B3076">
      <w:pPr>
        <w:pStyle w:val="Puesto"/>
        <w:rPr>
          <w:szCs w:val="22"/>
        </w:rPr>
      </w:pPr>
      <w:r w:rsidRPr="001B3076">
        <w:rPr>
          <w:szCs w:val="22"/>
        </w:rPr>
        <w:t>En ausencia de los titulares de las áreas, la información será clasificada o desclasificada por la persona que lo supla, en términos de la normativa que rija la actuación del sujeto obligado.</w:t>
      </w:r>
    </w:p>
    <w:p w14:paraId="39D9C38E" w14:textId="77777777" w:rsidR="00D107BD" w:rsidRPr="001B3076" w:rsidRDefault="00D107BD" w:rsidP="001B3076">
      <w:pPr>
        <w:pStyle w:val="Puesto"/>
        <w:rPr>
          <w:b/>
          <w:szCs w:val="22"/>
        </w:rPr>
      </w:pPr>
      <w:r w:rsidRPr="001B3076">
        <w:rPr>
          <w:b/>
          <w:szCs w:val="22"/>
        </w:rPr>
        <w:t>Décimo primero.</w:t>
      </w:r>
      <w:r w:rsidRPr="001B307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B3076">
        <w:rPr>
          <w:b/>
          <w:szCs w:val="22"/>
        </w:rPr>
        <w:t>”</w:t>
      </w:r>
    </w:p>
    <w:p w14:paraId="722FE265" w14:textId="77777777" w:rsidR="00D107BD" w:rsidRPr="001B3076" w:rsidRDefault="00D107BD" w:rsidP="001B3076">
      <w:pPr>
        <w:rPr>
          <w:szCs w:val="22"/>
        </w:rPr>
      </w:pPr>
    </w:p>
    <w:p w14:paraId="320D254B" w14:textId="087B1577" w:rsidR="00D107BD" w:rsidRPr="001B3076" w:rsidRDefault="00D107BD" w:rsidP="001B3076">
      <w:pPr>
        <w:rPr>
          <w:szCs w:val="22"/>
        </w:rPr>
      </w:pPr>
      <w:r w:rsidRPr="001B3076">
        <w:rPr>
          <w:szCs w:val="22"/>
        </w:rPr>
        <w:lastRenderedPageBreak/>
        <w:t xml:space="preserve">Consecuentemente, se destaca que la versión pública que elabore </w:t>
      </w:r>
      <w:r w:rsidRPr="001B3076">
        <w:rPr>
          <w:b/>
          <w:szCs w:val="22"/>
        </w:rPr>
        <w:t>EL SUJETO OBLIGADO</w:t>
      </w:r>
      <w:r w:rsidRPr="001B3076">
        <w:rPr>
          <w:szCs w:val="22"/>
        </w:rPr>
        <w:t xml:space="preserve"> debe cumplir con las formalidades exigidas en la Ley, por lo que para tal efecto emitirá el </w:t>
      </w:r>
      <w:r w:rsidRPr="001B3076">
        <w:rPr>
          <w:b/>
          <w:szCs w:val="22"/>
        </w:rPr>
        <w:t>Acuerdo del Comité de Transparencia</w:t>
      </w:r>
      <w:r w:rsidRPr="001B307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4F326B5" w14:textId="2F20DB9A" w:rsidR="00766ECE" w:rsidRPr="001B3076" w:rsidRDefault="00766ECE" w:rsidP="001B3076">
      <w:pPr>
        <w:rPr>
          <w:szCs w:val="22"/>
        </w:rPr>
      </w:pPr>
    </w:p>
    <w:p w14:paraId="6FCAABC3" w14:textId="77777777" w:rsidR="00766ECE" w:rsidRPr="001B3076" w:rsidRDefault="00766ECE" w:rsidP="001B3076">
      <w:pPr>
        <w:rPr>
          <w:lang w:eastAsia="es-CO"/>
        </w:rPr>
      </w:pPr>
      <w:r w:rsidRPr="001B3076">
        <w:rPr>
          <w:lang w:eastAsia="es-CO"/>
        </w:rPr>
        <w:t>Es importante señalar que, para el caso en concreto, se deben tomar en consideración los siguientes criterios orientativos respecto a la información que debe ser, o no, clasificada como confidencial:</w:t>
      </w:r>
    </w:p>
    <w:p w14:paraId="4D2C5B7D" w14:textId="77777777" w:rsidR="00766ECE" w:rsidRPr="001B3076" w:rsidRDefault="00766ECE" w:rsidP="001B3076">
      <w:pPr>
        <w:rPr>
          <w:lang w:eastAsia="es-CO"/>
        </w:rPr>
      </w:pPr>
    </w:p>
    <w:p w14:paraId="39BEA9CB" w14:textId="77777777" w:rsidR="00766ECE" w:rsidRPr="001B3076" w:rsidRDefault="00766ECE" w:rsidP="001B3076">
      <w:pPr>
        <w:numPr>
          <w:ilvl w:val="0"/>
          <w:numId w:val="38"/>
        </w:numPr>
        <w:rPr>
          <w:rFonts w:eastAsia="Calibri" w:cs="Tahoma"/>
          <w:bCs/>
          <w:lang w:val="es-ES" w:eastAsia="en-US"/>
        </w:rPr>
      </w:pPr>
      <w:r w:rsidRPr="001B3076">
        <w:rPr>
          <w:rFonts w:eastAsia="Calibri" w:cs="Tahoma"/>
          <w:b/>
          <w:bCs/>
          <w:lang w:eastAsia="en-US"/>
        </w:rPr>
        <w:t>Nombres de personas que no son servidores públicos y de los Actores.</w:t>
      </w:r>
    </w:p>
    <w:p w14:paraId="6284B35A" w14:textId="77777777" w:rsidR="00766ECE" w:rsidRPr="001B3076" w:rsidRDefault="00766ECE" w:rsidP="001B3076">
      <w:pPr>
        <w:contextualSpacing/>
        <w:rPr>
          <w:rFonts w:eastAsia="Calibri" w:cs="Tahoma"/>
          <w:bCs/>
          <w:lang w:eastAsia="en-US"/>
        </w:rPr>
      </w:pPr>
    </w:p>
    <w:p w14:paraId="17E15F09" w14:textId="77777777" w:rsidR="00766ECE" w:rsidRPr="001B3076" w:rsidRDefault="00766ECE" w:rsidP="001B3076">
      <w:r w:rsidRPr="001B3076">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0B8C6842" w14:textId="77777777" w:rsidR="00766ECE" w:rsidRPr="001B3076" w:rsidRDefault="00766ECE" w:rsidP="001B3076">
      <w:r w:rsidRPr="001B3076">
        <w:lastRenderedPageBreak/>
        <w:t>Aunado a lo anterior debe mencionarse que los artículos 2.3 y 2.4 del Código Civil del Estado de México establecen lo siguiente:</w:t>
      </w:r>
      <w:r w:rsidRPr="001B3076">
        <w:rPr>
          <w:b/>
        </w:rPr>
        <w:t xml:space="preserve"> </w:t>
      </w:r>
    </w:p>
    <w:p w14:paraId="24885B55" w14:textId="77777777" w:rsidR="00766ECE" w:rsidRPr="001B3076" w:rsidRDefault="00766ECE" w:rsidP="001B3076"/>
    <w:p w14:paraId="1E249DEE" w14:textId="77777777" w:rsidR="00766ECE" w:rsidRPr="001B3076" w:rsidRDefault="00766ECE" w:rsidP="001B3076">
      <w:pPr>
        <w:ind w:left="567" w:right="539"/>
        <w:rPr>
          <w:b/>
          <w:i/>
        </w:rPr>
      </w:pPr>
      <w:r w:rsidRPr="001B3076">
        <w:rPr>
          <w:b/>
          <w:i/>
        </w:rPr>
        <w:t xml:space="preserve">Atributos de la personalidad </w:t>
      </w:r>
    </w:p>
    <w:p w14:paraId="7DCB62F6" w14:textId="77777777" w:rsidR="00766ECE" w:rsidRPr="001B3076" w:rsidRDefault="00766ECE" w:rsidP="001B3076">
      <w:pPr>
        <w:ind w:left="567" w:right="539"/>
        <w:rPr>
          <w:i/>
        </w:rPr>
      </w:pPr>
    </w:p>
    <w:p w14:paraId="7EA07DB6" w14:textId="77777777" w:rsidR="00766ECE" w:rsidRPr="001B3076" w:rsidRDefault="00766ECE" w:rsidP="001B3076">
      <w:pPr>
        <w:ind w:left="567" w:right="539"/>
        <w:rPr>
          <w:i/>
        </w:rPr>
      </w:pPr>
      <w:r w:rsidRPr="001B3076">
        <w:rPr>
          <w:i/>
        </w:rPr>
        <w:t>“</w:t>
      </w:r>
      <w:r w:rsidRPr="001B3076">
        <w:rPr>
          <w:b/>
          <w:i/>
        </w:rPr>
        <w:t>Artículo 2.3.-</w:t>
      </w:r>
      <w:r w:rsidRPr="001B3076">
        <w:rPr>
          <w:i/>
        </w:rPr>
        <w:t xml:space="preserve"> Los </w:t>
      </w:r>
      <w:r w:rsidRPr="001B3076">
        <w:rPr>
          <w:i/>
          <w:u w:val="single"/>
        </w:rPr>
        <w:t>atributos de la personalidad son el nombre</w:t>
      </w:r>
      <w:r w:rsidRPr="001B3076">
        <w:rPr>
          <w:i/>
        </w:rPr>
        <w:t xml:space="preserve">, domicilio, estado civil y patrimonio. </w:t>
      </w:r>
    </w:p>
    <w:p w14:paraId="6E03A32E" w14:textId="77777777" w:rsidR="00766ECE" w:rsidRPr="001B3076" w:rsidRDefault="00766ECE" w:rsidP="001B3076">
      <w:pPr>
        <w:ind w:left="567" w:right="539"/>
        <w:rPr>
          <w:b/>
          <w:i/>
        </w:rPr>
      </w:pPr>
    </w:p>
    <w:p w14:paraId="1C98037D" w14:textId="77777777" w:rsidR="00766ECE" w:rsidRPr="001B3076" w:rsidRDefault="00766ECE" w:rsidP="001B3076">
      <w:pPr>
        <w:ind w:left="567" w:right="539"/>
        <w:rPr>
          <w:b/>
          <w:i/>
        </w:rPr>
      </w:pPr>
      <w:r w:rsidRPr="001B3076">
        <w:rPr>
          <w:b/>
          <w:i/>
        </w:rPr>
        <w:t xml:space="preserve">Concepto y naturaleza de los derechos </w:t>
      </w:r>
    </w:p>
    <w:p w14:paraId="0ECA9BEB" w14:textId="77777777" w:rsidR="00766ECE" w:rsidRPr="001B3076" w:rsidRDefault="00766ECE" w:rsidP="001B3076">
      <w:pPr>
        <w:ind w:left="567" w:right="539"/>
        <w:rPr>
          <w:b/>
          <w:i/>
        </w:rPr>
      </w:pPr>
    </w:p>
    <w:p w14:paraId="0DCC411E" w14:textId="77777777" w:rsidR="00766ECE" w:rsidRPr="001B3076" w:rsidRDefault="00766ECE" w:rsidP="001B3076">
      <w:pPr>
        <w:ind w:left="567" w:right="539"/>
        <w:rPr>
          <w:i/>
        </w:rPr>
      </w:pPr>
      <w:r w:rsidRPr="001B3076">
        <w:rPr>
          <w:b/>
          <w:i/>
        </w:rPr>
        <w:t>“Artículo 2.4.-</w:t>
      </w:r>
      <w:r w:rsidRPr="001B3076">
        <w:rPr>
          <w:i/>
        </w:rPr>
        <w:t xml:space="preserve"> </w:t>
      </w:r>
      <w:r w:rsidRPr="001B3076">
        <w:rPr>
          <w:i/>
          <w:u w:val="single"/>
        </w:rPr>
        <w:t>Los derechos de la personalidad constituyen el patrimonio moral o afectivo de</w:t>
      </w:r>
      <w:r w:rsidRPr="001B3076">
        <w:rPr>
          <w:i/>
        </w:rPr>
        <w:t xml:space="preserve"> las personas físicas. </w:t>
      </w:r>
      <w:r w:rsidRPr="001B3076">
        <w:rPr>
          <w:i/>
          <w:u w:val="single"/>
        </w:rPr>
        <w:t>Son inalienables, imprescriptibles e irrenunciables, y goza de ellos también la persona jurídica colectiva en lo que sea compatible con su naturaleza</w:t>
      </w:r>
      <w:r w:rsidRPr="001B3076">
        <w:rPr>
          <w:i/>
        </w:rPr>
        <w:t xml:space="preserve">. </w:t>
      </w:r>
    </w:p>
    <w:p w14:paraId="6FEADEF5" w14:textId="77777777" w:rsidR="00766ECE" w:rsidRPr="001B3076" w:rsidRDefault="00766ECE" w:rsidP="001B3076">
      <w:pPr>
        <w:ind w:left="567" w:right="539"/>
        <w:rPr>
          <w:i/>
        </w:rPr>
      </w:pPr>
      <w:r w:rsidRPr="001B3076">
        <w:rPr>
          <w:i/>
          <w:u w:val="single"/>
        </w:rPr>
        <w:t>Es deber del Estado proteger, fomentar y desarrollar estos derechos</w:t>
      </w:r>
      <w:r w:rsidRPr="001B3076">
        <w:rPr>
          <w:i/>
        </w:rPr>
        <w:t>.</w:t>
      </w:r>
    </w:p>
    <w:p w14:paraId="20784CA6" w14:textId="77777777" w:rsidR="00766ECE" w:rsidRPr="001B3076" w:rsidRDefault="00766ECE" w:rsidP="001B3076">
      <w:pPr>
        <w:ind w:left="567" w:right="539"/>
        <w:rPr>
          <w:b/>
          <w:i/>
        </w:rPr>
      </w:pPr>
    </w:p>
    <w:p w14:paraId="422148A8" w14:textId="77777777" w:rsidR="00766ECE" w:rsidRPr="001B3076" w:rsidRDefault="00766ECE" w:rsidP="001B3076">
      <w:pPr>
        <w:ind w:left="567" w:right="539"/>
      </w:pPr>
      <w:r w:rsidRPr="001B3076">
        <w:t>(Énfasis añadido)</w:t>
      </w:r>
    </w:p>
    <w:p w14:paraId="11ED3265" w14:textId="77777777" w:rsidR="00766ECE" w:rsidRPr="001B3076" w:rsidRDefault="00766ECE" w:rsidP="001B3076"/>
    <w:p w14:paraId="53B30C9B" w14:textId="77777777" w:rsidR="00766ECE" w:rsidRPr="001B3076" w:rsidRDefault="00766ECE" w:rsidP="001B3076">
      <w:r w:rsidRPr="001B3076">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16F76DD4" w14:textId="77777777" w:rsidR="00766ECE" w:rsidRPr="001B3076" w:rsidRDefault="00766ECE" w:rsidP="001B3076"/>
    <w:p w14:paraId="73AFB621" w14:textId="77777777" w:rsidR="001B3076" w:rsidRPr="001B3076" w:rsidRDefault="001B3076" w:rsidP="001B3076"/>
    <w:p w14:paraId="36EB13DD" w14:textId="77777777" w:rsidR="001B3076" w:rsidRPr="001B3076" w:rsidRDefault="001B3076" w:rsidP="001B3076"/>
    <w:p w14:paraId="7365D322" w14:textId="77777777" w:rsidR="001B3076" w:rsidRPr="001B3076" w:rsidRDefault="001B3076" w:rsidP="001B3076"/>
    <w:p w14:paraId="2D3D177D" w14:textId="77777777" w:rsidR="00766ECE" w:rsidRPr="001B3076" w:rsidRDefault="00766ECE" w:rsidP="001B3076">
      <w:pPr>
        <w:ind w:left="567" w:right="539"/>
        <w:rPr>
          <w:i/>
        </w:rPr>
      </w:pPr>
      <w:r w:rsidRPr="001B3076">
        <w:rPr>
          <w:i/>
        </w:rPr>
        <w:lastRenderedPageBreak/>
        <w:t>“</w:t>
      </w:r>
      <w:r w:rsidRPr="001B3076">
        <w:rPr>
          <w:b/>
          <w:i/>
        </w:rPr>
        <w:t>Artículo 4.</w:t>
      </w:r>
      <w:r w:rsidRPr="001B3076">
        <w:rPr>
          <w:i/>
        </w:rPr>
        <w:t xml:space="preserve"> Para los efectos de esta Ley se entenderá por:</w:t>
      </w:r>
    </w:p>
    <w:p w14:paraId="1BBAD61A" w14:textId="77777777" w:rsidR="00766ECE" w:rsidRPr="001B3076" w:rsidRDefault="00766ECE" w:rsidP="001B3076">
      <w:pPr>
        <w:ind w:left="567" w:right="539"/>
        <w:rPr>
          <w:i/>
        </w:rPr>
      </w:pPr>
      <w:r w:rsidRPr="001B3076">
        <w:rPr>
          <w:i/>
        </w:rPr>
        <w:t>…</w:t>
      </w:r>
    </w:p>
    <w:p w14:paraId="69B4660E" w14:textId="77777777" w:rsidR="00766ECE" w:rsidRPr="001B3076" w:rsidRDefault="00766ECE" w:rsidP="001B3076">
      <w:pPr>
        <w:ind w:left="567" w:right="539"/>
        <w:rPr>
          <w:i/>
        </w:rPr>
      </w:pPr>
      <w:r w:rsidRPr="001B3076">
        <w:rPr>
          <w:b/>
          <w:i/>
        </w:rPr>
        <w:t>XI. Datos personales:</w:t>
      </w:r>
      <w:r w:rsidRPr="001B3076">
        <w:rPr>
          <w:i/>
        </w:rPr>
        <w:t xml:space="preserve"> </w:t>
      </w:r>
      <w:r w:rsidRPr="001B3076">
        <w:rPr>
          <w:b/>
          <w:i/>
          <w:u w:val="single"/>
        </w:rPr>
        <w:t>a la información concerniente a una persona física o</w:t>
      </w:r>
      <w:r w:rsidRPr="001B3076">
        <w:rPr>
          <w:i/>
        </w:rPr>
        <w:t xml:space="preserve"> </w:t>
      </w:r>
      <w:r w:rsidRPr="001B3076">
        <w:rPr>
          <w:b/>
          <w:i/>
          <w:u w:val="single"/>
        </w:rPr>
        <w:t>jurídica colectiva identificada o identificable</w:t>
      </w:r>
      <w:r w:rsidRPr="001B3076">
        <w:rPr>
          <w:i/>
        </w:rPr>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8BC1348" w14:textId="77777777" w:rsidR="00766ECE" w:rsidRPr="001B3076" w:rsidRDefault="00766ECE" w:rsidP="001B3076">
      <w:pPr>
        <w:ind w:left="567" w:right="539"/>
        <w:rPr>
          <w:i/>
        </w:rPr>
      </w:pPr>
      <w:r w:rsidRPr="001B3076">
        <w:rPr>
          <w:i/>
        </w:rPr>
        <w:t>…”</w:t>
      </w:r>
    </w:p>
    <w:p w14:paraId="723C9615" w14:textId="77777777" w:rsidR="00766ECE" w:rsidRPr="001B3076" w:rsidRDefault="00766ECE" w:rsidP="001B3076">
      <w:pPr>
        <w:contextualSpacing/>
        <w:rPr>
          <w:rFonts w:eastAsia="Calibri" w:cs="Tahoma"/>
          <w:b/>
          <w:bCs/>
          <w:lang w:eastAsia="en-US"/>
        </w:rPr>
      </w:pPr>
      <w:r w:rsidRPr="001B3076">
        <w:rPr>
          <w:rFonts w:eastAsia="Calibri" w:cs="Tahoma"/>
          <w:bCs/>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B3076">
        <w:rPr>
          <w:rFonts w:eastAsia="Calibri" w:cs="Tahoma"/>
          <w:bCs/>
          <w:i/>
          <w:lang w:eastAsia="en-US"/>
        </w:rPr>
        <w:t>per se</w:t>
      </w:r>
      <w:r w:rsidRPr="001B3076">
        <w:rPr>
          <w:rFonts w:eastAsia="Calibri" w:cs="Tahoma"/>
          <w:bCs/>
          <w:lang w:eastAsia="en-US"/>
        </w:rPr>
        <w:t xml:space="preserve"> es un elemento que hace a una persona física identificada o identificable, por lo que, </w:t>
      </w:r>
      <w:r w:rsidRPr="001B3076">
        <w:rPr>
          <w:rFonts w:eastAsia="Calibri" w:cs="Tahoma"/>
          <w:b/>
          <w:bCs/>
          <w:lang w:eastAsia="en-US"/>
        </w:rPr>
        <w:t>se considera un dato personal.</w:t>
      </w:r>
    </w:p>
    <w:p w14:paraId="1956972C" w14:textId="77777777" w:rsidR="00766ECE" w:rsidRPr="001B3076" w:rsidRDefault="00766ECE" w:rsidP="001B3076">
      <w:pPr>
        <w:contextualSpacing/>
        <w:rPr>
          <w:rFonts w:eastAsia="Calibri" w:cs="Tahoma"/>
          <w:b/>
          <w:bCs/>
          <w:lang w:eastAsia="en-US"/>
        </w:rPr>
      </w:pPr>
    </w:p>
    <w:p w14:paraId="29F22A0F" w14:textId="77777777" w:rsidR="00766ECE" w:rsidRPr="001B3076" w:rsidRDefault="00766ECE" w:rsidP="001B3076">
      <w:pPr>
        <w:rPr>
          <w:rFonts w:eastAsia="Calibri" w:cs="Tahoma"/>
          <w:bCs/>
          <w:lang w:val="es-ES" w:eastAsia="en-US"/>
        </w:rPr>
      </w:pPr>
      <w:r w:rsidRPr="001B3076">
        <w:rPr>
          <w:rFonts w:eastAsia="Calibri" w:cs="Tahoma"/>
          <w:bCs/>
          <w:lang w:eastAsia="en-US"/>
        </w:rPr>
        <w:t>Con base en lo anterior, procede su eliminación de las versiones públicas, pues</w:t>
      </w:r>
      <w:r w:rsidRPr="001B3076">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4A444855" w14:textId="77777777" w:rsidR="00766ECE" w:rsidRPr="001B3076" w:rsidRDefault="00766ECE" w:rsidP="001B3076">
      <w:pPr>
        <w:rPr>
          <w:rFonts w:eastAsia="Calibri" w:cs="Tahoma"/>
          <w:bCs/>
          <w:lang w:val="es-ES" w:eastAsia="en-US"/>
        </w:rPr>
      </w:pPr>
    </w:p>
    <w:p w14:paraId="3897B846" w14:textId="77777777" w:rsidR="00766ECE" w:rsidRPr="001B3076" w:rsidRDefault="00766ECE" w:rsidP="001B3076">
      <w:pPr>
        <w:pStyle w:val="Prrafodelista"/>
        <w:numPr>
          <w:ilvl w:val="0"/>
          <w:numId w:val="38"/>
        </w:numPr>
        <w:rPr>
          <w:rFonts w:cs="Tahoma"/>
        </w:rPr>
      </w:pPr>
      <w:r w:rsidRPr="001B3076">
        <w:rPr>
          <w:rFonts w:cs="Tahoma"/>
          <w:b/>
        </w:rPr>
        <w:t xml:space="preserve">Domicilio particular </w:t>
      </w:r>
    </w:p>
    <w:p w14:paraId="2F8535A4" w14:textId="77777777" w:rsidR="00766ECE" w:rsidRPr="001B3076" w:rsidRDefault="00766ECE" w:rsidP="001B3076">
      <w:pPr>
        <w:rPr>
          <w:rFonts w:cs="Tahoma"/>
        </w:rPr>
      </w:pPr>
    </w:p>
    <w:p w14:paraId="246790BF" w14:textId="77777777" w:rsidR="00766ECE" w:rsidRPr="001B3076" w:rsidRDefault="00766ECE" w:rsidP="001B3076">
      <w:pPr>
        <w:rPr>
          <w:rFonts w:cs="Tahoma"/>
          <w:lang w:val="es-ES"/>
        </w:rPr>
      </w:pPr>
      <w:r w:rsidRPr="001B3076">
        <w:rPr>
          <w:rFonts w:cs="Tahoma"/>
          <w:lang w:val="es-ES"/>
        </w:rPr>
        <w:t xml:space="preserve">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w:t>
      </w:r>
      <w:r w:rsidRPr="001B3076">
        <w:rPr>
          <w:rFonts w:cs="Tahoma"/>
          <w:lang w:val="es-ES"/>
        </w:rPr>
        <w:lastRenderedPageBreak/>
        <w:t>físicas</w:t>
      </w:r>
      <w:r w:rsidRPr="001B3076">
        <w:rPr>
          <w:rFonts w:cs="Tahoma"/>
          <w:b/>
          <w:lang w:val="es-ES"/>
        </w:rPr>
        <w:t>, e</w:t>
      </w:r>
      <w:r w:rsidRPr="001B3076">
        <w:rPr>
          <w:rFonts w:cs="Tahoma"/>
          <w:lang w:val="es-ES"/>
        </w:rPr>
        <w:t>s el lugar donde residen habitualmente, el lugar del centro principal de sus negocios, donde residan o el lugar donde se encuentren.</w:t>
      </w:r>
    </w:p>
    <w:p w14:paraId="3428C3C2" w14:textId="77777777" w:rsidR="00766ECE" w:rsidRPr="001B3076" w:rsidRDefault="00766ECE" w:rsidP="001B3076">
      <w:pPr>
        <w:rPr>
          <w:rFonts w:cs="Tahoma"/>
          <w:b/>
          <w:lang w:val="es-ES"/>
        </w:rPr>
      </w:pPr>
    </w:p>
    <w:p w14:paraId="1AEAB12F" w14:textId="77777777" w:rsidR="00766ECE" w:rsidRPr="001B3076" w:rsidRDefault="00766ECE" w:rsidP="001B3076">
      <w:pPr>
        <w:rPr>
          <w:rFonts w:cs="Tahoma"/>
          <w:lang w:val="es-ES"/>
        </w:rPr>
      </w:pPr>
      <w:r w:rsidRPr="001B3076">
        <w:rPr>
          <w:rFonts w:cs="Tahoma"/>
          <w:lang w:val="es-ES"/>
        </w:rPr>
        <w:t>Además, respecto al domicilio particular se presume que corresponde al lugar donde reside habitualmente</w:t>
      </w:r>
      <w:r w:rsidRPr="001B3076">
        <w:rPr>
          <w:rFonts w:cs="Tahoma"/>
          <w:b/>
          <w:lang w:val="es-ES"/>
        </w:rPr>
        <w:t>.</w:t>
      </w:r>
      <w:r w:rsidRPr="001B3076">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89C2B65" w14:textId="77777777" w:rsidR="00766ECE" w:rsidRPr="001B3076" w:rsidRDefault="00766ECE" w:rsidP="001B3076">
      <w:pPr>
        <w:rPr>
          <w:rFonts w:cs="Tahoma"/>
          <w:lang w:val="es-ES"/>
        </w:rPr>
      </w:pPr>
    </w:p>
    <w:p w14:paraId="5A399AEE" w14:textId="77777777" w:rsidR="00766ECE" w:rsidRPr="001B3076" w:rsidRDefault="00766ECE" w:rsidP="001B3076">
      <w:pPr>
        <w:pStyle w:val="Prrafodelista"/>
        <w:numPr>
          <w:ilvl w:val="0"/>
          <w:numId w:val="39"/>
        </w:numPr>
        <w:rPr>
          <w:b/>
          <w:bCs/>
        </w:rPr>
      </w:pPr>
      <w:r w:rsidRPr="001B3076">
        <w:rPr>
          <w:b/>
          <w:bCs/>
        </w:rPr>
        <w:t>Firmas de Servidores Públicos</w:t>
      </w:r>
    </w:p>
    <w:p w14:paraId="6EF9831C" w14:textId="77777777" w:rsidR="00766ECE" w:rsidRPr="001B3076" w:rsidRDefault="00766ECE" w:rsidP="001B3076">
      <w:pPr>
        <w:rPr>
          <w:b/>
          <w:bCs/>
        </w:rPr>
      </w:pPr>
    </w:p>
    <w:p w14:paraId="7527C387" w14:textId="77777777" w:rsidR="00766ECE" w:rsidRPr="001B3076" w:rsidRDefault="00766ECE" w:rsidP="001B3076">
      <w:pPr>
        <w:rPr>
          <w:rFonts w:cs="Tahoma"/>
          <w:bCs/>
        </w:rPr>
      </w:pPr>
      <w:r w:rsidRPr="001B3076">
        <w:rPr>
          <w:rFonts w:cs="Tahoma"/>
        </w:rPr>
        <w:t xml:space="preserve">Es de señalar que la </w:t>
      </w:r>
      <w:r w:rsidRPr="001B3076">
        <w:rPr>
          <w:rFonts w:cs="Tahoma"/>
          <w:bCs/>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118503B6" w14:textId="77777777" w:rsidR="00766ECE" w:rsidRPr="001B3076" w:rsidRDefault="00766ECE" w:rsidP="001B3076">
      <w:pPr>
        <w:rPr>
          <w:rFonts w:cs="Tahoma"/>
          <w:lang w:val="es-ES"/>
        </w:rPr>
      </w:pPr>
    </w:p>
    <w:p w14:paraId="36EC25B9" w14:textId="77777777" w:rsidR="00766ECE" w:rsidRPr="001B3076" w:rsidRDefault="00766ECE" w:rsidP="001B3076">
      <w:pPr>
        <w:rPr>
          <w:rFonts w:cs="Tahoma"/>
          <w:bCs/>
          <w:lang w:val="es-ES_tradnl"/>
        </w:rPr>
      </w:pPr>
      <w:r w:rsidRPr="001B3076">
        <w:rPr>
          <w:rFonts w:cs="Tahoma"/>
          <w:bCs/>
          <w:lang w:val="es-ES_tradnl"/>
        </w:rPr>
        <w:lastRenderedPageBreak/>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1C70046C" w14:textId="77777777" w:rsidR="00766ECE" w:rsidRPr="001B3076" w:rsidRDefault="00766ECE" w:rsidP="001B3076">
      <w:pPr>
        <w:rPr>
          <w:rFonts w:cs="Tahoma"/>
          <w:lang w:val="es-ES"/>
        </w:rPr>
      </w:pPr>
    </w:p>
    <w:p w14:paraId="10667163" w14:textId="77777777" w:rsidR="00766ECE" w:rsidRPr="001B3076" w:rsidRDefault="00766ECE" w:rsidP="001B3076">
      <w:pPr>
        <w:ind w:left="567" w:right="567"/>
        <w:rPr>
          <w:rFonts w:cs="Tahoma"/>
          <w:bCs/>
          <w:i/>
          <w:sz w:val="20"/>
          <w:lang w:val="es-ES_tradnl"/>
        </w:rPr>
      </w:pPr>
      <w:r w:rsidRPr="001B3076">
        <w:rPr>
          <w:rFonts w:cs="Tahoma"/>
          <w:b/>
          <w:bCs/>
          <w:i/>
          <w:sz w:val="20"/>
          <w:lang w:val="es-ES_tradnl"/>
        </w:rPr>
        <w:t>“Firma y rúbrica de servidores públicos.</w:t>
      </w:r>
      <w:r w:rsidRPr="001B3076">
        <w:rPr>
          <w:rFonts w:cs="Tahoma"/>
          <w:bCs/>
          <w:i/>
          <w:sz w:val="20"/>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518A7C0" w14:textId="77777777" w:rsidR="00766ECE" w:rsidRPr="001B3076" w:rsidRDefault="00766ECE" w:rsidP="001B3076">
      <w:pPr>
        <w:rPr>
          <w:rFonts w:cs="Tahoma"/>
          <w:lang w:val="es-ES"/>
        </w:rPr>
      </w:pPr>
    </w:p>
    <w:p w14:paraId="5DE840D9" w14:textId="77777777" w:rsidR="00766ECE" w:rsidRPr="001B3076" w:rsidRDefault="00766ECE" w:rsidP="001B3076">
      <w:pPr>
        <w:rPr>
          <w:rFonts w:cs="Tahoma"/>
          <w:lang w:val="es-ES"/>
        </w:rPr>
      </w:pPr>
      <w:r w:rsidRPr="001B3076">
        <w:rPr>
          <w:rFonts w:cs="Tahoma"/>
          <w:lang w:val="es-ES"/>
        </w:rPr>
        <w:t>Conforme a lo expuesto, no procede la clasificación, en términos del artículo 143, fracción I de la Ley de Transparencia y Acceso a la Información Pública del Estado de México y Municipios.</w:t>
      </w:r>
    </w:p>
    <w:p w14:paraId="320CA557" w14:textId="77777777" w:rsidR="00766ECE" w:rsidRPr="001B3076" w:rsidRDefault="00766ECE" w:rsidP="001B3076">
      <w:pPr>
        <w:rPr>
          <w:rFonts w:cs="Tahoma"/>
          <w:lang w:val="es-ES"/>
        </w:rPr>
      </w:pPr>
    </w:p>
    <w:p w14:paraId="2A2FD2A6" w14:textId="77777777" w:rsidR="00766ECE" w:rsidRPr="001B3076" w:rsidRDefault="00766ECE" w:rsidP="001B3076">
      <w:pPr>
        <w:numPr>
          <w:ilvl w:val="0"/>
          <w:numId w:val="26"/>
        </w:numPr>
        <w:rPr>
          <w:rFonts w:cs="Tahoma"/>
          <w:b/>
          <w:iCs/>
          <w:lang w:val="es-ES"/>
        </w:rPr>
      </w:pPr>
      <w:r w:rsidRPr="001B3076">
        <w:rPr>
          <w:rFonts w:cs="Tahoma"/>
          <w:b/>
        </w:rPr>
        <w:t>Número</w:t>
      </w:r>
      <w:r w:rsidRPr="001B3076">
        <w:rPr>
          <w:rFonts w:cs="Tahoma"/>
          <w:b/>
          <w:iCs/>
          <w:lang w:val="es-ES"/>
        </w:rPr>
        <w:t xml:space="preserve"> de expediente. </w:t>
      </w:r>
    </w:p>
    <w:p w14:paraId="07B0EE32" w14:textId="77777777" w:rsidR="00766ECE" w:rsidRPr="001B3076" w:rsidRDefault="00766ECE" w:rsidP="001B3076">
      <w:pPr>
        <w:rPr>
          <w:rFonts w:cs="Tahoma"/>
          <w:bCs/>
          <w:iCs/>
          <w:lang w:val="es-ES"/>
        </w:rPr>
      </w:pPr>
    </w:p>
    <w:p w14:paraId="29AE9702" w14:textId="77777777" w:rsidR="00766ECE" w:rsidRPr="001B3076" w:rsidRDefault="00766ECE" w:rsidP="001B3076">
      <w:pPr>
        <w:rPr>
          <w:rFonts w:cs="Tahoma"/>
          <w:bCs/>
          <w:iCs/>
          <w:lang w:val="es-ES"/>
        </w:rPr>
      </w:pPr>
      <w:r w:rsidRPr="001B3076">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9E3ECF6" w14:textId="77777777" w:rsidR="00766ECE" w:rsidRPr="001B3076" w:rsidRDefault="00766ECE" w:rsidP="001B3076">
      <w:pPr>
        <w:rPr>
          <w:rFonts w:cs="Tahoma"/>
          <w:bCs/>
          <w:iCs/>
          <w:lang w:val="es-ES"/>
        </w:rPr>
      </w:pPr>
    </w:p>
    <w:p w14:paraId="28066CEA" w14:textId="77777777" w:rsidR="00766ECE" w:rsidRPr="001B3076" w:rsidRDefault="00766ECE" w:rsidP="001B3076">
      <w:pPr>
        <w:rPr>
          <w:rFonts w:cs="Tahoma"/>
          <w:bCs/>
          <w:iCs/>
          <w:lang w:val="es-ES"/>
        </w:rPr>
      </w:pPr>
      <w:r w:rsidRPr="001B3076">
        <w:rPr>
          <w:rFonts w:cs="Tahoma"/>
          <w:bCs/>
          <w:iCs/>
          <w:lang w:val="es-ES"/>
        </w:rPr>
        <w:t xml:space="preserve">En ese orden de ideas, la Suprema Corte de Justicia de la Nación, al resolver la contradicción de tesis 14/2005-PS, una sentencia </w:t>
      </w:r>
      <w:r w:rsidRPr="001B3076">
        <w:rPr>
          <w:rFonts w:cs="Tahoma"/>
          <w:b/>
          <w:bCs/>
          <w:iCs/>
          <w:lang w:val="es-ES"/>
        </w:rPr>
        <w:t>causa ejecutoria</w:t>
      </w:r>
      <w:r w:rsidRPr="001B3076">
        <w:rPr>
          <w:rFonts w:cs="Tahoma"/>
          <w:bCs/>
          <w:iCs/>
          <w:lang w:val="es-ES"/>
        </w:rPr>
        <w:t xml:space="preserve"> cuando ya no puede ser impugnada por </w:t>
      </w:r>
      <w:r w:rsidRPr="001B3076">
        <w:rPr>
          <w:rFonts w:cs="Tahoma"/>
          <w:bCs/>
          <w:iCs/>
          <w:lang w:val="es-ES"/>
        </w:rPr>
        <w:lastRenderedPageBreak/>
        <w:t xml:space="preserve">recurso ordinario alguno y, en consecuencia, </w:t>
      </w:r>
      <w:r w:rsidRPr="001B3076">
        <w:rPr>
          <w:rFonts w:cs="Tahoma"/>
          <w:b/>
          <w:bCs/>
          <w:iCs/>
          <w:lang w:val="es-ES"/>
        </w:rPr>
        <w:t>constituye la cosa juzgada</w:t>
      </w:r>
      <w:r w:rsidRPr="001B3076">
        <w:rPr>
          <w:rFonts w:cs="Tahoma"/>
          <w:bCs/>
          <w:iCs/>
          <w:lang w:val="es-ES"/>
        </w:rPr>
        <w:t>, pero tal circunstancia, debe entenderse en el sentido de que esas sentencias no admiten ningún recurso o medio de defensa establecido en la legislación ordinaria.</w:t>
      </w:r>
    </w:p>
    <w:p w14:paraId="198D14CB" w14:textId="77777777" w:rsidR="00766ECE" w:rsidRPr="001B3076" w:rsidRDefault="00766ECE" w:rsidP="001B3076">
      <w:pPr>
        <w:rPr>
          <w:rFonts w:cs="Tahoma"/>
          <w:bCs/>
          <w:iCs/>
          <w:lang w:val="es-ES"/>
        </w:rPr>
      </w:pPr>
    </w:p>
    <w:p w14:paraId="546363AC" w14:textId="77777777" w:rsidR="00766ECE" w:rsidRPr="001B3076" w:rsidRDefault="00766ECE" w:rsidP="001B3076">
      <w:pPr>
        <w:rPr>
          <w:rFonts w:cs="Tahoma"/>
          <w:bCs/>
          <w:iCs/>
          <w:lang w:val="es-ES"/>
        </w:rPr>
      </w:pPr>
      <w:r w:rsidRPr="001B3076">
        <w:rPr>
          <w:rFonts w:cs="Tahoma"/>
          <w:bCs/>
          <w:iCs/>
          <w:lang w:val="es-ES"/>
        </w:rPr>
        <w:t xml:space="preserve">En consecuente a lo anterior, </w:t>
      </w:r>
      <w:r w:rsidRPr="001B3076">
        <w:rPr>
          <w:rFonts w:cs="Tahoma"/>
          <w:iCs/>
          <w:lang w:val="es-ES"/>
        </w:rPr>
        <w:t xml:space="preserve">el número de expediente no actualiza la causal de clasificación prevista en la fracción I del artículo 143 de </w:t>
      </w:r>
      <w:r w:rsidRPr="001B3076">
        <w:rPr>
          <w:rFonts w:cs="Tahoma"/>
          <w:lang w:val="es-ES"/>
        </w:rPr>
        <w:t xml:space="preserve">la Ley de Transparencia y Acceso a la Información Pública del Estado de México y Municipios, cuando se </w:t>
      </w:r>
      <w:r w:rsidRPr="001B3076">
        <w:rPr>
          <w:rFonts w:eastAsia="Calibri" w:cs="Tahoma"/>
        </w:rPr>
        <w:t>encuentren concluidos, y sean</w:t>
      </w:r>
      <w:r w:rsidRPr="001B3076">
        <w:rPr>
          <w:rFonts w:cs="Tahoma"/>
          <w:b/>
          <w:bCs/>
          <w:iCs/>
          <w:lang w:val="es-ES"/>
        </w:rPr>
        <w:t xml:space="preserve"> cosa juzgada</w:t>
      </w:r>
      <w:r w:rsidRPr="001B3076">
        <w:rPr>
          <w:rFonts w:cs="Tahoma"/>
          <w:lang w:val="es-ES"/>
        </w:rPr>
        <w:t>.</w:t>
      </w:r>
    </w:p>
    <w:p w14:paraId="03F3929B" w14:textId="77777777" w:rsidR="00766ECE" w:rsidRPr="001B3076" w:rsidRDefault="00766ECE" w:rsidP="001B3076">
      <w:pPr>
        <w:autoSpaceDE w:val="0"/>
        <w:autoSpaceDN w:val="0"/>
        <w:adjustRightInd w:val="0"/>
        <w:rPr>
          <w:rFonts w:cs="Arial"/>
        </w:rPr>
      </w:pPr>
    </w:p>
    <w:p w14:paraId="324C04F9" w14:textId="408069B1" w:rsidR="00766ECE" w:rsidRPr="001B3076" w:rsidRDefault="000F4BF0" w:rsidP="001B3076">
      <w:pPr>
        <w:numPr>
          <w:ilvl w:val="0"/>
          <w:numId w:val="26"/>
        </w:numPr>
        <w:rPr>
          <w:rFonts w:cs="Tahoma"/>
          <w:b/>
        </w:rPr>
      </w:pPr>
      <w:r w:rsidRPr="001B3076">
        <w:rPr>
          <w:rFonts w:cs="Tahoma"/>
          <w:b/>
        </w:rPr>
        <w:t>Nombre del Representante legal</w:t>
      </w:r>
      <w:r w:rsidR="00766ECE" w:rsidRPr="001B3076">
        <w:rPr>
          <w:rFonts w:cs="Tahoma"/>
          <w:b/>
        </w:rPr>
        <w:t>.</w:t>
      </w:r>
    </w:p>
    <w:p w14:paraId="296794EF" w14:textId="77777777" w:rsidR="00766ECE" w:rsidRPr="001B3076" w:rsidRDefault="00766ECE" w:rsidP="001B3076">
      <w:pPr>
        <w:rPr>
          <w:rFonts w:eastAsia="Calibri" w:cs="Tahoma"/>
          <w:bCs/>
          <w:lang w:val="es-ES"/>
        </w:rPr>
      </w:pPr>
    </w:p>
    <w:p w14:paraId="05C94B73" w14:textId="77777777" w:rsidR="00766ECE" w:rsidRPr="001B3076" w:rsidRDefault="00766ECE" w:rsidP="001B3076">
      <w:pPr>
        <w:rPr>
          <w:rFonts w:cs="Tahoma"/>
          <w:lang w:val="es-ES"/>
        </w:rPr>
      </w:pPr>
      <w:r w:rsidRPr="001B3076">
        <w:rPr>
          <w:rFonts w:cs="Tahoma"/>
          <w:lang w:val="es-ES"/>
        </w:rPr>
        <w:t>Al respecto, resulta necesario señalar que las personas son representadas mediante personas físicas, debidamente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16603E37" w14:textId="77777777" w:rsidR="00766ECE" w:rsidRPr="001B3076" w:rsidRDefault="00766ECE" w:rsidP="001B3076">
      <w:pPr>
        <w:rPr>
          <w:rFonts w:cs="Tahoma"/>
          <w:lang w:val="es-ES"/>
        </w:rPr>
      </w:pPr>
    </w:p>
    <w:p w14:paraId="053F89BE" w14:textId="5BFDB157" w:rsidR="00766ECE" w:rsidRPr="001B3076" w:rsidRDefault="00766ECE" w:rsidP="001B3076">
      <w:pPr>
        <w:rPr>
          <w:rFonts w:cs="Tahoma"/>
          <w:lang w:val="es-ES"/>
        </w:rPr>
      </w:pPr>
      <w:r w:rsidRPr="001B3076">
        <w:rPr>
          <w:rFonts w:cs="Tahoma"/>
          <w:lang w:val="es-ES"/>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w:t>
      </w:r>
      <w:r w:rsidRPr="001B3076">
        <w:rPr>
          <w:rFonts w:cs="Tahoma"/>
          <w:b/>
          <w:lang w:val="es-ES"/>
        </w:rPr>
        <w:t>es</w:t>
      </w:r>
      <w:r w:rsidR="000F4BF0" w:rsidRPr="001B3076">
        <w:rPr>
          <w:rFonts w:cs="Tahoma"/>
          <w:b/>
          <w:lang w:val="es-ES"/>
        </w:rPr>
        <w:t xml:space="preserve"> público</w:t>
      </w:r>
      <w:r w:rsidRPr="001B3076">
        <w:rPr>
          <w:rFonts w:cs="Tahoma"/>
          <w:lang w:val="es-ES"/>
        </w:rPr>
        <w:t>.</w:t>
      </w:r>
    </w:p>
    <w:p w14:paraId="7193F59E" w14:textId="77777777" w:rsidR="00766ECE" w:rsidRPr="001B3076" w:rsidRDefault="00766ECE" w:rsidP="001B3076">
      <w:pPr>
        <w:rPr>
          <w:rFonts w:cs="Tahoma"/>
          <w:lang w:val="es-ES"/>
        </w:rPr>
      </w:pPr>
    </w:p>
    <w:p w14:paraId="46926ACA" w14:textId="77777777" w:rsidR="000F4BF0" w:rsidRPr="001B3076" w:rsidRDefault="00766ECE" w:rsidP="001B3076">
      <w:pPr>
        <w:rPr>
          <w:rFonts w:cs="Tahoma"/>
          <w:lang w:val="es-ES"/>
        </w:rPr>
      </w:pPr>
      <w:r w:rsidRPr="001B3076">
        <w:rPr>
          <w:rFonts w:cs="Tahoma"/>
          <w:lang w:val="es-ES"/>
        </w:rPr>
        <w:t>Ante tales situaciones, el nombre del repres</w:t>
      </w:r>
      <w:r w:rsidR="000F4BF0" w:rsidRPr="001B3076">
        <w:rPr>
          <w:rFonts w:cs="Tahoma"/>
          <w:lang w:val="es-ES"/>
        </w:rPr>
        <w:t xml:space="preserve">entante legal, no es susceptible de ser clasificado como confidencial, por lo tanto se deberá de proporcionar la información concerniente al representante legal de los corralones, al no situarse en los supuestos del artículo 143, fracción </w:t>
      </w:r>
      <w:r w:rsidR="000F4BF0" w:rsidRPr="001B3076">
        <w:rPr>
          <w:rFonts w:cs="Tahoma"/>
          <w:lang w:val="es-ES"/>
        </w:rPr>
        <w:lastRenderedPageBreak/>
        <w:t>I de la Ley de Transparencia y Acceso a la Información Pública del Estado de México y Municipios.</w:t>
      </w:r>
    </w:p>
    <w:p w14:paraId="5442A60F" w14:textId="77B06EAA" w:rsidR="00766ECE" w:rsidRPr="001B3076" w:rsidRDefault="00766ECE" w:rsidP="001B3076">
      <w:pPr>
        <w:rPr>
          <w:rFonts w:cs="Tahoma"/>
          <w:lang w:val="es-ES"/>
        </w:rPr>
      </w:pPr>
    </w:p>
    <w:p w14:paraId="1EF8C384" w14:textId="395346A7" w:rsidR="00FD3D44" w:rsidRPr="001B3076" w:rsidRDefault="00FD3D44" w:rsidP="001B3076">
      <w:pPr>
        <w:numPr>
          <w:ilvl w:val="0"/>
          <w:numId w:val="26"/>
        </w:numPr>
        <w:contextualSpacing/>
        <w:jc w:val="left"/>
        <w:rPr>
          <w:rFonts w:cs="Tahoma"/>
          <w:lang w:val="es-ES_tradnl" w:eastAsia="es-MX"/>
        </w:rPr>
      </w:pPr>
      <w:r w:rsidRPr="001B3076">
        <w:rPr>
          <w:rFonts w:cs="Tahoma"/>
          <w:b/>
          <w:lang w:val="es-ES" w:eastAsia="es-MX"/>
        </w:rPr>
        <w:t>Firma del representante legal.</w:t>
      </w:r>
    </w:p>
    <w:p w14:paraId="4871714D" w14:textId="77777777" w:rsidR="00FD3D44" w:rsidRPr="001B3076" w:rsidRDefault="00FD3D44" w:rsidP="001B3076">
      <w:pPr>
        <w:rPr>
          <w:rFonts w:cs="Tahoma"/>
          <w:lang w:val="es-ES_tradnl" w:eastAsia="es-MX"/>
        </w:rPr>
      </w:pPr>
    </w:p>
    <w:p w14:paraId="4314625A" w14:textId="77777777" w:rsidR="00FD3D44" w:rsidRPr="001B3076" w:rsidRDefault="00FD3D44" w:rsidP="001B3076">
      <w:pPr>
        <w:rPr>
          <w:rFonts w:cs="Tahoma"/>
          <w:lang w:val="es-ES_tradnl" w:eastAsia="es-MX"/>
        </w:rPr>
      </w:pPr>
      <w:r w:rsidRPr="001B3076">
        <w:rPr>
          <w:rFonts w:eastAsia="Calibri" w:cs="Tahoma"/>
          <w:bCs/>
          <w:lang w:val="es-ES_tradnl"/>
        </w:rPr>
        <w:t xml:space="preserve">Al respecto, la firma es considerada un dato personal, al tratarse de información gráfica a través de la cual su titular exterioriza su voluntad en actos públicos y privados; </w:t>
      </w:r>
      <w:r w:rsidRPr="001B3076">
        <w:rPr>
          <w:rFonts w:cs="Tahoma"/>
          <w:lang w:val="es-ES" w:eastAsia="es-MX"/>
        </w:rPr>
        <w:t>dicho dato  exterioriza la voluntad en un acto público y que lo realiza una persona física identificada o identificable, en su calidad de concesionario o representante legal, por lo que, expresa el consentimiento del este para brindar un servicio público; además, que le otorga validez al instrumento jurídico, en el presente caso, la obtención de una autorización para brindar un servicio público de transporte.</w:t>
      </w:r>
    </w:p>
    <w:p w14:paraId="000DE633" w14:textId="77777777" w:rsidR="00FD3D44" w:rsidRPr="001B3076" w:rsidRDefault="00FD3D44" w:rsidP="001B3076">
      <w:pPr>
        <w:rPr>
          <w:rFonts w:cs="Tahoma"/>
          <w:lang w:val="es-ES_tradnl" w:eastAsia="es-MX"/>
        </w:rPr>
      </w:pPr>
    </w:p>
    <w:p w14:paraId="3044DB4A" w14:textId="6D505CC2" w:rsidR="00FD3D44" w:rsidRPr="001B3076" w:rsidRDefault="00FD3D44" w:rsidP="001B3076">
      <w:pPr>
        <w:rPr>
          <w:rFonts w:cs="Tahoma"/>
          <w:lang w:val="es-ES"/>
        </w:rPr>
      </w:pPr>
      <w:r w:rsidRPr="001B3076">
        <w:rPr>
          <w:rFonts w:cs="Tahoma"/>
          <w:lang w:val="es-ES"/>
        </w:rPr>
        <w:t>Conforme a lo anterior, no procede la clasificación de la firma del representante legal, localizados en los documentos que den cuenta de la información solicitada, en términos del artículo 143, fracción I de la Ley de Transparencia y Acceso a la Información Pública del Estado de México y Municipios.</w:t>
      </w:r>
    </w:p>
    <w:p w14:paraId="161391D6" w14:textId="77777777" w:rsidR="00FD3D44" w:rsidRPr="001B3076" w:rsidRDefault="00FD3D44" w:rsidP="001B3076">
      <w:pPr>
        <w:rPr>
          <w:rFonts w:cs="Tahoma"/>
          <w:lang w:val="es-ES"/>
        </w:rPr>
      </w:pPr>
    </w:p>
    <w:p w14:paraId="07F87081" w14:textId="7FF0D9AE" w:rsidR="00DD688C" w:rsidRPr="001B3076" w:rsidRDefault="00DD688C" w:rsidP="001B3076">
      <w:pPr>
        <w:ind w:right="49"/>
        <w:rPr>
          <w:rFonts w:eastAsia="Palatino Linotype" w:cs="Palatino Linotype"/>
          <w:sz w:val="24"/>
          <w:szCs w:val="24"/>
        </w:rPr>
      </w:pPr>
      <w:r w:rsidRPr="001B3076">
        <w:rPr>
          <w:rFonts w:eastAsia="Palatino Linotype" w:cs="Palatino Linotype"/>
          <w:sz w:val="24"/>
          <w:szCs w:val="24"/>
        </w:rPr>
        <w:t xml:space="preserve">Para el caso de que, los procedimientos de los depósitos de guarda y custodia conocidos como corralones, que fueron clausurados se encuentren en trámite, el Sujeto Obligado deberá proporcionar el Acuerdo emitido por el Comité de Transparencia, en donde de manera fundada y motivada, confirme la clasificación de la información como reservada, en términos del artículo 140, fracción VIII de la Ley de Transparencia y Acceso a la Información Pública del Estado de México y Municipios. </w:t>
      </w:r>
    </w:p>
    <w:p w14:paraId="329FCD30" w14:textId="77777777" w:rsidR="00393CD5" w:rsidRPr="001B3076" w:rsidRDefault="00393CD5" w:rsidP="001B3076">
      <w:pPr>
        <w:rPr>
          <w:rFonts w:eastAsia="Palatino Linotype" w:cs="Palatino Linotype"/>
          <w:sz w:val="24"/>
          <w:szCs w:val="24"/>
        </w:rPr>
      </w:pPr>
      <w:r w:rsidRPr="001B3076">
        <w:rPr>
          <w:rFonts w:eastAsia="Palatino Linotype" w:cs="Palatino Linotype"/>
          <w:sz w:val="24"/>
          <w:szCs w:val="24"/>
        </w:rPr>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378F88B3" w14:textId="77777777" w:rsidR="00393CD5" w:rsidRPr="001B3076" w:rsidRDefault="00393CD5" w:rsidP="001B3076">
      <w:pPr>
        <w:rPr>
          <w:sz w:val="24"/>
          <w:szCs w:val="24"/>
        </w:rPr>
      </w:pPr>
    </w:p>
    <w:p w14:paraId="187C01D6" w14:textId="77777777" w:rsidR="00393CD5" w:rsidRPr="001B3076" w:rsidRDefault="00393CD5" w:rsidP="001B3076">
      <w:pPr>
        <w:numPr>
          <w:ilvl w:val="0"/>
          <w:numId w:val="42"/>
        </w:numPr>
        <w:ind w:left="1134" w:hanging="283"/>
        <w:rPr>
          <w:sz w:val="24"/>
          <w:szCs w:val="24"/>
        </w:rPr>
      </w:pPr>
      <w:r w:rsidRPr="001B3076">
        <w:rPr>
          <w:sz w:val="24"/>
          <w:szCs w:val="24"/>
        </w:rPr>
        <w:t xml:space="preserve">La divulgación de la información representa un </w:t>
      </w:r>
      <w:r w:rsidRPr="001B3076">
        <w:rPr>
          <w:b/>
          <w:sz w:val="24"/>
          <w:szCs w:val="24"/>
        </w:rPr>
        <w:t>riesgo real, demostrable e identificable del perjuicio significativo al interés público o a la seguridad pública</w:t>
      </w:r>
      <w:r w:rsidRPr="001B3076">
        <w:rPr>
          <w:sz w:val="24"/>
          <w:szCs w:val="24"/>
        </w:rPr>
        <w:t>;</w:t>
      </w:r>
    </w:p>
    <w:p w14:paraId="685F3B2B" w14:textId="77777777" w:rsidR="00393CD5" w:rsidRPr="001B3076" w:rsidRDefault="00393CD5" w:rsidP="001B3076">
      <w:pPr>
        <w:numPr>
          <w:ilvl w:val="0"/>
          <w:numId w:val="42"/>
        </w:numPr>
        <w:ind w:left="1134" w:hanging="283"/>
        <w:rPr>
          <w:sz w:val="24"/>
          <w:szCs w:val="24"/>
        </w:rPr>
      </w:pPr>
      <w:r w:rsidRPr="001B3076">
        <w:rPr>
          <w:sz w:val="24"/>
          <w:szCs w:val="24"/>
        </w:rPr>
        <w:t>El riesgo de perjuicio que supondría la divulgación supera el interés público general de que se difunda; y,</w:t>
      </w:r>
    </w:p>
    <w:p w14:paraId="286DC4F4" w14:textId="77777777" w:rsidR="00393CD5" w:rsidRPr="001B3076" w:rsidRDefault="00393CD5" w:rsidP="001B3076">
      <w:pPr>
        <w:numPr>
          <w:ilvl w:val="0"/>
          <w:numId w:val="42"/>
        </w:numPr>
        <w:ind w:left="1134" w:hanging="283"/>
        <w:rPr>
          <w:sz w:val="24"/>
          <w:szCs w:val="24"/>
        </w:rPr>
      </w:pPr>
      <w:r w:rsidRPr="001B3076">
        <w:rPr>
          <w:sz w:val="24"/>
          <w:szCs w:val="24"/>
        </w:rPr>
        <w:t xml:space="preserve">La limitación se adecua al principio de proporcionalidad y representa el medio menos restrictivo disponible para evitar el perjuicio. </w:t>
      </w:r>
    </w:p>
    <w:p w14:paraId="16298070" w14:textId="77777777" w:rsidR="00393CD5" w:rsidRPr="001B3076" w:rsidRDefault="00393CD5" w:rsidP="001B3076">
      <w:pPr>
        <w:widowControl w:val="0"/>
        <w:tabs>
          <w:tab w:val="left" w:pos="1276"/>
          <w:tab w:val="left" w:pos="1701"/>
          <w:tab w:val="left" w:pos="1843"/>
        </w:tabs>
        <w:autoSpaceDE w:val="0"/>
        <w:autoSpaceDN w:val="0"/>
        <w:adjustRightInd w:val="0"/>
        <w:ind w:right="49"/>
        <w:rPr>
          <w:bCs/>
          <w:sz w:val="24"/>
          <w:szCs w:val="24"/>
        </w:rPr>
      </w:pPr>
    </w:p>
    <w:p w14:paraId="5130FA37" w14:textId="77777777" w:rsidR="00393CD5" w:rsidRPr="001B3076" w:rsidRDefault="00393CD5" w:rsidP="001B3076">
      <w:pPr>
        <w:widowControl w:val="0"/>
        <w:tabs>
          <w:tab w:val="left" w:pos="1276"/>
          <w:tab w:val="left" w:pos="1701"/>
          <w:tab w:val="left" w:pos="1843"/>
        </w:tabs>
        <w:autoSpaceDE w:val="0"/>
        <w:autoSpaceDN w:val="0"/>
        <w:adjustRightInd w:val="0"/>
        <w:ind w:right="49"/>
        <w:rPr>
          <w:rFonts w:cs="Arial"/>
          <w:sz w:val="24"/>
          <w:szCs w:val="24"/>
        </w:rPr>
      </w:pPr>
      <w:r w:rsidRPr="001B3076">
        <w:rPr>
          <w:bCs/>
          <w:sz w:val="24"/>
          <w:szCs w:val="24"/>
        </w:rPr>
        <w:t xml:space="preserve">Atento a lo anterior, </w:t>
      </w:r>
      <w:r w:rsidRPr="001B3076">
        <w:rPr>
          <w:rFonts w:cs="Arial"/>
          <w:sz w:val="24"/>
          <w:szCs w:val="24"/>
          <w:lang w:eastAsia="es-MX"/>
        </w:rPr>
        <w:t xml:space="preserve">es necesario hacer hincapié que para el caso de que existan </w:t>
      </w:r>
      <w:r w:rsidRPr="001B3076">
        <w:rPr>
          <w:sz w:val="24"/>
          <w:szCs w:val="24"/>
        </w:rPr>
        <w:t xml:space="preserve">causas presentes que impiden la publicidad de la información durante cierto periodo de tiempo, </w:t>
      </w:r>
      <w:r w:rsidRPr="001B3076">
        <w:rPr>
          <w:rFonts w:cs="Arial"/>
          <w:sz w:val="24"/>
          <w:szCs w:val="24"/>
          <w:lang w:eastAsia="es-MX"/>
        </w:rPr>
        <w:t xml:space="preserve">debe clasificar la información </w:t>
      </w:r>
      <w:r w:rsidRPr="001B3076">
        <w:rPr>
          <w:rFonts w:cs="Arial"/>
          <w:sz w:val="24"/>
          <w:szCs w:val="24"/>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5EFBEC4A" w14:textId="77777777" w:rsidR="00393CD5" w:rsidRPr="001B3076" w:rsidRDefault="00393CD5" w:rsidP="001B3076">
      <w:pPr>
        <w:widowControl w:val="0"/>
        <w:tabs>
          <w:tab w:val="left" w:pos="1276"/>
          <w:tab w:val="left" w:pos="1701"/>
          <w:tab w:val="left" w:pos="1843"/>
        </w:tabs>
        <w:autoSpaceDE w:val="0"/>
        <w:autoSpaceDN w:val="0"/>
        <w:adjustRightInd w:val="0"/>
        <w:ind w:right="49"/>
        <w:rPr>
          <w:rFonts w:cs="Arial"/>
          <w:sz w:val="24"/>
          <w:szCs w:val="24"/>
        </w:rPr>
      </w:pPr>
    </w:p>
    <w:p w14:paraId="01A4CAB3" w14:textId="77777777" w:rsidR="00393CD5" w:rsidRPr="001B3076" w:rsidRDefault="00393CD5" w:rsidP="001B3076">
      <w:pPr>
        <w:rPr>
          <w:rFonts w:cs="Arial"/>
          <w:sz w:val="24"/>
          <w:szCs w:val="24"/>
        </w:rPr>
      </w:pPr>
      <w:r w:rsidRPr="001B3076">
        <w:rPr>
          <w:rFonts w:cs="Arial"/>
          <w:sz w:val="24"/>
          <w:szCs w:val="24"/>
        </w:rPr>
        <w:t xml:space="preserve">Asimismo, este Órgano Garante de la Protección de Datos Personales no omite mencionar que, si dentro de la información que se ordena su entrega, </w:t>
      </w:r>
      <w:r w:rsidRPr="001B3076">
        <w:rPr>
          <w:rFonts w:cs="Arial"/>
          <w:b/>
          <w:sz w:val="24"/>
          <w:szCs w:val="24"/>
        </w:rPr>
        <w:t xml:space="preserve">EL SUJETO OBLIGADO </w:t>
      </w:r>
      <w:r w:rsidRPr="001B3076">
        <w:rPr>
          <w:rFonts w:cs="Arial"/>
          <w:sz w:val="24"/>
          <w:szCs w:val="24"/>
        </w:rPr>
        <w:t xml:space="preserve">advierte documentos que por su propia y especial naturaleza son </w:t>
      </w:r>
      <w:r w:rsidRPr="001B3076">
        <w:rPr>
          <w:rFonts w:cs="Arial"/>
          <w:sz w:val="24"/>
          <w:szCs w:val="24"/>
        </w:rPr>
        <w:lastRenderedPageBreak/>
        <w:t>privados, deberá efectuar el Acuerdo de Clasificación como confidencial, en términos de la legislación aplicable y en los términos abordados con antelación.</w:t>
      </w:r>
    </w:p>
    <w:p w14:paraId="2A00D326" w14:textId="77777777" w:rsidR="00393CD5" w:rsidRPr="001B3076" w:rsidRDefault="00393CD5" w:rsidP="001B3076">
      <w:pPr>
        <w:rPr>
          <w:rFonts w:cs="Arial"/>
          <w:sz w:val="24"/>
          <w:szCs w:val="24"/>
        </w:rPr>
      </w:pPr>
    </w:p>
    <w:p w14:paraId="7CB13364" w14:textId="77777777" w:rsidR="00393CD5" w:rsidRPr="001B3076" w:rsidRDefault="00393CD5" w:rsidP="001B3076">
      <w:pPr>
        <w:rPr>
          <w:rFonts w:cs="Arial"/>
          <w:sz w:val="24"/>
          <w:szCs w:val="24"/>
        </w:rPr>
      </w:pPr>
      <w:r w:rsidRPr="001B3076">
        <w:rPr>
          <w:rFonts w:cs="Arial"/>
          <w:sz w:val="24"/>
          <w:szCs w:val="24"/>
        </w:rPr>
        <w:t>Por lo tanto,</w:t>
      </w:r>
      <w:r w:rsidRPr="001B3076">
        <w:rPr>
          <w:sz w:val="24"/>
          <w:szCs w:val="24"/>
        </w:rPr>
        <w:t xml:space="preserve"> es importante referir que </w:t>
      </w:r>
      <w:r w:rsidRPr="001B3076">
        <w:rPr>
          <w:b/>
          <w:sz w:val="24"/>
          <w:szCs w:val="24"/>
        </w:rPr>
        <w:t>EL SUJETO OBLIGADO</w:t>
      </w:r>
      <w:r w:rsidRPr="001B3076">
        <w:rPr>
          <w:sz w:val="24"/>
          <w:szCs w:val="24"/>
        </w:rPr>
        <w:t xml:space="preserve"> deberá seguir el procedimiento legal establecido para su </w:t>
      </w:r>
      <w:r w:rsidRPr="001B3076">
        <w:rPr>
          <w:sz w:val="24"/>
          <w:szCs w:val="24"/>
          <w:lang w:eastAsia="es-MX"/>
        </w:rPr>
        <w:t>clasificación</w:t>
      </w:r>
      <w:r w:rsidRPr="001B3076">
        <w:rPr>
          <w:sz w:val="24"/>
          <w:szCs w:val="24"/>
        </w:rPr>
        <w:t>, esto es, que su Comité de</w:t>
      </w:r>
      <w:r w:rsidRPr="001B3076">
        <w:rPr>
          <w:rFonts w:cs="Arial"/>
          <w:sz w:val="24"/>
          <w:szCs w:val="24"/>
        </w:rPr>
        <w:t xml:space="preserve"> Transparencia emita un Acuerdo de Clasificación que cumpla con las formalidades antes citadas</w:t>
      </w:r>
      <w:r w:rsidRPr="001B3076">
        <w:rPr>
          <w:rFonts w:cs="Arial"/>
          <w:b/>
          <w:sz w:val="24"/>
          <w:szCs w:val="24"/>
        </w:rPr>
        <w:t xml:space="preserve"> </w:t>
      </w:r>
      <w:r w:rsidRPr="001B3076">
        <w:rPr>
          <w:rFonts w:cs="Arial"/>
          <w:sz w:val="24"/>
          <w:szCs w:val="24"/>
        </w:rPr>
        <w:t xml:space="preserve">que la sustente, en el </w:t>
      </w:r>
      <w:r w:rsidRPr="001B3076">
        <w:rPr>
          <w:rFonts w:cs="Arial"/>
          <w:sz w:val="24"/>
          <w:szCs w:val="24"/>
          <w:lang w:eastAsia="es-MX"/>
        </w:rPr>
        <w:t>que</w:t>
      </w:r>
      <w:r w:rsidRPr="001B3076">
        <w:rPr>
          <w:rFonts w:cs="Arial"/>
          <w:sz w:val="24"/>
          <w:szCs w:val="24"/>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D5C779A" w14:textId="77777777" w:rsidR="00D107BD" w:rsidRPr="001B3076" w:rsidRDefault="00D107BD" w:rsidP="001B3076">
      <w:pPr>
        <w:rPr>
          <w:szCs w:val="22"/>
        </w:rPr>
      </w:pPr>
    </w:p>
    <w:p w14:paraId="1EE2429C" w14:textId="77777777" w:rsidR="0025601C" w:rsidRPr="001B3076" w:rsidRDefault="0025601C" w:rsidP="001B3076">
      <w:pPr>
        <w:pStyle w:val="Ttulo3"/>
      </w:pPr>
      <w:bookmarkStart w:id="33" w:name="_Toc179389838"/>
      <w:r w:rsidRPr="001B3076">
        <w:t>e) Conclusión</w:t>
      </w:r>
      <w:bookmarkEnd w:id="33"/>
    </w:p>
    <w:p w14:paraId="0E9F1B07" w14:textId="19B3C567" w:rsidR="00AC0209" w:rsidRPr="001B3076" w:rsidRDefault="00CA1018" w:rsidP="001B3076">
      <w:pPr>
        <w:ind w:right="-93"/>
      </w:pPr>
      <w:r w:rsidRPr="001B3076">
        <w:t xml:space="preserve">Este Órgano Garante considera que las razones o motivos de inconformidad presentados por </w:t>
      </w:r>
      <w:r w:rsidRPr="001B3076">
        <w:rPr>
          <w:b/>
        </w:rPr>
        <w:t>LA PARTE RECURRENTE</w:t>
      </w:r>
      <w:r w:rsidRPr="001B3076">
        <w:t xml:space="preserve">, resultan fundados, toda vez que no se satisfizo el derecho de acceso a la información pública del particular, </w:t>
      </w:r>
      <w:r w:rsidR="00AC0209" w:rsidRPr="001B3076">
        <w:t xml:space="preserve">y conforme a lo anterior, se deslumbra que resulta improcedente la reserva invocada por el ente recurrido, en atención a qué no se </w:t>
      </w:r>
      <w:r w:rsidR="00A742B6" w:rsidRPr="001B3076">
        <w:t xml:space="preserve">dio cumplimiento </w:t>
      </w:r>
      <w:r w:rsidR="00AC0209" w:rsidRPr="001B3076">
        <w:t>con los elementos necesarios para su validez en términos de la normatividad invocada.</w:t>
      </w:r>
    </w:p>
    <w:p w14:paraId="10228798" w14:textId="77777777" w:rsidR="00AC0209" w:rsidRPr="001B3076" w:rsidRDefault="00AC0209" w:rsidP="001B3076">
      <w:pPr>
        <w:ind w:right="-93"/>
      </w:pPr>
    </w:p>
    <w:p w14:paraId="49DAB72A" w14:textId="77777777" w:rsidR="00AC0209" w:rsidRPr="001B3076" w:rsidRDefault="00AC0209" w:rsidP="001B3076">
      <w:r w:rsidRPr="001B3076">
        <w:t xml:space="preserve">Por lo anteriormente expuesto, este Instituto estima que las razones o motivos de inconformidad hechos valer por </w:t>
      </w:r>
      <w:r w:rsidRPr="001B3076">
        <w:rPr>
          <w:b/>
        </w:rPr>
        <w:t>LA PERSONA RECURRENTE</w:t>
      </w:r>
      <w:r w:rsidRPr="001B3076">
        <w:t xml:space="preserve"> devienen </w:t>
      </w:r>
      <w:r w:rsidRPr="001B3076">
        <w:rPr>
          <w:b/>
        </w:rPr>
        <w:t>fundadas</w:t>
      </w:r>
      <w:r w:rsidRPr="001B3076">
        <w:t xml:space="preserve"> y suficientes para </w:t>
      </w:r>
      <w:r w:rsidRPr="001B3076">
        <w:rPr>
          <w:b/>
        </w:rPr>
        <w:t>MODIFICAR</w:t>
      </w:r>
      <w:r w:rsidRPr="001B3076">
        <w:t xml:space="preserve"> la respuesta del </w:t>
      </w:r>
      <w:r w:rsidRPr="001B3076">
        <w:rPr>
          <w:b/>
        </w:rPr>
        <w:t>SUJETO OBLIGADO</w:t>
      </w:r>
      <w:r w:rsidRPr="001B3076">
        <w:t>.</w:t>
      </w:r>
    </w:p>
    <w:p w14:paraId="11D09BF6" w14:textId="77777777" w:rsidR="004F0690" w:rsidRPr="001B3076" w:rsidRDefault="004F0690" w:rsidP="001B3076">
      <w:pPr>
        <w:ind w:right="-93"/>
        <w:rPr>
          <w:rFonts w:eastAsia="Palatino Linotype" w:cs="Tahoma"/>
          <w:bCs/>
          <w:lang w:eastAsia="es-MX"/>
        </w:rPr>
      </w:pPr>
      <w:bookmarkStart w:id="34" w:name="_Hlk165381027"/>
      <w:r w:rsidRPr="001B3076">
        <w:rPr>
          <w:rFonts w:cs="Tahoma"/>
          <w:bCs/>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0AFBE577" w14:textId="77777777" w:rsidR="004F0690" w:rsidRPr="001B3076" w:rsidRDefault="004F0690" w:rsidP="001B3076">
      <w:pPr>
        <w:rPr>
          <w:rFonts w:cs="Palatino Linotype"/>
        </w:rPr>
      </w:pPr>
    </w:p>
    <w:p w14:paraId="7C9EC970" w14:textId="2C035ABE" w:rsidR="004F0690" w:rsidRPr="001B3076" w:rsidRDefault="004F0690" w:rsidP="001B3076">
      <w:pPr>
        <w:pStyle w:val="Ttulo1"/>
        <w:rPr>
          <w:rFonts w:eastAsia="Palatino Linotype"/>
        </w:rPr>
      </w:pPr>
      <w:bookmarkStart w:id="35" w:name="_Toc170837738"/>
      <w:bookmarkStart w:id="36" w:name="_Toc174021584"/>
      <w:bookmarkStart w:id="37" w:name="_Toc179389839"/>
      <w:r w:rsidRPr="001B3076">
        <w:rPr>
          <w:rFonts w:eastAsia="Palatino Linotype"/>
        </w:rPr>
        <w:t>RESUELVE</w:t>
      </w:r>
      <w:bookmarkEnd w:id="35"/>
      <w:bookmarkEnd w:id="36"/>
      <w:bookmarkEnd w:id="37"/>
    </w:p>
    <w:p w14:paraId="17BCEE76" w14:textId="77777777" w:rsidR="00AC0209" w:rsidRPr="001B3076" w:rsidRDefault="00AC0209" w:rsidP="001B3076">
      <w:pPr>
        <w:rPr>
          <w:rFonts w:eastAsia="Palatino Linotype"/>
        </w:rPr>
      </w:pPr>
    </w:p>
    <w:p w14:paraId="59BBDC11" w14:textId="58781814" w:rsidR="007771D7" w:rsidRPr="001B3076" w:rsidRDefault="007771D7" w:rsidP="001B3076">
      <w:pPr>
        <w:widowControl w:val="0"/>
        <w:rPr>
          <w:rFonts w:eastAsia="Calibri" w:cs="Tahoma"/>
          <w:bCs/>
          <w:lang w:eastAsia="en-US"/>
        </w:rPr>
      </w:pPr>
      <w:r w:rsidRPr="001B3076">
        <w:rPr>
          <w:b/>
          <w:bCs/>
        </w:rPr>
        <w:t>PRIMERO.</w:t>
      </w:r>
      <w:r w:rsidRPr="001B3076">
        <w:t xml:space="preserve"> </w:t>
      </w:r>
      <w:r w:rsidRPr="001B3076">
        <w:rPr>
          <w:rFonts w:cs="Tahoma"/>
        </w:rPr>
        <w:t xml:space="preserve">Se </w:t>
      </w:r>
      <w:r w:rsidR="00AC0209" w:rsidRPr="001B3076">
        <w:rPr>
          <w:rFonts w:cs="Tahoma"/>
          <w:b/>
          <w:bCs/>
        </w:rPr>
        <w:t xml:space="preserve">MODIFICA </w:t>
      </w:r>
      <w:r w:rsidRPr="001B3076">
        <w:rPr>
          <w:rFonts w:cs="Tahoma"/>
        </w:rPr>
        <w:t xml:space="preserve">la respuesta entregada por el </w:t>
      </w:r>
      <w:r w:rsidRPr="001B3076">
        <w:rPr>
          <w:rFonts w:cs="Tahoma"/>
          <w:b/>
          <w:bCs/>
        </w:rPr>
        <w:t>SUJETO OBLIGADO</w:t>
      </w:r>
      <w:r w:rsidRPr="001B3076">
        <w:rPr>
          <w:rFonts w:cs="Tahoma"/>
        </w:rPr>
        <w:t xml:space="preserve"> en la solicitud de información </w:t>
      </w:r>
      <w:r w:rsidR="00413154" w:rsidRPr="001B3076">
        <w:rPr>
          <w:rFonts w:cs="Tahoma"/>
          <w:b/>
        </w:rPr>
        <w:t>00568/SMOV/IP/2024</w:t>
      </w:r>
      <w:r w:rsidRPr="001B3076">
        <w:rPr>
          <w:rFonts w:cs="Tahoma"/>
          <w:bCs/>
        </w:rPr>
        <w:t xml:space="preserve">, </w:t>
      </w:r>
      <w:r w:rsidRPr="001B3076">
        <w:rPr>
          <w:rFonts w:eastAsia="Calibri" w:cs="Tahoma"/>
          <w:bCs/>
          <w:lang w:eastAsia="en-US"/>
        </w:rPr>
        <w:t xml:space="preserve">por resultar </w:t>
      </w:r>
      <w:r w:rsidRPr="001B3076">
        <w:rPr>
          <w:rFonts w:eastAsia="Calibri" w:cs="Tahoma"/>
          <w:b/>
          <w:bCs/>
          <w:lang w:eastAsia="en-US"/>
        </w:rPr>
        <w:t>FUNDADAS</w:t>
      </w:r>
      <w:r w:rsidRPr="001B3076">
        <w:rPr>
          <w:rFonts w:eastAsia="Calibri" w:cs="Tahoma"/>
          <w:bCs/>
          <w:lang w:eastAsia="en-US"/>
        </w:rPr>
        <w:t xml:space="preserve"> las razones o motivos de inconformidad hechos valer por </w:t>
      </w:r>
      <w:r w:rsidRPr="001B3076">
        <w:rPr>
          <w:rFonts w:eastAsia="Calibri" w:cs="Tahoma"/>
          <w:b/>
          <w:lang w:eastAsia="en-US"/>
        </w:rPr>
        <w:t>LA PARTE RECURRENTE</w:t>
      </w:r>
      <w:r w:rsidRPr="001B3076">
        <w:rPr>
          <w:rFonts w:eastAsia="Calibri" w:cs="Tahoma"/>
          <w:bCs/>
          <w:lang w:eastAsia="en-US"/>
        </w:rPr>
        <w:t xml:space="preserve"> en el Recurso de Revisión </w:t>
      </w:r>
      <w:r w:rsidR="00413154" w:rsidRPr="001B3076">
        <w:rPr>
          <w:rFonts w:eastAsiaTheme="minorHAnsi" w:cstheme="minorBidi"/>
          <w:b/>
          <w:bCs/>
          <w:lang w:eastAsia="en-US"/>
        </w:rPr>
        <w:t>05667/INFOEM/IP/RR/2024</w:t>
      </w:r>
      <w:r w:rsidRPr="001B3076">
        <w:rPr>
          <w:rFonts w:eastAsiaTheme="minorHAnsi" w:cstheme="minorBidi"/>
          <w:lang w:eastAsia="en-US"/>
        </w:rPr>
        <w:t>,</w:t>
      </w:r>
      <w:r w:rsidRPr="001B3076">
        <w:rPr>
          <w:rFonts w:cs="Tahoma"/>
          <w:b/>
        </w:rPr>
        <w:t xml:space="preserve"> </w:t>
      </w:r>
      <w:r w:rsidRPr="001B3076">
        <w:rPr>
          <w:rFonts w:eastAsia="Calibri" w:cs="Tahoma"/>
          <w:bCs/>
          <w:lang w:eastAsia="en-US"/>
        </w:rPr>
        <w:t xml:space="preserve">en términos del considerando </w:t>
      </w:r>
      <w:r w:rsidRPr="001B3076">
        <w:rPr>
          <w:rFonts w:eastAsia="Calibri" w:cs="Tahoma"/>
          <w:b/>
          <w:lang w:eastAsia="en-US"/>
        </w:rPr>
        <w:t>SEGUNDO</w:t>
      </w:r>
      <w:r w:rsidRPr="001B3076">
        <w:rPr>
          <w:rFonts w:eastAsia="Calibri" w:cs="Tahoma"/>
          <w:bCs/>
          <w:lang w:eastAsia="en-US"/>
        </w:rPr>
        <w:t xml:space="preserve"> de la presente Resolución.</w:t>
      </w:r>
    </w:p>
    <w:p w14:paraId="16F66CB1" w14:textId="77777777" w:rsidR="007771D7" w:rsidRPr="001B3076" w:rsidRDefault="007771D7" w:rsidP="001B3076">
      <w:pPr>
        <w:widowControl w:val="0"/>
        <w:rPr>
          <w:rFonts w:eastAsia="Calibri" w:cs="Tahoma"/>
          <w:bCs/>
          <w:lang w:eastAsia="en-US"/>
        </w:rPr>
      </w:pPr>
    </w:p>
    <w:p w14:paraId="06B48717" w14:textId="7B53183F" w:rsidR="007771D7" w:rsidRPr="001B3076" w:rsidRDefault="007771D7" w:rsidP="001B3076">
      <w:pPr>
        <w:ind w:right="-93"/>
        <w:rPr>
          <w:rFonts w:eastAsia="Calibri" w:cs="Tahoma"/>
          <w:bCs/>
          <w:lang w:eastAsia="en-US"/>
        </w:rPr>
      </w:pPr>
      <w:r w:rsidRPr="001B3076">
        <w:rPr>
          <w:rFonts w:eastAsia="Calibri" w:cs="Tahoma"/>
          <w:b/>
          <w:bCs/>
          <w:lang w:eastAsia="en-US"/>
        </w:rPr>
        <w:t>SEGUNDO.</w:t>
      </w:r>
      <w:r w:rsidRPr="001B3076">
        <w:rPr>
          <w:rFonts w:eastAsia="Calibri" w:cs="Tahoma"/>
        </w:rPr>
        <w:t xml:space="preserve"> Se </w:t>
      </w:r>
      <w:r w:rsidRPr="001B3076">
        <w:rPr>
          <w:rFonts w:eastAsia="Calibri" w:cs="Tahoma"/>
          <w:b/>
        </w:rPr>
        <w:t xml:space="preserve">ORDENA </w:t>
      </w:r>
      <w:r w:rsidRPr="001B3076">
        <w:rPr>
          <w:rFonts w:eastAsia="Calibri" w:cs="Tahoma"/>
        </w:rPr>
        <w:t xml:space="preserve">al </w:t>
      </w:r>
      <w:r w:rsidRPr="001B3076">
        <w:rPr>
          <w:rFonts w:eastAsia="Calibri" w:cs="Tahoma"/>
          <w:b/>
          <w:bCs/>
        </w:rPr>
        <w:t>SUJETO OBLIGADO</w:t>
      </w:r>
      <w:r w:rsidRPr="001B3076">
        <w:rPr>
          <w:rFonts w:eastAsia="Calibri" w:cs="Tahoma"/>
        </w:rPr>
        <w:t xml:space="preserve">, </w:t>
      </w:r>
      <w:r w:rsidRPr="001B3076">
        <w:rPr>
          <w:rFonts w:eastAsia="Calibri" w:cs="Tahoma"/>
          <w:bCs/>
          <w:lang w:eastAsia="en-US"/>
        </w:rPr>
        <w:t xml:space="preserve">a efecto de que entregue a través del </w:t>
      </w:r>
      <w:r w:rsidRPr="001B3076">
        <w:rPr>
          <w:rFonts w:eastAsia="Calibri" w:cs="Tahoma"/>
          <w:b/>
          <w:bCs/>
          <w:lang w:eastAsia="en-US"/>
        </w:rPr>
        <w:t>SAIMEX</w:t>
      </w:r>
      <w:r w:rsidRPr="001B3076">
        <w:rPr>
          <w:rFonts w:eastAsia="Calibri" w:cs="Tahoma"/>
          <w:bCs/>
          <w:lang w:eastAsia="en-US"/>
        </w:rPr>
        <w:t xml:space="preserve">, </w:t>
      </w:r>
      <w:r w:rsidR="00B03976" w:rsidRPr="001B3076">
        <w:rPr>
          <w:rFonts w:eastAsia="Calibri" w:cs="Tahoma"/>
          <w:bCs/>
          <w:lang w:eastAsia="en-US"/>
        </w:rPr>
        <w:t xml:space="preserve">en versión pública de ser procedente, </w:t>
      </w:r>
      <w:r w:rsidRPr="001B3076">
        <w:rPr>
          <w:rFonts w:eastAsia="Calibri" w:cs="Tahoma"/>
          <w:bCs/>
          <w:lang w:eastAsia="en-US"/>
        </w:rPr>
        <w:t>lo siguiente:</w:t>
      </w:r>
    </w:p>
    <w:p w14:paraId="288B611C" w14:textId="77777777" w:rsidR="004D019F" w:rsidRPr="001B3076" w:rsidRDefault="004D019F" w:rsidP="001B3076">
      <w:pPr>
        <w:tabs>
          <w:tab w:val="left" w:pos="4962"/>
        </w:tabs>
        <w:rPr>
          <w:rFonts w:cs="Tahoma"/>
          <w:bCs/>
          <w:iCs/>
          <w:szCs w:val="22"/>
        </w:rPr>
      </w:pPr>
    </w:p>
    <w:p w14:paraId="7336E3BB" w14:textId="77777777" w:rsidR="005C70FD" w:rsidRPr="001B3076" w:rsidRDefault="00F302EC" w:rsidP="001B3076">
      <w:pPr>
        <w:pStyle w:val="Prrafodelista"/>
        <w:tabs>
          <w:tab w:val="left" w:pos="4962"/>
        </w:tabs>
        <w:ind w:right="539"/>
        <w:rPr>
          <w:rFonts w:cs="Tahoma"/>
          <w:bCs/>
          <w:i/>
          <w:szCs w:val="22"/>
        </w:rPr>
      </w:pPr>
      <w:r w:rsidRPr="001B3076">
        <w:rPr>
          <w:rFonts w:cs="Tahoma"/>
          <w:bCs/>
          <w:i/>
          <w:szCs w:val="22"/>
        </w:rPr>
        <w:t>Del 01 de septiembre de 2023 al 19 de agosto 2024 de los depósitos de guarda y custodia conocidos como corralones, que fueron clausurados</w:t>
      </w:r>
      <w:r w:rsidR="005C70FD" w:rsidRPr="001B3076">
        <w:rPr>
          <w:rFonts w:cs="Tahoma"/>
          <w:bCs/>
          <w:i/>
          <w:szCs w:val="22"/>
        </w:rPr>
        <w:t>, cuyo procedimiento se encuentre concluido y que haya causado estado:</w:t>
      </w:r>
    </w:p>
    <w:p w14:paraId="2B7FB5A9" w14:textId="077D69B4" w:rsidR="00F302EC" w:rsidRPr="001B3076" w:rsidRDefault="00F302EC" w:rsidP="001B3076">
      <w:pPr>
        <w:pStyle w:val="Prrafodelista"/>
        <w:numPr>
          <w:ilvl w:val="0"/>
          <w:numId w:val="40"/>
        </w:numPr>
        <w:tabs>
          <w:tab w:val="left" w:pos="4962"/>
        </w:tabs>
        <w:ind w:right="539"/>
        <w:rPr>
          <w:rFonts w:cs="Tahoma"/>
          <w:bCs/>
          <w:i/>
          <w:szCs w:val="22"/>
        </w:rPr>
      </w:pPr>
      <w:r w:rsidRPr="001B3076">
        <w:rPr>
          <w:rFonts w:cs="Tahoma"/>
          <w:bCs/>
          <w:i/>
          <w:szCs w:val="22"/>
        </w:rPr>
        <w:t>Nombre.</w:t>
      </w:r>
    </w:p>
    <w:p w14:paraId="5FE0EB50" w14:textId="4D2DA8F8" w:rsidR="00E349E4" w:rsidRPr="001B3076" w:rsidRDefault="00E349E4" w:rsidP="001B3076">
      <w:pPr>
        <w:pStyle w:val="Prrafodelista"/>
        <w:numPr>
          <w:ilvl w:val="0"/>
          <w:numId w:val="40"/>
        </w:numPr>
        <w:tabs>
          <w:tab w:val="left" w:pos="4962"/>
        </w:tabs>
        <w:ind w:right="539"/>
        <w:rPr>
          <w:rFonts w:cs="Tahoma"/>
          <w:bCs/>
          <w:i/>
          <w:szCs w:val="22"/>
        </w:rPr>
      </w:pPr>
      <w:r w:rsidRPr="001B3076">
        <w:rPr>
          <w:rFonts w:cs="Tahoma"/>
          <w:bCs/>
          <w:i/>
          <w:szCs w:val="22"/>
        </w:rPr>
        <w:t>Nombre del representante legal.</w:t>
      </w:r>
    </w:p>
    <w:p w14:paraId="1943F69D" w14:textId="714CC7F9" w:rsidR="00F302EC" w:rsidRPr="001B3076" w:rsidRDefault="00F302EC" w:rsidP="001B3076">
      <w:pPr>
        <w:pStyle w:val="Prrafodelista"/>
        <w:numPr>
          <w:ilvl w:val="0"/>
          <w:numId w:val="40"/>
        </w:numPr>
        <w:tabs>
          <w:tab w:val="left" w:pos="4962"/>
        </w:tabs>
        <w:ind w:right="539"/>
        <w:rPr>
          <w:rFonts w:cs="Tahoma"/>
          <w:bCs/>
          <w:i/>
          <w:szCs w:val="22"/>
        </w:rPr>
      </w:pPr>
      <w:r w:rsidRPr="001B3076">
        <w:rPr>
          <w:rFonts w:cs="Tahoma"/>
          <w:bCs/>
          <w:i/>
          <w:szCs w:val="22"/>
        </w:rPr>
        <w:t>Ubicación.</w:t>
      </w:r>
    </w:p>
    <w:p w14:paraId="5F58B788" w14:textId="69754EE9" w:rsidR="00F302EC" w:rsidRPr="001B3076" w:rsidRDefault="00F302EC" w:rsidP="001B3076">
      <w:pPr>
        <w:pStyle w:val="Prrafodelista"/>
        <w:numPr>
          <w:ilvl w:val="0"/>
          <w:numId w:val="40"/>
        </w:numPr>
        <w:tabs>
          <w:tab w:val="left" w:pos="4962"/>
        </w:tabs>
        <w:ind w:right="539"/>
        <w:rPr>
          <w:rFonts w:cs="Tahoma"/>
          <w:bCs/>
          <w:i/>
          <w:szCs w:val="22"/>
        </w:rPr>
      </w:pPr>
      <w:r w:rsidRPr="001B3076">
        <w:rPr>
          <w:rFonts w:cs="Tahoma"/>
          <w:bCs/>
          <w:i/>
          <w:szCs w:val="22"/>
        </w:rPr>
        <w:t>Expedientes.</w:t>
      </w:r>
    </w:p>
    <w:p w14:paraId="6985B5B8" w14:textId="1266AC03" w:rsidR="00F302EC" w:rsidRPr="001B3076" w:rsidRDefault="00F302EC" w:rsidP="001B3076">
      <w:pPr>
        <w:pStyle w:val="Prrafodelista"/>
        <w:numPr>
          <w:ilvl w:val="0"/>
          <w:numId w:val="40"/>
        </w:numPr>
        <w:tabs>
          <w:tab w:val="left" w:pos="4962"/>
        </w:tabs>
        <w:ind w:right="539"/>
        <w:rPr>
          <w:rFonts w:cs="Tahoma"/>
          <w:bCs/>
          <w:i/>
          <w:szCs w:val="22"/>
        </w:rPr>
      </w:pPr>
      <w:r w:rsidRPr="001B3076">
        <w:rPr>
          <w:rFonts w:cs="Tahoma"/>
          <w:bCs/>
          <w:i/>
          <w:szCs w:val="22"/>
        </w:rPr>
        <w:t>Fecha de clausura.</w:t>
      </w:r>
    </w:p>
    <w:p w14:paraId="4F7FA36C" w14:textId="5095505F" w:rsidR="008B38DB" w:rsidRPr="001B3076" w:rsidRDefault="008B38DB" w:rsidP="001B3076">
      <w:pPr>
        <w:pStyle w:val="Prrafodelista"/>
        <w:numPr>
          <w:ilvl w:val="0"/>
          <w:numId w:val="40"/>
        </w:numPr>
        <w:tabs>
          <w:tab w:val="left" w:pos="4962"/>
        </w:tabs>
        <w:ind w:right="539"/>
        <w:rPr>
          <w:rFonts w:cs="Tahoma"/>
          <w:bCs/>
          <w:i/>
          <w:szCs w:val="22"/>
        </w:rPr>
      </w:pPr>
      <w:r w:rsidRPr="001B3076">
        <w:rPr>
          <w:rFonts w:cs="Tahoma"/>
          <w:bCs/>
          <w:i/>
          <w:szCs w:val="22"/>
        </w:rPr>
        <w:lastRenderedPageBreak/>
        <w:t xml:space="preserve">El número y el nombre </w:t>
      </w:r>
      <w:r w:rsidR="00F302EC" w:rsidRPr="001B3076">
        <w:rPr>
          <w:rFonts w:cs="Tahoma"/>
          <w:bCs/>
          <w:i/>
          <w:szCs w:val="22"/>
        </w:rPr>
        <w:t>de los</w:t>
      </w:r>
      <w:r w:rsidRPr="001B3076">
        <w:rPr>
          <w:rFonts w:cs="Tahoma"/>
          <w:bCs/>
          <w:i/>
          <w:szCs w:val="22"/>
        </w:rPr>
        <w:t xml:space="preserve"> depósitos de guarda y custodia</w:t>
      </w:r>
      <w:r w:rsidR="00F302EC" w:rsidRPr="001B3076">
        <w:rPr>
          <w:rFonts w:cs="Tahoma"/>
          <w:bCs/>
          <w:i/>
          <w:szCs w:val="22"/>
        </w:rPr>
        <w:t xml:space="preserve"> </w:t>
      </w:r>
      <w:r w:rsidRPr="001B3076">
        <w:rPr>
          <w:rFonts w:cs="Tahoma"/>
          <w:bCs/>
          <w:i/>
          <w:szCs w:val="22"/>
        </w:rPr>
        <w:t>(</w:t>
      </w:r>
      <w:r w:rsidR="00F302EC" w:rsidRPr="001B3076">
        <w:rPr>
          <w:rFonts w:cs="Tahoma"/>
          <w:bCs/>
          <w:i/>
          <w:szCs w:val="22"/>
        </w:rPr>
        <w:t>corralones</w:t>
      </w:r>
      <w:r w:rsidRPr="001B3076">
        <w:rPr>
          <w:rFonts w:cs="Tahoma"/>
          <w:bCs/>
          <w:i/>
          <w:szCs w:val="22"/>
        </w:rPr>
        <w:t>)</w:t>
      </w:r>
      <w:r w:rsidR="00F302EC" w:rsidRPr="001B3076">
        <w:rPr>
          <w:rFonts w:cs="Tahoma"/>
          <w:bCs/>
          <w:i/>
          <w:szCs w:val="22"/>
        </w:rPr>
        <w:t xml:space="preserve"> clausurados </w:t>
      </w:r>
      <w:r w:rsidR="00D75D31" w:rsidRPr="001B3076">
        <w:rPr>
          <w:rFonts w:cs="Tahoma"/>
          <w:bCs/>
          <w:i/>
          <w:szCs w:val="22"/>
        </w:rPr>
        <w:t>que están de nuevo en</w:t>
      </w:r>
      <w:r w:rsidRPr="001B3076">
        <w:rPr>
          <w:rFonts w:cs="Tahoma"/>
          <w:bCs/>
          <w:i/>
          <w:szCs w:val="22"/>
        </w:rPr>
        <w:t xml:space="preserve"> </w:t>
      </w:r>
      <w:r w:rsidR="00766ECE" w:rsidRPr="001B3076">
        <w:rPr>
          <w:rFonts w:cs="Tahoma"/>
          <w:bCs/>
          <w:i/>
          <w:szCs w:val="22"/>
        </w:rPr>
        <w:t>funcionamiento</w:t>
      </w:r>
      <w:r w:rsidRPr="001B3076">
        <w:rPr>
          <w:rFonts w:cs="Tahoma"/>
          <w:bCs/>
          <w:i/>
          <w:szCs w:val="22"/>
        </w:rPr>
        <w:t>, al 19 de agosto de 2024.</w:t>
      </w:r>
    </w:p>
    <w:p w14:paraId="07C7F662" w14:textId="77777777" w:rsidR="005C70FD" w:rsidRPr="001B3076" w:rsidRDefault="008B38DB" w:rsidP="001B3076">
      <w:pPr>
        <w:pStyle w:val="Prrafodelista"/>
        <w:numPr>
          <w:ilvl w:val="0"/>
          <w:numId w:val="40"/>
        </w:numPr>
        <w:tabs>
          <w:tab w:val="left" w:pos="4962"/>
        </w:tabs>
        <w:ind w:right="539"/>
        <w:rPr>
          <w:i/>
        </w:rPr>
      </w:pPr>
      <w:r w:rsidRPr="001B3076">
        <w:rPr>
          <w:rFonts w:cs="Tahoma"/>
          <w:bCs/>
          <w:i/>
          <w:szCs w:val="22"/>
        </w:rPr>
        <w:t xml:space="preserve">Resolución, que facultó a los depósitos clausurados estar </w:t>
      </w:r>
      <w:r w:rsidR="004E38B6" w:rsidRPr="001B3076">
        <w:rPr>
          <w:rFonts w:cs="Tahoma"/>
          <w:bCs/>
          <w:i/>
          <w:szCs w:val="22"/>
        </w:rPr>
        <w:t xml:space="preserve">de nuevo </w:t>
      </w:r>
      <w:r w:rsidRPr="001B3076">
        <w:rPr>
          <w:rFonts w:cs="Tahoma"/>
          <w:bCs/>
          <w:i/>
          <w:szCs w:val="22"/>
        </w:rPr>
        <w:t xml:space="preserve">en funcionamiento, </w:t>
      </w:r>
      <w:r w:rsidR="005C70FD" w:rsidRPr="001B3076">
        <w:rPr>
          <w:rFonts w:cs="Tahoma"/>
          <w:bCs/>
          <w:i/>
          <w:szCs w:val="22"/>
        </w:rPr>
        <w:t xml:space="preserve">al 19 de agosto de 2024. </w:t>
      </w:r>
    </w:p>
    <w:p w14:paraId="1771257A" w14:textId="77777777" w:rsidR="005C70FD" w:rsidRPr="001B3076" w:rsidRDefault="005C70FD" w:rsidP="001B3076">
      <w:pPr>
        <w:tabs>
          <w:tab w:val="left" w:pos="4962"/>
        </w:tabs>
        <w:ind w:left="1080" w:right="539"/>
        <w:rPr>
          <w:i/>
        </w:rPr>
      </w:pPr>
    </w:p>
    <w:p w14:paraId="4946B089" w14:textId="77777777" w:rsidR="005C70FD" w:rsidRPr="001B3076" w:rsidRDefault="005C70FD" w:rsidP="001B3076">
      <w:pPr>
        <w:tabs>
          <w:tab w:val="left" w:pos="4962"/>
        </w:tabs>
        <w:ind w:left="1080" w:right="539"/>
        <w:rPr>
          <w:i/>
        </w:rPr>
      </w:pPr>
      <w:r w:rsidRPr="001B3076">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C7540E0" w14:textId="77777777" w:rsidR="005C70FD" w:rsidRPr="001B3076" w:rsidRDefault="005C70FD" w:rsidP="001B3076">
      <w:pPr>
        <w:pStyle w:val="Prrafodelista"/>
        <w:tabs>
          <w:tab w:val="left" w:pos="4962"/>
        </w:tabs>
        <w:ind w:left="1440" w:right="539"/>
        <w:rPr>
          <w:i/>
        </w:rPr>
      </w:pPr>
    </w:p>
    <w:p w14:paraId="4792B229" w14:textId="2EF9C383" w:rsidR="005C70FD" w:rsidRPr="001B3076" w:rsidRDefault="00DD688C" w:rsidP="001B3076">
      <w:pPr>
        <w:tabs>
          <w:tab w:val="left" w:pos="4962"/>
        </w:tabs>
        <w:ind w:left="1080" w:right="539"/>
        <w:rPr>
          <w:i/>
        </w:rPr>
      </w:pPr>
      <w:r w:rsidRPr="001B3076">
        <w:rPr>
          <w:rFonts w:eastAsia="Palatino Linotype" w:cs="Palatino Linotype"/>
          <w:i/>
          <w:szCs w:val="22"/>
          <w:lang w:eastAsia="es-MX"/>
        </w:rPr>
        <w:t xml:space="preserve">Para el caso de que, los procedimientos </w:t>
      </w:r>
      <w:r w:rsidR="005C70FD" w:rsidRPr="001B3076">
        <w:rPr>
          <w:rFonts w:cs="Tahoma"/>
          <w:bCs/>
          <w:i/>
          <w:szCs w:val="22"/>
        </w:rPr>
        <w:t>de los depósitos de guarda y custodia conocidos como corralones,</w:t>
      </w:r>
      <w:r w:rsidRPr="001B3076">
        <w:rPr>
          <w:rFonts w:cs="Tahoma"/>
          <w:bCs/>
          <w:i/>
          <w:szCs w:val="22"/>
        </w:rPr>
        <w:t xml:space="preserve"> </w:t>
      </w:r>
      <w:r w:rsidR="005979E2" w:rsidRPr="001B3076">
        <w:rPr>
          <w:rFonts w:cs="Tahoma"/>
          <w:bCs/>
          <w:i/>
          <w:szCs w:val="22"/>
        </w:rPr>
        <w:t xml:space="preserve">se encuentren en trámite, </w:t>
      </w:r>
      <w:r w:rsidRPr="001B3076">
        <w:rPr>
          <w:rFonts w:eastAsia="Palatino Linotype" w:cs="Palatino Linotype"/>
          <w:i/>
          <w:szCs w:val="22"/>
          <w:lang w:eastAsia="es-MX"/>
        </w:rPr>
        <w:t>el acuerdo debidamente fundado y motivado que emita el Comité de Transparencia en el que clasifique como información reservada</w:t>
      </w:r>
      <w:r w:rsidR="005C70FD" w:rsidRPr="001B3076">
        <w:rPr>
          <w:rFonts w:eastAsia="Palatino Linotype" w:cs="Palatino Linotype"/>
          <w:i/>
          <w:szCs w:val="22"/>
          <w:lang w:eastAsia="es-MX"/>
        </w:rPr>
        <w:t xml:space="preserve">, en términos de los artículos 49, fracción VIII, 129, 140 y 141 de la Ley de Transparencia y Acceso a la Información pública del Estado de México y Municipios. </w:t>
      </w:r>
    </w:p>
    <w:p w14:paraId="39B368E7" w14:textId="77777777" w:rsidR="00B03976" w:rsidRPr="001B3076" w:rsidRDefault="00B03976" w:rsidP="001B3076">
      <w:pPr>
        <w:pStyle w:val="Prrafodelista"/>
        <w:tabs>
          <w:tab w:val="left" w:pos="4962"/>
        </w:tabs>
        <w:ind w:right="539"/>
        <w:rPr>
          <w:rFonts w:eastAsia="Palatino Linotype" w:cs="Palatino Linotype"/>
          <w:i/>
          <w:szCs w:val="22"/>
          <w:lang w:eastAsia="es-MX"/>
        </w:rPr>
      </w:pPr>
    </w:p>
    <w:p w14:paraId="5E318F3A" w14:textId="77777777" w:rsidR="007771D7" w:rsidRPr="001B3076" w:rsidRDefault="007771D7" w:rsidP="001B3076">
      <w:r w:rsidRPr="001B3076">
        <w:rPr>
          <w:b/>
          <w:bCs/>
        </w:rPr>
        <w:t>TERCERO.</w:t>
      </w:r>
      <w:r w:rsidRPr="001B3076">
        <w:t xml:space="preserve"> Notifíquese vía Sistema de Acceso a la Información Mexiquense (</w:t>
      </w:r>
      <w:r w:rsidRPr="001B3076">
        <w:rPr>
          <w:b/>
        </w:rPr>
        <w:t>SAIMEX</w:t>
      </w:r>
      <w:r w:rsidRPr="001B3076">
        <w:t xml:space="preserve">) la presente resolución al Titular de la Unidad de Transparencia del </w:t>
      </w:r>
      <w:r w:rsidRPr="001B3076">
        <w:rPr>
          <w:b/>
          <w:bCs/>
        </w:rPr>
        <w:t>SUJETO OBLIGADO</w:t>
      </w:r>
      <w:r w:rsidRPr="001B3076">
        <w:t xml:space="preserve">, para que conforme al artículo 186 último párrafo, 189 segundo párrafo y 194 de la Ley de Transparencia y Acceso a la Información Pública del Estado de México y Municipios, dé cumplimiento a lo ordenado dentro del plazo de </w:t>
      </w:r>
      <w:r w:rsidRPr="001B3076">
        <w:rPr>
          <w:b/>
          <w:bCs/>
        </w:rPr>
        <w:t>diez días hábiles</w:t>
      </w:r>
      <w:r w:rsidRPr="001B3076">
        <w:t xml:space="preserve">, e informe a este Instituto en un plazo de </w:t>
      </w:r>
      <w:r w:rsidRPr="001B3076">
        <w:rPr>
          <w:b/>
          <w:bCs/>
        </w:rPr>
        <w:t>tres días hábiles</w:t>
      </w:r>
      <w:r w:rsidRPr="001B307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A6EF84" w14:textId="77777777" w:rsidR="007771D7" w:rsidRPr="001B3076" w:rsidRDefault="007771D7" w:rsidP="001B3076">
      <w:r w:rsidRPr="001B3076">
        <w:rPr>
          <w:b/>
          <w:bCs/>
        </w:rPr>
        <w:lastRenderedPageBreak/>
        <w:t>CUARTO.</w:t>
      </w:r>
      <w:r w:rsidRPr="001B3076">
        <w:t xml:space="preserve"> Notifíquese a </w:t>
      </w:r>
      <w:r w:rsidRPr="001B3076">
        <w:rPr>
          <w:b/>
          <w:bCs/>
        </w:rPr>
        <w:t>LA PARTE RECURRENTE</w:t>
      </w:r>
      <w:r w:rsidRPr="001B3076">
        <w:t xml:space="preserve"> la presente resolución vía Sistema de Acceso a la Información Mexiquense (</w:t>
      </w:r>
      <w:r w:rsidRPr="001B3076">
        <w:rPr>
          <w:b/>
        </w:rPr>
        <w:t>SAIMEX</w:t>
      </w:r>
      <w:r w:rsidRPr="001B3076">
        <w:t>).</w:t>
      </w:r>
    </w:p>
    <w:p w14:paraId="503F8055" w14:textId="77777777" w:rsidR="007771D7" w:rsidRPr="001B3076" w:rsidRDefault="007771D7" w:rsidP="001B3076"/>
    <w:p w14:paraId="2F2B0D81" w14:textId="19D3E786" w:rsidR="007771D7" w:rsidRPr="001B3076" w:rsidRDefault="007771D7" w:rsidP="001B3076">
      <w:r w:rsidRPr="001B3076">
        <w:rPr>
          <w:b/>
          <w:bCs/>
        </w:rPr>
        <w:t>QUINTO</w:t>
      </w:r>
      <w:r w:rsidRPr="001B3076">
        <w:t xml:space="preserve">. Hágase del conocimiento a </w:t>
      </w:r>
      <w:r w:rsidRPr="001B3076">
        <w:rPr>
          <w:b/>
          <w:bCs/>
        </w:rPr>
        <w:t>LA PARTE RECURRENTE</w:t>
      </w:r>
      <w:r w:rsidRPr="001B307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0B193A" w:rsidRPr="001B3076">
        <w:t xml:space="preserve"> o recurso de inconformidad de acuerdo con lo establecido en los</w:t>
      </w:r>
      <w:r w:rsidR="00CD0871" w:rsidRPr="001B3076">
        <w:t xml:space="preserve"> </w:t>
      </w:r>
      <w:r w:rsidR="000B193A" w:rsidRPr="001B3076">
        <w:t>artículo</w:t>
      </w:r>
      <w:r w:rsidR="00CD0871" w:rsidRPr="001B3076">
        <w:t>s</w:t>
      </w:r>
      <w:r w:rsidR="000B193A" w:rsidRPr="001B3076">
        <w:t xml:space="preserve"> 159 y 160 de la Ley General de Transparencia y Acceso a la Información Pública.</w:t>
      </w:r>
    </w:p>
    <w:p w14:paraId="21B1D26D" w14:textId="77777777" w:rsidR="007771D7" w:rsidRPr="001B3076" w:rsidRDefault="007771D7" w:rsidP="001B3076"/>
    <w:p w14:paraId="3DE25ACB" w14:textId="77777777" w:rsidR="007771D7" w:rsidRPr="001B3076" w:rsidRDefault="007771D7" w:rsidP="001B3076">
      <w:r w:rsidRPr="001B3076">
        <w:rPr>
          <w:b/>
          <w:bCs/>
        </w:rPr>
        <w:t>SEXTO.</w:t>
      </w:r>
      <w:r w:rsidRPr="001B3076">
        <w:t xml:space="preserve"> De conformidad con el artículo 198 de la Ley de Transparencia y Acceso a la Información Pública del Estado de México y Municipios, el </w:t>
      </w:r>
      <w:r w:rsidRPr="001B3076">
        <w:rPr>
          <w:b/>
          <w:bCs/>
        </w:rPr>
        <w:t>SUJETO OBLIGADO</w:t>
      </w:r>
      <w:r w:rsidRPr="001B3076">
        <w:t xml:space="preserve"> podrá solicitar una ampliación de plazo de manera fundada y motivada, para el cumplimiento de la presente resolución.</w:t>
      </w:r>
    </w:p>
    <w:p w14:paraId="4D7EBEB3" w14:textId="77777777" w:rsidR="003F780F" w:rsidRPr="001B3076" w:rsidRDefault="003F780F" w:rsidP="001B3076">
      <w:pPr>
        <w:ind w:right="113"/>
        <w:rPr>
          <w:rFonts w:cs="Arial"/>
          <w:b/>
          <w:szCs w:val="22"/>
        </w:rPr>
      </w:pPr>
    </w:p>
    <w:p w14:paraId="719A5C63" w14:textId="144D6AF7" w:rsidR="00664420" w:rsidRPr="001B3076" w:rsidRDefault="00664420" w:rsidP="001B3076">
      <w:pPr>
        <w:rPr>
          <w:rFonts w:eastAsia="Palatino Linotype" w:cs="Palatino Linotype"/>
          <w:szCs w:val="22"/>
        </w:rPr>
      </w:pPr>
      <w:r w:rsidRPr="001B307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B3076" w:rsidRPr="001B3076">
        <w:rPr>
          <w:rFonts w:eastAsia="Palatino Linotype" w:cs="Palatino Linotype"/>
          <w:szCs w:val="22"/>
        </w:rPr>
        <w:t xml:space="preserve">EMITIENDO VOTO PARTICULAR </w:t>
      </w:r>
      <w:r w:rsidRPr="001B3076">
        <w:rPr>
          <w:rFonts w:eastAsia="Palatino Linotype" w:cs="Palatino Linotype"/>
          <w:szCs w:val="22"/>
        </w:rPr>
        <w:t xml:space="preserve">Y GUADALUPE RAMÍREZ PEÑA, EN LA </w:t>
      </w:r>
      <w:r w:rsidR="00CC783A" w:rsidRPr="001B3076">
        <w:rPr>
          <w:rFonts w:eastAsia="Palatino Linotype" w:cs="Palatino Linotype"/>
          <w:szCs w:val="22"/>
        </w:rPr>
        <w:t>TRIGÉSIMA</w:t>
      </w:r>
      <w:r w:rsidR="00336B4B" w:rsidRPr="001B3076">
        <w:rPr>
          <w:rFonts w:eastAsia="Palatino Linotype" w:cs="Palatino Linotype"/>
          <w:szCs w:val="22"/>
        </w:rPr>
        <w:t xml:space="preserve"> </w:t>
      </w:r>
      <w:r w:rsidR="00AC0209" w:rsidRPr="001B3076">
        <w:rPr>
          <w:rFonts w:eastAsia="Palatino Linotype" w:cs="Palatino Linotype"/>
          <w:szCs w:val="22"/>
        </w:rPr>
        <w:t>SEXTA</w:t>
      </w:r>
      <w:r w:rsidR="00C5325A" w:rsidRPr="001B3076">
        <w:rPr>
          <w:rFonts w:eastAsia="Palatino Linotype" w:cs="Palatino Linotype"/>
          <w:szCs w:val="22"/>
        </w:rPr>
        <w:t xml:space="preserve"> </w:t>
      </w:r>
      <w:r w:rsidRPr="001B3076">
        <w:rPr>
          <w:rFonts w:eastAsia="Palatino Linotype" w:cs="Palatino Linotype"/>
          <w:szCs w:val="22"/>
        </w:rPr>
        <w:t xml:space="preserve">SESIÓN ORDINARIA, CELEBRADA EL </w:t>
      </w:r>
      <w:r w:rsidR="00AC0209" w:rsidRPr="001B3076">
        <w:rPr>
          <w:rFonts w:eastAsia="Palatino Linotype" w:cs="Palatino Linotype"/>
          <w:szCs w:val="22"/>
        </w:rPr>
        <w:t>NUEVE DE OCTUBRE</w:t>
      </w:r>
      <w:r w:rsidR="00336B4B" w:rsidRPr="001B3076">
        <w:rPr>
          <w:rFonts w:eastAsia="Palatino Linotype" w:cs="Palatino Linotype"/>
          <w:szCs w:val="22"/>
        </w:rPr>
        <w:t xml:space="preserve"> DE DOS MIL VEINTICUATRO, </w:t>
      </w:r>
      <w:r w:rsidRPr="001B3076">
        <w:rPr>
          <w:rFonts w:eastAsia="Palatino Linotype" w:cs="Palatino Linotype"/>
          <w:szCs w:val="22"/>
        </w:rPr>
        <w:t>ANTE EL SECRETARIO TÉCNICO DEL PLENO, ALEXIS TAPIA RAMÍREZ.</w:t>
      </w:r>
    </w:p>
    <w:p w14:paraId="26F5FDEB" w14:textId="77777777" w:rsidR="008629A5" w:rsidRPr="001B3076" w:rsidRDefault="008629A5" w:rsidP="001B3076">
      <w:pPr>
        <w:ind w:right="-93"/>
      </w:pPr>
      <w:r w:rsidRPr="001B3076">
        <w:rPr>
          <w:rFonts w:eastAsia="Palatino Linotype" w:cs="Palatino Linotype"/>
          <w:sz w:val="18"/>
          <w:szCs w:val="14"/>
        </w:rPr>
        <w:t>SCMM/AGZ/DEMF/PAG</w:t>
      </w:r>
    </w:p>
    <w:p w14:paraId="49D72DA3" w14:textId="77777777" w:rsidR="00664420" w:rsidRPr="001B3076" w:rsidRDefault="00664420" w:rsidP="001B3076">
      <w:pPr>
        <w:ind w:right="-93"/>
        <w:rPr>
          <w:rFonts w:eastAsia="Calibri" w:cs="Tahoma"/>
          <w:bCs/>
          <w:szCs w:val="22"/>
          <w:lang w:eastAsia="en-US"/>
        </w:rPr>
      </w:pPr>
    </w:p>
    <w:p w14:paraId="5EFEA0CD" w14:textId="77777777" w:rsidR="00664420" w:rsidRPr="001B3076" w:rsidRDefault="00664420" w:rsidP="001B3076">
      <w:pPr>
        <w:ind w:right="-93"/>
        <w:rPr>
          <w:rFonts w:eastAsia="Calibri" w:cs="Tahoma"/>
          <w:szCs w:val="22"/>
          <w:lang w:val="es-ES"/>
        </w:rPr>
      </w:pPr>
    </w:p>
    <w:p w14:paraId="696BC976" w14:textId="77777777" w:rsidR="00664420" w:rsidRPr="001B3076" w:rsidRDefault="00664420" w:rsidP="001B3076">
      <w:pPr>
        <w:ind w:right="-93"/>
        <w:rPr>
          <w:rFonts w:eastAsia="Calibri" w:cs="Tahoma"/>
          <w:bCs/>
          <w:szCs w:val="22"/>
          <w:lang w:val="es-ES" w:eastAsia="en-US"/>
        </w:rPr>
      </w:pPr>
    </w:p>
    <w:p w14:paraId="671CB0C5" w14:textId="77777777" w:rsidR="00664420" w:rsidRPr="001B3076" w:rsidRDefault="00664420" w:rsidP="001B3076">
      <w:pPr>
        <w:ind w:right="-93"/>
        <w:rPr>
          <w:rFonts w:eastAsia="Calibri" w:cs="Tahoma"/>
          <w:bCs/>
          <w:szCs w:val="22"/>
          <w:lang w:val="es-ES_tradnl" w:eastAsia="en-US"/>
        </w:rPr>
      </w:pPr>
    </w:p>
    <w:p w14:paraId="52B66DE7" w14:textId="77777777" w:rsidR="00664420" w:rsidRPr="001B3076" w:rsidRDefault="00664420" w:rsidP="001B3076">
      <w:pPr>
        <w:ind w:right="-93"/>
        <w:rPr>
          <w:rFonts w:eastAsia="Calibri" w:cs="Tahoma"/>
          <w:bCs/>
          <w:szCs w:val="22"/>
          <w:lang w:val="es-ES_tradnl" w:eastAsia="en-US"/>
        </w:rPr>
      </w:pPr>
    </w:p>
    <w:p w14:paraId="3BA305D1" w14:textId="77777777" w:rsidR="00664420" w:rsidRPr="001B3076" w:rsidRDefault="00664420" w:rsidP="001B3076">
      <w:pPr>
        <w:ind w:right="-93"/>
        <w:rPr>
          <w:rFonts w:eastAsia="Calibri" w:cs="Tahoma"/>
          <w:bCs/>
          <w:szCs w:val="22"/>
          <w:lang w:val="es-ES_tradnl" w:eastAsia="en-US"/>
        </w:rPr>
      </w:pPr>
    </w:p>
    <w:p w14:paraId="78230707" w14:textId="77777777" w:rsidR="00664420" w:rsidRPr="001B3076" w:rsidRDefault="00664420" w:rsidP="001B3076">
      <w:pPr>
        <w:ind w:right="-93"/>
        <w:rPr>
          <w:rFonts w:eastAsia="Calibri" w:cs="Tahoma"/>
          <w:bCs/>
          <w:szCs w:val="22"/>
          <w:lang w:val="es-ES_tradnl" w:eastAsia="en-US"/>
        </w:rPr>
      </w:pPr>
    </w:p>
    <w:p w14:paraId="72D18B28" w14:textId="77777777" w:rsidR="00664420" w:rsidRPr="001B3076" w:rsidRDefault="00664420" w:rsidP="001B3076">
      <w:pPr>
        <w:ind w:right="-93"/>
        <w:rPr>
          <w:rFonts w:eastAsia="Calibri" w:cs="Tahoma"/>
          <w:bCs/>
          <w:szCs w:val="22"/>
          <w:lang w:val="es-ES_tradnl" w:eastAsia="en-US"/>
        </w:rPr>
      </w:pPr>
    </w:p>
    <w:p w14:paraId="6BD461DC" w14:textId="77777777" w:rsidR="00664420" w:rsidRPr="001B3076" w:rsidRDefault="00664420" w:rsidP="001B3076">
      <w:pPr>
        <w:tabs>
          <w:tab w:val="center" w:pos="4568"/>
        </w:tabs>
        <w:ind w:right="-93"/>
        <w:rPr>
          <w:rFonts w:eastAsia="Calibri" w:cs="Tahoma"/>
          <w:bCs/>
          <w:szCs w:val="22"/>
          <w:lang w:eastAsia="en-US"/>
        </w:rPr>
      </w:pPr>
    </w:p>
    <w:p w14:paraId="4DBB1727" w14:textId="77777777" w:rsidR="00664420" w:rsidRPr="001B3076" w:rsidRDefault="00664420" w:rsidP="001B3076">
      <w:pPr>
        <w:tabs>
          <w:tab w:val="center" w:pos="4568"/>
        </w:tabs>
        <w:ind w:right="-93"/>
        <w:rPr>
          <w:rFonts w:eastAsia="Calibri" w:cs="Tahoma"/>
          <w:bCs/>
          <w:szCs w:val="22"/>
          <w:lang w:eastAsia="en-US"/>
        </w:rPr>
      </w:pPr>
    </w:p>
    <w:p w14:paraId="1D74121B" w14:textId="77777777" w:rsidR="00664420" w:rsidRPr="001B3076" w:rsidRDefault="00664420" w:rsidP="001B3076">
      <w:pPr>
        <w:tabs>
          <w:tab w:val="center" w:pos="4568"/>
        </w:tabs>
        <w:ind w:right="-93"/>
        <w:rPr>
          <w:rFonts w:eastAsia="Calibri" w:cs="Tahoma"/>
          <w:bCs/>
          <w:szCs w:val="22"/>
          <w:lang w:eastAsia="en-US"/>
        </w:rPr>
      </w:pPr>
    </w:p>
    <w:p w14:paraId="08E74E9C" w14:textId="77777777" w:rsidR="00664420" w:rsidRPr="001B3076" w:rsidRDefault="00664420" w:rsidP="001B3076">
      <w:pPr>
        <w:tabs>
          <w:tab w:val="center" w:pos="4568"/>
        </w:tabs>
        <w:ind w:right="-93"/>
        <w:rPr>
          <w:rFonts w:eastAsia="Calibri" w:cs="Tahoma"/>
          <w:bCs/>
          <w:szCs w:val="22"/>
          <w:lang w:eastAsia="en-US"/>
        </w:rPr>
      </w:pPr>
    </w:p>
    <w:p w14:paraId="2CBF5E03" w14:textId="77777777" w:rsidR="00664420" w:rsidRPr="001B3076" w:rsidRDefault="00664420" w:rsidP="001B3076">
      <w:pPr>
        <w:tabs>
          <w:tab w:val="center" w:pos="4568"/>
        </w:tabs>
        <w:ind w:right="-93"/>
        <w:rPr>
          <w:rFonts w:eastAsia="Calibri" w:cs="Tahoma"/>
          <w:bCs/>
          <w:szCs w:val="22"/>
          <w:lang w:eastAsia="en-US"/>
        </w:rPr>
      </w:pPr>
    </w:p>
    <w:p w14:paraId="44865A6D" w14:textId="77777777" w:rsidR="00664420" w:rsidRPr="001B3076" w:rsidRDefault="00664420" w:rsidP="001B3076">
      <w:pPr>
        <w:tabs>
          <w:tab w:val="center" w:pos="4568"/>
        </w:tabs>
        <w:ind w:right="-93"/>
        <w:rPr>
          <w:rFonts w:eastAsia="Calibri" w:cs="Tahoma"/>
          <w:bCs/>
          <w:szCs w:val="22"/>
          <w:lang w:eastAsia="en-US"/>
        </w:rPr>
      </w:pPr>
    </w:p>
    <w:p w14:paraId="7147F06B" w14:textId="77777777" w:rsidR="00664420" w:rsidRPr="001B3076" w:rsidRDefault="00664420" w:rsidP="001B3076">
      <w:pPr>
        <w:tabs>
          <w:tab w:val="center" w:pos="4568"/>
        </w:tabs>
        <w:ind w:right="-93"/>
        <w:rPr>
          <w:rFonts w:eastAsia="Calibri" w:cs="Tahoma"/>
          <w:bCs/>
          <w:szCs w:val="22"/>
          <w:lang w:eastAsia="en-US"/>
        </w:rPr>
      </w:pPr>
    </w:p>
    <w:p w14:paraId="6FDF3D7E" w14:textId="77777777" w:rsidR="00664420" w:rsidRPr="001B3076" w:rsidRDefault="00664420" w:rsidP="001B3076">
      <w:pPr>
        <w:tabs>
          <w:tab w:val="center" w:pos="4568"/>
        </w:tabs>
        <w:ind w:right="-93"/>
        <w:rPr>
          <w:rFonts w:eastAsia="Calibri" w:cs="Tahoma"/>
          <w:bCs/>
          <w:szCs w:val="22"/>
          <w:lang w:eastAsia="en-US"/>
        </w:rPr>
      </w:pPr>
    </w:p>
    <w:p w14:paraId="6246F818" w14:textId="77777777" w:rsidR="00664420" w:rsidRPr="001B3076" w:rsidRDefault="00664420" w:rsidP="001B3076">
      <w:pPr>
        <w:tabs>
          <w:tab w:val="center" w:pos="4568"/>
        </w:tabs>
        <w:ind w:right="-93"/>
        <w:rPr>
          <w:rFonts w:eastAsia="Calibri" w:cs="Tahoma"/>
          <w:bCs/>
          <w:szCs w:val="22"/>
          <w:lang w:eastAsia="en-US"/>
        </w:rPr>
      </w:pPr>
    </w:p>
    <w:p w14:paraId="57A88B28" w14:textId="77777777" w:rsidR="00664420" w:rsidRPr="001B3076" w:rsidRDefault="00664420" w:rsidP="001B3076">
      <w:pPr>
        <w:tabs>
          <w:tab w:val="center" w:pos="4568"/>
        </w:tabs>
        <w:ind w:right="-93"/>
        <w:rPr>
          <w:rFonts w:eastAsia="Calibri" w:cs="Tahoma"/>
          <w:bCs/>
          <w:szCs w:val="22"/>
          <w:lang w:eastAsia="en-US"/>
        </w:rPr>
      </w:pPr>
    </w:p>
    <w:p w14:paraId="77EF6095" w14:textId="77777777" w:rsidR="00664420" w:rsidRPr="001B3076" w:rsidRDefault="00664420" w:rsidP="001B3076">
      <w:pPr>
        <w:tabs>
          <w:tab w:val="center" w:pos="4568"/>
        </w:tabs>
        <w:ind w:right="-93"/>
        <w:rPr>
          <w:rFonts w:eastAsia="Calibri" w:cs="Tahoma"/>
          <w:bCs/>
          <w:szCs w:val="22"/>
          <w:lang w:eastAsia="en-US"/>
        </w:rPr>
      </w:pPr>
    </w:p>
    <w:p w14:paraId="35593947" w14:textId="77777777" w:rsidR="00664420" w:rsidRPr="001B3076" w:rsidRDefault="00664420" w:rsidP="001B3076">
      <w:pPr>
        <w:tabs>
          <w:tab w:val="center" w:pos="4568"/>
        </w:tabs>
        <w:ind w:right="-93"/>
        <w:rPr>
          <w:rFonts w:eastAsia="Calibri" w:cs="Tahoma"/>
          <w:bCs/>
          <w:szCs w:val="22"/>
          <w:lang w:eastAsia="en-US"/>
        </w:rPr>
      </w:pPr>
    </w:p>
    <w:p w14:paraId="3AF72A17" w14:textId="77777777" w:rsidR="00664420" w:rsidRPr="001B3076" w:rsidRDefault="00664420" w:rsidP="001B3076">
      <w:pPr>
        <w:tabs>
          <w:tab w:val="center" w:pos="4568"/>
        </w:tabs>
        <w:ind w:right="-93"/>
        <w:rPr>
          <w:rFonts w:eastAsia="Calibri" w:cs="Tahoma"/>
          <w:bCs/>
          <w:szCs w:val="22"/>
          <w:lang w:eastAsia="en-US"/>
        </w:rPr>
      </w:pPr>
    </w:p>
    <w:p w14:paraId="37169144" w14:textId="77777777" w:rsidR="00664420" w:rsidRPr="001B3076" w:rsidRDefault="00664420" w:rsidP="001B3076">
      <w:pPr>
        <w:tabs>
          <w:tab w:val="center" w:pos="4568"/>
        </w:tabs>
        <w:ind w:right="-93"/>
        <w:rPr>
          <w:rFonts w:eastAsia="Calibri" w:cs="Tahoma"/>
          <w:bCs/>
          <w:szCs w:val="22"/>
          <w:lang w:eastAsia="en-US"/>
        </w:rPr>
      </w:pPr>
    </w:p>
    <w:p w14:paraId="77CFC088" w14:textId="77777777" w:rsidR="00664420" w:rsidRPr="001B3076" w:rsidRDefault="00664420" w:rsidP="001B3076">
      <w:pPr>
        <w:tabs>
          <w:tab w:val="center" w:pos="4568"/>
        </w:tabs>
        <w:ind w:right="-93"/>
        <w:rPr>
          <w:rFonts w:eastAsia="Calibri" w:cs="Tahoma"/>
          <w:bCs/>
          <w:szCs w:val="22"/>
          <w:lang w:eastAsia="en-US"/>
        </w:rPr>
      </w:pPr>
    </w:p>
    <w:p w14:paraId="781A11A5" w14:textId="77777777" w:rsidR="00664420" w:rsidRPr="001B3076" w:rsidRDefault="00664420" w:rsidP="001B3076">
      <w:pPr>
        <w:tabs>
          <w:tab w:val="center" w:pos="4568"/>
        </w:tabs>
        <w:ind w:right="-93"/>
        <w:rPr>
          <w:rFonts w:eastAsia="Calibri" w:cs="Tahoma"/>
          <w:bCs/>
          <w:szCs w:val="22"/>
          <w:lang w:eastAsia="en-US"/>
        </w:rPr>
      </w:pPr>
    </w:p>
    <w:p w14:paraId="5B4ADFF3" w14:textId="77777777" w:rsidR="00A131AC" w:rsidRPr="001B3076" w:rsidRDefault="00A131AC" w:rsidP="001B3076"/>
    <w:sectPr w:rsidR="00A131AC" w:rsidRPr="001B3076"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5AB9" w14:textId="77777777" w:rsidR="006728EA" w:rsidRDefault="006728EA" w:rsidP="00664420">
      <w:pPr>
        <w:spacing w:line="240" w:lineRule="auto"/>
      </w:pPr>
      <w:r>
        <w:separator/>
      </w:r>
    </w:p>
  </w:endnote>
  <w:endnote w:type="continuationSeparator" w:id="0">
    <w:p w14:paraId="68E34DAA" w14:textId="77777777" w:rsidR="006728EA" w:rsidRDefault="006728E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93CD5" w:rsidRDefault="00393CD5">
    <w:pPr>
      <w:tabs>
        <w:tab w:val="center" w:pos="4550"/>
        <w:tab w:val="left" w:pos="5818"/>
      </w:tabs>
      <w:ind w:right="260"/>
      <w:jc w:val="right"/>
      <w:rPr>
        <w:color w:val="071320" w:themeColor="text2" w:themeShade="80"/>
        <w:sz w:val="24"/>
        <w:szCs w:val="24"/>
      </w:rPr>
    </w:pPr>
  </w:p>
  <w:p w14:paraId="1BCA7F23" w14:textId="77777777" w:rsidR="00393CD5" w:rsidRDefault="00393C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93CD5" w:rsidRDefault="00393CD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16A06" w:rsidRPr="00616A06">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16A06" w:rsidRPr="00616A06">
      <w:rPr>
        <w:noProof/>
        <w:color w:val="0A1D30" w:themeColor="text2" w:themeShade="BF"/>
        <w:sz w:val="24"/>
        <w:szCs w:val="24"/>
        <w:lang w:val="es-ES"/>
      </w:rPr>
      <w:t>56</w:t>
    </w:r>
    <w:r>
      <w:rPr>
        <w:color w:val="0A1D30" w:themeColor="text2" w:themeShade="BF"/>
        <w:sz w:val="24"/>
        <w:szCs w:val="24"/>
      </w:rPr>
      <w:fldChar w:fldCharType="end"/>
    </w:r>
  </w:p>
  <w:p w14:paraId="310E15C0" w14:textId="77777777" w:rsidR="00393CD5" w:rsidRDefault="00393C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103D" w14:textId="77777777" w:rsidR="006728EA" w:rsidRDefault="006728EA" w:rsidP="00664420">
      <w:pPr>
        <w:spacing w:line="240" w:lineRule="auto"/>
      </w:pPr>
      <w:r>
        <w:separator/>
      </w:r>
    </w:p>
  </w:footnote>
  <w:footnote w:type="continuationSeparator" w:id="0">
    <w:p w14:paraId="3CB101DA" w14:textId="77777777" w:rsidR="006728EA" w:rsidRDefault="006728EA" w:rsidP="00664420">
      <w:pPr>
        <w:spacing w:line="240" w:lineRule="auto"/>
      </w:pPr>
      <w:r>
        <w:continuationSeparator/>
      </w:r>
    </w:p>
  </w:footnote>
  <w:footnote w:id="1">
    <w:p w14:paraId="09CAD92F" w14:textId="77777777" w:rsidR="00393CD5" w:rsidRDefault="00393CD5" w:rsidP="00C5073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45FA8B88" w14:textId="77777777" w:rsidR="00393CD5" w:rsidRDefault="00393CD5" w:rsidP="00C5073C">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37C7C7BC" w14:textId="77777777" w:rsidR="00393CD5" w:rsidRDefault="00393CD5" w:rsidP="00C5073C">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2">
    <w:p w14:paraId="06463D49" w14:textId="77777777" w:rsidR="00393CD5" w:rsidRDefault="00393CD5" w:rsidP="00C5073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93CD5" w:rsidRPr="00330DA7" w14:paraId="070A4B18" w14:textId="77777777" w:rsidTr="003F35FD">
      <w:trPr>
        <w:trHeight w:val="144"/>
        <w:jc w:val="right"/>
      </w:trPr>
      <w:tc>
        <w:tcPr>
          <w:tcW w:w="2727" w:type="dxa"/>
        </w:tcPr>
        <w:p w14:paraId="62B7493A" w14:textId="77777777" w:rsidR="00393CD5" w:rsidRPr="00330DA7" w:rsidRDefault="00393CD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AFD7234" w:rsidR="00393CD5" w:rsidRPr="00A90C72" w:rsidRDefault="00393CD5" w:rsidP="000748DF">
          <w:pPr>
            <w:tabs>
              <w:tab w:val="right" w:pos="8838"/>
            </w:tabs>
            <w:ind w:left="-74" w:right="-105"/>
            <w:rPr>
              <w:rFonts w:eastAsia="Calibri" w:cs="Tahoma"/>
              <w:szCs w:val="22"/>
              <w:lang w:eastAsia="en-US"/>
            </w:rPr>
          </w:pPr>
          <w:r w:rsidRPr="00413154">
            <w:rPr>
              <w:rFonts w:eastAsia="Calibri" w:cs="Tahoma"/>
              <w:szCs w:val="22"/>
              <w:lang w:eastAsia="en-US"/>
            </w:rPr>
            <w:t>05667/INFOEM/IP/RR/2024</w:t>
          </w:r>
        </w:p>
      </w:tc>
    </w:tr>
    <w:tr w:rsidR="00393CD5" w:rsidRPr="00330DA7" w14:paraId="4521E058" w14:textId="77777777" w:rsidTr="003F35FD">
      <w:trPr>
        <w:trHeight w:val="283"/>
        <w:jc w:val="right"/>
      </w:trPr>
      <w:tc>
        <w:tcPr>
          <w:tcW w:w="2727" w:type="dxa"/>
        </w:tcPr>
        <w:p w14:paraId="0B68C086" w14:textId="77777777" w:rsidR="00393CD5" w:rsidRPr="00330DA7" w:rsidRDefault="00393CD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2AABF1E" w:rsidR="00393CD5" w:rsidRPr="00952DD0" w:rsidRDefault="00393CD5" w:rsidP="003F35FD">
          <w:pPr>
            <w:tabs>
              <w:tab w:val="left" w:pos="2834"/>
              <w:tab w:val="right" w:pos="8838"/>
            </w:tabs>
            <w:ind w:left="-108" w:right="-105"/>
            <w:rPr>
              <w:rFonts w:eastAsia="Calibri" w:cs="Tahoma"/>
              <w:szCs w:val="22"/>
              <w:lang w:eastAsia="en-US"/>
            </w:rPr>
          </w:pPr>
          <w:r w:rsidRPr="008A6656">
            <w:rPr>
              <w:rFonts w:eastAsia="Calibri" w:cs="Tahoma"/>
              <w:szCs w:val="22"/>
              <w:lang w:eastAsia="en-US"/>
            </w:rPr>
            <w:t>Secretaría de Movilidad</w:t>
          </w:r>
        </w:p>
      </w:tc>
    </w:tr>
    <w:tr w:rsidR="00393CD5" w:rsidRPr="00330DA7" w14:paraId="6331D9B6" w14:textId="77777777" w:rsidTr="003F35FD">
      <w:trPr>
        <w:trHeight w:val="283"/>
        <w:jc w:val="right"/>
      </w:trPr>
      <w:tc>
        <w:tcPr>
          <w:tcW w:w="2727" w:type="dxa"/>
        </w:tcPr>
        <w:p w14:paraId="3FA86BAE" w14:textId="68E88B1D" w:rsidR="00393CD5" w:rsidRPr="00330DA7" w:rsidRDefault="00393CD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93CD5" w:rsidRPr="00EA66FC" w:rsidRDefault="00393CD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93CD5" w:rsidRPr="00443C6B" w:rsidRDefault="00393CD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93CD5" w:rsidRPr="00330DA7" w14:paraId="29CFF901" w14:textId="77777777" w:rsidTr="004B56B4">
      <w:trPr>
        <w:trHeight w:val="1435"/>
      </w:trPr>
      <w:tc>
        <w:tcPr>
          <w:tcW w:w="283" w:type="dxa"/>
          <w:shd w:val="clear" w:color="auto" w:fill="auto"/>
        </w:tcPr>
        <w:p w14:paraId="046B9F8F" w14:textId="56D2D896" w:rsidR="00393CD5" w:rsidRPr="00330DA7" w:rsidRDefault="00393CD5"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93CD5" w:rsidRPr="00330DA7" w14:paraId="04F272D2" w14:textId="77777777" w:rsidTr="004B56B4">
            <w:trPr>
              <w:trHeight w:val="144"/>
            </w:trPr>
            <w:tc>
              <w:tcPr>
                <w:tcW w:w="2727" w:type="dxa"/>
              </w:tcPr>
              <w:p w14:paraId="2FD4DBF6" w14:textId="77777777" w:rsidR="00393CD5" w:rsidRPr="00330DA7" w:rsidRDefault="00393CD5"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E507576" w:rsidR="00393CD5" w:rsidRPr="00A90C72" w:rsidRDefault="00393CD5" w:rsidP="000748DF">
                <w:pPr>
                  <w:tabs>
                    <w:tab w:val="right" w:pos="8838"/>
                  </w:tabs>
                  <w:ind w:left="-74" w:right="-105"/>
                  <w:rPr>
                    <w:rFonts w:eastAsia="Calibri" w:cs="Tahoma"/>
                    <w:szCs w:val="22"/>
                    <w:lang w:eastAsia="en-US"/>
                  </w:rPr>
                </w:pPr>
                <w:r w:rsidRPr="00413154">
                  <w:rPr>
                    <w:rFonts w:eastAsia="Calibri" w:cs="Tahoma"/>
                    <w:szCs w:val="22"/>
                    <w:lang w:eastAsia="en-US"/>
                  </w:rPr>
                  <w:t>05667/INFOEM/IP/RR/2024</w:t>
                </w:r>
              </w:p>
            </w:tc>
            <w:tc>
              <w:tcPr>
                <w:tcW w:w="3402" w:type="dxa"/>
              </w:tcPr>
              <w:p w14:paraId="71DEA1CF" w14:textId="77777777" w:rsidR="00393CD5" w:rsidRDefault="00393CD5" w:rsidP="004B56B4">
                <w:pPr>
                  <w:tabs>
                    <w:tab w:val="right" w:pos="8838"/>
                  </w:tabs>
                  <w:ind w:left="-74" w:right="-105"/>
                  <w:rPr>
                    <w:rFonts w:eastAsia="Calibri" w:cs="Tahoma"/>
                    <w:szCs w:val="22"/>
                    <w:lang w:eastAsia="en-US"/>
                  </w:rPr>
                </w:pPr>
              </w:p>
            </w:tc>
          </w:tr>
          <w:tr w:rsidR="00393CD5" w:rsidRPr="00330DA7" w14:paraId="05C58951" w14:textId="77777777" w:rsidTr="004B56B4">
            <w:trPr>
              <w:trHeight w:val="144"/>
            </w:trPr>
            <w:tc>
              <w:tcPr>
                <w:tcW w:w="2727" w:type="dxa"/>
              </w:tcPr>
              <w:p w14:paraId="642B9610" w14:textId="77777777" w:rsidR="00393CD5" w:rsidRPr="00330DA7" w:rsidRDefault="00393CD5"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FA8B0BF" w:rsidR="00393CD5" w:rsidRPr="005F19B1" w:rsidRDefault="00393CD5" w:rsidP="004B56B4">
                <w:pPr>
                  <w:tabs>
                    <w:tab w:val="left" w:pos="3122"/>
                    <w:tab w:val="right" w:pos="8838"/>
                  </w:tabs>
                  <w:ind w:left="-105" w:right="-105"/>
                  <w:rPr>
                    <w:rFonts w:eastAsia="Calibri" w:cs="Tahoma"/>
                    <w:szCs w:val="22"/>
                    <w:lang w:eastAsia="en-US"/>
                  </w:rPr>
                </w:pPr>
              </w:p>
            </w:tc>
            <w:tc>
              <w:tcPr>
                <w:tcW w:w="3402" w:type="dxa"/>
              </w:tcPr>
              <w:p w14:paraId="73F47F53" w14:textId="77777777" w:rsidR="00393CD5" w:rsidRPr="005F19B1" w:rsidRDefault="00393CD5" w:rsidP="004B56B4">
                <w:pPr>
                  <w:tabs>
                    <w:tab w:val="left" w:pos="3122"/>
                    <w:tab w:val="right" w:pos="8838"/>
                  </w:tabs>
                  <w:ind w:left="-105" w:right="-105"/>
                  <w:rPr>
                    <w:rFonts w:eastAsia="Calibri" w:cs="Tahoma"/>
                    <w:szCs w:val="22"/>
                    <w:lang w:eastAsia="en-US"/>
                  </w:rPr>
                </w:pPr>
              </w:p>
            </w:tc>
          </w:tr>
          <w:bookmarkEnd w:id="2"/>
          <w:tr w:rsidR="00393CD5" w:rsidRPr="00330DA7" w14:paraId="00E6CDC1" w14:textId="77777777" w:rsidTr="004B56B4">
            <w:trPr>
              <w:trHeight w:val="283"/>
            </w:trPr>
            <w:tc>
              <w:tcPr>
                <w:tcW w:w="2727" w:type="dxa"/>
              </w:tcPr>
              <w:p w14:paraId="0631AD24" w14:textId="77777777" w:rsidR="00393CD5" w:rsidRPr="00330DA7" w:rsidRDefault="00393CD5"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EA502B9" w:rsidR="00393CD5" w:rsidRPr="00952DD0" w:rsidRDefault="00393CD5" w:rsidP="004B56B4">
                <w:pPr>
                  <w:tabs>
                    <w:tab w:val="left" w:pos="2834"/>
                    <w:tab w:val="right" w:pos="8838"/>
                  </w:tabs>
                  <w:ind w:left="-108" w:right="-105"/>
                  <w:rPr>
                    <w:rFonts w:eastAsia="Calibri" w:cs="Tahoma"/>
                    <w:szCs w:val="22"/>
                    <w:lang w:eastAsia="en-US"/>
                  </w:rPr>
                </w:pPr>
                <w:r w:rsidRPr="008A6656">
                  <w:rPr>
                    <w:rFonts w:eastAsia="Calibri" w:cs="Tahoma"/>
                    <w:szCs w:val="22"/>
                    <w:lang w:eastAsia="en-US"/>
                  </w:rPr>
                  <w:t>Secretaría de Movilidad</w:t>
                </w:r>
              </w:p>
            </w:tc>
            <w:tc>
              <w:tcPr>
                <w:tcW w:w="3402" w:type="dxa"/>
              </w:tcPr>
              <w:p w14:paraId="3A7DA319" w14:textId="77777777" w:rsidR="00393CD5" w:rsidRPr="00A90C72" w:rsidRDefault="00393CD5" w:rsidP="004B56B4">
                <w:pPr>
                  <w:tabs>
                    <w:tab w:val="left" w:pos="2834"/>
                    <w:tab w:val="right" w:pos="8838"/>
                  </w:tabs>
                  <w:ind w:left="-108" w:right="-105"/>
                  <w:rPr>
                    <w:rFonts w:eastAsia="Calibri" w:cs="Tahoma"/>
                    <w:szCs w:val="22"/>
                    <w:lang w:eastAsia="en-US"/>
                  </w:rPr>
                </w:pPr>
              </w:p>
            </w:tc>
          </w:tr>
          <w:tr w:rsidR="00393CD5" w:rsidRPr="00330DA7" w14:paraId="0F6CD8D2" w14:textId="77777777" w:rsidTr="004B56B4">
            <w:trPr>
              <w:trHeight w:val="283"/>
            </w:trPr>
            <w:tc>
              <w:tcPr>
                <w:tcW w:w="2727" w:type="dxa"/>
              </w:tcPr>
              <w:p w14:paraId="31700628" w14:textId="032DD90E" w:rsidR="00393CD5" w:rsidRPr="00330DA7" w:rsidRDefault="00393CD5"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93CD5" w:rsidRPr="00EA66FC" w:rsidRDefault="00393CD5"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93CD5" w:rsidRPr="00330DA7" w:rsidRDefault="00393CD5" w:rsidP="004B56B4">
                <w:pPr>
                  <w:tabs>
                    <w:tab w:val="right" w:pos="8838"/>
                  </w:tabs>
                  <w:ind w:left="-108" w:right="-105"/>
                  <w:rPr>
                    <w:rFonts w:eastAsia="Calibri" w:cs="Tahoma"/>
                    <w:szCs w:val="22"/>
                    <w:lang w:eastAsia="en-US"/>
                  </w:rPr>
                </w:pPr>
              </w:p>
            </w:tc>
          </w:tr>
        </w:tbl>
        <w:p w14:paraId="5DC6AC61" w14:textId="77777777" w:rsidR="00393CD5" w:rsidRPr="00330DA7" w:rsidRDefault="00393CD5" w:rsidP="004B56B4">
          <w:pPr>
            <w:tabs>
              <w:tab w:val="right" w:pos="8838"/>
            </w:tabs>
            <w:ind w:left="-28"/>
            <w:rPr>
              <w:rFonts w:ascii="Arial" w:eastAsia="Calibri" w:hAnsi="Arial" w:cs="Arial"/>
              <w:b/>
              <w:szCs w:val="22"/>
              <w:lang w:eastAsia="en-US"/>
            </w:rPr>
          </w:pPr>
        </w:p>
      </w:tc>
    </w:tr>
  </w:tbl>
  <w:p w14:paraId="2A906731" w14:textId="77777777" w:rsidR="00393CD5" w:rsidRPr="00765661" w:rsidRDefault="006728E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F0F"/>
    <w:multiLevelType w:val="hybridMultilevel"/>
    <w:tmpl w:val="CBB6AD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912BF"/>
    <w:multiLevelType w:val="hybridMultilevel"/>
    <w:tmpl w:val="B93CCFC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961122E"/>
    <w:multiLevelType w:val="multilevel"/>
    <w:tmpl w:val="4322D164"/>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C9725E8"/>
    <w:multiLevelType w:val="hybridMultilevel"/>
    <w:tmpl w:val="FAA4F1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F32355E"/>
    <w:multiLevelType w:val="hybridMultilevel"/>
    <w:tmpl w:val="2FF65A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7608F0"/>
    <w:multiLevelType w:val="hybridMultilevel"/>
    <w:tmpl w:val="A816BCAE"/>
    <w:lvl w:ilvl="0" w:tplc="4D58A7B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D55054"/>
    <w:multiLevelType w:val="hybridMultilevel"/>
    <w:tmpl w:val="F8C094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A96712"/>
    <w:multiLevelType w:val="multilevel"/>
    <w:tmpl w:val="F300EF1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01339B5"/>
    <w:multiLevelType w:val="hybridMultilevel"/>
    <w:tmpl w:val="EEF249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31D3F04"/>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F783C7D"/>
    <w:multiLevelType w:val="multilevel"/>
    <w:tmpl w:val="871CA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468F2"/>
    <w:multiLevelType w:val="hybridMultilevel"/>
    <w:tmpl w:val="D9727AD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FCF25E3"/>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7E6581"/>
    <w:multiLevelType w:val="hybridMultilevel"/>
    <w:tmpl w:val="F19E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6A4094"/>
    <w:multiLevelType w:val="hybridMultilevel"/>
    <w:tmpl w:val="747E8B96"/>
    <w:lvl w:ilvl="0" w:tplc="DD62AE0A">
      <w:start w:val="1"/>
      <w:numFmt w:val="bullet"/>
      <w:lvlText w:val="-"/>
      <w:lvlJc w:val="left"/>
      <w:pPr>
        <w:ind w:left="927" w:hanging="360"/>
      </w:pPr>
      <w:rPr>
        <w:rFonts w:ascii="Verdana" w:hAnsi="Verdan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4" w15:restartNumberingAfterBreak="0">
    <w:nsid w:val="531F1D3B"/>
    <w:multiLevelType w:val="hybridMultilevel"/>
    <w:tmpl w:val="43EC3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4242BE4"/>
    <w:multiLevelType w:val="multilevel"/>
    <w:tmpl w:val="FE9A17A8"/>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574D5C"/>
    <w:multiLevelType w:val="hybridMultilevel"/>
    <w:tmpl w:val="1A601EA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9" w15:restartNumberingAfterBreak="0">
    <w:nsid w:val="5CAC0379"/>
    <w:multiLevelType w:val="hybridMultilevel"/>
    <w:tmpl w:val="06CAD51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D53049C"/>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3D590F"/>
    <w:multiLevelType w:val="hybridMultilevel"/>
    <w:tmpl w:val="3056CC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1C8111E"/>
    <w:multiLevelType w:val="hybridMultilevel"/>
    <w:tmpl w:val="FAA4F1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20B9F"/>
    <w:multiLevelType w:val="hybridMultilevel"/>
    <w:tmpl w:val="2FF65A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3D2160"/>
    <w:multiLevelType w:val="hybridMultilevel"/>
    <w:tmpl w:val="43C41A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C32047B"/>
    <w:multiLevelType w:val="hybridMultilevel"/>
    <w:tmpl w:val="3056CC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2520AE"/>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735049"/>
    <w:multiLevelType w:val="hybridMultilevel"/>
    <w:tmpl w:val="6B24A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0"/>
  </w:num>
  <w:num w:numId="2">
    <w:abstractNumId w:val="45"/>
  </w:num>
  <w:num w:numId="3">
    <w:abstractNumId w:val="43"/>
  </w:num>
  <w:num w:numId="4">
    <w:abstractNumId w:val="44"/>
  </w:num>
  <w:num w:numId="5">
    <w:abstractNumId w:val="3"/>
  </w:num>
  <w:num w:numId="6">
    <w:abstractNumId w:val="2"/>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23"/>
  </w:num>
  <w:num w:numId="13">
    <w:abstractNumId w:val="16"/>
  </w:num>
  <w:num w:numId="14">
    <w:abstractNumId w:val="41"/>
  </w:num>
  <w:num w:numId="15">
    <w:abstractNumId w:val="19"/>
  </w:num>
  <w:num w:numId="16">
    <w:abstractNumId w:val="0"/>
  </w:num>
  <w:num w:numId="17">
    <w:abstractNumId w:val="12"/>
  </w:num>
  <w:num w:numId="18">
    <w:abstractNumId w:val="15"/>
  </w:num>
  <w:num w:numId="19">
    <w:abstractNumId w:val="35"/>
  </w:num>
  <w:num w:numId="20">
    <w:abstractNumId w:val="9"/>
  </w:num>
  <w:num w:numId="21">
    <w:abstractNumId w:val="30"/>
  </w:num>
  <w:num w:numId="22">
    <w:abstractNumId w:val="8"/>
  </w:num>
  <w:num w:numId="23">
    <w:abstractNumId w:val="22"/>
  </w:num>
  <w:num w:numId="24">
    <w:abstractNumId w:val="14"/>
  </w:num>
  <w:num w:numId="25">
    <w:abstractNumId w:val="29"/>
  </w:num>
  <w:num w:numId="26">
    <w:abstractNumId w:val="1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0"/>
  </w:num>
  <w:num w:numId="30">
    <w:abstractNumId w:val="42"/>
  </w:num>
  <w:num w:numId="31">
    <w:abstractNumId w:val="28"/>
  </w:num>
  <w:num w:numId="32">
    <w:abstractNumId w:val="36"/>
  </w:num>
  <w:num w:numId="33">
    <w:abstractNumId w:val="37"/>
  </w:num>
  <w:num w:numId="34">
    <w:abstractNumId w:val="24"/>
  </w:num>
  <w:num w:numId="35">
    <w:abstractNumId w:val="31"/>
  </w:num>
  <w:num w:numId="36">
    <w:abstractNumId w:val="7"/>
  </w:num>
  <w:num w:numId="37">
    <w:abstractNumId w:val="34"/>
  </w:num>
  <w:num w:numId="38">
    <w:abstractNumId w:val="38"/>
  </w:num>
  <w:num w:numId="39">
    <w:abstractNumId w:val="27"/>
  </w:num>
  <w:num w:numId="40">
    <w:abstractNumId w:val="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2"/>
  </w:num>
  <w:num w:numId="44">
    <w:abstractNumId w:val="10"/>
  </w:num>
  <w:num w:numId="45">
    <w:abstractNumId w:val="4"/>
  </w:num>
  <w:num w:numId="4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3457"/>
    <w:rsid w:val="000318BC"/>
    <w:rsid w:val="00036589"/>
    <w:rsid w:val="00044BDF"/>
    <w:rsid w:val="00057B2D"/>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C7151"/>
    <w:rsid w:val="000D0D67"/>
    <w:rsid w:val="000D13AD"/>
    <w:rsid w:val="000E09C4"/>
    <w:rsid w:val="000E3851"/>
    <w:rsid w:val="000E4D48"/>
    <w:rsid w:val="000E5A90"/>
    <w:rsid w:val="000F4BF0"/>
    <w:rsid w:val="00104035"/>
    <w:rsid w:val="0011350D"/>
    <w:rsid w:val="00113CFA"/>
    <w:rsid w:val="00122332"/>
    <w:rsid w:val="00124714"/>
    <w:rsid w:val="001259D3"/>
    <w:rsid w:val="00125D09"/>
    <w:rsid w:val="00126BAB"/>
    <w:rsid w:val="0013398A"/>
    <w:rsid w:val="00134ED3"/>
    <w:rsid w:val="00141876"/>
    <w:rsid w:val="0014207B"/>
    <w:rsid w:val="00150C49"/>
    <w:rsid w:val="00155C5B"/>
    <w:rsid w:val="00164403"/>
    <w:rsid w:val="00167FA5"/>
    <w:rsid w:val="00176CA6"/>
    <w:rsid w:val="00182B71"/>
    <w:rsid w:val="00186A19"/>
    <w:rsid w:val="00197F95"/>
    <w:rsid w:val="001A5691"/>
    <w:rsid w:val="001A58B3"/>
    <w:rsid w:val="001B3076"/>
    <w:rsid w:val="001C1234"/>
    <w:rsid w:val="001C1AE4"/>
    <w:rsid w:val="001C7688"/>
    <w:rsid w:val="001C7E98"/>
    <w:rsid w:val="001D0C50"/>
    <w:rsid w:val="001D4CD0"/>
    <w:rsid w:val="001F1BE3"/>
    <w:rsid w:val="001F3515"/>
    <w:rsid w:val="0020698B"/>
    <w:rsid w:val="00207DEA"/>
    <w:rsid w:val="00211229"/>
    <w:rsid w:val="00212CEC"/>
    <w:rsid w:val="00214FC7"/>
    <w:rsid w:val="002163E8"/>
    <w:rsid w:val="00224352"/>
    <w:rsid w:val="002268D4"/>
    <w:rsid w:val="00227FB3"/>
    <w:rsid w:val="00233005"/>
    <w:rsid w:val="00233F17"/>
    <w:rsid w:val="00241ACF"/>
    <w:rsid w:val="00242B28"/>
    <w:rsid w:val="00244FA6"/>
    <w:rsid w:val="0024744C"/>
    <w:rsid w:val="00250799"/>
    <w:rsid w:val="00253742"/>
    <w:rsid w:val="00255111"/>
    <w:rsid w:val="0025601C"/>
    <w:rsid w:val="002617B9"/>
    <w:rsid w:val="00267635"/>
    <w:rsid w:val="002807DD"/>
    <w:rsid w:val="00283C65"/>
    <w:rsid w:val="00286F15"/>
    <w:rsid w:val="00293359"/>
    <w:rsid w:val="0029656A"/>
    <w:rsid w:val="002A3601"/>
    <w:rsid w:val="002B1314"/>
    <w:rsid w:val="002B3577"/>
    <w:rsid w:val="002B4A8C"/>
    <w:rsid w:val="002B6ADA"/>
    <w:rsid w:val="002B7C6F"/>
    <w:rsid w:val="002D111C"/>
    <w:rsid w:val="002D4497"/>
    <w:rsid w:val="002E0855"/>
    <w:rsid w:val="002E08BE"/>
    <w:rsid w:val="002E2C99"/>
    <w:rsid w:val="002E6465"/>
    <w:rsid w:val="002E69F0"/>
    <w:rsid w:val="002E6DBB"/>
    <w:rsid w:val="002F1C00"/>
    <w:rsid w:val="002F4DBD"/>
    <w:rsid w:val="00302476"/>
    <w:rsid w:val="00315789"/>
    <w:rsid w:val="003171F3"/>
    <w:rsid w:val="00321E6F"/>
    <w:rsid w:val="00321F51"/>
    <w:rsid w:val="00331F35"/>
    <w:rsid w:val="0033442A"/>
    <w:rsid w:val="0033585B"/>
    <w:rsid w:val="00335CDF"/>
    <w:rsid w:val="00336B4B"/>
    <w:rsid w:val="00336D38"/>
    <w:rsid w:val="00360DDD"/>
    <w:rsid w:val="00362A11"/>
    <w:rsid w:val="00372AF0"/>
    <w:rsid w:val="0038205E"/>
    <w:rsid w:val="0038284C"/>
    <w:rsid w:val="003907A4"/>
    <w:rsid w:val="00393CD5"/>
    <w:rsid w:val="003A16C4"/>
    <w:rsid w:val="003A36BE"/>
    <w:rsid w:val="003A40C1"/>
    <w:rsid w:val="003A552F"/>
    <w:rsid w:val="003A5924"/>
    <w:rsid w:val="003A7ED3"/>
    <w:rsid w:val="003B3762"/>
    <w:rsid w:val="003B5D3E"/>
    <w:rsid w:val="003B62E6"/>
    <w:rsid w:val="003B77A8"/>
    <w:rsid w:val="003C1E36"/>
    <w:rsid w:val="003D37E4"/>
    <w:rsid w:val="003D43DC"/>
    <w:rsid w:val="003E45CF"/>
    <w:rsid w:val="003E5FDB"/>
    <w:rsid w:val="003F35FD"/>
    <w:rsid w:val="003F5E69"/>
    <w:rsid w:val="003F71AC"/>
    <w:rsid w:val="003F780F"/>
    <w:rsid w:val="004004E2"/>
    <w:rsid w:val="00406F5A"/>
    <w:rsid w:val="00413154"/>
    <w:rsid w:val="0041385B"/>
    <w:rsid w:val="0041709A"/>
    <w:rsid w:val="004252F1"/>
    <w:rsid w:val="00426E7F"/>
    <w:rsid w:val="004325D2"/>
    <w:rsid w:val="004326C1"/>
    <w:rsid w:val="00435F18"/>
    <w:rsid w:val="00441BFA"/>
    <w:rsid w:val="004427CC"/>
    <w:rsid w:val="00442D21"/>
    <w:rsid w:val="00453B6D"/>
    <w:rsid w:val="00454FBD"/>
    <w:rsid w:val="00455859"/>
    <w:rsid w:val="00456D52"/>
    <w:rsid w:val="00464F6A"/>
    <w:rsid w:val="004650AF"/>
    <w:rsid w:val="00475583"/>
    <w:rsid w:val="0048159A"/>
    <w:rsid w:val="00497BFA"/>
    <w:rsid w:val="004A44B6"/>
    <w:rsid w:val="004A7CF3"/>
    <w:rsid w:val="004B05E0"/>
    <w:rsid w:val="004B56B4"/>
    <w:rsid w:val="004C1BD1"/>
    <w:rsid w:val="004C2719"/>
    <w:rsid w:val="004C629E"/>
    <w:rsid w:val="004D019F"/>
    <w:rsid w:val="004D18AD"/>
    <w:rsid w:val="004D7988"/>
    <w:rsid w:val="004D7CD8"/>
    <w:rsid w:val="004E10F6"/>
    <w:rsid w:val="004E38B6"/>
    <w:rsid w:val="004E4108"/>
    <w:rsid w:val="004E4B78"/>
    <w:rsid w:val="004E5068"/>
    <w:rsid w:val="004F0690"/>
    <w:rsid w:val="004F20B4"/>
    <w:rsid w:val="004F24B3"/>
    <w:rsid w:val="004F6E7A"/>
    <w:rsid w:val="004F7A00"/>
    <w:rsid w:val="005003F5"/>
    <w:rsid w:val="0050792D"/>
    <w:rsid w:val="00513801"/>
    <w:rsid w:val="0052341D"/>
    <w:rsid w:val="00523F48"/>
    <w:rsid w:val="00524E6D"/>
    <w:rsid w:val="005272BD"/>
    <w:rsid w:val="005314A3"/>
    <w:rsid w:val="005365FA"/>
    <w:rsid w:val="00546D39"/>
    <w:rsid w:val="0055491A"/>
    <w:rsid w:val="00554934"/>
    <w:rsid w:val="005603CE"/>
    <w:rsid w:val="00562CFB"/>
    <w:rsid w:val="0056443E"/>
    <w:rsid w:val="00565088"/>
    <w:rsid w:val="00566167"/>
    <w:rsid w:val="005666D8"/>
    <w:rsid w:val="005723CB"/>
    <w:rsid w:val="00575400"/>
    <w:rsid w:val="005776E3"/>
    <w:rsid w:val="005856CA"/>
    <w:rsid w:val="00590892"/>
    <w:rsid w:val="005928D2"/>
    <w:rsid w:val="005979E2"/>
    <w:rsid w:val="005A2DBC"/>
    <w:rsid w:val="005A2E48"/>
    <w:rsid w:val="005B18AF"/>
    <w:rsid w:val="005B2E16"/>
    <w:rsid w:val="005C494E"/>
    <w:rsid w:val="005C70FD"/>
    <w:rsid w:val="005D5A50"/>
    <w:rsid w:val="005E2369"/>
    <w:rsid w:val="005E7210"/>
    <w:rsid w:val="005F08BC"/>
    <w:rsid w:val="005F2743"/>
    <w:rsid w:val="005F5301"/>
    <w:rsid w:val="005F5C51"/>
    <w:rsid w:val="005F65B7"/>
    <w:rsid w:val="005F7E3F"/>
    <w:rsid w:val="00600163"/>
    <w:rsid w:val="00600FED"/>
    <w:rsid w:val="006067C7"/>
    <w:rsid w:val="006153F0"/>
    <w:rsid w:val="006159AD"/>
    <w:rsid w:val="00616A06"/>
    <w:rsid w:val="00623941"/>
    <w:rsid w:val="006273C6"/>
    <w:rsid w:val="006352DA"/>
    <w:rsid w:val="00644A42"/>
    <w:rsid w:val="00644E92"/>
    <w:rsid w:val="00646436"/>
    <w:rsid w:val="0065172E"/>
    <w:rsid w:val="00664420"/>
    <w:rsid w:val="00670197"/>
    <w:rsid w:val="00670D3E"/>
    <w:rsid w:val="006728EA"/>
    <w:rsid w:val="00675166"/>
    <w:rsid w:val="00682F10"/>
    <w:rsid w:val="00682FB7"/>
    <w:rsid w:val="0068416B"/>
    <w:rsid w:val="00685CF1"/>
    <w:rsid w:val="0069268F"/>
    <w:rsid w:val="006978D7"/>
    <w:rsid w:val="006A0C80"/>
    <w:rsid w:val="006A28B4"/>
    <w:rsid w:val="006A61F1"/>
    <w:rsid w:val="006A646A"/>
    <w:rsid w:val="006B10B0"/>
    <w:rsid w:val="006B2561"/>
    <w:rsid w:val="006B43A3"/>
    <w:rsid w:val="006C3622"/>
    <w:rsid w:val="006D2613"/>
    <w:rsid w:val="006D42B5"/>
    <w:rsid w:val="006E23FF"/>
    <w:rsid w:val="006E25BC"/>
    <w:rsid w:val="006E6BBC"/>
    <w:rsid w:val="006F64E7"/>
    <w:rsid w:val="006F7071"/>
    <w:rsid w:val="006F7768"/>
    <w:rsid w:val="00703BC7"/>
    <w:rsid w:val="00707158"/>
    <w:rsid w:val="00712200"/>
    <w:rsid w:val="00717E59"/>
    <w:rsid w:val="00721C72"/>
    <w:rsid w:val="00721C9E"/>
    <w:rsid w:val="00725300"/>
    <w:rsid w:val="007328F2"/>
    <w:rsid w:val="00733526"/>
    <w:rsid w:val="007369BE"/>
    <w:rsid w:val="0075086A"/>
    <w:rsid w:val="00760756"/>
    <w:rsid w:val="00761E54"/>
    <w:rsid w:val="00766ECE"/>
    <w:rsid w:val="0077382A"/>
    <w:rsid w:val="00773E03"/>
    <w:rsid w:val="00775BFC"/>
    <w:rsid w:val="007771D7"/>
    <w:rsid w:val="00777D65"/>
    <w:rsid w:val="0078291B"/>
    <w:rsid w:val="00783C1E"/>
    <w:rsid w:val="00797492"/>
    <w:rsid w:val="007978D7"/>
    <w:rsid w:val="007A2722"/>
    <w:rsid w:val="007A2AD8"/>
    <w:rsid w:val="007A3459"/>
    <w:rsid w:val="007B034E"/>
    <w:rsid w:val="007B6074"/>
    <w:rsid w:val="007B7451"/>
    <w:rsid w:val="007C17CC"/>
    <w:rsid w:val="007C1C17"/>
    <w:rsid w:val="007C6519"/>
    <w:rsid w:val="007D1C55"/>
    <w:rsid w:val="007D317F"/>
    <w:rsid w:val="007E42B7"/>
    <w:rsid w:val="007E5A3D"/>
    <w:rsid w:val="007F107E"/>
    <w:rsid w:val="007F2531"/>
    <w:rsid w:val="007F3FBF"/>
    <w:rsid w:val="007F5D06"/>
    <w:rsid w:val="007F5ECA"/>
    <w:rsid w:val="00803A08"/>
    <w:rsid w:val="00805A6E"/>
    <w:rsid w:val="00807778"/>
    <w:rsid w:val="0082245B"/>
    <w:rsid w:val="0082247D"/>
    <w:rsid w:val="00824DD7"/>
    <w:rsid w:val="00826371"/>
    <w:rsid w:val="00826A93"/>
    <w:rsid w:val="00834935"/>
    <w:rsid w:val="0083518A"/>
    <w:rsid w:val="008363CB"/>
    <w:rsid w:val="00837517"/>
    <w:rsid w:val="008422F0"/>
    <w:rsid w:val="008436D6"/>
    <w:rsid w:val="00851468"/>
    <w:rsid w:val="008629A5"/>
    <w:rsid w:val="00865CF4"/>
    <w:rsid w:val="008669DA"/>
    <w:rsid w:val="008750D5"/>
    <w:rsid w:val="0087567C"/>
    <w:rsid w:val="00876DBC"/>
    <w:rsid w:val="008842E9"/>
    <w:rsid w:val="00893BA2"/>
    <w:rsid w:val="00893F31"/>
    <w:rsid w:val="00896AF7"/>
    <w:rsid w:val="008A09B9"/>
    <w:rsid w:val="008A46A1"/>
    <w:rsid w:val="008A6003"/>
    <w:rsid w:val="008A6656"/>
    <w:rsid w:val="008A6AB7"/>
    <w:rsid w:val="008A6F88"/>
    <w:rsid w:val="008B1E16"/>
    <w:rsid w:val="008B38DB"/>
    <w:rsid w:val="008B62FA"/>
    <w:rsid w:val="008C1B87"/>
    <w:rsid w:val="008C7FAF"/>
    <w:rsid w:val="008E1316"/>
    <w:rsid w:val="008E19A7"/>
    <w:rsid w:val="008F3837"/>
    <w:rsid w:val="008F6A6B"/>
    <w:rsid w:val="00900DC0"/>
    <w:rsid w:val="00910FD2"/>
    <w:rsid w:val="0091206F"/>
    <w:rsid w:val="0091733B"/>
    <w:rsid w:val="00923307"/>
    <w:rsid w:val="00931437"/>
    <w:rsid w:val="00934ECD"/>
    <w:rsid w:val="00940F4F"/>
    <w:rsid w:val="00942A3F"/>
    <w:rsid w:val="00944EFF"/>
    <w:rsid w:val="00953430"/>
    <w:rsid w:val="00955DCC"/>
    <w:rsid w:val="00960996"/>
    <w:rsid w:val="00964368"/>
    <w:rsid w:val="0096663A"/>
    <w:rsid w:val="00970EB3"/>
    <w:rsid w:val="00975CA6"/>
    <w:rsid w:val="00977BCC"/>
    <w:rsid w:val="00983EEF"/>
    <w:rsid w:val="00984ADE"/>
    <w:rsid w:val="009855AA"/>
    <w:rsid w:val="0098569A"/>
    <w:rsid w:val="00991944"/>
    <w:rsid w:val="0099459E"/>
    <w:rsid w:val="009A1803"/>
    <w:rsid w:val="009A2D78"/>
    <w:rsid w:val="009A42BF"/>
    <w:rsid w:val="009A7C10"/>
    <w:rsid w:val="009B2945"/>
    <w:rsid w:val="009B38F6"/>
    <w:rsid w:val="009C644C"/>
    <w:rsid w:val="009C7CDB"/>
    <w:rsid w:val="009D5BDE"/>
    <w:rsid w:val="009D69F6"/>
    <w:rsid w:val="009E2DEE"/>
    <w:rsid w:val="009E3CDF"/>
    <w:rsid w:val="009E57D9"/>
    <w:rsid w:val="009F7459"/>
    <w:rsid w:val="009F797C"/>
    <w:rsid w:val="00A00828"/>
    <w:rsid w:val="00A0449B"/>
    <w:rsid w:val="00A053F2"/>
    <w:rsid w:val="00A10E0E"/>
    <w:rsid w:val="00A131AC"/>
    <w:rsid w:val="00A13713"/>
    <w:rsid w:val="00A13828"/>
    <w:rsid w:val="00A164D6"/>
    <w:rsid w:val="00A16CEE"/>
    <w:rsid w:val="00A16D85"/>
    <w:rsid w:val="00A21A20"/>
    <w:rsid w:val="00A24D6A"/>
    <w:rsid w:val="00A32CA5"/>
    <w:rsid w:val="00A33BDB"/>
    <w:rsid w:val="00A36A99"/>
    <w:rsid w:val="00A42706"/>
    <w:rsid w:val="00A45D1C"/>
    <w:rsid w:val="00A53315"/>
    <w:rsid w:val="00A5371E"/>
    <w:rsid w:val="00A64191"/>
    <w:rsid w:val="00A665E5"/>
    <w:rsid w:val="00A70EF0"/>
    <w:rsid w:val="00A71845"/>
    <w:rsid w:val="00A7324E"/>
    <w:rsid w:val="00A742B6"/>
    <w:rsid w:val="00A81896"/>
    <w:rsid w:val="00A81DC8"/>
    <w:rsid w:val="00A82F04"/>
    <w:rsid w:val="00A84F9F"/>
    <w:rsid w:val="00A850A3"/>
    <w:rsid w:val="00A9208D"/>
    <w:rsid w:val="00A93923"/>
    <w:rsid w:val="00A973D1"/>
    <w:rsid w:val="00A97CF8"/>
    <w:rsid w:val="00AA1DCB"/>
    <w:rsid w:val="00AA364B"/>
    <w:rsid w:val="00AA4FA7"/>
    <w:rsid w:val="00AA6EA9"/>
    <w:rsid w:val="00AB1BE1"/>
    <w:rsid w:val="00AB497D"/>
    <w:rsid w:val="00AC0209"/>
    <w:rsid w:val="00AC2DB8"/>
    <w:rsid w:val="00AC3CA0"/>
    <w:rsid w:val="00AD0E9E"/>
    <w:rsid w:val="00AE0232"/>
    <w:rsid w:val="00AE3DA7"/>
    <w:rsid w:val="00AE6FFC"/>
    <w:rsid w:val="00AE7030"/>
    <w:rsid w:val="00AF03C4"/>
    <w:rsid w:val="00B0006C"/>
    <w:rsid w:val="00B00941"/>
    <w:rsid w:val="00B03976"/>
    <w:rsid w:val="00B03AB8"/>
    <w:rsid w:val="00B047A8"/>
    <w:rsid w:val="00B05F2B"/>
    <w:rsid w:val="00B1412F"/>
    <w:rsid w:val="00B22A80"/>
    <w:rsid w:val="00B23C0A"/>
    <w:rsid w:val="00B416E8"/>
    <w:rsid w:val="00B50E12"/>
    <w:rsid w:val="00B540DC"/>
    <w:rsid w:val="00B54463"/>
    <w:rsid w:val="00B55F8F"/>
    <w:rsid w:val="00B562C2"/>
    <w:rsid w:val="00B60BFC"/>
    <w:rsid w:val="00B62F57"/>
    <w:rsid w:val="00B82086"/>
    <w:rsid w:val="00B83675"/>
    <w:rsid w:val="00B96520"/>
    <w:rsid w:val="00B97A00"/>
    <w:rsid w:val="00BA0CF7"/>
    <w:rsid w:val="00BA55A8"/>
    <w:rsid w:val="00BB2ABF"/>
    <w:rsid w:val="00BB3CAA"/>
    <w:rsid w:val="00BB64F4"/>
    <w:rsid w:val="00BB7B48"/>
    <w:rsid w:val="00BC17A4"/>
    <w:rsid w:val="00BC2617"/>
    <w:rsid w:val="00BC67B0"/>
    <w:rsid w:val="00BC7CDB"/>
    <w:rsid w:val="00BD0200"/>
    <w:rsid w:val="00BD1A55"/>
    <w:rsid w:val="00BD3F4F"/>
    <w:rsid w:val="00BD5A7C"/>
    <w:rsid w:val="00BD63AB"/>
    <w:rsid w:val="00BE413E"/>
    <w:rsid w:val="00BE4A8B"/>
    <w:rsid w:val="00BE5FAE"/>
    <w:rsid w:val="00BE7A1B"/>
    <w:rsid w:val="00BF0221"/>
    <w:rsid w:val="00BF091A"/>
    <w:rsid w:val="00BF4236"/>
    <w:rsid w:val="00BF47DD"/>
    <w:rsid w:val="00BF4EAD"/>
    <w:rsid w:val="00BF70F9"/>
    <w:rsid w:val="00C018EB"/>
    <w:rsid w:val="00C02B2B"/>
    <w:rsid w:val="00C02F8E"/>
    <w:rsid w:val="00C049E2"/>
    <w:rsid w:val="00C05AB7"/>
    <w:rsid w:val="00C14B8D"/>
    <w:rsid w:val="00C219BE"/>
    <w:rsid w:val="00C22DCF"/>
    <w:rsid w:val="00C23074"/>
    <w:rsid w:val="00C2691C"/>
    <w:rsid w:val="00C32E8B"/>
    <w:rsid w:val="00C344F6"/>
    <w:rsid w:val="00C348DE"/>
    <w:rsid w:val="00C36433"/>
    <w:rsid w:val="00C36795"/>
    <w:rsid w:val="00C458D6"/>
    <w:rsid w:val="00C46120"/>
    <w:rsid w:val="00C461EC"/>
    <w:rsid w:val="00C5073C"/>
    <w:rsid w:val="00C507D4"/>
    <w:rsid w:val="00C5325A"/>
    <w:rsid w:val="00C661E9"/>
    <w:rsid w:val="00C67A70"/>
    <w:rsid w:val="00C70B3F"/>
    <w:rsid w:val="00C71CEF"/>
    <w:rsid w:val="00C72DAA"/>
    <w:rsid w:val="00C75036"/>
    <w:rsid w:val="00C80B14"/>
    <w:rsid w:val="00C82CA9"/>
    <w:rsid w:val="00C84660"/>
    <w:rsid w:val="00C846C3"/>
    <w:rsid w:val="00C861F8"/>
    <w:rsid w:val="00C950EE"/>
    <w:rsid w:val="00CA04EB"/>
    <w:rsid w:val="00CA1018"/>
    <w:rsid w:val="00CA25D9"/>
    <w:rsid w:val="00CA3A28"/>
    <w:rsid w:val="00CA434C"/>
    <w:rsid w:val="00CA6053"/>
    <w:rsid w:val="00CB3913"/>
    <w:rsid w:val="00CB7B7E"/>
    <w:rsid w:val="00CB7E9A"/>
    <w:rsid w:val="00CC29E8"/>
    <w:rsid w:val="00CC58EF"/>
    <w:rsid w:val="00CC783A"/>
    <w:rsid w:val="00CD0871"/>
    <w:rsid w:val="00CD0B92"/>
    <w:rsid w:val="00CD22FC"/>
    <w:rsid w:val="00CD3D41"/>
    <w:rsid w:val="00CD633E"/>
    <w:rsid w:val="00CE0F4F"/>
    <w:rsid w:val="00CE29D3"/>
    <w:rsid w:val="00CF10BE"/>
    <w:rsid w:val="00CF2D8B"/>
    <w:rsid w:val="00CF3C01"/>
    <w:rsid w:val="00CF63D9"/>
    <w:rsid w:val="00CF7586"/>
    <w:rsid w:val="00D02CF1"/>
    <w:rsid w:val="00D036D3"/>
    <w:rsid w:val="00D06018"/>
    <w:rsid w:val="00D070C7"/>
    <w:rsid w:val="00D07A10"/>
    <w:rsid w:val="00D107BD"/>
    <w:rsid w:val="00D1261A"/>
    <w:rsid w:val="00D13782"/>
    <w:rsid w:val="00D13A56"/>
    <w:rsid w:val="00D201B7"/>
    <w:rsid w:val="00D239ED"/>
    <w:rsid w:val="00D27906"/>
    <w:rsid w:val="00D2790D"/>
    <w:rsid w:val="00D43F40"/>
    <w:rsid w:val="00D51ECD"/>
    <w:rsid w:val="00D52C04"/>
    <w:rsid w:val="00D568DC"/>
    <w:rsid w:val="00D6170E"/>
    <w:rsid w:val="00D64B5C"/>
    <w:rsid w:val="00D713EE"/>
    <w:rsid w:val="00D75D31"/>
    <w:rsid w:val="00D75EE6"/>
    <w:rsid w:val="00D8666D"/>
    <w:rsid w:val="00D91CB4"/>
    <w:rsid w:val="00D94DDB"/>
    <w:rsid w:val="00DA4BBD"/>
    <w:rsid w:val="00DB024D"/>
    <w:rsid w:val="00DB1C09"/>
    <w:rsid w:val="00DB28CE"/>
    <w:rsid w:val="00DB3665"/>
    <w:rsid w:val="00DC367D"/>
    <w:rsid w:val="00DD43D8"/>
    <w:rsid w:val="00DD45ED"/>
    <w:rsid w:val="00DD5AAA"/>
    <w:rsid w:val="00DD688C"/>
    <w:rsid w:val="00DD6A3F"/>
    <w:rsid w:val="00DE1133"/>
    <w:rsid w:val="00DE285A"/>
    <w:rsid w:val="00DE656C"/>
    <w:rsid w:val="00DF01A7"/>
    <w:rsid w:val="00DF039B"/>
    <w:rsid w:val="00DF60AF"/>
    <w:rsid w:val="00E071FF"/>
    <w:rsid w:val="00E16BF5"/>
    <w:rsid w:val="00E22F2B"/>
    <w:rsid w:val="00E236E1"/>
    <w:rsid w:val="00E325AD"/>
    <w:rsid w:val="00E33714"/>
    <w:rsid w:val="00E349E4"/>
    <w:rsid w:val="00E37A3F"/>
    <w:rsid w:val="00E37D3C"/>
    <w:rsid w:val="00E400A7"/>
    <w:rsid w:val="00E415FE"/>
    <w:rsid w:val="00E41722"/>
    <w:rsid w:val="00E42F58"/>
    <w:rsid w:val="00E47B8A"/>
    <w:rsid w:val="00E572D8"/>
    <w:rsid w:val="00E62E6A"/>
    <w:rsid w:val="00E65CDD"/>
    <w:rsid w:val="00E71EF9"/>
    <w:rsid w:val="00E727BA"/>
    <w:rsid w:val="00E810F7"/>
    <w:rsid w:val="00E832DA"/>
    <w:rsid w:val="00E83EF5"/>
    <w:rsid w:val="00E9137B"/>
    <w:rsid w:val="00E9335C"/>
    <w:rsid w:val="00EA2677"/>
    <w:rsid w:val="00EA5674"/>
    <w:rsid w:val="00EA5B2F"/>
    <w:rsid w:val="00EA66FE"/>
    <w:rsid w:val="00EC7CC9"/>
    <w:rsid w:val="00EC7E8F"/>
    <w:rsid w:val="00ED1788"/>
    <w:rsid w:val="00ED1C1E"/>
    <w:rsid w:val="00ED5B8A"/>
    <w:rsid w:val="00ED7170"/>
    <w:rsid w:val="00EE1B1C"/>
    <w:rsid w:val="00EE2AF2"/>
    <w:rsid w:val="00EE44F7"/>
    <w:rsid w:val="00EE69EA"/>
    <w:rsid w:val="00EE78BF"/>
    <w:rsid w:val="00EF1CA6"/>
    <w:rsid w:val="00EF70F1"/>
    <w:rsid w:val="00F00010"/>
    <w:rsid w:val="00F05B15"/>
    <w:rsid w:val="00F0679F"/>
    <w:rsid w:val="00F0712F"/>
    <w:rsid w:val="00F07EE6"/>
    <w:rsid w:val="00F14E9C"/>
    <w:rsid w:val="00F23C4F"/>
    <w:rsid w:val="00F27EB1"/>
    <w:rsid w:val="00F302EC"/>
    <w:rsid w:val="00F30376"/>
    <w:rsid w:val="00F33CC8"/>
    <w:rsid w:val="00F34811"/>
    <w:rsid w:val="00F37AB2"/>
    <w:rsid w:val="00F4124A"/>
    <w:rsid w:val="00F41723"/>
    <w:rsid w:val="00F4481C"/>
    <w:rsid w:val="00F46F46"/>
    <w:rsid w:val="00F53E56"/>
    <w:rsid w:val="00F560A8"/>
    <w:rsid w:val="00F57997"/>
    <w:rsid w:val="00F57C01"/>
    <w:rsid w:val="00F605F3"/>
    <w:rsid w:val="00F616E2"/>
    <w:rsid w:val="00F617C4"/>
    <w:rsid w:val="00F7584E"/>
    <w:rsid w:val="00F75D23"/>
    <w:rsid w:val="00F86C94"/>
    <w:rsid w:val="00FA5957"/>
    <w:rsid w:val="00FA7155"/>
    <w:rsid w:val="00FA7829"/>
    <w:rsid w:val="00FB1AF5"/>
    <w:rsid w:val="00FB1C2A"/>
    <w:rsid w:val="00FB5587"/>
    <w:rsid w:val="00FB7BC4"/>
    <w:rsid w:val="00FC1EAB"/>
    <w:rsid w:val="00FC1FFB"/>
    <w:rsid w:val="00FC3CE0"/>
    <w:rsid w:val="00FC406D"/>
    <w:rsid w:val="00FC6CBC"/>
    <w:rsid w:val="00FC7519"/>
    <w:rsid w:val="00FD06A8"/>
    <w:rsid w:val="00FD31FC"/>
    <w:rsid w:val="00FD344F"/>
    <w:rsid w:val="00FD3D44"/>
    <w:rsid w:val="00FD6C50"/>
    <w:rsid w:val="00FD7B88"/>
    <w:rsid w:val="00FE23C1"/>
    <w:rsid w:val="00FE4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0A10888-FFE5-4A2F-9C82-87EF76CF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14653</Words>
  <Characters>80597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2024-10-10T16:32:00Z</cp:lastPrinted>
  <dcterms:created xsi:type="dcterms:W3CDTF">2024-10-08T01:40:00Z</dcterms:created>
  <dcterms:modified xsi:type="dcterms:W3CDTF">2024-10-10T16:32:00Z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