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A5606A9" w:rsidR="00A970D5" w:rsidRPr="00620F63" w:rsidRDefault="00A970D5" w:rsidP="006922F5">
      <w:pPr>
        <w:pBdr>
          <w:top w:val="nil"/>
          <w:left w:val="nil"/>
          <w:bottom w:val="nil"/>
          <w:right w:val="nil"/>
          <w:between w:val="nil"/>
        </w:pBdr>
        <w:contextualSpacing/>
        <w:rPr>
          <w:rFonts w:eastAsia="Palatino Linotype" w:cs="Palatino Linotype"/>
          <w:color w:val="000000"/>
          <w:szCs w:val="24"/>
        </w:rPr>
      </w:pPr>
      <w:r w:rsidRPr="00620F63">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20F63">
        <w:rPr>
          <w:rFonts w:eastAsia="Palatino Linotype" w:cs="Palatino Linotype"/>
          <w:color w:val="000000"/>
          <w:szCs w:val="24"/>
        </w:rPr>
        <w:t xml:space="preserve">México, </w:t>
      </w:r>
      <w:r w:rsidR="000D2E93" w:rsidRPr="00620F63">
        <w:rPr>
          <w:rFonts w:eastAsia="Palatino Linotype" w:cs="Palatino Linotype"/>
          <w:color w:val="000000"/>
          <w:szCs w:val="24"/>
        </w:rPr>
        <w:t>a</w:t>
      </w:r>
      <w:r w:rsidR="00CB3EE5">
        <w:rPr>
          <w:rFonts w:eastAsia="Palatino Linotype" w:cs="Palatino Linotype"/>
          <w:color w:val="000000"/>
          <w:szCs w:val="24"/>
        </w:rPr>
        <w:t xml:space="preserve"> diecisiete de enero de dos mil veinticuatro</w:t>
      </w:r>
      <w:r w:rsidR="001C1BF4" w:rsidRPr="00620F63">
        <w:rPr>
          <w:rFonts w:eastAsia="Palatino Linotype" w:cs="Palatino Linotype"/>
          <w:color w:val="000000"/>
          <w:szCs w:val="24"/>
        </w:rPr>
        <w:t>.</w:t>
      </w:r>
    </w:p>
    <w:p w14:paraId="60399B74" w14:textId="77777777" w:rsidR="00A970D5" w:rsidRPr="00620F63" w:rsidRDefault="00A970D5" w:rsidP="006922F5">
      <w:pPr>
        <w:pBdr>
          <w:top w:val="nil"/>
          <w:left w:val="nil"/>
          <w:bottom w:val="nil"/>
          <w:right w:val="nil"/>
          <w:between w:val="nil"/>
        </w:pBdr>
        <w:contextualSpacing/>
        <w:rPr>
          <w:rFonts w:eastAsia="Palatino Linotype" w:cs="Palatino Linotype"/>
          <w:color w:val="000000"/>
          <w:szCs w:val="24"/>
        </w:rPr>
      </w:pPr>
    </w:p>
    <w:p w14:paraId="2CC4D940" w14:textId="3527D10B" w:rsidR="00620F63" w:rsidRPr="00620F63" w:rsidRDefault="00620F63" w:rsidP="00620F63">
      <w:pPr>
        <w:pBdr>
          <w:top w:val="nil"/>
          <w:left w:val="nil"/>
          <w:bottom w:val="nil"/>
          <w:right w:val="nil"/>
          <w:between w:val="nil"/>
        </w:pBdr>
        <w:contextualSpacing/>
        <w:rPr>
          <w:rFonts w:eastAsia="Palatino Linotype" w:cs="Palatino Linotype"/>
          <w:color w:val="000000"/>
          <w:szCs w:val="24"/>
        </w:rPr>
      </w:pPr>
      <w:r w:rsidRPr="00620F63">
        <w:rPr>
          <w:rFonts w:eastAsia="Palatino Linotype" w:cs="Palatino Linotype"/>
          <w:b/>
          <w:color w:val="000000"/>
          <w:szCs w:val="24"/>
        </w:rPr>
        <w:t>VISTO</w:t>
      </w:r>
      <w:r w:rsidRPr="00620F63">
        <w:rPr>
          <w:rFonts w:eastAsia="Palatino Linotype" w:cs="Palatino Linotype"/>
          <w:color w:val="000000"/>
          <w:szCs w:val="24"/>
        </w:rPr>
        <w:t xml:space="preserve"> el expediente electrónico formado con motivo del recurso de revisión número </w:t>
      </w:r>
      <w:r w:rsidRPr="00620F63">
        <w:rPr>
          <w:rFonts w:eastAsia="Palatino Linotype" w:cs="Palatino Linotype"/>
          <w:b/>
          <w:color w:val="000000"/>
          <w:szCs w:val="24"/>
        </w:rPr>
        <w:t>02915/INFOEM/IP/RR/2023</w:t>
      </w:r>
      <w:r w:rsidRPr="00620F63">
        <w:rPr>
          <w:rFonts w:eastAsia="Palatino Linotype" w:cs="Palatino Linotype"/>
          <w:color w:val="000000"/>
          <w:szCs w:val="24"/>
        </w:rPr>
        <w:t xml:space="preserve">, interpuesto por </w:t>
      </w:r>
      <w:r w:rsidR="00A23162">
        <w:rPr>
          <w:rFonts w:eastAsia="Palatino Linotype" w:cs="Palatino Linotype"/>
          <w:b/>
          <w:bCs/>
          <w:color w:val="000000"/>
          <w:szCs w:val="24"/>
        </w:rPr>
        <w:t>XXXXXXXXXXXXXXXXXXXXXXXXX</w:t>
      </w:r>
      <w:r w:rsidRPr="00620F63">
        <w:rPr>
          <w:rFonts w:eastAsia="Palatino Linotype" w:cs="Palatino Linotype"/>
          <w:color w:val="000000"/>
          <w:szCs w:val="24"/>
        </w:rPr>
        <w:t xml:space="preserve">, en lo sucesivo el </w:t>
      </w:r>
      <w:r w:rsidRPr="00620F63">
        <w:rPr>
          <w:rFonts w:eastAsia="Palatino Linotype" w:cs="Palatino Linotype"/>
          <w:b/>
          <w:color w:val="000000"/>
          <w:szCs w:val="24"/>
        </w:rPr>
        <w:t>Recurrente</w:t>
      </w:r>
      <w:r w:rsidRPr="00620F63">
        <w:rPr>
          <w:rFonts w:eastAsia="Palatino Linotype" w:cs="Palatino Linotype"/>
          <w:color w:val="000000"/>
          <w:szCs w:val="24"/>
        </w:rPr>
        <w:t xml:space="preserve">, en contra de la respuesta de la </w:t>
      </w:r>
      <w:r w:rsidRPr="00620F63">
        <w:rPr>
          <w:rFonts w:eastAsia="Palatino Linotype" w:cs="Palatino Linotype"/>
          <w:b/>
          <w:bCs/>
          <w:color w:val="000000"/>
          <w:szCs w:val="24"/>
        </w:rPr>
        <w:t>Secretaría de Desarrollo Urbano y Obra</w:t>
      </w:r>
      <w:r w:rsidRPr="00620F63">
        <w:rPr>
          <w:rFonts w:eastAsia="Palatino Linotype" w:cs="Palatino Linotype"/>
          <w:color w:val="000000"/>
          <w:szCs w:val="24"/>
        </w:rPr>
        <w:t>, en lo subsecuente el</w:t>
      </w:r>
      <w:r w:rsidRPr="00620F63">
        <w:rPr>
          <w:rFonts w:eastAsia="Palatino Linotype" w:cs="Palatino Linotype"/>
          <w:b/>
          <w:color w:val="000000"/>
          <w:szCs w:val="24"/>
        </w:rPr>
        <w:t xml:space="preserve"> Sujeto Obligado, </w:t>
      </w:r>
      <w:r w:rsidRPr="00620F63">
        <w:rPr>
          <w:rFonts w:eastAsia="Palatino Linotype" w:cs="Palatino Linotype"/>
          <w:color w:val="000000"/>
          <w:szCs w:val="24"/>
        </w:rPr>
        <w:t>se procede a dictar la presente resolución.</w:t>
      </w:r>
    </w:p>
    <w:p w14:paraId="2E2053C2" w14:textId="77777777" w:rsidR="00A970D5" w:rsidRPr="00620F63"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 xml:space="preserve">A N T E C </w:t>
      </w:r>
      <w:bookmarkStart w:id="0" w:name="_GoBack"/>
      <w:bookmarkEnd w:id="0"/>
      <w:r w:rsidRPr="006922F5">
        <w:rPr>
          <w:rFonts w:eastAsia="Palatino Linotype"/>
          <w:lang w:val="es-ES_tradnl"/>
        </w:rPr>
        <w:t>E D E N T E S</w:t>
      </w:r>
    </w:p>
    <w:p w14:paraId="32F88820" w14:textId="77777777" w:rsidR="00A970D5" w:rsidRPr="00CD4C0F"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7BDD6B75" w14:textId="77777777" w:rsidR="00620F63" w:rsidRPr="00CD4C0F" w:rsidRDefault="00620F63" w:rsidP="00620F63">
      <w:pPr>
        <w:pBdr>
          <w:top w:val="nil"/>
          <w:left w:val="nil"/>
          <w:bottom w:val="nil"/>
          <w:right w:val="nil"/>
          <w:between w:val="nil"/>
        </w:pBdr>
        <w:contextualSpacing/>
        <w:rPr>
          <w:rFonts w:eastAsia="Palatino Linotype" w:cs="Palatino Linotype"/>
          <w:color w:val="000000"/>
          <w:szCs w:val="24"/>
        </w:rPr>
      </w:pPr>
      <w:r w:rsidRPr="00CD4C0F">
        <w:rPr>
          <w:rFonts w:eastAsia="Palatino Linotype" w:cs="Palatino Linotype"/>
          <w:color w:val="000000"/>
          <w:szCs w:val="24"/>
        </w:rPr>
        <w:t>Con fecha diecisiete de mayo de dos mil veintitrés, el Recurrente presentó solicitud de información pública por medio del Sistema de Acceso a la Información Mexiquense (SAIMEX), registrada con el número de expediente</w:t>
      </w:r>
      <w:r w:rsidRPr="00CD4C0F">
        <w:rPr>
          <w:rFonts w:eastAsia="Palatino Linotype" w:cs="Palatino Linotype"/>
          <w:b/>
          <w:color w:val="000000"/>
          <w:szCs w:val="24"/>
        </w:rPr>
        <w:t xml:space="preserve"> </w:t>
      </w:r>
      <w:r w:rsidRPr="00CD4C0F">
        <w:rPr>
          <w:rFonts w:eastAsia="Palatino Linotype" w:cs="Palatino Linotype"/>
          <w:b/>
          <w:bCs/>
          <w:color w:val="000000"/>
          <w:szCs w:val="24"/>
        </w:rPr>
        <w:t>00310/SEDUO/IP/2023</w:t>
      </w:r>
      <w:r w:rsidRPr="00CD4C0F">
        <w:rPr>
          <w:rFonts w:eastAsia="Palatino Linotype" w:cs="Palatino Linotype"/>
          <w:color w:val="000000"/>
          <w:szCs w:val="24"/>
        </w:rPr>
        <w:t>,</w:t>
      </w:r>
      <w:r w:rsidRPr="00CD4C0F">
        <w:rPr>
          <w:rFonts w:eastAsia="Palatino Linotype" w:cs="Palatino Linotype"/>
          <w:b/>
          <w:color w:val="000000"/>
          <w:szCs w:val="24"/>
        </w:rPr>
        <w:t xml:space="preserve"> </w:t>
      </w:r>
      <w:r w:rsidRPr="00CD4C0F">
        <w:rPr>
          <w:rFonts w:eastAsia="Palatino Linotype" w:cs="Palatino Linotype"/>
          <w:color w:val="000000"/>
          <w:szCs w:val="24"/>
        </w:rPr>
        <w:t>mediante la cual solicitó información en el tenor siguiente:</w:t>
      </w:r>
    </w:p>
    <w:p w14:paraId="787050DA" w14:textId="77777777" w:rsidR="00620F63" w:rsidRPr="00CD4C0F" w:rsidRDefault="00620F63" w:rsidP="00620F63">
      <w:pPr>
        <w:pBdr>
          <w:top w:val="nil"/>
          <w:left w:val="nil"/>
          <w:bottom w:val="nil"/>
          <w:right w:val="nil"/>
          <w:between w:val="nil"/>
        </w:pBdr>
        <w:contextualSpacing/>
        <w:rPr>
          <w:rFonts w:eastAsia="Palatino Linotype" w:cs="Palatino Linotype"/>
          <w:color w:val="000000"/>
          <w:szCs w:val="24"/>
        </w:rPr>
      </w:pPr>
    </w:p>
    <w:p w14:paraId="07DAA406" w14:textId="4CB8F1B6" w:rsidR="00620F63" w:rsidRPr="009D62BC" w:rsidRDefault="00CD4C0F" w:rsidP="00620F63">
      <w:pPr>
        <w:pStyle w:val="Fundamentos"/>
      </w:pPr>
      <w:r>
        <w:t>«</w:t>
      </w:r>
      <w:r w:rsidR="00620F63" w:rsidRPr="0034772D">
        <w:t>Solicito conocer todos los formatos del Sistema de planeación y Presupuesto (firmados) desde el año 2022 a la fecha, por la Comisión de impacto Estatal.</w:t>
      </w:r>
      <w:r>
        <w:t>»</w:t>
      </w:r>
      <w:r w:rsidR="00620F63" w:rsidRPr="009D62BC">
        <w:t xml:space="preserve"> (Sic)</w:t>
      </w:r>
    </w:p>
    <w:p w14:paraId="69D33226" w14:textId="77777777" w:rsidR="00620F63" w:rsidRPr="00CD4C0F" w:rsidRDefault="00620F63" w:rsidP="00620F63">
      <w:pPr>
        <w:pBdr>
          <w:top w:val="nil"/>
          <w:left w:val="nil"/>
          <w:bottom w:val="nil"/>
          <w:right w:val="nil"/>
          <w:between w:val="nil"/>
        </w:pBdr>
        <w:contextualSpacing/>
        <w:rPr>
          <w:rFonts w:eastAsia="Palatino Linotype" w:cs="Palatino Linotype"/>
          <w:iCs/>
          <w:color w:val="000000"/>
          <w:szCs w:val="24"/>
        </w:rPr>
      </w:pPr>
    </w:p>
    <w:p w14:paraId="6637CFF1" w14:textId="77777777" w:rsidR="00620F63" w:rsidRPr="00CD4C0F" w:rsidRDefault="00620F63" w:rsidP="00620F63">
      <w:pPr>
        <w:pBdr>
          <w:top w:val="nil"/>
          <w:left w:val="nil"/>
          <w:bottom w:val="nil"/>
          <w:right w:val="nil"/>
          <w:between w:val="nil"/>
        </w:pBdr>
        <w:contextualSpacing/>
        <w:rPr>
          <w:rFonts w:eastAsia="Palatino Linotype" w:cs="Palatino Linotype"/>
          <w:color w:val="000000"/>
          <w:szCs w:val="24"/>
        </w:rPr>
      </w:pPr>
      <w:r w:rsidRPr="00CD4C0F">
        <w:rPr>
          <w:rFonts w:eastAsia="Palatino Linotype" w:cs="Palatino Linotype"/>
          <w:color w:val="000000"/>
          <w:szCs w:val="24"/>
        </w:rPr>
        <w:t xml:space="preserve">Modalidad de entrega: </w:t>
      </w:r>
      <w:r w:rsidRPr="00CD4C0F">
        <w:rPr>
          <w:rFonts w:eastAsia="Palatino Linotype" w:cs="Palatino Linotype"/>
          <w:b/>
          <w:color w:val="000000"/>
          <w:szCs w:val="24"/>
        </w:rPr>
        <w:t>A través del SAIMEX</w:t>
      </w:r>
    </w:p>
    <w:p w14:paraId="1603BECA" w14:textId="77777777" w:rsidR="00875B7E" w:rsidRPr="00CD4C0F"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E958283" w:rsidR="00A970D5" w:rsidRPr="006922F5" w:rsidRDefault="0003419D"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4B2D418F" w14:textId="77777777" w:rsidR="00620F63" w:rsidRPr="009D62BC" w:rsidRDefault="00620F63" w:rsidP="00620F63">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Pr>
          <w:rFonts w:eastAsia="Palatino Linotype" w:cs="Palatino Linotype"/>
          <w:color w:val="000000"/>
          <w:szCs w:val="24"/>
        </w:rPr>
        <w:t>veinticuatro</w:t>
      </w:r>
      <w:r w:rsidRPr="009D62BC">
        <w:rPr>
          <w:rFonts w:eastAsia="Palatino Linotype" w:cs="Palatino Linotype"/>
          <w:color w:val="000000"/>
          <w:szCs w:val="24"/>
        </w:rPr>
        <w:t xml:space="preserve"> de mayo de dos mil veinti</w:t>
      </w:r>
      <w:r>
        <w:rPr>
          <w:rFonts w:eastAsia="Palatino Linotype" w:cs="Palatino Linotype"/>
          <w:color w:val="000000"/>
          <w:szCs w:val="24"/>
        </w:rPr>
        <w:t>trés</w:t>
      </w:r>
      <w:r w:rsidRPr="009D62BC">
        <w:rPr>
          <w:rFonts w:eastAsia="Palatino Linotype" w:cs="Palatino Linotype"/>
          <w:color w:val="000000"/>
          <w:szCs w:val="24"/>
        </w:rPr>
        <w:t>, el Sujeto Obligado dio respuesta a la solicitud de información, manifestando lo siguiente:</w:t>
      </w:r>
    </w:p>
    <w:p w14:paraId="2238EE02" w14:textId="77777777" w:rsidR="00620F63" w:rsidRPr="009D62BC" w:rsidRDefault="00620F63" w:rsidP="00620F63">
      <w:pPr>
        <w:pBdr>
          <w:top w:val="nil"/>
          <w:left w:val="nil"/>
          <w:bottom w:val="nil"/>
          <w:right w:val="nil"/>
          <w:between w:val="nil"/>
        </w:pBdr>
        <w:contextualSpacing/>
        <w:rPr>
          <w:rFonts w:eastAsia="Palatino Linotype" w:cs="Palatino Linotype"/>
          <w:color w:val="000000"/>
          <w:szCs w:val="24"/>
        </w:rPr>
      </w:pPr>
    </w:p>
    <w:p w14:paraId="7D0F7B25" w14:textId="0313C998" w:rsidR="00620F63" w:rsidRDefault="00CD4C0F" w:rsidP="00620F63">
      <w:pPr>
        <w:pStyle w:val="Fundamentos"/>
      </w:pPr>
      <w:r>
        <w:t>«</w:t>
      </w:r>
      <w:r w:rsidR="00620F63" w:rsidRPr="0034772D">
        <w:t>En respuesta a la solicitud recibida, nos permitimos hacer de su conocimiento que con fundamento en el artículo 53, Fracciones: II, V y VI de la Ley de Transparencia y Acceso a la Información Pública del Estado de México y Municipios, le contestamos que:</w:t>
      </w:r>
    </w:p>
    <w:p w14:paraId="55F43207" w14:textId="77777777" w:rsidR="00620F63" w:rsidRPr="0034772D" w:rsidRDefault="00620F63" w:rsidP="00620F63">
      <w:pPr>
        <w:pStyle w:val="Fundamentos"/>
      </w:pPr>
    </w:p>
    <w:p w14:paraId="352FD2F9" w14:textId="387C1CAF" w:rsidR="00620F63" w:rsidRPr="009D62BC" w:rsidRDefault="00620F63" w:rsidP="00CD4C0F">
      <w:pPr>
        <w:pStyle w:val="Fundamentos"/>
      </w:pPr>
      <w:r w:rsidRPr="0034772D">
        <w:t>Sobre el particular, sírvase encontrar en archivo adjunto copia del oficio número SEDUO-CI-0724/2023, de fecha 24 de mayo de 2023, mediante el cual se detalla lo referente a su solicitud.</w:t>
      </w:r>
      <w:r w:rsidR="00CD4C0F">
        <w:t>»</w:t>
      </w:r>
      <w:r w:rsidRPr="009D62BC">
        <w:t xml:space="preserve"> (Sic)</w:t>
      </w:r>
    </w:p>
    <w:p w14:paraId="06BD5D86" w14:textId="77777777" w:rsidR="00620F63" w:rsidRPr="009D62BC" w:rsidRDefault="00620F63" w:rsidP="00620F63">
      <w:pPr>
        <w:pBdr>
          <w:top w:val="nil"/>
          <w:left w:val="nil"/>
          <w:bottom w:val="nil"/>
          <w:right w:val="nil"/>
          <w:between w:val="nil"/>
        </w:pBdr>
        <w:ind w:right="567"/>
        <w:contextualSpacing/>
        <w:rPr>
          <w:rFonts w:eastAsia="Palatino Linotype" w:cs="Palatino Linotype"/>
          <w:iCs/>
          <w:color w:val="000000"/>
          <w:sz w:val="21"/>
          <w:szCs w:val="21"/>
        </w:rPr>
      </w:pPr>
    </w:p>
    <w:p w14:paraId="29B98099" w14:textId="5E0E7F19" w:rsidR="00620F63" w:rsidRPr="009D62BC" w:rsidRDefault="00620F63" w:rsidP="00620F63">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El Sujeto Obligado anexó a su respuesta los documentos denominados </w:t>
      </w:r>
      <w:r w:rsidR="00CD4C0F">
        <w:rPr>
          <w:rFonts w:eastAsia="Palatino Linotype" w:cs="Palatino Linotype"/>
          <w:b/>
          <w:bCs/>
          <w:color w:val="000000"/>
          <w:szCs w:val="24"/>
        </w:rPr>
        <w:t>«</w:t>
      </w:r>
      <w:r>
        <w:rPr>
          <w:rFonts w:eastAsia="Palatino Linotype" w:cs="Palatino Linotype"/>
          <w:b/>
          <w:bCs/>
          <w:color w:val="000000"/>
          <w:szCs w:val="24"/>
        </w:rPr>
        <w:t>RESP UT 310-2023 DGCIE.</w:t>
      </w:r>
      <w:r w:rsidRPr="009D62BC">
        <w:rPr>
          <w:rFonts w:eastAsia="Palatino Linotype" w:cs="Palatino Linotype"/>
          <w:b/>
          <w:color w:val="000000"/>
          <w:szCs w:val="24"/>
        </w:rPr>
        <w:t>pdf</w:t>
      </w:r>
      <w:r w:rsidR="00CD4C0F">
        <w:rPr>
          <w:rFonts w:eastAsia="Palatino Linotype" w:cs="Palatino Linotype"/>
          <w:b/>
          <w:color w:val="000000"/>
          <w:szCs w:val="24"/>
        </w:rPr>
        <w:t>»</w:t>
      </w:r>
      <w:r w:rsidRPr="009D62BC">
        <w:rPr>
          <w:rFonts w:eastAsia="Palatino Linotype" w:cs="Palatino Linotype"/>
          <w:bCs/>
          <w:color w:val="000000"/>
          <w:szCs w:val="24"/>
        </w:rPr>
        <w:t xml:space="preserve"> y </w:t>
      </w:r>
      <w:r w:rsidR="00CD4C0F">
        <w:rPr>
          <w:rFonts w:eastAsia="Palatino Linotype" w:cs="Palatino Linotype"/>
          <w:bCs/>
          <w:color w:val="000000"/>
          <w:szCs w:val="24"/>
        </w:rPr>
        <w:t>«</w:t>
      </w:r>
      <w:r>
        <w:rPr>
          <w:rFonts w:eastAsia="Palatino Linotype" w:cs="Palatino Linotype"/>
          <w:b/>
          <w:color w:val="000000"/>
          <w:szCs w:val="24"/>
        </w:rPr>
        <w:t>UT 310-2023</w:t>
      </w:r>
      <w:r w:rsidRPr="009D62BC">
        <w:rPr>
          <w:rFonts w:eastAsia="Palatino Linotype" w:cs="Palatino Linotype"/>
          <w:b/>
          <w:color w:val="000000"/>
          <w:szCs w:val="24"/>
        </w:rPr>
        <w:t>.pdf</w:t>
      </w:r>
      <w:r w:rsidR="00CD4C0F">
        <w:rPr>
          <w:rFonts w:eastAsia="Palatino Linotype" w:cs="Palatino Linotype"/>
          <w:b/>
          <w:color w:val="000000"/>
          <w:szCs w:val="24"/>
        </w:rPr>
        <w:t>»</w:t>
      </w:r>
      <w:r w:rsidRPr="009D62BC">
        <w:rPr>
          <w:rFonts w:eastAsia="Palatino Linotype" w:cs="Palatino Linotype"/>
          <w:bCs/>
          <w:color w:val="000000"/>
          <w:szCs w:val="24"/>
        </w:rPr>
        <w:t>,</w:t>
      </w:r>
      <w:r w:rsidRPr="009D62BC">
        <w:rPr>
          <w:rFonts w:eastAsia="Palatino Linotype" w:cs="Palatino Linotype"/>
          <w:color w:val="000000"/>
          <w:szCs w:val="24"/>
        </w:rPr>
        <w:t xml:space="preserve"> los cuales no se reproducen por ser del conocimiento de las partes; no obstante, se hará referencia de su contenido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4A850686" w:rsidR="00A970D5" w:rsidRPr="006922F5" w:rsidRDefault="0003419D"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41E36D86" w14:textId="77777777" w:rsidR="00620F63" w:rsidRPr="009D62BC" w:rsidRDefault="00620F63" w:rsidP="00620F63">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Inconforme con la respuesta emitida por el Sujeto Obligado, el Recurrente interpuso el presente recurso de revisión el día</w:t>
      </w:r>
      <w:r>
        <w:rPr>
          <w:rFonts w:eastAsia="Palatino Linotype" w:cs="Palatino Linotype"/>
          <w:color w:val="000000"/>
          <w:szCs w:val="24"/>
        </w:rPr>
        <w:t xml:space="preserve"> veinticinco de mayo de dos mil veintitrés</w:t>
      </w:r>
      <w:r w:rsidRPr="009D62BC">
        <w:rPr>
          <w:rFonts w:eastAsia="Palatino Linotype" w:cs="Palatino Linotype"/>
          <w:color w:val="000000"/>
          <w:szCs w:val="24"/>
        </w:rPr>
        <w:t xml:space="preserve">, que fue registrado con el expediente número </w:t>
      </w:r>
      <w:r w:rsidRPr="0097028E">
        <w:rPr>
          <w:rFonts w:eastAsia="Palatino Linotype" w:cs="Palatino Linotype"/>
          <w:b/>
          <w:color w:val="000000"/>
          <w:szCs w:val="24"/>
        </w:rPr>
        <w:t>02915/INFOEM/IP/RR/2023</w:t>
      </w:r>
      <w:r w:rsidRPr="009D62BC">
        <w:rPr>
          <w:rFonts w:eastAsia="Palatino Linotype" w:cs="Palatino Linotype"/>
          <w:color w:val="000000"/>
          <w:szCs w:val="24"/>
        </w:rPr>
        <w:t>, en el cual el particular manifestó lo siguiente:</w:t>
      </w:r>
    </w:p>
    <w:p w14:paraId="4CED7FE0" w14:textId="77777777" w:rsidR="00620F63" w:rsidRPr="009D62BC" w:rsidRDefault="00620F63" w:rsidP="00620F63">
      <w:pPr>
        <w:pBdr>
          <w:top w:val="nil"/>
          <w:left w:val="nil"/>
          <w:bottom w:val="nil"/>
          <w:right w:val="nil"/>
          <w:between w:val="nil"/>
        </w:pBdr>
        <w:contextualSpacing/>
        <w:rPr>
          <w:rFonts w:eastAsia="Palatino Linotype" w:cs="Palatino Linotype"/>
          <w:color w:val="000000"/>
          <w:szCs w:val="24"/>
        </w:rPr>
      </w:pPr>
    </w:p>
    <w:p w14:paraId="4E4F982E" w14:textId="77777777" w:rsidR="00620F63" w:rsidRPr="009D62BC" w:rsidRDefault="00620F63" w:rsidP="00620F63">
      <w:pPr>
        <w:spacing w:before="240"/>
        <w:ind w:right="-8"/>
        <w:contextualSpacing/>
        <w:rPr>
          <w:rFonts w:eastAsia="Palatino Linotype" w:cs="Palatino Linotype"/>
          <w:i/>
        </w:rPr>
      </w:pPr>
      <w:r w:rsidRPr="009D62BC">
        <w:rPr>
          <w:rFonts w:eastAsia="Palatino Linotype" w:cs="Palatino Linotype"/>
          <w:b/>
          <w:szCs w:val="24"/>
        </w:rPr>
        <w:t>Acto Impugnado:</w:t>
      </w:r>
      <w:r w:rsidRPr="009D62BC">
        <w:rPr>
          <w:rFonts w:eastAsia="Palatino Linotype" w:cs="Palatino Linotype"/>
          <w:i/>
        </w:rPr>
        <w:t xml:space="preserve"> </w:t>
      </w:r>
    </w:p>
    <w:p w14:paraId="5E8DF473" w14:textId="105D48DF" w:rsidR="00620F63" w:rsidRPr="009D62BC" w:rsidRDefault="00CD4C0F" w:rsidP="00CD4C0F">
      <w:pPr>
        <w:pStyle w:val="Fundamentos"/>
        <w:rPr>
          <w:b/>
        </w:rPr>
      </w:pPr>
      <w:r>
        <w:t>«</w:t>
      </w:r>
      <w:r w:rsidR="00620F63" w:rsidRPr="0097028E">
        <w:t xml:space="preserve">No estoy </w:t>
      </w:r>
      <w:proofErr w:type="spellStart"/>
      <w:r w:rsidR="00620F63" w:rsidRPr="0097028E">
        <w:t>deacuerdo</w:t>
      </w:r>
      <w:proofErr w:type="spellEnd"/>
      <w:r w:rsidR="00620F63" w:rsidRPr="0097028E">
        <w:t xml:space="preserve"> con la respuesta</w:t>
      </w:r>
      <w:r>
        <w:t xml:space="preserve">» </w:t>
      </w:r>
      <w:r w:rsidR="00620F63" w:rsidRPr="009D62BC">
        <w:t>(Sic)</w:t>
      </w:r>
    </w:p>
    <w:p w14:paraId="06E7D485" w14:textId="77777777" w:rsidR="00620F63" w:rsidRPr="009D62BC" w:rsidRDefault="00620F63" w:rsidP="00620F63">
      <w:pPr>
        <w:contextualSpacing/>
        <w:rPr>
          <w:rFonts w:eastAsia="Palatino Linotype" w:cs="Palatino Linotype"/>
          <w:szCs w:val="24"/>
        </w:rPr>
      </w:pPr>
    </w:p>
    <w:p w14:paraId="06D0A5A5" w14:textId="77777777" w:rsidR="00620F63" w:rsidRPr="009D62BC" w:rsidRDefault="00620F63" w:rsidP="00620F63">
      <w:pPr>
        <w:spacing w:before="240"/>
        <w:contextualSpacing/>
        <w:rPr>
          <w:rFonts w:eastAsia="Palatino Linotype" w:cs="Palatino Linotype"/>
          <w:szCs w:val="24"/>
        </w:rPr>
      </w:pPr>
      <w:r w:rsidRPr="009D62BC">
        <w:rPr>
          <w:rFonts w:eastAsia="Palatino Linotype" w:cs="Palatino Linotype"/>
          <w:b/>
          <w:szCs w:val="24"/>
        </w:rPr>
        <w:lastRenderedPageBreak/>
        <w:t>Razones o Motivos de Inconformidad</w:t>
      </w:r>
      <w:r w:rsidRPr="009D62BC">
        <w:rPr>
          <w:rFonts w:eastAsia="Palatino Linotype" w:cs="Palatino Linotype"/>
          <w:szCs w:val="24"/>
        </w:rPr>
        <w:t xml:space="preserve">: </w:t>
      </w:r>
    </w:p>
    <w:p w14:paraId="0D6F6EAE" w14:textId="38442217" w:rsidR="00620F63" w:rsidRPr="009D62BC" w:rsidRDefault="00CD4C0F" w:rsidP="00CD4C0F">
      <w:pPr>
        <w:pStyle w:val="Fundamentos"/>
      </w:pPr>
      <w:r>
        <w:t>«</w:t>
      </w:r>
      <w:r w:rsidR="00620F63" w:rsidRPr="0097028E">
        <w:t xml:space="preserve">No estoy </w:t>
      </w:r>
      <w:proofErr w:type="spellStart"/>
      <w:r w:rsidR="00620F63" w:rsidRPr="0097028E">
        <w:t>deacuerdo</w:t>
      </w:r>
      <w:proofErr w:type="spellEnd"/>
      <w:r w:rsidR="00620F63" w:rsidRPr="0097028E">
        <w:t xml:space="preserve"> con la respuesta</w:t>
      </w:r>
      <w:r>
        <w:t>»</w:t>
      </w:r>
      <w:r w:rsidR="00620F63" w:rsidRPr="009D62BC">
        <w:t xml:space="preserve"> (Sic)</w:t>
      </w:r>
    </w:p>
    <w:p w14:paraId="06F5C47C" w14:textId="77777777" w:rsidR="00620F63" w:rsidRPr="009D62BC" w:rsidRDefault="00620F63" w:rsidP="00620F63">
      <w:pPr>
        <w:pBdr>
          <w:top w:val="nil"/>
          <w:left w:val="nil"/>
          <w:bottom w:val="nil"/>
          <w:right w:val="nil"/>
          <w:between w:val="nil"/>
        </w:pBdr>
        <w:contextualSpacing/>
        <w:rPr>
          <w:rFonts w:eastAsia="Palatino Linotype" w:cs="Palatino Linotype"/>
          <w:bCs/>
          <w:color w:val="000000"/>
          <w:szCs w:val="24"/>
        </w:rPr>
      </w:pPr>
    </w:p>
    <w:p w14:paraId="11D7F189" w14:textId="467745BF" w:rsidR="00A970D5" w:rsidRPr="006922F5" w:rsidRDefault="0003419D" w:rsidP="006922F5">
      <w:pPr>
        <w:pStyle w:val="Ttulo2"/>
        <w:rPr>
          <w:rFonts w:eastAsia="Palatino Linotype"/>
        </w:rPr>
      </w:pPr>
      <w:r>
        <w:rPr>
          <w:rFonts w:eastAsia="Palatino Linotype"/>
        </w:rPr>
        <w:t>CUAR</w:t>
      </w:r>
      <w:r w:rsidR="00FC7D39">
        <w:rPr>
          <w:rFonts w:eastAsia="Palatino Linotype"/>
        </w:rPr>
        <w:t>TO</w:t>
      </w:r>
      <w:r w:rsidR="00A970D5" w:rsidRPr="006922F5">
        <w:rPr>
          <w:rFonts w:eastAsia="Palatino Linotype"/>
        </w:rPr>
        <w:t>. Del turno y admisión del recurso de revisión.</w:t>
      </w:r>
    </w:p>
    <w:p w14:paraId="26F4949F" w14:textId="77777777" w:rsidR="00CD4C0F" w:rsidRPr="009D62BC" w:rsidRDefault="00CD4C0F" w:rsidP="00CD4C0F">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Medio de impugnación que le fue turnado al </w:t>
      </w:r>
      <w:r w:rsidRPr="009D62BC">
        <w:rPr>
          <w:rFonts w:eastAsia="Palatino Linotype" w:cs="Palatino Linotype"/>
          <w:b/>
          <w:color w:val="000000"/>
          <w:szCs w:val="24"/>
        </w:rPr>
        <w:t>Comisionado Presidente José Martínez Vilchis</w:t>
      </w:r>
      <w:r w:rsidRPr="009D62BC">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Municipios, del cual recayó acuerdo de admisión en fecha </w:t>
      </w:r>
      <w:r>
        <w:rPr>
          <w:rFonts w:eastAsia="Palatino Linotype" w:cs="Palatino Linotype"/>
          <w:color w:val="000000"/>
          <w:szCs w:val="24"/>
        </w:rPr>
        <w:t>treinta de mayo de dos mil veintitrés</w:t>
      </w:r>
      <w:r w:rsidRPr="009D62BC">
        <w:rPr>
          <w:rFonts w:eastAsia="Palatino Linotype" w:cs="Palatino Linotype"/>
          <w:color w:val="000000"/>
          <w:szCs w:val="24"/>
        </w:rPr>
        <w:t xml:space="preserve">, </w:t>
      </w:r>
      <w:r w:rsidRPr="009D62BC">
        <w:rPr>
          <w:rFonts w:eastAsia="Palatino Linotype" w:cs="Palatino Linotype"/>
          <w:szCs w:val="24"/>
        </w:rPr>
        <w:t>otorgándose</w:t>
      </w:r>
      <w:r w:rsidRPr="009D62BC">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B2FF958" w:rsidR="00A970D5" w:rsidRPr="006922F5" w:rsidRDefault="000746CE" w:rsidP="006922F5">
      <w:pPr>
        <w:pStyle w:val="Ttulo2"/>
        <w:rPr>
          <w:rFonts w:eastAsia="Palatino Linotype"/>
        </w:rPr>
      </w:pPr>
      <w:r>
        <w:rPr>
          <w:rFonts w:eastAsia="Palatino Linotype"/>
        </w:rPr>
        <w:t>QUIN</w:t>
      </w:r>
      <w:r w:rsidR="00AA6C98">
        <w:rPr>
          <w:rFonts w:eastAsia="Palatino Linotype"/>
        </w:rPr>
        <w:t>TO</w:t>
      </w:r>
      <w:r w:rsidR="00A970D5" w:rsidRPr="006922F5">
        <w:rPr>
          <w:rFonts w:eastAsia="Palatino Linotype"/>
        </w:rPr>
        <w:t>. De la etapa de instrucción.</w:t>
      </w:r>
    </w:p>
    <w:p w14:paraId="2CA96F55" w14:textId="4B7D7F9F" w:rsidR="00CD4C0F" w:rsidRPr="009D62BC" w:rsidRDefault="00CD4C0F" w:rsidP="00CD4C0F">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Una vez abierta la etapa de instrucción, se observa que en fecha </w:t>
      </w:r>
      <w:r>
        <w:rPr>
          <w:rFonts w:eastAsia="Palatino Linotype" w:cs="Palatino Linotype"/>
          <w:color w:val="000000"/>
          <w:szCs w:val="24"/>
        </w:rPr>
        <w:t>ocho</w:t>
      </w:r>
      <w:r w:rsidRPr="009D62BC">
        <w:rPr>
          <w:rFonts w:eastAsia="Palatino Linotype" w:cs="Palatino Linotype"/>
          <w:color w:val="000000"/>
          <w:szCs w:val="24"/>
        </w:rPr>
        <w:t xml:space="preserve"> de julio de dos mil veinti</w:t>
      </w:r>
      <w:r>
        <w:rPr>
          <w:rFonts w:eastAsia="Palatino Linotype" w:cs="Palatino Linotype"/>
          <w:color w:val="000000"/>
          <w:szCs w:val="24"/>
        </w:rPr>
        <w:t>trés</w:t>
      </w:r>
      <w:r w:rsidRPr="009D62BC">
        <w:rPr>
          <w:rFonts w:eastAsia="Palatino Linotype" w:cs="Palatino Linotype"/>
          <w:color w:val="000000"/>
          <w:szCs w:val="24"/>
        </w:rPr>
        <w:t xml:space="preserve">, el Sujeto Obligado rindió su Informe Justificado, consistente en </w:t>
      </w:r>
      <w:r>
        <w:rPr>
          <w:rFonts w:eastAsia="Palatino Linotype" w:cs="Palatino Linotype"/>
          <w:color w:val="000000"/>
          <w:szCs w:val="24"/>
        </w:rPr>
        <w:t>los</w:t>
      </w:r>
      <w:r w:rsidRPr="009D62BC">
        <w:rPr>
          <w:rFonts w:eastAsia="Palatino Linotype" w:cs="Palatino Linotype"/>
          <w:color w:val="000000"/>
          <w:szCs w:val="24"/>
        </w:rPr>
        <w:t xml:space="preserve"> documento</w:t>
      </w:r>
      <w:r>
        <w:rPr>
          <w:rFonts w:eastAsia="Palatino Linotype" w:cs="Palatino Linotype"/>
          <w:color w:val="000000"/>
          <w:szCs w:val="24"/>
        </w:rPr>
        <w:t>s</w:t>
      </w:r>
      <w:r w:rsidRPr="009D62BC">
        <w:rPr>
          <w:rFonts w:eastAsia="Palatino Linotype" w:cs="Palatino Linotype"/>
          <w:color w:val="000000"/>
          <w:szCs w:val="24"/>
        </w:rPr>
        <w:t xml:space="preserve"> denominado </w:t>
      </w:r>
      <w:r>
        <w:rPr>
          <w:rFonts w:eastAsia="Palatino Linotype" w:cs="Palatino Linotype"/>
          <w:b/>
          <w:bCs/>
          <w:color w:val="000000"/>
          <w:szCs w:val="24"/>
        </w:rPr>
        <w:t>«Informe Justificado 02915-2023.pdf»</w:t>
      </w:r>
      <w:r w:rsidRPr="003B3318">
        <w:rPr>
          <w:rFonts w:eastAsia="Palatino Linotype" w:cs="Palatino Linotype"/>
          <w:color w:val="000000"/>
          <w:szCs w:val="24"/>
        </w:rPr>
        <w:t xml:space="preserve">, </w:t>
      </w:r>
      <w:r>
        <w:rPr>
          <w:rFonts w:eastAsia="Palatino Linotype" w:cs="Palatino Linotype"/>
          <w:b/>
          <w:bCs/>
          <w:color w:val="000000"/>
          <w:szCs w:val="24"/>
        </w:rPr>
        <w:t>«T. RR CIEEM 310-2023.pdf»</w:t>
      </w:r>
      <w:r w:rsidRPr="003B3318">
        <w:rPr>
          <w:rFonts w:eastAsia="Palatino Linotype" w:cs="Palatino Linotype"/>
          <w:color w:val="000000"/>
          <w:szCs w:val="24"/>
        </w:rPr>
        <w:t xml:space="preserve"> y</w:t>
      </w:r>
      <w:r>
        <w:rPr>
          <w:rFonts w:eastAsia="Palatino Linotype" w:cs="Palatino Linotype"/>
          <w:b/>
          <w:bCs/>
          <w:color w:val="000000"/>
          <w:szCs w:val="24"/>
        </w:rPr>
        <w:t xml:space="preserve"> «RESP RR UT 310-2023 DGCIE</w:t>
      </w:r>
      <w:r w:rsidRPr="009D62BC">
        <w:rPr>
          <w:rFonts w:eastAsia="Palatino Linotype" w:cs="Palatino Linotype"/>
          <w:b/>
          <w:bCs/>
          <w:color w:val="000000"/>
          <w:szCs w:val="24"/>
        </w:rPr>
        <w:t>.pdf</w:t>
      </w:r>
      <w:r>
        <w:rPr>
          <w:rFonts w:eastAsia="Palatino Linotype" w:cs="Palatino Linotype"/>
          <w:b/>
          <w:bCs/>
          <w:color w:val="000000"/>
          <w:szCs w:val="24"/>
        </w:rPr>
        <w:t>»</w:t>
      </w:r>
      <w:r w:rsidRPr="009D62BC">
        <w:rPr>
          <w:rFonts w:eastAsia="Palatino Linotype" w:cs="Palatino Linotype"/>
          <w:color w:val="000000"/>
          <w:szCs w:val="24"/>
        </w:rPr>
        <w:t xml:space="preserve">, </w:t>
      </w:r>
      <w:r>
        <w:rPr>
          <w:rFonts w:eastAsia="Palatino Linotype" w:cs="Palatino Linotype"/>
          <w:color w:val="000000"/>
          <w:szCs w:val="24"/>
        </w:rPr>
        <w:t>los</w:t>
      </w:r>
      <w:r w:rsidRPr="009D62BC">
        <w:rPr>
          <w:rFonts w:eastAsia="Palatino Linotype" w:cs="Palatino Linotype"/>
          <w:color w:val="000000"/>
          <w:szCs w:val="24"/>
        </w:rPr>
        <w:t xml:space="preserve"> cual</w:t>
      </w:r>
      <w:r>
        <w:rPr>
          <w:rFonts w:eastAsia="Palatino Linotype" w:cs="Palatino Linotype"/>
          <w:color w:val="000000"/>
          <w:szCs w:val="24"/>
        </w:rPr>
        <w:t>es</w:t>
      </w:r>
      <w:r w:rsidRPr="009D62BC">
        <w:rPr>
          <w:rFonts w:eastAsia="Palatino Linotype" w:cs="Palatino Linotype"/>
          <w:color w:val="000000"/>
          <w:szCs w:val="24"/>
        </w:rPr>
        <w:t xml:space="preserve"> fue</w:t>
      </w:r>
      <w:r>
        <w:rPr>
          <w:rFonts w:eastAsia="Palatino Linotype" w:cs="Palatino Linotype"/>
          <w:color w:val="000000"/>
          <w:szCs w:val="24"/>
        </w:rPr>
        <w:t>ron</w:t>
      </w:r>
      <w:r w:rsidRPr="009D62BC">
        <w:rPr>
          <w:rFonts w:eastAsia="Palatino Linotype" w:cs="Palatino Linotype"/>
          <w:color w:val="000000"/>
          <w:szCs w:val="24"/>
        </w:rPr>
        <w:t xml:space="preserve"> puesto</w:t>
      </w:r>
      <w:r>
        <w:rPr>
          <w:rFonts w:eastAsia="Palatino Linotype" w:cs="Palatino Linotype"/>
          <w:color w:val="000000"/>
          <w:szCs w:val="24"/>
        </w:rPr>
        <w:t>s</w:t>
      </w:r>
      <w:r w:rsidRPr="009D62BC">
        <w:rPr>
          <w:rFonts w:eastAsia="Palatino Linotype" w:cs="Palatino Linotype"/>
          <w:color w:val="000000"/>
          <w:szCs w:val="24"/>
        </w:rPr>
        <w:t xml:space="preserve"> a la vista del Recurrente mediante acuerdo de fecha </w:t>
      </w:r>
      <w:r>
        <w:rPr>
          <w:rFonts w:eastAsia="Palatino Linotype" w:cs="Palatino Linotype"/>
          <w:color w:val="000000"/>
          <w:szCs w:val="24"/>
        </w:rPr>
        <w:t>trece de junio</w:t>
      </w:r>
      <w:r w:rsidRPr="009D62BC">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al particular un término de tres días para manifestar lo que a su derecho conviniera. Por otra parte, se observa que el Recurrente 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60E3393E" w:rsidR="00A970D5" w:rsidRPr="006922F5" w:rsidRDefault="00E27953" w:rsidP="006922F5">
      <w:pPr>
        <w:pStyle w:val="Ttulo2"/>
        <w:rPr>
          <w:rFonts w:eastAsia="Palatino Linotype"/>
        </w:rPr>
      </w:pPr>
      <w:r w:rsidRPr="006922F5">
        <w:rPr>
          <w:rFonts w:eastAsia="Palatino Linotype"/>
        </w:rPr>
        <w:t>S</w:t>
      </w:r>
      <w:r w:rsidR="000746CE">
        <w:rPr>
          <w:rFonts w:eastAsia="Palatino Linotype"/>
        </w:rPr>
        <w:t>EXT</w:t>
      </w:r>
      <w:r w:rsidR="00AA6C98">
        <w:rPr>
          <w:rFonts w:eastAsia="Palatino Linotype"/>
        </w:rPr>
        <w:t>O</w:t>
      </w:r>
      <w:r w:rsidR="00A970D5" w:rsidRPr="006922F5">
        <w:rPr>
          <w:rFonts w:eastAsia="Palatino Linotype"/>
        </w:rPr>
        <w:t>. Del cierre de instrucción.</w:t>
      </w:r>
    </w:p>
    <w:p w14:paraId="364CFBE5" w14:textId="13CEECAA" w:rsidR="00A914F3" w:rsidRDefault="00CD4C0F" w:rsidP="006922F5">
      <w:pPr>
        <w:pBdr>
          <w:top w:val="nil"/>
          <w:left w:val="nil"/>
          <w:bottom w:val="nil"/>
          <w:right w:val="nil"/>
          <w:between w:val="nil"/>
        </w:pBdr>
        <w:contextualSpacing/>
        <w:rPr>
          <w:rFonts w:eastAsia="Palatino Linotype" w:cs="Palatino Linotype"/>
          <w:color w:val="000000"/>
          <w:szCs w:val="24"/>
        </w:rPr>
      </w:pPr>
      <w:r w:rsidRPr="00CD4C0F">
        <w:rPr>
          <w:rFonts w:eastAsia="Palatino Linotype" w:cs="Palatino Linotype"/>
          <w:color w:val="000000"/>
          <w:szCs w:val="24"/>
        </w:rPr>
        <w:t>Transcurrido el término legal, se decretó el cierre de instrucción en fecha diecinueve de junio de dos mil veintidós, en términos del artículo 185 fracción VI de la Ley de Transparencia y Acceso a la Información Pública del Estado de México y Municipios, iniciando el término legal para dictar resolución definitiva del asunto.</w:t>
      </w:r>
    </w:p>
    <w:p w14:paraId="0459F8E6" w14:textId="77777777" w:rsidR="00CD4C0F" w:rsidRPr="006922F5" w:rsidRDefault="00CD4C0F" w:rsidP="006922F5">
      <w:pPr>
        <w:pBdr>
          <w:top w:val="nil"/>
          <w:left w:val="nil"/>
          <w:bottom w:val="nil"/>
          <w:right w:val="nil"/>
          <w:between w:val="nil"/>
        </w:pBdr>
        <w:contextualSpacing/>
        <w:rPr>
          <w:rFonts w:eastAsia="Palatino Linotype" w:cs="Palatino Linotype"/>
          <w:color w:val="000000"/>
          <w:szCs w:val="24"/>
        </w:rPr>
      </w:pPr>
    </w:p>
    <w:p w14:paraId="2A341854" w14:textId="7CAABD49" w:rsidR="00A914F3" w:rsidRPr="006922F5" w:rsidRDefault="000746CE" w:rsidP="006922F5">
      <w:pPr>
        <w:pStyle w:val="Ttulo2"/>
        <w:rPr>
          <w:rFonts w:eastAsiaTheme="minorHAnsi"/>
          <w:lang w:eastAsia="en-US"/>
        </w:rPr>
      </w:pPr>
      <w:r>
        <w:rPr>
          <w:rFonts w:eastAsiaTheme="minorHAnsi"/>
          <w:lang w:eastAsia="en-US"/>
        </w:rPr>
        <w:t>SÉPTIM</w:t>
      </w:r>
      <w:r w:rsidR="004C52E8">
        <w:rPr>
          <w:rFonts w:eastAsiaTheme="minorHAnsi"/>
          <w:lang w:eastAsia="en-US"/>
        </w:rPr>
        <w:t>O</w:t>
      </w:r>
      <w:r w:rsidR="00A914F3" w:rsidRPr="006922F5">
        <w:rPr>
          <w:rFonts w:eastAsiaTheme="minorHAnsi"/>
          <w:lang w:eastAsia="en-US"/>
        </w:rPr>
        <w:t>. De la ampliación del término para resolver.</w:t>
      </w:r>
    </w:p>
    <w:p w14:paraId="1707B73F" w14:textId="5E7392BA" w:rsidR="000746CE" w:rsidRDefault="00CD4C0F" w:rsidP="000746CE">
      <w:pPr>
        <w:pBdr>
          <w:top w:val="nil"/>
          <w:left w:val="nil"/>
          <w:bottom w:val="nil"/>
          <w:right w:val="nil"/>
          <w:between w:val="nil"/>
        </w:pBdr>
        <w:contextualSpacing/>
        <w:rPr>
          <w:rFonts w:eastAsiaTheme="minorHAnsi" w:cstheme="minorBidi"/>
          <w:szCs w:val="24"/>
          <w:lang w:eastAsia="en-US"/>
        </w:rPr>
      </w:pPr>
      <w:r w:rsidRPr="00CD4C0F">
        <w:rPr>
          <w:rFonts w:eastAsiaTheme="minorHAnsi" w:cstheme="minorBidi"/>
          <w:szCs w:val="24"/>
          <w:lang w:eastAsia="en-US"/>
        </w:rPr>
        <w:t>En fecha diecisiete de marzo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2D0E056" w14:textId="77777777" w:rsidR="00CD4C0F" w:rsidRPr="004926E7" w:rsidRDefault="00CD4C0F" w:rsidP="000746CE">
      <w:pPr>
        <w:pBdr>
          <w:top w:val="nil"/>
          <w:left w:val="nil"/>
          <w:bottom w:val="nil"/>
          <w:right w:val="nil"/>
          <w:between w:val="nil"/>
        </w:pBdr>
        <w:contextualSpacing/>
        <w:rPr>
          <w:rFonts w:eastAsiaTheme="minorHAnsi" w:cstheme="minorBidi"/>
          <w:szCs w:val="24"/>
          <w:lang w:eastAsia="en-US"/>
        </w:rPr>
      </w:pPr>
    </w:p>
    <w:p w14:paraId="1E0D9B78"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B120B2F"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4E43D394"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4926E7">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1B18B5E0"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1E061570"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7132F7"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13BD204D"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8CD308"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0A88C86E"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7DD45D"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4248DAA9" w14:textId="723AF2E5" w:rsidR="000746CE" w:rsidRPr="00CD4C0F" w:rsidRDefault="000746CE" w:rsidP="00CD4C0F">
      <w:pPr>
        <w:pStyle w:val="Prrafodelista"/>
        <w:numPr>
          <w:ilvl w:val="0"/>
          <w:numId w:val="38"/>
        </w:numPr>
        <w:pBdr>
          <w:top w:val="nil"/>
          <w:left w:val="nil"/>
          <w:bottom w:val="nil"/>
          <w:right w:val="nil"/>
          <w:between w:val="nil"/>
        </w:pBdr>
        <w:contextualSpacing/>
        <w:rPr>
          <w:rFonts w:eastAsiaTheme="minorHAnsi" w:cstheme="minorBidi"/>
          <w:lang w:eastAsia="en-US"/>
        </w:rPr>
      </w:pPr>
      <w:r w:rsidRPr="00CD4C0F">
        <w:rPr>
          <w:rFonts w:eastAsiaTheme="minorHAnsi" w:cstheme="minorBidi"/>
          <w:lang w:eastAsia="en-US"/>
        </w:rPr>
        <w:t>Complejidad del asunto: La complejidad de la prueba, la pluralidad de sujetos procesales, el tiempo transcurrido, las características y contexto del recurso.</w:t>
      </w:r>
    </w:p>
    <w:p w14:paraId="7FF96E4A" w14:textId="5A85291C" w:rsidR="000746CE" w:rsidRPr="00CD4C0F" w:rsidRDefault="000746CE" w:rsidP="00CD4C0F">
      <w:pPr>
        <w:pStyle w:val="Prrafodelista"/>
        <w:numPr>
          <w:ilvl w:val="0"/>
          <w:numId w:val="38"/>
        </w:numPr>
        <w:pBdr>
          <w:top w:val="nil"/>
          <w:left w:val="nil"/>
          <w:bottom w:val="nil"/>
          <w:right w:val="nil"/>
          <w:between w:val="nil"/>
        </w:pBdr>
        <w:contextualSpacing/>
        <w:rPr>
          <w:rFonts w:eastAsiaTheme="minorHAnsi" w:cstheme="minorBidi"/>
          <w:lang w:eastAsia="en-US"/>
        </w:rPr>
      </w:pPr>
      <w:r w:rsidRPr="00CD4C0F">
        <w:rPr>
          <w:rFonts w:eastAsiaTheme="minorHAnsi" w:cstheme="minorBidi"/>
          <w:lang w:eastAsia="en-US"/>
        </w:rPr>
        <w:t>Actividad Procesal del interesado: Acciones u omisiones del interesado.</w:t>
      </w:r>
    </w:p>
    <w:p w14:paraId="1F09187A" w14:textId="418702FE" w:rsidR="000746CE" w:rsidRPr="00CD4C0F" w:rsidRDefault="000746CE" w:rsidP="00CD4C0F">
      <w:pPr>
        <w:pStyle w:val="Prrafodelista"/>
        <w:numPr>
          <w:ilvl w:val="0"/>
          <w:numId w:val="38"/>
        </w:numPr>
        <w:pBdr>
          <w:top w:val="nil"/>
          <w:left w:val="nil"/>
          <w:bottom w:val="nil"/>
          <w:right w:val="nil"/>
          <w:between w:val="nil"/>
        </w:pBdr>
        <w:contextualSpacing/>
        <w:rPr>
          <w:rFonts w:eastAsiaTheme="minorHAnsi" w:cstheme="minorBidi"/>
          <w:lang w:eastAsia="en-US"/>
        </w:rPr>
      </w:pPr>
      <w:r w:rsidRPr="00CD4C0F">
        <w:rPr>
          <w:rFonts w:eastAsiaTheme="minorHAnsi" w:cstheme="minorBidi"/>
          <w:lang w:eastAsia="en-US"/>
        </w:rPr>
        <w:t>Conducta de la Autoridad: Las Acciones u omisiones realizadas en el procedimiento. Así como si la autoridad actuó con la debida diligencia.</w:t>
      </w:r>
    </w:p>
    <w:p w14:paraId="3AFCC315" w14:textId="738AB2B8" w:rsidR="000746CE" w:rsidRPr="00CD4C0F" w:rsidRDefault="000746CE" w:rsidP="00CD4C0F">
      <w:pPr>
        <w:pStyle w:val="Prrafodelista"/>
        <w:numPr>
          <w:ilvl w:val="0"/>
          <w:numId w:val="38"/>
        </w:numPr>
        <w:pBdr>
          <w:top w:val="nil"/>
          <w:left w:val="nil"/>
          <w:bottom w:val="nil"/>
          <w:right w:val="nil"/>
          <w:between w:val="nil"/>
        </w:pBdr>
        <w:contextualSpacing/>
        <w:rPr>
          <w:rFonts w:eastAsiaTheme="minorHAnsi" w:cstheme="minorBidi"/>
          <w:lang w:eastAsia="en-US"/>
        </w:rPr>
      </w:pPr>
      <w:r w:rsidRPr="00CD4C0F">
        <w:rPr>
          <w:rFonts w:eastAsiaTheme="minorHAnsi" w:cstheme="minorBidi"/>
          <w:lang w:eastAsia="en-US"/>
        </w:rPr>
        <w:t>La afectación generada en la situación jurídica de la persona involucrada en el proceso: Violación a sus derechos humanos.</w:t>
      </w:r>
    </w:p>
    <w:p w14:paraId="0DD4D067"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384BB5BE"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8807F3"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3CA5CB85" w14:textId="05D873F3"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Argumento que encuentra sustento en la jurisprudencia P</w:t>
      </w:r>
      <w:proofErr w:type="gramStart"/>
      <w:r w:rsidRPr="004926E7">
        <w:rPr>
          <w:rFonts w:eastAsiaTheme="minorHAnsi" w:cstheme="minorBidi"/>
          <w:szCs w:val="24"/>
          <w:lang w:eastAsia="en-US"/>
        </w:rPr>
        <w:t>./</w:t>
      </w:r>
      <w:proofErr w:type="gramEnd"/>
      <w:r w:rsidRPr="004926E7">
        <w:rPr>
          <w:rFonts w:eastAsiaTheme="minorHAnsi" w:cstheme="minorBidi"/>
          <w:szCs w:val="24"/>
          <w:lang w:eastAsia="en-US"/>
        </w:rPr>
        <w:t xml:space="preserve">J. 32/92 emitida por el Pleno de la Suprema Corte de </w:t>
      </w:r>
      <w:r w:rsidR="00CD4C0F">
        <w:rPr>
          <w:rFonts w:eastAsiaTheme="minorHAnsi" w:cstheme="minorBidi"/>
          <w:szCs w:val="24"/>
          <w:lang w:eastAsia="en-US"/>
        </w:rPr>
        <w:t>Justicia de la Nación de rubro «</w:t>
      </w:r>
      <w:r w:rsidRPr="004926E7">
        <w:rPr>
          <w:rFonts w:eastAsiaTheme="minorHAnsi" w:cstheme="minorBidi"/>
          <w:szCs w:val="24"/>
          <w:lang w:eastAsia="en-US"/>
        </w:rPr>
        <w:t xml:space="preserve">TÉRMINOS PROCESALES. PARA DETERMINAR SI UN FUNCIONARIO JUDICIAL ACTUÓ INDEBIDAMENTE POR NO RESPETARLOS SE DEBE ATENDER AL PRESUPUESTO QUE CONSIDERÓ EL LEGISLADOR AL FIJARLOS Y LAS CARACTERÍSTICAS </w:t>
      </w:r>
      <w:r w:rsidR="00CD4C0F">
        <w:rPr>
          <w:rFonts w:eastAsiaTheme="minorHAnsi" w:cstheme="minorBidi"/>
          <w:szCs w:val="24"/>
          <w:lang w:eastAsia="en-US"/>
        </w:rPr>
        <w:t>DEL CASO»</w:t>
      </w:r>
      <w:r w:rsidRPr="004926E7">
        <w:rPr>
          <w:rFonts w:eastAsiaTheme="minorHAnsi" w:cstheme="minorBidi"/>
          <w:szCs w:val="24"/>
          <w:lang w:eastAsia="en-US"/>
        </w:rPr>
        <w:t>, visible en la Gaceta del Seminario Judicial de la Federación con el registro digital 205635.</w:t>
      </w:r>
    </w:p>
    <w:p w14:paraId="3F7D89C7"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4D608BC0" w14:textId="77777777" w:rsidR="000746CE"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p>
    <w:p w14:paraId="63CC9294" w14:textId="77777777" w:rsidR="000746CE" w:rsidRDefault="000746CE" w:rsidP="000746CE">
      <w:pPr>
        <w:pBdr>
          <w:top w:val="nil"/>
          <w:left w:val="nil"/>
          <w:bottom w:val="nil"/>
          <w:right w:val="nil"/>
          <w:between w:val="nil"/>
        </w:pBdr>
        <w:contextualSpacing/>
        <w:rPr>
          <w:rFonts w:eastAsiaTheme="minorHAnsi" w:cstheme="minorBidi"/>
          <w:szCs w:val="24"/>
          <w:lang w:eastAsia="en-US"/>
        </w:rPr>
      </w:pPr>
    </w:p>
    <w:p w14:paraId="4E1B76AD" w14:textId="0BDE220A"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Al respecto, también son de considerar los criterios sostenidos por el Cuarto Tribunal Colegiado en Materia Administrativa del Primer Circuito, cuyos rubros y datos de identificación son los siguientes:</w:t>
      </w:r>
    </w:p>
    <w:p w14:paraId="0EA4AD75"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5E9F167A" w14:textId="7F957DBC" w:rsidR="000746CE" w:rsidRPr="004926E7" w:rsidRDefault="00CD4C0F" w:rsidP="000746CE">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000746CE" w:rsidRPr="004926E7">
        <w:rPr>
          <w:rFonts w:eastAsiaTheme="minorHAnsi" w:cstheme="minorBidi"/>
          <w:szCs w:val="24"/>
          <w:lang w:eastAsia="en-US"/>
        </w:rPr>
        <w:t xml:space="preserve">PLAZO RAZONABLE PARA RESOLVER. DIMENSIÓN Y EFECTOS DE ESTE CONCEPTO CUANDO SE </w:t>
      </w:r>
      <w:r>
        <w:rPr>
          <w:rFonts w:eastAsiaTheme="minorHAnsi" w:cstheme="minorBidi"/>
          <w:szCs w:val="24"/>
          <w:lang w:eastAsia="en-US"/>
        </w:rPr>
        <w:t>ADUCE EXCESIVA CARGA DE TRABAJO»,</w:t>
      </w:r>
      <w:r w:rsidR="000746CE" w:rsidRPr="004926E7">
        <w:rPr>
          <w:rFonts w:eastAsiaTheme="minorHAnsi" w:cstheme="minorBidi"/>
          <w:szCs w:val="24"/>
          <w:lang w:eastAsia="en-US"/>
        </w:rPr>
        <w:t xml:space="preserve"> consultable en el Seminario Judicial de la Federación y su gaceta, con el registro digital 2002351.</w:t>
      </w:r>
    </w:p>
    <w:p w14:paraId="182E3046"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3EFE9AC3" w14:textId="2C33FFCC" w:rsidR="000746CE" w:rsidRPr="004926E7" w:rsidRDefault="00091911" w:rsidP="000746CE">
      <w:pPr>
        <w:pBdr>
          <w:top w:val="nil"/>
          <w:left w:val="nil"/>
          <w:bottom w:val="nil"/>
          <w:right w:val="nil"/>
          <w:between w:val="nil"/>
        </w:pBdr>
        <w:contextualSpacing/>
        <w:rPr>
          <w:rFonts w:eastAsiaTheme="minorHAnsi" w:cstheme="minorBidi"/>
          <w:szCs w:val="24"/>
          <w:lang w:eastAsia="en-US"/>
        </w:rPr>
      </w:pPr>
      <w:r>
        <w:rPr>
          <w:rFonts w:eastAsiaTheme="minorHAnsi" w:cstheme="minorBidi"/>
          <w:szCs w:val="24"/>
          <w:lang w:eastAsia="en-US"/>
        </w:rPr>
        <w:t>«</w:t>
      </w:r>
      <w:r w:rsidR="000746CE" w:rsidRPr="004926E7">
        <w:rPr>
          <w:rFonts w:eastAsiaTheme="minorHAnsi" w:cstheme="minorBidi"/>
          <w:szCs w:val="24"/>
          <w:lang w:eastAsia="en-US"/>
        </w:rPr>
        <w:t>PLAZO RAZONABLE PARA RESOLVER. CONCEPTO Y ELEMENTOS QUE LO INTEGRAN A LA LUZ DEL DERECHO INTERNA</w:t>
      </w:r>
      <w:r>
        <w:rPr>
          <w:rFonts w:eastAsiaTheme="minorHAnsi" w:cstheme="minorBidi"/>
          <w:szCs w:val="24"/>
          <w:lang w:eastAsia="en-US"/>
        </w:rPr>
        <w:t>CIONAL DE LOS DERECHOS HUMANOS»</w:t>
      </w:r>
      <w:r w:rsidR="000746CE" w:rsidRPr="004926E7">
        <w:rPr>
          <w:rFonts w:eastAsiaTheme="minorHAnsi" w:cstheme="minorBidi"/>
          <w:szCs w:val="24"/>
          <w:lang w:eastAsia="en-US"/>
        </w:rPr>
        <w:t>, visible en el Seminario Judicial de la Federación y su gaceta, con el registro digital 2002350.</w:t>
      </w:r>
    </w:p>
    <w:p w14:paraId="4884008F" w14:textId="77777777" w:rsidR="000746CE" w:rsidRPr="004926E7" w:rsidRDefault="000746CE" w:rsidP="000746CE">
      <w:pPr>
        <w:pBdr>
          <w:top w:val="nil"/>
          <w:left w:val="nil"/>
          <w:bottom w:val="nil"/>
          <w:right w:val="nil"/>
          <w:between w:val="nil"/>
        </w:pBdr>
        <w:contextualSpacing/>
        <w:rPr>
          <w:rFonts w:eastAsiaTheme="minorHAnsi" w:cstheme="minorBidi"/>
          <w:szCs w:val="24"/>
          <w:lang w:eastAsia="en-US"/>
        </w:rPr>
      </w:pPr>
    </w:p>
    <w:p w14:paraId="0B164000" w14:textId="77777777" w:rsidR="000746CE" w:rsidRDefault="000746CE" w:rsidP="000746CE">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8FBD5CA" w14:textId="77777777" w:rsidR="00D86696" w:rsidRDefault="00D8669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59DC99E4"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264613">
        <w:rPr>
          <w:rFonts w:eastAsia="Palatino Linotype" w:cs="Palatino Linotype"/>
          <w:color w:val="000000"/>
          <w:szCs w:val="24"/>
        </w:rPr>
        <w:lastRenderedPageBreak/>
        <w:t xml:space="preserve">5, párrafos </w:t>
      </w:r>
      <w:r w:rsidR="001D5A1E">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D04F852" w14:textId="0016903E" w:rsidR="00A970D5" w:rsidRPr="006922F5" w:rsidRDefault="00200EC8" w:rsidP="006922F5">
      <w:pPr>
        <w:pStyle w:val="Ttulo2"/>
        <w:rPr>
          <w:rFonts w:eastAsia="Palatino Linotype"/>
        </w:rPr>
      </w:pPr>
      <w:r>
        <w:rPr>
          <w:rFonts w:eastAsia="Palatino Linotype"/>
        </w:rPr>
        <w:t>TERCERO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lo anterior, es una facultad legal entrar al estudio de las causas de improcedencia que hagan valer las partes o que se adviertan de oficio por este </w:t>
      </w:r>
      <w:proofErr w:type="spellStart"/>
      <w:r w:rsidRPr="006922F5">
        <w:rPr>
          <w:rFonts w:eastAsia="Palatino Linotype" w:cs="Palatino Linotype"/>
          <w:color w:val="000000"/>
          <w:szCs w:val="24"/>
        </w:rPr>
        <w:t>Resolutor</w:t>
      </w:r>
      <w:proofErr w:type="spellEnd"/>
      <w:r w:rsidRPr="006922F5">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718CB90C" w:rsidR="00A970D5" w:rsidRPr="006922F5" w:rsidRDefault="00200EC8" w:rsidP="006922F5">
      <w:pPr>
        <w:pStyle w:val="Ttulo2"/>
        <w:rPr>
          <w:rFonts w:eastAsia="Palatino Linotype"/>
        </w:rPr>
      </w:pPr>
      <w:r>
        <w:rPr>
          <w:rFonts w:eastAsia="Palatino Linotype"/>
        </w:rPr>
        <w:t>CUARTO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4ECD82E2" w14:textId="77777777" w:rsidR="00091911" w:rsidRPr="00091911" w:rsidRDefault="00A970D5" w:rsidP="00091911">
      <w:pPr>
        <w:rPr>
          <w:rFonts w:eastAsiaTheme="minorHAnsi" w:cstheme="minorBidi"/>
          <w:szCs w:val="24"/>
          <w:lang w:eastAsia="en-US"/>
        </w:rPr>
      </w:pPr>
      <w:r w:rsidRPr="006922F5">
        <w:rPr>
          <w:rFonts w:eastAsia="Palatino Linotype" w:cs="Palatino Linotype"/>
          <w:color w:val="000000"/>
          <w:szCs w:val="24"/>
        </w:rPr>
        <w:t>Por tanto</w:t>
      </w:r>
      <w:r w:rsidR="007F3F9F" w:rsidRPr="006922F5">
        <w:rPr>
          <w:rFonts w:eastAsia="Palatino Linotype" w:cs="Palatino Linotype"/>
          <w:color w:val="000000"/>
          <w:szCs w:val="24"/>
        </w:rPr>
        <w:t xml:space="preserve">, </w:t>
      </w:r>
      <w:r w:rsidR="00091911" w:rsidRPr="00091911">
        <w:rPr>
          <w:rFonts w:eastAsiaTheme="minorHAnsi" w:cstheme="minorBidi"/>
          <w:szCs w:val="24"/>
          <w:lang w:eastAsia="en-US"/>
        </w:rPr>
        <w:t>es conveniente recordar que la Recurrente solicitó conocer todos los formatos del sistema de planeación y presupuesto firmados por la Comisión de Impacto Estatal del primero de enero de dos mil veintidós al diecisiete de mayo de dos mil veintitrés.</w:t>
      </w:r>
    </w:p>
    <w:p w14:paraId="3D22ECD9" w14:textId="77777777" w:rsidR="00091911" w:rsidRPr="00091911" w:rsidRDefault="00091911" w:rsidP="00091911">
      <w:pPr>
        <w:rPr>
          <w:rFonts w:eastAsia="Palatino Linotype" w:cs="Palatino Linotype"/>
          <w:color w:val="000000"/>
          <w:sz w:val="21"/>
          <w:szCs w:val="20"/>
        </w:rPr>
      </w:pPr>
    </w:p>
    <w:p w14:paraId="7FE50503" w14:textId="77777777" w:rsidR="00091911" w:rsidRPr="00091911" w:rsidRDefault="00091911" w:rsidP="00091911">
      <w:pPr>
        <w:pBdr>
          <w:top w:val="nil"/>
          <w:left w:val="nil"/>
          <w:bottom w:val="nil"/>
          <w:right w:val="nil"/>
          <w:between w:val="nil"/>
        </w:pBdr>
        <w:contextualSpacing/>
        <w:rPr>
          <w:rFonts w:eastAsia="Palatino Linotype" w:cs="Palatino Linotype"/>
          <w:color w:val="000000"/>
          <w:szCs w:val="24"/>
        </w:rPr>
      </w:pPr>
      <w:r w:rsidRPr="00091911">
        <w:rPr>
          <w:rFonts w:eastAsia="Palatino Linotype" w:cs="Palatino Linotype"/>
          <w:color w:val="000000"/>
          <w:szCs w:val="24"/>
        </w:rPr>
        <w:t>Al respecto, el Sujeto Obligado respondió al solicitante mediante la presentación de los siguientes documentos:</w:t>
      </w:r>
    </w:p>
    <w:p w14:paraId="0FFE4F89" w14:textId="77777777" w:rsidR="00091911" w:rsidRPr="00091911" w:rsidRDefault="00091911" w:rsidP="00091911">
      <w:pPr>
        <w:pBdr>
          <w:top w:val="nil"/>
          <w:left w:val="nil"/>
          <w:bottom w:val="nil"/>
          <w:right w:val="nil"/>
          <w:between w:val="nil"/>
        </w:pBdr>
        <w:contextualSpacing/>
        <w:rPr>
          <w:rFonts w:eastAsia="Palatino Linotype" w:cs="Palatino Linotype"/>
          <w:color w:val="000000"/>
          <w:szCs w:val="24"/>
        </w:rPr>
      </w:pPr>
    </w:p>
    <w:p w14:paraId="2A3DEF98" w14:textId="77777777" w:rsidR="00091911" w:rsidRPr="00091911" w:rsidRDefault="00091911" w:rsidP="00091911">
      <w:pPr>
        <w:numPr>
          <w:ilvl w:val="0"/>
          <w:numId w:val="39"/>
        </w:numPr>
        <w:pBdr>
          <w:top w:val="nil"/>
          <w:left w:val="nil"/>
          <w:bottom w:val="nil"/>
          <w:right w:val="nil"/>
          <w:between w:val="nil"/>
        </w:pBdr>
        <w:contextualSpacing/>
        <w:rPr>
          <w:rFonts w:eastAsia="Palatino Linotype" w:cs="Palatino Linotype"/>
          <w:color w:val="000000"/>
          <w:szCs w:val="24"/>
          <w:lang w:eastAsia="es-ES"/>
        </w:rPr>
      </w:pPr>
      <w:r w:rsidRPr="00091911">
        <w:rPr>
          <w:rFonts w:eastAsia="Palatino Linotype" w:cs="Palatino Linotype"/>
          <w:b/>
          <w:bCs/>
          <w:color w:val="000000"/>
          <w:szCs w:val="24"/>
          <w:lang w:eastAsia="es-ES"/>
        </w:rPr>
        <w:t>UT 310-2023.pdf</w:t>
      </w:r>
      <w:r w:rsidRPr="00091911">
        <w:rPr>
          <w:rFonts w:eastAsia="Palatino Linotype" w:cs="Palatino Linotype"/>
          <w:color w:val="000000"/>
          <w:szCs w:val="24"/>
          <w:lang w:eastAsia="es-ES"/>
        </w:rPr>
        <w:t xml:space="preserve">. Oficio número SEDUO-CI-0721/2023 emitido por la Titular de la Unidad de Transparencia, mediante el cual se hizo del conocimiento que la </w:t>
      </w:r>
      <w:r w:rsidRPr="00091911">
        <w:rPr>
          <w:rFonts w:eastAsia="Palatino Linotype" w:cs="Palatino Linotype"/>
          <w:color w:val="000000"/>
          <w:szCs w:val="24"/>
          <w:lang w:eastAsia="es-ES"/>
        </w:rPr>
        <w:lastRenderedPageBreak/>
        <w:t>Directora General de la Comisión de Impacto Estatal, emitió su respuesta, la cual se anexa a la respuesta.</w:t>
      </w:r>
    </w:p>
    <w:p w14:paraId="251D763C" w14:textId="77777777" w:rsidR="00091911" w:rsidRPr="00091911" w:rsidRDefault="00091911" w:rsidP="00091911">
      <w:pPr>
        <w:numPr>
          <w:ilvl w:val="0"/>
          <w:numId w:val="39"/>
        </w:numPr>
        <w:pBdr>
          <w:top w:val="nil"/>
          <w:left w:val="nil"/>
          <w:bottom w:val="nil"/>
          <w:right w:val="nil"/>
          <w:between w:val="nil"/>
        </w:pBdr>
        <w:contextualSpacing/>
        <w:rPr>
          <w:rFonts w:ascii="Times New Roman" w:eastAsia="Palatino Linotype" w:hAnsi="Times New Roman" w:cs="Palatino Linotype"/>
          <w:color w:val="000000"/>
          <w:szCs w:val="24"/>
          <w:lang w:val="es-ES" w:eastAsia="es-ES"/>
        </w:rPr>
      </w:pPr>
      <w:r w:rsidRPr="00091911">
        <w:rPr>
          <w:rFonts w:eastAsia="Palatino Linotype" w:cs="Palatino Linotype"/>
          <w:b/>
          <w:color w:val="000000"/>
          <w:szCs w:val="24"/>
          <w:lang w:eastAsia="es-ES"/>
        </w:rPr>
        <w:t>RESP UT 310-2023 DGCIE.pdf</w:t>
      </w:r>
      <w:r w:rsidRPr="00091911">
        <w:rPr>
          <w:rFonts w:eastAsia="Palatino Linotype" w:cs="Palatino Linotype"/>
          <w:bCs/>
          <w:color w:val="000000"/>
          <w:szCs w:val="24"/>
          <w:lang w:eastAsia="es-ES"/>
        </w:rPr>
        <w:t xml:space="preserve">. Oficio número 224B03010-000938/2023 suscrito por la Directora General de la Comisión de Impacto Estatal, por medio del cual se señaló que la información requerida se encuentra publicada en el portal web de Transparencia Fiscal del Gobierno del Estado de México, en el página electrónica </w:t>
      </w:r>
      <w:hyperlink r:id="rId8" w:history="1">
        <w:r w:rsidRPr="00091911">
          <w:rPr>
            <w:rFonts w:eastAsia="Palatino Linotype" w:cs="Palatino Linotype"/>
            <w:bCs/>
            <w:color w:val="0563C1" w:themeColor="hyperlink"/>
            <w:szCs w:val="24"/>
            <w:u w:val="single"/>
            <w:lang w:eastAsia="es-ES"/>
          </w:rPr>
          <w:t>https://transparenciafiscal.edomex.gob.mx</w:t>
        </w:r>
      </w:hyperlink>
      <w:r w:rsidRPr="00091911">
        <w:rPr>
          <w:rFonts w:eastAsia="Palatino Linotype" w:cs="Palatino Linotype"/>
          <w:bCs/>
          <w:color w:val="000000"/>
          <w:szCs w:val="24"/>
          <w:lang w:eastAsia="es-ES"/>
        </w:rPr>
        <w:t>, y seleccionar el apartado denominado Rendición de Cuentas y después elegir Cuenta Pública 2022, donde se puede obtener la información correspondiente a esa Comisión. Asimismo, se informó que la información correspondiente al año 2023 se encuentra en proceso de generación de datos e información, por lo cual se podrá consultar una vez concluido el ejercicio fiscal correspondiente.</w:t>
      </w:r>
    </w:p>
    <w:p w14:paraId="764D915E" w14:textId="77777777" w:rsidR="00091911" w:rsidRPr="00091911" w:rsidRDefault="00091911" w:rsidP="00091911">
      <w:pPr>
        <w:pBdr>
          <w:top w:val="nil"/>
          <w:left w:val="nil"/>
          <w:bottom w:val="nil"/>
          <w:right w:val="nil"/>
          <w:between w:val="nil"/>
        </w:pBdr>
        <w:contextualSpacing/>
        <w:rPr>
          <w:rFonts w:eastAsia="Palatino Linotype" w:cs="Palatino Linotype"/>
          <w:color w:val="000000"/>
          <w:szCs w:val="24"/>
        </w:rPr>
      </w:pPr>
    </w:p>
    <w:p w14:paraId="18CEBE7C" w14:textId="77777777" w:rsidR="00091911" w:rsidRPr="00091911" w:rsidRDefault="00091911" w:rsidP="00091911">
      <w:pPr>
        <w:pBdr>
          <w:top w:val="nil"/>
          <w:left w:val="nil"/>
          <w:bottom w:val="nil"/>
          <w:right w:val="nil"/>
          <w:between w:val="nil"/>
        </w:pBdr>
        <w:contextualSpacing/>
        <w:rPr>
          <w:rFonts w:eastAsia="Palatino Linotype" w:cs="Palatino Linotype"/>
          <w:color w:val="000000"/>
          <w:szCs w:val="24"/>
        </w:rPr>
      </w:pPr>
      <w:r w:rsidRPr="00091911">
        <w:rPr>
          <w:rFonts w:eastAsia="Palatino Linotype" w:cs="Palatino Linotype"/>
          <w:color w:val="000000"/>
          <w:szCs w:val="24"/>
        </w:rPr>
        <w:t xml:space="preserve">Ante la respuesta del Sujeto Obligado, el Recurrente interpuso el presente recurso de revisión señalando como acto impugnado y razones o motivos de inconformidad que no se está de acuerdo con la información. </w:t>
      </w:r>
    </w:p>
    <w:p w14:paraId="4E6E4DEC" w14:textId="77777777" w:rsidR="00091911" w:rsidRPr="00091911" w:rsidRDefault="00091911" w:rsidP="00091911">
      <w:pPr>
        <w:pBdr>
          <w:top w:val="nil"/>
          <w:left w:val="nil"/>
          <w:bottom w:val="nil"/>
          <w:right w:val="nil"/>
          <w:between w:val="nil"/>
        </w:pBdr>
        <w:contextualSpacing/>
        <w:rPr>
          <w:rFonts w:eastAsia="Palatino Linotype" w:cs="Palatino Linotype"/>
          <w:color w:val="000000"/>
          <w:szCs w:val="24"/>
        </w:rPr>
      </w:pPr>
    </w:p>
    <w:p w14:paraId="78B03D62" w14:textId="33E52504" w:rsidR="00091911" w:rsidRPr="00091911" w:rsidRDefault="00091911" w:rsidP="00091911">
      <w:pPr>
        <w:pBdr>
          <w:top w:val="nil"/>
          <w:left w:val="nil"/>
          <w:bottom w:val="nil"/>
          <w:right w:val="nil"/>
          <w:between w:val="nil"/>
        </w:pBdr>
        <w:contextualSpacing/>
      </w:pPr>
      <w:r>
        <w:t xml:space="preserve">Durante la etapa de instrucción, </w:t>
      </w:r>
      <w:r w:rsidRPr="00091911">
        <w:t>el Sujeto Obligado rindió su Informe Justificado mediante la presentación de los siguientes documentos:</w:t>
      </w:r>
    </w:p>
    <w:p w14:paraId="1C2FD2F6" w14:textId="77777777" w:rsidR="00091911" w:rsidRPr="00091911" w:rsidRDefault="00091911" w:rsidP="00091911">
      <w:pPr>
        <w:pBdr>
          <w:top w:val="nil"/>
          <w:left w:val="nil"/>
          <w:bottom w:val="nil"/>
          <w:right w:val="nil"/>
          <w:between w:val="nil"/>
        </w:pBdr>
        <w:contextualSpacing/>
      </w:pPr>
    </w:p>
    <w:p w14:paraId="71BCF2AB" w14:textId="77777777" w:rsidR="00091911" w:rsidRPr="00091911" w:rsidRDefault="00091911" w:rsidP="00091911">
      <w:pPr>
        <w:numPr>
          <w:ilvl w:val="0"/>
          <w:numId w:val="40"/>
        </w:numPr>
        <w:pBdr>
          <w:top w:val="nil"/>
          <w:left w:val="nil"/>
          <w:bottom w:val="nil"/>
          <w:right w:val="nil"/>
          <w:between w:val="nil"/>
        </w:pBdr>
        <w:contextualSpacing/>
        <w:rPr>
          <w:rFonts w:eastAsia="Palatino Linotype" w:cs="Palatino Linotype"/>
          <w:color w:val="000000"/>
          <w:szCs w:val="24"/>
          <w:lang w:val="es-ES" w:eastAsia="es-ES"/>
        </w:rPr>
      </w:pPr>
      <w:r w:rsidRPr="00091911">
        <w:rPr>
          <w:rFonts w:eastAsia="Palatino Linotype" w:cs="Palatino Linotype"/>
          <w:b/>
          <w:bCs/>
          <w:color w:val="000000"/>
          <w:szCs w:val="24"/>
          <w:lang w:val="es-ES" w:eastAsia="es-ES"/>
        </w:rPr>
        <w:t>Informe Justificado 02915-2023.pdf</w:t>
      </w:r>
      <w:r w:rsidRPr="00091911">
        <w:rPr>
          <w:rFonts w:eastAsia="Palatino Linotype" w:cs="Palatino Linotype"/>
          <w:color w:val="000000"/>
          <w:szCs w:val="24"/>
          <w:lang w:val="es-ES" w:eastAsia="es-ES"/>
        </w:rPr>
        <w:t xml:space="preserve">. Oficio número SEDUO-CI-0837/2023, emitido por la Titular de la Unidad de Transparencia, mediante el cual se rindió el Informe Justificado ratificando la respuesta proporcionada, y manifestando que </w:t>
      </w:r>
      <w:r w:rsidRPr="00091911">
        <w:rPr>
          <w:rFonts w:eastAsia="Palatino Linotype" w:cs="Palatino Linotype"/>
          <w:color w:val="000000"/>
          <w:szCs w:val="24"/>
          <w:lang w:val="es-ES" w:eastAsia="es-ES"/>
        </w:rPr>
        <w:lastRenderedPageBreak/>
        <w:t>las razones o motivos de inconformidad son manifestaciones subjetivas que carecen de argumentes para combatir la respuesta.</w:t>
      </w:r>
    </w:p>
    <w:p w14:paraId="78B67903" w14:textId="77777777" w:rsidR="00091911" w:rsidRPr="00091911" w:rsidRDefault="00091911" w:rsidP="00091911">
      <w:pPr>
        <w:numPr>
          <w:ilvl w:val="0"/>
          <w:numId w:val="40"/>
        </w:numPr>
        <w:pBdr>
          <w:top w:val="nil"/>
          <w:left w:val="nil"/>
          <w:bottom w:val="nil"/>
          <w:right w:val="nil"/>
          <w:between w:val="nil"/>
        </w:pBdr>
        <w:contextualSpacing/>
        <w:rPr>
          <w:rFonts w:eastAsia="Palatino Linotype" w:cs="Palatino Linotype"/>
          <w:color w:val="000000"/>
          <w:szCs w:val="24"/>
          <w:lang w:val="es-MX" w:eastAsia="es-ES"/>
        </w:rPr>
      </w:pPr>
      <w:r w:rsidRPr="00091911">
        <w:rPr>
          <w:rFonts w:eastAsia="Palatino Linotype" w:cs="Palatino Linotype"/>
          <w:b/>
          <w:bCs/>
          <w:color w:val="000000"/>
          <w:szCs w:val="24"/>
          <w:lang w:val="es-MX" w:eastAsia="es-ES"/>
        </w:rPr>
        <w:t>T. RR CIEEM 310-2023.pdf</w:t>
      </w:r>
      <w:r w:rsidRPr="00091911">
        <w:rPr>
          <w:rFonts w:eastAsia="Palatino Linotype" w:cs="Palatino Linotype"/>
          <w:color w:val="000000"/>
          <w:szCs w:val="24"/>
          <w:lang w:val="es-MX" w:eastAsia="es-ES"/>
        </w:rPr>
        <w:t xml:space="preserve">. </w:t>
      </w:r>
      <w:r w:rsidRPr="00091911">
        <w:rPr>
          <w:rFonts w:eastAsia="Palatino Linotype" w:cs="Palatino Linotype"/>
          <w:color w:val="000000"/>
          <w:szCs w:val="24"/>
          <w:lang w:val="es-ES" w:eastAsia="es-ES"/>
        </w:rPr>
        <w:t>Oficio número SEDUO-CI-0837/2023, suscrito por la Titular de la Unidad de Transparencia, con el que se solicitó a la Dirección General de la Comisión de Impacto Estatal que realizara las manifestaciones correspondientes respecto de las razones o motivos de inconformidad planteados por el Recurrente.</w:t>
      </w:r>
    </w:p>
    <w:p w14:paraId="0B4D61B4" w14:textId="77777777" w:rsidR="00091911" w:rsidRPr="00091911" w:rsidRDefault="00091911" w:rsidP="00091911">
      <w:pPr>
        <w:numPr>
          <w:ilvl w:val="0"/>
          <w:numId w:val="40"/>
        </w:numPr>
        <w:pBdr>
          <w:top w:val="nil"/>
          <w:left w:val="nil"/>
          <w:bottom w:val="nil"/>
          <w:right w:val="nil"/>
          <w:between w:val="nil"/>
        </w:pBdr>
        <w:contextualSpacing/>
        <w:rPr>
          <w:rFonts w:eastAsia="Times New Roman" w:cs="Times New Roman"/>
          <w:szCs w:val="24"/>
          <w:lang w:val="es-MX" w:eastAsia="es-ES"/>
        </w:rPr>
      </w:pPr>
      <w:r w:rsidRPr="00091911">
        <w:rPr>
          <w:rFonts w:eastAsia="Palatino Linotype" w:cs="Palatino Linotype"/>
          <w:b/>
          <w:bCs/>
          <w:color w:val="000000"/>
          <w:szCs w:val="24"/>
          <w:lang w:val="es-MX" w:eastAsia="es-ES"/>
        </w:rPr>
        <w:t>RESP RR UT 310-2023 DGCIE.pdf</w:t>
      </w:r>
      <w:r w:rsidRPr="00091911">
        <w:rPr>
          <w:rFonts w:eastAsia="Palatino Linotype" w:cs="Palatino Linotype"/>
          <w:color w:val="000000"/>
          <w:szCs w:val="24"/>
          <w:lang w:val="es-MX" w:eastAsia="es-ES"/>
        </w:rPr>
        <w:t xml:space="preserve">. </w:t>
      </w:r>
      <w:r w:rsidRPr="00091911">
        <w:rPr>
          <w:rFonts w:eastAsia="Palatino Linotype" w:cs="Palatino Linotype"/>
          <w:bCs/>
          <w:color w:val="000000"/>
          <w:szCs w:val="24"/>
          <w:lang w:eastAsia="es-ES"/>
        </w:rPr>
        <w:t>Oficio número 224B03010-000999/2023 suscrito por la Directora General de la Comisión de Impacto Estatal, por medio del cual se refutan las razones o motivos de inconformidad del Recurrente, señalando que se está ante una ausencia total de motivos de inconformidad.</w:t>
      </w:r>
    </w:p>
    <w:p w14:paraId="3EE828DA" w14:textId="7B88EBDD" w:rsidR="00E41C8A" w:rsidRDefault="00E41C8A" w:rsidP="00091911">
      <w:pPr>
        <w:pBdr>
          <w:top w:val="nil"/>
          <w:left w:val="nil"/>
          <w:bottom w:val="nil"/>
          <w:right w:val="nil"/>
          <w:between w:val="nil"/>
        </w:pBdr>
        <w:contextualSpacing/>
        <w:rPr>
          <w:szCs w:val="24"/>
        </w:rPr>
      </w:pPr>
    </w:p>
    <w:p w14:paraId="440E7D5C" w14:textId="653BADA7" w:rsidR="00B11AA6" w:rsidRDefault="00B11AA6" w:rsidP="006922F5">
      <w:pPr>
        <w:pBdr>
          <w:top w:val="nil"/>
          <w:left w:val="nil"/>
          <w:bottom w:val="nil"/>
          <w:right w:val="nil"/>
          <w:between w:val="nil"/>
        </w:pBdr>
        <w:contextualSpacing/>
        <w:rPr>
          <w:szCs w:val="24"/>
        </w:rPr>
      </w:pPr>
      <w:r>
        <w:rPr>
          <w:szCs w:val="24"/>
        </w:rPr>
        <w:t xml:space="preserve">Por su parte, el Recurrente no emitió manifestaciones, vertió alegatos ni presentó pruebas que a su derecho conviniera, así como tampoco se pronunció respecto </w:t>
      </w:r>
      <w:r w:rsidR="00055E1C">
        <w:rPr>
          <w:szCs w:val="24"/>
        </w:rPr>
        <w:t>del Informe Justificado rendido por el Sujeto Obligado.</w:t>
      </w:r>
    </w:p>
    <w:p w14:paraId="4DF5489F" w14:textId="77777777" w:rsidR="00B11AA6" w:rsidRDefault="00B11AA6" w:rsidP="006922F5">
      <w:pPr>
        <w:pBdr>
          <w:top w:val="nil"/>
          <w:left w:val="nil"/>
          <w:bottom w:val="nil"/>
          <w:right w:val="nil"/>
          <w:between w:val="nil"/>
        </w:pBdr>
        <w:contextualSpacing/>
        <w:rPr>
          <w:szCs w:val="24"/>
        </w:rPr>
      </w:pPr>
    </w:p>
    <w:p w14:paraId="64B9BA8A" w14:textId="0131C70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Pr>
          <w:rFonts w:eastAsia="Palatino Linotype" w:cs="Palatino Linotype"/>
          <w:color w:val="000000"/>
          <w:szCs w:val="24"/>
        </w:rPr>
        <w:t xml:space="preserve"> </w:t>
      </w:r>
      <w:r w:rsidRPr="006922F5">
        <w:rPr>
          <w:rFonts w:eastAsia="Palatino Linotype" w:cs="Palatino Linotype"/>
          <w:color w:val="000000"/>
          <w:szCs w:val="24"/>
        </w:rPr>
        <w:t>l</w:t>
      </w:r>
      <w:r w:rsidR="00032FBE">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lastRenderedPageBreak/>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3BCDB40C" w:rsidR="00A970D5" w:rsidRPr="006922F5" w:rsidRDefault="00091911" w:rsidP="006922F5">
      <w:pPr>
        <w:pStyle w:val="Fundamentos"/>
      </w:pPr>
      <w:r>
        <w:t>[</w:t>
      </w:r>
      <w:r w:rsidR="00A970D5" w:rsidRPr="006922F5">
        <w:t>…</w:t>
      </w:r>
      <w:r>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7B141663" w:rsidR="00A970D5" w:rsidRDefault="00A970D5" w:rsidP="006922F5">
      <w:pPr>
        <w:pStyle w:val="Fundamentos"/>
      </w:pPr>
      <w:r w:rsidRPr="006922F5">
        <w:rPr>
          <w:b/>
          <w:bCs/>
        </w:rPr>
        <w:t>Artículo 5.</w:t>
      </w:r>
      <w:r w:rsidRPr="006922F5">
        <w:t xml:space="preserve"> </w:t>
      </w:r>
      <w:r w:rsidR="00091911">
        <w:t>[</w:t>
      </w:r>
      <w:r w:rsidRPr="006922F5">
        <w:t>…</w:t>
      </w:r>
      <w:r w:rsidR="00091911">
        <w:t>]</w:t>
      </w:r>
      <w:r w:rsidRPr="006922F5">
        <w:t xml:space="preserve"> </w:t>
      </w:r>
    </w:p>
    <w:p w14:paraId="5D80FD02" w14:textId="77777777" w:rsidR="00091911" w:rsidRPr="006922F5" w:rsidRDefault="00091911" w:rsidP="006922F5">
      <w:pPr>
        <w:pStyle w:val="Fundamentos"/>
      </w:pP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w:t>
      </w:r>
      <w:r w:rsidRPr="006922F5">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78C9EBA2"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4CABDAB0" w14:textId="77777777" w:rsidR="00091911" w:rsidRDefault="00091911" w:rsidP="006922F5">
      <w:pPr>
        <w:pStyle w:val="Fundamentos"/>
      </w:pPr>
    </w:p>
    <w:p w14:paraId="79FD530B" w14:textId="4D24EAD4" w:rsidR="00C82268" w:rsidRPr="006922F5" w:rsidRDefault="00091911" w:rsidP="006922F5">
      <w:pPr>
        <w:pStyle w:val="Fundamentos"/>
      </w:pPr>
      <w:r>
        <w:rPr>
          <w:b/>
          <w:bCs/>
        </w:rPr>
        <w:t>I</w:t>
      </w:r>
      <w:r w:rsidR="00C82268" w:rsidRPr="006922F5">
        <w:rPr>
          <w:b/>
          <w:bCs/>
        </w:rPr>
        <w:t>.</w:t>
      </w:r>
      <w:r w:rsidR="00BA7C85">
        <w:rPr>
          <w:b/>
          <w:bCs/>
        </w:rPr>
        <w:t xml:space="preserve"> </w:t>
      </w:r>
      <w:r>
        <w:t>El</w:t>
      </w:r>
      <w:r w:rsidR="001530E5" w:rsidRPr="006922F5">
        <w:t xml:space="preserve"> </w:t>
      </w:r>
      <w:r w:rsidRPr="00091911">
        <w:t>Poder Ejecutivo del Estado de México, las dependencias, organismos auxiliares, órganos, entidades, fideicomisos y fondos públicos, así como la Procuraduría General de Justicia</w:t>
      </w:r>
      <w:r w:rsidR="00754A30" w:rsidRPr="006922F5">
        <w:t>;</w:t>
      </w:r>
    </w:p>
    <w:p w14:paraId="0667CF00" w14:textId="4BA68E21" w:rsidR="00C82268" w:rsidRPr="006922F5" w:rsidRDefault="00091911" w:rsidP="006922F5">
      <w:pPr>
        <w:pStyle w:val="Fundamentos"/>
      </w:pPr>
      <w:r>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Default="00A970D5" w:rsidP="00177F85">
      <w:r w:rsidRPr="006922F5">
        <w:lastRenderedPageBreak/>
        <w:t xml:space="preserve">Es así </w:t>
      </w:r>
      <w:r w:rsidR="00D574A2" w:rsidRPr="006922F5">
        <w:t>como</w:t>
      </w:r>
      <w:r w:rsidRPr="006922F5">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FA75C35" w14:textId="77777777" w:rsidR="00091911" w:rsidRDefault="00091911" w:rsidP="00177F85"/>
    <w:p w14:paraId="62893D63" w14:textId="7F6F6F91" w:rsidR="00091911" w:rsidRDefault="00716C80" w:rsidP="00177F85">
      <w:r>
        <w:t>Asimismo, se tiene que en el presente caso se actualiza la causal de procedencia prevista en el artículo 179 fracción I de la Ley de la materia, en la que se establece lo siguiente:</w:t>
      </w:r>
    </w:p>
    <w:p w14:paraId="71180482" w14:textId="77777777" w:rsidR="00716C80" w:rsidRDefault="00716C80" w:rsidP="00177F85"/>
    <w:p w14:paraId="4BB639DD" w14:textId="77777777" w:rsidR="00716C80" w:rsidRDefault="00716C80" w:rsidP="00716C80">
      <w:pPr>
        <w:pStyle w:val="Fundamentos"/>
      </w:pPr>
      <w:r w:rsidRPr="00716C80">
        <w:rPr>
          <w:b/>
        </w:rPr>
        <w:t>Artículo 179.</w:t>
      </w:r>
      <w:r>
        <w:t xml:space="preserve"> El recurso de revisión es un medio de protección que la Ley otorga a los particulares, para hacer valer su derecho de acceso a la información pública, y procederá en contra de las siguientes causas:</w:t>
      </w:r>
    </w:p>
    <w:p w14:paraId="28D6AFD3" w14:textId="77777777" w:rsidR="00716C80" w:rsidRDefault="00716C80" w:rsidP="00716C80">
      <w:pPr>
        <w:pStyle w:val="Fundamentos"/>
      </w:pPr>
    </w:p>
    <w:p w14:paraId="4171F2BA" w14:textId="4F23F1A4" w:rsidR="00716C80" w:rsidRDefault="00716C80" w:rsidP="00716C80">
      <w:pPr>
        <w:pStyle w:val="Fundamentos"/>
      </w:pPr>
      <w:r w:rsidRPr="00716C80">
        <w:rPr>
          <w:b/>
        </w:rPr>
        <w:t>I.</w:t>
      </w:r>
      <w:r>
        <w:tab/>
        <w:t>La negativa a la información solicitada;</w:t>
      </w:r>
    </w:p>
    <w:p w14:paraId="42A3BD18" w14:textId="55FF0D02" w:rsidR="00716C80" w:rsidRPr="00716C80" w:rsidRDefault="00716C80" w:rsidP="00716C80">
      <w:pPr>
        <w:pStyle w:val="Fundamentos"/>
      </w:pPr>
      <w:r w:rsidRPr="00716C80">
        <w:t>[…]</w:t>
      </w:r>
    </w:p>
    <w:p w14:paraId="36D29552" w14:textId="77777777" w:rsidR="00A970D5" w:rsidRPr="00716C80" w:rsidRDefault="00A970D5" w:rsidP="00177F85"/>
    <w:p w14:paraId="37932067" w14:textId="77777777" w:rsidR="00D96171" w:rsidRDefault="00A970D5" w:rsidP="00D96171">
      <w:r w:rsidRPr="006922F5">
        <w:t xml:space="preserve">En segundo término, </w:t>
      </w:r>
      <w:r w:rsidR="00DA17F7">
        <w:t xml:space="preserve">se </w:t>
      </w:r>
      <w:r w:rsidR="00055E1C">
        <w:t xml:space="preserve">tiene que el Sujeto Obligado no negó contar con la información, por el contrario, manifestó que </w:t>
      </w:r>
      <w:r w:rsidR="00D96171">
        <w:t>la información podía ser consultada en una página electrónica, por tanto, se debe entender que el Sujeto Obligado cuenta con las atribuciones, competencias o facultades para generar, poseer o administrar la información solicitada; es decir, aceptó que cuenta con dichos documentos en sus archivos, por ende, es dable omitir el estudio respecto de la fuente obligación para generar, poseer o administrar la información solicitada.</w:t>
      </w:r>
    </w:p>
    <w:p w14:paraId="224ED388" w14:textId="77777777" w:rsidR="00D96171" w:rsidRDefault="00D96171" w:rsidP="00D96171"/>
    <w:p w14:paraId="44E67F16" w14:textId="77777777" w:rsidR="00D96171" w:rsidRDefault="00D96171" w:rsidP="00D96171">
      <w:r>
        <w:t xml:space="preserve">Cabe recordar que el estudio de la naturaleza jurídica tiene por objeto determinar si la información requerida es generada, poseída o administrada por los sujetos obligados; por </w:t>
      </w:r>
      <w:r>
        <w:lastRenderedPageBreak/>
        <w:t>lo que, en el caso en concreto, en virtud de que el Sujeto Obligado asumió contar con dicha información, resulta redundante realizar el estudio correspondiente, y a nada práctico conduciría llevar a cabo dicho estudio.</w:t>
      </w:r>
    </w:p>
    <w:p w14:paraId="096A9D26" w14:textId="59A65292" w:rsidR="00055E1C" w:rsidRDefault="00055E1C" w:rsidP="00055E1C"/>
    <w:p w14:paraId="688AFB86" w14:textId="316B1EA7" w:rsidR="00055E1C" w:rsidRDefault="00D96171" w:rsidP="00055E1C">
      <w:r>
        <w:t>Así, con la finalidad de determinar si la información efectivamente puede ser consultada en el enlace proporcionado por el Sujeto Obligado, este Instituto procedió a verificar el contenido de dicha página, en la que se observó lo siguiente</w:t>
      </w:r>
      <w:r>
        <w:rPr>
          <w:rStyle w:val="Refdenotaalpie"/>
        </w:rPr>
        <w:footnoteReference w:id="3"/>
      </w:r>
      <w:r>
        <w:t>:</w:t>
      </w:r>
    </w:p>
    <w:p w14:paraId="212DEB47" w14:textId="77777777" w:rsidR="00D96171" w:rsidRDefault="00D96171" w:rsidP="00055E1C"/>
    <w:p w14:paraId="54DB23CC" w14:textId="1582BECB" w:rsidR="00055E1C" w:rsidRDefault="00817F22" w:rsidP="00055E1C">
      <w:r>
        <w:rPr>
          <w:noProof/>
          <w:lang w:val="es-MX"/>
        </w:rPr>
        <w:drawing>
          <wp:inline distT="0" distB="0" distL="0" distR="0" wp14:anchorId="55F16785" wp14:editId="77B5D394">
            <wp:extent cx="5934075" cy="3333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333750"/>
                    </a:xfrm>
                    <a:prstGeom prst="rect">
                      <a:avLst/>
                    </a:prstGeom>
                    <a:noFill/>
                    <a:ln>
                      <a:noFill/>
                    </a:ln>
                  </pic:spPr>
                </pic:pic>
              </a:graphicData>
            </a:graphic>
          </wp:inline>
        </w:drawing>
      </w:r>
    </w:p>
    <w:p w14:paraId="74B853AD" w14:textId="77777777" w:rsidR="00055E1C" w:rsidRDefault="00055E1C" w:rsidP="00055E1C"/>
    <w:p w14:paraId="0EC0E9DC" w14:textId="77777777" w:rsidR="00817F22" w:rsidRDefault="00817F22" w:rsidP="005D009F">
      <w:pPr>
        <w:contextualSpacing/>
      </w:pPr>
      <w:r>
        <w:t xml:space="preserve">Posteriormente, al seleccionar la opción </w:t>
      </w:r>
      <w:proofErr w:type="spellStart"/>
      <w:r>
        <w:t>referida</w:t>
      </w:r>
      <w:proofErr w:type="spellEnd"/>
      <w:r>
        <w:t xml:space="preserve"> por el Sujeto Obligado en su respuesta, se observa lo siguiente:</w:t>
      </w:r>
    </w:p>
    <w:p w14:paraId="1C20B8C1" w14:textId="77777777" w:rsidR="00817F22" w:rsidRDefault="00817F22" w:rsidP="005D009F">
      <w:pPr>
        <w:contextualSpacing/>
      </w:pPr>
    </w:p>
    <w:p w14:paraId="2E5C79C3" w14:textId="3FF52CD4" w:rsidR="00817F22" w:rsidRDefault="00817F22" w:rsidP="005D009F">
      <w:pPr>
        <w:contextualSpacing/>
      </w:pPr>
      <w:r w:rsidRPr="00817F22">
        <w:rPr>
          <w:noProof/>
          <w:lang w:val="es-MX"/>
        </w:rPr>
        <w:drawing>
          <wp:inline distT="0" distB="0" distL="0" distR="0" wp14:anchorId="3BC598D5" wp14:editId="0BDF2188">
            <wp:extent cx="5939790" cy="577278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9790" cy="5772785"/>
                    </a:xfrm>
                    <a:prstGeom prst="rect">
                      <a:avLst/>
                    </a:prstGeom>
                  </pic:spPr>
                </pic:pic>
              </a:graphicData>
            </a:graphic>
          </wp:inline>
        </w:drawing>
      </w:r>
    </w:p>
    <w:p w14:paraId="2CB809C7" w14:textId="77777777" w:rsidR="00817F22" w:rsidRDefault="00817F22" w:rsidP="005D009F">
      <w:pPr>
        <w:contextualSpacing/>
      </w:pPr>
    </w:p>
    <w:p w14:paraId="0B9C2333" w14:textId="1AE9D46B" w:rsidR="005D009F" w:rsidRPr="00F321DB" w:rsidRDefault="00817F22" w:rsidP="005D009F">
      <w:pPr>
        <w:contextualSpacing/>
      </w:pPr>
      <w:r>
        <w:t xml:space="preserve">Como se logra advertir, al seleccionar la opción señalada por el Sujeto Obligado se despliega un cúmulo de opciones en las que obra información diversa y relativa a los Poderes del Gobierno, organismos auxiliares y autónomos del Estado de México en el </w:t>
      </w:r>
      <w:r>
        <w:lastRenderedPageBreak/>
        <w:t>ejercici</w:t>
      </w:r>
      <w:r w:rsidR="00F321DB">
        <w:t xml:space="preserve">o 2022; es decir, en </w:t>
      </w:r>
      <w:r w:rsidR="00D96171">
        <w:t xml:space="preserve">la página </w:t>
      </w:r>
      <w:r w:rsidR="00DD2267">
        <w:t xml:space="preserve">referida no se advierte en primera instancia la información solicitada por el Recurrente, sino que se presenta diversa información </w:t>
      </w:r>
      <w:r w:rsidR="00A6128D">
        <w:t>y por tanto l</w:t>
      </w:r>
      <w:r w:rsidR="00F8063B">
        <w:t xml:space="preserve">o requerido por el particular </w:t>
      </w:r>
      <w:r w:rsidR="005D009F">
        <w:rPr>
          <w:rFonts w:eastAsia="Palatino Linotype" w:cs="Palatino Linotype"/>
          <w:szCs w:val="24"/>
        </w:rPr>
        <w:t xml:space="preserve">se encuentra inmerso en </w:t>
      </w:r>
      <w:r w:rsidR="00F321DB">
        <w:rPr>
          <w:rFonts w:eastAsia="Palatino Linotype" w:cs="Palatino Linotype"/>
          <w:szCs w:val="24"/>
        </w:rPr>
        <w:t>distintos enlaces con información que no fue requerido</w:t>
      </w:r>
      <w:r w:rsidR="005D009F">
        <w:rPr>
          <w:rFonts w:eastAsia="Palatino Linotype" w:cs="Palatino Linotype"/>
          <w:szCs w:val="24"/>
        </w:rPr>
        <w:t xml:space="preserve"> por el particular al momento de realizar su solicitud de información. </w:t>
      </w:r>
    </w:p>
    <w:p w14:paraId="7FFF23C1" w14:textId="77777777" w:rsidR="005D009F" w:rsidRDefault="005D009F" w:rsidP="005D009F">
      <w:pPr>
        <w:contextualSpacing/>
        <w:rPr>
          <w:rFonts w:eastAsia="Palatino Linotype" w:cs="Palatino Linotype"/>
          <w:szCs w:val="24"/>
        </w:rPr>
      </w:pPr>
    </w:p>
    <w:p w14:paraId="7A0BA735" w14:textId="134E81DD" w:rsidR="005D009F" w:rsidRPr="003B63CA" w:rsidRDefault="00F321DB" w:rsidP="005D009F">
      <w:pPr>
        <w:rPr>
          <w:rFonts w:cs="Arial"/>
        </w:rPr>
      </w:pPr>
      <w:r>
        <w:rPr>
          <w:szCs w:val="24"/>
        </w:rPr>
        <w:t>Por lo anterior</w:t>
      </w:r>
      <w:r w:rsidR="005D009F" w:rsidRPr="003B63CA">
        <w:rPr>
          <w:rFonts w:cs="Arial"/>
        </w:rPr>
        <w:t xml:space="preserve">, se </w:t>
      </w:r>
      <w:r w:rsidR="00607145">
        <w:rPr>
          <w:rFonts w:cs="Arial"/>
        </w:rPr>
        <w:t xml:space="preserve">estima que el Sujeto Obligado </w:t>
      </w:r>
      <w:r w:rsidR="005D009F" w:rsidRPr="003B63CA">
        <w:rPr>
          <w:rFonts w:cs="Arial"/>
        </w:rPr>
        <w:t xml:space="preserve">dejó de observar lo estipulado en los artículos 11 y 161 de la Ley de Transparencia estatal, en los que se señalan las características que debe tener toda información entregada por los sujetos obligados desde el momento de su generación, publicación y entrega, así como la forma en que se deberá consultar la información, señalando una fuente precisa y concreta, </w:t>
      </w:r>
      <w:r w:rsidR="005D009F">
        <w:rPr>
          <w:rFonts w:cs="Arial"/>
        </w:rPr>
        <w:t>como se establece a continuación</w:t>
      </w:r>
      <w:r w:rsidR="005D009F" w:rsidRPr="003B63CA">
        <w:rPr>
          <w:rFonts w:cs="Arial"/>
        </w:rPr>
        <w:t>:</w:t>
      </w:r>
    </w:p>
    <w:p w14:paraId="2C1AA573" w14:textId="77777777" w:rsidR="005D009F" w:rsidRPr="003B63CA" w:rsidRDefault="005D009F" w:rsidP="005D009F">
      <w:pPr>
        <w:rPr>
          <w:rFonts w:cs="Arial"/>
        </w:rPr>
      </w:pPr>
    </w:p>
    <w:p w14:paraId="1549F6BC" w14:textId="77777777" w:rsidR="005D009F" w:rsidRPr="003B63CA" w:rsidRDefault="005D009F" w:rsidP="005D009F">
      <w:pPr>
        <w:spacing w:line="240" w:lineRule="auto"/>
        <w:ind w:left="567" w:right="567"/>
        <w:rPr>
          <w:rFonts w:eastAsia="Times New Roman" w:cs="Times New Roman"/>
          <w:i/>
          <w:sz w:val="22"/>
          <w:szCs w:val="24"/>
          <w:lang w:eastAsia="es-ES"/>
        </w:rPr>
      </w:pPr>
      <w:r w:rsidRPr="003B63CA">
        <w:rPr>
          <w:rFonts w:eastAsia="Times New Roman" w:cs="Times New Roman"/>
          <w:b/>
          <w:bCs/>
          <w:i/>
          <w:sz w:val="22"/>
          <w:szCs w:val="24"/>
          <w:lang w:eastAsia="es-ES"/>
        </w:rPr>
        <w:t>Artículo 11.</w:t>
      </w:r>
      <w:r w:rsidRPr="003B63CA">
        <w:rPr>
          <w:rFonts w:eastAsia="Times New Roman" w:cs="Times New Roman"/>
          <w:i/>
          <w:sz w:val="22"/>
          <w:szCs w:val="24"/>
          <w:lang w:eastAsia="es-ES"/>
        </w:rPr>
        <w:t xml:space="preserve"> </w:t>
      </w:r>
      <w:r w:rsidRPr="003B63CA">
        <w:rPr>
          <w:rFonts w:eastAsia="Times New Roman" w:cs="Times New Roman"/>
          <w:b/>
          <w:i/>
          <w:sz w:val="22"/>
          <w:szCs w:val="24"/>
          <w:u w:val="single"/>
          <w:lang w:eastAsia="es-ES"/>
        </w:rPr>
        <w:t>En la generación, publicación y entrega de información se deberá garantizar que ésta sea accesible</w:t>
      </w:r>
      <w:r w:rsidRPr="003B63CA">
        <w:rPr>
          <w:rFonts w:eastAsia="Times New Roman" w:cs="Times New Roman"/>
          <w:i/>
          <w:sz w:val="22"/>
          <w:szCs w:val="24"/>
          <w:lang w:eastAsia="es-ES"/>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518B487D" w14:textId="77777777" w:rsidR="005D009F" w:rsidRPr="003B63CA" w:rsidRDefault="005D009F" w:rsidP="005D009F">
      <w:pPr>
        <w:spacing w:line="240" w:lineRule="auto"/>
        <w:ind w:left="567" w:right="567"/>
        <w:rPr>
          <w:rFonts w:eastAsia="Times New Roman" w:cs="Times New Roman"/>
          <w:i/>
          <w:sz w:val="22"/>
          <w:szCs w:val="24"/>
          <w:lang w:eastAsia="es-ES"/>
        </w:rPr>
      </w:pPr>
      <w:r w:rsidRPr="003B63CA">
        <w:rPr>
          <w:rFonts w:eastAsia="Times New Roman" w:cs="Times New Roman"/>
          <w:i/>
          <w:sz w:val="22"/>
          <w:szCs w:val="24"/>
          <w:lang w:eastAsia="es-ES"/>
        </w:rPr>
        <w:t>(…)</w:t>
      </w:r>
    </w:p>
    <w:p w14:paraId="6768B41B" w14:textId="77777777" w:rsidR="005D009F" w:rsidRPr="003B63CA" w:rsidRDefault="005D009F" w:rsidP="005D009F">
      <w:pPr>
        <w:spacing w:line="240" w:lineRule="auto"/>
        <w:ind w:left="567" w:right="567"/>
        <w:rPr>
          <w:rFonts w:eastAsia="Times New Roman" w:cs="Times New Roman"/>
          <w:i/>
          <w:sz w:val="22"/>
          <w:szCs w:val="24"/>
          <w:lang w:eastAsia="es-ES"/>
        </w:rPr>
      </w:pPr>
    </w:p>
    <w:p w14:paraId="36D261B3" w14:textId="77777777" w:rsidR="005D009F" w:rsidRPr="003B63CA" w:rsidRDefault="005D009F" w:rsidP="005D009F">
      <w:pPr>
        <w:spacing w:line="240" w:lineRule="auto"/>
        <w:ind w:left="567" w:right="567"/>
        <w:rPr>
          <w:rFonts w:eastAsia="Times New Roman" w:cs="Times New Roman"/>
          <w:i/>
          <w:sz w:val="22"/>
          <w:szCs w:val="24"/>
          <w:lang w:eastAsia="es-ES"/>
        </w:rPr>
      </w:pPr>
      <w:r w:rsidRPr="003B63CA">
        <w:rPr>
          <w:rFonts w:eastAsia="Times New Roman" w:cs="Times New Roman"/>
          <w:b/>
          <w:bCs/>
          <w:i/>
          <w:sz w:val="22"/>
          <w:szCs w:val="24"/>
          <w:lang w:eastAsia="es-ES"/>
        </w:rPr>
        <w:t>Artículo 161.</w:t>
      </w:r>
      <w:r w:rsidRPr="003B63CA">
        <w:rPr>
          <w:rFonts w:eastAsia="Times New Roman" w:cs="Times New Roman"/>
          <w:i/>
          <w:sz w:val="22"/>
          <w:szCs w:val="24"/>
          <w:lang w:eastAsia="es-ES"/>
        </w:rPr>
        <w:t xml:space="preserve"> </w:t>
      </w:r>
      <w:r w:rsidRPr="003B63CA">
        <w:rPr>
          <w:rFonts w:eastAsia="Times New Roman" w:cs="Times New Roman"/>
          <w:b/>
          <w:i/>
          <w:sz w:val="22"/>
          <w:szCs w:val="24"/>
          <w:u w:val="single"/>
          <w:lang w:eastAsia="es-ES"/>
        </w:rPr>
        <w:t>Cuando la información requerida por el solicitante ya esté</w:t>
      </w:r>
      <w:r w:rsidRPr="003B63CA">
        <w:rPr>
          <w:rFonts w:eastAsia="Times New Roman" w:cs="Times New Roman"/>
          <w:i/>
          <w:sz w:val="22"/>
          <w:szCs w:val="24"/>
          <w:lang w:eastAsia="es-ES"/>
        </w:rPr>
        <w:t xml:space="preserve"> disponible al público en medios impresos, tales como libros, compendios, trípticos, registros públicos, en formatos electrónicos </w:t>
      </w:r>
      <w:r w:rsidRPr="003B63CA">
        <w:rPr>
          <w:rFonts w:eastAsia="Times New Roman" w:cs="Times New Roman"/>
          <w:b/>
          <w:i/>
          <w:sz w:val="22"/>
          <w:szCs w:val="24"/>
          <w:u w:val="single"/>
          <w:lang w:eastAsia="es-ES"/>
        </w:rPr>
        <w:t>disponibles en Internet</w:t>
      </w:r>
      <w:r w:rsidRPr="003B63CA">
        <w:rPr>
          <w:rFonts w:eastAsia="Times New Roman" w:cs="Times New Roman"/>
          <w:i/>
          <w:sz w:val="22"/>
          <w:szCs w:val="24"/>
          <w:lang w:eastAsia="es-ES"/>
        </w:rPr>
        <w:t xml:space="preserve"> o en cualquier otro medio, </w:t>
      </w:r>
      <w:r w:rsidRPr="003B63CA">
        <w:rPr>
          <w:rFonts w:eastAsia="Times New Roman" w:cs="Times New Roman"/>
          <w:b/>
          <w:i/>
          <w:sz w:val="22"/>
          <w:szCs w:val="24"/>
          <w:u w:val="single"/>
          <w:lang w:eastAsia="es-ES"/>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FFAED77" w14:textId="77777777" w:rsidR="005D009F" w:rsidRPr="003B63CA" w:rsidRDefault="005D009F" w:rsidP="005D009F">
      <w:pPr>
        <w:rPr>
          <w:rFonts w:cs="Arial"/>
        </w:rPr>
      </w:pPr>
    </w:p>
    <w:p w14:paraId="1874B51E" w14:textId="77777777" w:rsidR="005D009F" w:rsidRPr="003B63CA" w:rsidRDefault="005D009F" w:rsidP="005D009F">
      <w:pPr>
        <w:rPr>
          <w:rFonts w:cs="Arial"/>
        </w:rPr>
      </w:pPr>
      <w:r w:rsidRPr="003B63CA">
        <w:rPr>
          <w:rFonts w:cs="Arial"/>
        </w:rPr>
        <w:lastRenderedPageBreak/>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5054ECEE" w14:textId="77777777" w:rsidR="005D009F" w:rsidRPr="003B63CA" w:rsidRDefault="005D009F" w:rsidP="005D009F">
      <w:pPr>
        <w:rPr>
          <w:rFonts w:cs="Arial"/>
        </w:rPr>
      </w:pPr>
    </w:p>
    <w:p w14:paraId="651246AB" w14:textId="77777777" w:rsidR="005D009F" w:rsidRPr="003B63CA" w:rsidRDefault="005D009F" w:rsidP="005D009F">
      <w:pPr>
        <w:numPr>
          <w:ilvl w:val="0"/>
          <w:numId w:val="36"/>
        </w:numPr>
        <w:rPr>
          <w:rFonts w:eastAsia="Times New Roman" w:cs="Arial"/>
          <w:szCs w:val="24"/>
          <w:lang w:eastAsia="es-ES"/>
        </w:rPr>
      </w:pPr>
      <w:r w:rsidRPr="003B63CA">
        <w:rPr>
          <w:rFonts w:eastAsia="Times New Roman" w:cs="Arial"/>
          <w:szCs w:val="24"/>
          <w:lang w:eastAsia="es-ES"/>
        </w:rPr>
        <w:t>La fuente,</w:t>
      </w:r>
    </w:p>
    <w:p w14:paraId="092DF0A8" w14:textId="77777777" w:rsidR="005D009F" w:rsidRPr="003B63CA" w:rsidRDefault="005D009F" w:rsidP="005D009F">
      <w:pPr>
        <w:numPr>
          <w:ilvl w:val="0"/>
          <w:numId w:val="36"/>
        </w:numPr>
        <w:rPr>
          <w:rFonts w:eastAsia="Times New Roman" w:cs="Arial"/>
          <w:szCs w:val="24"/>
          <w:lang w:eastAsia="es-ES"/>
        </w:rPr>
      </w:pPr>
      <w:r w:rsidRPr="003B63CA">
        <w:rPr>
          <w:rFonts w:eastAsia="Times New Roman" w:cs="Arial"/>
          <w:szCs w:val="24"/>
          <w:lang w:eastAsia="es-ES"/>
        </w:rPr>
        <w:t>El lugar, y</w:t>
      </w:r>
    </w:p>
    <w:p w14:paraId="42760B0A" w14:textId="77777777" w:rsidR="005D009F" w:rsidRPr="003B63CA" w:rsidRDefault="005D009F" w:rsidP="005D009F">
      <w:pPr>
        <w:numPr>
          <w:ilvl w:val="0"/>
          <w:numId w:val="36"/>
        </w:numPr>
        <w:rPr>
          <w:rFonts w:eastAsia="Times New Roman" w:cs="Arial"/>
          <w:szCs w:val="24"/>
          <w:lang w:eastAsia="es-ES"/>
        </w:rPr>
      </w:pPr>
      <w:r w:rsidRPr="003B63CA">
        <w:rPr>
          <w:rFonts w:eastAsia="Times New Roman" w:cs="Arial"/>
          <w:szCs w:val="24"/>
          <w:lang w:eastAsia="es-ES"/>
        </w:rPr>
        <w:t xml:space="preserve">La forma. </w:t>
      </w:r>
    </w:p>
    <w:p w14:paraId="45924657" w14:textId="77777777" w:rsidR="005D009F" w:rsidRPr="003B63CA" w:rsidRDefault="005D009F" w:rsidP="005D009F">
      <w:pPr>
        <w:rPr>
          <w:rFonts w:cs="Arial"/>
        </w:rPr>
      </w:pPr>
    </w:p>
    <w:p w14:paraId="17A14AEE" w14:textId="77777777" w:rsidR="005D009F" w:rsidRPr="003B63CA" w:rsidRDefault="005D009F" w:rsidP="005D009F">
      <w:pPr>
        <w:rPr>
          <w:rFonts w:cs="Arial"/>
        </w:rPr>
      </w:pPr>
      <w:r w:rsidRPr="003B63CA">
        <w:rPr>
          <w:rFonts w:cs="Arial"/>
        </w:rPr>
        <w:t>Asimismo, se establece que la fuente de la información deberá ser:</w:t>
      </w:r>
    </w:p>
    <w:p w14:paraId="21C43F57" w14:textId="77777777" w:rsidR="005D009F" w:rsidRPr="003B63CA" w:rsidRDefault="005D009F" w:rsidP="005D009F">
      <w:pPr>
        <w:rPr>
          <w:rFonts w:cs="Arial"/>
        </w:rPr>
      </w:pPr>
    </w:p>
    <w:p w14:paraId="00BEACE6" w14:textId="77777777" w:rsidR="005D009F" w:rsidRPr="003B63CA" w:rsidRDefault="005D009F" w:rsidP="005D009F">
      <w:pPr>
        <w:numPr>
          <w:ilvl w:val="0"/>
          <w:numId w:val="37"/>
        </w:numPr>
        <w:rPr>
          <w:rFonts w:eastAsia="Times New Roman" w:cs="Arial"/>
          <w:szCs w:val="24"/>
          <w:lang w:eastAsia="es-ES"/>
        </w:rPr>
      </w:pPr>
      <w:r w:rsidRPr="003B63CA">
        <w:rPr>
          <w:rFonts w:eastAsia="Times New Roman" w:cs="Arial"/>
          <w:szCs w:val="24"/>
          <w:lang w:eastAsia="es-ES"/>
        </w:rPr>
        <w:t>Precisa,</w:t>
      </w:r>
    </w:p>
    <w:p w14:paraId="2DFBA130" w14:textId="77777777" w:rsidR="005D009F" w:rsidRPr="003B63CA" w:rsidRDefault="005D009F" w:rsidP="005D009F">
      <w:pPr>
        <w:numPr>
          <w:ilvl w:val="0"/>
          <w:numId w:val="37"/>
        </w:numPr>
        <w:rPr>
          <w:rFonts w:eastAsia="Times New Roman" w:cs="Arial"/>
          <w:szCs w:val="24"/>
          <w:lang w:eastAsia="es-ES"/>
        </w:rPr>
      </w:pPr>
      <w:r w:rsidRPr="003B63CA">
        <w:rPr>
          <w:rFonts w:eastAsia="Times New Roman" w:cs="Arial"/>
          <w:szCs w:val="24"/>
          <w:lang w:eastAsia="es-ES"/>
        </w:rPr>
        <w:t>Concreta,</w:t>
      </w:r>
    </w:p>
    <w:p w14:paraId="296379AB" w14:textId="77777777" w:rsidR="005D009F" w:rsidRPr="003B63CA" w:rsidRDefault="005D009F" w:rsidP="005D009F">
      <w:pPr>
        <w:numPr>
          <w:ilvl w:val="0"/>
          <w:numId w:val="37"/>
        </w:numPr>
        <w:rPr>
          <w:rFonts w:eastAsia="Times New Roman" w:cs="Arial"/>
          <w:szCs w:val="24"/>
          <w:lang w:eastAsia="es-ES"/>
        </w:rPr>
      </w:pPr>
      <w:r w:rsidRPr="003B63CA">
        <w:rPr>
          <w:rFonts w:eastAsia="Times New Roman" w:cs="Arial"/>
          <w:szCs w:val="24"/>
          <w:lang w:eastAsia="es-ES"/>
        </w:rPr>
        <w:t>Y no debe implicar que el solicitante realice una búsqueda en toda la información que se encuentre disponible.</w:t>
      </w:r>
    </w:p>
    <w:p w14:paraId="683F622F" w14:textId="77777777" w:rsidR="005D009F" w:rsidRPr="003B63CA" w:rsidRDefault="005D009F" w:rsidP="005D009F">
      <w:pPr>
        <w:rPr>
          <w:rFonts w:cs="Arial"/>
        </w:rPr>
      </w:pPr>
    </w:p>
    <w:p w14:paraId="62A68B16" w14:textId="12786E92" w:rsidR="005D009F" w:rsidRDefault="005D009F" w:rsidP="005D009F">
      <w:pPr>
        <w:rPr>
          <w:rFonts w:cs="Arial"/>
        </w:rPr>
      </w:pPr>
      <w:r w:rsidRPr="003B63CA">
        <w:rPr>
          <w:rFonts w:cs="Arial"/>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la fuente de la información dentro del término establecido, así como únicamente se limitó a indicar la dirección electrónica en la que </w:t>
      </w:r>
      <w:r>
        <w:rPr>
          <w:rFonts w:cs="Arial"/>
        </w:rPr>
        <w:t xml:space="preserve">manifestó que </w:t>
      </w:r>
      <w:r w:rsidRPr="003B63CA">
        <w:rPr>
          <w:rFonts w:cs="Arial"/>
        </w:rPr>
        <w:t xml:space="preserve">consta lo solicitado, sin que señalara puntualmente </w:t>
      </w:r>
      <w:r w:rsidRPr="003B63CA">
        <w:rPr>
          <w:rFonts w:cs="Arial"/>
        </w:rPr>
        <w:lastRenderedPageBreak/>
        <w:t xml:space="preserve">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 página referida; y por último, la fuente implica que el solicitante realice una búsqueda en toda la información que se encuentra disponible, lo que transgrede el numeral citado; y por ende, no se puede considerar que lo manifestado por </w:t>
      </w:r>
      <w:r>
        <w:rPr>
          <w:rFonts w:cs="Arial"/>
        </w:rPr>
        <w:t xml:space="preserve">el Sujeto Obligado </w:t>
      </w:r>
      <w:r w:rsidRPr="003B63CA">
        <w:rPr>
          <w:rFonts w:cs="Arial"/>
        </w:rPr>
        <w:t>colme la pretensión del Recurrente.</w:t>
      </w:r>
    </w:p>
    <w:p w14:paraId="2A32C3B4" w14:textId="77777777" w:rsidR="005D009F" w:rsidRDefault="005D009F" w:rsidP="005D009F">
      <w:pPr>
        <w:rPr>
          <w:rFonts w:cs="Arial"/>
        </w:rPr>
      </w:pPr>
    </w:p>
    <w:p w14:paraId="788A9BC4" w14:textId="302C75D8" w:rsidR="005D009F" w:rsidRDefault="005D009F" w:rsidP="005D009F">
      <w:pPr>
        <w:rPr>
          <w:rFonts w:cs="Arial"/>
        </w:rPr>
      </w:pPr>
      <w:r>
        <w:rPr>
          <w:rFonts w:cs="Arial"/>
        </w:rPr>
        <w:t xml:space="preserve">De tal forma que para tener por satisfecho el derecho de acceso a la información pública del Recurrente, se debe hacer entrega de </w:t>
      </w:r>
      <w:r w:rsidR="00D50EAA">
        <w:rPr>
          <w:rFonts w:cs="Arial"/>
        </w:rPr>
        <w:t xml:space="preserve">los </w:t>
      </w:r>
      <w:r w:rsidR="00F321DB">
        <w:rPr>
          <w:rFonts w:cs="Arial"/>
        </w:rPr>
        <w:t>formatos del sistema de planeación y presupuesto firmados generados del primero de enero al treinta y uno de diciembre de dos mil veintidós por la Comisión de Impacto Estatal.</w:t>
      </w:r>
    </w:p>
    <w:p w14:paraId="79AC2A7F" w14:textId="77777777" w:rsidR="00940996" w:rsidRDefault="00940996" w:rsidP="005D009F">
      <w:pPr>
        <w:rPr>
          <w:rFonts w:cs="Arial"/>
        </w:rPr>
      </w:pPr>
    </w:p>
    <w:p w14:paraId="34B1A501" w14:textId="0E3801A9" w:rsidR="00F321DB" w:rsidRDefault="00F321DB" w:rsidP="005D009F">
      <w:pPr>
        <w:rPr>
          <w:rFonts w:cs="Arial"/>
        </w:rPr>
      </w:pPr>
      <w:r>
        <w:rPr>
          <w:rFonts w:cs="Arial"/>
        </w:rPr>
        <w:t>No se omite señalar que el Sujeto Obligado manifestó que la información correspondiente del primero de enero al diecisiete de mayo de dos mil veintitrés, la documentación se encuentra en proceso de generación de datos e información, por lo que se podrá consultar una vez concluido el ejercicio fiscal correspondiente.</w:t>
      </w:r>
    </w:p>
    <w:p w14:paraId="1DCE4BA0" w14:textId="77777777" w:rsidR="00F321DB" w:rsidRDefault="00F321DB" w:rsidP="005D009F">
      <w:pPr>
        <w:rPr>
          <w:rFonts w:cs="Arial"/>
        </w:rPr>
      </w:pPr>
    </w:p>
    <w:p w14:paraId="15A45D48" w14:textId="3D03EE76" w:rsidR="00F321DB" w:rsidRDefault="00F321DB" w:rsidP="005D009F">
      <w:pPr>
        <w:rPr>
          <w:rFonts w:cs="Arial"/>
        </w:rPr>
      </w:pPr>
      <w:r>
        <w:rPr>
          <w:rFonts w:cs="Arial"/>
        </w:rPr>
        <w:t xml:space="preserve">Al respecto, </w:t>
      </w:r>
      <w:r w:rsidR="009A6341">
        <w:rPr>
          <w:rFonts w:cs="Arial"/>
        </w:rPr>
        <w:t>se debe resaltar que la información que se proporciona al Sujeto Obligado es la relativa a la cuenta pública, la cual se encuentra regulada por la Ley de Fiscalización Superior del Estado de México, que en sus artículos 2 fracción VIII y 32</w:t>
      </w:r>
      <w:r w:rsidR="00D97C4D">
        <w:rPr>
          <w:rFonts w:cs="Arial"/>
        </w:rPr>
        <w:t xml:space="preserve"> establece lo siguiente:</w:t>
      </w:r>
    </w:p>
    <w:p w14:paraId="5ADFF8DC" w14:textId="77777777" w:rsidR="00D97C4D" w:rsidRDefault="00D97C4D" w:rsidP="005D009F">
      <w:pPr>
        <w:rPr>
          <w:rFonts w:cs="Arial"/>
        </w:rPr>
      </w:pPr>
    </w:p>
    <w:p w14:paraId="14CC74B0" w14:textId="77777777" w:rsidR="00D97C4D" w:rsidRDefault="00D97C4D" w:rsidP="00D97C4D">
      <w:pPr>
        <w:pStyle w:val="Fundamentos"/>
        <w:rPr>
          <w:lang w:val="es-MX"/>
        </w:rPr>
      </w:pPr>
      <w:r w:rsidRPr="00D97C4D">
        <w:rPr>
          <w:b/>
          <w:bCs/>
          <w:lang w:val="es-MX"/>
        </w:rPr>
        <w:t>Artículo 2.</w:t>
      </w:r>
      <w:r w:rsidRPr="00D97C4D">
        <w:rPr>
          <w:lang w:val="es-MX"/>
        </w:rPr>
        <w:t xml:space="preserve"> Para los efectos de la presente Ley, se entenderá por:</w:t>
      </w:r>
    </w:p>
    <w:p w14:paraId="1A5C6BE0" w14:textId="22B2AA04" w:rsidR="00D97C4D" w:rsidRDefault="00D97C4D" w:rsidP="00D97C4D">
      <w:pPr>
        <w:pStyle w:val="Fundamentos"/>
        <w:rPr>
          <w:lang w:val="es-MX"/>
        </w:rPr>
      </w:pPr>
      <w:r>
        <w:rPr>
          <w:lang w:val="es-MX"/>
        </w:rPr>
        <w:lastRenderedPageBreak/>
        <w:t>[…]</w:t>
      </w:r>
    </w:p>
    <w:p w14:paraId="3B311D64" w14:textId="429AC2F9" w:rsidR="00D97C4D" w:rsidRDefault="00D97C4D" w:rsidP="00D97C4D">
      <w:pPr>
        <w:pStyle w:val="Fundamentos"/>
        <w:rPr>
          <w:lang w:val="es-MX"/>
        </w:rPr>
      </w:pPr>
      <w:r w:rsidRPr="00D97C4D">
        <w:rPr>
          <w:b/>
          <w:lang w:val="es-MX"/>
        </w:rPr>
        <w:t>VIII.</w:t>
      </w:r>
      <w:r w:rsidRPr="00D97C4D">
        <w:rPr>
          <w:lang w:val="es-MX"/>
        </w:rPr>
        <w:tab/>
      </w:r>
      <w:r w:rsidRPr="00D97C4D">
        <w:rPr>
          <w:b/>
          <w:u w:val="single"/>
          <w:lang w:val="es-MX"/>
        </w:rPr>
        <w:t>Cuenta Pública: Los informes que rinden anualmente a la Legislatura</w:t>
      </w:r>
      <w:r w:rsidRPr="00D97C4D">
        <w:rPr>
          <w:lang w:val="es-MX"/>
        </w:rPr>
        <w:t xml:space="preserve">, el Gobernador y </w:t>
      </w:r>
      <w:r w:rsidRPr="00D97C4D">
        <w:rPr>
          <w:b/>
          <w:u w:val="single"/>
          <w:lang w:val="es-MX"/>
        </w:rPr>
        <w:t>los Presidentes Municipales, respecto de los resultados y la situación financiera del ejercicio fiscal inmediato anterior según corresponda</w:t>
      </w:r>
      <w:r w:rsidRPr="00D97C4D">
        <w:rPr>
          <w:lang w:val="es-MX"/>
        </w:rPr>
        <w:t>;</w:t>
      </w:r>
    </w:p>
    <w:p w14:paraId="7406D0A3" w14:textId="602004FE" w:rsidR="00D97C4D" w:rsidRDefault="00D97C4D" w:rsidP="00D97C4D">
      <w:pPr>
        <w:pStyle w:val="Fundamentos"/>
        <w:rPr>
          <w:lang w:val="es-MX"/>
        </w:rPr>
      </w:pPr>
      <w:r>
        <w:rPr>
          <w:lang w:val="es-MX"/>
        </w:rPr>
        <w:t>[…]</w:t>
      </w:r>
    </w:p>
    <w:p w14:paraId="476C6D79" w14:textId="77777777" w:rsidR="00D97C4D" w:rsidRDefault="00D97C4D" w:rsidP="00D97C4D">
      <w:pPr>
        <w:pStyle w:val="Fundamentos"/>
        <w:rPr>
          <w:lang w:val="es-MX"/>
        </w:rPr>
      </w:pPr>
    </w:p>
    <w:p w14:paraId="2190CD20" w14:textId="77777777" w:rsidR="00D97C4D" w:rsidRPr="00D97C4D" w:rsidRDefault="00D97C4D" w:rsidP="00D97C4D">
      <w:pPr>
        <w:pStyle w:val="Fundamentos"/>
        <w:rPr>
          <w:b/>
          <w:lang w:val="es-ES"/>
        </w:rPr>
      </w:pPr>
      <w:r w:rsidRPr="00D97C4D">
        <w:rPr>
          <w:b/>
          <w:lang w:val="es-ES"/>
        </w:rPr>
        <w:t xml:space="preserve">Artículo 32. </w:t>
      </w:r>
      <w:r w:rsidRPr="00D97C4D">
        <w:rPr>
          <w:bCs/>
          <w:lang w:val="es-ES"/>
        </w:rPr>
        <w:t>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w:t>
      </w:r>
    </w:p>
    <w:p w14:paraId="0103F2D7" w14:textId="77777777" w:rsidR="00D97C4D" w:rsidRPr="00D97C4D" w:rsidRDefault="00D97C4D" w:rsidP="00D97C4D">
      <w:pPr>
        <w:pStyle w:val="Fundamentos"/>
        <w:rPr>
          <w:bCs/>
          <w:lang w:val="es-ES"/>
        </w:rPr>
      </w:pPr>
    </w:p>
    <w:p w14:paraId="0F87E013" w14:textId="77777777" w:rsidR="00D97C4D" w:rsidRPr="00D97C4D" w:rsidRDefault="00D97C4D" w:rsidP="00D97C4D">
      <w:pPr>
        <w:pStyle w:val="Fundamentos"/>
        <w:rPr>
          <w:bCs/>
          <w:lang w:val="es-ES"/>
        </w:rPr>
      </w:pPr>
      <w:r w:rsidRPr="00D97C4D">
        <w:rPr>
          <w:bCs/>
          <w:lang w:val="es-ES"/>
        </w:rPr>
        <w:t xml:space="preserve">El Gobernador del Estado, por conducto del titular de la dependencia competente, presentará a la Legislatura la cuenta pública del Gobierno del Estado del ejercicio fiscal inmediato anterior, a más tardar el treinta de abril de cada año. </w:t>
      </w:r>
    </w:p>
    <w:p w14:paraId="6AABF4B2" w14:textId="77777777" w:rsidR="00D97C4D" w:rsidRPr="00D97C4D" w:rsidRDefault="00D97C4D" w:rsidP="00D97C4D">
      <w:pPr>
        <w:pStyle w:val="Fundamentos"/>
        <w:rPr>
          <w:bCs/>
          <w:lang w:val="es-ES"/>
        </w:rPr>
      </w:pPr>
    </w:p>
    <w:p w14:paraId="61D7340E" w14:textId="77777777" w:rsidR="00D97C4D" w:rsidRPr="00D97C4D" w:rsidRDefault="00D97C4D" w:rsidP="00D97C4D">
      <w:pPr>
        <w:pStyle w:val="Fundamentos"/>
        <w:rPr>
          <w:bCs/>
          <w:lang w:val="es-ES"/>
        </w:rPr>
      </w:pPr>
      <w:r w:rsidRPr="00D97C4D">
        <w:rPr>
          <w:b/>
          <w:bCs/>
          <w:u w:val="single"/>
          <w:lang w:val="es-ES"/>
        </w:rPr>
        <w:t>Los presidentes municipales presentarán a la Legislatura las cuentas públicas de sus respectivos municipios, del ejercicio fiscal inmediato anterior, dentro de los quince primeros días del mes de marzo de cada año</w:t>
      </w:r>
      <w:r w:rsidRPr="00D97C4D">
        <w:rPr>
          <w:bCs/>
          <w:lang w:val="es-ES"/>
        </w:rPr>
        <w:t xml:space="preserve">. </w:t>
      </w:r>
    </w:p>
    <w:p w14:paraId="17F4E816" w14:textId="77777777" w:rsidR="00D97C4D" w:rsidRPr="00D97C4D" w:rsidRDefault="00D97C4D" w:rsidP="00D97C4D">
      <w:pPr>
        <w:pStyle w:val="Fundamentos"/>
        <w:rPr>
          <w:bCs/>
          <w:lang w:val="es-ES"/>
        </w:rPr>
      </w:pPr>
    </w:p>
    <w:p w14:paraId="29785628" w14:textId="77777777" w:rsidR="00D97C4D" w:rsidRPr="00D97C4D" w:rsidRDefault="00D97C4D" w:rsidP="00D97C4D">
      <w:pPr>
        <w:pStyle w:val="Fundamentos"/>
        <w:rPr>
          <w:bCs/>
          <w:lang w:val="es-ES"/>
        </w:rPr>
      </w:pPr>
      <w:r w:rsidRPr="00D97C4D">
        <w:rPr>
          <w:bCs/>
          <w:lang w:val="es-ES"/>
        </w:rPr>
        <w:t>Si el día del vencimiento de los plazos señalados, corresponde a un día inhábil, se podrá presentar al día hábil inmediato siguiente.</w:t>
      </w:r>
    </w:p>
    <w:p w14:paraId="088DFEEC" w14:textId="77777777" w:rsidR="00D97C4D" w:rsidRPr="00D97C4D" w:rsidRDefault="00D97C4D" w:rsidP="00D97C4D">
      <w:pPr>
        <w:pStyle w:val="Fundamentos"/>
        <w:rPr>
          <w:bCs/>
          <w:lang w:val="es-ES"/>
        </w:rPr>
      </w:pPr>
    </w:p>
    <w:p w14:paraId="4A7954AA" w14:textId="77777777" w:rsidR="00D97C4D" w:rsidRPr="00D97C4D" w:rsidRDefault="00D97C4D" w:rsidP="00D97C4D">
      <w:pPr>
        <w:pStyle w:val="Fundamentos"/>
        <w:rPr>
          <w:bCs/>
          <w:lang w:val="es-ES"/>
        </w:rPr>
      </w:pPr>
      <w:r w:rsidRPr="00D97C4D">
        <w:rPr>
          <w:bCs/>
          <w:lang w:val="es-ES"/>
        </w:rPr>
        <w:t>La Legislatura deberá remitir las Cuentas Públicas al Órgano Superior el día hábil siguiente a su recepción.</w:t>
      </w:r>
    </w:p>
    <w:p w14:paraId="25B095B2" w14:textId="77777777" w:rsidR="00D97C4D" w:rsidRDefault="00D97C4D" w:rsidP="00D97C4D">
      <w:pPr>
        <w:rPr>
          <w:rFonts w:cs="Arial"/>
          <w:lang w:val="es-MX"/>
        </w:rPr>
      </w:pPr>
    </w:p>
    <w:p w14:paraId="447EED62" w14:textId="7AE5B881" w:rsidR="00D97C4D" w:rsidRDefault="00D97C4D" w:rsidP="00D97C4D">
      <w:pPr>
        <w:rPr>
          <w:rFonts w:cs="Arial"/>
          <w:lang w:val="es-MX"/>
        </w:rPr>
      </w:pPr>
      <w:r>
        <w:rPr>
          <w:rFonts w:cs="Arial"/>
          <w:lang w:val="es-MX"/>
        </w:rPr>
        <w:t xml:space="preserve">De los preceptos en cita, se advierte que la cuenta pública se rinde de manera anual y, para el caso de los municipios, se entrega la correspondiente al ejercicio fiscal inmediato anterior, dentro de los primeros quince días del mes de marzo de cada año. Por ende, la información correspondiente a la cuenta pública del ejercicio 2023 se entregará dentro de los primeros quince días del mes de marzo de 2024, por lo que resulta evidente que </w:t>
      </w:r>
      <w:r w:rsidR="0061546C">
        <w:rPr>
          <w:rFonts w:cs="Arial"/>
          <w:lang w:val="es-MX"/>
        </w:rPr>
        <w:t>el Sujeto Obligado aún no cuenta en sus archivos con la información requerida por el particular.</w:t>
      </w:r>
    </w:p>
    <w:p w14:paraId="54659F4B" w14:textId="77777777" w:rsidR="00D97C4D" w:rsidRDefault="00D97C4D" w:rsidP="00D97C4D">
      <w:pPr>
        <w:rPr>
          <w:rFonts w:cs="Arial"/>
          <w:lang w:val="es-MX"/>
        </w:rPr>
      </w:pPr>
    </w:p>
    <w:p w14:paraId="7E20F82E" w14:textId="77777777" w:rsidR="0061546C" w:rsidRPr="00D63146" w:rsidRDefault="0061546C" w:rsidP="0061546C">
      <w:pPr>
        <w:pStyle w:val="Sinespaciado"/>
        <w:spacing w:line="360" w:lineRule="auto"/>
        <w:jc w:val="both"/>
        <w:rPr>
          <w:rFonts w:ascii="Palatino Linotype" w:eastAsiaTheme="minorHAnsi" w:hAnsi="Palatino Linotype" w:cs="Arial"/>
        </w:rPr>
      </w:pPr>
      <w:r>
        <w:rPr>
          <w:rFonts w:ascii="Palatino Linotype" w:eastAsia="Palatino Linotype" w:hAnsi="Palatino Linotype" w:cs="Palatino Linotype"/>
          <w:lang w:val="es-ES"/>
        </w:rPr>
        <w:t xml:space="preserve">De tal forma que la respuesta del Sujeto Obligado </w:t>
      </w:r>
      <w:r w:rsidRPr="00D63146">
        <w:rPr>
          <w:rFonts w:ascii="Palatino Linotype" w:eastAsiaTheme="minorHAnsi" w:hAnsi="Palatino Linotype" w:cstheme="minorHAnsi"/>
          <w:lang w:eastAsia="en-US"/>
        </w:rPr>
        <w:t>se traduce en un pron</w:t>
      </w:r>
      <w:r>
        <w:rPr>
          <w:rFonts w:ascii="Palatino Linotype" w:eastAsiaTheme="minorHAnsi" w:hAnsi="Palatino Linotype" w:cstheme="minorHAnsi"/>
          <w:lang w:eastAsia="en-US"/>
        </w:rPr>
        <w:t>unciamiento en sentido negativo;</w:t>
      </w:r>
      <w:r w:rsidRPr="00D63146">
        <w:rPr>
          <w:rFonts w:ascii="Palatino Linotype" w:eastAsiaTheme="minorHAnsi" w:hAnsi="Palatino Linotype" w:cstheme="minorHAnsi"/>
          <w:lang w:eastAsia="en-US"/>
        </w:rPr>
        <w:t xml:space="preserve"> es decir, </w:t>
      </w:r>
      <w:r w:rsidRPr="00D63146">
        <w:rPr>
          <w:rFonts w:ascii="Palatino Linotype" w:eastAsiaTheme="minorHAnsi" w:hAnsi="Palatino Linotype" w:cstheme="minorBidi"/>
          <w:lang w:eastAsia="en-US"/>
        </w:rPr>
        <w:t xml:space="preserve">se concluye que la respuesta constituye hechos negativos, pues no se ha generado, poseído o administrado </w:t>
      </w:r>
      <w:r>
        <w:rPr>
          <w:rFonts w:ascii="Palatino Linotype" w:eastAsiaTheme="minorHAnsi" w:hAnsi="Palatino Linotype" w:cstheme="minorBidi"/>
          <w:lang w:eastAsia="en-US"/>
        </w:rPr>
        <w:t>el documento relativo</w:t>
      </w:r>
      <w:r w:rsidRPr="00D63146">
        <w:rPr>
          <w:rFonts w:ascii="Palatino Linotype" w:eastAsiaTheme="minorHAnsi" w:hAnsi="Palatino Linotype" w:cstheme="minorBidi"/>
          <w:lang w:eastAsia="en-US"/>
        </w:rPr>
        <w:t xml:space="preserve"> a lo solicitado por el Recurrente. </w:t>
      </w:r>
      <w:r w:rsidRPr="00D63146">
        <w:rPr>
          <w:rFonts w:ascii="Palatino Linotype" w:eastAsiaTheme="minorHAnsi" w:hAnsi="Palatino Linotype" w:cs="Arial"/>
        </w:rPr>
        <w:t>A</w:t>
      </w:r>
      <w:r>
        <w:rPr>
          <w:rFonts w:ascii="Palatino Linotype" w:eastAsiaTheme="minorHAnsi" w:hAnsi="Palatino Linotype" w:cs="Arial"/>
        </w:rPr>
        <w:t xml:space="preserve">sí, </w:t>
      </w:r>
      <w:r w:rsidRPr="00D63146">
        <w:rPr>
          <w:rFonts w:ascii="Palatino Linotype" w:eastAsiaTheme="minorHAnsi" w:hAnsi="Palatino Linotype" w:cs="Arial"/>
        </w:rPr>
        <w:t>el Pleno de este Órgano Garante ha sostenido que</w:t>
      </w:r>
      <w:r>
        <w:rPr>
          <w:rFonts w:ascii="Palatino Linotype" w:eastAsiaTheme="minorHAnsi" w:hAnsi="Palatino Linotype" w:cs="Arial"/>
        </w:rPr>
        <w:t xml:space="preserve"> ante un hecho negativo</w:t>
      </w:r>
      <w:r w:rsidRPr="00D63146">
        <w:rPr>
          <w:rFonts w:ascii="Palatino Linotype" w:eastAsiaTheme="minorHAnsi" w:hAnsi="Palatino Linotype" w:cs="Arial"/>
        </w:rPr>
        <w:t xml:space="preserve"> resulta innecesaria una declaratoria de inexistencia en términos de los artículos 19, 169 y 170 de la Ley de Transparencia y Acceso a la Información Pública del Estado de México y Municipios, resultando aplicable la siguiente tesis:</w:t>
      </w:r>
    </w:p>
    <w:p w14:paraId="51DDFFD6" w14:textId="77777777" w:rsidR="0061546C" w:rsidRPr="00A861DD" w:rsidRDefault="0061546C" w:rsidP="0061546C"/>
    <w:p w14:paraId="4CAC89C9" w14:textId="77777777" w:rsidR="0061546C" w:rsidRPr="0061546C" w:rsidRDefault="0061546C" w:rsidP="0061546C">
      <w:pPr>
        <w:pStyle w:val="Fundamentos"/>
        <w:rPr>
          <w:b/>
        </w:rPr>
      </w:pPr>
      <w:r w:rsidRPr="0061546C">
        <w:rPr>
          <w:b/>
        </w:rPr>
        <w:t xml:space="preserve">HECHOS NEGATIVOS, NO SON SUSCEPTIBLES DE DEMOSTRACIÓN. </w:t>
      </w:r>
    </w:p>
    <w:p w14:paraId="122EC415" w14:textId="77777777" w:rsidR="0061546C" w:rsidRPr="00A861DD" w:rsidRDefault="0061546C" w:rsidP="0061546C">
      <w:pPr>
        <w:pStyle w:val="Fundamentos"/>
      </w:pPr>
      <w:r w:rsidRPr="0061546C">
        <w:t>Tratándose de un hecho negativo, el Juez no tiene por qué invocar prueba alguna de la que se desprenda, ya que es bien sabido que esta clase de hechos no son susceptibles de demostración.</w:t>
      </w:r>
    </w:p>
    <w:p w14:paraId="272507DD" w14:textId="77777777" w:rsidR="0061546C" w:rsidRPr="00A861DD" w:rsidRDefault="0061546C" w:rsidP="0061546C"/>
    <w:p w14:paraId="52AB5F88" w14:textId="6FA9EE72" w:rsidR="0061546C" w:rsidRDefault="0061546C" w:rsidP="0061546C">
      <w:pPr>
        <w:rPr>
          <w:rFonts w:eastAsiaTheme="minorHAnsi" w:cstheme="minorBidi"/>
          <w:szCs w:val="24"/>
        </w:rPr>
      </w:pPr>
      <w:r>
        <w:rPr>
          <w:rFonts w:eastAsiaTheme="minorHAnsi" w:cstheme="minorBidi"/>
          <w:szCs w:val="24"/>
        </w:rPr>
        <w:t xml:space="preserve">Además, </w:t>
      </w:r>
      <w:r w:rsidRPr="00D63146">
        <w:rPr>
          <w:rFonts w:eastAsiaTheme="minorHAnsi" w:cstheme="minorBidi"/>
          <w:szCs w:val="24"/>
        </w:rPr>
        <w:t>de conformidad con lo establecido en el artículo 12 de la Ley de</w:t>
      </w:r>
      <w:r>
        <w:rPr>
          <w:rFonts w:eastAsiaTheme="minorHAnsi" w:cstheme="minorBidi"/>
          <w:szCs w:val="24"/>
        </w:rPr>
        <w:t xml:space="preserve"> la materia</w:t>
      </w:r>
      <w:r w:rsidRPr="00D63146">
        <w:rPr>
          <w:rFonts w:eastAsiaTheme="minorHAnsi" w:cstheme="minorBidi"/>
          <w:szCs w:val="24"/>
        </w:rPr>
        <w:t>, el Sujeto Obligado sólo proporcionará la información que obra en sus archivos, lo que</w:t>
      </w:r>
      <w:r>
        <w:rPr>
          <w:rFonts w:eastAsiaTheme="minorHAnsi" w:cstheme="minorBidi"/>
          <w:szCs w:val="24"/>
        </w:rPr>
        <w:t xml:space="preserve"> </w:t>
      </w:r>
      <w:r w:rsidRPr="00D63146">
        <w:rPr>
          <w:rFonts w:eastAsiaTheme="minorHAnsi" w:cstheme="minorBidi"/>
          <w:i/>
          <w:szCs w:val="24"/>
        </w:rPr>
        <w:t>a contrario sensu</w:t>
      </w:r>
      <w:r>
        <w:rPr>
          <w:rFonts w:eastAsiaTheme="minorHAnsi" w:cstheme="minorBidi"/>
          <w:szCs w:val="24"/>
        </w:rPr>
        <w:t xml:space="preserve"> significa que no</w:t>
      </w:r>
      <w:r w:rsidRPr="00D63146">
        <w:rPr>
          <w:rFonts w:eastAsiaTheme="minorHAnsi" w:cstheme="minorBidi"/>
          <w:szCs w:val="24"/>
        </w:rPr>
        <w:t xml:space="preserve"> está obligado a proporcionar</w:t>
      </w:r>
      <w:r w:rsidR="00684E5A">
        <w:rPr>
          <w:rFonts w:eastAsiaTheme="minorHAnsi" w:cstheme="minorBidi"/>
          <w:szCs w:val="24"/>
        </w:rPr>
        <w:t xml:space="preserve"> lo que no obre en sus archivos, como se observa a continuación:</w:t>
      </w:r>
    </w:p>
    <w:p w14:paraId="652D791B" w14:textId="77777777" w:rsidR="00684E5A" w:rsidRDefault="00684E5A" w:rsidP="0061546C">
      <w:pPr>
        <w:rPr>
          <w:rFonts w:eastAsiaTheme="minorHAnsi" w:cstheme="minorBidi"/>
          <w:szCs w:val="24"/>
        </w:rPr>
      </w:pPr>
    </w:p>
    <w:p w14:paraId="23C7B064" w14:textId="77777777" w:rsidR="00684E5A" w:rsidRPr="00684E5A" w:rsidRDefault="00684E5A" w:rsidP="00684E5A">
      <w:pPr>
        <w:pStyle w:val="Fundamentos"/>
        <w:rPr>
          <w:lang w:val="es-MX" w:eastAsia="en-US"/>
        </w:rPr>
      </w:pPr>
      <w:r w:rsidRPr="00684E5A">
        <w:rPr>
          <w:b/>
          <w:lang w:val="es-MX" w:eastAsia="en-US"/>
        </w:rPr>
        <w:t xml:space="preserve">Artículo 12. </w:t>
      </w:r>
      <w:r w:rsidRPr="00684E5A">
        <w:rPr>
          <w:lang w:val="es-MX" w:eastAsia="en-US"/>
        </w:rPr>
        <w:t>Quienes generen, recopilen, administren, manejen, procesen, archiven o conserven información pública serán responsables de la misma en los términos de las disposiciones jurídicas aplicables.</w:t>
      </w:r>
    </w:p>
    <w:p w14:paraId="3EC6A486" w14:textId="77777777" w:rsidR="00684E5A" w:rsidRPr="00684E5A" w:rsidRDefault="00684E5A" w:rsidP="00684E5A">
      <w:pPr>
        <w:pStyle w:val="Fundamentos"/>
        <w:rPr>
          <w:lang w:val="es-MX" w:eastAsia="en-US"/>
        </w:rPr>
      </w:pPr>
    </w:p>
    <w:p w14:paraId="65A28B5C" w14:textId="77777777" w:rsidR="00684E5A" w:rsidRPr="00684E5A" w:rsidRDefault="00684E5A" w:rsidP="00684E5A">
      <w:pPr>
        <w:pStyle w:val="Fundamentos"/>
        <w:rPr>
          <w:lang w:val="es-MX" w:eastAsia="en-US"/>
        </w:rPr>
      </w:pPr>
      <w:r w:rsidRPr="00684E5A">
        <w:rPr>
          <w:b/>
          <w:u w:val="single"/>
          <w:lang w:val="es-MX" w:eastAsia="en-US"/>
        </w:rPr>
        <w:t>Los sujetos obligados sólo proporcionarán la información pública que se les requiera y que obre en sus archivos y en el estado en que ésta se encuentre</w:t>
      </w:r>
      <w:r w:rsidRPr="00684E5A">
        <w:rPr>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1C8BFE04" w14:textId="77777777" w:rsidR="00684E5A" w:rsidRPr="00D63146" w:rsidRDefault="00684E5A" w:rsidP="0061546C">
      <w:pPr>
        <w:rPr>
          <w:rFonts w:eastAsiaTheme="minorHAnsi" w:cstheme="minorBidi"/>
          <w:szCs w:val="24"/>
          <w:lang w:eastAsia="en-US"/>
        </w:rPr>
      </w:pPr>
    </w:p>
    <w:p w14:paraId="3686A6EF" w14:textId="56D0AB14" w:rsidR="0061546C" w:rsidRPr="00D63146" w:rsidRDefault="0061546C" w:rsidP="0061546C">
      <w:pPr>
        <w:rPr>
          <w:rFonts w:eastAsiaTheme="minorHAnsi" w:cstheme="minorBidi"/>
          <w:szCs w:val="24"/>
          <w:lang w:eastAsia="en-US"/>
        </w:rPr>
      </w:pPr>
      <w:r w:rsidRPr="00D63146">
        <w:rPr>
          <w:rFonts w:eastAsiaTheme="minorHAnsi" w:cstheme="minorBidi"/>
          <w:szCs w:val="24"/>
          <w:lang w:eastAsia="en-US"/>
        </w:rPr>
        <w:lastRenderedPageBreak/>
        <w:t>Asimismo, se destaca que el Sujeto Obligad</w:t>
      </w:r>
      <w:r>
        <w:rPr>
          <w:rFonts w:eastAsiaTheme="minorHAnsi" w:cstheme="minorBidi"/>
          <w:szCs w:val="24"/>
          <w:lang w:eastAsia="en-US"/>
        </w:rPr>
        <w:t>o emitió un pronunciamiento. Por ende</w:t>
      </w:r>
      <w:r w:rsidRPr="00D63146">
        <w:rPr>
          <w:rFonts w:eastAsiaTheme="minorHAnsi" w:cstheme="minorBidi"/>
          <w:szCs w:val="24"/>
          <w:lang w:eastAsia="en-US"/>
        </w:rPr>
        <w:t>, a</w:t>
      </w:r>
      <w:r>
        <w:rPr>
          <w:rFonts w:eastAsiaTheme="minorHAnsi" w:cstheme="minorBidi"/>
          <w:szCs w:val="24"/>
          <w:lang w:eastAsia="en-US"/>
        </w:rPr>
        <w:t>l existir un pronunciamiento, aú</w:t>
      </w:r>
      <w:r w:rsidRPr="00D63146">
        <w:rPr>
          <w:rFonts w:eastAsiaTheme="minorHAnsi" w:cstheme="minorBidi"/>
          <w:szCs w:val="24"/>
          <w:lang w:eastAsia="en-US"/>
        </w:rPr>
        <w:t xml:space="preserve">n en sentido negativo, </w:t>
      </w:r>
      <w:r w:rsidR="00CF5FE4">
        <w:rPr>
          <w:rFonts w:eastAsiaTheme="minorHAnsi" w:cstheme="minorBidi"/>
          <w:szCs w:val="24"/>
        </w:rPr>
        <w:t>este Instituto</w:t>
      </w:r>
      <w:r w:rsidRPr="00D63146">
        <w:rPr>
          <w:rFonts w:eastAsiaTheme="minorHAnsi" w:cstheme="minorBidi"/>
          <w:szCs w:val="24"/>
        </w:rPr>
        <w:t xml:space="preserve"> estima conveniente señalar que no está facultado para manifestarse sobre la veracidad de la información proporcionada, ya que no existe precept</w:t>
      </w:r>
      <w:r w:rsidR="00CF5FE4">
        <w:rPr>
          <w:rFonts w:eastAsiaTheme="minorHAnsi" w:cstheme="minorBidi"/>
          <w:szCs w:val="24"/>
        </w:rPr>
        <w:t>o legal alguna en la Ley de la m</w:t>
      </w:r>
      <w:r w:rsidRPr="00D63146">
        <w:rPr>
          <w:rFonts w:eastAsiaTheme="minorHAnsi" w:cstheme="minorBidi"/>
          <w:szCs w:val="24"/>
        </w:rPr>
        <w:t>ateria que permita, vía recur</w:t>
      </w:r>
      <w:r>
        <w:rPr>
          <w:rFonts w:eastAsiaTheme="minorHAnsi" w:cstheme="minorBidi"/>
          <w:szCs w:val="24"/>
        </w:rPr>
        <w:t>so de revisión, que se pronuncie</w:t>
      </w:r>
      <w:r w:rsidRPr="00D63146">
        <w:rPr>
          <w:rFonts w:eastAsiaTheme="minorHAnsi" w:cstheme="minorBidi"/>
          <w:szCs w:val="24"/>
        </w:rPr>
        <w:t xml:space="preserve"> al respecto. Por analogía, sirve de apo</w:t>
      </w:r>
      <w:r w:rsidR="00CF5FE4">
        <w:rPr>
          <w:rFonts w:eastAsiaTheme="minorHAnsi" w:cstheme="minorBidi"/>
          <w:szCs w:val="24"/>
        </w:rPr>
        <w:t>yo el criterio con clave de control SO/0</w:t>
      </w:r>
      <w:r>
        <w:rPr>
          <w:rFonts w:eastAsiaTheme="minorHAnsi" w:cstheme="minorBidi"/>
          <w:szCs w:val="24"/>
        </w:rPr>
        <w:t>31/</w:t>
      </w:r>
      <w:r w:rsidR="00CF5FE4">
        <w:rPr>
          <w:rFonts w:eastAsiaTheme="minorHAnsi" w:cstheme="minorBidi"/>
          <w:szCs w:val="24"/>
        </w:rPr>
        <w:t xml:space="preserve">2010 emitido por el entonces </w:t>
      </w:r>
      <w:r w:rsidR="00CF5FE4" w:rsidRPr="00CF5FE4">
        <w:rPr>
          <w:rFonts w:eastAsiaTheme="minorHAnsi" w:cstheme="minorBidi"/>
          <w:szCs w:val="24"/>
        </w:rPr>
        <w:t>Instituto Federal de Acceso a la Información y Protección de Datos</w:t>
      </w:r>
      <w:r w:rsidR="00CF5FE4">
        <w:rPr>
          <w:rFonts w:eastAsiaTheme="minorHAnsi" w:cstheme="minorBidi"/>
          <w:szCs w:val="24"/>
        </w:rPr>
        <w:t xml:space="preserve"> (hoy Instituto Nacional</w:t>
      </w:r>
      <w:r w:rsidRPr="00D63146">
        <w:rPr>
          <w:rFonts w:eastAsiaTheme="minorHAnsi" w:cstheme="minorBidi"/>
          <w:szCs w:val="24"/>
        </w:rPr>
        <w:t xml:space="preserve"> de </w:t>
      </w:r>
      <w:r w:rsidR="00CF5FE4">
        <w:rPr>
          <w:rFonts w:eastAsiaTheme="minorHAnsi" w:cstheme="minorBidi"/>
          <w:szCs w:val="24"/>
        </w:rPr>
        <w:t xml:space="preserve">Transparencia, </w:t>
      </w:r>
      <w:r w:rsidRPr="00D63146">
        <w:rPr>
          <w:rFonts w:eastAsiaTheme="minorHAnsi" w:cstheme="minorBidi"/>
          <w:szCs w:val="24"/>
        </w:rPr>
        <w:t>Acceso a la Información y Protección de Dato</w:t>
      </w:r>
      <w:r w:rsidR="00CF5FE4">
        <w:rPr>
          <w:rFonts w:eastAsiaTheme="minorHAnsi" w:cstheme="minorBidi"/>
          <w:szCs w:val="24"/>
        </w:rPr>
        <w:t>s Personales [INAI])</w:t>
      </w:r>
      <w:r w:rsidRPr="00D63146">
        <w:rPr>
          <w:rFonts w:eastAsiaTheme="minorHAnsi" w:cstheme="minorBidi"/>
          <w:szCs w:val="24"/>
        </w:rPr>
        <w:t>, que a la letra establece lo siguiente:</w:t>
      </w:r>
    </w:p>
    <w:p w14:paraId="66BEFAE9" w14:textId="77777777" w:rsidR="0061546C" w:rsidRPr="00CF5FE4" w:rsidRDefault="0061546C" w:rsidP="0061546C">
      <w:pPr>
        <w:rPr>
          <w:rFonts w:eastAsiaTheme="minorHAnsi" w:cstheme="minorBidi"/>
          <w:sz w:val="18"/>
          <w:szCs w:val="24"/>
        </w:rPr>
      </w:pPr>
    </w:p>
    <w:p w14:paraId="47AC9F8D" w14:textId="2B5F62AB" w:rsidR="0061546C" w:rsidRPr="00D63146" w:rsidRDefault="00CF5FE4" w:rsidP="0061546C">
      <w:pPr>
        <w:pStyle w:val="Fundamentos"/>
        <w:rPr>
          <w:rFonts w:cstheme="minorBidi"/>
          <w:lang w:eastAsia="en-US"/>
        </w:rPr>
      </w:pPr>
      <w:r w:rsidRPr="00A861DD">
        <w:rPr>
          <w:b/>
        </w:rPr>
        <w:t xml:space="preserve">El </w:t>
      </w:r>
      <w:r>
        <w:rPr>
          <w:b/>
        </w:rPr>
        <w:t>Instituto Federal de A</w:t>
      </w:r>
      <w:r w:rsidRPr="00A861DD">
        <w:rPr>
          <w:b/>
        </w:rPr>
        <w:t xml:space="preserve">cceso a la </w:t>
      </w:r>
      <w:r>
        <w:rPr>
          <w:b/>
        </w:rPr>
        <w:t>Información y Protección de D</w:t>
      </w:r>
      <w:r w:rsidRPr="00A861DD">
        <w:rPr>
          <w:b/>
        </w:rPr>
        <w:t>atos no cuenta con facultades para pronunciarse respecto de la veracidad de los documentos proporcionados por los sujetos obligados.</w:t>
      </w:r>
      <w:r w:rsidR="0061546C" w:rsidRPr="00D63146">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4471B512" w14:textId="77777777" w:rsidR="0061546C" w:rsidRPr="00CF5FE4" w:rsidRDefault="0061546C" w:rsidP="0061546C">
      <w:pPr>
        <w:rPr>
          <w:rFonts w:eastAsiaTheme="minorHAnsi" w:cs="Arial"/>
          <w:sz w:val="20"/>
          <w:szCs w:val="24"/>
          <w:lang w:eastAsia="en-US"/>
        </w:rPr>
      </w:pPr>
    </w:p>
    <w:p w14:paraId="593C4D01" w14:textId="6E774570" w:rsidR="0061546C" w:rsidRDefault="0061546C" w:rsidP="0061546C">
      <w:pPr>
        <w:rPr>
          <w:bCs/>
          <w:lang w:val="es-MX"/>
        </w:rPr>
      </w:pPr>
      <w:r>
        <w:rPr>
          <w:rFonts w:eastAsia="Palatino Linotype" w:cs="Palatino Linotype"/>
          <w:szCs w:val="24"/>
        </w:rPr>
        <w:t xml:space="preserve">Por lo anterior, dado </w:t>
      </w:r>
      <w:r w:rsidR="00684E5A">
        <w:rPr>
          <w:rFonts w:eastAsia="Palatino Linotype" w:cs="Palatino Linotype"/>
          <w:szCs w:val="24"/>
        </w:rPr>
        <w:t xml:space="preserve">que </w:t>
      </w:r>
      <w:r>
        <w:rPr>
          <w:rFonts w:eastAsia="Palatino Linotype" w:cs="Palatino Linotype"/>
          <w:szCs w:val="24"/>
        </w:rPr>
        <w:t xml:space="preserve">normatividad </w:t>
      </w:r>
      <w:r w:rsidR="00684E5A">
        <w:rPr>
          <w:rFonts w:eastAsia="Palatino Linotype" w:cs="Palatino Linotype"/>
          <w:szCs w:val="24"/>
        </w:rPr>
        <w:t xml:space="preserve">establece que la información relativa al ejercicio 2023 es generada hasta el final del ejercicio referido, </w:t>
      </w:r>
      <w:r>
        <w:rPr>
          <w:rFonts w:eastAsia="Palatino Linotype" w:cs="Palatino Linotype"/>
          <w:szCs w:val="24"/>
        </w:rPr>
        <w:t xml:space="preserve">con la respuesta </w:t>
      </w:r>
      <w:r w:rsidR="00684E5A">
        <w:rPr>
          <w:rFonts w:eastAsia="Palatino Linotype" w:cs="Palatino Linotype"/>
          <w:szCs w:val="24"/>
        </w:rPr>
        <w:t xml:space="preserve">del Sujeto Obligado </w:t>
      </w:r>
      <w:r>
        <w:rPr>
          <w:rFonts w:eastAsia="Palatino Linotype" w:cs="Palatino Linotype"/>
          <w:szCs w:val="24"/>
        </w:rPr>
        <w:t>en sentido negativo se tiene por colmada la pretensión del Recurrente.</w:t>
      </w:r>
    </w:p>
    <w:p w14:paraId="599CE027" w14:textId="77777777" w:rsidR="00D97C4D" w:rsidRPr="00CF5FE4" w:rsidRDefault="00D97C4D" w:rsidP="00D97C4D">
      <w:pPr>
        <w:rPr>
          <w:rFonts w:cs="Arial"/>
          <w:sz w:val="20"/>
          <w:lang w:val="es-MX"/>
        </w:rPr>
      </w:pPr>
    </w:p>
    <w:p w14:paraId="7F0876EC" w14:textId="31D8EC94" w:rsidR="003F3FF0" w:rsidRPr="00C47DC0" w:rsidRDefault="00940996" w:rsidP="003F3FF0">
      <w:pPr>
        <w:contextualSpacing/>
      </w:pPr>
      <w:r>
        <w:rPr>
          <w:rFonts w:cs="Arial"/>
        </w:rPr>
        <w:t>En conclusión</w:t>
      </w:r>
      <w:r w:rsidR="003F3FF0">
        <w:rPr>
          <w:rFonts w:cs="Arial"/>
        </w:rPr>
        <w:t>,</w:t>
      </w:r>
      <w:r>
        <w:rPr>
          <w:rFonts w:cs="Arial"/>
        </w:rPr>
        <w:t xml:space="preserve"> </w:t>
      </w:r>
      <w:r w:rsidR="003F3FF0" w:rsidRPr="00C47DC0">
        <w:t xml:space="preserve">este Instituto estima que los motivos de inconformidad del Recurrente devienen </w:t>
      </w:r>
      <w:r w:rsidR="00684E5A">
        <w:t xml:space="preserve">parcialmente </w:t>
      </w:r>
      <w:r w:rsidR="003F3FF0" w:rsidRPr="00C47DC0">
        <w:t xml:space="preserve">fundados, por lo que es procedente modificar la respuesta del </w:t>
      </w:r>
      <w:r w:rsidR="003F3FF0" w:rsidRPr="00C47DC0">
        <w:lastRenderedPageBreak/>
        <w:t xml:space="preserve">Sujeto Obligado y ordenar que </w:t>
      </w:r>
      <w:r w:rsidR="0065025C">
        <w:t xml:space="preserve">se haga </w:t>
      </w:r>
      <w:r w:rsidR="00684E5A">
        <w:t xml:space="preserve">entrega al particular de todos los formatos firmados del sistema de planeación y presupuesto </w:t>
      </w:r>
      <w:r w:rsidR="00883FDD">
        <w:t>de la Comisión de Impacto Estatal generados del primero de enero al treinta y uno de diciembre de dos mil veintidós.</w:t>
      </w:r>
    </w:p>
    <w:p w14:paraId="2EFC6137" w14:textId="02C73127" w:rsidR="00940996" w:rsidRDefault="00940996" w:rsidP="005D009F">
      <w:pPr>
        <w:rPr>
          <w:rFonts w:cs="Arial"/>
        </w:rPr>
      </w:pPr>
    </w:p>
    <w:p w14:paraId="6243C045" w14:textId="4A084A6F" w:rsidR="00055E1C" w:rsidRDefault="006F19CB" w:rsidP="00055E1C">
      <w:r>
        <w:t>Por último, dada la naturaleza de la información solicitada, no se advierte que contenga datos s</w:t>
      </w:r>
      <w:r w:rsidR="00883FDD">
        <w:t>usceptibles de ser clasificados, por lo que es dable que la información se entregue en versión íntegra.</w:t>
      </w:r>
    </w:p>
    <w:p w14:paraId="03B7B689" w14:textId="77777777" w:rsidR="00630157" w:rsidRDefault="00630157" w:rsidP="007F5589">
      <w:pPr>
        <w:contextualSpacing/>
        <w:rPr>
          <w:highlight w:val="yellow"/>
        </w:rPr>
      </w:pPr>
    </w:p>
    <w:p w14:paraId="7244CAFA" w14:textId="08003DC1" w:rsidR="00103A9A" w:rsidRPr="006F2304"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sidR="005E68C5">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 </w:t>
      </w:r>
      <w:r w:rsidR="00883FDD">
        <w:rPr>
          <w:rFonts w:eastAsia="Palatino Linotype" w:cs="Palatino Linotype"/>
          <w:color w:val="000000" w:themeColor="text1"/>
        </w:rPr>
        <w:t xml:space="preserve">parcialmente </w:t>
      </w:r>
      <w:r w:rsidRPr="0CEC3CE0">
        <w:rPr>
          <w:rFonts w:eastAsia="Palatino Linotype" w:cs="Palatino Linotype"/>
          <w:color w:val="000000" w:themeColor="text1"/>
        </w:rPr>
        <w:t xml:space="preserve">fundados en el recurso de revisión que es materia de esta resolución; por ello </w:t>
      </w:r>
      <w:r w:rsidRPr="0CEC3CE0">
        <w:rPr>
          <w:rFonts w:eastAsia="Palatino Linotype" w:cs="Palatino Linotype"/>
          <w:b/>
          <w:bCs/>
          <w:color w:val="000000" w:themeColor="text1"/>
        </w:rPr>
        <w:t xml:space="preserve">con fundamento en la segunda hipótesis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Pr="0CEC3CE0">
        <w:rPr>
          <w:rFonts w:eastAsia="Palatino Linotype" w:cs="Palatino Linotype"/>
          <w:b/>
          <w:bCs/>
          <w:color w:val="000000" w:themeColor="text1"/>
        </w:rPr>
        <w:t xml:space="preserve">MODIFICA </w:t>
      </w:r>
      <w:r w:rsidRPr="0CEC3CE0">
        <w:rPr>
          <w:rFonts w:eastAsia="Palatino Linotype" w:cs="Palatino Linotype"/>
          <w:color w:val="000000" w:themeColor="text1"/>
        </w:rPr>
        <w:t>la respuesta a la solicitud de información número</w:t>
      </w:r>
      <w:r w:rsidRPr="0CEC3CE0">
        <w:rPr>
          <w:rFonts w:eastAsia="Palatino Linotype" w:cs="Palatino Linotype"/>
          <w:b/>
          <w:bCs/>
          <w:color w:val="000000" w:themeColor="text1"/>
        </w:rPr>
        <w:t xml:space="preserve"> </w:t>
      </w:r>
      <w:r w:rsidR="00883FDD" w:rsidRPr="00883FDD">
        <w:rPr>
          <w:rFonts w:eastAsia="Palatino Linotype" w:cs="Palatino Linotype"/>
          <w:b/>
          <w:bCs/>
          <w:color w:val="000000" w:themeColor="text1"/>
        </w:rPr>
        <w:t>00310/SEDUO/IP/2023</w:t>
      </w:r>
      <w:r w:rsidRPr="0CEC3CE0">
        <w:rPr>
          <w:rFonts w:eastAsia="Palatino Linotype" w:cs="Palatino Linotype"/>
          <w:color w:val="000000" w:themeColor="text1"/>
        </w:rPr>
        <w:t>, que ha sido materia del presente estudio.</w:t>
      </w:r>
    </w:p>
    <w:p w14:paraId="542BDA98"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60BC1049" w14:textId="77777777" w:rsidR="00103A9A" w:rsidRPr="006F2304"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6F2304" w:rsidRDefault="00103A9A" w:rsidP="00103A9A">
      <w:pPr>
        <w:pStyle w:val="Ttulo1"/>
        <w:rPr>
          <w:rFonts w:eastAsia="Palatino Linotype"/>
        </w:rPr>
      </w:pPr>
      <w:r w:rsidRPr="006F2304">
        <w:rPr>
          <w:rFonts w:eastAsia="Palatino Linotype"/>
        </w:rPr>
        <w:t>S E    R E S U E L V E</w:t>
      </w:r>
    </w:p>
    <w:p w14:paraId="3B639159" w14:textId="77777777" w:rsidR="00103A9A" w:rsidRPr="002E1DD0" w:rsidRDefault="00103A9A" w:rsidP="00103A9A">
      <w:pPr>
        <w:pBdr>
          <w:top w:val="nil"/>
          <w:left w:val="nil"/>
          <w:bottom w:val="nil"/>
          <w:right w:val="nil"/>
          <w:between w:val="nil"/>
        </w:pBdr>
        <w:rPr>
          <w:rFonts w:eastAsia="Palatino Linotype" w:cs="Palatino Linotype"/>
          <w:b/>
          <w:color w:val="000000"/>
          <w:szCs w:val="24"/>
        </w:rPr>
      </w:pPr>
    </w:p>
    <w:p w14:paraId="75CBC497" w14:textId="0C4DD2B5" w:rsidR="00103A9A" w:rsidRPr="002E1DD0" w:rsidRDefault="00103A9A" w:rsidP="00103A9A">
      <w:pPr>
        <w:pBdr>
          <w:top w:val="nil"/>
          <w:left w:val="nil"/>
          <w:bottom w:val="nil"/>
          <w:right w:val="nil"/>
          <w:between w:val="nil"/>
        </w:pBdr>
        <w:rPr>
          <w:rFonts w:eastAsia="Palatino Linotype" w:cs="Palatino Linotype"/>
          <w:color w:val="000000"/>
        </w:rPr>
      </w:pPr>
      <w:r w:rsidRPr="0CEC3CE0">
        <w:rPr>
          <w:rFonts w:eastAsia="Palatino Linotype" w:cs="Palatino Linotype"/>
          <w:b/>
          <w:bCs/>
          <w:color w:val="000000" w:themeColor="text1"/>
        </w:rPr>
        <w:t>PRIMERO.</w:t>
      </w:r>
      <w:r w:rsidRPr="0CEC3CE0">
        <w:rPr>
          <w:rFonts w:eastAsia="Palatino Linotype" w:cs="Palatino Linotype"/>
          <w:color w:val="000000" w:themeColor="text1"/>
        </w:rPr>
        <w:t xml:space="preserve"> Se </w:t>
      </w:r>
      <w:r w:rsidRPr="0CEC3CE0">
        <w:rPr>
          <w:rFonts w:eastAsia="Palatino Linotype" w:cs="Palatino Linotype"/>
          <w:b/>
          <w:bCs/>
          <w:color w:val="000000" w:themeColor="text1"/>
        </w:rPr>
        <w:t>MODIFICA</w:t>
      </w:r>
      <w:r w:rsidRPr="0CEC3CE0">
        <w:rPr>
          <w:rFonts w:eastAsia="Palatino Linotype" w:cs="Palatino Linotype"/>
          <w:color w:val="000000" w:themeColor="text1"/>
        </w:rPr>
        <w:t xml:space="preserve"> la respuesta entregada por el Sujeto Obligado</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 xml:space="preserve">a la solicitud de información número </w:t>
      </w:r>
      <w:r w:rsidR="00883FDD" w:rsidRPr="00883FDD">
        <w:rPr>
          <w:rFonts w:eastAsia="Palatino Linotype" w:cs="Palatino Linotype"/>
          <w:b/>
          <w:bCs/>
          <w:color w:val="000000"/>
          <w:szCs w:val="24"/>
        </w:rPr>
        <w:t>00310/SEDUO/IP/2023</w:t>
      </w:r>
      <w:r w:rsidRPr="0CEC3CE0">
        <w:rPr>
          <w:rFonts w:eastAsia="Palatino Linotype" w:cs="Palatino Linotype"/>
          <w:color w:val="000000" w:themeColor="text1"/>
        </w:rPr>
        <w:t>, por resultar</w:t>
      </w:r>
      <w:r w:rsidR="005E68C5">
        <w:rPr>
          <w:rFonts w:eastAsia="Palatino Linotype" w:cs="Palatino Linotype"/>
          <w:color w:val="000000" w:themeColor="text1"/>
        </w:rPr>
        <w:t xml:space="preserve"> </w:t>
      </w:r>
      <w:r w:rsidR="00883FDD">
        <w:rPr>
          <w:rFonts w:eastAsia="Palatino Linotype" w:cs="Palatino Linotype"/>
          <w:color w:val="000000" w:themeColor="text1"/>
        </w:rPr>
        <w:t xml:space="preserve">parcialmente </w:t>
      </w:r>
      <w:r w:rsidRPr="0CEC3CE0">
        <w:rPr>
          <w:rFonts w:eastAsia="Palatino Linotype" w:cs="Palatino Linotype"/>
          <w:color w:val="000000" w:themeColor="text1"/>
        </w:rPr>
        <w:t>fundados los motivos de inconformidad argüidos por el Recurrente, en términos del</w:t>
      </w:r>
      <w:r w:rsidRPr="0CEC3CE0">
        <w:rPr>
          <w:rFonts w:eastAsia="Palatino Linotype" w:cs="Palatino Linotype"/>
          <w:b/>
          <w:bCs/>
          <w:color w:val="000000" w:themeColor="text1"/>
        </w:rPr>
        <w:t xml:space="preserve"> Considerando </w:t>
      </w:r>
      <w:r w:rsidR="004A05CD">
        <w:rPr>
          <w:rFonts w:eastAsia="Palatino Linotype" w:cs="Palatino Linotype"/>
          <w:b/>
          <w:bCs/>
          <w:color w:val="000000" w:themeColor="text1"/>
        </w:rPr>
        <w:t>CUAR</w:t>
      </w:r>
      <w:r w:rsidRPr="0CEC3CE0">
        <w:rPr>
          <w:rFonts w:eastAsia="Palatino Linotype" w:cs="Palatino Linotype"/>
          <w:b/>
          <w:bCs/>
          <w:color w:val="000000" w:themeColor="text1"/>
        </w:rPr>
        <w:t xml:space="preserve">TO </w:t>
      </w:r>
      <w:r w:rsidRPr="0CEC3CE0">
        <w:rPr>
          <w:rFonts w:eastAsia="Palatino Linotype" w:cs="Palatino Linotype"/>
          <w:color w:val="000000" w:themeColor="text1"/>
        </w:rPr>
        <w:t xml:space="preserve">de la presente resolución. </w:t>
      </w:r>
    </w:p>
    <w:p w14:paraId="2541DD14"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3D0119D4" w14:textId="7CBB65C9" w:rsidR="005E68C5" w:rsidRPr="00982EC2"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SEGUNDO.</w:t>
      </w:r>
      <w:r w:rsidRPr="002E1DD0">
        <w:rPr>
          <w:rFonts w:eastAsia="Palatino Linotype" w:cs="Palatino Linotype"/>
          <w:color w:val="000000"/>
          <w:szCs w:val="24"/>
        </w:rPr>
        <w:t xml:space="preserve"> </w:t>
      </w:r>
      <w:r w:rsidR="005E68C5" w:rsidRPr="00982EC2">
        <w:rPr>
          <w:rFonts w:eastAsia="Palatino Linotype" w:cs="Palatino Linotype"/>
          <w:color w:val="000000"/>
          <w:szCs w:val="24"/>
        </w:rPr>
        <w:t xml:space="preserve">Se </w:t>
      </w:r>
      <w:r w:rsidR="005E68C5" w:rsidRPr="00982EC2">
        <w:rPr>
          <w:rFonts w:eastAsia="Palatino Linotype" w:cs="Palatino Linotype"/>
          <w:b/>
          <w:color w:val="000000"/>
          <w:szCs w:val="24"/>
        </w:rPr>
        <w:t>ORDENA</w:t>
      </w:r>
      <w:r w:rsidR="005E68C5" w:rsidRPr="00982EC2">
        <w:rPr>
          <w:rFonts w:eastAsia="Palatino Linotype" w:cs="Palatino Linotype"/>
          <w:color w:val="000000"/>
          <w:szCs w:val="24"/>
        </w:rPr>
        <w:t xml:space="preserve"> al Sujeto Obligado que </w:t>
      </w:r>
      <w:r w:rsidR="004A05CD">
        <w:rPr>
          <w:rFonts w:eastAsia="Palatino Linotype" w:cs="Palatino Linotype"/>
          <w:color w:val="000000"/>
          <w:szCs w:val="24"/>
        </w:rPr>
        <w:t xml:space="preserve">haga </w:t>
      </w:r>
      <w:r w:rsidR="005E68C5" w:rsidRPr="00982EC2">
        <w:rPr>
          <w:rFonts w:eastAsia="Palatino Linotype" w:cs="Palatino Linotype"/>
          <w:color w:val="000000"/>
          <w:szCs w:val="24"/>
        </w:rPr>
        <w:t>entrega al Recurrente mediante el Sistema de Acceso a la Información Mexiquense (SAIMEX)</w:t>
      </w:r>
      <w:r w:rsidR="00C47DC0">
        <w:rPr>
          <w:rFonts w:eastAsia="Palatino Linotype" w:cs="Palatino Linotype"/>
          <w:color w:val="000000"/>
          <w:szCs w:val="24"/>
        </w:rPr>
        <w:t xml:space="preserve"> </w:t>
      </w:r>
      <w:r w:rsidR="005E68C5" w:rsidRPr="00982EC2">
        <w:rPr>
          <w:rFonts w:eastAsia="Palatino Linotype" w:cs="Palatino Linotype"/>
          <w:color w:val="000000"/>
          <w:szCs w:val="24"/>
        </w:rPr>
        <w:t xml:space="preserve">y en términos del </w:t>
      </w:r>
      <w:r w:rsidR="005E68C5" w:rsidRPr="005E68C5">
        <w:rPr>
          <w:rFonts w:eastAsia="Palatino Linotype" w:cs="Palatino Linotype"/>
          <w:b/>
          <w:color w:val="000000"/>
          <w:szCs w:val="24"/>
        </w:rPr>
        <w:t xml:space="preserve">Considerando </w:t>
      </w:r>
      <w:r w:rsidR="004A05CD">
        <w:rPr>
          <w:rFonts w:eastAsia="Palatino Linotype" w:cs="Palatino Linotype"/>
          <w:b/>
          <w:color w:val="000000"/>
          <w:szCs w:val="24"/>
        </w:rPr>
        <w:t>CUAR</w:t>
      </w:r>
      <w:r w:rsidR="005E68C5" w:rsidRPr="00982EC2">
        <w:rPr>
          <w:rFonts w:eastAsia="Palatino Linotype" w:cs="Palatino Linotype"/>
          <w:b/>
          <w:color w:val="000000"/>
          <w:szCs w:val="24"/>
        </w:rPr>
        <w:t>TO</w:t>
      </w:r>
      <w:r w:rsidR="005E68C5" w:rsidRPr="00982EC2">
        <w:rPr>
          <w:rFonts w:eastAsia="Palatino Linotype" w:cs="Palatino Linotype"/>
          <w:color w:val="000000"/>
          <w:szCs w:val="24"/>
        </w:rPr>
        <w:t>, de</w:t>
      </w:r>
      <w:r w:rsidR="00883FDD">
        <w:rPr>
          <w:rFonts w:eastAsia="Palatino Linotype" w:cs="Palatino Linotype"/>
          <w:color w:val="000000"/>
          <w:szCs w:val="24"/>
        </w:rPr>
        <w:t xml:space="preserve"> </w:t>
      </w:r>
      <w:r w:rsidR="005E68C5" w:rsidRPr="00982EC2">
        <w:rPr>
          <w:rFonts w:eastAsia="Palatino Linotype" w:cs="Palatino Linotype"/>
          <w:color w:val="000000"/>
          <w:szCs w:val="24"/>
        </w:rPr>
        <w:t xml:space="preserve">lo siguiente: </w:t>
      </w:r>
    </w:p>
    <w:p w14:paraId="6E489EA6" w14:textId="77777777" w:rsidR="005E68C5" w:rsidRPr="00982EC2" w:rsidRDefault="005E68C5" w:rsidP="005E68C5">
      <w:pPr>
        <w:pBdr>
          <w:top w:val="nil"/>
          <w:left w:val="nil"/>
          <w:bottom w:val="nil"/>
          <w:right w:val="nil"/>
          <w:between w:val="nil"/>
        </w:pBdr>
        <w:rPr>
          <w:rFonts w:eastAsia="Palatino Linotype" w:cs="Palatino Linotype"/>
          <w:color w:val="000000"/>
          <w:szCs w:val="24"/>
        </w:rPr>
      </w:pPr>
    </w:p>
    <w:p w14:paraId="72FB2ED4" w14:textId="4B8775BB" w:rsidR="005E68C5" w:rsidRPr="00C47DC0" w:rsidRDefault="0050763B" w:rsidP="00883FDD">
      <w:pPr>
        <w:numPr>
          <w:ilvl w:val="0"/>
          <w:numId w:val="2"/>
        </w:numPr>
        <w:pBdr>
          <w:top w:val="nil"/>
          <w:left w:val="nil"/>
          <w:bottom w:val="nil"/>
          <w:right w:val="nil"/>
          <w:between w:val="nil"/>
        </w:pBdr>
        <w:spacing w:line="276" w:lineRule="auto"/>
        <w:rPr>
          <w:rFonts w:eastAsia="Palatino Linotype" w:cs="Palatino Linotype"/>
          <w:color w:val="000000"/>
          <w:szCs w:val="24"/>
        </w:rPr>
      </w:pPr>
      <w:r w:rsidRPr="00C47DC0">
        <w:rPr>
          <w:rFonts w:eastAsia="Palatino Linotype" w:cs="Palatino Linotype"/>
          <w:i/>
          <w:color w:val="000000"/>
          <w:szCs w:val="24"/>
        </w:rPr>
        <w:t>L</w:t>
      </w:r>
      <w:r w:rsidR="00883FDD">
        <w:rPr>
          <w:rFonts w:eastAsia="Palatino Linotype" w:cs="Palatino Linotype"/>
          <w:i/>
          <w:color w:val="000000"/>
          <w:szCs w:val="24"/>
        </w:rPr>
        <w:t xml:space="preserve">os </w:t>
      </w:r>
      <w:r w:rsidR="00883FDD" w:rsidRPr="00883FDD">
        <w:rPr>
          <w:rFonts w:eastAsia="Palatino Linotype" w:cs="Palatino Linotype"/>
          <w:i/>
          <w:color w:val="000000"/>
          <w:szCs w:val="24"/>
        </w:rPr>
        <w:t>formatos firmados del sistema de planeación y presupuesto de la Comisión de Impacto Estatal generados del primero de enero al treinta y uno de diciembre de dos mil veintidós</w:t>
      </w:r>
      <w:r w:rsidR="00C47DC0" w:rsidRPr="00C47DC0">
        <w:rPr>
          <w:rFonts w:eastAsia="Palatino Linotype" w:cs="Palatino Linotype"/>
          <w:i/>
          <w:color w:val="000000"/>
          <w:szCs w:val="24"/>
        </w:rPr>
        <w:t>.</w:t>
      </w:r>
    </w:p>
    <w:p w14:paraId="294063D8" w14:textId="77777777" w:rsidR="005E68C5" w:rsidRPr="00196A86" w:rsidRDefault="005E68C5" w:rsidP="005E68C5">
      <w:pPr>
        <w:pBdr>
          <w:top w:val="nil"/>
          <w:left w:val="nil"/>
          <w:bottom w:val="nil"/>
          <w:right w:val="nil"/>
          <w:between w:val="nil"/>
        </w:pBdr>
        <w:rPr>
          <w:rFonts w:eastAsia="Palatino Linotype" w:cs="Palatino Linotype"/>
          <w:color w:val="000000"/>
          <w:szCs w:val="24"/>
          <w:highlight w:val="yellow"/>
        </w:rPr>
      </w:pPr>
    </w:p>
    <w:p w14:paraId="56D18FDF" w14:textId="37D9E3B3" w:rsidR="00103A9A" w:rsidRPr="002E1DD0" w:rsidRDefault="00103A9A" w:rsidP="005E68C5">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TERCERO. Notifíquese</w:t>
      </w:r>
      <w:r w:rsidRPr="002E1DD0">
        <w:rPr>
          <w:rFonts w:eastAsia="Palatino Linotype" w:cs="Palatino Linotype"/>
          <w:b/>
          <w:i/>
          <w:color w:val="000000"/>
          <w:szCs w:val="24"/>
        </w:rPr>
        <w:t xml:space="preserve"> </w:t>
      </w:r>
      <w:r>
        <w:rPr>
          <w:rFonts w:eastAsia="Palatino Linotype" w:cs="Palatino Linotype"/>
          <w:color w:val="000000"/>
          <w:szCs w:val="24"/>
        </w:rPr>
        <w:t>la presente resolución al</w:t>
      </w:r>
      <w:r w:rsidRPr="00B64678">
        <w:rPr>
          <w:rFonts w:eastAsia="Palatino Linotype" w:cs="Palatino Linotype"/>
          <w:color w:val="000000"/>
          <w:szCs w:val="24"/>
        </w:rPr>
        <w:t xml:space="preserve"> Titular de la Unidad de Transparencia del Sujeto Obligado para que</w:t>
      </w:r>
      <w:r>
        <w:rPr>
          <w:rFonts w:eastAsia="Palatino Linotype" w:cs="Palatino Linotype"/>
          <w:color w:val="000000"/>
          <w:szCs w:val="24"/>
        </w:rPr>
        <w:t>,</w:t>
      </w:r>
      <w:r w:rsidRPr="00B64678">
        <w:rPr>
          <w:rFonts w:eastAsia="Palatino Linotype" w:cs="Palatino Linotype"/>
          <w:color w:val="000000"/>
          <w:szCs w:val="24"/>
        </w:rPr>
        <w:t xml:space="preserve"> conforme a</w:t>
      </w:r>
      <w:r>
        <w:rPr>
          <w:rFonts w:eastAsia="Palatino Linotype" w:cs="Palatino Linotype"/>
          <w:color w:val="000000"/>
          <w:szCs w:val="24"/>
        </w:rPr>
        <w:t xml:space="preserve"> </w:t>
      </w:r>
      <w:r w:rsidRPr="00B64678">
        <w:rPr>
          <w:rFonts w:eastAsia="Palatino Linotype" w:cs="Palatino Linotype"/>
          <w:color w:val="000000"/>
          <w:szCs w:val="24"/>
        </w:rPr>
        <w:t>l</w:t>
      </w:r>
      <w:r>
        <w:rPr>
          <w:rFonts w:eastAsia="Palatino Linotype" w:cs="Palatino Linotype"/>
          <w:color w:val="000000"/>
          <w:szCs w:val="24"/>
        </w:rPr>
        <w:t>os</w:t>
      </w:r>
      <w:r w:rsidRPr="00B64678">
        <w:rPr>
          <w:rFonts w:eastAsia="Palatino Linotype" w:cs="Palatino Linotype"/>
          <w:color w:val="000000"/>
          <w:szCs w:val="24"/>
        </w:rPr>
        <w:t xml:space="preserve"> artículo</w:t>
      </w:r>
      <w:r>
        <w:rPr>
          <w:rFonts w:eastAsia="Palatino Linotype" w:cs="Palatino Linotype"/>
          <w:color w:val="000000"/>
          <w:szCs w:val="24"/>
        </w:rPr>
        <w:t>s</w:t>
      </w:r>
      <w:r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Pr>
          <w:rFonts w:eastAsia="Palatino Linotype" w:cs="Palatino Linotype"/>
          <w:color w:val="000000"/>
          <w:szCs w:val="24"/>
        </w:rPr>
        <w:t>,</w:t>
      </w:r>
      <w:r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Pr>
          <w:rFonts w:eastAsia="Palatino Linotype" w:cs="Palatino Linotype"/>
          <w:color w:val="000000"/>
          <w:szCs w:val="24"/>
        </w:rPr>
        <w:t>; y</w:t>
      </w:r>
      <w:r w:rsidRPr="00B64678">
        <w:rPr>
          <w:rFonts w:eastAsia="Palatino Linotype" w:cs="Palatino Linotype"/>
          <w:color w:val="000000"/>
          <w:szCs w:val="24"/>
        </w:rPr>
        <w:t xml:space="preserve"> se le apercibe que</w:t>
      </w:r>
      <w:r>
        <w:rPr>
          <w:rFonts w:eastAsia="Palatino Linotype" w:cs="Palatino Linotype"/>
          <w:color w:val="000000"/>
          <w:szCs w:val="24"/>
        </w:rPr>
        <w:t>,</w:t>
      </w:r>
      <w:r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Pr>
          <w:rFonts w:eastAsia="Palatino Linotype" w:cs="Palatino Linotype"/>
          <w:color w:val="000000"/>
          <w:szCs w:val="24"/>
        </w:rPr>
        <w:t>,</w:t>
      </w:r>
      <w:r w:rsidRPr="00B64678">
        <w:rPr>
          <w:rFonts w:eastAsia="Palatino Linotype" w:cs="Palatino Linotype"/>
          <w:color w:val="000000"/>
          <w:szCs w:val="24"/>
        </w:rPr>
        <w:t xml:space="preserve"> 214, 215 y 216 de la Ley de Transparencia y Acceso a la Información Pública del Estado de México y Municipios.</w:t>
      </w:r>
    </w:p>
    <w:p w14:paraId="408935AE"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2E1DD0" w:rsidRDefault="00103A9A" w:rsidP="00103A9A">
      <w:pPr>
        <w:pBdr>
          <w:top w:val="nil"/>
          <w:left w:val="nil"/>
          <w:bottom w:val="nil"/>
          <w:right w:val="nil"/>
          <w:between w:val="nil"/>
        </w:pBdr>
        <w:rPr>
          <w:rFonts w:eastAsia="Palatino Linotype" w:cs="Palatino Linotype"/>
          <w:color w:val="000000"/>
          <w:szCs w:val="24"/>
        </w:rPr>
      </w:pPr>
      <w:r w:rsidRPr="002E1DD0">
        <w:rPr>
          <w:rFonts w:eastAsia="Palatino Linotype" w:cs="Palatino Linotype"/>
          <w:b/>
          <w:color w:val="000000"/>
          <w:szCs w:val="24"/>
        </w:rPr>
        <w:t xml:space="preserve">CUARTO. </w:t>
      </w:r>
      <w:r w:rsidRPr="002E1DD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5E68C5"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2E1DD0" w:rsidRDefault="00270C64" w:rsidP="00103A9A">
      <w:pPr>
        <w:pBdr>
          <w:top w:val="nil"/>
          <w:left w:val="nil"/>
          <w:bottom w:val="nil"/>
          <w:right w:val="nil"/>
          <w:between w:val="nil"/>
        </w:pBdr>
        <w:rPr>
          <w:rFonts w:eastAsia="Palatino Linotype" w:cs="Palatino Linotype"/>
          <w:color w:val="000000"/>
          <w:szCs w:val="24"/>
          <w:highlight w:val="white"/>
        </w:rPr>
      </w:pPr>
      <w:r>
        <w:rPr>
          <w:rFonts w:eastAsia="Palatino Linotype" w:cs="Palatino Linotype"/>
          <w:b/>
          <w:color w:val="000000"/>
          <w:szCs w:val="24"/>
        </w:rPr>
        <w:lastRenderedPageBreak/>
        <w:t>QUINT</w:t>
      </w:r>
      <w:r w:rsidR="005E68C5">
        <w:rPr>
          <w:rFonts w:eastAsia="Palatino Linotype" w:cs="Palatino Linotype"/>
          <w:b/>
          <w:color w:val="000000"/>
          <w:szCs w:val="24"/>
        </w:rPr>
        <w:t>O</w:t>
      </w:r>
      <w:r w:rsidR="00103A9A" w:rsidRPr="002E1DD0">
        <w:rPr>
          <w:rFonts w:eastAsia="Palatino Linotype" w:cs="Palatino Linotype"/>
          <w:b/>
          <w:color w:val="000000"/>
          <w:szCs w:val="24"/>
        </w:rPr>
        <w:t xml:space="preserve">. Notifíquese </w:t>
      </w:r>
      <w:r w:rsidR="00103A9A" w:rsidRPr="002E1DD0">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00103A9A" w:rsidRPr="002E1DD0">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54CCEEDD" w14:textId="77777777" w:rsidR="00103A9A" w:rsidRPr="00270C64" w:rsidRDefault="00103A9A" w:rsidP="006F4C9E">
      <w:pPr>
        <w:pBdr>
          <w:top w:val="nil"/>
          <w:left w:val="nil"/>
          <w:bottom w:val="nil"/>
          <w:right w:val="nil"/>
          <w:between w:val="nil"/>
        </w:pBdr>
        <w:contextualSpacing/>
        <w:rPr>
          <w:rFonts w:eastAsia="Palatino Linotype" w:cs="Palatino Linotype"/>
          <w:sz w:val="32"/>
          <w:szCs w:val="24"/>
        </w:rPr>
      </w:pPr>
    </w:p>
    <w:p w14:paraId="20573BFF" w14:textId="2D101187" w:rsidR="00A970D5" w:rsidRPr="006922F5" w:rsidRDefault="005A45B1" w:rsidP="00270C6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w:t>
      </w:r>
      <w:r w:rsidR="00247FE8">
        <w:rPr>
          <w:rFonts w:eastAsia="Palatino Linotype" w:cs="Palatino Linotype"/>
          <w:color w:val="000000"/>
          <w:szCs w:val="24"/>
        </w:rPr>
        <w:t xml:space="preserve"> POR UNANIMIDAD</w:t>
      </w:r>
      <w:r>
        <w:rPr>
          <w:rFonts w:eastAsia="Palatino Linotype" w:cs="Palatino Linotype"/>
          <w:color w:val="000000"/>
          <w:szCs w:val="24"/>
        </w:rPr>
        <w:t xml:space="preserve"> </w:t>
      </w:r>
      <w:r w:rsidR="006922F5">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6922F5" w:rsidRPr="008A3591">
        <w:rPr>
          <w:rFonts w:eastAsia="Palatino Linotype" w:cs="Palatino Linotype"/>
          <w:color w:val="000000"/>
          <w:szCs w:val="24"/>
        </w:rPr>
        <w:t>RAMÍREZ PEÑA, EN LA</w:t>
      </w:r>
      <w:r w:rsidR="00A00BD1" w:rsidRPr="008A3591">
        <w:rPr>
          <w:rFonts w:eastAsia="Palatino Linotype" w:cs="Palatino Linotype"/>
          <w:color w:val="000000"/>
          <w:szCs w:val="24"/>
        </w:rPr>
        <w:t xml:space="preserve"> </w:t>
      </w:r>
      <w:r w:rsidR="00CB3EE5">
        <w:rPr>
          <w:rFonts w:eastAsia="Palatino Linotype" w:cs="Palatino Linotype"/>
          <w:color w:val="000000"/>
          <w:szCs w:val="24"/>
        </w:rPr>
        <w:t xml:space="preserve">PRIMERA </w:t>
      </w:r>
      <w:r w:rsidR="006922F5" w:rsidRPr="008A3591">
        <w:rPr>
          <w:rFonts w:eastAsia="Palatino Linotype" w:cs="Palatino Linotype"/>
          <w:color w:val="000000"/>
          <w:szCs w:val="24"/>
        </w:rPr>
        <w:t>SESIÓN ORDINARIA CELEBRADA EL</w:t>
      </w:r>
      <w:r w:rsidR="00CB3EE5">
        <w:rPr>
          <w:rFonts w:eastAsia="Palatino Linotype" w:cs="Palatino Linotype"/>
          <w:color w:val="000000"/>
          <w:szCs w:val="24"/>
        </w:rPr>
        <w:t xml:space="preserve"> DIECISIETE DE ENERO DE DOS MIL VEINTICUATRO</w:t>
      </w:r>
      <w:r w:rsidR="006922F5" w:rsidRPr="00E157C4">
        <w:rPr>
          <w:rFonts w:eastAsia="Palatino Linotype" w:cs="Palatino Linotype"/>
          <w:color w:val="000000"/>
          <w:szCs w:val="24"/>
        </w:rPr>
        <w:t>,</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5E68C5">
        <w:rPr>
          <w:rFonts w:eastAsia="Palatino Linotype" w:cs="Palatino Linotype"/>
          <w:color w:val="000000"/>
          <w:szCs w:val="24"/>
        </w:rPr>
        <w:t>---------------------------------------------------------------------</w:t>
      </w:r>
      <w:r w:rsidR="00270C64">
        <w:rPr>
          <w:rFonts w:eastAsia="Palatino Linotype" w:cs="Palatino Linotype"/>
          <w:color w:val="000000"/>
          <w:szCs w:val="24"/>
        </w:rPr>
        <w:t>--------------------------------------------------------------------------------------------------------------------------------------------------------------------------------------------------------------------------------------------------------------------------------------------------------------------------------------------------------------------------------------------</w:t>
      </w:r>
      <w:r w:rsidR="007927DB">
        <w:rPr>
          <w:rFonts w:eastAsia="Palatino Linotype" w:cs="Palatino Linotype"/>
          <w:color w:val="000000"/>
          <w:szCs w:val="24"/>
        </w:rPr>
        <w:t>------------------------------------------------------------------------------------------------------------------------------------------------------------------------------------------------------------------------------------------</w:t>
      </w:r>
      <w:r w:rsidR="00270C64">
        <w:rPr>
          <w:rFonts w:eastAsia="Palatino Linotype" w:cs="Palatino Linotype"/>
          <w:color w:val="000000"/>
          <w:szCs w:val="24"/>
        </w:rPr>
        <w:t>----------------------------------</w:t>
      </w:r>
      <w:r w:rsidR="00883FDD">
        <w:rPr>
          <w:rFonts w:eastAsia="Palatino Linotype" w:cs="Palatino Linotype"/>
          <w:color w:val="000000"/>
          <w:szCs w:val="24"/>
        </w:rPr>
        <w:t>---------------------------------------------------------------------------------------------------------------------</w:t>
      </w:r>
      <w:r w:rsidR="00CF5FE4">
        <w:rPr>
          <w:rFonts w:eastAsia="Palatino Linotype" w:cs="Palatino Linotype"/>
          <w:color w:val="000000"/>
          <w:szCs w:val="24"/>
        </w:rPr>
        <w:t>------------------------------------------------------</w:t>
      </w:r>
      <w:r w:rsidR="00CB3EE5">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FD9A0" w14:textId="77777777" w:rsidR="00535F79" w:rsidRDefault="00535F79" w:rsidP="00F2498E">
      <w:pPr>
        <w:spacing w:line="240" w:lineRule="auto"/>
      </w:pPr>
      <w:r>
        <w:separator/>
      </w:r>
    </w:p>
  </w:endnote>
  <w:endnote w:type="continuationSeparator" w:id="0">
    <w:p w14:paraId="577C676B" w14:textId="77777777" w:rsidR="00535F79" w:rsidRDefault="00535F79" w:rsidP="00F2498E">
      <w:pPr>
        <w:spacing w:line="240" w:lineRule="auto"/>
      </w:pPr>
      <w:r>
        <w:continuationSeparator/>
      </w:r>
    </w:p>
  </w:endnote>
  <w:endnote w:type="continuationNotice" w:id="1">
    <w:p w14:paraId="2173DF13" w14:textId="77777777" w:rsidR="00535F79" w:rsidRDefault="00535F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0213B" w:rsidRPr="00871A91" w:rsidRDefault="00402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2316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23162">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0213B" w:rsidRPr="00871A91" w:rsidRDefault="00402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2316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23162">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D1914" w14:textId="77777777" w:rsidR="00535F79" w:rsidRDefault="00535F79" w:rsidP="00F2498E">
      <w:pPr>
        <w:spacing w:line="240" w:lineRule="auto"/>
      </w:pPr>
      <w:r>
        <w:separator/>
      </w:r>
    </w:p>
  </w:footnote>
  <w:footnote w:type="continuationSeparator" w:id="0">
    <w:p w14:paraId="68CBE18F" w14:textId="77777777" w:rsidR="00535F79" w:rsidRDefault="00535F79" w:rsidP="00F2498E">
      <w:pPr>
        <w:spacing w:line="240" w:lineRule="auto"/>
      </w:pPr>
      <w:r>
        <w:continuationSeparator/>
      </w:r>
    </w:p>
  </w:footnote>
  <w:footnote w:type="continuationNotice" w:id="1">
    <w:p w14:paraId="3C5BE865" w14:textId="77777777" w:rsidR="00535F79" w:rsidRDefault="00535F79">
      <w:pPr>
        <w:spacing w:line="240" w:lineRule="auto"/>
      </w:pPr>
    </w:p>
  </w:footnote>
  <w:footnote w:id="2">
    <w:p w14:paraId="2348F3B8" w14:textId="77777777" w:rsidR="0040213B" w:rsidRPr="0031280C" w:rsidRDefault="0040213B"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0213B" w:rsidRPr="0031280C" w:rsidRDefault="0040213B"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0213B" w:rsidRPr="0031280C" w:rsidRDefault="0040213B"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40213B" w:rsidRPr="0031280C" w:rsidRDefault="0040213B"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583BE56" w14:textId="3E8ED251" w:rsidR="00D96171" w:rsidRDefault="00D96171">
      <w:pPr>
        <w:pStyle w:val="Textonotapie"/>
      </w:pPr>
      <w:r>
        <w:rPr>
          <w:rStyle w:val="Refdenotaalpie"/>
        </w:rPr>
        <w:footnoteRef/>
      </w:r>
      <w:r w:rsidR="00817F22">
        <w:t xml:space="preserve"> Consultado el once de diciembre</w:t>
      </w:r>
      <w:r>
        <w:t xml:space="preserve"> de dos mil veintitrés.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0213B" w:rsidRDefault="00A23162">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213B" w:rsidRPr="00B17577" w14:paraId="37B9EBDE" w14:textId="77777777" w:rsidTr="003938ED">
      <w:trPr>
        <w:trHeight w:val="227"/>
      </w:trPr>
      <w:tc>
        <w:tcPr>
          <w:tcW w:w="5103" w:type="dxa"/>
          <w:hideMark/>
        </w:tcPr>
        <w:p w14:paraId="4964FBC5" w14:textId="54CDA645" w:rsidR="0040213B" w:rsidRPr="00096248" w:rsidRDefault="0040213B"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F00982B" w:rsidR="0040213B" w:rsidRPr="00096248" w:rsidRDefault="00620F63" w:rsidP="00011C4D">
          <w:pPr>
            <w:spacing w:after="120" w:line="240" w:lineRule="auto"/>
            <w:ind w:right="71"/>
            <w:jc w:val="right"/>
            <w:rPr>
              <w:rFonts w:cs="Arial"/>
              <w:b/>
              <w:szCs w:val="24"/>
            </w:rPr>
          </w:pPr>
          <w:r>
            <w:rPr>
              <w:rFonts w:cs="Arial"/>
              <w:b/>
              <w:bCs/>
              <w:szCs w:val="24"/>
            </w:rPr>
            <w:t>0291</w:t>
          </w:r>
          <w:r w:rsidR="000F355B">
            <w:rPr>
              <w:rFonts w:cs="Arial"/>
              <w:b/>
              <w:bCs/>
              <w:szCs w:val="24"/>
            </w:rPr>
            <w:t>5</w:t>
          </w:r>
          <w:r w:rsidR="0040213B" w:rsidRPr="00096248">
            <w:rPr>
              <w:rFonts w:cs="Arial"/>
              <w:b/>
              <w:bCs/>
              <w:szCs w:val="24"/>
            </w:rPr>
            <w:t>/INFOEM/IP/RR/202</w:t>
          </w:r>
          <w:r w:rsidR="0040213B">
            <w:rPr>
              <w:rFonts w:cs="Arial"/>
              <w:b/>
              <w:bCs/>
              <w:szCs w:val="24"/>
            </w:rPr>
            <w:t>3</w:t>
          </w:r>
        </w:p>
      </w:tc>
    </w:tr>
    <w:tr w:rsidR="0040213B" w14:paraId="7591D3C9" w14:textId="77777777" w:rsidTr="003938ED">
      <w:trPr>
        <w:trHeight w:val="242"/>
      </w:trPr>
      <w:tc>
        <w:tcPr>
          <w:tcW w:w="5103" w:type="dxa"/>
          <w:hideMark/>
        </w:tcPr>
        <w:p w14:paraId="729A65A8" w14:textId="77777777" w:rsidR="0040213B" w:rsidRPr="00096248" w:rsidRDefault="0040213B"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EE3EBEF" w:rsidR="0040213B" w:rsidRPr="00096248" w:rsidRDefault="00620F63" w:rsidP="00011C4D">
          <w:pPr>
            <w:spacing w:after="120" w:line="240" w:lineRule="auto"/>
            <w:ind w:left="-81" w:right="71"/>
            <w:jc w:val="right"/>
            <w:rPr>
              <w:rFonts w:cs="Arial"/>
              <w:szCs w:val="24"/>
            </w:rPr>
          </w:pPr>
          <w:r>
            <w:rPr>
              <w:rFonts w:cs="Arial"/>
              <w:szCs w:val="24"/>
            </w:rPr>
            <w:t>Secretaría de Desarrollo Urbano y Obra</w:t>
          </w:r>
        </w:p>
      </w:tc>
    </w:tr>
    <w:tr w:rsidR="0040213B" w:rsidRPr="00F63239" w14:paraId="037E914D" w14:textId="77777777" w:rsidTr="003938ED">
      <w:trPr>
        <w:trHeight w:val="342"/>
      </w:trPr>
      <w:tc>
        <w:tcPr>
          <w:tcW w:w="5103" w:type="dxa"/>
          <w:hideMark/>
        </w:tcPr>
        <w:p w14:paraId="7676B68F" w14:textId="64D69EAF" w:rsidR="0040213B" w:rsidRPr="00096248" w:rsidRDefault="0040213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40213B" w:rsidRDefault="0040213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0213B" w:rsidRPr="00711916" w:rsidRDefault="0040213B" w:rsidP="00011C4D">
          <w:pPr>
            <w:spacing w:after="120" w:line="240" w:lineRule="auto"/>
            <w:ind w:left="-486" w:right="71" w:firstLine="567"/>
            <w:jc w:val="right"/>
            <w:rPr>
              <w:rFonts w:cs="Arial"/>
              <w:sz w:val="2"/>
              <w:szCs w:val="2"/>
            </w:rPr>
          </w:pPr>
        </w:p>
      </w:tc>
    </w:tr>
  </w:tbl>
  <w:p w14:paraId="2998DBFD" w14:textId="25A9F426" w:rsidR="0040213B" w:rsidRPr="00871A91" w:rsidRDefault="00A23162">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40213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213B" w14:paraId="0F9FE9B6" w14:textId="77777777" w:rsidTr="003938ED">
      <w:trPr>
        <w:trHeight w:val="227"/>
      </w:trPr>
      <w:tc>
        <w:tcPr>
          <w:tcW w:w="5103" w:type="dxa"/>
          <w:hideMark/>
        </w:tcPr>
        <w:p w14:paraId="6D1D9D71" w14:textId="11150E5A" w:rsidR="0040213B" w:rsidRPr="00663A37" w:rsidRDefault="0040213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A24634D" w:rsidR="0040213B" w:rsidRPr="00C81ECD" w:rsidRDefault="00620F63" w:rsidP="00011C4D">
          <w:pPr>
            <w:spacing w:after="120" w:line="240" w:lineRule="auto"/>
            <w:ind w:left="-486" w:right="68" w:firstLine="558"/>
            <w:jc w:val="right"/>
            <w:rPr>
              <w:rFonts w:cs="Arial"/>
              <w:b/>
              <w:szCs w:val="24"/>
            </w:rPr>
          </w:pPr>
          <w:r>
            <w:rPr>
              <w:rFonts w:cs="Arial"/>
              <w:b/>
              <w:bCs/>
              <w:szCs w:val="24"/>
            </w:rPr>
            <w:t>0291</w:t>
          </w:r>
          <w:r w:rsidR="000F355B">
            <w:rPr>
              <w:rFonts w:cs="Arial"/>
              <w:b/>
              <w:bCs/>
              <w:szCs w:val="24"/>
            </w:rPr>
            <w:t>5</w:t>
          </w:r>
          <w:r w:rsidR="0040213B">
            <w:rPr>
              <w:rFonts w:cs="Arial"/>
              <w:b/>
              <w:bCs/>
              <w:szCs w:val="24"/>
            </w:rPr>
            <w:t>/INFOEM/IP/RR/2023</w:t>
          </w:r>
        </w:p>
      </w:tc>
    </w:tr>
    <w:tr w:rsidR="0040213B" w:rsidRPr="001F57CD" w14:paraId="1377D264" w14:textId="77777777" w:rsidTr="003938ED">
      <w:trPr>
        <w:trHeight w:val="196"/>
      </w:trPr>
      <w:tc>
        <w:tcPr>
          <w:tcW w:w="5103" w:type="dxa"/>
          <w:hideMark/>
        </w:tcPr>
        <w:p w14:paraId="04D597A1" w14:textId="77777777" w:rsidR="0040213B" w:rsidRPr="00663A37" w:rsidRDefault="0040213B"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0115E58" w:rsidR="0040213B" w:rsidRPr="00663A37" w:rsidRDefault="00A23162" w:rsidP="00657695">
          <w:pPr>
            <w:spacing w:after="120" w:line="240" w:lineRule="auto"/>
            <w:ind w:right="68"/>
            <w:jc w:val="right"/>
            <w:rPr>
              <w:rFonts w:cs="Arial"/>
              <w:szCs w:val="24"/>
            </w:rPr>
          </w:pPr>
          <w:r>
            <w:rPr>
              <w:rFonts w:cs="Arial"/>
              <w:szCs w:val="24"/>
            </w:rPr>
            <w:t>XXXXXXXXXXXXXXXXXXXXXX</w:t>
          </w:r>
        </w:p>
      </w:tc>
    </w:tr>
    <w:tr w:rsidR="0040213B" w14:paraId="4DC11993" w14:textId="77777777" w:rsidTr="003938ED">
      <w:trPr>
        <w:trHeight w:val="242"/>
      </w:trPr>
      <w:tc>
        <w:tcPr>
          <w:tcW w:w="5103" w:type="dxa"/>
          <w:hideMark/>
        </w:tcPr>
        <w:p w14:paraId="76CEF1B5" w14:textId="77777777" w:rsidR="0040213B" w:rsidRPr="00663A37" w:rsidRDefault="0040213B"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E7193BA" w:rsidR="0040213B" w:rsidRPr="00663A37" w:rsidRDefault="00620F63" w:rsidP="00011C4D">
          <w:pPr>
            <w:spacing w:after="120" w:line="240" w:lineRule="auto"/>
            <w:ind w:left="-70" w:right="68"/>
            <w:jc w:val="right"/>
            <w:rPr>
              <w:rFonts w:cs="Arial"/>
              <w:szCs w:val="24"/>
            </w:rPr>
          </w:pPr>
          <w:r>
            <w:rPr>
              <w:rFonts w:cs="Arial"/>
              <w:szCs w:val="24"/>
            </w:rPr>
            <w:t>Secretaría de Desarrollo Urbano y Obra</w:t>
          </w:r>
        </w:p>
      </w:tc>
    </w:tr>
    <w:tr w:rsidR="0040213B" w14:paraId="5C2B511D" w14:textId="77777777" w:rsidTr="003938ED">
      <w:trPr>
        <w:trHeight w:val="342"/>
      </w:trPr>
      <w:tc>
        <w:tcPr>
          <w:tcW w:w="5103" w:type="dxa"/>
          <w:hideMark/>
        </w:tcPr>
        <w:p w14:paraId="03FEF68C" w14:textId="45E91CF4" w:rsidR="0040213B" w:rsidRPr="00663A37" w:rsidRDefault="0040213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0213B" w:rsidRPr="00663A37" w:rsidRDefault="0040213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0213B" w:rsidRPr="00871A91" w:rsidRDefault="00A23162">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1pt;margin-top:-142.3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40213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452AD"/>
    <w:multiLevelType w:val="multilevel"/>
    <w:tmpl w:val="7F1A72B2"/>
    <w:styleLink w:val="Listaactual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5D6405"/>
    <w:multiLevelType w:val="hybridMultilevel"/>
    <w:tmpl w:val="37AA03AA"/>
    <w:lvl w:ilvl="0" w:tplc="627A3AB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06515C3"/>
    <w:multiLevelType w:val="hybridMultilevel"/>
    <w:tmpl w:val="5A561A84"/>
    <w:lvl w:ilvl="0" w:tplc="24B476A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nsid w:val="40203F22"/>
    <w:multiLevelType w:val="hybridMultilevel"/>
    <w:tmpl w:val="E99C981E"/>
    <w:lvl w:ilvl="0" w:tplc="06CAD0F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81682F"/>
    <w:multiLevelType w:val="hybridMultilevel"/>
    <w:tmpl w:val="98404C74"/>
    <w:lvl w:ilvl="0" w:tplc="94E20F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9795D56"/>
    <w:multiLevelType w:val="hybridMultilevel"/>
    <w:tmpl w:val="CE5C2496"/>
    <w:lvl w:ilvl="0" w:tplc="980CB0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0"/>
  </w:num>
  <w:num w:numId="3">
    <w:abstractNumId w:val="27"/>
  </w:num>
  <w:num w:numId="4">
    <w:abstractNumId w:val="12"/>
  </w:num>
  <w:num w:numId="5">
    <w:abstractNumId w:val="35"/>
  </w:num>
  <w:num w:numId="6">
    <w:abstractNumId w:val="4"/>
  </w:num>
  <w:num w:numId="7">
    <w:abstractNumId w:val="29"/>
  </w:num>
  <w:num w:numId="8">
    <w:abstractNumId w:val="9"/>
  </w:num>
  <w:num w:numId="9">
    <w:abstractNumId w:val="3"/>
  </w:num>
  <w:num w:numId="10">
    <w:abstractNumId w:val="15"/>
  </w:num>
  <w:num w:numId="11">
    <w:abstractNumId w:val="16"/>
  </w:num>
  <w:num w:numId="12">
    <w:abstractNumId w:val="37"/>
  </w:num>
  <w:num w:numId="13">
    <w:abstractNumId w:val="34"/>
  </w:num>
  <w:num w:numId="14">
    <w:abstractNumId w:val="22"/>
  </w:num>
  <w:num w:numId="15">
    <w:abstractNumId w:val="26"/>
  </w:num>
  <w:num w:numId="16">
    <w:abstractNumId w:val="13"/>
  </w:num>
  <w:num w:numId="17">
    <w:abstractNumId w:val="32"/>
  </w:num>
  <w:num w:numId="18">
    <w:abstractNumId w:val="25"/>
  </w:num>
  <w:num w:numId="19">
    <w:abstractNumId w:val="39"/>
  </w:num>
  <w:num w:numId="20">
    <w:abstractNumId w:val="21"/>
  </w:num>
  <w:num w:numId="21">
    <w:abstractNumId w:val="33"/>
  </w:num>
  <w:num w:numId="22">
    <w:abstractNumId w:val="6"/>
  </w:num>
  <w:num w:numId="23">
    <w:abstractNumId w:val="31"/>
  </w:num>
  <w:num w:numId="24">
    <w:abstractNumId w:val="7"/>
  </w:num>
  <w:num w:numId="25">
    <w:abstractNumId w:val="30"/>
  </w:num>
  <w:num w:numId="26">
    <w:abstractNumId w:val="36"/>
  </w:num>
  <w:num w:numId="27">
    <w:abstractNumId w:val="0"/>
  </w:num>
  <w:num w:numId="28">
    <w:abstractNumId w:val="2"/>
  </w:num>
  <w:num w:numId="29">
    <w:abstractNumId w:val="19"/>
  </w:num>
  <w:num w:numId="30">
    <w:abstractNumId w:val="14"/>
  </w:num>
  <w:num w:numId="31">
    <w:abstractNumId w:val="18"/>
  </w:num>
  <w:num w:numId="32">
    <w:abstractNumId w:val="8"/>
  </w:num>
  <w:num w:numId="33">
    <w:abstractNumId w:val="20"/>
  </w:num>
  <w:num w:numId="34">
    <w:abstractNumId w:val="17"/>
  </w:num>
  <w:num w:numId="35">
    <w:abstractNumId w:val="1"/>
  </w:num>
  <w:num w:numId="36">
    <w:abstractNumId w:val="24"/>
  </w:num>
  <w:num w:numId="37">
    <w:abstractNumId w:val="28"/>
  </w:num>
  <w:num w:numId="38">
    <w:abstractNumId w:val="5"/>
  </w:num>
  <w:num w:numId="39">
    <w:abstractNumId w:val="11"/>
  </w:num>
  <w:num w:numId="40">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19D"/>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5E1C"/>
    <w:rsid w:val="000564B5"/>
    <w:rsid w:val="000565EE"/>
    <w:rsid w:val="000575E4"/>
    <w:rsid w:val="0005787D"/>
    <w:rsid w:val="00057B42"/>
    <w:rsid w:val="00060716"/>
    <w:rsid w:val="00061B46"/>
    <w:rsid w:val="00061B8D"/>
    <w:rsid w:val="00061D9B"/>
    <w:rsid w:val="00064854"/>
    <w:rsid w:val="00065463"/>
    <w:rsid w:val="000666B3"/>
    <w:rsid w:val="000676A2"/>
    <w:rsid w:val="00067CB5"/>
    <w:rsid w:val="0007107B"/>
    <w:rsid w:val="000739AF"/>
    <w:rsid w:val="000746CE"/>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1911"/>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5B52"/>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6AC1"/>
    <w:rsid w:val="000D7340"/>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55B"/>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95F"/>
    <w:rsid w:val="00114F1E"/>
    <w:rsid w:val="00115495"/>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86"/>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1CB"/>
    <w:rsid w:val="001B1623"/>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2ADF"/>
    <w:rsid w:val="001D3563"/>
    <w:rsid w:val="001D3687"/>
    <w:rsid w:val="001D3EE2"/>
    <w:rsid w:val="001D41E0"/>
    <w:rsid w:val="001D4382"/>
    <w:rsid w:val="001D5A1E"/>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EC8"/>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2FB5"/>
    <w:rsid w:val="002338B9"/>
    <w:rsid w:val="00233FF9"/>
    <w:rsid w:val="00234061"/>
    <w:rsid w:val="00234956"/>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30AE"/>
    <w:rsid w:val="0025386E"/>
    <w:rsid w:val="002547B2"/>
    <w:rsid w:val="0025565C"/>
    <w:rsid w:val="00255FD1"/>
    <w:rsid w:val="0025675C"/>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4F09"/>
    <w:rsid w:val="00325C6E"/>
    <w:rsid w:val="003265D6"/>
    <w:rsid w:val="003272A1"/>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0A66"/>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3FF0"/>
    <w:rsid w:val="003F4582"/>
    <w:rsid w:val="003F5D5C"/>
    <w:rsid w:val="003F6192"/>
    <w:rsid w:val="00400915"/>
    <w:rsid w:val="0040187C"/>
    <w:rsid w:val="0040213B"/>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3B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54FF"/>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5CD"/>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07D"/>
    <w:rsid w:val="005025C7"/>
    <w:rsid w:val="00504B42"/>
    <w:rsid w:val="00506DB2"/>
    <w:rsid w:val="0050763B"/>
    <w:rsid w:val="00507EFE"/>
    <w:rsid w:val="0051074E"/>
    <w:rsid w:val="00510856"/>
    <w:rsid w:val="00510870"/>
    <w:rsid w:val="00511AE4"/>
    <w:rsid w:val="00512A53"/>
    <w:rsid w:val="00513D8C"/>
    <w:rsid w:val="0051421A"/>
    <w:rsid w:val="005142CE"/>
    <w:rsid w:val="0051490B"/>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5F79"/>
    <w:rsid w:val="00536373"/>
    <w:rsid w:val="005367E7"/>
    <w:rsid w:val="00540926"/>
    <w:rsid w:val="005412A2"/>
    <w:rsid w:val="00542B22"/>
    <w:rsid w:val="00542CDB"/>
    <w:rsid w:val="00543B6B"/>
    <w:rsid w:val="00543B75"/>
    <w:rsid w:val="00544041"/>
    <w:rsid w:val="005449D0"/>
    <w:rsid w:val="00546FFC"/>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CF8"/>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09F"/>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B10"/>
    <w:rsid w:val="005F6CAB"/>
    <w:rsid w:val="0060129A"/>
    <w:rsid w:val="0060244C"/>
    <w:rsid w:val="006055AB"/>
    <w:rsid w:val="00607145"/>
    <w:rsid w:val="00610274"/>
    <w:rsid w:val="00610A95"/>
    <w:rsid w:val="00611CEF"/>
    <w:rsid w:val="00613401"/>
    <w:rsid w:val="0061516D"/>
    <w:rsid w:val="0061546C"/>
    <w:rsid w:val="00615B10"/>
    <w:rsid w:val="006168EB"/>
    <w:rsid w:val="00616DEB"/>
    <w:rsid w:val="00620DE2"/>
    <w:rsid w:val="00620F63"/>
    <w:rsid w:val="00624E9E"/>
    <w:rsid w:val="0062573B"/>
    <w:rsid w:val="006263D3"/>
    <w:rsid w:val="0062694E"/>
    <w:rsid w:val="00630030"/>
    <w:rsid w:val="00630157"/>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025C"/>
    <w:rsid w:val="006512F6"/>
    <w:rsid w:val="006538FC"/>
    <w:rsid w:val="00653B0F"/>
    <w:rsid w:val="00653C1C"/>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4E5A"/>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CBF"/>
    <w:rsid w:val="006E5E9F"/>
    <w:rsid w:val="006E6076"/>
    <w:rsid w:val="006E6DD7"/>
    <w:rsid w:val="006E7985"/>
    <w:rsid w:val="006F0222"/>
    <w:rsid w:val="006F04A3"/>
    <w:rsid w:val="006F114C"/>
    <w:rsid w:val="006F19CB"/>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601C"/>
    <w:rsid w:val="007167AE"/>
    <w:rsid w:val="00716C80"/>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7DB"/>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6045"/>
    <w:rsid w:val="00807B2A"/>
    <w:rsid w:val="008101FB"/>
    <w:rsid w:val="00810E97"/>
    <w:rsid w:val="0081123B"/>
    <w:rsid w:val="00811393"/>
    <w:rsid w:val="008151D2"/>
    <w:rsid w:val="00815716"/>
    <w:rsid w:val="00816C5A"/>
    <w:rsid w:val="00817344"/>
    <w:rsid w:val="00817678"/>
    <w:rsid w:val="00817F22"/>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806"/>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3FDD"/>
    <w:rsid w:val="008853EC"/>
    <w:rsid w:val="00885F19"/>
    <w:rsid w:val="00886866"/>
    <w:rsid w:val="00886880"/>
    <w:rsid w:val="00886B67"/>
    <w:rsid w:val="00890A94"/>
    <w:rsid w:val="0089121D"/>
    <w:rsid w:val="00891CFC"/>
    <w:rsid w:val="00891E79"/>
    <w:rsid w:val="008921AE"/>
    <w:rsid w:val="00895187"/>
    <w:rsid w:val="00895BD3"/>
    <w:rsid w:val="00896EDC"/>
    <w:rsid w:val="00897AB4"/>
    <w:rsid w:val="008A06D7"/>
    <w:rsid w:val="008A0C9F"/>
    <w:rsid w:val="008A14F6"/>
    <w:rsid w:val="008A1645"/>
    <w:rsid w:val="008A3591"/>
    <w:rsid w:val="008A3E6F"/>
    <w:rsid w:val="008A56C3"/>
    <w:rsid w:val="008A637C"/>
    <w:rsid w:val="008A7EF2"/>
    <w:rsid w:val="008B003A"/>
    <w:rsid w:val="008B0DFB"/>
    <w:rsid w:val="008B2951"/>
    <w:rsid w:val="008B2BBB"/>
    <w:rsid w:val="008B389B"/>
    <w:rsid w:val="008B43D3"/>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691"/>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0996"/>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61A"/>
    <w:rsid w:val="00994A07"/>
    <w:rsid w:val="00996257"/>
    <w:rsid w:val="00996BCA"/>
    <w:rsid w:val="009A0E79"/>
    <w:rsid w:val="009A1740"/>
    <w:rsid w:val="009A216A"/>
    <w:rsid w:val="009A23B0"/>
    <w:rsid w:val="009A35C9"/>
    <w:rsid w:val="009A3604"/>
    <w:rsid w:val="009A473C"/>
    <w:rsid w:val="009A4D87"/>
    <w:rsid w:val="009A52E0"/>
    <w:rsid w:val="009A6341"/>
    <w:rsid w:val="009A640D"/>
    <w:rsid w:val="009A7F00"/>
    <w:rsid w:val="009B1548"/>
    <w:rsid w:val="009B321A"/>
    <w:rsid w:val="009B3A1D"/>
    <w:rsid w:val="009B41F0"/>
    <w:rsid w:val="009B6137"/>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C1B"/>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3162"/>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28D"/>
    <w:rsid w:val="00A61A4E"/>
    <w:rsid w:val="00A63700"/>
    <w:rsid w:val="00A64575"/>
    <w:rsid w:val="00A64C36"/>
    <w:rsid w:val="00A651C0"/>
    <w:rsid w:val="00A65A26"/>
    <w:rsid w:val="00A671E7"/>
    <w:rsid w:val="00A67625"/>
    <w:rsid w:val="00A67EF4"/>
    <w:rsid w:val="00A70AA7"/>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23D"/>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AA6"/>
    <w:rsid w:val="00B11CD7"/>
    <w:rsid w:val="00B1205D"/>
    <w:rsid w:val="00B128F0"/>
    <w:rsid w:val="00B13307"/>
    <w:rsid w:val="00B1367C"/>
    <w:rsid w:val="00B137E6"/>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77BFE"/>
    <w:rsid w:val="00B8179C"/>
    <w:rsid w:val="00B822DB"/>
    <w:rsid w:val="00B82D4E"/>
    <w:rsid w:val="00B84A8A"/>
    <w:rsid w:val="00B87C64"/>
    <w:rsid w:val="00B87E47"/>
    <w:rsid w:val="00B9148D"/>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44601"/>
    <w:rsid w:val="00C47DC0"/>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66870"/>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3EE5"/>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4C0F"/>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5FE4"/>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EAA"/>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6171"/>
    <w:rsid w:val="00D979CF"/>
    <w:rsid w:val="00D97C4D"/>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267"/>
    <w:rsid w:val="00DD2877"/>
    <w:rsid w:val="00DD29DC"/>
    <w:rsid w:val="00DD2EDE"/>
    <w:rsid w:val="00DD3144"/>
    <w:rsid w:val="00DD38A3"/>
    <w:rsid w:val="00DD67AC"/>
    <w:rsid w:val="00DD7FD2"/>
    <w:rsid w:val="00DE0E0F"/>
    <w:rsid w:val="00DE0F3E"/>
    <w:rsid w:val="00DE1D7B"/>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57C4"/>
    <w:rsid w:val="00E1701F"/>
    <w:rsid w:val="00E20995"/>
    <w:rsid w:val="00E2168A"/>
    <w:rsid w:val="00E22FD4"/>
    <w:rsid w:val="00E23A0E"/>
    <w:rsid w:val="00E23EE3"/>
    <w:rsid w:val="00E245A1"/>
    <w:rsid w:val="00E24831"/>
    <w:rsid w:val="00E25228"/>
    <w:rsid w:val="00E27953"/>
    <w:rsid w:val="00E31001"/>
    <w:rsid w:val="00E314BF"/>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21D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77DDD"/>
    <w:rsid w:val="00F8063B"/>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16"/>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C7D39"/>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 w:val="06253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Sinlista1">
    <w:name w:val="Sin lista1"/>
    <w:next w:val="Sinlista"/>
    <w:uiPriority w:val="99"/>
    <w:semiHidden/>
    <w:unhideWhenUsed/>
    <w:rsid w:val="0050763B"/>
  </w:style>
  <w:style w:type="numbering" w:customStyle="1" w:styleId="Listaactual21">
    <w:name w:val="Lista actual21"/>
    <w:uiPriority w:val="99"/>
    <w:rsid w:val="0050763B"/>
    <w:pPr>
      <w:numPr>
        <w:numId w:val="18"/>
      </w:numPr>
    </w:pPr>
  </w:style>
  <w:style w:type="paragraph" w:customStyle="1" w:styleId="fundamentos0">
    <w:name w:val="fundamentos"/>
    <w:basedOn w:val="Sinespaciado"/>
    <w:link w:val="fundamentosCar"/>
    <w:rsid w:val="0050763B"/>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50763B"/>
  </w:style>
  <w:style w:type="character" w:customStyle="1" w:styleId="fundamentosCar">
    <w:name w:val="fundamentos Car"/>
    <w:basedOn w:val="SinespaciadoCar"/>
    <w:link w:val="fundamentos0"/>
    <w:rsid w:val="0050763B"/>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50763B"/>
    <w:rPr>
      <w:rFonts w:ascii="Palatino Linotype" w:eastAsia="Calibri" w:hAnsi="Palatino Linotype" w:cs="Calibri"/>
      <w:sz w:val="24"/>
      <w:lang w:val="es-ES_tradnl" w:eastAsia="es-MX"/>
    </w:rPr>
  </w:style>
  <w:style w:type="numbering" w:customStyle="1" w:styleId="Listaactual22">
    <w:name w:val="Lista actual22"/>
    <w:uiPriority w:val="99"/>
    <w:rsid w:val="0050763B"/>
    <w:pPr>
      <w:numPr>
        <w:numId w:val="19"/>
      </w:numPr>
    </w:pPr>
  </w:style>
  <w:style w:type="numbering" w:customStyle="1" w:styleId="Listaactual31">
    <w:name w:val="Lista actual31"/>
    <w:uiPriority w:val="99"/>
    <w:rsid w:val="0050763B"/>
    <w:pPr>
      <w:numPr>
        <w:numId w:val="20"/>
      </w:numPr>
    </w:pPr>
  </w:style>
  <w:style w:type="paragraph" w:styleId="Revisin">
    <w:name w:val="Revision"/>
    <w:hidden/>
    <w:uiPriority w:val="99"/>
    <w:semiHidden/>
    <w:rsid w:val="0050763B"/>
    <w:pPr>
      <w:spacing w:after="0" w:line="240" w:lineRule="auto"/>
    </w:pPr>
    <w:rPr>
      <w:rFonts w:ascii="Calibri" w:eastAsia="Calibri" w:hAnsi="Calibri" w:cs="Calibri"/>
      <w:lang w:eastAsia="es-MX"/>
    </w:rPr>
  </w:style>
  <w:style w:type="numbering" w:customStyle="1" w:styleId="Listaactual41">
    <w:name w:val="Lista actual41"/>
    <w:uiPriority w:val="99"/>
    <w:rsid w:val="0050763B"/>
    <w:pPr>
      <w:numPr>
        <w:numId w:val="21"/>
      </w:numPr>
    </w:pPr>
  </w:style>
  <w:style w:type="numbering" w:customStyle="1" w:styleId="Listaactual51">
    <w:name w:val="Lista actual51"/>
    <w:uiPriority w:val="99"/>
    <w:rsid w:val="0050763B"/>
    <w:pPr>
      <w:numPr>
        <w:numId w:val="22"/>
      </w:numPr>
    </w:pPr>
  </w:style>
  <w:style w:type="numbering" w:customStyle="1" w:styleId="Listaactual61">
    <w:name w:val="Lista actual61"/>
    <w:uiPriority w:val="99"/>
    <w:rsid w:val="0050763B"/>
    <w:pPr>
      <w:numPr>
        <w:numId w:val="23"/>
      </w:numPr>
    </w:pPr>
  </w:style>
  <w:style w:type="numbering" w:customStyle="1" w:styleId="Listaactual71">
    <w:name w:val="Lista actual71"/>
    <w:uiPriority w:val="99"/>
    <w:rsid w:val="0050763B"/>
    <w:pPr>
      <w:numPr>
        <w:numId w:val="24"/>
      </w:numPr>
    </w:pPr>
  </w:style>
  <w:style w:type="numbering" w:customStyle="1" w:styleId="Listaactual81">
    <w:name w:val="Lista actual81"/>
    <w:uiPriority w:val="99"/>
    <w:rsid w:val="0050763B"/>
    <w:pPr>
      <w:numPr>
        <w:numId w:val="25"/>
      </w:numPr>
    </w:pPr>
  </w:style>
  <w:style w:type="numbering" w:customStyle="1" w:styleId="Listaactual91">
    <w:name w:val="Lista actual91"/>
    <w:uiPriority w:val="99"/>
    <w:rsid w:val="0050763B"/>
    <w:pPr>
      <w:numPr>
        <w:numId w:val="26"/>
      </w:numPr>
    </w:pPr>
  </w:style>
  <w:style w:type="numbering" w:customStyle="1" w:styleId="Listaactual101">
    <w:name w:val="Lista actual101"/>
    <w:uiPriority w:val="99"/>
    <w:rsid w:val="0050763B"/>
    <w:pPr>
      <w:numPr>
        <w:numId w:val="27"/>
      </w:numPr>
    </w:pPr>
  </w:style>
  <w:style w:type="numbering" w:customStyle="1" w:styleId="Listaactual111">
    <w:name w:val="Lista actual111"/>
    <w:uiPriority w:val="99"/>
    <w:rsid w:val="0050763B"/>
    <w:pPr>
      <w:numPr>
        <w:numId w:val="28"/>
      </w:numPr>
    </w:pPr>
  </w:style>
  <w:style w:type="numbering" w:customStyle="1" w:styleId="Listaactual121">
    <w:name w:val="Lista actual121"/>
    <w:uiPriority w:val="99"/>
    <w:rsid w:val="0050763B"/>
    <w:pPr>
      <w:numPr>
        <w:numId w:val="29"/>
      </w:numPr>
    </w:pPr>
  </w:style>
  <w:style w:type="numbering" w:customStyle="1" w:styleId="Listaactual131">
    <w:name w:val="Lista actual131"/>
    <w:uiPriority w:val="99"/>
    <w:rsid w:val="0050763B"/>
    <w:pPr>
      <w:numPr>
        <w:numId w:val="30"/>
      </w:numPr>
    </w:pPr>
  </w:style>
  <w:style w:type="character" w:customStyle="1" w:styleId="UnresolvedMention">
    <w:name w:val="Unresolved Mention"/>
    <w:basedOn w:val="Fuentedeprrafopredeter"/>
    <w:uiPriority w:val="99"/>
    <w:semiHidden/>
    <w:unhideWhenUsed/>
    <w:rsid w:val="0003419D"/>
    <w:rPr>
      <w:color w:val="605E5C"/>
      <w:shd w:val="clear" w:color="auto" w:fill="E1DFDD"/>
    </w:rPr>
  </w:style>
  <w:style w:type="numbering" w:customStyle="1" w:styleId="Listaactual16">
    <w:name w:val="Lista actual16"/>
    <w:uiPriority w:val="99"/>
    <w:rsid w:val="00B11AA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fiscal.edomex.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E4BD1-8ABC-4033-ABC7-61B423F6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6459</Words>
  <Characters>35525</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5</cp:revision>
  <cp:lastPrinted>2019-06-13T15:30:00Z</cp:lastPrinted>
  <dcterms:created xsi:type="dcterms:W3CDTF">2023-12-14T00:08:00Z</dcterms:created>
  <dcterms:modified xsi:type="dcterms:W3CDTF">2024-01-24T19:59:00Z</dcterms:modified>
</cp:coreProperties>
</file>