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C0D98" w14:textId="77777777" w:rsidR="00261F9B" w:rsidRPr="00244DBD" w:rsidRDefault="009C3371" w:rsidP="00244DBD">
      <w:pPr>
        <w:spacing w:line="360" w:lineRule="auto"/>
        <w:jc w:val="both"/>
        <w:rPr>
          <w:rFonts w:ascii="Palatino Linotype" w:eastAsia="Palatino Linotype" w:hAnsi="Palatino Linotype" w:cs="Palatino Linotype"/>
        </w:rPr>
      </w:pPr>
      <w:bookmarkStart w:id="0" w:name="_heading=h.gjdgxs" w:colFirst="0" w:colLast="0"/>
      <w:bookmarkEnd w:id="0"/>
      <w:r w:rsidRPr="00244DB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244DBD">
        <w:rPr>
          <w:rFonts w:ascii="Palatino Linotype" w:eastAsia="Palatino Linotype" w:hAnsi="Palatino Linotype" w:cs="Palatino Linotype"/>
          <w:b/>
        </w:rPr>
        <w:t>el veintiocho de febrero de dos mil veinticuatro.</w:t>
      </w:r>
    </w:p>
    <w:p w14:paraId="58928777" w14:textId="77777777" w:rsidR="00261F9B" w:rsidRPr="00244DBD" w:rsidRDefault="00261F9B" w:rsidP="00244DBD">
      <w:pPr>
        <w:spacing w:line="360" w:lineRule="auto"/>
        <w:jc w:val="both"/>
        <w:rPr>
          <w:rFonts w:ascii="Palatino Linotype" w:eastAsia="Palatino Linotype" w:hAnsi="Palatino Linotype" w:cs="Palatino Linotype"/>
        </w:rPr>
      </w:pPr>
    </w:p>
    <w:p w14:paraId="0863B4D4" w14:textId="77777777" w:rsidR="00261F9B" w:rsidRPr="00244DBD" w:rsidRDefault="009C3371" w:rsidP="00244DBD">
      <w:pPr>
        <w:spacing w:line="360" w:lineRule="auto"/>
        <w:ind w:left="-57" w:right="-113"/>
        <w:jc w:val="both"/>
        <w:rPr>
          <w:rFonts w:ascii="Palatino Linotype" w:eastAsia="Palatino Linotype" w:hAnsi="Palatino Linotype" w:cs="Palatino Linotype"/>
        </w:rPr>
      </w:pPr>
      <w:bookmarkStart w:id="1" w:name="_heading=h.30j0zll" w:colFirst="0" w:colLast="0"/>
      <w:bookmarkEnd w:id="1"/>
      <w:r w:rsidRPr="00244DBD">
        <w:rPr>
          <w:rFonts w:ascii="Palatino Linotype" w:eastAsia="Palatino Linotype" w:hAnsi="Palatino Linotype" w:cs="Palatino Linotype"/>
          <w:b/>
          <w:sz w:val="28"/>
          <w:szCs w:val="28"/>
        </w:rPr>
        <w:t>VISTOS</w:t>
      </w:r>
      <w:r w:rsidRPr="00244DBD">
        <w:rPr>
          <w:rFonts w:ascii="Palatino Linotype" w:eastAsia="Palatino Linotype" w:hAnsi="Palatino Linotype" w:cs="Palatino Linotype"/>
          <w:sz w:val="28"/>
          <w:szCs w:val="28"/>
        </w:rPr>
        <w:t xml:space="preserve"> </w:t>
      </w:r>
      <w:r w:rsidRPr="00244DBD">
        <w:rPr>
          <w:rFonts w:ascii="Palatino Linotype" w:eastAsia="Palatino Linotype" w:hAnsi="Palatino Linotype" w:cs="Palatino Linotype"/>
        </w:rPr>
        <w:t xml:space="preserve">los expedientes formados con motivo de los Recursos de Revisión </w:t>
      </w:r>
      <w:r w:rsidRPr="00244DBD">
        <w:rPr>
          <w:rFonts w:ascii="Palatino Linotype" w:eastAsia="Palatino Linotype" w:hAnsi="Palatino Linotype" w:cs="Palatino Linotype"/>
          <w:b/>
        </w:rPr>
        <w:t xml:space="preserve">04397/INFOEM/IP/RR/2023 y 04398/INFOEM/IP/RR/2023, </w:t>
      </w:r>
      <w:r w:rsidRPr="00244DBD">
        <w:rPr>
          <w:rFonts w:ascii="Palatino Linotype" w:eastAsia="Palatino Linotype" w:hAnsi="Palatino Linotype" w:cs="Palatino Linotype"/>
        </w:rPr>
        <w:t xml:space="preserve">promovidos por una persona de manera anónima, a quien en lo sucesivo se le denominará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xml:space="preserve"> en contra de las respuestas del </w:t>
      </w:r>
      <w:r w:rsidRPr="00244DBD">
        <w:rPr>
          <w:rFonts w:ascii="Palatino Linotype" w:eastAsia="Palatino Linotype" w:hAnsi="Palatino Linotype" w:cs="Palatino Linotype"/>
          <w:b/>
        </w:rPr>
        <w:t xml:space="preserve">Ayuntamiento de Toluca, </w:t>
      </w:r>
      <w:r w:rsidRPr="00244DBD">
        <w:rPr>
          <w:rFonts w:ascii="Palatino Linotype" w:eastAsia="Palatino Linotype" w:hAnsi="Palatino Linotype" w:cs="Palatino Linotype"/>
        </w:rPr>
        <w:t xml:space="preserve">en lo subsecuente se le denominará </w:t>
      </w:r>
      <w:r w:rsidRPr="00244DBD">
        <w:rPr>
          <w:rFonts w:ascii="Palatino Linotype" w:eastAsia="Palatino Linotype" w:hAnsi="Palatino Linotype" w:cs="Palatino Linotype"/>
          <w:b/>
        </w:rPr>
        <w:t xml:space="preserve">EL SUJETO OBLIGADO, </w:t>
      </w:r>
      <w:r w:rsidRPr="00244DBD">
        <w:rPr>
          <w:rFonts w:ascii="Palatino Linotype" w:eastAsia="Palatino Linotype" w:hAnsi="Palatino Linotype" w:cs="Palatino Linotype"/>
        </w:rPr>
        <w:t xml:space="preserve">se procede a dictar la presente resolución con base en lo siguiente: </w:t>
      </w:r>
    </w:p>
    <w:p w14:paraId="741CDF43" w14:textId="77777777" w:rsidR="00261F9B" w:rsidRPr="00244DBD" w:rsidRDefault="00261F9B" w:rsidP="00244DBD">
      <w:pPr>
        <w:spacing w:line="360" w:lineRule="auto"/>
        <w:ind w:left="-57" w:right="-113"/>
        <w:jc w:val="both"/>
        <w:rPr>
          <w:rFonts w:ascii="Palatino Linotype" w:eastAsia="Palatino Linotype" w:hAnsi="Palatino Linotype" w:cs="Palatino Linotype"/>
        </w:rPr>
      </w:pPr>
    </w:p>
    <w:p w14:paraId="12ADFAAA" w14:textId="77777777" w:rsidR="00261F9B" w:rsidRPr="00244DBD" w:rsidRDefault="009C3371" w:rsidP="00244DBD">
      <w:pPr>
        <w:spacing w:line="360" w:lineRule="auto"/>
        <w:jc w:val="center"/>
        <w:rPr>
          <w:rFonts w:ascii="Palatino Linotype" w:eastAsia="Palatino Linotype" w:hAnsi="Palatino Linotype" w:cs="Palatino Linotype"/>
          <w:b/>
          <w:sz w:val="28"/>
          <w:szCs w:val="28"/>
        </w:rPr>
      </w:pPr>
      <w:r w:rsidRPr="00244DBD">
        <w:rPr>
          <w:rFonts w:ascii="Palatino Linotype" w:eastAsia="Palatino Linotype" w:hAnsi="Palatino Linotype" w:cs="Palatino Linotype"/>
          <w:b/>
          <w:sz w:val="28"/>
          <w:szCs w:val="28"/>
        </w:rPr>
        <w:t>ANTECEDENTES</w:t>
      </w:r>
    </w:p>
    <w:p w14:paraId="3775FFD5"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sz w:val="26"/>
          <w:szCs w:val="26"/>
        </w:rPr>
        <w:t>I. De las Solicitudes de Información</w:t>
      </w:r>
    </w:p>
    <w:p w14:paraId="44E4716F"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El </w:t>
      </w:r>
      <w:r w:rsidRPr="00244DBD">
        <w:rPr>
          <w:rFonts w:ascii="Palatino Linotype" w:eastAsia="Palatino Linotype" w:hAnsi="Palatino Linotype" w:cs="Palatino Linotype"/>
          <w:b/>
        </w:rPr>
        <w:t>tres de julio de dos mil veintitrés</w:t>
      </w:r>
      <w:r w:rsidRPr="00244DBD">
        <w:rPr>
          <w:rFonts w:ascii="Palatino Linotype" w:eastAsia="Palatino Linotype" w:hAnsi="Palatino Linotype" w:cs="Palatino Linotype"/>
        </w:rPr>
        <w:t>, a través del Sistema de Acceso a la Información Mexiquense, en lo subsecuente</w:t>
      </w:r>
      <w:r w:rsidRPr="00244DBD">
        <w:rPr>
          <w:rFonts w:ascii="Palatino Linotype" w:eastAsia="Palatino Linotype" w:hAnsi="Palatino Linotype" w:cs="Palatino Linotype"/>
          <w:b/>
        </w:rPr>
        <w:t xml:space="preserve"> EL SAIMEX,</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 xml:space="preserve">EL RECURRENTE </w:t>
      </w:r>
      <w:r w:rsidRPr="00244DBD">
        <w:rPr>
          <w:rFonts w:ascii="Palatino Linotype" w:eastAsia="Palatino Linotype" w:hAnsi="Palatino Linotype" w:cs="Palatino Linotype"/>
        </w:rPr>
        <w:t xml:space="preserve">presentó ante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las Solicitudes de Acceso a la Información Pública</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mediante de las cuales requirió, lo siguiente:</w:t>
      </w:r>
    </w:p>
    <w:p w14:paraId="0AE08E1D" w14:textId="77777777" w:rsidR="00261F9B" w:rsidRPr="00244DBD" w:rsidRDefault="00261F9B" w:rsidP="00244DBD">
      <w:pPr>
        <w:spacing w:line="360" w:lineRule="auto"/>
        <w:jc w:val="both"/>
        <w:rPr>
          <w:rFonts w:ascii="Palatino Linotype" w:eastAsia="Palatino Linotype" w:hAnsi="Palatino Linotype" w:cs="Palatino Linotype"/>
        </w:rPr>
      </w:pPr>
    </w:p>
    <w:tbl>
      <w:tblPr>
        <w:tblStyle w:val="a"/>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523"/>
      </w:tblGrid>
      <w:tr w:rsidR="00244DBD" w:rsidRPr="00244DBD" w14:paraId="570366CD" w14:textId="77777777">
        <w:trPr>
          <w:trHeight w:val="315"/>
          <w:tblHeade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4A452A"/>
          </w:tcPr>
          <w:p w14:paraId="63B89964" w14:textId="77777777" w:rsidR="00261F9B" w:rsidRPr="00244DBD" w:rsidRDefault="009C3371" w:rsidP="00244DBD">
            <w:pPr>
              <w:jc w:val="center"/>
              <w:rPr>
                <w:rFonts w:ascii="Palatino Linotype" w:eastAsia="Palatino Linotype" w:hAnsi="Palatino Linotype" w:cs="Palatino Linotype"/>
                <w:b/>
              </w:rPr>
            </w:pPr>
            <w:bookmarkStart w:id="2" w:name="_heading=h.1fob9te" w:colFirst="0" w:colLast="0"/>
            <w:bookmarkEnd w:id="2"/>
            <w:r w:rsidRPr="00244DBD">
              <w:rPr>
                <w:rFonts w:ascii="Palatino Linotype" w:eastAsia="Palatino Linotype" w:hAnsi="Palatino Linotype" w:cs="Palatino Linotype"/>
                <w:b/>
              </w:rPr>
              <w:t xml:space="preserve">Folio </w:t>
            </w:r>
          </w:p>
        </w:tc>
        <w:tc>
          <w:tcPr>
            <w:tcW w:w="5523" w:type="dxa"/>
            <w:tcBorders>
              <w:left w:val="single" w:sz="4" w:space="0" w:color="000000"/>
            </w:tcBorders>
            <w:shd w:val="clear" w:color="auto" w:fill="4A452A"/>
          </w:tcPr>
          <w:p w14:paraId="3BE18DA2" w14:textId="77777777" w:rsidR="00261F9B" w:rsidRPr="00244DBD" w:rsidRDefault="009C3371" w:rsidP="00244DBD">
            <w:pPr>
              <w:jc w:val="center"/>
              <w:rPr>
                <w:rFonts w:ascii="Palatino Linotype" w:eastAsia="Palatino Linotype" w:hAnsi="Palatino Linotype" w:cs="Palatino Linotype"/>
                <w:b/>
              </w:rPr>
            </w:pPr>
            <w:r w:rsidRPr="00244DBD">
              <w:rPr>
                <w:rFonts w:ascii="Palatino Linotype" w:eastAsia="Palatino Linotype" w:hAnsi="Palatino Linotype" w:cs="Palatino Linotype"/>
                <w:b/>
                <w:sz w:val="24"/>
                <w:szCs w:val="24"/>
              </w:rPr>
              <w:t xml:space="preserve">Solicitud </w:t>
            </w:r>
          </w:p>
        </w:tc>
      </w:tr>
      <w:tr w:rsidR="00244DBD" w:rsidRPr="00244DBD" w14:paraId="31B9F8C7" w14:textId="77777777">
        <w:trPr>
          <w:trHeight w:val="631"/>
          <w:jc w:val="center"/>
        </w:trPr>
        <w:tc>
          <w:tcPr>
            <w:tcW w:w="2977" w:type="dxa"/>
            <w:tcBorders>
              <w:top w:val="single" w:sz="4" w:space="0" w:color="000000"/>
              <w:bottom w:val="single" w:sz="4" w:space="0" w:color="000000"/>
            </w:tcBorders>
            <w:shd w:val="clear" w:color="auto" w:fill="auto"/>
          </w:tcPr>
          <w:p w14:paraId="388BB657" w14:textId="77777777" w:rsidR="00261F9B" w:rsidRPr="00244DBD" w:rsidRDefault="009C3371" w:rsidP="00244DBD">
            <w:pPr>
              <w:rPr>
                <w:rFonts w:ascii="Palatino Linotype" w:eastAsia="Palatino Linotype" w:hAnsi="Palatino Linotype" w:cs="Palatino Linotype"/>
                <w:b/>
                <w:lang w:val="en-US"/>
              </w:rPr>
            </w:pPr>
            <w:bookmarkStart w:id="3" w:name="_heading=h.3znysh7" w:colFirst="0" w:colLast="0"/>
            <w:bookmarkEnd w:id="3"/>
            <w:r w:rsidRPr="00244DBD">
              <w:rPr>
                <w:rFonts w:ascii="Palatino Linotype" w:eastAsia="Palatino Linotype" w:hAnsi="Palatino Linotype" w:cs="Palatino Linotype"/>
                <w:b/>
                <w:lang w:val="en-US"/>
              </w:rPr>
              <w:t>02386/TOLUCA/IP/2023</w:t>
            </w:r>
          </w:p>
          <w:p w14:paraId="62DF08B6" w14:textId="77777777" w:rsidR="00261F9B" w:rsidRPr="00244DBD" w:rsidRDefault="009C3371" w:rsidP="00244DBD">
            <w:pPr>
              <w:rPr>
                <w:rFonts w:ascii="Palatino Linotype" w:eastAsia="Palatino Linotype" w:hAnsi="Palatino Linotype" w:cs="Palatino Linotype"/>
                <w:b/>
                <w:lang w:val="en-US"/>
              </w:rPr>
            </w:pPr>
            <w:r w:rsidRPr="00244DBD">
              <w:rPr>
                <w:rFonts w:ascii="Palatino Linotype" w:eastAsia="Palatino Linotype" w:hAnsi="Palatino Linotype" w:cs="Palatino Linotype"/>
                <w:b/>
                <w:lang w:val="en-US"/>
              </w:rPr>
              <w:t>04397/INFOEM/IP/RR/2023</w:t>
            </w:r>
          </w:p>
        </w:tc>
        <w:tc>
          <w:tcPr>
            <w:tcW w:w="5523" w:type="dxa"/>
            <w:shd w:val="clear" w:color="auto" w:fill="auto"/>
          </w:tcPr>
          <w:p w14:paraId="215E178B" w14:textId="77777777" w:rsidR="00261F9B" w:rsidRPr="00244DBD" w:rsidRDefault="009C3371" w:rsidP="00244DBD">
            <w:pPr>
              <w:jc w:val="both"/>
              <w:rPr>
                <w:rFonts w:ascii="Palatino Linotype" w:eastAsia="Palatino Linotype" w:hAnsi="Palatino Linotype" w:cs="Palatino Linotype"/>
                <w:i/>
              </w:rPr>
            </w:pPr>
            <w:r w:rsidRPr="00244DBD">
              <w:rPr>
                <w:rFonts w:ascii="Palatino Linotype" w:eastAsia="Palatino Linotype" w:hAnsi="Palatino Linotype" w:cs="Palatino Linotype"/>
                <w:i/>
              </w:rPr>
              <w:t>“solicito todos los oficios signados por el coordinador de apoyo técnico de la dirección de administración.” (Sic)</w:t>
            </w:r>
          </w:p>
        </w:tc>
      </w:tr>
      <w:tr w:rsidR="00244DBD" w:rsidRPr="00244DBD" w14:paraId="3FDD9B5C" w14:textId="77777777">
        <w:trPr>
          <w:trHeight w:val="631"/>
          <w:jc w:val="center"/>
        </w:trPr>
        <w:tc>
          <w:tcPr>
            <w:tcW w:w="2977" w:type="dxa"/>
            <w:tcBorders>
              <w:top w:val="single" w:sz="4" w:space="0" w:color="000000"/>
              <w:bottom w:val="single" w:sz="4" w:space="0" w:color="000000"/>
            </w:tcBorders>
            <w:shd w:val="clear" w:color="auto" w:fill="auto"/>
          </w:tcPr>
          <w:p w14:paraId="4689B67F" w14:textId="77777777" w:rsidR="00261F9B" w:rsidRPr="00244DBD" w:rsidRDefault="009C3371" w:rsidP="00244DBD">
            <w:pPr>
              <w:rPr>
                <w:rFonts w:ascii="Palatino Linotype" w:eastAsia="Palatino Linotype" w:hAnsi="Palatino Linotype" w:cs="Palatino Linotype"/>
                <w:b/>
                <w:lang w:val="en-US"/>
              </w:rPr>
            </w:pPr>
            <w:r w:rsidRPr="00244DBD">
              <w:rPr>
                <w:rFonts w:ascii="Palatino Linotype" w:eastAsia="Palatino Linotype" w:hAnsi="Palatino Linotype" w:cs="Palatino Linotype"/>
                <w:b/>
                <w:lang w:val="en-US"/>
              </w:rPr>
              <w:t>02385/TOLUCA/IP/2023</w:t>
            </w:r>
          </w:p>
          <w:p w14:paraId="2C2AF590" w14:textId="77777777" w:rsidR="00261F9B" w:rsidRPr="00244DBD" w:rsidRDefault="009C3371" w:rsidP="00244DBD">
            <w:pPr>
              <w:rPr>
                <w:rFonts w:ascii="Palatino Linotype" w:eastAsia="Palatino Linotype" w:hAnsi="Palatino Linotype" w:cs="Palatino Linotype"/>
                <w:b/>
                <w:lang w:val="en-US"/>
              </w:rPr>
            </w:pPr>
            <w:r w:rsidRPr="00244DBD">
              <w:rPr>
                <w:rFonts w:ascii="Palatino Linotype" w:eastAsia="Palatino Linotype" w:hAnsi="Palatino Linotype" w:cs="Palatino Linotype"/>
                <w:b/>
                <w:lang w:val="en-US"/>
              </w:rPr>
              <w:t>04398/INFOEM/IP/RR/2023</w:t>
            </w:r>
          </w:p>
        </w:tc>
        <w:tc>
          <w:tcPr>
            <w:tcW w:w="5523" w:type="dxa"/>
            <w:shd w:val="clear" w:color="auto" w:fill="auto"/>
          </w:tcPr>
          <w:p w14:paraId="071B5D79" w14:textId="77777777" w:rsidR="00261F9B" w:rsidRPr="00244DBD" w:rsidRDefault="009C3371" w:rsidP="00244DBD">
            <w:pPr>
              <w:jc w:val="both"/>
              <w:rPr>
                <w:rFonts w:ascii="Palatino Linotype" w:eastAsia="Palatino Linotype" w:hAnsi="Palatino Linotype" w:cs="Palatino Linotype"/>
                <w:i/>
              </w:rPr>
            </w:pPr>
            <w:r w:rsidRPr="00244DBD">
              <w:rPr>
                <w:rFonts w:ascii="Palatino Linotype" w:eastAsia="Palatino Linotype" w:hAnsi="Palatino Linotype" w:cs="Palatino Linotype"/>
                <w:i/>
              </w:rPr>
              <w:t>“solicito todos los oficios signados por el coordinador de apoyo técnico de la dirección de administración de febrero 2022.” (Sic)</w:t>
            </w:r>
          </w:p>
        </w:tc>
      </w:tr>
    </w:tbl>
    <w:p w14:paraId="4E89F26B" w14:textId="77777777" w:rsidR="00595B93" w:rsidRDefault="00595B93" w:rsidP="00244DBD">
      <w:pPr>
        <w:widowControl w:val="0"/>
        <w:spacing w:line="360" w:lineRule="auto"/>
        <w:jc w:val="both"/>
        <w:rPr>
          <w:rFonts w:ascii="Palatino Linotype" w:eastAsia="Palatino Linotype" w:hAnsi="Palatino Linotype" w:cs="Palatino Linotype"/>
          <w:b/>
        </w:rPr>
      </w:pPr>
    </w:p>
    <w:p w14:paraId="339DFF4D" w14:textId="5ABE387D" w:rsidR="00261F9B" w:rsidRPr="00244DBD" w:rsidRDefault="009C3371" w:rsidP="00244DBD">
      <w:pPr>
        <w:widowControl w:val="0"/>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lastRenderedPageBreak/>
        <w:t xml:space="preserve">MODALIDAD DE ENTREGA: </w:t>
      </w:r>
      <w:r w:rsidRPr="00244DBD">
        <w:rPr>
          <w:rFonts w:ascii="Palatino Linotype" w:eastAsia="Palatino Linotype" w:hAnsi="Palatino Linotype" w:cs="Palatino Linotype"/>
        </w:rPr>
        <w:t xml:space="preserve">Vía </w:t>
      </w:r>
      <w:r w:rsidRPr="00244DBD">
        <w:rPr>
          <w:rFonts w:ascii="Palatino Linotype" w:eastAsia="Palatino Linotype" w:hAnsi="Palatino Linotype" w:cs="Palatino Linotype"/>
          <w:b/>
        </w:rPr>
        <w:t>SAIMEX.</w:t>
      </w:r>
    </w:p>
    <w:p w14:paraId="4F57EF82" w14:textId="77777777" w:rsidR="00261F9B" w:rsidRPr="00244DBD" w:rsidRDefault="00261F9B" w:rsidP="00244DBD">
      <w:pPr>
        <w:widowControl w:val="0"/>
        <w:spacing w:line="360" w:lineRule="auto"/>
        <w:jc w:val="both"/>
        <w:rPr>
          <w:rFonts w:ascii="Palatino Linotype" w:eastAsia="Palatino Linotype" w:hAnsi="Palatino Linotype" w:cs="Palatino Linotype"/>
          <w:b/>
          <w:sz w:val="26"/>
          <w:szCs w:val="26"/>
        </w:rPr>
      </w:pPr>
    </w:p>
    <w:p w14:paraId="7B8C3374" w14:textId="77777777" w:rsidR="00261F9B" w:rsidRPr="00244DBD" w:rsidRDefault="009C3371" w:rsidP="00244DBD">
      <w:pPr>
        <w:spacing w:line="360" w:lineRule="auto"/>
        <w:jc w:val="both"/>
        <w:rPr>
          <w:rFonts w:ascii="Palatino Linotype" w:eastAsia="Palatino Linotype" w:hAnsi="Palatino Linotype" w:cs="Palatino Linotype"/>
          <w:b/>
        </w:rPr>
      </w:pPr>
      <w:bookmarkStart w:id="4" w:name="_heading=h.2et92p0" w:colFirst="0" w:colLast="0"/>
      <w:bookmarkEnd w:id="4"/>
      <w:r w:rsidRPr="00244DBD">
        <w:rPr>
          <w:rFonts w:ascii="Palatino Linotype" w:eastAsia="Palatino Linotype" w:hAnsi="Palatino Linotype" w:cs="Palatino Linotype"/>
          <w:b/>
          <w:sz w:val="26"/>
          <w:szCs w:val="26"/>
        </w:rPr>
        <w:t>II.</w:t>
      </w:r>
      <w:r w:rsidRPr="00244DBD">
        <w:rPr>
          <w:rFonts w:ascii="Palatino Linotype" w:eastAsia="Palatino Linotype" w:hAnsi="Palatino Linotype" w:cs="Palatino Linotype"/>
          <w:b/>
          <w:sz w:val="28"/>
          <w:szCs w:val="28"/>
        </w:rPr>
        <w:t xml:space="preserve"> Turno de la solicitud de información.</w:t>
      </w:r>
    </w:p>
    <w:p w14:paraId="4C9ED231" w14:textId="77777777" w:rsidR="00261F9B" w:rsidRPr="00244DBD" w:rsidRDefault="009C3371" w:rsidP="00244DBD">
      <w:pPr>
        <w:spacing w:line="360" w:lineRule="auto"/>
        <w:jc w:val="both"/>
        <w:rPr>
          <w:rFonts w:ascii="Palatino Linotype" w:eastAsia="Palatino Linotype" w:hAnsi="Palatino Linotype" w:cs="Palatino Linotype"/>
          <w:b/>
          <w:sz w:val="28"/>
          <w:szCs w:val="28"/>
        </w:rPr>
      </w:pPr>
      <w:r w:rsidRPr="00244DBD">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244DBD">
        <w:rPr>
          <w:rFonts w:ascii="Palatino Linotype" w:eastAsia="Palatino Linotype" w:hAnsi="Palatino Linotype" w:cs="Palatino Linotype"/>
          <w:b/>
        </w:rPr>
        <w:t>cuatro de julio de dos mil veintitrés</w:t>
      </w:r>
      <w:r w:rsidRPr="00244DBD">
        <w:rPr>
          <w:rFonts w:ascii="Palatino Linotype" w:eastAsia="Palatino Linotype" w:hAnsi="Palatino Linotype" w:cs="Palatino Linotype"/>
        </w:rPr>
        <w:t xml:space="preserve">, la Titular de la Unidad de Transparencia del Sujeto Obligado, turnó los requerimientos de información al servidor público habilitado que estimó pertinente, a fin de colmar las solicitudes de acceso a la información. </w:t>
      </w:r>
    </w:p>
    <w:p w14:paraId="03F26EC2" w14:textId="77777777" w:rsidR="00261F9B" w:rsidRPr="00244DBD" w:rsidRDefault="00261F9B" w:rsidP="00244DBD">
      <w:pPr>
        <w:widowControl w:val="0"/>
        <w:spacing w:line="360" w:lineRule="auto"/>
        <w:jc w:val="both"/>
        <w:rPr>
          <w:rFonts w:ascii="Palatino Linotype" w:eastAsia="Palatino Linotype" w:hAnsi="Palatino Linotype" w:cs="Palatino Linotype"/>
          <w:b/>
          <w:sz w:val="28"/>
          <w:szCs w:val="28"/>
        </w:rPr>
      </w:pPr>
    </w:p>
    <w:p w14:paraId="068FAA7F" w14:textId="77777777" w:rsidR="00261F9B" w:rsidRPr="00244DBD" w:rsidRDefault="009C3371" w:rsidP="00244DBD">
      <w:pPr>
        <w:widowControl w:val="0"/>
        <w:spacing w:line="360" w:lineRule="auto"/>
        <w:jc w:val="both"/>
        <w:rPr>
          <w:rFonts w:ascii="Palatino Linotype" w:eastAsia="Palatino Linotype" w:hAnsi="Palatino Linotype" w:cs="Palatino Linotype"/>
          <w:sz w:val="26"/>
          <w:szCs w:val="26"/>
        </w:rPr>
      </w:pPr>
      <w:r w:rsidRPr="00244DBD">
        <w:rPr>
          <w:rFonts w:ascii="Palatino Linotype" w:eastAsia="Palatino Linotype" w:hAnsi="Palatino Linotype" w:cs="Palatino Linotype"/>
          <w:b/>
          <w:sz w:val="28"/>
          <w:szCs w:val="28"/>
        </w:rPr>
        <w:t xml:space="preserve">III. </w:t>
      </w:r>
      <w:r w:rsidRPr="00244DBD">
        <w:rPr>
          <w:rFonts w:ascii="Palatino Linotype" w:eastAsia="Palatino Linotype" w:hAnsi="Palatino Linotype" w:cs="Palatino Linotype"/>
          <w:b/>
          <w:sz w:val="26"/>
          <w:szCs w:val="26"/>
        </w:rPr>
        <w:t>Respuesta del Sujeto Obligado</w:t>
      </w:r>
    </w:p>
    <w:p w14:paraId="508C8F72" w14:textId="3DE3CC4D" w:rsidR="00261F9B" w:rsidRPr="00244DBD" w:rsidRDefault="009C3371" w:rsidP="00244DBD">
      <w:pPr>
        <w:widowControl w:val="0"/>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El </w:t>
      </w:r>
      <w:r w:rsidRPr="00244DBD">
        <w:rPr>
          <w:rFonts w:ascii="Palatino Linotype" w:eastAsia="Palatino Linotype" w:hAnsi="Palatino Linotype" w:cs="Palatino Linotype"/>
          <w:b/>
        </w:rPr>
        <w:t>siete de agosto de dos mil veintitrés</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dio respuesta a las solicitudes de información, para tal efecto adjuntó los siguientes archivos electrónicos: </w:t>
      </w:r>
    </w:p>
    <w:p w14:paraId="672182CF" w14:textId="0BA41B11" w:rsidR="00CC572D" w:rsidRPr="00244DBD" w:rsidRDefault="00CC572D" w:rsidP="00244DBD">
      <w:pPr>
        <w:widowControl w:val="0"/>
        <w:spacing w:line="360" w:lineRule="auto"/>
        <w:jc w:val="both"/>
        <w:rPr>
          <w:rFonts w:ascii="Palatino Linotype" w:eastAsia="Palatino Linotype" w:hAnsi="Palatino Linotype" w:cs="Palatino Linotype"/>
        </w:rPr>
      </w:pPr>
    </w:p>
    <w:p w14:paraId="31AF02D0" w14:textId="383BFE45" w:rsidR="00CC572D" w:rsidRPr="00244DBD" w:rsidRDefault="00CC572D" w:rsidP="00244DBD">
      <w:pPr>
        <w:widowControl w:val="0"/>
        <w:spacing w:line="360" w:lineRule="auto"/>
        <w:jc w:val="both"/>
        <w:rPr>
          <w:rFonts w:ascii="Palatino Linotype" w:eastAsia="Palatino Linotype" w:hAnsi="Palatino Linotype" w:cs="Palatino Linotype"/>
          <w:u w:val="single"/>
        </w:rPr>
      </w:pPr>
      <w:r w:rsidRPr="00244DBD">
        <w:rPr>
          <w:rFonts w:ascii="Palatino Linotype" w:eastAsia="Palatino Linotype" w:hAnsi="Palatino Linotype" w:cs="Palatino Linotype"/>
          <w:b/>
          <w:u w:val="single"/>
        </w:rPr>
        <w:t>04397/INFOEM/IP/RR/2023:</w:t>
      </w:r>
    </w:p>
    <w:p w14:paraId="3B67E2EE" w14:textId="13B42859" w:rsidR="00261F9B" w:rsidRPr="00244DBD" w:rsidRDefault="009C3371" w:rsidP="00244DBD">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 xml:space="preserve">Respuesta 2386.pdf: </w:t>
      </w:r>
      <w:r w:rsidRPr="00244DBD">
        <w:rPr>
          <w:rFonts w:ascii="Palatino Linotype" w:eastAsia="Palatino Linotype" w:hAnsi="Palatino Linotype" w:cs="Palatino Linotype"/>
        </w:rPr>
        <w:t>consta del oficio signado por la Titular de la Unidad de Transparencia del siete de agosto de dos mil veintitrés, mediante el que informa que la Dirección General de Administración y Servidor Público Habilitado, informó que por el cúmulo de información en fecha cuatro de agosto del presente año, fue aprobado por el Comité de Transparencia en la Sexcentésima Cuarta Sesión Extraordinaria con el número de acuerdo AT/CT/01/2023, el cambio de modalidad para que dicha información pueda ser en consulta directa, haciendo mención del área, dirección, horario y teléfono de contacto, asimismo advierte que estipula la opción con costo y sin costo.</w:t>
      </w:r>
    </w:p>
    <w:p w14:paraId="017C902A" w14:textId="77777777" w:rsidR="00CC572D" w:rsidRPr="00244DBD" w:rsidRDefault="00CC572D" w:rsidP="00244DBD">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BCA6E04" w14:textId="2C855FAD" w:rsidR="00CC572D" w:rsidRPr="00244DBD" w:rsidRDefault="00CC572D" w:rsidP="00244DBD">
      <w:pPr>
        <w:widowControl w:val="0"/>
        <w:pBdr>
          <w:top w:val="nil"/>
          <w:left w:val="nil"/>
          <w:bottom w:val="nil"/>
          <w:right w:val="nil"/>
          <w:between w:val="nil"/>
        </w:pBdr>
        <w:spacing w:line="360" w:lineRule="auto"/>
        <w:jc w:val="both"/>
        <w:rPr>
          <w:rFonts w:ascii="Palatino Linotype" w:eastAsia="Palatino Linotype" w:hAnsi="Palatino Linotype" w:cs="Palatino Linotype"/>
          <w:u w:val="single"/>
        </w:rPr>
      </w:pPr>
      <w:r w:rsidRPr="00244DBD">
        <w:rPr>
          <w:rFonts w:ascii="Palatino Linotype" w:eastAsia="Palatino Linotype" w:hAnsi="Palatino Linotype" w:cs="Palatino Linotype"/>
          <w:b/>
          <w:u w:val="single"/>
        </w:rPr>
        <w:t>04398/INFOEM/IP/RR/2023:</w:t>
      </w:r>
    </w:p>
    <w:p w14:paraId="1B798820" w14:textId="67D66A40" w:rsidR="00261F9B" w:rsidRPr="00244DBD" w:rsidRDefault="009C3371" w:rsidP="00244DBD">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Respuesta 2385.pdf:</w:t>
      </w:r>
      <w:r w:rsidRPr="00244DBD">
        <w:rPr>
          <w:rFonts w:ascii="Palatino Linotype" w:eastAsia="Palatino Linotype" w:hAnsi="Palatino Linotype" w:cs="Palatino Linotype"/>
        </w:rPr>
        <w:t xml:space="preserve"> consta del oficio signado por la Titular de la Unidad de Transparencia del siete de agosto de dos mil veintitrés, mediante el que informa que la Dirección General de Administración y Servidor Público Habilitado, informó que hace entrega de todos los oficios en versión que obran en su archivo y que fueron signados por la entonces coordinadora de apoyo técnico de la Dirección General de Administración durante el mes de febrero de dos mil veintidós, asimismo remite Acuerdo número AT/CT/01/2023, aprobado en la Sexcentésima Tercera Sesión Extraordinaria del Comité de Transparencia, cabe precisar que no adjunta dicha acta.</w:t>
      </w:r>
    </w:p>
    <w:p w14:paraId="27B718DB" w14:textId="77777777" w:rsidR="00FB2948" w:rsidRPr="00244DBD" w:rsidRDefault="00FB2948" w:rsidP="00244DBD">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067E7ED" w14:textId="77777777" w:rsidR="00261F9B" w:rsidRPr="00244DBD" w:rsidRDefault="009C3371" w:rsidP="00244DBD">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 xml:space="preserve">oficios CAT febrero 2022 vp.pdf: </w:t>
      </w:r>
      <w:r w:rsidRPr="00244DBD">
        <w:rPr>
          <w:rFonts w:ascii="Palatino Linotype" w:eastAsia="Palatino Linotype" w:hAnsi="Palatino Linotype" w:cs="Palatino Linotype"/>
        </w:rPr>
        <w:t xml:space="preserve">consta de 238 documentales del mes de febrero de dos mil veintitrés, signado por la Coordinadora de Apoyo Técnico. </w:t>
      </w:r>
    </w:p>
    <w:p w14:paraId="4D3940B2" w14:textId="77777777" w:rsidR="00261F9B" w:rsidRPr="00244DBD" w:rsidRDefault="00261F9B" w:rsidP="00244DBD">
      <w:pPr>
        <w:widowControl w:val="0"/>
        <w:spacing w:line="360" w:lineRule="auto"/>
        <w:jc w:val="both"/>
        <w:rPr>
          <w:rFonts w:ascii="Palatino Linotype" w:eastAsia="Palatino Linotype" w:hAnsi="Palatino Linotype" w:cs="Palatino Linotype"/>
        </w:rPr>
      </w:pPr>
    </w:p>
    <w:p w14:paraId="2873BF16"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sz w:val="26"/>
          <w:szCs w:val="26"/>
        </w:rPr>
        <w:t>IV. De la presentación de los Recursos de Revisión</w:t>
      </w:r>
    </w:p>
    <w:p w14:paraId="7B768156" w14:textId="77777777" w:rsidR="00261F9B" w:rsidRPr="00244DBD" w:rsidRDefault="009C3371" w:rsidP="00244DBD">
      <w:pPr>
        <w:spacing w:line="360" w:lineRule="auto"/>
        <w:jc w:val="both"/>
        <w:rPr>
          <w:rFonts w:ascii="Palatino Linotype" w:eastAsia="Palatino Linotype" w:hAnsi="Palatino Linotype" w:cs="Palatino Linotype"/>
        </w:rPr>
      </w:pPr>
      <w:bookmarkStart w:id="5" w:name="_heading=h.tyjcwt" w:colFirst="0" w:colLast="0"/>
      <w:bookmarkEnd w:id="5"/>
      <w:r w:rsidRPr="00244DBD">
        <w:rPr>
          <w:rFonts w:ascii="Palatino Linotype" w:eastAsia="Palatino Linotype" w:hAnsi="Palatino Linotype" w:cs="Palatino Linotype"/>
        </w:rPr>
        <w:t>Inconforme con las respuestas proporcionadas por el</w:t>
      </w:r>
      <w:r w:rsidRPr="00244DBD">
        <w:rPr>
          <w:rFonts w:ascii="Palatino Linotype" w:eastAsia="Palatino Linotype" w:hAnsi="Palatino Linotype" w:cs="Palatino Linotype"/>
          <w:b/>
        </w:rPr>
        <w:t xml:space="preserve"> SUJETO OBLIGADO</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el ocho de agosto de dos mil veintitrés</w:t>
      </w:r>
      <w:r w:rsidRPr="00244DBD">
        <w:rPr>
          <w:rFonts w:ascii="Palatino Linotype" w:eastAsia="Palatino Linotype" w:hAnsi="Palatino Linotype" w:cs="Palatino Linotype"/>
        </w:rPr>
        <w:t xml:space="preserve">, se interpusieron los Recursos de Revisión materia de los presentes estudios, los cuales fueron registrados en </w:t>
      </w:r>
      <w:r w:rsidRPr="00244DBD">
        <w:rPr>
          <w:rFonts w:ascii="Palatino Linotype" w:eastAsia="Palatino Linotype" w:hAnsi="Palatino Linotype" w:cs="Palatino Linotype"/>
          <w:b/>
        </w:rPr>
        <w:t>EL SAIMEX</w:t>
      </w:r>
      <w:r w:rsidRPr="00244DBD">
        <w:rPr>
          <w:rFonts w:ascii="Palatino Linotype" w:eastAsia="Palatino Linotype" w:hAnsi="Palatino Linotype" w:cs="Palatino Linotype"/>
        </w:rPr>
        <w:t xml:space="preserve"> y se les asignaron los números de expedientes anotados al rubro</w:t>
      </w:r>
      <w:r w:rsidRPr="00244DBD">
        <w:rPr>
          <w:rFonts w:ascii="Palatino Linotype" w:eastAsia="Palatino Linotype" w:hAnsi="Palatino Linotype" w:cs="Palatino Linotype"/>
          <w:b/>
        </w:rPr>
        <w:t>,</w:t>
      </w:r>
      <w:r w:rsidRPr="00244DBD">
        <w:rPr>
          <w:rFonts w:ascii="Palatino Linotype" w:eastAsia="Palatino Linotype" w:hAnsi="Palatino Linotype" w:cs="Palatino Linotype"/>
        </w:rPr>
        <w:t xml:space="preserve"> en el que de manera homologada señaló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los agravios, a saber:</w:t>
      </w:r>
    </w:p>
    <w:p w14:paraId="0C4CB1FD" w14:textId="77777777" w:rsidR="00261F9B" w:rsidRPr="00244DBD" w:rsidRDefault="00261F9B" w:rsidP="00244DBD">
      <w:pPr>
        <w:spacing w:line="360" w:lineRule="auto"/>
        <w:ind w:right="851"/>
        <w:jc w:val="both"/>
        <w:rPr>
          <w:rFonts w:ascii="Palatino Linotype" w:eastAsia="Palatino Linotype" w:hAnsi="Palatino Linotype" w:cs="Palatino Linotype"/>
          <w:b/>
        </w:rPr>
      </w:pPr>
    </w:p>
    <w:p w14:paraId="7554E031" w14:textId="77777777" w:rsidR="00261F9B" w:rsidRPr="00244DBD" w:rsidRDefault="009C3371" w:rsidP="00244DBD">
      <w:pPr>
        <w:spacing w:line="360" w:lineRule="auto"/>
        <w:ind w:right="851"/>
        <w:jc w:val="both"/>
        <w:rPr>
          <w:rFonts w:ascii="Palatino Linotype" w:eastAsia="Palatino Linotype" w:hAnsi="Palatino Linotype" w:cs="Palatino Linotype"/>
          <w:b/>
        </w:rPr>
      </w:pPr>
      <w:r w:rsidRPr="00244DBD">
        <w:rPr>
          <w:rFonts w:ascii="Palatino Linotype" w:eastAsia="Palatino Linotype" w:hAnsi="Palatino Linotype" w:cs="Palatino Linotype"/>
          <w:b/>
        </w:rPr>
        <w:t>Solicitud 02386/TOLUCA/IP/2023</w:t>
      </w:r>
    </w:p>
    <w:p w14:paraId="5429BB39" w14:textId="77777777" w:rsidR="00261F9B" w:rsidRPr="00244DBD" w:rsidRDefault="00261F9B" w:rsidP="00244DBD">
      <w:pPr>
        <w:spacing w:line="360" w:lineRule="auto"/>
        <w:ind w:right="851"/>
        <w:jc w:val="both"/>
        <w:rPr>
          <w:rFonts w:ascii="Palatino Linotype" w:eastAsia="Palatino Linotype" w:hAnsi="Palatino Linotype" w:cs="Palatino Linotype"/>
          <w:b/>
        </w:rPr>
      </w:pPr>
    </w:p>
    <w:p w14:paraId="60006A9F" w14:textId="77777777" w:rsidR="00261F9B" w:rsidRPr="00244DBD" w:rsidRDefault="009C3371" w:rsidP="00244DBD">
      <w:pPr>
        <w:spacing w:line="360" w:lineRule="auto"/>
        <w:ind w:right="851"/>
        <w:jc w:val="both"/>
        <w:rPr>
          <w:rFonts w:ascii="Palatino Linotype" w:eastAsia="Palatino Linotype" w:hAnsi="Palatino Linotype" w:cs="Palatino Linotype"/>
        </w:rPr>
      </w:pPr>
      <w:r w:rsidRPr="00244DBD">
        <w:rPr>
          <w:rFonts w:ascii="Palatino Linotype" w:eastAsia="Palatino Linotype" w:hAnsi="Palatino Linotype" w:cs="Palatino Linotype"/>
          <w:b/>
        </w:rPr>
        <w:lastRenderedPageBreak/>
        <w:t>Acto Impugnado</w:t>
      </w:r>
    </w:p>
    <w:p w14:paraId="0B074BB4" w14:textId="77777777" w:rsidR="00261F9B" w:rsidRPr="00244DBD" w:rsidRDefault="00261F9B" w:rsidP="00244DBD">
      <w:pPr>
        <w:ind w:left="907" w:right="851"/>
        <w:jc w:val="both"/>
        <w:rPr>
          <w:rFonts w:ascii="Palatino Linotype" w:eastAsia="Palatino Linotype" w:hAnsi="Palatino Linotype" w:cs="Palatino Linotype"/>
          <w:i/>
        </w:rPr>
      </w:pPr>
    </w:p>
    <w:p w14:paraId="31EFE81F" w14:textId="77777777" w:rsidR="00261F9B" w:rsidRPr="00244DBD" w:rsidRDefault="009C3371" w:rsidP="00244DBD">
      <w:pPr>
        <w:ind w:left="907" w:right="851"/>
        <w:jc w:val="both"/>
        <w:rPr>
          <w:rFonts w:ascii="Palatino Linotype" w:eastAsia="Palatino Linotype" w:hAnsi="Palatino Linotype" w:cs="Palatino Linotype"/>
          <w:i/>
        </w:rPr>
      </w:pPr>
      <w:r w:rsidRPr="00244DBD">
        <w:rPr>
          <w:rFonts w:ascii="Palatino Linotype" w:eastAsia="Palatino Linotype" w:hAnsi="Palatino Linotype" w:cs="Palatino Linotype"/>
          <w:i/>
        </w:rPr>
        <w:t>“la respuesta” (Sic)</w:t>
      </w:r>
    </w:p>
    <w:p w14:paraId="5BA8BBC9" w14:textId="77777777" w:rsidR="00261F9B" w:rsidRPr="00244DBD" w:rsidRDefault="00261F9B" w:rsidP="00244DBD">
      <w:pPr>
        <w:ind w:left="907" w:right="851"/>
        <w:jc w:val="both"/>
        <w:rPr>
          <w:rFonts w:ascii="Palatino Linotype" w:eastAsia="Palatino Linotype" w:hAnsi="Palatino Linotype" w:cs="Palatino Linotype"/>
        </w:rPr>
      </w:pPr>
    </w:p>
    <w:p w14:paraId="7338F5A4" w14:textId="77777777" w:rsidR="00261F9B" w:rsidRPr="00244DBD" w:rsidRDefault="00261F9B" w:rsidP="00244DBD">
      <w:pPr>
        <w:spacing w:line="360" w:lineRule="auto"/>
        <w:ind w:right="851"/>
        <w:jc w:val="both"/>
        <w:rPr>
          <w:rFonts w:ascii="Palatino Linotype" w:eastAsia="Palatino Linotype" w:hAnsi="Palatino Linotype" w:cs="Palatino Linotype"/>
          <w:b/>
        </w:rPr>
      </w:pPr>
    </w:p>
    <w:p w14:paraId="6B349CCC" w14:textId="77777777" w:rsidR="00261F9B" w:rsidRPr="00244DBD" w:rsidRDefault="00261F9B" w:rsidP="00244DBD">
      <w:pPr>
        <w:spacing w:line="360" w:lineRule="auto"/>
        <w:ind w:right="851"/>
        <w:jc w:val="both"/>
        <w:rPr>
          <w:rFonts w:ascii="Palatino Linotype" w:eastAsia="Palatino Linotype" w:hAnsi="Palatino Linotype" w:cs="Palatino Linotype"/>
          <w:b/>
        </w:rPr>
      </w:pPr>
    </w:p>
    <w:p w14:paraId="5C7020A4" w14:textId="77777777" w:rsidR="00261F9B" w:rsidRPr="00244DBD" w:rsidRDefault="009C3371" w:rsidP="00244DBD">
      <w:pPr>
        <w:spacing w:line="360" w:lineRule="auto"/>
        <w:ind w:right="851"/>
        <w:jc w:val="both"/>
        <w:rPr>
          <w:rFonts w:ascii="Palatino Linotype" w:eastAsia="Palatino Linotype" w:hAnsi="Palatino Linotype" w:cs="Palatino Linotype"/>
          <w:b/>
        </w:rPr>
      </w:pPr>
      <w:r w:rsidRPr="00244DBD">
        <w:rPr>
          <w:rFonts w:ascii="Palatino Linotype" w:eastAsia="Palatino Linotype" w:hAnsi="Palatino Linotype" w:cs="Palatino Linotype"/>
          <w:b/>
        </w:rPr>
        <w:t>Razones o Motivos de Inconformidad:</w:t>
      </w:r>
    </w:p>
    <w:p w14:paraId="54A10805" w14:textId="77777777" w:rsidR="00261F9B" w:rsidRPr="00244DBD" w:rsidRDefault="00261F9B" w:rsidP="00244DBD">
      <w:pPr>
        <w:ind w:left="907" w:right="851"/>
        <w:jc w:val="both"/>
        <w:rPr>
          <w:rFonts w:ascii="Palatino Linotype" w:eastAsia="Palatino Linotype" w:hAnsi="Palatino Linotype" w:cs="Palatino Linotype"/>
          <w:i/>
        </w:rPr>
      </w:pPr>
    </w:p>
    <w:p w14:paraId="40BD9CDB" w14:textId="77777777" w:rsidR="00261F9B" w:rsidRPr="00244DBD" w:rsidRDefault="009C3371" w:rsidP="00244DBD">
      <w:pPr>
        <w:ind w:left="907" w:right="851"/>
        <w:jc w:val="both"/>
        <w:rPr>
          <w:rFonts w:ascii="Palatino Linotype" w:eastAsia="Palatino Linotype" w:hAnsi="Palatino Linotype" w:cs="Palatino Linotype"/>
          <w:i/>
        </w:rPr>
      </w:pPr>
      <w:r w:rsidRPr="00244DBD">
        <w:rPr>
          <w:rFonts w:ascii="Palatino Linotype" w:eastAsia="Palatino Linotype" w:hAnsi="Palatino Linotype" w:cs="Palatino Linotype"/>
          <w:i/>
        </w:rPr>
        <w:t>“no me dan cuenta del porque de su respuesta, no me entregan acta, no me dicen cuantas paginas son, no hay evidencia del peso.” (Sic)</w:t>
      </w:r>
    </w:p>
    <w:p w14:paraId="45374CC2" w14:textId="77777777" w:rsidR="00261F9B" w:rsidRPr="00244DBD" w:rsidRDefault="00261F9B" w:rsidP="00244DBD">
      <w:pPr>
        <w:ind w:right="851"/>
        <w:jc w:val="both"/>
        <w:rPr>
          <w:rFonts w:ascii="Palatino Linotype" w:eastAsia="Palatino Linotype" w:hAnsi="Palatino Linotype" w:cs="Palatino Linotype"/>
          <w:i/>
        </w:rPr>
      </w:pPr>
    </w:p>
    <w:p w14:paraId="75888816" w14:textId="77777777" w:rsidR="00261F9B" w:rsidRPr="00244DBD" w:rsidRDefault="00261F9B" w:rsidP="00244DBD">
      <w:pPr>
        <w:ind w:right="851"/>
        <w:jc w:val="both"/>
        <w:rPr>
          <w:rFonts w:ascii="Palatino Linotype" w:eastAsia="Palatino Linotype" w:hAnsi="Palatino Linotype" w:cs="Palatino Linotype"/>
          <w:i/>
        </w:rPr>
      </w:pPr>
    </w:p>
    <w:p w14:paraId="11D9BD7D" w14:textId="77777777" w:rsidR="00261F9B" w:rsidRPr="00244DBD" w:rsidRDefault="009C3371" w:rsidP="00244DBD">
      <w:pPr>
        <w:spacing w:line="360" w:lineRule="auto"/>
        <w:ind w:right="851"/>
        <w:jc w:val="both"/>
        <w:rPr>
          <w:rFonts w:ascii="Palatino Linotype" w:eastAsia="Palatino Linotype" w:hAnsi="Palatino Linotype" w:cs="Palatino Linotype"/>
          <w:b/>
        </w:rPr>
      </w:pPr>
      <w:r w:rsidRPr="00244DBD">
        <w:rPr>
          <w:rFonts w:ascii="Palatino Linotype" w:eastAsia="Palatino Linotype" w:hAnsi="Palatino Linotype" w:cs="Palatino Linotype"/>
          <w:b/>
        </w:rPr>
        <w:t>Solicitud 02385/TOLUCA/IP/2023</w:t>
      </w:r>
    </w:p>
    <w:p w14:paraId="694723DF" w14:textId="77777777" w:rsidR="00261F9B" w:rsidRPr="00244DBD" w:rsidRDefault="009C3371" w:rsidP="00244DBD">
      <w:pPr>
        <w:spacing w:line="360" w:lineRule="auto"/>
        <w:ind w:right="851"/>
        <w:jc w:val="both"/>
        <w:rPr>
          <w:rFonts w:ascii="Palatino Linotype" w:eastAsia="Palatino Linotype" w:hAnsi="Palatino Linotype" w:cs="Palatino Linotype"/>
        </w:rPr>
      </w:pPr>
      <w:r w:rsidRPr="00244DBD">
        <w:rPr>
          <w:rFonts w:ascii="Palatino Linotype" w:eastAsia="Palatino Linotype" w:hAnsi="Palatino Linotype" w:cs="Palatino Linotype"/>
          <w:b/>
        </w:rPr>
        <w:t>Acto Impugnado</w:t>
      </w:r>
    </w:p>
    <w:p w14:paraId="69381C71" w14:textId="77777777" w:rsidR="00261F9B" w:rsidRPr="00244DBD" w:rsidRDefault="00261F9B" w:rsidP="00244DBD">
      <w:pPr>
        <w:ind w:left="907" w:right="851"/>
        <w:jc w:val="both"/>
        <w:rPr>
          <w:rFonts w:ascii="Palatino Linotype" w:eastAsia="Palatino Linotype" w:hAnsi="Palatino Linotype" w:cs="Palatino Linotype"/>
          <w:i/>
        </w:rPr>
      </w:pPr>
    </w:p>
    <w:p w14:paraId="28A8139D" w14:textId="77777777" w:rsidR="00261F9B" w:rsidRPr="00244DBD" w:rsidRDefault="009C3371" w:rsidP="00244DBD">
      <w:pPr>
        <w:ind w:left="907" w:right="851"/>
        <w:jc w:val="both"/>
        <w:rPr>
          <w:rFonts w:ascii="Palatino Linotype" w:eastAsia="Palatino Linotype" w:hAnsi="Palatino Linotype" w:cs="Palatino Linotype"/>
          <w:i/>
        </w:rPr>
      </w:pPr>
      <w:r w:rsidRPr="00244DBD">
        <w:rPr>
          <w:rFonts w:ascii="Palatino Linotype" w:eastAsia="Palatino Linotype" w:hAnsi="Palatino Linotype" w:cs="Palatino Linotype"/>
          <w:i/>
        </w:rPr>
        <w:t>“la respuesta” (Sic)</w:t>
      </w:r>
    </w:p>
    <w:p w14:paraId="53052B7A" w14:textId="77777777" w:rsidR="00261F9B" w:rsidRPr="00244DBD" w:rsidRDefault="00261F9B" w:rsidP="00244DBD">
      <w:pPr>
        <w:ind w:left="907" w:right="851"/>
        <w:jc w:val="both"/>
        <w:rPr>
          <w:rFonts w:ascii="Palatino Linotype" w:eastAsia="Palatino Linotype" w:hAnsi="Palatino Linotype" w:cs="Palatino Linotype"/>
        </w:rPr>
      </w:pPr>
    </w:p>
    <w:p w14:paraId="0861BF11" w14:textId="77777777" w:rsidR="00261F9B" w:rsidRPr="00244DBD" w:rsidRDefault="009C3371" w:rsidP="00244DBD">
      <w:pPr>
        <w:spacing w:line="360" w:lineRule="auto"/>
        <w:ind w:right="851"/>
        <w:jc w:val="both"/>
        <w:rPr>
          <w:rFonts w:ascii="Palatino Linotype" w:eastAsia="Palatino Linotype" w:hAnsi="Palatino Linotype" w:cs="Palatino Linotype"/>
          <w:b/>
        </w:rPr>
      </w:pPr>
      <w:r w:rsidRPr="00244DBD">
        <w:rPr>
          <w:rFonts w:ascii="Palatino Linotype" w:eastAsia="Palatino Linotype" w:hAnsi="Palatino Linotype" w:cs="Palatino Linotype"/>
          <w:b/>
        </w:rPr>
        <w:t>Razones o Motivos de Inconformidad:</w:t>
      </w:r>
    </w:p>
    <w:p w14:paraId="28EB9730" w14:textId="77777777" w:rsidR="00261F9B" w:rsidRPr="00244DBD" w:rsidRDefault="00261F9B" w:rsidP="00244DBD">
      <w:pPr>
        <w:ind w:left="907" w:right="851"/>
        <w:jc w:val="both"/>
        <w:rPr>
          <w:rFonts w:ascii="Palatino Linotype" w:eastAsia="Palatino Linotype" w:hAnsi="Palatino Linotype" w:cs="Palatino Linotype"/>
          <w:i/>
        </w:rPr>
      </w:pPr>
    </w:p>
    <w:p w14:paraId="7113E620" w14:textId="77777777" w:rsidR="00261F9B" w:rsidRPr="00244DBD" w:rsidRDefault="009C3371" w:rsidP="00244DBD">
      <w:pPr>
        <w:ind w:left="907" w:right="851"/>
        <w:jc w:val="both"/>
        <w:rPr>
          <w:rFonts w:ascii="Palatino Linotype" w:eastAsia="Palatino Linotype" w:hAnsi="Palatino Linotype" w:cs="Palatino Linotype"/>
          <w:i/>
        </w:rPr>
      </w:pPr>
      <w:r w:rsidRPr="00244DBD">
        <w:rPr>
          <w:rFonts w:ascii="Palatino Linotype" w:eastAsia="Palatino Linotype" w:hAnsi="Palatino Linotype" w:cs="Palatino Linotype"/>
          <w:i/>
        </w:rPr>
        <w:t>“omiten entrega de información, se saltan los números de oficio y no hay fundamento del porque los quitaron en su caso.” (Sic)</w:t>
      </w:r>
    </w:p>
    <w:p w14:paraId="237043BA" w14:textId="77777777" w:rsidR="00261F9B" w:rsidRPr="00244DBD" w:rsidRDefault="00261F9B" w:rsidP="00244DBD">
      <w:pPr>
        <w:ind w:right="851"/>
        <w:jc w:val="both"/>
        <w:rPr>
          <w:rFonts w:ascii="Palatino Linotype" w:eastAsia="Palatino Linotype" w:hAnsi="Palatino Linotype" w:cs="Palatino Linotype"/>
          <w:i/>
        </w:rPr>
      </w:pPr>
    </w:p>
    <w:p w14:paraId="24E2F1D7" w14:textId="77777777" w:rsidR="00261F9B" w:rsidRPr="00244DBD" w:rsidRDefault="00261F9B" w:rsidP="00244DBD">
      <w:pPr>
        <w:jc w:val="both"/>
        <w:rPr>
          <w:rFonts w:ascii="Palatino Linotype" w:eastAsia="Palatino Linotype" w:hAnsi="Palatino Linotype" w:cs="Palatino Linotype"/>
          <w:b/>
          <w:sz w:val="26"/>
          <w:szCs w:val="26"/>
        </w:rPr>
      </w:pPr>
    </w:p>
    <w:p w14:paraId="31649295"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sz w:val="26"/>
          <w:szCs w:val="26"/>
        </w:rPr>
        <w:t>V. Del turno de los Recursos de Revisión</w:t>
      </w:r>
    </w:p>
    <w:p w14:paraId="7A5830EC"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El </w:t>
      </w:r>
      <w:r w:rsidRPr="00244DBD">
        <w:rPr>
          <w:rFonts w:ascii="Palatino Linotype" w:eastAsia="Palatino Linotype" w:hAnsi="Palatino Linotype" w:cs="Palatino Linotype"/>
          <w:b/>
        </w:rPr>
        <w:t>ocho de agosto de dos mil veintitrés</w:t>
      </w:r>
      <w:r w:rsidRPr="00244DBD">
        <w:rPr>
          <w:rFonts w:ascii="Palatino Linotype" w:eastAsia="Palatino Linotype" w:hAnsi="Palatino Linotype" w:cs="Palatino Linotype"/>
        </w:rPr>
        <w:t xml:space="preserve">, los Recursos de que se tratan se enviaron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turnaron a través del </w:t>
      </w:r>
      <w:r w:rsidRPr="00244DBD">
        <w:rPr>
          <w:rFonts w:ascii="Palatino Linotype" w:eastAsia="Palatino Linotype" w:hAnsi="Palatino Linotype" w:cs="Palatino Linotype"/>
          <w:b/>
        </w:rPr>
        <w:t xml:space="preserve">SAIMEX, </w:t>
      </w:r>
      <w:r w:rsidRPr="00244DBD">
        <w:rPr>
          <w:rFonts w:ascii="Palatino Linotype" w:eastAsia="Palatino Linotype" w:hAnsi="Palatino Linotype" w:cs="Palatino Linotype"/>
        </w:rPr>
        <w:t xml:space="preserve">así: </w:t>
      </w:r>
    </w:p>
    <w:p w14:paraId="2459C2ED" w14:textId="77777777" w:rsidR="00261F9B" w:rsidRPr="00244DBD" w:rsidRDefault="00261F9B" w:rsidP="00244DBD">
      <w:pPr>
        <w:spacing w:line="360" w:lineRule="auto"/>
        <w:jc w:val="both"/>
        <w:rPr>
          <w:rFonts w:ascii="Palatino Linotype" w:eastAsia="Palatino Linotype" w:hAnsi="Palatino Linotype" w:cs="Palatino Linotype"/>
        </w:rPr>
      </w:pPr>
    </w:p>
    <w:tbl>
      <w:tblPr>
        <w:tblStyle w:val="a0"/>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3119"/>
      </w:tblGrid>
      <w:tr w:rsidR="00244DBD" w:rsidRPr="00244DBD" w14:paraId="4CCFB37B" w14:textId="77777777">
        <w:trPr>
          <w:trHeight w:val="315"/>
          <w:tblHeader/>
          <w:jc w:val="center"/>
        </w:trPr>
        <w:tc>
          <w:tcPr>
            <w:tcW w:w="4536" w:type="dxa"/>
            <w:shd w:val="clear" w:color="auto" w:fill="4A452A"/>
          </w:tcPr>
          <w:p w14:paraId="2297B4DF" w14:textId="77777777" w:rsidR="00261F9B" w:rsidRPr="00244DBD" w:rsidRDefault="009C3371" w:rsidP="00244DBD">
            <w:pPr>
              <w:spacing w:line="360" w:lineRule="auto"/>
              <w:jc w:val="center"/>
              <w:rPr>
                <w:rFonts w:ascii="Palatino Linotype" w:eastAsia="Palatino Linotype" w:hAnsi="Palatino Linotype" w:cs="Palatino Linotype"/>
                <w:b/>
                <w:sz w:val="24"/>
                <w:szCs w:val="24"/>
              </w:rPr>
            </w:pPr>
            <w:bookmarkStart w:id="6" w:name="_heading=h.3dy6vkm" w:colFirst="0" w:colLast="0"/>
            <w:bookmarkEnd w:id="6"/>
            <w:r w:rsidRPr="00244DBD">
              <w:rPr>
                <w:rFonts w:ascii="Palatino Linotype" w:eastAsia="Palatino Linotype" w:hAnsi="Palatino Linotype" w:cs="Palatino Linotype"/>
                <w:b/>
                <w:sz w:val="24"/>
                <w:szCs w:val="24"/>
              </w:rPr>
              <w:t xml:space="preserve">Comisionada / Comisionado  </w:t>
            </w:r>
          </w:p>
        </w:tc>
        <w:tc>
          <w:tcPr>
            <w:tcW w:w="3119" w:type="dxa"/>
            <w:shd w:val="clear" w:color="auto" w:fill="4A452A"/>
          </w:tcPr>
          <w:p w14:paraId="3102A063" w14:textId="77777777" w:rsidR="00261F9B" w:rsidRPr="00244DBD" w:rsidRDefault="009C3371" w:rsidP="00244DBD">
            <w:pPr>
              <w:spacing w:line="360" w:lineRule="auto"/>
              <w:jc w:val="center"/>
              <w:rPr>
                <w:rFonts w:ascii="Palatino Linotype" w:eastAsia="Palatino Linotype" w:hAnsi="Palatino Linotype" w:cs="Palatino Linotype"/>
                <w:b/>
                <w:sz w:val="24"/>
                <w:szCs w:val="24"/>
              </w:rPr>
            </w:pPr>
            <w:r w:rsidRPr="00244DBD">
              <w:rPr>
                <w:rFonts w:ascii="Palatino Linotype" w:eastAsia="Palatino Linotype" w:hAnsi="Palatino Linotype" w:cs="Palatino Linotype"/>
                <w:b/>
                <w:sz w:val="24"/>
                <w:szCs w:val="24"/>
              </w:rPr>
              <w:t>Recursos de Revisión</w:t>
            </w:r>
          </w:p>
        </w:tc>
      </w:tr>
      <w:tr w:rsidR="00244DBD" w:rsidRPr="00244DBD" w14:paraId="40B0CDFA" w14:textId="77777777">
        <w:trPr>
          <w:trHeight w:val="631"/>
          <w:jc w:val="center"/>
        </w:trPr>
        <w:tc>
          <w:tcPr>
            <w:tcW w:w="4536" w:type="dxa"/>
            <w:shd w:val="clear" w:color="auto" w:fill="auto"/>
          </w:tcPr>
          <w:p w14:paraId="57255464"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Comisionada Sharon Cristina Morales Martínez</w:t>
            </w:r>
          </w:p>
        </w:tc>
        <w:tc>
          <w:tcPr>
            <w:tcW w:w="3119" w:type="dxa"/>
            <w:shd w:val="clear" w:color="auto" w:fill="auto"/>
          </w:tcPr>
          <w:p w14:paraId="4E2370F2"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 xml:space="preserve">04397/INFOEM/IP/RR/2023 </w:t>
            </w:r>
          </w:p>
        </w:tc>
      </w:tr>
      <w:tr w:rsidR="00261F9B" w:rsidRPr="00244DBD" w14:paraId="6657F8FA" w14:textId="77777777">
        <w:trPr>
          <w:trHeight w:val="631"/>
          <w:jc w:val="center"/>
        </w:trPr>
        <w:tc>
          <w:tcPr>
            <w:tcW w:w="4536" w:type="dxa"/>
            <w:shd w:val="clear" w:color="auto" w:fill="auto"/>
          </w:tcPr>
          <w:p w14:paraId="59DAD665"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Comisionada María Del Rosario Mejía Ayala</w:t>
            </w:r>
          </w:p>
        </w:tc>
        <w:tc>
          <w:tcPr>
            <w:tcW w:w="3119" w:type="dxa"/>
            <w:shd w:val="clear" w:color="auto" w:fill="auto"/>
          </w:tcPr>
          <w:p w14:paraId="3B5FD415"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04398/INFOEM/IP/RR/2023</w:t>
            </w:r>
          </w:p>
        </w:tc>
      </w:tr>
    </w:tbl>
    <w:p w14:paraId="57F7765F" w14:textId="77777777" w:rsidR="00261F9B" w:rsidRPr="00244DBD" w:rsidRDefault="00261F9B" w:rsidP="00244DBD">
      <w:pPr>
        <w:spacing w:line="360" w:lineRule="auto"/>
        <w:jc w:val="both"/>
        <w:rPr>
          <w:rFonts w:ascii="Palatino Linotype" w:eastAsia="Palatino Linotype" w:hAnsi="Palatino Linotype" w:cs="Palatino Linotype"/>
          <w:b/>
          <w:sz w:val="26"/>
          <w:szCs w:val="26"/>
        </w:rPr>
      </w:pPr>
    </w:p>
    <w:p w14:paraId="4B84F566"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sz w:val="26"/>
          <w:szCs w:val="26"/>
        </w:rPr>
        <w:t>a) Admisión de los Recursos de Revisión</w:t>
      </w:r>
    </w:p>
    <w:p w14:paraId="46C7308E" w14:textId="77777777" w:rsidR="00261F9B" w:rsidRPr="00244DBD" w:rsidRDefault="009C3371" w:rsidP="00244DBD">
      <w:pPr>
        <w:tabs>
          <w:tab w:val="center" w:pos="4252"/>
          <w:tab w:val="right" w:pos="8504"/>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Se advierte que los días </w:t>
      </w:r>
      <w:r w:rsidRPr="00244DBD">
        <w:rPr>
          <w:rFonts w:ascii="Palatino Linotype" w:eastAsia="Palatino Linotype" w:hAnsi="Palatino Linotype" w:cs="Palatino Linotype"/>
          <w:b/>
        </w:rPr>
        <w:t>quince de agosto de dos mil veintitrés</w:t>
      </w:r>
      <w:r w:rsidRPr="00244DBD">
        <w:rPr>
          <w:rFonts w:ascii="Palatino Linotype" w:eastAsia="Palatino Linotype" w:hAnsi="Palatino Linotype" w:cs="Palatino Linotype"/>
        </w:rPr>
        <w:t xml:space="preserve">, se acordaron las admisiones a trámite de los Recursos de Revisión que nos ocupan; así como la integración de los expedientes respectivos, mismos que se pusieron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w:t>
      </w:r>
      <w:r w:rsidRPr="00244DBD">
        <w:rPr>
          <w:rFonts w:ascii="Palatino Linotype" w:eastAsia="Palatino Linotype" w:hAnsi="Palatino Linotype" w:cs="Palatino Linotype"/>
          <w:b/>
        </w:rPr>
        <w:t xml:space="preserve">EL SUJETO OBLIGADO </w:t>
      </w:r>
      <w:r w:rsidRPr="00244DBD">
        <w:rPr>
          <w:rFonts w:ascii="Palatino Linotype" w:eastAsia="Palatino Linotype" w:hAnsi="Palatino Linotype" w:cs="Palatino Linotype"/>
        </w:rPr>
        <w:t>rindiera los correspondientes</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Informes Justificados.</w:t>
      </w:r>
    </w:p>
    <w:p w14:paraId="629EA401" w14:textId="77777777" w:rsidR="00261F9B" w:rsidRPr="00244DBD" w:rsidRDefault="00261F9B" w:rsidP="00244DBD">
      <w:pPr>
        <w:spacing w:line="360" w:lineRule="auto"/>
        <w:jc w:val="both"/>
        <w:rPr>
          <w:rFonts w:ascii="Palatino Linotype" w:eastAsia="Palatino Linotype" w:hAnsi="Palatino Linotype" w:cs="Palatino Linotype"/>
          <w:b/>
        </w:rPr>
      </w:pPr>
    </w:p>
    <w:p w14:paraId="7B06B432"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rPr>
        <w:t>b)</w:t>
      </w:r>
      <w:r w:rsidRPr="00244DBD">
        <w:rPr>
          <w:rFonts w:ascii="Palatino Linotype" w:eastAsia="Palatino Linotype" w:hAnsi="Palatino Linotype" w:cs="Palatino Linotype"/>
          <w:b/>
          <w:sz w:val="26"/>
          <w:szCs w:val="26"/>
        </w:rPr>
        <w:t xml:space="preserve"> Acumulación de los Recursos de Revisión</w:t>
      </w:r>
    </w:p>
    <w:p w14:paraId="4B3BC957" w14:textId="77777777" w:rsidR="00261F9B" w:rsidRPr="00244DBD" w:rsidRDefault="009C3371" w:rsidP="00244DBD">
      <w:pPr>
        <w:spacing w:line="360" w:lineRule="auto"/>
        <w:jc w:val="both"/>
        <w:rPr>
          <w:rFonts w:ascii="Palatino Linotype" w:eastAsia="Palatino Linotype" w:hAnsi="Palatino Linotype" w:cs="Palatino Linotype"/>
        </w:rPr>
      </w:pPr>
      <w:bookmarkStart w:id="7" w:name="_heading=h.1t3h5sf" w:colFirst="0" w:colLast="0"/>
      <w:bookmarkEnd w:id="7"/>
      <w:r w:rsidRPr="00244DBD">
        <w:rPr>
          <w:rFonts w:ascii="Palatino Linotype" w:eastAsia="Palatino Linotype" w:hAnsi="Palatino Linotype" w:cs="Palatino Linotype"/>
        </w:rPr>
        <w:t>Por economía procesal y con la finalidad de evitar resoluciones contradictorias, en la a Trigésima Sesión ordinaria del Pleno de este Instituto de fecha veintitrés de agosto de dos mil veintitrés, el Pleno de este Instituto determinó acumular los Recursos de Revisión</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b/>
          <w:sz w:val="23"/>
          <w:szCs w:val="23"/>
        </w:rPr>
        <w:t xml:space="preserve">04397/INFOEM/IP/RR/2023 y 04398/INFOEM/IP/RR/2023, </w:t>
      </w:r>
      <w:r w:rsidRPr="00244DBD">
        <w:rPr>
          <w:rFonts w:ascii="Palatino Linotype" w:eastAsia="Palatino Linotype" w:hAnsi="Palatino Linotype" w:cs="Palatino Linotype"/>
        </w:rPr>
        <w:t xml:space="preserve">acordando la elaboración del proyecto de resolución por parte de la </w:t>
      </w:r>
      <w:r w:rsidRPr="00244DBD">
        <w:rPr>
          <w:rFonts w:ascii="Palatino Linotype" w:eastAsia="Palatino Linotype" w:hAnsi="Palatino Linotype" w:cs="Palatino Linotype"/>
          <w:b/>
        </w:rPr>
        <w:t>Comisionada</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Sharon Cristina Morales Martínez</w:t>
      </w:r>
      <w:r w:rsidRPr="00244DBD">
        <w:rPr>
          <w:rFonts w:ascii="Palatino Linotype" w:eastAsia="Palatino Linotype" w:hAnsi="Palatino Linotype" w:cs="Palatino Linotype"/>
        </w:rPr>
        <w:t>.</w:t>
      </w:r>
    </w:p>
    <w:p w14:paraId="4FA7ED17" w14:textId="77777777" w:rsidR="00261F9B" w:rsidRPr="00244DBD" w:rsidRDefault="00261F9B" w:rsidP="00244DBD">
      <w:pPr>
        <w:spacing w:line="360" w:lineRule="auto"/>
        <w:jc w:val="both"/>
        <w:rPr>
          <w:rFonts w:ascii="Palatino Linotype" w:eastAsia="Palatino Linotype" w:hAnsi="Palatino Linotype" w:cs="Palatino Linotype"/>
        </w:rPr>
      </w:pPr>
    </w:p>
    <w:p w14:paraId="783F6711" w14:textId="77777777" w:rsidR="00261F9B" w:rsidRPr="00244DBD" w:rsidRDefault="00261F9B" w:rsidP="00244DBD">
      <w:pPr>
        <w:spacing w:line="360" w:lineRule="auto"/>
        <w:jc w:val="both"/>
        <w:rPr>
          <w:rFonts w:ascii="Palatino Linotype" w:eastAsia="Palatino Linotype" w:hAnsi="Palatino Linotype" w:cs="Palatino Linotype"/>
          <w:b/>
          <w:sz w:val="26"/>
          <w:szCs w:val="26"/>
        </w:rPr>
      </w:pPr>
    </w:p>
    <w:p w14:paraId="3361DD9B" w14:textId="77777777" w:rsidR="00261F9B" w:rsidRPr="00244DBD" w:rsidRDefault="009C3371" w:rsidP="00244DBD">
      <w:pPr>
        <w:spacing w:line="360" w:lineRule="auto"/>
        <w:jc w:val="both"/>
        <w:rPr>
          <w:rFonts w:ascii="Palatino Linotype" w:eastAsia="Palatino Linotype" w:hAnsi="Palatino Linotype" w:cs="Palatino Linotype"/>
          <w:b/>
          <w:sz w:val="26"/>
          <w:szCs w:val="26"/>
        </w:rPr>
      </w:pPr>
      <w:r w:rsidRPr="00244DBD">
        <w:rPr>
          <w:rFonts w:ascii="Palatino Linotype" w:eastAsia="Palatino Linotype" w:hAnsi="Palatino Linotype" w:cs="Palatino Linotype"/>
          <w:b/>
          <w:sz w:val="26"/>
          <w:szCs w:val="26"/>
        </w:rPr>
        <w:t>c) Informe Justificado</w:t>
      </w:r>
    </w:p>
    <w:p w14:paraId="4C7F4279"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De acuerdo a las constancias digitales que obran en </w:t>
      </w:r>
      <w:r w:rsidRPr="00244DBD">
        <w:rPr>
          <w:rFonts w:ascii="Palatino Linotype" w:eastAsia="Palatino Linotype" w:hAnsi="Palatino Linotype" w:cs="Palatino Linotype"/>
          <w:b/>
        </w:rPr>
        <w:t>EL</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 xml:space="preserve">SAIMEX </w:t>
      </w:r>
      <w:r w:rsidRPr="00244DBD">
        <w:rPr>
          <w:rFonts w:ascii="Palatino Linotype" w:eastAsia="Palatino Linotype" w:hAnsi="Palatino Linotype" w:cs="Palatino Linotype"/>
        </w:rPr>
        <w:t>de los expedientes materia del presente asunto se desprende que conforme a lo dispuesto en el artículo 185, fracciones II y IV de la Ley de Transparencia y Acceso a la Información Pública del Estado de México y Municipios, dentro del término legalmente concedido al</w:t>
      </w:r>
      <w:r w:rsidRPr="00244DBD">
        <w:rPr>
          <w:rFonts w:ascii="Palatino Linotype" w:eastAsia="Palatino Linotype" w:hAnsi="Palatino Linotype" w:cs="Palatino Linotype"/>
          <w:b/>
        </w:rPr>
        <w:t xml:space="preserve"> RECURRENTE</w:t>
      </w:r>
      <w:r w:rsidRPr="00244DBD">
        <w:rPr>
          <w:rFonts w:ascii="Palatino Linotype" w:eastAsia="Palatino Linotype" w:hAnsi="Palatino Linotype" w:cs="Palatino Linotype"/>
        </w:rPr>
        <w:t xml:space="preserve">, éste no realizó manifestaciones; por su parte, </w:t>
      </w:r>
      <w:r w:rsidRPr="00244DBD">
        <w:rPr>
          <w:rFonts w:ascii="Palatino Linotype" w:eastAsia="Palatino Linotype" w:hAnsi="Palatino Linotype" w:cs="Palatino Linotype"/>
          <w:b/>
        </w:rPr>
        <w:t xml:space="preserve">EL SUJETO OBLIGADO </w:t>
      </w:r>
      <w:r w:rsidRPr="00244DBD">
        <w:rPr>
          <w:rFonts w:ascii="Palatino Linotype" w:eastAsia="Palatino Linotype" w:hAnsi="Palatino Linotype" w:cs="Palatino Linotype"/>
        </w:rPr>
        <w:t xml:space="preserve">rindió Informe Justificado en los siguientes términos: </w:t>
      </w:r>
    </w:p>
    <w:p w14:paraId="4925FA84" w14:textId="77777777" w:rsidR="00261F9B" w:rsidRPr="00244DBD" w:rsidRDefault="00261F9B" w:rsidP="00244DBD">
      <w:pPr>
        <w:spacing w:line="360" w:lineRule="auto"/>
        <w:jc w:val="both"/>
        <w:rPr>
          <w:rFonts w:ascii="Palatino Linotype" w:eastAsia="Palatino Linotype" w:hAnsi="Palatino Linotype" w:cs="Palatino Linotype"/>
        </w:rPr>
      </w:pPr>
    </w:p>
    <w:p w14:paraId="51087CA2"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 xml:space="preserve">Recurso de Revisión 04397/INFOEM/IP/RR/2023: </w:t>
      </w:r>
    </w:p>
    <w:p w14:paraId="4DA23528"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El Sujeto Obligado el veinticuatro y veintiocho de agosto de dos mil veintitrés remitió los siguientes archivos: </w:t>
      </w:r>
    </w:p>
    <w:p w14:paraId="62DE255B" w14:textId="77777777" w:rsidR="00261F9B" w:rsidRPr="00244DBD" w:rsidRDefault="00261F9B" w:rsidP="00244DBD">
      <w:pPr>
        <w:spacing w:line="360" w:lineRule="auto"/>
        <w:jc w:val="both"/>
        <w:rPr>
          <w:rFonts w:ascii="Palatino Linotype" w:eastAsia="Palatino Linotype" w:hAnsi="Palatino Linotype" w:cs="Palatino Linotype"/>
        </w:rPr>
      </w:pPr>
    </w:p>
    <w:p w14:paraId="7F4C0E7D" w14:textId="77777777" w:rsidR="00261F9B" w:rsidRPr="00244DBD" w:rsidRDefault="009C3371" w:rsidP="00244DB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RR4397.pdf:</w:t>
      </w:r>
      <w:r w:rsidRPr="00244DBD">
        <w:rPr>
          <w:rFonts w:ascii="Palatino Linotype" w:eastAsia="Palatino Linotype" w:hAnsi="Palatino Linotype" w:cs="Palatino Linotype"/>
        </w:rPr>
        <w:t xml:space="preserve"> consta del informe justificado emitido por la Titular de la Unidad de Transparencia, mediante el cual ratifica todas y cada una de las actuaciones realizadas en respuesta primigenia.</w:t>
      </w:r>
    </w:p>
    <w:p w14:paraId="23D4C9F9" w14:textId="77777777" w:rsidR="00261F9B" w:rsidRPr="00244DBD" w:rsidRDefault="009C3371" w:rsidP="00244DB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Acta604_23.pdf:</w:t>
      </w:r>
      <w:r w:rsidRPr="00244DBD">
        <w:rPr>
          <w:rFonts w:ascii="Palatino Linotype" w:eastAsia="Palatino Linotype" w:hAnsi="Palatino Linotype" w:cs="Palatino Linotype"/>
        </w:rPr>
        <w:t xml:space="preserve"> Acta de la sexcentésima cuarta sesión extraordinaria emitida por el Comité de Transparencia del Municipio de Toluca, mediante el que aprueban la elaboración en versión pública de oficios, para el cumplimiento a la solicitud de información 02386/TOLUCA/IP/2023. </w:t>
      </w:r>
    </w:p>
    <w:p w14:paraId="355512F9" w14:textId="77777777" w:rsidR="00261F9B" w:rsidRPr="00244DBD" w:rsidRDefault="009C3371" w:rsidP="00244DB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ROf762CambioModalidadTOLUCA2023.pdf:</w:t>
      </w:r>
      <w:r w:rsidRPr="00244DBD">
        <w:rPr>
          <w:rFonts w:ascii="Palatino Linotype" w:eastAsia="Palatino Linotype" w:hAnsi="Palatino Linotype" w:cs="Palatino Linotype"/>
        </w:rPr>
        <w:t xml:space="preserve"> consta del oficio INFOEM/DGI/762/2023, signado por el Director General de Informática mediante informa que a fin de atender la solicitud 02386/TOLUCA/IP/2023, </w:t>
      </w:r>
      <w:r w:rsidRPr="00244DBD">
        <w:rPr>
          <w:rFonts w:ascii="Palatino Linotype" w:eastAsia="Palatino Linotype" w:hAnsi="Palatino Linotype" w:cs="Palatino Linotype"/>
        </w:rPr>
        <w:lastRenderedPageBreak/>
        <w:t>informa que de acuerdo al reporte de incidencia técnica ha quedado registrada en la bitácora de incidencias toda vez que trata de subir un peso de 5.50 GB el cual sobrepasa las capacidades técnicas del sistema SAIMEX.</w:t>
      </w:r>
    </w:p>
    <w:p w14:paraId="1BC5B92B" w14:textId="77777777" w:rsidR="00261F9B" w:rsidRPr="00244DBD" w:rsidRDefault="00261F9B" w:rsidP="00244DBD">
      <w:pPr>
        <w:spacing w:line="360" w:lineRule="auto"/>
        <w:jc w:val="both"/>
        <w:rPr>
          <w:rFonts w:ascii="Palatino Linotype" w:eastAsia="Palatino Linotype" w:hAnsi="Palatino Linotype" w:cs="Palatino Linotype"/>
          <w:b/>
        </w:rPr>
      </w:pPr>
    </w:p>
    <w:p w14:paraId="0B5D70E1"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rPr>
        <w:t xml:space="preserve">Recurso de Revisión 04398/INFOEM/IP/RR/2023: </w:t>
      </w:r>
    </w:p>
    <w:p w14:paraId="1AC01B71" w14:textId="77777777" w:rsidR="00261F9B" w:rsidRPr="00244DBD" w:rsidRDefault="009C3371" w:rsidP="00244DBD">
      <w:pPr>
        <w:numPr>
          <w:ilvl w:val="0"/>
          <w:numId w:val="5"/>
        </w:numPr>
        <w:pBdr>
          <w:top w:val="nil"/>
          <w:left w:val="nil"/>
          <w:bottom w:val="nil"/>
          <w:right w:val="nil"/>
          <w:between w:val="nil"/>
        </w:pBdr>
        <w:spacing w:line="360" w:lineRule="auto"/>
        <w:ind w:left="714" w:hanging="357"/>
        <w:jc w:val="both"/>
        <w:rPr>
          <w:rFonts w:ascii="Palatino Linotype" w:eastAsia="Palatino Linotype" w:hAnsi="Palatino Linotype" w:cs="Palatino Linotype"/>
          <w:b/>
        </w:rPr>
      </w:pPr>
      <w:r w:rsidRPr="00244DBD">
        <w:rPr>
          <w:rFonts w:ascii="Palatino Linotype" w:eastAsia="Palatino Linotype" w:hAnsi="Palatino Linotype" w:cs="Palatino Linotype"/>
          <w:b/>
        </w:rPr>
        <w:t xml:space="preserve">RR4398.pdf: </w:t>
      </w:r>
      <w:r w:rsidRPr="00244DBD">
        <w:rPr>
          <w:rFonts w:ascii="Palatino Linotype" w:eastAsia="Palatino Linotype" w:hAnsi="Palatino Linotype" w:cs="Palatino Linotype"/>
        </w:rPr>
        <w:t>consta del informe justificado emitido por la Titular de la Unidad de Transparencia, mediante el cual ratifica todas y cada una de las actuaciones realizadas en respuesta primigenia.</w:t>
      </w:r>
    </w:p>
    <w:p w14:paraId="56E97E43" w14:textId="77777777" w:rsidR="00261F9B" w:rsidRPr="00244DBD" w:rsidRDefault="00261F9B" w:rsidP="00244DBD">
      <w:pPr>
        <w:pBdr>
          <w:top w:val="nil"/>
          <w:left w:val="nil"/>
          <w:bottom w:val="nil"/>
          <w:right w:val="nil"/>
          <w:between w:val="nil"/>
        </w:pBdr>
        <w:spacing w:line="360" w:lineRule="auto"/>
        <w:ind w:left="714"/>
        <w:jc w:val="both"/>
        <w:rPr>
          <w:rFonts w:ascii="Palatino Linotype" w:eastAsia="Palatino Linotype" w:hAnsi="Palatino Linotype" w:cs="Palatino Linotype"/>
          <w:b/>
        </w:rPr>
      </w:pPr>
    </w:p>
    <w:p w14:paraId="569DC3BA" w14:textId="77777777" w:rsidR="00261F9B" w:rsidRPr="00244DBD" w:rsidRDefault="009C3371" w:rsidP="00244DBD">
      <w:pPr>
        <w:spacing w:line="360" w:lineRule="auto"/>
        <w:rPr>
          <w:rFonts w:ascii="Palatino Linotype" w:eastAsia="Palatino Linotype" w:hAnsi="Palatino Linotype" w:cs="Palatino Linotype"/>
          <w:b/>
          <w:sz w:val="26"/>
          <w:szCs w:val="26"/>
        </w:rPr>
      </w:pPr>
      <w:bookmarkStart w:id="8" w:name="_heading=h.4d34og8" w:colFirst="0" w:colLast="0"/>
      <w:bookmarkEnd w:id="8"/>
      <w:r w:rsidRPr="00244DBD">
        <w:rPr>
          <w:rFonts w:ascii="Palatino Linotype" w:eastAsia="Palatino Linotype" w:hAnsi="Palatino Linotype" w:cs="Palatino Linotype"/>
          <w:b/>
          <w:sz w:val="26"/>
          <w:szCs w:val="26"/>
        </w:rPr>
        <w:t>d) Ampliación del plazo para resolver los Recursos de Revisión</w:t>
      </w:r>
    </w:p>
    <w:p w14:paraId="7D6AAC47"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El </w:t>
      </w:r>
      <w:r w:rsidRPr="00244DBD">
        <w:rPr>
          <w:rFonts w:ascii="Palatino Linotype" w:eastAsia="Palatino Linotype" w:hAnsi="Palatino Linotype" w:cs="Palatino Linotype"/>
          <w:b/>
        </w:rPr>
        <w:t>veinticinco de septiembre de dos mil veintitrés</w:t>
      </w:r>
      <w:r w:rsidRPr="00244DBD">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Sistema de Acceso a la Información Mexiquense (SAIMEX).</w:t>
      </w:r>
    </w:p>
    <w:p w14:paraId="00602DB6" w14:textId="77777777" w:rsidR="00261F9B" w:rsidRPr="00244DBD" w:rsidRDefault="00261F9B" w:rsidP="00244DBD">
      <w:pPr>
        <w:spacing w:line="360" w:lineRule="auto"/>
        <w:jc w:val="both"/>
        <w:rPr>
          <w:rFonts w:ascii="Palatino Linotype" w:eastAsia="Palatino Linotype" w:hAnsi="Palatino Linotype" w:cs="Palatino Linotype"/>
        </w:rPr>
      </w:pPr>
    </w:p>
    <w:p w14:paraId="04C653CC"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78960D3" w14:textId="77777777" w:rsidR="00261F9B" w:rsidRPr="00244DBD" w:rsidRDefault="00261F9B" w:rsidP="00244DBD">
      <w:pPr>
        <w:spacing w:line="360" w:lineRule="auto"/>
        <w:jc w:val="both"/>
        <w:rPr>
          <w:rFonts w:ascii="Palatino Linotype" w:eastAsia="Palatino Linotype" w:hAnsi="Palatino Linotype" w:cs="Palatino Linotype"/>
        </w:rPr>
      </w:pPr>
    </w:p>
    <w:p w14:paraId="7C544AD6"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8C7F90A" w14:textId="77777777" w:rsidR="00261F9B" w:rsidRPr="00244DBD" w:rsidRDefault="00261F9B" w:rsidP="00244DBD">
      <w:pPr>
        <w:spacing w:line="360" w:lineRule="auto"/>
        <w:jc w:val="both"/>
        <w:rPr>
          <w:rFonts w:ascii="Palatino Linotype" w:eastAsia="Palatino Linotype" w:hAnsi="Palatino Linotype" w:cs="Palatino Linotype"/>
        </w:rPr>
      </w:pPr>
    </w:p>
    <w:p w14:paraId="3AA9D3DE"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031C052" w14:textId="77777777" w:rsidR="00261F9B" w:rsidRPr="00244DBD" w:rsidRDefault="00261F9B" w:rsidP="00244DBD">
      <w:pPr>
        <w:spacing w:line="360" w:lineRule="auto"/>
        <w:jc w:val="both"/>
        <w:rPr>
          <w:rFonts w:ascii="Palatino Linotype" w:eastAsia="Palatino Linotype" w:hAnsi="Palatino Linotype" w:cs="Palatino Linotype"/>
        </w:rPr>
      </w:pPr>
    </w:p>
    <w:p w14:paraId="2FABC702"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BFE5A8F" w14:textId="77777777" w:rsidR="00261F9B" w:rsidRPr="00244DBD" w:rsidRDefault="00261F9B" w:rsidP="00244DBD">
      <w:pPr>
        <w:spacing w:line="360" w:lineRule="auto"/>
        <w:jc w:val="both"/>
        <w:rPr>
          <w:rFonts w:ascii="Palatino Linotype" w:eastAsia="Palatino Linotype" w:hAnsi="Palatino Linotype" w:cs="Palatino Linotype"/>
        </w:rPr>
      </w:pPr>
    </w:p>
    <w:p w14:paraId="17E5210E"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C31C85D" w14:textId="77777777" w:rsidR="00261F9B" w:rsidRPr="00244DBD" w:rsidRDefault="00261F9B" w:rsidP="00244DBD">
      <w:pPr>
        <w:spacing w:line="360" w:lineRule="auto"/>
        <w:jc w:val="both"/>
        <w:rPr>
          <w:rFonts w:ascii="Palatino Linotype" w:eastAsia="Palatino Linotype" w:hAnsi="Palatino Linotype" w:cs="Palatino Linotype"/>
        </w:rPr>
      </w:pPr>
    </w:p>
    <w:p w14:paraId="2CE06D0E" w14:textId="77777777" w:rsidR="00261F9B" w:rsidRPr="00244DBD" w:rsidRDefault="009C3371" w:rsidP="00244DBD">
      <w:pPr>
        <w:spacing w:line="360" w:lineRule="auto"/>
        <w:ind w:left="720"/>
        <w:jc w:val="both"/>
        <w:rPr>
          <w:rFonts w:ascii="Palatino Linotype" w:eastAsia="Palatino Linotype" w:hAnsi="Palatino Linotype" w:cs="Palatino Linotype"/>
        </w:rPr>
      </w:pPr>
      <w:r w:rsidRPr="00244DBD">
        <w:rPr>
          <w:rFonts w:ascii="Palatino Linotype" w:eastAsia="Palatino Linotype" w:hAnsi="Palatino Linotype" w:cs="Palatino Linotype"/>
          <w:b/>
        </w:rPr>
        <w:t>a)</w:t>
      </w:r>
      <w:r w:rsidRPr="00244DBD">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38C480B0" w14:textId="77777777" w:rsidR="00261F9B" w:rsidRPr="00244DBD" w:rsidRDefault="009C3371" w:rsidP="00244DBD">
      <w:pPr>
        <w:spacing w:line="360" w:lineRule="auto"/>
        <w:ind w:left="720"/>
        <w:jc w:val="both"/>
        <w:rPr>
          <w:rFonts w:ascii="Palatino Linotype" w:eastAsia="Palatino Linotype" w:hAnsi="Palatino Linotype" w:cs="Palatino Linotype"/>
        </w:rPr>
      </w:pPr>
      <w:r w:rsidRPr="00244DBD">
        <w:rPr>
          <w:rFonts w:ascii="Palatino Linotype" w:eastAsia="Palatino Linotype" w:hAnsi="Palatino Linotype" w:cs="Palatino Linotype"/>
          <w:b/>
        </w:rPr>
        <w:t>b)</w:t>
      </w:r>
      <w:r w:rsidRPr="00244DBD">
        <w:rPr>
          <w:rFonts w:ascii="Palatino Linotype" w:eastAsia="Palatino Linotype" w:hAnsi="Palatino Linotype" w:cs="Palatino Linotype"/>
        </w:rPr>
        <w:t xml:space="preserve"> Actividad Procesal del interesado: Acciones u omisiones del interesado.</w:t>
      </w:r>
    </w:p>
    <w:p w14:paraId="6589A82B" w14:textId="77777777" w:rsidR="00261F9B" w:rsidRPr="00244DBD" w:rsidRDefault="009C3371" w:rsidP="00244DBD">
      <w:pPr>
        <w:spacing w:line="360" w:lineRule="auto"/>
        <w:ind w:left="720"/>
        <w:jc w:val="both"/>
        <w:rPr>
          <w:rFonts w:ascii="Palatino Linotype" w:eastAsia="Palatino Linotype" w:hAnsi="Palatino Linotype" w:cs="Palatino Linotype"/>
        </w:rPr>
      </w:pPr>
      <w:r w:rsidRPr="00244DBD">
        <w:rPr>
          <w:rFonts w:ascii="Palatino Linotype" w:eastAsia="Palatino Linotype" w:hAnsi="Palatino Linotype" w:cs="Palatino Linotype"/>
          <w:b/>
        </w:rPr>
        <w:lastRenderedPageBreak/>
        <w:t>c)</w:t>
      </w:r>
      <w:r w:rsidRPr="00244DBD">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6D05575B" w14:textId="77777777" w:rsidR="00261F9B" w:rsidRPr="00244DBD" w:rsidRDefault="009C3371" w:rsidP="00244DBD">
      <w:pPr>
        <w:spacing w:line="360" w:lineRule="auto"/>
        <w:ind w:left="720"/>
        <w:jc w:val="both"/>
        <w:rPr>
          <w:rFonts w:ascii="Palatino Linotype" w:eastAsia="Palatino Linotype" w:hAnsi="Palatino Linotype" w:cs="Palatino Linotype"/>
        </w:rPr>
      </w:pPr>
      <w:r w:rsidRPr="00244DBD">
        <w:rPr>
          <w:rFonts w:ascii="Palatino Linotype" w:eastAsia="Palatino Linotype" w:hAnsi="Palatino Linotype" w:cs="Palatino Linotype"/>
          <w:b/>
        </w:rPr>
        <w:t>d)</w:t>
      </w:r>
      <w:r w:rsidRPr="00244DBD">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00F520D1" w14:textId="77777777" w:rsidR="00261F9B" w:rsidRPr="00244DBD" w:rsidRDefault="00261F9B" w:rsidP="00244DBD">
      <w:pPr>
        <w:spacing w:line="360" w:lineRule="auto"/>
        <w:ind w:left="720"/>
        <w:jc w:val="both"/>
        <w:rPr>
          <w:rFonts w:ascii="Palatino Linotype" w:eastAsia="Palatino Linotype" w:hAnsi="Palatino Linotype" w:cs="Palatino Linotype"/>
        </w:rPr>
      </w:pPr>
    </w:p>
    <w:p w14:paraId="56F8B4FC"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441732" w14:textId="77777777" w:rsidR="00261F9B" w:rsidRPr="00244DBD" w:rsidRDefault="00261F9B" w:rsidP="00244DBD">
      <w:pPr>
        <w:spacing w:line="360" w:lineRule="auto"/>
        <w:jc w:val="both"/>
        <w:rPr>
          <w:rFonts w:ascii="Palatino Linotype" w:eastAsia="Palatino Linotype" w:hAnsi="Palatino Linotype" w:cs="Palatino Linotype"/>
        </w:rPr>
      </w:pPr>
    </w:p>
    <w:p w14:paraId="353A8A78"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Argumento que encuentra sustento en la jurisprudencia P./J. 32/92 emitida por el Pleno de la Suprema Corte de Justicia de la Nación del rubro “</w:t>
      </w:r>
      <w:r w:rsidRPr="00244DBD">
        <w:rPr>
          <w:rFonts w:ascii="Palatino Linotype" w:eastAsia="Palatino Linotype" w:hAnsi="Palatino Linotype" w:cs="Palatino Linotype"/>
          <w:b/>
          <w:i/>
        </w:rPr>
        <w:t>TÉRMINOS PROCESALES. PARA DETERMINAR SI UN FUNCIONARIO JUDICIAL ACTUÓ INDEBIDAMENTE POR NO RESPETARLOS SE DEBE ATENDER AL PRESUPUESTO QUE CONSIDERÓ EL LEGISLADOR AL FIJARLOS Y LAS CARACTERÍSTICAS DEL CASO</w:t>
      </w:r>
      <w:r w:rsidRPr="00244DBD">
        <w:rPr>
          <w:rFonts w:ascii="Palatino Linotype" w:eastAsia="Palatino Linotype" w:hAnsi="Palatino Linotype" w:cs="Palatino Linotype"/>
          <w:i/>
        </w:rPr>
        <w:t>.</w:t>
      </w:r>
      <w:r w:rsidRPr="00244DBD">
        <w:rPr>
          <w:rFonts w:ascii="Palatino Linotype" w:eastAsia="Palatino Linotype" w:hAnsi="Palatino Linotype" w:cs="Palatino Linotype"/>
          <w:i/>
          <w:vertAlign w:val="superscript"/>
        </w:rPr>
        <w:footnoteReference w:id="1"/>
      </w:r>
      <w:r w:rsidRPr="00244DBD">
        <w:rPr>
          <w:rFonts w:ascii="Palatino Linotype" w:eastAsia="Palatino Linotype" w:hAnsi="Palatino Linotype" w:cs="Palatino Linotype"/>
          <w:i/>
        </w:rPr>
        <w:t>”</w:t>
      </w:r>
    </w:p>
    <w:p w14:paraId="21DEE501" w14:textId="77777777" w:rsidR="00261F9B" w:rsidRPr="00244DBD" w:rsidRDefault="00261F9B" w:rsidP="00244DBD">
      <w:pPr>
        <w:spacing w:line="360" w:lineRule="auto"/>
        <w:jc w:val="both"/>
        <w:rPr>
          <w:rFonts w:ascii="Palatino Linotype" w:eastAsia="Palatino Linotype" w:hAnsi="Palatino Linotype" w:cs="Palatino Linotype"/>
        </w:rPr>
      </w:pPr>
    </w:p>
    <w:p w14:paraId="7F040ECF"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244DBD">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B904EC" w14:textId="77777777" w:rsidR="00261F9B" w:rsidRPr="00244DBD" w:rsidRDefault="00261F9B" w:rsidP="00244DBD">
      <w:pPr>
        <w:spacing w:line="360" w:lineRule="auto"/>
        <w:jc w:val="both"/>
        <w:rPr>
          <w:rFonts w:ascii="Palatino Linotype" w:eastAsia="Palatino Linotype" w:hAnsi="Palatino Linotype" w:cs="Palatino Linotype"/>
        </w:rPr>
      </w:pPr>
    </w:p>
    <w:p w14:paraId="29FEB6F7"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r w:rsidRPr="00244DBD">
        <w:rPr>
          <w:rFonts w:ascii="Palatino Linotype" w:eastAsia="Palatino Linotype" w:hAnsi="Palatino Linotype" w:cs="Palatino Linotype"/>
          <w:i/>
        </w:rPr>
        <w:t>“</w:t>
      </w:r>
      <w:r w:rsidRPr="00244DBD">
        <w:rPr>
          <w:rFonts w:ascii="Palatino Linotype" w:eastAsia="Palatino Linotype" w:hAnsi="Palatino Linotype" w:cs="Palatino Linotype"/>
          <w:b/>
          <w:i/>
        </w:rPr>
        <w:t>PLAZO RAZONABLE PARA RESOLVER. DIMENSIÓN Y EFECTOS DE ESTE CONCEPTO CUANDO SE ADUCE EXCESIVA CARGA DE TRABAJO</w:t>
      </w:r>
      <w:r w:rsidRPr="00244DBD">
        <w:rPr>
          <w:rFonts w:ascii="Palatino Linotype" w:eastAsia="Palatino Linotype" w:hAnsi="Palatino Linotype" w:cs="Palatino Linotype"/>
          <w:i/>
          <w:vertAlign w:val="superscript"/>
        </w:rPr>
        <w:footnoteReference w:id="2"/>
      </w:r>
      <w:r w:rsidRPr="00244DBD">
        <w:rPr>
          <w:rFonts w:ascii="Palatino Linotype" w:eastAsia="Palatino Linotype" w:hAnsi="Palatino Linotype" w:cs="Palatino Linotype"/>
          <w:i/>
        </w:rPr>
        <w:t>” y “</w:t>
      </w:r>
      <w:r w:rsidRPr="00244DBD">
        <w:rPr>
          <w:rFonts w:ascii="Palatino Linotype" w:eastAsia="Palatino Linotype" w:hAnsi="Palatino Linotype" w:cs="Palatino Linotype"/>
          <w:b/>
          <w:i/>
        </w:rPr>
        <w:t>PLAZO RAZONABLE PARA RESOLVER. CONCEPTO Y ELEMENTOS QUE LO INTEGRAN A LA LUZ DEL DERECHO INTERNACIONAL DE LOS DERECHOS HUMANOS</w:t>
      </w:r>
      <w:r w:rsidRPr="00244DBD">
        <w:rPr>
          <w:rFonts w:ascii="Palatino Linotype" w:eastAsia="Palatino Linotype" w:hAnsi="Palatino Linotype" w:cs="Palatino Linotype"/>
          <w:i/>
        </w:rPr>
        <w:t>”</w:t>
      </w:r>
      <w:r w:rsidRPr="00244DBD">
        <w:rPr>
          <w:rFonts w:ascii="Palatino Linotype" w:eastAsia="Palatino Linotype" w:hAnsi="Palatino Linotype" w:cs="Palatino Linotype"/>
          <w:i/>
          <w:vertAlign w:val="superscript"/>
        </w:rPr>
        <w:footnoteReference w:id="3"/>
      </w:r>
      <w:r w:rsidRPr="00244DBD">
        <w:rPr>
          <w:rFonts w:ascii="Palatino Linotype" w:eastAsia="Palatino Linotype" w:hAnsi="Palatino Linotype" w:cs="Palatino Linotype"/>
        </w:rPr>
        <w:t>.</w:t>
      </w:r>
    </w:p>
    <w:p w14:paraId="2BBDE46B"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EF0A9AD" w14:textId="77777777" w:rsidR="00261F9B" w:rsidRPr="00244DBD" w:rsidRDefault="00261F9B" w:rsidP="00244DBD">
      <w:pPr>
        <w:spacing w:line="360" w:lineRule="auto"/>
        <w:jc w:val="both"/>
        <w:rPr>
          <w:rFonts w:ascii="Palatino Linotype" w:eastAsia="Palatino Linotype" w:hAnsi="Palatino Linotype" w:cs="Palatino Linotype"/>
        </w:rPr>
      </w:pPr>
    </w:p>
    <w:p w14:paraId="61AA0C4A"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sz w:val="26"/>
          <w:szCs w:val="26"/>
        </w:rPr>
        <w:t>e) Cierre de Instrucción</w:t>
      </w:r>
    </w:p>
    <w:p w14:paraId="53A666CC" w14:textId="77777777" w:rsidR="00261F9B" w:rsidRPr="00244DBD" w:rsidRDefault="009C3371" w:rsidP="00244DBD">
      <w:pPr>
        <w:tabs>
          <w:tab w:val="left" w:pos="709"/>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Una vez analizado el estado procesal que guarda el expediente</w:t>
      </w:r>
      <w:r w:rsidRPr="00244DBD">
        <w:rPr>
          <w:rFonts w:ascii="Palatino Linotype" w:eastAsia="Palatino Linotype" w:hAnsi="Palatino Linotype" w:cs="Palatino Linotype"/>
          <w:b/>
        </w:rPr>
        <w:t>, el veintisiete de febrero de dos mil veinticuatro</w:t>
      </w:r>
      <w:r w:rsidRPr="00244DBD">
        <w:rPr>
          <w:rFonts w:ascii="Palatino Linotype" w:eastAsia="Palatino Linotype" w:hAnsi="Palatino Linotype" w:cs="Palatino Linotype"/>
        </w:rPr>
        <w:t>, se</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 xml:space="preserve">acordaron los cierres de instrucción de los Recursos de Revisión, así como la remisión de éste, a efecto de ser resuelto, de conformidad con </w:t>
      </w:r>
      <w:r w:rsidRPr="00244DBD">
        <w:rPr>
          <w:rFonts w:ascii="Palatino Linotype" w:eastAsia="Palatino Linotype" w:hAnsi="Palatino Linotype" w:cs="Palatino Linotype"/>
        </w:rPr>
        <w:lastRenderedPageBreak/>
        <w:t>lo establecido en el artículo 185 fracciones VI y VIII de la Ley de Transparencia y Acceso a la Información Pública del Estado de México y Municipios.</w:t>
      </w:r>
    </w:p>
    <w:p w14:paraId="31C279E0" w14:textId="77777777" w:rsidR="00261F9B" w:rsidRPr="00244DBD" w:rsidRDefault="00261F9B" w:rsidP="00244DBD">
      <w:pPr>
        <w:tabs>
          <w:tab w:val="left" w:pos="709"/>
        </w:tabs>
        <w:spacing w:line="360" w:lineRule="auto"/>
        <w:jc w:val="both"/>
        <w:rPr>
          <w:rFonts w:ascii="Palatino Linotype" w:eastAsia="Palatino Linotype" w:hAnsi="Palatino Linotype" w:cs="Palatino Linotype"/>
        </w:rPr>
      </w:pPr>
    </w:p>
    <w:p w14:paraId="0CCA5115" w14:textId="77777777" w:rsidR="00261F9B" w:rsidRPr="00244DBD" w:rsidRDefault="009C3371" w:rsidP="00244DBD">
      <w:pPr>
        <w:spacing w:line="360" w:lineRule="auto"/>
        <w:jc w:val="center"/>
        <w:rPr>
          <w:rFonts w:ascii="Palatino Linotype" w:eastAsia="Palatino Linotype" w:hAnsi="Palatino Linotype" w:cs="Palatino Linotype"/>
          <w:b/>
          <w:sz w:val="28"/>
          <w:szCs w:val="28"/>
        </w:rPr>
      </w:pPr>
      <w:r w:rsidRPr="00244DBD">
        <w:rPr>
          <w:rFonts w:ascii="Palatino Linotype" w:eastAsia="Palatino Linotype" w:hAnsi="Palatino Linotype" w:cs="Palatino Linotype"/>
          <w:b/>
          <w:sz w:val="28"/>
          <w:szCs w:val="28"/>
        </w:rPr>
        <w:t>CONSIDERANDO</w:t>
      </w:r>
    </w:p>
    <w:p w14:paraId="489549C7" w14:textId="77777777" w:rsidR="00261F9B" w:rsidRPr="00244DBD" w:rsidRDefault="009C3371" w:rsidP="00244DBD">
      <w:pPr>
        <w:widowControl w:val="0"/>
        <w:tabs>
          <w:tab w:val="left" w:pos="1701"/>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sz w:val="28"/>
          <w:szCs w:val="28"/>
        </w:rPr>
        <w:t>PRIMERO. Competencia</w:t>
      </w:r>
      <w:r w:rsidRPr="00244DBD">
        <w:rPr>
          <w:rFonts w:ascii="Palatino Linotype" w:eastAsia="Palatino Linotype" w:hAnsi="Palatino Linotype" w:cs="Palatino Linotype"/>
        </w:rPr>
        <w:t>.</w:t>
      </w:r>
      <w:r w:rsidRPr="00244DBD">
        <w:rPr>
          <w:rFonts w:ascii="Palatino Linotype" w:eastAsia="Palatino Linotype" w:hAnsi="Palatino Linotype" w:cs="Palatino Linotype"/>
          <w:b/>
        </w:rPr>
        <w:t xml:space="preserve"> </w:t>
      </w:r>
    </w:p>
    <w:p w14:paraId="223C2525" w14:textId="77777777" w:rsidR="00261F9B" w:rsidRPr="00244DBD" w:rsidRDefault="009C3371" w:rsidP="00244DBD">
      <w:pPr>
        <w:spacing w:line="360" w:lineRule="auto"/>
        <w:jc w:val="both"/>
        <w:rPr>
          <w:rFonts w:ascii="Palatino Linotype" w:eastAsia="Palatino Linotype" w:hAnsi="Palatino Linotype" w:cs="Palatino Linotype"/>
          <w:b/>
          <w:sz w:val="28"/>
          <w:szCs w:val="28"/>
        </w:rPr>
      </w:pPr>
      <w:r w:rsidRPr="00244DB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869CBB6" w14:textId="77777777" w:rsidR="00261F9B" w:rsidRPr="00244DBD" w:rsidRDefault="00261F9B" w:rsidP="00244DBD">
      <w:pPr>
        <w:spacing w:line="360" w:lineRule="auto"/>
        <w:jc w:val="both"/>
        <w:rPr>
          <w:rFonts w:ascii="Palatino Linotype" w:eastAsia="Palatino Linotype" w:hAnsi="Palatino Linotype" w:cs="Palatino Linotype"/>
          <w:b/>
          <w:sz w:val="28"/>
          <w:szCs w:val="28"/>
        </w:rPr>
      </w:pPr>
    </w:p>
    <w:p w14:paraId="0DB90C11"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sz w:val="28"/>
          <w:szCs w:val="28"/>
        </w:rPr>
        <w:t>SEGUNDO</w:t>
      </w:r>
      <w:r w:rsidRPr="00244DBD">
        <w:rPr>
          <w:rFonts w:ascii="Palatino Linotype" w:eastAsia="Palatino Linotype" w:hAnsi="Palatino Linotype" w:cs="Palatino Linotype"/>
          <w:b/>
        </w:rPr>
        <w:t xml:space="preserve">. Interés. </w:t>
      </w:r>
    </w:p>
    <w:p w14:paraId="0F10A0E6"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Los Recursos de Revisión fueron interpuestos por parte legítima, en atención a que se presentaron por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xml:space="preserve"> quien es la misma persona que formuló las solicitudes de acceso a la Información Pública al </w:t>
      </w:r>
      <w:r w:rsidRPr="00244DBD">
        <w:rPr>
          <w:rFonts w:ascii="Palatino Linotype" w:eastAsia="Palatino Linotype" w:hAnsi="Palatino Linotype" w:cs="Palatino Linotype"/>
          <w:b/>
        </w:rPr>
        <w:t xml:space="preserve">SUJETO OBLIGADO, </w:t>
      </w:r>
      <w:r w:rsidRPr="00244DBD">
        <w:rPr>
          <w:rFonts w:ascii="Palatino Linotype" w:eastAsia="Palatino Linotype" w:hAnsi="Palatino Linotype" w:cs="Palatino Linotype"/>
        </w:rPr>
        <w:t>en razón de que las claves de acceso</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al</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Sistema de Acceso a la Información Mexiquense (</w:t>
      </w:r>
      <w:r w:rsidRPr="00244DBD">
        <w:rPr>
          <w:rFonts w:ascii="Palatino Linotype" w:eastAsia="Palatino Linotype" w:hAnsi="Palatino Linotype" w:cs="Palatino Linotype"/>
          <w:b/>
        </w:rPr>
        <w:t>SAIMEX</w:t>
      </w:r>
      <w:r w:rsidRPr="00244DBD">
        <w:rPr>
          <w:rFonts w:ascii="Palatino Linotype" w:eastAsia="Palatino Linotype" w:hAnsi="Palatino Linotype" w:cs="Palatino Linotype"/>
        </w:rPr>
        <w:t>) son personales e irrepetibles a lo cual se tiene certeza que se trata del mismo particular.</w:t>
      </w:r>
    </w:p>
    <w:p w14:paraId="0BF95E4A" w14:textId="77777777" w:rsidR="00261F9B" w:rsidRPr="00244DBD" w:rsidRDefault="00261F9B" w:rsidP="00244DBD">
      <w:pPr>
        <w:spacing w:line="360" w:lineRule="auto"/>
        <w:jc w:val="both"/>
        <w:rPr>
          <w:rFonts w:ascii="Palatino Linotype" w:eastAsia="Palatino Linotype" w:hAnsi="Palatino Linotype" w:cs="Palatino Linotype"/>
        </w:rPr>
      </w:pPr>
    </w:p>
    <w:p w14:paraId="78A30257" w14:textId="77777777" w:rsidR="00261F9B" w:rsidRPr="00244DBD" w:rsidRDefault="009C3371" w:rsidP="00244DBD">
      <w:pPr>
        <w:tabs>
          <w:tab w:val="center" w:pos="4252"/>
          <w:tab w:val="right" w:pos="8504"/>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sz w:val="28"/>
          <w:szCs w:val="28"/>
        </w:rPr>
        <w:lastRenderedPageBreak/>
        <w:t>TERCERO.</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Justificación de la Acumulación de los Recursos.</w:t>
      </w:r>
      <w:r w:rsidRPr="00244DBD">
        <w:rPr>
          <w:rFonts w:ascii="Palatino Linotype" w:eastAsia="Palatino Linotype" w:hAnsi="Palatino Linotype" w:cs="Palatino Linotype"/>
        </w:rPr>
        <w:t xml:space="preserve"> </w:t>
      </w:r>
    </w:p>
    <w:p w14:paraId="209DAC0F" w14:textId="77777777" w:rsidR="00261F9B" w:rsidRPr="00244DBD" w:rsidRDefault="009C3371" w:rsidP="00244DBD">
      <w:pPr>
        <w:widowControl w:val="0"/>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De las constancias que obran en los expedientes, se advierte que los Recursos de Revisión fueron presentados por el mismo </w:t>
      </w:r>
      <w:r w:rsidRPr="00244DBD">
        <w:rPr>
          <w:rFonts w:ascii="Palatino Linotype" w:eastAsia="Palatino Linotype" w:hAnsi="Palatino Linotype" w:cs="Palatino Linotype"/>
          <w:b/>
        </w:rPr>
        <w:t xml:space="preserve">RECURRENTE </w:t>
      </w:r>
      <w:r w:rsidRPr="00244DBD">
        <w:rPr>
          <w:rFonts w:ascii="Palatino Linotype" w:eastAsia="Palatino Linotype" w:hAnsi="Palatino Linotype" w:cs="Palatino Linotype"/>
        </w:rPr>
        <w:t xml:space="preserve">ante el mismo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5BDE7704" w14:textId="77777777" w:rsidR="00261F9B" w:rsidRPr="00244DBD" w:rsidRDefault="00261F9B" w:rsidP="00244DBD">
      <w:pPr>
        <w:tabs>
          <w:tab w:val="center" w:pos="4252"/>
          <w:tab w:val="right" w:pos="8504"/>
        </w:tabs>
        <w:spacing w:line="360" w:lineRule="auto"/>
        <w:jc w:val="both"/>
        <w:rPr>
          <w:rFonts w:ascii="Palatino Linotype" w:eastAsia="Palatino Linotype" w:hAnsi="Palatino Linotype" w:cs="Palatino Linotype"/>
          <w:sz w:val="22"/>
          <w:szCs w:val="22"/>
        </w:rPr>
      </w:pPr>
    </w:p>
    <w:p w14:paraId="0088BDCE" w14:textId="77777777" w:rsidR="00261F9B" w:rsidRPr="00244DBD" w:rsidRDefault="009C3371" w:rsidP="00244DBD">
      <w:pPr>
        <w:tabs>
          <w:tab w:val="center" w:pos="4252"/>
          <w:tab w:val="right" w:pos="8504"/>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sz w:val="22"/>
          <w:szCs w:val="22"/>
        </w:rPr>
        <w:t xml:space="preserve">De </w:t>
      </w:r>
      <w:r w:rsidRPr="00244DBD">
        <w:rPr>
          <w:rFonts w:ascii="Palatino Linotype" w:eastAsia="Palatino Linotype" w:hAnsi="Palatino Linotype" w:cs="Palatino Linotype"/>
        </w:rPr>
        <w:t>lo dispuesto en la normativa anterior, dicha acumulación procede cuando:</w:t>
      </w:r>
    </w:p>
    <w:p w14:paraId="18E64A26" w14:textId="77777777" w:rsidR="00261F9B" w:rsidRPr="00244DBD" w:rsidRDefault="009C3371" w:rsidP="00244DBD">
      <w:pPr>
        <w:numPr>
          <w:ilvl w:val="0"/>
          <w:numId w:val="1"/>
        </w:numPr>
        <w:pBdr>
          <w:top w:val="nil"/>
          <w:left w:val="nil"/>
          <w:bottom w:val="nil"/>
          <w:right w:val="nil"/>
          <w:between w:val="nil"/>
        </w:pBdr>
        <w:tabs>
          <w:tab w:val="center" w:pos="4252"/>
          <w:tab w:val="right" w:pos="8504"/>
        </w:tabs>
        <w:spacing w:line="360" w:lineRule="auto"/>
        <w:ind w:right="757"/>
        <w:jc w:val="both"/>
        <w:rPr>
          <w:rFonts w:ascii="Palatino Linotype" w:eastAsia="Palatino Linotype" w:hAnsi="Palatino Linotype" w:cs="Palatino Linotype"/>
        </w:rPr>
      </w:pPr>
      <w:r w:rsidRPr="00244DBD">
        <w:rPr>
          <w:rFonts w:ascii="Palatino Linotype" w:eastAsia="Palatino Linotype" w:hAnsi="Palatino Linotype" w:cs="Palatino Linotype"/>
        </w:rPr>
        <w:t>El solicitante y la información referida sean las mismas;</w:t>
      </w:r>
    </w:p>
    <w:p w14:paraId="55B76421" w14:textId="77777777" w:rsidR="00261F9B" w:rsidRPr="00244DBD" w:rsidRDefault="009C3371" w:rsidP="00244DBD">
      <w:pPr>
        <w:numPr>
          <w:ilvl w:val="0"/>
          <w:numId w:val="1"/>
        </w:numPr>
        <w:pBdr>
          <w:top w:val="nil"/>
          <w:left w:val="nil"/>
          <w:bottom w:val="nil"/>
          <w:right w:val="nil"/>
          <w:between w:val="nil"/>
        </w:pBdr>
        <w:tabs>
          <w:tab w:val="center" w:pos="4252"/>
          <w:tab w:val="right" w:pos="8504"/>
        </w:tabs>
        <w:spacing w:line="360" w:lineRule="auto"/>
        <w:ind w:right="757"/>
        <w:jc w:val="both"/>
        <w:rPr>
          <w:rFonts w:ascii="Palatino Linotype" w:eastAsia="Palatino Linotype" w:hAnsi="Palatino Linotype" w:cs="Palatino Linotype"/>
        </w:rPr>
      </w:pPr>
      <w:r w:rsidRPr="00244DBD">
        <w:rPr>
          <w:rFonts w:ascii="Palatino Linotype" w:eastAsia="Palatino Linotype" w:hAnsi="Palatino Linotype" w:cs="Palatino Linotype"/>
          <w:b/>
        </w:rPr>
        <w:t>Las partes o los actos impugnados sean iguales</w:t>
      </w:r>
      <w:r w:rsidRPr="00244DBD">
        <w:rPr>
          <w:rFonts w:ascii="Palatino Linotype" w:eastAsia="Palatino Linotype" w:hAnsi="Palatino Linotype" w:cs="Palatino Linotype"/>
        </w:rPr>
        <w:t>;</w:t>
      </w:r>
    </w:p>
    <w:p w14:paraId="77892089" w14:textId="77777777" w:rsidR="00261F9B" w:rsidRPr="00244DBD" w:rsidRDefault="009C3371" w:rsidP="00244DBD">
      <w:pPr>
        <w:numPr>
          <w:ilvl w:val="0"/>
          <w:numId w:val="1"/>
        </w:numPr>
        <w:pBdr>
          <w:top w:val="nil"/>
          <w:left w:val="nil"/>
          <w:bottom w:val="nil"/>
          <w:right w:val="nil"/>
          <w:between w:val="nil"/>
        </w:pBdr>
        <w:tabs>
          <w:tab w:val="center" w:pos="4252"/>
          <w:tab w:val="right" w:pos="8504"/>
        </w:tabs>
        <w:spacing w:line="360" w:lineRule="auto"/>
        <w:ind w:right="757"/>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Cuando se trate del mismo solicitante, el mismo Sujeto Obligado, </w:t>
      </w:r>
      <w:r w:rsidRPr="00244DBD">
        <w:rPr>
          <w:rFonts w:ascii="Palatino Linotype" w:eastAsia="Palatino Linotype" w:hAnsi="Palatino Linotype" w:cs="Palatino Linotype"/>
          <w:b/>
        </w:rPr>
        <w:t>aunque se trate de solicitudes diversas</w:t>
      </w:r>
      <w:r w:rsidRPr="00244DBD">
        <w:rPr>
          <w:rFonts w:ascii="Palatino Linotype" w:eastAsia="Palatino Linotype" w:hAnsi="Palatino Linotype" w:cs="Palatino Linotype"/>
        </w:rPr>
        <w:t>; y,</w:t>
      </w:r>
    </w:p>
    <w:p w14:paraId="62B2287F" w14:textId="77777777" w:rsidR="00261F9B" w:rsidRPr="00244DBD" w:rsidRDefault="009C3371" w:rsidP="00244DBD">
      <w:pPr>
        <w:numPr>
          <w:ilvl w:val="0"/>
          <w:numId w:val="1"/>
        </w:numPr>
        <w:pBdr>
          <w:top w:val="nil"/>
          <w:left w:val="nil"/>
          <w:bottom w:val="nil"/>
          <w:right w:val="nil"/>
          <w:between w:val="nil"/>
        </w:pBdr>
        <w:tabs>
          <w:tab w:val="center" w:pos="4252"/>
          <w:tab w:val="right" w:pos="8504"/>
        </w:tabs>
        <w:spacing w:line="360" w:lineRule="auto"/>
        <w:ind w:right="757"/>
        <w:jc w:val="both"/>
        <w:rPr>
          <w:rFonts w:ascii="Palatino Linotype" w:eastAsia="Palatino Linotype" w:hAnsi="Palatino Linotype" w:cs="Palatino Linotype"/>
        </w:rPr>
      </w:pPr>
      <w:r w:rsidRPr="00244DBD">
        <w:rPr>
          <w:rFonts w:ascii="Palatino Linotype" w:eastAsia="Palatino Linotype" w:hAnsi="Palatino Linotype" w:cs="Palatino Linotype"/>
          <w:b/>
        </w:rPr>
        <w:t>Resulte conveniente la resolución unificada de los asuntos</w:t>
      </w:r>
      <w:r w:rsidRPr="00244DBD">
        <w:rPr>
          <w:rFonts w:ascii="Palatino Linotype" w:eastAsia="Palatino Linotype" w:hAnsi="Palatino Linotype" w:cs="Palatino Linotype"/>
          <w:i/>
        </w:rPr>
        <w:t>.</w:t>
      </w:r>
    </w:p>
    <w:p w14:paraId="67C86C5F" w14:textId="77777777" w:rsidR="00261F9B" w:rsidRPr="00244DBD" w:rsidRDefault="00261F9B" w:rsidP="00244DBD">
      <w:pPr>
        <w:tabs>
          <w:tab w:val="center" w:pos="4252"/>
          <w:tab w:val="right" w:pos="8504"/>
        </w:tabs>
        <w:spacing w:line="360" w:lineRule="auto"/>
        <w:jc w:val="both"/>
        <w:rPr>
          <w:rFonts w:ascii="Palatino Linotype" w:eastAsia="Palatino Linotype" w:hAnsi="Palatino Linotype" w:cs="Palatino Linotype"/>
        </w:rPr>
      </w:pPr>
    </w:p>
    <w:p w14:paraId="0EF2695B" w14:textId="77777777" w:rsidR="00261F9B" w:rsidRPr="00244DBD" w:rsidRDefault="009C3371" w:rsidP="00244DBD">
      <w:pPr>
        <w:tabs>
          <w:tab w:val="center" w:pos="4252"/>
          <w:tab w:val="right" w:pos="8504"/>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Así, tal y como se mencionó anteriormente, los Recursos de Revisión que nos ocupan fueron interpuestos por el mismo </w:t>
      </w:r>
      <w:r w:rsidRPr="00244DBD">
        <w:rPr>
          <w:rFonts w:ascii="Palatino Linotype" w:eastAsia="Palatino Linotype" w:hAnsi="Palatino Linotype" w:cs="Palatino Linotype"/>
          <w:b/>
        </w:rPr>
        <w:t>RECURRENTE</w:t>
      </w:r>
      <w:r w:rsidRPr="00244DBD">
        <w:rPr>
          <w:rFonts w:ascii="Palatino Linotype" w:eastAsia="Palatino Linotype" w:hAnsi="Palatino Linotype" w:cs="Palatino Linotype"/>
        </w:rPr>
        <w:t xml:space="preserve"> ante el mismo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xml:space="preserve">; por lo que, resulta conveniente su resolución conjunta. </w:t>
      </w:r>
    </w:p>
    <w:p w14:paraId="04C090AB" w14:textId="77777777" w:rsidR="00261F9B" w:rsidRPr="00244DBD" w:rsidRDefault="00261F9B" w:rsidP="00244DBD">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sz w:val="28"/>
          <w:szCs w:val="28"/>
        </w:rPr>
      </w:pPr>
    </w:p>
    <w:p w14:paraId="7DF1559B" w14:textId="77777777" w:rsidR="00261F9B" w:rsidRPr="00244DBD" w:rsidRDefault="009C3371" w:rsidP="00244DBD">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b/>
          <w:sz w:val="28"/>
          <w:szCs w:val="28"/>
        </w:rPr>
        <w:lastRenderedPageBreak/>
        <w:t>CUARTO</w:t>
      </w:r>
      <w:r w:rsidRPr="00244DBD">
        <w:rPr>
          <w:rFonts w:ascii="Palatino Linotype" w:eastAsia="Palatino Linotype" w:hAnsi="Palatino Linotype" w:cs="Palatino Linotype"/>
          <w:b/>
        </w:rPr>
        <w:t>. Oportunidad</w:t>
      </w:r>
      <w:r w:rsidRPr="00244DBD">
        <w:rPr>
          <w:rFonts w:ascii="Palatino Linotype" w:eastAsia="Palatino Linotype" w:hAnsi="Palatino Linotype" w:cs="Palatino Linotype"/>
        </w:rPr>
        <w:t xml:space="preserve">. </w:t>
      </w:r>
    </w:p>
    <w:p w14:paraId="2E6E0675" w14:textId="77777777" w:rsidR="00261F9B" w:rsidRPr="00244DBD" w:rsidRDefault="009C3371" w:rsidP="00244DB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244DBD">
        <w:rPr>
          <w:rFonts w:ascii="Palatino Linotype" w:eastAsia="Palatino Linotype" w:hAnsi="Palatino Linotype" w:cs="Palatino Linotype"/>
          <w:b/>
        </w:rPr>
        <w:t xml:space="preserve">EL RECURRENTE </w:t>
      </w:r>
      <w:r w:rsidRPr="00244DBD">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DFA86C0" w14:textId="77777777" w:rsidR="00261F9B" w:rsidRPr="00244DBD" w:rsidRDefault="00261F9B" w:rsidP="00244DBD">
      <w:pPr>
        <w:widowControl w:val="0"/>
        <w:pBdr>
          <w:top w:val="nil"/>
          <w:left w:val="nil"/>
          <w:bottom w:val="nil"/>
          <w:right w:val="nil"/>
          <w:between w:val="nil"/>
        </w:pBdr>
        <w:tabs>
          <w:tab w:val="left" w:pos="1701"/>
        </w:tabs>
        <w:jc w:val="both"/>
        <w:rPr>
          <w:rFonts w:ascii="Palatino Linotype" w:eastAsia="Palatino Linotype" w:hAnsi="Palatino Linotype" w:cs="Palatino Linotype"/>
          <w:b/>
        </w:rPr>
      </w:pPr>
    </w:p>
    <w:p w14:paraId="1F106232" w14:textId="77777777" w:rsidR="00261F9B" w:rsidRPr="00244DBD" w:rsidRDefault="009C3371" w:rsidP="00244DBD">
      <w:pPr>
        <w:ind w:left="851" w:right="899"/>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w:t>
      </w:r>
      <w:r w:rsidRPr="00244DBD">
        <w:rPr>
          <w:rFonts w:ascii="Palatino Linotype" w:eastAsia="Palatino Linotype" w:hAnsi="Palatino Linotype" w:cs="Palatino Linotype"/>
          <w:b/>
          <w:i/>
          <w:sz w:val="22"/>
          <w:szCs w:val="22"/>
        </w:rPr>
        <w:t>Artículo 178.</w:t>
      </w:r>
      <w:r w:rsidRPr="00244DBD">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293E7F6" w14:textId="77777777" w:rsidR="00261F9B" w:rsidRPr="00244DBD" w:rsidRDefault="00261F9B" w:rsidP="00244DBD">
      <w:pPr>
        <w:ind w:left="851" w:right="899"/>
        <w:jc w:val="both"/>
        <w:rPr>
          <w:rFonts w:ascii="Palatino Linotype" w:eastAsia="Palatino Linotype" w:hAnsi="Palatino Linotype" w:cs="Palatino Linotype"/>
          <w:i/>
          <w:sz w:val="22"/>
          <w:szCs w:val="22"/>
        </w:rPr>
      </w:pPr>
    </w:p>
    <w:p w14:paraId="0F36B35E" w14:textId="77777777" w:rsidR="00261F9B" w:rsidRPr="00244DBD" w:rsidRDefault="009C3371" w:rsidP="00244DBD">
      <w:pPr>
        <w:ind w:left="851" w:right="899"/>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08BDF4F" w14:textId="77777777" w:rsidR="00261F9B" w:rsidRPr="00244DBD" w:rsidRDefault="00261F9B" w:rsidP="00244DBD">
      <w:pPr>
        <w:ind w:left="851" w:right="899"/>
        <w:jc w:val="both"/>
        <w:rPr>
          <w:rFonts w:ascii="Palatino Linotype" w:eastAsia="Palatino Linotype" w:hAnsi="Palatino Linotype" w:cs="Palatino Linotype"/>
          <w:i/>
          <w:sz w:val="22"/>
          <w:szCs w:val="22"/>
        </w:rPr>
      </w:pPr>
    </w:p>
    <w:p w14:paraId="5102C273" w14:textId="77777777" w:rsidR="00261F9B" w:rsidRPr="00244DBD" w:rsidRDefault="009C3371" w:rsidP="00244DBD">
      <w:pPr>
        <w:ind w:left="851" w:right="899"/>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1EA8D11" w14:textId="77777777" w:rsidR="00261F9B" w:rsidRPr="00244DBD" w:rsidRDefault="00261F9B" w:rsidP="00244DBD">
      <w:pPr>
        <w:jc w:val="both"/>
        <w:rPr>
          <w:rFonts w:ascii="Palatino Linotype" w:eastAsia="Palatino Linotype" w:hAnsi="Palatino Linotype" w:cs="Palatino Linotype"/>
        </w:rPr>
      </w:pPr>
    </w:p>
    <w:p w14:paraId="4E32B678"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En esa tesitura, atendiendo a que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notificó las respuesta a las solicitudes de acceso a la Información Pública</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el día</w:t>
      </w:r>
      <w:r w:rsidRPr="00244DBD">
        <w:rPr>
          <w:rFonts w:ascii="Palatino Linotype" w:eastAsia="Palatino Linotype" w:hAnsi="Palatino Linotype" w:cs="Palatino Linotype"/>
          <w:b/>
        </w:rPr>
        <w:t xml:space="preserve"> siete de agosto de dos mil veintitrés</w:t>
      </w:r>
      <w:r w:rsidRPr="00244DBD">
        <w:rPr>
          <w:rFonts w:ascii="Palatino Linotype" w:eastAsia="Palatino Linotype" w:hAnsi="Palatino Linotype" w:cs="Palatino Linotype"/>
        </w:rPr>
        <w:t xml:space="preserve">; así, el plazo de quince días hábiles que el artículo 178 de la Ley de la materia otorga al </w:t>
      </w:r>
      <w:r w:rsidRPr="00244DBD">
        <w:rPr>
          <w:rFonts w:ascii="Palatino Linotype" w:eastAsia="Palatino Linotype" w:hAnsi="Palatino Linotype" w:cs="Palatino Linotype"/>
          <w:b/>
        </w:rPr>
        <w:t>RECURRENTE</w:t>
      </w:r>
      <w:r w:rsidRPr="00244DBD">
        <w:rPr>
          <w:rFonts w:ascii="Palatino Linotype" w:eastAsia="Palatino Linotype" w:hAnsi="Palatino Linotype" w:cs="Palatino Linotype"/>
        </w:rPr>
        <w:t xml:space="preserve"> para presentar los respectivos Recursos de Revisión, transcurrió del </w:t>
      </w:r>
      <w:r w:rsidRPr="00244DBD">
        <w:rPr>
          <w:rFonts w:ascii="Palatino Linotype" w:eastAsia="Palatino Linotype" w:hAnsi="Palatino Linotype" w:cs="Palatino Linotype"/>
          <w:b/>
        </w:rPr>
        <w:t>ocho al veintiocho de agosto de</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dos mil veintitrés</w:t>
      </w:r>
      <w:r w:rsidRPr="00244DBD">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Pública del Estado de México y Municipios; de conformidad con el Calendario Oficial </w:t>
      </w:r>
      <w:r w:rsidRPr="00244DBD">
        <w:rPr>
          <w:rFonts w:ascii="Palatino Linotype" w:eastAsia="Palatino Linotype" w:hAnsi="Palatino Linotype" w:cs="Palatino Linotype"/>
        </w:rPr>
        <w:lastRenderedPageBreak/>
        <w:t>en materia de Transparencia aprobado por el Pleno en fecha veintiuno de diciembre de dos mil veintidós.</w:t>
      </w:r>
    </w:p>
    <w:p w14:paraId="0A8EE5A6" w14:textId="77777777" w:rsidR="00261F9B" w:rsidRPr="00244DBD" w:rsidRDefault="00261F9B" w:rsidP="00244DBD">
      <w:pPr>
        <w:spacing w:line="360" w:lineRule="auto"/>
        <w:jc w:val="both"/>
        <w:rPr>
          <w:rFonts w:ascii="Palatino Linotype" w:eastAsia="Palatino Linotype" w:hAnsi="Palatino Linotype" w:cs="Palatino Linotype"/>
        </w:rPr>
      </w:pPr>
    </w:p>
    <w:p w14:paraId="270CD2CB"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En ese tenor, si los Recursos de Revisión que nos ocupa, se presentaron el día</w:t>
      </w:r>
      <w:r w:rsidRPr="00244DBD">
        <w:rPr>
          <w:rFonts w:ascii="Palatino Linotype" w:eastAsia="Palatino Linotype" w:hAnsi="Palatino Linotype" w:cs="Palatino Linotype"/>
          <w:b/>
        </w:rPr>
        <w:t xml:space="preserve"> ocho de agosto de dos mil veintitrés</w:t>
      </w:r>
      <w:r w:rsidRPr="00244DBD">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31FF8625" w14:textId="77777777" w:rsidR="00261F9B" w:rsidRPr="00244DBD" w:rsidRDefault="00261F9B" w:rsidP="00244DBD">
      <w:pPr>
        <w:spacing w:line="360" w:lineRule="auto"/>
        <w:ind w:right="49"/>
        <w:jc w:val="both"/>
        <w:rPr>
          <w:rFonts w:ascii="Palatino Linotype" w:eastAsia="Palatino Linotype" w:hAnsi="Palatino Linotype" w:cs="Palatino Linotype"/>
          <w:b/>
          <w:sz w:val="28"/>
          <w:szCs w:val="28"/>
        </w:rPr>
      </w:pPr>
    </w:p>
    <w:p w14:paraId="32CA0F76" w14:textId="77777777" w:rsidR="00261F9B" w:rsidRPr="00244DBD" w:rsidRDefault="009C3371" w:rsidP="00244DBD">
      <w:pPr>
        <w:spacing w:line="360" w:lineRule="auto"/>
        <w:ind w:right="49"/>
        <w:jc w:val="both"/>
        <w:rPr>
          <w:rFonts w:ascii="Palatino Linotype" w:eastAsia="Palatino Linotype" w:hAnsi="Palatino Linotype" w:cs="Palatino Linotype"/>
          <w:b/>
        </w:rPr>
      </w:pPr>
      <w:r w:rsidRPr="00244DBD">
        <w:rPr>
          <w:rFonts w:ascii="Palatino Linotype" w:eastAsia="Palatino Linotype" w:hAnsi="Palatino Linotype" w:cs="Palatino Linotype"/>
          <w:b/>
          <w:sz w:val="28"/>
          <w:szCs w:val="28"/>
        </w:rPr>
        <w:t>QUINTO</w:t>
      </w:r>
      <w:r w:rsidRPr="00244DBD">
        <w:rPr>
          <w:rFonts w:ascii="Palatino Linotype" w:eastAsia="Palatino Linotype" w:hAnsi="Palatino Linotype" w:cs="Palatino Linotype"/>
          <w:b/>
        </w:rPr>
        <w:t xml:space="preserve">. Procedibilidad. </w:t>
      </w:r>
    </w:p>
    <w:p w14:paraId="0CBFE96D" w14:textId="77777777" w:rsidR="00261F9B" w:rsidRPr="00244DBD" w:rsidRDefault="009C3371"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396ABFFB" w14:textId="77777777" w:rsidR="00261F9B" w:rsidRPr="00244DBD" w:rsidRDefault="00261F9B" w:rsidP="00244DBD">
      <w:pPr>
        <w:ind w:right="49"/>
        <w:jc w:val="both"/>
        <w:rPr>
          <w:rFonts w:ascii="Palatino Linotype" w:eastAsia="Palatino Linotype" w:hAnsi="Palatino Linotype" w:cs="Palatino Linotype"/>
        </w:rPr>
      </w:pPr>
    </w:p>
    <w:p w14:paraId="4F53E1AA" w14:textId="77777777" w:rsidR="00261F9B" w:rsidRPr="00244DBD" w:rsidRDefault="009C3371" w:rsidP="00244DBD">
      <w:pPr>
        <w:tabs>
          <w:tab w:val="left" w:pos="851"/>
        </w:tabs>
        <w:ind w:left="851" w:right="901"/>
        <w:jc w:val="both"/>
        <w:rPr>
          <w:rFonts w:ascii="Palatino Linotype" w:eastAsia="Palatino Linotype" w:hAnsi="Palatino Linotype" w:cs="Palatino Linotype"/>
          <w:b/>
          <w:i/>
          <w:sz w:val="22"/>
          <w:szCs w:val="22"/>
        </w:rPr>
      </w:pPr>
      <w:r w:rsidRPr="00244DBD">
        <w:rPr>
          <w:rFonts w:ascii="Palatino Linotype" w:eastAsia="Palatino Linotype" w:hAnsi="Palatino Linotype" w:cs="Palatino Linotype"/>
          <w:b/>
          <w:i/>
          <w:sz w:val="22"/>
          <w:szCs w:val="22"/>
        </w:rPr>
        <w:t xml:space="preserve">“Artículo 180. </w:t>
      </w:r>
      <w:r w:rsidRPr="00244DBD">
        <w:rPr>
          <w:rFonts w:ascii="Palatino Linotype" w:eastAsia="Palatino Linotype" w:hAnsi="Palatino Linotype" w:cs="Palatino Linotype"/>
          <w:i/>
          <w:sz w:val="22"/>
          <w:szCs w:val="22"/>
        </w:rPr>
        <w:t>El recurso de revisión contendrá:</w:t>
      </w:r>
      <w:r w:rsidRPr="00244DBD">
        <w:rPr>
          <w:rFonts w:ascii="Palatino Linotype" w:eastAsia="Palatino Linotype" w:hAnsi="Palatino Linotype" w:cs="Palatino Linotype"/>
          <w:b/>
          <w:i/>
          <w:sz w:val="22"/>
          <w:szCs w:val="22"/>
        </w:rPr>
        <w:t xml:space="preserve"> </w:t>
      </w:r>
    </w:p>
    <w:p w14:paraId="60051CA9" w14:textId="77777777" w:rsidR="00261F9B" w:rsidRPr="00244DBD" w:rsidRDefault="009C3371" w:rsidP="00244DBD">
      <w:pPr>
        <w:tabs>
          <w:tab w:val="left" w:pos="851"/>
        </w:tabs>
        <w:ind w:left="851" w:right="901"/>
        <w:jc w:val="both"/>
        <w:rPr>
          <w:rFonts w:ascii="Palatino Linotype" w:eastAsia="Palatino Linotype" w:hAnsi="Palatino Linotype" w:cs="Palatino Linotype"/>
          <w:b/>
          <w:i/>
          <w:sz w:val="22"/>
          <w:szCs w:val="22"/>
        </w:rPr>
      </w:pPr>
      <w:r w:rsidRPr="00244DBD">
        <w:rPr>
          <w:rFonts w:ascii="Palatino Linotype" w:eastAsia="Palatino Linotype" w:hAnsi="Palatino Linotype" w:cs="Palatino Linotype"/>
          <w:b/>
          <w:i/>
          <w:sz w:val="22"/>
          <w:szCs w:val="22"/>
        </w:rPr>
        <w:t>…</w:t>
      </w:r>
    </w:p>
    <w:p w14:paraId="3F295A6F" w14:textId="77777777" w:rsidR="00261F9B" w:rsidRPr="00244DBD" w:rsidRDefault="009C3371" w:rsidP="00244DBD">
      <w:pPr>
        <w:tabs>
          <w:tab w:val="left" w:pos="851"/>
        </w:tabs>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b/>
          <w:i/>
          <w:sz w:val="22"/>
          <w:szCs w:val="22"/>
        </w:rPr>
        <w:t xml:space="preserve">II. El nombre del solicitante que recurre </w:t>
      </w:r>
      <w:r w:rsidRPr="00244DBD">
        <w:rPr>
          <w:rFonts w:ascii="Palatino Linotype" w:eastAsia="Palatino Linotype" w:hAnsi="Palatino Linotype" w:cs="Palatino Linotype"/>
          <w:i/>
          <w:sz w:val="22"/>
          <w:szCs w:val="22"/>
        </w:rPr>
        <w:t>o de su representante y, en su caso, …</w:t>
      </w:r>
    </w:p>
    <w:p w14:paraId="307F2267" w14:textId="77777777" w:rsidR="00261F9B" w:rsidRPr="00244DBD" w:rsidRDefault="009C3371" w:rsidP="00244DBD">
      <w:pPr>
        <w:tabs>
          <w:tab w:val="left" w:pos="851"/>
        </w:tabs>
        <w:ind w:left="851" w:right="901"/>
        <w:jc w:val="both"/>
        <w:rPr>
          <w:rFonts w:ascii="Palatino Linotype" w:eastAsia="Palatino Linotype" w:hAnsi="Palatino Linotype" w:cs="Palatino Linotype"/>
          <w:b/>
          <w:i/>
          <w:sz w:val="22"/>
          <w:szCs w:val="22"/>
        </w:rPr>
      </w:pPr>
      <w:r w:rsidRPr="00244DBD">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44DBD">
        <w:rPr>
          <w:rFonts w:ascii="Palatino Linotype" w:eastAsia="Palatino Linotype" w:hAnsi="Palatino Linotype" w:cs="Palatino Linotype"/>
          <w:i/>
          <w:sz w:val="22"/>
          <w:szCs w:val="22"/>
        </w:rPr>
        <w:t>, IV, VII y VIII.</w:t>
      </w:r>
      <w:r w:rsidRPr="00244DBD">
        <w:rPr>
          <w:rFonts w:ascii="Palatino Linotype" w:eastAsia="Palatino Linotype" w:hAnsi="Palatino Linotype" w:cs="Palatino Linotype"/>
          <w:b/>
          <w:i/>
          <w:sz w:val="22"/>
          <w:szCs w:val="22"/>
        </w:rPr>
        <w:t>”</w:t>
      </w:r>
    </w:p>
    <w:p w14:paraId="1857873D" w14:textId="77777777" w:rsidR="00261F9B" w:rsidRPr="00244DBD" w:rsidRDefault="009C3371" w:rsidP="00244DBD">
      <w:pPr>
        <w:tabs>
          <w:tab w:val="left" w:pos="851"/>
        </w:tabs>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(Énfasis añadido)</w:t>
      </w:r>
    </w:p>
    <w:p w14:paraId="70EBDD03" w14:textId="77777777" w:rsidR="00261F9B" w:rsidRPr="00244DBD" w:rsidRDefault="00261F9B" w:rsidP="00244DBD">
      <w:pPr>
        <w:tabs>
          <w:tab w:val="left" w:pos="851"/>
        </w:tabs>
        <w:ind w:right="901"/>
        <w:jc w:val="both"/>
        <w:rPr>
          <w:rFonts w:ascii="Palatino Linotype" w:eastAsia="Palatino Linotype" w:hAnsi="Palatino Linotype" w:cs="Palatino Linotype"/>
          <w:i/>
          <w:sz w:val="22"/>
          <w:szCs w:val="22"/>
        </w:rPr>
      </w:pPr>
    </w:p>
    <w:p w14:paraId="238AC297"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244DBD">
        <w:rPr>
          <w:rFonts w:ascii="Palatino Linotype" w:eastAsia="Palatino Linotype" w:hAnsi="Palatino Linotype" w:cs="Palatino Linotype"/>
          <w:b/>
        </w:rPr>
        <w:t xml:space="preserve"> RECURRENTE;</w:t>
      </w:r>
      <w:r w:rsidRPr="00244DBD">
        <w:rPr>
          <w:rFonts w:ascii="Palatino Linotype" w:eastAsia="Palatino Linotype" w:hAnsi="Palatino Linotype" w:cs="Palatino Linotype"/>
        </w:rPr>
        <w:t xml:space="preserve"> por lo que, en el presente caso, al haber sido presentado el Recurso de Revisión vía </w:t>
      </w:r>
      <w:r w:rsidRPr="00244DBD">
        <w:rPr>
          <w:rFonts w:ascii="Palatino Linotype" w:eastAsia="Palatino Linotype" w:hAnsi="Palatino Linotype" w:cs="Palatino Linotype"/>
          <w:b/>
        </w:rPr>
        <w:t>SAIMEX</w:t>
      </w:r>
      <w:r w:rsidRPr="00244DBD">
        <w:rPr>
          <w:rFonts w:ascii="Palatino Linotype" w:eastAsia="Palatino Linotype" w:hAnsi="Palatino Linotype" w:cs="Palatino Linotype"/>
        </w:rPr>
        <w:t>, dicho requisito resulta innecesario.</w:t>
      </w:r>
    </w:p>
    <w:p w14:paraId="1D57D022" w14:textId="77777777" w:rsidR="00261F9B" w:rsidRPr="00244DBD" w:rsidRDefault="00261F9B" w:rsidP="00244DBD">
      <w:pPr>
        <w:spacing w:line="360" w:lineRule="auto"/>
        <w:jc w:val="both"/>
        <w:rPr>
          <w:rFonts w:ascii="Palatino Linotype" w:eastAsia="Palatino Linotype" w:hAnsi="Palatino Linotype" w:cs="Palatino Linotype"/>
        </w:rPr>
      </w:pPr>
    </w:p>
    <w:p w14:paraId="4CD86172"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244DBD">
        <w:rPr>
          <w:rFonts w:ascii="Palatino Linotype" w:eastAsia="Palatino Linotype" w:hAnsi="Palatino Linotype" w:cs="Palatino Linotype"/>
          <w:b/>
          <w:u w:val="single"/>
        </w:rPr>
        <w:t xml:space="preserve">el nombre no es un requisito </w:t>
      </w:r>
      <w:r w:rsidRPr="00244DBD">
        <w:rPr>
          <w:rFonts w:ascii="Palatino Linotype" w:eastAsia="Palatino Linotype" w:hAnsi="Palatino Linotype" w:cs="Palatino Linotype"/>
          <w:b/>
          <w:i/>
          <w:u w:val="single"/>
        </w:rPr>
        <w:t>sine qua non</w:t>
      </w:r>
      <w:r w:rsidRPr="00244DBD">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41F3BFD" w14:textId="77777777" w:rsidR="00261F9B" w:rsidRPr="00244DBD" w:rsidRDefault="00261F9B" w:rsidP="00244DBD">
      <w:pPr>
        <w:spacing w:line="360" w:lineRule="auto"/>
        <w:jc w:val="both"/>
        <w:rPr>
          <w:rFonts w:ascii="Palatino Linotype" w:eastAsia="Palatino Linotype" w:hAnsi="Palatino Linotype" w:cs="Palatino Linotype"/>
        </w:rPr>
      </w:pPr>
    </w:p>
    <w:p w14:paraId="5D4D3020" w14:textId="77777777" w:rsidR="00261F9B" w:rsidRPr="00244DBD" w:rsidRDefault="009C3371" w:rsidP="00244DBD">
      <w:pPr>
        <w:spacing w:line="360" w:lineRule="auto"/>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53C25F2" w14:textId="77777777" w:rsidR="00261F9B" w:rsidRPr="00244DBD" w:rsidRDefault="00261F9B" w:rsidP="00244DBD">
      <w:pPr>
        <w:tabs>
          <w:tab w:val="left" w:pos="851"/>
        </w:tabs>
        <w:spacing w:line="360" w:lineRule="auto"/>
        <w:ind w:left="851" w:right="901"/>
        <w:jc w:val="both"/>
        <w:rPr>
          <w:rFonts w:ascii="Palatino Linotype" w:eastAsia="Palatino Linotype" w:hAnsi="Palatino Linotype" w:cs="Palatino Linotype"/>
          <w:sz w:val="22"/>
          <w:szCs w:val="22"/>
        </w:rPr>
      </w:pPr>
    </w:p>
    <w:p w14:paraId="1F88AB74"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Asimismo, se estima que el requisito relativo al nombre del </w:t>
      </w:r>
      <w:r w:rsidRPr="00244DBD">
        <w:rPr>
          <w:rFonts w:ascii="Palatino Linotype" w:eastAsia="Palatino Linotype" w:hAnsi="Palatino Linotype" w:cs="Palatino Linotype"/>
          <w:b/>
        </w:rPr>
        <w:t>RECURRENTE</w:t>
      </w:r>
      <w:r w:rsidRPr="00244DBD">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w:t>
      </w:r>
      <w:r w:rsidRPr="00244DBD">
        <w:rPr>
          <w:rFonts w:ascii="Palatino Linotype" w:eastAsia="Palatino Linotype" w:hAnsi="Palatino Linotype" w:cs="Palatino Linotype"/>
        </w:rPr>
        <w:lastRenderedPageBreak/>
        <w:t xml:space="preserve">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xml:space="preserve"> es la misma persona que realizó la solicitud de acceso a la información pública que ahora se impugna.</w:t>
      </w:r>
    </w:p>
    <w:p w14:paraId="59264267" w14:textId="77777777" w:rsidR="00261F9B" w:rsidRPr="00244DBD" w:rsidRDefault="00261F9B" w:rsidP="00244DBD">
      <w:pPr>
        <w:tabs>
          <w:tab w:val="left" w:pos="851"/>
        </w:tabs>
        <w:spacing w:line="360" w:lineRule="auto"/>
        <w:ind w:left="851" w:right="901"/>
        <w:jc w:val="both"/>
        <w:rPr>
          <w:rFonts w:ascii="Palatino Linotype" w:eastAsia="Palatino Linotype" w:hAnsi="Palatino Linotype" w:cs="Palatino Linotype"/>
          <w:sz w:val="22"/>
          <w:szCs w:val="22"/>
        </w:rPr>
      </w:pPr>
    </w:p>
    <w:p w14:paraId="2BCE4B47"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DF63C10" w14:textId="77777777" w:rsidR="00AB2502" w:rsidRPr="00244DBD" w:rsidRDefault="00AB2502" w:rsidP="00244DBD">
      <w:pPr>
        <w:spacing w:line="360" w:lineRule="auto"/>
        <w:jc w:val="both"/>
        <w:rPr>
          <w:rFonts w:ascii="Palatino Linotype" w:eastAsia="Palatino Linotype" w:hAnsi="Palatino Linotype" w:cs="Palatino Linotype"/>
        </w:rPr>
      </w:pPr>
    </w:p>
    <w:p w14:paraId="07AAD758" w14:textId="77777777" w:rsidR="00AB2502" w:rsidRPr="00244DBD" w:rsidRDefault="00AB2502" w:rsidP="00244DBD">
      <w:pPr>
        <w:spacing w:line="360" w:lineRule="auto"/>
        <w:jc w:val="both"/>
        <w:rPr>
          <w:rFonts w:ascii="Palatino Linotype" w:eastAsia="Palatino Linotype" w:hAnsi="Palatino Linotype" w:cs="Palatino Linotype"/>
        </w:rPr>
      </w:pPr>
    </w:p>
    <w:p w14:paraId="5A03EDDC" w14:textId="77777777" w:rsidR="00AB2502" w:rsidRPr="00244DBD" w:rsidRDefault="00AB2502" w:rsidP="00244DBD">
      <w:pPr>
        <w:spacing w:line="360" w:lineRule="auto"/>
        <w:jc w:val="both"/>
        <w:rPr>
          <w:rFonts w:ascii="Palatino Linotype" w:eastAsia="Palatino Linotype" w:hAnsi="Palatino Linotype" w:cs="Palatino Linotype"/>
        </w:rPr>
      </w:pPr>
    </w:p>
    <w:p w14:paraId="242A9ED0" w14:textId="77777777" w:rsidR="00261F9B" w:rsidRPr="00244DBD" w:rsidRDefault="00261F9B" w:rsidP="00244DBD">
      <w:pPr>
        <w:spacing w:line="360" w:lineRule="auto"/>
      </w:pPr>
    </w:p>
    <w:p w14:paraId="121B5800"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b/>
          <w:sz w:val="28"/>
          <w:szCs w:val="28"/>
        </w:rPr>
        <w:t>SEXTO</w:t>
      </w:r>
      <w:r w:rsidRPr="00244DBD">
        <w:rPr>
          <w:rFonts w:ascii="Palatino Linotype" w:eastAsia="Palatino Linotype" w:hAnsi="Palatino Linotype" w:cs="Palatino Linotype"/>
          <w:b/>
        </w:rPr>
        <w:t>. Estudio y análisis del asunto.</w:t>
      </w:r>
    </w:p>
    <w:p w14:paraId="5F42CA10"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204EA819" w14:textId="77777777" w:rsidR="00261F9B" w:rsidRPr="00244DBD" w:rsidRDefault="00261F9B" w:rsidP="00244DBD">
      <w:pPr>
        <w:spacing w:line="360" w:lineRule="auto"/>
        <w:jc w:val="both"/>
        <w:rPr>
          <w:rFonts w:ascii="Palatino Linotype" w:eastAsia="Palatino Linotype" w:hAnsi="Palatino Linotype" w:cs="Palatino Linotype"/>
        </w:rPr>
      </w:pPr>
    </w:p>
    <w:p w14:paraId="04938A39"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lastRenderedPageBreak/>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244DBD">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244DBD">
        <w:rPr>
          <w:rFonts w:ascii="Palatino Linotype" w:eastAsia="Palatino Linotype" w:hAnsi="Palatino Linotype" w:cs="Palatino Linotype"/>
        </w:rPr>
        <w:t xml:space="preserve"> criterio que ha sostenido la Suprema Corte de Justicia de la Nación</w:t>
      </w:r>
      <w:r w:rsidRPr="00244DBD">
        <w:rPr>
          <w:rFonts w:ascii="Palatino Linotype" w:eastAsia="Palatino Linotype" w:hAnsi="Palatino Linotype" w:cs="Palatino Linotype"/>
          <w:vertAlign w:val="superscript"/>
        </w:rPr>
        <w:footnoteReference w:id="4"/>
      </w:r>
      <w:r w:rsidRPr="00244DBD">
        <w:rPr>
          <w:rFonts w:ascii="Palatino Linotype" w:eastAsia="Palatino Linotype" w:hAnsi="Palatino Linotype" w:cs="Palatino Linotype"/>
        </w:rPr>
        <w:t>.</w:t>
      </w:r>
    </w:p>
    <w:p w14:paraId="2B2A5698"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248CD4E" w14:textId="77777777" w:rsidR="00261F9B" w:rsidRPr="00244DBD" w:rsidRDefault="00261F9B" w:rsidP="00244DBD">
      <w:pPr>
        <w:spacing w:line="360" w:lineRule="auto"/>
        <w:jc w:val="both"/>
        <w:rPr>
          <w:rFonts w:ascii="Palatino Linotype" w:eastAsia="Palatino Linotype" w:hAnsi="Palatino Linotype" w:cs="Palatino Linotype"/>
        </w:rPr>
      </w:pPr>
    </w:p>
    <w:p w14:paraId="0DF8D2C6" w14:textId="77777777" w:rsidR="00261F9B" w:rsidRPr="00244DBD" w:rsidRDefault="009C3371" w:rsidP="00244DBD">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1DBABA91" w14:textId="77777777" w:rsidR="00261F9B" w:rsidRPr="00244DBD" w:rsidRDefault="00261F9B" w:rsidP="00244DBD">
      <w:pPr>
        <w:spacing w:line="360" w:lineRule="auto"/>
        <w:jc w:val="both"/>
        <w:rPr>
          <w:rFonts w:ascii="Palatino Linotype" w:eastAsia="Palatino Linotype" w:hAnsi="Palatino Linotype" w:cs="Palatino Linotype"/>
        </w:rPr>
      </w:pPr>
    </w:p>
    <w:p w14:paraId="1F940ED7"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En primera instancia, se advierte que el requerimiento del particular en ambas solicitudes versa sobre los oficios existentes de la Dirección de Administración:</w:t>
      </w:r>
    </w:p>
    <w:p w14:paraId="0E0A107F" w14:textId="77777777" w:rsidR="00261F9B" w:rsidRPr="00244DBD" w:rsidRDefault="00261F9B" w:rsidP="00244DBD">
      <w:pPr>
        <w:spacing w:line="360" w:lineRule="auto"/>
        <w:jc w:val="both"/>
        <w:rPr>
          <w:rFonts w:ascii="Palatino Linotype" w:eastAsia="Palatino Linotype" w:hAnsi="Palatino Linotype" w:cs="Palatino Linotype"/>
        </w:rPr>
      </w:pPr>
    </w:p>
    <w:p w14:paraId="33278911" w14:textId="77777777" w:rsidR="00261F9B" w:rsidRPr="00244DBD" w:rsidRDefault="009C3371" w:rsidP="00244DBD">
      <w:pPr>
        <w:spacing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Bajo este tenor, sirve citar por analogía los </w:t>
      </w:r>
      <w:r w:rsidRPr="00244DBD">
        <w:rPr>
          <w:rFonts w:ascii="Palatino Linotype" w:eastAsia="Palatino Linotype" w:hAnsi="Palatino Linotype" w:cs="Palatino Linotype"/>
          <w:b/>
        </w:rPr>
        <w:t>Lineamientos para el trámite de la correspondencia de las unidades orgánicas del Poder Ejecutivo</w:t>
      </w:r>
      <w:r w:rsidRPr="00244DBD">
        <w:rPr>
          <w:rFonts w:ascii="Palatino Linotype" w:eastAsia="Palatino Linotype" w:hAnsi="Palatino Linotype" w:cs="Palatino Linotype"/>
        </w:rPr>
        <w:t>, publicados en mayo de dos mil diez por la Secretaría de Finanzas del Gobierno del Estado de México. Dichos lineamientos sujetan a todas las dependencias y unidades orgánicas del Poder Ejecutivo para lograr una homogeneización en la comunicación formal de las instituciones públicas:</w:t>
      </w:r>
    </w:p>
    <w:p w14:paraId="0EC21C1B" w14:textId="77777777" w:rsidR="00261F9B" w:rsidRPr="00244DBD" w:rsidRDefault="009C3371" w:rsidP="00244DBD">
      <w:pPr>
        <w:spacing w:after="120" w:line="276" w:lineRule="auto"/>
        <w:ind w:left="851" w:right="851"/>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0"/>
          <w:szCs w:val="20"/>
        </w:rPr>
        <w:t>“</w:t>
      </w:r>
      <w:r w:rsidRPr="00244DBD">
        <w:rPr>
          <w:rFonts w:ascii="Palatino Linotype" w:eastAsia="Palatino Linotype" w:hAnsi="Palatino Linotype" w:cs="Palatino Linotype"/>
          <w:b/>
          <w:i/>
          <w:sz w:val="22"/>
          <w:szCs w:val="22"/>
        </w:rPr>
        <w:t>2. Objetivo</w:t>
      </w:r>
    </w:p>
    <w:p w14:paraId="47BD03DC"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b/>
          <w:i/>
          <w:sz w:val="22"/>
          <w:szCs w:val="22"/>
        </w:rPr>
      </w:pPr>
      <w:r w:rsidRPr="00244DBD">
        <w:rPr>
          <w:rFonts w:ascii="Palatino Linotype" w:eastAsia="Palatino Linotype" w:hAnsi="Palatino Linotype" w:cs="Palatino Linotype"/>
          <w:b/>
          <w:i/>
          <w:sz w:val="22"/>
          <w:szCs w:val="22"/>
        </w:rPr>
        <w:t>2. Objetivo</w:t>
      </w:r>
    </w:p>
    <w:p w14:paraId="3949F6C6"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Proporcionar a las áreas de recepción y despacho de correspondencia de las unidades orgánicas del Poder Ejecutivo</w:t>
      </w:r>
      <w:r w:rsidRPr="00244DBD">
        <w:rPr>
          <w:rFonts w:ascii="Palatino Linotype" w:eastAsia="Palatino Linotype" w:hAnsi="Palatino Linotype" w:cs="Palatino Linotype"/>
          <w:i/>
          <w:sz w:val="22"/>
          <w:szCs w:val="22"/>
        </w:rPr>
        <w:t>, un instrumento técnico que les permita homogeneizar y </w:t>
      </w:r>
      <w:r w:rsidRPr="00244DBD">
        <w:rPr>
          <w:rFonts w:ascii="Palatino Linotype" w:eastAsia="Palatino Linotype" w:hAnsi="Palatino Linotype" w:cs="Palatino Linotype"/>
          <w:b/>
          <w:i/>
          <w:sz w:val="22"/>
          <w:szCs w:val="22"/>
          <w:u w:val="single"/>
        </w:rPr>
        <w:t>eficientar los servicios de correspondencia, a fin de agilizar la comunicación formal así como coadyuvar a la oportuna toma de decisiones por parte de los servidores públicos</w:t>
      </w:r>
      <w:r w:rsidRPr="00244DBD">
        <w:rPr>
          <w:rFonts w:ascii="Palatino Linotype" w:eastAsia="Palatino Linotype" w:hAnsi="Palatino Linotype" w:cs="Palatino Linotype"/>
          <w:i/>
          <w:sz w:val="22"/>
          <w:szCs w:val="22"/>
        </w:rPr>
        <w:t>.</w:t>
      </w:r>
    </w:p>
    <w:p w14:paraId="658CDA53"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rPr>
        <w:t>Administración de documentos:</w:t>
      </w:r>
    </w:p>
    <w:p w14:paraId="67A09E88"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u w:val="single"/>
        </w:rPr>
        <w:t>Conjunto de actividades vinculadas con la</w:t>
      </w:r>
      <w:r w:rsidRPr="00244DBD">
        <w:rPr>
          <w:rFonts w:ascii="Palatino Linotype" w:eastAsia="Palatino Linotype" w:hAnsi="Palatino Linotype" w:cs="Palatino Linotype"/>
          <w:i/>
          <w:sz w:val="22"/>
          <w:szCs w:val="22"/>
        </w:rPr>
        <w:t> generación, adquisición</w:t>
      </w:r>
      <w:r w:rsidRPr="00244DBD">
        <w:rPr>
          <w:rFonts w:ascii="Palatino Linotype" w:eastAsia="Palatino Linotype" w:hAnsi="Palatino Linotype" w:cs="Palatino Linotype"/>
          <w:b/>
          <w:i/>
          <w:sz w:val="22"/>
          <w:szCs w:val="22"/>
          <w:u w:val="single"/>
        </w:rPr>
        <w:t>, recepción</w:t>
      </w:r>
      <w:r w:rsidRPr="00244DBD">
        <w:rPr>
          <w:rFonts w:ascii="Palatino Linotype" w:eastAsia="Palatino Linotype" w:hAnsi="Palatino Linotype" w:cs="Palatino Linotype"/>
          <w:i/>
          <w:sz w:val="22"/>
          <w:szCs w:val="22"/>
        </w:rPr>
        <w:t>, control, circulación, reproducción, organización, conservación, custodia, restauración, valoración, selección, eliminación</w:t>
      </w:r>
      <w:r w:rsidRPr="00244DBD">
        <w:rPr>
          <w:rFonts w:ascii="Palatino Linotype" w:eastAsia="Palatino Linotype" w:hAnsi="Palatino Linotype" w:cs="Palatino Linotype"/>
          <w:b/>
          <w:i/>
          <w:sz w:val="22"/>
          <w:szCs w:val="22"/>
        </w:rPr>
        <w:t>, </w:t>
      </w:r>
      <w:r w:rsidRPr="00244DBD">
        <w:rPr>
          <w:rFonts w:ascii="Palatino Linotype" w:eastAsia="Palatino Linotype" w:hAnsi="Palatino Linotype" w:cs="Palatino Linotype"/>
          <w:b/>
          <w:i/>
          <w:sz w:val="22"/>
          <w:szCs w:val="22"/>
          <w:u w:val="single"/>
        </w:rPr>
        <w:t>uso y divulgación de los documentos.</w:t>
      </w:r>
    </w:p>
    <w:p w14:paraId="17EEB554"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rPr>
        <w:t>Circulación documental:</w:t>
      </w:r>
    </w:p>
    <w:p w14:paraId="3BAF1CE6" w14:textId="77777777" w:rsidR="00261F9B" w:rsidRPr="00244DBD" w:rsidRDefault="009C3371" w:rsidP="00244DBD">
      <w:pPr>
        <w:spacing w:after="120" w:line="276" w:lineRule="auto"/>
        <w:ind w:left="851" w:right="851"/>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 </w:t>
      </w:r>
      <w:r w:rsidRPr="00244DBD">
        <w:rPr>
          <w:rFonts w:ascii="Palatino Linotype" w:eastAsia="Palatino Linotype" w:hAnsi="Palatino Linotype" w:cs="Palatino Linotype"/>
          <w:i/>
          <w:sz w:val="22"/>
          <w:szCs w:val="22"/>
        </w:rPr>
        <w:t>Tratamiento que se da al documento desde su generación hasta la conclusión del trámite y la determinación de su destino final.</w:t>
      </w:r>
    </w:p>
    <w:p w14:paraId="47F48509"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 3. Conceptualización básica</w:t>
      </w:r>
    </w:p>
    <w:p w14:paraId="0AA0902D"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lastRenderedPageBreak/>
        <w:t>…</w:t>
      </w:r>
    </w:p>
    <w:p w14:paraId="4CC7C306"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w:t>
      </w:r>
    </w:p>
    <w:p w14:paraId="26918B42"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rPr>
        <w:t>Oficio:</w:t>
      </w:r>
    </w:p>
    <w:p w14:paraId="389820CB"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244DBD">
        <w:rPr>
          <w:rFonts w:ascii="Palatino Linotype" w:eastAsia="Palatino Linotype" w:hAnsi="Palatino Linotype" w:cs="Palatino Linotype"/>
          <w:i/>
          <w:sz w:val="22"/>
          <w:szCs w:val="22"/>
        </w:rPr>
        <w:t>.</w:t>
      </w:r>
    </w:p>
    <w:p w14:paraId="3F2EDFF7"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Producción de documentos:</w:t>
      </w:r>
    </w:p>
    <w:p w14:paraId="0452E6DE"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b/>
          <w:i/>
          <w:sz w:val="22"/>
          <w:szCs w:val="22"/>
        </w:rPr>
        <w:t>Es la generación de los documentos con el objeto de cumplir un trámite determinado, en el desarrollo de toda gestión, a partir del razonamiento de que su producción es necesaria y útil</w:t>
      </w:r>
      <w:r w:rsidRPr="00244DBD">
        <w:rPr>
          <w:rFonts w:ascii="Palatino Linotype" w:eastAsia="Palatino Linotype" w:hAnsi="Palatino Linotype" w:cs="Palatino Linotype"/>
          <w:i/>
          <w:sz w:val="22"/>
          <w:szCs w:val="22"/>
        </w:rPr>
        <w:t>.</w:t>
      </w:r>
    </w:p>
    <w:p w14:paraId="7B6F87D8"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w:t>
      </w:r>
    </w:p>
    <w:p w14:paraId="00BB6854"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rPr>
        <w:t>Recepción de documentos:</w:t>
      </w:r>
    </w:p>
    <w:p w14:paraId="309DFF8F"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u w:val="single"/>
        </w:rPr>
        <w:t>Acción de recibir e ingresar los documentos </w:t>
      </w:r>
      <w:r w:rsidRPr="00244DBD">
        <w:rPr>
          <w:rFonts w:ascii="Palatino Linotype" w:eastAsia="Palatino Linotype" w:hAnsi="Palatino Linotype" w:cs="Palatino Linotype"/>
          <w:i/>
          <w:sz w:val="22"/>
          <w:szCs w:val="22"/>
        </w:rPr>
        <w:t>a las unidades orgánicas del Poder Ejecutivo Estatal </w:t>
      </w:r>
      <w:r w:rsidRPr="00244DBD">
        <w:rPr>
          <w:rFonts w:ascii="Palatino Linotype" w:eastAsia="Palatino Linotype" w:hAnsi="Palatino Linotype" w:cs="Palatino Linotype"/>
          <w:b/>
          <w:i/>
          <w:sz w:val="22"/>
          <w:szCs w:val="22"/>
          <w:u w:val="single"/>
        </w:rPr>
        <w:t>para su atención, custodia o circulación</w:t>
      </w:r>
      <w:r w:rsidRPr="00244DBD">
        <w:rPr>
          <w:rFonts w:ascii="Palatino Linotype" w:eastAsia="Palatino Linotype" w:hAnsi="Palatino Linotype" w:cs="Palatino Linotype"/>
          <w:i/>
          <w:sz w:val="22"/>
          <w:szCs w:val="22"/>
        </w:rPr>
        <w:t>.</w:t>
      </w:r>
    </w:p>
    <w:p w14:paraId="3861EEC3"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 </w:t>
      </w:r>
      <w:r w:rsidRPr="00244DBD">
        <w:rPr>
          <w:rFonts w:ascii="Palatino Linotype" w:eastAsia="Palatino Linotype" w:hAnsi="Palatino Linotype" w:cs="Palatino Linotype"/>
          <w:b/>
          <w:i/>
          <w:sz w:val="22"/>
          <w:szCs w:val="22"/>
        </w:rPr>
        <w:t>4. Lineamientos generales</w:t>
      </w:r>
    </w:p>
    <w:p w14:paraId="20117DB4"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i/>
          <w:sz w:val="22"/>
          <w:szCs w:val="22"/>
        </w:rPr>
        <w:t>…</w:t>
      </w:r>
    </w:p>
    <w:p w14:paraId="5A102FDD" w14:textId="77777777" w:rsidR="00261F9B" w:rsidRPr="00244DBD" w:rsidRDefault="009C3371" w:rsidP="00244DBD">
      <w:pPr>
        <w:spacing w:after="120" w:line="276" w:lineRule="auto"/>
        <w:ind w:left="851" w:right="851"/>
        <w:jc w:val="both"/>
        <w:rPr>
          <w:rFonts w:ascii="Palatino Linotype" w:eastAsia="Palatino Linotype" w:hAnsi="Palatino Linotype" w:cs="Palatino Linotype"/>
          <w:sz w:val="20"/>
          <w:szCs w:val="20"/>
        </w:rPr>
      </w:pPr>
      <w:r w:rsidRPr="00244DBD">
        <w:rPr>
          <w:rFonts w:ascii="Palatino Linotype" w:eastAsia="Palatino Linotype" w:hAnsi="Palatino Linotype" w:cs="Palatino Linotype"/>
          <w:i/>
          <w:sz w:val="22"/>
          <w:szCs w:val="22"/>
        </w:rPr>
        <w:t>4.2 </w:t>
      </w:r>
      <w:r w:rsidRPr="00244DBD">
        <w:rPr>
          <w:rFonts w:ascii="Palatino Linotype" w:eastAsia="Palatino Linotype" w:hAnsi="Palatino Linotype" w:cs="Palatino Linotype"/>
          <w:b/>
          <w:i/>
          <w:sz w:val="22"/>
          <w:szCs w:val="22"/>
        </w:rPr>
        <w:t>Las disposiciones establecidas en los presentes lineamientos son de </w:t>
      </w:r>
      <w:r w:rsidRPr="00244DBD">
        <w:rPr>
          <w:rFonts w:ascii="Palatino Linotype" w:eastAsia="Palatino Linotype" w:hAnsi="Palatino Linotype" w:cs="Palatino Linotype"/>
          <w:b/>
          <w:i/>
          <w:sz w:val="22"/>
          <w:szCs w:val="22"/>
          <w:u w:val="single"/>
        </w:rPr>
        <w:t>observancia obligatoria para las unidades orgánicas del Poder Ejecutivo Estatal</w:t>
      </w:r>
      <w:r w:rsidRPr="00244DBD">
        <w:rPr>
          <w:rFonts w:ascii="Palatino Linotype" w:eastAsia="Palatino Linotype" w:hAnsi="Palatino Linotype" w:cs="Palatino Linotype"/>
          <w:i/>
          <w:sz w:val="22"/>
          <w:szCs w:val="22"/>
          <w:u w:val="single"/>
        </w:rPr>
        <w:t>.</w:t>
      </w:r>
      <w:r w:rsidRPr="00244DBD">
        <w:rPr>
          <w:rFonts w:ascii="Palatino Linotype" w:eastAsia="Palatino Linotype" w:hAnsi="Palatino Linotype" w:cs="Palatino Linotype"/>
          <w:sz w:val="22"/>
          <w:szCs w:val="22"/>
        </w:rPr>
        <w:t>…</w:t>
      </w:r>
      <w:r w:rsidRPr="00244DBD">
        <w:rPr>
          <w:rFonts w:ascii="Palatino Linotype" w:eastAsia="Palatino Linotype" w:hAnsi="Palatino Linotype" w:cs="Palatino Linotype"/>
          <w:sz w:val="20"/>
          <w:szCs w:val="20"/>
        </w:rPr>
        <w:t>”</w:t>
      </w:r>
    </w:p>
    <w:p w14:paraId="3A092A72" w14:textId="77777777" w:rsidR="00261F9B" w:rsidRPr="00244DBD" w:rsidRDefault="009C3371" w:rsidP="00244DBD">
      <w:pPr>
        <w:spacing w:before="240" w:after="240"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rPr>
        <w:t xml:space="preserve">De lo anteriormente vertido, se tiene que los documentos que sirven de comunicación entre las diferentes unidades administrativas de una institución pública pueden ser a través de oficios, como </w:t>
      </w:r>
      <w:r w:rsidRPr="00244DBD">
        <w:rPr>
          <w:rFonts w:ascii="Palatino Linotype" w:eastAsia="Palatino Linotype" w:hAnsi="Palatino Linotype" w:cs="Palatino Linotype"/>
          <w:b/>
        </w:rPr>
        <w:t xml:space="preserve">el medio de comunicación formal que inicia una gestión, informa de un hecho relevante, regulariza una situación, transmite órdenes, </w:t>
      </w:r>
      <w:r w:rsidRPr="00244DBD">
        <w:rPr>
          <w:rFonts w:ascii="Palatino Linotype" w:eastAsia="Palatino Linotype" w:hAnsi="Palatino Linotype" w:cs="Palatino Linotype"/>
          <w:b/>
        </w:rPr>
        <w:lastRenderedPageBreak/>
        <w:t>lineamientos o instrucciones, o trata asuntos específicos relacionados con personas físicas o morales en el marco de sus actuaciones.</w:t>
      </w:r>
    </w:p>
    <w:p w14:paraId="0CAE263E"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w:t>
      </w:r>
      <w:r w:rsidRPr="00244DBD">
        <w:rPr>
          <w:rFonts w:ascii="Palatino Linotype" w:eastAsia="Palatino Linotype" w:hAnsi="Palatino Linotype" w:cs="Palatino Linotype"/>
          <w:b/>
        </w:rPr>
        <w:t>oficios</w:t>
      </w:r>
      <w:r w:rsidRPr="00244DBD">
        <w:rPr>
          <w:rFonts w:ascii="Palatino Linotype" w:eastAsia="Palatino Linotype" w:hAnsi="Palatino Linotype" w:cs="Palatino Linotype"/>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0FFDCF4D"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De lo que se deriva que el alcance del Derecho de Acceso a la Información Pública, se refiere a los siguientes tres supuestos:</w:t>
      </w:r>
    </w:p>
    <w:p w14:paraId="170667FC"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1º) Que se trate de información registrada en cualquier soporte, que en ejercicio de sus atribuciones, sea generada por los Sujetos Obligados;</w:t>
      </w:r>
    </w:p>
    <w:p w14:paraId="6BCFEC10"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2º) Que se trate de información registrada en cualquier soporte, que en ejercicio de sus atribuciones, se encuentre en posesión de los Sujetos Obligados, y</w:t>
      </w:r>
    </w:p>
    <w:p w14:paraId="22A00086"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3º) Que se trate de información registrada en cualquier soporte, que en ejercicio de sus atribuciones, sea administrada por los Sujetos Obligados.</w:t>
      </w:r>
    </w:p>
    <w:p w14:paraId="6F40DEEE" w14:textId="77777777" w:rsidR="00261F9B" w:rsidRPr="00244DBD" w:rsidRDefault="009C3371"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lastRenderedPageBreak/>
        <w:t>Mientras que el diverso 166 de la Ley de Transparencia y Acceso a la Información Pública del Estado de México y Municipios, señala que las dependencias y entidades estarán obligadas a entregar los documentos que se encuentren en sus archivos.</w:t>
      </w:r>
    </w:p>
    <w:p w14:paraId="26B550E4" w14:textId="77777777" w:rsidR="00261F9B" w:rsidRPr="00244DBD" w:rsidRDefault="009C3371"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Ahora bien, entrando al análisis del </w:t>
      </w:r>
      <w:r w:rsidRPr="00244DBD">
        <w:rPr>
          <w:rFonts w:ascii="Palatino Linotype" w:eastAsia="Palatino Linotype" w:hAnsi="Palatino Linotype" w:cs="Palatino Linotype"/>
          <w:b/>
        </w:rPr>
        <w:t xml:space="preserve">caso en concreto, </w:t>
      </w:r>
      <w:r w:rsidRPr="00244DBD">
        <w:rPr>
          <w:rFonts w:ascii="Palatino Linotype" w:eastAsia="Palatino Linotype" w:hAnsi="Palatino Linotype" w:cs="Palatino Linotype"/>
        </w:rPr>
        <w:t>es indispensable señalar lo que requirió el ciudadano en las solicitudes de acceso a la información, es lo siguiente comenzando por la denominada 02386/TOLUCA/IP/2023, la cual versa de la siguiente manera:</w:t>
      </w:r>
    </w:p>
    <w:p w14:paraId="14ECFB32" w14:textId="77777777" w:rsidR="00261F9B" w:rsidRPr="00244DBD" w:rsidRDefault="00261F9B" w:rsidP="00244DBD">
      <w:pPr>
        <w:spacing w:line="360" w:lineRule="auto"/>
        <w:ind w:right="49"/>
        <w:jc w:val="both"/>
        <w:rPr>
          <w:rFonts w:ascii="Palatino Linotype" w:eastAsia="Palatino Linotype" w:hAnsi="Palatino Linotype" w:cs="Palatino Linotype"/>
        </w:rPr>
      </w:pPr>
    </w:p>
    <w:tbl>
      <w:tblPr>
        <w:tblStyle w:val="a1"/>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523"/>
      </w:tblGrid>
      <w:tr w:rsidR="00244DBD" w:rsidRPr="00244DBD" w14:paraId="228AB600" w14:textId="77777777">
        <w:trPr>
          <w:trHeight w:val="315"/>
          <w:tblHeade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4A452A"/>
          </w:tcPr>
          <w:p w14:paraId="626D61C3" w14:textId="77777777" w:rsidR="00261F9B" w:rsidRPr="00244DBD" w:rsidRDefault="009C3371" w:rsidP="00244DBD">
            <w:pPr>
              <w:jc w:val="center"/>
              <w:rPr>
                <w:rFonts w:ascii="Palatino Linotype" w:eastAsia="Palatino Linotype" w:hAnsi="Palatino Linotype" w:cs="Palatino Linotype"/>
                <w:b/>
              </w:rPr>
            </w:pPr>
            <w:r w:rsidRPr="00244DBD">
              <w:rPr>
                <w:rFonts w:ascii="Palatino Linotype" w:eastAsia="Palatino Linotype" w:hAnsi="Palatino Linotype" w:cs="Palatino Linotype"/>
                <w:b/>
              </w:rPr>
              <w:t xml:space="preserve">Folio </w:t>
            </w:r>
          </w:p>
        </w:tc>
        <w:tc>
          <w:tcPr>
            <w:tcW w:w="5523" w:type="dxa"/>
            <w:tcBorders>
              <w:left w:val="single" w:sz="4" w:space="0" w:color="000000"/>
            </w:tcBorders>
            <w:shd w:val="clear" w:color="auto" w:fill="4A452A"/>
          </w:tcPr>
          <w:p w14:paraId="194C6350" w14:textId="77777777" w:rsidR="00261F9B" w:rsidRPr="00244DBD" w:rsidRDefault="009C3371" w:rsidP="00244DBD">
            <w:pPr>
              <w:jc w:val="center"/>
              <w:rPr>
                <w:rFonts w:ascii="Palatino Linotype" w:eastAsia="Palatino Linotype" w:hAnsi="Palatino Linotype" w:cs="Palatino Linotype"/>
                <w:b/>
              </w:rPr>
            </w:pPr>
            <w:r w:rsidRPr="00244DBD">
              <w:rPr>
                <w:rFonts w:ascii="Palatino Linotype" w:eastAsia="Palatino Linotype" w:hAnsi="Palatino Linotype" w:cs="Palatino Linotype"/>
                <w:b/>
                <w:sz w:val="24"/>
                <w:szCs w:val="24"/>
              </w:rPr>
              <w:t xml:space="preserve">Solicitud </w:t>
            </w:r>
          </w:p>
        </w:tc>
      </w:tr>
      <w:tr w:rsidR="00261F9B" w:rsidRPr="00244DBD" w14:paraId="610CC86D" w14:textId="77777777">
        <w:trPr>
          <w:trHeight w:val="631"/>
          <w:jc w:val="center"/>
        </w:trPr>
        <w:tc>
          <w:tcPr>
            <w:tcW w:w="2977" w:type="dxa"/>
            <w:tcBorders>
              <w:top w:val="single" w:sz="4" w:space="0" w:color="000000"/>
              <w:bottom w:val="single" w:sz="4" w:space="0" w:color="000000"/>
            </w:tcBorders>
            <w:shd w:val="clear" w:color="auto" w:fill="auto"/>
          </w:tcPr>
          <w:p w14:paraId="3E74F1D8" w14:textId="77777777" w:rsidR="00261F9B" w:rsidRPr="00244DBD" w:rsidRDefault="009C3371" w:rsidP="00244DBD">
            <w:pPr>
              <w:rPr>
                <w:rFonts w:ascii="Palatino Linotype" w:eastAsia="Palatino Linotype" w:hAnsi="Palatino Linotype" w:cs="Palatino Linotype"/>
                <w:b/>
              </w:rPr>
            </w:pPr>
            <w:r w:rsidRPr="00244DBD">
              <w:rPr>
                <w:rFonts w:ascii="Palatino Linotype" w:eastAsia="Palatino Linotype" w:hAnsi="Palatino Linotype" w:cs="Palatino Linotype"/>
                <w:b/>
              </w:rPr>
              <w:t>04397/INFOEM/IP/RR/2023</w:t>
            </w:r>
          </w:p>
        </w:tc>
        <w:tc>
          <w:tcPr>
            <w:tcW w:w="5523" w:type="dxa"/>
            <w:shd w:val="clear" w:color="auto" w:fill="auto"/>
          </w:tcPr>
          <w:p w14:paraId="276ECF20" w14:textId="77777777" w:rsidR="00261F9B" w:rsidRPr="00244DBD" w:rsidRDefault="009C3371" w:rsidP="00244DBD">
            <w:pPr>
              <w:jc w:val="both"/>
              <w:rPr>
                <w:rFonts w:ascii="Palatino Linotype" w:eastAsia="Palatino Linotype" w:hAnsi="Palatino Linotype" w:cs="Palatino Linotype"/>
                <w:i/>
              </w:rPr>
            </w:pPr>
            <w:r w:rsidRPr="00244DBD">
              <w:rPr>
                <w:rFonts w:ascii="Palatino Linotype" w:eastAsia="Palatino Linotype" w:hAnsi="Palatino Linotype" w:cs="Palatino Linotype"/>
                <w:i/>
              </w:rPr>
              <w:t>“solicito todos los oficios signados por el coordinador de apoyo técnico de la dirección de administración.” (Sic)</w:t>
            </w:r>
          </w:p>
        </w:tc>
      </w:tr>
    </w:tbl>
    <w:p w14:paraId="4271FA94" w14:textId="77777777" w:rsidR="00261F9B" w:rsidRPr="00244DBD" w:rsidRDefault="00261F9B" w:rsidP="00244DBD">
      <w:pPr>
        <w:spacing w:line="360" w:lineRule="auto"/>
        <w:ind w:right="49"/>
        <w:jc w:val="both"/>
        <w:rPr>
          <w:rFonts w:ascii="Palatino Linotype" w:eastAsia="Palatino Linotype" w:hAnsi="Palatino Linotype" w:cs="Palatino Linotype"/>
        </w:rPr>
      </w:pPr>
    </w:p>
    <w:p w14:paraId="29A6D8B5" w14:textId="6FA30818" w:rsidR="00261F9B" w:rsidRPr="00244DBD" w:rsidRDefault="0067729A"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Ahora bien, e</w:t>
      </w:r>
      <w:r w:rsidR="009C3371" w:rsidRPr="00244DBD">
        <w:rPr>
          <w:rFonts w:ascii="Palatino Linotype" w:eastAsia="Palatino Linotype" w:hAnsi="Palatino Linotype" w:cs="Palatino Linotype"/>
        </w:rPr>
        <w:t>n relación a lo solicitado respecto a los oficios signados por el coordinador de apoyo técnico de la dirección de administración, el Sujeto Obligado a través de la Dirección General de Administración y Servidor Público Habilitado, informó que por el cúmulo de información en fecha cuatro de agosto del presente año, fue aprobado por el Comité de Transparencia en la Sexcentésima Cuarta Sesión Extraordinaria con el número de acuerdo AT/CT/01/2023, el cambio de modalidad para que dicha información pueda ser en consulta directa, haciendo mención del área, dirección, horario y teléfono de contacto, asimismo advierte que estipula la opción con costo y sin costo.</w:t>
      </w:r>
    </w:p>
    <w:p w14:paraId="00D46289" w14:textId="77777777" w:rsidR="00261F9B" w:rsidRPr="00244DBD" w:rsidRDefault="00261F9B" w:rsidP="00244DBD">
      <w:pPr>
        <w:spacing w:line="360" w:lineRule="auto"/>
        <w:ind w:right="49"/>
        <w:jc w:val="both"/>
        <w:rPr>
          <w:rFonts w:ascii="Palatino Linotype" w:eastAsia="Palatino Linotype" w:hAnsi="Palatino Linotype" w:cs="Palatino Linotype"/>
        </w:rPr>
      </w:pPr>
    </w:p>
    <w:p w14:paraId="7C6F4659" w14:textId="77777777" w:rsidR="00261F9B" w:rsidRPr="00244DBD" w:rsidRDefault="009C3371"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Expuesto lo anterior, relativo al </w:t>
      </w:r>
      <w:r w:rsidRPr="00244DBD">
        <w:rPr>
          <w:rFonts w:ascii="Palatino Linotype" w:eastAsia="Palatino Linotype" w:hAnsi="Palatino Linotype" w:cs="Palatino Linotype"/>
          <w:b/>
        </w:rPr>
        <w:t>análisis del cambio de modalidad</w:t>
      </w:r>
      <w:r w:rsidRPr="00244DBD">
        <w:rPr>
          <w:rFonts w:ascii="Palatino Linotype" w:eastAsia="Palatino Linotype" w:hAnsi="Palatino Linotype" w:cs="Palatino Linotype"/>
        </w:rPr>
        <w:t xml:space="preserve">, resulta importante señalar que en primera instancia, que el artículo 155, fracción V, de la Ley de </w:t>
      </w:r>
      <w:r w:rsidRPr="00244DBD">
        <w:rPr>
          <w:rFonts w:ascii="Palatino Linotype" w:eastAsia="Palatino Linotype" w:hAnsi="Palatino Linotype" w:cs="Palatino Linotype"/>
        </w:rPr>
        <w:lastRenderedPageBreak/>
        <w:t xml:space="preserve">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53EAC6C8" w14:textId="77777777" w:rsidR="00261F9B" w:rsidRPr="00244DBD" w:rsidRDefault="00261F9B" w:rsidP="00244DBD">
      <w:pPr>
        <w:spacing w:line="360" w:lineRule="auto"/>
        <w:jc w:val="both"/>
        <w:rPr>
          <w:rFonts w:ascii="Palatino Linotype" w:eastAsia="Palatino Linotype" w:hAnsi="Palatino Linotype" w:cs="Palatino Linotype"/>
        </w:rPr>
      </w:pPr>
    </w:p>
    <w:p w14:paraId="70D8C9A2"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Por su parte, el artículo 158, dispone que, de manera excepcional, cuando de manera fundada y motivada lo determine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7BC4A08" w14:textId="77777777" w:rsidR="00261F9B" w:rsidRPr="00244DBD" w:rsidRDefault="00261F9B" w:rsidP="00244DBD">
      <w:pPr>
        <w:spacing w:line="360" w:lineRule="auto"/>
        <w:jc w:val="both"/>
        <w:rPr>
          <w:rFonts w:ascii="Palatino Linotype" w:eastAsia="Palatino Linotype" w:hAnsi="Palatino Linotype" w:cs="Palatino Linotype"/>
        </w:rPr>
      </w:pPr>
    </w:p>
    <w:p w14:paraId="1D70EA41"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244DBD">
        <w:rPr>
          <w:rFonts w:ascii="Palatino Linotype" w:eastAsia="Palatino Linotype" w:hAnsi="Palatino Linotype" w:cs="Palatino Linotype"/>
          <w:vertAlign w:val="superscript"/>
        </w:rPr>
        <w:t xml:space="preserve"> </w:t>
      </w:r>
      <w:r w:rsidRPr="00244DBD">
        <w:rPr>
          <w:rFonts w:ascii="Palatino Linotype" w:eastAsia="Palatino Linotype" w:hAnsi="Palatino Linotype" w:cs="Palatino Linotype"/>
          <w:vertAlign w:val="superscript"/>
        </w:rPr>
        <w:footnoteReference w:id="5"/>
      </w:r>
      <w:r w:rsidRPr="00244DBD">
        <w:rPr>
          <w:rFonts w:ascii="Palatino Linotype" w:eastAsia="Palatino Linotype" w:hAnsi="Palatino Linotype" w:cs="Palatino Linotype"/>
        </w:rPr>
        <w:t xml:space="preserv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w:t>
      </w:r>
      <w:r w:rsidRPr="00244DBD">
        <w:rPr>
          <w:rFonts w:ascii="Palatino Linotype" w:eastAsia="Palatino Linotype" w:hAnsi="Palatino Linotype" w:cs="Palatino Linotype"/>
        </w:rPr>
        <w:lastRenderedPageBreak/>
        <w:t>tenido en cuenta para la emisión del acto, según se puede leer en la jurisprudencia del texto y rubro que inserta enseguida para mayor referencia:</w:t>
      </w:r>
    </w:p>
    <w:p w14:paraId="0FD76ED2" w14:textId="77777777" w:rsidR="00261F9B" w:rsidRPr="00244DBD" w:rsidRDefault="00261F9B" w:rsidP="00244DBD">
      <w:pPr>
        <w:spacing w:line="360" w:lineRule="auto"/>
        <w:jc w:val="both"/>
        <w:rPr>
          <w:rFonts w:ascii="Palatino Linotype" w:eastAsia="Palatino Linotype" w:hAnsi="Palatino Linotype" w:cs="Palatino Linotype"/>
        </w:rPr>
      </w:pPr>
    </w:p>
    <w:p w14:paraId="56C33266" w14:textId="77777777" w:rsidR="00261F9B" w:rsidRPr="00244DBD" w:rsidRDefault="009C3371" w:rsidP="00244DBD">
      <w:pPr>
        <w:spacing w:line="276" w:lineRule="auto"/>
        <w:ind w:left="851" w:right="851"/>
        <w:jc w:val="both"/>
        <w:rPr>
          <w:rFonts w:ascii="Palatino Linotype" w:eastAsia="Palatino Linotype" w:hAnsi="Palatino Linotype" w:cs="Palatino Linotype"/>
          <w:i/>
        </w:rPr>
      </w:pPr>
      <w:r w:rsidRPr="00244DBD">
        <w:rPr>
          <w:rFonts w:ascii="Palatino Linotype" w:eastAsia="Palatino Linotype" w:hAnsi="Palatino Linotype" w:cs="Palatino Linotype"/>
          <w:b/>
          <w:i/>
        </w:rPr>
        <w:t>“FUNDAMENTACIÓN Y MOTIVACIÓN DE LOS ACTOS ADMINISTRATIVOS</w:t>
      </w:r>
      <w:r w:rsidRPr="00244DBD">
        <w:rPr>
          <w:rFonts w:ascii="Palatino Linotype" w:eastAsia="Palatino Linotype" w:hAnsi="Palatino Linotype" w:cs="Palatino Linotype"/>
          <w:i/>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1971512B" w14:textId="77777777" w:rsidR="00261F9B" w:rsidRPr="00244DBD" w:rsidRDefault="00261F9B" w:rsidP="00244DBD">
      <w:pPr>
        <w:spacing w:line="360" w:lineRule="auto"/>
        <w:ind w:left="851" w:right="851"/>
        <w:jc w:val="both"/>
        <w:rPr>
          <w:rFonts w:ascii="Palatino Linotype" w:eastAsia="Palatino Linotype" w:hAnsi="Palatino Linotype" w:cs="Palatino Linotype"/>
          <w:i/>
        </w:rPr>
      </w:pPr>
    </w:p>
    <w:p w14:paraId="2B43977E"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En ese entendido, según lo dispuesto en los artículos 160 y 164 de la Ley en cita, los Sujetos Obligados deben otorgar acceso a los documentos que se encuentren en sus </w:t>
      </w:r>
      <w:r w:rsidRPr="00244DBD">
        <w:rPr>
          <w:rFonts w:ascii="Palatino Linotype" w:eastAsia="Palatino Linotype" w:hAnsi="Palatino Linotype" w:cs="Palatino Linotype"/>
        </w:rPr>
        <w:lastRenderedPageBreak/>
        <w:t>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B179171" w14:textId="77777777" w:rsidR="00261F9B" w:rsidRPr="00244DBD" w:rsidRDefault="00261F9B" w:rsidP="00244DBD">
      <w:pPr>
        <w:spacing w:line="360" w:lineRule="auto"/>
        <w:jc w:val="both"/>
        <w:rPr>
          <w:rFonts w:ascii="Palatino Linotype" w:eastAsia="Palatino Linotype" w:hAnsi="Palatino Linotype" w:cs="Palatino Linotype"/>
        </w:rPr>
      </w:pPr>
    </w:p>
    <w:p w14:paraId="32337FA2" w14:textId="77777777" w:rsidR="00261F9B" w:rsidRPr="00244DBD" w:rsidRDefault="009C3371" w:rsidP="00244DBD">
      <w:pPr>
        <w:spacing w:line="276" w:lineRule="auto"/>
        <w:ind w:left="851" w:right="851"/>
        <w:jc w:val="both"/>
        <w:rPr>
          <w:rFonts w:ascii="Palatino Linotype" w:eastAsia="Palatino Linotype" w:hAnsi="Palatino Linotype" w:cs="Palatino Linotype"/>
          <w:i/>
        </w:rPr>
      </w:pPr>
      <w:r w:rsidRPr="00244DBD">
        <w:rPr>
          <w:rFonts w:ascii="Palatino Linotype" w:eastAsia="Palatino Linotype" w:hAnsi="Palatino Linotype" w:cs="Palatino Linotype"/>
          <w:b/>
          <w:i/>
        </w:rPr>
        <w:t xml:space="preserve"> “Artículo 160.</w:t>
      </w:r>
      <w:r w:rsidRPr="00244DBD">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CB42CAF" w14:textId="77777777" w:rsidR="00261F9B" w:rsidRPr="00244DBD" w:rsidRDefault="009C3371" w:rsidP="00244DBD">
      <w:pPr>
        <w:spacing w:line="276" w:lineRule="auto"/>
        <w:ind w:left="851" w:right="851"/>
        <w:jc w:val="both"/>
        <w:rPr>
          <w:rFonts w:ascii="Palatino Linotype" w:eastAsia="Palatino Linotype" w:hAnsi="Palatino Linotype" w:cs="Palatino Linotype"/>
          <w:i/>
        </w:rPr>
      </w:pPr>
      <w:r w:rsidRPr="00244DBD">
        <w:rPr>
          <w:rFonts w:ascii="Palatino Linotype" w:eastAsia="Palatino Linotype" w:hAnsi="Palatino Linotype" w:cs="Palatino Linotype"/>
          <w:b/>
          <w:i/>
        </w:rPr>
        <w:t>Artículo 164.</w:t>
      </w:r>
      <w:r w:rsidRPr="00244DBD">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244DBD">
        <w:rPr>
          <w:rFonts w:ascii="Palatino Linotype" w:eastAsia="Palatino Linotype" w:hAnsi="Palatino Linotype" w:cs="Palatino Linotype"/>
          <w:i/>
          <w:u w:val="single"/>
        </w:rPr>
        <w:t>el sujeto obligado deberá ofrecer otra u otras modalidades de entrega.</w:t>
      </w:r>
      <w:r w:rsidRPr="00244DBD">
        <w:rPr>
          <w:rFonts w:ascii="Palatino Linotype" w:eastAsia="Palatino Linotype" w:hAnsi="Palatino Linotype" w:cs="Palatino Linotype"/>
          <w:i/>
        </w:rPr>
        <w:t xml:space="preserve"> En cualquier caso, se deberá fundar y motivar la necesidad de ofrecer otras modalidades.” (Énfasis añadido)</w:t>
      </w:r>
    </w:p>
    <w:p w14:paraId="272336AD" w14:textId="77777777" w:rsidR="00261F9B" w:rsidRPr="00244DBD" w:rsidRDefault="00261F9B" w:rsidP="00244DBD">
      <w:pPr>
        <w:spacing w:line="276" w:lineRule="auto"/>
        <w:ind w:left="851" w:right="851"/>
        <w:jc w:val="both"/>
        <w:rPr>
          <w:rFonts w:ascii="Palatino Linotype" w:eastAsia="Palatino Linotype" w:hAnsi="Palatino Linotype" w:cs="Palatino Linotype"/>
        </w:rPr>
      </w:pPr>
    </w:p>
    <w:p w14:paraId="0CF5637E"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CF687AE" w14:textId="77777777" w:rsidR="00261F9B" w:rsidRPr="00244DBD" w:rsidRDefault="00261F9B" w:rsidP="00244DBD">
      <w:pPr>
        <w:spacing w:line="360" w:lineRule="auto"/>
        <w:jc w:val="both"/>
        <w:rPr>
          <w:rFonts w:ascii="Palatino Linotype" w:eastAsia="Palatino Linotype" w:hAnsi="Palatino Linotype" w:cs="Palatino Linotype"/>
        </w:rPr>
      </w:pPr>
    </w:p>
    <w:p w14:paraId="58BFECCF"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Así, cuando se justifique el impedimento, </w:t>
      </w:r>
      <w:r w:rsidRPr="00244DBD">
        <w:rPr>
          <w:rFonts w:ascii="Palatino Linotype" w:eastAsia="Palatino Linotype" w:hAnsi="Palatino Linotype" w:cs="Palatino Linotype"/>
          <w:b/>
        </w:rPr>
        <w:t>los Sujetos Obligados deberán ofrecer al particular otras modalidades de entrega que permita la información</w:t>
      </w:r>
      <w:r w:rsidRPr="00244DBD">
        <w:rPr>
          <w:rFonts w:ascii="Palatino Linotype" w:eastAsia="Palatino Linotype" w:hAnsi="Palatino Linotype" w:cs="Palatino Linotype"/>
        </w:rPr>
        <w:t xml:space="preserve">, como consulta directa en las oficinas de la Unidad de Transparencia, la expedición de copias simples </w:t>
      </w:r>
      <w:r w:rsidRPr="00244DBD">
        <w:rPr>
          <w:rFonts w:ascii="Palatino Linotype" w:eastAsia="Palatino Linotype" w:hAnsi="Palatino Linotype" w:cs="Palatino Linotype"/>
        </w:rPr>
        <w:lastRenderedPageBreak/>
        <w:t>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55ECAFCB" w14:textId="77777777" w:rsidR="00261F9B" w:rsidRPr="00244DBD" w:rsidRDefault="00261F9B" w:rsidP="00244DBD">
      <w:pPr>
        <w:spacing w:line="360" w:lineRule="auto"/>
        <w:jc w:val="both"/>
        <w:rPr>
          <w:rFonts w:ascii="Palatino Linotype" w:eastAsia="Palatino Linotype" w:hAnsi="Palatino Linotype" w:cs="Palatino Linotype"/>
        </w:rPr>
      </w:pPr>
    </w:p>
    <w:p w14:paraId="7420DC7B" w14:textId="77777777" w:rsidR="00261F9B" w:rsidRPr="00244DBD" w:rsidRDefault="009C3371" w:rsidP="00244DBD">
      <w:pPr>
        <w:spacing w:line="276" w:lineRule="auto"/>
        <w:ind w:left="851" w:right="902"/>
        <w:jc w:val="both"/>
        <w:rPr>
          <w:rFonts w:ascii="Palatino Linotype" w:eastAsia="Palatino Linotype" w:hAnsi="Palatino Linotype" w:cs="Palatino Linotype"/>
          <w:b/>
          <w:i/>
          <w:u w:val="single"/>
        </w:rPr>
      </w:pPr>
      <w:r w:rsidRPr="00244DBD">
        <w:rPr>
          <w:rFonts w:ascii="Palatino Linotype" w:eastAsia="Palatino Linotype" w:hAnsi="Palatino Linotype" w:cs="Palatino Linotype"/>
          <w:b/>
          <w:i/>
        </w:rPr>
        <w:t>“Modalidad de entrega. Procedencia de proporcionar la información solicitada en una diversa a la elegida por el solicitante.</w:t>
      </w:r>
      <w:r w:rsidRPr="00244DBD">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244DBD">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2BB73D71" w14:textId="77777777" w:rsidR="00261F9B" w:rsidRPr="00244DBD" w:rsidRDefault="00261F9B" w:rsidP="00244DBD">
      <w:pPr>
        <w:spacing w:line="276" w:lineRule="auto"/>
        <w:ind w:left="851" w:right="902"/>
        <w:jc w:val="both"/>
        <w:rPr>
          <w:rFonts w:ascii="Palatino Linotype" w:eastAsia="Palatino Linotype" w:hAnsi="Palatino Linotype" w:cs="Palatino Linotype"/>
          <w:u w:val="single"/>
        </w:rPr>
      </w:pPr>
    </w:p>
    <w:p w14:paraId="2FBCDB1D" w14:textId="77777777" w:rsidR="00261F9B" w:rsidRPr="00244DBD" w:rsidRDefault="009C3371" w:rsidP="00244DBD">
      <w:pPr>
        <w:spacing w:line="360" w:lineRule="auto"/>
        <w:jc w:val="both"/>
        <w:rPr>
          <w:rFonts w:ascii="Palatino Linotype" w:eastAsia="Palatino Linotype" w:hAnsi="Palatino Linotype" w:cs="Palatino Linotype"/>
          <w:b/>
        </w:rPr>
      </w:pPr>
      <w:r w:rsidRPr="00244DBD">
        <w:rPr>
          <w:rFonts w:ascii="Palatino Linotype" w:eastAsia="Palatino Linotype" w:hAnsi="Palatino Linotype" w:cs="Palatino Linotype"/>
        </w:rPr>
        <w:t>Del citado criterio, se desprende que cuando</w:t>
      </w:r>
      <w:r w:rsidRPr="00244DBD">
        <w:rPr>
          <w:rFonts w:ascii="Palatino Linotype" w:eastAsia="Palatino Linotype" w:hAnsi="Palatino Linotype" w:cs="Palatino Linotype"/>
          <w:b/>
        </w:rPr>
        <w:t xml:space="preserve"> la información no pueda entregarse o enviarse en la modalidad elegida, </w:t>
      </w:r>
      <w:r w:rsidRPr="00244DBD">
        <w:rPr>
          <w:rFonts w:ascii="Palatino Linotype" w:eastAsia="Palatino Linotype" w:hAnsi="Palatino Linotype" w:cs="Palatino Linotype"/>
        </w:rPr>
        <w:t xml:space="preserve">para que la obligación de acceso a la información se tenga por cumplida, </w:t>
      </w:r>
      <w:r w:rsidRPr="00244DBD">
        <w:rPr>
          <w:rFonts w:ascii="Palatino Linotype" w:eastAsia="Palatino Linotype" w:hAnsi="Palatino Linotype" w:cs="Palatino Linotype"/>
          <w:b/>
        </w:rPr>
        <w:t>el Sujeto Obligado deberá ofrecer otra u otras modalidades de entrega.</w:t>
      </w:r>
      <w:r w:rsidRPr="00244DBD">
        <w:rPr>
          <w:rFonts w:ascii="Palatino Linotype" w:eastAsia="Palatino Linotype" w:hAnsi="Palatino Linotype" w:cs="Palatino Linotype"/>
        </w:rPr>
        <w:t xml:space="preserve"> En cualquier caso, </w:t>
      </w:r>
      <w:r w:rsidRPr="00244DBD">
        <w:rPr>
          <w:rFonts w:ascii="Palatino Linotype" w:eastAsia="Palatino Linotype" w:hAnsi="Palatino Linotype" w:cs="Palatino Linotype"/>
          <w:b/>
        </w:rPr>
        <w:t>se deberá fundar y motivar la necesidad de ofrecer otras modalidades</w:t>
      </w:r>
      <w:r w:rsidRPr="00244DBD">
        <w:rPr>
          <w:rFonts w:ascii="Palatino Linotype" w:eastAsia="Palatino Linotype" w:hAnsi="Palatino Linotype" w:cs="Palatino Linotype"/>
        </w:rPr>
        <w:t xml:space="preserve"> que lo permitan, </w:t>
      </w:r>
      <w:r w:rsidRPr="00244DBD">
        <w:rPr>
          <w:rFonts w:ascii="Palatino Linotype" w:eastAsia="Palatino Linotype" w:hAnsi="Palatino Linotype" w:cs="Palatino Linotype"/>
          <w:b/>
        </w:rPr>
        <w:t>procurando reducir los costos de entrega.</w:t>
      </w:r>
    </w:p>
    <w:p w14:paraId="7B2EB0D0" w14:textId="77777777" w:rsidR="00261F9B" w:rsidRPr="00244DBD" w:rsidRDefault="00261F9B" w:rsidP="00244DBD">
      <w:pPr>
        <w:spacing w:line="360" w:lineRule="auto"/>
        <w:jc w:val="both"/>
        <w:rPr>
          <w:rFonts w:ascii="Palatino Linotype" w:eastAsia="Palatino Linotype" w:hAnsi="Palatino Linotype" w:cs="Palatino Linotype"/>
          <w:b/>
        </w:rPr>
      </w:pPr>
    </w:p>
    <w:p w14:paraId="49420E21" w14:textId="77777777" w:rsidR="00261F9B" w:rsidRPr="00244DBD" w:rsidRDefault="009C3371" w:rsidP="00244DBD">
      <w:pPr>
        <w:widowControl w:val="0"/>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w:t>
      </w:r>
      <w:r w:rsidRPr="00244DBD">
        <w:rPr>
          <w:rFonts w:ascii="Palatino Linotype" w:eastAsia="Palatino Linotype" w:hAnsi="Palatino Linotype" w:cs="Palatino Linotype"/>
        </w:rPr>
        <w:lastRenderedPageBreak/>
        <w:t>de otra forma; además que se deberá explicar de manera detallada lo siguiente:</w:t>
      </w:r>
    </w:p>
    <w:p w14:paraId="0624D77E" w14:textId="77777777" w:rsidR="00261F9B" w:rsidRPr="00244DBD" w:rsidRDefault="00261F9B" w:rsidP="00244DBD">
      <w:pPr>
        <w:spacing w:line="360" w:lineRule="auto"/>
        <w:jc w:val="both"/>
        <w:rPr>
          <w:rFonts w:ascii="Palatino Linotype" w:eastAsia="Palatino Linotype" w:hAnsi="Palatino Linotype" w:cs="Palatino Linotype"/>
        </w:rPr>
      </w:pPr>
    </w:p>
    <w:p w14:paraId="4E6BA589" w14:textId="77777777" w:rsidR="00261F9B" w:rsidRPr="00244DBD" w:rsidRDefault="009C3371" w:rsidP="00244DBD">
      <w:pPr>
        <w:numPr>
          <w:ilvl w:val="0"/>
          <w:numId w:val="2"/>
        </w:numPr>
        <w:spacing w:line="360" w:lineRule="auto"/>
        <w:jc w:val="both"/>
      </w:pPr>
      <w:r w:rsidRPr="00244DBD">
        <w:rPr>
          <w:rFonts w:ascii="Palatino Linotype" w:eastAsia="Palatino Linotype" w:hAnsi="Palatino Linotype" w:cs="Palatino Linotype"/>
        </w:rPr>
        <w:t>Las razones por las cuales la información implicaba un análisis, estudio o procesamiento de datos;</w:t>
      </w:r>
    </w:p>
    <w:p w14:paraId="12BA4B6B" w14:textId="77777777" w:rsidR="00261F9B" w:rsidRPr="00244DBD" w:rsidRDefault="00261F9B" w:rsidP="00244DBD">
      <w:pPr>
        <w:spacing w:line="360" w:lineRule="auto"/>
        <w:ind w:left="720"/>
        <w:jc w:val="both"/>
        <w:rPr>
          <w:rFonts w:ascii="Palatino Linotype" w:eastAsia="Palatino Linotype" w:hAnsi="Palatino Linotype" w:cs="Palatino Linotype"/>
        </w:rPr>
      </w:pPr>
    </w:p>
    <w:p w14:paraId="0FEC08C3" w14:textId="77777777" w:rsidR="00261F9B" w:rsidRPr="00244DBD" w:rsidRDefault="009C3371" w:rsidP="00244DBD">
      <w:pPr>
        <w:numPr>
          <w:ilvl w:val="0"/>
          <w:numId w:val="2"/>
        </w:numPr>
        <w:spacing w:line="360" w:lineRule="auto"/>
        <w:ind w:left="567" w:right="901" w:hanging="141"/>
        <w:jc w:val="both"/>
      </w:pPr>
      <w:r w:rsidRPr="00244DBD">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6D18DFDA" w14:textId="77777777" w:rsidR="00261F9B" w:rsidRPr="00244DBD" w:rsidRDefault="00261F9B" w:rsidP="00244DBD">
      <w:pPr>
        <w:spacing w:line="360" w:lineRule="auto"/>
        <w:ind w:left="567" w:right="901" w:hanging="141"/>
        <w:jc w:val="both"/>
        <w:rPr>
          <w:rFonts w:ascii="Palatino Linotype" w:eastAsia="Palatino Linotype" w:hAnsi="Palatino Linotype" w:cs="Palatino Linotype"/>
        </w:rPr>
      </w:pPr>
    </w:p>
    <w:p w14:paraId="6E50A52E" w14:textId="77777777" w:rsidR="00261F9B" w:rsidRPr="00244DBD" w:rsidRDefault="009C3371" w:rsidP="00244DBD">
      <w:pPr>
        <w:numPr>
          <w:ilvl w:val="0"/>
          <w:numId w:val="2"/>
        </w:numPr>
        <w:spacing w:line="360" w:lineRule="auto"/>
        <w:ind w:left="567" w:right="901" w:hanging="141"/>
        <w:jc w:val="both"/>
      </w:pPr>
      <w:r w:rsidRPr="00244DBD">
        <w:rPr>
          <w:rFonts w:ascii="Palatino Linotype" w:eastAsia="Palatino Linotype" w:hAnsi="Palatino Linotype" w:cs="Palatino Linotype"/>
        </w:rPr>
        <w:t>La cantidad de recursos humanos y materiales con los que cuenta el Sujeto Obligado son insuficientes.</w:t>
      </w:r>
    </w:p>
    <w:p w14:paraId="26DDC0A3" w14:textId="77777777" w:rsidR="00261F9B" w:rsidRPr="00244DBD" w:rsidRDefault="00261F9B" w:rsidP="00244DBD">
      <w:pPr>
        <w:spacing w:line="360" w:lineRule="auto"/>
        <w:jc w:val="both"/>
        <w:rPr>
          <w:rFonts w:ascii="Palatino Linotype" w:eastAsia="Palatino Linotype" w:hAnsi="Palatino Linotype" w:cs="Palatino Linotype"/>
        </w:rPr>
      </w:pPr>
    </w:p>
    <w:p w14:paraId="1092EBCF" w14:textId="77777777" w:rsidR="003A5499" w:rsidRPr="00244DBD" w:rsidRDefault="003A5499"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Cabe destacar que no se remite el acta de cambio de modalidad que menciona en su respuesta; sin embargo, en acto posterior </w:t>
      </w:r>
      <w:r w:rsidRPr="00244DBD">
        <w:rPr>
          <w:rFonts w:ascii="Palatino Linotype" w:eastAsia="Palatino Linotype" w:hAnsi="Palatino Linotype" w:cs="Palatino Linotype"/>
          <w:b/>
          <w:u w:val="single"/>
        </w:rPr>
        <w:t>en informe justificado remitió el Acuerdo del Comité de Transparencia número sexcentésima Cuarta Sesión Extraordinaria mediante la que se aprobó el cambio de modalidad, así como acuerdo de clasificación de la información,</w:t>
      </w:r>
      <w:r w:rsidRPr="00244DBD">
        <w:rPr>
          <w:rFonts w:ascii="Palatino Linotype" w:eastAsia="Palatino Linotype" w:hAnsi="Palatino Linotype" w:cs="Palatino Linotype"/>
        </w:rPr>
        <w:t xml:space="preserve"> asimismo remite incidencia registrada en la bitácora de la Dirección General de Informática, como se advierte a continuación:</w:t>
      </w:r>
    </w:p>
    <w:p w14:paraId="6F6D3113" w14:textId="77777777" w:rsidR="003A5499" w:rsidRPr="00244DBD" w:rsidRDefault="003A5499" w:rsidP="00244DBD">
      <w:pPr>
        <w:spacing w:line="360" w:lineRule="auto"/>
        <w:ind w:right="49"/>
        <w:jc w:val="both"/>
        <w:rPr>
          <w:rFonts w:ascii="Palatino Linotype" w:eastAsia="Palatino Linotype" w:hAnsi="Palatino Linotype" w:cs="Palatino Linotype"/>
        </w:rPr>
      </w:pPr>
    </w:p>
    <w:p w14:paraId="4B008DAD" w14:textId="77777777" w:rsidR="003A5499" w:rsidRPr="00244DBD" w:rsidRDefault="003A5499" w:rsidP="00244DBD">
      <w:pPr>
        <w:spacing w:line="360" w:lineRule="auto"/>
        <w:ind w:right="49"/>
        <w:jc w:val="center"/>
        <w:rPr>
          <w:rFonts w:ascii="Palatino Linotype" w:eastAsia="Palatino Linotype" w:hAnsi="Palatino Linotype" w:cs="Palatino Linotype"/>
        </w:rPr>
      </w:pPr>
      <w:r w:rsidRPr="00244DBD">
        <w:rPr>
          <w:noProof/>
        </w:rPr>
        <w:lastRenderedPageBreak/>
        <w:drawing>
          <wp:inline distT="0" distB="0" distL="0" distR="0" wp14:anchorId="6F4815B7" wp14:editId="5003C372">
            <wp:extent cx="5791367" cy="20469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2960" cy="2051082"/>
                    </a:xfrm>
                    <a:prstGeom prst="rect">
                      <a:avLst/>
                    </a:prstGeom>
                  </pic:spPr>
                </pic:pic>
              </a:graphicData>
            </a:graphic>
          </wp:inline>
        </w:drawing>
      </w:r>
    </w:p>
    <w:p w14:paraId="1F4E0E9A" w14:textId="77777777" w:rsidR="003A5499" w:rsidRPr="00244DBD" w:rsidRDefault="003A5499" w:rsidP="00244DBD">
      <w:pPr>
        <w:spacing w:line="360" w:lineRule="auto"/>
        <w:ind w:right="49"/>
        <w:jc w:val="both"/>
        <w:rPr>
          <w:rFonts w:ascii="Palatino Linotype" w:eastAsia="Palatino Linotype" w:hAnsi="Palatino Linotype" w:cs="Palatino Linotype"/>
        </w:rPr>
      </w:pPr>
    </w:p>
    <w:p w14:paraId="46105486"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Ahora bien, entrando en materia, debe resaltarse que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a través de la Sexcentésima Cuarta Sesión Extraordinaria mediante la que se aprobó el cambio de modalidad para la entrega de la información mediante Consulta Directa, copias simples o certificadas además de que se podrá hacer entrega sin costo alguno con costo de la información si la persona proporciona los medios electrónicos u ópticos (USB, disco duro externo, CD-DVD, Blu-ray, copias certificadas y simples, así como él envió vía correo certificado previo pago), además refiere el cronograma de consulta de la información que da atención a la solicitud, teniendo soporte en el oficio signado por el Director General de Informática del INFOEM, mediante el cual informa que la incidencia técnica ha quedado registrada en la bitácora de incidencias, toda vez que trata de subir 3.04GB, lo cual sobrepasa las capacidades técnicas del Sistema de Acceso a la Información Mexiquense (SAIMEX).</w:t>
      </w:r>
      <w:r w:rsidRPr="00244DBD">
        <w:rPr>
          <w:rFonts w:ascii="Palatino Linotype" w:eastAsia="Palatino Linotype" w:hAnsi="Palatino Linotype" w:cs="Palatino Linotype"/>
          <w:strike/>
        </w:rPr>
        <w:t xml:space="preserve"> </w:t>
      </w:r>
    </w:p>
    <w:p w14:paraId="7B876CE5" w14:textId="77777777" w:rsidR="00261F9B" w:rsidRPr="00244DBD" w:rsidRDefault="00261F9B" w:rsidP="00244DBD">
      <w:pPr>
        <w:spacing w:line="360" w:lineRule="auto"/>
        <w:jc w:val="both"/>
        <w:rPr>
          <w:rFonts w:ascii="Palatino Linotype" w:eastAsia="Palatino Linotype" w:hAnsi="Palatino Linotype" w:cs="Palatino Linotype"/>
        </w:rPr>
      </w:pPr>
    </w:p>
    <w:p w14:paraId="156993B1" w14:textId="77777777" w:rsidR="00261F9B" w:rsidRPr="00244DBD" w:rsidRDefault="009C3371" w:rsidP="00244DBD">
      <w:pPr>
        <w:spacing w:after="240" w:line="360" w:lineRule="auto"/>
        <w:ind w:right="-28"/>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Expuesto lo anterior, conviene esquematizar los argumentos expuestos con anterioridad para efecto de determinar si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cumplió con los elementos necesarios para el cambio de modalidad:</w:t>
      </w:r>
    </w:p>
    <w:tbl>
      <w:tblPr>
        <w:tblStyle w:val="a2"/>
        <w:tblW w:w="88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7577"/>
      </w:tblGrid>
      <w:tr w:rsidR="00244DBD" w:rsidRPr="00244DBD" w14:paraId="0143A180" w14:textId="77777777">
        <w:tc>
          <w:tcPr>
            <w:tcW w:w="1251" w:type="dxa"/>
            <w:shd w:val="clear" w:color="auto" w:fill="E7E6E6"/>
          </w:tcPr>
          <w:p w14:paraId="0E53A294" w14:textId="77777777" w:rsidR="00261F9B" w:rsidRPr="00244DBD" w:rsidRDefault="009C3371" w:rsidP="00244DBD">
            <w:pPr>
              <w:jc w:val="center"/>
              <w:rPr>
                <w:rFonts w:ascii="Palatino Linotype" w:eastAsia="Palatino Linotype" w:hAnsi="Palatino Linotype" w:cs="Palatino Linotype"/>
                <w:b/>
                <w:sz w:val="18"/>
                <w:szCs w:val="18"/>
              </w:rPr>
            </w:pPr>
            <w:r w:rsidRPr="00244DBD">
              <w:rPr>
                <w:rFonts w:ascii="Palatino Linotype" w:eastAsia="Palatino Linotype" w:hAnsi="Palatino Linotype" w:cs="Palatino Linotype"/>
                <w:b/>
                <w:sz w:val="18"/>
                <w:szCs w:val="18"/>
              </w:rPr>
              <w:lastRenderedPageBreak/>
              <w:t>Elementos del cambio de modalidad</w:t>
            </w:r>
          </w:p>
        </w:tc>
        <w:tc>
          <w:tcPr>
            <w:tcW w:w="7577" w:type="dxa"/>
            <w:shd w:val="clear" w:color="auto" w:fill="E7E6E6"/>
          </w:tcPr>
          <w:p w14:paraId="3990C0DD" w14:textId="77777777" w:rsidR="00261F9B" w:rsidRPr="00244DBD" w:rsidRDefault="009C3371" w:rsidP="00244DBD">
            <w:pPr>
              <w:jc w:val="center"/>
              <w:rPr>
                <w:rFonts w:ascii="Palatino Linotype" w:eastAsia="Palatino Linotype" w:hAnsi="Palatino Linotype" w:cs="Palatino Linotype"/>
                <w:b/>
                <w:sz w:val="18"/>
                <w:szCs w:val="18"/>
              </w:rPr>
            </w:pPr>
            <w:r w:rsidRPr="00244DBD">
              <w:rPr>
                <w:rFonts w:ascii="Palatino Linotype" w:eastAsia="Palatino Linotype" w:hAnsi="Palatino Linotype" w:cs="Palatino Linotype"/>
                <w:b/>
                <w:sz w:val="18"/>
                <w:szCs w:val="18"/>
              </w:rPr>
              <w:t>Contenido</w:t>
            </w:r>
          </w:p>
        </w:tc>
      </w:tr>
      <w:tr w:rsidR="00244DBD" w:rsidRPr="00244DBD" w14:paraId="22B2427E" w14:textId="77777777">
        <w:tc>
          <w:tcPr>
            <w:tcW w:w="1251" w:type="dxa"/>
          </w:tcPr>
          <w:p w14:paraId="1A975C5B" w14:textId="77777777" w:rsidR="00261F9B" w:rsidRPr="00244DBD" w:rsidRDefault="009C3371" w:rsidP="00244DBD">
            <w:pPr>
              <w:jc w:val="center"/>
              <w:rPr>
                <w:rFonts w:ascii="Palatino Linotype" w:eastAsia="Palatino Linotype" w:hAnsi="Palatino Linotype" w:cs="Palatino Linotype"/>
                <w:sz w:val="18"/>
                <w:szCs w:val="18"/>
              </w:rPr>
            </w:pPr>
            <w:r w:rsidRPr="00244DBD">
              <w:rPr>
                <w:rFonts w:ascii="Palatino Linotype" w:eastAsia="Palatino Linotype" w:hAnsi="Palatino Linotype" w:cs="Palatino Linotype"/>
                <w:sz w:val="18"/>
                <w:szCs w:val="18"/>
              </w:rPr>
              <w:t>Número de folio de la solicitud</w:t>
            </w:r>
          </w:p>
        </w:tc>
        <w:tc>
          <w:tcPr>
            <w:tcW w:w="7577" w:type="dxa"/>
          </w:tcPr>
          <w:p w14:paraId="3BBED305" w14:textId="77777777" w:rsidR="00261F9B" w:rsidRPr="00244DBD" w:rsidRDefault="009C3371" w:rsidP="00244DBD">
            <w:pPr>
              <w:jc w:val="center"/>
              <w:rPr>
                <w:rFonts w:ascii="Palatino Linotype" w:eastAsia="Palatino Linotype" w:hAnsi="Palatino Linotype" w:cs="Palatino Linotype"/>
                <w:sz w:val="18"/>
                <w:szCs w:val="18"/>
              </w:rPr>
            </w:pPr>
            <w:r w:rsidRPr="00244DBD">
              <w:rPr>
                <w:noProof/>
              </w:rPr>
              <w:drawing>
                <wp:inline distT="0" distB="0" distL="0" distR="0" wp14:anchorId="5C1B3B5A" wp14:editId="1BC0DDD0">
                  <wp:extent cx="4674235" cy="804545"/>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674235" cy="804545"/>
                          </a:xfrm>
                          <a:prstGeom prst="rect">
                            <a:avLst/>
                          </a:prstGeom>
                          <a:ln/>
                        </pic:spPr>
                      </pic:pic>
                    </a:graphicData>
                  </a:graphic>
                </wp:inline>
              </w:drawing>
            </w:r>
          </w:p>
        </w:tc>
      </w:tr>
      <w:tr w:rsidR="00244DBD" w:rsidRPr="00244DBD" w14:paraId="4A4E36E7" w14:textId="77777777">
        <w:tc>
          <w:tcPr>
            <w:tcW w:w="1251" w:type="dxa"/>
          </w:tcPr>
          <w:p w14:paraId="2BADAB80" w14:textId="77777777" w:rsidR="00261F9B" w:rsidRPr="00244DBD" w:rsidRDefault="009C3371" w:rsidP="00244DBD">
            <w:pPr>
              <w:jc w:val="center"/>
              <w:rPr>
                <w:rFonts w:ascii="Palatino Linotype" w:eastAsia="Palatino Linotype" w:hAnsi="Palatino Linotype" w:cs="Palatino Linotype"/>
              </w:rPr>
            </w:pPr>
            <w:r w:rsidRPr="00244DBD">
              <w:rPr>
                <w:rFonts w:ascii="Palatino Linotype" w:eastAsia="Palatino Linotype" w:hAnsi="Palatino Linotype" w:cs="Palatino Linotype"/>
                <w:sz w:val="18"/>
                <w:szCs w:val="18"/>
              </w:rPr>
              <w:t>Referencia al peso de la información.</w:t>
            </w:r>
          </w:p>
        </w:tc>
        <w:tc>
          <w:tcPr>
            <w:tcW w:w="7577" w:type="dxa"/>
          </w:tcPr>
          <w:p w14:paraId="40990B2B" w14:textId="77777777" w:rsidR="00261F9B" w:rsidRPr="00244DBD" w:rsidRDefault="009C3371" w:rsidP="00244DBD">
            <w:pPr>
              <w:spacing w:line="360" w:lineRule="auto"/>
              <w:jc w:val="center"/>
              <w:rPr>
                <w:rFonts w:ascii="Palatino Linotype" w:eastAsia="Palatino Linotype" w:hAnsi="Palatino Linotype" w:cs="Palatino Linotype"/>
              </w:rPr>
            </w:pPr>
            <w:r w:rsidRPr="00244DBD">
              <w:rPr>
                <w:noProof/>
              </w:rPr>
              <w:drawing>
                <wp:inline distT="0" distB="0" distL="0" distR="0" wp14:anchorId="510A408A" wp14:editId="115ACF05">
                  <wp:extent cx="4674235" cy="1291590"/>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674235" cy="1291590"/>
                          </a:xfrm>
                          <a:prstGeom prst="rect">
                            <a:avLst/>
                          </a:prstGeom>
                          <a:ln/>
                        </pic:spPr>
                      </pic:pic>
                    </a:graphicData>
                  </a:graphic>
                </wp:inline>
              </w:drawing>
            </w:r>
          </w:p>
        </w:tc>
      </w:tr>
      <w:tr w:rsidR="00244DBD" w:rsidRPr="00244DBD" w14:paraId="7E551AFB" w14:textId="77777777">
        <w:tc>
          <w:tcPr>
            <w:tcW w:w="1251" w:type="dxa"/>
          </w:tcPr>
          <w:p w14:paraId="359D244B" w14:textId="77777777" w:rsidR="00261F9B" w:rsidRPr="00244DBD" w:rsidRDefault="009C3371" w:rsidP="00244DBD">
            <w:pPr>
              <w:jc w:val="center"/>
              <w:rPr>
                <w:rFonts w:ascii="Palatino Linotype" w:eastAsia="Palatino Linotype" w:hAnsi="Palatino Linotype" w:cs="Palatino Linotype"/>
              </w:rPr>
            </w:pPr>
            <w:r w:rsidRPr="00244DBD">
              <w:rPr>
                <w:rFonts w:ascii="Palatino Linotype" w:eastAsia="Palatino Linotype" w:hAnsi="Palatino Linotype" w:cs="Palatino Linotype"/>
                <w:sz w:val="18"/>
                <w:szCs w:val="18"/>
              </w:rPr>
              <w:t>Referencia a otras modalidades de entrega de la información.</w:t>
            </w:r>
          </w:p>
        </w:tc>
        <w:tc>
          <w:tcPr>
            <w:tcW w:w="7577" w:type="dxa"/>
          </w:tcPr>
          <w:p w14:paraId="68862C0F" w14:textId="77777777" w:rsidR="00261F9B" w:rsidRPr="00244DBD" w:rsidRDefault="009C3371" w:rsidP="00244DBD">
            <w:pPr>
              <w:spacing w:line="360" w:lineRule="auto"/>
              <w:rPr>
                <w:rFonts w:ascii="Palatino Linotype" w:eastAsia="Palatino Linotype" w:hAnsi="Palatino Linotype" w:cs="Palatino Linotype"/>
              </w:rPr>
            </w:pPr>
            <w:r w:rsidRPr="00244DBD">
              <w:rPr>
                <w:rFonts w:ascii="Palatino Linotype" w:eastAsia="Palatino Linotype" w:hAnsi="Palatino Linotype" w:cs="Palatino Linotype"/>
              </w:rPr>
              <w:t>Además de la consulta directa se señala que:</w:t>
            </w:r>
            <w:r w:rsidRPr="00244DBD">
              <w:t xml:space="preserve"> </w:t>
            </w:r>
            <w:r w:rsidRPr="00244DBD">
              <w:rPr>
                <w:noProof/>
              </w:rPr>
              <w:drawing>
                <wp:inline distT="0" distB="0" distL="0" distR="0" wp14:anchorId="63C4A0F8" wp14:editId="0960461B">
                  <wp:extent cx="4619625" cy="55245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619625" cy="552450"/>
                          </a:xfrm>
                          <a:prstGeom prst="rect">
                            <a:avLst/>
                          </a:prstGeom>
                          <a:ln/>
                        </pic:spPr>
                      </pic:pic>
                    </a:graphicData>
                  </a:graphic>
                </wp:inline>
              </w:drawing>
            </w:r>
            <w:r w:rsidRPr="00244DBD">
              <w:t xml:space="preserve"> </w:t>
            </w:r>
            <w:r w:rsidRPr="00244DBD">
              <w:rPr>
                <w:noProof/>
              </w:rPr>
              <w:drawing>
                <wp:inline distT="0" distB="0" distL="0" distR="0" wp14:anchorId="4D6E1E86" wp14:editId="1495D4AC">
                  <wp:extent cx="4674235" cy="6731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674235" cy="673100"/>
                          </a:xfrm>
                          <a:prstGeom prst="rect">
                            <a:avLst/>
                          </a:prstGeom>
                          <a:ln/>
                        </pic:spPr>
                      </pic:pic>
                    </a:graphicData>
                  </a:graphic>
                </wp:inline>
              </w:drawing>
            </w:r>
            <w:r w:rsidRPr="00244DBD">
              <w:t xml:space="preserve"> </w:t>
            </w:r>
            <w:r w:rsidRPr="00244DBD">
              <w:rPr>
                <w:noProof/>
              </w:rPr>
              <w:drawing>
                <wp:inline distT="0" distB="0" distL="0" distR="0" wp14:anchorId="530C83BB" wp14:editId="22266E15">
                  <wp:extent cx="4674235" cy="855345"/>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674235" cy="855345"/>
                          </a:xfrm>
                          <a:prstGeom prst="rect">
                            <a:avLst/>
                          </a:prstGeom>
                          <a:ln/>
                        </pic:spPr>
                      </pic:pic>
                    </a:graphicData>
                  </a:graphic>
                </wp:inline>
              </w:drawing>
            </w:r>
            <w:r w:rsidRPr="00244DBD">
              <w:t xml:space="preserve"> </w:t>
            </w:r>
            <w:r w:rsidRPr="00244DBD">
              <w:rPr>
                <w:noProof/>
              </w:rPr>
              <w:drawing>
                <wp:inline distT="0" distB="0" distL="0" distR="0" wp14:anchorId="3759EA9B" wp14:editId="0F8A0105">
                  <wp:extent cx="4648200" cy="8763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648200" cy="876300"/>
                          </a:xfrm>
                          <a:prstGeom prst="rect">
                            <a:avLst/>
                          </a:prstGeom>
                          <a:ln/>
                        </pic:spPr>
                      </pic:pic>
                    </a:graphicData>
                  </a:graphic>
                </wp:inline>
              </w:drawing>
            </w:r>
          </w:p>
        </w:tc>
      </w:tr>
      <w:tr w:rsidR="00244DBD" w:rsidRPr="00244DBD" w14:paraId="45240532" w14:textId="77777777">
        <w:tc>
          <w:tcPr>
            <w:tcW w:w="1251" w:type="dxa"/>
          </w:tcPr>
          <w:p w14:paraId="21F8FFBA" w14:textId="77777777" w:rsidR="00261F9B" w:rsidRPr="00244DBD" w:rsidRDefault="009C3371" w:rsidP="00244DBD">
            <w:pPr>
              <w:jc w:val="center"/>
              <w:rPr>
                <w:rFonts w:ascii="Palatino Linotype" w:eastAsia="Palatino Linotype" w:hAnsi="Palatino Linotype" w:cs="Palatino Linotype"/>
                <w:sz w:val="18"/>
                <w:szCs w:val="18"/>
              </w:rPr>
            </w:pPr>
            <w:r w:rsidRPr="00244DBD">
              <w:rPr>
                <w:rFonts w:ascii="Palatino Linotype" w:eastAsia="Palatino Linotype" w:hAnsi="Palatino Linotype" w:cs="Palatino Linotype"/>
                <w:sz w:val="18"/>
                <w:szCs w:val="18"/>
              </w:rPr>
              <w:lastRenderedPageBreak/>
              <w:t>Referencia que la información se pone a disposición por 60 días</w:t>
            </w:r>
          </w:p>
        </w:tc>
        <w:tc>
          <w:tcPr>
            <w:tcW w:w="7577" w:type="dxa"/>
          </w:tcPr>
          <w:p w14:paraId="687755D0"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noProof/>
              </w:rPr>
              <w:drawing>
                <wp:inline distT="0" distB="0" distL="0" distR="0" wp14:anchorId="3C55E5F2" wp14:editId="4663598B">
                  <wp:extent cx="4674235" cy="928370"/>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674235" cy="928370"/>
                          </a:xfrm>
                          <a:prstGeom prst="rect">
                            <a:avLst/>
                          </a:prstGeom>
                          <a:ln/>
                        </pic:spPr>
                      </pic:pic>
                    </a:graphicData>
                  </a:graphic>
                </wp:inline>
              </w:drawing>
            </w:r>
          </w:p>
        </w:tc>
      </w:tr>
      <w:tr w:rsidR="00244DBD" w:rsidRPr="00244DBD" w14:paraId="424AF6F3" w14:textId="77777777">
        <w:tc>
          <w:tcPr>
            <w:tcW w:w="1251" w:type="dxa"/>
          </w:tcPr>
          <w:p w14:paraId="11E839F1" w14:textId="77777777" w:rsidR="00261F9B" w:rsidRPr="00244DBD" w:rsidRDefault="009C3371" w:rsidP="00244DBD">
            <w:pPr>
              <w:jc w:val="center"/>
              <w:rPr>
                <w:rFonts w:ascii="Palatino Linotype" w:eastAsia="Palatino Linotype" w:hAnsi="Palatino Linotype" w:cs="Palatino Linotype"/>
              </w:rPr>
            </w:pPr>
            <w:r w:rsidRPr="00244DBD">
              <w:rPr>
                <w:rFonts w:ascii="Palatino Linotype" w:eastAsia="Palatino Linotype" w:hAnsi="Palatino Linotype" w:cs="Palatino Linotype"/>
                <w:sz w:val="18"/>
                <w:szCs w:val="18"/>
              </w:rPr>
              <w:t>Registro  de su incidencia ante informática</w:t>
            </w:r>
          </w:p>
        </w:tc>
        <w:tc>
          <w:tcPr>
            <w:tcW w:w="7577" w:type="dxa"/>
          </w:tcPr>
          <w:p w14:paraId="15037FCF" w14:textId="77777777" w:rsidR="00261F9B" w:rsidRPr="00244DBD" w:rsidRDefault="009C3371" w:rsidP="00244DBD">
            <w:pPr>
              <w:spacing w:line="360" w:lineRule="auto"/>
              <w:jc w:val="center"/>
              <w:rPr>
                <w:rFonts w:ascii="Palatino Linotype" w:eastAsia="Palatino Linotype" w:hAnsi="Palatino Linotype" w:cs="Palatino Linotype"/>
              </w:rPr>
            </w:pPr>
            <w:r w:rsidRPr="00244DBD">
              <w:rPr>
                <w:rFonts w:ascii="Palatino Linotype" w:eastAsia="Palatino Linotype" w:hAnsi="Palatino Linotype" w:cs="Palatino Linotype"/>
                <w:noProof/>
              </w:rPr>
              <w:drawing>
                <wp:inline distT="0" distB="0" distL="0" distR="0" wp14:anchorId="6C6F0129" wp14:editId="798C6FA9">
                  <wp:extent cx="3233186" cy="3049572"/>
                  <wp:effectExtent l="0" t="0" r="0" b="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3233186" cy="3049572"/>
                          </a:xfrm>
                          <a:prstGeom prst="rect">
                            <a:avLst/>
                          </a:prstGeom>
                          <a:ln/>
                        </pic:spPr>
                      </pic:pic>
                    </a:graphicData>
                  </a:graphic>
                </wp:inline>
              </w:drawing>
            </w:r>
          </w:p>
        </w:tc>
      </w:tr>
    </w:tbl>
    <w:p w14:paraId="50F09E72" w14:textId="77777777" w:rsidR="00261F9B" w:rsidRPr="00244DBD" w:rsidRDefault="00261F9B" w:rsidP="00244DBD">
      <w:pPr>
        <w:spacing w:line="360" w:lineRule="auto"/>
        <w:jc w:val="both"/>
        <w:rPr>
          <w:rFonts w:ascii="Palatino Linotype" w:eastAsia="Palatino Linotype" w:hAnsi="Palatino Linotype" w:cs="Palatino Linotype"/>
        </w:rPr>
      </w:pPr>
    </w:p>
    <w:p w14:paraId="39FB50E8" w14:textId="77777777" w:rsidR="00261F9B" w:rsidRPr="00244DBD" w:rsidRDefault="009C3371" w:rsidP="00244DBD">
      <w:pPr>
        <w:spacing w:line="360" w:lineRule="auto"/>
        <w:ind w:right="51"/>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Es así que se determina que el cambio de modalidad propuesto por </w:t>
      </w:r>
      <w:r w:rsidRPr="00244DBD">
        <w:rPr>
          <w:rFonts w:ascii="Palatino Linotype" w:eastAsia="Palatino Linotype" w:hAnsi="Palatino Linotype" w:cs="Palatino Linotype"/>
          <w:b/>
        </w:rPr>
        <w:t xml:space="preserve">EL SUJETO OBLIGADO </w:t>
      </w:r>
      <w:r w:rsidRPr="00244DBD">
        <w:rPr>
          <w:rFonts w:ascii="Palatino Linotype" w:eastAsia="Palatino Linotype" w:hAnsi="Palatino Linotype" w:cs="Palatino Linotype"/>
        </w:rPr>
        <w:t xml:space="preserve">cumple con las formalidades establecidas por los ordenamientos en materia de transparencia, tomando en consideración que se hizo del conocimiento de </w:t>
      </w:r>
      <w:r w:rsidRPr="00244DBD">
        <w:rPr>
          <w:rFonts w:ascii="Palatino Linotype" w:eastAsia="Palatino Linotype" w:hAnsi="Palatino Linotype" w:cs="Palatino Linotype"/>
          <w:b/>
        </w:rPr>
        <w:t>LA PARTE RECURRENTE</w:t>
      </w:r>
      <w:r w:rsidRPr="00244DBD">
        <w:rPr>
          <w:rFonts w:ascii="Palatino Linotype" w:eastAsia="Palatino Linotype" w:hAnsi="Palatino Linotype" w:cs="Palatino Linotype"/>
        </w:rPr>
        <w:t xml:space="preserve"> que no sólo pone a disposición la información en Consulta Directa para conocer de la información de su interés, sino también se informó que podía obtenerla mediante copias simples o certificadas además de que se podrá hacer entrega sin costo alguno de la información si la persona proporciona los medios electrónicos u ópticos (USB, dispositivo electrónico, copias certificadas y simples, así como él envió vía correo) </w:t>
      </w:r>
    </w:p>
    <w:p w14:paraId="795BB7C8" w14:textId="77777777" w:rsidR="00261F9B" w:rsidRPr="00244DBD" w:rsidRDefault="00261F9B" w:rsidP="00244DBD">
      <w:pPr>
        <w:spacing w:line="360" w:lineRule="auto"/>
        <w:ind w:right="51"/>
        <w:jc w:val="both"/>
        <w:rPr>
          <w:rFonts w:ascii="Palatino Linotype" w:eastAsia="Palatino Linotype" w:hAnsi="Palatino Linotype" w:cs="Palatino Linotype"/>
        </w:rPr>
      </w:pPr>
    </w:p>
    <w:p w14:paraId="4EA67C40"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Finalmente, si dentro del transcurso del término señalado en el párrafo anterior, </w:t>
      </w:r>
      <w:r w:rsidRPr="00244DBD">
        <w:rPr>
          <w:rFonts w:ascii="Palatino Linotype" w:eastAsia="Palatino Linotype" w:hAnsi="Palatino Linotype" w:cs="Palatino Linotype"/>
          <w:b/>
        </w:rPr>
        <w:t xml:space="preserve">LA PARTE RECURRENTE </w:t>
      </w:r>
      <w:r w:rsidRPr="00244DBD">
        <w:rPr>
          <w:rFonts w:ascii="Palatino Linotype" w:eastAsia="Palatino Linotype" w:hAnsi="Palatino Linotype" w:cs="Palatino Linotype"/>
        </w:rPr>
        <w:t xml:space="preserve">acude por la información,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debe remitir a este Instituto, por conducto de la Secretaría Técnica del Pleno, el acuse de recibo de la información de </w:t>
      </w:r>
      <w:r w:rsidRPr="00244DBD">
        <w:rPr>
          <w:rFonts w:ascii="Palatino Linotype" w:eastAsia="Palatino Linotype" w:hAnsi="Palatino Linotype" w:cs="Palatino Linotype"/>
          <w:b/>
        </w:rPr>
        <w:t>LA PARTE RECURRENTE</w:t>
      </w:r>
      <w:r w:rsidRPr="00244DBD">
        <w:rPr>
          <w:rFonts w:ascii="Palatino Linotype" w:eastAsia="Palatino Linotype" w:hAnsi="Palatino Linotype" w:cs="Palatino Linotype"/>
        </w:rPr>
        <w:t xml:space="preserve">; sin embargo, si una vez fenecido el plazo, el solicitante no acudiera por los documentos ordenados,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mediante acuerdo dará por concluida la solicitud y podrá, de ser el caso, realizar la destrucción del material en el que se reprodujo, situación que también deberá informar a este Instituto, por el mismo conducto.</w:t>
      </w:r>
    </w:p>
    <w:p w14:paraId="63F9822F" w14:textId="77777777" w:rsidR="00261F9B" w:rsidRPr="00244DBD" w:rsidRDefault="00261F9B" w:rsidP="00244DBD">
      <w:pPr>
        <w:spacing w:line="360" w:lineRule="auto"/>
        <w:jc w:val="both"/>
        <w:rPr>
          <w:rFonts w:ascii="Palatino Linotype" w:eastAsia="Palatino Linotype" w:hAnsi="Palatino Linotype" w:cs="Palatino Linotype"/>
        </w:rPr>
      </w:pPr>
    </w:p>
    <w:p w14:paraId="7604243B"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En virtud de todo lo anteriormente expuesto, este Órgano Garante advierte que en el presente caso se actualiza la causal de </w:t>
      </w:r>
      <w:r w:rsidRPr="00244DBD">
        <w:rPr>
          <w:rFonts w:ascii="Palatino Linotype" w:eastAsia="Palatino Linotype" w:hAnsi="Palatino Linotype" w:cs="Palatino Linotype"/>
          <w:b/>
        </w:rPr>
        <w:t>sobreseimiento</w:t>
      </w:r>
      <w:r w:rsidRPr="00244DBD">
        <w:rPr>
          <w:rFonts w:ascii="Palatino Linotype" w:eastAsia="Palatino Linotype" w:hAnsi="Palatino Linotype" w:cs="Palatino Linotype"/>
        </w:rPr>
        <w:t xml:space="preserve"> pues en vía de </w:t>
      </w:r>
      <w:r w:rsidRPr="00244DBD">
        <w:rPr>
          <w:rFonts w:ascii="Palatino Linotype" w:eastAsia="Palatino Linotype" w:hAnsi="Palatino Linotype" w:cs="Palatino Linotype"/>
          <w:b/>
        </w:rPr>
        <w:t xml:space="preserve">informe justificado </w:t>
      </w:r>
      <w:r w:rsidRPr="00244DBD">
        <w:rPr>
          <w:rFonts w:ascii="Palatino Linotype" w:eastAsia="Palatino Linotype" w:hAnsi="Palatino Linotype" w:cs="Palatino Linotype"/>
        </w:rPr>
        <w:t xml:space="preserve">entregó lo solicitado por el particular, dando con ello certeza jurídica a la información remitida; por ello se considera que se actualiza la fracción III del artículo 192 de la Ley de Transparencia y Acceso a la Información Pública del Estado de México y Municipios, que a la letra dice: </w:t>
      </w:r>
    </w:p>
    <w:p w14:paraId="17EEDF80" w14:textId="77777777" w:rsidR="00261F9B" w:rsidRPr="00244DBD" w:rsidRDefault="00261F9B" w:rsidP="00244DBD">
      <w:pPr>
        <w:jc w:val="both"/>
        <w:rPr>
          <w:rFonts w:ascii="Palatino Linotype" w:eastAsia="Palatino Linotype" w:hAnsi="Palatino Linotype" w:cs="Palatino Linotype"/>
        </w:rPr>
      </w:pPr>
    </w:p>
    <w:p w14:paraId="4200F2EA" w14:textId="77777777" w:rsidR="00261F9B" w:rsidRPr="00244DBD" w:rsidRDefault="009C3371" w:rsidP="00244DBD">
      <w:pPr>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w:t>
      </w:r>
      <w:r w:rsidRPr="00244DBD">
        <w:rPr>
          <w:rFonts w:ascii="Palatino Linotype" w:eastAsia="Palatino Linotype" w:hAnsi="Palatino Linotype" w:cs="Palatino Linotype"/>
          <w:b/>
          <w:i/>
          <w:sz w:val="22"/>
          <w:szCs w:val="22"/>
        </w:rPr>
        <w:t xml:space="preserve">Artículo 192. </w:t>
      </w:r>
      <w:r w:rsidRPr="00244DBD">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973C470" w14:textId="77777777" w:rsidR="00261F9B" w:rsidRPr="00244DBD" w:rsidRDefault="009C3371" w:rsidP="00244DBD">
      <w:pPr>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w:t>
      </w:r>
    </w:p>
    <w:p w14:paraId="2943D6D4" w14:textId="77777777" w:rsidR="00261F9B" w:rsidRPr="00244DBD" w:rsidRDefault="009C3371" w:rsidP="00244DBD">
      <w:pPr>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b/>
          <w:i/>
          <w:sz w:val="22"/>
          <w:szCs w:val="22"/>
        </w:rPr>
        <w:t>III.</w:t>
      </w:r>
      <w:r w:rsidRPr="00244DBD">
        <w:rPr>
          <w:rFonts w:ascii="Palatino Linotype" w:eastAsia="Palatino Linotype" w:hAnsi="Palatino Linotype" w:cs="Palatino Linotype"/>
          <w:i/>
          <w:sz w:val="22"/>
          <w:szCs w:val="22"/>
        </w:rPr>
        <w:t xml:space="preserve"> El sujeto obligado responsable del acto lo modifique o revoque de tal manera que el Recurso de Revisión quede sin materia; </w:t>
      </w:r>
    </w:p>
    <w:p w14:paraId="2A954A33" w14:textId="77777777" w:rsidR="00261F9B" w:rsidRPr="00244DBD" w:rsidRDefault="009C3371" w:rsidP="00244DBD">
      <w:pPr>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(Énfasis añadido)</w:t>
      </w:r>
    </w:p>
    <w:p w14:paraId="3C4C4F6F" w14:textId="77777777" w:rsidR="00261F9B" w:rsidRPr="00244DBD" w:rsidRDefault="00261F9B" w:rsidP="00244DBD">
      <w:pPr>
        <w:ind w:left="851" w:right="901"/>
        <w:jc w:val="both"/>
        <w:rPr>
          <w:rFonts w:ascii="Palatino Linotype" w:eastAsia="Palatino Linotype" w:hAnsi="Palatino Linotype" w:cs="Palatino Linotype"/>
          <w:sz w:val="18"/>
          <w:szCs w:val="18"/>
        </w:rPr>
      </w:pPr>
    </w:p>
    <w:p w14:paraId="5690250C" w14:textId="77777777" w:rsidR="00261F9B" w:rsidRPr="00244DBD" w:rsidRDefault="00261F9B" w:rsidP="00244DBD">
      <w:pPr>
        <w:spacing w:line="360" w:lineRule="auto"/>
        <w:jc w:val="both"/>
        <w:rPr>
          <w:rFonts w:ascii="Palatino Linotype" w:eastAsia="Palatino Linotype" w:hAnsi="Palatino Linotype" w:cs="Palatino Linotype"/>
        </w:rPr>
      </w:pPr>
    </w:p>
    <w:p w14:paraId="72EA2163"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Por analogía, se cita la Tesis emitida por el Séptimo Tribunal Colegiado en Materia Civil del Primer Circuito que, en su literalidad, establece lo siguiente:</w:t>
      </w:r>
    </w:p>
    <w:p w14:paraId="1B0FBF9D" w14:textId="77777777" w:rsidR="00261F9B" w:rsidRPr="00244DBD" w:rsidRDefault="00261F9B" w:rsidP="00244DBD">
      <w:pPr>
        <w:ind w:right="992"/>
        <w:jc w:val="both"/>
        <w:rPr>
          <w:rFonts w:ascii="Palatino Linotype" w:eastAsia="Palatino Linotype" w:hAnsi="Palatino Linotype" w:cs="Palatino Linotype"/>
        </w:rPr>
      </w:pPr>
    </w:p>
    <w:p w14:paraId="4636AC32" w14:textId="77777777" w:rsidR="00261F9B" w:rsidRPr="00244DBD" w:rsidRDefault="009C3371" w:rsidP="00244DBD">
      <w:pPr>
        <w:ind w:left="851" w:right="1133"/>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b/>
          <w:i/>
          <w:sz w:val="22"/>
          <w:szCs w:val="22"/>
        </w:rPr>
        <w:t xml:space="preserve">“SOBRESEIMIENTO EN EL JUICIO DE AMPARO DIRECTO. IMPIDE EL ESTUDIO DE LAS VIOLACIONES PROCESALES PLANTEADAS EN LOS CONCEPTOS DE VIOLACIÓN. </w:t>
      </w:r>
      <w:r w:rsidRPr="00244DBD">
        <w:rPr>
          <w:rFonts w:ascii="Palatino Linotype" w:eastAsia="Palatino Linotype" w:hAnsi="Palatino Linotype" w:cs="Palatino Linotype"/>
          <w:i/>
          <w:sz w:val="22"/>
          <w:szCs w:val="22"/>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A78E2EA" w14:textId="77777777" w:rsidR="00261F9B" w:rsidRPr="00244DBD" w:rsidRDefault="00261F9B" w:rsidP="00244DBD">
      <w:pPr>
        <w:ind w:left="709" w:right="992"/>
        <w:jc w:val="both"/>
        <w:rPr>
          <w:rFonts w:ascii="Palatino Linotype" w:eastAsia="Palatino Linotype" w:hAnsi="Palatino Linotype" w:cs="Palatino Linotype"/>
          <w:i/>
          <w:sz w:val="22"/>
          <w:szCs w:val="22"/>
        </w:rPr>
      </w:pPr>
    </w:p>
    <w:p w14:paraId="4AA6024D" w14:textId="77777777" w:rsidR="00261F9B" w:rsidRPr="00244DBD" w:rsidRDefault="009C3371" w:rsidP="00244DBD">
      <w:pPr>
        <w:ind w:left="851" w:right="1133"/>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SÉPTIMO TRIBUNAL COLEGIADO EN MATERIA CIVIL DEL PRIMER CIRCUITO.</w:t>
      </w:r>
    </w:p>
    <w:p w14:paraId="5DB30EE6" w14:textId="77777777" w:rsidR="00261F9B" w:rsidRPr="00244DBD" w:rsidRDefault="009C3371" w:rsidP="00244DBD">
      <w:pPr>
        <w:ind w:left="851" w:right="1133"/>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394F7FF9" w14:textId="77777777" w:rsidR="00261F9B" w:rsidRPr="00244DBD" w:rsidRDefault="00261F9B" w:rsidP="00244DBD">
      <w:pPr>
        <w:ind w:left="709" w:right="992"/>
        <w:jc w:val="both"/>
        <w:rPr>
          <w:rFonts w:ascii="Palatino Linotype" w:eastAsia="Palatino Linotype" w:hAnsi="Palatino Linotype" w:cs="Palatino Linotype"/>
          <w:i/>
        </w:rPr>
      </w:pPr>
    </w:p>
    <w:p w14:paraId="39ED34F2" w14:textId="77777777" w:rsidR="00261F9B" w:rsidRPr="00244DBD" w:rsidRDefault="009C3371" w:rsidP="00244DBD">
      <w:pPr>
        <w:widowControl w:val="0"/>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En consecuencia, se determina </w:t>
      </w:r>
      <w:r w:rsidRPr="00244DBD">
        <w:rPr>
          <w:rFonts w:ascii="Palatino Linotype" w:eastAsia="Palatino Linotype" w:hAnsi="Palatino Linotype" w:cs="Palatino Linotype"/>
          <w:b/>
        </w:rPr>
        <w:t>SOBRESEER</w:t>
      </w:r>
      <w:r w:rsidRPr="00244DBD">
        <w:rPr>
          <w:rFonts w:ascii="Palatino Linotype" w:eastAsia="Palatino Linotype" w:hAnsi="Palatino Linotype" w:cs="Palatino Linotype"/>
        </w:rPr>
        <w:t xml:space="preserve"> el presente Recurso de Revisión, en términos del artículo 186, fracción I, de la Ley de Transparencia y Acceso a la Información Pública del Estado de México y Municipios:</w:t>
      </w:r>
    </w:p>
    <w:p w14:paraId="5C14F850" w14:textId="77777777" w:rsidR="00261F9B" w:rsidRPr="00244DBD" w:rsidRDefault="00261F9B" w:rsidP="00244DBD">
      <w:pPr>
        <w:widowControl w:val="0"/>
        <w:jc w:val="both"/>
        <w:rPr>
          <w:rFonts w:ascii="Palatino Linotype" w:eastAsia="Palatino Linotype" w:hAnsi="Palatino Linotype" w:cs="Palatino Linotype"/>
        </w:rPr>
      </w:pPr>
    </w:p>
    <w:p w14:paraId="2B86EB15" w14:textId="77777777" w:rsidR="00261F9B" w:rsidRPr="00244DBD" w:rsidRDefault="009C3371" w:rsidP="00244DBD">
      <w:pPr>
        <w:tabs>
          <w:tab w:val="left" w:pos="851"/>
        </w:tabs>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w:t>
      </w:r>
      <w:r w:rsidRPr="00244DBD">
        <w:rPr>
          <w:rFonts w:ascii="Palatino Linotype" w:eastAsia="Palatino Linotype" w:hAnsi="Palatino Linotype" w:cs="Palatino Linotype"/>
          <w:b/>
          <w:i/>
          <w:sz w:val="22"/>
          <w:szCs w:val="22"/>
        </w:rPr>
        <w:t xml:space="preserve">Artículo 186. </w:t>
      </w:r>
      <w:r w:rsidRPr="00244DBD">
        <w:rPr>
          <w:rFonts w:ascii="Palatino Linotype" w:eastAsia="Palatino Linotype" w:hAnsi="Palatino Linotype" w:cs="Palatino Linotype"/>
          <w:b/>
          <w:i/>
          <w:sz w:val="22"/>
          <w:szCs w:val="22"/>
          <w:u w:val="single"/>
        </w:rPr>
        <w:t>Las resoluciones del Instituto podrán</w:t>
      </w:r>
      <w:r w:rsidRPr="00244DBD">
        <w:rPr>
          <w:rFonts w:ascii="Palatino Linotype" w:eastAsia="Palatino Linotype" w:hAnsi="Palatino Linotype" w:cs="Palatino Linotype"/>
          <w:i/>
          <w:sz w:val="22"/>
          <w:szCs w:val="22"/>
        </w:rPr>
        <w:t xml:space="preserve">: </w:t>
      </w:r>
    </w:p>
    <w:p w14:paraId="71F54C2F" w14:textId="77777777" w:rsidR="00261F9B" w:rsidRPr="00244DBD" w:rsidRDefault="009C3371" w:rsidP="00244DBD">
      <w:pPr>
        <w:tabs>
          <w:tab w:val="left" w:pos="851"/>
        </w:tabs>
        <w:ind w:left="851" w:right="901"/>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b/>
          <w:i/>
          <w:sz w:val="22"/>
          <w:szCs w:val="22"/>
        </w:rPr>
        <w:t xml:space="preserve">I. </w:t>
      </w:r>
      <w:r w:rsidRPr="00244DBD">
        <w:rPr>
          <w:rFonts w:ascii="Palatino Linotype" w:eastAsia="Palatino Linotype" w:hAnsi="Palatino Linotype" w:cs="Palatino Linotype"/>
          <w:i/>
          <w:sz w:val="22"/>
          <w:szCs w:val="22"/>
        </w:rPr>
        <w:t xml:space="preserve">Desechar o </w:t>
      </w:r>
      <w:r w:rsidRPr="00244DBD">
        <w:rPr>
          <w:rFonts w:ascii="Palatino Linotype" w:eastAsia="Palatino Linotype" w:hAnsi="Palatino Linotype" w:cs="Palatino Linotype"/>
          <w:b/>
          <w:i/>
          <w:sz w:val="22"/>
          <w:szCs w:val="22"/>
          <w:u w:val="single"/>
        </w:rPr>
        <w:t>sobreseer el recurso</w:t>
      </w:r>
      <w:r w:rsidRPr="00244DBD">
        <w:rPr>
          <w:rFonts w:ascii="Palatino Linotype" w:eastAsia="Palatino Linotype" w:hAnsi="Palatino Linotype" w:cs="Palatino Linotype"/>
          <w:i/>
          <w:sz w:val="22"/>
          <w:szCs w:val="22"/>
        </w:rPr>
        <w:t xml:space="preserve">;” </w:t>
      </w:r>
    </w:p>
    <w:p w14:paraId="6A7892D2" w14:textId="77777777" w:rsidR="00261F9B" w:rsidRPr="00244DBD" w:rsidRDefault="009C3371" w:rsidP="00244DBD">
      <w:pPr>
        <w:tabs>
          <w:tab w:val="left" w:pos="851"/>
        </w:tabs>
        <w:ind w:left="851" w:right="901"/>
        <w:jc w:val="both"/>
        <w:rPr>
          <w:rFonts w:ascii="Palatino Linotype" w:eastAsia="Palatino Linotype" w:hAnsi="Palatino Linotype" w:cs="Palatino Linotype"/>
          <w:sz w:val="22"/>
          <w:szCs w:val="22"/>
        </w:rPr>
      </w:pPr>
      <w:r w:rsidRPr="00244DBD">
        <w:rPr>
          <w:rFonts w:ascii="Palatino Linotype" w:eastAsia="Palatino Linotype" w:hAnsi="Palatino Linotype" w:cs="Palatino Linotype"/>
          <w:sz w:val="22"/>
          <w:szCs w:val="22"/>
        </w:rPr>
        <w:t>(Énfasis añadido)</w:t>
      </w:r>
    </w:p>
    <w:p w14:paraId="2EA563EC" w14:textId="77777777" w:rsidR="00261F9B" w:rsidRPr="00244DBD" w:rsidRDefault="009C3371" w:rsidP="00244DBD">
      <w:pPr>
        <w:spacing w:before="240"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Además,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deberá hacer del conocimiento a la parte </w:t>
      </w:r>
      <w:r w:rsidRPr="00244DBD">
        <w:rPr>
          <w:rFonts w:ascii="Palatino Linotype" w:eastAsia="Palatino Linotype" w:hAnsi="Palatino Linotype" w:cs="Palatino Linotype"/>
          <w:b/>
        </w:rPr>
        <w:t>Recurrente</w:t>
      </w:r>
      <w:r w:rsidRPr="00244DBD">
        <w:rPr>
          <w:rFonts w:ascii="Palatino Linotype" w:eastAsia="Palatino Linotype" w:hAnsi="Palatino Linotype" w:cs="Palatino Linotype"/>
        </w:rPr>
        <w:t xml:space="preserve"> que la información estará disponible para su consulta, por un plazo mínimo de sesenta días naturales, mismo plazo que </w:t>
      </w:r>
      <w:r w:rsidRPr="00244DBD">
        <w:rPr>
          <w:rFonts w:ascii="Palatino Linotype" w:eastAsia="Palatino Linotype" w:hAnsi="Palatino Linotype" w:cs="Palatino Linotype"/>
          <w:b/>
        </w:rPr>
        <w:t>deberá computarse posterior a la notificación de la presente resolución</w:t>
      </w:r>
      <w:r w:rsidRPr="00244DBD">
        <w:rPr>
          <w:rFonts w:ascii="Palatino Linotype" w:eastAsia="Palatino Linotype" w:hAnsi="Palatino Linotype" w:cs="Palatino Linotype"/>
        </w:rPr>
        <w:t xml:space="preserve"> en términos del segundo párrafo del artículo 166 de la Ley de Transparencia y Acceso a la Información Pública del Estado de México y Municipios.</w:t>
      </w:r>
    </w:p>
    <w:p w14:paraId="19F72236" w14:textId="77777777" w:rsidR="00261F9B" w:rsidRPr="00244DBD" w:rsidRDefault="009C3371" w:rsidP="00244DBD">
      <w:pPr>
        <w:spacing w:before="240"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lastRenderedPageBreak/>
        <w:t xml:space="preserve">Si dentro del transcurso del término señalado en el párrafo anterior, </w:t>
      </w:r>
      <w:r w:rsidRPr="00244DBD">
        <w:rPr>
          <w:rFonts w:ascii="Palatino Linotype" w:eastAsia="Palatino Linotype" w:hAnsi="Palatino Linotype" w:cs="Palatino Linotype"/>
          <w:b/>
        </w:rPr>
        <w:t>la parte RECURRENTE acude por la información,</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EL SUJETO OBLIGADO</w:t>
      </w:r>
      <w:r w:rsidRPr="00244DBD">
        <w:rPr>
          <w:rFonts w:ascii="Palatino Linotype" w:eastAsia="Palatino Linotype" w:hAnsi="Palatino Linotype" w:cs="Palatino Linotype"/>
        </w:rPr>
        <w:t xml:space="preserve"> levantará un acta de hechos misma que debe ser remitida a este Instituto, por conducto de la Secretaría Técnica del Pleno, junto con el acuse de recibo de la información; sin embargo, si una vez fenecido el plazo, no acudiera por los documentos ordenados, el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xml:space="preserve">, mediante acuerdo </w:t>
      </w:r>
      <w:r w:rsidRPr="00244DBD">
        <w:rPr>
          <w:rFonts w:ascii="Palatino Linotype" w:eastAsia="Palatino Linotype" w:hAnsi="Palatino Linotype" w:cs="Palatino Linotype"/>
          <w:b/>
        </w:rPr>
        <w:t>dará por concluida la solicitud</w:t>
      </w:r>
      <w:r w:rsidRPr="00244DBD">
        <w:rPr>
          <w:rFonts w:ascii="Palatino Linotype" w:eastAsia="Palatino Linotype" w:hAnsi="Palatino Linotype" w:cs="Palatino Linotype"/>
        </w:rPr>
        <w:t xml:space="preserve"> y podrá, de ser el caso, realizar la destrucción del material en el que se reprodujo, situación que también deberá informar a este Instituto, por el mismo conducto.</w:t>
      </w:r>
    </w:p>
    <w:p w14:paraId="38E8446A" w14:textId="77777777" w:rsidR="00261F9B" w:rsidRPr="00244DBD" w:rsidRDefault="009C3371" w:rsidP="00244DBD">
      <w:pPr>
        <w:spacing w:line="360" w:lineRule="auto"/>
        <w:ind w:right="51"/>
        <w:jc w:val="both"/>
        <w:rPr>
          <w:rFonts w:ascii="Palatino Linotype" w:eastAsia="Palatino Linotype" w:hAnsi="Palatino Linotype" w:cs="Palatino Linotype"/>
        </w:rPr>
      </w:pPr>
      <w:r w:rsidRPr="00244DBD">
        <w:rPr>
          <w:rFonts w:ascii="Palatino Linotype" w:eastAsia="Palatino Linotype" w:hAnsi="Palatino Linotype" w:cs="Palatino Linotype"/>
        </w:rPr>
        <w:t>Ahora bien, por cuánto hace a la solicitud de información 02385/TOLUCA/IP/2023, esta versa de la siguiente manera:</w:t>
      </w:r>
    </w:p>
    <w:p w14:paraId="41956555" w14:textId="77777777" w:rsidR="00261F9B" w:rsidRPr="00244DBD" w:rsidRDefault="00261F9B" w:rsidP="00244DBD">
      <w:pPr>
        <w:spacing w:line="360" w:lineRule="auto"/>
        <w:ind w:right="51"/>
        <w:jc w:val="both"/>
        <w:rPr>
          <w:rFonts w:ascii="Palatino Linotype" w:eastAsia="Palatino Linotype" w:hAnsi="Palatino Linotype" w:cs="Palatino Linotype"/>
        </w:rPr>
      </w:pPr>
    </w:p>
    <w:tbl>
      <w:tblPr>
        <w:tblStyle w:val="a3"/>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523"/>
      </w:tblGrid>
      <w:tr w:rsidR="00244DBD" w:rsidRPr="00244DBD" w14:paraId="3E66E788" w14:textId="77777777">
        <w:trPr>
          <w:trHeight w:val="315"/>
          <w:tblHeade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4A452A"/>
          </w:tcPr>
          <w:p w14:paraId="1B5D4B04" w14:textId="77777777" w:rsidR="00261F9B" w:rsidRPr="00244DBD" w:rsidRDefault="009C3371" w:rsidP="00244DBD">
            <w:pPr>
              <w:jc w:val="center"/>
              <w:rPr>
                <w:rFonts w:ascii="Palatino Linotype" w:eastAsia="Palatino Linotype" w:hAnsi="Palatino Linotype" w:cs="Palatino Linotype"/>
                <w:b/>
              </w:rPr>
            </w:pPr>
            <w:r w:rsidRPr="00244DBD">
              <w:rPr>
                <w:rFonts w:ascii="Palatino Linotype" w:eastAsia="Palatino Linotype" w:hAnsi="Palatino Linotype" w:cs="Palatino Linotype"/>
                <w:b/>
              </w:rPr>
              <w:t xml:space="preserve">Folio </w:t>
            </w:r>
          </w:p>
        </w:tc>
        <w:tc>
          <w:tcPr>
            <w:tcW w:w="5523" w:type="dxa"/>
            <w:tcBorders>
              <w:left w:val="single" w:sz="4" w:space="0" w:color="000000"/>
            </w:tcBorders>
            <w:shd w:val="clear" w:color="auto" w:fill="4A452A"/>
          </w:tcPr>
          <w:p w14:paraId="6513A9D3" w14:textId="77777777" w:rsidR="00261F9B" w:rsidRPr="00244DBD" w:rsidRDefault="009C3371" w:rsidP="00244DBD">
            <w:pPr>
              <w:jc w:val="center"/>
              <w:rPr>
                <w:rFonts w:ascii="Palatino Linotype" w:eastAsia="Palatino Linotype" w:hAnsi="Palatino Linotype" w:cs="Palatino Linotype"/>
                <w:b/>
              </w:rPr>
            </w:pPr>
            <w:r w:rsidRPr="00244DBD">
              <w:rPr>
                <w:rFonts w:ascii="Palatino Linotype" w:eastAsia="Palatino Linotype" w:hAnsi="Palatino Linotype" w:cs="Palatino Linotype"/>
                <w:b/>
                <w:sz w:val="24"/>
                <w:szCs w:val="24"/>
              </w:rPr>
              <w:t xml:space="preserve">Solicitud </w:t>
            </w:r>
          </w:p>
        </w:tc>
      </w:tr>
      <w:tr w:rsidR="00261F9B" w:rsidRPr="00244DBD" w14:paraId="1C05FA3C" w14:textId="77777777">
        <w:trPr>
          <w:trHeight w:val="631"/>
          <w:jc w:val="center"/>
        </w:trPr>
        <w:tc>
          <w:tcPr>
            <w:tcW w:w="2977" w:type="dxa"/>
            <w:tcBorders>
              <w:top w:val="single" w:sz="4" w:space="0" w:color="000000"/>
              <w:bottom w:val="single" w:sz="4" w:space="0" w:color="000000"/>
            </w:tcBorders>
            <w:shd w:val="clear" w:color="auto" w:fill="auto"/>
          </w:tcPr>
          <w:p w14:paraId="0CCD2B1E" w14:textId="77777777" w:rsidR="00261F9B" w:rsidRPr="00244DBD" w:rsidRDefault="009C3371" w:rsidP="00244DBD">
            <w:pPr>
              <w:rPr>
                <w:rFonts w:ascii="Palatino Linotype" w:eastAsia="Palatino Linotype" w:hAnsi="Palatino Linotype" w:cs="Palatino Linotype"/>
                <w:b/>
              </w:rPr>
            </w:pPr>
            <w:r w:rsidRPr="00244DBD">
              <w:rPr>
                <w:rFonts w:ascii="Palatino Linotype" w:eastAsia="Palatino Linotype" w:hAnsi="Palatino Linotype" w:cs="Palatino Linotype"/>
                <w:b/>
              </w:rPr>
              <w:t>04398/INFOEM/IP/RR/2023</w:t>
            </w:r>
          </w:p>
        </w:tc>
        <w:tc>
          <w:tcPr>
            <w:tcW w:w="5523" w:type="dxa"/>
            <w:shd w:val="clear" w:color="auto" w:fill="auto"/>
          </w:tcPr>
          <w:p w14:paraId="35FBE827" w14:textId="77777777" w:rsidR="00261F9B" w:rsidRPr="00244DBD" w:rsidRDefault="009C3371" w:rsidP="00244DBD">
            <w:pPr>
              <w:jc w:val="both"/>
              <w:rPr>
                <w:rFonts w:ascii="Palatino Linotype" w:eastAsia="Palatino Linotype" w:hAnsi="Palatino Linotype" w:cs="Palatino Linotype"/>
                <w:i/>
              </w:rPr>
            </w:pPr>
            <w:r w:rsidRPr="00244DBD">
              <w:rPr>
                <w:rFonts w:ascii="Palatino Linotype" w:eastAsia="Palatino Linotype" w:hAnsi="Palatino Linotype" w:cs="Palatino Linotype"/>
                <w:i/>
              </w:rPr>
              <w:t>“solicito todos los oficios signados por el coordinador de apoyo técnico de la dirección de administración de febrero 2022.” (Sic)</w:t>
            </w:r>
          </w:p>
        </w:tc>
      </w:tr>
    </w:tbl>
    <w:p w14:paraId="2C5D9003" w14:textId="77777777" w:rsidR="00261F9B" w:rsidRPr="00244DBD" w:rsidRDefault="00261F9B" w:rsidP="00244DBD">
      <w:pPr>
        <w:spacing w:line="360" w:lineRule="auto"/>
        <w:ind w:right="51"/>
        <w:jc w:val="both"/>
        <w:rPr>
          <w:rFonts w:ascii="Palatino Linotype" w:eastAsia="Palatino Linotype" w:hAnsi="Palatino Linotype" w:cs="Palatino Linotype"/>
        </w:rPr>
      </w:pPr>
    </w:p>
    <w:p w14:paraId="1C6A901E" w14:textId="77777777" w:rsidR="00261F9B" w:rsidRPr="00244DBD" w:rsidRDefault="009C3371" w:rsidP="00244DBD">
      <w:pPr>
        <w:spacing w:line="360" w:lineRule="auto"/>
        <w:ind w:right="51"/>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 esta solicitud, el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xml:space="preserve"> respondió de la siguiente manera:</w:t>
      </w:r>
    </w:p>
    <w:p w14:paraId="3F279E3F" w14:textId="77777777" w:rsidR="00261F9B" w:rsidRPr="00244DBD" w:rsidRDefault="00261F9B" w:rsidP="00244DBD">
      <w:pPr>
        <w:spacing w:line="360" w:lineRule="auto"/>
        <w:ind w:right="51"/>
        <w:jc w:val="both"/>
        <w:rPr>
          <w:rFonts w:ascii="Palatino Linotype" w:eastAsia="Palatino Linotype" w:hAnsi="Palatino Linotype" w:cs="Palatino Linotype"/>
        </w:rPr>
      </w:pPr>
    </w:p>
    <w:p w14:paraId="6DEEBE6F" w14:textId="77777777" w:rsidR="00261F9B" w:rsidRPr="00244DBD" w:rsidRDefault="009C3371" w:rsidP="00244DBD">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Respuesta 2385.pdf:</w:t>
      </w:r>
      <w:r w:rsidRPr="00244DBD">
        <w:rPr>
          <w:rFonts w:ascii="Palatino Linotype" w:eastAsia="Palatino Linotype" w:hAnsi="Palatino Linotype" w:cs="Palatino Linotype"/>
        </w:rPr>
        <w:t xml:space="preserve"> consta del oficio signado por la Titular de la Unidad de Transparencia del siete de agosto de dos mil veintitrés, mediante el que informa que la Dirección General de Administración y Servidor Público Habilitado, informó que hace </w:t>
      </w:r>
      <w:r w:rsidRPr="00244DBD">
        <w:rPr>
          <w:rFonts w:ascii="Palatino Linotype" w:eastAsia="Palatino Linotype" w:hAnsi="Palatino Linotype" w:cs="Palatino Linotype"/>
          <w:b/>
        </w:rPr>
        <w:t>entrega de todos los oficios en versión que obran en su archivo y que fueron signados por la entonces coordinadora de apoyo técnico de la Dirección General de Administración durante el mes de febrero de dos mil veintidós</w:t>
      </w:r>
      <w:r w:rsidRPr="00244DBD">
        <w:rPr>
          <w:rFonts w:ascii="Palatino Linotype" w:eastAsia="Palatino Linotype" w:hAnsi="Palatino Linotype" w:cs="Palatino Linotype"/>
        </w:rPr>
        <w:t xml:space="preserve">, asimismo remite Acuerdo número AT/CT/01/2023, aprobado en </w:t>
      </w:r>
      <w:r w:rsidRPr="00244DBD">
        <w:rPr>
          <w:rFonts w:ascii="Palatino Linotype" w:eastAsia="Palatino Linotype" w:hAnsi="Palatino Linotype" w:cs="Palatino Linotype"/>
        </w:rPr>
        <w:lastRenderedPageBreak/>
        <w:t>la Sexcentésima Tercera Sesión Extraordinaria del Comité de Transparencia, cabe precisar que no adjunta dicha acta.</w:t>
      </w:r>
    </w:p>
    <w:p w14:paraId="7B0CA992" w14:textId="77777777" w:rsidR="00261F9B" w:rsidRPr="00244DBD" w:rsidRDefault="00261F9B" w:rsidP="00244DBD">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FD252FB" w14:textId="77777777" w:rsidR="00261F9B" w:rsidRPr="00244DBD" w:rsidRDefault="009C3371" w:rsidP="00244DBD">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 xml:space="preserve">oficios CAT febrero 2022 vp.pdf: </w:t>
      </w:r>
      <w:r w:rsidRPr="00244DBD">
        <w:rPr>
          <w:rFonts w:ascii="Palatino Linotype" w:eastAsia="Palatino Linotype" w:hAnsi="Palatino Linotype" w:cs="Palatino Linotype"/>
        </w:rPr>
        <w:t xml:space="preserve">consta de 238 documentales del mes de febrero de dos mil veintitrés, signado por la Coordinadora de Apoyo Técnico. </w:t>
      </w:r>
    </w:p>
    <w:p w14:paraId="32C63449" w14:textId="77777777" w:rsidR="00261F9B" w:rsidRPr="00244DBD" w:rsidRDefault="00261F9B" w:rsidP="00244DBD">
      <w:pPr>
        <w:spacing w:line="360" w:lineRule="auto"/>
        <w:ind w:right="49"/>
        <w:jc w:val="both"/>
        <w:rPr>
          <w:rFonts w:ascii="Palatino Linotype" w:eastAsia="Palatino Linotype" w:hAnsi="Palatino Linotype" w:cs="Palatino Linotype"/>
        </w:rPr>
      </w:pPr>
    </w:p>
    <w:p w14:paraId="78D0AAD5" w14:textId="73D27891" w:rsidR="00261F9B" w:rsidRPr="00244DBD" w:rsidRDefault="009C3371" w:rsidP="00244DBD">
      <w:pPr>
        <w:widowControl w:val="0"/>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De lo anterior se advierte que el Sujeto Obligado a través de la Dirección General de Administración y Servidor Público Habilitado, informó que hace entrega de 238 oficios que obran en su archivo y que fueron signados por la entonces coordinadora de apoyo técnico durante el mes de febrero de dos mil veintidós</w:t>
      </w:r>
      <w:r w:rsidR="00A5594A" w:rsidRPr="00244DBD">
        <w:rPr>
          <w:rFonts w:ascii="Palatino Linotype" w:eastAsia="Palatino Linotype" w:hAnsi="Palatino Linotype" w:cs="Palatino Linotype"/>
        </w:rPr>
        <w:t>.</w:t>
      </w:r>
    </w:p>
    <w:p w14:paraId="7836B72B" w14:textId="440E3ECC" w:rsidR="00261F9B" w:rsidRPr="00244DBD" w:rsidRDefault="00261F9B" w:rsidP="00244DBD">
      <w:pPr>
        <w:widowControl w:val="0"/>
        <w:spacing w:line="360" w:lineRule="auto"/>
        <w:jc w:val="center"/>
        <w:rPr>
          <w:rFonts w:ascii="Palatino Linotype" w:eastAsia="Palatino Linotype" w:hAnsi="Palatino Linotype" w:cs="Palatino Linotype"/>
        </w:rPr>
      </w:pPr>
    </w:p>
    <w:p w14:paraId="266FA479" w14:textId="5137F283" w:rsidR="00A5594A" w:rsidRPr="00244DBD" w:rsidRDefault="009C3371"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Posteriormente, el particular se inconformó de las respuestas proporcionadas por el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señalando que omiten la entrega de información, se saltan los números de oficio y no hay fundamento del porque los quitaron en su caso</w:t>
      </w:r>
      <w:r w:rsidR="00A5594A" w:rsidRPr="00244DBD">
        <w:rPr>
          <w:rFonts w:ascii="Palatino Linotype" w:eastAsia="Palatino Linotype" w:hAnsi="Palatino Linotype" w:cs="Palatino Linotype"/>
        </w:rPr>
        <w:t>.</w:t>
      </w:r>
    </w:p>
    <w:p w14:paraId="6A5F6307" w14:textId="686702C5" w:rsidR="00A5594A" w:rsidRPr="00244DBD" w:rsidRDefault="00A5594A" w:rsidP="00244DBD">
      <w:pPr>
        <w:spacing w:line="360" w:lineRule="auto"/>
        <w:ind w:right="49"/>
        <w:jc w:val="both"/>
        <w:rPr>
          <w:rFonts w:ascii="Palatino Linotype" w:eastAsia="Palatino Linotype" w:hAnsi="Palatino Linotype" w:cs="Palatino Linotype"/>
        </w:rPr>
      </w:pPr>
    </w:p>
    <w:p w14:paraId="52E229BD" w14:textId="15A10F30" w:rsidR="00A5594A" w:rsidRPr="00244DBD" w:rsidRDefault="00EF0985" w:rsidP="00244DBD">
      <w:pPr>
        <w:spacing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Sin que pase desapercibido que la repuesta otorgada fue ratificada en vía de informe justificado.</w:t>
      </w:r>
    </w:p>
    <w:p w14:paraId="5ED061BA" w14:textId="7B420CBC" w:rsidR="00EF0985" w:rsidRPr="00244DBD" w:rsidRDefault="00EF0985" w:rsidP="00244DBD">
      <w:pPr>
        <w:spacing w:line="360" w:lineRule="auto"/>
        <w:ind w:right="49"/>
        <w:jc w:val="both"/>
        <w:rPr>
          <w:rFonts w:ascii="Palatino Linotype" w:eastAsia="Palatino Linotype" w:hAnsi="Palatino Linotype" w:cs="Palatino Linotype"/>
        </w:rPr>
      </w:pPr>
    </w:p>
    <w:p w14:paraId="2FEF8547" w14:textId="20917BE0" w:rsidR="00EF0985" w:rsidRPr="00244DBD" w:rsidRDefault="00EF0985" w:rsidP="00244DBD">
      <w:pPr>
        <w:spacing w:line="360" w:lineRule="auto"/>
        <w:ind w:right="49"/>
        <w:jc w:val="both"/>
        <w:rPr>
          <w:rFonts w:ascii="Palatino Linotype" w:eastAsia="Palatino Linotype" w:hAnsi="Palatino Linotype" w:cs="Palatino Linotype"/>
          <w:bCs/>
        </w:rPr>
      </w:pPr>
      <w:r w:rsidRPr="00244DBD">
        <w:rPr>
          <w:rFonts w:ascii="Palatino Linotype" w:eastAsia="Palatino Linotype" w:hAnsi="Palatino Linotype" w:cs="Palatino Linotype"/>
        </w:rPr>
        <w:t xml:space="preserve">Ahora bien, debe decirse que de una revisión integral del documento </w:t>
      </w:r>
      <w:r w:rsidRPr="00244DBD">
        <w:rPr>
          <w:rFonts w:ascii="Palatino Linotype" w:eastAsia="Palatino Linotype" w:hAnsi="Palatino Linotype" w:cs="Palatino Linotype"/>
          <w:b/>
        </w:rPr>
        <w:t xml:space="preserve">oficios CAT febrero 2022 vp.pdf </w:t>
      </w:r>
      <w:r w:rsidRPr="00244DBD">
        <w:rPr>
          <w:rFonts w:ascii="Palatino Linotype" w:eastAsia="Palatino Linotype" w:hAnsi="Palatino Linotype" w:cs="Palatino Linotype"/>
          <w:bCs/>
        </w:rPr>
        <w:t xml:space="preserve">se advierte que este cuenta con la cantidad de oficios numerados del 171 al 375, todos del mes de febrero, sin </w:t>
      </w:r>
      <w:r w:rsidR="00543539" w:rsidRPr="00244DBD">
        <w:rPr>
          <w:rFonts w:ascii="Palatino Linotype" w:eastAsia="Palatino Linotype" w:hAnsi="Palatino Linotype" w:cs="Palatino Linotype"/>
          <w:bCs/>
        </w:rPr>
        <w:t>embargo,</w:t>
      </w:r>
      <w:r w:rsidRPr="00244DBD">
        <w:rPr>
          <w:rFonts w:ascii="Palatino Linotype" w:eastAsia="Palatino Linotype" w:hAnsi="Palatino Linotype" w:cs="Palatino Linotype"/>
          <w:bCs/>
        </w:rPr>
        <w:t xml:space="preserve"> omite la entrega del oficio 233, pues en su lugar entrega el 223, por ello es que hace falta dicho oficio; además de que, relativo a la versión pública de dichos oficios, se advierte testados los oficios </w:t>
      </w:r>
      <w:r w:rsidR="00543539" w:rsidRPr="00244DBD">
        <w:rPr>
          <w:rFonts w:ascii="Palatino Linotype" w:eastAsia="Palatino Linotype" w:hAnsi="Palatino Linotype" w:cs="Palatino Linotype"/>
          <w:bCs/>
        </w:rPr>
        <w:t xml:space="preserve">No. 2060100001/0303/2022 y No. 2060100001/0304/2022 </w:t>
      </w:r>
      <w:r w:rsidRPr="00244DBD">
        <w:rPr>
          <w:rFonts w:ascii="Palatino Linotype" w:eastAsia="Palatino Linotype" w:hAnsi="Palatino Linotype" w:cs="Palatino Linotype"/>
          <w:bCs/>
        </w:rPr>
        <w:t xml:space="preserve">del archivo mencionado relativo a </w:t>
      </w:r>
      <w:r w:rsidRPr="00244DBD">
        <w:rPr>
          <w:rFonts w:ascii="Palatino Linotype" w:eastAsia="Palatino Linotype" w:hAnsi="Palatino Linotype" w:cs="Palatino Linotype"/>
          <w:bCs/>
        </w:rPr>
        <w:lastRenderedPageBreak/>
        <w:t xml:space="preserve">nombre y número de filiación de una persona que dio baja ante el </w:t>
      </w:r>
      <w:r w:rsidR="00AB2502" w:rsidRPr="00244DBD">
        <w:rPr>
          <w:rFonts w:ascii="Palatino Linotype" w:eastAsia="Palatino Linotype" w:hAnsi="Palatino Linotype" w:cs="Palatino Linotype"/>
          <w:bCs/>
        </w:rPr>
        <w:t>ISSEMYM</w:t>
      </w:r>
      <w:r w:rsidR="00543539" w:rsidRPr="00244DBD">
        <w:rPr>
          <w:rFonts w:ascii="Palatino Linotype" w:eastAsia="Palatino Linotype" w:hAnsi="Palatino Linotype" w:cs="Palatino Linotype"/>
          <w:bCs/>
        </w:rPr>
        <w:t xml:space="preserve">, por lo que se ordena la entrega del acuerdo que sustente la versión pública. </w:t>
      </w:r>
    </w:p>
    <w:p w14:paraId="797C8731" w14:textId="77777777" w:rsidR="00096C19" w:rsidRPr="00244DBD" w:rsidRDefault="00096C19" w:rsidP="00244DBD">
      <w:pPr>
        <w:pStyle w:val="NormalWeb"/>
        <w:spacing w:before="0" w:beforeAutospacing="0" w:after="240" w:afterAutospacing="0" w:line="360" w:lineRule="auto"/>
        <w:jc w:val="both"/>
        <w:rPr>
          <w:rFonts w:ascii="Palatino Linotype" w:hAnsi="Palatino Linotype"/>
        </w:rPr>
      </w:pPr>
    </w:p>
    <w:p w14:paraId="2FCBC679" w14:textId="07E5364D" w:rsidR="00096C19" w:rsidRPr="00244DBD" w:rsidRDefault="00096C19" w:rsidP="00244DBD">
      <w:pPr>
        <w:pStyle w:val="NormalWeb"/>
        <w:spacing w:before="0" w:beforeAutospacing="0" w:after="240" w:afterAutospacing="0" w:line="360" w:lineRule="auto"/>
        <w:jc w:val="both"/>
        <w:rPr>
          <w:rFonts w:ascii="Palatino Linotype" w:hAnsi="Palatino Linotype"/>
        </w:rPr>
      </w:pPr>
      <w:r w:rsidRPr="00244DBD">
        <w:rPr>
          <w:rFonts w:ascii="Palatino Linotype" w:hAnsi="Palatino Linotype"/>
        </w:rPr>
        <w:t xml:space="preserve">Por </w:t>
      </w:r>
      <w:r w:rsidR="00AB2502" w:rsidRPr="00244DBD">
        <w:rPr>
          <w:rFonts w:ascii="Palatino Linotype" w:hAnsi="Palatino Linotype"/>
        </w:rPr>
        <w:t>ende,</w:t>
      </w:r>
      <w:r w:rsidRPr="00244DBD">
        <w:rPr>
          <w:rFonts w:ascii="Palatino Linotype" w:hAnsi="Palatino Linotype"/>
        </w:rPr>
        <w:t xml:space="preserve"> se considera que el </w:t>
      </w:r>
      <w:r w:rsidRPr="00244DBD">
        <w:rPr>
          <w:rFonts w:ascii="Palatino Linotype" w:hAnsi="Palatino Linotype"/>
          <w:b/>
        </w:rPr>
        <w:t>Sujeto Obligado</w:t>
      </w:r>
      <w:r w:rsidRPr="00244DBD">
        <w:rPr>
          <w:rFonts w:ascii="Palatino Linotype" w:hAnsi="Palatino Linotype"/>
        </w:rPr>
        <w:t xml:space="preserve"> remitió parcialmente la información solicitada, por lo tanto, vulneró el derecho de acceso a la información de </w:t>
      </w:r>
      <w:r w:rsidRPr="00244DBD">
        <w:rPr>
          <w:rFonts w:ascii="Palatino Linotype" w:hAnsi="Palatino Linotype"/>
          <w:b/>
        </w:rPr>
        <w:t>la parte Recurrente</w:t>
      </w:r>
      <w:r w:rsidRPr="00244DBD">
        <w:rPr>
          <w:rFonts w:ascii="Palatino Linotype" w:hAnsi="Palatino Linotype"/>
        </w:rPr>
        <w:t xml:space="preserve"> pues como se asentó en el esquema, no se remitió la totalidad de la información, por lo que deberá realizarse una nueva búsqueda en los archivos del </w:t>
      </w:r>
      <w:r w:rsidRPr="00244DBD">
        <w:rPr>
          <w:rFonts w:ascii="Palatino Linotype" w:hAnsi="Palatino Linotype"/>
          <w:b/>
        </w:rPr>
        <w:t>Sujeto Obligado</w:t>
      </w:r>
      <w:r w:rsidRPr="00244DBD">
        <w:rPr>
          <w:rFonts w:ascii="Palatino Linotype" w:hAnsi="Palatino Linotype"/>
        </w:rPr>
        <w:t xml:space="preserve"> para efecto de localizar el oficio faltante reseñado en párrafo anterior.</w:t>
      </w:r>
    </w:p>
    <w:p w14:paraId="107AE792" w14:textId="77777777" w:rsidR="00096C19" w:rsidRPr="00244DBD" w:rsidRDefault="00096C19" w:rsidP="00244DBD">
      <w:pPr>
        <w:spacing w:line="360" w:lineRule="auto"/>
        <w:ind w:right="49"/>
        <w:jc w:val="both"/>
        <w:rPr>
          <w:rFonts w:ascii="Palatino Linotype" w:eastAsia="Palatino Linotype" w:hAnsi="Palatino Linotype" w:cs="Palatino Linotype"/>
          <w:bCs/>
        </w:rPr>
      </w:pPr>
    </w:p>
    <w:p w14:paraId="07B6309B" w14:textId="6A160D66" w:rsidR="00096C19" w:rsidRPr="00244DBD" w:rsidRDefault="00096C19"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Para el caso, de que el oficio 233 haya sido cancelado, deberá hacerlo del conocimiento del ahora Recurrente, de manera clara y precisa, en términos del artículo 19, párrafo segundo, de la Ley de Transparencia y Acceso a la Información Pública del Estado de México y Municipios.</w:t>
      </w:r>
    </w:p>
    <w:p w14:paraId="03DA9D40" w14:textId="77777777" w:rsidR="00A5594A" w:rsidRPr="00244DBD" w:rsidRDefault="00A5594A" w:rsidP="00244DBD">
      <w:pPr>
        <w:spacing w:line="360" w:lineRule="auto"/>
        <w:ind w:right="49"/>
        <w:jc w:val="both"/>
        <w:rPr>
          <w:rFonts w:ascii="Palatino Linotype" w:eastAsia="Palatino Linotype" w:hAnsi="Palatino Linotype" w:cs="Palatino Linotype"/>
        </w:rPr>
      </w:pPr>
    </w:p>
    <w:p w14:paraId="5A21C4EC" w14:textId="4250F6A1" w:rsidR="00096C19" w:rsidRPr="00244DBD" w:rsidRDefault="00096C19" w:rsidP="00244DBD">
      <w:pPr>
        <w:spacing w:line="360" w:lineRule="auto"/>
        <w:jc w:val="both"/>
        <w:rPr>
          <w:rFonts w:ascii="Palatino Linotype" w:eastAsia="Palatino Linotype" w:hAnsi="Palatino Linotype" w:cs="Palatino Linotype"/>
          <w:bCs/>
        </w:rPr>
      </w:pPr>
      <w:r w:rsidRPr="00244DBD">
        <w:rPr>
          <w:rFonts w:ascii="Palatino Linotype" w:hAnsi="Palatino Linotype" w:cs="Arial"/>
        </w:rPr>
        <w:t xml:space="preserve">Ahora bien, por cuanto hace a los oficios </w:t>
      </w:r>
      <w:r w:rsidRPr="00244DBD">
        <w:rPr>
          <w:rFonts w:ascii="Palatino Linotype" w:eastAsia="Palatino Linotype" w:hAnsi="Palatino Linotype" w:cs="Palatino Linotype"/>
          <w:bCs/>
        </w:rPr>
        <w:t>303 y 304, que se encuentran el número 157 y158 del archivo</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bCs/>
        </w:rPr>
        <w:t xml:space="preserve">febrero 2022 vp.pdf-, estos se encuentran testados relativo a nombre y número de filiación de una persona que dio baja ante el </w:t>
      </w:r>
      <w:r w:rsidR="00AB2502" w:rsidRPr="00244DBD">
        <w:rPr>
          <w:rFonts w:ascii="Palatino Linotype" w:eastAsia="Palatino Linotype" w:hAnsi="Palatino Linotype" w:cs="Palatino Linotype"/>
          <w:bCs/>
        </w:rPr>
        <w:t>ISSEMYM</w:t>
      </w:r>
      <w:r w:rsidRPr="00244DBD">
        <w:rPr>
          <w:rFonts w:ascii="Palatino Linotype" w:eastAsia="Palatino Linotype" w:hAnsi="Palatino Linotype" w:cs="Palatino Linotype"/>
          <w:bCs/>
        </w:rPr>
        <w:t>.</w:t>
      </w:r>
    </w:p>
    <w:p w14:paraId="4F1D3142" w14:textId="2DF79E4C" w:rsidR="009C3371" w:rsidRPr="00244DBD" w:rsidRDefault="009C3371" w:rsidP="00244DBD">
      <w:pPr>
        <w:spacing w:line="360" w:lineRule="auto"/>
        <w:jc w:val="both"/>
        <w:rPr>
          <w:rFonts w:ascii="Palatino Linotype" w:eastAsia="Palatino Linotype" w:hAnsi="Palatino Linotype" w:cs="Palatino Linotype"/>
          <w:bCs/>
        </w:rPr>
      </w:pPr>
    </w:p>
    <w:p w14:paraId="551F638B" w14:textId="2862E82B" w:rsidR="009C3371" w:rsidRPr="00244DBD" w:rsidRDefault="009C3371" w:rsidP="00244DBD">
      <w:pPr>
        <w:pStyle w:val="NormalWeb"/>
        <w:spacing w:before="0" w:beforeAutospacing="0" w:after="240" w:afterAutospacing="0" w:line="360" w:lineRule="auto"/>
        <w:jc w:val="both"/>
        <w:rPr>
          <w:rFonts w:ascii="Palatino Linotype" w:hAnsi="Palatino Linotype"/>
        </w:rPr>
      </w:pPr>
      <w:r w:rsidRPr="00244DBD">
        <w:rPr>
          <w:rFonts w:ascii="Palatino Linotype" w:hAnsi="Palatino Linotype"/>
        </w:rPr>
        <w:t xml:space="preserve">Relativo a la información testada, se advierte que el </w:t>
      </w:r>
      <w:r w:rsidRPr="00244DBD">
        <w:rPr>
          <w:rFonts w:ascii="Palatino Linotype" w:hAnsi="Palatino Linotype"/>
          <w:b/>
          <w:bCs/>
        </w:rPr>
        <w:t>número de seguridad social o número de afiliación</w:t>
      </w:r>
      <w:r w:rsidRPr="00244DBD">
        <w:rPr>
          <w:rFonts w:ascii="Palatino Linotype" w:hAnsi="Palatino Linotype"/>
        </w:rPr>
        <w:t xml:space="preserve">, es un dato personal y, por tanto, es información confidencial, debido a que los trabajadores de nuevo ingreso realizan un trámite mediante el Formato AFIL -02 denominado “Aviso de inscripción del trabajador”, publicado en el Diario Oficial de la Federación el 16 de noviembre de 1999, en el cual debe incluirse, </w:t>
      </w:r>
      <w:r w:rsidRPr="00244DBD">
        <w:rPr>
          <w:rFonts w:ascii="Palatino Linotype" w:hAnsi="Palatino Linotype"/>
        </w:rPr>
        <w:lastRenderedPageBreak/>
        <w:t>entre otra información, el nombre completo del trabajador, la Clave Única del Registro de Población; el salario base de cotización, tipo de salario, fecha de ingreso, sexo, lugar y fecha de nacimiento, ocupación, domicilio, nombre o razón social de la fuente de trabajo y el domicilio de ésta última. De lo anterior, se advierte que el número de afiliación se integra con datos de identificación del trabajador, y se utiliza únicamente para cuestiones relacionadas con la seguridad social, por lo que es un dato que debe clasificarse.</w:t>
      </w:r>
    </w:p>
    <w:p w14:paraId="303AAE67" w14:textId="77777777" w:rsidR="009C3371" w:rsidRPr="00244DBD" w:rsidRDefault="009C3371" w:rsidP="00244DBD">
      <w:pPr>
        <w:pStyle w:val="NormalWeb"/>
        <w:spacing w:before="0" w:beforeAutospacing="0" w:after="240" w:afterAutospacing="0" w:line="360" w:lineRule="auto"/>
        <w:jc w:val="both"/>
        <w:rPr>
          <w:rFonts w:ascii="Palatino Linotype" w:hAnsi="Palatino Linotype"/>
        </w:rPr>
      </w:pPr>
      <w:r w:rsidRPr="00244DBD">
        <w:rPr>
          <w:rFonts w:ascii="Palatino Linotype" w:hAnsi="Palatino Linotype"/>
        </w:rPr>
        <w:t xml:space="preserve">Relativo al </w:t>
      </w:r>
      <w:r w:rsidRPr="00244DBD">
        <w:rPr>
          <w:rFonts w:ascii="Palatino Linotype" w:hAnsi="Palatino Linotype"/>
          <w:b/>
          <w:bCs/>
        </w:rPr>
        <w:t>nombre</w:t>
      </w:r>
      <w:r w:rsidRPr="00244DBD">
        <w:rPr>
          <w:rFonts w:ascii="Palatino Linotype" w:hAnsi="Palatino Linotype"/>
        </w:rPr>
        <w:t>, es un atributo de la personalidad y la manifestación principal del derecho subjetivo a la identidad, en virtud de que hace a una persona física identificada e identificable, y que dar publicidad al mismo vulneraría su ámbito de privacidad.</w:t>
      </w:r>
    </w:p>
    <w:p w14:paraId="1332AAA1" w14:textId="77777777" w:rsidR="00096C19" w:rsidRPr="00244DBD" w:rsidRDefault="00096C19" w:rsidP="00244DBD">
      <w:pPr>
        <w:spacing w:line="360" w:lineRule="auto"/>
        <w:jc w:val="both"/>
        <w:rPr>
          <w:rFonts w:ascii="Palatino Linotype" w:hAnsi="Palatino Linotype" w:cs="Arial"/>
        </w:rPr>
      </w:pPr>
    </w:p>
    <w:p w14:paraId="0ECBA05E" w14:textId="5C8C735D" w:rsidR="00A5594A" w:rsidRPr="00244DBD" w:rsidRDefault="00A5594A" w:rsidP="00244DBD">
      <w:pPr>
        <w:spacing w:line="360" w:lineRule="auto"/>
        <w:jc w:val="both"/>
        <w:rPr>
          <w:rFonts w:ascii="Palatino Linotype" w:hAnsi="Palatino Linotype" w:cs="Arial"/>
        </w:rPr>
      </w:pPr>
      <w:r w:rsidRPr="00244DBD">
        <w:rPr>
          <w:rFonts w:ascii="Palatino Linotype" w:hAnsi="Palatino Linotype" w:cs="Arial"/>
        </w:rPr>
        <w:t xml:space="preserve">En ese sentido, cabe precisar que la información a la cual pretende acceder el particular, pudiera contener datos susceptibles de ser clasificados como información reservada o confidencial según su naturaleza, por lo que es importante señalar que el artículo 137 de la Ley de Transparencia y Acceso a la Información Pública del Estado de México y Municipios, establece que cuando los documentos contengan información considera reservada o confidencial, la Unidad de Transparencia para efectos de atender una solicitud de información, permite la elaboración de versiones públicas en las que se suprima aquella información </w:t>
      </w:r>
      <w:r w:rsidRPr="00244DBD">
        <w:rPr>
          <w:rFonts w:ascii="Palatino Linotype" w:hAnsi="Palatino Linotype" w:cs="Arial"/>
          <w:lang w:val="es-ES_tradnl"/>
        </w:rPr>
        <w:t xml:space="preserve">susceptible de clasificarse, </w:t>
      </w:r>
      <w:r w:rsidRPr="00244DBD">
        <w:rPr>
          <w:rFonts w:ascii="Palatino Linotype" w:hAnsi="Palatino Linotype" w:cs="Arial"/>
        </w:rPr>
        <w:t xml:space="preserve">acompañada del Acuerdo respectivo del Comité de Transparencia. </w:t>
      </w:r>
    </w:p>
    <w:p w14:paraId="34D3ED26" w14:textId="77777777" w:rsidR="00A5594A" w:rsidRPr="00244DBD" w:rsidRDefault="00A5594A" w:rsidP="00244DBD">
      <w:pPr>
        <w:spacing w:line="360" w:lineRule="auto"/>
        <w:jc w:val="both"/>
        <w:rPr>
          <w:rFonts w:ascii="Palatino Linotype" w:hAnsi="Palatino Linotype" w:cs="Arial"/>
        </w:rPr>
      </w:pPr>
    </w:p>
    <w:p w14:paraId="413D8AB8" w14:textId="77777777" w:rsidR="00A5594A" w:rsidRPr="00244DBD" w:rsidRDefault="00A5594A" w:rsidP="00244DBD">
      <w:pPr>
        <w:spacing w:line="360" w:lineRule="auto"/>
        <w:ind w:right="49"/>
        <w:jc w:val="both"/>
        <w:rPr>
          <w:rFonts w:ascii="Palatino Linotype" w:hAnsi="Palatino Linotype" w:cs="Arial"/>
        </w:rPr>
      </w:pPr>
      <w:r w:rsidRPr="00244DBD">
        <w:rPr>
          <w:rFonts w:ascii="Palatino Linotype" w:hAnsi="Palatino Linotype" w:cs="Arial"/>
        </w:rPr>
        <w:t xml:space="preserve">Es así que, resulta </w:t>
      </w:r>
      <w:r w:rsidRPr="00244DBD">
        <w:rPr>
          <w:rFonts w:ascii="Palatino Linotype" w:eastAsia="Calibri" w:hAnsi="Palatino Linotype" w:cs="Arial"/>
          <w:lang w:val="es-ES"/>
        </w:rPr>
        <w:t xml:space="preserve">procedente la clasificación de la información cuando el soporte documental contiene datos personales, de conformidad con lo </w:t>
      </w:r>
      <w:r w:rsidRPr="00244DBD">
        <w:rPr>
          <w:rFonts w:ascii="Palatino Linotype" w:hAnsi="Palatino Linotype" w:cs="Arial"/>
        </w:rPr>
        <w:t xml:space="preserve">dispuesto en los </w:t>
      </w:r>
      <w:r w:rsidRPr="00244DBD">
        <w:rPr>
          <w:rFonts w:ascii="Palatino Linotype" w:hAnsi="Palatino Linotype" w:cs="Arial"/>
        </w:rPr>
        <w:lastRenderedPageBreak/>
        <w:t>artículos 3, fracciones IX, XX y XXI y 91 de la Ley de Transparencia y Acceso a la Información Pública del Estado de México y Municipios que establecen:</w:t>
      </w:r>
    </w:p>
    <w:p w14:paraId="70FF8C5B" w14:textId="77777777" w:rsidR="00A5594A" w:rsidRPr="00244DBD" w:rsidRDefault="00A5594A" w:rsidP="00244DBD">
      <w:pPr>
        <w:ind w:right="49"/>
        <w:jc w:val="both"/>
        <w:rPr>
          <w:rFonts w:ascii="Palatino Linotype" w:hAnsi="Palatino Linotype" w:cs="Arial"/>
        </w:rPr>
      </w:pPr>
    </w:p>
    <w:p w14:paraId="16B88542"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“Artículo 3.</w:t>
      </w:r>
      <w:r w:rsidRPr="00244DBD">
        <w:rPr>
          <w:rFonts w:ascii="Palatino Linotype" w:hAnsi="Palatino Linotype" w:cs="Arial"/>
          <w:i/>
          <w:sz w:val="22"/>
          <w:szCs w:val="22"/>
        </w:rPr>
        <w:t xml:space="preserve"> Para los efectos de la presente Ley se entenderá por:</w:t>
      </w:r>
    </w:p>
    <w:p w14:paraId="3FDCF4BE"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i/>
          <w:sz w:val="22"/>
          <w:szCs w:val="22"/>
        </w:rPr>
        <w:t>[…]</w:t>
      </w:r>
    </w:p>
    <w:p w14:paraId="1AA5E69B"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IX. Datos personales:</w:t>
      </w:r>
      <w:r w:rsidRPr="00244DBD">
        <w:rPr>
          <w:rFonts w:ascii="Palatino Linotype" w:hAnsi="Palatino Linotype" w:cs="Arial"/>
          <w:i/>
          <w:sz w:val="22"/>
          <w:szCs w:val="22"/>
        </w:rPr>
        <w:t xml:space="preserve"> La información concerniente a una persona, identificada o identificable según lo dispuesto por la Ley de Protección de Datos Personales del Estado de México; </w:t>
      </w:r>
    </w:p>
    <w:p w14:paraId="698C8A05"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XX.</w:t>
      </w:r>
      <w:r w:rsidRPr="00244DBD">
        <w:rPr>
          <w:rFonts w:ascii="Palatino Linotype" w:hAnsi="Palatino Linotype" w:cs="Arial"/>
          <w:i/>
          <w:sz w:val="22"/>
          <w:szCs w:val="22"/>
        </w:rPr>
        <w:t xml:space="preserve"> </w:t>
      </w:r>
      <w:r w:rsidRPr="00244DBD">
        <w:rPr>
          <w:rFonts w:ascii="Palatino Linotype" w:hAnsi="Palatino Linotype" w:cs="Arial"/>
          <w:b/>
          <w:i/>
          <w:sz w:val="22"/>
          <w:szCs w:val="22"/>
        </w:rPr>
        <w:t>Información clasificada:</w:t>
      </w:r>
      <w:r w:rsidRPr="00244DBD">
        <w:rPr>
          <w:rFonts w:ascii="Palatino Linotype" w:hAnsi="Palatino Linotype" w:cs="Arial"/>
          <w:i/>
          <w:sz w:val="22"/>
          <w:szCs w:val="22"/>
        </w:rPr>
        <w:t xml:space="preserve"> Aquella considerada por la presente Ley como reservada o confidencial;</w:t>
      </w:r>
    </w:p>
    <w:p w14:paraId="4F97C71E"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XXI.</w:t>
      </w:r>
      <w:r w:rsidRPr="00244DBD">
        <w:rPr>
          <w:rFonts w:ascii="Palatino Linotype" w:hAnsi="Palatino Linotype" w:cs="Arial"/>
          <w:i/>
          <w:sz w:val="22"/>
          <w:szCs w:val="22"/>
        </w:rPr>
        <w:t xml:space="preserve"> </w:t>
      </w:r>
      <w:r w:rsidRPr="00244DBD">
        <w:rPr>
          <w:rFonts w:ascii="Palatino Linotype" w:hAnsi="Palatino Linotype" w:cs="Arial"/>
          <w:b/>
          <w:i/>
          <w:sz w:val="22"/>
          <w:szCs w:val="22"/>
        </w:rPr>
        <w:t>Información confidencial:</w:t>
      </w:r>
      <w:r w:rsidRPr="00244DBD">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CBEB9EB"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i/>
          <w:sz w:val="22"/>
          <w:szCs w:val="22"/>
        </w:rPr>
        <w:t>[…]</w:t>
      </w:r>
    </w:p>
    <w:p w14:paraId="0BEF350E"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 xml:space="preserve">Artículo 91. </w:t>
      </w:r>
      <w:r w:rsidRPr="00244DBD">
        <w:rPr>
          <w:rFonts w:ascii="Palatino Linotype" w:hAnsi="Palatino Linotype" w:cs="Arial"/>
          <w:i/>
          <w:sz w:val="22"/>
          <w:szCs w:val="22"/>
        </w:rPr>
        <w:t>El acceso a la información pública será restringido excepcionalmente, cuando ésta sea clasificada como reservada o confidencial.</w:t>
      </w:r>
    </w:p>
    <w:p w14:paraId="72D314E7" w14:textId="77777777" w:rsidR="00A5594A" w:rsidRPr="00244DBD" w:rsidRDefault="00A5594A" w:rsidP="00244DBD">
      <w:pPr>
        <w:autoSpaceDE w:val="0"/>
        <w:autoSpaceDN w:val="0"/>
        <w:adjustRightInd w:val="0"/>
        <w:ind w:right="899"/>
        <w:jc w:val="both"/>
        <w:rPr>
          <w:rFonts w:ascii="Palatino Linotype" w:eastAsia="Calibri" w:hAnsi="Palatino Linotype" w:cs="Bookman Old Style,Bold"/>
          <w:bCs/>
          <w:lang w:eastAsia="en-US"/>
        </w:rPr>
      </w:pPr>
    </w:p>
    <w:p w14:paraId="26D5D250" w14:textId="77777777" w:rsidR="00A5594A" w:rsidRPr="00244DBD" w:rsidRDefault="00A5594A" w:rsidP="00244DBD">
      <w:pPr>
        <w:autoSpaceDE w:val="0"/>
        <w:autoSpaceDN w:val="0"/>
        <w:adjustRightInd w:val="0"/>
        <w:spacing w:line="360" w:lineRule="auto"/>
        <w:ind w:right="49"/>
        <w:jc w:val="both"/>
        <w:rPr>
          <w:rFonts w:ascii="Palatino Linotype" w:hAnsi="Palatino Linotype" w:cs="Arial"/>
          <w:lang w:val="es-ES_tradnl" w:eastAsia="es-ES"/>
        </w:rPr>
      </w:pPr>
      <w:r w:rsidRPr="00244DBD">
        <w:rPr>
          <w:rFonts w:ascii="Palatino Linotype" w:eastAsia="Calibri" w:hAnsi="Palatino Linotype" w:cs="Bookman Old Style,Bold"/>
          <w:bCs/>
          <w:lang w:eastAsia="en-US"/>
        </w:rPr>
        <w:t xml:space="preserve">No obstante, es de precisar que </w:t>
      </w:r>
      <w:r w:rsidRPr="00244DBD">
        <w:rPr>
          <w:rFonts w:ascii="Palatino Linotype" w:eastAsia="Calibri" w:hAnsi="Palatino Linotype" w:cs="Bookman Old Style,Bold"/>
          <w:b/>
          <w:lang w:eastAsia="en-US"/>
        </w:rPr>
        <w:t xml:space="preserve">la clasificación de la información no se da por el simple mandato de la ley, sino que </w:t>
      </w:r>
      <w:r w:rsidRPr="00244DBD">
        <w:rPr>
          <w:rFonts w:ascii="Palatino Linotype" w:hAnsi="Palatino Linotype"/>
          <w:b/>
        </w:rPr>
        <w:t xml:space="preserve">es necesario que EL SUJETO OBLIGADO emita el </w:t>
      </w:r>
      <w:r w:rsidRPr="00244DBD">
        <w:rPr>
          <w:rFonts w:ascii="Palatino Linotype" w:eastAsia="Calibri" w:hAnsi="Palatino Linotype" w:cs="Bookman Old Style,Bold"/>
          <w:b/>
          <w:lang w:eastAsia="en-US"/>
        </w:rPr>
        <w:t>Acuerdo de clasificación de la información como confidencial</w:t>
      </w:r>
      <w:r w:rsidRPr="00244DBD">
        <w:rPr>
          <w:rFonts w:ascii="Palatino Linotype" w:eastAsia="Calibri" w:hAnsi="Palatino Linotype" w:cs="Bookman Old Style,Bold"/>
          <w:bCs/>
          <w:lang w:eastAsia="en-US"/>
        </w:rPr>
        <w:t xml:space="preserve">, cumpliendo con la </w:t>
      </w:r>
      <w:r w:rsidRPr="00244DBD">
        <w:rPr>
          <w:rFonts w:ascii="Palatino Linotype" w:hAnsi="Palatino Linotype" w:cs="Arial"/>
          <w:lang w:val="es-ES_tradnl"/>
        </w:rPr>
        <w:t xml:space="preserve">forma y formalidades que la ley impone; </w:t>
      </w:r>
      <w:r w:rsidRPr="00244DBD">
        <w:rPr>
          <w:rFonts w:ascii="Palatino Linotype" w:hAnsi="Palatino Linotype" w:cs="Arial"/>
        </w:rPr>
        <w:t>es</w:t>
      </w:r>
      <w:r w:rsidRPr="00244DBD">
        <w:rPr>
          <w:rFonts w:ascii="Palatino Linotype" w:hAnsi="Palatino Linotype" w:cs="Arial"/>
          <w:lang w:val="es-ES_tradnl"/>
        </w:rPr>
        <w:t xml:space="preserve"> decir, mediante acuerdo debidamente fundado y motivado, en términos de los numerales 49, fracción VIII, 132 fracciones I, II y III, </w:t>
      </w:r>
      <w:r w:rsidRPr="00244DBD">
        <w:rPr>
          <w:rFonts w:ascii="Palatino Linotype" w:hAnsi="Palatino Linotype" w:cs="Arial"/>
        </w:rPr>
        <w:t xml:space="preserve">y 143, fracción I </w:t>
      </w:r>
      <w:r w:rsidRPr="00244DBD">
        <w:rPr>
          <w:rFonts w:ascii="Palatino Linotype" w:hAnsi="Palatino Linotype" w:cs="Arial"/>
          <w:lang w:val="es-ES_tradnl"/>
        </w:rPr>
        <w:t xml:space="preserve">de la Ley de Transparencia y Acceso a la Información Pública del Estado de México y Municipios, los cuales disponen lo siguiente: </w:t>
      </w:r>
    </w:p>
    <w:p w14:paraId="73F20C38" w14:textId="77777777" w:rsidR="00A5594A" w:rsidRPr="00244DBD" w:rsidRDefault="00A5594A" w:rsidP="00244DBD">
      <w:pPr>
        <w:autoSpaceDE w:val="0"/>
        <w:autoSpaceDN w:val="0"/>
        <w:adjustRightInd w:val="0"/>
        <w:ind w:right="49"/>
        <w:jc w:val="both"/>
        <w:rPr>
          <w:rFonts w:ascii="Palatino Linotype" w:hAnsi="Palatino Linotype" w:cs="Arial"/>
          <w:lang w:val="es-ES_tradnl"/>
        </w:rPr>
      </w:pPr>
    </w:p>
    <w:p w14:paraId="27CBB349"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 xml:space="preserve">“Artículo 49. </w:t>
      </w:r>
      <w:r w:rsidRPr="00244DBD">
        <w:rPr>
          <w:rFonts w:ascii="Palatino Linotype" w:hAnsi="Palatino Linotype" w:cs="Arial"/>
          <w:i/>
          <w:sz w:val="22"/>
          <w:szCs w:val="22"/>
        </w:rPr>
        <w:t>Los Comités de Transparencia tendrán las siguientes atribuciones:</w:t>
      </w:r>
    </w:p>
    <w:p w14:paraId="4CA9C392"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VIII.</w:t>
      </w:r>
      <w:r w:rsidRPr="00244DBD">
        <w:rPr>
          <w:rFonts w:ascii="Palatino Linotype" w:hAnsi="Palatino Linotype" w:cs="Arial"/>
          <w:i/>
          <w:sz w:val="22"/>
          <w:szCs w:val="22"/>
        </w:rPr>
        <w:t xml:space="preserve"> Aprobar, modificar o revocar la clasificación de la información;</w:t>
      </w:r>
    </w:p>
    <w:p w14:paraId="27C09FE4"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Artículo 132.</w:t>
      </w:r>
      <w:r w:rsidRPr="00244DBD">
        <w:rPr>
          <w:rFonts w:ascii="Palatino Linotype" w:hAnsi="Palatino Linotype" w:cs="Arial"/>
          <w:i/>
          <w:sz w:val="22"/>
          <w:szCs w:val="22"/>
        </w:rPr>
        <w:t xml:space="preserve"> La clasificación de la información se llevará a cabo en el momento en que:</w:t>
      </w:r>
    </w:p>
    <w:p w14:paraId="23C2BE3A"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I.</w:t>
      </w:r>
      <w:r w:rsidRPr="00244DBD">
        <w:rPr>
          <w:rFonts w:ascii="Palatino Linotype" w:hAnsi="Palatino Linotype" w:cs="Arial"/>
          <w:i/>
          <w:sz w:val="22"/>
          <w:szCs w:val="22"/>
        </w:rPr>
        <w:t xml:space="preserve"> Se reciba una solicitud de acceso a la información;</w:t>
      </w:r>
    </w:p>
    <w:p w14:paraId="01088D18"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II.</w:t>
      </w:r>
      <w:r w:rsidRPr="00244DBD">
        <w:rPr>
          <w:rFonts w:ascii="Palatino Linotype" w:hAnsi="Palatino Linotype" w:cs="Arial"/>
          <w:i/>
          <w:sz w:val="22"/>
          <w:szCs w:val="22"/>
        </w:rPr>
        <w:t xml:space="preserve"> Se determine mediante resolución de autoridad competente; o</w:t>
      </w:r>
    </w:p>
    <w:p w14:paraId="401972EA"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i/>
          <w:sz w:val="22"/>
          <w:szCs w:val="22"/>
        </w:rPr>
        <w:lastRenderedPageBreak/>
        <w:t>III. Se generen versiones públicas para dar cumplimiento a las obligaciones de transparencia previstas en esta Ley.</w:t>
      </w:r>
    </w:p>
    <w:p w14:paraId="2B5A4065" w14:textId="77777777" w:rsidR="00A5594A" w:rsidRPr="00244DBD" w:rsidRDefault="00A5594A" w:rsidP="00244DBD">
      <w:pPr>
        <w:ind w:left="851" w:right="899"/>
        <w:jc w:val="both"/>
        <w:rPr>
          <w:rFonts w:ascii="Palatino Linotype" w:hAnsi="Palatino Linotype" w:cs="Arial"/>
          <w:b/>
          <w:i/>
          <w:sz w:val="22"/>
          <w:szCs w:val="22"/>
          <w:lang w:eastAsia="es-ES"/>
        </w:rPr>
      </w:pPr>
      <w:r w:rsidRPr="00244DBD">
        <w:rPr>
          <w:rFonts w:ascii="Palatino Linotype" w:hAnsi="Palatino Linotype" w:cs="Arial"/>
          <w:b/>
          <w:i/>
          <w:sz w:val="22"/>
          <w:szCs w:val="22"/>
        </w:rPr>
        <w:t>Artículo 143. Para los efectos de esta Ley se considera información confidencial, la clasificada como tal, de manera permanente, por su naturaleza, cuando:</w:t>
      </w:r>
    </w:p>
    <w:p w14:paraId="40652946" w14:textId="77777777" w:rsidR="00A5594A" w:rsidRPr="00244DBD" w:rsidRDefault="00A5594A" w:rsidP="00244DBD">
      <w:pPr>
        <w:ind w:left="851" w:right="899"/>
        <w:jc w:val="both"/>
        <w:rPr>
          <w:rFonts w:ascii="Palatino Linotype" w:hAnsi="Palatino Linotype" w:cs="Arial"/>
          <w:b/>
          <w:i/>
          <w:sz w:val="22"/>
          <w:szCs w:val="22"/>
        </w:rPr>
      </w:pPr>
      <w:r w:rsidRPr="00244DBD">
        <w:rPr>
          <w:rFonts w:ascii="Palatino Linotype" w:hAnsi="Palatino Linotype" w:cs="Arial"/>
          <w:b/>
          <w:i/>
          <w:sz w:val="22"/>
          <w:szCs w:val="22"/>
        </w:rPr>
        <w:t>I. Se refiera a la información privada y los datos personales concernientes a una persona física o jurídico colectiva identificada o identificable;</w:t>
      </w:r>
    </w:p>
    <w:p w14:paraId="03ED4052" w14:textId="77777777" w:rsidR="00A5594A" w:rsidRPr="00244DBD" w:rsidRDefault="00A5594A" w:rsidP="00244DBD">
      <w:pPr>
        <w:ind w:left="851" w:right="899"/>
        <w:jc w:val="both"/>
        <w:rPr>
          <w:rFonts w:ascii="Palatino Linotype" w:hAnsi="Palatino Linotype" w:cs="Arial"/>
          <w:b/>
          <w:i/>
          <w:sz w:val="22"/>
          <w:szCs w:val="22"/>
        </w:rPr>
      </w:pPr>
      <w:r w:rsidRPr="00244DBD">
        <w:rPr>
          <w:rFonts w:ascii="Palatino Linotype" w:hAnsi="Palatino Linotype" w:cs="Arial"/>
          <w:b/>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FC92DC1"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b/>
          <w:i/>
          <w:sz w:val="22"/>
          <w:szCs w:val="22"/>
        </w:rPr>
        <w:t>III.</w:t>
      </w:r>
      <w:r w:rsidRPr="00244DBD">
        <w:rPr>
          <w:rFonts w:ascii="Palatino Linotype" w:hAnsi="Palatino Linotype" w:cs="Arial"/>
          <w:i/>
          <w:sz w:val="22"/>
          <w:szCs w:val="22"/>
        </w:rPr>
        <w:t xml:space="preserve"> La que presenten los particulares a los sujetos obligados, de conformidad con lo dispuesto por las leyes o los tratados internacionales.</w:t>
      </w:r>
    </w:p>
    <w:p w14:paraId="23ED2626" w14:textId="77777777" w:rsidR="00A5594A" w:rsidRPr="00244DBD" w:rsidRDefault="00A5594A" w:rsidP="00244DBD">
      <w:pPr>
        <w:ind w:left="851" w:right="899"/>
        <w:jc w:val="both"/>
        <w:rPr>
          <w:rFonts w:ascii="Palatino Linotype" w:hAnsi="Palatino Linotype" w:cs="Arial"/>
          <w:i/>
          <w:sz w:val="22"/>
          <w:szCs w:val="22"/>
        </w:rPr>
      </w:pPr>
      <w:r w:rsidRPr="00244DBD">
        <w:rPr>
          <w:rFonts w:ascii="Palatino Linotype" w:hAnsi="Palatino Linotype" w:cs="Arial"/>
          <w:i/>
          <w:sz w:val="22"/>
          <w:szCs w:val="22"/>
        </w:rPr>
        <w:t>La información confidencial no estará sujeta a temporalidad alguna y sólo podrán tener acceso a ella los titulares de la misma, sus representantes y los servidores públicos facultados para ello.</w:t>
      </w:r>
    </w:p>
    <w:p w14:paraId="5BDD3BE5" w14:textId="77777777" w:rsidR="00A5594A" w:rsidRPr="00244DBD" w:rsidRDefault="00A5594A" w:rsidP="00244DBD">
      <w:pPr>
        <w:ind w:left="851" w:right="899"/>
        <w:jc w:val="both"/>
        <w:rPr>
          <w:rFonts w:ascii="Palatino Linotype" w:hAnsi="Palatino Linotype" w:cs="Arial"/>
          <w:b/>
          <w:i/>
          <w:sz w:val="22"/>
          <w:szCs w:val="22"/>
        </w:rPr>
      </w:pPr>
      <w:r w:rsidRPr="00244DBD">
        <w:rPr>
          <w:rFonts w:ascii="Palatino Linotype" w:hAnsi="Palatino Linotype" w:cs="Arial"/>
          <w:i/>
          <w:sz w:val="22"/>
          <w:szCs w:val="22"/>
        </w:rPr>
        <w:t>No se considerará confidencial la información que se encuentre en los registros públicos o en fuentes de acceso público, ni tampoco la que sea considerada por la presente ley como información pública.</w:t>
      </w:r>
      <w:r w:rsidRPr="00244DBD">
        <w:rPr>
          <w:rFonts w:ascii="Palatino Linotype" w:hAnsi="Palatino Linotype" w:cs="Arial"/>
          <w:b/>
          <w:i/>
          <w:sz w:val="22"/>
          <w:szCs w:val="22"/>
        </w:rPr>
        <w:t>”</w:t>
      </w:r>
    </w:p>
    <w:p w14:paraId="514FB3F4" w14:textId="77777777" w:rsidR="00A5594A" w:rsidRPr="00244DBD" w:rsidRDefault="00A5594A" w:rsidP="00244DBD">
      <w:pPr>
        <w:ind w:left="851" w:right="851"/>
        <w:jc w:val="both"/>
        <w:rPr>
          <w:rFonts w:ascii="Palatino Linotype" w:hAnsi="Palatino Linotype" w:cs="Arial"/>
          <w:b/>
          <w:i/>
          <w:sz w:val="22"/>
          <w:szCs w:val="22"/>
        </w:rPr>
      </w:pPr>
    </w:p>
    <w:p w14:paraId="79B789D4" w14:textId="77777777" w:rsidR="00A5594A" w:rsidRPr="00244DBD" w:rsidRDefault="00A5594A" w:rsidP="00244DBD">
      <w:pPr>
        <w:autoSpaceDE w:val="0"/>
        <w:autoSpaceDN w:val="0"/>
        <w:adjustRightInd w:val="0"/>
        <w:spacing w:line="360" w:lineRule="auto"/>
        <w:ind w:right="49"/>
        <w:jc w:val="both"/>
        <w:rPr>
          <w:rFonts w:ascii="Palatino Linotype" w:hAnsi="Palatino Linotype" w:cs="Arial"/>
          <w:lang w:val="es-ES_tradnl"/>
        </w:rPr>
      </w:pPr>
      <w:r w:rsidRPr="00244DBD">
        <w:rPr>
          <w:rFonts w:ascii="Palatino Linotype" w:hAnsi="Palatino Linotype" w:cs="Arial"/>
          <w:lang w:val="es-ES_tradnl"/>
        </w:rPr>
        <w:t>Asimismo, es de destacar que los numerales del Cuarto al Octavo de los Lineamientos Generales en materia de Clasificación y Desclasificación de la Información, así como para la elaboración de Versiones Públicas, que literalmente expresan:</w:t>
      </w:r>
    </w:p>
    <w:p w14:paraId="112F8354" w14:textId="77777777" w:rsidR="00A5594A" w:rsidRPr="00244DBD" w:rsidRDefault="00A5594A" w:rsidP="00244DBD">
      <w:pPr>
        <w:jc w:val="both"/>
        <w:rPr>
          <w:rFonts w:ascii="Palatino Linotype" w:hAnsi="Palatino Linotype" w:cs="Arial"/>
          <w:lang w:val="es-ES_tradnl"/>
        </w:rPr>
      </w:pPr>
    </w:p>
    <w:p w14:paraId="66CDE3FD"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Cuarto.</w:t>
      </w:r>
      <w:r w:rsidRPr="00244DBD">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B03CC7"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B1845EF"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Quinto.</w:t>
      </w:r>
      <w:r w:rsidRPr="00244DBD">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244DBD">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0D3F98AD"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Sexto.</w:t>
      </w:r>
      <w:r w:rsidRPr="00244DBD">
        <w:rPr>
          <w:rFonts w:ascii="Palatino Linotype" w:hAnsi="Palatino Linotype" w:cs="Arial"/>
          <w:i/>
          <w:sz w:val="22"/>
          <w:szCs w:val="22"/>
        </w:rPr>
        <w:t xml:space="preserve"> Se deroga.</w:t>
      </w:r>
    </w:p>
    <w:p w14:paraId="5BD0D6D3"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Séptimo.</w:t>
      </w:r>
      <w:r w:rsidRPr="00244DBD">
        <w:rPr>
          <w:rFonts w:ascii="Palatino Linotype" w:hAnsi="Palatino Linotype" w:cs="Arial"/>
          <w:i/>
          <w:sz w:val="22"/>
          <w:szCs w:val="22"/>
        </w:rPr>
        <w:t xml:space="preserve"> La clasificación de la información se llevará a cabo en el momento en que:</w:t>
      </w:r>
    </w:p>
    <w:p w14:paraId="75CE3C68"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I.</w:t>
      </w:r>
      <w:r w:rsidRPr="00244DBD">
        <w:rPr>
          <w:rFonts w:ascii="Palatino Linotype" w:hAnsi="Palatino Linotype" w:cs="Arial"/>
          <w:i/>
          <w:sz w:val="22"/>
          <w:szCs w:val="22"/>
        </w:rPr>
        <w:t xml:space="preserve">        Se reciba una solicitud de acceso a la información;</w:t>
      </w:r>
    </w:p>
    <w:p w14:paraId="03F0673C"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II.</w:t>
      </w:r>
      <w:r w:rsidRPr="00244DBD">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38B5093E"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III.</w:t>
      </w:r>
      <w:r w:rsidRPr="00244DBD">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14305BF4"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E445D9C"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b/>
          <w:i/>
          <w:sz w:val="22"/>
          <w:szCs w:val="22"/>
        </w:rPr>
        <w:t>Octavo.</w:t>
      </w:r>
      <w:r w:rsidRPr="00244DBD">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FC7E577" w14:textId="77777777" w:rsidR="00A5594A" w:rsidRPr="00244DBD" w:rsidRDefault="00A5594A" w:rsidP="00244DBD">
      <w:pPr>
        <w:ind w:left="851" w:right="902"/>
        <w:jc w:val="both"/>
        <w:rPr>
          <w:rFonts w:ascii="Palatino Linotype" w:hAnsi="Palatino Linotype" w:cs="Arial"/>
          <w:i/>
          <w:sz w:val="22"/>
          <w:szCs w:val="22"/>
        </w:rPr>
      </w:pPr>
      <w:r w:rsidRPr="00244DBD">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72BADE1E" w14:textId="77777777" w:rsidR="00A5594A" w:rsidRPr="00244DBD" w:rsidRDefault="00A5594A" w:rsidP="00244DBD">
      <w:pPr>
        <w:ind w:left="851" w:right="902"/>
        <w:jc w:val="both"/>
        <w:rPr>
          <w:rFonts w:ascii="Palatino Linotype" w:hAnsi="Palatino Linotype" w:cs="Arial"/>
          <w:b/>
          <w:i/>
          <w:sz w:val="22"/>
          <w:szCs w:val="22"/>
        </w:rPr>
      </w:pPr>
      <w:r w:rsidRPr="00244DBD">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5E82794" w14:textId="77777777" w:rsidR="00A5594A" w:rsidRPr="00244DBD" w:rsidRDefault="00A5594A" w:rsidP="00244DBD">
      <w:pPr>
        <w:ind w:left="851" w:right="902"/>
        <w:jc w:val="both"/>
        <w:rPr>
          <w:rFonts w:ascii="Palatino Linotype" w:hAnsi="Palatino Linotype" w:cs="Arial"/>
          <w:i/>
          <w:sz w:val="22"/>
          <w:szCs w:val="22"/>
        </w:rPr>
      </w:pPr>
    </w:p>
    <w:p w14:paraId="364303DA" w14:textId="77777777" w:rsidR="00A5594A" w:rsidRPr="00244DBD" w:rsidRDefault="00A5594A" w:rsidP="00244DBD">
      <w:pPr>
        <w:spacing w:line="360" w:lineRule="auto"/>
        <w:jc w:val="both"/>
        <w:rPr>
          <w:rFonts w:ascii="Palatino Linotype" w:hAnsi="Palatino Linotype" w:cs="Arial"/>
          <w:lang w:eastAsia="es-ES"/>
        </w:rPr>
      </w:pPr>
      <w:r w:rsidRPr="00244DBD">
        <w:rPr>
          <w:rFonts w:ascii="Palatino Linotype" w:hAnsi="Palatino Linotype" w:cs="Arial"/>
        </w:rPr>
        <w:t xml:space="preserve">De lo anterior, se puede advertir que para clasificar la información como confidencial, se debe emitir un Acuerdo debidamente fundado y motivado en el que </w:t>
      </w:r>
      <w:r w:rsidRPr="00244DBD">
        <w:rPr>
          <w:rFonts w:ascii="Palatino Linotype" w:hAnsi="Palatino Linotype" w:cs="Arial"/>
          <w:b/>
        </w:rPr>
        <w:t>EL SUJETO OBLIGADO</w:t>
      </w:r>
      <w:r w:rsidRPr="00244DBD">
        <w:rPr>
          <w:rFonts w:ascii="Palatino Linotype" w:hAnsi="Palatino Linotype" w:cs="Arial"/>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43F786AE" w14:textId="77777777" w:rsidR="00A5594A" w:rsidRPr="00244DBD" w:rsidRDefault="00A5594A" w:rsidP="00244DBD">
      <w:pPr>
        <w:spacing w:line="360" w:lineRule="auto"/>
        <w:jc w:val="both"/>
        <w:rPr>
          <w:rFonts w:ascii="Palatino Linotype" w:hAnsi="Palatino Linotype" w:cs="Arial"/>
        </w:rPr>
      </w:pPr>
    </w:p>
    <w:p w14:paraId="09F69BCE" w14:textId="77777777" w:rsidR="00A5594A" w:rsidRPr="00244DBD" w:rsidRDefault="00A5594A" w:rsidP="00244DBD">
      <w:pPr>
        <w:autoSpaceDE w:val="0"/>
        <w:autoSpaceDN w:val="0"/>
        <w:adjustRightInd w:val="0"/>
        <w:spacing w:line="360" w:lineRule="auto"/>
        <w:ind w:right="49"/>
        <w:jc w:val="both"/>
        <w:rPr>
          <w:rFonts w:ascii="Palatino Linotype" w:hAnsi="Palatino Linotype" w:cs="Arial"/>
        </w:rPr>
      </w:pPr>
      <w:r w:rsidRPr="00244DBD">
        <w:rPr>
          <w:rFonts w:ascii="Palatino Linotype" w:eastAsia="Calibri" w:hAnsi="Palatino Linotype" w:cs="Bookman Old Style,Bold"/>
          <w:bCs/>
          <w:lang w:eastAsia="en-US"/>
        </w:rPr>
        <w:lastRenderedPageBreak/>
        <w:t xml:space="preserve">Lo anterior es así, pues como ya se señaló la clasificación de la información no se da por el simple mandato de la Ley, sino que </w:t>
      </w:r>
      <w:r w:rsidRPr="00244DBD">
        <w:rPr>
          <w:rFonts w:ascii="Palatino Linotype" w:hAnsi="Palatino Linotype"/>
        </w:rPr>
        <w:t xml:space="preserve">es necesario que </w:t>
      </w:r>
      <w:r w:rsidRPr="00244DBD">
        <w:rPr>
          <w:rFonts w:ascii="Palatino Linotype" w:hAnsi="Palatino Linotype"/>
          <w:b/>
        </w:rPr>
        <w:t xml:space="preserve">EL SUJETO OBLIGADO </w:t>
      </w:r>
      <w:r w:rsidRPr="00244DBD">
        <w:rPr>
          <w:rFonts w:ascii="Palatino Linotype" w:hAnsi="Palatino Linotype"/>
        </w:rPr>
        <w:t xml:space="preserve">cuando clasifique un documento, ya sea en todo o en parte, debe atender lo dispuesto por </w:t>
      </w:r>
      <w:r w:rsidRPr="00244DBD">
        <w:rPr>
          <w:rFonts w:ascii="Palatino Linotype" w:hAnsi="Palatino Linotype" w:cs="Arial"/>
        </w:rPr>
        <w:t xml:space="preserve">la Ley de la materia, siendo que dicha clasificación es un trabajo en conjunto tanto de los Servidores Públicos Habilitados, de las Unidades de Transparencia y del Comité de Transparencia del </w:t>
      </w:r>
      <w:r w:rsidRPr="00244DBD">
        <w:rPr>
          <w:rFonts w:ascii="Palatino Linotype" w:hAnsi="Palatino Linotype" w:cs="Arial"/>
          <w:b/>
        </w:rPr>
        <w:t>SUJETO OBLIGADO</w:t>
      </w:r>
      <w:r w:rsidRPr="00244DBD">
        <w:rPr>
          <w:rFonts w:ascii="Palatino Linotype" w:hAnsi="Palatino Linotype" w:cs="Arial"/>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54C3D21A" w14:textId="77777777" w:rsidR="00A5594A" w:rsidRPr="00244DBD" w:rsidRDefault="00A5594A" w:rsidP="00244DBD">
      <w:pPr>
        <w:autoSpaceDE w:val="0"/>
        <w:autoSpaceDN w:val="0"/>
        <w:adjustRightInd w:val="0"/>
        <w:spacing w:line="360" w:lineRule="auto"/>
        <w:ind w:right="49"/>
        <w:jc w:val="both"/>
        <w:rPr>
          <w:rFonts w:ascii="Palatino Linotype" w:eastAsia="MS Mincho" w:hAnsi="Palatino Linotype"/>
          <w:lang w:val="es-ES_tradnl"/>
        </w:rPr>
      </w:pPr>
    </w:p>
    <w:p w14:paraId="776005FC" w14:textId="77777777" w:rsidR="00A5594A" w:rsidRPr="00244DBD" w:rsidRDefault="00A5594A" w:rsidP="00244DBD">
      <w:pPr>
        <w:spacing w:line="360" w:lineRule="auto"/>
        <w:jc w:val="both"/>
        <w:rPr>
          <w:rFonts w:ascii="Palatino Linotype" w:hAnsi="Palatino Linotype" w:cs="Arial"/>
        </w:rPr>
      </w:pPr>
      <w:r w:rsidRPr="00244DBD">
        <w:rPr>
          <w:rFonts w:ascii="Palatino Linotype" w:hAnsi="Palatino Linotype" w:cs="Arial"/>
        </w:rPr>
        <w:t>Para lo cual a su vez en el caso de información de carácter confidencial se debe atender a los que señala el artículo 149 de la Ley de Transparencia Local vigente, cuyo contenido es de la literalidad siguiente:</w:t>
      </w:r>
    </w:p>
    <w:p w14:paraId="39D28CE2" w14:textId="77777777" w:rsidR="00A5594A" w:rsidRPr="00244DBD" w:rsidRDefault="00A5594A" w:rsidP="00244DBD">
      <w:pPr>
        <w:jc w:val="both"/>
        <w:rPr>
          <w:rFonts w:ascii="Palatino Linotype" w:hAnsi="Palatino Linotype"/>
        </w:rPr>
      </w:pPr>
    </w:p>
    <w:p w14:paraId="5D738926" w14:textId="77777777" w:rsidR="00A5594A" w:rsidRPr="00244DBD" w:rsidRDefault="00A5594A" w:rsidP="00244DBD">
      <w:pPr>
        <w:ind w:left="851" w:right="899"/>
        <w:jc w:val="both"/>
        <w:rPr>
          <w:rFonts w:ascii="Palatino Linotype" w:hAnsi="Palatino Linotype"/>
          <w:i/>
          <w:sz w:val="22"/>
          <w:szCs w:val="22"/>
        </w:rPr>
      </w:pPr>
      <w:r w:rsidRPr="00244DBD">
        <w:rPr>
          <w:rFonts w:ascii="Palatino Linotype" w:hAnsi="Palatino Linotype"/>
          <w:i/>
          <w:sz w:val="22"/>
          <w:szCs w:val="22"/>
        </w:rPr>
        <w:t>“</w:t>
      </w:r>
      <w:r w:rsidRPr="00244DBD">
        <w:rPr>
          <w:rFonts w:ascii="Palatino Linotype" w:hAnsi="Palatino Linotype"/>
          <w:b/>
          <w:i/>
          <w:sz w:val="22"/>
          <w:szCs w:val="22"/>
        </w:rPr>
        <w:t>Artículo 149.</w:t>
      </w:r>
      <w:r w:rsidRPr="00244DBD">
        <w:rPr>
          <w:rFonts w:ascii="Palatino Linotype" w:hAnsi="Palatino Linotype"/>
          <w:i/>
          <w:sz w:val="22"/>
          <w:szCs w:val="22"/>
        </w:rPr>
        <w:t xml:space="preserve"> El </w:t>
      </w:r>
      <w:r w:rsidRPr="00244DBD">
        <w:rPr>
          <w:rFonts w:ascii="Palatino Linotype" w:hAnsi="Palatino Linotype"/>
          <w:b/>
          <w:i/>
          <w:sz w:val="22"/>
          <w:szCs w:val="22"/>
        </w:rPr>
        <w:t>acuerdo que clasifique la información como confidencial</w:t>
      </w:r>
      <w:r w:rsidRPr="00244DBD">
        <w:rPr>
          <w:rFonts w:ascii="Palatino Linotype" w:hAnsi="Palatino Linotype"/>
          <w:i/>
          <w:sz w:val="22"/>
          <w:szCs w:val="22"/>
        </w:rPr>
        <w:t xml:space="preserve"> deberá contener un razonamiento lógico en el que demuestre que la información se encuentra en alguna o algunas de las hipótesis previstas en la presente Ley.”</w:t>
      </w:r>
    </w:p>
    <w:p w14:paraId="346168D9" w14:textId="77777777" w:rsidR="00A5594A" w:rsidRPr="00244DBD" w:rsidRDefault="00A5594A" w:rsidP="00244DBD">
      <w:pPr>
        <w:ind w:left="993" w:right="1041"/>
        <w:jc w:val="both"/>
        <w:rPr>
          <w:rFonts w:ascii="Palatino Linotype" w:hAnsi="Palatino Linotype" w:cs="Arial"/>
          <w:i/>
          <w:sz w:val="22"/>
          <w:szCs w:val="22"/>
        </w:rPr>
      </w:pPr>
    </w:p>
    <w:p w14:paraId="180011D8" w14:textId="56B955D7" w:rsidR="00A5594A" w:rsidRPr="00244DBD" w:rsidRDefault="00A5594A" w:rsidP="00244DBD">
      <w:pPr>
        <w:spacing w:line="360" w:lineRule="auto"/>
        <w:jc w:val="both"/>
        <w:rPr>
          <w:rFonts w:ascii="Palatino Linotype" w:hAnsi="Palatino Linotype" w:cs="Arial"/>
          <w:lang w:eastAsia="es-CO"/>
        </w:rPr>
      </w:pPr>
      <w:r w:rsidRPr="00244DBD">
        <w:rPr>
          <w:rFonts w:ascii="Palatino Linotype" w:hAnsi="Palatino Linotype" w:cs="Arial"/>
          <w:lang w:eastAsia="es-CO"/>
        </w:rPr>
        <w:t xml:space="preserve">En </w:t>
      </w:r>
      <w:r w:rsidR="00DE333C" w:rsidRPr="00244DBD">
        <w:rPr>
          <w:rFonts w:ascii="Palatino Linotype" w:hAnsi="Palatino Linotype" w:cs="Arial"/>
          <w:lang w:eastAsia="es-CO"/>
        </w:rPr>
        <w:t>consecuencia,</w:t>
      </w:r>
      <w:r w:rsidRPr="00244DBD">
        <w:rPr>
          <w:rFonts w:ascii="Palatino Linotype" w:hAnsi="Palatino Linotype" w:cs="Arial"/>
          <w:lang w:eastAsia="es-CO"/>
        </w:rPr>
        <w:t xml:space="preserve">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55B94A1C" w14:textId="77777777" w:rsidR="00A5594A" w:rsidRPr="00244DBD" w:rsidRDefault="00A5594A" w:rsidP="00244DBD">
      <w:pPr>
        <w:spacing w:line="360" w:lineRule="auto"/>
        <w:rPr>
          <w:rFonts w:ascii="Palatino Linotype" w:hAnsi="Palatino Linotype"/>
          <w:lang w:eastAsia="es-ES"/>
        </w:rPr>
      </w:pPr>
    </w:p>
    <w:p w14:paraId="405CE851" w14:textId="77777777" w:rsidR="00A5594A" w:rsidRPr="00244DBD" w:rsidRDefault="00A5594A" w:rsidP="00244DBD">
      <w:pPr>
        <w:autoSpaceDE w:val="0"/>
        <w:autoSpaceDN w:val="0"/>
        <w:adjustRightInd w:val="0"/>
        <w:spacing w:line="360" w:lineRule="auto"/>
        <w:jc w:val="both"/>
        <w:rPr>
          <w:rFonts w:ascii="Palatino Linotype" w:hAnsi="Palatino Linotype" w:cs="Arial"/>
        </w:rPr>
      </w:pPr>
      <w:r w:rsidRPr="00244DBD">
        <w:rPr>
          <w:rFonts w:ascii="Palatino Linotype" w:hAnsi="Palatino Linotype" w:cs="Arial"/>
        </w:rPr>
        <w:lastRenderedPageBreak/>
        <w:t xml:space="preserve">Por otra parte, si </w:t>
      </w:r>
      <w:r w:rsidRPr="00244DBD">
        <w:rPr>
          <w:rFonts w:ascii="Palatino Linotype" w:hAnsi="Palatino Linotype" w:cs="Arial"/>
          <w:b/>
        </w:rPr>
        <w:t>EL SUJETO OBLIGADO</w:t>
      </w:r>
      <w:r w:rsidRPr="00244DBD">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47494497" w14:textId="77777777" w:rsidR="00A5594A" w:rsidRPr="00244DBD" w:rsidRDefault="00A5594A" w:rsidP="00244DBD">
      <w:pPr>
        <w:autoSpaceDE w:val="0"/>
        <w:autoSpaceDN w:val="0"/>
        <w:adjustRightInd w:val="0"/>
        <w:spacing w:line="360" w:lineRule="auto"/>
        <w:jc w:val="both"/>
        <w:rPr>
          <w:rFonts w:ascii="Palatino Linotype" w:hAnsi="Palatino Linotype" w:cs="Arial"/>
        </w:rPr>
      </w:pPr>
    </w:p>
    <w:p w14:paraId="60D9348A" w14:textId="77777777" w:rsidR="00A5594A" w:rsidRPr="00244DBD" w:rsidRDefault="00A5594A" w:rsidP="00244DBD">
      <w:pPr>
        <w:spacing w:line="360" w:lineRule="auto"/>
        <w:jc w:val="both"/>
        <w:rPr>
          <w:rFonts w:ascii="Palatino Linotype" w:hAnsi="Palatino Linotype" w:cs="Arial"/>
        </w:rPr>
      </w:pPr>
      <w:r w:rsidRPr="00244DBD">
        <w:rPr>
          <w:rFonts w:ascii="Palatino Linotype" w:hAnsi="Palatino Linotype" w:cs="Arial"/>
        </w:rPr>
        <w:t xml:space="preserve">Lo anterior, sin perder de vista que la Constitución Política de los Estados Unidos Mexicanos le otorga a </w:t>
      </w:r>
      <w:r w:rsidRPr="00244DBD">
        <w:rPr>
          <w:rFonts w:ascii="Palatino Linotype" w:hAnsi="Palatino Linotype" w:cs="Arial"/>
          <w:b/>
        </w:rPr>
        <w:t>todos los documentos</w:t>
      </w:r>
      <w:r w:rsidRPr="00244DBD">
        <w:rPr>
          <w:rFonts w:ascii="Palatino Linotype" w:hAnsi="Palatino Linotype" w:cs="Arial"/>
        </w:rPr>
        <w:t xml:space="preserve"> en posesión de las autoridades </w:t>
      </w:r>
      <w:r w:rsidRPr="00244DBD">
        <w:rPr>
          <w:rFonts w:ascii="Palatino Linotype" w:hAnsi="Palatino Linotype" w:cs="Arial"/>
          <w:b/>
        </w:rPr>
        <w:t>la calidad de públicos</w:t>
      </w:r>
      <w:r w:rsidRPr="00244DBD">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7C16A41" w14:textId="77777777" w:rsidR="00A5594A" w:rsidRPr="00244DBD" w:rsidRDefault="00A5594A" w:rsidP="00244DBD">
      <w:pPr>
        <w:spacing w:line="360" w:lineRule="auto"/>
        <w:jc w:val="both"/>
        <w:rPr>
          <w:rFonts w:ascii="Palatino Linotype" w:hAnsi="Palatino Linotype" w:cs="Arial"/>
        </w:rPr>
      </w:pPr>
    </w:p>
    <w:p w14:paraId="2215E41B"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 xml:space="preserve">Siendo pertinente aclarar que, la información que se clasifica bajo la premisa de reservada, </w:t>
      </w:r>
      <w:r w:rsidRPr="00244DBD">
        <w:rPr>
          <w:rFonts w:ascii="Palatino Linotype" w:hAnsi="Palatino Linotype"/>
          <w:b/>
        </w:rPr>
        <w:t>no pierde el carácter de pública</w:t>
      </w:r>
      <w:r w:rsidRPr="00244DBD">
        <w:rPr>
          <w:rFonts w:ascii="Palatino Linotype" w:hAnsi="Palatino Linotype"/>
        </w:rPr>
        <w:t xml:space="preserve">, sino que </w:t>
      </w:r>
      <w:r w:rsidRPr="00244DBD">
        <w:rPr>
          <w:rFonts w:ascii="Palatino Linotype" w:hAnsi="Palatino Linotype"/>
          <w:b/>
        </w:rPr>
        <w:t>se reserva temporalmente</w:t>
      </w:r>
      <w:r w:rsidRPr="00244DBD">
        <w:rPr>
          <w:rFonts w:ascii="Palatino Linotype" w:hAnsi="Palatino Linotype"/>
        </w:rPr>
        <w:t xml:space="preserve"> </w:t>
      </w:r>
      <w:r w:rsidRPr="00244DBD">
        <w:rPr>
          <w:rFonts w:ascii="Palatino Linotype" w:hAnsi="Palatino Linotype"/>
          <w:b/>
        </w:rPr>
        <w:t>del conocimiento público</w:t>
      </w:r>
      <w:r w:rsidRPr="00244DBD">
        <w:rPr>
          <w:rFonts w:ascii="Palatino Linotype" w:hAnsi="Palatino Linotype"/>
        </w:rPr>
        <w:t xml:space="preserve">, es decir, que, </w:t>
      </w:r>
      <w:r w:rsidRPr="00244DBD">
        <w:rPr>
          <w:rFonts w:ascii="Palatino Linotype" w:hAnsi="Palatino Linotype"/>
          <w:b/>
        </w:rPr>
        <w:t>por un tiempo determinado</w:t>
      </w:r>
      <w:r w:rsidRPr="00244DBD">
        <w:rPr>
          <w:rFonts w:ascii="Palatino Linotype" w:hAnsi="Palatino Linotype"/>
        </w:rPr>
        <w:t>, se conservará y custodiará la información de manera especial, y una vez transcurrido el plazo de reserva, el documento podrá divulgarse.</w:t>
      </w:r>
    </w:p>
    <w:p w14:paraId="3CDCA4E5" w14:textId="77777777" w:rsidR="00A5594A" w:rsidRPr="00244DBD" w:rsidRDefault="00A5594A" w:rsidP="00244DBD">
      <w:pPr>
        <w:spacing w:line="360" w:lineRule="auto"/>
        <w:jc w:val="both"/>
        <w:rPr>
          <w:rFonts w:ascii="Palatino Linotype" w:hAnsi="Palatino Linotype"/>
        </w:rPr>
      </w:pPr>
    </w:p>
    <w:p w14:paraId="77AEAACC" w14:textId="77777777" w:rsidR="00A5594A" w:rsidRPr="00244DBD" w:rsidRDefault="00A5594A" w:rsidP="00244DBD">
      <w:pPr>
        <w:spacing w:line="360" w:lineRule="auto"/>
        <w:jc w:val="both"/>
        <w:rPr>
          <w:rFonts w:ascii="Palatino Linotype" w:eastAsia="Calibri" w:hAnsi="Palatino Linotype" w:cs="Arial"/>
        </w:rPr>
      </w:pPr>
      <w:r w:rsidRPr="00244DBD">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DB4A80" w14:textId="77777777" w:rsidR="00A5594A" w:rsidRPr="00244DBD" w:rsidRDefault="00A5594A" w:rsidP="00244DBD">
      <w:pPr>
        <w:spacing w:line="360" w:lineRule="auto"/>
        <w:jc w:val="both"/>
        <w:rPr>
          <w:rFonts w:ascii="Palatino Linotype" w:eastAsia="Calibri" w:hAnsi="Palatino Linotype" w:cs="Arial"/>
        </w:rPr>
      </w:pPr>
    </w:p>
    <w:p w14:paraId="31C5C3AD" w14:textId="77777777" w:rsidR="00A5594A" w:rsidRPr="00244DBD" w:rsidRDefault="00A5594A" w:rsidP="00244DBD">
      <w:pPr>
        <w:spacing w:line="360" w:lineRule="auto"/>
        <w:jc w:val="both"/>
        <w:rPr>
          <w:rFonts w:ascii="Palatino Linotype" w:eastAsia="Calibri" w:hAnsi="Palatino Linotype" w:cs="Arial"/>
          <w:bCs/>
        </w:rPr>
      </w:pPr>
      <w:r w:rsidRPr="00244DBD">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244DBD">
        <w:rPr>
          <w:rFonts w:ascii="Palatino Linotype" w:eastAsia="Arial Unicode MS" w:hAnsi="Palatino Linotype" w:cs="Arial"/>
        </w:rPr>
        <w:t>,</w:t>
      </w:r>
      <w:r w:rsidRPr="00244DBD">
        <w:rPr>
          <w:rFonts w:ascii="Palatino Linotype" w:eastAsia="Calibri" w:hAnsi="Palatino Linotype" w:cs="Arial"/>
          <w:bCs/>
        </w:rPr>
        <w:t xml:space="preserve"> que literalmente señala:</w:t>
      </w:r>
    </w:p>
    <w:p w14:paraId="0AF0A004" w14:textId="77777777" w:rsidR="00A5594A" w:rsidRPr="00244DBD" w:rsidRDefault="00A5594A" w:rsidP="00244DBD">
      <w:pPr>
        <w:jc w:val="both"/>
        <w:rPr>
          <w:rFonts w:ascii="Palatino Linotype" w:eastAsia="Calibri" w:hAnsi="Palatino Linotype" w:cs="Arial"/>
          <w:bCs/>
        </w:rPr>
      </w:pPr>
    </w:p>
    <w:p w14:paraId="4C376D9A" w14:textId="77777777" w:rsidR="00A5594A" w:rsidRPr="00244DBD" w:rsidRDefault="00A5594A" w:rsidP="00244DBD">
      <w:pPr>
        <w:ind w:left="851" w:right="899"/>
        <w:jc w:val="both"/>
        <w:rPr>
          <w:rFonts w:ascii="Palatino Linotype" w:eastAsia="Calibri" w:hAnsi="Palatino Linotype"/>
          <w:i/>
          <w:sz w:val="22"/>
          <w:szCs w:val="22"/>
        </w:rPr>
      </w:pPr>
      <w:r w:rsidRPr="00244DBD">
        <w:rPr>
          <w:rFonts w:ascii="Palatino Linotype" w:eastAsia="Calibri" w:hAnsi="Palatino Linotype"/>
          <w:i/>
          <w:sz w:val="22"/>
          <w:szCs w:val="22"/>
        </w:rPr>
        <w:t>“</w:t>
      </w:r>
      <w:r w:rsidRPr="00244DBD">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244DBD">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057496F9" w14:textId="77777777" w:rsidR="00A5594A" w:rsidRPr="00244DBD" w:rsidRDefault="00A5594A" w:rsidP="00244DBD">
      <w:pPr>
        <w:ind w:left="851" w:right="902"/>
        <w:jc w:val="both"/>
        <w:rPr>
          <w:rFonts w:ascii="Palatino Linotype" w:eastAsia="Calibri" w:hAnsi="Palatino Linotype"/>
          <w:i/>
          <w:sz w:val="22"/>
          <w:szCs w:val="22"/>
        </w:rPr>
      </w:pPr>
    </w:p>
    <w:p w14:paraId="64D082C1" w14:textId="77777777" w:rsidR="00A5594A" w:rsidRPr="00244DBD" w:rsidRDefault="00A5594A" w:rsidP="00244DBD">
      <w:pPr>
        <w:spacing w:line="360" w:lineRule="auto"/>
        <w:jc w:val="both"/>
        <w:rPr>
          <w:rFonts w:ascii="Palatino Linotype" w:hAnsi="Palatino Linotype"/>
          <w:bCs/>
        </w:rPr>
      </w:pPr>
      <w:r w:rsidRPr="00244DBD">
        <w:rPr>
          <w:rFonts w:ascii="Palatino Linotype" w:hAnsi="Palatino Linotype"/>
          <w:bCs/>
        </w:rPr>
        <w:t xml:space="preserve">Por todo lo anterior, la reserva de la información implica una clasificación, la cual debe entenderse como el proceso mediante el cual </w:t>
      </w:r>
      <w:r w:rsidRPr="00244DBD">
        <w:rPr>
          <w:rFonts w:ascii="Palatino Linotype" w:hAnsi="Palatino Linotype"/>
          <w:b/>
          <w:bCs/>
        </w:rPr>
        <w:t>EL SUJETO OBLIGADO</w:t>
      </w:r>
      <w:r w:rsidRPr="00244DBD">
        <w:rPr>
          <w:rFonts w:ascii="Palatino Linotype" w:hAnsi="Palatino Linotype"/>
          <w:bCs/>
        </w:rPr>
        <w:t xml:space="preserve"> determina que </w:t>
      </w:r>
      <w:r w:rsidRPr="00244DBD">
        <w:rPr>
          <w:rFonts w:ascii="Palatino Linotype" w:hAnsi="Palatino Linotype"/>
          <w:bCs/>
        </w:rPr>
        <w:lastRenderedPageBreak/>
        <w:t>la información en su poder, actualiza alguno de los supuestos conforme a las normas aplicables.</w:t>
      </w:r>
    </w:p>
    <w:p w14:paraId="2E351E13" w14:textId="77777777" w:rsidR="00A5594A" w:rsidRPr="00244DBD" w:rsidRDefault="00A5594A" w:rsidP="00244DBD">
      <w:pPr>
        <w:spacing w:line="360" w:lineRule="auto"/>
        <w:jc w:val="both"/>
        <w:rPr>
          <w:rFonts w:ascii="Palatino Linotype" w:hAnsi="Palatino Linotype"/>
          <w:bCs/>
        </w:rPr>
      </w:pPr>
    </w:p>
    <w:p w14:paraId="46CF9153"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 xml:space="preserve">En tal virtud, conforme al artículo 49, fracción VIII de la </w:t>
      </w:r>
      <w:r w:rsidRPr="00244DBD">
        <w:rPr>
          <w:rFonts w:ascii="Palatino Linotype" w:hAnsi="Palatino Linotype" w:cs="Arial"/>
        </w:rPr>
        <w:t>Ley de Transparencia y Acceso a la Información Pública del Estado de México y Municipios</w:t>
      </w:r>
      <w:r w:rsidRPr="00244DBD">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244DBD">
        <w:rPr>
          <w:rFonts w:ascii="Palatino Linotype" w:hAnsi="Palatino Linotype"/>
          <w:b/>
        </w:rPr>
        <w:t>SUJETO OBLIGADO</w:t>
      </w:r>
      <w:r w:rsidRPr="00244DBD">
        <w:rPr>
          <w:rFonts w:ascii="Palatino Linotype" w:hAnsi="Palatino Linotype"/>
        </w:rPr>
        <w:t xml:space="preserve"> a concluir que el caso particular se ajusta al supuesto previsto por la norma legal invocada como fundamento; siendo que, además, </w:t>
      </w:r>
      <w:r w:rsidRPr="00244DBD">
        <w:rPr>
          <w:rFonts w:ascii="Palatino Linotype" w:hAnsi="Palatino Linotype"/>
          <w:b/>
        </w:rPr>
        <w:t>EL SUJETO OBLIGADO</w:t>
      </w:r>
      <w:r w:rsidRPr="00244DBD">
        <w:rPr>
          <w:rFonts w:ascii="Palatino Linotype" w:hAnsi="Palatino Linotype"/>
        </w:rPr>
        <w:t xml:space="preserve"> debe, en todo momento, aplicar una prueba de daño.</w:t>
      </w:r>
    </w:p>
    <w:p w14:paraId="2406EF80" w14:textId="77777777" w:rsidR="00A5594A" w:rsidRPr="00244DBD" w:rsidRDefault="00A5594A" w:rsidP="00244DBD">
      <w:pPr>
        <w:spacing w:line="360" w:lineRule="auto"/>
        <w:jc w:val="both"/>
        <w:rPr>
          <w:rFonts w:ascii="Palatino Linotype" w:hAnsi="Palatino Linotype"/>
        </w:rPr>
      </w:pPr>
    </w:p>
    <w:p w14:paraId="391ECCE1"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DA6A33C" w14:textId="77777777" w:rsidR="00A5594A" w:rsidRPr="00244DBD" w:rsidRDefault="00A5594A" w:rsidP="00244DBD">
      <w:pPr>
        <w:spacing w:line="360" w:lineRule="auto"/>
        <w:jc w:val="both"/>
        <w:rPr>
          <w:rFonts w:ascii="Palatino Linotype" w:hAnsi="Palatino Linotype"/>
        </w:rPr>
      </w:pPr>
    </w:p>
    <w:p w14:paraId="2CD12A49"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w:t>
      </w:r>
      <w:r w:rsidRPr="00244DBD">
        <w:rPr>
          <w:rFonts w:ascii="Palatino Linotype" w:hAnsi="Palatino Linotype"/>
        </w:rPr>
        <w:lastRenderedPageBreak/>
        <w:t>aplicar, de manera estricta, las excepciones del derecho de acceso a la información y sólo podrán invocarlas cuando acrediten su procedencia, debiendo clasificar la información en el momento en que:</w:t>
      </w:r>
    </w:p>
    <w:p w14:paraId="6F50052A" w14:textId="77777777" w:rsidR="00A5594A" w:rsidRPr="00244DBD" w:rsidRDefault="00A5594A" w:rsidP="00244DBD">
      <w:pPr>
        <w:spacing w:line="360" w:lineRule="auto"/>
        <w:jc w:val="both"/>
        <w:rPr>
          <w:rFonts w:ascii="Palatino Linotype" w:hAnsi="Palatino Linotype"/>
        </w:rPr>
      </w:pPr>
    </w:p>
    <w:p w14:paraId="6BE30382" w14:textId="77777777" w:rsidR="00A5594A" w:rsidRPr="00244DBD" w:rsidRDefault="00A5594A" w:rsidP="00244DBD">
      <w:pPr>
        <w:numPr>
          <w:ilvl w:val="0"/>
          <w:numId w:val="6"/>
        </w:numPr>
        <w:spacing w:line="360" w:lineRule="auto"/>
        <w:ind w:left="1276" w:hanging="425"/>
        <w:jc w:val="both"/>
        <w:rPr>
          <w:rFonts w:ascii="Palatino Linotype" w:hAnsi="Palatino Linotype"/>
        </w:rPr>
      </w:pPr>
      <w:r w:rsidRPr="00244DBD">
        <w:rPr>
          <w:rFonts w:ascii="Palatino Linotype" w:hAnsi="Palatino Linotype"/>
        </w:rPr>
        <w:t>Se reciba una solicitud de acceso a la información;</w:t>
      </w:r>
    </w:p>
    <w:p w14:paraId="7F0A77C0" w14:textId="77777777" w:rsidR="00A5594A" w:rsidRPr="00244DBD" w:rsidRDefault="00A5594A" w:rsidP="00244DBD">
      <w:pPr>
        <w:numPr>
          <w:ilvl w:val="0"/>
          <w:numId w:val="6"/>
        </w:numPr>
        <w:spacing w:line="360" w:lineRule="auto"/>
        <w:ind w:left="1276" w:hanging="425"/>
        <w:jc w:val="both"/>
        <w:rPr>
          <w:rFonts w:ascii="Palatino Linotype" w:hAnsi="Palatino Linotype"/>
        </w:rPr>
      </w:pPr>
      <w:r w:rsidRPr="00244DBD">
        <w:rPr>
          <w:rFonts w:ascii="Palatino Linotype" w:hAnsi="Palatino Linotype"/>
        </w:rPr>
        <w:t>Se determine mediante resolución de autoridad competente; y/o</w:t>
      </w:r>
    </w:p>
    <w:p w14:paraId="4FA105BF" w14:textId="77777777" w:rsidR="00A5594A" w:rsidRPr="00244DBD" w:rsidRDefault="00A5594A" w:rsidP="00244DBD">
      <w:pPr>
        <w:numPr>
          <w:ilvl w:val="0"/>
          <w:numId w:val="6"/>
        </w:numPr>
        <w:spacing w:line="360" w:lineRule="auto"/>
        <w:ind w:left="1276" w:hanging="425"/>
        <w:jc w:val="both"/>
        <w:rPr>
          <w:rFonts w:ascii="Palatino Linotype" w:hAnsi="Palatino Linotype"/>
        </w:rPr>
      </w:pPr>
      <w:r w:rsidRPr="00244DBD">
        <w:rPr>
          <w:rFonts w:ascii="Palatino Linotype" w:hAnsi="Palatino Linotype"/>
        </w:rPr>
        <w:t>Se generen versiones públicas para dar cumplimiento a las obligaciones de transparencia previstas en la Ley.</w:t>
      </w:r>
    </w:p>
    <w:p w14:paraId="6F665A1C" w14:textId="77777777" w:rsidR="00A5594A" w:rsidRPr="00244DBD" w:rsidRDefault="00A5594A" w:rsidP="00244DBD">
      <w:pPr>
        <w:spacing w:line="360" w:lineRule="auto"/>
        <w:ind w:left="1276"/>
        <w:jc w:val="both"/>
        <w:rPr>
          <w:rFonts w:ascii="Palatino Linotype" w:hAnsi="Palatino Linotype"/>
        </w:rPr>
      </w:pPr>
    </w:p>
    <w:p w14:paraId="449BC953"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Situación que se robustece con el artículo 141 de la misma Ley, que señala que las causales de reserva previstas, se deberán fundar y motivar, a través de la aplicación de la prueba de daño.</w:t>
      </w:r>
    </w:p>
    <w:p w14:paraId="27875763" w14:textId="77777777" w:rsidR="00A5594A" w:rsidRPr="00244DBD" w:rsidRDefault="00A5594A" w:rsidP="00244DBD">
      <w:pPr>
        <w:spacing w:line="360" w:lineRule="auto"/>
        <w:jc w:val="both"/>
        <w:rPr>
          <w:rFonts w:ascii="Palatino Linotype" w:hAnsi="Palatino Linotype"/>
        </w:rPr>
      </w:pPr>
    </w:p>
    <w:p w14:paraId="0E302977" w14:textId="77777777" w:rsidR="00A5594A" w:rsidRPr="00244DBD" w:rsidRDefault="00A5594A" w:rsidP="00244DBD">
      <w:pPr>
        <w:spacing w:line="360" w:lineRule="auto"/>
        <w:jc w:val="both"/>
        <w:rPr>
          <w:rFonts w:ascii="Palatino Linotype" w:hAnsi="Palatino Linotype"/>
        </w:rPr>
      </w:pPr>
      <w:r w:rsidRPr="00244DBD">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68B36C0E" w14:textId="77777777" w:rsidR="00A5594A" w:rsidRPr="00244DBD" w:rsidRDefault="00A5594A" w:rsidP="00244DBD">
      <w:pPr>
        <w:spacing w:line="360" w:lineRule="auto"/>
        <w:jc w:val="both"/>
        <w:rPr>
          <w:rFonts w:ascii="Palatino Linotype" w:hAnsi="Palatino Linotype"/>
        </w:rPr>
      </w:pPr>
    </w:p>
    <w:p w14:paraId="46454D45" w14:textId="77777777" w:rsidR="00A5594A" w:rsidRPr="00244DBD" w:rsidRDefault="00A5594A" w:rsidP="00244DBD">
      <w:pPr>
        <w:numPr>
          <w:ilvl w:val="0"/>
          <w:numId w:val="7"/>
        </w:numPr>
        <w:spacing w:line="360" w:lineRule="auto"/>
        <w:ind w:left="1134" w:hanging="283"/>
        <w:jc w:val="both"/>
        <w:rPr>
          <w:rFonts w:ascii="Palatino Linotype" w:hAnsi="Palatino Linotype"/>
        </w:rPr>
      </w:pPr>
      <w:r w:rsidRPr="00244DBD">
        <w:rPr>
          <w:rFonts w:ascii="Palatino Linotype" w:hAnsi="Palatino Linotype"/>
        </w:rPr>
        <w:t xml:space="preserve">La divulgación de la información representa un </w:t>
      </w:r>
      <w:r w:rsidRPr="00244DBD">
        <w:rPr>
          <w:rFonts w:ascii="Palatino Linotype" w:hAnsi="Palatino Linotype"/>
          <w:b/>
        </w:rPr>
        <w:t>riesgo real, demostrable e identificable del perjuicio significativo al interés público o a la seguridad pública</w:t>
      </w:r>
      <w:r w:rsidRPr="00244DBD">
        <w:rPr>
          <w:rFonts w:ascii="Palatino Linotype" w:hAnsi="Palatino Linotype"/>
        </w:rPr>
        <w:t>;</w:t>
      </w:r>
    </w:p>
    <w:p w14:paraId="6BB23764" w14:textId="77777777" w:rsidR="00A5594A" w:rsidRPr="00244DBD" w:rsidRDefault="00A5594A" w:rsidP="00244DBD">
      <w:pPr>
        <w:numPr>
          <w:ilvl w:val="0"/>
          <w:numId w:val="7"/>
        </w:numPr>
        <w:spacing w:line="360" w:lineRule="auto"/>
        <w:ind w:left="1134" w:hanging="283"/>
        <w:jc w:val="both"/>
        <w:rPr>
          <w:rFonts w:ascii="Palatino Linotype" w:hAnsi="Palatino Linotype"/>
        </w:rPr>
      </w:pPr>
      <w:r w:rsidRPr="00244DBD">
        <w:rPr>
          <w:rFonts w:ascii="Palatino Linotype" w:hAnsi="Palatino Linotype"/>
        </w:rPr>
        <w:t>El riesgo de perjuicio que supondría la divulgación supera el interés público general de que se difunda; y,</w:t>
      </w:r>
    </w:p>
    <w:p w14:paraId="2F03E3AD" w14:textId="77777777" w:rsidR="00A5594A" w:rsidRPr="00244DBD" w:rsidRDefault="00A5594A" w:rsidP="00244DBD">
      <w:pPr>
        <w:numPr>
          <w:ilvl w:val="0"/>
          <w:numId w:val="7"/>
        </w:numPr>
        <w:spacing w:line="360" w:lineRule="auto"/>
        <w:ind w:left="1134" w:hanging="283"/>
        <w:jc w:val="both"/>
        <w:rPr>
          <w:rFonts w:ascii="Palatino Linotype" w:hAnsi="Palatino Linotype"/>
        </w:rPr>
      </w:pPr>
      <w:r w:rsidRPr="00244DBD">
        <w:rPr>
          <w:rFonts w:ascii="Palatino Linotype" w:hAnsi="Palatino Linotype"/>
        </w:rPr>
        <w:lastRenderedPageBreak/>
        <w:t xml:space="preserve">La limitación se adecua al principio de proporcionalidad y representa el medio menos restrictivo disponible para evitar el perjuicio. </w:t>
      </w:r>
    </w:p>
    <w:p w14:paraId="43423080" w14:textId="77777777" w:rsidR="00A5594A" w:rsidRPr="00244DBD" w:rsidRDefault="00A5594A" w:rsidP="00244DBD">
      <w:pPr>
        <w:spacing w:line="360" w:lineRule="auto"/>
        <w:ind w:left="1134"/>
        <w:jc w:val="both"/>
        <w:rPr>
          <w:rFonts w:ascii="Palatino Linotype" w:hAnsi="Palatino Linotype"/>
        </w:rPr>
      </w:pPr>
    </w:p>
    <w:p w14:paraId="5D4B715F" w14:textId="77777777" w:rsidR="00A5594A" w:rsidRPr="00244DBD" w:rsidRDefault="00A5594A" w:rsidP="00244DBD">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244DBD">
        <w:rPr>
          <w:rFonts w:ascii="Palatino Linotype" w:hAnsi="Palatino Linotype"/>
          <w:bCs/>
        </w:rPr>
        <w:t xml:space="preserve">Atento a lo anterior, </w:t>
      </w:r>
      <w:r w:rsidRPr="00244DBD">
        <w:rPr>
          <w:rFonts w:ascii="Palatino Linotype" w:hAnsi="Palatino Linotype" w:cs="Arial"/>
        </w:rPr>
        <w:t xml:space="preserve">es necesario hacer hincapié que para el caso de que existan </w:t>
      </w:r>
      <w:r w:rsidRPr="00244DBD">
        <w:rPr>
          <w:rFonts w:ascii="Palatino Linotype" w:hAnsi="Palatino Linotype"/>
        </w:rPr>
        <w:t xml:space="preserve">causas presentes que impiden la publicidad de la información durante cierto periodo de tiempo, </w:t>
      </w:r>
      <w:r w:rsidRPr="00244DBD">
        <w:rPr>
          <w:rFonts w:ascii="Palatino Linotype" w:hAnsi="Palatino Linotype"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2491F4E" w14:textId="77777777" w:rsidR="00A5594A" w:rsidRPr="00244DBD" w:rsidRDefault="00A5594A" w:rsidP="00244DBD">
      <w:pPr>
        <w:spacing w:line="360" w:lineRule="auto"/>
        <w:rPr>
          <w:rFonts w:ascii="Palatino Linotype" w:hAnsi="Palatino Linotype"/>
        </w:rPr>
      </w:pPr>
    </w:p>
    <w:p w14:paraId="3A42CC5A" w14:textId="77777777" w:rsidR="00A5594A" w:rsidRPr="00244DBD" w:rsidRDefault="00A5594A" w:rsidP="00244DBD">
      <w:pPr>
        <w:spacing w:line="360" w:lineRule="auto"/>
        <w:ind w:right="49"/>
        <w:jc w:val="both"/>
        <w:rPr>
          <w:rFonts w:ascii="Palatino Linotype" w:hAnsi="Palatino Linotype" w:cs="Arial"/>
          <w:lang w:val="es-ES_tradnl"/>
        </w:rPr>
      </w:pPr>
      <w:r w:rsidRPr="00244DBD">
        <w:rPr>
          <w:rFonts w:ascii="Palatino Linotype" w:hAnsi="Palatino Linotype" w:cs="Arial"/>
          <w:lang w:val="es-ES_tradnl"/>
        </w:rPr>
        <w:t xml:space="preserve">Por lo tanto, la entrega de documentos, en su </w:t>
      </w:r>
      <w:r w:rsidRPr="00244DBD">
        <w:rPr>
          <w:rFonts w:ascii="Palatino Linotype" w:hAnsi="Palatino Linotype" w:cs="Arial"/>
          <w:b/>
          <w:lang w:val="es-ES_tradnl"/>
        </w:rPr>
        <w:t>versión pública</w:t>
      </w:r>
      <w:r w:rsidRPr="00244DBD">
        <w:rPr>
          <w:rFonts w:ascii="Palatino Linotype" w:hAnsi="Palatino Linotype" w:cs="Arial"/>
          <w:lang w:val="es-ES_tradnl"/>
        </w:rPr>
        <w:t xml:space="preserve">, debe acompañarse necesariamente del Acuerdo del Comité de Transparencia que la sustente, en el que se expongan los fundamentos y razonamientos que llevaron al </w:t>
      </w:r>
      <w:r w:rsidRPr="00244DBD">
        <w:rPr>
          <w:rFonts w:ascii="Palatino Linotype" w:hAnsi="Palatino Linotype" w:cs="Arial"/>
          <w:b/>
          <w:lang w:val="es-ES_tradnl"/>
        </w:rPr>
        <w:t>SUJETO OBLIGADO</w:t>
      </w:r>
      <w:r w:rsidRPr="00244DBD">
        <w:rPr>
          <w:rFonts w:ascii="Palatino Linotype" w:hAnsi="Palatino Linotype"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FA66A72" w14:textId="77777777" w:rsidR="00A5594A" w:rsidRPr="00244DBD" w:rsidRDefault="00A5594A" w:rsidP="001C4021">
      <w:pPr>
        <w:tabs>
          <w:tab w:val="left" w:pos="2066"/>
        </w:tabs>
        <w:jc w:val="both"/>
        <w:rPr>
          <w:rFonts w:ascii="Palatino Linotype" w:eastAsia="Palatino Linotype" w:hAnsi="Palatino Linotype" w:cs="Palatino Linotype"/>
          <w:sz w:val="22"/>
          <w:szCs w:val="22"/>
        </w:rPr>
      </w:pPr>
    </w:p>
    <w:p w14:paraId="1E4E5169" w14:textId="77777777" w:rsidR="00A5594A" w:rsidRPr="00244DBD" w:rsidRDefault="00A5594A"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Debido a lo anteriormente expuesto, este Órgano Garante, estima que las razones o motivos de inconformidad hechos valer por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xml:space="preserve"> devienen </w:t>
      </w:r>
      <w:r w:rsidRPr="00244DBD">
        <w:rPr>
          <w:rFonts w:ascii="Palatino Linotype" w:eastAsia="Palatino Linotype" w:hAnsi="Palatino Linotype" w:cs="Palatino Linotype"/>
          <w:b/>
        </w:rPr>
        <w:t>fundadas</w:t>
      </w:r>
      <w:r w:rsidRPr="00244DBD">
        <w:rPr>
          <w:rFonts w:ascii="Palatino Linotype" w:eastAsia="Palatino Linotype" w:hAnsi="Palatino Linotype" w:cs="Palatino Linotype"/>
        </w:rPr>
        <w:t xml:space="preserve"> y </w:t>
      </w:r>
      <w:r w:rsidRPr="00244DBD">
        <w:rPr>
          <w:rFonts w:ascii="Palatino Linotype" w:eastAsia="Palatino Linotype" w:hAnsi="Palatino Linotype" w:cs="Palatino Linotype"/>
        </w:rPr>
        <w:lastRenderedPageBreak/>
        <w:t xml:space="preserve">suficientes para </w:t>
      </w:r>
      <w:r w:rsidRPr="00244DBD">
        <w:rPr>
          <w:rFonts w:ascii="Palatino Linotype" w:eastAsia="Palatino Linotype" w:hAnsi="Palatino Linotype" w:cs="Palatino Linotype"/>
          <w:b/>
        </w:rPr>
        <w:t>MODIFICA</w:t>
      </w:r>
      <w:r w:rsidRPr="00244DBD">
        <w:rPr>
          <w:rFonts w:ascii="Palatino Linotype" w:eastAsia="Palatino Linotype" w:hAnsi="Palatino Linotype" w:cs="Palatino Linotype"/>
        </w:rPr>
        <w:t xml:space="preserve"> la respuesta del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xml:space="preserve"> y ordenarle haga entrega de la información descrita en el presente Considerando.</w:t>
      </w:r>
    </w:p>
    <w:p w14:paraId="2CE66EC9" w14:textId="1F34F11C" w:rsidR="00A5594A" w:rsidRPr="00244DBD" w:rsidRDefault="00A5594A" w:rsidP="001C4021">
      <w:pPr>
        <w:ind w:right="49"/>
        <w:jc w:val="both"/>
        <w:rPr>
          <w:rFonts w:ascii="Palatino Linotype" w:eastAsia="Palatino Linotype" w:hAnsi="Palatino Linotype" w:cs="Palatino Linotype"/>
        </w:rPr>
      </w:pPr>
    </w:p>
    <w:p w14:paraId="443FB292" w14:textId="2BBB9C4E" w:rsidR="00261F9B" w:rsidRPr="00244DBD" w:rsidRDefault="009C3371" w:rsidP="00244DBD">
      <w:pPr>
        <w:spacing w:line="360" w:lineRule="auto"/>
        <w:jc w:val="both"/>
        <w:rPr>
          <w:rFonts w:ascii="Palatino Linotype" w:eastAsia="Palatino Linotype" w:hAnsi="Palatino Linotype" w:cs="Palatino Linotype"/>
          <w:bCs/>
        </w:rPr>
      </w:pPr>
      <w:r w:rsidRPr="00244DBD">
        <w:rPr>
          <w:rFonts w:ascii="Palatino Linotype" w:eastAsia="Palatino Linotype" w:hAnsi="Palatino Linotype" w:cs="Palatino Linotype"/>
        </w:rPr>
        <w:t xml:space="preserve">Por lo hasta aquí expuesto, este Instituto estima que las razones o motivos de inconformidad hechos valer por </w:t>
      </w:r>
      <w:r w:rsidRPr="00244DBD">
        <w:rPr>
          <w:rFonts w:ascii="Palatino Linotype" w:eastAsia="Palatino Linotype" w:hAnsi="Palatino Linotype" w:cs="Palatino Linotype"/>
          <w:b/>
        </w:rPr>
        <w:t>EL RECURRENTE</w:t>
      </w:r>
      <w:r w:rsidRPr="00244DBD">
        <w:rPr>
          <w:rFonts w:ascii="Palatino Linotype" w:eastAsia="Palatino Linotype" w:hAnsi="Palatino Linotype" w:cs="Palatino Linotype"/>
        </w:rPr>
        <w:t xml:space="preserve"> para el recurso de revisión </w:t>
      </w:r>
      <w:r w:rsidRPr="00244DBD">
        <w:rPr>
          <w:rFonts w:ascii="Palatino Linotype" w:eastAsia="Palatino Linotype" w:hAnsi="Palatino Linotype" w:cs="Palatino Linotype"/>
          <w:b/>
        </w:rPr>
        <w:t xml:space="preserve">04398/INFOEM/IP/RR/2023, </w:t>
      </w:r>
      <w:r w:rsidRPr="00244DBD">
        <w:rPr>
          <w:rFonts w:ascii="Palatino Linotype" w:eastAsia="Palatino Linotype" w:hAnsi="Palatino Linotype" w:cs="Palatino Linotype"/>
        </w:rPr>
        <w:t xml:space="preserve">devienen fundadas por lo que se </w:t>
      </w:r>
      <w:r w:rsidR="00096C19" w:rsidRPr="00244DBD">
        <w:rPr>
          <w:rFonts w:ascii="Palatino Linotype" w:eastAsia="Palatino Linotype" w:hAnsi="Palatino Linotype" w:cs="Palatino Linotype"/>
          <w:b/>
          <w:bCs/>
        </w:rPr>
        <w:t>MODIFICA</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 xml:space="preserve">la respuesta del </w:t>
      </w:r>
      <w:r w:rsidRPr="00244DBD">
        <w:rPr>
          <w:rFonts w:ascii="Palatino Linotype" w:eastAsia="Palatino Linotype" w:hAnsi="Palatino Linotype" w:cs="Palatino Linotype"/>
          <w:b/>
        </w:rPr>
        <w:t>SUJETO OBLIGAD</w:t>
      </w:r>
      <w:r w:rsidR="00096C19" w:rsidRPr="00244DBD">
        <w:rPr>
          <w:rFonts w:ascii="Palatino Linotype" w:eastAsia="Palatino Linotype" w:hAnsi="Palatino Linotype" w:cs="Palatino Linotype"/>
          <w:b/>
        </w:rPr>
        <w:t xml:space="preserve">O, </w:t>
      </w:r>
      <w:r w:rsidR="00096C19" w:rsidRPr="00244DBD">
        <w:rPr>
          <w:rFonts w:ascii="Palatino Linotype" w:eastAsia="Palatino Linotype" w:hAnsi="Palatino Linotype" w:cs="Palatino Linotype"/>
          <w:bCs/>
        </w:rPr>
        <w:t>Y se ordena la entrega de la información mencionada en líneas que preceden.</w:t>
      </w:r>
    </w:p>
    <w:p w14:paraId="5AB26374" w14:textId="77777777" w:rsidR="00261F9B" w:rsidRPr="00244DBD" w:rsidRDefault="00261F9B" w:rsidP="001C4021">
      <w:pPr>
        <w:widowControl w:val="0"/>
        <w:tabs>
          <w:tab w:val="left" w:pos="1701"/>
          <w:tab w:val="left" w:pos="1843"/>
        </w:tabs>
        <w:jc w:val="both"/>
        <w:rPr>
          <w:rFonts w:ascii="Palatino Linotype" w:eastAsia="Palatino Linotype" w:hAnsi="Palatino Linotype" w:cs="Palatino Linotype"/>
        </w:rPr>
      </w:pPr>
    </w:p>
    <w:p w14:paraId="089E3FDF" w14:textId="77777777" w:rsidR="00261F9B" w:rsidRPr="00244DBD" w:rsidRDefault="009C3371" w:rsidP="00244DBD">
      <w:pPr>
        <w:spacing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193F3562" w14:textId="77777777" w:rsidR="00261F9B" w:rsidRPr="00244DBD" w:rsidRDefault="00261F9B" w:rsidP="001C4021">
      <w:pPr>
        <w:jc w:val="both"/>
        <w:rPr>
          <w:rFonts w:ascii="Palatino Linotype" w:eastAsia="Palatino Linotype" w:hAnsi="Palatino Linotype" w:cs="Palatino Linotype"/>
        </w:rPr>
      </w:pPr>
    </w:p>
    <w:p w14:paraId="28EF9E16" w14:textId="77777777" w:rsidR="00261F9B" w:rsidRPr="00244DBD" w:rsidRDefault="009C3371" w:rsidP="00244DBD">
      <w:pPr>
        <w:spacing w:line="360" w:lineRule="auto"/>
        <w:jc w:val="center"/>
        <w:rPr>
          <w:rFonts w:ascii="Palatino Linotype" w:eastAsia="Palatino Linotype" w:hAnsi="Palatino Linotype" w:cs="Palatino Linotype"/>
          <w:b/>
          <w:sz w:val="28"/>
        </w:rPr>
      </w:pPr>
      <w:r w:rsidRPr="00244DBD">
        <w:rPr>
          <w:rFonts w:ascii="Palatino Linotype" w:eastAsia="Palatino Linotype" w:hAnsi="Palatino Linotype" w:cs="Palatino Linotype"/>
          <w:b/>
          <w:sz w:val="28"/>
        </w:rPr>
        <w:t>RESUELVE</w:t>
      </w:r>
    </w:p>
    <w:p w14:paraId="0B906F49" w14:textId="77777777" w:rsidR="00261F9B" w:rsidRPr="00244DBD" w:rsidRDefault="00261F9B" w:rsidP="00244DBD">
      <w:pPr>
        <w:jc w:val="center"/>
        <w:rPr>
          <w:rFonts w:ascii="Palatino Linotype" w:eastAsia="Palatino Linotype" w:hAnsi="Palatino Linotype" w:cs="Palatino Linotype"/>
          <w:b/>
        </w:rPr>
      </w:pPr>
    </w:p>
    <w:p w14:paraId="3F0A0D53" w14:textId="77777777" w:rsidR="00261F9B" w:rsidRPr="00244DBD" w:rsidRDefault="009C3371" w:rsidP="00244DBD">
      <w:pPr>
        <w:widowControl w:val="0"/>
        <w:spacing w:line="360" w:lineRule="auto"/>
        <w:jc w:val="both"/>
        <w:rPr>
          <w:rFonts w:ascii="Palatino Linotype" w:eastAsia="Palatino Linotype" w:hAnsi="Palatino Linotype" w:cs="Palatino Linotype"/>
          <w:b/>
          <w:sz w:val="28"/>
          <w:szCs w:val="28"/>
        </w:rPr>
      </w:pPr>
      <w:r w:rsidRPr="00244DBD">
        <w:rPr>
          <w:rFonts w:ascii="Palatino Linotype" w:eastAsia="Palatino Linotype" w:hAnsi="Palatino Linotype" w:cs="Palatino Linotype"/>
          <w:b/>
          <w:sz w:val="28"/>
          <w:szCs w:val="28"/>
        </w:rPr>
        <w:t xml:space="preserve">PRIMERO. </w:t>
      </w:r>
      <w:r w:rsidRPr="00244DBD">
        <w:rPr>
          <w:rFonts w:ascii="Palatino Linotype" w:eastAsia="Palatino Linotype" w:hAnsi="Palatino Linotype" w:cs="Palatino Linotype"/>
        </w:rPr>
        <w:t xml:space="preserve">Se </w:t>
      </w:r>
      <w:r w:rsidRPr="00244DBD">
        <w:rPr>
          <w:rFonts w:ascii="Palatino Linotype" w:eastAsia="Palatino Linotype" w:hAnsi="Palatino Linotype" w:cs="Palatino Linotype"/>
          <w:b/>
        </w:rPr>
        <w:t>SOBRESEE</w:t>
      </w:r>
      <w:r w:rsidRPr="00244DBD">
        <w:rPr>
          <w:rFonts w:ascii="Palatino Linotype" w:eastAsia="Palatino Linotype" w:hAnsi="Palatino Linotype" w:cs="Palatino Linotype"/>
        </w:rPr>
        <w:t xml:space="preserve"> el Recurso de Revisión número </w:t>
      </w:r>
      <w:r w:rsidRPr="00244DBD">
        <w:rPr>
          <w:rFonts w:ascii="Palatino Linotype" w:eastAsia="Palatino Linotype" w:hAnsi="Palatino Linotype" w:cs="Palatino Linotype"/>
          <w:b/>
        </w:rPr>
        <w:t xml:space="preserve">04397/INFOEM/IP/RR/2023 </w:t>
      </w:r>
      <w:r w:rsidRPr="00244DBD">
        <w:rPr>
          <w:rFonts w:ascii="Palatino Linotype" w:eastAsia="Palatino Linotype" w:hAnsi="Palatino Linotype" w:cs="Palatino Linotype"/>
        </w:rPr>
        <w:t xml:space="preserve">por actualizarse la causal establecida en el artículo 192 fracción III de la Ley de Transparencia y Acceso a la Información Pública del Estado de México y Municipios, ya que al </w:t>
      </w:r>
      <w:r w:rsidRPr="00244DBD">
        <w:rPr>
          <w:rFonts w:ascii="Palatino Linotype" w:eastAsia="Palatino Linotype" w:hAnsi="Palatino Linotype" w:cs="Palatino Linotype"/>
          <w:b/>
        </w:rPr>
        <w:t>modificar el Sujeto Obligado la respuesta, el Recurso de Revisión quedó sin materia</w:t>
      </w:r>
      <w:r w:rsidRPr="00244DBD">
        <w:rPr>
          <w:rFonts w:ascii="Palatino Linotype" w:eastAsia="Palatino Linotype" w:hAnsi="Palatino Linotype" w:cs="Palatino Linotype"/>
        </w:rPr>
        <w:t xml:space="preserve">, en términos del Considerando </w:t>
      </w:r>
      <w:r w:rsidRPr="00244DBD">
        <w:rPr>
          <w:rFonts w:ascii="Palatino Linotype" w:eastAsia="Palatino Linotype" w:hAnsi="Palatino Linotype" w:cs="Palatino Linotype"/>
          <w:b/>
        </w:rPr>
        <w:t>SEXTO</w:t>
      </w:r>
      <w:r w:rsidRPr="00244DBD">
        <w:rPr>
          <w:rFonts w:ascii="Palatino Linotype" w:eastAsia="Palatino Linotype" w:hAnsi="Palatino Linotype" w:cs="Palatino Linotype"/>
        </w:rPr>
        <w:t xml:space="preserve"> de la presente resolución.</w:t>
      </w:r>
    </w:p>
    <w:p w14:paraId="3EA68A8F" w14:textId="56E6FE27" w:rsidR="00F73FCD" w:rsidRPr="00244DBD" w:rsidRDefault="00F73FCD" w:rsidP="00244DBD">
      <w:pPr>
        <w:spacing w:before="240"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lastRenderedPageBreak/>
        <w:t xml:space="preserve">SEGUNDO. - </w:t>
      </w:r>
      <w:r w:rsidRPr="00244DBD">
        <w:rPr>
          <w:rFonts w:ascii="Palatino Linotype" w:eastAsia="Palatino Linotype" w:hAnsi="Palatino Linotype" w:cs="Palatino Linotype"/>
        </w:rPr>
        <w:t xml:space="preserve">Resultan </w:t>
      </w:r>
      <w:r w:rsidRPr="00244DBD">
        <w:rPr>
          <w:rFonts w:ascii="Palatino Linotype" w:eastAsia="Palatino Linotype" w:hAnsi="Palatino Linotype" w:cs="Palatino Linotype"/>
          <w:b/>
        </w:rPr>
        <w:t>parcialmente</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 xml:space="preserve">fundadas </w:t>
      </w:r>
      <w:r w:rsidRPr="00244DBD">
        <w:rPr>
          <w:rFonts w:ascii="Palatino Linotype" w:eastAsia="Palatino Linotype" w:hAnsi="Palatino Linotype" w:cs="Palatino Linotype"/>
        </w:rPr>
        <w:t xml:space="preserve">las razones o motivos de inconformidad hechos valer por </w:t>
      </w:r>
      <w:r w:rsidRPr="00244DBD">
        <w:rPr>
          <w:rFonts w:ascii="Palatino Linotype" w:eastAsia="Palatino Linotype" w:hAnsi="Palatino Linotype" w:cs="Palatino Linotype"/>
          <w:b/>
        </w:rPr>
        <w:t>la parte Recurrente</w:t>
      </w:r>
      <w:r w:rsidRPr="00244DBD">
        <w:rPr>
          <w:rFonts w:ascii="Palatino Linotype" w:eastAsia="Palatino Linotype" w:hAnsi="Palatino Linotype" w:cs="Palatino Linotype"/>
        </w:rPr>
        <w:t xml:space="preserve"> en el recurso de revisión </w:t>
      </w:r>
      <w:r w:rsidRPr="00244DBD">
        <w:rPr>
          <w:rFonts w:ascii="Palatino Linotype" w:eastAsia="Palatino Linotype" w:hAnsi="Palatino Linotype" w:cs="Palatino Linotype"/>
          <w:b/>
        </w:rPr>
        <w:t>04398/INFOEM/IP/RR/2023</w:t>
      </w:r>
      <w:r w:rsidRPr="00244DBD">
        <w:rPr>
          <w:rFonts w:ascii="Palatino Linotype" w:eastAsia="Palatino Linotype" w:hAnsi="Palatino Linotype" w:cs="Palatino Linotype"/>
        </w:rPr>
        <w:t xml:space="preserve">; por lo que, en términos del </w:t>
      </w:r>
      <w:r w:rsidRPr="00244DBD">
        <w:rPr>
          <w:rFonts w:ascii="Palatino Linotype" w:eastAsia="Palatino Linotype" w:hAnsi="Palatino Linotype" w:cs="Palatino Linotype"/>
          <w:b/>
        </w:rPr>
        <w:t>Considerando</w:t>
      </w:r>
      <w:r w:rsidRPr="00244DBD">
        <w:rPr>
          <w:rFonts w:ascii="Palatino Linotype" w:eastAsia="Palatino Linotype" w:hAnsi="Palatino Linotype" w:cs="Palatino Linotype"/>
        </w:rPr>
        <w:t xml:space="preserve"> </w:t>
      </w:r>
      <w:r w:rsidR="00595B93">
        <w:rPr>
          <w:rFonts w:ascii="Palatino Linotype" w:eastAsia="Palatino Linotype" w:hAnsi="Palatino Linotype" w:cs="Palatino Linotype"/>
          <w:b/>
        </w:rPr>
        <w:t>Sexto</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 xml:space="preserve">de esta resolución, se </w:t>
      </w:r>
      <w:r w:rsidRPr="00244DBD">
        <w:rPr>
          <w:rFonts w:ascii="Palatino Linotype" w:eastAsia="Palatino Linotype" w:hAnsi="Palatino Linotype" w:cs="Palatino Linotype"/>
          <w:b/>
        </w:rPr>
        <w:t xml:space="preserve">MODIFICA </w:t>
      </w:r>
      <w:r w:rsidRPr="00244DBD">
        <w:rPr>
          <w:rFonts w:ascii="Palatino Linotype" w:eastAsia="Palatino Linotype" w:hAnsi="Palatino Linotype" w:cs="Palatino Linotype"/>
        </w:rPr>
        <w:t xml:space="preserve">la respuesta emitida por el </w:t>
      </w:r>
      <w:r w:rsidRPr="00244DBD">
        <w:rPr>
          <w:rFonts w:ascii="Palatino Linotype" w:eastAsia="Palatino Linotype" w:hAnsi="Palatino Linotype" w:cs="Palatino Linotype"/>
          <w:b/>
        </w:rPr>
        <w:t>Sujeto Obligado.</w:t>
      </w:r>
    </w:p>
    <w:p w14:paraId="161E5A95" w14:textId="64342DF4" w:rsidR="00F73FCD" w:rsidRPr="00244DBD" w:rsidRDefault="00F73FCD" w:rsidP="00244DBD">
      <w:pPr>
        <w:spacing w:before="240" w:after="240" w:line="360" w:lineRule="auto"/>
        <w:ind w:right="49"/>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Se </w:t>
      </w:r>
      <w:r w:rsidRPr="00244DBD">
        <w:rPr>
          <w:rFonts w:ascii="Palatino Linotype" w:eastAsia="Palatino Linotype" w:hAnsi="Palatino Linotype" w:cs="Palatino Linotype"/>
          <w:b/>
        </w:rPr>
        <w:t xml:space="preserve">Ordena </w:t>
      </w:r>
      <w:r w:rsidRPr="00244DBD">
        <w:rPr>
          <w:rFonts w:ascii="Palatino Linotype" w:eastAsia="Palatino Linotype" w:hAnsi="Palatino Linotype" w:cs="Palatino Linotype"/>
        </w:rPr>
        <w:t xml:space="preserve">al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previa búsqueda exhaustiva y razonable, entregue, a</w:t>
      </w:r>
      <w:r w:rsidRPr="00244DBD">
        <w:rPr>
          <w:rFonts w:ascii="Palatino Linotype" w:eastAsia="Palatino Linotype" w:hAnsi="Palatino Linotype" w:cs="Palatino Linotype"/>
          <w:b/>
        </w:rPr>
        <w:t xml:space="preserve"> la parte</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Recurrente</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 xml:space="preserve">vía SAIMEX, </w:t>
      </w:r>
      <w:r w:rsidRPr="00244DBD">
        <w:rPr>
          <w:rFonts w:ascii="Palatino Linotype" w:eastAsia="Palatino Linotype" w:hAnsi="Palatino Linotype" w:cs="Palatino Linotype"/>
        </w:rPr>
        <w:t>en términos de</w:t>
      </w:r>
      <w:r w:rsidRPr="00244DBD">
        <w:rPr>
          <w:rFonts w:ascii="Palatino Linotype" w:eastAsia="Palatino Linotype" w:hAnsi="Palatino Linotype" w:cs="Palatino Linotype"/>
          <w:bCs/>
        </w:rPr>
        <w:t>l</w:t>
      </w:r>
      <w:r w:rsidRPr="00244DBD">
        <w:rPr>
          <w:rFonts w:ascii="Palatino Linotype" w:eastAsia="Palatino Linotype" w:hAnsi="Palatino Linotype" w:cs="Palatino Linotype"/>
          <w:b/>
        </w:rPr>
        <w:t xml:space="preserve"> Considerando</w:t>
      </w:r>
      <w:r w:rsidRPr="00244DBD">
        <w:rPr>
          <w:rFonts w:ascii="Palatino Linotype" w:eastAsia="Palatino Linotype" w:hAnsi="Palatino Linotype" w:cs="Palatino Linotype"/>
        </w:rPr>
        <w:t xml:space="preserve"> </w:t>
      </w:r>
      <w:r w:rsidRPr="00244DBD">
        <w:rPr>
          <w:rFonts w:ascii="Palatino Linotype" w:eastAsia="Palatino Linotype" w:hAnsi="Palatino Linotype" w:cs="Palatino Linotype"/>
          <w:b/>
        </w:rPr>
        <w:t xml:space="preserve">Quinto, </w:t>
      </w:r>
      <w:r w:rsidRPr="00244DBD">
        <w:rPr>
          <w:rFonts w:ascii="Palatino Linotype" w:eastAsia="Palatino Linotype" w:hAnsi="Palatino Linotype" w:cs="Palatino Linotype"/>
        </w:rPr>
        <w:t>de ser el caso</w:t>
      </w:r>
      <w:r w:rsidRPr="00244DBD">
        <w:rPr>
          <w:rFonts w:ascii="Palatino Linotype" w:eastAsia="Palatino Linotype" w:hAnsi="Palatino Linotype" w:cs="Palatino Linotype"/>
          <w:b/>
        </w:rPr>
        <w:t xml:space="preserve"> </w:t>
      </w:r>
      <w:r w:rsidRPr="00244DBD">
        <w:rPr>
          <w:rFonts w:ascii="Palatino Linotype" w:eastAsia="Palatino Linotype" w:hAnsi="Palatino Linotype" w:cs="Palatino Linotype"/>
        </w:rPr>
        <w:t xml:space="preserve">en versión pública, de lo siguiente: </w:t>
      </w:r>
    </w:p>
    <w:p w14:paraId="656C2270" w14:textId="269F42F8" w:rsidR="00F73FCD" w:rsidRPr="00244DBD" w:rsidRDefault="00F73FCD" w:rsidP="00244DBD">
      <w:pPr>
        <w:pStyle w:val="Prrafodelista"/>
        <w:numPr>
          <w:ilvl w:val="0"/>
          <w:numId w:val="8"/>
        </w:numPr>
        <w:spacing w:before="240" w:after="240" w:line="276" w:lineRule="auto"/>
        <w:ind w:left="567" w:right="709" w:hanging="283"/>
        <w:contextualSpacing/>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b/>
          <w:i/>
          <w:sz w:val="22"/>
        </w:rPr>
        <w:t xml:space="preserve">El oficio233 faltante emitido por la Dirección de Administración </w:t>
      </w:r>
    </w:p>
    <w:p w14:paraId="61516602" w14:textId="77777777" w:rsidR="00F73FCD" w:rsidRPr="00244DBD" w:rsidRDefault="00F73FCD" w:rsidP="00244DBD">
      <w:pPr>
        <w:pStyle w:val="Prrafodelista"/>
        <w:spacing w:before="240" w:after="240" w:line="276" w:lineRule="auto"/>
        <w:ind w:left="567" w:right="709"/>
        <w:contextualSpacing/>
        <w:jc w:val="both"/>
        <w:rPr>
          <w:rFonts w:ascii="Palatino Linotype" w:eastAsia="Palatino Linotype" w:hAnsi="Palatino Linotype" w:cs="Palatino Linotype"/>
          <w:i/>
          <w:sz w:val="22"/>
          <w:szCs w:val="22"/>
        </w:rPr>
      </w:pPr>
    </w:p>
    <w:p w14:paraId="451FB094" w14:textId="6B7B45D1" w:rsidR="00543539" w:rsidRPr="00244DBD" w:rsidRDefault="00F73FCD" w:rsidP="00244DBD">
      <w:pPr>
        <w:pStyle w:val="Prrafodelista"/>
        <w:spacing w:before="240" w:after="240" w:line="276" w:lineRule="auto"/>
        <w:ind w:left="567" w:right="709"/>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44DBD">
        <w:rPr>
          <w:rFonts w:ascii="Palatino Linotype" w:eastAsia="Palatino Linotype" w:hAnsi="Palatino Linotype" w:cs="Palatino Linotype"/>
          <w:b/>
          <w:i/>
          <w:sz w:val="22"/>
          <w:szCs w:val="22"/>
        </w:rPr>
        <w:t>la parte Recurrente</w:t>
      </w:r>
      <w:r w:rsidR="00543539" w:rsidRPr="00244DBD">
        <w:rPr>
          <w:rFonts w:ascii="Palatino Linotype" w:eastAsia="Palatino Linotype" w:hAnsi="Palatino Linotype" w:cs="Palatino Linotype"/>
          <w:i/>
          <w:sz w:val="22"/>
          <w:szCs w:val="22"/>
        </w:rPr>
        <w:t xml:space="preserve">, así como el acuerdo que sustente la versión pública de los oficios No. </w:t>
      </w:r>
      <w:r w:rsidR="00543539" w:rsidRPr="00244DBD">
        <w:rPr>
          <w:rFonts w:ascii="Palatino Linotype" w:eastAsia="Palatino Linotype" w:hAnsi="Palatino Linotype" w:cs="Palatino Linotype"/>
          <w:bCs/>
          <w:i/>
        </w:rPr>
        <w:t xml:space="preserve">2060100001/0303/2022 y No. 2060100001/0304/2022 remitidos en respuesta. </w:t>
      </w:r>
    </w:p>
    <w:p w14:paraId="75692F01" w14:textId="2057D286" w:rsidR="00F73FCD" w:rsidRPr="00244DBD" w:rsidRDefault="00F73FCD" w:rsidP="00244DBD">
      <w:pPr>
        <w:spacing w:before="240" w:after="240" w:line="276" w:lineRule="auto"/>
        <w:ind w:left="567" w:right="709"/>
        <w:jc w:val="both"/>
        <w:rPr>
          <w:rFonts w:ascii="Palatino Linotype" w:eastAsia="Palatino Linotype" w:hAnsi="Palatino Linotype" w:cs="Palatino Linotype"/>
          <w:i/>
          <w:sz w:val="22"/>
          <w:szCs w:val="22"/>
        </w:rPr>
      </w:pPr>
      <w:r w:rsidRPr="00244DBD">
        <w:rPr>
          <w:rFonts w:ascii="Palatino Linotype" w:eastAsia="Palatino Linotype" w:hAnsi="Palatino Linotype" w:cs="Palatino Linotype"/>
          <w:i/>
          <w:sz w:val="22"/>
          <w:szCs w:val="22"/>
        </w:rPr>
        <w:t xml:space="preserve">Para el caso, de que en determinado periodo el oficio faltante ordenado en el </w:t>
      </w:r>
      <w:r w:rsidRPr="00244DBD">
        <w:rPr>
          <w:rFonts w:ascii="Palatino Linotype" w:eastAsia="Palatino Linotype" w:hAnsi="Palatino Linotype" w:cs="Palatino Linotype"/>
          <w:b/>
          <w:i/>
          <w:sz w:val="22"/>
          <w:szCs w:val="22"/>
        </w:rPr>
        <w:t>inciso a)</w:t>
      </w:r>
      <w:r w:rsidRPr="00244DBD">
        <w:rPr>
          <w:rFonts w:ascii="Palatino Linotype" w:eastAsia="Palatino Linotype" w:hAnsi="Palatino Linotype" w:cs="Palatino Linotype"/>
          <w:i/>
          <w:sz w:val="22"/>
          <w:szCs w:val="22"/>
        </w:rPr>
        <w:t xml:space="preserve"> haya sido cancelado, deberá hacerlo del conocimiento de </w:t>
      </w:r>
      <w:r w:rsidRPr="00244DBD">
        <w:rPr>
          <w:rFonts w:ascii="Palatino Linotype" w:eastAsia="Palatino Linotype" w:hAnsi="Palatino Linotype" w:cs="Palatino Linotype"/>
          <w:b/>
          <w:i/>
          <w:sz w:val="22"/>
          <w:szCs w:val="22"/>
        </w:rPr>
        <w:t>la parte Recurrente</w:t>
      </w:r>
      <w:r w:rsidRPr="00244DBD">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w:t>
      </w:r>
    </w:p>
    <w:p w14:paraId="5F3D1D9E" w14:textId="77777777" w:rsidR="00F73FCD" w:rsidRPr="00244DBD" w:rsidRDefault="00F73FCD" w:rsidP="00244DBD">
      <w:pPr>
        <w:spacing w:before="240" w:after="240" w:line="360" w:lineRule="auto"/>
        <w:jc w:val="both"/>
        <w:rPr>
          <w:rFonts w:ascii="Palatino Linotype" w:eastAsia="Palatino Linotype" w:hAnsi="Palatino Linotype" w:cs="Palatino Linotype"/>
          <w:lang w:val="es-ES"/>
        </w:rPr>
      </w:pPr>
      <w:r w:rsidRPr="00244DBD">
        <w:rPr>
          <w:rFonts w:ascii="Palatino Linotype" w:eastAsia="Palatino Linotype" w:hAnsi="Palatino Linotype" w:cs="Palatino Linotype"/>
          <w:b/>
        </w:rPr>
        <w:t>Tercero</w:t>
      </w:r>
      <w:r w:rsidRPr="00244DBD">
        <w:rPr>
          <w:rFonts w:ascii="Palatino Linotype" w:eastAsia="Palatino Linotype" w:hAnsi="Palatino Linotype" w:cs="Palatino Linotype"/>
          <w:b/>
          <w:sz w:val="28"/>
          <w:szCs w:val="28"/>
        </w:rPr>
        <w:t xml:space="preserve">.  </w:t>
      </w:r>
      <w:r w:rsidRPr="00244DBD">
        <w:rPr>
          <w:rFonts w:ascii="Palatino Linotype" w:eastAsia="Palatino Linotype" w:hAnsi="Palatino Linotype" w:cs="Palatino Linotype"/>
          <w:b/>
        </w:rPr>
        <w:t>Notifíquese vía SAIMEX,</w:t>
      </w:r>
      <w:r w:rsidRPr="00244DBD">
        <w:rPr>
          <w:rFonts w:ascii="Palatino Linotype" w:eastAsia="Palatino Linotype" w:hAnsi="Palatino Linotype" w:cs="Palatino Linotype"/>
          <w:b/>
          <w:sz w:val="28"/>
          <w:szCs w:val="28"/>
        </w:rPr>
        <w:t xml:space="preserve"> </w:t>
      </w:r>
      <w:r w:rsidRPr="00244DB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95B93">
        <w:rPr>
          <w:rFonts w:ascii="Palatino Linotype" w:eastAsia="Palatino Linotype" w:hAnsi="Palatino Linotype" w:cs="Palatino Linotype"/>
          <w:b/>
          <w:bCs/>
        </w:rPr>
        <w:t>diez días hábiles</w:t>
      </w:r>
      <w:r w:rsidRPr="00244DBD">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w:t>
      </w:r>
      <w:r w:rsidRPr="00244DBD">
        <w:rPr>
          <w:rFonts w:ascii="Palatino Linotype" w:eastAsia="Palatino Linotype" w:hAnsi="Palatino Linotype" w:cs="Palatino Linotype"/>
        </w:rPr>
        <w:lastRenderedPageBreak/>
        <w:t>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A611BC" w14:textId="77777777" w:rsidR="00F73FCD" w:rsidRPr="00244DBD" w:rsidRDefault="00F73FCD" w:rsidP="00244DBD">
      <w:pPr>
        <w:spacing w:before="240"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Cuarto</w:t>
      </w:r>
      <w:r w:rsidRPr="00244DBD">
        <w:rPr>
          <w:rFonts w:ascii="Palatino Linotype" w:eastAsia="Palatino Linotype" w:hAnsi="Palatino Linotype" w:cs="Palatino Linotype"/>
          <w:b/>
          <w:sz w:val="28"/>
          <w:szCs w:val="28"/>
        </w:rPr>
        <w:t xml:space="preserve">. </w:t>
      </w:r>
      <w:r w:rsidRPr="00244DB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244DBD">
        <w:rPr>
          <w:rFonts w:ascii="Palatino Linotype" w:eastAsia="Palatino Linotype" w:hAnsi="Palatino Linotype" w:cs="Palatino Linotype"/>
          <w:b/>
        </w:rPr>
        <w:t>Sujeto Obligado</w:t>
      </w:r>
      <w:r w:rsidRPr="00244DBD">
        <w:rPr>
          <w:rFonts w:ascii="Palatino Linotype" w:eastAsia="Palatino Linotype" w:hAnsi="Palatino Linotype" w:cs="Palatino Linotype"/>
        </w:rPr>
        <w:t xml:space="preserve"> de manera fundada y motivada, podrá solicitar una ampliación de plazo para el cumplimiento de la presente resolución.</w:t>
      </w:r>
    </w:p>
    <w:p w14:paraId="6C03433E" w14:textId="77777777" w:rsidR="00F73FCD" w:rsidRDefault="00F73FCD" w:rsidP="00244DBD">
      <w:pPr>
        <w:spacing w:after="240" w:line="360" w:lineRule="auto"/>
        <w:jc w:val="both"/>
        <w:rPr>
          <w:rFonts w:ascii="Palatino Linotype" w:eastAsia="Palatino Linotype" w:hAnsi="Palatino Linotype" w:cs="Palatino Linotype"/>
        </w:rPr>
      </w:pPr>
      <w:r w:rsidRPr="00244DBD">
        <w:rPr>
          <w:rFonts w:ascii="Palatino Linotype" w:eastAsia="Palatino Linotype" w:hAnsi="Palatino Linotype" w:cs="Palatino Linotype"/>
          <w:b/>
        </w:rPr>
        <w:t>Quinto</w:t>
      </w:r>
      <w:r w:rsidRPr="00244DBD">
        <w:rPr>
          <w:rFonts w:ascii="Palatino Linotype" w:eastAsia="Palatino Linotype" w:hAnsi="Palatino Linotype" w:cs="Palatino Linotype"/>
          <w:b/>
          <w:sz w:val="28"/>
          <w:szCs w:val="28"/>
        </w:rPr>
        <w:t xml:space="preserve">. </w:t>
      </w:r>
      <w:r w:rsidRPr="00244DBD">
        <w:rPr>
          <w:rFonts w:ascii="Palatino Linotype" w:eastAsia="Palatino Linotype" w:hAnsi="Palatino Linotype" w:cs="Palatino Linotype"/>
          <w:b/>
        </w:rPr>
        <w:t xml:space="preserve">Notifíquese, </w:t>
      </w:r>
      <w:r w:rsidRPr="00244DBD">
        <w:rPr>
          <w:rFonts w:ascii="Palatino Linotype" w:eastAsia="Palatino Linotype" w:hAnsi="Palatino Linotype" w:cs="Palatino Linotype"/>
        </w:rPr>
        <w:t xml:space="preserve">vía </w:t>
      </w:r>
      <w:r w:rsidRPr="00244DBD">
        <w:rPr>
          <w:rFonts w:ascii="Palatino Linotype" w:eastAsia="Palatino Linotype" w:hAnsi="Palatino Linotype" w:cs="Palatino Linotype"/>
          <w:b/>
        </w:rPr>
        <w:t>SAIMEX</w:t>
      </w:r>
      <w:r w:rsidRPr="00244DBD">
        <w:rPr>
          <w:rFonts w:ascii="Palatino Linotype" w:eastAsia="Palatino Linotype" w:hAnsi="Palatino Linotype" w:cs="Palatino Linotype"/>
        </w:rPr>
        <w:t xml:space="preserve">, a </w:t>
      </w:r>
      <w:r w:rsidRPr="00244DBD">
        <w:rPr>
          <w:rFonts w:ascii="Palatino Linotype" w:eastAsia="Palatino Linotype" w:hAnsi="Palatino Linotype" w:cs="Palatino Linotype"/>
          <w:b/>
        </w:rPr>
        <w:t>la parte Recurrente</w:t>
      </w:r>
      <w:r w:rsidRPr="00244DB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F40E9B9" w14:textId="77777777" w:rsidR="00595B93" w:rsidRDefault="00595B93" w:rsidP="001C4021">
      <w:pPr>
        <w:widowControl w:val="0"/>
        <w:jc w:val="both"/>
        <w:rPr>
          <w:rFonts w:ascii="Palatino Linotype" w:eastAsia="Palatino Linotype" w:hAnsi="Palatino Linotype" w:cs="Palatino Linotype"/>
        </w:rPr>
      </w:pPr>
    </w:p>
    <w:p w14:paraId="0A6AEF2F" w14:textId="76B0FF59" w:rsidR="00261F9B" w:rsidRPr="00244DBD" w:rsidRDefault="009C3371" w:rsidP="001C4021">
      <w:pPr>
        <w:widowControl w:val="0"/>
        <w:jc w:val="both"/>
        <w:rPr>
          <w:rFonts w:ascii="Palatino Linotype" w:eastAsia="Palatino Linotype" w:hAnsi="Palatino Linotype" w:cs="Palatino Linotype"/>
        </w:rPr>
      </w:pPr>
      <w:r w:rsidRPr="00244DBD">
        <w:rPr>
          <w:rFonts w:ascii="Palatino Linotype" w:eastAsia="Palatino Linotype" w:hAnsi="Palatino Linotype" w:cs="Palatino Linotype"/>
        </w:rPr>
        <w:t xml:space="preserve">ASÍ LO RESUELVE, POR </w:t>
      </w:r>
      <w:r w:rsidR="00CB6E15" w:rsidRPr="00244DBD">
        <w:rPr>
          <w:rFonts w:ascii="Palatino Linotype" w:eastAsia="Palatino Linotype" w:hAnsi="Palatino Linotype" w:cs="Palatino Linotype"/>
        </w:rPr>
        <w:t>MAYORÍA</w:t>
      </w:r>
      <w:r w:rsidRPr="00244DBD">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CB6E15" w:rsidRPr="00244DBD">
        <w:rPr>
          <w:rFonts w:ascii="Palatino Linotype" w:eastAsia="Palatino Linotype" w:hAnsi="Palatino Linotype" w:cs="Palatino Linotype"/>
        </w:rPr>
        <w:t xml:space="preserve"> EMITIENDO VOTO DISIDENTE</w:t>
      </w:r>
      <w:r w:rsidRPr="00244DBD">
        <w:rPr>
          <w:rFonts w:ascii="Palatino Linotype" w:eastAsia="Palatino Linotype" w:hAnsi="Palatino Linotype" w:cs="Palatino Linotype"/>
        </w:rPr>
        <w:t>; EN LA SÉPTIMA S</w:t>
      </w:r>
      <w:bookmarkStart w:id="9" w:name="_GoBack"/>
      <w:bookmarkEnd w:id="9"/>
      <w:r w:rsidRPr="00244DBD">
        <w:rPr>
          <w:rFonts w:ascii="Palatino Linotype" w:eastAsia="Palatino Linotype" w:hAnsi="Palatino Linotype" w:cs="Palatino Linotype"/>
        </w:rPr>
        <w:t xml:space="preserve">ESIÓN ORDINARIA, CELEBRADA EL VEINTIOCHO DE FEBRERO DE DOS MIL VEINTICUATRO, ANTE EL SECRETARIO TÉCNICO DEL PLENO, ALEXIS TAPIA RAMÍREZ. </w:t>
      </w:r>
    </w:p>
    <w:p w14:paraId="4366918D" w14:textId="77777777" w:rsidR="00261F9B" w:rsidRPr="00244DBD" w:rsidRDefault="009C3371" w:rsidP="001C4021">
      <w:pPr>
        <w:jc w:val="both"/>
        <w:rPr>
          <w:rFonts w:ascii="Palatino Linotype" w:eastAsia="Palatino Linotype" w:hAnsi="Palatino Linotype" w:cs="Palatino Linotype"/>
          <w:sz w:val="16"/>
          <w:szCs w:val="16"/>
        </w:rPr>
      </w:pPr>
      <w:r w:rsidRPr="00244DBD">
        <w:rPr>
          <w:rFonts w:ascii="Palatino Linotype" w:eastAsia="Palatino Linotype" w:hAnsi="Palatino Linotype" w:cs="Palatino Linotype"/>
          <w:sz w:val="16"/>
          <w:szCs w:val="16"/>
        </w:rPr>
        <w:t>SCMM/AGZ/DEMF/AGE</w:t>
      </w:r>
    </w:p>
    <w:p w14:paraId="50EA9FE5" w14:textId="77777777" w:rsidR="00261F9B" w:rsidRPr="00244DBD" w:rsidRDefault="009C3371" w:rsidP="00244DBD">
      <w:pPr>
        <w:rPr>
          <w:rFonts w:ascii="Palatino Linotype" w:eastAsia="Palatino Linotype" w:hAnsi="Palatino Linotype" w:cs="Palatino Linotype"/>
        </w:rPr>
      </w:pPr>
      <w:r w:rsidRPr="00244DBD">
        <w:br w:type="page"/>
      </w:r>
    </w:p>
    <w:p w14:paraId="5404ED94" w14:textId="77777777" w:rsidR="00261F9B" w:rsidRPr="00244DBD" w:rsidRDefault="00261F9B" w:rsidP="00244DBD">
      <w:pPr>
        <w:spacing w:line="360" w:lineRule="auto"/>
        <w:jc w:val="both"/>
        <w:rPr>
          <w:rFonts w:ascii="Palatino Linotype" w:eastAsia="Palatino Linotype" w:hAnsi="Palatino Linotype" w:cs="Palatino Linotype"/>
        </w:rPr>
      </w:pPr>
    </w:p>
    <w:sectPr w:rsidR="00261F9B" w:rsidRPr="00244DBD">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B5E7F" w14:textId="77777777" w:rsidR="00F01150" w:rsidRDefault="00F01150">
      <w:r>
        <w:separator/>
      </w:r>
    </w:p>
  </w:endnote>
  <w:endnote w:type="continuationSeparator" w:id="0">
    <w:p w14:paraId="74C5AE30" w14:textId="77777777" w:rsidR="00F01150" w:rsidRDefault="00F0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55A1" w14:textId="77777777" w:rsidR="00261F9B" w:rsidRDefault="009C337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C4021">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C4021">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CFBA" w14:textId="77777777" w:rsidR="00261F9B" w:rsidRDefault="009C3371">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C402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C4021">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17F3" w14:textId="77777777" w:rsidR="00F01150" w:rsidRDefault="00F01150">
      <w:r>
        <w:separator/>
      </w:r>
    </w:p>
  </w:footnote>
  <w:footnote w:type="continuationSeparator" w:id="0">
    <w:p w14:paraId="4755F6AD" w14:textId="77777777" w:rsidR="00F01150" w:rsidRDefault="00F01150">
      <w:r>
        <w:continuationSeparator/>
      </w:r>
    </w:p>
  </w:footnote>
  <w:footnote w:id="1">
    <w:p w14:paraId="2E197785" w14:textId="77777777" w:rsidR="00261F9B" w:rsidRDefault="009C3371">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Visible en la Gaceta del Seminario Judicial de la Federación con el registro digital 205635.</w:t>
      </w:r>
    </w:p>
  </w:footnote>
  <w:footnote w:id="2">
    <w:p w14:paraId="220B0063" w14:textId="77777777" w:rsidR="00261F9B" w:rsidRDefault="009C3371">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Consultable en el Seminario Judicial de la Federación y su gaceta, con el registro digital 2002351.</w:t>
      </w:r>
    </w:p>
  </w:footnote>
  <w:footnote w:id="3">
    <w:p w14:paraId="1B1AA2FE" w14:textId="77777777" w:rsidR="00261F9B" w:rsidRDefault="009C3371">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Visible en el Seminario Judicial de la Federación y su gaceta, con el registro digital 2002350.</w:t>
      </w:r>
    </w:p>
  </w:footnote>
  <w:footnote w:id="4">
    <w:p w14:paraId="67EBB99F" w14:textId="77777777" w:rsidR="00261F9B" w:rsidRDefault="009C3371">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5">
    <w:p w14:paraId="593CF050" w14:textId="77777777" w:rsidR="00261F9B" w:rsidRDefault="009C3371">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6D66" w14:textId="77777777" w:rsidR="00261F9B" w:rsidRDefault="001C402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71FE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CA1E7" w14:textId="77777777" w:rsidR="00261F9B" w:rsidRDefault="001C402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EFBE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40pt;height:10in;z-index:-251659776;mso-position-horizontal:center;mso-position-horizontal-relative:margin;mso-position-vertical:center;mso-position-vertical-relative:margin">
          <v:imagedata r:id="rId1" o:title="image1"/>
          <w10:wrap anchorx="margin" anchory="margin"/>
        </v:shape>
      </w:pict>
    </w:r>
  </w:p>
  <w:tbl>
    <w:tblPr>
      <w:tblStyle w:val="a4"/>
      <w:tblW w:w="9534" w:type="dxa"/>
      <w:tblInd w:w="-142" w:type="dxa"/>
      <w:tblLayout w:type="fixed"/>
      <w:tblLook w:val="0400" w:firstRow="0" w:lastRow="0" w:firstColumn="0" w:lastColumn="0" w:noHBand="0" w:noVBand="1"/>
    </w:tblPr>
    <w:tblGrid>
      <w:gridCol w:w="3261"/>
      <w:gridCol w:w="2551"/>
      <w:gridCol w:w="3722"/>
    </w:tblGrid>
    <w:tr w:rsidR="00261F9B" w14:paraId="47584C04" w14:textId="77777777">
      <w:tc>
        <w:tcPr>
          <w:tcW w:w="3261" w:type="dxa"/>
          <w:vMerge w:val="restart"/>
        </w:tcPr>
        <w:p w14:paraId="0FCBDA63"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50A60059" wp14:editId="0B6837AB">
                <wp:extent cx="1692162" cy="852673"/>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A85B5AC"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22" w:type="dxa"/>
          <w:shd w:val="clear" w:color="auto" w:fill="auto"/>
          <w:vAlign w:val="center"/>
        </w:tcPr>
        <w:p w14:paraId="169759AF" w14:textId="77777777" w:rsidR="00261F9B" w:rsidRDefault="009C3371">
          <w:pPr>
            <w:jc w:val="both"/>
            <w:rPr>
              <w:rFonts w:ascii="Palatino Linotype" w:eastAsia="Palatino Linotype" w:hAnsi="Palatino Linotype" w:cs="Palatino Linotype"/>
              <w:b/>
            </w:rPr>
          </w:pPr>
          <w:r>
            <w:rPr>
              <w:rFonts w:ascii="Palatino Linotype" w:eastAsia="Palatino Linotype" w:hAnsi="Palatino Linotype" w:cs="Palatino Linotype"/>
              <w:b/>
            </w:rPr>
            <w:t>04397/INFOEM/IP/RR/2023 y acumulado</w:t>
          </w:r>
        </w:p>
      </w:tc>
    </w:tr>
    <w:tr w:rsidR="00261F9B" w14:paraId="53A55A63" w14:textId="77777777">
      <w:tc>
        <w:tcPr>
          <w:tcW w:w="3261" w:type="dxa"/>
          <w:vMerge/>
        </w:tcPr>
        <w:p w14:paraId="21690D32" w14:textId="77777777" w:rsidR="00261F9B" w:rsidRDefault="00261F9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62C058A"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22" w:type="dxa"/>
          <w:shd w:val="clear" w:color="auto" w:fill="auto"/>
          <w:vAlign w:val="center"/>
        </w:tcPr>
        <w:p w14:paraId="71DD58D2" w14:textId="77777777" w:rsidR="00261F9B" w:rsidRDefault="009C3371">
          <w:pPr>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261F9B" w14:paraId="760FA9C9" w14:textId="77777777">
      <w:trPr>
        <w:trHeight w:val="228"/>
      </w:trPr>
      <w:tc>
        <w:tcPr>
          <w:tcW w:w="3261" w:type="dxa"/>
          <w:vMerge/>
        </w:tcPr>
        <w:p w14:paraId="0989699A" w14:textId="77777777" w:rsidR="00261F9B" w:rsidRDefault="00261F9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77A4E00E"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22" w:type="dxa"/>
          <w:shd w:val="clear" w:color="auto" w:fill="auto"/>
        </w:tcPr>
        <w:p w14:paraId="0B347240" w14:textId="77777777" w:rsidR="00261F9B" w:rsidRDefault="009C3371">
          <w:pPr>
            <w:jc w:val="both"/>
            <w:rPr>
              <w:rFonts w:ascii="Palatino Linotype" w:eastAsia="Palatino Linotype" w:hAnsi="Palatino Linotype" w:cs="Palatino Linotype"/>
              <w:b/>
            </w:rPr>
          </w:pPr>
          <w:bookmarkStart w:id="10" w:name="_heading=h.2s8eyo1" w:colFirst="0" w:colLast="0"/>
          <w:bookmarkEnd w:id="10"/>
          <w:r>
            <w:rPr>
              <w:rFonts w:ascii="Palatino Linotype" w:eastAsia="Palatino Linotype" w:hAnsi="Palatino Linotype" w:cs="Palatino Linotype"/>
              <w:b/>
            </w:rPr>
            <w:t>Sharon Cristina Morales Martínez</w:t>
          </w:r>
        </w:p>
      </w:tc>
    </w:tr>
  </w:tbl>
  <w:p w14:paraId="51F1681F" w14:textId="77777777" w:rsidR="00261F9B" w:rsidRDefault="00261F9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B4DB" w14:textId="77777777" w:rsidR="00261F9B" w:rsidRDefault="001C402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82C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10in;z-index:-251658752;mso-position-horizontal:center;mso-position-horizontal-relative:margin;mso-position-vertical:center;mso-position-vertical-relative:margin">
          <v:imagedata r:id="rId1" o:title="image1"/>
          <w10:wrap anchorx="margin" anchory="margin"/>
        </v:shape>
      </w:pict>
    </w:r>
  </w:p>
  <w:tbl>
    <w:tblPr>
      <w:tblStyle w:val="a5"/>
      <w:tblW w:w="9900" w:type="dxa"/>
      <w:tblInd w:w="-833" w:type="dxa"/>
      <w:tblLayout w:type="fixed"/>
      <w:tblLook w:val="0400" w:firstRow="0" w:lastRow="0" w:firstColumn="0" w:lastColumn="0" w:noHBand="0" w:noVBand="1"/>
    </w:tblPr>
    <w:tblGrid>
      <w:gridCol w:w="3805"/>
      <w:gridCol w:w="2693"/>
      <w:gridCol w:w="3402"/>
    </w:tblGrid>
    <w:tr w:rsidR="00261F9B" w14:paraId="5B81CFFA" w14:textId="77777777">
      <w:tc>
        <w:tcPr>
          <w:tcW w:w="3805" w:type="dxa"/>
          <w:vMerge w:val="restart"/>
          <w:shd w:val="clear" w:color="auto" w:fill="auto"/>
        </w:tcPr>
        <w:p w14:paraId="60FF37DB" w14:textId="77777777" w:rsidR="00261F9B" w:rsidRDefault="009C3371">
          <w:pPr>
            <w:jc w:val="cente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1688387D" wp14:editId="02EBE0BD">
                <wp:extent cx="1692162" cy="852673"/>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693" w:type="dxa"/>
          <w:shd w:val="clear" w:color="auto" w:fill="auto"/>
        </w:tcPr>
        <w:p w14:paraId="3A0EC7F7"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shd w:val="clear" w:color="auto" w:fill="auto"/>
          <w:vAlign w:val="center"/>
        </w:tcPr>
        <w:p w14:paraId="641A2EC9" w14:textId="77777777" w:rsidR="00261F9B" w:rsidRDefault="009C3371">
          <w:pPr>
            <w:jc w:val="both"/>
            <w:rPr>
              <w:rFonts w:ascii="Palatino Linotype" w:eastAsia="Palatino Linotype" w:hAnsi="Palatino Linotype" w:cs="Palatino Linotype"/>
              <w:b/>
            </w:rPr>
          </w:pPr>
          <w:r>
            <w:rPr>
              <w:rFonts w:ascii="Palatino Linotype" w:eastAsia="Palatino Linotype" w:hAnsi="Palatino Linotype" w:cs="Palatino Linotype"/>
              <w:b/>
            </w:rPr>
            <w:t>04397/INFOEM/IP/RR/2023 y acumulado</w:t>
          </w:r>
        </w:p>
      </w:tc>
    </w:tr>
    <w:tr w:rsidR="00261F9B" w14:paraId="5DC26D67" w14:textId="77777777">
      <w:tc>
        <w:tcPr>
          <w:tcW w:w="3805" w:type="dxa"/>
          <w:vMerge/>
          <w:shd w:val="clear" w:color="auto" w:fill="auto"/>
        </w:tcPr>
        <w:p w14:paraId="1E14866F" w14:textId="77777777" w:rsidR="00261F9B" w:rsidRDefault="00261F9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693" w:type="dxa"/>
          <w:shd w:val="clear" w:color="auto" w:fill="auto"/>
        </w:tcPr>
        <w:p w14:paraId="14761749"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shd w:val="clear" w:color="auto" w:fill="auto"/>
          <w:vAlign w:val="center"/>
        </w:tcPr>
        <w:p w14:paraId="1167FF86" w14:textId="77777777" w:rsidR="00261F9B" w:rsidRDefault="00261F9B">
          <w:pPr>
            <w:jc w:val="both"/>
            <w:rPr>
              <w:rFonts w:ascii="Palatino Linotype" w:eastAsia="Palatino Linotype" w:hAnsi="Palatino Linotype" w:cs="Palatino Linotype"/>
              <w:b/>
            </w:rPr>
          </w:pPr>
        </w:p>
      </w:tc>
    </w:tr>
    <w:tr w:rsidR="00261F9B" w14:paraId="65041F6C" w14:textId="77777777">
      <w:trPr>
        <w:trHeight w:val="228"/>
      </w:trPr>
      <w:tc>
        <w:tcPr>
          <w:tcW w:w="3805" w:type="dxa"/>
          <w:vMerge/>
          <w:shd w:val="clear" w:color="auto" w:fill="auto"/>
        </w:tcPr>
        <w:p w14:paraId="06EBEB54" w14:textId="77777777" w:rsidR="00261F9B" w:rsidRDefault="00261F9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693" w:type="dxa"/>
          <w:shd w:val="clear" w:color="auto" w:fill="auto"/>
        </w:tcPr>
        <w:p w14:paraId="23AFA001"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shd w:val="clear" w:color="auto" w:fill="auto"/>
          <w:vAlign w:val="center"/>
        </w:tcPr>
        <w:p w14:paraId="2399F977" w14:textId="77777777" w:rsidR="00261F9B" w:rsidRDefault="009C3371">
          <w:pPr>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261F9B" w14:paraId="6384D683" w14:textId="77777777">
      <w:tc>
        <w:tcPr>
          <w:tcW w:w="3805" w:type="dxa"/>
          <w:vMerge/>
          <w:shd w:val="clear" w:color="auto" w:fill="auto"/>
        </w:tcPr>
        <w:p w14:paraId="6A36603A" w14:textId="77777777" w:rsidR="00261F9B" w:rsidRDefault="00261F9B">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693" w:type="dxa"/>
          <w:shd w:val="clear" w:color="auto" w:fill="auto"/>
        </w:tcPr>
        <w:p w14:paraId="431683C9" w14:textId="77777777" w:rsidR="00261F9B" w:rsidRDefault="009C3371">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shd w:val="clear" w:color="auto" w:fill="auto"/>
        </w:tcPr>
        <w:p w14:paraId="51CA9361" w14:textId="77777777" w:rsidR="00261F9B" w:rsidRDefault="009C3371">
          <w:pPr>
            <w:jc w:val="both"/>
            <w:rPr>
              <w:rFonts w:ascii="Palatino Linotype" w:eastAsia="Palatino Linotype" w:hAnsi="Palatino Linotype" w:cs="Palatino Linotype"/>
              <w:b/>
            </w:rPr>
          </w:pPr>
          <w:r>
            <w:rPr>
              <w:rFonts w:ascii="Palatino Linotype" w:eastAsia="Palatino Linotype" w:hAnsi="Palatino Linotype" w:cs="Palatino Linotype"/>
              <w:b/>
            </w:rPr>
            <w:t>Sharon Cristina Morales Martínez</w:t>
          </w:r>
        </w:p>
      </w:tc>
    </w:tr>
  </w:tbl>
  <w:p w14:paraId="7A265D77" w14:textId="77777777" w:rsidR="00261F9B" w:rsidRDefault="00261F9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86D4654"/>
    <w:multiLevelType w:val="multilevel"/>
    <w:tmpl w:val="9F38D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85571"/>
    <w:multiLevelType w:val="multilevel"/>
    <w:tmpl w:val="2B26D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52246FF2"/>
    <w:multiLevelType w:val="multilevel"/>
    <w:tmpl w:val="A9326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9DA4A4C"/>
    <w:multiLevelType w:val="multilevel"/>
    <w:tmpl w:val="01881F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709551C0"/>
    <w:multiLevelType w:val="multilevel"/>
    <w:tmpl w:val="042C5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ED0518A"/>
    <w:multiLevelType w:val="hybridMultilevel"/>
    <w:tmpl w:val="37B46E70"/>
    <w:lvl w:ilvl="0" w:tplc="080A0017">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9B"/>
    <w:rsid w:val="00083C4E"/>
    <w:rsid w:val="00096C19"/>
    <w:rsid w:val="001C4021"/>
    <w:rsid w:val="00244DBD"/>
    <w:rsid w:val="00261F9B"/>
    <w:rsid w:val="00320BCC"/>
    <w:rsid w:val="003A5499"/>
    <w:rsid w:val="003D1446"/>
    <w:rsid w:val="00543539"/>
    <w:rsid w:val="00595B93"/>
    <w:rsid w:val="0067729A"/>
    <w:rsid w:val="007C5C52"/>
    <w:rsid w:val="009C3371"/>
    <w:rsid w:val="00A5594A"/>
    <w:rsid w:val="00AB2502"/>
    <w:rsid w:val="00C5609F"/>
    <w:rsid w:val="00CB6E15"/>
    <w:rsid w:val="00CC572D"/>
    <w:rsid w:val="00D15DE8"/>
    <w:rsid w:val="00DE333C"/>
    <w:rsid w:val="00EF0985"/>
    <w:rsid w:val="00F01150"/>
    <w:rsid w:val="00F14F69"/>
    <w:rsid w:val="00F73FCD"/>
    <w:rsid w:val="00FB2948"/>
    <w:rsid w:val="00FE1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4DB6"/>
  <w15:docId w15:val="{92F8E555-219F-4D4D-AAE8-A1C4C219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6A"/>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DE7E8E"/>
    <w:rPr>
      <w:color w:val="605E5C"/>
      <w:shd w:val="clear" w:color="auto" w:fill="E1DFDD"/>
    </w:rPr>
  </w:style>
  <w:style w:type="character" w:customStyle="1" w:styleId="Mencinsinresolver14">
    <w:name w:val="Mención sin resolver14"/>
    <w:basedOn w:val="Fuentedeprrafopredeter"/>
    <w:uiPriority w:val="99"/>
    <w:semiHidden/>
    <w:unhideWhenUsed/>
    <w:rsid w:val="004162A4"/>
    <w:rPr>
      <w:color w:val="605E5C"/>
      <w:shd w:val="clear" w:color="auto" w:fill="E1DFDD"/>
    </w:rPr>
  </w:style>
  <w:style w:type="character" w:customStyle="1" w:styleId="Mencinsinresolver15">
    <w:name w:val="Mención sin resolver15"/>
    <w:basedOn w:val="Fuentedeprrafopredeter"/>
    <w:uiPriority w:val="99"/>
    <w:semiHidden/>
    <w:unhideWhenUsed/>
    <w:rsid w:val="00DE59E5"/>
    <w:rPr>
      <w:color w:val="605E5C"/>
      <w:shd w:val="clear" w:color="auto" w:fill="E1DFDD"/>
    </w:rPr>
  </w:style>
  <w:style w:type="character" w:customStyle="1" w:styleId="Mencinsinresolver16">
    <w:name w:val="Mención sin resolver16"/>
    <w:basedOn w:val="Fuentedeprrafopredeter"/>
    <w:uiPriority w:val="99"/>
    <w:semiHidden/>
    <w:unhideWhenUsed/>
    <w:rsid w:val="00D74129"/>
    <w:rPr>
      <w:color w:val="605E5C"/>
      <w:shd w:val="clear" w:color="auto" w:fill="E1DFDD"/>
    </w:rPr>
  </w:style>
  <w:style w:type="character" w:customStyle="1" w:styleId="Mencinsinresolver17">
    <w:name w:val="Mención sin resolver17"/>
    <w:basedOn w:val="Fuentedeprrafopredeter"/>
    <w:uiPriority w:val="99"/>
    <w:semiHidden/>
    <w:unhideWhenUsed/>
    <w:rsid w:val="001050F5"/>
    <w:rPr>
      <w:color w:val="605E5C"/>
      <w:shd w:val="clear" w:color="auto" w:fill="E1DFDD"/>
    </w:rPr>
  </w:style>
  <w:style w:type="table" w:customStyle="1" w:styleId="Tablaconcuadrcula1111214">
    <w:name w:val="Tabla con cuadrícula1111214"/>
    <w:basedOn w:val="Tablanormal"/>
    <w:uiPriority w:val="39"/>
    <w:rsid w:val="00AD3AB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8">
    <w:name w:val="Mención sin resolver18"/>
    <w:basedOn w:val="Fuentedeprrafopredeter"/>
    <w:uiPriority w:val="99"/>
    <w:semiHidden/>
    <w:unhideWhenUsed/>
    <w:rsid w:val="00727514"/>
    <w:rPr>
      <w:color w:val="605E5C"/>
      <w:shd w:val="clear" w:color="auto" w:fill="E1DFDD"/>
    </w:rPr>
  </w:style>
  <w:style w:type="table" w:customStyle="1" w:styleId="Tablaconcuadrcula11112131">
    <w:name w:val="Tabla con cuadrícula11112131"/>
    <w:basedOn w:val="Tablanormal"/>
    <w:uiPriority w:val="39"/>
    <w:rsid w:val="00B174D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311">
    <w:name w:val="Tabla con cuadrícula111121311"/>
    <w:basedOn w:val="Tablanormal"/>
    <w:uiPriority w:val="39"/>
    <w:rsid w:val="00C52EB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9">
    <w:name w:val="Mención sin resolver19"/>
    <w:basedOn w:val="Fuentedeprrafopredeter"/>
    <w:uiPriority w:val="99"/>
    <w:semiHidden/>
    <w:unhideWhenUsed/>
    <w:rsid w:val="0095748B"/>
    <w:rPr>
      <w:color w:val="605E5C"/>
      <w:shd w:val="clear" w:color="auto" w:fill="E1DFDD"/>
    </w:rPr>
  </w:style>
  <w:style w:type="table" w:customStyle="1" w:styleId="Tablaconcuadrcula311">
    <w:name w:val="Tabla con cuadrícula311"/>
    <w:basedOn w:val="Tablanormal"/>
    <w:uiPriority w:val="59"/>
    <w:rsid w:val="005D343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4C605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EM">
    <w:name w:val="INFOEM"/>
    <w:basedOn w:val="Normal"/>
    <w:qFormat/>
    <w:rsid w:val="00544039"/>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3">
    <w:name w:val="3"/>
    <w:basedOn w:val="TableNormal0"/>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2">
    <w:name w:val="2"/>
    <w:basedOn w:val="TableNormal0"/>
    <w:tblPr>
      <w:tblStyleRowBandSize w:val="1"/>
      <w:tblStyleColBandSize w:val="1"/>
      <w:tblCellMar>
        <w:top w:w="0" w:type="dxa"/>
        <w:left w:w="115" w:type="dxa"/>
        <w:bottom w:w="0" w:type="dxa"/>
        <w:right w:w="115" w:type="dxa"/>
      </w:tblCellMar>
    </w:tblPr>
  </w:style>
  <w:style w:type="table" w:customStyle="1" w:styleId="1">
    <w:name w:val="1"/>
    <w:basedOn w:val="TableNormal0"/>
    <w:tblPr>
      <w:tblStyleRowBandSize w:val="1"/>
      <w:tblStyleColBandSize w:val="1"/>
      <w:tblCellMar>
        <w:top w:w="0" w:type="dxa"/>
        <w:left w:w="115" w:type="dxa"/>
        <w:bottom w:w="0" w:type="dxa"/>
        <w:right w:w="115" w:type="dxa"/>
      </w:tblCellMar>
    </w:tblPr>
  </w:style>
  <w:style w:type="paragraph" w:customStyle="1" w:styleId="ADB1">
    <w:name w:val="ADB1"/>
    <w:basedOn w:val="Normal"/>
    <w:next w:val="Textonotapie"/>
    <w:uiPriority w:val="99"/>
    <w:unhideWhenUsed/>
    <w:qFormat/>
    <w:rsid w:val="00DB46B3"/>
    <w:rPr>
      <w:rFonts w:asciiTheme="minorHAnsi" w:eastAsiaTheme="minorEastAsia" w:hAnsiTheme="minorHAnsi"/>
      <w:kern w:val="2"/>
      <w:sz w:val="20"/>
      <w:szCs w:val="20"/>
      <w:lang w:eastAsia="en-US"/>
    </w:rPr>
  </w:style>
  <w:style w:type="table" w:customStyle="1" w:styleId="a">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a0">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a1">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a4">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a5">
    <w:basedOn w:val="TableNormal0"/>
    <w:rPr>
      <w:rFonts w:ascii="Arial" w:eastAsia="Arial" w:hAnsi="Arial" w:cs="Arial"/>
      <w:sz w:val="22"/>
      <w:szCs w:val="22"/>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3595">
      <w:bodyDiv w:val="1"/>
      <w:marLeft w:val="0"/>
      <w:marRight w:val="0"/>
      <w:marTop w:val="0"/>
      <w:marBottom w:val="0"/>
      <w:divBdr>
        <w:top w:val="none" w:sz="0" w:space="0" w:color="auto"/>
        <w:left w:val="none" w:sz="0" w:space="0" w:color="auto"/>
        <w:bottom w:val="none" w:sz="0" w:space="0" w:color="auto"/>
        <w:right w:val="none" w:sz="0" w:space="0" w:color="auto"/>
      </w:divBdr>
    </w:div>
    <w:div w:id="907770694">
      <w:bodyDiv w:val="1"/>
      <w:marLeft w:val="0"/>
      <w:marRight w:val="0"/>
      <w:marTop w:val="0"/>
      <w:marBottom w:val="0"/>
      <w:divBdr>
        <w:top w:val="none" w:sz="0" w:space="0" w:color="auto"/>
        <w:left w:val="none" w:sz="0" w:space="0" w:color="auto"/>
        <w:bottom w:val="none" w:sz="0" w:space="0" w:color="auto"/>
        <w:right w:val="none" w:sz="0" w:space="0" w:color="auto"/>
      </w:divBdr>
    </w:div>
    <w:div w:id="912011630">
      <w:bodyDiv w:val="1"/>
      <w:marLeft w:val="0"/>
      <w:marRight w:val="0"/>
      <w:marTop w:val="0"/>
      <w:marBottom w:val="0"/>
      <w:divBdr>
        <w:top w:val="none" w:sz="0" w:space="0" w:color="auto"/>
        <w:left w:val="none" w:sz="0" w:space="0" w:color="auto"/>
        <w:bottom w:val="none" w:sz="0" w:space="0" w:color="auto"/>
        <w:right w:val="none" w:sz="0" w:space="0" w:color="auto"/>
      </w:divBdr>
    </w:div>
    <w:div w:id="1654722274">
      <w:bodyDiv w:val="1"/>
      <w:marLeft w:val="0"/>
      <w:marRight w:val="0"/>
      <w:marTop w:val="0"/>
      <w:marBottom w:val="0"/>
      <w:divBdr>
        <w:top w:val="none" w:sz="0" w:space="0" w:color="auto"/>
        <w:left w:val="none" w:sz="0" w:space="0" w:color="auto"/>
        <w:bottom w:val="none" w:sz="0" w:space="0" w:color="auto"/>
        <w:right w:val="none" w:sz="0" w:space="0" w:color="auto"/>
      </w:divBdr>
    </w:div>
    <w:div w:id="167726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pVy1HwgCucUhEbah9Rsd11zXA==">CgMxLjAyCGguZ2pkZ3hzMgloLjMwajB6bGwyCWguMWZvYjl0ZTIJaC4zem55c2g3MgloLjJldDkycDAyCGgudHlqY3d0MgloLjNkeTZ2a20yCWguMXQzaDVzZjIJaC40ZDM0b2c4MgloLjJzOGV5bzE4AHIhMXlWU1d2ZF94c0luV3B4N290TlpDcndjdHZfTl9Bemlk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48</Pages>
  <Words>10797</Words>
  <Characters>59384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10</cp:revision>
  <cp:lastPrinted>2024-03-04T19:58:00Z</cp:lastPrinted>
  <dcterms:created xsi:type="dcterms:W3CDTF">2024-02-27T03:55:00Z</dcterms:created>
  <dcterms:modified xsi:type="dcterms:W3CDTF">2024-03-04T19:58:00Z</dcterms:modified>
</cp:coreProperties>
</file>