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CC72" w14:textId="77777777" w:rsidR="00F36067" w:rsidRDefault="00F15767">
      <w:pPr>
        <w:spacing w:before="240" w:after="240" w:line="360" w:lineRule="auto"/>
        <w:jc w:val="both"/>
        <w:rPr>
          <w:rFonts w:ascii="Palatino Linotype" w:eastAsia="Palatino Linotype" w:hAnsi="Palatino Linotype" w:cs="Palatino Linotype"/>
          <w:color w:val="FF0000"/>
          <w:highlight w:val="yellow"/>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a cuatro de diciembre de dos mil veinticuatro.</w:t>
      </w:r>
      <w:r>
        <w:rPr>
          <w:rFonts w:ascii="Palatino Linotype" w:eastAsia="Palatino Linotype" w:hAnsi="Palatino Linotype" w:cs="Palatino Linotype"/>
          <w:color w:val="FF0000"/>
        </w:rPr>
        <w:t xml:space="preserve"> </w:t>
      </w:r>
    </w:p>
    <w:p w14:paraId="200F3358" w14:textId="7980436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Pr>
          <w:rFonts w:ascii="Palatino Linotype" w:eastAsia="Palatino Linotype" w:hAnsi="Palatino Linotype" w:cs="Palatino Linotype"/>
          <w:b/>
        </w:rPr>
        <w:t>07169/INFOEM/IP/RR/2024</w:t>
      </w:r>
      <w:r>
        <w:rPr>
          <w:rFonts w:ascii="Palatino Linotype" w:eastAsia="Palatino Linotype" w:hAnsi="Palatino Linotype" w:cs="Palatino Linotype"/>
        </w:rPr>
        <w:t>, interpuesto por</w:t>
      </w:r>
      <w:r>
        <w:rPr>
          <w:rFonts w:ascii="Palatino Linotype" w:eastAsia="Palatino Linotype" w:hAnsi="Palatino Linotype" w:cs="Palatino Linotype"/>
          <w:b/>
        </w:rPr>
        <w:t xml:space="preserve"> </w:t>
      </w:r>
      <w:r w:rsidR="001F7B89">
        <w:rPr>
          <w:rFonts w:ascii="Palatino Linotype" w:eastAsia="Palatino Linotype" w:hAnsi="Palatino Linotype" w:cs="Palatino Linotype"/>
          <w:b/>
          <w:sz w:val="22"/>
          <w:szCs w:val="22"/>
        </w:rPr>
        <w:t>XXXXXX XXXXXXXXXXX XXXXX</w:t>
      </w:r>
      <w:r>
        <w:rPr>
          <w:rFonts w:ascii="Palatino Linotype" w:eastAsia="Palatino Linotype" w:hAnsi="Palatino Linotype" w:cs="Palatino Linotype"/>
        </w:rPr>
        <w:t xml:space="preserve">, en lo sucesivo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a su solicitud de información con número de folio</w:t>
      </w:r>
      <w:r>
        <w:rPr>
          <w:rFonts w:ascii="Palatino Linotype" w:eastAsia="Palatino Linotype" w:hAnsi="Palatino Linotype" w:cs="Palatino Linotype"/>
          <w:b/>
        </w:rPr>
        <w:t xml:space="preserve"> </w:t>
      </w:r>
      <w:r>
        <w:rPr>
          <w:rFonts w:ascii="Verdana" w:eastAsia="Verdana" w:hAnsi="Verdana" w:cs="Verdana"/>
          <w:b/>
          <w:color w:val="FF0000"/>
        </w:rPr>
        <w:t> </w:t>
      </w:r>
      <w:r>
        <w:rPr>
          <w:rFonts w:ascii="Palatino Linotype" w:eastAsia="Palatino Linotype" w:hAnsi="Palatino Linotype" w:cs="Palatino Linotype"/>
          <w:b/>
        </w:rPr>
        <w:t>00632/ATIZARA/IP/2024</w:t>
      </w:r>
      <w:r>
        <w:rPr>
          <w:rFonts w:ascii="Palatino Linotype" w:eastAsia="Palatino Linotype" w:hAnsi="Palatino Linotype" w:cs="Palatino Linotype"/>
        </w:rPr>
        <w:t>,</w:t>
      </w:r>
      <w:r>
        <w:rPr>
          <w:rFonts w:ascii="Verdana" w:eastAsia="Verdana" w:hAnsi="Verdana" w:cs="Verdana"/>
          <w:b/>
          <w:color w:val="FF0000"/>
        </w:rPr>
        <w:t xml:space="preserve"> </w:t>
      </w:r>
      <w:r>
        <w:rPr>
          <w:rFonts w:ascii="Palatino Linotype" w:eastAsia="Palatino Linotype" w:hAnsi="Palatino Linotype" w:cs="Palatino Linotype"/>
        </w:rPr>
        <w:t xml:space="preserve">por parte del </w:t>
      </w:r>
      <w:r>
        <w:rPr>
          <w:rFonts w:ascii="Palatino Linotype" w:eastAsia="Palatino Linotype" w:hAnsi="Palatino Linotype" w:cs="Palatino Linotype"/>
          <w:b/>
        </w:rPr>
        <w:t xml:space="preserve">Ayuntamiento de Atizapán de Zaragoza,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procede a dictar la presente resolución con base en los siguientes: </w:t>
      </w:r>
    </w:p>
    <w:p w14:paraId="02316940" w14:textId="77777777" w:rsidR="00F36067" w:rsidRDefault="00F15767">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14:paraId="3C9F6B28" w14:textId="7777777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1. Solicitud de acceso a la información.</w:t>
      </w:r>
      <w:r>
        <w:rPr>
          <w:rFonts w:ascii="Palatino Linotype" w:eastAsia="Palatino Linotype" w:hAnsi="Palatino Linotype" w:cs="Palatino Linotype"/>
        </w:rPr>
        <w:t xml:space="preserve"> Con fecha </w:t>
      </w:r>
      <w:r>
        <w:rPr>
          <w:rFonts w:ascii="Palatino Linotype" w:eastAsia="Palatino Linotype" w:hAnsi="Palatino Linotype" w:cs="Palatino Linotype"/>
          <w:b/>
        </w:rPr>
        <w:t>veintiuno de octubre de dos mil veinticuatro,</w:t>
      </w:r>
      <w:r>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en lo subsecuente 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solicitud de acceso a la información pública, a la que se le asignó el </w:t>
      </w:r>
      <w:proofErr w:type="gramStart"/>
      <w:r>
        <w:rPr>
          <w:rFonts w:ascii="Palatino Linotype" w:eastAsia="Palatino Linotype" w:hAnsi="Palatino Linotype" w:cs="Palatino Linotype"/>
        </w:rPr>
        <w:t>número</w:t>
      </w:r>
      <w:r>
        <w:rPr>
          <w:rFonts w:ascii="Palatino Linotype" w:eastAsia="Palatino Linotype" w:hAnsi="Palatino Linotype" w:cs="Palatino Linotype"/>
          <w:b/>
        </w:rPr>
        <w:t xml:space="preserve"> </w:t>
      </w:r>
      <w:r>
        <w:rPr>
          <w:rFonts w:ascii="Verdana" w:eastAsia="Verdana" w:hAnsi="Verdana" w:cs="Verdana"/>
          <w:b/>
          <w:color w:val="FF0000"/>
        </w:rPr>
        <w:t> </w:t>
      </w:r>
      <w:r>
        <w:rPr>
          <w:rFonts w:ascii="Palatino Linotype" w:eastAsia="Palatino Linotype" w:hAnsi="Palatino Linotype" w:cs="Palatino Linotype"/>
          <w:b/>
        </w:rPr>
        <w:t>00632</w:t>
      </w:r>
      <w:proofErr w:type="gramEnd"/>
      <w:r>
        <w:rPr>
          <w:rFonts w:ascii="Palatino Linotype" w:eastAsia="Palatino Linotype" w:hAnsi="Palatino Linotype" w:cs="Palatino Linotype"/>
          <w:b/>
        </w:rPr>
        <w:t xml:space="preserve">/ATIZARA/IP/2024, </w:t>
      </w:r>
      <w:r>
        <w:rPr>
          <w:rFonts w:ascii="Palatino Linotype" w:eastAsia="Palatino Linotype" w:hAnsi="Palatino Linotype" w:cs="Palatino Linotype"/>
        </w:rPr>
        <w:t xml:space="preserve">mediante la cual requirió la información siguiente: </w:t>
      </w:r>
    </w:p>
    <w:p w14:paraId="4ADEAC22" w14:textId="77777777" w:rsidR="00F36067" w:rsidRDefault="00F15767">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Pr>
          <w:rFonts w:ascii="Palatino Linotype" w:eastAsia="Palatino Linotype" w:hAnsi="Palatino Linotype" w:cs="Palatino Linotype"/>
          <w:i/>
          <w:sz w:val="22"/>
          <w:szCs w:val="22"/>
        </w:rPr>
        <w:t xml:space="preserve">“Respecto a la obra "Rehabilitación con Concreto Asfáltico de </w:t>
      </w:r>
      <w:proofErr w:type="spellStart"/>
      <w:r>
        <w:rPr>
          <w:rFonts w:ascii="Palatino Linotype" w:eastAsia="Palatino Linotype" w:hAnsi="Palatino Linotype" w:cs="Palatino Linotype"/>
          <w:i/>
          <w:sz w:val="22"/>
          <w:szCs w:val="22"/>
        </w:rPr>
        <w:t>Av</w:t>
      </w:r>
      <w:proofErr w:type="spellEnd"/>
      <w:r>
        <w:rPr>
          <w:rFonts w:ascii="Palatino Linotype" w:eastAsia="Palatino Linotype" w:hAnsi="Palatino Linotype" w:cs="Palatino Linotype"/>
          <w:i/>
          <w:sz w:val="22"/>
          <w:szCs w:val="22"/>
        </w:rPr>
        <w:t xml:space="preserve"> Parque de los Ciervos en el acceso al Parque de los Ciervos" formamos parte del COCICOVI y nos fue entregado copia de la Ficha Técnica Municipal, pero no tiene los precios unitarios, que es lo que pedimos nos faciliten, así como corroborar que esto forma parte del "Proyecto Parque de los Ciervos", Parque Lineal de la zona 3 del mismo. Se adjuntan archivos de la Ficha Técnica y del Acta Constitutiva del COCICOVI. Gracias” (Sic)</w:t>
      </w:r>
    </w:p>
    <w:p w14:paraId="5B7E7396" w14:textId="77777777" w:rsidR="00F36067" w:rsidRDefault="00F36067">
      <w:pPr>
        <w:spacing w:before="240"/>
        <w:ind w:left="851" w:right="902"/>
        <w:jc w:val="both"/>
        <w:rPr>
          <w:rFonts w:ascii="Palatino Linotype" w:eastAsia="Palatino Linotype" w:hAnsi="Palatino Linotype" w:cs="Palatino Linotype"/>
          <w:i/>
          <w:sz w:val="22"/>
          <w:szCs w:val="22"/>
        </w:rPr>
      </w:pPr>
    </w:p>
    <w:p w14:paraId="1D25162A"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 SAIMEX.</w:t>
      </w:r>
    </w:p>
    <w:p w14:paraId="32D0067A" w14:textId="77777777" w:rsidR="00F36067" w:rsidRDefault="00F36067">
      <w:pPr>
        <w:spacing w:line="360" w:lineRule="auto"/>
        <w:jc w:val="both"/>
        <w:rPr>
          <w:rFonts w:ascii="Palatino Linotype" w:eastAsia="Palatino Linotype" w:hAnsi="Palatino Linotype" w:cs="Palatino Linotype"/>
        </w:rPr>
      </w:pPr>
    </w:p>
    <w:p w14:paraId="71953927"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particular adjuntó a su acuse de solicitud los siguientes archivos electrónicos:</w:t>
      </w:r>
    </w:p>
    <w:p w14:paraId="04BE8E46" w14:textId="77777777" w:rsidR="00F36067" w:rsidRDefault="00F36067">
      <w:pPr>
        <w:spacing w:line="360" w:lineRule="auto"/>
        <w:jc w:val="both"/>
        <w:rPr>
          <w:rFonts w:ascii="Palatino Linotype" w:eastAsia="Palatino Linotype" w:hAnsi="Palatino Linotype" w:cs="Palatino Linotype"/>
        </w:rPr>
      </w:pPr>
    </w:p>
    <w:p w14:paraId="1D64C5B6"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w:t>
      </w:r>
      <w:proofErr w:type="spellStart"/>
      <w:r w:rsidR="001F7B89">
        <w:fldChar w:fldCharType="begin"/>
      </w:r>
      <w:r w:rsidR="001F7B89">
        <w:instrText xml:space="preserve"> HYPERLINK "https://saimex.org.mx/saimex/solicitud/downloadAttach/2254967.page" \h </w:instrText>
      </w:r>
      <w:r w:rsidR="001F7B89">
        <w:fldChar w:fldCharType="separate"/>
      </w:r>
      <w:r>
        <w:rPr>
          <w:rFonts w:ascii="Palatino Linotype" w:eastAsia="Palatino Linotype" w:hAnsi="Palatino Linotype" w:cs="Palatino Linotype"/>
        </w:rPr>
        <w:t>Rehabilitación</w:t>
      </w:r>
      <w:proofErr w:type="spellEnd"/>
      <w:r>
        <w:rPr>
          <w:rFonts w:ascii="Palatino Linotype" w:eastAsia="Palatino Linotype" w:hAnsi="Palatino Linotype" w:cs="Palatino Linotype"/>
        </w:rPr>
        <w:t xml:space="preserve"> con concreto </w:t>
      </w:r>
      <w:proofErr w:type="spellStart"/>
      <w:r>
        <w:rPr>
          <w:rFonts w:ascii="Palatino Linotype" w:eastAsia="Palatino Linotype" w:hAnsi="Palatino Linotype" w:cs="Palatino Linotype"/>
        </w:rPr>
        <w:t>asfáltico</w:t>
      </w:r>
      <w:proofErr w:type="spellEnd"/>
      <w:r>
        <w:rPr>
          <w:rFonts w:ascii="Palatino Linotype" w:eastAsia="Palatino Linotype" w:hAnsi="Palatino Linotype" w:cs="Palatino Linotype"/>
        </w:rPr>
        <w:t xml:space="preserve"> de </w:t>
      </w:r>
      <w:proofErr w:type="spellStart"/>
      <w:r>
        <w:rPr>
          <w:rFonts w:ascii="Palatino Linotype" w:eastAsia="Palatino Linotype" w:hAnsi="Palatino Linotype" w:cs="Palatino Linotype"/>
        </w:rPr>
        <w:t>Av</w:t>
      </w:r>
      <w:proofErr w:type="spellEnd"/>
      <w:r>
        <w:rPr>
          <w:rFonts w:ascii="Palatino Linotype" w:eastAsia="Palatino Linotype" w:hAnsi="Palatino Linotype" w:cs="Palatino Linotype"/>
        </w:rPr>
        <w:t xml:space="preserve"> Parque de los Ciervos en acceso por Vallescondido.pdf</w:t>
      </w:r>
      <w:r w:rsidR="001F7B89">
        <w:rPr>
          <w:rFonts w:ascii="Palatino Linotype" w:eastAsia="Palatino Linotype" w:hAnsi="Palatino Linotype" w:cs="Palatino Linotype"/>
        </w:rPr>
        <w:fldChar w:fldCharType="end"/>
      </w:r>
      <w:r>
        <w:rPr>
          <w:rFonts w:ascii="Palatino Linotype" w:eastAsia="Palatino Linotype" w:hAnsi="Palatino Linotype" w:cs="Palatino Linotype"/>
        </w:rPr>
        <w:t xml:space="preserve">”, el cual contiene la ficha técnica municipal de la obra denominada; “rehabilitación con concreto asfaltico de Avenida Parque de los Ciervos en el Acceso al Parque de los ciervos Municipio de Atizapán de Zaragoza, Estado de México”, constante de nueve fojas.  </w:t>
      </w:r>
    </w:p>
    <w:p w14:paraId="3E018606" w14:textId="77777777" w:rsidR="00F36067" w:rsidRDefault="00F36067">
      <w:pPr>
        <w:spacing w:line="360" w:lineRule="auto"/>
        <w:jc w:val="both"/>
        <w:rPr>
          <w:rFonts w:ascii="Palatino Linotype" w:eastAsia="Palatino Linotype" w:hAnsi="Palatino Linotype" w:cs="Palatino Linotype"/>
        </w:rPr>
      </w:pPr>
    </w:p>
    <w:p w14:paraId="5B7F62C7"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w:t>
      </w:r>
      <w:hyperlink r:id="rId8">
        <w:r>
          <w:rPr>
            <w:rFonts w:ascii="Palatino Linotype" w:eastAsia="Palatino Linotype" w:hAnsi="Palatino Linotype" w:cs="Palatino Linotype"/>
          </w:rPr>
          <w:t xml:space="preserve">Acta COCICOVI folio 01312024 </w:t>
        </w:r>
        <w:proofErr w:type="spellStart"/>
        <w:r>
          <w:rPr>
            <w:rFonts w:ascii="Palatino Linotype" w:eastAsia="Palatino Linotype" w:hAnsi="Palatino Linotype" w:cs="Palatino Linotype"/>
          </w:rPr>
          <w:t>Contraloría</w:t>
        </w:r>
        <w:proofErr w:type="spellEnd"/>
        <w:r>
          <w:rPr>
            <w:rFonts w:ascii="Palatino Linotype" w:eastAsia="Palatino Linotype" w:hAnsi="Palatino Linotype" w:cs="Palatino Linotype"/>
          </w:rPr>
          <w:t xml:space="preserve"> Atizapán.pdf</w:t>
        </w:r>
      </w:hyperlink>
      <w:r>
        <w:rPr>
          <w:rFonts w:ascii="Palatino Linotype" w:eastAsia="Palatino Linotype" w:hAnsi="Palatino Linotype" w:cs="Palatino Linotype"/>
        </w:rPr>
        <w:t xml:space="preserve">”, el cual contiene el acta constitutiva del comité ciudadano de control y vigilancia en obra pública, de la obra denominada “rehabilitación con concreto asfaltico de Avenida Parque de los Ciervos en el Acceso al Parque de los ciervos”, constante de tres fojas. </w:t>
      </w:r>
    </w:p>
    <w:p w14:paraId="40FD5AE3" w14:textId="77777777" w:rsidR="00F36067" w:rsidRDefault="00F36067">
      <w:pPr>
        <w:spacing w:line="360" w:lineRule="auto"/>
        <w:jc w:val="both"/>
        <w:rPr>
          <w:rFonts w:ascii="Palatino Linotype" w:eastAsia="Palatino Linotype" w:hAnsi="Palatino Linotype" w:cs="Palatino Linotype"/>
        </w:rPr>
      </w:pPr>
    </w:p>
    <w:p w14:paraId="52949433" w14:textId="77777777" w:rsidR="00F36067" w:rsidRDefault="00F15767">
      <w:pPr>
        <w:spacing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2. Respuesta. </w:t>
      </w:r>
      <w:r>
        <w:rPr>
          <w:rFonts w:ascii="Palatino Linotype" w:eastAsia="Palatino Linotype" w:hAnsi="Palatino Linotype" w:cs="Palatino Linotype"/>
        </w:rPr>
        <w:t xml:space="preserve">Con fecha </w:t>
      </w:r>
      <w:r>
        <w:rPr>
          <w:rFonts w:ascii="Palatino Linotype" w:eastAsia="Palatino Linotype" w:hAnsi="Palatino Linotype" w:cs="Palatino Linotype"/>
          <w:b/>
        </w:rPr>
        <w:t>once de noviembre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9064B49" w14:textId="77777777" w:rsidR="00F36067" w:rsidRDefault="00F15767">
      <w:pPr>
        <w:spacing w:before="240" w:after="24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atención a la solicitud de información pública que nos ocupa, me permito informarle lo </w:t>
      </w:r>
      <w:proofErr w:type="gramStart"/>
      <w:r>
        <w:rPr>
          <w:rFonts w:ascii="Palatino Linotype" w:eastAsia="Palatino Linotype" w:hAnsi="Palatino Linotype" w:cs="Palatino Linotype"/>
          <w:i/>
          <w:sz w:val="22"/>
          <w:szCs w:val="22"/>
        </w:rPr>
        <w:t>siguiente:...</w:t>
      </w:r>
      <w:proofErr w:type="gramEnd"/>
      <w:r>
        <w:rPr>
          <w:rFonts w:ascii="Palatino Linotype" w:eastAsia="Palatino Linotype" w:hAnsi="Palatino Linotype" w:cs="Palatino Linotype"/>
          <w:i/>
          <w:sz w:val="22"/>
          <w:szCs w:val="22"/>
        </w:rPr>
        <w:t>” (Sic)</w:t>
      </w:r>
    </w:p>
    <w:p w14:paraId="7182F26E" w14:textId="77777777" w:rsidR="00F36067" w:rsidRDefault="00F15767">
      <w:pPr>
        <w:spacing w:before="240" w:after="24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El SUJETO OBLIGADO, adjuntó a su respuesta el siguiente archivo electrónico:</w:t>
      </w:r>
    </w:p>
    <w:p w14:paraId="479B47AB" w14:textId="77777777" w:rsidR="00F36067" w:rsidRDefault="00F15767">
      <w:pPr>
        <w:spacing w:before="240" w:after="240" w:line="360" w:lineRule="auto"/>
        <w:ind w:right="49"/>
        <w:jc w:val="both"/>
        <w:rPr>
          <w:rFonts w:ascii="Palatino Linotype" w:eastAsia="Palatino Linotype" w:hAnsi="Palatino Linotype" w:cs="Palatino Linotype"/>
        </w:rPr>
      </w:pPr>
      <w:bookmarkStart w:id="1" w:name="_heading=h.3znysh7" w:colFirst="0" w:colLast="0"/>
      <w:bookmarkEnd w:id="1"/>
      <w:r>
        <w:rPr>
          <w:rFonts w:ascii="Palatino Linotype" w:eastAsia="Palatino Linotype" w:hAnsi="Palatino Linotype" w:cs="Palatino Linotype"/>
        </w:rPr>
        <w:lastRenderedPageBreak/>
        <w:t>“</w:t>
      </w:r>
      <w:proofErr w:type="spellStart"/>
      <w:r w:rsidR="001F7B89">
        <w:fldChar w:fldCharType="begin"/>
      </w:r>
      <w:r w:rsidR="001F7B89">
        <w:instrText xml:space="preserve"> HYPERLINK "https://s</w:instrText>
      </w:r>
      <w:r w:rsidR="001F7B89">
        <w:instrText xml:space="preserve">aimex.org.mx/saimex/solicitud/downloadAttach/2268929.page" \h </w:instrText>
      </w:r>
      <w:r w:rsidR="001F7B89">
        <w:fldChar w:fldCharType="separate"/>
      </w:r>
      <w:r>
        <w:rPr>
          <w:rFonts w:ascii="Palatino Linotype" w:eastAsia="Palatino Linotype" w:hAnsi="Palatino Linotype" w:cs="Palatino Linotype"/>
        </w:rPr>
        <w:t>Solic</w:t>
      </w:r>
      <w:proofErr w:type="spellEnd"/>
      <w:r>
        <w:rPr>
          <w:rFonts w:ascii="Palatino Linotype" w:eastAsia="Palatino Linotype" w:hAnsi="Palatino Linotype" w:cs="Palatino Linotype"/>
        </w:rPr>
        <w:t>. 632 (2).</w:t>
      </w:r>
      <w:proofErr w:type="spellStart"/>
      <w:r>
        <w:rPr>
          <w:rFonts w:ascii="Palatino Linotype" w:eastAsia="Palatino Linotype" w:hAnsi="Palatino Linotype" w:cs="Palatino Linotype"/>
        </w:rPr>
        <w:t>pdf</w:t>
      </w:r>
      <w:proofErr w:type="spellEnd"/>
      <w:r w:rsidR="001F7B89">
        <w:rPr>
          <w:rFonts w:ascii="Palatino Linotype" w:eastAsia="Palatino Linotype" w:hAnsi="Palatino Linotype" w:cs="Palatino Linotype"/>
        </w:rPr>
        <w:fldChar w:fldCharType="end"/>
      </w:r>
      <w:r>
        <w:rPr>
          <w:rFonts w:ascii="Palatino Linotype" w:eastAsia="Palatino Linotype" w:hAnsi="Palatino Linotype" w:cs="Palatino Linotype"/>
        </w:rPr>
        <w:t xml:space="preserve">”, el cual contiene el oficio número DGOP/EJ/3163/2024, por medio del cual el </w:t>
      </w:r>
      <w:proofErr w:type="gramStart"/>
      <w:r>
        <w:rPr>
          <w:rFonts w:ascii="Palatino Linotype" w:eastAsia="Palatino Linotype" w:hAnsi="Palatino Linotype" w:cs="Palatino Linotype"/>
        </w:rPr>
        <w:t>Director General</w:t>
      </w:r>
      <w:proofErr w:type="gramEnd"/>
      <w:r>
        <w:rPr>
          <w:rFonts w:ascii="Palatino Linotype" w:eastAsia="Palatino Linotype" w:hAnsi="Palatino Linotype" w:cs="Palatino Linotype"/>
        </w:rPr>
        <w:t xml:space="preserve"> de Obras Públicas del Ayuntamiento de Atizapán de Zaragoza, en donde informó:</w:t>
      </w:r>
    </w:p>
    <w:p w14:paraId="2B193F91" w14:textId="77777777" w:rsidR="00F36067" w:rsidRDefault="00F15767">
      <w:pPr>
        <w:widowControl w:val="0"/>
        <w:tabs>
          <w:tab w:val="center" w:pos="452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i/>
        </w:rPr>
        <w:t xml:space="preserve">me permito enviarle </w:t>
      </w:r>
      <w:proofErr w:type="gramStart"/>
      <w:r>
        <w:rPr>
          <w:rFonts w:ascii="Palatino Linotype" w:eastAsia="Palatino Linotype" w:hAnsi="Palatino Linotype" w:cs="Palatino Linotype"/>
          <w:i/>
        </w:rPr>
        <w:t>el siguientes enlaces electrónicos</w:t>
      </w:r>
      <w:proofErr w:type="gramEnd"/>
      <w:r>
        <w:rPr>
          <w:rFonts w:ascii="Palatino Linotype" w:eastAsia="Palatino Linotype" w:hAnsi="Palatino Linotype" w:cs="Palatino Linotype"/>
          <w:i/>
        </w:rPr>
        <w:t xml:space="preserve"> de la página oficial de información pública de oficio mexiquense (IPOMEX): </w:t>
      </w:r>
      <w:hyperlink r:id="rId9" w:anchor="/info-fraccion/676/102/12">
        <w:r>
          <w:rPr>
            <w:rFonts w:ascii="Palatino Linotype" w:eastAsia="Palatino Linotype" w:hAnsi="Palatino Linotype" w:cs="Palatino Linotype"/>
            <w:i/>
            <w:color w:val="0000FF"/>
            <w:u w:val="single"/>
          </w:rPr>
          <w:t>https://infoem2.ipomex.org.mx/ipomex/#/info-fraccion/676/102/12</w:t>
        </w:r>
      </w:hyperlink>
      <w:r>
        <w:rPr>
          <w:rFonts w:ascii="Palatino Linotype" w:eastAsia="Palatino Linotype" w:hAnsi="Palatino Linotype" w:cs="Palatino Linotype"/>
          <w:i/>
          <w:color w:val="0000FF"/>
          <w:u w:val="single"/>
        </w:rPr>
        <w:t xml:space="preserve">, </w:t>
      </w:r>
      <w:r>
        <w:rPr>
          <w:rFonts w:ascii="Palatino Linotype" w:eastAsia="Palatino Linotype" w:hAnsi="Palatino Linotype" w:cs="Palatino Linotype"/>
          <w:i/>
        </w:rPr>
        <w:t>en donde</w:t>
      </w:r>
      <w:r>
        <w:rPr>
          <w:rFonts w:ascii="Palatino Linotype" w:eastAsia="Palatino Linotype" w:hAnsi="Palatino Linotype" w:cs="Palatino Linotype"/>
          <w:i/>
          <w:color w:val="0000FF"/>
        </w:rPr>
        <w:t xml:space="preserve"> </w:t>
      </w:r>
      <w:r>
        <w:rPr>
          <w:rFonts w:ascii="Palatino Linotype" w:eastAsia="Palatino Linotype" w:hAnsi="Palatino Linotype" w:cs="Palatino Linotype"/>
          <w:i/>
        </w:rPr>
        <w:t>podrá consultar los expedientes y datos solicitados de los procedimientos de licitación e invitación pública a cuando menos tres personas en sus versiones públicas</w:t>
      </w:r>
      <w:r>
        <w:rPr>
          <w:rFonts w:ascii="Palatino Linotype" w:eastAsia="Palatino Linotype" w:hAnsi="Palatino Linotype" w:cs="Palatino Linotype"/>
        </w:rPr>
        <w:t>…” (Sic)</w:t>
      </w:r>
    </w:p>
    <w:p w14:paraId="02A86C5B" w14:textId="77777777" w:rsidR="00F36067" w:rsidRDefault="00F15767">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3. Interposición del recurso de revisión. </w:t>
      </w:r>
      <w:r>
        <w:rPr>
          <w:rFonts w:ascii="Palatino Linotype" w:eastAsia="Palatino Linotype" w:hAnsi="Palatino Linotype" w:cs="Palatino Linotype"/>
        </w:rPr>
        <w:t xml:space="preserve">Inconforme con los términos de la respuesta emitida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el </w:t>
      </w:r>
      <w:r>
        <w:rPr>
          <w:rFonts w:ascii="Palatino Linotype" w:eastAsia="Palatino Linotype" w:hAnsi="Palatino Linotype" w:cs="Palatino Linotype"/>
          <w:b/>
        </w:rPr>
        <w:t>doce de noviembre del dos mil veinticuatro,</w:t>
      </w:r>
      <w:r>
        <w:rPr>
          <w:rFonts w:ascii="Palatino Linotype" w:eastAsia="Palatino Linotype" w:hAnsi="Palatino Linotype" w:cs="Palatino Linotype"/>
        </w:rPr>
        <w:t xml:space="preserve"> la parte recurrente interpuso el recurso de revisión a través de </w:t>
      </w:r>
      <w:r>
        <w:rPr>
          <w:rFonts w:ascii="Palatino Linotype" w:eastAsia="Palatino Linotype" w:hAnsi="Palatino Linotype" w:cs="Palatino Linotype"/>
          <w:b/>
        </w:rPr>
        <w:t xml:space="preserve">SAIMEX, </w:t>
      </w:r>
      <w:r>
        <w:rPr>
          <w:rFonts w:ascii="Palatino Linotype" w:eastAsia="Palatino Linotype" w:hAnsi="Palatino Linotype" w:cs="Palatino Linotype"/>
        </w:rPr>
        <w:t>en donde se manifestó de la siguiente manera:</w:t>
      </w:r>
    </w:p>
    <w:p w14:paraId="125187E6" w14:textId="77777777" w:rsidR="00F36067" w:rsidRDefault="00F15767">
      <w:pPr>
        <w:tabs>
          <w:tab w:val="left" w:pos="2745"/>
        </w:tabs>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Acto impugnado: </w:t>
      </w:r>
      <w:r>
        <w:rPr>
          <w:rFonts w:ascii="Palatino Linotype" w:eastAsia="Palatino Linotype" w:hAnsi="Palatino Linotype" w:cs="Palatino Linotype"/>
          <w:b/>
        </w:rPr>
        <w:tab/>
      </w:r>
    </w:p>
    <w:p w14:paraId="5CD735CE" w14:textId="77777777" w:rsidR="00F36067" w:rsidRDefault="00F15767">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“Es respecto al folio 00632/ATIZARA/IP/2024 la respuesta que nos proporcionan está incompleta. Tenemos una amplia </w:t>
      </w:r>
      <w:proofErr w:type="gramStart"/>
      <w:r>
        <w:rPr>
          <w:rFonts w:ascii="Palatino Linotype" w:eastAsia="Palatino Linotype" w:hAnsi="Palatino Linotype" w:cs="Palatino Linotype"/>
          <w:i/>
          <w:sz w:val="22"/>
          <w:szCs w:val="22"/>
        </w:rPr>
        <w:t>explicación</w:t>
      </w:r>
      <w:proofErr w:type="gramEnd"/>
      <w:r>
        <w:rPr>
          <w:rFonts w:ascii="Palatino Linotype" w:eastAsia="Palatino Linotype" w:hAnsi="Palatino Linotype" w:cs="Palatino Linotype"/>
          <w:i/>
          <w:sz w:val="22"/>
          <w:szCs w:val="22"/>
        </w:rPr>
        <w:t xml:space="preserve"> pero se omiten los datos solicitados.” (Sic)</w:t>
      </w:r>
    </w:p>
    <w:p w14:paraId="473819F8" w14:textId="77777777" w:rsidR="00F36067" w:rsidRDefault="00F36067">
      <w:pPr>
        <w:ind w:left="851" w:right="902"/>
        <w:jc w:val="both"/>
        <w:rPr>
          <w:rFonts w:ascii="Palatino Linotype" w:eastAsia="Palatino Linotype" w:hAnsi="Palatino Linotype" w:cs="Palatino Linotype"/>
          <w:i/>
          <w:sz w:val="22"/>
          <w:szCs w:val="22"/>
        </w:rPr>
      </w:pPr>
    </w:p>
    <w:p w14:paraId="4E491BC8"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Y Razones o motivos de inconformidad</w:t>
      </w:r>
      <w:r>
        <w:rPr>
          <w:rFonts w:ascii="Palatino Linotype" w:eastAsia="Palatino Linotype" w:hAnsi="Palatino Linotype" w:cs="Palatino Linotype"/>
        </w:rPr>
        <w:t>:</w:t>
      </w:r>
    </w:p>
    <w:p w14:paraId="65BB9594" w14:textId="77777777" w:rsidR="00F36067" w:rsidRDefault="00F15767">
      <w:pPr>
        <w:ind w:left="851" w:right="902"/>
        <w:jc w:val="both"/>
        <w:rPr>
          <w:rFonts w:ascii="Palatino Linotype" w:eastAsia="Palatino Linotype" w:hAnsi="Palatino Linotype" w:cs="Palatino Linotype"/>
          <w:i/>
          <w:sz w:val="22"/>
          <w:szCs w:val="22"/>
        </w:rPr>
      </w:pPr>
      <w:bookmarkStart w:id="2" w:name="_heading=h.30j0zll" w:colFirst="0" w:colLast="0"/>
      <w:bookmarkEnd w:id="2"/>
      <w:r>
        <w:rPr>
          <w:rFonts w:ascii="Palatino Linotype" w:eastAsia="Palatino Linotype" w:hAnsi="Palatino Linotype" w:cs="Palatino Linotype"/>
          <w:i/>
          <w:sz w:val="22"/>
          <w:szCs w:val="22"/>
        </w:rPr>
        <w:t xml:space="preserve"> “Dan una buena apertura para entender procesos de licitación, pero la información requerida no la proporcionan (precios unitarios y desglose de conceptos de la obra), y esa es la solicitud de información” (Sic)</w:t>
      </w:r>
    </w:p>
    <w:p w14:paraId="68664B5F" w14:textId="77777777" w:rsidR="00F36067" w:rsidRDefault="00F36067">
      <w:pPr>
        <w:ind w:left="851" w:right="902"/>
        <w:jc w:val="both"/>
        <w:rPr>
          <w:rFonts w:ascii="Palatino Linotype" w:eastAsia="Palatino Linotype" w:hAnsi="Palatino Linotype" w:cs="Palatino Linotype"/>
          <w:i/>
          <w:sz w:val="22"/>
          <w:szCs w:val="22"/>
        </w:rPr>
      </w:pPr>
    </w:p>
    <w:p w14:paraId="376657F9" w14:textId="77777777" w:rsidR="00F36067" w:rsidRDefault="00F15767">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adjuntó a su acuse del recurso de revisión el siguiente archivo electrónico:</w:t>
      </w:r>
    </w:p>
    <w:p w14:paraId="6C49CAD7" w14:textId="77777777" w:rsidR="00F36067" w:rsidRDefault="00F36067">
      <w:pPr>
        <w:spacing w:line="360" w:lineRule="auto"/>
        <w:ind w:right="51"/>
        <w:jc w:val="both"/>
        <w:rPr>
          <w:rFonts w:ascii="Palatino Linotype" w:eastAsia="Palatino Linotype" w:hAnsi="Palatino Linotype" w:cs="Palatino Linotype"/>
        </w:rPr>
      </w:pPr>
    </w:p>
    <w:p w14:paraId="65F77CB6"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w:t>
      </w:r>
      <w:hyperlink r:id="rId10">
        <w:r>
          <w:rPr>
            <w:rFonts w:ascii="Palatino Linotype" w:eastAsia="Palatino Linotype" w:hAnsi="Palatino Linotype" w:cs="Palatino Linotype"/>
          </w:rPr>
          <w:t xml:space="preserve">Acta COCICOVI folio 01312024 </w:t>
        </w:r>
        <w:proofErr w:type="spellStart"/>
        <w:r>
          <w:rPr>
            <w:rFonts w:ascii="Palatino Linotype" w:eastAsia="Palatino Linotype" w:hAnsi="Palatino Linotype" w:cs="Palatino Linotype"/>
          </w:rPr>
          <w:t>Contraloría</w:t>
        </w:r>
        <w:proofErr w:type="spellEnd"/>
        <w:r>
          <w:rPr>
            <w:rFonts w:ascii="Palatino Linotype" w:eastAsia="Palatino Linotype" w:hAnsi="Palatino Linotype" w:cs="Palatino Linotype"/>
          </w:rPr>
          <w:t xml:space="preserve"> Atizapán.pdf</w:t>
        </w:r>
      </w:hyperlink>
      <w:r>
        <w:rPr>
          <w:rFonts w:ascii="Palatino Linotype" w:eastAsia="Palatino Linotype" w:hAnsi="Palatino Linotype" w:cs="Palatino Linotype"/>
        </w:rPr>
        <w:t>”, el cual contiene el acta constitutiva del comité ciudadano de control y vigilancia en obra pública, de la obra denominada “rehabilitación con concreto asfaltico de Avenida Parque de los Ciervos en el Acceso al Parque de los ciervos”, constante de tres fojas, descrita en el antecedente uno.</w:t>
      </w:r>
    </w:p>
    <w:p w14:paraId="62782D74" w14:textId="77777777" w:rsidR="00F36067" w:rsidRDefault="00F36067">
      <w:pPr>
        <w:spacing w:line="360" w:lineRule="auto"/>
        <w:ind w:right="51"/>
        <w:jc w:val="both"/>
        <w:rPr>
          <w:rFonts w:ascii="Palatino Linotype" w:eastAsia="Palatino Linotype" w:hAnsi="Palatino Linotype" w:cs="Palatino Linotype"/>
          <w:b/>
        </w:rPr>
      </w:pPr>
    </w:p>
    <w:p w14:paraId="3774A517" w14:textId="77777777" w:rsidR="00F36067" w:rsidRDefault="00F15767">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rPr>
        <w:t xml:space="preserve">4. Turno. </w:t>
      </w:r>
      <w:r>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rPr>
        <w:t xml:space="preserve">Guadalupe Ramírez Peña, </w:t>
      </w:r>
      <w:r>
        <w:rPr>
          <w:rFonts w:ascii="Palatino Linotype" w:eastAsia="Palatino Linotype" w:hAnsi="Palatino Linotype" w:cs="Palatino Linotype"/>
        </w:rPr>
        <w:t xml:space="preserve">a efecto de que analizara sobre su admisión o su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w:t>
      </w:r>
    </w:p>
    <w:p w14:paraId="10EE370E" w14:textId="77777777" w:rsidR="00F36067" w:rsidRDefault="00F36067">
      <w:pPr>
        <w:spacing w:line="360" w:lineRule="auto"/>
        <w:ind w:right="51"/>
        <w:jc w:val="both"/>
        <w:rPr>
          <w:rFonts w:ascii="Palatino Linotype" w:eastAsia="Palatino Linotype" w:hAnsi="Palatino Linotype" w:cs="Palatino Linotype"/>
        </w:rPr>
      </w:pPr>
    </w:p>
    <w:p w14:paraId="1DC2C371" w14:textId="77777777" w:rsidR="00F36067" w:rsidRDefault="00F15767">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5. Admisión del Recurso de revisión.</w:t>
      </w:r>
      <w:r>
        <w:rPr>
          <w:rFonts w:ascii="Palatino Linotype" w:eastAsia="Palatino Linotype" w:hAnsi="Palatino Linotype" w:cs="Palatino Linotype"/>
        </w:rPr>
        <w:t xml:space="preserve"> Con fecha</w:t>
      </w:r>
      <w:r>
        <w:rPr>
          <w:rFonts w:ascii="Palatino Linotype" w:eastAsia="Palatino Linotype" w:hAnsi="Palatino Linotype" w:cs="Palatino Linotype"/>
          <w:b/>
        </w:rPr>
        <w:t xml:space="preserve"> quince de noviembre de dos mil veinticuatro, </w:t>
      </w:r>
      <w:r>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presentara su informe justificado.</w:t>
      </w:r>
    </w:p>
    <w:p w14:paraId="53D09819" w14:textId="7777777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6. Manifestaciones</w:t>
      </w:r>
      <w:r>
        <w:rPr>
          <w:rFonts w:ascii="Palatino Linotype" w:eastAsia="Palatino Linotype" w:hAnsi="Palatino Linotype" w:cs="Palatino Linotype"/>
        </w:rPr>
        <w:t>. De las constancias que obran en el expediente electrónico del SAIMEX que la parte</w:t>
      </w:r>
      <w:r>
        <w:rPr>
          <w:rFonts w:ascii="Palatino Linotype" w:eastAsia="Palatino Linotype" w:hAnsi="Palatino Linotype" w:cs="Palatino Linotype"/>
          <w:b/>
          <w:color w:val="FF0000"/>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omitió realizar manifestaciones.</w:t>
      </w:r>
    </w:p>
    <w:p w14:paraId="0467CCF4" w14:textId="7777777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su parte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fecha veintidós de noviembre rindió su informe justificado, a través de los siguientes archivos electrónicos:</w:t>
      </w:r>
    </w:p>
    <w:p w14:paraId="1D2E6643" w14:textId="7777777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w:t>
      </w:r>
      <w:hyperlink r:id="rId11">
        <w:r>
          <w:rPr>
            <w:rFonts w:ascii="Palatino Linotype" w:eastAsia="Palatino Linotype" w:hAnsi="Palatino Linotype" w:cs="Palatino Linotype"/>
          </w:rPr>
          <w:t>OFICIO DE OBRAS PÚBLICAS.pdf</w:t>
        </w:r>
      </w:hyperlink>
      <w:r>
        <w:rPr>
          <w:rFonts w:ascii="Palatino Linotype" w:eastAsia="Palatino Linotype" w:hAnsi="Palatino Linotype" w:cs="Palatino Linotype"/>
        </w:rPr>
        <w:t xml:space="preserve">”, el cual contiene el oficio número DGOP/EJ/3382/2024, por medio del cual el </w:t>
      </w:r>
      <w:proofErr w:type="gramStart"/>
      <w:r>
        <w:rPr>
          <w:rFonts w:ascii="Palatino Linotype" w:eastAsia="Palatino Linotype" w:hAnsi="Palatino Linotype" w:cs="Palatino Linotype"/>
        </w:rPr>
        <w:t>Director General</w:t>
      </w:r>
      <w:proofErr w:type="gramEnd"/>
      <w:r>
        <w:rPr>
          <w:rFonts w:ascii="Palatino Linotype" w:eastAsia="Palatino Linotype" w:hAnsi="Palatino Linotype" w:cs="Palatino Linotype"/>
        </w:rPr>
        <w:t xml:space="preserve"> de Obras Públicas del Ayuntamiento de Atizapán de Zaragoza, en lo medular ratificó su respuesta primigenia. </w:t>
      </w:r>
    </w:p>
    <w:p w14:paraId="1815E5F8" w14:textId="7777777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w:t>
      </w:r>
      <w:hyperlink r:id="rId12">
        <w:r>
          <w:rPr>
            <w:rFonts w:ascii="Palatino Linotype" w:eastAsia="Palatino Linotype" w:hAnsi="Palatino Linotype" w:cs="Palatino Linotype"/>
          </w:rPr>
          <w:t>REQUERIMIENTO DE LA UNIDAD DE TRANSPARENCIA.pdf</w:t>
        </w:r>
      </w:hyperlink>
      <w:r>
        <w:rPr>
          <w:rFonts w:ascii="Palatino Linotype" w:eastAsia="Palatino Linotype" w:hAnsi="Palatino Linotype" w:cs="Palatino Linotype"/>
        </w:rPr>
        <w:t>”, el cual contiene el oficio número PMA/ST/UTI/6411/2024, por medio del cual la Titular de la Unidad de Transparencia del SUJETO OBLIGADO, turnó a la Dirección de General de Obras Públicas, los motivos de inconformidad de la parte RECURRENTE, para que se pronunciara al respecto.</w:t>
      </w:r>
    </w:p>
    <w:p w14:paraId="1B241577" w14:textId="77777777" w:rsidR="00F36067" w:rsidRDefault="00F15767">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Archivos que se pusieron a la vista de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52583CD0" w14:textId="7777777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7. Cierre de instrucción. </w:t>
      </w:r>
      <w:r>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Pr>
          <w:rFonts w:ascii="Palatino Linotype" w:eastAsia="Palatino Linotype" w:hAnsi="Palatino Linotype" w:cs="Palatino Linotype"/>
          <w:b/>
        </w:rPr>
        <w:t>dos de diciembre</w:t>
      </w:r>
      <w:r>
        <w:rPr>
          <w:rFonts w:ascii="Palatino Linotype" w:eastAsia="Palatino Linotype" w:hAnsi="Palatino Linotype" w:cs="Palatino Linotype"/>
          <w:b/>
          <w:color w:val="FF0000"/>
        </w:rPr>
        <w:t xml:space="preserve"> </w:t>
      </w:r>
      <w:r>
        <w:rPr>
          <w:rFonts w:ascii="Palatino Linotype" w:eastAsia="Palatino Linotype" w:hAnsi="Palatino Linotype" w:cs="Palatino Linotype"/>
          <w:b/>
        </w:rPr>
        <w:t>de dos mil veinticuatro</w:t>
      </w:r>
      <w:r>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E21D573" w14:textId="7777777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1306671C" w14:textId="77777777" w:rsidR="00F36067" w:rsidRDefault="00F15767">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 C O N S I D E R A N D O S</w:t>
      </w:r>
    </w:p>
    <w:p w14:paraId="77AE57D6" w14:textId="77777777" w:rsidR="00F36067" w:rsidRDefault="00F36067">
      <w:pPr>
        <w:widowControl w:val="0"/>
        <w:spacing w:line="360" w:lineRule="auto"/>
        <w:jc w:val="center"/>
        <w:rPr>
          <w:rFonts w:ascii="Palatino Linotype" w:eastAsia="Palatino Linotype" w:hAnsi="Palatino Linotype" w:cs="Palatino Linotype"/>
          <w:b/>
        </w:rPr>
      </w:pPr>
    </w:p>
    <w:p w14:paraId="766CB58F"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37E22DD" w14:textId="77777777" w:rsidR="00F36067" w:rsidRDefault="00F15767">
      <w:pPr>
        <w:spacing w:before="240" w:after="240" w:line="360" w:lineRule="auto"/>
        <w:jc w:val="both"/>
        <w:rPr>
          <w:rFonts w:ascii="Palatino Linotype" w:eastAsia="Palatino Linotype" w:hAnsi="Palatino Linotype" w:cs="Palatino Linotype"/>
        </w:rPr>
      </w:pPr>
      <w:bookmarkStart w:id="3" w:name="_heading=h.tyjcwt" w:colFirst="0" w:colLast="0"/>
      <w:bookmarkEnd w:id="3"/>
      <w:r>
        <w:rPr>
          <w:rFonts w:ascii="Palatino Linotype" w:eastAsia="Palatino Linotype" w:hAnsi="Palatino Linotype" w:cs="Palatino Linotype"/>
          <w:b/>
        </w:rPr>
        <w:t xml:space="preserve">Segundo. Oportunidad y Procedibilidad del Recurso de Revisión. </w:t>
      </w:r>
      <w:r>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emitió su respuesta a la solicitud planteada por el </w:t>
      </w:r>
      <w:r>
        <w:rPr>
          <w:rFonts w:ascii="Palatino Linotype" w:eastAsia="Palatino Linotype" w:hAnsi="Palatino Linotype" w:cs="Palatino Linotype"/>
        </w:rPr>
        <w:lastRenderedPageBreak/>
        <w:t xml:space="preserve">solicitante el once de noviembre del año dos mil veinticuatro y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presentó su recurso de revisión el doce del mismo mes y año; esto es, al primer día hábil siguiente de aquel en que tuvo conocimiento de la respuesta; evidenciándose que la interposición del recurso se encuentra dentro de los márgenes temporales previstos en el citado precepto legal.</w:t>
      </w:r>
    </w:p>
    <w:p w14:paraId="590C521F" w14:textId="77777777" w:rsidR="00F36067" w:rsidRDefault="00F15767">
      <w:pPr>
        <w:pBdr>
          <w:top w:val="nil"/>
          <w:left w:val="nil"/>
          <w:bottom w:val="nil"/>
          <w:right w:val="nil"/>
          <w:between w:val="nil"/>
        </w:pBdr>
        <w:spacing w:line="360" w:lineRule="auto"/>
        <w:ind w:right="-14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por cuanto hace a la procedibilidad de</w:t>
      </w:r>
      <w:r>
        <w:rPr>
          <w:rFonts w:ascii="Palatino Linotype" w:eastAsia="Palatino Linotype" w:hAnsi="Palatino Linotype" w:cs="Palatino Linotype"/>
        </w:rPr>
        <w:t>l</w:t>
      </w:r>
      <w:r>
        <w:rPr>
          <w:rFonts w:ascii="Palatino Linotype" w:eastAsia="Palatino Linotype" w:hAnsi="Palatino Linotype" w:cs="Palatino Linotype"/>
          <w:color w:val="000000"/>
        </w:rPr>
        <w:t xml:space="preserve"> recurso de revisión una vez realizado el análisis de</w:t>
      </w:r>
      <w:r>
        <w:rPr>
          <w:rFonts w:ascii="Palatino Linotype" w:eastAsia="Palatino Linotype" w:hAnsi="Palatino Linotype" w:cs="Palatino Linotype"/>
        </w:rPr>
        <w:t>l</w:t>
      </w:r>
      <w:r>
        <w:rPr>
          <w:rFonts w:ascii="Palatino Linotype" w:eastAsia="Palatino Linotype" w:hAnsi="Palatino Linotype" w:cs="Palatino Linotype"/>
          <w:color w:val="000000"/>
        </w:rPr>
        <w:t xml:space="preserve"> formato de interposición de</w:t>
      </w:r>
      <w:r>
        <w:rPr>
          <w:rFonts w:ascii="Palatino Linotype" w:eastAsia="Palatino Linotype" w:hAnsi="Palatino Linotype" w:cs="Palatino Linotype"/>
        </w:rPr>
        <w:t>l</w:t>
      </w:r>
      <w:r>
        <w:rPr>
          <w:rFonts w:ascii="Palatino Linotype" w:eastAsia="Palatino Linotype" w:hAnsi="Palatino Linotype" w:cs="Palatino Linotype"/>
          <w:color w:val="000000"/>
        </w:rPr>
        <w:t xml:space="preserve">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Pr>
          <w:rFonts w:ascii="Palatino Linotype" w:eastAsia="Palatino Linotype" w:hAnsi="Palatino Linotype" w:cs="Palatino Linotype"/>
          <w:b/>
          <w:color w:val="000000"/>
        </w:rPr>
        <w:t>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w:t>
      </w:r>
    </w:p>
    <w:p w14:paraId="48B7674C" w14:textId="77777777" w:rsidR="00F36067" w:rsidRDefault="00F36067">
      <w:pPr>
        <w:pBdr>
          <w:top w:val="nil"/>
          <w:left w:val="nil"/>
          <w:bottom w:val="nil"/>
          <w:right w:val="nil"/>
          <w:between w:val="nil"/>
        </w:pBdr>
        <w:spacing w:line="360" w:lineRule="auto"/>
        <w:ind w:right="-147"/>
        <w:jc w:val="both"/>
        <w:rPr>
          <w:rFonts w:ascii="Palatino Linotype" w:eastAsia="Palatino Linotype" w:hAnsi="Palatino Linotype" w:cs="Palatino Linotype"/>
          <w:color w:val="000000"/>
        </w:rPr>
      </w:pPr>
    </w:p>
    <w:p w14:paraId="3F02A800" w14:textId="77777777" w:rsidR="00F36067" w:rsidRDefault="00F15767">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de la ley de la materia, que a la letra dice:</w:t>
      </w:r>
    </w:p>
    <w:p w14:paraId="63F3D639" w14:textId="77777777" w:rsidR="00F36067" w:rsidRDefault="00F15767">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C6E3AD3" w14:textId="77777777" w:rsidR="00F36067" w:rsidRDefault="00F15767">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La negativa de la información solicitada…” (Sic)</w:t>
      </w:r>
    </w:p>
    <w:p w14:paraId="4BD37CA1" w14:textId="77777777" w:rsidR="00F36067" w:rsidRDefault="00F15767">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b/>
          <w:color w:val="000000"/>
        </w:rPr>
        <w:t>Tercero. Materia de Revisión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De las constancias que integran el expediente electrónico se advierte que el tema sobre el que este Instituto se pronunciará será: </w:t>
      </w:r>
      <w:r>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Pr>
          <w:rFonts w:ascii="Palatino Linotype" w:eastAsia="Palatino Linotype" w:hAnsi="Palatino Linotype" w:cs="Palatino Linotype"/>
        </w:rPr>
        <w:t xml:space="preserve">de la </w:t>
      </w:r>
      <w:r>
        <w:rPr>
          <w:rFonts w:ascii="Palatino Linotype" w:eastAsia="Palatino Linotype" w:hAnsi="Palatino Linotype" w:cs="Palatino Linotype"/>
        </w:rPr>
        <w:lastRenderedPageBreak/>
        <w:t xml:space="preserve">PARTE </w:t>
      </w:r>
      <w:r>
        <w:rPr>
          <w:rFonts w:ascii="Palatino Linotype" w:eastAsia="Palatino Linotype" w:hAnsi="Palatino Linotype" w:cs="Palatino Linotype"/>
          <w:b/>
        </w:rPr>
        <w:t>RECURRENTE</w:t>
      </w:r>
      <w:r>
        <w:rPr>
          <w:rFonts w:ascii="Palatino Linotype" w:eastAsia="Palatino Linotype" w:hAnsi="Palatino Linotype" w:cs="Palatino Linotype"/>
        </w:rPr>
        <w:t>, o en su defecto, en caso de ser procedente, ordenar la entrega de información.</w:t>
      </w:r>
    </w:p>
    <w:p w14:paraId="0B610D60" w14:textId="7777777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Estudio de fondo del asunto. </w:t>
      </w:r>
      <w:r>
        <w:rPr>
          <w:rFonts w:ascii="Palatino Linotype" w:eastAsia="Palatino Linotype" w:hAnsi="Palatino Linotype" w:cs="Palatino Linotype"/>
        </w:rPr>
        <w:t xml:space="preserve">es conveniente analizar si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w:t>
      </w:r>
      <w:r>
        <w:rPr>
          <w:rFonts w:ascii="Palatino Linotype" w:eastAsia="Palatino Linotype" w:hAnsi="Palatino Linotype" w:cs="Palatino Linotype"/>
          <w:color w:val="000000"/>
        </w:rPr>
        <w:t>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54ACA08" w14:textId="77777777" w:rsidR="00F36067" w:rsidRDefault="00F15767">
      <w:pPr>
        <w:spacing w:before="240"/>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1356A8D" w14:textId="77777777" w:rsidR="00F36067" w:rsidRDefault="00F15767">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9456E4D" w14:textId="77777777" w:rsidR="00F36067" w:rsidRDefault="00F15767">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sz w:val="22"/>
          <w:szCs w:val="22"/>
        </w:rPr>
        <w:t>.”</w:t>
      </w:r>
    </w:p>
    <w:p w14:paraId="37A559F6" w14:textId="7777777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los Sujetos Obligados tiene la obligación o deber de atender las solicitudes de acceso a la información pública que se les hagan de su </w:t>
      </w:r>
      <w:r>
        <w:rPr>
          <w:rFonts w:ascii="Palatino Linotype" w:eastAsia="Palatino Linotype" w:hAnsi="Palatino Linotype" w:cs="Palatino Linotype"/>
        </w:rPr>
        <w:lastRenderedPageBreak/>
        <w:t>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D7911F9" w14:textId="77777777" w:rsidR="00F36067" w:rsidRDefault="00F15767">
      <w:pPr>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8B374F9" w14:textId="77777777" w:rsidR="00F36067" w:rsidRDefault="00F15767">
      <w:pPr>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79B1D11" w14:textId="77777777" w:rsidR="00F36067" w:rsidRDefault="00F36067">
      <w:pPr>
        <w:spacing w:line="360" w:lineRule="auto"/>
        <w:ind w:right="-93"/>
        <w:jc w:val="both"/>
        <w:rPr>
          <w:rFonts w:ascii="Palatino Linotype" w:eastAsia="Palatino Linotype" w:hAnsi="Palatino Linotype" w:cs="Palatino Linotype"/>
          <w:color w:val="000000"/>
        </w:rPr>
      </w:pPr>
    </w:p>
    <w:p w14:paraId="44B70040" w14:textId="77777777" w:rsidR="00F36067" w:rsidRDefault="00F15767">
      <w:pPr>
        <w:spacing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3B916061" w14:textId="77777777" w:rsidR="00F36067" w:rsidRDefault="00F36067">
      <w:pPr>
        <w:spacing w:line="360" w:lineRule="auto"/>
        <w:ind w:right="-93"/>
        <w:jc w:val="both"/>
        <w:rPr>
          <w:rFonts w:ascii="Palatino Linotype" w:eastAsia="Palatino Linotype" w:hAnsi="Palatino Linotype" w:cs="Palatino Linotype"/>
          <w:color w:val="000000"/>
        </w:rPr>
      </w:pPr>
    </w:p>
    <w:p w14:paraId="532B4DDE" w14:textId="77777777" w:rsidR="00F36067" w:rsidRDefault="00F15767">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p>
    <w:p w14:paraId="3F571551" w14:textId="77777777" w:rsidR="00F36067" w:rsidRDefault="00F15767">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p>
    <w:p w14:paraId="0AD98BD6" w14:textId="77777777" w:rsidR="00F36067" w:rsidRDefault="00F15767">
      <w:pPr>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6D64830" w14:textId="77777777" w:rsidR="00F36067" w:rsidRDefault="00F15767">
      <w:pPr>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Resoluciones: </w:t>
      </w:r>
    </w:p>
    <w:p w14:paraId="759C4329" w14:textId="77777777" w:rsidR="00F36067" w:rsidRDefault="00F15767">
      <w:pPr>
        <w:ind w:left="851" w:right="901"/>
        <w:jc w:val="both"/>
        <w:rPr>
          <w:rFonts w:ascii="Palatino Linotype" w:eastAsia="Palatino Linotype" w:hAnsi="Palatino Linotype" w:cs="Palatino Linotype"/>
          <w:i/>
          <w:color w:val="000000"/>
          <w:sz w:val="22"/>
          <w:szCs w:val="22"/>
        </w:rPr>
      </w:pPr>
      <w:r>
        <w:rPr>
          <w:rFonts w:ascii="Noto Sans Symbols" w:eastAsia="Noto Sans Symbols" w:hAnsi="Noto Sans Symbols" w:cs="Noto Sans Symbols"/>
          <w:i/>
          <w:color w:val="000000"/>
          <w:sz w:val="22"/>
          <w:szCs w:val="22"/>
        </w:rPr>
        <w:t>∙</w:t>
      </w:r>
      <w:r>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w:t>
      </w:r>
    </w:p>
    <w:p w14:paraId="06C9610D" w14:textId="77777777" w:rsidR="00F36067" w:rsidRDefault="00F15767">
      <w:pPr>
        <w:ind w:left="851" w:right="901"/>
        <w:jc w:val="both"/>
        <w:rPr>
          <w:rFonts w:ascii="Palatino Linotype" w:eastAsia="Palatino Linotype" w:hAnsi="Palatino Linotype" w:cs="Palatino Linotype"/>
          <w:i/>
          <w:color w:val="000000"/>
          <w:sz w:val="22"/>
          <w:szCs w:val="22"/>
        </w:rPr>
      </w:pPr>
      <w:r>
        <w:rPr>
          <w:rFonts w:ascii="Noto Sans Symbols" w:eastAsia="Noto Sans Symbols" w:hAnsi="Noto Sans Symbols" w:cs="Noto Sans Symbols"/>
          <w:i/>
          <w:color w:val="000000"/>
          <w:sz w:val="22"/>
          <w:szCs w:val="22"/>
        </w:rPr>
        <w:t>∙</w:t>
      </w:r>
      <w:r>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769CEB96" w14:textId="77777777" w:rsidR="00F36067" w:rsidRDefault="00F15767">
      <w:pPr>
        <w:ind w:left="851" w:right="901"/>
        <w:jc w:val="both"/>
        <w:rPr>
          <w:rFonts w:ascii="Palatino Linotype" w:eastAsia="Palatino Linotype" w:hAnsi="Palatino Linotype" w:cs="Palatino Linotype"/>
          <w:i/>
          <w:color w:val="000000"/>
          <w:sz w:val="22"/>
          <w:szCs w:val="22"/>
        </w:rPr>
      </w:pPr>
      <w:r>
        <w:rPr>
          <w:rFonts w:ascii="Noto Sans Symbols" w:eastAsia="Noto Sans Symbols" w:hAnsi="Noto Sans Symbols" w:cs="Noto Sans Symbols"/>
          <w:i/>
          <w:color w:val="000000"/>
          <w:sz w:val="22"/>
          <w:szCs w:val="22"/>
        </w:rPr>
        <w:t>∙</w:t>
      </w:r>
      <w:r>
        <w:rPr>
          <w:rFonts w:ascii="Palatino Linotype" w:eastAsia="Palatino Linotype" w:hAnsi="Palatino Linotype" w:cs="Palatino Linotype"/>
          <w:i/>
          <w:color w:val="000000"/>
          <w:sz w:val="22"/>
          <w:szCs w:val="22"/>
        </w:rPr>
        <w:t xml:space="preserve"> RRA 1889/16. Secretaría de Hacienda y Crédito Público. 05 de octubre de 2016. Por unanimidad. Comisionada Ponente. Ximena Puente de la Mora.”</w:t>
      </w:r>
    </w:p>
    <w:p w14:paraId="7D06DEB6" w14:textId="77777777" w:rsidR="00F36067" w:rsidRDefault="00F36067">
      <w:pPr>
        <w:spacing w:line="360" w:lineRule="auto"/>
        <w:jc w:val="both"/>
        <w:rPr>
          <w:rFonts w:ascii="Palatino Linotype" w:eastAsia="Palatino Linotype" w:hAnsi="Palatino Linotype" w:cs="Palatino Linotype"/>
        </w:rPr>
      </w:pPr>
    </w:p>
    <w:p w14:paraId="0B9AEAD3" w14:textId="77777777" w:rsidR="00F36067" w:rsidRDefault="00F15767">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esa tesitura, el artículo 24 en su último párrafo de la Ley de la Materia, dispone que los Sujetos Obligados </w:t>
      </w:r>
      <w:r>
        <w:rPr>
          <w:rFonts w:ascii="Palatino Linotype" w:eastAsia="Palatino Linotype" w:hAnsi="Palatino Linotype" w:cs="Palatino Linotype"/>
          <w:color w:val="000000"/>
        </w:rPr>
        <w:t xml:space="preserve">sólo proporcionarán la información pública que </w:t>
      </w:r>
      <w:r>
        <w:rPr>
          <w:rFonts w:ascii="Palatino Linotype" w:eastAsia="Palatino Linotype" w:hAnsi="Palatino Linotype" w:cs="Palatino Linotype"/>
        </w:rPr>
        <w:t>generen</w:t>
      </w:r>
      <w:r>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512F5A1F" w14:textId="77777777" w:rsidR="00F36067" w:rsidRDefault="00F36067">
      <w:pPr>
        <w:spacing w:line="360" w:lineRule="auto"/>
        <w:jc w:val="both"/>
        <w:rPr>
          <w:rFonts w:ascii="Palatino Linotype" w:eastAsia="Palatino Linotype" w:hAnsi="Palatino Linotype" w:cs="Palatino Linotype"/>
          <w:strike/>
          <w:color w:val="FF0000"/>
        </w:rPr>
      </w:pPr>
    </w:p>
    <w:p w14:paraId="20A13D51" w14:textId="77777777" w:rsidR="00F36067" w:rsidRDefault="00F15767">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w:t>
      </w:r>
      <w:r>
        <w:rPr>
          <w:rFonts w:ascii="Palatino Linotype" w:eastAsia="Palatino Linotype" w:hAnsi="Palatino Linotype" w:cs="Palatino Linotype"/>
        </w:rPr>
        <w:lastRenderedPageBreak/>
        <w:t>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4BA0F09" w14:textId="77777777" w:rsidR="00F36067" w:rsidRDefault="00F36067">
      <w:pPr>
        <w:spacing w:line="360" w:lineRule="auto"/>
        <w:jc w:val="both"/>
        <w:rPr>
          <w:rFonts w:ascii="Palatino Linotype" w:eastAsia="Palatino Linotype" w:hAnsi="Palatino Linotype" w:cs="Palatino Linotype"/>
        </w:rPr>
      </w:pPr>
    </w:p>
    <w:p w14:paraId="50DFB877"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1B49229" w14:textId="77777777" w:rsidR="00F36067" w:rsidRDefault="00F36067">
      <w:pPr>
        <w:ind w:left="851" w:right="899"/>
        <w:jc w:val="both"/>
        <w:rPr>
          <w:rFonts w:ascii="Palatino Linotype" w:eastAsia="Palatino Linotype" w:hAnsi="Palatino Linotype" w:cs="Palatino Linotype"/>
          <w:i/>
          <w:sz w:val="22"/>
          <w:szCs w:val="22"/>
        </w:rPr>
      </w:pPr>
    </w:p>
    <w:p w14:paraId="7757FC11" w14:textId="77777777" w:rsidR="00F36067" w:rsidRDefault="00F15767">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056E1BD4" w14:textId="77777777" w:rsidR="00F36067" w:rsidRDefault="00F15767">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C2E4D09" w14:textId="77777777" w:rsidR="00F36067" w:rsidRDefault="00F15767">
      <w:pP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 Documento:</w:t>
      </w:r>
      <w:r>
        <w:rPr>
          <w:rFonts w:ascii="Palatino Linotype" w:eastAsia="Palatino Linotype" w:hAnsi="Palatino Linotype" w:cs="Palatino Linotype"/>
          <w:i/>
          <w:color w:val="000000"/>
          <w:sz w:val="22"/>
          <w:szCs w:val="22"/>
        </w:rPr>
        <w:t xml:space="preserve"> Los expedientes, reportes, estudios, actas</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74E34E0" w14:textId="77777777" w:rsidR="00F36067" w:rsidRDefault="00F36067">
      <w:pPr>
        <w:ind w:left="851" w:right="899"/>
        <w:jc w:val="both"/>
        <w:rPr>
          <w:rFonts w:ascii="Palatino Linotype" w:eastAsia="Palatino Linotype" w:hAnsi="Palatino Linotype" w:cs="Palatino Linotype"/>
          <w:sz w:val="22"/>
          <w:szCs w:val="22"/>
        </w:rPr>
      </w:pPr>
    </w:p>
    <w:p w14:paraId="1E4F50B7"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Pr>
          <w:rFonts w:ascii="Palatino Linotype" w:eastAsia="Palatino Linotype" w:hAnsi="Palatino Linotype" w:cs="Palatino Linotype"/>
        </w:rPr>
        <w:lastRenderedPageBreak/>
        <w:t>Oficial del Gobierno del Estado Libre y Soberano de México “Gaceta del Gobierno”, el diecinueve de octubre de dos mil once, cuyo rubro y texto refieren lo siguiente:</w:t>
      </w:r>
    </w:p>
    <w:p w14:paraId="63D84010" w14:textId="77777777" w:rsidR="00F36067" w:rsidRDefault="00F36067">
      <w:pPr>
        <w:ind w:left="851" w:right="899"/>
        <w:jc w:val="both"/>
        <w:rPr>
          <w:rFonts w:ascii="Palatino Linotype" w:eastAsia="Palatino Linotype" w:hAnsi="Palatino Linotype" w:cs="Palatino Linotype"/>
        </w:rPr>
      </w:pPr>
    </w:p>
    <w:p w14:paraId="7A1E9FDE" w14:textId="77777777" w:rsidR="00F36067" w:rsidRDefault="00F15767">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w:t>
      </w:r>
    </w:p>
    <w:p w14:paraId="03E803BC" w14:textId="77777777" w:rsidR="00F36067" w:rsidRDefault="00F15767">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6E3EEFA" w14:textId="77777777" w:rsidR="00F36067" w:rsidRDefault="00F15767">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153E90E" w14:textId="77777777" w:rsidR="00F36067" w:rsidRDefault="00F15767">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2B2077DB" w14:textId="77777777" w:rsidR="00F36067" w:rsidRDefault="00F15767">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2) Que se trate de información registrada en cualquier soporte documental, </w:t>
      </w:r>
      <w:proofErr w:type="gramStart"/>
      <w:r>
        <w:rPr>
          <w:rFonts w:ascii="Palatino Linotype" w:eastAsia="Palatino Linotype" w:hAnsi="Palatino Linotype" w:cs="Palatino Linotype"/>
          <w:b/>
          <w:i/>
          <w:sz w:val="22"/>
          <w:szCs w:val="22"/>
        </w:rPr>
        <w:t>que</w:t>
      </w:r>
      <w:proofErr w:type="gramEnd"/>
      <w:r>
        <w:rPr>
          <w:rFonts w:ascii="Palatino Linotype" w:eastAsia="Palatino Linotype" w:hAnsi="Palatino Linotype" w:cs="Palatino Linotype"/>
          <w:b/>
          <w:i/>
          <w:sz w:val="22"/>
          <w:szCs w:val="22"/>
        </w:rPr>
        <w:t xml:space="preserve"> en ejercicio de las atribuciones conferidas, sea administrada por los Sujetos Obligados, y</w:t>
      </w:r>
    </w:p>
    <w:p w14:paraId="17A2E820" w14:textId="77777777" w:rsidR="00F36067" w:rsidRDefault="00F15767">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3) Que se trate de información registrada en cualquier soporte documental, </w:t>
      </w:r>
      <w:proofErr w:type="gramStart"/>
      <w:r>
        <w:rPr>
          <w:rFonts w:ascii="Palatino Linotype" w:eastAsia="Palatino Linotype" w:hAnsi="Palatino Linotype" w:cs="Palatino Linotype"/>
          <w:b/>
          <w:i/>
          <w:sz w:val="22"/>
          <w:szCs w:val="22"/>
        </w:rPr>
        <w:t>que</w:t>
      </w:r>
      <w:proofErr w:type="gramEnd"/>
      <w:r>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5FAFC5C0" w14:textId="7777777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Atizapán de Zaragoza, lo siguiente:</w:t>
      </w:r>
    </w:p>
    <w:p w14:paraId="75424471" w14:textId="77777777" w:rsidR="00F36067" w:rsidRDefault="00F15767">
      <w:pPr>
        <w:numPr>
          <w:ilvl w:val="0"/>
          <w:numId w:val="2"/>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color w:val="000000"/>
        </w:rPr>
        <w:t>Precios unitarios, r</w:t>
      </w:r>
      <w:r>
        <w:rPr>
          <w:rFonts w:ascii="Palatino Linotype" w:eastAsia="Palatino Linotype" w:hAnsi="Palatino Linotype" w:cs="Palatino Linotype"/>
        </w:rPr>
        <w:t xml:space="preserve">especto a la obra "Rehabilitación con Concreto Asfáltico de Avenida Parque de los Ciervos en el acceso al Parque de los Ciervos" </w:t>
      </w:r>
    </w:p>
    <w:p w14:paraId="0A48A042" w14:textId="77777777" w:rsidR="00F36067" w:rsidRDefault="00F15767">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 través de su </w:t>
      </w:r>
      <w:proofErr w:type="gramStart"/>
      <w:r>
        <w:rPr>
          <w:rFonts w:ascii="Palatino Linotype" w:eastAsia="Palatino Linotype" w:hAnsi="Palatino Linotype" w:cs="Palatino Linotype"/>
        </w:rPr>
        <w:t>Director General</w:t>
      </w:r>
      <w:proofErr w:type="gramEnd"/>
      <w:r>
        <w:rPr>
          <w:rFonts w:ascii="Palatino Linotype" w:eastAsia="Palatino Linotype" w:hAnsi="Palatino Linotype" w:cs="Palatino Linotype"/>
        </w:rPr>
        <w:t xml:space="preserve"> de Obras Públicas del Ayuntamiento de Atizapán de Zaragoza, informó lo siguiente:</w:t>
      </w:r>
    </w:p>
    <w:p w14:paraId="1F38CB89" w14:textId="77777777" w:rsidR="00F36067" w:rsidRDefault="00F15767">
      <w:pPr>
        <w:widowControl w:val="0"/>
        <w:tabs>
          <w:tab w:val="center" w:pos="452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me permito enviarle </w:t>
      </w:r>
      <w:proofErr w:type="gramStart"/>
      <w:r>
        <w:rPr>
          <w:rFonts w:ascii="Palatino Linotype" w:eastAsia="Palatino Linotype" w:hAnsi="Palatino Linotype" w:cs="Palatino Linotype"/>
          <w:i/>
        </w:rPr>
        <w:t>el siguientes enlaces electrónicos</w:t>
      </w:r>
      <w:proofErr w:type="gramEnd"/>
      <w:r>
        <w:rPr>
          <w:rFonts w:ascii="Palatino Linotype" w:eastAsia="Palatino Linotype" w:hAnsi="Palatino Linotype" w:cs="Palatino Linotype"/>
          <w:i/>
        </w:rPr>
        <w:t xml:space="preserve"> de la página oficial de información </w:t>
      </w:r>
      <w:r>
        <w:rPr>
          <w:rFonts w:ascii="Palatino Linotype" w:eastAsia="Palatino Linotype" w:hAnsi="Palatino Linotype" w:cs="Palatino Linotype"/>
          <w:i/>
        </w:rPr>
        <w:lastRenderedPageBreak/>
        <w:t xml:space="preserve">pública de oficio mexiquense (IPOMEX): </w:t>
      </w:r>
      <w:hyperlink r:id="rId13" w:anchor="/info-fraccion/676/102/12">
        <w:r>
          <w:rPr>
            <w:rFonts w:ascii="Palatino Linotype" w:eastAsia="Palatino Linotype" w:hAnsi="Palatino Linotype" w:cs="Palatino Linotype"/>
            <w:i/>
            <w:color w:val="0000FF"/>
            <w:u w:val="single"/>
          </w:rPr>
          <w:t>https://infoem2.ipomex.org.mx/ipomex/#/info-fraccion/676/102/12</w:t>
        </w:r>
      </w:hyperlink>
      <w:r>
        <w:rPr>
          <w:rFonts w:ascii="Palatino Linotype" w:eastAsia="Palatino Linotype" w:hAnsi="Palatino Linotype" w:cs="Palatino Linotype"/>
          <w:i/>
          <w:color w:val="0000FF"/>
          <w:u w:val="single"/>
        </w:rPr>
        <w:t xml:space="preserve">, </w:t>
      </w:r>
      <w:r>
        <w:rPr>
          <w:rFonts w:ascii="Palatino Linotype" w:eastAsia="Palatino Linotype" w:hAnsi="Palatino Linotype" w:cs="Palatino Linotype"/>
          <w:i/>
        </w:rPr>
        <w:t>en donde</w:t>
      </w:r>
      <w:r>
        <w:rPr>
          <w:rFonts w:ascii="Palatino Linotype" w:eastAsia="Palatino Linotype" w:hAnsi="Palatino Linotype" w:cs="Palatino Linotype"/>
          <w:i/>
          <w:color w:val="0000FF"/>
        </w:rPr>
        <w:t xml:space="preserve"> </w:t>
      </w:r>
      <w:r>
        <w:rPr>
          <w:rFonts w:ascii="Palatino Linotype" w:eastAsia="Palatino Linotype" w:hAnsi="Palatino Linotype" w:cs="Palatino Linotype"/>
          <w:i/>
        </w:rPr>
        <w:t>podrá consultar los expedientes y datos solicitados de los procedimientos de licitación e invitación pública a cuando menos tres personas en sus versiones públicas</w:t>
      </w:r>
      <w:r>
        <w:rPr>
          <w:rFonts w:ascii="Palatino Linotype" w:eastAsia="Palatino Linotype" w:hAnsi="Palatino Linotype" w:cs="Palatino Linotype"/>
        </w:rPr>
        <w:t>…” (Sic)</w:t>
      </w:r>
    </w:p>
    <w:p w14:paraId="60E50C27" w14:textId="77777777" w:rsidR="00F36067" w:rsidRDefault="00F1576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No conforme con la respuesta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interpuso el recurso de revisión que se analiza en el presente asunto, por medio del cual se inconformó en lo medular por la negativa de la información solicitada. </w:t>
      </w:r>
    </w:p>
    <w:p w14:paraId="4E1015A6"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Ante la interposición del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rindió su informe justificado, a través del cual en lo medular ratificó su respuesta primigenia. </w:t>
      </w:r>
    </w:p>
    <w:p w14:paraId="5A1B6735" w14:textId="77777777" w:rsidR="00F36067" w:rsidRDefault="00F1576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el requerimiento de información que versa sobre información relativa a una obra pública, resulta conveniente citar el contenido de los artículos 12.1, fracción III, 12.2., 12.4. Fracción I, 12.20, 12.21 y 12.42, fracción I del Libro Décimo Segundo del Código Administrativo del Estado de México, a saber:</w:t>
      </w:r>
    </w:p>
    <w:p w14:paraId="6853374A"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12.1.- Este Libro tiene por objeto regular los actos relativos a la planeación, programación, presupuestación, adjudicación, contratación, ejecución y control de la obra pública, así como los servicios relacionados con la misma que, por sí o por conducto de terceros, realicen:</w:t>
      </w:r>
    </w:p>
    <w:p w14:paraId="5B7D0652"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6685BF7" w14:textId="77777777" w:rsidR="00F36067" w:rsidRDefault="00F15767">
      <w:pPr>
        <w:ind w:left="567" w:right="56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III. Los ayuntamientos de los municipios del Estado;</w:t>
      </w:r>
    </w:p>
    <w:p w14:paraId="4C9D0D50"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0149632" w14:textId="77777777" w:rsidR="00F36067" w:rsidRDefault="00F36067">
      <w:pPr>
        <w:ind w:left="567" w:right="560"/>
        <w:jc w:val="both"/>
        <w:rPr>
          <w:rFonts w:ascii="Palatino Linotype" w:eastAsia="Palatino Linotype" w:hAnsi="Palatino Linotype" w:cs="Palatino Linotype"/>
          <w:i/>
          <w:sz w:val="22"/>
          <w:szCs w:val="22"/>
        </w:rPr>
      </w:pPr>
    </w:p>
    <w:p w14:paraId="70D2D7B9"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12.2.- Las disposiciones de este Libro tienen como finalidad asegurar al Gobierno del Estado y a los municipios, las mejores condiciones disponibles en cuanto a precio, calidad, financiamiento, oportunidad y demás circunstancias pertinentes, en la contratación de la obra pública y servicios relacionados con la misma, en un marco de legalidad y transparencia.”</w:t>
      </w:r>
    </w:p>
    <w:p w14:paraId="63AAD30F" w14:textId="77777777" w:rsidR="00F36067" w:rsidRDefault="00F36067">
      <w:pPr>
        <w:ind w:left="567" w:right="560"/>
        <w:jc w:val="both"/>
        <w:rPr>
          <w:rFonts w:ascii="Palatino Linotype" w:eastAsia="Palatino Linotype" w:hAnsi="Palatino Linotype" w:cs="Palatino Linotype"/>
          <w:i/>
          <w:sz w:val="22"/>
          <w:szCs w:val="22"/>
        </w:rPr>
      </w:pPr>
    </w:p>
    <w:p w14:paraId="2B6FD439"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“Artículo 12.4.- </w:t>
      </w:r>
      <w:r>
        <w:rPr>
          <w:rFonts w:ascii="Palatino Linotype" w:eastAsia="Palatino Linotype" w:hAnsi="Palatino Linotype" w:cs="Palatino Linotype"/>
          <w:b/>
          <w:i/>
          <w:sz w:val="22"/>
          <w:szCs w:val="22"/>
        </w:rPr>
        <w:t xml:space="preserve">Se considera obra pública todo trabajo que tenga por objeto principal construir, instalar, ampliar, adecuar, remodelar, restaurar, conservar, mantener, modificar o demoler bienes inmuebles propiedad </w:t>
      </w:r>
      <w:r>
        <w:rPr>
          <w:rFonts w:ascii="Palatino Linotype" w:eastAsia="Palatino Linotype" w:hAnsi="Palatino Linotype" w:cs="Palatino Linotype"/>
          <w:i/>
          <w:sz w:val="22"/>
          <w:szCs w:val="22"/>
        </w:rPr>
        <w:t xml:space="preserve">del Estado, de sus dependencias y entidades </w:t>
      </w:r>
      <w:r>
        <w:rPr>
          <w:rFonts w:ascii="Palatino Linotype" w:eastAsia="Palatino Linotype" w:hAnsi="Palatino Linotype" w:cs="Palatino Linotype"/>
          <w:b/>
          <w:i/>
          <w:sz w:val="22"/>
          <w:szCs w:val="22"/>
          <w:u w:val="single"/>
        </w:rPr>
        <w:t>y de los municipios</w:t>
      </w:r>
      <w:r>
        <w:rPr>
          <w:rFonts w:ascii="Palatino Linotype" w:eastAsia="Palatino Linotype" w:hAnsi="Palatino Linotype" w:cs="Palatino Linotype"/>
          <w:i/>
          <w:sz w:val="22"/>
          <w:szCs w:val="22"/>
        </w:rPr>
        <w:t xml:space="preserve"> y sus organismos con cargo a recursos públicos estatales o municipales. </w:t>
      </w:r>
    </w:p>
    <w:p w14:paraId="7C2D4627" w14:textId="77777777" w:rsidR="00F36067" w:rsidRDefault="00F36067">
      <w:pPr>
        <w:ind w:left="567" w:right="560"/>
        <w:jc w:val="both"/>
        <w:rPr>
          <w:rFonts w:ascii="Palatino Linotype" w:eastAsia="Palatino Linotype" w:hAnsi="Palatino Linotype" w:cs="Palatino Linotype"/>
          <w:i/>
          <w:sz w:val="22"/>
          <w:szCs w:val="22"/>
        </w:rPr>
      </w:pPr>
    </w:p>
    <w:p w14:paraId="6FE92FE4"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Quedan comprendidos dentro de la obra pública:</w:t>
      </w:r>
    </w:p>
    <w:p w14:paraId="5FDF230E"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E50B937" w14:textId="77777777" w:rsidR="00F36067" w:rsidRDefault="00F36067">
      <w:pPr>
        <w:ind w:left="567" w:right="560"/>
        <w:jc w:val="both"/>
        <w:rPr>
          <w:rFonts w:ascii="Palatino Linotype" w:eastAsia="Palatino Linotype" w:hAnsi="Palatino Linotype" w:cs="Palatino Linotype"/>
          <w:i/>
          <w:sz w:val="22"/>
          <w:szCs w:val="22"/>
        </w:rPr>
      </w:pPr>
    </w:p>
    <w:p w14:paraId="49DE2063" w14:textId="77777777" w:rsidR="00F36067" w:rsidRDefault="00F15767">
      <w:pPr>
        <w:ind w:left="567" w:right="56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 El mantenimiento, restauración, desmantelamiento o remoción de bienes muebles incorporados o adheridos a un inmueble;</w:t>
      </w:r>
    </w:p>
    <w:p w14:paraId="698D52A6"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6DA89E97" w14:textId="77777777" w:rsidR="00F36067" w:rsidRDefault="00F36067">
      <w:pPr>
        <w:ind w:left="567" w:right="560"/>
        <w:jc w:val="both"/>
        <w:rPr>
          <w:rFonts w:ascii="Palatino Linotype" w:eastAsia="Palatino Linotype" w:hAnsi="Palatino Linotype" w:cs="Palatino Linotype"/>
          <w:i/>
          <w:sz w:val="22"/>
          <w:szCs w:val="22"/>
        </w:rPr>
      </w:pPr>
    </w:p>
    <w:p w14:paraId="78D90375"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12.20.- </w:t>
      </w:r>
      <w:r>
        <w:rPr>
          <w:rFonts w:ascii="Palatino Linotype" w:eastAsia="Palatino Linotype" w:hAnsi="Palatino Linotype" w:cs="Palatino Linotype"/>
          <w:b/>
          <w:i/>
          <w:sz w:val="22"/>
          <w:szCs w:val="22"/>
        </w:rPr>
        <w:t>Los contratos a que se refiere este Libro, se adjudicarán a través de licitaciones públicas, mediante convocatoria pública.”</w:t>
      </w:r>
      <w:r>
        <w:rPr>
          <w:rFonts w:ascii="Palatino Linotype" w:eastAsia="Palatino Linotype" w:hAnsi="Palatino Linotype" w:cs="Palatino Linotype"/>
          <w:i/>
          <w:sz w:val="22"/>
          <w:szCs w:val="22"/>
        </w:rPr>
        <w:t xml:space="preserve"> </w:t>
      </w:r>
    </w:p>
    <w:p w14:paraId="3866A268" w14:textId="77777777" w:rsidR="00F36067" w:rsidRDefault="00F36067">
      <w:pPr>
        <w:ind w:left="567" w:right="560"/>
        <w:jc w:val="both"/>
        <w:rPr>
          <w:rFonts w:ascii="Palatino Linotype" w:eastAsia="Palatino Linotype" w:hAnsi="Palatino Linotype" w:cs="Palatino Linotype"/>
          <w:i/>
          <w:sz w:val="22"/>
          <w:szCs w:val="22"/>
        </w:rPr>
      </w:pPr>
    </w:p>
    <w:p w14:paraId="54712FD8"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12.21.- Las dependencias, entidades y ayuntamientos podrán adjudicar contratos para la ejecución de obra pública o servicios relacionados con la misma mediante las excepciones al procedimiento de licitación siguientes: </w:t>
      </w:r>
    </w:p>
    <w:p w14:paraId="154556ED"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Invitación restringida; </w:t>
      </w:r>
    </w:p>
    <w:p w14:paraId="20247354"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Adjudicación directa.”</w:t>
      </w:r>
    </w:p>
    <w:p w14:paraId="31691DF5" w14:textId="77777777" w:rsidR="00F36067" w:rsidRDefault="00F36067">
      <w:pPr>
        <w:ind w:left="567" w:right="560"/>
        <w:jc w:val="both"/>
        <w:rPr>
          <w:rFonts w:ascii="Palatino Linotype" w:eastAsia="Palatino Linotype" w:hAnsi="Palatino Linotype" w:cs="Palatino Linotype"/>
          <w:i/>
          <w:sz w:val="22"/>
          <w:szCs w:val="22"/>
        </w:rPr>
      </w:pPr>
    </w:p>
    <w:p w14:paraId="28AEFB93"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12.42.- Los contratos de obra pública o de servicios relacionados con la misma, podrán ser de tres tipos: </w:t>
      </w:r>
    </w:p>
    <w:p w14:paraId="5BF5F963" w14:textId="77777777" w:rsidR="00F36067" w:rsidRDefault="00F36067">
      <w:pPr>
        <w:ind w:left="567" w:right="560"/>
        <w:jc w:val="both"/>
        <w:rPr>
          <w:rFonts w:ascii="Palatino Linotype" w:eastAsia="Palatino Linotype" w:hAnsi="Palatino Linotype" w:cs="Palatino Linotype"/>
          <w:i/>
          <w:sz w:val="22"/>
          <w:szCs w:val="22"/>
        </w:rPr>
      </w:pPr>
    </w:p>
    <w:p w14:paraId="066D33A5" w14:textId="77777777" w:rsidR="00F36067" w:rsidRDefault="00F15767">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 xml:space="preserve">I. Sobre la base de precios unitarios, en cuyo caso el pago que deba cubrirse al contratista se hará por unidad de concepto de trabajo </w:t>
      </w:r>
      <w:proofErr w:type="gramStart"/>
      <w:r>
        <w:rPr>
          <w:rFonts w:ascii="Palatino Linotype" w:eastAsia="Palatino Linotype" w:hAnsi="Palatino Linotype" w:cs="Palatino Linotype"/>
          <w:b/>
          <w:i/>
          <w:sz w:val="22"/>
          <w:szCs w:val="22"/>
          <w:u w:val="single"/>
        </w:rPr>
        <w:t>terminado;</w:t>
      </w:r>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w:t>
      </w:r>
    </w:p>
    <w:p w14:paraId="2662EAE7" w14:textId="77777777" w:rsidR="00F36067" w:rsidRDefault="00F36067">
      <w:pPr>
        <w:spacing w:line="360" w:lineRule="auto"/>
        <w:jc w:val="both"/>
        <w:rPr>
          <w:rFonts w:ascii="Palatino Linotype" w:eastAsia="Palatino Linotype" w:hAnsi="Palatino Linotype" w:cs="Palatino Linotype"/>
          <w:sz w:val="22"/>
          <w:szCs w:val="22"/>
        </w:rPr>
      </w:pPr>
    </w:p>
    <w:p w14:paraId="3BDA6EF8" w14:textId="77777777" w:rsidR="00F36067" w:rsidRDefault="00F1576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los preceptos anteriores, se advierte que el Código de Procedimientos Administrativos del Estado de México, dispone que es considerada como </w:t>
      </w:r>
      <w:r>
        <w:rPr>
          <w:rFonts w:ascii="Palatino Linotype" w:eastAsia="Palatino Linotype" w:hAnsi="Palatino Linotype" w:cs="Palatino Linotype"/>
          <w:b/>
          <w:sz w:val="22"/>
          <w:szCs w:val="22"/>
          <w:u w:val="single"/>
        </w:rPr>
        <w:t>obra pública</w:t>
      </w:r>
      <w:r>
        <w:rPr>
          <w:rFonts w:ascii="Palatino Linotype" w:eastAsia="Palatino Linotype" w:hAnsi="Palatino Linotype" w:cs="Palatino Linotype"/>
          <w:sz w:val="22"/>
          <w:szCs w:val="22"/>
        </w:rPr>
        <w:t xml:space="preserve">, todo trabajo que tenga por objeto principal </w:t>
      </w:r>
      <w:r>
        <w:rPr>
          <w:rFonts w:ascii="Palatino Linotype" w:eastAsia="Palatino Linotype" w:hAnsi="Palatino Linotype" w:cs="Palatino Linotype"/>
          <w:b/>
          <w:sz w:val="22"/>
          <w:szCs w:val="22"/>
          <w:u w:val="single"/>
        </w:rPr>
        <w:t>construir,</w:t>
      </w:r>
      <w:r>
        <w:rPr>
          <w:rFonts w:ascii="Palatino Linotype" w:eastAsia="Palatino Linotype" w:hAnsi="Palatino Linotype" w:cs="Palatino Linotype"/>
          <w:sz w:val="22"/>
          <w:szCs w:val="22"/>
        </w:rPr>
        <w:t xml:space="preserve"> instalar, ampliar, </w:t>
      </w:r>
      <w:r>
        <w:rPr>
          <w:rFonts w:ascii="Palatino Linotype" w:eastAsia="Palatino Linotype" w:hAnsi="Palatino Linotype" w:cs="Palatino Linotype"/>
          <w:b/>
          <w:sz w:val="22"/>
          <w:szCs w:val="22"/>
          <w:u w:val="single"/>
        </w:rPr>
        <w:t>adecuar, remodelar,</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u w:val="single"/>
        </w:rPr>
        <w:t>restaurar,</w:t>
      </w:r>
      <w:r>
        <w:rPr>
          <w:rFonts w:ascii="Palatino Linotype" w:eastAsia="Palatino Linotype" w:hAnsi="Palatino Linotype" w:cs="Palatino Linotype"/>
          <w:sz w:val="22"/>
          <w:szCs w:val="22"/>
        </w:rPr>
        <w:t xml:space="preserve"> conservar, mantener, </w:t>
      </w:r>
      <w:r>
        <w:rPr>
          <w:rFonts w:ascii="Palatino Linotype" w:eastAsia="Palatino Linotype" w:hAnsi="Palatino Linotype" w:cs="Palatino Linotype"/>
          <w:b/>
          <w:sz w:val="22"/>
          <w:szCs w:val="22"/>
          <w:u w:val="single"/>
        </w:rPr>
        <w:t>modificar</w:t>
      </w:r>
      <w:r>
        <w:rPr>
          <w:rFonts w:ascii="Palatino Linotype" w:eastAsia="Palatino Linotype" w:hAnsi="Palatino Linotype" w:cs="Palatino Linotype"/>
          <w:sz w:val="22"/>
          <w:szCs w:val="22"/>
        </w:rPr>
        <w:t xml:space="preserve"> o demoler </w:t>
      </w:r>
      <w:r>
        <w:rPr>
          <w:rFonts w:ascii="Palatino Linotype" w:eastAsia="Palatino Linotype" w:hAnsi="Palatino Linotype" w:cs="Palatino Linotype"/>
          <w:b/>
          <w:sz w:val="22"/>
          <w:szCs w:val="22"/>
        </w:rPr>
        <w:t>bienes inmuebles propiedad</w:t>
      </w:r>
      <w:r>
        <w:rPr>
          <w:rFonts w:ascii="Palatino Linotype" w:eastAsia="Palatino Linotype" w:hAnsi="Palatino Linotype" w:cs="Palatino Linotype"/>
          <w:sz w:val="22"/>
          <w:szCs w:val="22"/>
        </w:rPr>
        <w:t xml:space="preserve">, entre otros, </w:t>
      </w:r>
      <w:r>
        <w:rPr>
          <w:rFonts w:ascii="Palatino Linotype" w:eastAsia="Palatino Linotype" w:hAnsi="Palatino Linotype" w:cs="Palatino Linotype"/>
          <w:b/>
          <w:sz w:val="22"/>
          <w:szCs w:val="22"/>
        </w:rPr>
        <w:t>de los municipios</w:t>
      </w:r>
      <w:r>
        <w:rPr>
          <w:rFonts w:ascii="Palatino Linotype" w:eastAsia="Palatino Linotype" w:hAnsi="Palatino Linotype" w:cs="Palatino Linotype"/>
          <w:sz w:val="22"/>
          <w:szCs w:val="22"/>
        </w:rPr>
        <w:t>; considerando dentro de estos trabajos, aquellos relacionados con el mantenimiento, restauración, desmantelamiento o remoción de bienes muebles incorporados o adheridos a un inmueble.</w:t>
      </w:r>
    </w:p>
    <w:p w14:paraId="45DFEBC5" w14:textId="77777777" w:rsidR="00F36067" w:rsidRDefault="00F36067">
      <w:pPr>
        <w:spacing w:line="360" w:lineRule="auto"/>
        <w:jc w:val="both"/>
        <w:rPr>
          <w:rFonts w:ascii="Palatino Linotype" w:eastAsia="Palatino Linotype" w:hAnsi="Palatino Linotype" w:cs="Palatino Linotype"/>
          <w:sz w:val="22"/>
          <w:szCs w:val="22"/>
        </w:rPr>
      </w:pPr>
    </w:p>
    <w:p w14:paraId="3A64CFF0" w14:textId="77777777" w:rsidR="00F36067" w:rsidRDefault="00F1576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Consecuentemente, las contrataciones de obra pública pueden llevarse a cabo, mediante procedimientos de adquisición, entre los cuales se encuentran </w:t>
      </w:r>
      <w:r>
        <w:rPr>
          <w:rFonts w:ascii="Palatino Linotype" w:eastAsia="Palatino Linotype" w:hAnsi="Palatino Linotype" w:cs="Palatino Linotype"/>
          <w:b/>
          <w:sz w:val="22"/>
          <w:szCs w:val="22"/>
          <w:u w:val="single"/>
        </w:rPr>
        <w:t xml:space="preserve">las licitaciones públicas, invitación restringida y adjudicación directa, </w:t>
      </w:r>
      <w:r>
        <w:rPr>
          <w:rFonts w:ascii="Palatino Linotype" w:eastAsia="Palatino Linotype" w:hAnsi="Palatino Linotype" w:cs="Palatino Linotype"/>
          <w:sz w:val="22"/>
          <w:szCs w:val="22"/>
          <w:u w:val="single"/>
        </w:rPr>
        <w:t>por la contratación de obra pública.</w:t>
      </w:r>
    </w:p>
    <w:p w14:paraId="488A0F31" w14:textId="77777777" w:rsidR="00F36067" w:rsidRDefault="00F36067">
      <w:pPr>
        <w:spacing w:line="360" w:lineRule="auto"/>
        <w:ind w:right="49"/>
        <w:jc w:val="both"/>
        <w:rPr>
          <w:rFonts w:ascii="Palatino Linotype" w:eastAsia="Palatino Linotype" w:hAnsi="Palatino Linotype" w:cs="Palatino Linotype"/>
          <w:sz w:val="22"/>
          <w:szCs w:val="22"/>
        </w:rPr>
      </w:pPr>
    </w:p>
    <w:p w14:paraId="73759EF1" w14:textId="77777777" w:rsidR="00F36067" w:rsidRDefault="00F15767">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Respecto al procedimiento de </w:t>
      </w:r>
      <w:r>
        <w:rPr>
          <w:rFonts w:ascii="Palatino Linotype" w:eastAsia="Palatino Linotype" w:hAnsi="Palatino Linotype" w:cs="Palatino Linotype"/>
          <w:b/>
          <w:sz w:val="22"/>
          <w:szCs w:val="22"/>
        </w:rPr>
        <w:t>licitación pública</w:t>
      </w:r>
      <w:r>
        <w:rPr>
          <w:rFonts w:ascii="Palatino Linotype" w:eastAsia="Palatino Linotype" w:hAnsi="Palatino Linotype" w:cs="Palatino Linotype"/>
          <w:sz w:val="22"/>
          <w:szCs w:val="22"/>
        </w:rPr>
        <w:t xml:space="preserve">, es de indicar que constituye un procedimiento de contratación en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a través de una declaración unilateral de voluntad contenida en una convocatoria pública, el ente público, se obliga a celebrar un contrato para la adquisición del desarrollo de una obra pública, con aquél interesado que cumpliendo determinados requisitos prefijados en la convocatoria por el ente público de que se trate, ofrezca las mejores condiciones de contratación. </w:t>
      </w:r>
    </w:p>
    <w:p w14:paraId="025F8315" w14:textId="77777777" w:rsidR="00F36067" w:rsidRDefault="00F36067">
      <w:pPr>
        <w:spacing w:line="360" w:lineRule="auto"/>
        <w:ind w:right="49"/>
        <w:jc w:val="both"/>
        <w:rPr>
          <w:rFonts w:ascii="Palatino Linotype" w:eastAsia="Palatino Linotype" w:hAnsi="Palatino Linotype" w:cs="Palatino Linotype"/>
          <w:sz w:val="22"/>
          <w:szCs w:val="22"/>
        </w:rPr>
      </w:pPr>
    </w:p>
    <w:p w14:paraId="2534761A" w14:textId="77777777" w:rsidR="00F36067" w:rsidRDefault="00F15767">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cuanto hace a la </w:t>
      </w:r>
      <w:r>
        <w:rPr>
          <w:rFonts w:ascii="Palatino Linotype" w:eastAsia="Palatino Linotype" w:hAnsi="Palatino Linotype" w:cs="Palatino Linotype"/>
          <w:b/>
          <w:sz w:val="22"/>
          <w:szCs w:val="22"/>
        </w:rPr>
        <w:t>adjudicación directa</w:t>
      </w:r>
      <w:r>
        <w:rPr>
          <w:rFonts w:ascii="Palatino Linotype" w:eastAsia="Palatino Linotype" w:hAnsi="Palatino Linotype" w:cs="Palatino Linotype"/>
          <w:sz w:val="22"/>
          <w:szCs w:val="22"/>
        </w:rPr>
        <w:t xml:space="preserve">, es un procedimiento que se realiza sin puesta en concurrencia y, por ende, sin que exista competencia, adjudicándose el contrato a un proveedor que ha sido preseleccionado para tales efectos por la dependencia o entidad. </w:t>
      </w:r>
    </w:p>
    <w:p w14:paraId="68A38322" w14:textId="77777777" w:rsidR="00F36067" w:rsidRDefault="00F36067">
      <w:pPr>
        <w:spacing w:line="360" w:lineRule="auto"/>
        <w:ind w:right="49"/>
        <w:jc w:val="both"/>
        <w:rPr>
          <w:rFonts w:ascii="Palatino Linotype" w:eastAsia="Palatino Linotype" w:hAnsi="Palatino Linotype" w:cs="Palatino Linotype"/>
          <w:sz w:val="22"/>
          <w:szCs w:val="22"/>
        </w:rPr>
      </w:pPr>
    </w:p>
    <w:p w14:paraId="63EAAF54" w14:textId="77777777" w:rsidR="00F36067" w:rsidRDefault="00F15767">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último, respecto a la </w:t>
      </w:r>
      <w:r>
        <w:rPr>
          <w:rFonts w:ascii="Palatino Linotype" w:eastAsia="Palatino Linotype" w:hAnsi="Palatino Linotype" w:cs="Palatino Linotype"/>
          <w:b/>
          <w:sz w:val="22"/>
          <w:szCs w:val="22"/>
        </w:rPr>
        <w:t xml:space="preserve">invitación restringida </w:t>
      </w:r>
      <w:r>
        <w:rPr>
          <w:rFonts w:ascii="Palatino Linotype" w:eastAsia="Palatino Linotype" w:hAnsi="Palatino Linotype" w:cs="Palatino Linotype"/>
          <w:sz w:val="22"/>
          <w:szCs w:val="22"/>
        </w:rPr>
        <w:t>precisa que es un procedimiento de excepción a la licitación pública que permite al ente público, en forma discrecional, realizar un procedimiento para adquirir, arrendar o contratar, invitando a por lo menos tres oferentes a presentar propuestas.</w:t>
      </w:r>
    </w:p>
    <w:p w14:paraId="3D550CA5" w14:textId="77777777" w:rsidR="00F36067" w:rsidRDefault="00F36067">
      <w:pPr>
        <w:spacing w:line="360" w:lineRule="auto"/>
        <w:jc w:val="both"/>
        <w:rPr>
          <w:rFonts w:ascii="Palatino Linotype" w:eastAsia="Palatino Linotype" w:hAnsi="Palatino Linotype" w:cs="Palatino Linotype"/>
          <w:sz w:val="22"/>
          <w:szCs w:val="22"/>
        </w:rPr>
      </w:pPr>
    </w:p>
    <w:p w14:paraId="02D2FBB3" w14:textId="77777777" w:rsidR="00F36067" w:rsidRDefault="00F15767">
      <w:pPr>
        <w:spacing w:line="360" w:lineRule="auto"/>
        <w:ind w:right="141"/>
        <w:jc w:val="both"/>
        <w:rPr>
          <w:rFonts w:ascii="Palatino Linotype" w:eastAsia="Palatino Linotype" w:hAnsi="Palatino Linotype" w:cs="Palatino Linotype"/>
        </w:rPr>
      </w:pPr>
      <w:r>
        <w:rPr>
          <w:rFonts w:ascii="Palatino Linotype" w:eastAsia="Palatino Linotype" w:hAnsi="Palatino Linotype" w:cs="Palatino Linotype"/>
        </w:rPr>
        <w:t xml:space="preserve">Además, cabe señalar que la información que se requiere, forma parte de las Obligaciones de Transparencia Comunes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por relacionarse con la información que forma parte de los procedimientos de adquisición, lo que nos permite traer a colación lo dispuesto por la fracción XXIX </w:t>
      </w:r>
      <w:r>
        <w:rPr>
          <w:rFonts w:ascii="Palatino Linotype" w:eastAsia="Palatino Linotype" w:hAnsi="Palatino Linotype" w:cs="Palatino Linotype"/>
        </w:rPr>
        <w:lastRenderedPageBreak/>
        <w:t>del artículo 92, de la Ley de Transparencia y Acceso a la Información Pública del Estado de México y Municipios en el cual se aprecia lo siguiente:</w:t>
      </w:r>
    </w:p>
    <w:p w14:paraId="730EA8C3" w14:textId="77777777" w:rsidR="00F36067" w:rsidRDefault="00F36067">
      <w:pPr>
        <w:ind w:left="851" w:right="902"/>
        <w:jc w:val="both"/>
        <w:rPr>
          <w:rFonts w:ascii="Palatino Linotype" w:eastAsia="Palatino Linotype" w:hAnsi="Palatino Linotype" w:cs="Palatino Linotype"/>
          <w:i/>
          <w:sz w:val="22"/>
          <w:szCs w:val="22"/>
        </w:rPr>
      </w:pPr>
    </w:p>
    <w:p w14:paraId="146D3D87" w14:textId="77777777" w:rsidR="00F36067" w:rsidRDefault="00F15767">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DDE11D3" w14:textId="77777777" w:rsidR="00F36067" w:rsidRDefault="00F15767">
      <w:pPr>
        <w:tabs>
          <w:tab w:val="left" w:pos="426"/>
        </w:tabs>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B5EA4D2" w14:textId="77777777" w:rsidR="00F36067" w:rsidRDefault="00F15767">
      <w:pPr>
        <w:tabs>
          <w:tab w:val="left" w:pos="426"/>
        </w:tabs>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XXIX.</w:t>
      </w:r>
      <w:r>
        <w:rPr>
          <w:rFonts w:ascii="Palatino Linotype" w:eastAsia="Palatino Linotype" w:hAnsi="Palatino Linotype" w:cs="Palatino Linotype"/>
          <w:i/>
          <w:sz w:val="22"/>
          <w:szCs w:val="22"/>
        </w:rPr>
        <w:t xml:space="preserve"> La </w:t>
      </w:r>
      <w:r>
        <w:rPr>
          <w:rFonts w:ascii="Palatino Linotype" w:eastAsia="Palatino Linotype" w:hAnsi="Palatino Linotype" w:cs="Palatino Linotype"/>
          <w:b/>
          <w:i/>
          <w:sz w:val="22"/>
          <w:szCs w:val="22"/>
        </w:rPr>
        <w:t xml:space="preserve">información sobre los procesos y resultados </w:t>
      </w:r>
      <w:r>
        <w:rPr>
          <w:rFonts w:ascii="Palatino Linotype" w:eastAsia="Palatino Linotype" w:hAnsi="Palatino Linotype" w:cs="Palatino Linotype"/>
          <w:b/>
          <w:i/>
          <w:sz w:val="22"/>
          <w:szCs w:val="22"/>
          <w:u w:val="single"/>
        </w:rPr>
        <w:t>sobre procedimientos de adjudicación directa, invitación restringida y licitación de cualquier naturaleza</w:t>
      </w:r>
      <w:r>
        <w:rPr>
          <w:rFonts w:ascii="Palatino Linotype" w:eastAsia="Palatino Linotype" w:hAnsi="Palatino Linotype" w:cs="Palatino Linotype"/>
          <w:i/>
          <w:sz w:val="22"/>
          <w:szCs w:val="22"/>
          <w:u w:val="single"/>
        </w:rPr>
        <w:t xml:space="preserve">, </w:t>
      </w:r>
      <w:r>
        <w:rPr>
          <w:rFonts w:ascii="Palatino Linotype" w:eastAsia="Palatino Linotype" w:hAnsi="Palatino Linotype" w:cs="Palatino Linotype"/>
          <w:b/>
          <w:i/>
          <w:sz w:val="22"/>
          <w:szCs w:val="22"/>
        </w:rPr>
        <w:t>incluyendo la versión pública</w:t>
      </w:r>
      <w:r>
        <w:rPr>
          <w:rFonts w:ascii="Palatino Linotype" w:eastAsia="Palatino Linotype" w:hAnsi="Palatino Linotype" w:cs="Palatino Linotype"/>
          <w:i/>
          <w:sz w:val="22"/>
          <w:szCs w:val="22"/>
        </w:rPr>
        <w:t xml:space="preserve"> del expediente respectivo y </w:t>
      </w:r>
      <w:r>
        <w:rPr>
          <w:rFonts w:ascii="Palatino Linotype" w:eastAsia="Palatino Linotype" w:hAnsi="Palatino Linotype" w:cs="Palatino Linotype"/>
          <w:b/>
          <w:i/>
          <w:sz w:val="22"/>
          <w:szCs w:val="22"/>
        </w:rPr>
        <w:t>de los contratos celebrados</w:t>
      </w:r>
      <w:r>
        <w:rPr>
          <w:rFonts w:ascii="Palatino Linotype" w:eastAsia="Palatino Linotype" w:hAnsi="Palatino Linotype" w:cs="Palatino Linotype"/>
          <w:i/>
          <w:sz w:val="22"/>
          <w:szCs w:val="22"/>
        </w:rPr>
        <w:t>, que deberán contener, por los menos, lo siguiente:</w:t>
      </w:r>
    </w:p>
    <w:p w14:paraId="48E5C59C" w14:textId="77777777" w:rsidR="00F36067" w:rsidRDefault="00F15767">
      <w:pPr>
        <w:tabs>
          <w:tab w:val="left" w:pos="426"/>
        </w:tabs>
        <w:ind w:left="1418"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 De licitaciones públicas o procedimientos de invitación restringida:</w:t>
      </w:r>
    </w:p>
    <w:p w14:paraId="31DAC9CA"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w:t>
      </w:r>
      <w:r>
        <w:rPr>
          <w:rFonts w:ascii="Palatino Linotype" w:eastAsia="Palatino Linotype" w:hAnsi="Palatino Linotype" w:cs="Palatino Linotype"/>
          <w:i/>
          <w:sz w:val="22"/>
          <w:szCs w:val="22"/>
        </w:rPr>
        <w:t xml:space="preserve"> La convocatoria o invitación emitida, así como los fundamentos legales aplicados para llevarla a cabo;</w:t>
      </w:r>
    </w:p>
    <w:p w14:paraId="317C153D"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2)</w:t>
      </w:r>
      <w:r>
        <w:rPr>
          <w:rFonts w:ascii="Palatino Linotype" w:eastAsia="Palatino Linotype" w:hAnsi="Palatino Linotype" w:cs="Palatino Linotype"/>
          <w:i/>
          <w:sz w:val="22"/>
          <w:szCs w:val="22"/>
        </w:rPr>
        <w:t xml:space="preserve"> Los nombres de los participantes o invitados;</w:t>
      </w:r>
    </w:p>
    <w:p w14:paraId="00478A40"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3)</w:t>
      </w:r>
      <w:r>
        <w:rPr>
          <w:rFonts w:ascii="Palatino Linotype" w:eastAsia="Palatino Linotype" w:hAnsi="Palatino Linotype" w:cs="Palatino Linotype"/>
          <w:i/>
          <w:sz w:val="22"/>
          <w:szCs w:val="22"/>
        </w:rPr>
        <w:t xml:space="preserve"> El nombre del ganador y las razones que lo justifican;</w:t>
      </w:r>
    </w:p>
    <w:p w14:paraId="538F587F"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4)</w:t>
      </w:r>
      <w:r>
        <w:rPr>
          <w:rFonts w:ascii="Palatino Linotype" w:eastAsia="Palatino Linotype" w:hAnsi="Palatino Linotype" w:cs="Palatino Linotype"/>
          <w:i/>
          <w:sz w:val="22"/>
          <w:szCs w:val="22"/>
        </w:rPr>
        <w:t xml:space="preserve"> El área solicitante y la responsable de su ejecución;</w:t>
      </w:r>
    </w:p>
    <w:p w14:paraId="3D42D029"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5)</w:t>
      </w:r>
      <w:r>
        <w:rPr>
          <w:rFonts w:ascii="Palatino Linotype" w:eastAsia="Palatino Linotype" w:hAnsi="Palatino Linotype" w:cs="Palatino Linotype"/>
          <w:i/>
          <w:sz w:val="22"/>
          <w:szCs w:val="22"/>
        </w:rPr>
        <w:t xml:space="preserve"> Las convocatorias e invitaciones emitidas; </w:t>
      </w:r>
    </w:p>
    <w:p w14:paraId="47389CD2"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6)</w:t>
      </w:r>
      <w:r>
        <w:rPr>
          <w:rFonts w:ascii="Palatino Linotype" w:eastAsia="Palatino Linotype" w:hAnsi="Palatino Linotype" w:cs="Palatino Linotype"/>
          <w:i/>
          <w:sz w:val="22"/>
          <w:szCs w:val="22"/>
        </w:rPr>
        <w:t xml:space="preserve"> Los dictámenes y fallo de adjudicación;</w:t>
      </w:r>
    </w:p>
    <w:p w14:paraId="61E4FBA7" w14:textId="77777777" w:rsidR="00F36067" w:rsidRDefault="00F15767">
      <w:pPr>
        <w:tabs>
          <w:tab w:val="left" w:pos="426"/>
        </w:tabs>
        <w:ind w:left="170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7) El contrato y, en su caso, sus anexos; </w:t>
      </w:r>
    </w:p>
    <w:p w14:paraId="28972DEE"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8)</w:t>
      </w:r>
      <w:r>
        <w:rPr>
          <w:rFonts w:ascii="Palatino Linotype" w:eastAsia="Palatino Linotype" w:hAnsi="Palatino Linotype" w:cs="Palatino Linotype"/>
          <w:i/>
          <w:sz w:val="22"/>
          <w:szCs w:val="22"/>
        </w:rPr>
        <w:t xml:space="preserve"> Los mecanismos de vigilancia y supervisión, incluyendo en su caso, los estudios de impacto urbano y ambiental, según corresponda;</w:t>
      </w:r>
    </w:p>
    <w:p w14:paraId="4AC9CB64"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9)</w:t>
      </w:r>
      <w:r>
        <w:rPr>
          <w:rFonts w:ascii="Palatino Linotype" w:eastAsia="Palatino Linotype" w:hAnsi="Palatino Linotype" w:cs="Palatino Linotype"/>
          <w:i/>
          <w:sz w:val="22"/>
          <w:szCs w:val="22"/>
        </w:rPr>
        <w:t xml:space="preserve"> La partida presupuestal, de conformidad con el clasificador por objeto del gasto, en el caso de ser aplicable; </w:t>
      </w:r>
    </w:p>
    <w:p w14:paraId="3A8CA38E"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10)</w:t>
      </w:r>
      <w:r>
        <w:rPr>
          <w:rFonts w:ascii="Palatino Linotype" w:eastAsia="Palatino Linotype" w:hAnsi="Palatino Linotype" w:cs="Palatino Linotype"/>
          <w:i/>
          <w:sz w:val="22"/>
          <w:szCs w:val="22"/>
        </w:rPr>
        <w:t xml:space="preserve"> Origen de los recursos especificando si son federales, estatales o municipales, así como el tipo de fondo de participación o aportación respectiva;</w:t>
      </w:r>
    </w:p>
    <w:p w14:paraId="406B4B76"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11)</w:t>
      </w:r>
      <w:r>
        <w:rPr>
          <w:rFonts w:ascii="Palatino Linotype" w:eastAsia="Palatino Linotype" w:hAnsi="Palatino Linotype" w:cs="Palatino Linotype"/>
          <w:i/>
          <w:sz w:val="22"/>
          <w:szCs w:val="22"/>
        </w:rPr>
        <w:t xml:space="preserve"> Los convenios modificatorios que, en su caso, sean firmados, precisando el objeto y la fecha de celebración;</w:t>
      </w:r>
    </w:p>
    <w:p w14:paraId="6F3AD5A4"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12)</w:t>
      </w:r>
      <w:r>
        <w:rPr>
          <w:rFonts w:ascii="Palatino Linotype" w:eastAsia="Palatino Linotype" w:hAnsi="Palatino Linotype" w:cs="Palatino Linotype"/>
          <w:i/>
          <w:sz w:val="22"/>
          <w:szCs w:val="22"/>
        </w:rPr>
        <w:t xml:space="preserve"> Los informes de avance físico y financiero sobre las obras o servicios contratados; </w:t>
      </w:r>
    </w:p>
    <w:p w14:paraId="3F22E45F"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13) El convenio de terminación; </w:t>
      </w:r>
    </w:p>
    <w:p w14:paraId="389FEAA7"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14) El finiquito.</w:t>
      </w:r>
    </w:p>
    <w:p w14:paraId="69F9CFD9" w14:textId="77777777" w:rsidR="00F36067" w:rsidRDefault="00F15767">
      <w:pPr>
        <w:tabs>
          <w:tab w:val="left" w:pos="426"/>
        </w:tabs>
        <w:ind w:left="1418"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b) De las adjudicaciones directas: </w:t>
      </w:r>
    </w:p>
    <w:p w14:paraId="2FA7A71A"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1)</w:t>
      </w:r>
      <w:r>
        <w:rPr>
          <w:rFonts w:ascii="Palatino Linotype" w:eastAsia="Palatino Linotype" w:hAnsi="Palatino Linotype" w:cs="Palatino Linotype"/>
          <w:i/>
          <w:sz w:val="22"/>
          <w:szCs w:val="22"/>
        </w:rPr>
        <w:t xml:space="preserve"> La propuesta enviada por el participante; </w:t>
      </w:r>
    </w:p>
    <w:p w14:paraId="4DC2602B"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2)</w:t>
      </w:r>
      <w:r>
        <w:rPr>
          <w:rFonts w:ascii="Palatino Linotype" w:eastAsia="Palatino Linotype" w:hAnsi="Palatino Linotype" w:cs="Palatino Linotype"/>
          <w:i/>
          <w:sz w:val="22"/>
          <w:szCs w:val="22"/>
        </w:rPr>
        <w:t xml:space="preserve"> Los motivos y fundamentos legales aplicados para llevarla a cabo;</w:t>
      </w:r>
    </w:p>
    <w:p w14:paraId="34F035A7"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3)</w:t>
      </w:r>
      <w:r>
        <w:rPr>
          <w:rFonts w:ascii="Palatino Linotype" w:eastAsia="Palatino Linotype" w:hAnsi="Palatino Linotype" w:cs="Palatino Linotype"/>
          <w:i/>
          <w:sz w:val="22"/>
          <w:szCs w:val="22"/>
        </w:rPr>
        <w:t xml:space="preserve"> La autorización del ejercicio de la opción; </w:t>
      </w:r>
    </w:p>
    <w:p w14:paraId="7E470DF2" w14:textId="77777777" w:rsidR="00F36067" w:rsidRDefault="00F15767">
      <w:pPr>
        <w:tabs>
          <w:tab w:val="left" w:pos="426"/>
        </w:tabs>
        <w:ind w:left="170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4) </w:t>
      </w:r>
      <w:r>
        <w:rPr>
          <w:rFonts w:ascii="Palatino Linotype" w:eastAsia="Palatino Linotype" w:hAnsi="Palatino Linotype" w:cs="Palatino Linotype"/>
          <w:i/>
          <w:sz w:val="22"/>
          <w:szCs w:val="22"/>
        </w:rPr>
        <w:t>En su caso, las cotizaciones consideradas, especificando los nombres de los proveedores y sus montos;</w:t>
      </w:r>
      <w:r>
        <w:rPr>
          <w:rFonts w:ascii="Palatino Linotype" w:eastAsia="Palatino Linotype" w:hAnsi="Palatino Linotype" w:cs="Palatino Linotype"/>
          <w:b/>
          <w:i/>
          <w:sz w:val="22"/>
          <w:szCs w:val="22"/>
        </w:rPr>
        <w:t xml:space="preserve"> </w:t>
      </w:r>
    </w:p>
    <w:p w14:paraId="06EF0BA8"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5)</w:t>
      </w:r>
      <w:r>
        <w:rPr>
          <w:rFonts w:ascii="Palatino Linotype" w:eastAsia="Palatino Linotype" w:hAnsi="Palatino Linotype" w:cs="Palatino Linotype"/>
          <w:i/>
          <w:sz w:val="22"/>
          <w:szCs w:val="22"/>
        </w:rPr>
        <w:t xml:space="preserve"> El nombre de la persona física o jurídica colectiva adjudicada; </w:t>
      </w:r>
    </w:p>
    <w:p w14:paraId="1B9EE08F"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6)</w:t>
      </w:r>
      <w:r>
        <w:rPr>
          <w:rFonts w:ascii="Palatino Linotype" w:eastAsia="Palatino Linotype" w:hAnsi="Palatino Linotype" w:cs="Palatino Linotype"/>
          <w:i/>
          <w:sz w:val="22"/>
          <w:szCs w:val="22"/>
        </w:rPr>
        <w:t xml:space="preserve"> La unidad administrativa solicitante y la responsable de su ejecución; </w:t>
      </w:r>
    </w:p>
    <w:p w14:paraId="39198E17"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7</w:t>
      </w:r>
      <w:r>
        <w:rPr>
          <w:rFonts w:ascii="Palatino Linotype" w:eastAsia="Palatino Linotype" w:hAnsi="Palatino Linotype" w:cs="Palatino Linotype"/>
          <w:i/>
          <w:sz w:val="22"/>
          <w:szCs w:val="22"/>
        </w:rPr>
        <w:t xml:space="preserve">) El número, fecha, el monto del contrato y el plazo de entrega o de ejecución de los servicios u obra; </w:t>
      </w:r>
    </w:p>
    <w:p w14:paraId="246CCE6A"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8)</w:t>
      </w:r>
      <w:r>
        <w:rPr>
          <w:rFonts w:ascii="Palatino Linotype" w:eastAsia="Palatino Linotype" w:hAnsi="Palatino Linotype" w:cs="Palatino Linotype"/>
          <w:i/>
          <w:sz w:val="22"/>
          <w:szCs w:val="22"/>
        </w:rPr>
        <w:t xml:space="preserve"> Los mecanismos de vigilancia y supervisión, incluyendo, en su caso, los estudios de impacto urbano y ambiental, según corresponda; </w:t>
      </w:r>
    </w:p>
    <w:p w14:paraId="7D378BF9" w14:textId="77777777" w:rsidR="00F36067" w:rsidRDefault="00F15767">
      <w:pPr>
        <w:tabs>
          <w:tab w:val="left" w:pos="426"/>
        </w:tabs>
        <w:ind w:left="170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9)</w:t>
      </w:r>
      <w:r>
        <w:rPr>
          <w:rFonts w:ascii="Palatino Linotype" w:eastAsia="Palatino Linotype" w:hAnsi="Palatino Linotype" w:cs="Palatino Linotype"/>
          <w:i/>
          <w:sz w:val="22"/>
          <w:szCs w:val="22"/>
        </w:rPr>
        <w:t xml:space="preserve"> Los informes de avance sobre las obras o servicios contratados; </w:t>
      </w:r>
    </w:p>
    <w:p w14:paraId="5701DCFF" w14:textId="77777777" w:rsidR="00F36067" w:rsidRDefault="00F15767">
      <w:pPr>
        <w:tabs>
          <w:tab w:val="left" w:pos="426"/>
        </w:tabs>
        <w:ind w:left="1701" w:right="902"/>
        <w:jc w:val="both"/>
        <w:rPr>
          <w:rFonts w:ascii="Palatino Linotype" w:eastAsia="Palatino Linotype" w:hAnsi="Palatino Linotype" w:cs="Palatino Linotype"/>
        </w:rPr>
      </w:pPr>
      <w:r>
        <w:rPr>
          <w:rFonts w:ascii="Palatino Linotype" w:eastAsia="Palatino Linotype" w:hAnsi="Palatino Linotype" w:cs="Palatino Linotype"/>
          <w:b/>
          <w:i/>
          <w:sz w:val="22"/>
          <w:szCs w:val="22"/>
        </w:rPr>
        <w:t>10) El convenio de terminación; y 11) El finiquito;”</w:t>
      </w:r>
    </w:p>
    <w:p w14:paraId="7D88011E" w14:textId="77777777" w:rsidR="00F36067" w:rsidRDefault="00F36067">
      <w:pPr>
        <w:spacing w:line="360" w:lineRule="auto"/>
        <w:ind w:right="49"/>
        <w:jc w:val="both"/>
        <w:rPr>
          <w:rFonts w:ascii="Palatino Linotype" w:eastAsia="Palatino Linotype" w:hAnsi="Palatino Linotype" w:cs="Palatino Linotype"/>
        </w:rPr>
      </w:pPr>
    </w:p>
    <w:p w14:paraId="659FDDF9" w14:textId="77777777" w:rsidR="00F36067" w:rsidRDefault="00F15767">
      <w:pPr>
        <w:spacing w:before="240" w:after="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virtud de lo anterior,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acorde a sus atribuciones, funciones, facultades o competencias se encuentra en posibilidad de entregar todo lo relacionado con los procedimientos de contratación (adjudicación directa e invitación restringida), que haya realizado de las obras públicas; por tanto, este Organismo Garante advierte la presencia de elementos suficientes para concluir que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puede contar en sus archivos con la información requerida por el</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w:t>
      </w:r>
    </w:p>
    <w:p w14:paraId="41137FE2" w14:textId="77777777" w:rsidR="00F36067" w:rsidRDefault="00F15767">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color w:val="000000"/>
        </w:rPr>
        <w:t>Precisado lo anterior, el</w:t>
      </w:r>
      <w:r>
        <w:rPr>
          <w:rFonts w:ascii="Palatino Linotype" w:eastAsia="Palatino Linotype" w:hAnsi="Palatino Linotype" w:cs="Palatino Linotype"/>
        </w:rPr>
        <w:t xml:space="preserve"> Ayuntamiento de Atizapán de Zaragoza, mediante su Dirección General de Obras Públicas, se concretó a enviar en respuesta el siguiente enlace de la página oficial de información pública de oficio mexiquense (IPOMEX):</w:t>
      </w:r>
    </w:p>
    <w:p w14:paraId="241DE68E" w14:textId="77777777" w:rsidR="00F36067" w:rsidRDefault="00F15767">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5BAFBC9E" wp14:editId="7FE3DFD2">
            <wp:extent cx="3061133" cy="140370"/>
            <wp:effectExtent l="0" t="0" r="0" b="0"/>
            <wp:docPr id="2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l="31461" t="24140" r="13993" b="55728"/>
                    <a:stretch>
                      <a:fillRect/>
                    </a:stretch>
                  </pic:blipFill>
                  <pic:spPr>
                    <a:xfrm>
                      <a:off x="0" y="0"/>
                      <a:ext cx="3061133" cy="140370"/>
                    </a:xfrm>
                    <a:prstGeom prst="rect">
                      <a:avLst/>
                    </a:prstGeom>
                    <a:ln/>
                  </pic:spPr>
                </pic:pic>
              </a:graphicData>
            </a:graphic>
          </wp:inline>
        </w:drawing>
      </w:r>
    </w:p>
    <w:p w14:paraId="2A22AD2E" w14:textId="77777777" w:rsidR="00F36067" w:rsidRDefault="00F15767">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Asumiendo con ello que cuenta con la información; no obstante, lo cierto es que esta fue proporcionada en imagen; por ello, este Organismo Garante considera que </w:t>
      </w:r>
      <w:r>
        <w:rPr>
          <w:rFonts w:ascii="Palatino Linotype" w:eastAsia="Palatino Linotype" w:hAnsi="Palatino Linotype" w:cs="Palatino Linotype"/>
        </w:rPr>
        <w:lastRenderedPageBreak/>
        <w:t xml:space="preserve">dicho enlace no puede tenerse por válido, toda vez que los enlaces electrónicos deben ser precisos y directos, del caso concreto al corresponder a un documento PDF en formato de imagen no editable, pierde su característica de ser </w:t>
      </w:r>
      <w:r>
        <w:rPr>
          <w:rFonts w:ascii="Palatino Linotype" w:eastAsia="Palatino Linotype" w:hAnsi="Palatino Linotype" w:cs="Palatino Linotype"/>
          <w:b/>
        </w:rPr>
        <w:t>directo</w:t>
      </w:r>
      <w:r>
        <w:rPr>
          <w:rFonts w:ascii="Palatino Linotype" w:eastAsia="Palatino Linotype" w:hAnsi="Palatino Linotype" w:cs="Palatino Linotype"/>
        </w:rPr>
        <w:t>.</w:t>
      </w:r>
    </w:p>
    <w:p w14:paraId="0F5A7E27"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Conforme a lo anterior, se considera que en el caso de que la información peticionada obre en ligas electrónicas,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privilegiar la entrega de estas, en datos abiertos, es decir, en un formato que permita la accesibilidad y facilidad a los Particulares, para obtener la información contenida estas.</w:t>
      </w:r>
    </w:p>
    <w:p w14:paraId="1DA659BD" w14:textId="77777777" w:rsidR="00F36067" w:rsidRDefault="00F36067">
      <w:pPr>
        <w:spacing w:line="360" w:lineRule="auto"/>
        <w:jc w:val="both"/>
        <w:rPr>
          <w:rFonts w:ascii="Palatino Linotype" w:eastAsia="Palatino Linotype" w:hAnsi="Palatino Linotype" w:cs="Palatino Linotype"/>
        </w:rPr>
      </w:pPr>
    </w:p>
    <w:p w14:paraId="11CD6AA6" w14:textId="77777777" w:rsidR="00F36067" w:rsidRDefault="00F15767">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1081249F" w14:textId="77777777" w:rsidR="00F36067" w:rsidRDefault="00F36067">
      <w:pPr>
        <w:spacing w:line="360" w:lineRule="auto"/>
        <w:jc w:val="both"/>
        <w:rPr>
          <w:rFonts w:ascii="Palatino Linotype" w:eastAsia="Palatino Linotype" w:hAnsi="Palatino Linotype" w:cs="Palatino Linotype"/>
        </w:rPr>
      </w:pPr>
    </w:p>
    <w:p w14:paraId="456691B9" w14:textId="77777777" w:rsidR="00F36067" w:rsidRDefault="00F15767">
      <w:pPr>
        <w:widowControl w:val="0"/>
        <w:tabs>
          <w:tab w:val="center" w:pos="452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Como se logra observar,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si bien señaló una página electrónica, omitió proporcionarla en formato abierto, lo cual implica la dificultad de acceder a la misma, pues se traduce al hecho de que el Particular tendría que colocar cada dígito alfanumérico, y cuya equivocación implicaría no acceder a la información contenida en las mismas.</w:t>
      </w:r>
    </w:p>
    <w:p w14:paraId="0AF13543" w14:textId="77777777" w:rsidR="00F36067" w:rsidRDefault="00F36067">
      <w:pPr>
        <w:widowControl w:val="0"/>
        <w:tabs>
          <w:tab w:val="center" w:pos="4522"/>
        </w:tabs>
        <w:spacing w:line="360" w:lineRule="auto"/>
        <w:jc w:val="both"/>
        <w:rPr>
          <w:rFonts w:ascii="Palatino Linotype" w:eastAsia="Palatino Linotype" w:hAnsi="Palatino Linotype" w:cs="Palatino Linotype"/>
        </w:rPr>
      </w:pPr>
    </w:p>
    <w:p w14:paraId="6294F0A7" w14:textId="77777777" w:rsidR="00F36067" w:rsidRDefault="00F15767">
      <w:pPr>
        <w:widowControl w:val="0"/>
        <w:tabs>
          <w:tab w:val="center" w:pos="452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atento a los motivos de inconformidad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este </w:t>
      </w:r>
      <w:r>
        <w:rPr>
          <w:rFonts w:ascii="Palatino Linotype" w:eastAsia="Palatino Linotype" w:hAnsi="Palatino Linotype" w:cs="Palatino Linotype"/>
        </w:rPr>
        <w:lastRenderedPageBreak/>
        <w:t>Organismo Garante procedió acceder al enlace electrónico proporcionado, localizándose lo siguiente:</w:t>
      </w:r>
    </w:p>
    <w:p w14:paraId="06E1220B" w14:textId="77777777" w:rsidR="00F36067" w:rsidRDefault="00F36067">
      <w:pPr>
        <w:widowControl w:val="0"/>
        <w:tabs>
          <w:tab w:val="center" w:pos="4522"/>
        </w:tabs>
        <w:spacing w:line="360" w:lineRule="auto"/>
        <w:jc w:val="both"/>
        <w:rPr>
          <w:rFonts w:ascii="Palatino Linotype" w:eastAsia="Palatino Linotype" w:hAnsi="Palatino Linotype" w:cs="Palatino Linotype"/>
        </w:rPr>
      </w:pPr>
    </w:p>
    <w:p w14:paraId="05E3BEA4" w14:textId="77777777" w:rsidR="00F36067" w:rsidRDefault="001F7B89">
      <w:pPr>
        <w:widowControl w:val="0"/>
        <w:tabs>
          <w:tab w:val="center" w:pos="4522"/>
        </w:tabs>
        <w:spacing w:line="360" w:lineRule="auto"/>
        <w:jc w:val="both"/>
        <w:rPr>
          <w:rFonts w:ascii="Palatino Linotype" w:eastAsia="Palatino Linotype" w:hAnsi="Palatino Linotype" w:cs="Palatino Linotype"/>
        </w:rPr>
      </w:pPr>
      <w:hyperlink r:id="rId15" w:anchor="/info-fraccion/676/102/12">
        <w:r w:rsidR="00F15767">
          <w:rPr>
            <w:rFonts w:ascii="Palatino Linotype" w:eastAsia="Palatino Linotype" w:hAnsi="Palatino Linotype" w:cs="Palatino Linotype"/>
            <w:color w:val="0000FF"/>
            <w:u w:val="single"/>
          </w:rPr>
          <w:t>https://infoem2.ipomex.org.mx/ipomex/#/info-fraccion/676/102/12</w:t>
        </w:r>
      </w:hyperlink>
    </w:p>
    <w:p w14:paraId="0D15475D" w14:textId="77777777" w:rsidR="00F36067" w:rsidRDefault="00F36067">
      <w:pPr>
        <w:widowControl w:val="0"/>
        <w:tabs>
          <w:tab w:val="center" w:pos="4522"/>
        </w:tabs>
        <w:spacing w:line="360" w:lineRule="auto"/>
        <w:jc w:val="both"/>
        <w:rPr>
          <w:rFonts w:ascii="Palatino Linotype" w:eastAsia="Palatino Linotype" w:hAnsi="Palatino Linotype" w:cs="Palatino Linotype"/>
        </w:rPr>
      </w:pPr>
    </w:p>
    <w:p w14:paraId="045F6D97" w14:textId="77777777" w:rsidR="00F36067" w:rsidRDefault="00F15767">
      <w:pPr>
        <w:widowControl w:val="0"/>
        <w:tabs>
          <w:tab w:val="center" w:pos="452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640E871A" wp14:editId="1C61EE8D">
            <wp:extent cx="5612130" cy="3659505"/>
            <wp:effectExtent l="0" t="0" r="0" b="0"/>
            <wp:docPr id="2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612130" cy="3659505"/>
                    </a:xfrm>
                    <a:prstGeom prst="rect">
                      <a:avLst/>
                    </a:prstGeom>
                    <a:ln/>
                  </pic:spPr>
                </pic:pic>
              </a:graphicData>
            </a:graphic>
          </wp:inline>
        </w:drawing>
      </w:r>
    </w:p>
    <w:p w14:paraId="5BFBF32D" w14:textId="77777777" w:rsidR="00F36067" w:rsidRDefault="00F15767">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Los cuales corresponden a los procedimientos de adjudicación directa, licitación pública e invitación restringida; no obstante, el particular solicitó conocer los precios unitarios de la obra descrita en su solicitud de acceso a la información pública y al acceder a dicha información se observa que tienen un cúmulo de información sin que se advierta de manera específica lo solicitado por la parte solicitante, lo que implica que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haga una búsqueda dentro de toda la información </w:t>
      </w:r>
      <w:r>
        <w:rPr>
          <w:rFonts w:ascii="Palatino Linotype" w:eastAsia="Palatino Linotype" w:hAnsi="Palatino Linotype" w:cs="Palatino Linotype"/>
        </w:rPr>
        <w:lastRenderedPageBreak/>
        <w:t xml:space="preserve">que yace en dicha liga electrónica; por consiguiente, no se colmó la pretensión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w:t>
      </w:r>
    </w:p>
    <w:p w14:paraId="6BACDD76" w14:textId="77777777" w:rsidR="00F36067" w:rsidRDefault="00F1576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61B8E915" w14:textId="77777777" w:rsidR="00F36067" w:rsidRDefault="00F360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DD2B628" w14:textId="77777777" w:rsidR="00F36067" w:rsidRDefault="00F15767">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11.</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En la generación, publicación y entrega de información se deberá garantizar que ésta sea accesible, actualizada, completa, congruente, confiable, verificable, veraz, integral, oportuna y expedita</w:t>
      </w:r>
      <w:r>
        <w:rPr>
          <w:rFonts w:ascii="Palatino Linotype" w:eastAsia="Palatino Linotype" w:hAnsi="Palatino Linotype" w:cs="Palatino Linotype"/>
          <w:i/>
          <w:color w:val="000000"/>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67A2C2BE" w14:textId="77777777" w:rsidR="00F36067" w:rsidRDefault="00F15767">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A15E549" w14:textId="77777777" w:rsidR="00F36067" w:rsidRDefault="00F36067">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650A21CB" w14:textId="77777777" w:rsidR="00F36067" w:rsidRDefault="00F15767">
      <w:pPr>
        <w:pBdr>
          <w:top w:val="nil"/>
          <w:left w:val="nil"/>
          <w:bottom w:val="nil"/>
          <w:right w:val="nil"/>
          <w:between w:val="nil"/>
        </w:pBdr>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Artículo 161.</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Cuando la información requerida por el solicitante ya esté disponible al público</w:t>
      </w:r>
      <w:r>
        <w:rPr>
          <w:rFonts w:ascii="Palatino Linotype" w:eastAsia="Palatino Linotype" w:hAnsi="Palatino Linotype" w:cs="Palatino Linotype"/>
          <w:i/>
          <w:color w:val="000000"/>
          <w:sz w:val="22"/>
          <w:szCs w:val="22"/>
        </w:rPr>
        <w:t xml:space="preserve"> en medios impresos, tales como libros, compendios, trípticos, registros públicos, </w:t>
      </w:r>
      <w:r>
        <w:rPr>
          <w:rFonts w:ascii="Palatino Linotype" w:eastAsia="Palatino Linotype" w:hAnsi="Palatino Linotype" w:cs="Palatino Linotype"/>
          <w:b/>
          <w:i/>
          <w:color w:val="000000"/>
          <w:sz w:val="22"/>
          <w:szCs w:val="22"/>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p>
    <w:p w14:paraId="50BF67C0" w14:textId="77777777" w:rsidR="00F36067" w:rsidRDefault="00F360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9FC0604" w14:textId="77777777" w:rsidR="00F36067" w:rsidRDefault="00F1576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los artículos transcritos se establecen las características que debe tener la información desde el momento de su generación, publicación y entrega; de igual manera se contempla el procedimiento a seguir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para informar a los solicitantes sobre información que se encuentre disponible en libros, </w:t>
      </w:r>
      <w:r>
        <w:rPr>
          <w:rFonts w:ascii="Palatino Linotype" w:eastAsia="Palatino Linotype" w:hAnsi="Palatino Linotype" w:cs="Palatino Linotype"/>
          <w:color w:val="000000"/>
        </w:rPr>
        <w:lastRenderedPageBreak/>
        <w:t>compendios, formatos electrónicos, entre otros, haciéndole saber al solicitante como podrá consultar, reproducir o adquirir la información, en un plazo no mayor a cinco días hábiles, comprendiendo:</w:t>
      </w:r>
    </w:p>
    <w:p w14:paraId="347FBC6B" w14:textId="77777777" w:rsidR="00F36067" w:rsidRDefault="00F360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36C1D1B" w14:textId="77777777" w:rsidR="00F36067" w:rsidRDefault="00F15767">
      <w:pPr>
        <w:numPr>
          <w:ilvl w:val="0"/>
          <w:numId w:val="4"/>
        </w:numPr>
        <w:pBdr>
          <w:top w:val="nil"/>
          <w:left w:val="nil"/>
          <w:bottom w:val="nil"/>
          <w:right w:val="nil"/>
          <w:between w:val="nil"/>
        </w:pBdr>
        <w:ind w:left="1134" w:hanging="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fuente</w:t>
      </w:r>
    </w:p>
    <w:p w14:paraId="05A54C2F" w14:textId="77777777" w:rsidR="00F36067" w:rsidRDefault="00F15767">
      <w:pPr>
        <w:numPr>
          <w:ilvl w:val="0"/>
          <w:numId w:val="4"/>
        </w:numPr>
        <w:pBdr>
          <w:top w:val="nil"/>
          <w:left w:val="nil"/>
          <w:bottom w:val="nil"/>
          <w:right w:val="nil"/>
          <w:between w:val="nil"/>
        </w:pBdr>
        <w:ind w:left="1134" w:hanging="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lugar y</w:t>
      </w:r>
    </w:p>
    <w:p w14:paraId="31686378" w14:textId="77777777" w:rsidR="00F36067" w:rsidRDefault="00F15767">
      <w:pPr>
        <w:numPr>
          <w:ilvl w:val="0"/>
          <w:numId w:val="4"/>
        </w:numPr>
        <w:pBdr>
          <w:top w:val="nil"/>
          <w:left w:val="nil"/>
          <w:bottom w:val="nil"/>
          <w:right w:val="nil"/>
          <w:between w:val="nil"/>
        </w:pBdr>
        <w:ind w:left="1134" w:hanging="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forma </w:t>
      </w:r>
    </w:p>
    <w:p w14:paraId="0CBCB582" w14:textId="77777777" w:rsidR="00F36067" w:rsidRDefault="00F360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E8BF792" w14:textId="77777777" w:rsidR="00F36067" w:rsidRDefault="00F1576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se establece que la fuente de la información deberá ser:</w:t>
      </w:r>
    </w:p>
    <w:p w14:paraId="1AA5707C" w14:textId="77777777" w:rsidR="00F36067" w:rsidRDefault="00F15767">
      <w:pPr>
        <w:numPr>
          <w:ilvl w:val="0"/>
          <w:numId w:val="3"/>
        </w:numPr>
        <w:pBdr>
          <w:top w:val="nil"/>
          <w:left w:val="nil"/>
          <w:bottom w:val="nil"/>
          <w:right w:val="nil"/>
          <w:between w:val="nil"/>
        </w:pBdr>
        <w:ind w:left="1134" w:hanging="55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Precisa</w:t>
      </w:r>
    </w:p>
    <w:p w14:paraId="57D913B8" w14:textId="77777777" w:rsidR="00F36067" w:rsidRDefault="00F15767">
      <w:pPr>
        <w:numPr>
          <w:ilvl w:val="0"/>
          <w:numId w:val="3"/>
        </w:numPr>
        <w:pBdr>
          <w:top w:val="nil"/>
          <w:left w:val="nil"/>
          <w:bottom w:val="nil"/>
          <w:right w:val="nil"/>
          <w:between w:val="nil"/>
        </w:pBdr>
        <w:ind w:left="1134" w:hanging="55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Concreta</w:t>
      </w:r>
    </w:p>
    <w:p w14:paraId="3DD66F68" w14:textId="77777777" w:rsidR="00F36067" w:rsidRDefault="00F15767">
      <w:pPr>
        <w:numPr>
          <w:ilvl w:val="0"/>
          <w:numId w:val="3"/>
        </w:numPr>
        <w:pBdr>
          <w:top w:val="nil"/>
          <w:left w:val="nil"/>
          <w:bottom w:val="nil"/>
          <w:right w:val="nil"/>
          <w:between w:val="nil"/>
        </w:pBdr>
        <w:ind w:left="1134" w:hanging="55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Y no debe implicar que el solicitante realice una búsqueda en toda la información que se encuentre disponible</w:t>
      </w:r>
      <w:r>
        <w:rPr>
          <w:rFonts w:ascii="Palatino Linotype" w:eastAsia="Palatino Linotype" w:hAnsi="Palatino Linotype" w:cs="Palatino Linotype"/>
          <w:color w:val="000000"/>
        </w:rPr>
        <w:t>.</w:t>
      </w:r>
    </w:p>
    <w:p w14:paraId="667CC265" w14:textId="77777777" w:rsidR="00F36067" w:rsidRDefault="00F360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B3A7FD2" w14:textId="77777777" w:rsidR="00F36067" w:rsidRDefault="00F1576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Imperativos legales que establecen el procedimiento que debe seguir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para que pueda tomarse como válida su orientación sobre la forma en que puede consultar la información requerida, y que, en el caso en concreto, no acontece; ello porque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 limitó a indicar una dirección electrónica de su página oficial de la información pública de oficio mexiquense (IPOMEX), sin que señalara puntualmente el procedimiento que el particular debe seguir para acceder a la información requerida, lo que implica que  la fuente no es precisa y no es concreta, sino por el contrario ésta resulta abstracta y genera incertidumbre entre el cúmulo de información que se observa en la página; y por último, su fuente implica que el solicitante realice una búsqueda en toda la información que se encuentra disponible  a fin de localizar los precios unitarios de </w:t>
      </w:r>
      <w:r>
        <w:rPr>
          <w:rFonts w:ascii="Palatino Linotype" w:eastAsia="Palatino Linotype" w:hAnsi="Palatino Linotype" w:cs="Palatino Linotype"/>
          <w:color w:val="000000"/>
        </w:rPr>
        <w:lastRenderedPageBreak/>
        <w:t>la obra pública que en especificó señalo en su solicitud, lo que a todas luces transgrede el numeral citado.</w:t>
      </w:r>
    </w:p>
    <w:p w14:paraId="6E46810A" w14:textId="77777777" w:rsidR="00F36067" w:rsidRDefault="00F360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1D15019" w14:textId="77777777" w:rsidR="00F36067" w:rsidRDefault="00F15767">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Asimismo, </w:t>
      </w:r>
      <w:r>
        <w:rPr>
          <w:rFonts w:ascii="Palatino Linotype" w:eastAsia="Palatino Linotype" w:hAnsi="Palatino Linotype" w:cs="Palatino Linotype"/>
        </w:rPr>
        <w:t xml:space="preserve">se advierte que la respuesta sólo fue entregada por la Dirección General de Obras Públicas, que si bien es un área competente para conocer lo relacionado con las obras públicas; pero, de la normatividad antes señalada se establece que el Tesorero Municipal del Ayuntamiento de Atizapán de Zaragoza, tiene la </w:t>
      </w:r>
      <w:r>
        <w:rPr>
          <w:rFonts w:ascii="Palatino Linotype" w:eastAsia="Palatino Linotype" w:hAnsi="Palatino Linotype" w:cs="Palatino Linotype"/>
          <w:color w:val="000000"/>
        </w:rPr>
        <w:t xml:space="preserve">atribución de autorizar la entrega de recursos públicos municipales, además contar con los registros contables, financieros y administrativos, que pudieran soportar cualquier ejecución de obra, con lo cual se acredita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no siguió 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procedimiento establecido por el artículo 162 de la Ley de Transparencia y Acceso a la Información Pública del Estado de México y Municipios, ya que, no se puede perder de vista que para otorgar respuesta a la solicitud inicial,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75FAA579" w14:textId="77777777" w:rsidR="00F36067" w:rsidRDefault="00F15767">
      <w:pPr>
        <w:spacing w:before="240" w:after="240"/>
        <w:ind w:left="709"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BAAFD5B" w14:textId="77777777" w:rsidR="00F36067" w:rsidRDefault="00F15767">
      <w:pPr>
        <w:shd w:val="clear" w:color="auto" w:fill="FFFFFF"/>
        <w:spacing w:before="240" w:after="240" w:line="360" w:lineRule="auto"/>
        <w:jc w:val="both"/>
        <w:rPr>
          <w:color w:val="222222"/>
        </w:rPr>
      </w:pPr>
      <w:r>
        <w:rPr>
          <w:rFonts w:ascii="Palatino Linotype" w:eastAsia="Palatino Linotype" w:hAnsi="Palatino Linotype" w:cs="Palatino Linotype"/>
          <w:color w:val="222222"/>
        </w:rPr>
        <w:t>En este orden de ideas, se advierte que efectivamente la Unidad de Transparencia no cumplió con lo expresado en el artículo 162 de la Ley </w:t>
      </w:r>
      <w:r>
        <w:rPr>
          <w:rFonts w:ascii="Palatino Linotype" w:eastAsia="Palatino Linotype" w:hAnsi="Palatino Linotype" w:cs="Palatino Linotype"/>
          <w:color w:val="000000"/>
        </w:rPr>
        <w:t xml:space="preserve">de Transparencia y Acceso </w:t>
      </w:r>
      <w:r>
        <w:rPr>
          <w:rFonts w:ascii="Palatino Linotype" w:eastAsia="Palatino Linotype" w:hAnsi="Palatino Linotype" w:cs="Palatino Linotype"/>
          <w:color w:val="000000"/>
        </w:rPr>
        <w:lastRenderedPageBreak/>
        <w:t>a la Información Pública del Estado de México y Municipios, el cual menciona lo siguiente:</w:t>
      </w:r>
    </w:p>
    <w:p w14:paraId="59C66333" w14:textId="77777777" w:rsidR="00F36067" w:rsidRDefault="00F15767">
      <w:pPr>
        <w:shd w:val="clear" w:color="auto" w:fill="FFFFFF"/>
        <w:spacing w:after="240"/>
        <w:ind w:left="993" w:right="1041"/>
        <w:jc w:val="both"/>
        <w:rPr>
          <w:color w:val="222222"/>
        </w:rPr>
      </w:pPr>
      <w:r>
        <w:rPr>
          <w:rFonts w:ascii="Palatino Linotype" w:eastAsia="Palatino Linotype" w:hAnsi="Palatino Linotype" w:cs="Palatino Linotype"/>
          <w:b/>
          <w:i/>
          <w:color w:val="222222"/>
          <w:sz w:val="22"/>
          <w:szCs w:val="22"/>
        </w:rPr>
        <w:t>“Artículo 162.</w:t>
      </w:r>
      <w:r>
        <w:rPr>
          <w:rFonts w:ascii="Palatino Linotype" w:eastAsia="Palatino Linotype" w:hAnsi="Palatino Linotype" w:cs="Palatino Linotype"/>
          <w:i/>
          <w:color w:val="222222"/>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AD87EE2" w14:textId="77777777" w:rsidR="00F36067" w:rsidRDefault="00F15767">
      <w:pPr>
        <w:shd w:val="clear" w:color="auto" w:fill="FFFFFF"/>
        <w:spacing w:line="360" w:lineRule="auto"/>
        <w:jc w:val="both"/>
        <w:rPr>
          <w:color w:val="222222"/>
        </w:rPr>
      </w:pPr>
      <w:r>
        <w:rPr>
          <w:rFonts w:ascii="Palatino Linotype" w:eastAsia="Palatino Linotype" w:hAnsi="Palatino Linotype" w:cs="Palatino Linotype"/>
          <w:color w:val="222222"/>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Pr>
          <w:rFonts w:ascii="Palatino Linotype" w:eastAsia="Palatino Linotype" w:hAnsi="Palatino Linotype" w:cs="Palatino Linotype"/>
          <w:color w:val="222222"/>
          <w:vertAlign w:val="superscript"/>
        </w:rPr>
        <w:footnoteReference w:id="1"/>
      </w:r>
      <w:r>
        <w:rPr>
          <w:rFonts w:ascii="Palatino Linotype" w:eastAsia="Palatino Linotype" w:hAnsi="Palatino Linotype" w:cs="Palatino Linotype"/>
          <w:color w:val="222222"/>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4E887865" w14:textId="77777777" w:rsidR="00F36067" w:rsidRDefault="00F36067">
      <w:pPr>
        <w:shd w:val="clear" w:color="auto" w:fill="FFFFFF"/>
        <w:ind w:left="993" w:right="1041"/>
        <w:jc w:val="both"/>
        <w:rPr>
          <w:rFonts w:ascii="Palatino Linotype" w:eastAsia="Palatino Linotype" w:hAnsi="Palatino Linotype" w:cs="Palatino Linotype"/>
          <w:b/>
          <w:i/>
          <w:color w:val="222222"/>
          <w:sz w:val="22"/>
          <w:szCs w:val="22"/>
        </w:rPr>
      </w:pPr>
    </w:p>
    <w:p w14:paraId="647FA1CA" w14:textId="77777777" w:rsidR="00F36067" w:rsidRDefault="00F15767">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160. </w:t>
      </w:r>
      <w:r>
        <w:rPr>
          <w:rFonts w:ascii="Palatino Linotype" w:eastAsia="Palatino Linotype" w:hAnsi="Palatino Linotype" w:cs="Palatino Linotype"/>
          <w:i/>
          <w:color w:val="222222"/>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F6EC031" w14:textId="77777777" w:rsidR="00F36067" w:rsidRDefault="00F15767">
      <w:pPr>
        <w:shd w:val="clear" w:color="auto" w:fill="FFFFFF"/>
        <w:ind w:left="993" w:right="1041"/>
        <w:jc w:val="both"/>
        <w:rPr>
          <w:color w:val="222222"/>
        </w:rPr>
      </w:pPr>
      <w:r>
        <w:rPr>
          <w:rFonts w:ascii="Palatino Linotype" w:eastAsia="Palatino Linotype" w:hAnsi="Palatino Linotype" w:cs="Palatino Linotype"/>
          <w:i/>
          <w:color w:val="222222"/>
          <w:sz w:val="22"/>
          <w:szCs w:val="22"/>
        </w:rPr>
        <w:lastRenderedPageBreak/>
        <w:t>En caso que la información solicitada consista en bases de datos se deberá privilegiar la entrega de la misma en formatos abiertos.</w:t>
      </w:r>
    </w:p>
    <w:p w14:paraId="26CFCA4E" w14:textId="77777777" w:rsidR="00F36067" w:rsidRDefault="00F15767">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163.</w:t>
      </w:r>
      <w:r>
        <w:rPr>
          <w:rFonts w:ascii="Palatino Linotype" w:eastAsia="Palatino Linotype" w:hAnsi="Palatino Linotype" w:cs="Palatino Linotype"/>
          <w:i/>
          <w:color w:val="222222"/>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0C90D626" w14:textId="77777777" w:rsidR="00F36067" w:rsidRDefault="00F15767">
      <w:pPr>
        <w:shd w:val="clear" w:color="auto" w:fill="FFFFFF"/>
        <w:ind w:left="993" w:right="1041"/>
        <w:jc w:val="both"/>
        <w:rPr>
          <w:color w:val="222222"/>
        </w:rPr>
      </w:pPr>
      <w:r>
        <w:rPr>
          <w:rFonts w:ascii="Palatino Linotype" w:eastAsia="Palatino Linotype" w:hAnsi="Palatino Linotype" w:cs="Palatino Linotype"/>
          <w:i/>
          <w:color w:val="222222"/>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B74320B" w14:textId="77777777" w:rsidR="00F36067" w:rsidRDefault="00F15767">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165.</w:t>
      </w:r>
      <w:r>
        <w:rPr>
          <w:rFonts w:ascii="Palatino Linotype" w:eastAsia="Palatino Linotype" w:hAnsi="Palatino Linotype" w:cs="Palatino Linotype"/>
          <w:i/>
          <w:color w:val="222222"/>
          <w:sz w:val="22"/>
          <w:szCs w:val="22"/>
        </w:rPr>
        <w:t> Los sujetos obligados establecerán la forma y términos en que darán trámite interno a las solicitudes en materia de acceso a la información.</w:t>
      </w:r>
    </w:p>
    <w:p w14:paraId="23B0995A" w14:textId="77777777" w:rsidR="00F36067" w:rsidRDefault="00F15767">
      <w:pPr>
        <w:shd w:val="clear" w:color="auto" w:fill="FFFFFF"/>
        <w:ind w:left="993" w:right="1041"/>
        <w:jc w:val="both"/>
        <w:rPr>
          <w:color w:val="222222"/>
        </w:rPr>
      </w:pPr>
      <w:r>
        <w:rPr>
          <w:rFonts w:ascii="Palatino Linotype" w:eastAsia="Palatino Linotype" w:hAnsi="Palatino Linotype" w:cs="Palatino Linotype"/>
          <w:i/>
          <w:color w:val="222222"/>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48F7E4DE" w14:textId="77777777" w:rsidR="00F36067" w:rsidRDefault="00F15767">
      <w:pPr>
        <w:shd w:val="clear" w:color="auto" w:fill="FFFFFF"/>
        <w:spacing w:after="240"/>
        <w:ind w:left="993" w:right="1041"/>
        <w:jc w:val="both"/>
        <w:rPr>
          <w:color w:val="222222"/>
        </w:rPr>
      </w:pPr>
      <w:r>
        <w:rPr>
          <w:rFonts w:ascii="Palatino Linotype" w:eastAsia="Palatino Linotype" w:hAnsi="Palatino Linotype" w:cs="Palatino Linotype"/>
          <w:i/>
          <w:color w:val="222222"/>
          <w:sz w:val="22"/>
          <w:szCs w:val="22"/>
        </w:rPr>
        <w:t>Ante la falta de respuesta a una solicitud en el plazo previsto y en caso de que proceda el acceso, los costos de reproducción y envío correrán a cargo del sujeto obligado</w:t>
      </w:r>
      <w:proofErr w:type="gramStart"/>
      <w:r>
        <w:rPr>
          <w:rFonts w:ascii="Palatino Linotype" w:eastAsia="Palatino Linotype" w:hAnsi="Palatino Linotype" w:cs="Palatino Linotype"/>
          <w:i/>
          <w:color w:val="222222"/>
          <w:sz w:val="22"/>
          <w:szCs w:val="22"/>
        </w:rPr>
        <w:t>.”(</w:t>
      </w:r>
      <w:proofErr w:type="gramEnd"/>
      <w:r>
        <w:rPr>
          <w:rFonts w:ascii="Palatino Linotype" w:eastAsia="Palatino Linotype" w:hAnsi="Palatino Linotype" w:cs="Palatino Linotype"/>
          <w:i/>
          <w:color w:val="222222"/>
          <w:sz w:val="22"/>
          <w:szCs w:val="22"/>
        </w:rPr>
        <w:t>Sic)</w:t>
      </w:r>
    </w:p>
    <w:p w14:paraId="6913E3F3" w14:textId="77777777" w:rsidR="00F36067" w:rsidRDefault="00F15767">
      <w:pPr>
        <w:shd w:val="clear" w:color="auto" w:fill="FFFFFF"/>
        <w:spacing w:before="240" w:after="240" w:line="360" w:lineRule="auto"/>
        <w:jc w:val="both"/>
        <w:rPr>
          <w:color w:val="222222"/>
        </w:rPr>
      </w:pPr>
      <w:r>
        <w:rPr>
          <w:rFonts w:ascii="Palatino Linotype" w:eastAsia="Palatino Linotype" w:hAnsi="Palatino Linotype" w:cs="Palatino Linotype"/>
          <w:color w:val="222222"/>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Pr>
          <w:rFonts w:ascii="Palatino Linotype" w:eastAsia="Palatino Linotype" w:hAnsi="Palatino Linotype" w:cs="Palatino Linotype"/>
          <w:color w:val="222222"/>
          <w:vertAlign w:val="superscript"/>
        </w:rPr>
        <w:footnoteReference w:id="2"/>
      </w:r>
      <w:r>
        <w:rPr>
          <w:rFonts w:ascii="Palatino Linotype" w:eastAsia="Palatino Linotype" w:hAnsi="Palatino Linotype" w:cs="Palatino Linotype"/>
          <w:color w:val="222222"/>
        </w:rPr>
        <w:t xml:space="preserve">, situación que no se advierte en el presente caso, toda vez que 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a través de su </w:t>
      </w:r>
      <w:r>
        <w:rPr>
          <w:rFonts w:ascii="Palatino Linotype" w:eastAsia="Palatino Linotype" w:hAnsi="Palatino Linotype" w:cs="Palatino Linotype"/>
          <w:color w:val="000000"/>
        </w:rPr>
        <w:t xml:space="preserve">Unidad de Transparencia </w:t>
      </w:r>
      <w:r>
        <w:rPr>
          <w:rFonts w:ascii="Palatino Linotype" w:eastAsia="Palatino Linotype" w:hAnsi="Palatino Linotype" w:cs="Palatino Linotype"/>
          <w:color w:val="222222"/>
        </w:rPr>
        <w:t xml:space="preserve">no ha brindado el acceso a la información solicitada por el particular, por ende para tener por satisfecho el derecho humano en mérito, será necesario que la Unidad de Transparencia en estricto apego al procedimiento descrito realice una búsqueda </w:t>
      </w:r>
      <w:r>
        <w:rPr>
          <w:rFonts w:ascii="Palatino Linotype" w:eastAsia="Palatino Linotype" w:hAnsi="Palatino Linotype" w:cs="Palatino Linotype"/>
          <w:color w:val="222222"/>
        </w:rPr>
        <w:lastRenderedPageBreak/>
        <w:t>exhaustiva y razonable de la información, turnando a las áreas competentes la solicitud con el objetivo de brindar contestación al requerimiento.</w:t>
      </w:r>
    </w:p>
    <w:p w14:paraId="3B1CD02C" w14:textId="77777777" w:rsidR="00F36067" w:rsidRDefault="00F15767">
      <w:pPr>
        <w:spacing w:line="360" w:lineRule="auto"/>
        <w:ind w:right="51"/>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xml:space="preserve">En mérito de lo anterior, se colige que 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debió realizar una búsqueda exhaustiva y razonable de la información peticionada en todas las áreas competentes para que se pronunciaran respecto de la solicitud del particular.</w:t>
      </w:r>
    </w:p>
    <w:p w14:paraId="5B6AFB3A" w14:textId="77777777" w:rsidR="00F36067" w:rsidRDefault="00F36067">
      <w:pPr>
        <w:spacing w:line="360" w:lineRule="auto"/>
        <w:ind w:right="51"/>
        <w:jc w:val="both"/>
        <w:rPr>
          <w:rFonts w:ascii="Palatino Linotype" w:eastAsia="Palatino Linotype" w:hAnsi="Palatino Linotype" w:cs="Palatino Linotype"/>
          <w:color w:val="FF0000"/>
        </w:rPr>
      </w:pPr>
    </w:p>
    <w:p w14:paraId="3234D8B5" w14:textId="77777777" w:rsidR="00F36067" w:rsidRDefault="00F15767">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xml:space="preserve">Ahora bien, respecto de la naturaleza de la información, el artículo 104 fracción IV del </w:t>
      </w:r>
      <w:r>
        <w:rPr>
          <w:rFonts w:ascii="Palatino Linotype" w:eastAsia="Palatino Linotype" w:hAnsi="Palatino Linotype" w:cs="Palatino Linotype"/>
          <w:color w:val="000000"/>
        </w:rPr>
        <w:t>Reglamento del Libro Décimo Segundo del Código Administrativo del Estado de México, que señala:</w:t>
      </w:r>
    </w:p>
    <w:p w14:paraId="306A5C2A" w14:textId="77777777" w:rsidR="00F36067" w:rsidRDefault="00F36067">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7B5E8AE0" w14:textId="77777777" w:rsidR="00F36067" w:rsidRDefault="00F15767">
      <w:pPr>
        <w:shd w:val="clear" w:color="auto" w:fill="FFFFFF"/>
        <w:ind w:left="993" w:right="1041"/>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“Artículo 104.- Los contratos de obra pública y servicios contendrán, como mínimo:</w:t>
      </w:r>
    </w:p>
    <w:p w14:paraId="7502A87C" w14:textId="77777777" w:rsidR="00F36067" w:rsidRDefault="00F15767">
      <w:pPr>
        <w:shd w:val="clear" w:color="auto" w:fill="FFFFFF"/>
        <w:ind w:left="993" w:right="1041"/>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w:t>
      </w:r>
    </w:p>
    <w:p w14:paraId="020699A8" w14:textId="77777777" w:rsidR="00F36067" w:rsidRDefault="00F15767">
      <w:pPr>
        <w:shd w:val="clear" w:color="auto" w:fill="FFFFFF"/>
        <w:ind w:left="993" w:right="1041"/>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IV. El precio a pagar por los trabajos objeto del contrato. En el caso de contratos mixtos, la parte y el monto que se cubrirá sobre la base de precios unitarios y la correspondiente a precio alzado…”</w:t>
      </w:r>
    </w:p>
    <w:p w14:paraId="52417834" w14:textId="77777777" w:rsidR="00F36067" w:rsidRDefault="00F360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4AD493F" w14:textId="77777777" w:rsidR="00F36067" w:rsidRDefault="00F1576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donde establece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en los contratos de obra pública, contendrán el precio a pagar por los trabajos objeto del contrato y en los casos de contratos mixtos, la parte y el monte que se cubrirá sobre la base de precios unitarios, lo que se robustece con lo señalado por el artículo 126 del mismo ordenamiento legal señalado en el párrafo anterior, que señala:</w:t>
      </w:r>
    </w:p>
    <w:p w14:paraId="76DFC502" w14:textId="77777777" w:rsidR="00F36067" w:rsidRDefault="00F360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195D6BD" w14:textId="77777777" w:rsidR="00F36067" w:rsidRDefault="00F15767">
      <w:pPr>
        <w:shd w:val="clear" w:color="auto" w:fill="FFFFFF"/>
        <w:ind w:left="993" w:right="1041"/>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“Artículo 126.- </w:t>
      </w:r>
      <w:r>
        <w:rPr>
          <w:rFonts w:ascii="Palatino Linotype" w:eastAsia="Palatino Linotype" w:hAnsi="Palatino Linotype" w:cs="Palatino Linotype"/>
          <w:b/>
          <w:i/>
          <w:color w:val="222222"/>
          <w:sz w:val="22"/>
          <w:szCs w:val="22"/>
        </w:rPr>
        <w:t>Los precios unitarios que formen parte de un procedimiento de licitación, de un contrato o de un convenio</w:t>
      </w:r>
      <w:r>
        <w:rPr>
          <w:rFonts w:ascii="Palatino Linotype" w:eastAsia="Palatino Linotype" w:hAnsi="Palatino Linotype" w:cs="Palatino Linotype"/>
          <w:i/>
          <w:color w:val="222222"/>
          <w:sz w:val="22"/>
          <w:szCs w:val="22"/>
        </w:rPr>
        <w:t xml:space="preserve">, incluidos los precios extraordinarios </w:t>
      </w:r>
      <w:r>
        <w:rPr>
          <w:rFonts w:ascii="Palatino Linotype" w:eastAsia="Palatino Linotype" w:hAnsi="Palatino Linotype" w:cs="Palatino Linotype"/>
          <w:b/>
          <w:i/>
          <w:color w:val="222222"/>
          <w:sz w:val="22"/>
          <w:szCs w:val="22"/>
        </w:rPr>
        <w:t xml:space="preserve">para la ejecución de obras o servicios, deberán analizarse, calcularse e integrarse, de acuerdo con los criterios </w:t>
      </w:r>
      <w:r>
        <w:rPr>
          <w:rFonts w:ascii="Palatino Linotype" w:eastAsia="Palatino Linotype" w:hAnsi="Palatino Linotype" w:cs="Palatino Linotype"/>
          <w:b/>
          <w:i/>
          <w:color w:val="222222"/>
          <w:sz w:val="22"/>
          <w:szCs w:val="22"/>
        </w:rPr>
        <w:lastRenderedPageBreak/>
        <w:t>establecidos en este Reglamento.</w:t>
      </w:r>
      <w:r>
        <w:rPr>
          <w:rFonts w:ascii="Palatino Linotype" w:eastAsia="Palatino Linotype" w:hAnsi="Palatino Linotype" w:cs="Palatino Linotype"/>
          <w:i/>
          <w:color w:val="222222"/>
          <w:sz w:val="22"/>
          <w:szCs w:val="22"/>
        </w:rPr>
        <w:t xml:space="preserve"> Los costos y cargos mencionados en este capítulo tienen por objeto satisfacer el total de los recursos requeridos para realizar cada concepto de trabajo en la forma más amplia posible</w:t>
      </w:r>
    </w:p>
    <w:p w14:paraId="6C5BD19F" w14:textId="77777777" w:rsidR="00F36067" w:rsidRDefault="00F15767">
      <w:pPr>
        <w:pBdr>
          <w:top w:val="nil"/>
          <w:left w:val="nil"/>
          <w:bottom w:val="nil"/>
          <w:right w:val="nil"/>
          <w:between w:val="nil"/>
        </w:pBdr>
        <w:spacing w:before="240" w:after="16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donde se contempla que los precios unitarios que formen parte de un procedimiento de licitación, de un contrato o de un convenio, deberán analizarse, calcularse e integrarse de manera congruente con los procedimientos constructivos, con los programas de trabajo, de suministro de materiales, de personal y utilización de maquinaria y equipo de construcción, atendiendo las especificaciones generales y particulares de construcción y normas de calidad que determine el contratante; y considerando los costos de los materiales, recursos humanos y demás insumos necesarios en el momento y en el lugar donde se llevarán a cabo los trabajos, en términos de lo señalado por el artículo 127 del </w:t>
      </w:r>
      <w:r>
        <w:rPr>
          <w:rFonts w:ascii="Palatino Linotype" w:eastAsia="Palatino Linotype" w:hAnsi="Palatino Linotype" w:cs="Palatino Linotype"/>
          <w:color w:val="000000"/>
        </w:rPr>
        <w:t>Reglamento del Libro Décimo Segundo del Código Administrativo del Estado de México.</w:t>
      </w:r>
    </w:p>
    <w:p w14:paraId="1985AD1D" w14:textId="77777777" w:rsidR="00F36067" w:rsidRDefault="00F15767">
      <w:pPr>
        <w:pBdr>
          <w:top w:val="nil"/>
          <w:left w:val="nil"/>
          <w:bottom w:val="nil"/>
          <w:right w:val="nil"/>
          <w:between w:val="nil"/>
        </w:pBdr>
        <w:spacing w:before="240" w:after="16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También dentro del Manual </w:t>
      </w:r>
      <w:r>
        <w:rPr>
          <w:rFonts w:ascii="Palatino Linotype" w:eastAsia="Palatino Linotype" w:hAnsi="Palatino Linotype" w:cs="Palatino Linotype"/>
          <w:sz w:val="22"/>
          <w:szCs w:val="22"/>
        </w:rPr>
        <w:t>p</w:t>
      </w:r>
      <w:r>
        <w:rPr>
          <w:rFonts w:ascii="Palatino Linotype" w:eastAsia="Palatino Linotype" w:hAnsi="Palatino Linotype" w:cs="Palatino Linotype"/>
        </w:rPr>
        <w:t xml:space="preserve">ara la integración del expediente único de obra pública y servicios relacionados con la misma, en sus diferentes modalidades de adjudicación-contratación, </w:t>
      </w:r>
      <w:r>
        <w:rPr>
          <w:rFonts w:ascii="Palatino Linotype" w:eastAsia="Palatino Linotype" w:hAnsi="Palatino Linotype" w:cs="Palatino Linotype"/>
          <w:color w:val="000000"/>
        </w:rPr>
        <w:t xml:space="preserve">se localizó de manera de ejemplo </w:t>
      </w:r>
      <w:r>
        <w:rPr>
          <w:rFonts w:ascii="Palatino Linotype" w:eastAsia="Palatino Linotype" w:hAnsi="Palatino Linotype" w:cs="Palatino Linotype"/>
        </w:rPr>
        <w:t>lo siguiente</w:t>
      </w:r>
      <w:r>
        <w:rPr>
          <w:rFonts w:ascii="Palatino Linotype" w:eastAsia="Palatino Linotype" w:hAnsi="Palatino Linotype" w:cs="Palatino Linotype"/>
          <w:color w:val="000000"/>
        </w:rPr>
        <w:t>:</w:t>
      </w:r>
    </w:p>
    <w:p w14:paraId="384EE337" w14:textId="77777777" w:rsidR="00F36067" w:rsidRDefault="00F15767">
      <w:pPr>
        <w:pBdr>
          <w:top w:val="nil"/>
          <w:left w:val="nil"/>
          <w:bottom w:val="nil"/>
          <w:right w:val="nil"/>
          <w:between w:val="nil"/>
        </w:pBdr>
        <w:spacing w:before="240" w:after="16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noProof/>
        </w:rPr>
        <w:lastRenderedPageBreak/>
        <w:drawing>
          <wp:inline distT="114300" distB="114300" distL="114300" distR="114300" wp14:anchorId="74096598" wp14:editId="278B7846">
            <wp:extent cx="5612130" cy="2870200"/>
            <wp:effectExtent l="0" t="0" r="0" b="0"/>
            <wp:docPr id="2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612130" cy="28702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2C91D93E" wp14:editId="7247E1C2">
                <wp:simplePos x="0" y="0"/>
                <wp:positionH relativeFrom="column">
                  <wp:posOffset>5402580</wp:posOffset>
                </wp:positionH>
                <wp:positionV relativeFrom="paragraph">
                  <wp:posOffset>1371600</wp:posOffset>
                </wp:positionV>
                <wp:extent cx="209550" cy="290513"/>
                <wp:effectExtent l="0" t="0" r="0" b="0"/>
                <wp:wrapNone/>
                <wp:docPr id="284" name="Flecha izquierda 284"/>
                <wp:cNvGraphicFramePr/>
                <a:graphic xmlns:a="http://schemas.openxmlformats.org/drawingml/2006/main">
                  <a:graphicData uri="http://schemas.microsoft.com/office/word/2010/wordprocessingShape">
                    <wps:wsp>
                      <wps:cNvSpPr/>
                      <wps:spPr>
                        <a:xfrm>
                          <a:off x="5245988" y="3639506"/>
                          <a:ext cx="200025" cy="280988"/>
                        </a:xfrm>
                        <a:prstGeom prst="lef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0B956B48" w14:textId="77777777" w:rsidR="00F36067" w:rsidRDefault="00F36067">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5402580</wp:posOffset>
                </wp:positionH>
                <wp:positionV relativeFrom="paragraph">
                  <wp:posOffset>1371600</wp:posOffset>
                </wp:positionV>
                <wp:extent cx="209550" cy="290513"/>
                <wp:effectExtent b="0" l="0" r="0" t="0"/>
                <wp:wrapNone/>
                <wp:docPr id="284"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209550" cy="290513"/>
                        </a:xfrm>
                        <a:prstGeom prst="rect"/>
                        <a:ln/>
                      </pic:spPr>
                    </pic:pic>
                  </a:graphicData>
                </a:graphic>
              </wp:anchor>
            </w:drawing>
          </mc:Fallback>
        </mc:AlternateContent>
      </w:r>
    </w:p>
    <w:p w14:paraId="456F78DE" w14:textId="77777777" w:rsidR="00F36067" w:rsidRDefault="00F15767">
      <w:pPr>
        <w:pBdr>
          <w:top w:val="nil"/>
          <w:left w:val="nil"/>
          <w:bottom w:val="nil"/>
          <w:right w:val="nil"/>
          <w:between w:val="nil"/>
        </w:pBdr>
        <w:spacing w:before="240" w:after="16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donde </w:t>
      </w:r>
      <w:r>
        <w:rPr>
          <w:rFonts w:ascii="Palatino Linotype" w:eastAsia="Palatino Linotype" w:hAnsi="Palatino Linotype" w:cs="Palatino Linotype"/>
        </w:rPr>
        <w:t xml:space="preserve">dentro del presupuesto de la obra se debe integrar el documento que contenga el </w:t>
      </w:r>
      <w:proofErr w:type="spellStart"/>
      <w:r>
        <w:rPr>
          <w:rFonts w:ascii="Palatino Linotype" w:eastAsia="Palatino Linotype" w:hAnsi="Palatino Linotype" w:cs="Palatino Linotype"/>
        </w:rPr>
        <w:t>catalogo</w:t>
      </w:r>
      <w:proofErr w:type="spellEnd"/>
      <w:r>
        <w:rPr>
          <w:rFonts w:ascii="Palatino Linotype" w:eastAsia="Palatino Linotype" w:hAnsi="Palatino Linotype" w:cs="Palatino Linotype"/>
        </w:rPr>
        <w:t xml:space="preserve"> de conceptos, </w:t>
      </w:r>
    </w:p>
    <w:p w14:paraId="607CA5DA" w14:textId="77777777" w:rsidR="00F36067" w:rsidRDefault="00F15767">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ello,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28F387CB" w14:textId="77777777" w:rsidR="00F36067" w:rsidRDefault="00F15767">
      <w:pPr>
        <w:spacing w:before="80" w:after="24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“Congruencia y exhaustividad. Sus alcances para garantizar el derecho de acceso a la información. </w:t>
      </w:r>
      <w:r>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Pr>
          <w:rFonts w:ascii="Palatino Linotype" w:eastAsia="Palatino Linotype" w:hAnsi="Palatino Linotype" w:cs="Palatino Linotype"/>
          <w:i/>
          <w:sz w:val="22"/>
          <w:szCs w:val="22"/>
        </w:rPr>
        <w:t xml:space="preserve">; mientras que </w:t>
      </w:r>
      <w:r>
        <w:rPr>
          <w:rFonts w:ascii="Palatino Linotype" w:eastAsia="Palatino Linotype" w:hAnsi="Palatino Linotype" w:cs="Palatino Linotype"/>
          <w:b/>
          <w:i/>
          <w:sz w:val="22"/>
          <w:szCs w:val="22"/>
        </w:rPr>
        <w:t>la exhaustividad significa que dicha respuesta se refiera expresamente a cada uno de los puntos solicitados</w:t>
      </w:r>
      <w:r>
        <w:rPr>
          <w:rFonts w:ascii="Palatino Linotype" w:eastAsia="Palatino Linotype" w:hAnsi="Palatino Linotype" w:cs="Palatino Linotype"/>
          <w:i/>
          <w:sz w:val="22"/>
          <w:szCs w:val="22"/>
        </w:rPr>
        <w:t xml:space="preserve">. Por lo anterior, los sujetos obligados cumplirán con los principios de congruencia y exhaustividad, cuando las respuestas </w:t>
      </w:r>
      <w:r>
        <w:rPr>
          <w:rFonts w:ascii="Palatino Linotype" w:eastAsia="Palatino Linotype" w:hAnsi="Palatino Linotype" w:cs="Palatino Linotype"/>
          <w:i/>
          <w:sz w:val="22"/>
          <w:szCs w:val="22"/>
        </w:rPr>
        <w:lastRenderedPageBreak/>
        <w:t>que emitan guarden una relación lógica con lo solicitado y atiendan de manera puntual y expresa, cada uno de los contenidos de información.” (Sic)</w:t>
      </w:r>
    </w:p>
    <w:p w14:paraId="21AD4A4B" w14:textId="77777777" w:rsidR="00F36067" w:rsidRDefault="00F1576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Razones por las cuales lo procedente es ordenar previa búsqueda exhaustiva y razonable, del documento o documentos en donde consten los p</w:t>
      </w:r>
      <w:r>
        <w:rPr>
          <w:rFonts w:ascii="Palatino Linotype" w:eastAsia="Palatino Linotype" w:hAnsi="Palatino Linotype" w:cs="Palatino Linotype"/>
          <w:color w:val="000000"/>
        </w:rPr>
        <w:t>recios unitarios r</w:t>
      </w:r>
      <w:r>
        <w:rPr>
          <w:rFonts w:ascii="Palatino Linotype" w:eastAsia="Palatino Linotype" w:hAnsi="Palatino Linotype" w:cs="Palatino Linotype"/>
        </w:rPr>
        <w:t xml:space="preserve">especto a la obra "Rehabilitación con Concreto Asfáltico de Avenida Parque de los Ciervos en el acceso al Parque de los Ciervos", al veintiuno de octubre del año dos mil veinticuatro, de ser procedente en versión pública conforme a lo señalado en el considerando quinto del presente fallo. </w:t>
      </w:r>
    </w:p>
    <w:p w14:paraId="1007E708"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Quinto. Versión Pública. </w:t>
      </w:r>
      <w:r>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sin menoscabar el derecho a la protección de los datos personales de terceros.</w:t>
      </w:r>
    </w:p>
    <w:p w14:paraId="1A36D1D6" w14:textId="77777777" w:rsidR="00F36067" w:rsidRDefault="00F15767">
      <w:pPr>
        <w:spacing w:before="240" w:after="240"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441CAD7F" w14:textId="77777777" w:rsidR="00F36067" w:rsidRDefault="00F15767">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“Artículo 3. Para los efectos de la presente Ley se entenderá por:</w:t>
      </w:r>
    </w:p>
    <w:p w14:paraId="1B38C82A" w14:textId="77777777" w:rsidR="00F36067" w:rsidRDefault="00F15767">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información concerniente a una persona, identificada o identificable</w:t>
      </w:r>
      <w:r>
        <w:rPr>
          <w:rFonts w:ascii="Palatino Linotype" w:eastAsia="Palatino Linotype" w:hAnsi="Palatino Linotype" w:cs="Palatino Linotype"/>
          <w:i/>
          <w:sz w:val="22"/>
          <w:szCs w:val="22"/>
        </w:rPr>
        <w:t xml:space="preserve"> según lo dispuesto por la Ley de Protección de Datos Personales del Estado de México;</w:t>
      </w:r>
    </w:p>
    <w:p w14:paraId="6C63C3BA" w14:textId="77777777" w:rsidR="00F36067" w:rsidRDefault="00F15767">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XX. Información clasificada:</w:t>
      </w:r>
      <w:r>
        <w:rPr>
          <w:rFonts w:ascii="Palatino Linotype" w:eastAsia="Palatino Linotype" w:hAnsi="Palatino Linotype" w:cs="Palatino Linotype"/>
          <w:i/>
          <w:sz w:val="22"/>
          <w:szCs w:val="22"/>
        </w:rPr>
        <w:t xml:space="preserve"> Aquella considerada por la presente Ley como reservada o confidencial;</w:t>
      </w:r>
    </w:p>
    <w:p w14:paraId="4A58B9EB" w14:textId="77777777" w:rsidR="00F36067" w:rsidRDefault="00F15767">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XXXII. Protección de Datos Personales:</w:t>
      </w:r>
      <w:r>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8E1563F" w14:textId="77777777" w:rsidR="00F36067" w:rsidRDefault="00F15767">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7B67B9E" w14:textId="77777777" w:rsidR="00F36067" w:rsidRDefault="00F36067">
      <w:pPr>
        <w:ind w:left="993" w:right="1041"/>
        <w:jc w:val="both"/>
        <w:rPr>
          <w:rFonts w:ascii="Palatino Linotype" w:eastAsia="Palatino Linotype" w:hAnsi="Palatino Linotype" w:cs="Palatino Linotype"/>
          <w:i/>
          <w:sz w:val="22"/>
          <w:szCs w:val="22"/>
        </w:rPr>
      </w:pPr>
    </w:p>
    <w:p w14:paraId="7EB10FDF" w14:textId="77777777" w:rsidR="00F36067" w:rsidRDefault="00F15767">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9BAD60B" w14:textId="77777777" w:rsidR="00F36067" w:rsidRDefault="00F36067">
      <w:pPr>
        <w:ind w:left="993" w:right="1041"/>
        <w:jc w:val="both"/>
        <w:rPr>
          <w:rFonts w:ascii="Palatino Linotype" w:eastAsia="Palatino Linotype" w:hAnsi="Palatino Linotype" w:cs="Palatino Linotype"/>
          <w:i/>
          <w:sz w:val="22"/>
          <w:szCs w:val="22"/>
        </w:rPr>
      </w:pPr>
    </w:p>
    <w:p w14:paraId="3FB263E6" w14:textId="77777777" w:rsidR="00F36067" w:rsidRDefault="00F15767">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137.</w:t>
      </w:r>
      <w:r>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9AF4AB8" w14:textId="77777777" w:rsidR="00F36067" w:rsidRDefault="00F36067">
      <w:pPr>
        <w:ind w:left="993" w:right="1041"/>
        <w:jc w:val="both"/>
        <w:rPr>
          <w:rFonts w:ascii="Palatino Linotype" w:eastAsia="Palatino Linotype" w:hAnsi="Palatino Linotype" w:cs="Palatino Linotype"/>
          <w:b/>
          <w:i/>
          <w:sz w:val="22"/>
          <w:szCs w:val="22"/>
        </w:rPr>
      </w:pPr>
    </w:p>
    <w:p w14:paraId="14D2385B" w14:textId="77777777" w:rsidR="00F36067" w:rsidRDefault="00F15767">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FC8C7C9" w14:textId="77777777" w:rsidR="00F36067" w:rsidRDefault="00F15767">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34A543DC" w14:textId="77777777" w:rsidR="00F36067" w:rsidRDefault="00F15767">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3292098" w14:textId="77777777" w:rsidR="00F36067" w:rsidRDefault="00F15767">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1BD4409C" w14:textId="77777777" w:rsidR="00F36067" w:rsidRDefault="00F36067">
      <w:pPr>
        <w:ind w:left="993" w:right="1041"/>
        <w:jc w:val="both"/>
        <w:rPr>
          <w:rFonts w:ascii="Palatino Linotype" w:eastAsia="Palatino Linotype" w:hAnsi="Palatino Linotype" w:cs="Palatino Linotype"/>
          <w:i/>
          <w:sz w:val="22"/>
          <w:szCs w:val="22"/>
        </w:rPr>
      </w:pPr>
    </w:p>
    <w:p w14:paraId="38BF6EE6" w14:textId="77777777" w:rsidR="00F36067" w:rsidRDefault="00F15767">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w:t>
      </w:r>
      <w:r>
        <w:rPr>
          <w:rFonts w:ascii="Palatino Linotype" w:eastAsia="Palatino Linotype" w:hAnsi="Palatino Linotype" w:cs="Palatino Linotype"/>
        </w:rPr>
        <w:lastRenderedPageBreak/>
        <w:t xml:space="preserve">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Pr>
          <w:rFonts w:ascii="Palatino Linotype" w:eastAsia="Palatino Linotype" w:hAnsi="Palatino Linotype" w:cs="Palatino Linotype"/>
          <w:b/>
        </w:rPr>
        <w:t>RECURRENTE</w:t>
      </w:r>
      <w:r>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30E394F" w14:textId="77777777" w:rsidR="00F36067" w:rsidRDefault="00F36067">
      <w:pPr>
        <w:spacing w:line="360" w:lineRule="auto"/>
        <w:ind w:right="51"/>
        <w:jc w:val="both"/>
        <w:rPr>
          <w:rFonts w:ascii="Palatino Linotype" w:eastAsia="Palatino Linotype" w:hAnsi="Palatino Linotype" w:cs="Palatino Linotype"/>
        </w:rPr>
      </w:pPr>
    </w:p>
    <w:p w14:paraId="73B957AC" w14:textId="77777777" w:rsidR="00F36067" w:rsidRDefault="00F15767">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86568BB" w14:textId="77777777" w:rsidR="00F36067" w:rsidRDefault="00F36067">
      <w:pPr>
        <w:spacing w:line="360" w:lineRule="auto"/>
        <w:ind w:right="50"/>
        <w:jc w:val="both"/>
        <w:rPr>
          <w:rFonts w:ascii="Palatino Linotype" w:eastAsia="Palatino Linotype" w:hAnsi="Palatino Linotype" w:cs="Palatino Linotype"/>
        </w:rPr>
      </w:pPr>
    </w:p>
    <w:p w14:paraId="556FA287" w14:textId="77777777" w:rsidR="00F36067" w:rsidRDefault="00F15767">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el Servidor Público Habilitado o el </w:t>
      </w:r>
      <w:proofErr w:type="gramStart"/>
      <w:r>
        <w:rPr>
          <w:rFonts w:ascii="Palatino Linotype" w:eastAsia="Palatino Linotype" w:hAnsi="Palatino Linotype" w:cs="Palatino Linotype"/>
        </w:rPr>
        <w:t>Responsable</w:t>
      </w:r>
      <w:proofErr w:type="gramEnd"/>
      <w:r>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36BAF1A8" w14:textId="77777777" w:rsidR="00F36067" w:rsidRDefault="00F36067">
      <w:pPr>
        <w:spacing w:line="360" w:lineRule="auto"/>
        <w:ind w:right="51"/>
        <w:jc w:val="both"/>
        <w:rPr>
          <w:rFonts w:ascii="Palatino Linotype" w:eastAsia="Palatino Linotype" w:hAnsi="Palatino Linotype" w:cs="Palatino Linotype"/>
        </w:rPr>
      </w:pPr>
    </w:p>
    <w:p w14:paraId="3CD580FD" w14:textId="77777777" w:rsidR="00F36067" w:rsidRDefault="00F15767">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49.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Comités de Transparencia</w:t>
      </w:r>
      <w:r>
        <w:rPr>
          <w:rFonts w:ascii="Palatino Linotype" w:eastAsia="Palatino Linotype" w:hAnsi="Palatino Linotype" w:cs="Palatino Linotype"/>
          <w:i/>
          <w:sz w:val="22"/>
          <w:szCs w:val="22"/>
        </w:rPr>
        <w:t xml:space="preserve"> tendrán las siguientes atribuciones:</w:t>
      </w:r>
    </w:p>
    <w:p w14:paraId="65C24446" w14:textId="77777777" w:rsidR="00F36067" w:rsidRDefault="00F15767">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Aprobar, modificar o revocar la clasificación de la información</w:t>
      </w:r>
      <w:r>
        <w:rPr>
          <w:rFonts w:ascii="Palatino Linotype" w:eastAsia="Palatino Linotype" w:hAnsi="Palatino Linotype" w:cs="Palatino Linotype"/>
          <w:i/>
          <w:sz w:val="22"/>
          <w:szCs w:val="22"/>
        </w:rPr>
        <w:t>…”</w:t>
      </w:r>
    </w:p>
    <w:p w14:paraId="68C20D84" w14:textId="77777777" w:rsidR="00F36067" w:rsidRDefault="00F15767">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w:t>
      </w:r>
      <w:r>
        <w:rPr>
          <w:rFonts w:ascii="Palatino Linotype" w:eastAsia="Palatino Linotype" w:hAnsi="Palatino Linotype" w:cs="Palatino Linotype"/>
          <w:b/>
          <w:i/>
          <w:sz w:val="22"/>
          <w:szCs w:val="22"/>
        </w:rPr>
        <w:t>Unidades de Transparencia</w:t>
      </w:r>
      <w:r>
        <w:rPr>
          <w:rFonts w:ascii="Palatino Linotype" w:eastAsia="Palatino Linotype" w:hAnsi="Palatino Linotype" w:cs="Palatino Linotype"/>
          <w:i/>
          <w:sz w:val="22"/>
          <w:szCs w:val="22"/>
        </w:rPr>
        <w:t xml:space="preserve"> tendrán las siguientes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w:t>
      </w:r>
    </w:p>
    <w:p w14:paraId="778D63DB" w14:textId="77777777" w:rsidR="00F36067" w:rsidRDefault="00F15767">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 Presentar ante el Comité, el proyecto de clasificación de información</w:t>
      </w:r>
      <w:r>
        <w:rPr>
          <w:rFonts w:ascii="Palatino Linotype" w:eastAsia="Palatino Linotype" w:hAnsi="Palatino Linotype" w:cs="Palatino Linotype"/>
          <w:i/>
          <w:sz w:val="22"/>
          <w:szCs w:val="22"/>
        </w:rPr>
        <w:t xml:space="preserve">…” </w:t>
      </w:r>
    </w:p>
    <w:p w14:paraId="063CBFC6" w14:textId="77777777" w:rsidR="00F36067" w:rsidRDefault="00F15767">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servidores públicos habilitados</w:t>
      </w:r>
      <w:r>
        <w:rPr>
          <w:rFonts w:ascii="Palatino Linotype" w:eastAsia="Palatino Linotype" w:hAnsi="Palatino Linotype" w:cs="Palatino Linotype"/>
          <w:i/>
          <w:sz w:val="22"/>
          <w:szCs w:val="22"/>
        </w:rPr>
        <w:t xml:space="preserve"> tendrán las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siguientes:</w:t>
      </w:r>
    </w:p>
    <w:p w14:paraId="6395C21B" w14:textId="77777777" w:rsidR="00F36067" w:rsidRDefault="00F15767">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Integrar y presentar al responsable de la Unidad de Transparencia la propuesta de clasificación de información</w:t>
      </w:r>
      <w:r>
        <w:rPr>
          <w:rFonts w:ascii="Palatino Linotype" w:eastAsia="Palatino Linotype" w:hAnsi="Palatino Linotype" w:cs="Palatino Linotype"/>
          <w:i/>
          <w:sz w:val="22"/>
          <w:szCs w:val="22"/>
        </w:rPr>
        <w:t>, la cual tendrá los fundamentos y argumentos en que se basa dicha propuesta</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034461F9" w14:textId="77777777" w:rsidR="00F36067" w:rsidRDefault="00F36067">
      <w:pPr>
        <w:ind w:left="992" w:right="1043"/>
        <w:jc w:val="both"/>
        <w:rPr>
          <w:rFonts w:ascii="Palatino Linotype" w:eastAsia="Palatino Linotype" w:hAnsi="Palatino Linotype" w:cs="Palatino Linotype"/>
          <w:i/>
          <w:sz w:val="22"/>
          <w:szCs w:val="22"/>
        </w:rPr>
      </w:pPr>
    </w:p>
    <w:p w14:paraId="716F50F7"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w:t>
      </w:r>
      <w:proofErr w:type="spellStart"/>
      <w:r>
        <w:rPr>
          <w:rFonts w:ascii="Palatino Linotype" w:eastAsia="Palatino Linotype" w:hAnsi="Palatino Linotype" w:cs="Palatino Linotype"/>
        </w:rPr>
        <w:t>esta</w:t>
      </w:r>
      <w:proofErr w:type="spellEnd"/>
      <w:r>
        <w:rPr>
          <w:rFonts w:ascii="Palatino Linotype" w:eastAsia="Palatino Linotype" w:hAnsi="Palatino Linotype" w:cs="Palatino Linotype"/>
        </w:rPr>
        <w:t xml:space="preserve"> presente ante al Comité de Transparencia de así resultar procedente el proyecto de clasificación de la información y finalmente sea éste último quien apruebe, modifique o revoque la clasificación de la información solicitada.</w:t>
      </w:r>
    </w:p>
    <w:p w14:paraId="568206D2" w14:textId="77777777" w:rsidR="00F36067" w:rsidRDefault="00F36067">
      <w:pPr>
        <w:spacing w:line="360" w:lineRule="auto"/>
        <w:jc w:val="both"/>
        <w:rPr>
          <w:rFonts w:ascii="Palatino Linotype" w:eastAsia="Palatino Linotype" w:hAnsi="Palatino Linotype" w:cs="Palatino Linotype"/>
        </w:rPr>
      </w:pPr>
    </w:p>
    <w:p w14:paraId="554C9734"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76519BD3" w14:textId="77777777" w:rsidR="00F36067" w:rsidRDefault="00F36067">
      <w:pPr>
        <w:spacing w:line="360" w:lineRule="auto"/>
        <w:jc w:val="both"/>
        <w:rPr>
          <w:rFonts w:ascii="Palatino Linotype" w:eastAsia="Palatino Linotype" w:hAnsi="Palatino Linotype" w:cs="Palatino Linotype"/>
        </w:rPr>
      </w:pPr>
    </w:p>
    <w:p w14:paraId="33D3EA1C" w14:textId="77777777" w:rsidR="00F36067" w:rsidRDefault="00F15767">
      <w:pPr>
        <w:spacing w:after="240"/>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acuerdo que clasifique la información como confidencial</w:t>
      </w:r>
      <w:r>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63C902C5" w14:textId="77777777" w:rsidR="00F36067" w:rsidRDefault="00F36067">
      <w:pPr>
        <w:spacing w:before="240" w:line="360" w:lineRule="auto"/>
        <w:ind w:right="51"/>
        <w:jc w:val="both"/>
        <w:rPr>
          <w:rFonts w:ascii="Palatino Linotype" w:eastAsia="Palatino Linotype" w:hAnsi="Palatino Linotype" w:cs="Palatino Linotype"/>
          <w:i/>
          <w:sz w:val="22"/>
          <w:szCs w:val="22"/>
        </w:rPr>
      </w:pPr>
    </w:p>
    <w:p w14:paraId="317C2E29" w14:textId="77777777" w:rsidR="00F36067" w:rsidRDefault="00F15767">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decir,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403B8A2" w14:textId="77777777" w:rsidR="00F36067" w:rsidRDefault="00F15767">
      <w:pPr>
        <w:spacing w:before="240" w:after="240"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Sobre el RFC,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w:t>
      </w:r>
    </w:p>
    <w:p w14:paraId="1DCEDB3F" w14:textId="77777777" w:rsidR="00F36067" w:rsidRDefault="00F15767">
      <w:pPr>
        <w:spacing w:before="240" w:after="240" w:line="360" w:lineRule="auto"/>
        <w:ind w:right="50"/>
        <w:jc w:val="both"/>
        <w:rPr>
          <w:rFonts w:ascii="Palatino Linotype" w:eastAsia="Palatino Linotype" w:hAnsi="Palatino Linotype" w:cs="Palatino Linotype"/>
          <w:highlight w:val="yellow"/>
        </w:rPr>
      </w:pPr>
      <w:r>
        <w:rPr>
          <w:rFonts w:ascii="Palatino Linotype" w:eastAsia="Palatino Linotype" w:hAnsi="Palatino Linotype" w:cs="Palatino Linotype"/>
        </w:rPr>
        <w:t xml:space="preserve">En razón de que el domicilio fiscal, de acuerdo a lo señalado en el artículo 2.21 del Código Civil del Estado de México, el domicilio de las personas morales, es aquel donde se halle su administración, o bien, las sucursales que operen en lugares distintos de donde radica la casa matriz. Además, respecto al domicilio fiscal, resulta necesario traer el artículo 10 del Código Fiscal de la Federación, que establece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tratándose de personas morales, el domicilio fiscal corresponderá al local donde se encuentra la administración principal del negocio. Ahora bien, en el </w:t>
      </w:r>
      <w:r>
        <w:rPr>
          <w:rFonts w:ascii="Palatino Linotype" w:eastAsia="Palatino Linotype" w:hAnsi="Palatino Linotype" w:cs="Palatino Linotype"/>
        </w:rPr>
        <w:lastRenderedPageBreak/>
        <w:t xml:space="preserve">caso de que el domicilio corresponda al lugar donde realiza sus actividades empresariales, como es el caso de las personas morales, se considera necesario traer a colación,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 </w:t>
      </w:r>
    </w:p>
    <w:p w14:paraId="23BDC2CD" w14:textId="77777777" w:rsidR="00F36067" w:rsidRDefault="00F15767">
      <w:pPr>
        <w:spacing w:before="240" w:after="240" w:line="360" w:lineRule="auto"/>
        <w:ind w:right="50"/>
        <w:jc w:val="both"/>
        <w:rPr>
          <w:rFonts w:ascii="Palatino Linotype" w:eastAsia="Palatino Linotype" w:hAnsi="Palatino Linotype" w:cs="Palatino Linotype"/>
        </w:rPr>
      </w:pPr>
      <w:r>
        <w:rPr>
          <w:noProof/>
        </w:rPr>
        <w:drawing>
          <wp:inline distT="0" distB="0" distL="0" distR="0" wp14:anchorId="4AACBF32" wp14:editId="602FB468">
            <wp:extent cx="5664200" cy="1257300"/>
            <wp:effectExtent l="0" t="0" r="0" b="0"/>
            <wp:docPr id="2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l="43210" t="71135" r="28792" b="14952"/>
                    <a:stretch>
                      <a:fillRect/>
                    </a:stretch>
                  </pic:blipFill>
                  <pic:spPr>
                    <a:xfrm>
                      <a:off x="0" y="0"/>
                      <a:ext cx="5664200" cy="1257300"/>
                    </a:xfrm>
                    <a:prstGeom prst="rect">
                      <a:avLst/>
                    </a:prstGeom>
                    <a:ln/>
                  </pic:spPr>
                </pic:pic>
              </a:graphicData>
            </a:graphic>
          </wp:inline>
        </w:drawing>
      </w:r>
    </w:p>
    <w:p w14:paraId="41E6EDD1" w14:textId="77777777" w:rsidR="00F36067" w:rsidRDefault="00F15767">
      <w:pPr>
        <w:spacing w:before="240" w:after="240"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Como se logra observar, es obligación de transparencia proporcionar el domicilio fiscal de los proveedores, por lo que, se considera que dicho dato, al corresponder a un local o al lugar donde realiza la persona moral sus actividades empresariales, es que guarda la naturaleza de público. De tal suerte que, tratándose de proveedores (jurídico-colectivas), el domicilio fiscal, no actualiza la causal de clasificación, establecida en el artículo 143, fracción I de la Ley de Transparencia y Acceso a la Información Pública del Estado de México y Municipios.</w:t>
      </w:r>
    </w:p>
    <w:p w14:paraId="533E3F5E" w14:textId="77777777" w:rsidR="00F36067" w:rsidRDefault="00F15767">
      <w:pPr>
        <w:spacing w:before="240" w:after="240"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 xml:space="preserve">Ello se debe a que, del ejercicio de ponderación entre el derecho a la protección de datos personales con el derecho de acceso a la información pública, es de mayor trascendencia el que cualquier persona pueda conocer en qué se gastan los recursos </w:t>
      </w:r>
      <w:r>
        <w:rPr>
          <w:rFonts w:ascii="Palatino Linotype" w:eastAsia="Palatino Linotype" w:hAnsi="Palatino Linotype" w:cs="Palatino Linotype"/>
        </w:rPr>
        <w:lastRenderedPageBreak/>
        <w:t>públicos, puesto que se trata de erogaciones que realiza un órgano del Estado con base en los recursos que encuentran su origen en mayor medida en las contribuciones aportados por los gobernados, por lo que debe transparentarse su ejercicio.</w:t>
      </w:r>
    </w:p>
    <w:p w14:paraId="1611EE30" w14:textId="77777777" w:rsidR="00F36067" w:rsidRDefault="00F15767">
      <w:pPr>
        <w:spacing w:before="240" w:after="240"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48EB76A3"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cuanto hace al número de cuenta bancaria de personas de personas físicas o morales, debe ser clasificado como confidencial con fundamento en las fracciones I y II del artículo 143 de la Ley de la Materia de la Entidad; en razón de que, con su difusión se estaría poniendo en riesgo la seguridad de su titular.</w:t>
      </w:r>
    </w:p>
    <w:p w14:paraId="0C3324D5" w14:textId="77777777" w:rsidR="00F36067" w:rsidRDefault="00F36067">
      <w:pPr>
        <w:spacing w:line="360" w:lineRule="auto"/>
        <w:ind w:right="50"/>
        <w:jc w:val="both"/>
        <w:rPr>
          <w:rFonts w:ascii="Palatino Linotype" w:eastAsia="Palatino Linotype" w:hAnsi="Palatino Linotype" w:cs="Palatino Linotype"/>
        </w:rPr>
      </w:pPr>
    </w:p>
    <w:p w14:paraId="2118BC26" w14:textId="77777777" w:rsidR="00F36067" w:rsidRDefault="00F15767">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Además de que, la publicidad de dichos números de cuenta bancaria nada contribuye a la rendición de cuentas, sino por el contrario, dar a conocer los números de las cuentas bancarias hace vulnerable a las personas físicas o morales, al abrir la posibilidad de que terceros que cuenten con las posibilidades tecnológicas y/o económicas puedan realizar actos ilícitos mediante operaciones cibernéticas; en esa virtud, este Instituto determina que dicha información no puede ser del dominio </w:t>
      </w:r>
      <w:r>
        <w:rPr>
          <w:rFonts w:ascii="Palatino Linotype" w:eastAsia="Palatino Linotype" w:hAnsi="Palatino Linotype" w:cs="Palatino Linotype"/>
        </w:rPr>
        <w:lastRenderedPageBreak/>
        <w:t xml:space="preserve">público, toda vez que se podría dar un uso inadecuado a la misma o cometer algún ilícito o fraude en contra del patrimonio de los particulares. </w:t>
      </w:r>
    </w:p>
    <w:p w14:paraId="4CF6BD32" w14:textId="77777777" w:rsidR="00F36067" w:rsidRDefault="00F36067">
      <w:pPr>
        <w:spacing w:line="360" w:lineRule="auto"/>
        <w:ind w:right="51"/>
        <w:jc w:val="both"/>
        <w:rPr>
          <w:rFonts w:ascii="Palatino Linotype" w:eastAsia="Palatino Linotype" w:hAnsi="Palatino Linotype" w:cs="Palatino Linotype"/>
        </w:rPr>
      </w:pPr>
    </w:p>
    <w:p w14:paraId="30C4F444" w14:textId="77777777" w:rsidR="00F36067" w:rsidRDefault="00F15767">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Lo anterior encuentra sustento en el criterio 10/17 emitido por el Instituto Nacional de Transparencia y Acceso a la Información Pública del Estado de México y Municipios, que a la letra dicen:</w:t>
      </w:r>
    </w:p>
    <w:p w14:paraId="0EDBAB06" w14:textId="77777777" w:rsidR="00F36067" w:rsidRDefault="00F36067">
      <w:pPr>
        <w:ind w:right="50"/>
        <w:jc w:val="both"/>
        <w:rPr>
          <w:rFonts w:ascii="Palatino Linotype" w:eastAsia="Palatino Linotype" w:hAnsi="Palatino Linotype" w:cs="Palatino Linotype"/>
        </w:rPr>
      </w:pPr>
    </w:p>
    <w:p w14:paraId="1C3CC240" w14:textId="77777777" w:rsidR="00F36067" w:rsidRDefault="00F15767">
      <w:pPr>
        <w:ind w:left="851" w:right="11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“Cuentas bancarias y/o CLABE interbancaria de personas físicas y morales privadas.</w:t>
      </w:r>
      <w:r>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1F4C626" w14:textId="77777777" w:rsidR="00F36067" w:rsidRDefault="00F36067">
      <w:pPr>
        <w:spacing w:line="360" w:lineRule="auto"/>
        <w:jc w:val="both"/>
        <w:rPr>
          <w:rFonts w:ascii="Palatino Linotype" w:eastAsia="Palatino Linotype" w:hAnsi="Palatino Linotype" w:cs="Palatino Linotype"/>
        </w:rPr>
      </w:pPr>
    </w:p>
    <w:p w14:paraId="066282CA"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se destaca que la versión pública que elabore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Pr>
          <w:rFonts w:ascii="Palatino Linotype" w:eastAsia="Palatino Linotype" w:hAnsi="Palatino Linotype" w:cs="Palatino Linotype"/>
          <w:b/>
        </w:rPr>
        <w:t>LINEAMIENTOS GENERALES EN MATERIA DE CLASIFICACIÓN Y DESCLASIFICACIÓN DE LA INFORMACIÓN, ASÍ COMO PARA LA ELABORACIÓN DE VERSIONES PÚBLICAS</w:t>
      </w:r>
      <w:r>
        <w:rPr>
          <w:rFonts w:ascii="Palatino Linotype" w:eastAsia="Palatino Linotype" w:hAnsi="Palatino Linotype" w:cs="Palatino Linotype"/>
        </w:rPr>
        <w:t xml:space="preserve">, publicados en el Diario Oficial de la Federación en fecha dieciocho de noviembre del año dos mil veintidós, mediante </w:t>
      </w:r>
      <w:r>
        <w:rPr>
          <w:rFonts w:ascii="Palatino Linotype" w:eastAsia="Palatino Linotype" w:hAnsi="Palatino Linotype" w:cs="Palatino Linotype"/>
        </w:rPr>
        <w:lastRenderedPageBreak/>
        <w:t>Acuerdo del Consejo Nacional del Sistema Nacional de Transparencia, Acceso a la Información Pública y Protección de Datos Personales, que literalmente expresan:</w:t>
      </w:r>
    </w:p>
    <w:p w14:paraId="0C4030D7" w14:textId="77777777" w:rsidR="00F36067" w:rsidRDefault="00F36067">
      <w:pPr>
        <w:ind w:left="709" w:right="709"/>
        <w:jc w:val="both"/>
        <w:rPr>
          <w:rFonts w:ascii="Palatino Linotype" w:eastAsia="Palatino Linotype" w:hAnsi="Palatino Linotype" w:cs="Palatino Linotype"/>
          <w:b/>
          <w:i/>
          <w:sz w:val="22"/>
          <w:szCs w:val="22"/>
        </w:rPr>
      </w:pPr>
    </w:p>
    <w:p w14:paraId="159E5717" w14:textId="77777777" w:rsidR="00F36067" w:rsidRDefault="00F15767">
      <w:pPr>
        <w:ind w:left="709" w:right="709"/>
        <w:jc w:val="both"/>
        <w:rPr>
          <w:color w:val="000000"/>
        </w:rPr>
      </w:pPr>
      <w:r>
        <w:rPr>
          <w:rFonts w:ascii="Palatino Linotype" w:eastAsia="Palatino Linotype" w:hAnsi="Palatino Linotype" w:cs="Palatino Linotype"/>
          <w:b/>
          <w:i/>
          <w:color w:val="000000"/>
          <w:sz w:val="22"/>
          <w:szCs w:val="22"/>
        </w:rPr>
        <w:t>“Lineamientos Generales en materia de Clasificación y Desclasificación de la Información, así como para la elaboración de Versiones Públicas</w:t>
      </w:r>
    </w:p>
    <w:p w14:paraId="767FBC8F" w14:textId="77777777" w:rsidR="00F36067" w:rsidRDefault="00F15767">
      <w:pPr>
        <w:ind w:left="709" w:right="709"/>
        <w:jc w:val="both"/>
        <w:rPr>
          <w:color w:val="000000"/>
        </w:rPr>
      </w:pPr>
      <w:r>
        <w:rPr>
          <w:rFonts w:ascii="Palatino Linotype" w:eastAsia="Palatino Linotype" w:hAnsi="Palatino Linotype" w:cs="Palatino Linotype"/>
          <w:i/>
          <w:color w:val="000000"/>
          <w:sz w:val="22"/>
          <w:szCs w:val="22"/>
        </w:rPr>
        <w:t>“</w:t>
      </w:r>
      <w:proofErr w:type="gramStart"/>
      <w:r>
        <w:rPr>
          <w:rFonts w:ascii="Palatino Linotype" w:eastAsia="Palatino Linotype" w:hAnsi="Palatino Linotype" w:cs="Palatino Linotype"/>
          <w:b/>
          <w:i/>
          <w:color w:val="000000"/>
          <w:sz w:val="22"/>
          <w:szCs w:val="22"/>
        </w:rPr>
        <w:t>Segundo.-</w:t>
      </w:r>
      <w:proofErr w:type="gramEnd"/>
      <w:r>
        <w:rPr>
          <w:rFonts w:ascii="Palatino Linotype" w:eastAsia="Palatino Linotype" w:hAnsi="Palatino Linotype" w:cs="Palatino Linotype"/>
          <w:i/>
          <w:color w:val="000000"/>
          <w:sz w:val="22"/>
          <w:szCs w:val="22"/>
        </w:rPr>
        <w:t xml:space="preserve"> Para efectos de los presentes Lineamientos Generales, se entenderá por:</w:t>
      </w:r>
    </w:p>
    <w:p w14:paraId="1D71A46D" w14:textId="77777777" w:rsidR="00F36067" w:rsidRDefault="00F15767">
      <w:pPr>
        <w:ind w:left="709" w:right="709"/>
        <w:jc w:val="both"/>
        <w:rPr>
          <w:color w:val="000000"/>
        </w:rPr>
      </w:pPr>
      <w:r>
        <w:rPr>
          <w:rFonts w:ascii="Palatino Linotype" w:eastAsia="Palatino Linotype" w:hAnsi="Palatino Linotype" w:cs="Palatino Linotype"/>
          <w:b/>
          <w:i/>
          <w:color w:val="000000"/>
          <w:sz w:val="22"/>
          <w:szCs w:val="22"/>
        </w:rPr>
        <w:t>XVIII.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Versión pública:</w:t>
      </w:r>
      <w:r>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Pr>
          <w:rFonts w:ascii="Palatino Linotype" w:eastAsia="Palatino Linotype" w:hAnsi="Palatino Linotype" w:cs="Palatino Linotype"/>
          <w:b/>
          <w:i/>
          <w:color w:val="000000"/>
          <w:sz w:val="22"/>
          <w:szCs w:val="22"/>
          <w:u w:val="single"/>
        </w:rPr>
        <w:t>fundando y motivando la</w:t>
      </w:r>
      <w:r>
        <w:rPr>
          <w:rFonts w:ascii="Palatino Linotype" w:eastAsia="Palatino Linotype" w:hAnsi="Palatino Linotype" w:cs="Palatino Linotype"/>
          <w:i/>
          <w:color w:val="000000"/>
          <w:sz w:val="22"/>
          <w:szCs w:val="22"/>
        </w:rPr>
        <w:t xml:space="preserve"> reserva o </w:t>
      </w:r>
      <w:r>
        <w:rPr>
          <w:rFonts w:ascii="Palatino Linotype" w:eastAsia="Palatino Linotype" w:hAnsi="Palatino Linotype" w:cs="Palatino Linotype"/>
          <w:b/>
          <w:i/>
          <w:color w:val="000000"/>
          <w:sz w:val="22"/>
          <w:szCs w:val="22"/>
          <w:u w:val="single"/>
        </w:rPr>
        <w:t>confidencialidad</w:t>
      </w:r>
      <w:r>
        <w:rPr>
          <w:rFonts w:ascii="Palatino Linotype" w:eastAsia="Palatino Linotype" w:hAnsi="Palatino Linotype" w:cs="Palatino Linotype"/>
          <w:i/>
          <w:color w:val="000000"/>
          <w:sz w:val="22"/>
          <w:szCs w:val="22"/>
        </w:rPr>
        <w:t>, a través de la resolución que para tal efecto emita el Comité de Transparencia.</w:t>
      </w:r>
    </w:p>
    <w:p w14:paraId="2BBDA16C" w14:textId="77777777" w:rsidR="00F36067" w:rsidRDefault="00F15767">
      <w:pPr>
        <w:ind w:left="709" w:right="709"/>
        <w:jc w:val="both"/>
        <w:rPr>
          <w:color w:val="000000"/>
        </w:rPr>
      </w:pPr>
      <w:r>
        <w:rPr>
          <w:rFonts w:ascii="Palatino Linotype" w:eastAsia="Palatino Linotype" w:hAnsi="Palatino Linotype" w:cs="Palatino Linotype"/>
          <w:b/>
          <w:i/>
          <w:color w:val="000000"/>
          <w:sz w:val="22"/>
          <w:szCs w:val="22"/>
        </w:rPr>
        <w:t>Cuarto.</w:t>
      </w:r>
      <w:r>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4E66C13" w14:textId="77777777" w:rsidR="00F36067" w:rsidRDefault="00F15767">
      <w:pPr>
        <w:ind w:left="709" w:right="709"/>
        <w:jc w:val="both"/>
        <w:rPr>
          <w:color w:val="000000"/>
        </w:rPr>
      </w:pPr>
      <w:r>
        <w:rPr>
          <w:rFonts w:ascii="Palatino Linotype" w:eastAsia="Palatino Linotype" w:hAnsi="Palatino Linotype" w:cs="Palatino Linotype"/>
          <w:i/>
          <w:color w:val="000000"/>
          <w:sz w:val="22"/>
          <w:szCs w:val="22"/>
        </w:rPr>
        <w:t>Los sujetos obligados deberán aplicar, de manera estricta, las excepciones al derecho de acceso a la información y sólo podrán invocarlas cuando acrediten su procedencia.</w:t>
      </w:r>
    </w:p>
    <w:p w14:paraId="36CCE573" w14:textId="77777777" w:rsidR="00F36067" w:rsidRDefault="00F15767">
      <w:pPr>
        <w:ind w:left="709" w:right="709"/>
        <w:jc w:val="both"/>
        <w:rPr>
          <w:color w:val="000000"/>
        </w:rPr>
      </w:pPr>
      <w:r>
        <w:rPr>
          <w:rFonts w:ascii="Palatino Linotype" w:eastAsia="Palatino Linotype" w:hAnsi="Palatino Linotype" w:cs="Palatino Linotype"/>
          <w:b/>
          <w:i/>
          <w:color w:val="000000"/>
          <w:sz w:val="22"/>
          <w:szCs w:val="22"/>
        </w:rPr>
        <w:t>Quinto.</w:t>
      </w:r>
      <w:r>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D8B50BB" w14:textId="77777777" w:rsidR="00F36067" w:rsidRDefault="00F15767">
      <w:pPr>
        <w:ind w:left="709" w:right="709"/>
        <w:jc w:val="both"/>
        <w:rPr>
          <w:color w:val="000000"/>
        </w:rPr>
      </w:pPr>
      <w:r>
        <w:rPr>
          <w:rFonts w:ascii="Palatino Linotype" w:eastAsia="Palatino Linotype" w:hAnsi="Palatino Linotype" w:cs="Palatino Linotype"/>
          <w:b/>
          <w:i/>
          <w:color w:val="000000"/>
          <w:sz w:val="22"/>
          <w:szCs w:val="22"/>
        </w:rPr>
        <w:t>…</w:t>
      </w:r>
    </w:p>
    <w:p w14:paraId="14A4FB9D" w14:textId="77777777" w:rsidR="00F36067" w:rsidRDefault="00F15767">
      <w:pPr>
        <w:ind w:left="709" w:right="709"/>
        <w:jc w:val="both"/>
        <w:rPr>
          <w:color w:val="000000"/>
        </w:rPr>
      </w:pPr>
      <w:r>
        <w:rPr>
          <w:rFonts w:ascii="Palatino Linotype" w:eastAsia="Palatino Linotype" w:hAnsi="Palatino Linotype" w:cs="Palatino Linotype"/>
          <w:b/>
          <w:i/>
          <w:color w:val="000000"/>
          <w:sz w:val="22"/>
          <w:szCs w:val="22"/>
        </w:rPr>
        <w:t>Séptimo.</w:t>
      </w:r>
      <w:r>
        <w:rPr>
          <w:rFonts w:ascii="Palatino Linotype" w:eastAsia="Palatino Linotype" w:hAnsi="Palatino Linotype" w:cs="Palatino Linotype"/>
          <w:i/>
          <w:color w:val="000000"/>
          <w:sz w:val="22"/>
          <w:szCs w:val="22"/>
        </w:rPr>
        <w:t xml:space="preserve"> La clasificación de la información se llevará a cabo en el momento en que:</w:t>
      </w:r>
    </w:p>
    <w:p w14:paraId="18557C3F" w14:textId="77777777" w:rsidR="00F36067" w:rsidRDefault="00F15767">
      <w:pPr>
        <w:ind w:left="709" w:right="709"/>
        <w:jc w:val="both"/>
        <w:rPr>
          <w:color w:val="000000"/>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Se reciba una solicitud de acceso a la información;</w:t>
      </w:r>
    </w:p>
    <w:p w14:paraId="228C37EF" w14:textId="77777777" w:rsidR="00F36067" w:rsidRDefault="00F15767">
      <w:pP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w:t>
      </w:r>
      <w:proofErr w:type="gramStart"/>
      <w:r>
        <w:rPr>
          <w:rFonts w:ascii="Palatino Linotype" w:eastAsia="Palatino Linotype" w:hAnsi="Palatino Linotype" w:cs="Palatino Linotype"/>
          <w:i/>
          <w:color w:val="000000"/>
          <w:sz w:val="22"/>
          <w:szCs w:val="22"/>
        </w:rPr>
        <w:t>Se  determine</w:t>
      </w:r>
      <w:proofErr w:type="gramEnd"/>
      <w:r>
        <w:rPr>
          <w:rFonts w:ascii="Palatino Linotype" w:eastAsia="Palatino Linotype" w:hAnsi="Palatino Linotype" w:cs="Palatino Linotype"/>
          <w:i/>
          <w:color w:val="000000"/>
          <w:sz w:val="22"/>
          <w:szCs w:val="22"/>
        </w:rPr>
        <w:t xml:space="preserve"> mediante resolución del Comité de Transparencia, el órgano garante </w:t>
      </w:r>
    </w:p>
    <w:p w14:paraId="784A8464" w14:textId="77777777" w:rsidR="00F36067" w:rsidRDefault="00F15767">
      <w:pPr>
        <w:ind w:left="709" w:right="709"/>
        <w:jc w:val="both"/>
        <w:rPr>
          <w:color w:val="000000"/>
        </w:rPr>
      </w:pPr>
      <w:r>
        <w:rPr>
          <w:rFonts w:ascii="Palatino Linotype" w:eastAsia="Palatino Linotype" w:hAnsi="Palatino Linotype" w:cs="Palatino Linotype"/>
          <w:i/>
          <w:color w:val="000000"/>
          <w:sz w:val="22"/>
          <w:szCs w:val="22"/>
        </w:rPr>
        <w:t>competente, o en cumplimiento a una sentencia del Poder Judicial; o</w:t>
      </w:r>
    </w:p>
    <w:p w14:paraId="5DC5F5D9" w14:textId="77777777" w:rsidR="00F36067" w:rsidRDefault="00F15767">
      <w:pPr>
        <w:ind w:left="709" w:right="709"/>
        <w:jc w:val="both"/>
        <w:rPr>
          <w:color w:val="000000"/>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0E757A0D" w14:textId="77777777" w:rsidR="00F36067" w:rsidRDefault="00F15767">
      <w:pPr>
        <w:ind w:left="709" w:right="709"/>
        <w:jc w:val="both"/>
        <w:rPr>
          <w:color w:val="000000"/>
        </w:rPr>
      </w:pPr>
      <w:r>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4BD7EDA2" w14:textId="77777777" w:rsidR="00F36067" w:rsidRDefault="00F15767">
      <w:pPr>
        <w:ind w:left="709" w:right="709"/>
        <w:jc w:val="both"/>
        <w:rPr>
          <w:color w:val="000000"/>
        </w:rPr>
      </w:pPr>
      <w:r>
        <w:rPr>
          <w:rFonts w:ascii="Palatino Linotype" w:eastAsia="Palatino Linotype" w:hAnsi="Palatino Linotype" w:cs="Palatino Linotype"/>
          <w:b/>
          <w:i/>
          <w:color w:val="000000"/>
          <w:sz w:val="22"/>
          <w:szCs w:val="22"/>
        </w:rPr>
        <w:lastRenderedPageBreak/>
        <w:t>Octavo.</w:t>
      </w:r>
      <w:r>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5C4406F" w14:textId="77777777" w:rsidR="00F36067" w:rsidRDefault="00F15767">
      <w:pPr>
        <w:ind w:left="709" w:right="709"/>
        <w:jc w:val="both"/>
        <w:rPr>
          <w:color w:val="000000"/>
        </w:rPr>
      </w:pPr>
      <w:r>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44E8C155" w14:textId="77777777" w:rsidR="00F36067" w:rsidRDefault="00F15767">
      <w:pP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04DC002" w14:textId="77777777" w:rsidR="00F36067" w:rsidRDefault="00F15767">
      <w:pPr>
        <w:ind w:left="709" w:right="709"/>
        <w:jc w:val="both"/>
        <w:rPr>
          <w:color w:val="000000"/>
        </w:rPr>
      </w:pPr>
      <w:r>
        <w:rPr>
          <w:rFonts w:ascii="Palatino Linotype" w:eastAsia="Palatino Linotype" w:hAnsi="Palatino Linotype" w:cs="Palatino Linotype"/>
          <w:b/>
          <w:i/>
          <w:color w:val="000000"/>
          <w:sz w:val="22"/>
          <w:szCs w:val="22"/>
        </w:rPr>
        <w:t>Noveno.</w:t>
      </w:r>
      <w:r>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1CBD64F" w14:textId="77777777" w:rsidR="00F36067" w:rsidRDefault="00F15767">
      <w:pPr>
        <w:ind w:left="709" w:right="709"/>
        <w:jc w:val="both"/>
        <w:rPr>
          <w:color w:val="000000"/>
        </w:rPr>
      </w:pPr>
      <w:r>
        <w:rPr>
          <w:rFonts w:ascii="Palatino Linotype" w:eastAsia="Palatino Linotype" w:hAnsi="Palatino Linotype" w:cs="Palatino Linotype"/>
          <w:b/>
          <w:i/>
          <w:color w:val="000000"/>
          <w:sz w:val="22"/>
          <w:szCs w:val="22"/>
        </w:rPr>
        <w:t>Décimo.</w:t>
      </w:r>
      <w:r>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3E95669" w14:textId="77777777" w:rsidR="00F36067" w:rsidRDefault="00F15767">
      <w:pPr>
        <w:ind w:left="709" w:right="709"/>
        <w:jc w:val="both"/>
        <w:rPr>
          <w:color w:val="000000"/>
        </w:rPr>
      </w:pPr>
      <w:r>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59A4DF72" w14:textId="77777777" w:rsidR="00F36067" w:rsidRDefault="00F15767">
      <w:pP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Décimo primero.</w:t>
      </w:r>
      <w:r>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51D086F" w14:textId="77777777" w:rsidR="00F36067" w:rsidRDefault="00F36067">
      <w:pPr>
        <w:ind w:right="709"/>
        <w:jc w:val="both"/>
        <w:rPr>
          <w:color w:val="000000"/>
        </w:rPr>
      </w:pPr>
    </w:p>
    <w:p w14:paraId="65D95301" w14:textId="77777777" w:rsidR="00F36067" w:rsidRDefault="00F15767">
      <w:pPr>
        <w:ind w:left="709" w:right="709"/>
        <w:jc w:val="both"/>
        <w:rPr>
          <w:color w:val="000000"/>
        </w:rPr>
      </w:pPr>
      <w:r>
        <w:rPr>
          <w:rFonts w:ascii="Palatino Linotype" w:eastAsia="Palatino Linotype" w:hAnsi="Palatino Linotype" w:cs="Palatino Linotype"/>
          <w:i/>
          <w:color w:val="000000"/>
          <w:sz w:val="22"/>
          <w:szCs w:val="22"/>
        </w:rPr>
        <w:t>[…]</w:t>
      </w:r>
    </w:p>
    <w:p w14:paraId="5D522E8B" w14:textId="77777777" w:rsidR="00F36067" w:rsidRDefault="00F15767">
      <w:pPr>
        <w:ind w:left="709" w:right="709"/>
        <w:jc w:val="center"/>
        <w:rPr>
          <w:color w:val="000000"/>
        </w:rPr>
      </w:pPr>
      <w:r>
        <w:rPr>
          <w:rFonts w:ascii="Palatino Linotype" w:eastAsia="Palatino Linotype" w:hAnsi="Palatino Linotype" w:cs="Palatino Linotype"/>
          <w:b/>
          <w:i/>
          <w:color w:val="000000"/>
          <w:sz w:val="22"/>
          <w:szCs w:val="22"/>
        </w:rPr>
        <w:t>CAPÍTULO VIII</w:t>
      </w:r>
    </w:p>
    <w:p w14:paraId="34D07AE4" w14:textId="77777777" w:rsidR="00F36067" w:rsidRDefault="00F15767">
      <w:pPr>
        <w:spacing w:after="160"/>
        <w:ind w:left="709" w:right="70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 LOS ELEMENTOS PARA LA CLASIFICACIÓN</w:t>
      </w:r>
    </w:p>
    <w:p w14:paraId="3D0741FD"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w:t>
      </w:r>
      <w:r>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A7B537C"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primero</w:t>
      </w:r>
      <w:r>
        <w:rPr>
          <w:rFonts w:ascii="Palatino Linotype" w:eastAsia="Palatino Linotype" w:hAnsi="Palatino Linotype" w:cs="Palatino Linotype"/>
          <w:i/>
          <w:color w:val="000000"/>
          <w:sz w:val="22"/>
          <w:szCs w:val="22"/>
        </w:rPr>
        <w:t>. Toda acta del Comité de Transparencia deberá contener:</w:t>
      </w:r>
    </w:p>
    <w:p w14:paraId="483EAE50"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 El número de sesión y fecha; </w:t>
      </w:r>
    </w:p>
    <w:p w14:paraId="27B20CFA"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nombre del área que solicitó la clasificación de información;</w:t>
      </w:r>
    </w:p>
    <w:p w14:paraId="74A8AB75"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La fundamentación legal y motivación correspondiente;</w:t>
      </w:r>
    </w:p>
    <w:p w14:paraId="05C6A324"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 resolución o resoluciones aprobadas; y</w:t>
      </w:r>
    </w:p>
    <w:p w14:paraId="306D4477"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La rúbrica o firma digital de cada integrante del Comité de Transparencia. </w:t>
      </w:r>
    </w:p>
    <w:p w14:paraId="6AE85F65"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6FA0A18C"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00625B71"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Descripción de las partes o secciones reservadas, en caso de clasificación parcial;</w:t>
      </w:r>
    </w:p>
    <w:p w14:paraId="585AC0F6"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El periodo por el que mantendrá su clasificación y fecha de expiración; y</w:t>
      </w:r>
    </w:p>
    <w:p w14:paraId="2CA97F14"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7D7CDEBB"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3A799C2D"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6694815"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segundo</w:t>
      </w:r>
      <w:r>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FFF3062"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2BF008E1"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Fijar la fecha en que se elaboró la versión pública y la fecha en la cual el Comité de Transparencia confirmó dicha versión;</w:t>
      </w:r>
    </w:p>
    <w:p w14:paraId="32915B28"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0D62E8F2"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III. Señalar las personas o instancias autorizadas a acceder a la información clasificada.</w:t>
      </w:r>
    </w:p>
    <w:p w14:paraId="268F5678"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63F5092A"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A6D8CB7" w14:textId="77777777" w:rsidR="00F36067" w:rsidRDefault="00F15767">
      <w:pP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7BC1701" w14:textId="77777777" w:rsidR="00F36067" w:rsidRDefault="00F15767">
      <w:pPr>
        <w:spacing w:after="160"/>
        <w:ind w:left="709" w:right="709"/>
        <w:jc w:val="both"/>
      </w:pPr>
      <w:r>
        <w:rPr>
          <w:rFonts w:ascii="Palatino Linotype" w:eastAsia="Palatino Linotype" w:hAnsi="Palatino Linotype" w:cs="Palatino Linotype"/>
          <w:i/>
          <w:color w:val="000000"/>
          <w:sz w:val="22"/>
          <w:szCs w:val="22"/>
        </w:rPr>
        <w:t xml:space="preserve">Quincuagésimo quinto. Cada área del sujeto obligado podrá designar formalmente a una o más personas como responsables del </w:t>
      </w:r>
      <w:proofErr w:type="spellStart"/>
      <w:r>
        <w:rPr>
          <w:rFonts w:ascii="Palatino Linotype" w:eastAsia="Palatino Linotype" w:hAnsi="Palatino Linotype" w:cs="Palatino Linotype"/>
          <w:i/>
          <w:color w:val="000000"/>
          <w:sz w:val="22"/>
          <w:szCs w:val="22"/>
        </w:rPr>
        <w:t>testado</w:t>
      </w:r>
      <w:proofErr w:type="spellEnd"/>
      <w:r>
        <w:rPr>
          <w:rFonts w:ascii="Palatino Linotype" w:eastAsia="Palatino Linotype" w:hAnsi="Palatino Linotype" w:cs="Palatino Linotype"/>
          <w:i/>
          <w:color w:val="000000"/>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t>.</w:t>
      </w:r>
    </w:p>
    <w:p w14:paraId="35CB68FD"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578793C4" w14:textId="77777777" w:rsidR="00F36067" w:rsidRDefault="00F36067">
      <w:pPr>
        <w:shd w:val="clear" w:color="auto" w:fill="FFFFFF"/>
        <w:spacing w:line="360" w:lineRule="auto"/>
        <w:ind w:right="51"/>
        <w:jc w:val="both"/>
        <w:rPr>
          <w:rFonts w:ascii="Palatino Linotype" w:eastAsia="Palatino Linotype" w:hAnsi="Palatino Linotype" w:cs="Palatino Linotype"/>
          <w:color w:val="FF0000"/>
        </w:rPr>
      </w:pPr>
    </w:p>
    <w:p w14:paraId="073CA896" w14:textId="77777777" w:rsidR="00F36067" w:rsidRDefault="00F15767">
      <w:pPr>
        <w:shd w:val="clear" w:color="auto" w:fill="FFFFFF"/>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w:t>
      </w:r>
      <w:r>
        <w:rPr>
          <w:rFonts w:ascii="Palatino Linotype" w:eastAsia="Palatino Linotype" w:hAnsi="Palatino Linotype" w:cs="Palatino Linotype"/>
        </w:rPr>
        <w:lastRenderedPageBreak/>
        <w:t xml:space="preserve">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p>
    <w:p w14:paraId="3D1C48ED" w14:textId="77777777" w:rsidR="00F36067" w:rsidRDefault="00F36067">
      <w:pPr>
        <w:shd w:val="clear" w:color="auto" w:fill="FFFFFF"/>
        <w:spacing w:line="360" w:lineRule="auto"/>
        <w:ind w:right="51"/>
        <w:jc w:val="both"/>
        <w:rPr>
          <w:rFonts w:ascii="Palatino Linotype" w:eastAsia="Palatino Linotype" w:hAnsi="Palatino Linotype" w:cs="Palatino Linotype"/>
        </w:rPr>
      </w:pPr>
    </w:p>
    <w:p w14:paraId="01267C0D"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3C71AAEE" w14:textId="77777777" w:rsidR="00F36067" w:rsidRDefault="00F36067">
      <w:pPr>
        <w:spacing w:line="360" w:lineRule="auto"/>
        <w:jc w:val="both"/>
        <w:rPr>
          <w:rFonts w:ascii="Palatino Linotype" w:eastAsia="Palatino Linotype" w:hAnsi="Palatino Linotype" w:cs="Palatino Linotype"/>
        </w:rPr>
      </w:pPr>
    </w:p>
    <w:p w14:paraId="6FB74CBE" w14:textId="77777777" w:rsidR="00F36067" w:rsidRDefault="00F15767">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60809FC" w14:textId="77777777" w:rsidR="00F36067" w:rsidRDefault="00F15767">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III. R E S U E L V E:</w:t>
      </w:r>
    </w:p>
    <w:p w14:paraId="5D73F737" w14:textId="77777777" w:rsidR="00F36067" w:rsidRDefault="00F15767">
      <w:pPr>
        <w:spacing w:line="360" w:lineRule="auto"/>
        <w:jc w:val="both"/>
        <w:rPr>
          <w:rFonts w:ascii="Palatino Linotype" w:eastAsia="Palatino Linotype" w:hAnsi="Palatino Linotype" w:cs="Palatino Linotype"/>
        </w:rPr>
      </w:pPr>
      <w:bookmarkStart w:id="4" w:name="_heading=h.3dy6vkm" w:colFirst="0" w:colLast="0"/>
      <w:bookmarkEnd w:id="4"/>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w:t>
      </w:r>
      <w:r>
        <w:rPr>
          <w:rFonts w:ascii="Palatino Linotype" w:eastAsia="Palatino Linotype" w:hAnsi="Palatino Linotype" w:cs="Palatino Linotype"/>
          <w:b/>
        </w:rPr>
        <w:t xml:space="preserve"> FUNDADO</w:t>
      </w:r>
      <w:r>
        <w:rPr>
          <w:rFonts w:ascii="Palatino Linotype" w:eastAsia="Palatino Linotype" w:hAnsi="Palatino Linotype" w:cs="Palatino Linotype"/>
        </w:rPr>
        <w:t xml:space="preserve"> el motivo de inconformidad hecho valer por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el Recurso de Revisión </w:t>
      </w:r>
      <w:r>
        <w:rPr>
          <w:rFonts w:ascii="Palatino Linotype" w:eastAsia="Palatino Linotype" w:hAnsi="Palatino Linotype" w:cs="Palatino Linotype"/>
          <w:b/>
        </w:rPr>
        <w:t xml:space="preserve">07169/INFOEM/IP/RR/2024, </w:t>
      </w:r>
      <w:r>
        <w:rPr>
          <w:rFonts w:ascii="Palatino Linotype" w:eastAsia="Palatino Linotype" w:hAnsi="Palatino Linotype" w:cs="Palatino Linotype"/>
        </w:rPr>
        <w:t xml:space="preserve">por lo que, 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esta resolución, se </w:t>
      </w:r>
      <w:r>
        <w:rPr>
          <w:rFonts w:ascii="Palatino Linotype" w:eastAsia="Palatino Linotype" w:hAnsi="Palatino Linotype" w:cs="Palatino Linotype"/>
          <w:b/>
        </w:rPr>
        <w:t xml:space="preserve">REVOCA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44DFDDAF" w14:textId="77777777" w:rsidR="00F36067" w:rsidRDefault="00F36067">
      <w:pPr>
        <w:spacing w:line="360" w:lineRule="auto"/>
        <w:ind w:right="49"/>
        <w:jc w:val="both"/>
        <w:rPr>
          <w:rFonts w:ascii="Palatino Linotype" w:eastAsia="Palatino Linotype" w:hAnsi="Palatino Linotype" w:cs="Palatino Linotype"/>
          <w:b/>
        </w:rPr>
      </w:pPr>
    </w:p>
    <w:p w14:paraId="5B486135" w14:textId="77777777" w:rsidR="00F36067" w:rsidRDefault="00F15767">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SEGUNDO. </w:t>
      </w:r>
      <w:r>
        <w:rPr>
          <w:rFonts w:ascii="Palatino Linotype" w:eastAsia="Palatino Linotype" w:hAnsi="Palatino Linotype" w:cs="Palatino Linotype"/>
        </w:rPr>
        <w:t>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que,</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 Considerandos Cuarto y Quinto, haga entrega vía Sistema de Acceso a la Información Mexiquense (SAIMEX), previa búsqueda exhaustiva y razonable en versión pública de ser procedente, del documento o documentos en donde conste lo siguiente:</w:t>
      </w:r>
    </w:p>
    <w:p w14:paraId="02C617E8" w14:textId="77777777" w:rsidR="00F36067" w:rsidRDefault="00F15767">
      <w:pPr>
        <w:numPr>
          <w:ilvl w:val="0"/>
          <w:numId w:val="1"/>
        </w:numPr>
        <w:pBdr>
          <w:top w:val="nil"/>
          <w:left w:val="nil"/>
          <w:bottom w:val="nil"/>
          <w:right w:val="nil"/>
          <w:between w:val="nil"/>
        </w:pBdr>
        <w:spacing w:before="240" w:after="240" w:line="360" w:lineRule="auto"/>
        <w:ind w:right="49"/>
        <w:jc w:val="both"/>
        <w:rPr>
          <w:color w:val="000000"/>
        </w:rPr>
      </w:pPr>
      <w:bookmarkStart w:id="5" w:name="_heading=h.1t3h5sf" w:colFirst="0" w:colLast="0"/>
      <w:bookmarkEnd w:id="5"/>
      <w:r>
        <w:rPr>
          <w:rFonts w:ascii="Palatino Linotype" w:eastAsia="Palatino Linotype" w:hAnsi="Palatino Linotype" w:cs="Palatino Linotype"/>
          <w:color w:val="000000"/>
        </w:rPr>
        <w:t>Los precios unitarios respecto a la obra "Rehabilitación con Concreto Asfáltico de Avenida Parque de los Ciervos en el acceso al Parque de los Ciervos", al veintiuno de octubre del año dos mil veinticuatro.</w:t>
      </w:r>
    </w:p>
    <w:p w14:paraId="048FD71B" w14:textId="77777777" w:rsidR="00F36067" w:rsidRDefault="00F15767">
      <w:pPr>
        <w:spacing w:after="120"/>
        <w:ind w:left="360" w:right="4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ser procedente, 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1D3BE6A7" w14:textId="77777777" w:rsidR="00F36067" w:rsidRDefault="00F36067">
      <w:pPr>
        <w:spacing w:line="360" w:lineRule="auto"/>
        <w:ind w:right="-93"/>
        <w:jc w:val="both"/>
        <w:rPr>
          <w:rFonts w:ascii="Palatino Linotype" w:eastAsia="Palatino Linotype" w:hAnsi="Palatino Linotype" w:cs="Palatino Linotype"/>
          <w:b/>
          <w:color w:val="FF0000"/>
        </w:rPr>
      </w:pPr>
    </w:p>
    <w:p w14:paraId="1E0C55D9" w14:textId="77777777" w:rsidR="00F36067" w:rsidRDefault="00F15767">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vía SAIMEX </w:t>
      </w:r>
      <w:r>
        <w:rPr>
          <w:rFonts w:ascii="Palatino Linotype" w:eastAsia="Palatino Linotype" w:hAnsi="Palatino Linotype" w:cs="Palatino Linotype"/>
        </w:rPr>
        <w:t>la presente resolución al T</w:t>
      </w:r>
      <w:r>
        <w:rPr>
          <w:rFonts w:ascii="Palatino Linotype" w:eastAsia="Palatino Linotype" w:hAnsi="Palatino Linotype" w:cs="Palatino Linotype"/>
          <w:b/>
        </w:rPr>
        <w:t xml:space="preserve">itular de la Unidad de Transparencia </w:t>
      </w:r>
      <w:r>
        <w:rPr>
          <w:rFonts w:ascii="Palatino Linotype" w:eastAsia="Palatino Linotype" w:hAnsi="Palatino Linotype" w:cs="Palatino Linotype"/>
        </w:rPr>
        <w:t xml:space="preserve">del </w:t>
      </w:r>
      <w:r>
        <w:rPr>
          <w:rFonts w:ascii="Palatino Linotype" w:eastAsia="Palatino Linotype" w:hAnsi="Palatino Linotype" w:cs="Palatino Linotype"/>
          <w:b/>
        </w:rPr>
        <w:t>SUJETO OBLIGADO</w:t>
      </w:r>
      <w:r>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A463179" w14:textId="77777777" w:rsidR="00F36067" w:rsidRDefault="00F36067">
      <w:pPr>
        <w:spacing w:line="360" w:lineRule="auto"/>
        <w:ind w:right="-93"/>
        <w:jc w:val="both"/>
        <w:rPr>
          <w:rFonts w:ascii="Palatino Linotype" w:eastAsia="Palatino Linotype" w:hAnsi="Palatino Linotype" w:cs="Palatino Linotype"/>
        </w:rPr>
      </w:pPr>
    </w:p>
    <w:p w14:paraId="51E4C3AA" w14:textId="77777777" w:rsidR="00F36067" w:rsidRDefault="00F1576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503324AD" w14:textId="77777777" w:rsidR="00F36067" w:rsidRDefault="00F36067">
      <w:pPr>
        <w:spacing w:line="360" w:lineRule="auto"/>
        <w:jc w:val="both"/>
        <w:rPr>
          <w:rFonts w:ascii="Palatino Linotype" w:eastAsia="Palatino Linotype" w:hAnsi="Palatino Linotype" w:cs="Palatino Linotype"/>
          <w:b/>
        </w:rPr>
      </w:pPr>
    </w:p>
    <w:p w14:paraId="5512EB78" w14:textId="77777777" w:rsidR="00F36067" w:rsidRDefault="00F15767">
      <w:pPr>
        <w:spacing w:line="360" w:lineRule="auto"/>
        <w:ind w:right="49"/>
        <w:jc w:val="both"/>
        <w:rPr>
          <w:rFonts w:ascii="Palatino Linotype" w:eastAsia="Palatino Linotype" w:hAnsi="Palatino Linotype" w:cs="Palatino Linotype"/>
        </w:rPr>
      </w:pPr>
      <w:bookmarkStart w:id="6" w:name="_heading=h.2et92p0" w:colFirst="0" w:colLast="0"/>
      <w:bookmarkEnd w:id="6"/>
      <w:r>
        <w:rPr>
          <w:rFonts w:ascii="Palatino Linotype" w:eastAsia="Palatino Linotype" w:hAnsi="Palatino Linotype" w:cs="Palatino Linotype"/>
          <w:b/>
        </w:rPr>
        <w:t xml:space="preserve">QUINTO. </w:t>
      </w:r>
      <w:r>
        <w:rPr>
          <w:rFonts w:ascii="Palatino Linotype" w:eastAsia="Palatino Linotype" w:hAnsi="Palatino Linotype" w:cs="Palatino Linotype"/>
          <w:b/>
          <w:highlight w:val="white"/>
        </w:rPr>
        <w:t>Notifíquese vía 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1E046A4" w14:textId="77777777" w:rsidR="00F36067" w:rsidRDefault="00F15767">
      <w:pPr>
        <w:spacing w:before="240" w:after="240" w:line="360" w:lineRule="auto"/>
        <w:jc w:val="both"/>
        <w:rPr>
          <w:rFonts w:ascii="Palatino Linotype" w:eastAsia="Palatino Linotype" w:hAnsi="Palatino Linotype" w:cs="Palatino Linotype"/>
        </w:rPr>
      </w:pPr>
      <w:bookmarkStart w:id="7" w:name="_heading=h.1fob9te" w:colFirst="0" w:colLast="0"/>
      <w:bookmarkEnd w:id="7"/>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DE DICIEMBRE DE DOS MIL VEINTICUATRO, ANTE EL SECRETARIO TÉCNICO DEL PLENO ALEXIS TAPIA RAMÍREZ.</w:t>
      </w:r>
    </w:p>
    <w:p w14:paraId="2402D892" w14:textId="77777777" w:rsidR="00F36067" w:rsidRDefault="00F36067">
      <w:pPr>
        <w:spacing w:before="240" w:after="240" w:line="360" w:lineRule="auto"/>
        <w:jc w:val="both"/>
        <w:rPr>
          <w:rFonts w:ascii="Palatino Linotype" w:eastAsia="Palatino Linotype" w:hAnsi="Palatino Linotype" w:cs="Palatino Linotype"/>
        </w:rPr>
      </w:pPr>
      <w:bookmarkStart w:id="8" w:name="_heading=h.c0w6zasw73l2" w:colFirst="0" w:colLast="0"/>
      <w:bookmarkEnd w:id="8"/>
    </w:p>
    <w:p w14:paraId="1C3B2E76" w14:textId="77777777" w:rsidR="00F36067" w:rsidRDefault="00F36067">
      <w:pPr>
        <w:spacing w:before="240" w:after="240" w:line="360" w:lineRule="auto"/>
        <w:jc w:val="both"/>
        <w:rPr>
          <w:rFonts w:ascii="Palatino Linotype" w:eastAsia="Palatino Linotype" w:hAnsi="Palatino Linotype" w:cs="Palatino Linotype"/>
        </w:rPr>
      </w:pPr>
      <w:bookmarkStart w:id="9" w:name="_heading=h.nfa9qn9naoc" w:colFirst="0" w:colLast="0"/>
      <w:bookmarkEnd w:id="9"/>
    </w:p>
    <w:p w14:paraId="25721B0B" w14:textId="77777777" w:rsidR="00F36067" w:rsidRDefault="00F36067">
      <w:pPr>
        <w:spacing w:before="240" w:after="240" w:line="360" w:lineRule="auto"/>
        <w:jc w:val="both"/>
        <w:rPr>
          <w:rFonts w:ascii="Palatino Linotype" w:eastAsia="Palatino Linotype" w:hAnsi="Palatino Linotype" w:cs="Palatino Linotype"/>
        </w:rPr>
      </w:pPr>
      <w:bookmarkStart w:id="10" w:name="_heading=h.x9ck4bamtoxw" w:colFirst="0" w:colLast="0"/>
      <w:bookmarkEnd w:id="10"/>
    </w:p>
    <w:p w14:paraId="258434FD" w14:textId="77777777" w:rsidR="00F36067" w:rsidRDefault="00F36067">
      <w:pPr>
        <w:spacing w:before="240" w:after="240" w:line="360" w:lineRule="auto"/>
        <w:jc w:val="both"/>
        <w:rPr>
          <w:rFonts w:ascii="Palatino Linotype" w:eastAsia="Palatino Linotype" w:hAnsi="Palatino Linotype" w:cs="Palatino Linotype"/>
        </w:rPr>
      </w:pPr>
      <w:bookmarkStart w:id="11" w:name="_heading=h.ryysjsxek21o" w:colFirst="0" w:colLast="0"/>
      <w:bookmarkEnd w:id="11"/>
    </w:p>
    <w:p w14:paraId="5BF18608" w14:textId="77777777" w:rsidR="00F36067" w:rsidRDefault="00F36067">
      <w:pPr>
        <w:spacing w:before="240" w:after="240" w:line="360" w:lineRule="auto"/>
        <w:jc w:val="both"/>
        <w:rPr>
          <w:rFonts w:ascii="Palatino Linotype" w:eastAsia="Palatino Linotype" w:hAnsi="Palatino Linotype" w:cs="Palatino Linotype"/>
        </w:rPr>
      </w:pPr>
      <w:bookmarkStart w:id="12" w:name="_heading=h.h2kd8rimn67z" w:colFirst="0" w:colLast="0"/>
      <w:bookmarkEnd w:id="12"/>
    </w:p>
    <w:sectPr w:rsidR="00F36067">
      <w:headerReference w:type="default" r:id="rId22"/>
      <w:footerReference w:type="default" r:id="rId23"/>
      <w:headerReference w:type="first" r:id="rId24"/>
      <w:footerReference w:type="first" r:id="rId2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D129" w14:textId="77777777" w:rsidR="00F15767" w:rsidRDefault="00F15767">
      <w:r>
        <w:separator/>
      </w:r>
    </w:p>
  </w:endnote>
  <w:endnote w:type="continuationSeparator" w:id="0">
    <w:p w14:paraId="54AC6254" w14:textId="77777777" w:rsidR="00F15767" w:rsidRDefault="00F1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9A25" w14:textId="77777777" w:rsidR="00F36067" w:rsidRDefault="00F1576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11F72">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11F72">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77CE5494" w14:textId="77777777" w:rsidR="00F36067" w:rsidRDefault="00F3606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46E0" w14:textId="77777777" w:rsidR="00F36067" w:rsidRDefault="00F1576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11F7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11F72">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3969E1D5" w14:textId="77777777" w:rsidR="00F36067" w:rsidRDefault="00F3606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F26B" w14:textId="77777777" w:rsidR="00F15767" w:rsidRDefault="00F15767">
      <w:r>
        <w:separator/>
      </w:r>
    </w:p>
  </w:footnote>
  <w:footnote w:type="continuationSeparator" w:id="0">
    <w:p w14:paraId="0CCC18C8" w14:textId="77777777" w:rsidR="00F15767" w:rsidRDefault="00F15767">
      <w:r>
        <w:continuationSeparator/>
      </w:r>
    </w:p>
  </w:footnote>
  <w:footnote w:id="1">
    <w:p w14:paraId="525B31EC" w14:textId="77777777" w:rsidR="00F36067" w:rsidRDefault="00F1576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0F9708B3" w14:textId="77777777" w:rsidR="00F36067" w:rsidRDefault="00F1576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3C18" w14:textId="77777777" w:rsidR="00F36067" w:rsidRDefault="00F1576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B1B4CC7" wp14:editId="015D2572">
          <wp:simplePos x="0" y="0"/>
          <wp:positionH relativeFrom="column">
            <wp:posOffset>-1080127</wp:posOffset>
          </wp:positionH>
          <wp:positionV relativeFrom="paragraph">
            <wp:posOffset>-488307</wp:posOffset>
          </wp:positionV>
          <wp:extent cx="7809865" cy="10165715"/>
          <wp:effectExtent l="0" t="0" r="0" b="0"/>
          <wp:wrapNone/>
          <wp:docPr id="2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5953" w:type="dxa"/>
      <w:tblInd w:w="3261" w:type="dxa"/>
      <w:tblLayout w:type="fixed"/>
      <w:tblLook w:val="0400" w:firstRow="0" w:lastRow="0" w:firstColumn="0" w:lastColumn="0" w:noHBand="0" w:noVBand="1"/>
    </w:tblPr>
    <w:tblGrid>
      <w:gridCol w:w="2489"/>
      <w:gridCol w:w="3464"/>
    </w:tblGrid>
    <w:tr w:rsidR="00F36067" w14:paraId="2A29AE01" w14:textId="77777777">
      <w:tc>
        <w:tcPr>
          <w:tcW w:w="2489" w:type="dxa"/>
          <w:shd w:val="clear" w:color="auto" w:fill="auto"/>
        </w:tcPr>
        <w:p w14:paraId="563D12CC" w14:textId="77777777" w:rsidR="00F36067" w:rsidRDefault="00F157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0071127" w14:textId="77777777" w:rsidR="00F36067" w:rsidRDefault="00F1576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07169/INFOEM/IP/RR/2024</w:t>
          </w:r>
        </w:p>
      </w:tc>
    </w:tr>
    <w:tr w:rsidR="00F36067" w14:paraId="5AF46A7E" w14:textId="77777777">
      <w:trPr>
        <w:trHeight w:val="228"/>
      </w:trPr>
      <w:tc>
        <w:tcPr>
          <w:tcW w:w="2489" w:type="dxa"/>
          <w:shd w:val="clear" w:color="auto" w:fill="auto"/>
          <w:vAlign w:val="center"/>
        </w:tcPr>
        <w:p w14:paraId="1C0535FB" w14:textId="77777777" w:rsidR="00F36067" w:rsidRDefault="00F157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EF4A897" w14:textId="77777777" w:rsidR="00F36067" w:rsidRDefault="00F15767">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 de Zaragoza.</w:t>
          </w:r>
        </w:p>
      </w:tc>
    </w:tr>
    <w:tr w:rsidR="00F36067" w14:paraId="0A7BA7BD" w14:textId="77777777">
      <w:tc>
        <w:tcPr>
          <w:tcW w:w="2489" w:type="dxa"/>
          <w:shd w:val="clear" w:color="auto" w:fill="auto"/>
          <w:vAlign w:val="center"/>
        </w:tcPr>
        <w:p w14:paraId="6DA6421B" w14:textId="77777777" w:rsidR="00F36067" w:rsidRDefault="00F1576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E42F9F3" w14:textId="77777777" w:rsidR="00F36067" w:rsidRDefault="00F1576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4DEA393" w14:textId="77777777" w:rsidR="00F36067" w:rsidRDefault="00F1576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587E" w14:textId="77777777" w:rsidR="00F36067" w:rsidRDefault="00F3606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f2"/>
      <w:tblW w:w="5670" w:type="dxa"/>
      <w:tblInd w:w="3261" w:type="dxa"/>
      <w:tblLayout w:type="fixed"/>
      <w:tblLook w:val="0400" w:firstRow="0" w:lastRow="0" w:firstColumn="0" w:lastColumn="0" w:noHBand="0" w:noVBand="1"/>
    </w:tblPr>
    <w:tblGrid>
      <w:gridCol w:w="2551"/>
      <w:gridCol w:w="3119"/>
    </w:tblGrid>
    <w:tr w:rsidR="00F36067" w14:paraId="42A2DA6F" w14:textId="77777777">
      <w:tc>
        <w:tcPr>
          <w:tcW w:w="2551" w:type="dxa"/>
          <w:shd w:val="clear" w:color="auto" w:fill="auto"/>
          <w:vAlign w:val="center"/>
        </w:tcPr>
        <w:p w14:paraId="3B07A873" w14:textId="77777777" w:rsidR="00F36067" w:rsidRDefault="00F157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FD612FA" w14:textId="77777777" w:rsidR="00F36067" w:rsidRDefault="00F1576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07169/INFOEM/IP/RR/2024</w:t>
          </w:r>
        </w:p>
      </w:tc>
    </w:tr>
    <w:tr w:rsidR="00F36067" w14:paraId="79959870" w14:textId="77777777">
      <w:trPr>
        <w:trHeight w:val="130"/>
      </w:trPr>
      <w:tc>
        <w:tcPr>
          <w:tcW w:w="2551" w:type="dxa"/>
          <w:shd w:val="clear" w:color="auto" w:fill="auto"/>
          <w:vAlign w:val="center"/>
        </w:tcPr>
        <w:p w14:paraId="7CA2B773" w14:textId="77777777" w:rsidR="00F36067" w:rsidRDefault="00F157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964C2E6" w14:textId="04107F1B" w:rsidR="00F36067" w:rsidRDefault="00F15767">
          <w:pPr>
            <w:tabs>
              <w:tab w:val="left" w:pos="3153"/>
            </w:tabs>
            <w:ind w:left="-45"/>
            <w:jc w:val="both"/>
            <w:rPr>
              <w:rFonts w:ascii="Palatino Linotype" w:eastAsia="Palatino Linotype" w:hAnsi="Palatino Linotype" w:cs="Palatino Linotype"/>
              <w:b/>
              <w:sz w:val="22"/>
              <w:szCs w:val="22"/>
            </w:rPr>
          </w:pPr>
          <w:r>
            <w:rPr>
              <w:noProof/>
            </w:rPr>
            <w:drawing>
              <wp:anchor distT="0" distB="0" distL="0" distR="0" simplePos="0" relativeHeight="251659264" behindDoc="1" locked="0" layoutInCell="1" hidden="0" allowOverlap="1" wp14:anchorId="6D722DE6" wp14:editId="5057C631">
                <wp:simplePos x="0" y="0"/>
                <wp:positionH relativeFrom="column">
                  <wp:posOffset>-4629143</wp:posOffset>
                </wp:positionH>
                <wp:positionV relativeFrom="paragraph">
                  <wp:posOffset>-407660</wp:posOffset>
                </wp:positionV>
                <wp:extent cx="7809865" cy="10165715"/>
                <wp:effectExtent l="0" t="0" r="0" b="0"/>
                <wp:wrapNone/>
                <wp:docPr id="2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r w:rsidR="001F7B89">
            <w:rPr>
              <w:rFonts w:ascii="Palatino Linotype" w:eastAsia="Palatino Linotype" w:hAnsi="Palatino Linotype" w:cs="Palatino Linotype"/>
              <w:b/>
              <w:sz w:val="22"/>
              <w:szCs w:val="22"/>
            </w:rPr>
            <w:t>XXXXXX XXXXXXXXXXX XXXXX</w:t>
          </w:r>
        </w:p>
      </w:tc>
    </w:tr>
    <w:tr w:rsidR="00F36067" w14:paraId="5A90D282" w14:textId="77777777">
      <w:trPr>
        <w:trHeight w:val="228"/>
      </w:trPr>
      <w:tc>
        <w:tcPr>
          <w:tcW w:w="2551" w:type="dxa"/>
          <w:shd w:val="clear" w:color="auto" w:fill="auto"/>
          <w:vAlign w:val="center"/>
        </w:tcPr>
        <w:p w14:paraId="7B060B4D" w14:textId="77777777" w:rsidR="00F36067" w:rsidRDefault="00F157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1EC8AAD" w14:textId="77777777" w:rsidR="00F36067" w:rsidRDefault="00F1576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 de Zaragoza.</w:t>
          </w:r>
        </w:p>
      </w:tc>
    </w:tr>
    <w:tr w:rsidR="00F36067" w14:paraId="099E8B06" w14:textId="77777777">
      <w:tc>
        <w:tcPr>
          <w:tcW w:w="2551" w:type="dxa"/>
          <w:shd w:val="clear" w:color="auto" w:fill="auto"/>
          <w:vAlign w:val="center"/>
        </w:tcPr>
        <w:p w14:paraId="00E89FE5" w14:textId="77777777" w:rsidR="00F36067" w:rsidRDefault="00F157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74ABF6C" w14:textId="77777777" w:rsidR="00F36067" w:rsidRDefault="00F1576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2481CB4" w14:textId="77777777" w:rsidR="00F36067" w:rsidRDefault="00F36067">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C99"/>
    <w:multiLevelType w:val="multilevel"/>
    <w:tmpl w:val="45BE17CC"/>
    <w:lvl w:ilvl="0">
      <w:start w:val="1"/>
      <w:numFmt w:val="lowerLetter"/>
      <w:lvlText w:val="%1)"/>
      <w:lvlJc w:val="left"/>
      <w:pPr>
        <w:ind w:left="1974" w:hanging="84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3B41729B"/>
    <w:multiLevelType w:val="multilevel"/>
    <w:tmpl w:val="DE2035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2939B7"/>
    <w:multiLevelType w:val="multilevel"/>
    <w:tmpl w:val="CB46F13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E56C8F"/>
    <w:multiLevelType w:val="multilevel"/>
    <w:tmpl w:val="0576C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67"/>
    <w:rsid w:val="001F7B89"/>
    <w:rsid w:val="00E11F72"/>
    <w:rsid w:val="00F15767"/>
    <w:rsid w:val="00F36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F2D6"/>
  <w15:docId w15:val="{1901160A-0A13-4FCE-9FB2-76875CAD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55B"/>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customStyle="1" w:styleId="Citas">
    <w:name w:val="Citas"/>
    <w:basedOn w:val="Normal"/>
    <w:qFormat/>
    <w:rsid w:val="0080344A"/>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54968.page" TargetMode="External"/><Relationship Id="rId13" Type="http://schemas.openxmlformats.org/officeDocument/2006/relationships/hyperlink" Target="https://infoem2.ipomex.org.mx/ipome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saimex.org.mx/saimex/solicitud/downloadAttach/2291116.page"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91115.pag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foem2.ipomex.org.mx/ipomex/" TargetMode="External"/><Relationship Id="rId23" Type="http://schemas.openxmlformats.org/officeDocument/2006/relationships/footer" Target="footer1.xml"/><Relationship Id="rId10" Type="http://schemas.openxmlformats.org/officeDocument/2006/relationships/hyperlink" Target="https://saimex.org.mx/saimex/solicitud/downloadAttach/2278202.page" TargetMode="Externa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bcs9mIuqYy6N06u+NtLSgZuJw==">CgMxLjAyCGguZ2pkZ3hzMgloLjN6bnlzaDcyCWguMzBqMHpsbDIIaC50eWpjd3QyCWguM2R5NnZrbTIJaC4xdDNoNXNmMgloLjJldDkycDAyCWguMWZvYjl0ZTIOaC5jMHc2emFzdzczbDIyDWgubmZhOXFuOW5hb2MyDmgueDljazRiYW10b3h3Mg5oLnJ5eXNqc3hlazIxbzIOaC5oMmtkOHJpbW42N3o4AHIhMWR2QlAyWjljT241b1kyWDFXVzA1emZ1MFYzT2FlTlk4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11055</Words>
  <Characters>60808</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2024-12-06T19:29:00Z</cp:lastPrinted>
  <dcterms:created xsi:type="dcterms:W3CDTF">2025-01-15T18:27:00Z</dcterms:created>
  <dcterms:modified xsi:type="dcterms:W3CDTF">2025-01-15T18:27:00Z</dcterms:modified>
</cp:coreProperties>
</file>