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6B46" w14:textId="77777777" w:rsidR="00CA5363" w:rsidRPr="00CB5852" w:rsidRDefault="00CA5363">
      <w:pPr>
        <w:widowControl w:val="0"/>
        <w:pBdr>
          <w:top w:val="nil"/>
          <w:left w:val="nil"/>
          <w:bottom w:val="nil"/>
          <w:right w:val="nil"/>
          <w:between w:val="nil"/>
        </w:pBdr>
        <w:spacing w:line="276" w:lineRule="auto"/>
      </w:pPr>
    </w:p>
    <w:p w14:paraId="3B916B47" w14:textId="77777777" w:rsidR="00CA5363" w:rsidRPr="00CB5852" w:rsidRDefault="00E6107E">
      <w:pPr>
        <w:tabs>
          <w:tab w:val="left" w:pos="3465"/>
        </w:tabs>
        <w:spacing w:line="360" w:lineRule="auto"/>
        <w:jc w:val="both"/>
        <w:rPr>
          <w:rFonts w:ascii="Palatino Linotype" w:eastAsia="Palatino Linotype" w:hAnsi="Palatino Linotype" w:cs="Palatino Linotype"/>
        </w:rPr>
      </w:pPr>
      <w:r w:rsidRPr="00CB585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w:t>
      </w:r>
      <w:r w:rsidR="00CB5852">
        <w:rPr>
          <w:rFonts w:ascii="Palatino Linotype" w:eastAsia="Palatino Linotype" w:hAnsi="Palatino Linotype" w:cs="Palatino Linotype"/>
        </w:rPr>
        <w:t xml:space="preserve"> fecha</w:t>
      </w:r>
      <w:r w:rsidRPr="00CB5852">
        <w:rPr>
          <w:rFonts w:ascii="Palatino Linotype" w:eastAsia="Palatino Linotype" w:hAnsi="Palatino Linotype" w:cs="Palatino Linotype"/>
        </w:rPr>
        <w:t xml:space="preserve"> trece (13) de marzo de dos mil veinticuatro.</w:t>
      </w:r>
    </w:p>
    <w:p w14:paraId="3B916B48" w14:textId="77777777" w:rsidR="00CA5363" w:rsidRPr="00CB5852" w:rsidRDefault="00CA5363">
      <w:pPr>
        <w:tabs>
          <w:tab w:val="left" w:pos="3465"/>
        </w:tabs>
        <w:spacing w:line="360" w:lineRule="auto"/>
        <w:jc w:val="both"/>
        <w:rPr>
          <w:rFonts w:ascii="Palatino Linotype" w:eastAsia="Palatino Linotype" w:hAnsi="Palatino Linotype" w:cs="Palatino Linotype"/>
        </w:rPr>
      </w:pPr>
    </w:p>
    <w:p w14:paraId="3B916B49" w14:textId="77777777" w:rsidR="00CA5363" w:rsidRPr="00CB5852" w:rsidRDefault="00E6107E">
      <w:pPr>
        <w:spacing w:line="360" w:lineRule="auto"/>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b/>
        </w:rPr>
        <w:t>VISTO</w:t>
      </w:r>
      <w:r w:rsidRPr="00CB5852">
        <w:rPr>
          <w:rFonts w:ascii="Palatino Linotype" w:eastAsia="Palatino Linotype" w:hAnsi="Palatino Linotype" w:cs="Palatino Linotype"/>
        </w:rPr>
        <w:t xml:space="preserve"> el expediente electrónico formado con motivo del recurso de revisión </w:t>
      </w:r>
      <w:r w:rsidR="00CB5852">
        <w:rPr>
          <w:rFonts w:ascii="Palatino Linotype" w:eastAsia="Palatino Linotype" w:hAnsi="Palatino Linotype" w:cs="Palatino Linotype"/>
          <w:b/>
        </w:rPr>
        <w:t>07568/INFOEM/IP/RR/2023,</w:t>
      </w:r>
      <w:r w:rsidRPr="00CB5852">
        <w:rPr>
          <w:rFonts w:ascii="Palatino Linotype" w:eastAsia="Palatino Linotype" w:hAnsi="Palatino Linotype" w:cs="Palatino Linotype"/>
          <w:b/>
        </w:rPr>
        <w:t xml:space="preserve"> </w:t>
      </w:r>
      <w:r w:rsidRPr="00CB5852">
        <w:rPr>
          <w:rFonts w:ascii="Palatino Linotype" w:eastAsia="Palatino Linotype" w:hAnsi="Palatino Linotype" w:cs="Palatino Linotype"/>
          <w:color w:val="000000"/>
        </w:rPr>
        <w:t xml:space="preserve">interpuesto una o </w:t>
      </w:r>
      <w:r w:rsidRPr="00CB5852">
        <w:rPr>
          <w:rFonts w:ascii="Palatino Linotype" w:eastAsia="Palatino Linotype" w:hAnsi="Palatino Linotype" w:cs="Palatino Linotype"/>
          <w:b/>
          <w:color w:val="000000"/>
        </w:rPr>
        <w:t>un usuario del Sistema de Acceso a la Información Mexiquense (SAIMEX)</w:t>
      </w:r>
      <w:r w:rsidR="00CB5852">
        <w:rPr>
          <w:rFonts w:ascii="Palatino Linotype" w:eastAsia="Palatino Linotype" w:hAnsi="Palatino Linotype" w:cs="Palatino Linotype"/>
          <w:color w:val="000000"/>
        </w:rPr>
        <w:t xml:space="preserve">, quien no señaló </w:t>
      </w:r>
      <w:r w:rsidRPr="00CB5852">
        <w:rPr>
          <w:rFonts w:ascii="Palatino Linotype" w:eastAsia="Palatino Linotype" w:hAnsi="Palatino Linotype" w:cs="Palatino Linotype"/>
          <w:color w:val="000000"/>
        </w:rPr>
        <w:t>nombre</w:t>
      </w:r>
      <w:r w:rsidR="00CB5852">
        <w:rPr>
          <w:rFonts w:ascii="Palatino Linotype" w:eastAsia="Palatino Linotype" w:hAnsi="Palatino Linotype" w:cs="Palatino Linotype"/>
          <w:color w:val="000000"/>
        </w:rPr>
        <w:t xml:space="preserve"> alguno</w:t>
      </w:r>
      <w:r w:rsidRPr="00CB5852">
        <w:rPr>
          <w:rFonts w:ascii="Palatino Linotype" w:eastAsia="Palatino Linotype" w:hAnsi="Palatino Linotype" w:cs="Palatino Linotype"/>
          <w:color w:val="000000"/>
        </w:rPr>
        <w:t xml:space="preserve">, seudónimo o carácter para ser identificado, por lo que en lo sucesivo será denominado </w:t>
      </w:r>
      <w:proofErr w:type="gramStart"/>
      <w:r w:rsidRPr="00CB5852">
        <w:rPr>
          <w:rFonts w:ascii="Palatino Linotype" w:eastAsia="Palatino Linotype" w:hAnsi="Palatino Linotype" w:cs="Palatino Linotype"/>
          <w:color w:val="000000"/>
        </w:rPr>
        <w:t xml:space="preserve">como  </w:t>
      </w:r>
      <w:r w:rsidRPr="00CB5852">
        <w:rPr>
          <w:rFonts w:ascii="Palatino Linotype" w:eastAsia="Palatino Linotype" w:hAnsi="Palatino Linotype" w:cs="Palatino Linotype"/>
          <w:b/>
          <w:color w:val="000000"/>
        </w:rPr>
        <w:t>EL</w:t>
      </w:r>
      <w:proofErr w:type="gramEnd"/>
      <w:r w:rsidRPr="00CB5852">
        <w:rPr>
          <w:rFonts w:ascii="Palatino Linotype" w:eastAsia="Palatino Linotype" w:hAnsi="Palatino Linotype" w:cs="Palatino Linotype"/>
          <w:color w:val="000000"/>
        </w:rPr>
        <w:t xml:space="preserve"> </w:t>
      </w:r>
      <w:r w:rsidRPr="00CB5852">
        <w:rPr>
          <w:rFonts w:ascii="Palatino Linotype" w:eastAsia="Palatino Linotype" w:hAnsi="Palatino Linotype" w:cs="Palatino Linotype"/>
          <w:b/>
          <w:color w:val="000000"/>
        </w:rPr>
        <w:t>RECURRENTE</w:t>
      </w:r>
      <w:r w:rsidR="00CB5852">
        <w:rPr>
          <w:rFonts w:ascii="Palatino Linotype" w:eastAsia="Palatino Linotype" w:hAnsi="Palatino Linotype" w:cs="Palatino Linotype"/>
          <w:color w:val="000000"/>
        </w:rPr>
        <w:t>,</w:t>
      </w:r>
      <w:r w:rsidRPr="00CB5852">
        <w:rPr>
          <w:rFonts w:ascii="Palatino Linotype" w:eastAsia="Palatino Linotype" w:hAnsi="Palatino Linotype" w:cs="Palatino Linotype"/>
          <w:color w:val="000000"/>
        </w:rPr>
        <w:t xml:space="preserve"> en contra de la respuesta del </w:t>
      </w:r>
      <w:r w:rsidRPr="00CB5852">
        <w:rPr>
          <w:rFonts w:ascii="Palatino Linotype" w:eastAsia="Palatino Linotype" w:hAnsi="Palatino Linotype" w:cs="Palatino Linotype"/>
          <w:b/>
          <w:color w:val="000000"/>
        </w:rPr>
        <w:t>Ayuntamiento de Atizapán</w:t>
      </w:r>
      <w:r w:rsidR="00CB5852">
        <w:rPr>
          <w:rFonts w:ascii="Palatino Linotype" w:eastAsia="Palatino Linotype" w:hAnsi="Palatino Linotype" w:cs="Palatino Linotype"/>
          <w:color w:val="000000"/>
        </w:rPr>
        <w:t>, en adelante</w:t>
      </w:r>
      <w:r w:rsidRPr="00CB5852">
        <w:rPr>
          <w:rFonts w:ascii="Palatino Linotype" w:eastAsia="Palatino Linotype" w:hAnsi="Palatino Linotype" w:cs="Palatino Linotype"/>
          <w:color w:val="000000"/>
        </w:rPr>
        <w:t xml:space="preserve"> el</w:t>
      </w:r>
      <w:r w:rsidRPr="00CB5852">
        <w:rPr>
          <w:rFonts w:ascii="Palatino Linotype" w:eastAsia="Palatino Linotype" w:hAnsi="Palatino Linotype" w:cs="Palatino Linotype"/>
          <w:b/>
          <w:color w:val="000000"/>
        </w:rPr>
        <w:t xml:space="preserve"> SUJETO OBLIGADO, </w:t>
      </w:r>
      <w:r w:rsidRPr="00CB5852">
        <w:rPr>
          <w:rFonts w:ascii="Palatino Linotype" w:eastAsia="Palatino Linotype" w:hAnsi="Palatino Linotype" w:cs="Palatino Linotype"/>
          <w:color w:val="000000"/>
        </w:rPr>
        <w:t>se procede a dictar la presente resolución, con base en los siguientes:</w:t>
      </w:r>
    </w:p>
    <w:p w14:paraId="3B916B4A" w14:textId="77777777" w:rsidR="00CA5363" w:rsidRPr="00CB5852" w:rsidRDefault="00CA5363">
      <w:pPr>
        <w:spacing w:line="360" w:lineRule="auto"/>
        <w:jc w:val="both"/>
        <w:rPr>
          <w:rFonts w:ascii="Palatino Linotype" w:eastAsia="Palatino Linotype" w:hAnsi="Palatino Linotype" w:cs="Palatino Linotype"/>
          <w:color w:val="000000"/>
        </w:rPr>
      </w:pPr>
    </w:p>
    <w:p w14:paraId="3B916B4B" w14:textId="77777777" w:rsidR="00CA5363" w:rsidRPr="00CB5852" w:rsidRDefault="00E6107E">
      <w:pPr>
        <w:pStyle w:val="Ttulo1"/>
        <w:spacing w:before="0" w:line="360" w:lineRule="auto"/>
        <w:jc w:val="center"/>
        <w:rPr>
          <w:b/>
          <w:szCs w:val="24"/>
        </w:rPr>
      </w:pPr>
      <w:bookmarkStart w:id="0" w:name="_heading=h.gjdgxs" w:colFirst="0" w:colLast="0"/>
      <w:bookmarkEnd w:id="0"/>
      <w:r w:rsidRPr="00CB5852">
        <w:rPr>
          <w:b/>
          <w:szCs w:val="24"/>
        </w:rPr>
        <w:t>A N T E C E D E N T E S</w:t>
      </w:r>
    </w:p>
    <w:p w14:paraId="3B916B4C" w14:textId="77777777" w:rsidR="00CA5363" w:rsidRPr="00CB5852" w:rsidRDefault="00CA536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B916B4D" w14:textId="77777777" w:rsidR="00CA5363" w:rsidRPr="00CB5852" w:rsidRDefault="00E6107E">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El </w:t>
      </w:r>
      <w:r w:rsidRPr="00CB5852">
        <w:rPr>
          <w:rFonts w:ascii="Palatino Linotype" w:eastAsia="Palatino Linotype" w:hAnsi="Palatino Linotype" w:cs="Palatino Linotype"/>
          <w:b/>
          <w:color w:val="000000"/>
        </w:rPr>
        <w:t xml:space="preserve">nueve (09) de octubre de dos mil veintitrés, </w:t>
      </w:r>
      <w:r w:rsidRPr="00CB5852">
        <w:rPr>
          <w:rFonts w:ascii="Palatino Linotype" w:eastAsia="Palatino Linotype" w:hAnsi="Palatino Linotype" w:cs="Palatino Linotype"/>
          <w:color w:val="000000"/>
        </w:rPr>
        <w:t xml:space="preserve">se presentó ante el </w:t>
      </w:r>
      <w:r w:rsidRPr="00CB5852">
        <w:rPr>
          <w:rFonts w:ascii="Palatino Linotype" w:eastAsia="Palatino Linotype" w:hAnsi="Palatino Linotype" w:cs="Palatino Linotype"/>
          <w:b/>
          <w:color w:val="000000"/>
        </w:rPr>
        <w:t>SUJETO OBLIGADO</w:t>
      </w:r>
      <w:r w:rsidRPr="00CB5852">
        <w:rPr>
          <w:rFonts w:ascii="Palatino Linotype" w:eastAsia="Palatino Linotype" w:hAnsi="Palatino Linotype" w:cs="Palatino Linotype"/>
          <w:color w:val="000000"/>
        </w:rPr>
        <w:t xml:space="preserve"> vía SAIMEX, la solicitud de información pública registrada con el número </w:t>
      </w:r>
      <w:r w:rsidRPr="00CB5852">
        <w:rPr>
          <w:rFonts w:ascii="Palatino Linotype" w:eastAsia="Palatino Linotype" w:hAnsi="Palatino Linotype" w:cs="Palatino Linotype"/>
          <w:b/>
          <w:color w:val="000000"/>
        </w:rPr>
        <w:t>00126/ATIZAPAN/IP/2023</w:t>
      </w:r>
      <w:r w:rsidR="00CB5852">
        <w:rPr>
          <w:rFonts w:ascii="Palatino Linotype" w:eastAsia="Palatino Linotype" w:hAnsi="Palatino Linotype" w:cs="Palatino Linotype"/>
          <w:b/>
          <w:color w:val="000000"/>
        </w:rPr>
        <w:t>,</w:t>
      </w:r>
      <w:r w:rsidRPr="00CB5852">
        <w:rPr>
          <w:rFonts w:ascii="Palatino Linotype" w:eastAsia="Palatino Linotype" w:hAnsi="Palatino Linotype" w:cs="Palatino Linotype"/>
          <w:color w:val="000000"/>
        </w:rPr>
        <w:t xml:space="preserve"> </w:t>
      </w:r>
      <w:r w:rsidR="00CB5852">
        <w:rPr>
          <w:rFonts w:ascii="Palatino Linotype" w:eastAsia="Palatino Linotype" w:hAnsi="Palatino Linotype" w:cs="Palatino Linotype"/>
          <w:color w:val="000000"/>
        </w:rPr>
        <w:t>en la que</w:t>
      </w:r>
      <w:r w:rsidRPr="00CB5852">
        <w:rPr>
          <w:rFonts w:ascii="Palatino Linotype" w:eastAsia="Palatino Linotype" w:hAnsi="Palatino Linotype" w:cs="Palatino Linotype"/>
          <w:color w:val="000000"/>
        </w:rPr>
        <w:t xml:space="preserve"> se solicitó:</w:t>
      </w:r>
    </w:p>
    <w:p w14:paraId="3B916B4E" w14:textId="77777777" w:rsidR="00CA5363" w:rsidRPr="00CB5852" w:rsidRDefault="00CA5363">
      <w:pPr>
        <w:pBdr>
          <w:top w:val="nil"/>
          <w:left w:val="nil"/>
          <w:bottom w:val="nil"/>
          <w:right w:val="nil"/>
          <w:between w:val="nil"/>
        </w:pBdr>
        <w:spacing w:line="360" w:lineRule="auto"/>
        <w:ind w:left="360"/>
        <w:jc w:val="both"/>
        <w:rPr>
          <w:rFonts w:ascii="Palatino Linotype" w:eastAsia="Palatino Linotype" w:hAnsi="Palatino Linotype" w:cs="Palatino Linotype"/>
          <w:i/>
          <w:color w:val="000000"/>
        </w:rPr>
      </w:pPr>
    </w:p>
    <w:p w14:paraId="3B916B4F" w14:textId="77777777" w:rsidR="00CA5363" w:rsidRPr="00CB5852" w:rsidRDefault="00E6107E">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i/>
          <w:color w:val="000000"/>
        </w:rPr>
        <w:t>“Del secretario particular de presidencia Currículo Recibos de nómina de septiembre Listas de asistencia Motivo por el que fue contratado”</w:t>
      </w:r>
      <w:r w:rsidRPr="00CB5852">
        <w:rPr>
          <w:rFonts w:ascii="Palatino Linotype" w:eastAsia="Palatino Linotype" w:hAnsi="Palatino Linotype" w:cs="Palatino Linotype"/>
          <w:color w:val="000000"/>
        </w:rPr>
        <w:t xml:space="preserve"> (Sic)</w:t>
      </w:r>
    </w:p>
    <w:p w14:paraId="3B916B50" w14:textId="77777777" w:rsidR="00CA5363" w:rsidRPr="00CB5852" w:rsidRDefault="00CA5363">
      <w:pPr>
        <w:spacing w:line="360" w:lineRule="auto"/>
        <w:jc w:val="both"/>
        <w:rPr>
          <w:rFonts w:ascii="Palatino Linotype" w:eastAsia="Palatino Linotype" w:hAnsi="Palatino Linotype" w:cs="Palatino Linotype"/>
        </w:rPr>
      </w:pPr>
    </w:p>
    <w:p w14:paraId="3B916B51" w14:textId="77777777" w:rsidR="00CA5363" w:rsidRPr="00CB5852" w:rsidRDefault="00E6107E">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De las constancias que obran en el expediente, se aprecia que el entonces </w:t>
      </w:r>
      <w:r w:rsidRPr="00CB5852">
        <w:rPr>
          <w:rFonts w:ascii="Palatino Linotype" w:eastAsia="Palatino Linotype" w:hAnsi="Palatino Linotype" w:cs="Palatino Linotype"/>
          <w:b/>
          <w:color w:val="000000"/>
        </w:rPr>
        <w:t>SOLICITANTE</w:t>
      </w:r>
      <w:r w:rsidRPr="00CB5852">
        <w:rPr>
          <w:rFonts w:ascii="Palatino Linotype" w:eastAsia="Palatino Linotype" w:hAnsi="Palatino Linotype" w:cs="Palatino Linotype"/>
          <w:color w:val="000000"/>
        </w:rPr>
        <w:t xml:space="preserve"> señaló como modalidad de entrega de la información: </w:t>
      </w:r>
      <w:r w:rsidRPr="00CB5852">
        <w:rPr>
          <w:rFonts w:ascii="Palatino Linotype" w:eastAsia="Palatino Linotype" w:hAnsi="Palatino Linotype" w:cs="Palatino Linotype"/>
          <w:i/>
          <w:color w:val="000000"/>
        </w:rPr>
        <w:t xml:space="preserve">“A través del </w:t>
      </w:r>
      <w:r w:rsidRPr="00CB5852">
        <w:rPr>
          <w:rFonts w:ascii="Palatino Linotype" w:eastAsia="Palatino Linotype" w:hAnsi="Palatino Linotype" w:cs="Palatino Linotype"/>
          <w:b/>
          <w:i/>
          <w:color w:val="000000"/>
        </w:rPr>
        <w:t>SAIMEX”</w:t>
      </w:r>
      <w:r w:rsidRPr="00CB5852">
        <w:rPr>
          <w:rFonts w:ascii="Palatino Linotype" w:eastAsia="Palatino Linotype" w:hAnsi="Palatino Linotype" w:cs="Palatino Linotype"/>
          <w:color w:val="000000"/>
        </w:rPr>
        <w:t>.</w:t>
      </w:r>
    </w:p>
    <w:p w14:paraId="3B916B52" w14:textId="77777777" w:rsidR="00CA5363" w:rsidRPr="00CB5852" w:rsidRDefault="00CA5363">
      <w:pPr>
        <w:pBdr>
          <w:top w:val="nil"/>
          <w:left w:val="nil"/>
          <w:bottom w:val="nil"/>
          <w:right w:val="nil"/>
          <w:between w:val="nil"/>
        </w:pBdr>
        <w:tabs>
          <w:tab w:val="left" w:pos="284"/>
        </w:tabs>
        <w:spacing w:line="360" w:lineRule="auto"/>
        <w:ind w:right="34"/>
        <w:jc w:val="both"/>
        <w:rPr>
          <w:rFonts w:ascii="Palatino Linotype" w:eastAsia="Palatino Linotype" w:hAnsi="Palatino Linotype" w:cs="Palatino Linotype"/>
          <w:color w:val="000000"/>
        </w:rPr>
      </w:pPr>
    </w:p>
    <w:p w14:paraId="3B916B53" w14:textId="77777777" w:rsidR="00CA5363" w:rsidRPr="00CB5852" w:rsidRDefault="00E6107E">
      <w:pPr>
        <w:numPr>
          <w:ilvl w:val="0"/>
          <w:numId w:val="1"/>
        </w:numPr>
        <w:pBdr>
          <w:top w:val="nil"/>
          <w:left w:val="nil"/>
          <w:bottom w:val="nil"/>
          <w:right w:val="nil"/>
          <w:between w:val="nil"/>
        </w:pBdr>
        <w:tabs>
          <w:tab w:val="left" w:pos="284"/>
        </w:tabs>
        <w:spacing w:line="360" w:lineRule="auto"/>
        <w:ind w:left="0" w:right="34" w:firstLine="0"/>
        <w:jc w:val="both"/>
        <w:rPr>
          <w:rFonts w:ascii="Palatino Linotype" w:eastAsia="Palatino Linotype" w:hAnsi="Palatino Linotype" w:cs="Palatino Linotype"/>
          <w:i/>
          <w:color w:val="000000"/>
        </w:rPr>
      </w:pPr>
      <w:r w:rsidRPr="00CB5852">
        <w:rPr>
          <w:rFonts w:ascii="Palatino Linotype" w:eastAsia="Palatino Linotype" w:hAnsi="Palatino Linotype" w:cs="Palatino Linotype"/>
          <w:color w:val="000000"/>
        </w:rPr>
        <w:t xml:space="preserve">El </w:t>
      </w:r>
      <w:r w:rsidRPr="00CB5852">
        <w:rPr>
          <w:rFonts w:ascii="Palatino Linotype" w:eastAsia="Palatino Linotype" w:hAnsi="Palatino Linotype" w:cs="Palatino Linotype"/>
          <w:b/>
          <w:color w:val="000000"/>
        </w:rPr>
        <w:t>doce (12) de octubre de dos mil veintitrés</w:t>
      </w:r>
      <w:r w:rsidRPr="00CB5852">
        <w:rPr>
          <w:rFonts w:ascii="Palatino Linotype" w:eastAsia="Palatino Linotype" w:hAnsi="Palatino Linotype" w:cs="Palatino Linotype"/>
          <w:color w:val="000000"/>
        </w:rPr>
        <w:t xml:space="preserve">, el </w:t>
      </w:r>
      <w:r w:rsidRPr="00CB5852">
        <w:rPr>
          <w:rFonts w:ascii="Palatino Linotype" w:eastAsia="Palatino Linotype" w:hAnsi="Palatino Linotype" w:cs="Palatino Linotype"/>
          <w:b/>
          <w:color w:val="000000"/>
        </w:rPr>
        <w:t>SUJETO OBLIGADO</w:t>
      </w:r>
      <w:r w:rsidRPr="00CB5852">
        <w:rPr>
          <w:rFonts w:ascii="Palatino Linotype" w:eastAsia="Palatino Linotype" w:hAnsi="Palatino Linotype" w:cs="Palatino Linotype"/>
          <w:color w:val="000000"/>
        </w:rPr>
        <w:t xml:space="preserve"> dio respuesta a la solicitud de información en los siguientes términos:</w:t>
      </w:r>
    </w:p>
    <w:p w14:paraId="3B916B54" w14:textId="77777777" w:rsidR="00CA5363" w:rsidRPr="00CB5852" w:rsidRDefault="00E6107E">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CB5852">
        <w:rPr>
          <w:rFonts w:ascii="Palatino Linotype" w:eastAsia="Palatino Linotype" w:hAnsi="Palatino Linotype" w:cs="Palatino Linotype"/>
          <w:i/>
          <w:color w:val="000000"/>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916B55" w14:textId="77777777" w:rsidR="00CA5363" w:rsidRPr="00CB5852" w:rsidRDefault="00CA536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p>
    <w:p w14:paraId="3B916B56" w14:textId="77777777" w:rsidR="00CA5363" w:rsidRPr="00CB5852" w:rsidRDefault="00E6107E">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rPr>
      </w:pPr>
      <w:r w:rsidRPr="00CB5852">
        <w:rPr>
          <w:rFonts w:ascii="Palatino Linotype" w:eastAsia="Palatino Linotype" w:hAnsi="Palatino Linotype" w:cs="Palatino Linotype"/>
          <w:i/>
          <w:color w:val="000000"/>
          <w:sz w:val="22"/>
        </w:rPr>
        <w:t xml:space="preserve">Con referencia a lo solicitado y con fundamento al oficio que se anexa de contestación por la dirección de administración, informo que este Ayuntamiento de Atizapán, no cuenta con secretario Particular. por lo que es imposible enviar currículo y recibo de </w:t>
      </w:r>
      <w:proofErr w:type="spellStart"/>
      <w:r w:rsidRPr="00CB5852">
        <w:rPr>
          <w:rFonts w:ascii="Palatino Linotype" w:eastAsia="Palatino Linotype" w:hAnsi="Palatino Linotype" w:cs="Palatino Linotype"/>
          <w:i/>
          <w:color w:val="000000"/>
          <w:sz w:val="22"/>
        </w:rPr>
        <w:t>nomina</w:t>
      </w:r>
      <w:proofErr w:type="spellEnd"/>
      <w:r w:rsidRPr="00CB5852">
        <w:rPr>
          <w:rFonts w:ascii="Palatino Linotype" w:eastAsia="Palatino Linotype" w:hAnsi="Palatino Linotype" w:cs="Palatino Linotype"/>
          <w:i/>
          <w:color w:val="000000"/>
          <w:sz w:val="22"/>
        </w:rPr>
        <w:t xml:space="preserve"> de septiembre.”</w:t>
      </w:r>
      <w:r w:rsidRPr="00CB5852">
        <w:rPr>
          <w:rFonts w:ascii="Palatino Linotype" w:eastAsia="Palatino Linotype" w:hAnsi="Palatino Linotype" w:cs="Palatino Linotype"/>
          <w:color w:val="000000"/>
          <w:sz w:val="22"/>
        </w:rPr>
        <w:t xml:space="preserve"> (Sic)</w:t>
      </w:r>
    </w:p>
    <w:p w14:paraId="3B916B57" w14:textId="77777777" w:rsidR="00CA5363" w:rsidRPr="00CB5852" w:rsidRDefault="00CA5363">
      <w:pPr>
        <w:pBdr>
          <w:top w:val="nil"/>
          <w:left w:val="nil"/>
          <w:bottom w:val="nil"/>
          <w:right w:val="nil"/>
          <w:between w:val="nil"/>
        </w:pBdr>
        <w:spacing w:line="360" w:lineRule="auto"/>
        <w:ind w:right="34"/>
        <w:jc w:val="both"/>
        <w:rPr>
          <w:rFonts w:ascii="Palatino Linotype" w:eastAsia="Palatino Linotype" w:hAnsi="Palatino Linotype" w:cs="Palatino Linotype"/>
          <w:i/>
          <w:color w:val="000000"/>
        </w:rPr>
      </w:pPr>
    </w:p>
    <w:p w14:paraId="3B916B58" w14:textId="77777777" w:rsidR="00CA5363" w:rsidRPr="00CB5852" w:rsidRDefault="00E6107E">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i/>
          <w:color w:val="000000"/>
        </w:rPr>
      </w:pPr>
      <w:r w:rsidRPr="00CB5852">
        <w:rPr>
          <w:rFonts w:ascii="Palatino Linotype" w:eastAsia="Palatino Linotype" w:hAnsi="Palatino Linotype" w:cs="Palatino Linotype"/>
          <w:color w:val="000000"/>
        </w:rPr>
        <w:t xml:space="preserve">Adjunto a la notificación anterior, el </w:t>
      </w:r>
      <w:r w:rsidRPr="00CB5852">
        <w:rPr>
          <w:rFonts w:ascii="Palatino Linotype" w:eastAsia="Palatino Linotype" w:hAnsi="Palatino Linotype" w:cs="Palatino Linotype"/>
          <w:b/>
          <w:color w:val="000000"/>
        </w:rPr>
        <w:t>SUJETO OBLIGADO</w:t>
      </w:r>
      <w:r w:rsidRPr="00CB5852">
        <w:rPr>
          <w:rFonts w:ascii="Palatino Linotype" w:eastAsia="Palatino Linotype" w:hAnsi="Palatino Linotype" w:cs="Palatino Linotype"/>
          <w:color w:val="000000"/>
        </w:rPr>
        <w:t xml:space="preserve"> presentó el archivo electrónico cuyo contenido se describe a continuación:</w:t>
      </w:r>
    </w:p>
    <w:p w14:paraId="3B916B59" w14:textId="77777777" w:rsidR="00CA5363" w:rsidRPr="00CB5852" w:rsidRDefault="00E6107E">
      <w:pPr>
        <w:numPr>
          <w:ilvl w:val="1"/>
          <w:numId w:val="3"/>
        </w:numPr>
        <w:pBdr>
          <w:top w:val="nil"/>
          <w:left w:val="nil"/>
          <w:bottom w:val="nil"/>
          <w:right w:val="nil"/>
          <w:between w:val="nil"/>
        </w:pBdr>
        <w:tabs>
          <w:tab w:val="left" w:pos="284"/>
        </w:tabs>
        <w:spacing w:line="360" w:lineRule="auto"/>
        <w:ind w:left="1134"/>
        <w:jc w:val="both"/>
        <w:rPr>
          <w:rFonts w:ascii="Palatino Linotype" w:eastAsia="Palatino Linotype" w:hAnsi="Palatino Linotype" w:cs="Palatino Linotype"/>
          <w:b/>
          <w:i/>
          <w:color w:val="000000"/>
          <w:sz w:val="22"/>
        </w:rPr>
      </w:pPr>
      <w:r w:rsidRPr="00CB5852">
        <w:rPr>
          <w:rFonts w:ascii="Palatino Linotype" w:eastAsia="Palatino Linotype" w:hAnsi="Palatino Linotype" w:cs="Palatino Linotype"/>
          <w:b/>
          <w:i/>
          <w:color w:val="000000"/>
          <w:sz w:val="22"/>
        </w:rPr>
        <w:t>“</w:t>
      </w:r>
      <w:proofErr w:type="spellStart"/>
      <w:r w:rsidRPr="00CB5852">
        <w:rPr>
          <w:rFonts w:ascii="Palatino Linotype" w:eastAsia="Palatino Linotype" w:hAnsi="Palatino Linotype" w:cs="Palatino Linotype"/>
          <w:b/>
          <w:i/>
          <w:color w:val="000000"/>
          <w:sz w:val="22"/>
        </w:rPr>
        <w:t>CamScanner</w:t>
      </w:r>
      <w:proofErr w:type="spellEnd"/>
      <w:r w:rsidRPr="00CB5852">
        <w:rPr>
          <w:rFonts w:ascii="Palatino Linotype" w:eastAsia="Palatino Linotype" w:hAnsi="Palatino Linotype" w:cs="Palatino Linotype"/>
          <w:b/>
          <w:i/>
          <w:color w:val="000000"/>
          <w:sz w:val="22"/>
        </w:rPr>
        <w:t xml:space="preserve"> 12-10-2023 15.50.pdf”</w:t>
      </w:r>
      <w:r w:rsidRPr="00CB5852">
        <w:rPr>
          <w:rFonts w:ascii="Palatino Linotype" w:eastAsia="Palatino Linotype" w:hAnsi="Palatino Linotype" w:cs="Palatino Linotype"/>
          <w:color w:val="000000"/>
          <w:sz w:val="22"/>
        </w:rPr>
        <w:t xml:space="preserve">: Documento de una foja consistente en la fotocopia del oficio número PMASC/ADM/204/2023, de doce (12) de octubre de dos mil veintitrés, emitido por el </w:t>
      </w:r>
      <w:proofErr w:type="gramStart"/>
      <w:r w:rsidRPr="00CB5852">
        <w:rPr>
          <w:rFonts w:ascii="Palatino Linotype" w:eastAsia="Palatino Linotype" w:hAnsi="Palatino Linotype" w:cs="Palatino Linotype"/>
          <w:color w:val="000000"/>
          <w:sz w:val="22"/>
        </w:rPr>
        <w:t>Director</w:t>
      </w:r>
      <w:proofErr w:type="gramEnd"/>
      <w:r w:rsidRPr="00CB5852">
        <w:rPr>
          <w:rFonts w:ascii="Palatino Linotype" w:eastAsia="Palatino Linotype" w:hAnsi="Palatino Linotype" w:cs="Palatino Linotype"/>
          <w:color w:val="000000"/>
          <w:sz w:val="22"/>
        </w:rPr>
        <w:t xml:space="preserve"> de Administración, dirigido al Titular de la Unidad de Transparencia, Acceso a la Información Pública y Datos Personales, por el que informa que la Presidencia no cuenta con un Secretario Particular.</w:t>
      </w:r>
    </w:p>
    <w:p w14:paraId="3B916B5A" w14:textId="77777777" w:rsidR="00CA5363" w:rsidRPr="00CB5852" w:rsidRDefault="00CA536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B916B5B" w14:textId="77777777" w:rsidR="00CA5363" w:rsidRPr="00CB5852" w:rsidRDefault="00E6107E">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i/>
          <w:color w:val="000000"/>
        </w:rPr>
      </w:pPr>
      <w:r w:rsidRPr="00CB5852">
        <w:rPr>
          <w:rFonts w:ascii="Palatino Linotype" w:eastAsia="Palatino Linotype" w:hAnsi="Palatino Linotype" w:cs="Palatino Linotype"/>
          <w:color w:val="000000"/>
        </w:rPr>
        <w:t xml:space="preserve">El </w:t>
      </w:r>
      <w:r w:rsidRPr="00CB5852">
        <w:rPr>
          <w:rFonts w:ascii="Palatino Linotype" w:eastAsia="Palatino Linotype" w:hAnsi="Palatino Linotype" w:cs="Palatino Linotype"/>
          <w:b/>
          <w:color w:val="000000"/>
        </w:rPr>
        <w:t>treinta (30) de octubre de dos mil veintitrés</w:t>
      </w:r>
      <w:r w:rsidRPr="00CB5852">
        <w:rPr>
          <w:rFonts w:ascii="Palatino Linotype" w:eastAsia="Palatino Linotype" w:hAnsi="Palatino Linotype" w:cs="Palatino Linotype"/>
          <w:color w:val="000000"/>
        </w:rPr>
        <w:t>, el particular interpuso el recurso de revisión con número indicado al rubro y señalando como:</w:t>
      </w:r>
    </w:p>
    <w:p w14:paraId="3B916B5C" w14:textId="77777777" w:rsidR="00CA5363" w:rsidRPr="00CB5852" w:rsidRDefault="00E6107E">
      <w:pPr>
        <w:numPr>
          <w:ilvl w:val="0"/>
          <w:numId w:val="2"/>
        </w:numPr>
        <w:pBdr>
          <w:top w:val="nil"/>
          <w:left w:val="nil"/>
          <w:bottom w:val="nil"/>
          <w:right w:val="nil"/>
          <w:between w:val="nil"/>
        </w:pBdr>
        <w:tabs>
          <w:tab w:val="left" w:pos="426"/>
          <w:tab w:val="left" w:pos="993"/>
        </w:tabs>
        <w:spacing w:line="360" w:lineRule="auto"/>
        <w:jc w:val="both"/>
        <w:rPr>
          <w:rFonts w:ascii="Palatino Linotype" w:eastAsia="Palatino Linotype" w:hAnsi="Palatino Linotype" w:cs="Palatino Linotype"/>
          <w:color w:val="000000"/>
          <w:sz w:val="22"/>
        </w:rPr>
      </w:pPr>
      <w:r w:rsidRPr="00CB5852">
        <w:rPr>
          <w:rFonts w:ascii="Palatino Linotype" w:eastAsia="Palatino Linotype" w:hAnsi="Palatino Linotype" w:cs="Palatino Linotype"/>
          <w:b/>
          <w:color w:val="000000"/>
          <w:sz w:val="22"/>
        </w:rPr>
        <w:t>Acto impugnado:</w:t>
      </w:r>
      <w:r w:rsidRPr="00CB5852">
        <w:rPr>
          <w:rFonts w:ascii="Palatino Linotype" w:eastAsia="Palatino Linotype" w:hAnsi="Palatino Linotype" w:cs="Palatino Linotype"/>
          <w:color w:val="000000"/>
          <w:sz w:val="22"/>
        </w:rPr>
        <w:t xml:space="preserve"> “</w:t>
      </w:r>
      <w:r w:rsidRPr="00CB5852">
        <w:rPr>
          <w:rFonts w:ascii="Palatino Linotype" w:eastAsia="Palatino Linotype" w:hAnsi="Palatino Linotype" w:cs="Palatino Linotype"/>
          <w:i/>
          <w:color w:val="000000"/>
          <w:sz w:val="22"/>
        </w:rPr>
        <w:t>La respuesta incompleta”</w:t>
      </w:r>
      <w:r w:rsidRPr="00CB5852">
        <w:rPr>
          <w:rFonts w:ascii="Palatino Linotype" w:eastAsia="Palatino Linotype" w:hAnsi="Palatino Linotype" w:cs="Palatino Linotype"/>
          <w:color w:val="000000"/>
          <w:sz w:val="22"/>
        </w:rPr>
        <w:t xml:space="preserve"> (Sic).</w:t>
      </w:r>
    </w:p>
    <w:p w14:paraId="3B916B5D" w14:textId="77777777" w:rsidR="00CA5363" w:rsidRPr="00CB5852" w:rsidRDefault="00E6107E">
      <w:pPr>
        <w:numPr>
          <w:ilvl w:val="0"/>
          <w:numId w:val="2"/>
        </w:numPr>
        <w:pBdr>
          <w:top w:val="nil"/>
          <w:left w:val="nil"/>
          <w:bottom w:val="nil"/>
          <w:right w:val="nil"/>
          <w:between w:val="nil"/>
        </w:pBdr>
        <w:tabs>
          <w:tab w:val="left" w:pos="426"/>
          <w:tab w:val="left" w:pos="993"/>
        </w:tabs>
        <w:spacing w:line="360" w:lineRule="auto"/>
        <w:jc w:val="both"/>
        <w:rPr>
          <w:rFonts w:ascii="Palatino Linotype" w:eastAsia="Palatino Linotype" w:hAnsi="Palatino Linotype" w:cs="Palatino Linotype"/>
          <w:color w:val="000000"/>
          <w:sz w:val="22"/>
        </w:rPr>
      </w:pPr>
      <w:r w:rsidRPr="00CB5852">
        <w:rPr>
          <w:rFonts w:ascii="Palatino Linotype" w:eastAsia="Palatino Linotype" w:hAnsi="Palatino Linotype" w:cs="Palatino Linotype"/>
          <w:b/>
          <w:color w:val="000000"/>
          <w:sz w:val="22"/>
        </w:rPr>
        <w:t>Razones o motivos de inconformidad:</w:t>
      </w:r>
      <w:r w:rsidRPr="00CB5852">
        <w:rPr>
          <w:rFonts w:ascii="Palatino Linotype" w:eastAsia="Palatino Linotype" w:hAnsi="Palatino Linotype" w:cs="Palatino Linotype"/>
          <w:color w:val="000000"/>
          <w:sz w:val="22"/>
        </w:rPr>
        <w:t xml:space="preserve"> “</w:t>
      </w:r>
      <w:r w:rsidRPr="00CB5852">
        <w:rPr>
          <w:rFonts w:ascii="Palatino Linotype" w:eastAsia="Palatino Linotype" w:hAnsi="Palatino Linotype" w:cs="Palatino Linotype"/>
          <w:i/>
          <w:color w:val="000000"/>
          <w:sz w:val="22"/>
        </w:rPr>
        <w:t>La respuesta incompleta, no envían todo lo que pedí, les falta el acuerdo de versión pública por los datos que se tentaron Hay que decirle al titular como hacer su trabajo Si no sabe con gusto puedo reemplazarlo para que aprenda hacer su trabajo”</w:t>
      </w:r>
      <w:r w:rsidRPr="00CB5852">
        <w:rPr>
          <w:rFonts w:ascii="Palatino Linotype" w:eastAsia="Palatino Linotype" w:hAnsi="Palatino Linotype" w:cs="Palatino Linotype"/>
          <w:color w:val="000000"/>
          <w:sz w:val="22"/>
        </w:rPr>
        <w:t xml:space="preserve"> (Sic).</w:t>
      </w:r>
    </w:p>
    <w:p w14:paraId="3B916B5E" w14:textId="77777777" w:rsidR="00CA5363" w:rsidRPr="00CB5852" w:rsidRDefault="00CA5363">
      <w:pPr>
        <w:spacing w:line="276" w:lineRule="auto"/>
        <w:ind w:left="360" w:right="34"/>
        <w:jc w:val="both"/>
        <w:rPr>
          <w:rFonts w:ascii="Palatino Linotype" w:eastAsia="Palatino Linotype" w:hAnsi="Palatino Linotype" w:cs="Palatino Linotype"/>
          <w:b/>
          <w:color w:val="000000"/>
        </w:rPr>
      </w:pPr>
    </w:p>
    <w:p w14:paraId="3B916B5F" w14:textId="77777777" w:rsidR="00CA5363" w:rsidRPr="00CB5852" w:rsidRDefault="00E6107E">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CB5852">
        <w:rPr>
          <w:rFonts w:ascii="Palatino Linotype" w:eastAsia="Palatino Linotype" w:hAnsi="Palatino Linotype" w:cs="Palatino Linotype"/>
          <w:b/>
          <w:color w:val="000000"/>
        </w:rPr>
        <w:t>Ley de Transparencia y Acceso a la Información Pública del Estado de México y Municipios</w:t>
      </w:r>
      <w:r w:rsidRPr="00CB5852">
        <w:rPr>
          <w:rFonts w:ascii="Palatino Linotype" w:eastAsia="Palatino Linotype" w:hAnsi="Palatino Linotype" w:cs="Palatino Linotype"/>
          <w:color w:val="000000"/>
        </w:rPr>
        <w:t xml:space="preserve">, se turnó a la </w:t>
      </w:r>
      <w:r w:rsidRPr="00CB5852">
        <w:rPr>
          <w:rFonts w:ascii="Palatino Linotype" w:eastAsia="Palatino Linotype" w:hAnsi="Palatino Linotype" w:cs="Palatino Linotype"/>
          <w:b/>
          <w:color w:val="000000"/>
        </w:rPr>
        <w:t>Comisionada María del Rosario Mejía Ayala</w:t>
      </w:r>
      <w:r w:rsidRPr="00CB5852">
        <w:rPr>
          <w:rFonts w:ascii="Palatino Linotype" w:eastAsia="Palatino Linotype" w:hAnsi="Palatino Linotype" w:cs="Palatino Linotype"/>
          <w:color w:val="000000"/>
        </w:rPr>
        <w:t>, con el objeto de su análisis.</w:t>
      </w:r>
    </w:p>
    <w:p w14:paraId="3B916B60" w14:textId="77777777" w:rsidR="00CA5363" w:rsidRPr="00CB5852" w:rsidRDefault="00CA536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B916B61" w14:textId="77777777" w:rsidR="00CA5363" w:rsidRPr="00CB5852" w:rsidRDefault="00E6107E">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sidRPr="00CB5852">
        <w:rPr>
          <w:rFonts w:ascii="Palatino Linotype" w:eastAsia="Palatino Linotype" w:hAnsi="Palatino Linotype" w:cs="Palatino Linotype"/>
          <w:b/>
          <w:color w:val="000000"/>
        </w:rPr>
        <w:t>seis (06) de noviembre de dos mil veintitrés</w:t>
      </w:r>
      <w:r w:rsidRPr="00CB5852">
        <w:rPr>
          <w:rFonts w:ascii="Palatino Linotype" w:eastAsia="Palatino Linotype" w:hAnsi="Palatino Linotype" w:cs="Palatino Linotype"/>
          <w:color w:val="000000"/>
        </w:rPr>
        <w:t>, puso a disposición de las partes el expediente electrónico vía SAIMEX,</w:t>
      </w:r>
      <w:r w:rsidRPr="00CB5852">
        <w:rPr>
          <w:rFonts w:ascii="Palatino Linotype" w:eastAsia="Palatino Linotype" w:hAnsi="Palatino Linotype" w:cs="Palatino Linotype"/>
          <w:b/>
          <w:color w:val="000000"/>
        </w:rPr>
        <w:t xml:space="preserve"> </w:t>
      </w:r>
      <w:r w:rsidRPr="00CB5852">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correspondiera a los casos concretos, de esta forma para que el </w:t>
      </w:r>
      <w:r w:rsidRPr="00CB5852">
        <w:rPr>
          <w:rFonts w:ascii="Palatino Linotype" w:eastAsia="Palatino Linotype" w:hAnsi="Palatino Linotype" w:cs="Palatino Linotype"/>
          <w:b/>
          <w:color w:val="000000"/>
        </w:rPr>
        <w:t>SUJETO OBLIGADO</w:t>
      </w:r>
      <w:r w:rsidRPr="00CB5852">
        <w:rPr>
          <w:rFonts w:ascii="Palatino Linotype" w:eastAsia="Palatino Linotype" w:hAnsi="Palatino Linotype" w:cs="Palatino Linotype"/>
          <w:color w:val="000000"/>
        </w:rPr>
        <w:t xml:space="preserve"> presentara el Informe Justificado procedente.</w:t>
      </w:r>
    </w:p>
    <w:p w14:paraId="3B916B62" w14:textId="77777777" w:rsidR="00CA5363" w:rsidRPr="00CB5852" w:rsidRDefault="00CA536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B916B63" w14:textId="77777777" w:rsidR="00CA5363" w:rsidRPr="00CB5852" w:rsidRDefault="00E6107E">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De las constancias que obran dentro del expediente digital formado en el SAIMEX, se advierte que el </w:t>
      </w:r>
      <w:r w:rsidRPr="00CB5852">
        <w:rPr>
          <w:rFonts w:ascii="Palatino Linotype" w:eastAsia="Palatino Linotype" w:hAnsi="Palatino Linotype" w:cs="Palatino Linotype"/>
          <w:b/>
          <w:color w:val="000000"/>
        </w:rPr>
        <w:t>SUJETO OBLIGADO</w:t>
      </w:r>
      <w:r w:rsidRPr="00CB5852">
        <w:rPr>
          <w:rFonts w:ascii="Palatino Linotype" w:eastAsia="Palatino Linotype" w:hAnsi="Palatino Linotype" w:cs="Palatino Linotype"/>
          <w:color w:val="000000"/>
        </w:rPr>
        <w:t xml:space="preserve"> no presentó su informe justificado para confirmar, modificar o revocar su respuesta original; en el mismo sentido, el </w:t>
      </w:r>
      <w:r w:rsidRPr="00CB5852">
        <w:rPr>
          <w:rFonts w:ascii="Palatino Linotype" w:eastAsia="Palatino Linotype" w:hAnsi="Palatino Linotype" w:cs="Palatino Linotype"/>
          <w:b/>
          <w:color w:val="000000"/>
        </w:rPr>
        <w:t>RECURRENTE</w:t>
      </w:r>
      <w:r w:rsidRPr="00CB5852">
        <w:rPr>
          <w:rFonts w:ascii="Palatino Linotype" w:eastAsia="Palatino Linotype" w:hAnsi="Palatino Linotype" w:cs="Palatino Linotype"/>
          <w:color w:val="000000"/>
        </w:rPr>
        <w:t xml:space="preserve"> omitió el presentar cualquier tipo de alegatos o manifestaciones. Se adjunta la captura del apartado de Manifestaciones como referencia:</w:t>
      </w:r>
    </w:p>
    <w:p w14:paraId="3B916B64" w14:textId="77777777" w:rsidR="00CA5363" w:rsidRPr="00CB5852" w:rsidRDefault="00E6107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CB5852">
        <w:rPr>
          <w:noProof/>
          <w:lang w:val="es-MX"/>
        </w:rPr>
        <mc:AlternateContent>
          <mc:Choice Requires="wpg">
            <w:drawing>
              <wp:anchor distT="0" distB="0" distL="114300" distR="114300" simplePos="0" relativeHeight="251658240" behindDoc="0" locked="0" layoutInCell="1" hidden="0" allowOverlap="1" wp14:anchorId="3B916BCB" wp14:editId="3B916BCC">
                <wp:simplePos x="0" y="0"/>
                <wp:positionH relativeFrom="column">
                  <wp:posOffset>1</wp:posOffset>
                </wp:positionH>
                <wp:positionV relativeFrom="paragraph">
                  <wp:posOffset>38100</wp:posOffset>
                </wp:positionV>
                <wp:extent cx="5520365" cy="799435"/>
                <wp:effectExtent l="0" t="0" r="0" b="0"/>
                <wp:wrapNone/>
                <wp:docPr id="6" name="Conector recto de flecha 6"/>
                <wp:cNvGraphicFramePr/>
                <a:graphic xmlns:a="http://schemas.openxmlformats.org/drawingml/2006/main">
                  <a:graphicData uri="http://schemas.microsoft.com/office/word/2010/wordprocessingShape">
                    <wps:wsp>
                      <wps:cNvCnPr/>
                      <wps:spPr>
                        <a:xfrm rot="10800000" flipH="1">
                          <a:off x="2592168" y="3386633"/>
                          <a:ext cx="5507665" cy="786735"/>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520365" cy="799435"/>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520365" cy="799435"/>
                        </a:xfrm>
                        <a:prstGeom prst="rect"/>
                        <a:ln/>
                      </pic:spPr>
                    </pic:pic>
                  </a:graphicData>
                </a:graphic>
              </wp:anchor>
            </w:drawing>
          </mc:Fallback>
        </mc:AlternateContent>
      </w:r>
    </w:p>
    <w:p w14:paraId="3B916B65" w14:textId="77777777" w:rsidR="00CA5363" w:rsidRPr="00CB5852" w:rsidRDefault="00E6107E">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color w:val="000000"/>
        </w:rPr>
      </w:pPr>
      <w:r w:rsidRPr="00CB5852">
        <w:rPr>
          <w:rFonts w:ascii="Palatino Linotype" w:eastAsia="Palatino Linotype" w:hAnsi="Palatino Linotype" w:cs="Palatino Linotype"/>
          <w:noProof/>
          <w:color w:val="000000"/>
          <w:lang w:val="es-MX"/>
        </w:rPr>
        <w:lastRenderedPageBreak/>
        <w:drawing>
          <wp:inline distT="0" distB="0" distL="0" distR="0" wp14:anchorId="3B916BCD" wp14:editId="3B916BCE">
            <wp:extent cx="4970114" cy="1187137"/>
            <wp:effectExtent l="12700" t="12700" r="12700" b="127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970114" cy="1187137"/>
                    </a:xfrm>
                    <a:prstGeom prst="rect">
                      <a:avLst/>
                    </a:prstGeom>
                    <a:ln w="12700">
                      <a:solidFill>
                        <a:srgbClr val="000000"/>
                      </a:solidFill>
                      <a:prstDash val="solid"/>
                    </a:ln>
                  </pic:spPr>
                </pic:pic>
              </a:graphicData>
            </a:graphic>
          </wp:inline>
        </w:drawing>
      </w:r>
    </w:p>
    <w:p w14:paraId="3B916B66" w14:textId="77777777" w:rsidR="00CA5363" w:rsidRPr="00CB5852" w:rsidRDefault="00CA536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B916B67"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bookmarkStart w:id="1" w:name="_heading=h.30j0zll" w:colFirst="0" w:colLast="0"/>
      <w:bookmarkEnd w:id="1"/>
      <w:r w:rsidRPr="00CB5852">
        <w:rPr>
          <w:rFonts w:ascii="Palatino Linotype" w:eastAsia="Palatino Linotype" w:hAnsi="Palatino Linotype" w:cs="Palatino Linotype"/>
          <w:color w:val="000000"/>
        </w:rPr>
        <w:t xml:space="preserve">El </w:t>
      </w:r>
      <w:r w:rsidRPr="00CB5852">
        <w:rPr>
          <w:rFonts w:ascii="Palatino Linotype" w:eastAsia="Palatino Linotype" w:hAnsi="Palatino Linotype" w:cs="Palatino Linotype"/>
          <w:b/>
          <w:color w:val="000000"/>
        </w:rPr>
        <w:t>catorce (14) de diciembre de dos mil veintitrés</w:t>
      </w:r>
      <w:r w:rsidRPr="00CB5852">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30 días para resolver el recurso de revisión sería ampliado por un periodo de 15 días hábiles adicionales.</w:t>
      </w:r>
    </w:p>
    <w:p w14:paraId="3B916B68"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69"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Este 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B916B6A"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6B"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Por ello, es menester precisar </w:t>
      </w:r>
      <w:proofErr w:type="gramStart"/>
      <w:r w:rsidRPr="00CB5852">
        <w:rPr>
          <w:rFonts w:ascii="Palatino Linotype" w:eastAsia="Palatino Linotype" w:hAnsi="Palatino Linotype" w:cs="Palatino Linotype"/>
          <w:color w:val="000000"/>
        </w:rPr>
        <w:t>que</w:t>
      </w:r>
      <w:proofErr w:type="gramEnd"/>
      <w:r w:rsidRPr="00CB5852">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B916B6C"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6D"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B916B6E"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6F"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B916B70"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71"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3B916B72" w14:textId="77777777" w:rsidR="00CA5363" w:rsidRPr="00CB5852" w:rsidRDefault="00E6107E">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CB5852">
        <w:rPr>
          <w:rFonts w:ascii="Palatino Linotype" w:eastAsia="Palatino Linotype" w:hAnsi="Palatino Linotype" w:cs="Palatino Linotype"/>
          <w:b/>
          <w:color w:val="000000"/>
          <w:sz w:val="22"/>
        </w:rPr>
        <w:t>Complejidad del Asunto:</w:t>
      </w:r>
      <w:r w:rsidRPr="00CB5852">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w:t>
      </w:r>
    </w:p>
    <w:p w14:paraId="3B916B73" w14:textId="77777777" w:rsidR="00CA5363" w:rsidRPr="00CB5852" w:rsidRDefault="00E6107E">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CB5852">
        <w:rPr>
          <w:rFonts w:ascii="Palatino Linotype" w:eastAsia="Palatino Linotype" w:hAnsi="Palatino Linotype" w:cs="Palatino Linotype"/>
          <w:b/>
          <w:color w:val="000000"/>
          <w:sz w:val="22"/>
        </w:rPr>
        <w:t>Actividad Procesal del interesado:</w:t>
      </w:r>
      <w:r w:rsidRPr="00CB5852">
        <w:rPr>
          <w:rFonts w:ascii="Palatino Linotype" w:eastAsia="Palatino Linotype" w:hAnsi="Palatino Linotype" w:cs="Palatino Linotype"/>
          <w:color w:val="000000"/>
          <w:sz w:val="22"/>
        </w:rPr>
        <w:t xml:space="preserve"> Acciones u omisiones del interesado.</w:t>
      </w:r>
    </w:p>
    <w:p w14:paraId="3B916B74" w14:textId="77777777" w:rsidR="00CA5363" w:rsidRPr="00CB5852" w:rsidRDefault="00E6107E">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CB5852">
        <w:rPr>
          <w:rFonts w:ascii="Palatino Linotype" w:eastAsia="Palatino Linotype" w:hAnsi="Palatino Linotype" w:cs="Palatino Linotype"/>
          <w:b/>
          <w:color w:val="000000"/>
          <w:sz w:val="22"/>
        </w:rPr>
        <w:t>Conducta de la Autoridad:</w:t>
      </w:r>
      <w:r w:rsidRPr="00CB5852">
        <w:rPr>
          <w:rFonts w:ascii="Palatino Linotype" w:eastAsia="Palatino Linotype" w:hAnsi="Palatino Linotype" w:cs="Palatino Linotype"/>
          <w:color w:val="000000"/>
          <w:sz w:val="22"/>
        </w:rPr>
        <w:t xml:space="preserve"> Las Acciones u omisiones realizadas en el procedimiento. Así como si la autoridad actuó con la debida diligencia.</w:t>
      </w:r>
    </w:p>
    <w:p w14:paraId="3B916B75" w14:textId="77777777" w:rsidR="00CA5363" w:rsidRPr="00CB5852" w:rsidRDefault="00E6107E">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CB5852">
        <w:rPr>
          <w:rFonts w:ascii="Palatino Linotype" w:eastAsia="Palatino Linotype" w:hAnsi="Palatino Linotype" w:cs="Palatino Linotype"/>
          <w:b/>
          <w:color w:val="000000"/>
          <w:sz w:val="22"/>
        </w:rPr>
        <w:t>La afectación generada en la situación jurídica de la persona involucrada en el proceso:</w:t>
      </w:r>
      <w:r w:rsidRPr="00CB5852">
        <w:rPr>
          <w:rFonts w:ascii="Palatino Linotype" w:eastAsia="Palatino Linotype" w:hAnsi="Palatino Linotype" w:cs="Palatino Linotype"/>
          <w:color w:val="000000"/>
          <w:sz w:val="22"/>
        </w:rPr>
        <w:t xml:space="preserve"> Violación a sus derechos humanos.</w:t>
      </w:r>
    </w:p>
    <w:p w14:paraId="3B916B76"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77"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CB5852">
        <w:rPr>
          <w:rFonts w:ascii="Palatino Linotype" w:eastAsia="Palatino Linotype" w:hAnsi="Palatino Linotype" w:cs="Palatino Linotype"/>
          <w:color w:val="000000"/>
        </w:rPr>
        <w:lastRenderedPageBreak/>
        <w:t>relación con la actuación del funcionario, como ha acontecido en el caso que nos ocupa.</w:t>
      </w:r>
    </w:p>
    <w:p w14:paraId="3B916B78"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79"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CB5852">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CB5852">
        <w:rPr>
          <w:rFonts w:ascii="Palatino Linotype" w:eastAsia="Palatino Linotype" w:hAnsi="Palatino Linotype" w:cs="Palatino Linotype"/>
          <w:i/>
          <w:color w:val="000000"/>
          <w:vertAlign w:val="superscript"/>
        </w:rPr>
        <w:footnoteReference w:id="1"/>
      </w:r>
      <w:r w:rsidRPr="00CB5852">
        <w:rPr>
          <w:rFonts w:ascii="Palatino Linotype" w:eastAsia="Palatino Linotype" w:hAnsi="Palatino Linotype" w:cs="Palatino Linotype"/>
          <w:color w:val="000000"/>
        </w:rPr>
        <w:t>, visible en la Gaceta del Seminario Judicial de la Federación con el registro digital 205635.</w:t>
      </w:r>
    </w:p>
    <w:p w14:paraId="3B916B7A"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7B"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916B7C"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7D"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B916B7E" w14:textId="77777777" w:rsidR="00CA5363" w:rsidRPr="00CB5852" w:rsidRDefault="00E6107E">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CB5852">
        <w:rPr>
          <w:rFonts w:ascii="Palatino Linotype" w:eastAsia="Palatino Linotype" w:hAnsi="Palatino Linotype" w:cs="Palatino Linotype"/>
          <w:b/>
          <w:i/>
          <w:color w:val="000000"/>
          <w:sz w:val="22"/>
        </w:rPr>
        <w:t>PLAZO RAZONABLE PARA RESOLVER. DIMENSIÓN Y EFECTOS DE ESTE CONCEPTO CUANDO SE ADUCE EXCESIVA CARGA DE TRABAJO.</w:t>
      </w:r>
      <w:r w:rsidRPr="00CB5852">
        <w:rPr>
          <w:rFonts w:ascii="Palatino Linotype" w:eastAsia="Palatino Linotype" w:hAnsi="Palatino Linotype" w:cs="Palatino Linotype"/>
          <w:i/>
          <w:color w:val="000000"/>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w:t>
      </w:r>
      <w:r w:rsidRPr="00CB5852">
        <w:rPr>
          <w:rFonts w:ascii="Palatino Linotype" w:eastAsia="Palatino Linotype" w:hAnsi="Palatino Linotype" w:cs="Palatino Linotype"/>
          <w:i/>
          <w:color w:val="000000"/>
          <w:sz w:val="22"/>
        </w:rPr>
        <w:lastRenderedPageBreak/>
        <w:t>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CB5852">
        <w:rPr>
          <w:rFonts w:ascii="Palatino Linotype" w:eastAsia="Palatino Linotype" w:hAnsi="Palatino Linotype" w:cs="Palatino Linotype"/>
          <w:i/>
          <w:color w:val="000000"/>
          <w:sz w:val="22"/>
          <w:vertAlign w:val="superscript"/>
        </w:rPr>
        <w:footnoteReference w:id="2"/>
      </w:r>
    </w:p>
    <w:p w14:paraId="3B916B7F" w14:textId="77777777" w:rsidR="00CA5363" w:rsidRPr="00CB5852" w:rsidRDefault="00CA536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p>
    <w:p w14:paraId="3B916B80" w14:textId="77777777" w:rsidR="00CA5363" w:rsidRPr="00CB5852" w:rsidRDefault="00E6107E">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CB5852">
        <w:rPr>
          <w:rFonts w:ascii="Palatino Linotype" w:eastAsia="Palatino Linotype" w:hAnsi="Palatino Linotype" w:cs="Palatino Linotype"/>
          <w:b/>
          <w:i/>
          <w:color w:val="000000"/>
          <w:sz w:val="22"/>
        </w:rPr>
        <w:t>PLAZO RAZONABLE PARA RESOLVER. CONCEPTO Y ELEMENTOS QUE LO INTEGRAN A LA LUZ DEL DERECHO INTERNACIONAL DE LOS DERECHOS HUMANOS.</w:t>
      </w:r>
      <w:r w:rsidRPr="00CB5852">
        <w:rPr>
          <w:rFonts w:ascii="Palatino Linotype" w:eastAsia="Palatino Linotype" w:hAnsi="Palatino Linotype" w:cs="Palatino Linotype"/>
          <w:i/>
          <w:color w:val="000000"/>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w:t>
      </w:r>
      <w:proofErr w:type="gramStart"/>
      <w:r w:rsidRPr="00CB5852">
        <w:rPr>
          <w:rFonts w:ascii="Palatino Linotype" w:eastAsia="Palatino Linotype" w:hAnsi="Palatino Linotype" w:cs="Palatino Linotype"/>
          <w:i/>
          <w:color w:val="000000"/>
          <w:sz w:val="22"/>
        </w:rPr>
        <w:t>de acuerdo a</w:t>
      </w:r>
      <w:proofErr w:type="gramEnd"/>
      <w:r w:rsidRPr="00CB5852">
        <w:rPr>
          <w:rFonts w:ascii="Palatino Linotype" w:eastAsia="Palatino Linotype" w:hAnsi="Palatino Linotype" w:cs="Palatino Linotype"/>
          <w:i/>
          <w:color w:val="000000"/>
          <w:sz w:val="22"/>
        </w:rPr>
        <w:t xml:space="preserve"> las particularidades que representa, para determinar si </w:t>
      </w:r>
      <w:r w:rsidRPr="00CB5852">
        <w:rPr>
          <w:rFonts w:ascii="Palatino Linotype" w:eastAsia="Palatino Linotype" w:hAnsi="Palatino Linotype" w:cs="Palatino Linotype"/>
          <w:i/>
          <w:color w:val="000000"/>
          <w:sz w:val="22"/>
        </w:rPr>
        <w:lastRenderedPageBreak/>
        <w:t>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CB5852">
        <w:rPr>
          <w:rFonts w:ascii="Palatino Linotype" w:eastAsia="Palatino Linotype" w:hAnsi="Palatino Linotype" w:cs="Palatino Linotype"/>
          <w:i/>
          <w:color w:val="000000"/>
          <w:sz w:val="22"/>
          <w:vertAlign w:val="superscript"/>
        </w:rPr>
        <w:footnoteReference w:id="3"/>
      </w:r>
    </w:p>
    <w:p w14:paraId="3B916B81"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82"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w:t>
      </w:r>
      <w:proofErr w:type="gramStart"/>
      <w:r w:rsidRPr="00CB5852">
        <w:rPr>
          <w:rFonts w:ascii="Palatino Linotype" w:eastAsia="Palatino Linotype" w:hAnsi="Palatino Linotype" w:cs="Palatino Linotype"/>
          <w:color w:val="000000"/>
        </w:rPr>
        <w:t>asunto,</w:t>
      </w:r>
      <w:proofErr w:type="gramEnd"/>
      <w:r w:rsidRPr="00CB5852">
        <w:rPr>
          <w:rFonts w:ascii="Palatino Linotype" w:eastAsia="Palatino Linotype" w:hAnsi="Palatino Linotype" w:cs="Palatino Linotype"/>
          <w:color w:val="000000"/>
        </w:rPr>
        <w:t xml:space="preserve"> resulta de carácter excepcional.</w:t>
      </w:r>
    </w:p>
    <w:p w14:paraId="3B916B83"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84"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El </w:t>
      </w:r>
      <w:r w:rsidRPr="00CB5852">
        <w:rPr>
          <w:rFonts w:ascii="Palatino Linotype" w:eastAsia="Palatino Linotype" w:hAnsi="Palatino Linotype" w:cs="Palatino Linotype"/>
          <w:b/>
          <w:color w:val="000000"/>
        </w:rPr>
        <w:t>quince (15) de enero de dos mil veinticuatro</w:t>
      </w:r>
      <w:r w:rsidRPr="00CB5852">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w:t>
      </w:r>
    </w:p>
    <w:p w14:paraId="3B916B85" w14:textId="77777777" w:rsidR="00CA5363" w:rsidRPr="00CB5852" w:rsidRDefault="00CA536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916B86"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Finalmente, el </w:t>
      </w:r>
      <w:r w:rsidRPr="00CB5852">
        <w:rPr>
          <w:rFonts w:ascii="Palatino Linotype" w:eastAsia="Palatino Linotype" w:hAnsi="Palatino Linotype" w:cs="Palatino Linotype"/>
          <w:b/>
          <w:color w:val="000000"/>
        </w:rPr>
        <w:t>veintinueve (29) de febrero de dos mil veinticuatro</w:t>
      </w:r>
      <w:r w:rsidRPr="00CB5852">
        <w:rPr>
          <w:rFonts w:ascii="Palatino Linotype" w:eastAsia="Palatino Linotype" w:hAnsi="Palatino Linotype" w:cs="Palatino Linotype"/>
          <w:color w:val="000000"/>
        </w:rPr>
        <w:t xml:space="preserve">, el </w:t>
      </w:r>
      <w:r w:rsidRPr="00CB5852">
        <w:rPr>
          <w:rFonts w:ascii="Palatino Linotype" w:eastAsia="Palatino Linotype" w:hAnsi="Palatino Linotype" w:cs="Palatino Linotype"/>
          <w:b/>
          <w:color w:val="000000"/>
        </w:rPr>
        <w:t>RECURRENTE</w:t>
      </w:r>
      <w:r w:rsidRPr="00CB5852">
        <w:rPr>
          <w:rFonts w:ascii="Palatino Linotype" w:eastAsia="Palatino Linotype" w:hAnsi="Palatino Linotype" w:cs="Palatino Linotype"/>
          <w:color w:val="000000"/>
        </w:rPr>
        <w:t xml:space="preserve"> se desistió del recurso de revisión; y ----------------------------------------</w:t>
      </w:r>
    </w:p>
    <w:p w14:paraId="3B916B87" w14:textId="77777777" w:rsidR="00CA5363" w:rsidRPr="00CB5852" w:rsidRDefault="00E6107E">
      <w:pPr>
        <w:rPr>
          <w:rFonts w:ascii="Palatino Linotype" w:eastAsia="Palatino Linotype" w:hAnsi="Palatino Linotype" w:cs="Palatino Linotype"/>
        </w:rPr>
      </w:pPr>
      <w:r w:rsidRPr="00CB5852">
        <w:br w:type="page"/>
      </w:r>
    </w:p>
    <w:p w14:paraId="3B916B88" w14:textId="77777777" w:rsidR="00CA5363" w:rsidRPr="00CB5852" w:rsidRDefault="00CA5363">
      <w:pPr>
        <w:rPr>
          <w:rFonts w:ascii="Palatino Linotype" w:eastAsia="Palatino Linotype" w:hAnsi="Palatino Linotype" w:cs="Palatino Linotype"/>
        </w:rPr>
      </w:pPr>
    </w:p>
    <w:p w14:paraId="3B916B89" w14:textId="77777777" w:rsidR="00CA5363" w:rsidRPr="00CB5852" w:rsidRDefault="00E6107E">
      <w:pPr>
        <w:pStyle w:val="Ttulo2"/>
        <w:spacing w:before="0"/>
        <w:jc w:val="center"/>
        <w:rPr>
          <w:rFonts w:ascii="Palatino Linotype" w:eastAsia="Palatino Linotype" w:hAnsi="Palatino Linotype" w:cs="Palatino Linotype"/>
          <w:b/>
          <w:color w:val="000000"/>
          <w:sz w:val="24"/>
          <w:szCs w:val="24"/>
        </w:rPr>
      </w:pPr>
      <w:bookmarkStart w:id="2" w:name="_heading=h.1fob9te" w:colFirst="0" w:colLast="0"/>
      <w:bookmarkEnd w:id="2"/>
      <w:r w:rsidRPr="00CB5852">
        <w:rPr>
          <w:rFonts w:ascii="Palatino Linotype" w:eastAsia="Palatino Linotype" w:hAnsi="Palatino Linotype" w:cs="Palatino Linotype"/>
          <w:b/>
          <w:color w:val="000000"/>
          <w:sz w:val="24"/>
          <w:szCs w:val="24"/>
        </w:rPr>
        <w:t>C O N S I D E R A N D O</w:t>
      </w:r>
    </w:p>
    <w:p w14:paraId="3B916B8A" w14:textId="77777777" w:rsidR="00CA5363" w:rsidRPr="00CB5852" w:rsidRDefault="00CA5363"/>
    <w:p w14:paraId="3B916B8B" w14:textId="77777777" w:rsidR="00CA5363" w:rsidRPr="00CB5852" w:rsidRDefault="00E6107E">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CB5852">
        <w:rPr>
          <w:rFonts w:ascii="Palatino Linotype" w:eastAsia="Palatino Linotype" w:hAnsi="Palatino Linotype" w:cs="Palatino Linotype"/>
          <w:b/>
          <w:color w:val="000000"/>
          <w:sz w:val="24"/>
          <w:szCs w:val="24"/>
        </w:rPr>
        <w:t>PRIMERO. De la competencia</w:t>
      </w:r>
    </w:p>
    <w:p w14:paraId="3B916B8C" w14:textId="77777777" w:rsidR="00CA5363" w:rsidRPr="00CB5852" w:rsidRDefault="00E6107E">
      <w:pPr>
        <w:numPr>
          <w:ilvl w:val="0"/>
          <w:numId w:val="1"/>
        </w:numPr>
        <w:pBdr>
          <w:top w:val="nil"/>
          <w:left w:val="nil"/>
          <w:bottom w:val="nil"/>
          <w:right w:val="nil"/>
          <w:between w:val="nil"/>
        </w:pBdr>
        <w:tabs>
          <w:tab w:val="left" w:pos="284"/>
          <w:tab w:val="left" w:pos="426"/>
        </w:tabs>
        <w:spacing w:line="360" w:lineRule="auto"/>
        <w:ind w:left="0" w:firstLine="0"/>
        <w:jc w:val="both"/>
        <w:rPr>
          <w:rFonts w:ascii="Palatino Linotype" w:eastAsia="Palatino Linotype" w:hAnsi="Palatino Linotype" w:cs="Palatino Linotype"/>
          <w:b/>
          <w:color w:val="000000"/>
        </w:rPr>
      </w:pPr>
      <w:r w:rsidRPr="00CB5852">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CB5852">
        <w:rPr>
          <w:rFonts w:ascii="Palatino Linotype" w:eastAsia="Palatino Linotype" w:hAnsi="Palatino Linotype" w:cs="Palatino Linotype"/>
          <w:b/>
          <w:color w:val="000000"/>
        </w:rPr>
        <w:t>.</w:t>
      </w:r>
    </w:p>
    <w:p w14:paraId="3B916B8D" w14:textId="77777777" w:rsidR="00CA5363" w:rsidRPr="00CB5852" w:rsidRDefault="00CA5363">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b/>
          <w:color w:val="000000"/>
        </w:rPr>
      </w:pPr>
    </w:p>
    <w:p w14:paraId="3B916B8E" w14:textId="77777777" w:rsidR="00CA5363" w:rsidRPr="00CB5852" w:rsidRDefault="00E6107E">
      <w:pPr>
        <w:pStyle w:val="Ttulo2"/>
        <w:tabs>
          <w:tab w:val="left" w:pos="284"/>
          <w:tab w:val="left" w:pos="426"/>
        </w:tabs>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CB5852">
        <w:rPr>
          <w:rFonts w:ascii="Palatino Linotype" w:eastAsia="Palatino Linotype" w:hAnsi="Palatino Linotype" w:cs="Palatino Linotype"/>
          <w:b/>
          <w:color w:val="000000"/>
          <w:sz w:val="24"/>
          <w:szCs w:val="24"/>
        </w:rPr>
        <w:t>SEGUNDO. De la oportunidad y procedencia.</w:t>
      </w:r>
    </w:p>
    <w:p w14:paraId="3B916B8F" w14:textId="77777777" w:rsidR="00CA5363" w:rsidRPr="00CB5852" w:rsidRDefault="00E6107E">
      <w:pPr>
        <w:numPr>
          <w:ilvl w:val="0"/>
          <w:numId w:val="1"/>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CB5852">
        <w:rPr>
          <w:rFonts w:ascii="Palatino Linotype" w:eastAsia="Palatino Linotype" w:hAnsi="Palatino Linotype" w:cs="Palatino Linotype"/>
          <w:b/>
          <w:color w:val="000000"/>
        </w:rPr>
        <w:t>SUJETO OBLIGADO</w:t>
      </w:r>
      <w:r w:rsidRPr="00CB5852">
        <w:rPr>
          <w:rFonts w:ascii="Palatino Linotype" w:eastAsia="Palatino Linotype" w:hAnsi="Palatino Linotype" w:cs="Palatino Linotype"/>
          <w:color w:val="000000"/>
        </w:rPr>
        <w:t xml:space="preserve"> entregó respuesta el </w:t>
      </w:r>
      <w:r w:rsidRPr="00CB5852">
        <w:rPr>
          <w:rFonts w:ascii="Palatino Linotype" w:eastAsia="Palatino Linotype" w:hAnsi="Palatino Linotype" w:cs="Palatino Linotype"/>
          <w:b/>
          <w:color w:val="000000"/>
        </w:rPr>
        <w:t>doce (12) de octubre de dos mil veintitrés</w:t>
      </w:r>
      <w:r w:rsidRPr="00CB5852">
        <w:rPr>
          <w:rFonts w:ascii="Palatino Linotype" w:eastAsia="Palatino Linotype" w:hAnsi="Palatino Linotype" w:cs="Palatino Linotype"/>
          <w:color w:val="000000"/>
        </w:rPr>
        <w:t xml:space="preserve">, de tal forma que el plazo para interponer el recurso de revisión transcurrió del </w:t>
      </w:r>
      <w:r w:rsidRPr="00CB5852">
        <w:rPr>
          <w:rFonts w:ascii="Palatino Linotype" w:eastAsia="Palatino Linotype" w:hAnsi="Palatino Linotype" w:cs="Palatino Linotype"/>
          <w:b/>
          <w:color w:val="000000"/>
        </w:rPr>
        <w:t>trece (13) de octubre al tres (03) de noviembre de dos mil veintitrés</w:t>
      </w:r>
      <w:r w:rsidRPr="00CB5852">
        <w:rPr>
          <w:rFonts w:ascii="Palatino Linotype" w:eastAsia="Palatino Linotype" w:hAnsi="Palatino Linotype" w:cs="Palatino Linotype"/>
          <w:color w:val="000000"/>
        </w:rPr>
        <w:t>, sin contemplar en el cómputo los sábados, domingos y días inhábiles, en términos del artículo 3, fracción X, de la Ley de Transparencia y Acceso a la Información Pública del Estado de México y Municipios.</w:t>
      </w:r>
    </w:p>
    <w:p w14:paraId="3B916B90" w14:textId="77777777" w:rsidR="00CA5363" w:rsidRPr="00CB5852" w:rsidRDefault="00CA5363">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B916B91" w14:textId="77777777" w:rsidR="00CA5363" w:rsidRPr="00CB5852" w:rsidRDefault="00E6107E">
      <w:pPr>
        <w:numPr>
          <w:ilvl w:val="0"/>
          <w:numId w:val="1"/>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lastRenderedPageBreak/>
        <w:t xml:space="preserve">Luego entonces, si el hoy </w:t>
      </w:r>
      <w:r w:rsidRPr="00CB5852">
        <w:rPr>
          <w:rFonts w:ascii="Palatino Linotype" w:eastAsia="Palatino Linotype" w:hAnsi="Palatino Linotype" w:cs="Palatino Linotype"/>
          <w:b/>
          <w:color w:val="000000"/>
        </w:rPr>
        <w:t>RECURRENTE</w:t>
      </w:r>
      <w:r w:rsidRPr="00CB5852">
        <w:rPr>
          <w:rFonts w:ascii="Palatino Linotype" w:eastAsia="Palatino Linotype" w:hAnsi="Palatino Linotype" w:cs="Palatino Linotype"/>
          <w:color w:val="000000"/>
        </w:rPr>
        <w:t xml:space="preserve"> presentó el recurso de revisión que hoy nos ocupa el </w:t>
      </w:r>
      <w:r w:rsidRPr="00CB5852">
        <w:rPr>
          <w:rFonts w:ascii="Palatino Linotype" w:eastAsia="Palatino Linotype" w:hAnsi="Palatino Linotype" w:cs="Palatino Linotype"/>
          <w:b/>
          <w:color w:val="000000"/>
        </w:rPr>
        <w:t>treinta (30) de octubre de dos mil veintitrés</w:t>
      </w:r>
      <w:r w:rsidRPr="00CB5852">
        <w:rPr>
          <w:rFonts w:ascii="Palatino Linotype" w:eastAsia="Palatino Linotype" w:hAnsi="Palatino Linotype" w:cs="Palatino Linotype"/>
          <w:color w:val="000000"/>
        </w:rPr>
        <w:t>, éste se encuentra dentro de los márgenes temporales previstos por la Ley de la materia.</w:t>
      </w:r>
    </w:p>
    <w:p w14:paraId="3B916B92" w14:textId="77777777" w:rsidR="00CA5363" w:rsidRPr="00CB5852" w:rsidRDefault="00CA5363">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B916B93"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Por otro lado, de la revisión al expediente electrónico contenido en el SAIMEX</w:t>
      </w:r>
      <w:r w:rsidRPr="00CB5852">
        <w:rPr>
          <w:rFonts w:ascii="Palatino Linotype" w:eastAsia="Palatino Linotype" w:hAnsi="Palatino Linotype" w:cs="Palatino Linotype"/>
          <w:b/>
          <w:color w:val="000000"/>
        </w:rPr>
        <w:t>,</w:t>
      </w:r>
      <w:r w:rsidRPr="00CB5852">
        <w:rPr>
          <w:rFonts w:ascii="Palatino Linotype" w:eastAsia="Palatino Linotype" w:hAnsi="Palatino Linotype" w:cs="Palatino Linotype"/>
          <w:color w:val="000000"/>
        </w:rPr>
        <w:t xml:space="preserve"> se desprende que la parte solicitante, en ejercicio de su derecho de acceso a la información pública en el expediente que se revisa, tanto en la solicitud de información como en el recurso de revisión, </w:t>
      </w:r>
      <w:r w:rsidRPr="00CB5852">
        <w:rPr>
          <w:rFonts w:ascii="Palatino Linotype" w:eastAsia="Palatino Linotype" w:hAnsi="Palatino Linotype" w:cs="Palatino Linotype"/>
          <w:b/>
          <w:color w:val="000000"/>
        </w:rPr>
        <w:t>no señaló ningún nombre, seudónimo o carácter para ser identificado, ni se tiene certeza de su identidad</w:t>
      </w:r>
      <w:r w:rsidRPr="00CB5852">
        <w:rPr>
          <w:rFonts w:ascii="Palatino Linotype" w:eastAsia="Palatino Linotype" w:hAnsi="Palatino Linotype" w:cs="Palatino Linotype"/>
          <w:color w:val="000000"/>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3B916B94"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95"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Esto es así, ya que de conformidad con los artículos 6, apartado A, fracciones III y IV de la </w:t>
      </w:r>
      <w:r w:rsidRPr="00CB5852">
        <w:rPr>
          <w:rFonts w:ascii="Palatino Linotype" w:eastAsia="Palatino Linotype" w:hAnsi="Palatino Linotype" w:cs="Palatino Linotype"/>
          <w:b/>
          <w:color w:val="000000"/>
        </w:rPr>
        <w:t>Constitución Política de los Estados Unidos Mexicanos</w:t>
      </w:r>
      <w:r w:rsidRPr="00CB5852">
        <w:rPr>
          <w:rFonts w:ascii="Palatino Linotype" w:eastAsia="Palatino Linotype" w:hAnsi="Palatino Linotype" w:cs="Palatino Linotype"/>
          <w:color w:val="000000"/>
        </w:rPr>
        <w:t xml:space="preserve">; 5, párrafos vigésimo segundo, vigésimo tercero y vigésimo cuarto, fracciones III, IV y V, de la </w:t>
      </w:r>
      <w:r w:rsidRPr="00CB5852">
        <w:rPr>
          <w:rFonts w:ascii="Palatino Linotype" w:eastAsia="Palatino Linotype" w:hAnsi="Palatino Linotype" w:cs="Palatino Linotype"/>
          <w:b/>
          <w:color w:val="000000"/>
        </w:rPr>
        <w:t>Constitución Política del Estado Libre y Soberano de México</w:t>
      </w:r>
      <w:r w:rsidRPr="00CB5852">
        <w:rPr>
          <w:rFonts w:ascii="Palatino Linotype" w:eastAsia="Palatino Linotype" w:hAnsi="Palatino Linotype" w:cs="Palatino Linotype"/>
          <w:color w:val="000000"/>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B916B96"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97"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lastRenderedPageBreak/>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916B98"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99"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Asimismo, como lo establece la Convención Americana en su artículo 13, el derecho de acceso a la información es un derecho humano universal </w:t>
      </w:r>
      <w:proofErr w:type="gramStart"/>
      <w:r w:rsidRPr="00CB5852">
        <w:rPr>
          <w:rFonts w:ascii="Palatino Linotype" w:eastAsia="Palatino Linotype" w:hAnsi="Palatino Linotype" w:cs="Palatino Linotype"/>
          <w:color w:val="000000"/>
        </w:rPr>
        <w:t>y</w:t>
      </w:r>
      <w:proofErr w:type="gramEnd"/>
      <w:r w:rsidRPr="00CB5852">
        <w:rPr>
          <w:rFonts w:ascii="Palatino Linotype" w:eastAsia="Palatino Linotype" w:hAnsi="Palatino Linotype" w:cs="Palatino Linotype"/>
          <w:color w:val="000000"/>
        </w:rPr>
        <w:t xml:space="preserve"> en consecuencia, toda persona tiene derecho a solicitar acceso a la información.</w:t>
      </w:r>
    </w:p>
    <w:p w14:paraId="3B916B9A"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9B" w14:textId="77777777" w:rsidR="00CA5363" w:rsidRPr="00CB5852" w:rsidRDefault="00E6107E">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3B916B9C"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9D" w14:textId="77777777" w:rsidR="00CA5363" w:rsidRPr="00CB5852" w:rsidRDefault="00E6107E">
      <w:pPr>
        <w:numPr>
          <w:ilvl w:val="0"/>
          <w:numId w:val="1"/>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Luego entonces, el nombre del </w:t>
      </w:r>
      <w:r w:rsidRPr="00CB5852">
        <w:rPr>
          <w:rFonts w:ascii="Palatino Linotype" w:eastAsia="Palatino Linotype" w:hAnsi="Palatino Linotype" w:cs="Palatino Linotype"/>
          <w:b/>
          <w:color w:val="000000"/>
        </w:rPr>
        <w:t>SOLICITANTE</w:t>
      </w:r>
      <w:r w:rsidRPr="00CB5852">
        <w:rPr>
          <w:rFonts w:ascii="Palatino Linotype" w:eastAsia="Palatino Linotype" w:hAnsi="Palatino Linotype" w:cs="Palatino Linotype"/>
          <w:color w:val="000000"/>
        </w:rPr>
        <w:t xml:space="preserve"> y subsecuente </w:t>
      </w:r>
      <w:r w:rsidRPr="00CB5852">
        <w:rPr>
          <w:rFonts w:ascii="Palatino Linotype" w:eastAsia="Palatino Linotype" w:hAnsi="Palatino Linotype" w:cs="Palatino Linotype"/>
          <w:b/>
          <w:color w:val="000000"/>
        </w:rPr>
        <w:t>RECURRENTE</w:t>
      </w:r>
      <w:r w:rsidRPr="00CB5852">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3B916B9E" w14:textId="77777777" w:rsidR="00CA5363" w:rsidRPr="00CB5852" w:rsidRDefault="00CA5363">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B916B9F" w14:textId="77777777" w:rsidR="00CA5363" w:rsidRPr="00CB5852" w:rsidRDefault="00E6107E">
      <w:pPr>
        <w:numPr>
          <w:ilvl w:val="0"/>
          <w:numId w:val="1"/>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lastRenderedPageBreak/>
        <w:t>Consecuencia de lo anterior, esta Ponencia Resolutora reconoce que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B916BA0" w14:textId="77777777" w:rsidR="00CA5363" w:rsidRPr="00CB5852" w:rsidRDefault="00CA5363">
      <w:pPr>
        <w:pBdr>
          <w:top w:val="nil"/>
          <w:left w:val="nil"/>
          <w:bottom w:val="nil"/>
          <w:right w:val="nil"/>
          <w:between w:val="nil"/>
        </w:pBdr>
        <w:tabs>
          <w:tab w:val="left" w:pos="284"/>
          <w:tab w:val="left" w:pos="426"/>
        </w:tabs>
        <w:rPr>
          <w:rFonts w:ascii="Palatino Linotype" w:eastAsia="Palatino Linotype" w:hAnsi="Palatino Linotype" w:cs="Palatino Linotype"/>
          <w:color w:val="000000"/>
        </w:rPr>
      </w:pPr>
    </w:p>
    <w:p w14:paraId="3B916BA1" w14:textId="77777777" w:rsidR="00CA5363" w:rsidRPr="00CB5852" w:rsidRDefault="00E6107E">
      <w:pPr>
        <w:pStyle w:val="Ttulo1"/>
        <w:tabs>
          <w:tab w:val="left" w:pos="284"/>
          <w:tab w:val="left" w:pos="426"/>
        </w:tabs>
        <w:spacing w:before="0" w:line="360" w:lineRule="auto"/>
        <w:rPr>
          <w:b/>
          <w:color w:val="000000"/>
          <w:szCs w:val="24"/>
        </w:rPr>
      </w:pPr>
      <w:bookmarkStart w:id="5" w:name="_heading=h.tyjcwt" w:colFirst="0" w:colLast="0"/>
      <w:bookmarkEnd w:id="5"/>
      <w:r w:rsidRPr="00CB5852">
        <w:rPr>
          <w:b/>
          <w:color w:val="000000"/>
          <w:szCs w:val="24"/>
        </w:rPr>
        <w:t xml:space="preserve">TERCERO. </w:t>
      </w:r>
      <w:r w:rsidRPr="00CB5852">
        <w:rPr>
          <w:b/>
          <w:szCs w:val="24"/>
        </w:rPr>
        <w:t>De las causales del sobreseimiento.</w:t>
      </w:r>
    </w:p>
    <w:p w14:paraId="3B916BA2" w14:textId="77777777" w:rsidR="00CA5363" w:rsidRPr="00CB5852" w:rsidRDefault="00E6107E">
      <w:pPr>
        <w:numPr>
          <w:ilvl w:val="0"/>
          <w:numId w:val="1"/>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bookmarkStart w:id="6" w:name="_heading=h.3dy6vkm" w:colFirst="0" w:colLast="0"/>
      <w:bookmarkEnd w:id="6"/>
      <w:r w:rsidRPr="00CB5852">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CB5852">
        <w:rPr>
          <w:rFonts w:ascii="Palatino Linotype" w:eastAsia="Palatino Linotype" w:hAnsi="Palatino Linotype" w:cs="Palatino Linotype"/>
          <w:color w:val="000000"/>
        </w:rPr>
        <w:t>desechamiento</w:t>
      </w:r>
      <w:proofErr w:type="spellEnd"/>
      <w:r w:rsidRPr="00CB5852">
        <w:rPr>
          <w:rFonts w:ascii="Palatino Linotype" w:eastAsia="Palatino Linotype" w:hAnsi="Palatino Linotype" w:cs="Palatino Linotype"/>
          <w:color w:val="000000"/>
        </w:rPr>
        <w:t xml:space="preserve"> o </w:t>
      </w:r>
      <w:r w:rsidRPr="00CB5852">
        <w:rPr>
          <w:rFonts w:ascii="Palatino Linotype" w:eastAsia="Palatino Linotype" w:hAnsi="Palatino Linotype" w:cs="Palatino Linotype"/>
          <w:b/>
          <w:color w:val="000000"/>
          <w:u w:val="single"/>
        </w:rPr>
        <w:t>sobreseimiento</w:t>
      </w:r>
      <w:r w:rsidRPr="00CB5852">
        <w:rPr>
          <w:rFonts w:ascii="Palatino Linotype" w:eastAsia="Palatino Linotype" w:hAnsi="Palatino Linotype" w:cs="Palatino Linotype"/>
          <w:color w:val="000000"/>
        </w:rPr>
        <w:t xml:space="preserve">; y, en su caso, ordenar la entrega de la información respecto a la respuesta emitida por el </w:t>
      </w:r>
      <w:r w:rsidRPr="00CB5852">
        <w:rPr>
          <w:rFonts w:ascii="Palatino Linotype" w:eastAsia="Palatino Linotype" w:hAnsi="Palatino Linotype" w:cs="Palatino Linotype"/>
          <w:b/>
          <w:color w:val="000000"/>
        </w:rPr>
        <w:t>SUJETO</w:t>
      </w:r>
      <w:r w:rsidRPr="00CB5852">
        <w:rPr>
          <w:rFonts w:ascii="Palatino Linotype" w:eastAsia="Palatino Linotype" w:hAnsi="Palatino Linotype" w:cs="Palatino Linotype"/>
          <w:color w:val="000000"/>
        </w:rPr>
        <w:t xml:space="preserve"> </w:t>
      </w:r>
      <w:r w:rsidRPr="00CB5852">
        <w:rPr>
          <w:rFonts w:ascii="Palatino Linotype" w:eastAsia="Palatino Linotype" w:hAnsi="Palatino Linotype" w:cs="Palatino Linotype"/>
          <w:b/>
          <w:color w:val="000000"/>
        </w:rPr>
        <w:t>OBLIGADO</w:t>
      </w:r>
      <w:r w:rsidRPr="00CB5852">
        <w:rPr>
          <w:rFonts w:ascii="Palatino Linotype" w:eastAsia="Palatino Linotype" w:hAnsi="Palatino Linotype" w:cs="Palatino Linotype"/>
          <w:color w:val="000000"/>
        </w:rPr>
        <w:t>.</w:t>
      </w:r>
    </w:p>
    <w:p w14:paraId="3B916BA3" w14:textId="77777777" w:rsidR="00CA5363" w:rsidRPr="00CB5852" w:rsidRDefault="00CA5363">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B916BA4" w14:textId="77777777" w:rsidR="00CA5363" w:rsidRPr="00CB5852" w:rsidRDefault="00E6107E">
      <w:pPr>
        <w:numPr>
          <w:ilvl w:val="0"/>
          <w:numId w:val="1"/>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Asimismo, es de señalar </w:t>
      </w:r>
      <w:proofErr w:type="gramStart"/>
      <w:r w:rsidRPr="00CB5852">
        <w:rPr>
          <w:rFonts w:ascii="Palatino Linotype" w:eastAsia="Palatino Linotype" w:hAnsi="Palatino Linotype" w:cs="Palatino Linotype"/>
          <w:color w:val="000000"/>
        </w:rPr>
        <w:t>que</w:t>
      </w:r>
      <w:proofErr w:type="gramEnd"/>
      <w:r w:rsidRPr="00CB5852">
        <w:rPr>
          <w:rFonts w:ascii="Palatino Linotype" w:eastAsia="Palatino Linotype" w:hAnsi="Palatino Linotype" w:cs="Palatino Linotype"/>
          <w:color w:val="000000"/>
        </w:rPr>
        <w:t xml:space="preserve"> para actualizar el sobreseimiento de un recurso de revisión, el </w:t>
      </w:r>
      <w:r w:rsidRPr="00CB5852">
        <w:rPr>
          <w:rFonts w:ascii="Palatino Linotype" w:eastAsia="Palatino Linotype" w:hAnsi="Palatino Linotype" w:cs="Palatino Linotype"/>
          <w:b/>
          <w:color w:val="000000"/>
        </w:rPr>
        <w:t>SUJETO OBLIGADO</w:t>
      </w:r>
      <w:r w:rsidRPr="00CB5852">
        <w:rPr>
          <w:rFonts w:ascii="Palatino Linotype" w:eastAsia="Palatino Linotype" w:hAnsi="Palatino Linotype" w:cs="Palatino Linotype"/>
          <w:color w:val="000000"/>
        </w:rPr>
        <w:t xml:space="preserve"> puede entregar o completar la información al momento de rendir su informe justificado o, dentro de los siete días previstos para manifestar lo que a su derecho convenga, ofrecer pruebas y alegatos; como se refiriera en párrafos anteriores.</w:t>
      </w:r>
    </w:p>
    <w:p w14:paraId="3B916BA5" w14:textId="77777777" w:rsidR="00CA5363" w:rsidRPr="00CB5852" w:rsidRDefault="00CA5363">
      <w:pPr>
        <w:pBdr>
          <w:top w:val="nil"/>
          <w:left w:val="nil"/>
          <w:bottom w:val="nil"/>
          <w:right w:val="nil"/>
          <w:between w:val="nil"/>
        </w:pBdr>
        <w:tabs>
          <w:tab w:val="left" w:pos="284"/>
          <w:tab w:val="left" w:pos="426"/>
        </w:tabs>
        <w:rPr>
          <w:rFonts w:ascii="Palatino Linotype" w:eastAsia="Palatino Linotype" w:hAnsi="Palatino Linotype" w:cs="Palatino Linotype"/>
          <w:color w:val="000000"/>
        </w:rPr>
      </w:pPr>
    </w:p>
    <w:p w14:paraId="3B916BA6" w14:textId="77777777" w:rsidR="00CA5363" w:rsidRPr="00CB5852" w:rsidRDefault="00E6107E" w:rsidP="00CB5852">
      <w:pPr>
        <w:pStyle w:val="Prrafodelista"/>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bookmarkStart w:id="7" w:name="_heading=h.1t3h5sf" w:colFirst="0" w:colLast="0"/>
      <w:bookmarkEnd w:id="7"/>
      <w:r w:rsidRPr="00CB5852">
        <w:rPr>
          <w:rFonts w:ascii="Palatino Linotype" w:eastAsia="Palatino Linotype" w:hAnsi="Palatino Linotype" w:cs="Palatino Linotype"/>
          <w:color w:val="000000"/>
        </w:rPr>
        <w:t xml:space="preserve">No obstante, en el presente asunto, el ingreso al estudio y análisis de fondo de la controversia será inminentemente excusada, consecuencia de que, como quedara establecido en el párrafo </w:t>
      </w:r>
      <w:r w:rsidRPr="00CB5852">
        <w:rPr>
          <w:rFonts w:ascii="Palatino Linotype" w:eastAsia="Palatino Linotype" w:hAnsi="Palatino Linotype" w:cs="Palatino Linotype"/>
          <w:b/>
          <w:color w:val="000000"/>
        </w:rPr>
        <w:t>21</w:t>
      </w:r>
      <w:r w:rsidRPr="00CB5852">
        <w:rPr>
          <w:rFonts w:ascii="Palatino Linotype" w:eastAsia="Palatino Linotype" w:hAnsi="Palatino Linotype" w:cs="Palatino Linotype"/>
          <w:color w:val="000000"/>
        </w:rPr>
        <w:t xml:space="preserve"> de la presente resolución, </w:t>
      </w:r>
      <w:r w:rsidRPr="00CB5852">
        <w:rPr>
          <w:rFonts w:ascii="Palatino Linotype" w:eastAsia="Palatino Linotype" w:hAnsi="Palatino Linotype" w:cs="Palatino Linotype"/>
          <w:b/>
          <w:color w:val="000000"/>
        </w:rPr>
        <w:t xml:space="preserve">el veintinueve (29) de febrero de dos mil veintitrés, el particular, por propio derecho, se </w:t>
      </w:r>
      <w:r w:rsidRPr="00CB5852">
        <w:rPr>
          <w:rFonts w:ascii="Palatino Linotype" w:eastAsia="Palatino Linotype" w:hAnsi="Palatino Linotype" w:cs="Palatino Linotype"/>
          <w:b/>
          <w:color w:val="000000"/>
          <w:u w:val="single"/>
        </w:rPr>
        <w:t>desistió</w:t>
      </w:r>
      <w:r w:rsidRPr="00CB5852">
        <w:rPr>
          <w:rFonts w:ascii="Palatino Linotype" w:eastAsia="Palatino Linotype" w:hAnsi="Palatino Linotype" w:cs="Palatino Linotype"/>
          <w:b/>
          <w:color w:val="000000"/>
        </w:rPr>
        <w:t xml:space="preserve"> del recurso de revisión que nos ocupa</w:t>
      </w:r>
      <w:r w:rsidRPr="00CB5852">
        <w:rPr>
          <w:rFonts w:ascii="Palatino Linotype" w:eastAsia="Palatino Linotype" w:hAnsi="Palatino Linotype" w:cs="Palatino Linotype"/>
          <w:color w:val="000000"/>
        </w:rPr>
        <w:t>, tal como se ilustra a continuación:</w:t>
      </w:r>
    </w:p>
    <w:p w14:paraId="3B916BA7"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A8" w14:textId="77777777" w:rsidR="00CA5363" w:rsidRPr="00CB5852" w:rsidRDefault="00E6107E">
      <w:pPr>
        <w:pBdr>
          <w:top w:val="nil"/>
          <w:left w:val="nil"/>
          <w:bottom w:val="nil"/>
          <w:right w:val="nil"/>
          <w:between w:val="nil"/>
        </w:pBdr>
        <w:spacing w:line="360" w:lineRule="auto"/>
        <w:ind w:left="426" w:right="49"/>
        <w:jc w:val="center"/>
        <w:rPr>
          <w:rFonts w:ascii="Palatino Linotype" w:eastAsia="Palatino Linotype" w:hAnsi="Palatino Linotype" w:cs="Palatino Linotype"/>
          <w:color w:val="000000"/>
        </w:rPr>
      </w:pPr>
      <w:r w:rsidRPr="00CB5852">
        <w:rPr>
          <w:rFonts w:ascii="Palatino Linotype" w:eastAsia="Palatino Linotype" w:hAnsi="Palatino Linotype" w:cs="Palatino Linotype"/>
          <w:noProof/>
          <w:color w:val="000000"/>
          <w:lang w:val="es-MX"/>
        </w:rPr>
        <w:lastRenderedPageBreak/>
        <w:drawing>
          <wp:inline distT="0" distB="0" distL="0" distR="0" wp14:anchorId="3B916BCF" wp14:editId="3B916BD0">
            <wp:extent cx="4694447" cy="2761534"/>
            <wp:effectExtent l="12700" t="12700" r="12700" b="127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94447" cy="2761534"/>
                    </a:xfrm>
                    <a:prstGeom prst="rect">
                      <a:avLst/>
                    </a:prstGeom>
                    <a:ln w="12700">
                      <a:solidFill>
                        <a:srgbClr val="000000"/>
                      </a:solidFill>
                      <a:prstDash val="solid"/>
                    </a:ln>
                  </pic:spPr>
                </pic:pic>
              </a:graphicData>
            </a:graphic>
          </wp:inline>
        </w:drawing>
      </w:r>
    </w:p>
    <w:p w14:paraId="3B916BA9" w14:textId="77777777" w:rsidR="00CA5363" w:rsidRPr="00CB5852" w:rsidRDefault="00E6107E">
      <w:pPr>
        <w:pBdr>
          <w:top w:val="nil"/>
          <w:left w:val="nil"/>
          <w:bottom w:val="nil"/>
          <w:right w:val="nil"/>
          <w:between w:val="nil"/>
        </w:pBdr>
        <w:spacing w:line="360" w:lineRule="auto"/>
        <w:ind w:left="426" w:right="49"/>
        <w:jc w:val="center"/>
        <w:rPr>
          <w:rFonts w:ascii="Palatino Linotype" w:eastAsia="Palatino Linotype" w:hAnsi="Palatino Linotype" w:cs="Palatino Linotype"/>
          <w:color w:val="000000"/>
        </w:rPr>
      </w:pPr>
      <w:r w:rsidRPr="00CB5852">
        <w:rPr>
          <w:rFonts w:ascii="Palatino Linotype" w:eastAsia="Palatino Linotype" w:hAnsi="Palatino Linotype" w:cs="Palatino Linotype"/>
          <w:noProof/>
          <w:color w:val="000000"/>
          <w:lang w:val="es-MX"/>
        </w:rPr>
        <w:drawing>
          <wp:inline distT="0" distB="0" distL="0" distR="0" wp14:anchorId="3B916BD1" wp14:editId="3B916BD2">
            <wp:extent cx="4713052" cy="3207626"/>
            <wp:effectExtent l="12700" t="12700" r="12700" b="127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713052" cy="3207626"/>
                    </a:xfrm>
                    <a:prstGeom prst="rect">
                      <a:avLst/>
                    </a:prstGeom>
                    <a:ln w="12700">
                      <a:solidFill>
                        <a:srgbClr val="000000"/>
                      </a:solidFill>
                      <a:prstDash val="solid"/>
                    </a:ln>
                  </pic:spPr>
                </pic:pic>
              </a:graphicData>
            </a:graphic>
          </wp:inline>
        </w:drawing>
      </w:r>
    </w:p>
    <w:p w14:paraId="3B916BAA" w14:textId="77777777" w:rsidR="00CA5363" w:rsidRPr="00CB5852" w:rsidRDefault="00CA5363">
      <w:pPr>
        <w:pBdr>
          <w:top w:val="nil"/>
          <w:left w:val="nil"/>
          <w:bottom w:val="nil"/>
          <w:right w:val="nil"/>
          <w:between w:val="nil"/>
        </w:pBdr>
        <w:spacing w:line="360" w:lineRule="auto"/>
        <w:ind w:left="426" w:right="49"/>
        <w:jc w:val="both"/>
        <w:rPr>
          <w:rFonts w:ascii="Palatino Linotype" w:eastAsia="Palatino Linotype" w:hAnsi="Palatino Linotype" w:cs="Palatino Linotype"/>
          <w:color w:val="000000"/>
        </w:rPr>
      </w:pPr>
    </w:p>
    <w:p w14:paraId="3B916BAB" w14:textId="77777777" w:rsidR="00CA5363" w:rsidRPr="00CB5852" w:rsidRDefault="00E6107E" w:rsidP="00CB585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De las imágenes insertas, se advierte que efectivamente el particular hizo uso de la opción </w:t>
      </w:r>
      <w:r w:rsidRPr="00CB5852">
        <w:rPr>
          <w:rFonts w:ascii="Palatino Linotype" w:eastAsia="Palatino Linotype" w:hAnsi="Palatino Linotype" w:cs="Palatino Linotype"/>
          <w:b/>
          <w:i/>
          <w:color w:val="000000"/>
        </w:rPr>
        <w:t>“Desistir”</w:t>
      </w:r>
      <w:r w:rsidRPr="00CB5852">
        <w:rPr>
          <w:rFonts w:ascii="Palatino Linotype" w:eastAsia="Palatino Linotype" w:hAnsi="Palatino Linotype" w:cs="Palatino Linotype"/>
          <w:color w:val="000000"/>
        </w:rPr>
        <w:t xml:space="preserve"> al recurso de revisión en el SAIMEX, opción que </w:t>
      </w:r>
      <w:r w:rsidRPr="00CB5852">
        <w:rPr>
          <w:rFonts w:ascii="Palatino Linotype" w:eastAsia="Palatino Linotype" w:hAnsi="Palatino Linotype" w:cs="Palatino Linotype"/>
          <w:b/>
          <w:color w:val="000000"/>
          <w:u w:val="single"/>
        </w:rPr>
        <w:t>ÚNICAMENTE</w:t>
      </w:r>
      <w:r w:rsidRPr="00CB5852">
        <w:rPr>
          <w:rFonts w:ascii="Palatino Linotype" w:eastAsia="Palatino Linotype" w:hAnsi="Palatino Linotype" w:cs="Palatino Linotype"/>
          <w:color w:val="000000"/>
        </w:rPr>
        <w:t xml:space="preserve"> puede hacer uso el usuario dueño de la cuenta, previo ingreso de su nombre de usuario y contraseña. Asimismo, se aprecia que el </w:t>
      </w:r>
      <w:r w:rsidRPr="00CB5852">
        <w:rPr>
          <w:rFonts w:ascii="Palatino Linotype" w:eastAsia="Palatino Linotype" w:hAnsi="Palatino Linotype" w:cs="Palatino Linotype"/>
          <w:b/>
          <w:color w:val="000000"/>
        </w:rPr>
        <w:t>RECURRENTE</w:t>
      </w:r>
      <w:r w:rsidRPr="00CB5852">
        <w:rPr>
          <w:rFonts w:ascii="Palatino Linotype" w:eastAsia="Palatino Linotype" w:hAnsi="Palatino Linotype" w:cs="Palatino Linotype"/>
          <w:color w:val="000000"/>
        </w:rPr>
        <w:t xml:space="preserve"> </w:t>
      </w:r>
      <w:r w:rsidRPr="00CB5852">
        <w:rPr>
          <w:rFonts w:ascii="Palatino Linotype" w:eastAsia="Palatino Linotype" w:hAnsi="Palatino Linotype" w:cs="Palatino Linotype"/>
          <w:color w:val="000000"/>
        </w:rPr>
        <w:lastRenderedPageBreak/>
        <w:t xml:space="preserve">manifestó, dentro del cuerpo del desistimiento, </w:t>
      </w:r>
      <w:r w:rsidRPr="00CB5852">
        <w:rPr>
          <w:rFonts w:ascii="Palatino Linotype" w:eastAsia="Palatino Linotype" w:hAnsi="Palatino Linotype" w:cs="Palatino Linotype"/>
          <w:b/>
          <w:i/>
          <w:color w:val="000000"/>
        </w:rPr>
        <w:t>“ya no requiero la información”</w:t>
      </w:r>
      <w:r w:rsidRPr="00CB5852">
        <w:rPr>
          <w:rFonts w:ascii="Palatino Linotype" w:eastAsia="Palatino Linotype" w:hAnsi="Palatino Linotype" w:cs="Palatino Linotype"/>
          <w:i/>
          <w:color w:val="000000"/>
        </w:rPr>
        <w:t>,</w:t>
      </w:r>
      <w:r w:rsidRPr="00CB5852">
        <w:rPr>
          <w:rFonts w:ascii="Palatino Linotype" w:eastAsia="Palatino Linotype" w:hAnsi="Palatino Linotype" w:cs="Palatino Linotype"/>
          <w:color w:val="000000"/>
        </w:rPr>
        <w:t xml:space="preserve"> como se puede apreciar en la segunda imagen, lo cual manifiesta la exteriorización de un pronunciamiento personal, imposible de ser escrito de manera automatizada.</w:t>
      </w:r>
    </w:p>
    <w:p w14:paraId="3B916BAC"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AD" w14:textId="77777777" w:rsidR="00CA5363" w:rsidRPr="00CB5852" w:rsidRDefault="00E6107E" w:rsidP="00CB585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 Así las cosas, cabe resaltar de igual manera que, al seleccionar la opción de </w:t>
      </w:r>
      <w:r w:rsidRPr="00CB5852">
        <w:rPr>
          <w:rFonts w:ascii="Palatino Linotype" w:eastAsia="Palatino Linotype" w:hAnsi="Palatino Linotype" w:cs="Palatino Linotype"/>
          <w:b/>
          <w:color w:val="000000"/>
        </w:rPr>
        <w:t>desistimiento</w:t>
      </w:r>
      <w:r w:rsidRPr="00CB5852">
        <w:rPr>
          <w:rFonts w:ascii="Palatino Linotype" w:eastAsia="Palatino Linotype" w:hAnsi="Palatino Linotype" w:cs="Palatino Linotype"/>
          <w:color w:val="000000"/>
        </w:rPr>
        <w:t xml:space="preserve">, aparece al usuario una ventana de alerta con el objeto de que confirme que efectivamente es su deseo </w:t>
      </w:r>
      <w:r w:rsidRPr="00CB5852">
        <w:rPr>
          <w:rFonts w:ascii="Palatino Linotype" w:eastAsia="Palatino Linotype" w:hAnsi="Palatino Linotype" w:cs="Palatino Linotype"/>
          <w:b/>
          <w:color w:val="000000"/>
        </w:rPr>
        <w:t>desistirse</w:t>
      </w:r>
      <w:r w:rsidRPr="00CB5852">
        <w:rPr>
          <w:rFonts w:ascii="Palatino Linotype" w:eastAsia="Palatino Linotype" w:hAnsi="Palatino Linotype" w:cs="Palatino Linotype"/>
          <w:color w:val="000000"/>
        </w:rPr>
        <w:t xml:space="preserve"> del recurso; </w:t>
      </w:r>
      <w:r w:rsidRPr="00CB5852">
        <w:rPr>
          <w:rFonts w:ascii="Palatino Linotype" w:eastAsia="Palatino Linotype" w:hAnsi="Palatino Linotype" w:cs="Palatino Linotype"/>
          <w:b/>
          <w:color w:val="000000"/>
        </w:rPr>
        <w:t>luego entonces, no ha lugar suponer que éste haya sido por error involuntario, lo que se constituye como un desistimiento expreso</w:t>
      </w:r>
      <w:r w:rsidRPr="00CB5852">
        <w:rPr>
          <w:rFonts w:ascii="Palatino Linotype" w:eastAsia="Palatino Linotype" w:hAnsi="Palatino Linotype" w:cs="Palatino Linotype"/>
          <w:color w:val="000000"/>
        </w:rPr>
        <w:t>.</w:t>
      </w:r>
    </w:p>
    <w:p w14:paraId="3B916BAE"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AF" w14:textId="77777777" w:rsidR="00CA5363" w:rsidRPr="00CB5852" w:rsidRDefault="00E6107E" w:rsidP="00CB585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En ese orden de ideas, la fracción I del artículo 192 de la Ley de Transparencia y Acceso a la Información Pública del Estado de México y Municipios, establece lo siguiente:</w:t>
      </w:r>
    </w:p>
    <w:p w14:paraId="3B916BB0" w14:textId="77777777" w:rsidR="00CA5363" w:rsidRPr="00CB5852" w:rsidRDefault="00E6107E">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rPr>
      </w:pPr>
      <w:r w:rsidRPr="00CB5852">
        <w:rPr>
          <w:rFonts w:ascii="Palatino Linotype" w:eastAsia="Palatino Linotype" w:hAnsi="Palatino Linotype" w:cs="Palatino Linotype"/>
          <w:i/>
          <w:color w:val="000000"/>
          <w:sz w:val="22"/>
        </w:rPr>
        <w:t>“</w:t>
      </w:r>
      <w:r w:rsidRPr="00CB5852">
        <w:rPr>
          <w:rFonts w:ascii="Palatino Linotype" w:eastAsia="Palatino Linotype" w:hAnsi="Palatino Linotype" w:cs="Palatino Linotype"/>
          <w:b/>
          <w:i/>
          <w:color w:val="000000"/>
          <w:sz w:val="22"/>
        </w:rPr>
        <w:t>Artículo 192.</w:t>
      </w:r>
      <w:r w:rsidRPr="00CB5852">
        <w:rPr>
          <w:rFonts w:ascii="Palatino Linotype" w:eastAsia="Palatino Linotype" w:hAnsi="Palatino Linotype" w:cs="Palatino Linotype"/>
          <w:i/>
          <w:color w:val="000000"/>
          <w:sz w:val="22"/>
        </w:rPr>
        <w:t xml:space="preserve"> El recurso será sobreseído, en todo o en parte, cuando una vez admitido, se actualicen alguno de los siguientes supuestos:</w:t>
      </w:r>
    </w:p>
    <w:p w14:paraId="3B916BB1" w14:textId="77777777" w:rsidR="00CA5363" w:rsidRPr="00CB5852" w:rsidRDefault="00E6107E">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rPr>
      </w:pPr>
      <w:r w:rsidRPr="00CB5852">
        <w:rPr>
          <w:rFonts w:ascii="Palatino Linotype" w:eastAsia="Palatino Linotype" w:hAnsi="Palatino Linotype" w:cs="Palatino Linotype"/>
          <w:b/>
          <w:i/>
          <w:color w:val="000000"/>
          <w:sz w:val="22"/>
        </w:rPr>
        <w:t>I.</w:t>
      </w:r>
      <w:r w:rsidRPr="00CB5852">
        <w:rPr>
          <w:rFonts w:ascii="Palatino Linotype" w:eastAsia="Palatino Linotype" w:hAnsi="Palatino Linotype" w:cs="Palatino Linotype"/>
          <w:i/>
          <w:color w:val="000000"/>
          <w:sz w:val="22"/>
        </w:rPr>
        <w:t xml:space="preserve"> </w:t>
      </w:r>
      <w:r w:rsidRPr="00CB5852">
        <w:rPr>
          <w:rFonts w:ascii="Palatino Linotype" w:eastAsia="Palatino Linotype" w:hAnsi="Palatino Linotype" w:cs="Palatino Linotype"/>
          <w:b/>
          <w:i/>
          <w:color w:val="000000"/>
          <w:sz w:val="22"/>
        </w:rPr>
        <w:t>El recurrente se desista expresamente del recurso</w:t>
      </w:r>
      <w:r w:rsidRPr="00CB5852">
        <w:rPr>
          <w:rFonts w:ascii="Palatino Linotype" w:eastAsia="Palatino Linotype" w:hAnsi="Palatino Linotype" w:cs="Palatino Linotype"/>
          <w:i/>
          <w:color w:val="000000"/>
          <w:sz w:val="22"/>
        </w:rPr>
        <w:t>;</w:t>
      </w:r>
    </w:p>
    <w:p w14:paraId="3B916BB2" w14:textId="77777777" w:rsidR="00CA5363" w:rsidRPr="00CB5852" w:rsidRDefault="00E6107E">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rPr>
      </w:pPr>
      <w:r w:rsidRPr="00CB5852">
        <w:rPr>
          <w:rFonts w:ascii="Palatino Linotype" w:eastAsia="Palatino Linotype" w:hAnsi="Palatino Linotype" w:cs="Palatino Linotype"/>
          <w:i/>
          <w:color w:val="000000"/>
          <w:sz w:val="22"/>
        </w:rPr>
        <w:t>(…)”</w:t>
      </w:r>
    </w:p>
    <w:p w14:paraId="3B916BB3" w14:textId="77777777" w:rsidR="00CA5363" w:rsidRPr="00CB5852" w:rsidRDefault="00E6107E">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rPr>
      </w:pPr>
      <w:r w:rsidRPr="00CB5852">
        <w:rPr>
          <w:rFonts w:ascii="Palatino Linotype" w:eastAsia="Palatino Linotype" w:hAnsi="Palatino Linotype" w:cs="Palatino Linotype"/>
          <w:color w:val="000000"/>
          <w:sz w:val="22"/>
        </w:rPr>
        <w:t>(Énfasis añadido)</w:t>
      </w:r>
    </w:p>
    <w:p w14:paraId="3B916BB4" w14:textId="77777777" w:rsidR="00CA5363" w:rsidRPr="00CB5852" w:rsidRDefault="00CA5363">
      <w:pPr>
        <w:pBdr>
          <w:top w:val="nil"/>
          <w:left w:val="nil"/>
          <w:bottom w:val="nil"/>
          <w:right w:val="nil"/>
          <w:between w:val="nil"/>
        </w:pBdr>
        <w:spacing w:line="360" w:lineRule="auto"/>
        <w:ind w:left="426" w:right="49"/>
        <w:jc w:val="both"/>
        <w:rPr>
          <w:rFonts w:ascii="Palatino Linotype" w:eastAsia="Palatino Linotype" w:hAnsi="Palatino Linotype" w:cs="Palatino Linotype"/>
          <w:color w:val="000000"/>
        </w:rPr>
      </w:pPr>
    </w:p>
    <w:p w14:paraId="3B916BB5" w14:textId="77777777" w:rsidR="00CA5363" w:rsidRPr="00CB5852" w:rsidRDefault="00E6107E" w:rsidP="00CB585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De tal guisa que la Ley de la materia reconoce como una de las causales de </w:t>
      </w:r>
      <w:r w:rsidRPr="00CB5852">
        <w:rPr>
          <w:rFonts w:ascii="Palatino Linotype" w:eastAsia="Palatino Linotype" w:hAnsi="Palatino Linotype" w:cs="Palatino Linotype"/>
          <w:b/>
          <w:color w:val="000000"/>
        </w:rPr>
        <w:t>sobreseimiento</w:t>
      </w:r>
      <w:r w:rsidRPr="00CB5852">
        <w:rPr>
          <w:rFonts w:ascii="Palatino Linotype" w:eastAsia="Palatino Linotype" w:hAnsi="Palatino Linotype" w:cs="Palatino Linotype"/>
          <w:color w:val="000000"/>
        </w:rPr>
        <w:t xml:space="preserve"> del recurso de revisión en materia de acceso a la información pública, el </w:t>
      </w:r>
      <w:r w:rsidRPr="00CB5852">
        <w:rPr>
          <w:rFonts w:ascii="Palatino Linotype" w:eastAsia="Palatino Linotype" w:hAnsi="Palatino Linotype" w:cs="Palatino Linotype"/>
          <w:b/>
          <w:color w:val="000000"/>
        </w:rPr>
        <w:t>desistimiento</w:t>
      </w:r>
      <w:r w:rsidRPr="00CB5852">
        <w:rPr>
          <w:rFonts w:ascii="Palatino Linotype" w:eastAsia="Palatino Linotype" w:hAnsi="Palatino Linotype" w:cs="Palatino Linotype"/>
          <w:color w:val="000000"/>
        </w:rPr>
        <w:t xml:space="preserve"> expreso por parte del </w:t>
      </w:r>
      <w:r w:rsidRPr="00CB5852">
        <w:rPr>
          <w:rFonts w:ascii="Palatino Linotype" w:eastAsia="Palatino Linotype" w:hAnsi="Palatino Linotype" w:cs="Palatino Linotype"/>
          <w:b/>
          <w:color w:val="000000"/>
        </w:rPr>
        <w:t>RECURRENTE</w:t>
      </w:r>
      <w:r w:rsidRPr="00CB5852">
        <w:rPr>
          <w:rFonts w:ascii="Palatino Linotype" w:eastAsia="Palatino Linotype" w:hAnsi="Palatino Linotype" w:cs="Palatino Linotype"/>
          <w:color w:val="000000"/>
        </w:rPr>
        <w:t>, situación que, como ha sido establecida a lo largo de los párrafos previos, y cuyo acuse digital no deja duda alguna la pretensión del particular de no continuar con el procedimiento.</w:t>
      </w:r>
    </w:p>
    <w:p w14:paraId="3B916BB6"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B7" w14:textId="77777777" w:rsidR="00CA5363" w:rsidRPr="00CB5852" w:rsidRDefault="00E6107E" w:rsidP="00CB585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lastRenderedPageBreak/>
        <w:t>Robustece lo anterior la tesis aislada I.15o.T.2 K (10a.), del Décimo Quinto Tribunal Colegiado en Materia de Trabajo del Primer Circuito, misma que se anexa a continuación:</w:t>
      </w:r>
    </w:p>
    <w:p w14:paraId="3B916BB8" w14:textId="77777777" w:rsidR="00CA5363" w:rsidRPr="00CB5852" w:rsidRDefault="00E6107E">
      <w:pPr>
        <w:pBdr>
          <w:top w:val="nil"/>
          <w:left w:val="nil"/>
          <w:bottom w:val="nil"/>
          <w:right w:val="nil"/>
          <w:between w:val="nil"/>
        </w:pBdr>
        <w:ind w:left="567" w:right="567"/>
        <w:jc w:val="both"/>
        <w:rPr>
          <w:rFonts w:ascii="Palatino Linotype" w:eastAsia="Palatino Linotype" w:hAnsi="Palatino Linotype" w:cs="Palatino Linotype"/>
          <w:i/>
          <w:color w:val="000000"/>
          <w:sz w:val="22"/>
        </w:rPr>
      </w:pPr>
      <w:r w:rsidRPr="00CB5852">
        <w:rPr>
          <w:rFonts w:ascii="Palatino Linotype" w:eastAsia="Palatino Linotype" w:hAnsi="Palatino Linotype" w:cs="Palatino Linotype"/>
          <w:b/>
          <w:i/>
          <w:color w:val="000000"/>
          <w:sz w:val="22"/>
        </w:rPr>
        <w:t>DESISTIMIENTO DEL RECURSO DE REVISIÓN EN AMPARO INDIRECTO. ES INNECESARIO QUE SE RATIFIQUE EL ESCRITO CORRESPONDIENTE, CUANDO SU REQUERIMIENTO SE NOTIFICÓ PERSONALMENTE.</w:t>
      </w:r>
      <w:r w:rsidRPr="00CB5852">
        <w:rPr>
          <w:rFonts w:ascii="Palatino Linotype" w:eastAsia="Palatino Linotype" w:hAnsi="Palatino Linotype" w:cs="Palatino Linotype"/>
          <w:i/>
          <w:color w:val="000000"/>
          <w:sz w:val="22"/>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 a decretar el sobreseimiento.”</w:t>
      </w:r>
    </w:p>
    <w:p w14:paraId="3B916BB9"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BA" w14:textId="77777777" w:rsidR="00CA5363" w:rsidRPr="00CB5852" w:rsidRDefault="00E6107E" w:rsidP="00CB585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 xml:space="preserve">Por consiguiente, al existir un desistimiento expreso por parte del </w:t>
      </w:r>
      <w:r w:rsidRPr="00CB5852">
        <w:rPr>
          <w:rFonts w:ascii="Palatino Linotype" w:eastAsia="Palatino Linotype" w:hAnsi="Palatino Linotype" w:cs="Palatino Linotype"/>
          <w:b/>
          <w:color w:val="000000"/>
        </w:rPr>
        <w:t>RECURRENTE</w:t>
      </w:r>
      <w:r w:rsidRPr="00CB5852">
        <w:rPr>
          <w:rFonts w:ascii="Palatino Linotype" w:eastAsia="Palatino Linotype" w:hAnsi="Palatino Linotype" w:cs="Palatino Linotype"/>
          <w:color w:val="000000"/>
        </w:rPr>
        <w:t xml:space="preserve">, este Pleno determina el </w:t>
      </w:r>
      <w:r w:rsidRPr="00CB5852">
        <w:rPr>
          <w:rFonts w:ascii="Palatino Linotype" w:eastAsia="Palatino Linotype" w:hAnsi="Palatino Linotype" w:cs="Palatino Linotype"/>
          <w:b/>
          <w:color w:val="000000"/>
        </w:rPr>
        <w:t>SOBRESEIMIENTO</w:t>
      </w:r>
      <w:r w:rsidRPr="00CB5852">
        <w:rPr>
          <w:rFonts w:ascii="Palatino Linotype" w:eastAsia="Palatino Linotype" w:hAnsi="Palatino Linotype" w:cs="Palatino Linotype"/>
          <w:color w:val="000000"/>
        </w:rPr>
        <w:t xml:space="preserve"> del presente recurso de revisión.</w:t>
      </w:r>
    </w:p>
    <w:p w14:paraId="3B916BBB" w14:textId="77777777" w:rsidR="00CA5363" w:rsidRPr="00CB5852" w:rsidRDefault="00CA536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916BBC" w14:textId="77777777" w:rsidR="00CA5363" w:rsidRPr="00CB5852" w:rsidRDefault="00E6107E" w:rsidP="00CB585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Por lo anteriormente expuesto, este Órgano Garante emite los siguientes: --------------------------------------------------------------------------------------------------------------------</w:t>
      </w:r>
    </w:p>
    <w:p w14:paraId="3B916BBD" w14:textId="77777777" w:rsidR="00CA5363" w:rsidRPr="00CB5852" w:rsidRDefault="00E6107E">
      <w:pPr>
        <w:rPr>
          <w:rFonts w:ascii="Palatino Linotype" w:eastAsia="Palatino Linotype" w:hAnsi="Palatino Linotype" w:cs="Palatino Linotype"/>
          <w:color w:val="000000"/>
        </w:rPr>
      </w:pPr>
      <w:r w:rsidRPr="00CB5852">
        <w:br w:type="page"/>
      </w:r>
    </w:p>
    <w:p w14:paraId="3B916BBE" w14:textId="77777777" w:rsidR="00CA5363" w:rsidRPr="00CB5852" w:rsidRDefault="00E6107E">
      <w:pPr>
        <w:pStyle w:val="Ttulo1"/>
        <w:spacing w:before="0" w:line="360" w:lineRule="auto"/>
        <w:jc w:val="center"/>
        <w:rPr>
          <w:b/>
          <w:color w:val="000000"/>
          <w:szCs w:val="24"/>
        </w:rPr>
      </w:pPr>
      <w:bookmarkStart w:id="8" w:name="_heading=h.4d34og8" w:colFirst="0" w:colLast="0"/>
      <w:bookmarkEnd w:id="8"/>
      <w:r w:rsidRPr="00CB5852">
        <w:rPr>
          <w:b/>
          <w:color w:val="000000"/>
          <w:szCs w:val="24"/>
        </w:rPr>
        <w:lastRenderedPageBreak/>
        <w:t>R E S O L U T I V O S</w:t>
      </w:r>
    </w:p>
    <w:p w14:paraId="3B916BBF" w14:textId="77777777" w:rsidR="00CA5363" w:rsidRPr="00CB5852" w:rsidRDefault="00CA5363">
      <w:pPr>
        <w:spacing w:line="360" w:lineRule="auto"/>
        <w:jc w:val="both"/>
        <w:rPr>
          <w:rFonts w:ascii="Palatino Linotype" w:eastAsia="Palatino Linotype" w:hAnsi="Palatino Linotype" w:cs="Palatino Linotype"/>
          <w:b/>
        </w:rPr>
      </w:pPr>
    </w:p>
    <w:p w14:paraId="3B916BC0" w14:textId="77777777" w:rsidR="00CA5363" w:rsidRPr="00CB5852" w:rsidRDefault="00E6107E">
      <w:pPr>
        <w:spacing w:line="360" w:lineRule="auto"/>
        <w:jc w:val="both"/>
        <w:rPr>
          <w:rFonts w:ascii="Palatino Linotype" w:eastAsia="Palatino Linotype" w:hAnsi="Palatino Linotype" w:cs="Palatino Linotype"/>
        </w:rPr>
      </w:pPr>
      <w:bookmarkStart w:id="9" w:name="_heading=h.2s8eyo1" w:colFirst="0" w:colLast="0"/>
      <w:bookmarkEnd w:id="9"/>
      <w:r w:rsidRPr="00CB5852">
        <w:rPr>
          <w:rFonts w:ascii="Palatino Linotype" w:eastAsia="Palatino Linotype" w:hAnsi="Palatino Linotype" w:cs="Palatino Linotype"/>
          <w:b/>
        </w:rPr>
        <w:t>PRIMERO.</w:t>
      </w:r>
      <w:r w:rsidRPr="00CB5852">
        <w:rPr>
          <w:rFonts w:ascii="Palatino Linotype" w:eastAsia="Palatino Linotype" w:hAnsi="Palatino Linotype" w:cs="Palatino Linotype"/>
        </w:rPr>
        <w:t xml:space="preserve"> Se </w:t>
      </w:r>
      <w:r w:rsidRPr="00CB5852">
        <w:rPr>
          <w:rFonts w:ascii="Palatino Linotype" w:eastAsia="Palatino Linotype" w:hAnsi="Palatino Linotype" w:cs="Palatino Linotype"/>
          <w:b/>
        </w:rPr>
        <w:t>SOBRESEE</w:t>
      </w:r>
      <w:r w:rsidRPr="00CB5852">
        <w:rPr>
          <w:rFonts w:ascii="Palatino Linotype" w:eastAsia="Palatino Linotype" w:hAnsi="Palatino Linotype" w:cs="Palatino Linotype"/>
        </w:rPr>
        <w:t xml:space="preserve"> el recurso de revisión número </w:t>
      </w:r>
      <w:r w:rsidRPr="00CB5852">
        <w:rPr>
          <w:rFonts w:ascii="Palatino Linotype" w:eastAsia="Palatino Linotype" w:hAnsi="Palatino Linotype" w:cs="Palatino Linotype"/>
          <w:b/>
        </w:rPr>
        <w:t>07568/INFOEM/IP/RR/2023</w:t>
      </w:r>
      <w:r w:rsidRPr="00CB5852">
        <w:rPr>
          <w:rFonts w:ascii="Palatino Linotype" w:eastAsia="Palatino Linotype" w:hAnsi="Palatino Linotype" w:cs="Palatino Linotype"/>
        </w:rPr>
        <w:t xml:space="preserve">, conforme al artículo 192, fracción I de la Ley de Transparencia y Acceso a la Información Pública del Estado de México y </w:t>
      </w:r>
      <w:proofErr w:type="gramStart"/>
      <w:r w:rsidRPr="00CB5852">
        <w:rPr>
          <w:rFonts w:ascii="Palatino Linotype" w:eastAsia="Palatino Linotype" w:hAnsi="Palatino Linotype" w:cs="Palatino Linotype"/>
        </w:rPr>
        <w:t xml:space="preserve">Municipios,  </w:t>
      </w:r>
      <w:r w:rsidRPr="00CB5852">
        <w:rPr>
          <w:rFonts w:ascii="Palatino Linotype" w:eastAsia="Palatino Linotype" w:hAnsi="Palatino Linotype" w:cs="Palatino Linotype"/>
          <w:b/>
        </w:rPr>
        <w:t>por</w:t>
      </w:r>
      <w:proofErr w:type="gramEnd"/>
      <w:r w:rsidRPr="00CB5852">
        <w:rPr>
          <w:rFonts w:ascii="Palatino Linotype" w:eastAsia="Palatino Linotype" w:hAnsi="Palatino Linotype" w:cs="Palatino Linotype"/>
          <w:b/>
        </w:rPr>
        <w:t xml:space="preserve"> haberse desistido expresamente el</w:t>
      </w:r>
      <w:r w:rsidRPr="00CB5852">
        <w:rPr>
          <w:rFonts w:ascii="Palatino Linotype" w:eastAsia="Palatino Linotype" w:hAnsi="Palatino Linotype" w:cs="Palatino Linotype"/>
        </w:rPr>
        <w:t xml:space="preserve"> </w:t>
      </w:r>
      <w:r w:rsidRPr="00CB5852">
        <w:rPr>
          <w:rFonts w:ascii="Palatino Linotype" w:eastAsia="Palatino Linotype" w:hAnsi="Palatino Linotype" w:cs="Palatino Linotype"/>
          <w:b/>
        </w:rPr>
        <w:t>RECURRENTE</w:t>
      </w:r>
      <w:r w:rsidRPr="00CB5852">
        <w:rPr>
          <w:rFonts w:ascii="Palatino Linotype" w:eastAsia="Palatino Linotype" w:hAnsi="Palatino Linotype" w:cs="Palatino Linotype"/>
        </w:rPr>
        <w:t xml:space="preserve">, en términos del </w:t>
      </w:r>
      <w:r w:rsidR="00CB5852">
        <w:rPr>
          <w:rFonts w:ascii="Palatino Linotype" w:eastAsia="Palatino Linotype" w:hAnsi="Palatino Linotype" w:cs="Palatino Linotype"/>
          <w:b/>
        </w:rPr>
        <w:t>c</w:t>
      </w:r>
      <w:r w:rsidRPr="00CB5852">
        <w:rPr>
          <w:rFonts w:ascii="Palatino Linotype" w:eastAsia="Palatino Linotype" w:hAnsi="Palatino Linotype" w:cs="Palatino Linotype"/>
          <w:b/>
        </w:rPr>
        <w:t>onsiderando TERCERO</w:t>
      </w:r>
      <w:r w:rsidRPr="00CB5852">
        <w:rPr>
          <w:rFonts w:ascii="Palatino Linotype" w:eastAsia="Palatino Linotype" w:hAnsi="Palatino Linotype" w:cs="Palatino Linotype"/>
        </w:rPr>
        <w:t xml:space="preserve"> de la presente resolución.</w:t>
      </w:r>
    </w:p>
    <w:p w14:paraId="3B916BC1" w14:textId="77777777" w:rsidR="00CA5363" w:rsidRPr="00CB5852" w:rsidRDefault="00CA5363">
      <w:pPr>
        <w:spacing w:line="360" w:lineRule="auto"/>
        <w:jc w:val="both"/>
        <w:rPr>
          <w:rFonts w:ascii="Palatino Linotype" w:eastAsia="Palatino Linotype" w:hAnsi="Palatino Linotype" w:cs="Palatino Linotype"/>
        </w:rPr>
      </w:pPr>
    </w:p>
    <w:p w14:paraId="3B916BC2" w14:textId="77777777" w:rsidR="00CA5363" w:rsidRPr="00CB5852" w:rsidRDefault="00E6107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B5852">
        <w:rPr>
          <w:rFonts w:ascii="Palatino Linotype" w:eastAsia="Palatino Linotype" w:hAnsi="Palatino Linotype" w:cs="Palatino Linotype"/>
          <w:b/>
          <w:color w:val="000000"/>
        </w:rPr>
        <w:t xml:space="preserve">SEGUNDO. Notifíquese </w:t>
      </w:r>
      <w:r w:rsidRPr="00CB5852">
        <w:rPr>
          <w:rFonts w:ascii="Palatino Linotype" w:eastAsia="Palatino Linotype" w:hAnsi="Palatino Linotype" w:cs="Palatino Linotype"/>
          <w:color w:val="000000"/>
        </w:rPr>
        <w:t>a través del Sistema de Acceso a la Información Mexiquense (SAIMEX) la presente resolución al Titular de la Unidad de Transparencia del</w:t>
      </w:r>
      <w:r w:rsidRPr="00CB5852">
        <w:rPr>
          <w:rFonts w:ascii="Palatino Linotype" w:eastAsia="Palatino Linotype" w:hAnsi="Palatino Linotype" w:cs="Palatino Linotype"/>
          <w:b/>
          <w:color w:val="000000"/>
        </w:rPr>
        <w:t xml:space="preserve"> SUJETO OBLIGADO. </w:t>
      </w:r>
    </w:p>
    <w:p w14:paraId="3B916BC3" w14:textId="77777777" w:rsidR="00CA5363" w:rsidRPr="00CB5852" w:rsidRDefault="00CA536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B916BC4" w14:textId="77777777" w:rsidR="00CA5363" w:rsidRPr="00CB5852" w:rsidRDefault="00E6107E">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sidRPr="00CB5852">
        <w:rPr>
          <w:rFonts w:ascii="Palatino Linotype" w:eastAsia="Palatino Linotype" w:hAnsi="Palatino Linotype" w:cs="Palatino Linotype"/>
          <w:b/>
          <w:color w:val="000000"/>
        </w:rPr>
        <w:t xml:space="preserve">TERCERO. </w:t>
      </w:r>
      <w:r w:rsidRPr="00CB5852">
        <w:rPr>
          <w:rFonts w:ascii="Palatino Linotype" w:eastAsia="Palatino Linotype" w:hAnsi="Palatino Linotype" w:cs="Palatino Linotype"/>
          <w:b/>
          <w:color w:val="222222"/>
        </w:rPr>
        <w:t xml:space="preserve">Notifíquese </w:t>
      </w:r>
      <w:r w:rsidRPr="00CB5852">
        <w:rPr>
          <w:rFonts w:ascii="Palatino Linotype" w:eastAsia="Palatino Linotype" w:hAnsi="Palatino Linotype" w:cs="Palatino Linotype"/>
          <w:color w:val="222222"/>
        </w:rPr>
        <w:t xml:space="preserve">al </w:t>
      </w:r>
      <w:r w:rsidRPr="00CB5852">
        <w:rPr>
          <w:rFonts w:ascii="Palatino Linotype" w:eastAsia="Palatino Linotype" w:hAnsi="Palatino Linotype" w:cs="Palatino Linotype"/>
          <w:b/>
          <w:color w:val="000000"/>
        </w:rPr>
        <w:t xml:space="preserve">RECURRENTE </w:t>
      </w:r>
      <w:r w:rsidRPr="00CB5852">
        <w:rPr>
          <w:rFonts w:ascii="Palatino Linotype" w:eastAsia="Palatino Linotype" w:hAnsi="Palatino Linotype" w:cs="Palatino Linotype"/>
          <w:color w:val="222222"/>
        </w:rPr>
        <w:t>la presente resolución vía Sistema de Acceso a la Información Mexiquense (SAIMEX).</w:t>
      </w:r>
    </w:p>
    <w:p w14:paraId="3B916BC5" w14:textId="77777777" w:rsidR="00CA5363" w:rsidRPr="00CB5852" w:rsidRDefault="00CA5363">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3B916BC6" w14:textId="77777777" w:rsidR="00CA5363" w:rsidRPr="00CB5852" w:rsidRDefault="00E6107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b/>
          <w:color w:val="000000"/>
        </w:rPr>
        <w:t>CUARTO.</w:t>
      </w:r>
      <w:r w:rsidRPr="00CB5852">
        <w:rPr>
          <w:rFonts w:ascii="Palatino Linotype" w:eastAsia="Palatino Linotype" w:hAnsi="Palatino Linotype" w:cs="Palatino Linotype"/>
          <w:color w:val="000000"/>
        </w:rPr>
        <w:t xml:space="preserve"> Se hace del conocimiento del </w:t>
      </w:r>
      <w:r w:rsidRPr="00CB5852">
        <w:rPr>
          <w:rFonts w:ascii="Palatino Linotype" w:eastAsia="Palatino Linotype" w:hAnsi="Palatino Linotype" w:cs="Palatino Linotype"/>
          <w:b/>
          <w:color w:val="000000"/>
        </w:rPr>
        <w:t xml:space="preserve">RECURRENTE </w:t>
      </w:r>
      <w:r w:rsidRPr="00CB5852">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B916BC7" w14:textId="77777777" w:rsidR="00CA5363" w:rsidRPr="00CB5852" w:rsidRDefault="00CA536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B916BC8" w14:textId="77777777" w:rsidR="00CB5852" w:rsidRPr="00CB5852" w:rsidRDefault="00CB5852" w:rsidP="00CB5852">
      <w:pPr>
        <w:spacing w:before="240" w:after="240" w:line="360" w:lineRule="auto"/>
        <w:ind w:firstLine="1"/>
        <w:jc w:val="both"/>
        <w:rPr>
          <w:rStyle w:val="Referenciasutil"/>
          <w:rFonts w:ascii="Palatino Linotype" w:hAnsi="Palatino Linotype"/>
          <w:color w:val="auto"/>
        </w:rPr>
      </w:pPr>
      <w:bookmarkStart w:id="10" w:name="_heading=h.17dp8vu" w:colFirst="0" w:colLast="0"/>
      <w:bookmarkStart w:id="11" w:name="_Hlk129792997"/>
      <w:bookmarkEnd w:id="10"/>
      <w:r w:rsidRPr="00CB5852">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w:t>
      </w:r>
      <w:r w:rsidRPr="00CB5852">
        <w:rPr>
          <w:rStyle w:val="Referenciasutil"/>
          <w:rFonts w:ascii="Palatino Linotype" w:hAnsi="Palatino Linotype"/>
          <w:color w:val="auto"/>
        </w:rPr>
        <w:lastRenderedPageBreak/>
        <w:t>CONFORMADO POR LOS COMISIONADOS JOSÉ MARTÍNEZ VILCHIS;</w:t>
      </w:r>
      <w:r w:rsidR="00594D14">
        <w:rPr>
          <w:rStyle w:val="Referenciasutil"/>
          <w:rFonts w:ascii="Palatino Linotype" w:hAnsi="Palatino Linotype"/>
          <w:color w:val="auto"/>
        </w:rPr>
        <w:t xml:space="preserve"> MARÍA DEL ROSARIO MEJÍA AYALA; </w:t>
      </w:r>
      <w:r w:rsidRPr="00CB5852">
        <w:rPr>
          <w:rStyle w:val="Referenciasutil"/>
          <w:rFonts w:ascii="Palatino Linotype" w:hAnsi="Palatino Linotype"/>
          <w:color w:val="auto"/>
        </w:rPr>
        <w:t xml:space="preserve">SHARON CRISTINA MORALES MARTÍNEZ; LUIS GUSTAVO PARRA NORIEGA Y GUADALUPE RAMÍREZ PEÑA; EN LA NOVENA SESIÓN ORDINARIA CELEBRADA EL TRECE (13) DE MARZO DE DOS MIL VEINTICUATRO, ANTE EL SECRETARIO TÉCNICO DEL PLENO ALEXIS TAPIA RAMÍREZ. </w:t>
      </w:r>
      <w:bookmarkEnd w:id="11"/>
    </w:p>
    <w:p w14:paraId="3B916BC9" w14:textId="77777777" w:rsidR="00CA5363" w:rsidRPr="00CB5852" w:rsidRDefault="00594D14">
      <w:pPr>
        <w:spacing w:line="360" w:lineRule="auto"/>
        <w:ind w:firstLine="1"/>
        <w:jc w:val="both"/>
        <w:rPr>
          <w:rFonts w:ascii="Palatino Linotype" w:eastAsia="Palatino Linotype" w:hAnsi="Palatino Linotype" w:cs="Palatino Linotype"/>
        </w:rPr>
      </w:pPr>
      <w:r>
        <w:rPr>
          <w:noProof/>
          <w:lang w:val="es-MX"/>
        </w:rPr>
        <mc:AlternateContent>
          <mc:Choice Requires="wps">
            <w:drawing>
              <wp:anchor distT="0" distB="0" distL="114300" distR="114300" simplePos="0" relativeHeight="251659264" behindDoc="0" locked="0" layoutInCell="1" allowOverlap="1" wp14:anchorId="3B916BD3" wp14:editId="3B916BD4">
                <wp:simplePos x="0" y="0"/>
                <wp:positionH relativeFrom="column">
                  <wp:posOffset>195771</wp:posOffset>
                </wp:positionH>
                <wp:positionV relativeFrom="paragraph">
                  <wp:posOffset>208131</wp:posOffset>
                </wp:positionV>
                <wp:extent cx="5082363" cy="4890977"/>
                <wp:effectExtent l="0" t="0" r="23495" b="24130"/>
                <wp:wrapNone/>
                <wp:docPr id="1" name="Conector recto 1"/>
                <wp:cNvGraphicFramePr/>
                <a:graphic xmlns:a="http://schemas.openxmlformats.org/drawingml/2006/main">
                  <a:graphicData uri="http://schemas.microsoft.com/office/word/2010/wordprocessingShape">
                    <wps:wsp>
                      <wps:cNvCnPr/>
                      <wps:spPr>
                        <a:xfrm>
                          <a:off x="0" y="0"/>
                          <a:ext cx="5082363" cy="4890977"/>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F73F18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pt,16.4pt" to="415.6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" strokecolor="#f68c36 [3049]"/>
            </w:pict>
          </mc:Fallback>
        </mc:AlternateContent>
      </w:r>
      <w:r w:rsidR="00E6107E" w:rsidRPr="00CB5852">
        <w:br w:type="page"/>
      </w:r>
    </w:p>
    <w:p w14:paraId="3B916BCA" w14:textId="77777777" w:rsidR="00CA5363" w:rsidRPr="00CB5852" w:rsidRDefault="00CA5363">
      <w:pPr>
        <w:spacing w:before="240" w:after="240" w:line="360" w:lineRule="auto"/>
        <w:ind w:right="49"/>
        <w:jc w:val="both"/>
        <w:rPr>
          <w:rFonts w:ascii="Palatino Linotype" w:eastAsia="Palatino Linotype" w:hAnsi="Palatino Linotype" w:cs="Palatino Linotype"/>
        </w:rPr>
      </w:pPr>
    </w:p>
    <w:sectPr w:rsidR="00CA5363" w:rsidRPr="00CB5852">
      <w:headerReference w:type="default"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EA7E" w14:textId="77777777" w:rsidR="002818A4" w:rsidRDefault="002818A4">
      <w:r>
        <w:separator/>
      </w:r>
    </w:p>
  </w:endnote>
  <w:endnote w:type="continuationSeparator" w:id="0">
    <w:p w14:paraId="2421FED0" w14:textId="77777777" w:rsidR="002818A4" w:rsidRDefault="0028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6BE4" w14:textId="77777777" w:rsidR="00CA5363" w:rsidRDefault="00E610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C3773">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C3773">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p>
  <w:p w14:paraId="3B916BE5" w14:textId="77777777" w:rsidR="00CA5363" w:rsidRDefault="00CA536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6BF4" w14:textId="77777777" w:rsidR="00CA5363" w:rsidRDefault="00E610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C377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C3773">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14:paraId="3B916BF5" w14:textId="77777777" w:rsidR="00CA5363" w:rsidRDefault="00CA536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103B" w14:textId="77777777" w:rsidR="002818A4" w:rsidRDefault="002818A4">
      <w:r>
        <w:separator/>
      </w:r>
    </w:p>
  </w:footnote>
  <w:footnote w:type="continuationSeparator" w:id="0">
    <w:p w14:paraId="0A2B4E6F" w14:textId="77777777" w:rsidR="002818A4" w:rsidRDefault="002818A4">
      <w:r>
        <w:continuationSeparator/>
      </w:r>
    </w:p>
  </w:footnote>
  <w:footnote w:id="1">
    <w:p w14:paraId="3B916BF8" w14:textId="77777777" w:rsidR="00CA5363" w:rsidRDefault="00E6107E">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3B916BF9" w14:textId="77777777" w:rsidR="00CA5363" w:rsidRDefault="00E6107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2002351.</w:t>
      </w:r>
    </w:p>
  </w:footnote>
  <w:footnote w:id="3">
    <w:p w14:paraId="3B916BFA" w14:textId="77777777" w:rsidR="00CA5363" w:rsidRDefault="00E6107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6BD9" w14:textId="77777777" w:rsidR="00CA5363" w:rsidRDefault="00CA5363">
    <w:pPr>
      <w:widowControl w:val="0"/>
      <w:pBdr>
        <w:top w:val="nil"/>
        <w:left w:val="nil"/>
        <w:bottom w:val="nil"/>
        <w:right w:val="nil"/>
        <w:between w:val="nil"/>
      </w:pBdr>
      <w:spacing w:line="276" w:lineRule="auto"/>
      <w:rPr>
        <w:color w:val="000000"/>
      </w:rPr>
    </w:pPr>
  </w:p>
  <w:tbl>
    <w:tblPr>
      <w:tblStyle w:val="a1"/>
      <w:tblW w:w="6945" w:type="dxa"/>
      <w:tblInd w:w="2701" w:type="dxa"/>
      <w:tblBorders>
        <w:top w:val="nil"/>
        <w:left w:val="nil"/>
        <w:bottom w:val="nil"/>
        <w:right w:val="nil"/>
        <w:insideH w:val="nil"/>
        <w:insideV w:val="nil"/>
      </w:tblBorders>
      <w:tblLayout w:type="fixed"/>
      <w:tblLook w:val="0400" w:firstRow="0" w:lastRow="0" w:firstColumn="0" w:lastColumn="0" w:noHBand="0" w:noVBand="1"/>
    </w:tblPr>
    <w:tblGrid>
      <w:gridCol w:w="3544"/>
      <w:gridCol w:w="3401"/>
    </w:tblGrid>
    <w:tr w:rsidR="00CA5363" w14:paraId="3B916BDC" w14:textId="77777777" w:rsidTr="00CB5852">
      <w:trPr>
        <w:trHeight w:val="138"/>
      </w:trPr>
      <w:tc>
        <w:tcPr>
          <w:tcW w:w="3544" w:type="dxa"/>
          <w:vAlign w:val="center"/>
        </w:tcPr>
        <w:p w14:paraId="3B916BDA" w14:textId="77777777" w:rsidR="00CA5363" w:rsidRDefault="00E6107E">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1" w:type="dxa"/>
          <w:vAlign w:val="center"/>
        </w:tcPr>
        <w:p w14:paraId="3B916BDB" w14:textId="77777777" w:rsidR="00CA5363" w:rsidRPr="00CB5852" w:rsidRDefault="00E6107E">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07568/INFOEM/IP/RR/2023</w:t>
          </w:r>
        </w:p>
      </w:tc>
    </w:tr>
    <w:tr w:rsidR="00CA5363" w14:paraId="3B916BDF" w14:textId="77777777" w:rsidTr="00CB5852">
      <w:trPr>
        <w:trHeight w:val="233"/>
      </w:trPr>
      <w:tc>
        <w:tcPr>
          <w:tcW w:w="3544" w:type="dxa"/>
          <w:vAlign w:val="center"/>
        </w:tcPr>
        <w:p w14:paraId="3B916BDD" w14:textId="77777777" w:rsidR="00CA5363" w:rsidRDefault="00E6107E">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1" w:type="dxa"/>
          <w:vAlign w:val="center"/>
        </w:tcPr>
        <w:p w14:paraId="3B916BDE" w14:textId="77777777" w:rsidR="00CA5363" w:rsidRPr="00CB5852" w:rsidRDefault="00E6107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Ayuntamiento de Atizapán</w:t>
          </w:r>
        </w:p>
      </w:tc>
    </w:tr>
    <w:tr w:rsidR="00CA5363" w14:paraId="3B916BE2" w14:textId="77777777" w:rsidTr="00CB5852">
      <w:trPr>
        <w:trHeight w:val="321"/>
      </w:trPr>
      <w:tc>
        <w:tcPr>
          <w:tcW w:w="3544" w:type="dxa"/>
          <w:vAlign w:val="center"/>
        </w:tcPr>
        <w:p w14:paraId="3B916BE0" w14:textId="77777777" w:rsidR="00CA5363" w:rsidRDefault="00E6107E">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1" w:type="dxa"/>
          <w:vAlign w:val="center"/>
        </w:tcPr>
        <w:p w14:paraId="3B916BE1" w14:textId="77777777" w:rsidR="00CA5363" w:rsidRPr="00CB5852" w:rsidRDefault="00E6107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María del Rosario Mejía Ayala</w:t>
          </w:r>
        </w:p>
      </w:tc>
    </w:tr>
  </w:tbl>
  <w:p w14:paraId="3B916BE3" w14:textId="77777777" w:rsidR="00CA5363" w:rsidRDefault="00000000">
    <w:pPr>
      <w:pBdr>
        <w:top w:val="nil"/>
        <w:left w:val="nil"/>
        <w:bottom w:val="nil"/>
        <w:right w:val="nil"/>
        <w:between w:val="nil"/>
      </w:pBdr>
      <w:tabs>
        <w:tab w:val="center" w:pos="4252"/>
        <w:tab w:val="right" w:pos="8504"/>
      </w:tabs>
      <w:rPr>
        <w:color w:val="000000"/>
      </w:rPr>
    </w:pPr>
    <w:r>
      <w:rPr>
        <w:color w:val="000000"/>
      </w:rPr>
      <w:pict w14:anchorId="3B916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0.35pt;margin-top:-109.1pt;width:663.5pt;height:12in;z-index:-251657216;mso-wrap-edited:f;mso-width-percent:0;mso-height-percent:0;mso-position-horizontal:absolute;mso-position-horizontal-relative:margin;mso-position-vertical:absolute;mso-position-vertical-relative:margin;mso-width-percent:0;mso-height-percent:0" o:allowincell="f">
          <v:imagedata r:id="rId1" o:title="PHOTO-2020-08-13-10-14-3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6BE6" w14:textId="77777777" w:rsidR="00CA5363" w:rsidRDefault="00000000">
    <w:pPr>
      <w:widowControl w:val="0"/>
      <w:pBdr>
        <w:top w:val="nil"/>
        <w:left w:val="nil"/>
        <w:bottom w:val="nil"/>
        <w:right w:val="nil"/>
        <w:between w:val="nil"/>
      </w:pBdr>
      <w:spacing w:line="276" w:lineRule="auto"/>
      <w:rPr>
        <w:color w:val="000000"/>
        <w:sz w:val="20"/>
        <w:szCs w:val="20"/>
      </w:rPr>
    </w:pPr>
    <w:r>
      <w:rPr>
        <w:color w:val="000000"/>
      </w:rPr>
      <w:pict w14:anchorId="3B916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66.2pt;margin-top:-124.6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tbl>
    <w:tblPr>
      <w:tblStyle w:val="a0"/>
      <w:tblW w:w="7803" w:type="dxa"/>
      <w:tblInd w:w="2429" w:type="dxa"/>
      <w:tblBorders>
        <w:top w:val="nil"/>
        <w:left w:val="nil"/>
        <w:bottom w:val="nil"/>
        <w:right w:val="nil"/>
        <w:insideH w:val="nil"/>
        <w:insideV w:val="nil"/>
      </w:tblBorders>
      <w:tblLayout w:type="fixed"/>
      <w:tblLook w:val="0400" w:firstRow="0" w:lastRow="0" w:firstColumn="0" w:lastColumn="0" w:noHBand="0" w:noVBand="1"/>
    </w:tblPr>
    <w:tblGrid>
      <w:gridCol w:w="4395"/>
      <w:gridCol w:w="3408"/>
    </w:tblGrid>
    <w:tr w:rsidR="00CA5363" w14:paraId="3B916BE9" w14:textId="77777777" w:rsidTr="00CB5852">
      <w:trPr>
        <w:trHeight w:val="138"/>
      </w:trPr>
      <w:tc>
        <w:tcPr>
          <w:tcW w:w="4395" w:type="dxa"/>
          <w:vAlign w:val="center"/>
        </w:tcPr>
        <w:p w14:paraId="3B916BE7" w14:textId="77777777" w:rsidR="00CA5363" w:rsidRDefault="00E6107E">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3408" w:type="dxa"/>
          <w:vAlign w:val="center"/>
        </w:tcPr>
        <w:p w14:paraId="3B916BE8" w14:textId="77777777" w:rsidR="00CA5363" w:rsidRPr="00CB5852" w:rsidRDefault="00E6107E" w:rsidP="00CB5852">
          <w:pPr>
            <w:pBdr>
              <w:top w:val="nil"/>
              <w:left w:val="nil"/>
              <w:bottom w:val="nil"/>
              <w:right w:val="nil"/>
              <w:between w:val="nil"/>
            </w:pBdr>
            <w:tabs>
              <w:tab w:val="right" w:pos="8504"/>
            </w:tabs>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07568/INFOEM/IP/RR/2023</w:t>
          </w:r>
        </w:p>
      </w:tc>
    </w:tr>
    <w:tr w:rsidR="00CA5363" w14:paraId="3B916BEC" w14:textId="77777777" w:rsidTr="00CB5852">
      <w:trPr>
        <w:trHeight w:val="233"/>
      </w:trPr>
      <w:tc>
        <w:tcPr>
          <w:tcW w:w="4395" w:type="dxa"/>
          <w:vAlign w:val="center"/>
        </w:tcPr>
        <w:p w14:paraId="3B916BEA" w14:textId="77777777" w:rsidR="00CA5363" w:rsidRDefault="00E6107E">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8" w:type="dxa"/>
        </w:tcPr>
        <w:p w14:paraId="3B916BEB" w14:textId="17A43F8F" w:rsidR="00CA5363" w:rsidRPr="00CB5852" w:rsidRDefault="00CA5363" w:rsidP="00CB5852">
          <w:pPr>
            <w:pBdr>
              <w:top w:val="nil"/>
              <w:left w:val="nil"/>
              <w:bottom w:val="nil"/>
              <w:right w:val="nil"/>
              <w:between w:val="nil"/>
            </w:pBdr>
            <w:tabs>
              <w:tab w:val="right" w:pos="8504"/>
            </w:tabs>
            <w:rPr>
              <w:rFonts w:ascii="Palatino Linotype" w:eastAsia="Palatino Linotype" w:hAnsi="Palatino Linotype" w:cs="Palatino Linotype"/>
              <w:color w:val="000000"/>
            </w:rPr>
          </w:pPr>
        </w:p>
      </w:tc>
    </w:tr>
    <w:tr w:rsidR="00CA5363" w14:paraId="3B916BEF" w14:textId="77777777" w:rsidTr="00CB5852">
      <w:trPr>
        <w:trHeight w:val="321"/>
      </w:trPr>
      <w:tc>
        <w:tcPr>
          <w:tcW w:w="4395" w:type="dxa"/>
          <w:vAlign w:val="center"/>
        </w:tcPr>
        <w:p w14:paraId="3B916BED" w14:textId="77777777" w:rsidR="00CA5363" w:rsidRDefault="00E6107E">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8" w:type="dxa"/>
          <w:vAlign w:val="center"/>
        </w:tcPr>
        <w:p w14:paraId="3B916BEE" w14:textId="77777777" w:rsidR="00CA5363" w:rsidRPr="00CB5852" w:rsidRDefault="00E6107E" w:rsidP="00CB5852">
          <w:pPr>
            <w:pBdr>
              <w:top w:val="nil"/>
              <w:left w:val="nil"/>
              <w:bottom w:val="nil"/>
              <w:right w:val="nil"/>
              <w:between w:val="nil"/>
            </w:pBdr>
            <w:tabs>
              <w:tab w:val="right" w:pos="8504"/>
            </w:tabs>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Ayuntamiento de Atizapán</w:t>
          </w:r>
        </w:p>
      </w:tc>
    </w:tr>
    <w:tr w:rsidR="00CA5363" w14:paraId="3B916BF2" w14:textId="77777777" w:rsidTr="00CB5852">
      <w:trPr>
        <w:trHeight w:val="321"/>
      </w:trPr>
      <w:tc>
        <w:tcPr>
          <w:tcW w:w="4395" w:type="dxa"/>
          <w:vAlign w:val="center"/>
        </w:tcPr>
        <w:p w14:paraId="3B916BF0" w14:textId="77777777" w:rsidR="00CA5363" w:rsidRDefault="00E6107E">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8" w:type="dxa"/>
          <w:vAlign w:val="center"/>
        </w:tcPr>
        <w:p w14:paraId="3B916BF1" w14:textId="77777777" w:rsidR="00CA5363" w:rsidRPr="00CB5852" w:rsidRDefault="00E6107E" w:rsidP="00CB5852">
          <w:pPr>
            <w:pBdr>
              <w:top w:val="nil"/>
              <w:left w:val="nil"/>
              <w:bottom w:val="nil"/>
              <w:right w:val="nil"/>
              <w:between w:val="nil"/>
            </w:pBdr>
            <w:tabs>
              <w:tab w:val="right" w:pos="8504"/>
            </w:tabs>
            <w:rPr>
              <w:rFonts w:ascii="Palatino Linotype" w:eastAsia="Palatino Linotype" w:hAnsi="Palatino Linotype" w:cs="Palatino Linotype"/>
              <w:color w:val="000000"/>
            </w:rPr>
          </w:pPr>
          <w:r w:rsidRPr="00CB5852">
            <w:rPr>
              <w:rFonts w:ascii="Palatino Linotype" w:eastAsia="Palatino Linotype" w:hAnsi="Palatino Linotype" w:cs="Palatino Linotype"/>
              <w:color w:val="000000"/>
            </w:rPr>
            <w:t>María del Rosario Mejía Ayala</w:t>
          </w:r>
        </w:p>
      </w:tc>
    </w:tr>
  </w:tbl>
  <w:p w14:paraId="3B916BF3" w14:textId="77777777" w:rsidR="00CA5363" w:rsidRDefault="00CA5363">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6A86"/>
    <w:multiLevelType w:val="multilevel"/>
    <w:tmpl w:val="B1548D88"/>
    <w:lvl w:ilvl="0">
      <w:start w:val="23"/>
      <w:numFmt w:val="decimal"/>
      <w:lvlText w:val="%1."/>
      <w:lvlJc w:val="left"/>
      <w:pPr>
        <w:ind w:left="36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F3192D"/>
    <w:multiLevelType w:val="multilevel"/>
    <w:tmpl w:val="2BBAC54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1430B9"/>
    <w:multiLevelType w:val="multilevel"/>
    <w:tmpl w:val="B9346E90"/>
    <w:lvl w:ilvl="0">
      <w:start w:val="1"/>
      <w:numFmt w:val="decimal"/>
      <w:lvlText w:val="%1."/>
      <w:lvlJc w:val="left"/>
      <w:pPr>
        <w:ind w:left="72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1C64C1"/>
    <w:multiLevelType w:val="multilevel"/>
    <w:tmpl w:val="3796FF7A"/>
    <w:lvl w:ilvl="0">
      <w:start w:val="1"/>
      <w:numFmt w:val="decimal"/>
      <w:lvlText w:val="%1."/>
      <w:lvlJc w:val="left"/>
      <w:pPr>
        <w:ind w:left="72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9215CD"/>
    <w:multiLevelType w:val="multilevel"/>
    <w:tmpl w:val="40D0E9E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16cid:durableId="817763755">
    <w:abstractNumId w:val="2"/>
  </w:num>
  <w:num w:numId="2" w16cid:durableId="327559611">
    <w:abstractNumId w:val="4"/>
  </w:num>
  <w:num w:numId="3" w16cid:durableId="1211108777">
    <w:abstractNumId w:val="3"/>
  </w:num>
  <w:num w:numId="4" w16cid:durableId="752699702">
    <w:abstractNumId w:val="1"/>
  </w:num>
  <w:num w:numId="5" w16cid:durableId="85715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63"/>
    <w:rsid w:val="002818A4"/>
    <w:rsid w:val="004D1DB0"/>
    <w:rsid w:val="00594D14"/>
    <w:rsid w:val="008C3773"/>
    <w:rsid w:val="00CA5363"/>
    <w:rsid w:val="00CB5852"/>
    <w:rsid w:val="00CD1881"/>
    <w:rsid w:val="00E61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6B46"/>
  <w15:docId w15:val="{FF0815F1-30C4-43E9-BA3C-7C52AAD7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val="es-MX"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02BFE"/>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CB585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fL1LGrPWk/neR2sNJTiMRUGlA==">CgMxLjAyCGguZ2pkZ3hzMgloLjMwajB6bGwyCWguMWZvYjl0ZTIJaC4zem55c2g3MgloLjJldDkycDAyCGgudHlqY3d0MgloLjNkeTZ2a20yCWguMXQzaDVzZjIJaC40ZDM0b2c4MgloLjJzOGV5bzEyCWguMTdkcDh2dTgAciExZXdtdG1CdU5nMVdmUTRrQ3doQ21XSEpXVnc0N0hHeW4=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3962</Words>
  <Characters>21793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Thaylis Suarez</cp:lastModifiedBy>
  <cp:revision>5</cp:revision>
  <cp:lastPrinted>2024-03-14T16:34:00Z</cp:lastPrinted>
  <dcterms:created xsi:type="dcterms:W3CDTF">2024-03-07T19:12:00Z</dcterms:created>
  <dcterms:modified xsi:type="dcterms:W3CDTF">2024-04-16T04:37:00Z</dcterms:modified>
</cp:coreProperties>
</file>