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5B73E3" w:rsidRDefault="00AE3DA7" w:rsidP="005B73E3">
          <w:pPr>
            <w:pStyle w:val="TtulodeTDC"/>
            <w:spacing w:before="0" w:line="240" w:lineRule="auto"/>
            <w:rPr>
              <w:rFonts w:ascii="Palatino Linotype" w:hAnsi="Palatino Linotype"/>
              <w:color w:val="auto"/>
              <w:sz w:val="22"/>
              <w:szCs w:val="22"/>
              <w:lang w:val="es-ES"/>
            </w:rPr>
          </w:pPr>
          <w:r w:rsidRPr="005B73E3">
            <w:rPr>
              <w:rFonts w:ascii="Palatino Linotype" w:hAnsi="Palatino Linotype"/>
              <w:color w:val="auto"/>
              <w:sz w:val="22"/>
              <w:szCs w:val="22"/>
              <w:lang w:val="es-ES"/>
            </w:rPr>
            <w:t>Contenido</w:t>
          </w:r>
        </w:p>
        <w:p w14:paraId="3EB312A7" w14:textId="77777777" w:rsidR="00AA6EA9" w:rsidRPr="005B73E3" w:rsidRDefault="00AA6EA9" w:rsidP="005B73E3">
          <w:pPr>
            <w:spacing w:line="240" w:lineRule="auto"/>
            <w:rPr>
              <w:szCs w:val="22"/>
              <w:lang w:val="es-ES" w:eastAsia="es-MX"/>
            </w:rPr>
          </w:pPr>
        </w:p>
        <w:p w14:paraId="1E8CBC88" w14:textId="77777777" w:rsidR="00067799" w:rsidRPr="005B73E3" w:rsidRDefault="00AE3DA7" w:rsidP="005B73E3">
          <w:pPr>
            <w:pStyle w:val="TDC1"/>
            <w:tabs>
              <w:tab w:val="right" w:leader="dot" w:pos="9034"/>
            </w:tabs>
            <w:rPr>
              <w:rFonts w:asciiTheme="minorHAnsi" w:eastAsiaTheme="minorEastAsia" w:hAnsiTheme="minorHAnsi" w:cstheme="minorBidi"/>
              <w:noProof/>
              <w:szCs w:val="22"/>
              <w:lang w:eastAsia="es-MX"/>
            </w:rPr>
          </w:pPr>
          <w:r w:rsidRPr="005B73E3">
            <w:rPr>
              <w:szCs w:val="22"/>
            </w:rPr>
            <w:fldChar w:fldCharType="begin"/>
          </w:r>
          <w:r w:rsidRPr="005B73E3">
            <w:rPr>
              <w:szCs w:val="22"/>
            </w:rPr>
            <w:instrText xml:space="preserve"> TOC \o "1-3" \h \z \u </w:instrText>
          </w:r>
          <w:r w:rsidRPr="005B73E3">
            <w:rPr>
              <w:szCs w:val="22"/>
            </w:rPr>
            <w:fldChar w:fldCharType="separate"/>
          </w:r>
          <w:hyperlink w:anchor="_Toc174019516" w:history="1">
            <w:r w:rsidR="00067799" w:rsidRPr="005B73E3">
              <w:rPr>
                <w:rStyle w:val="Hipervnculo"/>
                <w:noProof/>
                <w:color w:val="auto"/>
              </w:rPr>
              <w:t>ANTECEDENTES</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_Toc174019516 \h </w:instrText>
            </w:r>
            <w:r w:rsidR="00067799" w:rsidRPr="005B73E3">
              <w:rPr>
                <w:noProof/>
                <w:webHidden/>
              </w:rPr>
            </w:r>
            <w:r w:rsidR="00067799" w:rsidRPr="005B73E3">
              <w:rPr>
                <w:noProof/>
                <w:webHidden/>
              </w:rPr>
              <w:fldChar w:fldCharType="separate"/>
            </w:r>
            <w:r w:rsidR="00011CD8">
              <w:rPr>
                <w:noProof/>
                <w:webHidden/>
              </w:rPr>
              <w:t>1</w:t>
            </w:r>
            <w:r w:rsidR="00067799" w:rsidRPr="005B73E3">
              <w:rPr>
                <w:noProof/>
                <w:webHidden/>
              </w:rPr>
              <w:fldChar w:fldCharType="end"/>
            </w:r>
          </w:hyperlink>
        </w:p>
        <w:p w14:paraId="18295F89" w14:textId="77777777" w:rsidR="00067799" w:rsidRPr="005B73E3" w:rsidRDefault="00AD1341" w:rsidP="005B73E3">
          <w:pPr>
            <w:pStyle w:val="TDC2"/>
            <w:rPr>
              <w:rFonts w:asciiTheme="minorHAnsi" w:eastAsiaTheme="minorEastAsia" w:hAnsiTheme="minorHAnsi" w:cstheme="minorBidi"/>
              <w:noProof/>
              <w:szCs w:val="22"/>
              <w:lang w:eastAsia="es-MX"/>
            </w:rPr>
          </w:pPr>
          <w:hyperlink w:anchor="_Toc174019517" w:history="1">
            <w:r w:rsidR="00067799" w:rsidRPr="005B73E3">
              <w:rPr>
                <w:rStyle w:val="Hipervnculo"/>
                <w:noProof/>
                <w:color w:val="auto"/>
              </w:rPr>
              <w:t>DE LA SOLICITUD DE INFORMACIÓN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_Toc174019517 \h </w:instrText>
            </w:r>
            <w:r w:rsidR="00067799" w:rsidRPr="005B73E3">
              <w:rPr>
                <w:noProof/>
                <w:webHidden/>
              </w:rPr>
            </w:r>
            <w:r w:rsidR="00067799" w:rsidRPr="005B73E3">
              <w:rPr>
                <w:noProof/>
                <w:webHidden/>
              </w:rPr>
              <w:fldChar w:fldCharType="separate"/>
            </w:r>
            <w:r w:rsidR="00011CD8">
              <w:rPr>
                <w:noProof/>
                <w:webHidden/>
              </w:rPr>
              <w:t>1</w:t>
            </w:r>
            <w:r w:rsidR="00067799" w:rsidRPr="005B73E3">
              <w:rPr>
                <w:noProof/>
                <w:webHidden/>
              </w:rPr>
              <w:fldChar w:fldCharType="end"/>
            </w:r>
          </w:hyperlink>
        </w:p>
        <w:p w14:paraId="0642D21B"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18" w:history="1">
            <w:r w:rsidR="00067799" w:rsidRPr="005B73E3">
              <w:rPr>
                <w:rStyle w:val="Hipervnculo"/>
                <w:noProof/>
                <w:color w:val="auto"/>
              </w:rPr>
              <w:t>a) Solicitud de información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_Toc174019518 \h </w:instrText>
            </w:r>
            <w:r w:rsidR="00067799" w:rsidRPr="005B73E3">
              <w:rPr>
                <w:noProof/>
                <w:webHidden/>
              </w:rPr>
            </w:r>
            <w:r w:rsidR="00067799" w:rsidRPr="005B73E3">
              <w:rPr>
                <w:noProof/>
                <w:webHidden/>
              </w:rPr>
              <w:fldChar w:fldCharType="separate"/>
            </w:r>
            <w:r w:rsidR="00011CD8">
              <w:rPr>
                <w:noProof/>
                <w:webHidden/>
              </w:rPr>
              <w:t>1</w:t>
            </w:r>
            <w:r w:rsidR="00067799" w:rsidRPr="005B73E3">
              <w:rPr>
                <w:noProof/>
                <w:webHidden/>
              </w:rPr>
              <w:fldChar w:fldCharType="end"/>
            </w:r>
          </w:hyperlink>
        </w:p>
        <w:p w14:paraId="4C830649"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19" w:history="1">
            <w:r w:rsidR="00067799" w:rsidRPr="005B73E3">
              <w:rPr>
                <w:rStyle w:val="Hipervnculo"/>
                <w:noProof/>
                <w:color w:val="auto"/>
              </w:rPr>
              <w:t>b) Turno de la solicitud de información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_Toc174019519 \h </w:instrText>
            </w:r>
            <w:r w:rsidR="00067799" w:rsidRPr="005B73E3">
              <w:rPr>
                <w:noProof/>
                <w:webHidden/>
              </w:rPr>
            </w:r>
            <w:r w:rsidR="00067799" w:rsidRPr="005B73E3">
              <w:rPr>
                <w:noProof/>
                <w:webHidden/>
              </w:rPr>
              <w:fldChar w:fldCharType="separate"/>
            </w:r>
            <w:r w:rsidR="00011CD8">
              <w:rPr>
                <w:noProof/>
                <w:webHidden/>
              </w:rPr>
              <w:t>2</w:t>
            </w:r>
            <w:r w:rsidR="00067799" w:rsidRPr="005B73E3">
              <w:rPr>
                <w:noProof/>
                <w:webHidden/>
              </w:rPr>
              <w:fldChar w:fldCharType="end"/>
            </w:r>
          </w:hyperlink>
        </w:p>
        <w:p w14:paraId="59950C5D"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0" w:history="1">
            <w:r w:rsidR="00067799" w:rsidRPr="005B73E3">
              <w:rPr>
                <w:rStyle w:val="Hipervnculo"/>
                <w:noProof/>
                <w:color w:val="auto"/>
              </w:rPr>
              <w:t>c) Prórroga</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_Toc174019520 \h </w:instrText>
            </w:r>
            <w:r w:rsidR="00067799" w:rsidRPr="005B73E3">
              <w:rPr>
                <w:noProof/>
                <w:webHidden/>
              </w:rPr>
            </w:r>
            <w:r w:rsidR="00067799" w:rsidRPr="005B73E3">
              <w:rPr>
                <w:noProof/>
                <w:webHidden/>
              </w:rPr>
              <w:fldChar w:fldCharType="separate"/>
            </w:r>
            <w:r w:rsidR="00011CD8">
              <w:rPr>
                <w:noProof/>
                <w:webHidden/>
              </w:rPr>
              <w:t>2</w:t>
            </w:r>
            <w:r w:rsidR="00067799" w:rsidRPr="005B73E3">
              <w:rPr>
                <w:noProof/>
                <w:webHidden/>
              </w:rPr>
              <w:fldChar w:fldCharType="end"/>
            </w:r>
          </w:hyperlink>
        </w:p>
        <w:p w14:paraId="46083090"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1" w:history="1">
            <w:r w:rsidR="00067799" w:rsidRPr="005B73E3">
              <w:rPr>
                <w:rStyle w:val="Hipervnculo"/>
                <w:noProof/>
                <w:color w:val="auto"/>
              </w:rPr>
              <w:t xml:space="preserve">d) </w:t>
            </w:r>
            <w:r w:rsidR="00067799" w:rsidRPr="005B73E3">
              <w:rPr>
                <w:rStyle w:val="Hipervnculo"/>
                <w:noProof/>
                <w:color w:val="auto"/>
                <w:lang w:val="es-ES"/>
              </w:rPr>
              <w:t xml:space="preserve">Respuesta </w:t>
            </w:r>
            <w:r w:rsidR="00067799" w:rsidRPr="005B73E3">
              <w:rPr>
                <w:rStyle w:val="Hipervnculo"/>
                <w:rFonts w:eastAsia="Calibri"/>
                <w:noProof/>
                <w:color w:val="auto"/>
                <w:lang w:eastAsia="en-US"/>
              </w:rPr>
              <w:t>del Sujeto Obligado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_Toc174019521 \h </w:instrText>
            </w:r>
            <w:r w:rsidR="00067799" w:rsidRPr="005B73E3">
              <w:rPr>
                <w:noProof/>
                <w:webHidden/>
              </w:rPr>
            </w:r>
            <w:r w:rsidR="00067799" w:rsidRPr="005B73E3">
              <w:rPr>
                <w:noProof/>
                <w:webHidden/>
              </w:rPr>
              <w:fldChar w:fldCharType="separate"/>
            </w:r>
            <w:r w:rsidR="00011CD8">
              <w:rPr>
                <w:noProof/>
                <w:webHidden/>
              </w:rPr>
              <w:t>2</w:t>
            </w:r>
            <w:r w:rsidR="00067799" w:rsidRPr="005B73E3">
              <w:rPr>
                <w:noProof/>
                <w:webHidden/>
              </w:rPr>
              <w:fldChar w:fldCharType="end"/>
            </w:r>
          </w:hyperlink>
        </w:p>
        <w:p w14:paraId="433BE9EA" w14:textId="77777777" w:rsidR="00067799" w:rsidRPr="005B73E3" w:rsidRDefault="00AD1341" w:rsidP="005B73E3">
          <w:pPr>
            <w:pStyle w:val="TDC2"/>
            <w:rPr>
              <w:rFonts w:asciiTheme="minorHAnsi" w:eastAsiaTheme="minorEastAsia" w:hAnsiTheme="minorHAnsi" w:cstheme="minorBidi"/>
              <w:noProof/>
              <w:szCs w:val="22"/>
              <w:lang w:eastAsia="es-MX"/>
            </w:rPr>
          </w:pPr>
          <w:hyperlink w:anchor="_Toc174019522" w:history="1">
            <w:r w:rsidR="00067799" w:rsidRPr="005B73E3">
              <w:rPr>
                <w:rStyle w:val="Hipervnculo"/>
                <w:noProof/>
                <w:color w:val="auto"/>
              </w:rPr>
              <w:t>DEL RECURSO DE REVISIÓN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_Toc174019522 \h </w:instrText>
            </w:r>
            <w:r w:rsidR="00067799" w:rsidRPr="005B73E3">
              <w:rPr>
                <w:noProof/>
                <w:webHidden/>
              </w:rPr>
            </w:r>
            <w:r w:rsidR="00067799" w:rsidRPr="005B73E3">
              <w:rPr>
                <w:noProof/>
                <w:webHidden/>
              </w:rPr>
              <w:fldChar w:fldCharType="separate"/>
            </w:r>
            <w:r w:rsidR="00011CD8">
              <w:rPr>
                <w:noProof/>
                <w:webHidden/>
              </w:rPr>
              <w:t>3</w:t>
            </w:r>
            <w:r w:rsidR="00067799" w:rsidRPr="005B73E3">
              <w:rPr>
                <w:noProof/>
                <w:webHidden/>
              </w:rPr>
              <w:fldChar w:fldCharType="end"/>
            </w:r>
          </w:hyperlink>
        </w:p>
        <w:p w14:paraId="6C899B89"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3" w:history="1">
            <w:r w:rsidR="00067799" w:rsidRPr="005B73E3">
              <w:rPr>
                <w:rStyle w:val="Hipervnculo"/>
                <w:noProof/>
                <w:color w:val="auto"/>
              </w:rPr>
              <w:t>a) Interposición del Recurso de Revisión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_Toc174019523 \h </w:instrText>
            </w:r>
            <w:r w:rsidR="00067799" w:rsidRPr="005B73E3">
              <w:rPr>
                <w:noProof/>
                <w:webHidden/>
              </w:rPr>
            </w:r>
            <w:r w:rsidR="00067799" w:rsidRPr="005B73E3">
              <w:rPr>
                <w:noProof/>
                <w:webHidden/>
              </w:rPr>
              <w:fldChar w:fldCharType="separate"/>
            </w:r>
            <w:r w:rsidR="00011CD8">
              <w:rPr>
                <w:noProof/>
                <w:webHidden/>
              </w:rPr>
              <w:t>3</w:t>
            </w:r>
            <w:r w:rsidR="00067799" w:rsidRPr="005B73E3">
              <w:rPr>
                <w:noProof/>
                <w:webHidden/>
              </w:rPr>
              <w:fldChar w:fldCharType="end"/>
            </w:r>
          </w:hyperlink>
        </w:p>
        <w:p w14:paraId="7620B553"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4" w:history="1">
            <w:r w:rsidR="00067799" w:rsidRPr="005B73E3">
              <w:rPr>
                <w:rStyle w:val="Hipervnculo"/>
                <w:noProof/>
                <w:color w:val="auto"/>
              </w:rPr>
              <w:t>b) Turno del Recurso de Revisión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_Toc174019524 \h </w:instrText>
            </w:r>
            <w:r w:rsidR="00067799" w:rsidRPr="005B73E3">
              <w:rPr>
                <w:noProof/>
                <w:webHidden/>
              </w:rPr>
            </w:r>
            <w:r w:rsidR="00067799" w:rsidRPr="005B73E3">
              <w:rPr>
                <w:noProof/>
                <w:webHidden/>
              </w:rPr>
              <w:fldChar w:fldCharType="separate"/>
            </w:r>
            <w:r w:rsidR="00011CD8">
              <w:rPr>
                <w:noProof/>
                <w:webHidden/>
              </w:rPr>
              <w:t>3</w:t>
            </w:r>
            <w:r w:rsidR="00067799" w:rsidRPr="005B73E3">
              <w:rPr>
                <w:noProof/>
                <w:webHidden/>
              </w:rPr>
              <w:fldChar w:fldCharType="end"/>
            </w:r>
          </w:hyperlink>
        </w:p>
        <w:p w14:paraId="5FD93A58"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5" w:history="1">
            <w:r w:rsidR="00067799" w:rsidRPr="005B73E3">
              <w:rPr>
                <w:rStyle w:val="Hipervnculo"/>
                <w:noProof/>
                <w:color w:val="auto"/>
              </w:rPr>
              <w:t>c) Admisión del Recurso de Revisión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_Toc174019525 \h </w:instrText>
            </w:r>
            <w:r w:rsidR="00067799" w:rsidRPr="005B73E3">
              <w:rPr>
                <w:noProof/>
                <w:webHidden/>
              </w:rPr>
            </w:r>
            <w:r w:rsidR="00067799" w:rsidRPr="005B73E3">
              <w:rPr>
                <w:noProof/>
                <w:webHidden/>
              </w:rPr>
              <w:fldChar w:fldCharType="separate"/>
            </w:r>
            <w:r w:rsidR="00011CD8">
              <w:rPr>
                <w:noProof/>
                <w:webHidden/>
              </w:rPr>
              <w:t>3</w:t>
            </w:r>
            <w:r w:rsidR="00067799" w:rsidRPr="005B73E3">
              <w:rPr>
                <w:noProof/>
                <w:webHidden/>
              </w:rPr>
              <w:fldChar w:fldCharType="end"/>
            </w:r>
          </w:hyperlink>
        </w:p>
        <w:p w14:paraId="2BA0324A"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6" w:history="1">
            <w:r w:rsidR="00067799" w:rsidRPr="005B73E3">
              <w:rPr>
                <w:rStyle w:val="Hipervnculo"/>
                <w:noProof/>
                <w:color w:val="auto"/>
              </w:rPr>
              <w:t>d) Informe Justificado del Sujeto Obligado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_Toc174019526 \h </w:instrText>
            </w:r>
            <w:r w:rsidR="00067799" w:rsidRPr="005B73E3">
              <w:rPr>
                <w:noProof/>
                <w:webHidden/>
              </w:rPr>
            </w:r>
            <w:r w:rsidR="00067799" w:rsidRPr="005B73E3">
              <w:rPr>
                <w:noProof/>
                <w:webHidden/>
              </w:rPr>
              <w:fldChar w:fldCharType="separate"/>
            </w:r>
            <w:r w:rsidR="00011CD8">
              <w:rPr>
                <w:noProof/>
                <w:webHidden/>
              </w:rPr>
              <w:t>4</w:t>
            </w:r>
            <w:r w:rsidR="00067799" w:rsidRPr="005B73E3">
              <w:rPr>
                <w:noProof/>
                <w:webHidden/>
              </w:rPr>
              <w:fldChar w:fldCharType="end"/>
            </w:r>
          </w:hyperlink>
        </w:p>
        <w:p w14:paraId="3BB5FF13"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7" w:history="1">
            <w:r w:rsidR="00067799" w:rsidRPr="005B73E3">
              <w:rPr>
                <w:rStyle w:val="Hipervnculo"/>
                <w:rFonts w:eastAsia="Calibri"/>
                <w:bCs/>
                <w:noProof/>
                <w:color w:val="auto"/>
                <w:lang w:eastAsia="en-US"/>
              </w:rPr>
              <w:t>e)</w:t>
            </w:r>
            <w:r w:rsidR="00067799" w:rsidRPr="005B73E3">
              <w:rPr>
                <w:rStyle w:val="Hipervnculo"/>
                <w:noProof/>
                <w:color w:val="auto"/>
              </w:rPr>
              <w:t xml:space="preserve"> </w:t>
            </w:r>
            <w:r w:rsidR="00067799" w:rsidRPr="005B73E3">
              <w:rPr>
                <w:rStyle w:val="Hipervnculo"/>
                <w:noProof/>
                <w:color w:val="auto"/>
                <w:lang w:val="es-ES"/>
              </w:rPr>
              <w:t>Manifestaciones de la Parte Recurrente</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_Toc174019527 \h </w:instrText>
            </w:r>
            <w:r w:rsidR="00067799" w:rsidRPr="005B73E3">
              <w:rPr>
                <w:noProof/>
                <w:webHidden/>
              </w:rPr>
            </w:r>
            <w:r w:rsidR="00067799" w:rsidRPr="005B73E3">
              <w:rPr>
                <w:noProof/>
                <w:webHidden/>
              </w:rPr>
              <w:fldChar w:fldCharType="separate"/>
            </w:r>
            <w:r w:rsidR="00011CD8">
              <w:rPr>
                <w:noProof/>
                <w:webHidden/>
              </w:rPr>
              <w:t>5</w:t>
            </w:r>
            <w:r w:rsidR="00067799" w:rsidRPr="005B73E3">
              <w:rPr>
                <w:noProof/>
                <w:webHidden/>
              </w:rPr>
              <w:fldChar w:fldCharType="end"/>
            </w:r>
          </w:hyperlink>
        </w:p>
        <w:p w14:paraId="50074C99"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8" w:history="1">
            <w:r w:rsidR="00067799" w:rsidRPr="005B73E3">
              <w:rPr>
                <w:rStyle w:val="Hipervnculo"/>
                <w:noProof/>
                <w:color w:val="auto"/>
              </w:rPr>
              <w:t>f) Cierre de instrucción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_Toc174019528 \h </w:instrText>
            </w:r>
            <w:r w:rsidR="00067799" w:rsidRPr="005B73E3">
              <w:rPr>
                <w:noProof/>
                <w:webHidden/>
              </w:rPr>
            </w:r>
            <w:r w:rsidR="00067799" w:rsidRPr="005B73E3">
              <w:rPr>
                <w:noProof/>
                <w:webHidden/>
              </w:rPr>
              <w:fldChar w:fldCharType="separate"/>
            </w:r>
            <w:r w:rsidR="00011CD8">
              <w:rPr>
                <w:noProof/>
                <w:webHidden/>
              </w:rPr>
              <w:t>8</w:t>
            </w:r>
            <w:r w:rsidR="00067799" w:rsidRPr="005B73E3">
              <w:rPr>
                <w:noProof/>
                <w:webHidden/>
              </w:rPr>
              <w:fldChar w:fldCharType="end"/>
            </w:r>
          </w:hyperlink>
        </w:p>
        <w:p w14:paraId="43127B79"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29" w:history="1">
            <w:r w:rsidR="00067799" w:rsidRPr="005B73E3">
              <w:rPr>
                <w:rStyle w:val="Hipervnculo"/>
                <w:rFonts w:eastAsia="Calibri"/>
                <w:noProof/>
                <w:color w:val="auto"/>
              </w:rPr>
              <w:t>g) Ampliación de plazo para resolver el Recurso de Revisión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_Toc174019529 \h </w:instrText>
            </w:r>
            <w:r w:rsidR="00067799" w:rsidRPr="005B73E3">
              <w:rPr>
                <w:noProof/>
                <w:webHidden/>
              </w:rPr>
            </w:r>
            <w:r w:rsidR="00067799" w:rsidRPr="005B73E3">
              <w:rPr>
                <w:noProof/>
                <w:webHidden/>
              </w:rPr>
              <w:fldChar w:fldCharType="separate"/>
            </w:r>
            <w:r w:rsidR="00011CD8">
              <w:rPr>
                <w:noProof/>
                <w:webHidden/>
              </w:rPr>
              <w:t>5</w:t>
            </w:r>
            <w:r w:rsidR="00067799" w:rsidRPr="005B73E3">
              <w:rPr>
                <w:noProof/>
                <w:webHidden/>
              </w:rPr>
              <w:fldChar w:fldCharType="end"/>
            </w:r>
          </w:hyperlink>
        </w:p>
        <w:p w14:paraId="3717AE65" w14:textId="77777777" w:rsidR="00067799" w:rsidRPr="005B73E3" w:rsidRDefault="00AD1341" w:rsidP="005B73E3">
          <w:pPr>
            <w:pStyle w:val="TDC1"/>
            <w:tabs>
              <w:tab w:val="right" w:leader="dot" w:pos="9034"/>
            </w:tabs>
            <w:rPr>
              <w:rFonts w:asciiTheme="minorHAnsi" w:eastAsiaTheme="minorEastAsia" w:hAnsiTheme="minorHAnsi" w:cstheme="minorBidi"/>
              <w:noProof/>
              <w:szCs w:val="22"/>
              <w:lang w:eastAsia="es-MX"/>
            </w:rPr>
          </w:pPr>
          <w:hyperlink w:anchor="_Toc174019530" w:history="1">
            <w:r w:rsidR="00067799" w:rsidRPr="005B73E3">
              <w:rPr>
                <w:rStyle w:val="Hipervnculo"/>
                <w:rFonts w:eastAsiaTheme="minorHAnsi"/>
                <w:noProof/>
                <w:color w:val="auto"/>
                <w:lang w:eastAsia="en-US"/>
              </w:rPr>
              <w:t>CONSIDERANDOS</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_Toc174019530 \h </w:instrText>
            </w:r>
            <w:r w:rsidR="00067799" w:rsidRPr="005B73E3">
              <w:rPr>
                <w:noProof/>
                <w:webHidden/>
              </w:rPr>
            </w:r>
            <w:r w:rsidR="00067799" w:rsidRPr="005B73E3">
              <w:rPr>
                <w:noProof/>
                <w:webHidden/>
              </w:rPr>
              <w:fldChar w:fldCharType="separate"/>
            </w:r>
            <w:r w:rsidR="00011CD8">
              <w:rPr>
                <w:noProof/>
                <w:webHidden/>
              </w:rPr>
              <w:t>8</w:t>
            </w:r>
            <w:r w:rsidR="00067799" w:rsidRPr="005B73E3">
              <w:rPr>
                <w:noProof/>
                <w:webHidden/>
              </w:rPr>
              <w:fldChar w:fldCharType="end"/>
            </w:r>
          </w:hyperlink>
        </w:p>
        <w:p w14:paraId="228A1F93" w14:textId="77777777" w:rsidR="00067799" w:rsidRPr="005B73E3" w:rsidRDefault="00AD1341" w:rsidP="005B73E3">
          <w:pPr>
            <w:pStyle w:val="TDC2"/>
            <w:rPr>
              <w:rFonts w:asciiTheme="minorHAnsi" w:eastAsiaTheme="minorEastAsia" w:hAnsiTheme="minorHAnsi" w:cstheme="minorBidi"/>
              <w:noProof/>
              <w:szCs w:val="22"/>
              <w:lang w:eastAsia="es-MX"/>
            </w:rPr>
          </w:pPr>
          <w:hyperlink w:anchor="_Toc174019531" w:history="1">
            <w:r w:rsidR="00067799" w:rsidRPr="005B73E3">
              <w:rPr>
                <w:rStyle w:val="Hipervnculo"/>
                <w:rFonts w:eastAsia="Batang"/>
                <w:noProof/>
                <w:color w:val="auto"/>
              </w:rPr>
              <w:t>PRIMERO. Procedibilidad</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_Toc174019531 \h </w:instrText>
            </w:r>
            <w:r w:rsidR="00067799" w:rsidRPr="005B73E3">
              <w:rPr>
                <w:noProof/>
                <w:webHidden/>
              </w:rPr>
            </w:r>
            <w:r w:rsidR="00067799" w:rsidRPr="005B73E3">
              <w:rPr>
                <w:noProof/>
                <w:webHidden/>
              </w:rPr>
              <w:fldChar w:fldCharType="separate"/>
            </w:r>
            <w:r w:rsidR="00011CD8">
              <w:rPr>
                <w:noProof/>
                <w:webHidden/>
              </w:rPr>
              <w:t>8</w:t>
            </w:r>
            <w:r w:rsidR="00067799" w:rsidRPr="005B73E3">
              <w:rPr>
                <w:noProof/>
                <w:webHidden/>
              </w:rPr>
              <w:fldChar w:fldCharType="end"/>
            </w:r>
          </w:hyperlink>
        </w:p>
        <w:p w14:paraId="27EA1DCD"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2" w:history="1">
            <w:r w:rsidR="00067799" w:rsidRPr="005B73E3">
              <w:rPr>
                <w:rStyle w:val="Hipervnculo"/>
                <w:noProof/>
                <w:color w:val="auto"/>
              </w:rPr>
              <w:t>a) Competencia del Instituto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_Toc174019532 \h </w:instrText>
            </w:r>
            <w:r w:rsidR="00067799" w:rsidRPr="005B73E3">
              <w:rPr>
                <w:noProof/>
                <w:webHidden/>
              </w:rPr>
            </w:r>
            <w:r w:rsidR="00067799" w:rsidRPr="005B73E3">
              <w:rPr>
                <w:noProof/>
                <w:webHidden/>
              </w:rPr>
              <w:fldChar w:fldCharType="separate"/>
            </w:r>
            <w:r w:rsidR="00011CD8">
              <w:rPr>
                <w:noProof/>
                <w:webHidden/>
              </w:rPr>
              <w:t>8</w:t>
            </w:r>
            <w:r w:rsidR="00067799" w:rsidRPr="005B73E3">
              <w:rPr>
                <w:noProof/>
                <w:webHidden/>
              </w:rPr>
              <w:fldChar w:fldCharType="end"/>
            </w:r>
          </w:hyperlink>
        </w:p>
        <w:p w14:paraId="5B85FB51"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3" w:history="1">
            <w:r w:rsidR="00067799" w:rsidRPr="005B73E3">
              <w:rPr>
                <w:rStyle w:val="Hipervnculo"/>
                <w:noProof/>
                <w:color w:val="auto"/>
              </w:rPr>
              <w:t>b) Legitimidad de la parte recurrente</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_Toc174019533 \h </w:instrText>
            </w:r>
            <w:r w:rsidR="00067799" w:rsidRPr="005B73E3">
              <w:rPr>
                <w:noProof/>
                <w:webHidden/>
              </w:rPr>
            </w:r>
            <w:r w:rsidR="00067799" w:rsidRPr="005B73E3">
              <w:rPr>
                <w:noProof/>
                <w:webHidden/>
              </w:rPr>
              <w:fldChar w:fldCharType="separate"/>
            </w:r>
            <w:r w:rsidR="00011CD8">
              <w:rPr>
                <w:noProof/>
                <w:webHidden/>
              </w:rPr>
              <w:t>9</w:t>
            </w:r>
            <w:r w:rsidR="00067799" w:rsidRPr="005B73E3">
              <w:rPr>
                <w:noProof/>
                <w:webHidden/>
              </w:rPr>
              <w:fldChar w:fldCharType="end"/>
            </w:r>
          </w:hyperlink>
        </w:p>
        <w:p w14:paraId="3E0734F5"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4" w:history="1">
            <w:r w:rsidR="00067799" w:rsidRPr="005B73E3">
              <w:rPr>
                <w:rStyle w:val="Hipervnculo"/>
                <w:rFonts w:eastAsia="Calibri"/>
                <w:noProof/>
                <w:color w:val="auto"/>
                <w:lang w:eastAsia="es-ES_tradnl"/>
              </w:rPr>
              <w:t>c) Plazo para interponer el recurso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_Toc174019534 \h </w:instrText>
            </w:r>
            <w:r w:rsidR="00067799" w:rsidRPr="005B73E3">
              <w:rPr>
                <w:noProof/>
                <w:webHidden/>
              </w:rPr>
            </w:r>
            <w:r w:rsidR="00067799" w:rsidRPr="005B73E3">
              <w:rPr>
                <w:noProof/>
                <w:webHidden/>
              </w:rPr>
              <w:fldChar w:fldCharType="separate"/>
            </w:r>
            <w:r w:rsidR="00011CD8">
              <w:rPr>
                <w:noProof/>
                <w:webHidden/>
              </w:rPr>
              <w:t>9</w:t>
            </w:r>
            <w:r w:rsidR="00067799" w:rsidRPr="005B73E3">
              <w:rPr>
                <w:noProof/>
                <w:webHidden/>
              </w:rPr>
              <w:fldChar w:fldCharType="end"/>
            </w:r>
          </w:hyperlink>
        </w:p>
        <w:p w14:paraId="35876F60"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5" w:history="1">
            <w:r w:rsidR="00067799" w:rsidRPr="005B73E3">
              <w:rPr>
                <w:rStyle w:val="Hipervnculo"/>
                <w:rFonts w:eastAsia="Calibri"/>
                <w:noProof/>
                <w:color w:val="auto"/>
                <w:lang w:eastAsia="es-ES_tradnl"/>
              </w:rPr>
              <w:t>d) Causal de Procedencia</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_Toc174019535 \h </w:instrText>
            </w:r>
            <w:r w:rsidR="00067799" w:rsidRPr="005B73E3">
              <w:rPr>
                <w:noProof/>
                <w:webHidden/>
              </w:rPr>
            </w:r>
            <w:r w:rsidR="00067799" w:rsidRPr="005B73E3">
              <w:rPr>
                <w:noProof/>
                <w:webHidden/>
              </w:rPr>
              <w:fldChar w:fldCharType="separate"/>
            </w:r>
            <w:r w:rsidR="00011CD8">
              <w:rPr>
                <w:noProof/>
                <w:webHidden/>
              </w:rPr>
              <w:t>10</w:t>
            </w:r>
            <w:r w:rsidR="00067799" w:rsidRPr="005B73E3">
              <w:rPr>
                <w:noProof/>
                <w:webHidden/>
              </w:rPr>
              <w:fldChar w:fldCharType="end"/>
            </w:r>
          </w:hyperlink>
        </w:p>
        <w:p w14:paraId="27C87D95"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6" w:history="1">
            <w:r w:rsidR="00067799" w:rsidRPr="005B73E3">
              <w:rPr>
                <w:rStyle w:val="Hipervnculo"/>
                <w:noProof/>
                <w:color w:val="auto"/>
              </w:rPr>
              <w:t>e) Requisitos formales para la interposición del recurso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_Toc174019536 \h </w:instrText>
            </w:r>
            <w:r w:rsidR="00067799" w:rsidRPr="005B73E3">
              <w:rPr>
                <w:noProof/>
                <w:webHidden/>
              </w:rPr>
            </w:r>
            <w:r w:rsidR="00067799" w:rsidRPr="005B73E3">
              <w:rPr>
                <w:noProof/>
                <w:webHidden/>
              </w:rPr>
              <w:fldChar w:fldCharType="separate"/>
            </w:r>
            <w:r w:rsidR="00011CD8">
              <w:rPr>
                <w:noProof/>
                <w:webHidden/>
              </w:rPr>
              <w:t>10</w:t>
            </w:r>
            <w:r w:rsidR="00067799" w:rsidRPr="005B73E3">
              <w:rPr>
                <w:noProof/>
                <w:webHidden/>
              </w:rPr>
              <w:fldChar w:fldCharType="end"/>
            </w:r>
          </w:hyperlink>
        </w:p>
        <w:p w14:paraId="51869073" w14:textId="77777777" w:rsidR="00067799" w:rsidRPr="005B73E3" w:rsidRDefault="00AD1341" w:rsidP="005B73E3">
          <w:pPr>
            <w:pStyle w:val="TDC2"/>
            <w:rPr>
              <w:rFonts w:asciiTheme="minorHAnsi" w:eastAsiaTheme="minorEastAsia" w:hAnsiTheme="minorHAnsi" w:cstheme="minorBidi"/>
              <w:noProof/>
              <w:szCs w:val="22"/>
              <w:lang w:eastAsia="es-MX"/>
            </w:rPr>
          </w:pPr>
          <w:hyperlink w:anchor="_Toc174019537" w:history="1">
            <w:r w:rsidR="00067799" w:rsidRPr="005B73E3">
              <w:rPr>
                <w:rStyle w:val="Hipervnculo"/>
                <w:noProof/>
                <w:color w:val="auto"/>
              </w:rPr>
              <w:t>SEGUNDO. Estudio de Fondo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_Toc174019537 \h </w:instrText>
            </w:r>
            <w:r w:rsidR="00067799" w:rsidRPr="005B73E3">
              <w:rPr>
                <w:noProof/>
                <w:webHidden/>
              </w:rPr>
            </w:r>
            <w:r w:rsidR="00067799" w:rsidRPr="005B73E3">
              <w:rPr>
                <w:noProof/>
                <w:webHidden/>
              </w:rPr>
              <w:fldChar w:fldCharType="separate"/>
            </w:r>
            <w:r w:rsidR="00011CD8">
              <w:rPr>
                <w:noProof/>
                <w:webHidden/>
              </w:rPr>
              <w:t>11</w:t>
            </w:r>
            <w:r w:rsidR="00067799" w:rsidRPr="005B73E3">
              <w:rPr>
                <w:noProof/>
                <w:webHidden/>
              </w:rPr>
              <w:fldChar w:fldCharType="end"/>
            </w:r>
          </w:hyperlink>
        </w:p>
        <w:p w14:paraId="32606505"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8" w:history="1">
            <w:r w:rsidR="00067799" w:rsidRPr="005B73E3">
              <w:rPr>
                <w:rStyle w:val="Hipervnculo"/>
                <w:noProof/>
                <w:color w:val="auto"/>
              </w:rPr>
              <w:t>a) Mandato de transparencia y responsabilidad del Sujeto Obligado</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_Toc174019538 \h </w:instrText>
            </w:r>
            <w:r w:rsidR="00067799" w:rsidRPr="005B73E3">
              <w:rPr>
                <w:noProof/>
                <w:webHidden/>
              </w:rPr>
            </w:r>
            <w:r w:rsidR="00067799" w:rsidRPr="005B73E3">
              <w:rPr>
                <w:noProof/>
                <w:webHidden/>
              </w:rPr>
              <w:fldChar w:fldCharType="separate"/>
            </w:r>
            <w:r w:rsidR="00011CD8">
              <w:rPr>
                <w:noProof/>
                <w:webHidden/>
              </w:rPr>
              <w:t>11</w:t>
            </w:r>
            <w:r w:rsidR="00067799" w:rsidRPr="005B73E3">
              <w:rPr>
                <w:noProof/>
                <w:webHidden/>
              </w:rPr>
              <w:fldChar w:fldCharType="end"/>
            </w:r>
          </w:hyperlink>
        </w:p>
        <w:p w14:paraId="3710311B"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39" w:history="1">
            <w:r w:rsidR="00067799" w:rsidRPr="005B73E3">
              <w:rPr>
                <w:rStyle w:val="Hipervnculo"/>
                <w:rFonts w:eastAsia="Calibri"/>
                <w:noProof/>
                <w:color w:val="auto"/>
                <w:lang w:eastAsia="es-ES_tradnl"/>
              </w:rPr>
              <w:t>b) Controversia a resolver</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_Toc174019539 \h </w:instrText>
            </w:r>
            <w:r w:rsidR="00067799" w:rsidRPr="005B73E3">
              <w:rPr>
                <w:noProof/>
                <w:webHidden/>
              </w:rPr>
            </w:r>
            <w:r w:rsidR="00067799" w:rsidRPr="005B73E3">
              <w:rPr>
                <w:noProof/>
                <w:webHidden/>
              </w:rPr>
              <w:fldChar w:fldCharType="separate"/>
            </w:r>
            <w:r w:rsidR="00011CD8">
              <w:rPr>
                <w:noProof/>
                <w:webHidden/>
              </w:rPr>
              <w:t>13</w:t>
            </w:r>
            <w:r w:rsidR="00067799" w:rsidRPr="005B73E3">
              <w:rPr>
                <w:noProof/>
                <w:webHidden/>
              </w:rPr>
              <w:fldChar w:fldCharType="end"/>
            </w:r>
          </w:hyperlink>
        </w:p>
        <w:p w14:paraId="0338ACCF"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40" w:history="1">
            <w:r w:rsidR="00067799" w:rsidRPr="005B73E3">
              <w:rPr>
                <w:rStyle w:val="Hipervnculo"/>
                <w:noProof/>
                <w:color w:val="auto"/>
              </w:rPr>
              <w:t>c) Estudio de la controversia</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_Toc174019540 \h </w:instrText>
            </w:r>
            <w:r w:rsidR="00067799" w:rsidRPr="005B73E3">
              <w:rPr>
                <w:noProof/>
                <w:webHidden/>
              </w:rPr>
            </w:r>
            <w:r w:rsidR="00067799" w:rsidRPr="005B73E3">
              <w:rPr>
                <w:noProof/>
                <w:webHidden/>
              </w:rPr>
              <w:fldChar w:fldCharType="separate"/>
            </w:r>
            <w:r w:rsidR="00011CD8">
              <w:rPr>
                <w:noProof/>
                <w:webHidden/>
              </w:rPr>
              <w:t>14</w:t>
            </w:r>
            <w:r w:rsidR="00067799" w:rsidRPr="005B73E3">
              <w:rPr>
                <w:noProof/>
                <w:webHidden/>
              </w:rPr>
              <w:fldChar w:fldCharType="end"/>
            </w:r>
          </w:hyperlink>
        </w:p>
        <w:p w14:paraId="304A2611"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41" w:history="1">
            <w:r w:rsidR="00067799" w:rsidRPr="005B73E3">
              <w:rPr>
                <w:rStyle w:val="Hipervnculo"/>
                <w:noProof/>
                <w:color w:val="auto"/>
              </w:rPr>
              <w:t>d) Versión pública</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_Toc174019541 \h </w:instrText>
            </w:r>
            <w:r w:rsidR="00067799" w:rsidRPr="005B73E3">
              <w:rPr>
                <w:noProof/>
                <w:webHidden/>
              </w:rPr>
            </w:r>
            <w:r w:rsidR="00067799" w:rsidRPr="005B73E3">
              <w:rPr>
                <w:noProof/>
                <w:webHidden/>
              </w:rPr>
              <w:fldChar w:fldCharType="separate"/>
            </w:r>
            <w:r w:rsidR="00011CD8">
              <w:rPr>
                <w:noProof/>
                <w:webHidden/>
              </w:rPr>
              <w:t>39</w:t>
            </w:r>
            <w:r w:rsidR="00067799" w:rsidRPr="005B73E3">
              <w:rPr>
                <w:noProof/>
                <w:webHidden/>
              </w:rPr>
              <w:fldChar w:fldCharType="end"/>
            </w:r>
          </w:hyperlink>
        </w:p>
        <w:p w14:paraId="27A31BBE" w14:textId="77777777" w:rsidR="00067799" w:rsidRPr="005B73E3" w:rsidRDefault="00AD1341" w:rsidP="005B73E3">
          <w:pPr>
            <w:pStyle w:val="TDC3"/>
            <w:rPr>
              <w:rFonts w:asciiTheme="minorHAnsi" w:eastAsiaTheme="minorEastAsia" w:hAnsiTheme="minorHAnsi" w:cstheme="minorBidi"/>
              <w:noProof/>
              <w:szCs w:val="22"/>
              <w:lang w:eastAsia="es-MX"/>
            </w:rPr>
          </w:pPr>
          <w:hyperlink w:anchor="_Toc174019542" w:history="1">
            <w:r w:rsidR="00067799" w:rsidRPr="005B73E3">
              <w:rPr>
                <w:rStyle w:val="Hipervnculo"/>
                <w:rFonts w:eastAsia="Calibri"/>
                <w:noProof/>
                <w:color w:val="auto"/>
              </w:rPr>
              <w:t xml:space="preserve">e) </w:t>
            </w:r>
            <w:r w:rsidR="00067799" w:rsidRPr="005B73E3">
              <w:rPr>
                <w:rStyle w:val="Hipervnculo"/>
                <w:noProof/>
                <w:color w:val="auto"/>
              </w:rPr>
              <w:t>Conclusión</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_Toc174019542 \h </w:instrText>
            </w:r>
            <w:r w:rsidR="00067799" w:rsidRPr="005B73E3">
              <w:rPr>
                <w:noProof/>
                <w:webHidden/>
              </w:rPr>
            </w:r>
            <w:r w:rsidR="00067799" w:rsidRPr="005B73E3">
              <w:rPr>
                <w:noProof/>
                <w:webHidden/>
              </w:rPr>
              <w:fldChar w:fldCharType="separate"/>
            </w:r>
            <w:r w:rsidR="00011CD8">
              <w:rPr>
                <w:noProof/>
                <w:webHidden/>
              </w:rPr>
              <w:t>48</w:t>
            </w:r>
            <w:r w:rsidR="00067799" w:rsidRPr="005B73E3">
              <w:rPr>
                <w:noProof/>
                <w:webHidden/>
              </w:rPr>
              <w:fldChar w:fldCharType="end"/>
            </w:r>
          </w:hyperlink>
        </w:p>
        <w:p w14:paraId="376C1008" w14:textId="77777777" w:rsidR="00067799" w:rsidRPr="005B73E3" w:rsidRDefault="00AD1341" w:rsidP="005B73E3">
          <w:pPr>
            <w:pStyle w:val="TDC1"/>
            <w:tabs>
              <w:tab w:val="right" w:leader="dot" w:pos="9034"/>
            </w:tabs>
            <w:rPr>
              <w:rFonts w:asciiTheme="minorHAnsi" w:eastAsiaTheme="minorEastAsia" w:hAnsiTheme="minorHAnsi" w:cstheme="minorBidi"/>
              <w:noProof/>
              <w:szCs w:val="22"/>
              <w:lang w:eastAsia="es-MX"/>
            </w:rPr>
          </w:pPr>
          <w:hyperlink w:anchor="_Toc174019543" w:history="1">
            <w:r w:rsidR="00067799" w:rsidRPr="005B73E3">
              <w:rPr>
                <w:rStyle w:val="Hipervnculo"/>
                <w:noProof/>
                <w:color w:val="auto"/>
              </w:rPr>
              <w:t>RESUELVE</w:t>
            </w:r>
            <w:r w:rsidR="00067799" w:rsidRPr="005B73E3">
              <w:rPr>
                <w:noProof/>
                <w:webHidden/>
              </w:rPr>
              <w:tab/>
            </w:r>
            <w:r w:rsidR="00067799" w:rsidRPr="005B73E3">
              <w:rPr>
                <w:noProof/>
                <w:webHidden/>
              </w:rPr>
              <w:fldChar w:fldCharType="begin"/>
            </w:r>
            <w:r w:rsidR="00067799" w:rsidRPr="005B73E3">
              <w:rPr>
                <w:noProof/>
                <w:webHidden/>
              </w:rPr>
              <w:instrText xml:space="preserve"> PAGEREF _Toc174019543 \h </w:instrText>
            </w:r>
            <w:r w:rsidR="00067799" w:rsidRPr="005B73E3">
              <w:rPr>
                <w:noProof/>
                <w:webHidden/>
              </w:rPr>
            </w:r>
            <w:r w:rsidR="00067799" w:rsidRPr="005B73E3">
              <w:rPr>
                <w:noProof/>
                <w:webHidden/>
              </w:rPr>
              <w:fldChar w:fldCharType="separate"/>
            </w:r>
            <w:r w:rsidR="00011CD8">
              <w:rPr>
                <w:noProof/>
                <w:webHidden/>
              </w:rPr>
              <w:t>49</w:t>
            </w:r>
            <w:r w:rsidR="00067799" w:rsidRPr="005B73E3">
              <w:rPr>
                <w:noProof/>
                <w:webHidden/>
              </w:rPr>
              <w:fldChar w:fldCharType="end"/>
            </w:r>
          </w:hyperlink>
        </w:p>
        <w:p w14:paraId="0C82FD7A" w14:textId="7E476E7B" w:rsidR="009B2945" w:rsidRPr="005B73E3" w:rsidRDefault="00AE3DA7" w:rsidP="005B73E3">
          <w:pPr>
            <w:pStyle w:val="TDC1"/>
            <w:tabs>
              <w:tab w:val="right" w:leader="dot" w:pos="9034"/>
            </w:tabs>
            <w:rPr>
              <w:b/>
              <w:bCs/>
              <w:szCs w:val="22"/>
              <w:lang w:val="es-ES"/>
            </w:rPr>
          </w:pPr>
          <w:r w:rsidRPr="005B73E3">
            <w:rPr>
              <w:b/>
              <w:bCs/>
              <w:szCs w:val="22"/>
              <w:lang w:val="es-ES"/>
            </w:rPr>
            <w:fldChar w:fldCharType="end"/>
          </w:r>
        </w:p>
      </w:sdtContent>
    </w:sdt>
    <w:p w14:paraId="603A07E2" w14:textId="77777777" w:rsidR="00646436" w:rsidRPr="005B73E3" w:rsidRDefault="00646436" w:rsidP="005B73E3">
      <w:pPr>
        <w:rPr>
          <w:rFonts w:cs="Tahoma"/>
          <w:szCs w:val="22"/>
        </w:rPr>
        <w:sectPr w:rsidR="00646436" w:rsidRPr="005B73E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329543" w:rsidR="00775BFC" w:rsidRPr="005B73E3" w:rsidRDefault="00775BFC" w:rsidP="005B73E3">
      <w:pPr>
        <w:rPr>
          <w:b/>
          <w:szCs w:val="22"/>
        </w:rPr>
      </w:pPr>
      <w:r w:rsidRPr="005B73E3">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E5714F" w:rsidRPr="005B73E3">
        <w:rPr>
          <w:b/>
          <w:bCs/>
          <w:szCs w:val="22"/>
        </w:rPr>
        <w:t>el</w:t>
      </w:r>
      <w:r w:rsidRPr="005B73E3">
        <w:rPr>
          <w:szCs w:val="22"/>
        </w:rPr>
        <w:t xml:space="preserve"> </w:t>
      </w:r>
      <w:r w:rsidR="008F136E" w:rsidRPr="005B73E3">
        <w:rPr>
          <w:b/>
          <w:szCs w:val="22"/>
        </w:rPr>
        <w:t xml:space="preserve">veintiuno </w:t>
      </w:r>
      <w:r w:rsidR="00ED7170" w:rsidRPr="005B73E3">
        <w:rPr>
          <w:b/>
          <w:szCs w:val="22"/>
        </w:rPr>
        <w:t xml:space="preserve">de </w:t>
      </w:r>
      <w:r w:rsidR="00E33714" w:rsidRPr="005B73E3">
        <w:rPr>
          <w:b/>
          <w:szCs w:val="22"/>
        </w:rPr>
        <w:t>agosto</w:t>
      </w:r>
      <w:r w:rsidR="00ED7170" w:rsidRPr="005B73E3">
        <w:rPr>
          <w:b/>
          <w:szCs w:val="22"/>
        </w:rPr>
        <w:t xml:space="preserve"> de dos mil veinticuatro.</w:t>
      </w:r>
    </w:p>
    <w:p w14:paraId="0AF3AAC4" w14:textId="77777777" w:rsidR="00775BFC" w:rsidRPr="005B73E3" w:rsidRDefault="00775BFC" w:rsidP="005B73E3">
      <w:pPr>
        <w:rPr>
          <w:szCs w:val="22"/>
        </w:rPr>
      </w:pPr>
    </w:p>
    <w:p w14:paraId="40EAE038" w14:textId="41B1F7F9" w:rsidR="00775BFC" w:rsidRPr="005B73E3" w:rsidRDefault="00775BFC" w:rsidP="005B73E3">
      <w:pPr>
        <w:rPr>
          <w:szCs w:val="22"/>
        </w:rPr>
      </w:pPr>
      <w:r w:rsidRPr="005B73E3">
        <w:rPr>
          <w:b/>
          <w:szCs w:val="22"/>
        </w:rPr>
        <w:t xml:space="preserve">VISTO </w:t>
      </w:r>
      <w:r w:rsidRPr="005B73E3">
        <w:rPr>
          <w:szCs w:val="22"/>
        </w:rPr>
        <w:t xml:space="preserve">el expediente formado con motivo del Recurso de Revisión </w:t>
      </w:r>
      <w:r w:rsidR="008F136E" w:rsidRPr="005B73E3">
        <w:rPr>
          <w:rFonts w:eastAsia="Calibri"/>
          <w:b/>
          <w:szCs w:val="22"/>
          <w:lang w:eastAsia="en-US"/>
        </w:rPr>
        <w:t>03292/INFOEM/IP/RR/2024</w:t>
      </w:r>
      <w:r w:rsidRPr="005B73E3">
        <w:rPr>
          <w:rFonts w:eastAsia="Calibri"/>
          <w:szCs w:val="22"/>
          <w:lang w:eastAsia="en-US"/>
        </w:rPr>
        <w:t xml:space="preserve"> </w:t>
      </w:r>
      <w:r w:rsidRPr="005B73E3">
        <w:rPr>
          <w:szCs w:val="22"/>
        </w:rPr>
        <w:t xml:space="preserve">interpuesto por </w:t>
      </w:r>
      <w:bookmarkStart w:id="2" w:name="_GoBack"/>
      <w:r w:rsidR="008C3576">
        <w:rPr>
          <w:b/>
          <w:bCs/>
          <w:szCs w:val="22"/>
        </w:rPr>
        <w:t>XXXXXXX</w:t>
      </w:r>
      <w:bookmarkEnd w:id="2"/>
      <w:r w:rsidRPr="005B73E3">
        <w:rPr>
          <w:szCs w:val="22"/>
        </w:rPr>
        <w:t xml:space="preserve">, a quien en lo subsecuente se le denominará </w:t>
      </w:r>
      <w:r w:rsidRPr="005B73E3">
        <w:rPr>
          <w:b/>
          <w:bCs/>
          <w:szCs w:val="22"/>
        </w:rPr>
        <w:t>LA PARTE RECURRENTE</w:t>
      </w:r>
      <w:r w:rsidRPr="005B73E3">
        <w:rPr>
          <w:szCs w:val="22"/>
        </w:rPr>
        <w:t>, en contra de la respuesta emitida por</w:t>
      </w:r>
      <w:r w:rsidR="00A0449B" w:rsidRPr="005B73E3">
        <w:rPr>
          <w:szCs w:val="22"/>
        </w:rPr>
        <w:t xml:space="preserve"> </w:t>
      </w:r>
      <w:r w:rsidR="00F62522" w:rsidRPr="005B73E3">
        <w:rPr>
          <w:szCs w:val="22"/>
        </w:rPr>
        <w:t>el</w:t>
      </w:r>
      <w:r w:rsidR="000748DF" w:rsidRPr="005B73E3">
        <w:rPr>
          <w:szCs w:val="22"/>
        </w:rPr>
        <w:t xml:space="preserve"> </w:t>
      </w:r>
      <w:r w:rsidR="008F136E" w:rsidRPr="005B73E3">
        <w:rPr>
          <w:b/>
          <w:bCs/>
          <w:szCs w:val="22"/>
        </w:rPr>
        <w:t>Ayuntamiento de Texcoco</w:t>
      </w:r>
      <w:r w:rsidRPr="005B73E3">
        <w:rPr>
          <w:szCs w:val="22"/>
        </w:rPr>
        <w:t xml:space="preserve">, en adelante </w:t>
      </w:r>
      <w:r w:rsidRPr="005B73E3">
        <w:rPr>
          <w:b/>
          <w:bCs/>
          <w:szCs w:val="22"/>
        </w:rPr>
        <w:t>EL SUJETO OBLIGADO</w:t>
      </w:r>
      <w:r w:rsidRPr="005B73E3">
        <w:rPr>
          <w:rFonts w:eastAsia="Calibri"/>
          <w:szCs w:val="22"/>
          <w:lang w:eastAsia="en-US"/>
        </w:rPr>
        <w:t xml:space="preserve">, </w:t>
      </w:r>
      <w:r w:rsidRPr="005B73E3">
        <w:rPr>
          <w:szCs w:val="22"/>
        </w:rPr>
        <w:t>se emite la presente Resolución con base en los Antecedentes y Considerandos que se exponen a continuación:</w:t>
      </w:r>
    </w:p>
    <w:p w14:paraId="2116968C" w14:textId="77777777" w:rsidR="00775BFC" w:rsidRPr="005B73E3" w:rsidRDefault="00775BFC" w:rsidP="005B73E3">
      <w:pPr>
        <w:rPr>
          <w:szCs w:val="22"/>
        </w:rPr>
      </w:pPr>
    </w:p>
    <w:p w14:paraId="5A444FB6" w14:textId="639D3567" w:rsidR="00664420" w:rsidRPr="005B73E3" w:rsidRDefault="00664420" w:rsidP="005B73E3">
      <w:pPr>
        <w:pStyle w:val="Ttulo1"/>
        <w:rPr>
          <w:szCs w:val="22"/>
        </w:rPr>
      </w:pPr>
      <w:bookmarkStart w:id="3" w:name="_Toc174019516"/>
      <w:r w:rsidRPr="005B73E3">
        <w:rPr>
          <w:szCs w:val="22"/>
        </w:rPr>
        <w:t>ANTECEDENTES</w:t>
      </w:r>
      <w:bookmarkEnd w:id="3"/>
    </w:p>
    <w:p w14:paraId="7CE9E53D" w14:textId="77777777" w:rsidR="00E37A3F" w:rsidRPr="005B73E3" w:rsidRDefault="00E37A3F" w:rsidP="005B73E3">
      <w:pPr>
        <w:rPr>
          <w:szCs w:val="22"/>
        </w:rPr>
      </w:pPr>
    </w:p>
    <w:p w14:paraId="09B2D38F" w14:textId="6E49D146" w:rsidR="00664420" w:rsidRPr="005B73E3" w:rsidRDefault="00E37A3F" w:rsidP="005B73E3">
      <w:pPr>
        <w:pStyle w:val="Ttulo2"/>
        <w:rPr>
          <w:szCs w:val="22"/>
        </w:rPr>
      </w:pPr>
      <w:bookmarkStart w:id="4" w:name="_Toc174019517"/>
      <w:r w:rsidRPr="005B73E3">
        <w:rPr>
          <w:szCs w:val="22"/>
        </w:rPr>
        <w:t>DE LA SOLICITUD DE INFORMACIÓN</w:t>
      </w:r>
      <w:bookmarkEnd w:id="4"/>
    </w:p>
    <w:p w14:paraId="2C6AD1A5" w14:textId="0405B3CD" w:rsidR="00664420" w:rsidRPr="005B73E3" w:rsidRDefault="00E37A3F" w:rsidP="005B73E3">
      <w:pPr>
        <w:pStyle w:val="Ttulo3"/>
        <w:rPr>
          <w:szCs w:val="22"/>
        </w:rPr>
      </w:pPr>
      <w:bookmarkStart w:id="5" w:name="_Toc174019518"/>
      <w:r w:rsidRPr="005B73E3">
        <w:rPr>
          <w:szCs w:val="22"/>
        </w:rPr>
        <w:t xml:space="preserve">a) </w:t>
      </w:r>
      <w:r w:rsidR="006B10B0" w:rsidRPr="005B73E3">
        <w:rPr>
          <w:szCs w:val="22"/>
        </w:rPr>
        <w:t>S</w:t>
      </w:r>
      <w:r w:rsidR="00664420" w:rsidRPr="005B73E3">
        <w:rPr>
          <w:szCs w:val="22"/>
        </w:rPr>
        <w:t xml:space="preserve">olicitud de </w:t>
      </w:r>
      <w:r w:rsidR="006B10B0" w:rsidRPr="005B73E3">
        <w:rPr>
          <w:szCs w:val="22"/>
        </w:rPr>
        <w:t>i</w:t>
      </w:r>
      <w:r w:rsidR="00664420" w:rsidRPr="005B73E3">
        <w:rPr>
          <w:szCs w:val="22"/>
        </w:rPr>
        <w:t>nformación</w:t>
      </w:r>
      <w:bookmarkEnd w:id="5"/>
    </w:p>
    <w:p w14:paraId="06DCD29D" w14:textId="53BE90EA" w:rsidR="009A2D78" w:rsidRPr="005B73E3" w:rsidRDefault="006B10B0" w:rsidP="005B73E3">
      <w:pPr>
        <w:pStyle w:val="Prrafodelista"/>
        <w:tabs>
          <w:tab w:val="left" w:pos="851"/>
        </w:tabs>
        <w:ind w:left="0"/>
        <w:contextualSpacing w:val="0"/>
        <w:rPr>
          <w:rFonts w:cs="Tahoma"/>
          <w:szCs w:val="22"/>
        </w:rPr>
      </w:pPr>
      <w:r w:rsidRPr="005B73E3">
        <w:rPr>
          <w:rFonts w:cs="Tahoma"/>
          <w:szCs w:val="22"/>
        </w:rPr>
        <w:t>El</w:t>
      </w:r>
      <w:r w:rsidR="00664420" w:rsidRPr="005B73E3">
        <w:rPr>
          <w:rFonts w:cs="Tahoma"/>
          <w:szCs w:val="22"/>
        </w:rPr>
        <w:t xml:space="preserve"> </w:t>
      </w:r>
      <w:r w:rsidR="008F136E" w:rsidRPr="005B73E3">
        <w:rPr>
          <w:rFonts w:cs="Tahoma"/>
          <w:b/>
          <w:bCs/>
          <w:szCs w:val="22"/>
        </w:rPr>
        <w:t>trece de mayo</w:t>
      </w:r>
      <w:r w:rsidR="00664420" w:rsidRPr="005B73E3">
        <w:rPr>
          <w:rFonts w:cs="Tahoma"/>
          <w:b/>
          <w:bCs/>
          <w:szCs w:val="22"/>
        </w:rPr>
        <w:t xml:space="preserve"> de dos mil </w:t>
      </w:r>
      <w:r w:rsidR="004B56B4" w:rsidRPr="005B73E3">
        <w:rPr>
          <w:rFonts w:cs="Tahoma"/>
          <w:b/>
          <w:bCs/>
          <w:szCs w:val="22"/>
        </w:rPr>
        <w:t>veinticuatro</w:t>
      </w:r>
      <w:r w:rsidR="00664420" w:rsidRPr="005B73E3">
        <w:rPr>
          <w:rFonts w:cs="Tahoma"/>
          <w:szCs w:val="22"/>
        </w:rPr>
        <w:t xml:space="preserve">, </w:t>
      </w:r>
      <w:r w:rsidRPr="005B73E3">
        <w:rPr>
          <w:b/>
          <w:bCs/>
          <w:szCs w:val="22"/>
        </w:rPr>
        <w:t>LA PARTE RECURRENTE</w:t>
      </w:r>
      <w:r w:rsidR="00664420" w:rsidRPr="005B73E3">
        <w:rPr>
          <w:rFonts w:cs="Tahoma"/>
          <w:szCs w:val="22"/>
        </w:rPr>
        <w:t xml:space="preserve"> presentó una solicitud de acceso a la información pública </w:t>
      </w:r>
      <w:r w:rsidR="001F3515" w:rsidRPr="005B73E3">
        <w:rPr>
          <w:rFonts w:cs="Tahoma"/>
          <w:szCs w:val="22"/>
        </w:rPr>
        <w:t xml:space="preserve">ante el </w:t>
      </w:r>
      <w:r w:rsidR="001F3515" w:rsidRPr="005B73E3">
        <w:rPr>
          <w:rFonts w:cs="Tahoma"/>
          <w:b/>
          <w:bCs/>
          <w:szCs w:val="22"/>
        </w:rPr>
        <w:t>SUJETO OBLIGADO</w:t>
      </w:r>
      <w:r w:rsidR="001F3515" w:rsidRPr="005B73E3">
        <w:rPr>
          <w:rFonts w:cs="Tahoma"/>
          <w:szCs w:val="22"/>
        </w:rPr>
        <w:t xml:space="preserve">, </w:t>
      </w:r>
      <w:r w:rsidR="00664420" w:rsidRPr="005B73E3">
        <w:rPr>
          <w:rFonts w:cs="Tahoma"/>
          <w:szCs w:val="22"/>
        </w:rPr>
        <w:t>a través del Sistema de Acceso a la Información Mexiquense</w:t>
      </w:r>
      <w:r w:rsidRPr="005B73E3">
        <w:rPr>
          <w:rFonts w:cs="Tahoma"/>
          <w:szCs w:val="22"/>
        </w:rPr>
        <w:t xml:space="preserve"> </w:t>
      </w:r>
      <w:r w:rsidR="009A2D78" w:rsidRPr="005B73E3">
        <w:rPr>
          <w:rFonts w:cs="Tahoma"/>
          <w:szCs w:val="22"/>
        </w:rPr>
        <w:t>(</w:t>
      </w:r>
      <w:r w:rsidRPr="005B73E3">
        <w:rPr>
          <w:rFonts w:cs="Tahoma"/>
          <w:b/>
          <w:szCs w:val="22"/>
        </w:rPr>
        <w:t>SAIMEX</w:t>
      </w:r>
      <w:r w:rsidR="009A2D78" w:rsidRPr="005B73E3">
        <w:rPr>
          <w:rFonts w:cs="Tahoma"/>
          <w:szCs w:val="22"/>
        </w:rPr>
        <w:t>). Dicha solicitud quedó</w:t>
      </w:r>
      <w:r w:rsidRPr="005B73E3">
        <w:rPr>
          <w:rFonts w:cs="Tahoma"/>
          <w:szCs w:val="22"/>
        </w:rPr>
        <w:t xml:space="preserve"> registrada c</w:t>
      </w:r>
      <w:r w:rsidR="00664420" w:rsidRPr="005B73E3">
        <w:rPr>
          <w:rFonts w:cs="Tahoma"/>
          <w:szCs w:val="22"/>
        </w:rPr>
        <w:t>on el número de folio</w:t>
      </w:r>
      <w:r w:rsidR="00664420" w:rsidRPr="005B73E3">
        <w:rPr>
          <w:rFonts w:cs="Tahoma"/>
          <w:b/>
          <w:bCs/>
          <w:szCs w:val="22"/>
        </w:rPr>
        <w:t xml:space="preserve"> </w:t>
      </w:r>
      <w:r w:rsidR="008F136E" w:rsidRPr="005B73E3">
        <w:rPr>
          <w:rFonts w:cs="Tahoma"/>
          <w:b/>
          <w:bCs/>
          <w:szCs w:val="22"/>
        </w:rPr>
        <w:t>00115/TEXCOCO/IP/2024</w:t>
      </w:r>
      <w:r w:rsidR="002A3601" w:rsidRPr="005B73E3">
        <w:rPr>
          <w:rFonts w:cs="Tahoma"/>
          <w:szCs w:val="22"/>
        </w:rPr>
        <w:t xml:space="preserve"> y en ella </w:t>
      </w:r>
      <w:r w:rsidR="009A2D78" w:rsidRPr="005B73E3">
        <w:rPr>
          <w:rFonts w:cs="Tahoma"/>
          <w:szCs w:val="22"/>
        </w:rPr>
        <w:t>se requirió la siguiente información:</w:t>
      </w:r>
    </w:p>
    <w:p w14:paraId="0459D6AC" w14:textId="77777777" w:rsidR="00664420" w:rsidRPr="005B73E3" w:rsidRDefault="00664420" w:rsidP="005B73E3">
      <w:pPr>
        <w:tabs>
          <w:tab w:val="left" w:pos="4667"/>
        </w:tabs>
        <w:ind w:left="567" w:right="567"/>
        <w:rPr>
          <w:rFonts w:cs="Tahoma"/>
          <w:b/>
          <w:bCs/>
          <w:szCs w:val="22"/>
        </w:rPr>
      </w:pPr>
    </w:p>
    <w:p w14:paraId="49DFA1EE" w14:textId="670656F6" w:rsidR="00BB7B48" w:rsidRPr="005B73E3" w:rsidRDefault="008F136E" w:rsidP="005B73E3">
      <w:pPr>
        <w:pStyle w:val="Puesto"/>
        <w:rPr>
          <w:szCs w:val="22"/>
        </w:rPr>
      </w:pPr>
      <w:r w:rsidRPr="005B73E3">
        <w:rPr>
          <w:szCs w:val="22"/>
        </w:rPr>
        <w:t xml:space="preserve">Solicito los formatos del sistema de </w:t>
      </w:r>
      <w:proofErr w:type="spellStart"/>
      <w:r w:rsidRPr="005B73E3">
        <w:rPr>
          <w:szCs w:val="22"/>
        </w:rPr>
        <w:t>planeacion</w:t>
      </w:r>
      <w:proofErr w:type="spellEnd"/>
      <w:r w:rsidRPr="005B73E3">
        <w:rPr>
          <w:szCs w:val="22"/>
        </w:rPr>
        <w:t xml:space="preserve"> y presupuestario, SPP, mediante los cuales se planea y presupuestan los recursos públicos asignados y su gasto programado. Desde el anteproyecto y hasta su informe anual correspondiente al ejercicio fiscal 2023. Se solicita los formatos firmados y sellados en copia simple y formato digital de los siguientes: 01a, 02a, 04a, 04b, 09a</w:t>
      </w:r>
      <w:proofErr w:type="gramStart"/>
      <w:r w:rsidRPr="005B73E3">
        <w:rPr>
          <w:szCs w:val="22"/>
        </w:rPr>
        <w:t>,11a</w:t>
      </w:r>
      <w:proofErr w:type="gramEnd"/>
      <w:r w:rsidRPr="005B73E3">
        <w:rPr>
          <w:szCs w:val="22"/>
        </w:rPr>
        <w:t xml:space="preserve"> y 13a.</w:t>
      </w:r>
    </w:p>
    <w:p w14:paraId="211DB020" w14:textId="77777777" w:rsidR="00BB7B48" w:rsidRPr="005B73E3" w:rsidRDefault="00BB7B48" w:rsidP="005B73E3">
      <w:pPr>
        <w:tabs>
          <w:tab w:val="left" w:pos="4667"/>
        </w:tabs>
        <w:ind w:right="567"/>
        <w:rPr>
          <w:rFonts w:cs="Tahoma"/>
          <w:bCs/>
          <w:szCs w:val="22"/>
        </w:rPr>
      </w:pPr>
    </w:p>
    <w:p w14:paraId="0BD6321D" w14:textId="21D5D84C" w:rsidR="00664420" w:rsidRPr="005B73E3" w:rsidRDefault="009A2D78" w:rsidP="005B73E3">
      <w:pPr>
        <w:tabs>
          <w:tab w:val="left" w:pos="4667"/>
        </w:tabs>
        <w:ind w:left="567" w:right="567"/>
        <w:rPr>
          <w:rFonts w:cs="Tahoma"/>
          <w:bCs/>
          <w:i/>
          <w:szCs w:val="22"/>
        </w:rPr>
      </w:pPr>
      <w:r w:rsidRPr="005B73E3">
        <w:rPr>
          <w:rFonts w:cs="Tahoma"/>
          <w:b/>
          <w:bCs/>
          <w:szCs w:val="22"/>
        </w:rPr>
        <w:t>Modalidad de entrega</w:t>
      </w:r>
      <w:r w:rsidRPr="005B73E3">
        <w:rPr>
          <w:rFonts w:cs="Tahoma"/>
          <w:bCs/>
          <w:szCs w:val="22"/>
        </w:rPr>
        <w:t>: a</w:t>
      </w:r>
      <w:r w:rsidR="00664420" w:rsidRPr="005B73E3">
        <w:rPr>
          <w:rFonts w:cs="Tahoma"/>
          <w:bCs/>
          <w:i/>
          <w:szCs w:val="22"/>
        </w:rPr>
        <w:t xml:space="preserve"> través del SAIMEX</w:t>
      </w:r>
      <w:r w:rsidRPr="005B73E3">
        <w:rPr>
          <w:rFonts w:cs="Tahoma"/>
          <w:bCs/>
          <w:i/>
          <w:szCs w:val="22"/>
        </w:rPr>
        <w:t>.</w:t>
      </w:r>
    </w:p>
    <w:p w14:paraId="23D7A976" w14:textId="77777777" w:rsidR="000748DF" w:rsidRPr="005B73E3" w:rsidRDefault="000748DF" w:rsidP="005B73E3">
      <w:pPr>
        <w:tabs>
          <w:tab w:val="left" w:pos="4667"/>
        </w:tabs>
        <w:ind w:right="567"/>
        <w:rPr>
          <w:rFonts w:cs="Tahoma"/>
          <w:bCs/>
          <w:szCs w:val="22"/>
        </w:rPr>
      </w:pPr>
    </w:p>
    <w:p w14:paraId="49C02818" w14:textId="0EC479E8" w:rsidR="00F62522" w:rsidRPr="005B73E3" w:rsidRDefault="00F62522" w:rsidP="005B73E3">
      <w:pPr>
        <w:pStyle w:val="Ttulo3"/>
        <w:rPr>
          <w:szCs w:val="22"/>
        </w:rPr>
      </w:pPr>
      <w:bookmarkStart w:id="6" w:name="_Toc174019519"/>
      <w:r w:rsidRPr="005B73E3">
        <w:rPr>
          <w:szCs w:val="22"/>
        </w:rPr>
        <w:lastRenderedPageBreak/>
        <w:t xml:space="preserve">b) </w:t>
      </w:r>
      <w:bookmarkStart w:id="7" w:name="_Toc165402856"/>
      <w:bookmarkStart w:id="8" w:name="_Toc172192736"/>
      <w:r w:rsidRPr="005B73E3">
        <w:rPr>
          <w:szCs w:val="22"/>
        </w:rPr>
        <w:t>Turno de la solicitud de información</w:t>
      </w:r>
      <w:bookmarkEnd w:id="6"/>
      <w:bookmarkEnd w:id="7"/>
      <w:bookmarkEnd w:id="8"/>
    </w:p>
    <w:p w14:paraId="6BCF0C3D" w14:textId="288ADECD" w:rsidR="00F62522" w:rsidRPr="005B73E3" w:rsidRDefault="00F62522" w:rsidP="005B73E3">
      <w:pPr>
        <w:rPr>
          <w:szCs w:val="22"/>
        </w:rPr>
      </w:pPr>
      <w:r w:rsidRPr="005B73E3">
        <w:rPr>
          <w:szCs w:val="22"/>
        </w:rPr>
        <w:t xml:space="preserve">En cumplimiento al artículo 162 de la Ley de Transparencia y Acceso a la Información Pública del Estado de México y Municipios, el </w:t>
      </w:r>
      <w:r w:rsidR="008F136E" w:rsidRPr="005B73E3">
        <w:rPr>
          <w:b/>
          <w:szCs w:val="22"/>
        </w:rPr>
        <w:t>quince de mayo</w:t>
      </w:r>
      <w:r w:rsidRPr="005B73E3">
        <w:rPr>
          <w:b/>
          <w:szCs w:val="22"/>
        </w:rPr>
        <w:t xml:space="preserve"> de dos mil veinticuatro</w:t>
      </w:r>
      <w:r w:rsidRPr="005B73E3">
        <w:rPr>
          <w:szCs w:val="22"/>
        </w:rPr>
        <w:t xml:space="preserve">, el Titular de la Unidad de Transparencia del </w:t>
      </w:r>
      <w:r w:rsidRPr="005B73E3">
        <w:rPr>
          <w:b/>
          <w:szCs w:val="22"/>
        </w:rPr>
        <w:t>SUJETO OBLIGADO</w:t>
      </w:r>
      <w:r w:rsidRPr="005B73E3">
        <w:rPr>
          <w:szCs w:val="22"/>
        </w:rPr>
        <w:t xml:space="preserve"> turnó la solicitud de información a los servidores públicos habilitados que estimó pertinente.</w:t>
      </w:r>
    </w:p>
    <w:p w14:paraId="72921DC9" w14:textId="77777777" w:rsidR="006A412D" w:rsidRPr="005B73E3" w:rsidRDefault="006A412D" w:rsidP="005B73E3">
      <w:pPr>
        <w:rPr>
          <w:szCs w:val="22"/>
        </w:rPr>
      </w:pPr>
    </w:p>
    <w:p w14:paraId="3212BA4D" w14:textId="3B0DD63B" w:rsidR="00664420" w:rsidRPr="005B73E3" w:rsidRDefault="00F62522" w:rsidP="005B73E3">
      <w:pPr>
        <w:pStyle w:val="Ttulo3"/>
        <w:rPr>
          <w:szCs w:val="22"/>
        </w:rPr>
      </w:pPr>
      <w:bookmarkStart w:id="9" w:name="_Toc174019520"/>
      <w:r w:rsidRPr="005B73E3">
        <w:rPr>
          <w:szCs w:val="22"/>
        </w:rPr>
        <w:t xml:space="preserve">c) </w:t>
      </w:r>
      <w:bookmarkStart w:id="10" w:name="_Toc174019521"/>
      <w:bookmarkEnd w:id="9"/>
      <w:r w:rsidR="00664420" w:rsidRPr="005B73E3">
        <w:rPr>
          <w:szCs w:val="22"/>
          <w:lang w:val="es-ES"/>
        </w:rPr>
        <w:t xml:space="preserve">Respuesta </w:t>
      </w:r>
      <w:r w:rsidR="00664420" w:rsidRPr="005B73E3">
        <w:rPr>
          <w:rFonts w:eastAsia="Calibri"/>
          <w:szCs w:val="22"/>
          <w:lang w:eastAsia="en-US"/>
        </w:rPr>
        <w:t>del Sujeto Obligado</w:t>
      </w:r>
      <w:bookmarkEnd w:id="10"/>
    </w:p>
    <w:p w14:paraId="79199CC1" w14:textId="0713D254" w:rsidR="00664420" w:rsidRPr="005B73E3" w:rsidRDefault="00664420" w:rsidP="005B73E3">
      <w:pPr>
        <w:pStyle w:val="Sinespaciado"/>
        <w:spacing w:line="360" w:lineRule="auto"/>
        <w:rPr>
          <w:szCs w:val="22"/>
          <w:lang w:val="es-ES"/>
        </w:rPr>
      </w:pPr>
      <w:r w:rsidRPr="005B73E3">
        <w:rPr>
          <w:szCs w:val="22"/>
          <w:lang w:val="es-ES"/>
        </w:rPr>
        <w:t xml:space="preserve">El </w:t>
      </w:r>
      <w:r w:rsidR="00F62522" w:rsidRPr="005B73E3">
        <w:rPr>
          <w:rFonts w:eastAsia="Calibri" w:cs="Arial"/>
          <w:b/>
          <w:bCs/>
          <w:szCs w:val="22"/>
          <w:lang w:val="es-ES" w:eastAsia="en-US"/>
        </w:rPr>
        <w:t>v</w:t>
      </w:r>
      <w:r w:rsidR="008F136E" w:rsidRPr="005B73E3">
        <w:rPr>
          <w:rFonts w:eastAsia="Calibri" w:cs="Arial"/>
          <w:b/>
          <w:bCs/>
          <w:szCs w:val="22"/>
          <w:lang w:val="es-ES" w:eastAsia="en-US"/>
        </w:rPr>
        <w:t>einticuatro</w:t>
      </w:r>
      <w:r w:rsidR="00F62522" w:rsidRPr="005B73E3">
        <w:rPr>
          <w:rFonts w:eastAsia="Calibri" w:cs="Arial"/>
          <w:b/>
          <w:bCs/>
          <w:szCs w:val="22"/>
          <w:lang w:val="es-ES" w:eastAsia="en-US"/>
        </w:rPr>
        <w:t xml:space="preserve"> de mayo</w:t>
      </w:r>
      <w:r w:rsidR="000748DF" w:rsidRPr="005B73E3">
        <w:rPr>
          <w:rFonts w:eastAsia="Calibri" w:cs="Arial"/>
          <w:b/>
          <w:bCs/>
          <w:szCs w:val="22"/>
          <w:lang w:val="es-ES" w:eastAsia="en-US"/>
        </w:rPr>
        <w:t xml:space="preserve"> </w:t>
      </w:r>
      <w:r w:rsidR="000748DF" w:rsidRPr="005B73E3">
        <w:rPr>
          <w:rFonts w:eastAsia="Calibri" w:cs="Arial"/>
          <w:b/>
          <w:szCs w:val="22"/>
          <w:lang w:val="es-ES" w:eastAsia="en-US"/>
        </w:rPr>
        <w:t>de dos mil veinticuatro</w:t>
      </w:r>
      <w:r w:rsidR="00983EEF" w:rsidRPr="005B73E3">
        <w:rPr>
          <w:b/>
          <w:szCs w:val="22"/>
          <w:lang w:val="es-ES"/>
        </w:rPr>
        <w:t xml:space="preserve">, </w:t>
      </w:r>
      <w:r w:rsidR="00F62522" w:rsidRPr="005B73E3">
        <w:rPr>
          <w:szCs w:val="22"/>
          <w:lang w:val="es-ES"/>
        </w:rPr>
        <w:t>el</w:t>
      </w:r>
      <w:r w:rsidR="00F07EE6" w:rsidRPr="005B73E3">
        <w:rPr>
          <w:szCs w:val="22"/>
          <w:lang w:val="es-ES"/>
        </w:rPr>
        <w:t xml:space="preserve"> Titular de la Unidad de Transparencia del </w:t>
      </w:r>
      <w:r w:rsidR="00F07EE6" w:rsidRPr="005B73E3">
        <w:rPr>
          <w:b/>
          <w:szCs w:val="22"/>
          <w:lang w:val="es-ES"/>
        </w:rPr>
        <w:t>SUJETO OBLIGADO</w:t>
      </w:r>
      <w:r w:rsidR="00F07EE6" w:rsidRPr="005B73E3">
        <w:rPr>
          <w:szCs w:val="22"/>
          <w:lang w:val="es-ES"/>
        </w:rPr>
        <w:t xml:space="preserve"> notificó la siguiente respuesta a través del </w:t>
      </w:r>
      <w:r w:rsidRPr="005B73E3">
        <w:rPr>
          <w:szCs w:val="22"/>
          <w:lang w:val="es-ES"/>
        </w:rPr>
        <w:t>SAIMEX</w:t>
      </w:r>
      <w:r w:rsidR="00F07EE6" w:rsidRPr="005B73E3">
        <w:rPr>
          <w:szCs w:val="22"/>
          <w:lang w:val="es-ES"/>
        </w:rPr>
        <w:t>:</w:t>
      </w:r>
    </w:p>
    <w:p w14:paraId="669F7EFD" w14:textId="77777777" w:rsidR="00664420" w:rsidRPr="005B73E3" w:rsidRDefault="00664420" w:rsidP="005B73E3">
      <w:pPr>
        <w:tabs>
          <w:tab w:val="left" w:pos="4667"/>
        </w:tabs>
        <w:ind w:left="567" w:right="567"/>
        <w:rPr>
          <w:rFonts w:cs="Tahoma"/>
          <w:b/>
          <w:bCs/>
          <w:szCs w:val="22"/>
        </w:rPr>
      </w:pPr>
    </w:p>
    <w:p w14:paraId="6B26C46D" w14:textId="77777777" w:rsidR="008F136E" w:rsidRPr="005B73E3" w:rsidRDefault="008F136E" w:rsidP="005B73E3">
      <w:pPr>
        <w:jc w:val="right"/>
        <w:rPr>
          <w:rFonts w:eastAsiaTheme="majorEastAsia" w:cstheme="majorBidi"/>
          <w:i/>
          <w:kern w:val="28"/>
          <w:szCs w:val="22"/>
        </w:rPr>
      </w:pPr>
      <w:r w:rsidRPr="005B73E3">
        <w:rPr>
          <w:rFonts w:eastAsiaTheme="majorEastAsia" w:cstheme="majorBidi"/>
          <w:i/>
          <w:kern w:val="28"/>
          <w:szCs w:val="22"/>
        </w:rPr>
        <w:t>Folio de la solicitud: 00115/TEXCOCO/IP/2024</w:t>
      </w:r>
    </w:p>
    <w:p w14:paraId="6D51EA38" w14:textId="77777777" w:rsidR="008F136E" w:rsidRPr="005B73E3" w:rsidRDefault="008F136E" w:rsidP="005B73E3">
      <w:pPr>
        <w:rPr>
          <w:rFonts w:eastAsiaTheme="majorEastAsia" w:cstheme="majorBidi"/>
          <w:i/>
          <w:kern w:val="28"/>
          <w:szCs w:val="22"/>
        </w:rPr>
      </w:pPr>
    </w:p>
    <w:p w14:paraId="494A8155" w14:textId="1435C1A1" w:rsidR="008F136E" w:rsidRPr="005B73E3" w:rsidRDefault="008F136E" w:rsidP="005B73E3">
      <w:pPr>
        <w:rPr>
          <w:rFonts w:eastAsiaTheme="majorEastAsia" w:cstheme="majorBidi"/>
          <w:i/>
          <w:kern w:val="28"/>
          <w:szCs w:val="22"/>
        </w:rPr>
      </w:pPr>
      <w:r w:rsidRPr="005B73E3">
        <w:rPr>
          <w:rFonts w:eastAsiaTheme="majorEastAsia" w:cstheme="majorBidi"/>
          <w:i/>
          <w:kern w:val="28"/>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507DE8" w14:textId="7A93510A" w:rsidR="008F136E" w:rsidRPr="005B73E3" w:rsidRDefault="008F136E" w:rsidP="005B73E3">
      <w:pPr>
        <w:rPr>
          <w:rFonts w:eastAsiaTheme="majorEastAsia" w:cstheme="majorBidi"/>
          <w:i/>
          <w:kern w:val="28"/>
          <w:szCs w:val="22"/>
        </w:rPr>
      </w:pPr>
      <w:r w:rsidRPr="005B73E3">
        <w:rPr>
          <w:rFonts w:eastAsiaTheme="majorEastAsia" w:cstheme="majorBidi"/>
          <w:i/>
          <w:kern w:val="28"/>
          <w:szCs w:val="22"/>
        </w:rPr>
        <w:t>Texcoco, México a 17 mayo de 2024 C. Solicitante Folio de la solicitud: 00115/TEXCOCO/IP/2024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p>
    <w:p w14:paraId="43043A1A" w14:textId="77777777" w:rsidR="008F136E" w:rsidRPr="005B73E3" w:rsidRDefault="008F136E" w:rsidP="005B73E3">
      <w:pPr>
        <w:rPr>
          <w:rFonts w:eastAsiaTheme="majorEastAsia" w:cstheme="majorBidi"/>
          <w:i/>
          <w:kern w:val="28"/>
          <w:szCs w:val="22"/>
        </w:rPr>
      </w:pPr>
    </w:p>
    <w:p w14:paraId="0CFB19EE" w14:textId="6559D9C5" w:rsidR="008F136E" w:rsidRPr="005B73E3" w:rsidRDefault="008F136E" w:rsidP="005B73E3">
      <w:pPr>
        <w:rPr>
          <w:rFonts w:eastAsiaTheme="majorEastAsia" w:cstheme="majorBidi"/>
          <w:i/>
          <w:kern w:val="28"/>
          <w:szCs w:val="22"/>
        </w:rPr>
      </w:pPr>
      <w:r w:rsidRPr="005B73E3">
        <w:rPr>
          <w:rFonts w:eastAsiaTheme="majorEastAsia" w:cstheme="majorBidi"/>
          <w:i/>
          <w:kern w:val="28"/>
          <w:szCs w:val="22"/>
        </w:rPr>
        <w:t>ATENTAMENTE</w:t>
      </w:r>
    </w:p>
    <w:p w14:paraId="0B661978" w14:textId="03C8B641" w:rsidR="006210F1" w:rsidRPr="005B73E3" w:rsidRDefault="008F136E" w:rsidP="005B73E3">
      <w:pPr>
        <w:rPr>
          <w:rFonts w:eastAsiaTheme="majorEastAsia" w:cstheme="majorBidi"/>
          <w:i/>
          <w:kern w:val="28"/>
          <w:szCs w:val="22"/>
        </w:rPr>
      </w:pPr>
      <w:r w:rsidRPr="005B73E3">
        <w:rPr>
          <w:rFonts w:eastAsiaTheme="majorEastAsia" w:cstheme="majorBidi"/>
          <w:i/>
          <w:kern w:val="28"/>
          <w:szCs w:val="22"/>
        </w:rPr>
        <w:t>Lic. René Jonathan Sandoval Tinoco</w:t>
      </w:r>
    </w:p>
    <w:p w14:paraId="5A5DAB9E" w14:textId="77777777" w:rsidR="00E37A3F" w:rsidRPr="005B73E3" w:rsidRDefault="00E37A3F" w:rsidP="005B73E3">
      <w:pPr>
        <w:pStyle w:val="Ttulo2"/>
        <w:jc w:val="left"/>
        <w:rPr>
          <w:szCs w:val="22"/>
        </w:rPr>
      </w:pPr>
      <w:bookmarkStart w:id="11" w:name="_Toc174019522"/>
      <w:r w:rsidRPr="005B73E3">
        <w:rPr>
          <w:szCs w:val="22"/>
        </w:rPr>
        <w:lastRenderedPageBreak/>
        <w:t>DEL RECURSO DE REVISIÓN</w:t>
      </w:r>
      <w:bookmarkEnd w:id="11"/>
    </w:p>
    <w:p w14:paraId="2B216813" w14:textId="61ADBB2B" w:rsidR="00664420" w:rsidRPr="005B73E3" w:rsidRDefault="006E25BC" w:rsidP="005B73E3">
      <w:pPr>
        <w:pStyle w:val="Ttulo3"/>
        <w:rPr>
          <w:szCs w:val="22"/>
        </w:rPr>
      </w:pPr>
      <w:bookmarkStart w:id="12" w:name="_Toc174019523"/>
      <w:r w:rsidRPr="005B73E3">
        <w:rPr>
          <w:szCs w:val="22"/>
        </w:rPr>
        <w:t xml:space="preserve">a) </w:t>
      </w:r>
      <w:r w:rsidR="00664420" w:rsidRPr="005B73E3">
        <w:rPr>
          <w:szCs w:val="22"/>
        </w:rPr>
        <w:t>Interposición del Recurso de Revisión</w:t>
      </w:r>
      <w:bookmarkEnd w:id="12"/>
    </w:p>
    <w:p w14:paraId="6279C622" w14:textId="35CA71B4" w:rsidR="00664420" w:rsidRPr="005B73E3" w:rsidRDefault="00664420" w:rsidP="005B73E3">
      <w:pPr>
        <w:autoSpaceDE w:val="0"/>
        <w:autoSpaceDN w:val="0"/>
        <w:adjustRightInd w:val="0"/>
        <w:ind w:right="-28"/>
        <w:rPr>
          <w:rFonts w:cs="Tahoma"/>
          <w:szCs w:val="22"/>
        </w:rPr>
      </w:pPr>
      <w:r w:rsidRPr="005B73E3">
        <w:rPr>
          <w:rFonts w:cs="Tahoma"/>
          <w:szCs w:val="22"/>
        </w:rPr>
        <w:t xml:space="preserve">El </w:t>
      </w:r>
      <w:r w:rsidR="008F136E" w:rsidRPr="005B73E3">
        <w:rPr>
          <w:rFonts w:cs="Tahoma"/>
          <w:b/>
          <w:bCs/>
          <w:szCs w:val="22"/>
        </w:rPr>
        <w:t>veintisiete</w:t>
      </w:r>
      <w:r w:rsidR="00F62522" w:rsidRPr="005B73E3">
        <w:rPr>
          <w:rFonts w:cs="Tahoma"/>
          <w:b/>
          <w:bCs/>
          <w:szCs w:val="22"/>
        </w:rPr>
        <w:t xml:space="preserve"> de mayo</w:t>
      </w:r>
      <w:r w:rsidRPr="005B73E3">
        <w:rPr>
          <w:rFonts w:cs="Tahoma"/>
          <w:b/>
          <w:bCs/>
          <w:szCs w:val="22"/>
        </w:rPr>
        <w:t xml:space="preserve"> de dos mil </w:t>
      </w:r>
      <w:r w:rsidR="00E810F7" w:rsidRPr="005B73E3">
        <w:rPr>
          <w:rFonts w:cs="Tahoma"/>
          <w:b/>
          <w:bCs/>
          <w:szCs w:val="22"/>
        </w:rPr>
        <w:t>veinticuatro</w:t>
      </w:r>
      <w:r w:rsidR="00A61D5A" w:rsidRPr="005B73E3">
        <w:rPr>
          <w:rFonts w:cs="Tahoma"/>
          <w:b/>
          <w:bCs/>
          <w:szCs w:val="22"/>
        </w:rPr>
        <w:t>,</w:t>
      </w:r>
      <w:r w:rsidRPr="005B73E3">
        <w:rPr>
          <w:rFonts w:cs="Tahoma"/>
          <w:szCs w:val="22"/>
        </w:rPr>
        <w:t xml:space="preserve"> </w:t>
      </w:r>
      <w:r w:rsidR="00F75D23" w:rsidRPr="005B73E3">
        <w:rPr>
          <w:rFonts w:cs="Tahoma"/>
          <w:b/>
          <w:bCs/>
          <w:szCs w:val="22"/>
        </w:rPr>
        <w:t>LA PARTE RECURRENTE</w:t>
      </w:r>
      <w:r w:rsidR="00F75D23" w:rsidRPr="005B73E3">
        <w:rPr>
          <w:rFonts w:cs="Tahoma"/>
          <w:szCs w:val="22"/>
        </w:rPr>
        <w:t xml:space="preserve"> interpuso el recurso de revisión en contra de la respuesta emitida por el </w:t>
      </w:r>
      <w:r w:rsidR="00F75D23" w:rsidRPr="005B73E3">
        <w:rPr>
          <w:rFonts w:cs="Tahoma"/>
          <w:b/>
          <w:bCs/>
          <w:szCs w:val="22"/>
        </w:rPr>
        <w:t>SUJETO OBLIGADO</w:t>
      </w:r>
      <w:r w:rsidR="00953430" w:rsidRPr="005B73E3">
        <w:rPr>
          <w:rFonts w:cs="Tahoma"/>
          <w:szCs w:val="22"/>
        </w:rPr>
        <w:t xml:space="preserve">, mismo que fue registrado en el SAIMEX con el número de expediente </w:t>
      </w:r>
      <w:r w:rsidR="008F136E" w:rsidRPr="005B73E3">
        <w:rPr>
          <w:rFonts w:cs="Tahoma"/>
          <w:b/>
          <w:bCs/>
          <w:szCs w:val="22"/>
        </w:rPr>
        <w:t>03292/INFOEM/IP/RR/2024</w:t>
      </w:r>
      <w:r w:rsidR="00953430" w:rsidRPr="005B73E3">
        <w:rPr>
          <w:rFonts w:cs="Tahoma"/>
          <w:szCs w:val="22"/>
        </w:rPr>
        <w:t>, y en el cual manifiesta lo siguiente</w:t>
      </w:r>
      <w:r w:rsidRPr="005B73E3">
        <w:rPr>
          <w:rFonts w:cs="Tahoma"/>
          <w:szCs w:val="22"/>
        </w:rPr>
        <w:t>:</w:t>
      </w:r>
    </w:p>
    <w:p w14:paraId="74B30008" w14:textId="77777777" w:rsidR="00664420" w:rsidRPr="005B73E3" w:rsidRDefault="00664420" w:rsidP="005B73E3">
      <w:pPr>
        <w:tabs>
          <w:tab w:val="left" w:pos="4667"/>
        </w:tabs>
        <w:ind w:right="539"/>
        <w:rPr>
          <w:rFonts w:cs="Tahoma"/>
          <w:szCs w:val="22"/>
        </w:rPr>
      </w:pPr>
    </w:p>
    <w:p w14:paraId="66EBC1E5" w14:textId="77777777" w:rsidR="006210F1" w:rsidRPr="005B73E3" w:rsidRDefault="00664420" w:rsidP="005B73E3">
      <w:pPr>
        <w:tabs>
          <w:tab w:val="left" w:pos="4667"/>
        </w:tabs>
        <w:ind w:left="567" w:right="539"/>
        <w:rPr>
          <w:rFonts w:cs="Tahoma"/>
          <w:b/>
          <w:iCs/>
          <w:szCs w:val="22"/>
        </w:rPr>
      </w:pPr>
      <w:r w:rsidRPr="005B73E3">
        <w:rPr>
          <w:rFonts w:cs="Tahoma"/>
          <w:b/>
          <w:iCs/>
          <w:szCs w:val="22"/>
        </w:rPr>
        <w:t>ACTO IMPUGNADO</w:t>
      </w:r>
    </w:p>
    <w:p w14:paraId="12153283" w14:textId="7D7A5BF5" w:rsidR="00664420" w:rsidRPr="005B73E3" w:rsidRDefault="00664420" w:rsidP="005B73E3">
      <w:pPr>
        <w:tabs>
          <w:tab w:val="left" w:pos="4667"/>
        </w:tabs>
        <w:ind w:left="567" w:right="539"/>
        <w:rPr>
          <w:rFonts w:cs="Tahoma"/>
          <w:b/>
          <w:iCs/>
          <w:szCs w:val="22"/>
        </w:rPr>
      </w:pPr>
      <w:r w:rsidRPr="005B73E3">
        <w:rPr>
          <w:rFonts w:cs="Tahoma"/>
          <w:b/>
          <w:iCs/>
          <w:szCs w:val="22"/>
        </w:rPr>
        <w:tab/>
      </w:r>
    </w:p>
    <w:p w14:paraId="6AE8EA9A" w14:textId="4A9444C7" w:rsidR="00664420" w:rsidRPr="005B73E3" w:rsidRDefault="00A61D5A" w:rsidP="005B73E3">
      <w:pPr>
        <w:pStyle w:val="Puesto"/>
        <w:rPr>
          <w:szCs w:val="22"/>
        </w:rPr>
      </w:pPr>
      <w:r w:rsidRPr="005B73E3">
        <w:rPr>
          <w:szCs w:val="22"/>
        </w:rPr>
        <w:t>“</w:t>
      </w:r>
      <w:r w:rsidR="008F136E" w:rsidRPr="005B73E3">
        <w:rPr>
          <w:szCs w:val="22"/>
        </w:rPr>
        <w:t>Ante la falta de respuesta y entrega de la información solicitada se presenta la garantía secundaria del recurso de revisión-</w:t>
      </w:r>
      <w:r w:rsidR="005856CA" w:rsidRPr="005B73E3">
        <w:rPr>
          <w:szCs w:val="22"/>
        </w:rPr>
        <w:t>"</w:t>
      </w:r>
    </w:p>
    <w:p w14:paraId="6238FEEF" w14:textId="77777777" w:rsidR="005856CA" w:rsidRPr="005B73E3" w:rsidRDefault="005856CA" w:rsidP="005B73E3">
      <w:pPr>
        <w:tabs>
          <w:tab w:val="left" w:pos="4667"/>
        </w:tabs>
        <w:ind w:left="567" w:right="539"/>
        <w:rPr>
          <w:rFonts w:cs="Tahoma"/>
          <w:b/>
          <w:iCs/>
          <w:szCs w:val="22"/>
        </w:rPr>
      </w:pPr>
    </w:p>
    <w:p w14:paraId="5A26CA2D" w14:textId="77777777" w:rsidR="006210F1" w:rsidRPr="005B73E3" w:rsidRDefault="00664420" w:rsidP="005B73E3">
      <w:pPr>
        <w:tabs>
          <w:tab w:val="left" w:pos="4667"/>
        </w:tabs>
        <w:ind w:left="567" w:right="539"/>
        <w:rPr>
          <w:rFonts w:cs="Tahoma"/>
          <w:b/>
          <w:iCs/>
          <w:szCs w:val="22"/>
        </w:rPr>
      </w:pPr>
      <w:r w:rsidRPr="005B73E3">
        <w:rPr>
          <w:rFonts w:cs="Tahoma"/>
          <w:b/>
          <w:iCs/>
          <w:szCs w:val="22"/>
        </w:rPr>
        <w:t>RAZONES O MOTIVOS DE LA INCONFORMIDAD</w:t>
      </w:r>
    </w:p>
    <w:p w14:paraId="047D036B" w14:textId="1D270A13" w:rsidR="00664420" w:rsidRPr="005B73E3" w:rsidRDefault="00664420" w:rsidP="005B73E3">
      <w:pPr>
        <w:tabs>
          <w:tab w:val="left" w:pos="4667"/>
        </w:tabs>
        <w:ind w:left="567" w:right="539"/>
        <w:rPr>
          <w:rFonts w:cs="Tahoma"/>
          <w:b/>
          <w:iCs/>
          <w:szCs w:val="22"/>
        </w:rPr>
      </w:pPr>
      <w:r w:rsidRPr="005B73E3">
        <w:rPr>
          <w:rFonts w:cs="Tahoma"/>
          <w:b/>
          <w:iCs/>
          <w:szCs w:val="22"/>
        </w:rPr>
        <w:tab/>
      </w:r>
    </w:p>
    <w:p w14:paraId="48FE75EA" w14:textId="4C8350A1" w:rsidR="00664420" w:rsidRPr="005B73E3" w:rsidRDefault="008F136E" w:rsidP="005B73E3">
      <w:pPr>
        <w:pStyle w:val="Puesto"/>
        <w:rPr>
          <w:szCs w:val="22"/>
        </w:rPr>
      </w:pPr>
      <w:r w:rsidRPr="005B73E3">
        <w:rPr>
          <w:szCs w:val="22"/>
        </w:rPr>
        <w:t>Se simula la entrega de información solicitada en formato PDF, y no hay tal entrega de información, por lo que se considera negativa al del derecho humano de acceso a la información.</w:t>
      </w:r>
    </w:p>
    <w:p w14:paraId="34DE365F" w14:textId="77777777" w:rsidR="00A61D5A" w:rsidRPr="005B73E3" w:rsidRDefault="00A61D5A" w:rsidP="005B73E3">
      <w:pPr>
        <w:tabs>
          <w:tab w:val="left" w:pos="4667"/>
        </w:tabs>
        <w:ind w:right="567"/>
        <w:rPr>
          <w:rFonts w:cs="Tahoma"/>
          <w:b/>
          <w:bCs/>
          <w:szCs w:val="22"/>
        </w:rPr>
      </w:pPr>
    </w:p>
    <w:p w14:paraId="6804DEF1" w14:textId="3C4F6CB5" w:rsidR="00664420" w:rsidRPr="005B73E3" w:rsidRDefault="006E25BC" w:rsidP="005B73E3">
      <w:pPr>
        <w:pStyle w:val="Ttulo3"/>
        <w:rPr>
          <w:szCs w:val="22"/>
        </w:rPr>
      </w:pPr>
      <w:bookmarkStart w:id="13" w:name="_Toc174019524"/>
      <w:r w:rsidRPr="005B73E3">
        <w:rPr>
          <w:szCs w:val="22"/>
        </w:rPr>
        <w:t>b</w:t>
      </w:r>
      <w:r w:rsidR="00664420" w:rsidRPr="005B73E3">
        <w:rPr>
          <w:szCs w:val="22"/>
        </w:rPr>
        <w:t>) Turno del Recurso de Revisión</w:t>
      </w:r>
      <w:bookmarkEnd w:id="13"/>
    </w:p>
    <w:p w14:paraId="1173671B" w14:textId="08D28BFA" w:rsidR="00C72DAA" w:rsidRPr="005B73E3" w:rsidRDefault="00C72DAA" w:rsidP="005B73E3">
      <w:pPr>
        <w:rPr>
          <w:szCs w:val="22"/>
        </w:rPr>
      </w:pPr>
      <w:r w:rsidRPr="005B73E3">
        <w:rPr>
          <w:szCs w:val="22"/>
        </w:rPr>
        <w:t>Con fundamento en el artículo 185, fracción I de la Ley de Transparencia y Acceso a la Información Pública del Estado de México y Municipios, el</w:t>
      </w:r>
      <w:r w:rsidRPr="005B73E3">
        <w:rPr>
          <w:b/>
          <w:bCs/>
          <w:szCs w:val="22"/>
        </w:rPr>
        <w:t xml:space="preserve"> </w:t>
      </w:r>
      <w:r w:rsidR="008F136E" w:rsidRPr="005B73E3">
        <w:rPr>
          <w:rFonts w:cs="Tahoma"/>
          <w:b/>
          <w:bCs/>
          <w:szCs w:val="22"/>
        </w:rPr>
        <w:t xml:space="preserve">veintisiete </w:t>
      </w:r>
      <w:r w:rsidR="00A61D5A" w:rsidRPr="005B73E3">
        <w:rPr>
          <w:rFonts w:cs="Tahoma"/>
          <w:b/>
          <w:bCs/>
          <w:szCs w:val="22"/>
        </w:rPr>
        <w:t>de mayo de dos mil veinticuatro,</w:t>
      </w:r>
      <w:r w:rsidRPr="005B73E3">
        <w:rPr>
          <w:szCs w:val="22"/>
        </w:rPr>
        <w:t xml:space="preserve"> se turnó el recurso de revisión a través del</w:t>
      </w:r>
      <w:r w:rsidRPr="005B73E3">
        <w:rPr>
          <w:rFonts w:eastAsia="Arial Unicode MS"/>
          <w:szCs w:val="22"/>
        </w:rPr>
        <w:t xml:space="preserve"> </w:t>
      </w:r>
      <w:r w:rsidRPr="005B73E3">
        <w:rPr>
          <w:rFonts w:eastAsia="Arial Unicode MS"/>
          <w:bCs/>
          <w:szCs w:val="22"/>
        </w:rPr>
        <w:t>SAIMEX</w:t>
      </w:r>
      <w:r w:rsidRPr="005B73E3">
        <w:rPr>
          <w:szCs w:val="22"/>
        </w:rPr>
        <w:t xml:space="preserve"> a la </w:t>
      </w:r>
      <w:r w:rsidRPr="005B73E3">
        <w:rPr>
          <w:b/>
          <w:szCs w:val="22"/>
        </w:rPr>
        <w:t>Comisionada Sharon Cristina Morales Martínez</w:t>
      </w:r>
      <w:r w:rsidRPr="005B73E3">
        <w:rPr>
          <w:bCs/>
          <w:szCs w:val="22"/>
        </w:rPr>
        <w:t xml:space="preserve">, </w:t>
      </w:r>
      <w:r w:rsidRPr="005B73E3">
        <w:rPr>
          <w:szCs w:val="22"/>
        </w:rPr>
        <w:t xml:space="preserve">a efecto de decretar su admisión o </w:t>
      </w:r>
      <w:proofErr w:type="spellStart"/>
      <w:r w:rsidRPr="005B73E3">
        <w:rPr>
          <w:szCs w:val="22"/>
        </w:rPr>
        <w:t>desechamiento</w:t>
      </w:r>
      <w:proofErr w:type="spellEnd"/>
      <w:r w:rsidRPr="005B73E3">
        <w:rPr>
          <w:szCs w:val="22"/>
        </w:rPr>
        <w:t xml:space="preserve">. </w:t>
      </w:r>
    </w:p>
    <w:p w14:paraId="18F305CB" w14:textId="77777777" w:rsidR="00664420" w:rsidRPr="005B73E3" w:rsidRDefault="00664420" w:rsidP="005B73E3">
      <w:pPr>
        <w:rPr>
          <w:rFonts w:eastAsia="Batang" w:cs="Tahoma"/>
          <w:bCs/>
          <w:szCs w:val="22"/>
        </w:rPr>
      </w:pPr>
    </w:p>
    <w:p w14:paraId="3E31EC2D" w14:textId="295256A1" w:rsidR="00664420" w:rsidRPr="005B73E3" w:rsidRDefault="006E25BC" w:rsidP="005B73E3">
      <w:pPr>
        <w:pStyle w:val="Ttulo3"/>
        <w:rPr>
          <w:szCs w:val="22"/>
        </w:rPr>
      </w:pPr>
      <w:bookmarkStart w:id="14" w:name="_Toc174019525"/>
      <w:r w:rsidRPr="005B73E3">
        <w:rPr>
          <w:szCs w:val="22"/>
        </w:rPr>
        <w:t>c</w:t>
      </w:r>
      <w:r w:rsidR="00664420" w:rsidRPr="005B73E3">
        <w:rPr>
          <w:szCs w:val="22"/>
        </w:rPr>
        <w:t>) Admisión del Recurso de Revisión</w:t>
      </w:r>
      <w:bookmarkEnd w:id="14"/>
    </w:p>
    <w:p w14:paraId="240447D5" w14:textId="3BDA2BA8" w:rsidR="000E09C4" w:rsidRPr="005B73E3" w:rsidRDefault="000E09C4" w:rsidP="005B73E3">
      <w:pPr>
        <w:rPr>
          <w:rFonts w:cs="Arial"/>
          <w:szCs w:val="22"/>
        </w:rPr>
      </w:pPr>
      <w:r w:rsidRPr="005B73E3">
        <w:rPr>
          <w:rFonts w:cs="Arial"/>
          <w:szCs w:val="22"/>
        </w:rPr>
        <w:t xml:space="preserve">El </w:t>
      </w:r>
      <w:r w:rsidR="008F136E" w:rsidRPr="005B73E3">
        <w:rPr>
          <w:rFonts w:cs="Tahoma"/>
          <w:b/>
          <w:bCs/>
          <w:szCs w:val="22"/>
        </w:rPr>
        <w:t>veintiocho</w:t>
      </w:r>
      <w:r w:rsidR="00A61D5A" w:rsidRPr="005B73E3">
        <w:rPr>
          <w:rFonts w:cs="Tahoma"/>
          <w:b/>
          <w:bCs/>
          <w:szCs w:val="22"/>
        </w:rPr>
        <w:t xml:space="preserve"> de mayo de dos mil veinticuatro</w:t>
      </w:r>
      <w:r w:rsidR="00A61D5A" w:rsidRPr="005B73E3">
        <w:rPr>
          <w:rFonts w:cs="Tahoma"/>
          <w:szCs w:val="22"/>
        </w:rPr>
        <w:t xml:space="preserve">, </w:t>
      </w:r>
      <w:r w:rsidRPr="005B73E3">
        <w:rPr>
          <w:rFonts w:cs="Arial"/>
          <w:szCs w:val="22"/>
        </w:rPr>
        <w:t xml:space="preserve">se acordó la admisión a trámite del Recurso de Revisión y se integró el expediente respectivo, mismo que se puso a disposición de las </w:t>
      </w:r>
      <w:r w:rsidRPr="005B73E3">
        <w:rPr>
          <w:rFonts w:cs="Arial"/>
          <w:szCs w:val="22"/>
        </w:rPr>
        <w:lastRenderedPageBreak/>
        <w:t>partes para que, en un plazo de siete días hábiles, manifestaran lo que a su derecho conviniera, conforme a lo dispuesto por el artículo 185</w:t>
      </w:r>
      <w:r w:rsidR="00865CF4" w:rsidRPr="005B73E3">
        <w:rPr>
          <w:rFonts w:cs="Arial"/>
          <w:szCs w:val="22"/>
        </w:rPr>
        <w:t>, fracción II</w:t>
      </w:r>
      <w:r w:rsidRPr="005B73E3">
        <w:rPr>
          <w:rFonts w:cs="Arial"/>
          <w:szCs w:val="22"/>
        </w:rPr>
        <w:t xml:space="preserve"> de la Ley de Transparencia y Acceso a la Información Pública del Estado de México y Municipios.</w:t>
      </w:r>
    </w:p>
    <w:p w14:paraId="34EC3F86" w14:textId="77777777" w:rsidR="00D2790D" w:rsidRPr="005B73E3" w:rsidRDefault="00D2790D" w:rsidP="005B73E3">
      <w:pPr>
        <w:rPr>
          <w:rFonts w:cs="Arial"/>
          <w:szCs w:val="22"/>
        </w:rPr>
      </w:pPr>
    </w:p>
    <w:p w14:paraId="3B820F58" w14:textId="5EBF1699" w:rsidR="00865CF4" w:rsidRPr="005B73E3" w:rsidRDefault="006E25BC" w:rsidP="005B73E3">
      <w:pPr>
        <w:pStyle w:val="Ttulo3"/>
        <w:rPr>
          <w:szCs w:val="22"/>
        </w:rPr>
      </w:pPr>
      <w:bookmarkStart w:id="15" w:name="_Toc174019526"/>
      <w:r w:rsidRPr="005B73E3">
        <w:rPr>
          <w:szCs w:val="22"/>
        </w:rPr>
        <w:t>d</w:t>
      </w:r>
      <w:r w:rsidR="00D2790D" w:rsidRPr="005B73E3">
        <w:rPr>
          <w:szCs w:val="22"/>
        </w:rPr>
        <w:t xml:space="preserve">) </w:t>
      </w:r>
      <w:r w:rsidR="00865CF4" w:rsidRPr="005B73E3">
        <w:rPr>
          <w:szCs w:val="22"/>
        </w:rPr>
        <w:t>Informe Justificado del Sujeto Obligado</w:t>
      </w:r>
      <w:bookmarkEnd w:id="15"/>
    </w:p>
    <w:p w14:paraId="04A7CFFE" w14:textId="77777777" w:rsidR="008F136E" w:rsidRPr="005B73E3" w:rsidRDefault="00A61D5A" w:rsidP="005B73E3">
      <w:pPr>
        <w:rPr>
          <w:szCs w:val="22"/>
        </w:rPr>
      </w:pPr>
      <w:r w:rsidRPr="005B73E3">
        <w:rPr>
          <w:b/>
          <w:szCs w:val="22"/>
        </w:rPr>
        <w:t>EL SUJETO OBLIGADO</w:t>
      </w:r>
      <w:r w:rsidRPr="005B73E3">
        <w:rPr>
          <w:szCs w:val="22"/>
        </w:rPr>
        <w:t xml:space="preserve"> rindió su informe justificado dentro del término legalmente concedido para tal efecto</w:t>
      </w:r>
      <w:r w:rsidR="008F136E" w:rsidRPr="005B73E3">
        <w:rPr>
          <w:szCs w:val="22"/>
        </w:rPr>
        <w:t>, a través del archivo denominado:</w:t>
      </w:r>
    </w:p>
    <w:p w14:paraId="04545C14" w14:textId="77777777" w:rsidR="008F136E" w:rsidRPr="005B73E3" w:rsidRDefault="008F136E" w:rsidP="005B73E3">
      <w:pPr>
        <w:rPr>
          <w:szCs w:val="22"/>
        </w:rPr>
      </w:pPr>
    </w:p>
    <w:p w14:paraId="3E5862F0" w14:textId="0614C3B1" w:rsidR="00A61D5A" w:rsidRPr="005B73E3" w:rsidRDefault="008F136E" w:rsidP="005B73E3">
      <w:pPr>
        <w:pStyle w:val="Prrafodelista"/>
        <w:numPr>
          <w:ilvl w:val="0"/>
          <w:numId w:val="44"/>
        </w:numPr>
        <w:rPr>
          <w:b/>
          <w:bCs/>
          <w:szCs w:val="22"/>
        </w:rPr>
      </w:pPr>
      <w:r w:rsidRPr="005B73E3">
        <w:rPr>
          <w:b/>
          <w:bCs/>
          <w:szCs w:val="22"/>
        </w:rPr>
        <w:t>RECURSO REVISION 03292-2023.pdf</w:t>
      </w:r>
    </w:p>
    <w:p w14:paraId="65A413EC" w14:textId="6B76FF07" w:rsidR="008F136E" w:rsidRPr="005B73E3" w:rsidRDefault="008F136E" w:rsidP="005B73E3">
      <w:pPr>
        <w:ind w:left="708"/>
        <w:rPr>
          <w:szCs w:val="22"/>
        </w:rPr>
      </w:pPr>
      <w:r w:rsidRPr="005B73E3">
        <w:rPr>
          <w:szCs w:val="22"/>
        </w:rPr>
        <w:t>Archivo constante de una página, de fecha 01 de julio de 2024, dirigido al solicitante y suscrito por el Titular de la Unidad de Transparencia, en el que le informa:</w:t>
      </w:r>
    </w:p>
    <w:p w14:paraId="4F2292F9" w14:textId="56243BE8" w:rsidR="008F136E" w:rsidRPr="005B73E3" w:rsidRDefault="008F136E" w:rsidP="005B73E3">
      <w:pPr>
        <w:ind w:left="708"/>
        <w:rPr>
          <w:szCs w:val="22"/>
        </w:rPr>
      </w:pPr>
    </w:p>
    <w:p w14:paraId="4D1B6C70" w14:textId="2D328CB0" w:rsidR="008F136E" w:rsidRPr="005B73E3" w:rsidRDefault="006201CA" w:rsidP="005B73E3">
      <w:pPr>
        <w:ind w:left="708"/>
        <w:rPr>
          <w:i/>
          <w:iCs/>
          <w:szCs w:val="22"/>
        </w:rPr>
      </w:pPr>
      <w:r w:rsidRPr="005B73E3">
        <w:rPr>
          <w:i/>
          <w:iCs/>
        </w:rPr>
        <w:t xml:space="preserve">“Por medio de la presente, me permito informarle que en lo relativo al Recurso de Revisión 03292/INFOEM/IP/RR/2024, adjuntamos en alcance a la respuesta otorgada en la solicitud 00115/TEXCOCO/IP/2024 de conformidad en el Artículo 185 fracción II, III de la Ley Transparencia y Acceso a la Información Pública del Estado de México y Municipios, atendiendo este periodo de manifestaciones, con el afán de salvaguardar y resarcir posible afectación al derecho de acceso a la información y cumplir adecuadamente con su solicitud se dio conocimiento a las áreas competentes, respecto al acto impugnado por el cual dio origen al Recurso de Revisión número 03292/INFOEM/IP/RR/2024: En este sentido, nos permitimos informar que el área competente mediante oficio dio atención para que se hiciera de su conocimiento lo siguiente: En respuesta le informo, que podrá encontrar la información solicitada en las siguientes ligas electrónicas: Formato </w:t>
      </w:r>
      <w:proofErr w:type="spellStart"/>
      <w:r w:rsidRPr="005B73E3">
        <w:rPr>
          <w:i/>
          <w:iCs/>
        </w:rPr>
        <w:t>PbRM</w:t>
      </w:r>
      <w:proofErr w:type="spellEnd"/>
      <w:r w:rsidRPr="005B73E3">
        <w:rPr>
          <w:i/>
          <w:iCs/>
        </w:rPr>
        <w:t xml:space="preserve"> 04a Presupuesto de Egresos Detallado: www.texcoco.gob.mx/Documentos/LGCC/Presupuesto/PRESUPUESTO_DE_EGRESOS_DETALLADO.pdf Formato </w:t>
      </w:r>
      <w:proofErr w:type="spellStart"/>
      <w:r w:rsidRPr="005B73E3">
        <w:rPr>
          <w:i/>
          <w:iCs/>
        </w:rPr>
        <w:t>PbRM</w:t>
      </w:r>
      <w:proofErr w:type="spellEnd"/>
      <w:r w:rsidRPr="005B73E3">
        <w:rPr>
          <w:i/>
          <w:iCs/>
        </w:rPr>
        <w:t xml:space="preserve"> 04b Presupuesto de Egresos por Objeto del gasto y </w:t>
      </w:r>
      <w:r w:rsidRPr="005B73E3">
        <w:rPr>
          <w:i/>
          <w:iCs/>
        </w:rPr>
        <w:lastRenderedPageBreak/>
        <w:t xml:space="preserve">dependencia general </w:t>
      </w:r>
      <w:proofErr w:type="spellStart"/>
      <w:r w:rsidRPr="005B73E3">
        <w:rPr>
          <w:i/>
          <w:iCs/>
        </w:rPr>
        <w:t>PbRM</w:t>
      </w:r>
      <w:proofErr w:type="spellEnd"/>
      <w:r w:rsidRPr="005B73E3">
        <w:rPr>
          <w:i/>
          <w:iCs/>
        </w:rPr>
        <w:t xml:space="preserve"> 04b: www.texcoco.gob.mx/Documentos/LGCC/Presupuesto/PRESUPUESTO_DE_EGRESOS_POR OBJETO DEL GASTO Y DEPENDENCIA GENERAL.pdf los </w:t>
      </w:r>
      <w:proofErr w:type="spellStart"/>
      <w:r w:rsidRPr="005B73E3">
        <w:rPr>
          <w:i/>
          <w:iCs/>
        </w:rPr>
        <w:t>PbRM</w:t>
      </w:r>
      <w:proofErr w:type="spellEnd"/>
      <w:r w:rsidRPr="005B73E3">
        <w:rPr>
          <w:i/>
          <w:iCs/>
        </w:rPr>
        <w:t xml:space="preserve"> 01ª, </w:t>
      </w:r>
      <w:proofErr w:type="spellStart"/>
      <w:r w:rsidRPr="005B73E3">
        <w:rPr>
          <w:i/>
          <w:iCs/>
        </w:rPr>
        <w:t>PbRM</w:t>
      </w:r>
      <w:proofErr w:type="spellEnd"/>
      <w:r w:rsidRPr="005B73E3">
        <w:rPr>
          <w:i/>
          <w:iCs/>
        </w:rPr>
        <w:t xml:space="preserve"> 02ª, </w:t>
      </w:r>
      <w:proofErr w:type="spellStart"/>
      <w:r w:rsidRPr="005B73E3">
        <w:rPr>
          <w:i/>
          <w:iCs/>
        </w:rPr>
        <w:t>PbRM</w:t>
      </w:r>
      <w:proofErr w:type="spellEnd"/>
      <w:r w:rsidRPr="005B73E3">
        <w:rPr>
          <w:i/>
          <w:iCs/>
        </w:rPr>
        <w:t xml:space="preserve"> 09ª, </w:t>
      </w:r>
      <w:proofErr w:type="spellStart"/>
      <w:r w:rsidRPr="005B73E3">
        <w:rPr>
          <w:i/>
          <w:iCs/>
        </w:rPr>
        <w:t>PbRM</w:t>
      </w:r>
      <w:proofErr w:type="spellEnd"/>
      <w:r w:rsidRPr="005B73E3">
        <w:rPr>
          <w:i/>
          <w:iCs/>
        </w:rPr>
        <w:t xml:space="preserve"> 011ª y </w:t>
      </w:r>
      <w:proofErr w:type="spellStart"/>
      <w:r w:rsidRPr="005B73E3">
        <w:rPr>
          <w:i/>
          <w:iCs/>
        </w:rPr>
        <w:t>PbRM</w:t>
      </w:r>
      <w:proofErr w:type="spellEnd"/>
      <w:r w:rsidRPr="005B73E3">
        <w:rPr>
          <w:i/>
          <w:iCs/>
        </w:rPr>
        <w:t xml:space="preserve"> 013ª, podrá consultarlos en el siguiente Enlace electrónico: </w:t>
      </w:r>
      <w:hyperlink r:id="rId14" w:history="1">
        <w:r w:rsidRPr="005B73E3">
          <w:rPr>
            <w:rStyle w:val="Hipervnculo"/>
            <w:i/>
            <w:iCs/>
            <w:color w:val="auto"/>
          </w:rPr>
          <w:t>https://www.texcocoedomex.gob.mx/p-2023.html</w:t>
        </w:r>
      </w:hyperlink>
      <w:r w:rsidRPr="005B73E3">
        <w:rPr>
          <w:i/>
          <w:iCs/>
        </w:rPr>
        <w:t xml:space="preserve"> </w:t>
      </w:r>
    </w:p>
    <w:p w14:paraId="66BA6FC7" w14:textId="564C7DFA" w:rsidR="00865CF4" w:rsidRPr="005B73E3" w:rsidRDefault="00865CF4" w:rsidP="005B73E3">
      <w:pPr>
        <w:rPr>
          <w:rFonts w:cs="Tahoma"/>
          <w:bCs/>
          <w:szCs w:val="22"/>
        </w:rPr>
      </w:pPr>
    </w:p>
    <w:p w14:paraId="143AAF60" w14:textId="26944110" w:rsidR="00961F5C" w:rsidRPr="005B73E3" w:rsidRDefault="00961F5C" w:rsidP="005B73E3">
      <w:r w:rsidRPr="005B73E3">
        <w:t xml:space="preserve">Esta información fue puesta a la vista de </w:t>
      </w:r>
      <w:r w:rsidRPr="005B73E3">
        <w:rPr>
          <w:b/>
        </w:rPr>
        <w:t xml:space="preserve">LA PARTE RECURRENTE </w:t>
      </w:r>
      <w:r w:rsidRPr="005B73E3">
        <w:t xml:space="preserve">el </w:t>
      </w:r>
      <w:r w:rsidRPr="005B73E3">
        <w:rPr>
          <w:b/>
        </w:rPr>
        <w:t xml:space="preserve">diecinueve de julio de dos mil veinticuatro, </w:t>
      </w:r>
      <w:r w:rsidRPr="005B73E3">
        <w:t>para que, en un plazo de tres días hábiles, manifestara lo que a su derecho conviniera, de conformidad con lo establecido en el artículo 185, fracción III de la Ley de Transparencia y Acceso a la Información Pública del Estado de México y Municipios.</w:t>
      </w:r>
    </w:p>
    <w:p w14:paraId="4F89B277" w14:textId="77777777" w:rsidR="00961F5C" w:rsidRPr="005B73E3" w:rsidRDefault="00961F5C" w:rsidP="005B73E3">
      <w:pPr>
        <w:rPr>
          <w:rFonts w:cs="Tahoma"/>
          <w:bCs/>
          <w:szCs w:val="22"/>
        </w:rPr>
      </w:pPr>
    </w:p>
    <w:p w14:paraId="755B7730" w14:textId="2A0EB956" w:rsidR="00664420" w:rsidRPr="005B73E3" w:rsidRDefault="00E810F7" w:rsidP="005B73E3">
      <w:pPr>
        <w:pStyle w:val="Ttulo3"/>
        <w:rPr>
          <w:szCs w:val="22"/>
          <w:lang w:val="es-ES"/>
        </w:rPr>
      </w:pPr>
      <w:bookmarkStart w:id="16" w:name="_Toc174019527"/>
      <w:r w:rsidRPr="005B73E3">
        <w:rPr>
          <w:rFonts w:eastAsia="Calibri"/>
          <w:bCs/>
          <w:szCs w:val="22"/>
          <w:lang w:eastAsia="en-US"/>
        </w:rPr>
        <w:t>e</w:t>
      </w:r>
      <w:r w:rsidR="00664420" w:rsidRPr="005B73E3">
        <w:rPr>
          <w:rFonts w:eastAsia="Calibri"/>
          <w:bCs/>
          <w:szCs w:val="22"/>
          <w:lang w:eastAsia="en-US"/>
        </w:rPr>
        <w:t>)</w:t>
      </w:r>
      <w:r w:rsidR="00664420" w:rsidRPr="005B73E3">
        <w:rPr>
          <w:szCs w:val="22"/>
        </w:rPr>
        <w:t xml:space="preserve"> </w:t>
      </w:r>
      <w:r w:rsidR="00865CF4" w:rsidRPr="005B73E3">
        <w:rPr>
          <w:szCs w:val="22"/>
          <w:lang w:val="es-ES"/>
        </w:rPr>
        <w:t>Manifestaciones de la Parte Recurrente</w:t>
      </w:r>
      <w:bookmarkEnd w:id="16"/>
    </w:p>
    <w:p w14:paraId="001585DB" w14:textId="7D358610" w:rsidR="00A61D5A" w:rsidRPr="005B73E3" w:rsidRDefault="00A61D5A" w:rsidP="005B73E3">
      <w:pPr>
        <w:rPr>
          <w:szCs w:val="22"/>
        </w:rPr>
      </w:pPr>
      <w:r w:rsidRPr="005B73E3">
        <w:rPr>
          <w:b/>
          <w:szCs w:val="22"/>
        </w:rPr>
        <w:t xml:space="preserve">LA PARTE RECURRENTE </w:t>
      </w:r>
      <w:r w:rsidRPr="005B73E3">
        <w:rPr>
          <w:szCs w:val="22"/>
        </w:rPr>
        <w:t>no realizó manifestación alguna dentro del término legalmente concedido para tal efecto, ni presentó pruebas o alegatos.</w:t>
      </w:r>
    </w:p>
    <w:p w14:paraId="09650BC7" w14:textId="77777777" w:rsidR="00A61D5A" w:rsidRPr="005B73E3" w:rsidRDefault="00A61D5A" w:rsidP="005B73E3">
      <w:pPr>
        <w:rPr>
          <w:szCs w:val="22"/>
        </w:rPr>
      </w:pPr>
    </w:p>
    <w:p w14:paraId="7DA506E8" w14:textId="2369C166" w:rsidR="00D332D7" w:rsidRPr="005B73E3" w:rsidRDefault="00961F5C" w:rsidP="005B73E3">
      <w:pPr>
        <w:pStyle w:val="Ttulo3"/>
        <w:rPr>
          <w:rFonts w:eastAsia="Calibri"/>
          <w:szCs w:val="22"/>
        </w:rPr>
      </w:pPr>
      <w:bookmarkStart w:id="17" w:name="_Toc165402852"/>
      <w:bookmarkStart w:id="18" w:name="_Toc174007527"/>
      <w:bookmarkStart w:id="19" w:name="_Toc174019529"/>
      <w:r w:rsidRPr="005B73E3">
        <w:rPr>
          <w:rFonts w:eastAsia="Calibri"/>
          <w:szCs w:val="22"/>
        </w:rPr>
        <w:t>f</w:t>
      </w:r>
      <w:r w:rsidR="00D332D7" w:rsidRPr="005B73E3">
        <w:rPr>
          <w:rFonts w:eastAsia="Calibri"/>
          <w:szCs w:val="22"/>
        </w:rPr>
        <w:t>) Ampliación de plazo para resolver el Recurso de Revisión</w:t>
      </w:r>
      <w:bookmarkEnd w:id="17"/>
      <w:bookmarkEnd w:id="18"/>
      <w:bookmarkEnd w:id="19"/>
    </w:p>
    <w:p w14:paraId="3F06F3D5" w14:textId="567E3B86" w:rsidR="00D332D7" w:rsidRPr="005B73E3" w:rsidRDefault="00D332D7" w:rsidP="005B73E3">
      <w:pPr>
        <w:tabs>
          <w:tab w:val="left" w:pos="3261"/>
        </w:tabs>
        <w:rPr>
          <w:rFonts w:eastAsia="Calibri" w:cs="Tahoma"/>
          <w:szCs w:val="22"/>
        </w:rPr>
      </w:pPr>
      <w:r w:rsidRPr="005B73E3">
        <w:rPr>
          <w:rFonts w:eastAsia="Calibri" w:cs="Tahoma"/>
          <w:szCs w:val="22"/>
        </w:rPr>
        <w:t xml:space="preserve">Con fundamento en lo dispuesto en el artículo 181, párrafo tercero, de la Ley de Transparencia y Acceso a la Información Pública del Estado de México y Municipios, </w:t>
      </w:r>
      <w:r w:rsidRPr="005B73E3">
        <w:rPr>
          <w:rFonts w:eastAsia="Calibri" w:cs="Tahoma"/>
          <w:b/>
          <w:bCs/>
          <w:szCs w:val="22"/>
        </w:rPr>
        <w:t>el diecinueve de julio de dos mil veinticuatro,</w:t>
      </w:r>
      <w:r w:rsidRPr="005B73E3">
        <w:rPr>
          <w:rFonts w:eastAsia="Calibri" w:cs="Tahoma"/>
          <w:szCs w:val="22"/>
        </w:rPr>
        <w:t xml:space="preserve"> se notificó acuerdo por medio del cual se determinó ampliar por un periodo razonable el plazo para resolver el presente Recurso de Revisión.</w:t>
      </w:r>
    </w:p>
    <w:p w14:paraId="08C50E78" w14:textId="77777777" w:rsidR="00D332D7" w:rsidRPr="005B73E3" w:rsidRDefault="00D332D7" w:rsidP="005B73E3">
      <w:pPr>
        <w:tabs>
          <w:tab w:val="left" w:pos="3261"/>
        </w:tabs>
        <w:rPr>
          <w:rFonts w:eastAsia="Calibri" w:cs="Tahoma"/>
          <w:szCs w:val="22"/>
        </w:rPr>
      </w:pPr>
    </w:p>
    <w:p w14:paraId="0AC8CE24"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498E590"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08AB9EC8"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AF70D7D"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32CD3C0B"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6853E5A"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40B5B9B1"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16A1A195"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51C08248" w14:textId="77777777" w:rsidR="00D332D7" w:rsidRPr="005B73E3" w:rsidRDefault="00D332D7" w:rsidP="005B73E3">
      <w:pPr>
        <w:pStyle w:val="paragraph"/>
        <w:spacing w:before="0" w:beforeAutospacing="0" w:after="0" w:afterAutospacing="0"/>
        <w:ind w:left="567" w:right="539"/>
        <w:textAlignment w:val="baseline"/>
        <w:rPr>
          <w:rStyle w:val="eop"/>
          <w:rFonts w:cs="Segoe UI"/>
          <w:sz w:val="22"/>
          <w:szCs w:val="22"/>
        </w:rPr>
      </w:pPr>
      <w:r w:rsidRPr="005B73E3">
        <w:rPr>
          <w:rStyle w:val="eop"/>
          <w:rFonts w:cs="Segoe UI"/>
          <w:b/>
          <w:bCs/>
          <w:sz w:val="22"/>
          <w:szCs w:val="22"/>
        </w:rPr>
        <w:t>Complejidad del asunto:</w:t>
      </w:r>
      <w:r w:rsidRPr="005B73E3">
        <w:rPr>
          <w:rStyle w:val="eop"/>
          <w:rFonts w:cs="Segoe UI"/>
          <w:sz w:val="22"/>
          <w:szCs w:val="22"/>
        </w:rPr>
        <w:t xml:space="preserve"> La complejidad de la prueba, la pluralidad de sujetos procesales, el tiempo transcurrido, las características y contexto del recurso.</w:t>
      </w:r>
    </w:p>
    <w:p w14:paraId="6152E3FD" w14:textId="77777777" w:rsidR="00D332D7" w:rsidRPr="005B73E3" w:rsidRDefault="00D332D7" w:rsidP="005B73E3">
      <w:pPr>
        <w:pStyle w:val="paragraph"/>
        <w:spacing w:before="0" w:beforeAutospacing="0" w:after="0" w:afterAutospacing="0"/>
        <w:ind w:left="567" w:right="539"/>
        <w:textAlignment w:val="baseline"/>
        <w:rPr>
          <w:rStyle w:val="eop"/>
          <w:rFonts w:cs="Segoe UI"/>
          <w:sz w:val="22"/>
          <w:szCs w:val="22"/>
        </w:rPr>
      </w:pPr>
      <w:r w:rsidRPr="005B73E3">
        <w:rPr>
          <w:rStyle w:val="eop"/>
          <w:rFonts w:cs="Segoe UI"/>
          <w:b/>
          <w:bCs/>
          <w:sz w:val="22"/>
          <w:szCs w:val="22"/>
        </w:rPr>
        <w:t>Actividad Procesal del interesado:</w:t>
      </w:r>
      <w:r w:rsidRPr="005B73E3">
        <w:rPr>
          <w:rStyle w:val="eop"/>
          <w:rFonts w:cs="Segoe UI"/>
          <w:sz w:val="22"/>
          <w:szCs w:val="22"/>
        </w:rPr>
        <w:t xml:space="preserve"> Acciones u omisiones del interesado.</w:t>
      </w:r>
    </w:p>
    <w:p w14:paraId="440146F6" w14:textId="77777777" w:rsidR="00D332D7" w:rsidRPr="005B73E3" w:rsidRDefault="00D332D7" w:rsidP="005B73E3">
      <w:pPr>
        <w:pStyle w:val="paragraph"/>
        <w:spacing w:before="0" w:beforeAutospacing="0" w:after="0" w:afterAutospacing="0"/>
        <w:ind w:left="567" w:right="539"/>
        <w:textAlignment w:val="baseline"/>
        <w:rPr>
          <w:rStyle w:val="eop"/>
          <w:rFonts w:cs="Segoe UI"/>
          <w:sz w:val="22"/>
          <w:szCs w:val="22"/>
        </w:rPr>
      </w:pPr>
      <w:r w:rsidRPr="005B73E3">
        <w:rPr>
          <w:rStyle w:val="eop"/>
          <w:rFonts w:cs="Segoe UI"/>
          <w:b/>
          <w:bCs/>
          <w:sz w:val="22"/>
          <w:szCs w:val="22"/>
        </w:rPr>
        <w:t>Conducta de la Autoridad:</w:t>
      </w:r>
      <w:r w:rsidRPr="005B73E3">
        <w:rPr>
          <w:rStyle w:val="eop"/>
          <w:rFonts w:cs="Segoe UI"/>
          <w:sz w:val="22"/>
          <w:szCs w:val="22"/>
        </w:rPr>
        <w:t xml:space="preserve"> Las Acciones u omisiones realizadas en el procedimiento. Así como si la autoridad actuó con la debida diligencia.</w:t>
      </w:r>
    </w:p>
    <w:p w14:paraId="000C3459" w14:textId="77777777" w:rsidR="00D332D7" w:rsidRPr="005B73E3" w:rsidRDefault="00D332D7" w:rsidP="005B73E3">
      <w:pPr>
        <w:pStyle w:val="paragraph"/>
        <w:spacing w:before="0" w:beforeAutospacing="0" w:after="0" w:afterAutospacing="0"/>
        <w:ind w:left="567" w:right="539"/>
        <w:textAlignment w:val="baseline"/>
        <w:rPr>
          <w:rStyle w:val="eop"/>
          <w:rFonts w:cs="Segoe UI"/>
          <w:sz w:val="22"/>
          <w:szCs w:val="22"/>
        </w:rPr>
      </w:pPr>
      <w:r w:rsidRPr="005B73E3">
        <w:rPr>
          <w:rStyle w:val="eop"/>
          <w:rFonts w:cs="Segoe UI"/>
          <w:b/>
          <w:bCs/>
          <w:sz w:val="22"/>
          <w:szCs w:val="22"/>
        </w:rPr>
        <w:t>La afectación generada en la situación jurídica de la persona involucrada en el proceso:</w:t>
      </w:r>
      <w:r w:rsidRPr="005B73E3">
        <w:rPr>
          <w:rStyle w:val="eop"/>
          <w:rFonts w:cs="Segoe UI"/>
          <w:sz w:val="22"/>
          <w:szCs w:val="22"/>
        </w:rPr>
        <w:t xml:space="preserve"> Violación a sus derechos humanos.</w:t>
      </w:r>
    </w:p>
    <w:p w14:paraId="6F40D9CD" w14:textId="77777777" w:rsidR="00D332D7" w:rsidRPr="005B73E3" w:rsidRDefault="00D332D7" w:rsidP="005B73E3">
      <w:pPr>
        <w:pStyle w:val="paragraph"/>
        <w:spacing w:before="0" w:beforeAutospacing="0" w:after="0" w:afterAutospacing="0"/>
        <w:ind w:left="567" w:right="539"/>
        <w:textAlignment w:val="baseline"/>
        <w:rPr>
          <w:rStyle w:val="eop"/>
          <w:rFonts w:cs="Segoe UI"/>
          <w:sz w:val="22"/>
          <w:szCs w:val="22"/>
        </w:rPr>
      </w:pPr>
    </w:p>
    <w:p w14:paraId="25F07268"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61B44F"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034EFAD8"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Argumento que encuentra sustento en la jurisprudencia P</w:t>
      </w:r>
      <w:proofErr w:type="gramStart"/>
      <w:r w:rsidRPr="005B73E3">
        <w:rPr>
          <w:rStyle w:val="eop"/>
          <w:rFonts w:cs="Segoe UI"/>
          <w:sz w:val="22"/>
          <w:szCs w:val="22"/>
        </w:rPr>
        <w:t>./</w:t>
      </w:r>
      <w:proofErr w:type="gramEnd"/>
      <w:r w:rsidRPr="005B73E3">
        <w:rPr>
          <w:rStyle w:val="eop"/>
          <w:rFonts w:cs="Segoe UI"/>
          <w:sz w:val="22"/>
          <w:szCs w:val="22"/>
        </w:rPr>
        <w:t>J. 32/92 emitida por el Pleno de la Suprema Corte de Justicia de la Nación de rubro “</w:t>
      </w:r>
      <w:r w:rsidRPr="005B73E3">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B73E3">
        <w:rPr>
          <w:rStyle w:val="eop"/>
          <w:rFonts w:cs="Segoe UI"/>
          <w:sz w:val="22"/>
          <w:szCs w:val="22"/>
        </w:rPr>
        <w:t>.”, visible en la Gaceta del Seminario Judicial de la Federación con el registro digital 205635.</w:t>
      </w:r>
    </w:p>
    <w:p w14:paraId="07F9D02B"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15B3AEBC"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94313BE"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0D59261F"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2C042635" w14:textId="77777777" w:rsidR="00D332D7" w:rsidRPr="005B73E3" w:rsidRDefault="00D332D7" w:rsidP="005B73E3">
      <w:pPr>
        <w:pStyle w:val="Puesto"/>
        <w:rPr>
          <w:rStyle w:val="eop"/>
          <w:rFonts w:cs="Segoe UI"/>
          <w:szCs w:val="22"/>
        </w:rPr>
      </w:pPr>
      <w:r w:rsidRPr="005B73E3">
        <w:rPr>
          <w:rStyle w:val="eop"/>
          <w:rFonts w:cs="Segoe UI"/>
          <w:b/>
          <w:bCs/>
          <w:szCs w:val="22"/>
        </w:rPr>
        <w:lastRenderedPageBreak/>
        <w:t>“PLAZO RAZONABLE PARA RESOLVER. DIMENSIÓN Y EFECTOS DE ESTE CONCEPTO CUANDO SE ADUCE EXCESIVA CARGA DE TRABAJO.”</w:t>
      </w:r>
      <w:r w:rsidRPr="005B73E3">
        <w:rPr>
          <w:rStyle w:val="eop"/>
          <w:rFonts w:cs="Segoe UI"/>
          <w:szCs w:val="22"/>
        </w:rPr>
        <w:t xml:space="preserve"> consultable en el Seminario Judicial de la Federación y su gaceta, con el registro digital 2002351.</w:t>
      </w:r>
    </w:p>
    <w:p w14:paraId="363A777D" w14:textId="77777777" w:rsidR="00D332D7" w:rsidRPr="005B73E3" w:rsidRDefault="00D332D7" w:rsidP="005B73E3">
      <w:pPr>
        <w:pStyle w:val="Puesto"/>
        <w:rPr>
          <w:rStyle w:val="eop"/>
          <w:rFonts w:cs="Segoe UI"/>
          <w:szCs w:val="22"/>
        </w:rPr>
      </w:pPr>
    </w:p>
    <w:p w14:paraId="7C06C964" w14:textId="77777777" w:rsidR="00D332D7" w:rsidRPr="005B73E3" w:rsidRDefault="00D332D7" w:rsidP="005B73E3">
      <w:pPr>
        <w:pStyle w:val="Puesto"/>
        <w:rPr>
          <w:rStyle w:val="eop"/>
          <w:rFonts w:cs="Segoe UI"/>
          <w:szCs w:val="22"/>
        </w:rPr>
      </w:pPr>
      <w:r w:rsidRPr="005B73E3">
        <w:rPr>
          <w:rStyle w:val="eop"/>
          <w:rFonts w:cs="Segoe UI"/>
          <w:b/>
          <w:bCs/>
          <w:szCs w:val="22"/>
        </w:rPr>
        <w:t>“PLAZO RAZONABLE PARA RESOLVER. CONCEPTO Y ELEMENTOS QUE LO INTEGRAN A LA LUZ DEL DERECHO INTERNACIONAL DE LOS DERECHOS HUMANOS</w:t>
      </w:r>
      <w:r w:rsidRPr="005B73E3">
        <w:rPr>
          <w:rStyle w:val="eop"/>
          <w:rFonts w:cs="Segoe UI"/>
          <w:szCs w:val="22"/>
        </w:rPr>
        <w:t>.”, visible en el Seminario Judicial de la Federación y su gaceta, con el registro digital 2002350.</w:t>
      </w:r>
    </w:p>
    <w:p w14:paraId="2B68F4B8" w14:textId="77777777" w:rsidR="00D332D7" w:rsidRPr="005B73E3" w:rsidRDefault="00D332D7" w:rsidP="005B73E3">
      <w:pPr>
        <w:pStyle w:val="paragraph"/>
        <w:spacing w:before="0" w:beforeAutospacing="0" w:after="0" w:afterAutospacing="0"/>
        <w:textAlignment w:val="baseline"/>
        <w:rPr>
          <w:rStyle w:val="eop"/>
          <w:rFonts w:cs="Segoe UI"/>
          <w:sz w:val="22"/>
          <w:szCs w:val="22"/>
        </w:rPr>
      </w:pPr>
    </w:p>
    <w:p w14:paraId="74810631" w14:textId="2B2D3136" w:rsidR="00D332D7" w:rsidRPr="005B73E3" w:rsidRDefault="00D332D7" w:rsidP="005B73E3">
      <w:pPr>
        <w:pStyle w:val="paragraph"/>
        <w:spacing w:before="0" w:beforeAutospacing="0" w:after="0" w:afterAutospacing="0"/>
        <w:textAlignment w:val="baseline"/>
        <w:rPr>
          <w:rStyle w:val="eop"/>
          <w:rFonts w:cs="Segoe UI"/>
          <w:sz w:val="22"/>
          <w:szCs w:val="22"/>
        </w:rPr>
      </w:pPr>
      <w:r w:rsidRPr="005B73E3">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7FC59F35" w14:textId="5B79B61A" w:rsidR="00961F5C" w:rsidRPr="005B73E3" w:rsidRDefault="00961F5C" w:rsidP="005B73E3">
      <w:pPr>
        <w:pStyle w:val="paragraph"/>
        <w:spacing w:before="0" w:beforeAutospacing="0" w:after="0" w:afterAutospacing="0"/>
        <w:textAlignment w:val="baseline"/>
        <w:rPr>
          <w:rStyle w:val="eop"/>
          <w:rFonts w:cs="Segoe UI"/>
          <w:sz w:val="22"/>
          <w:szCs w:val="22"/>
        </w:rPr>
      </w:pPr>
    </w:p>
    <w:p w14:paraId="68F89733" w14:textId="097E88A3" w:rsidR="00961F5C" w:rsidRPr="005B73E3" w:rsidRDefault="00961F5C" w:rsidP="005B73E3">
      <w:pPr>
        <w:pStyle w:val="Ttulo3"/>
        <w:rPr>
          <w:szCs w:val="22"/>
        </w:rPr>
      </w:pPr>
      <w:bookmarkStart w:id="20" w:name="_Toc174019528"/>
      <w:r w:rsidRPr="005B73E3">
        <w:rPr>
          <w:szCs w:val="22"/>
        </w:rPr>
        <w:t>g) Cierre de instrucción</w:t>
      </w:r>
      <w:bookmarkEnd w:id="20"/>
    </w:p>
    <w:p w14:paraId="23CD783D" w14:textId="1068CD23" w:rsidR="00961F5C" w:rsidRPr="005B73E3" w:rsidRDefault="00961F5C" w:rsidP="005B73E3">
      <w:pPr>
        <w:rPr>
          <w:rFonts w:cs="Tahoma"/>
          <w:szCs w:val="22"/>
        </w:rPr>
      </w:pPr>
      <w:r w:rsidRPr="005B73E3">
        <w:rPr>
          <w:rFonts w:cs="Tahoma"/>
          <w:szCs w:val="22"/>
        </w:rPr>
        <w:t>Al no existir diligencias pendientes por desahogar</w:t>
      </w:r>
      <w:r w:rsidRPr="005B73E3">
        <w:rPr>
          <w:rFonts w:cs="Arial"/>
          <w:szCs w:val="22"/>
        </w:rPr>
        <w:t xml:space="preserve">, el </w:t>
      </w:r>
      <w:r w:rsidR="004740A7">
        <w:rPr>
          <w:rFonts w:cs="Tahoma"/>
          <w:b/>
          <w:bCs/>
          <w:szCs w:val="22"/>
        </w:rPr>
        <w:t>catorce</w:t>
      </w:r>
      <w:r w:rsidRPr="005B73E3">
        <w:rPr>
          <w:rFonts w:cs="Tahoma"/>
          <w:b/>
          <w:bCs/>
          <w:szCs w:val="22"/>
        </w:rPr>
        <w:t xml:space="preserve"> de agosto de dos mil veinticuatro</w:t>
      </w:r>
      <w:r w:rsidRPr="005B73E3">
        <w:rPr>
          <w:rFonts w:cs="Tahoma"/>
          <w:szCs w:val="22"/>
        </w:rPr>
        <w:t xml:space="preserve"> </w:t>
      </w:r>
      <w:r w:rsidRPr="005B73E3">
        <w:rPr>
          <w:rFonts w:cs="Arial"/>
          <w:szCs w:val="22"/>
        </w:rPr>
        <w:t xml:space="preserve">la </w:t>
      </w:r>
      <w:r w:rsidRPr="005B73E3">
        <w:rPr>
          <w:rFonts w:cs="Arial"/>
          <w:b/>
          <w:bCs/>
          <w:szCs w:val="22"/>
        </w:rPr>
        <w:t xml:space="preserve">Comisionada </w:t>
      </w:r>
      <w:r w:rsidRPr="005B73E3">
        <w:rPr>
          <w:b/>
          <w:szCs w:val="22"/>
        </w:rPr>
        <w:t xml:space="preserve">Sharon Cristina Morales Martínez </w:t>
      </w:r>
      <w:r w:rsidRPr="005B73E3">
        <w:rPr>
          <w:rFonts w:cs="Arial"/>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5B73E3">
        <w:rPr>
          <w:szCs w:val="22"/>
        </w:rPr>
        <w:t xml:space="preserve">. Dicho acuerdo </w:t>
      </w:r>
      <w:r w:rsidRPr="005B73E3">
        <w:rPr>
          <w:rFonts w:cs="Tahoma"/>
          <w:szCs w:val="22"/>
        </w:rPr>
        <w:t xml:space="preserve">fue notificado a las partes el mismo día a través del </w:t>
      </w:r>
      <w:r w:rsidRPr="005B73E3">
        <w:rPr>
          <w:rFonts w:cs="Tahoma"/>
          <w:b/>
          <w:szCs w:val="22"/>
          <w:lang w:val="es-ES"/>
        </w:rPr>
        <w:t>SAIMEX</w:t>
      </w:r>
      <w:r w:rsidRPr="005B73E3">
        <w:rPr>
          <w:rFonts w:cs="Tahoma"/>
          <w:szCs w:val="22"/>
        </w:rPr>
        <w:t>.</w:t>
      </w:r>
    </w:p>
    <w:p w14:paraId="741683E3" w14:textId="77777777" w:rsidR="0011350D" w:rsidRPr="005B73E3" w:rsidRDefault="0011350D" w:rsidP="005B73E3">
      <w:pPr>
        <w:rPr>
          <w:rFonts w:cs="Tahoma"/>
          <w:szCs w:val="22"/>
        </w:rPr>
      </w:pPr>
    </w:p>
    <w:p w14:paraId="7A9629DE" w14:textId="77777777" w:rsidR="00664420" w:rsidRPr="005B73E3" w:rsidRDefault="00664420" w:rsidP="005B73E3">
      <w:pPr>
        <w:pStyle w:val="Ttulo1"/>
        <w:rPr>
          <w:rFonts w:eastAsiaTheme="minorHAnsi"/>
          <w:szCs w:val="22"/>
          <w:lang w:eastAsia="en-US"/>
        </w:rPr>
      </w:pPr>
      <w:bookmarkStart w:id="21" w:name="_Toc174019530"/>
      <w:r w:rsidRPr="005B73E3">
        <w:rPr>
          <w:rFonts w:eastAsiaTheme="minorHAnsi"/>
          <w:szCs w:val="22"/>
          <w:lang w:eastAsia="en-US"/>
        </w:rPr>
        <w:t>CONSIDERANDOS</w:t>
      </w:r>
      <w:bookmarkEnd w:id="21"/>
    </w:p>
    <w:p w14:paraId="6DD1243B" w14:textId="77777777" w:rsidR="00664420" w:rsidRPr="005B73E3" w:rsidRDefault="00664420" w:rsidP="005B73E3">
      <w:pPr>
        <w:contextualSpacing/>
        <w:jc w:val="center"/>
        <w:rPr>
          <w:rFonts w:eastAsiaTheme="minorHAnsi" w:cs="Tahoma"/>
          <w:b/>
          <w:szCs w:val="22"/>
          <w:lang w:eastAsia="en-US"/>
        </w:rPr>
      </w:pPr>
    </w:p>
    <w:p w14:paraId="0B67CB92" w14:textId="2E307D3B" w:rsidR="00664420" w:rsidRPr="005B73E3" w:rsidRDefault="00664420" w:rsidP="005B73E3">
      <w:pPr>
        <w:pStyle w:val="Ttulo2"/>
        <w:rPr>
          <w:rFonts w:eastAsia="Batang"/>
          <w:szCs w:val="22"/>
        </w:rPr>
      </w:pPr>
      <w:bookmarkStart w:id="22" w:name="_Toc174019531"/>
      <w:r w:rsidRPr="005B73E3">
        <w:rPr>
          <w:rFonts w:eastAsia="Batang"/>
          <w:szCs w:val="22"/>
        </w:rPr>
        <w:t xml:space="preserve">PRIMERO. </w:t>
      </w:r>
      <w:proofErr w:type="spellStart"/>
      <w:r w:rsidR="00BA55A8" w:rsidRPr="005B73E3">
        <w:rPr>
          <w:rFonts w:eastAsia="Batang"/>
          <w:szCs w:val="22"/>
        </w:rPr>
        <w:t>Procedibilidad</w:t>
      </w:r>
      <w:bookmarkEnd w:id="22"/>
      <w:proofErr w:type="spellEnd"/>
    </w:p>
    <w:p w14:paraId="39C52BC1" w14:textId="56FCC20D" w:rsidR="00BA55A8" w:rsidRPr="005B73E3" w:rsidRDefault="00BA55A8" w:rsidP="005B73E3">
      <w:pPr>
        <w:pStyle w:val="Ttulo3"/>
        <w:rPr>
          <w:szCs w:val="22"/>
        </w:rPr>
      </w:pPr>
      <w:bookmarkStart w:id="23" w:name="_Toc174019532"/>
      <w:r w:rsidRPr="005B73E3">
        <w:rPr>
          <w:szCs w:val="22"/>
        </w:rPr>
        <w:t>a) Competencia</w:t>
      </w:r>
      <w:r w:rsidR="00150C49" w:rsidRPr="005B73E3">
        <w:rPr>
          <w:szCs w:val="22"/>
        </w:rPr>
        <w:t xml:space="preserve"> del Instituto</w:t>
      </w:r>
      <w:bookmarkEnd w:id="23"/>
    </w:p>
    <w:p w14:paraId="56E64942" w14:textId="6572EDF7" w:rsidR="0011350D" w:rsidRPr="005B73E3" w:rsidRDefault="0011350D" w:rsidP="005B73E3">
      <w:pPr>
        <w:rPr>
          <w:rFonts w:cs="Arial"/>
          <w:szCs w:val="22"/>
        </w:rPr>
      </w:pPr>
      <w:r w:rsidRPr="005B73E3">
        <w:rPr>
          <w:szCs w:val="22"/>
        </w:rPr>
        <w:t xml:space="preserve">Este Instituto de Transparencia, Acceso a la Información Pública y Protección de Datos Personales del Estado de México y Municipios es competente para conocer y resolver </w:t>
      </w:r>
      <w:r w:rsidR="005F65B7" w:rsidRPr="005B73E3">
        <w:rPr>
          <w:szCs w:val="22"/>
        </w:rPr>
        <w:t xml:space="preserve">el </w:t>
      </w:r>
      <w:r w:rsidRPr="005B73E3">
        <w:rPr>
          <w:szCs w:val="22"/>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B73E3">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5B73E3" w:rsidRDefault="00DB1C09" w:rsidP="005B73E3">
      <w:pPr>
        <w:rPr>
          <w:rFonts w:cs="Arial"/>
          <w:szCs w:val="22"/>
        </w:rPr>
      </w:pPr>
    </w:p>
    <w:p w14:paraId="517A2DD6" w14:textId="4169BE4D" w:rsidR="00664420" w:rsidRPr="005B73E3" w:rsidRDefault="00BA55A8" w:rsidP="005B73E3">
      <w:pPr>
        <w:pStyle w:val="Ttulo3"/>
        <w:rPr>
          <w:szCs w:val="22"/>
        </w:rPr>
      </w:pPr>
      <w:bookmarkStart w:id="24" w:name="_Toc174019533"/>
      <w:r w:rsidRPr="005B73E3">
        <w:rPr>
          <w:szCs w:val="22"/>
        </w:rPr>
        <w:t>b)</w:t>
      </w:r>
      <w:r w:rsidR="00664420" w:rsidRPr="005B73E3">
        <w:rPr>
          <w:szCs w:val="22"/>
        </w:rPr>
        <w:t xml:space="preserve"> </w:t>
      </w:r>
      <w:r w:rsidR="00D91CB4" w:rsidRPr="005B73E3">
        <w:rPr>
          <w:szCs w:val="22"/>
        </w:rPr>
        <w:t>Legitimidad</w:t>
      </w:r>
      <w:r w:rsidRPr="005B73E3">
        <w:rPr>
          <w:szCs w:val="22"/>
        </w:rPr>
        <w:t xml:space="preserve"> de la parte recurrente</w:t>
      </w:r>
      <w:bookmarkEnd w:id="24"/>
    </w:p>
    <w:p w14:paraId="26FEA382" w14:textId="0B06695C" w:rsidR="00D91CB4" w:rsidRPr="005B73E3" w:rsidRDefault="00D91CB4" w:rsidP="005B73E3">
      <w:pPr>
        <w:rPr>
          <w:rFonts w:cs="Arial"/>
          <w:bCs/>
          <w:szCs w:val="22"/>
        </w:rPr>
      </w:pPr>
      <w:r w:rsidRPr="005B73E3">
        <w:rPr>
          <w:rFonts w:cs="Arial"/>
          <w:bCs/>
          <w:szCs w:val="22"/>
        </w:rPr>
        <w:t>El recurso de revisión fue interpuesto por parte legítima, ya que se presentó por la misma persona que formuló la solicitud de acceso a la Información Pública,</w:t>
      </w:r>
      <w:r w:rsidRPr="005B73E3">
        <w:rPr>
          <w:rFonts w:cs="Arial"/>
          <w:b/>
          <w:bCs/>
          <w:szCs w:val="22"/>
        </w:rPr>
        <w:t xml:space="preserve"> </w:t>
      </w:r>
      <w:r w:rsidRPr="005B73E3">
        <w:rPr>
          <w:rFonts w:cs="Arial"/>
          <w:szCs w:val="22"/>
        </w:rPr>
        <w:t>debido a que los datos de acceso</w:t>
      </w:r>
      <w:r w:rsidRPr="005B73E3">
        <w:rPr>
          <w:rFonts w:cs="Arial"/>
          <w:b/>
          <w:bCs/>
          <w:szCs w:val="22"/>
        </w:rPr>
        <w:t xml:space="preserve"> </w:t>
      </w:r>
      <w:r w:rsidRPr="005B73E3">
        <w:rPr>
          <w:rFonts w:cs="Arial"/>
          <w:b/>
          <w:szCs w:val="22"/>
        </w:rPr>
        <w:t>SAIMEX</w:t>
      </w:r>
      <w:r w:rsidRPr="005B73E3">
        <w:rPr>
          <w:rFonts w:eastAsia="Calibri" w:cs="Arial"/>
          <w:szCs w:val="22"/>
          <w:lang w:eastAsia="en-US"/>
        </w:rPr>
        <w:t xml:space="preserve"> son personales e irrepetibles.</w:t>
      </w:r>
    </w:p>
    <w:p w14:paraId="2C367810" w14:textId="77777777" w:rsidR="00D91CB4" w:rsidRPr="005B73E3" w:rsidRDefault="00D91CB4" w:rsidP="005B73E3">
      <w:pPr>
        <w:rPr>
          <w:szCs w:val="22"/>
        </w:rPr>
      </w:pPr>
    </w:p>
    <w:p w14:paraId="496490FC" w14:textId="1A5F3FDB" w:rsidR="00D91CB4" w:rsidRPr="005B73E3" w:rsidRDefault="00BA55A8" w:rsidP="005B73E3">
      <w:pPr>
        <w:pStyle w:val="Ttulo3"/>
        <w:rPr>
          <w:rFonts w:eastAsia="Calibri"/>
          <w:szCs w:val="22"/>
          <w:lang w:eastAsia="es-ES_tradnl"/>
        </w:rPr>
      </w:pPr>
      <w:bookmarkStart w:id="25" w:name="_Toc174019534"/>
      <w:r w:rsidRPr="005B73E3">
        <w:rPr>
          <w:rFonts w:eastAsia="Calibri"/>
          <w:szCs w:val="22"/>
          <w:lang w:eastAsia="es-ES_tradnl"/>
        </w:rPr>
        <w:t>c)</w:t>
      </w:r>
      <w:r w:rsidR="00664420" w:rsidRPr="005B73E3">
        <w:rPr>
          <w:rFonts w:eastAsia="Calibri"/>
          <w:szCs w:val="22"/>
          <w:lang w:eastAsia="es-ES_tradnl"/>
        </w:rPr>
        <w:t xml:space="preserve"> </w:t>
      </w:r>
      <w:r w:rsidR="00D91CB4" w:rsidRPr="005B73E3">
        <w:rPr>
          <w:rFonts w:eastAsia="Calibri"/>
          <w:szCs w:val="22"/>
          <w:lang w:eastAsia="es-ES_tradnl"/>
        </w:rPr>
        <w:t>Plazo para interponer el recurso</w:t>
      </w:r>
      <w:bookmarkEnd w:id="25"/>
    </w:p>
    <w:p w14:paraId="106D37EE" w14:textId="05CD80E1" w:rsidR="00D91CB4" w:rsidRPr="005B73E3" w:rsidRDefault="00D91CB4" w:rsidP="005B73E3">
      <w:pPr>
        <w:rPr>
          <w:rFonts w:eastAsiaTheme="minorEastAsia" w:cs="Arial"/>
          <w:szCs w:val="22"/>
          <w:lang w:val="es-ES_tradnl"/>
        </w:rPr>
      </w:pPr>
      <w:r w:rsidRPr="005B73E3">
        <w:rPr>
          <w:rFonts w:cs="Arial"/>
          <w:b/>
          <w:szCs w:val="22"/>
        </w:rPr>
        <w:t>EL SUJETO OBLIGADO</w:t>
      </w:r>
      <w:r w:rsidRPr="005B73E3">
        <w:rPr>
          <w:rFonts w:cs="Arial"/>
          <w:szCs w:val="22"/>
        </w:rPr>
        <w:t xml:space="preserve"> notificó la respuesta a la solicitud de acceso a la Información Pública el </w:t>
      </w:r>
      <w:r w:rsidR="007C6859" w:rsidRPr="005B73E3">
        <w:rPr>
          <w:rFonts w:cs="Tahoma"/>
          <w:b/>
          <w:bCs/>
          <w:szCs w:val="22"/>
        </w:rPr>
        <w:t>v</w:t>
      </w:r>
      <w:r w:rsidR="00961F5C" w:rsidRPr="005B73E3">
        <w:rPr>
          <w:rFonts w:cs="Tahoma"/>
          <w:b/>
          <w:bCs/>
          <w:szCs w:val="22"/>
        </w:rPr>
        <w:t>einticuatro</w:t>
      </w:r>
      <w:r w:rsidR="007C6859" w:rsidRPr="005B73E3">
        <w:rPr>
          <w:rFonts w:cs="Tahoma"/>
          <w:b/>
          <w:bCs/>
          <w:szCs w:val="22"/>
        </w:rPr>
        <w:t xml:space="preserve"> de mayo</w:t>
      </w:r>
      <w:r w:rsidR="00DE285A" w:rsidRPr="005B73E3">
        <w:rPr>
          <w:rFonts w:cs="Tahoma"/>
          <w:b/>
          <w:bCs/>
          <w:szCs w:val="22"/>
        </w:rPr>
        <w:t xml:space="preserve"> de dos mil veinticuatro</w:t>
      </w:r>
      <w:r w:rsidR="00DE285A" w:rsidRPr="005B73E3">
        <w:rPr>
          <w:rFonts w:cs="Tahoma"/>
          <w:szCs w:val="22"/>
        </w:rPr>
        <w:t xml:space="preserve"> </w:t>
      </w:r>
      <w:r w:rsidR="00A53315" w:rsidRPr="005B73E3">
        <w:rPr>
          <w:rFonts w:cs="Arial"/>
          <w:szCs w:val="22"/>
        </w:rPr>
        <w:t xml:space="preserve">y el recurso </w:t>
      </w:r>
      <w:r w:rsidR="00A53315" w:rsidRPr="005B73E3">
        <w:rPr>
          <w:rFonts w:eastAsia="Palatino Linotype" w:cs="Palatino Linotype"/>
          <w:szCs w:val="22"/>
        </w:rPr>
        <w:t xml:space="preserve">que nos ocupa se </w:t>
      </w:r>
      <w:r w:rsidR="006A61F1" w:rsidRPr="005B73E3">
        <w:rPr>
          <w:rFonts w:eastAsia="Palatino Linotype" w:cs="Palatino Linotype"/>
          <w:szCs w:val="22"/>
        </w:rPr>
        <w:t>tuvo por presentado</w:t>
      </w:r>
      <w:r w:rsidR="00A53315" w:rsidRPr="005B73E3">
        <w:rPr>
          <w:rFonts w:eastAsia="Palatino Linotype" w:cs="Palatino Linotype"/>
          <w:szCs w:val="22"/>
        </w:rPr>
        <w:t xml:space="preserve"> el </w:t>
      </w:r>
      <w:r w:rsidR="007C6859" w:rsidRPr="005B73E3">
        <w:rPr>
          <w:rFonts w:cs="Tahoma"/>
          <w:b/>
          <w:bCs/>
          <w:szCs w:val="22"/>
        </w:rPr>
        <w:t>veinti</w:t>
      </w:r>
      <w:r w:rsidR="00961F5C" w:rsidRPr="005B73E3">
        <w:rPr>
          <w:rFonts w:cs="Tahoma"/>
          <w:b/>
          <w:bCs/>
          <w:szCs w:val="22"/>
        </w:rPr>
        <w:t>siete</w:t>
      </w:r>
      <w:r w:rsidR="007C6859" w:rsidRPr="005B73E3">
        <w:rPr>
          <w:rFonts w:cs="Tahoma"/>
          <w:b/>
          <w:bCs/>
          <w:szCs w:val="22"/>
        </w:rPr>
        <w:t xml:space="preserve"> de mayo</w:t>
      </w:r>
      <w:r w:rsidR="00DE285A" w:rsidRPr="005B73E3">
        <w:rPr>
          <w:rFonts w:cs="Tahoma"/>
          <w:b/>
          <w:bCs/>
          <w:szCs w:val="22"/>
        </w:rPr>
        <w:t xml:space="preserve"> de dos mil veinticuatro</w:t>
      </w:r>
      <w:r w:rsidR="00A53315" w:rsidRPr="005B73E3">
        <w:rPr>
          <w:rFonts w:eastAsia="Palatino Linotype" w:cs="Palatino Linotype"/>
          <w:bCs/>
          <w:szCs w:val="22"/>
        </w:rPr>
        <w:t>;</w:t>
      </w:r>
      <w:r w:rsidR="00A53315" w:rsidRPr="005B73E3">
        <w:rPr>
          <w:rFonts w:eastAsia="Palatino Linotype" w:cs="Palatino Linotype"/>
          <w:szCs w:val="22"/>
        </w:rPr>
        <w:t xml:space="preserve"> por lo tanto, éste se encuentra dentro del margen temporal previsto en el artículo 178 de la </w:t>
      </w:r>
      <w:r w:rsidR="00A53315" w:rsidRPr="005B73E3">
        <w:rPr>
          <w:rFonts w:cs="Arial"/>
          <w:szCs w:val="22"/>
        </w:rPr>
        <w:t xml:space="preserve">Ley de Transparencia y Acceso a la Información Pública del Estado de México y Municipios, </w:t>
      </w:r>
      <w:r w:rsidR="00A53315" w:rsidRPr="005B73E3">
        <w:rPr>
          <w:rFonts w:eastAsia="Calibri"/>
          <w:szCs w:val="22"/>
          <w:lang w:eastAsia="es-ES_tradnl"/>
        </w:rPr>
        <w:t xml:space="preserve">el cual </w:t>
      </w:r>
      <w:r w:rsidRPr="005B73E3">
        <w:rPr>
          <w:rFonts w:cs="Arial"/>
          <w:szCs w:val="22"/>
        </w:rPr>
        <w:t xml:space="preserve">transcurrió del </w:t>
      </w:r>
      <w:r w:rsidR="00961F5C" w:rsidRPr="005B73E3">
        <w:rPr>
          <w:rFonts w:cs="Tahoma"/>
          <w:b/>
          <w:bCs/>
          <w:szCs w:val="22"/>
        </w:rPr>
        <w:t>veintisiete</w:t>
      </w:r>
      <w:r w:rsidR="007C6859" w:rsidRPr="005B73E3">
        <w:rPr>
          <w:rFonts w:cs="Tahoma"/>
          <w:b/>
          <w:bCs/>
          <w:szCs w:val="22"/>
        </w:rPr>
        <w:t xml:space="preserve"> de mayo al </w:t>
      </w:r>
      <w:r w:rsidR="00961F5C" w:rsidRPr="005B73E3">
        <w:rPr>
          <w:rFonts w:cs="Tahoma"/>
          <w:b/>
          <w:bCs/>
          <w:szCs w:val="22"/>
        </w:rPr>
        <w:t>catorce</w:t>
      </w:r>
      <w:r w:rsidR="007C6859" w:rsidRPr="005B73E3">
        <w:rPr>
          <w:rFonts w:cs="Tahoma"/>
          <w:b/>
          <w:bCs/>
          <w:szCs w:val="22"/>
        </w:rPr>
        <w:t xml:space="preserve"> de junio </w:t>
      </w:r>
      <w:r w:rsidR="00DE285A" w:rsidRPr="005B73E3">
        <w:rPr>
          <w:rFonts w:cs="Tahoma"/>
          <w:b/>
          <w:bCs/>
          <w:szCs w:val="22"/>
        </w:rPr>
        <w:t>de dos mil veinticuatro</w:t>
      </w:r>
      <w:r w:rsidRPr="005B73E3">
        <w:rPr>
          <w:rFonts w:cs="Arial"/>
          <w:szCs w:val="22"/>
        </w:rPr>
        <w:t xml:space="preserve">, </w:t>
      </w:r>
      <w:r w:rsidRPr="005B73E3">
        <w:rPr>
          <w:rFonts w:eastAsiaTheme="minorEastAsia" w:cs="Arial"/>
          <w:szCs w:val="22"/>
          <w:lang w:val="es-ES_tradnl"/>
        </w:rPr>
        <w:t xml:space="preserve">sin contemplar en el cómputo los días </w:t>
      </w:r>
      <w:bookmarkStart w:id="26" w:name="_Hlk62134391"/>
      <w:r w:rsidRPr="005B73E3">
        <w:rPr>
          <w:rFonts w:eastAsiaTheme="minorEastAsia" w:cs="Arial"/>
          <w:szCs w:val="22"/>
          <w:lang w:val="es-ES_tradnl"/>
        </w:rPr>
        <w:t>sábados</w:t>
      </w:r>
      <w:r w:rsidR="00CB7E9A" w:rsidRPr="005B73E3">
        <w:rPr>
          <w:rFonts w:eastAsiaTheme="minorEastAsia" w:cs="Arial"/>
          <w:szCs w:val="22"/>
          <w:lang w:val="es-ES_tradnl"/>
        </w:rPr>
        <w:t xml:space="preserve">, </w:t>
      </w:r>
      <w:r w:rsidRPr="005B73E3">
        <w:rPr>
          <w:rFonts w:eastAsiaTheme="minorEastAsia" w:cs="Arial"/>
          <w:szCs w:val="22"/>
          <w:lang w:val="es-ES_tradnl"/>
        </w:rPr>
        <w:t>domingos</w:t>
      </w:r>
      <w:r w:rsidR="00CB7E9A" w:rsidRPr="005B73E3">
        <w:rPr>
          <w:rFonts w:eastAsiaTheme="minorEastAsia" w:cs="Arial"/>
          <w:szCs w:val="22"/>
          <w:lang w:val="es-ES_tradnl"/>
        </w:rPr>
        <w:t xml:space="preserve"> y aquellos</w:t>
      </w:r>
      <w:r w:rsidRPr="005B73E3">
        <w:rPr>
          <w:rFonts w:eastAsiaTheme="minorEastAsia" w:cs="Arial"/>
          <w:szCs w:val="22"/>
          <w:lang w:val="es-ES_tradnl"/>
        </w:rPr>
        <w:t xml:space="preserve"> considerados como días inhábiles</w:t>
      </w:r>
      <w:r w:rsidR="00CB7E9A" w:rsidRPr="005B73E3">
        <w:rPr>
          <w:rFonts w:eastAsiaTheme="minorEastAsia" w:cs="Arial"/>
          <w:szCs w:val="22"/>
          <w:lang w:val="es-ES_tradnl"/>
        </w:rPr>
        <w:t xml:space="preserve"> </w:t>
      </w:r>
      <w:r w:rsidRPr="005B73E3">
        <w:rPr>
          <w:rFonts w:eastAsiaTheme="minorEastAsia" w:cs="Arial"/>
          <w:szCs w:val="22"/>
          <w:lang w:val="es-ES_tradnl"/>
        </w:rPr>
        <w:t xml:space="preserve">en términos del </w:t>
      </w:r>
      <w:bookmarkEnd w:id="26"/>
      <w:r w:rsidRPr="005B73E3">
        <w:rPr>
          <w:rFonts w:eastAsiaTheme="minorEastAsia" w:cs="Arial"/>
          <w:szCs w:val="22"/>
          <w:lang w:val="es-ES_tradnl"/>
        </w:rPr>
        <w:t>Calendario oficia</w:t>
      </w:r>
      <w:r w:rsidR="00CB7E9A" w:rsidRPr="005B73E3">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5B73E3" w:rsidRDefault="00D91CB4" w:rsidP="005B73E3">
      <w:pPr>
        <w:rPr>
          <w:rFonts w:eastAsia="Palatino Linotype" w:cs="Palatino Linotype"/>
          <w:szCs w:val="22"/>
        </w:rPr>
      </w:pPr>
    </w:p>
    <w:p w14:paraId="46C0EB3A" w14:textId="2C03BC70" w:rsidR="00A53315" w:rsidRPr="005B73E3" w:rsidRDefault="00BA55A8" w:rsidP="005B73E3">
      <w:pPr>
        <w:pStyle w:val="Ttulo3"/>
        <w:rPr>
          <w:rFonts w:eastAsia="Calibri"/>
          <w:szCs w:val="22"/>
          <w:lang w:eastAsia="es-ES_tradnl"/>
        </w:rPr>
      </w:pPr>
      <w:bookmarkStart w:id="27" w:name="_Toc174019535"/>
      <w:r w:rsidRPr="005B73E3">
        <w:rPr>
          <w:rFonts w:eastAsia="Calibri"/>
          <w:szCs w:val="22"/>
          <w:lang w:eastAsia="es-ES_tradnl"/>
        </w:rPr>
        <w:lastRenderedPageBreak/>
        <w:t>d)</w:t>
      </w:r>
      <w:r w:rsidR="00D91CB4" w:rsidRPr="005B73E3">
        <w:rPr>
          <w:rFonts w:eastAsia="Calibri"/>
          <w:szCs w:val="22"/>
          <w:lang w:eastAsia="es-ES_tradnl"/>
        </w:rPr>
        <w:t xml:space="preserve"> </w:t>
      </w:r>
      <w:r w:rsidR="007C6859" w:rsidRPr="005B73E3">
        <w:rPr>
          <w:rFonts w:eastAsia="Calibri"/>
          <w:szCs w:val="22"/>
          <w:lang w:eastAsia="es-ES_tradnl"/>
        </w:rPr>
        <w:t>Causal de Procedencia</w:t>
      </w:r>
      <w:bookmarkEnd w:id="27"/>
    </w:p>
    <w:p w14:paraId="190404A6" w14:textId="54429E76" w:rsidR="00BA55A8" w:rsidRPr="005B73E3" w:rsidRDefault="00BA55A8" w:rsidP="005B73E3">
      <w:pPr>
        <w:rPr>
          <w:szCs w:val="22"/>
        </w:rPr>
      </w:pPr>
      <w:r w:rsidRPr="005B73E3">
        <w:rPr>
          <w:rFonts w:cs="Arial"/>
          <w:szCs w:val="22"/>
        </w:rPr>
        <w:t xml:space="preserve">Resulta procedente la interposición del recurso de revisión, ya que </w:t>
      </w:r>
      <w:r w:rsidRPr="005B73E3">
        <w:rPr>
          <w:rFonts w:eastAsia="Calibri" w:cs="Tahoma"/>
          <w:szCs w:val="22"/>
          <w:lang w:eastAsia="es-MX"/>
        </w:rPr>
        <w:t>se actualiza la causal de procedencia señalada en el artículo 179, fracci</w:t>
      </w:r>
      <w:r w:rsidR="007C6859" w:rsidRPr="005B73E3">
        <w:rPr>
          <w:rFonts w:eastAsia="Calibri" w:cs="Tahoma"/>
          <w:szCs w:val="22"/>
          <w:lang w:eastAsia="es-MX"/>
        </w:rPr>
        <w:t>ón</w:t>
      </w:r>
      <w:r w:rsidR="00EE1B1C" w:rsidRPr="005B73E3">
        <w:rPr>
          <w:rFonts w:eastAsia="Calibri" w:cs="Tahoma"/>
          <w:szCs w:val="22"/>
          <w:lang w:eastAsia="es-MX"/>
        </w:rPr>
        <w:t xml:space="preserve"> I </w:t>
      </w:r>
      <w:r w:rsidRPr="005B73E3">
        <w:rPr>
          <w:rFonts w:cs="Arial"/>
          <w:szCs w:val="22"/>
        </w:rPr>
        <w:t xml:space="preserve">de la </w:t>
      </w:r>
      <w:r w:rsidRPr="005B73E3">
        <w:rPr>
          <w:szCs w:val="22"/>
        </w:rPr>
        <w:t>Ley de Transparencia y Acceso a la Información Pública del Estado de México y Municipios.</w:t>
      </w:r>
    </w:p>
    <w:p w14:paraId="0EFF7141" w14:textId="77777777" w:rsidR="00362A11" w:rsidRPr="005B73E3" w:rsidRDefault="00362A11" w:rsidP="005B73E3">
      <w:pPr>
        <w:rPr>
          <w:szCs w:val="22"/>
        </w:rPr>
      </w:pPr>
    </w:p>
    <w:p w14:paraId="2284D7EB" w14:textId="3EE1D036" w:rsidR="00BA55A8" w:rsidRPr="005B73E3" w:rsidRDefault="00362A11" w:rsidP="005B73E3">
      <w:pPr>
        <w:pStyle w:val="Ttulo3"/>
        <w:rPr>
          <w:szCs w:val="22"/>
        </w:rPr>
      </w:pPr>
      <w:bookmarkStart w:id="28" w:name="_Toc174019536"/>
      <w:r w:rsidRPr="005B73E3">
        <w:rPr>
          <w:szCs w:val="22"/>
        </w:rPr>
        <w:t>e) Requisitos formales para la interposición del recurso</w:t>
      </w:r>
      <w:bookmarkEnd w:id="28"/>
    </w:p>
    <w:p w14:paraId="682591A1" w14:textId="77777777" w:rsidR="00961F5C" w:rsidRPr="005B73E3" w:rsidRDefault="00961F5C" w:rsidP="005B73E3">
      <w:pPr>
        <w:rPr>
          <w:szCs w:val="22"/>
        </w:rPr>
      </w:pPr>
      <w:r w:rsidRPr="005B73E3">
        <w:rPr>
          <w:szCs w:val="22"/>
        </w:rPr>
        <w:t xml:space="preserve">Es importante mencionar que, de la revisión del expediente electrónico del SAIMEX, se observa que </w:t>
      </w:r>
      <w:r w:rsidRPr="005B73E3">
        <w:rPr>
          <w:b/>
          <w:szCs w:val="22"/>
        </w:rPr>
        <w:t>LA PARTE RECURRENTE</w:t>
      </w:r>
      <w:r w:rsidRPr="005B73E3">
        <w:rPr>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B73E3">
        <w:rPr>
          <w:b/>
          <w:szCs w:val="22"/>
          <w:u w:val="single"/>
        </w:rPr>
        <w:t>el nombre no es un requisito indispensable</w:t>
      </w:r>
      <w:r w:rsidRPr="005B73E3">
        <w:rPr>
          <w:szCs w:val="22"/>
        </w:rPr>
        <w:t xml:space="preserve"> para que las y los ciudadanos ejerzan el derecho de acceso a la información pública. </w:t>
      </w:r>
    </w:p>
    <w:p w14:paraId="0450B259" w14:textId="77777777" w:rsidR="00961F5C" w:rsidRPr="005B73E3" w:rsidRDefault="00961F5C" w:rsidP="005B73E3">
      <w:pPr>
        <w:rPr>
          <w:szCs w:val="22"/>
        </w:rPr>
      </w:pPr>
    </w:p>
    <w:p w14:paraId="26D6A02E" w14:textId="77777777" w:rsidR="00961F5C" w:rsidRPr="005B73E3" w:rsidRDefault="00961F5C" w:rsidP="005B73E3">
      <w:pPr>
        <w:rPr>
          <w:szCs w:val="22"/>
        </w:rPr>
      </w:pPr>
      <w:r w:rsidRPr="005B73E3">
        <w:rPr>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B73E3">
        <w:rPr>
          <w:b/>
          <w:szCs w:val="22"/>
        </w:rPr>
        <w:t>LA PARTE RECURRENTE;</w:t>
      </w:r>
      <w:r w:rsidRPr="005B73E3">
        <w:rPr>
          <w:szCs w:val="22"/>
        </w:rPr>
        <w:t xml:space="preserve"> por lo que, en el presente caso, al haber sido presentado el recurso de revisión vía SAIMEX, dicho requisito resulta innecesario.</w:t>
      </w:r>
    </w:p>
    <w:p w14:paraId="3A121826" w14:textId="77777777" w:rsidR="00C461EC" w:rsidRPr="005B73E3" w:rsidRDefault="00C461EC" w:rsidP="005B73E3">
      <w:pPr>
        <w:rPr>
          <w:bCs/>
          <w:szCs w:val="22"/>
          <w:lang w:val="es-ES_tradnl"/>
        </w:rPr>
      </w:pPr>
    </w:p>
    <w:p w14:paraId="457548E9" w14:textId="3F7AF03B" w:rsidR="00C71CEF" w:rsidRPr="005B73E3" w:rsidRDefault="00C71CEF" w:rsidP="005B73E3">
      <w:pPr>
        <w:pStyle w:val="Ttulo2"/>
        <w:rPr>
          <w:szCs w:val="22"/>
        </w:rPr>
      </w:pPr>
      <w:bookmarkStart w:id="29" w:name="_Toc174019537"/>
      <w:r w:rsidRPr="005B73E3">
        <w:rPr>
          <w:szCs w:val="22"/>
        </w:rPr>
        <w:lastRenderedPageBreak/>
        <w:t>SEGUNDO. Estudio de Fondo</w:t>
      </w:r>
      <w:bookmarkEnd w:id="29"/>
    </w:p>
    <w:p w14:paraId="2A308F59" w14:textId="0FF373F0" w:rsidR="00C049E2" w:rsidRPr="005B73E3" w:rsidRDefault="00C71CEF" w:rsidP="005B73E3">
      <w:pPr>
        <w:pStyle w:val="Ttulo3"/>
        <w:rPr>
          <w:szCs w:val="22"/>
        </w:rPr>
      </w:pPr>
      <w:bookmarkStart w:id="30" w:name="_Toc174019538"/>
      <w:r w:rsidRPr="005B73E3">
        <w:rPr>
          <w:szCs w:val="22"/>
        </w:rPr>
        <w:t>a</w:t>
      </w:r>
      <w:r w:rsidR="00C049E2" w:rsidRPr="005B73E3">
        <w:rPr>
          <w:szCs w:val="22"/>
        </w:rPr>
        <w:t>) Mandato de transparencia y responsabilidad del Sujeto Obligado</w:t>
      </w:r>
      <w:bookmarkEnd w:id="30"/>
    </w:p>
    <w:p w14:paraId="6901A889" w14:textId="59EEDAE1" w:rsidR="00C049E2" w:rsidRPr="005B73E3" w:rsidRDefault="00C049E2" w:rsidP="005B73E3">
      <w:pPr>
        <w:rPr>
          <w:rFonts w:eastAsia="Palatino Linotype"/>
          <w:szCs w:val="22"/>
        </w:rPr>
      </w:pPr>
      <w:r w:rsidRPr="005B73E3">
        <w:rPr>
          <w:rFonts w:eastAsia="Palatino Linotype"/>
          <w:szCs w:val="22"/>
        </w:rPr>
        <w:t xml:space="preserve">El </w:t>
      </w:r>
      <w:r w:rsidR="00717E59" w:rsidRPr="005B73E3">
        <w:rPr>
          <w:rFonts w:eastAsia="Palatino Linotype"/>
          <w:szCs w:val="22"/>
        </w:rPr>
        <w:t>d</w:t>
      </w:r>
      <w:r w:rsidRPr="005B73E3">
        <w:rPr>
          <w:rFonts w:eastAsia="Palatino Linotype"/>
          <w:szCs w:val="22"/>
        </w:rPr>
        <w:t xml:space="preserve">erecho de </w:t>
      </w:r>
      <w:r w:rsidR="00717E59" w:rsidRPr="005B73E3">
        <w:rPr>
          <w:rFonts w:eastAsia="Palatino Linotype"/>
          <w:szCs w:val="22"/>
        </w:rPr>
        <w:t>a</w:t>
      </w:r>
      <w:r w:rsidRPr="005B73E3">
        <w:rPr>
          <w:rFonts w:eastAsia="Palatino Linotype"/>
          <w:szCs w:val="22"/>
        </w:rPr>
        <w:t xml:space="preserve">cceso a la </w:t>
      </w:r>
      <w:r w:rsidR="00717E59" w:rsidRPr="005B73E3">
        <w:rPr>
          <w:rFonts w:eastAsia="Palatino Linotype"/>
          <w:szCs w:val="22"/>
        </w:rPr>
        <w:t>i</w:t>
      </w:r>
      <w:r w:rsidRPr="005B73E3">
        <w:rPr>
          <w:rFonts w:eastAsia="Palatino Linotype"/>
          <w:szCs w:val="22"/>
        </w:rPr>
        <w:t xml:space="preserve">nformación </w:t>
      </w:r>
      <w:r w:rsidR="00717E59" w:rsidRPr="005B73E3">
        <w:rPr>
          <w:rFonts w:eastAsia="Palatino Linotype"/>
          <w:szCs w:val="22"/>
        </w:rPr>
        <w:t>p</w:t>
      </w:r>
      <w:r w:rsidRPr="005B73E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5B73E3">
        <w:rPr>
          <w:rFonts w:eastAsia="Palatino Linotype"/>
          <w:szCs w:val="22"/>
        </w:rPr>
        <w:t>:</w:t>
      </w:r>
    </w:p>
    <w:p w14:paraId="7FAB8D32" w14:textId="77777777" w:rsidR="00C049E2" w:rsidRPr="005B73E3" w:rsidRDefault="00C049E2" w:rsidP="005B73E3">
      <w:pPr>
        <w:rPr>
          <w:rFonts w:eastAsia="Palatino Linotype"/>
          <w:szCs w:val="22"/>
        </w:rPr>
      </w:pPr>
    </w:p>
    <w:p w14:paraId="05320813" w14:textId="77777777" w:rsidR="00C049E2" w:rsidRPr="005B73E3" w:rsidRDefault="00C049E2" w:rsidP="005B73E3">
      <w:pPr>
        <w:spacing w:line="240" w:lineRule="auto"/>
        <w:ind w:left="567" w:right="539"/>
        <w:rPr>
          <w:rFonts w:eastAsia="Palatino Linotype"/>
          <w:b/>
          <w:i/>
          <w:szCs w:val="22"/>
        </w:rPr>
      </w:pPr>
      <w:r w:rsidRPr="005B73E3">
        <w:rPr>
          <w:rFonts w:eastAsia="Palatino Linotype"/>
          <w:b/>
          <w:i/>
          <w:szCs w:val="22"/>
        </w:rPr>
        <w:t>Constitución Política de los Estados Unidos Mexicanos</w:t>
      </w:r>
    </w:p>
    <w:p w14:paraId="6B6C67B6" w14:textId="77777777" w:rsidR="00C049E2" w:rsidRPr="005B73E3" w:rsidRDefault="00C049E2" w:rsidP="005B73E3">
      <w:pPr>
        <w:spacing w:line="240" w:lineRule="auto"/>
        <w:ind w:left="567" w:right="539"/>
        <w:rPr>
          <w:rFonts w:eastAsia="Palatino Linotype"/>
          <w:b/>
          <w:i/>
          <w:szCs w:val="22"/>
        </w:rPr>
      </w:pPr>
      <w:r w:rsidRPr="005B73E3">
        <w:rPr>
          <w:rFonts w:eastAsia="Palatino Linotype"/>
          <w:b/>
          <w:i/>
          <w:szCs w:val="22"/>
        </w:rPr>
        <w:t>“Artículo 6.</w:t>
      </w:r>
    </w:p>
    <w:p w14:paraId="38D3B4C4" w14:textId="77777777" w:rsidR="00C049E2" w:rsidRPr="005B73E3" w:rsidRDefault="00C049E2" w:rsidP="005B73E3">
      <w:pPr>
        <w:spacing w:line="240" w:lineRule="auto"/>
        <w:ind w:left="567" w:right="539"/>
        <w:rPr>
          <w:rFonts w:eastAsia="Palatino Linotype"/>
          <w:i/>
          <w:szCs w:val="22"/>
        </w:rPr>
      </w:pPr>
      <w:r w:rsidRPr="005B73E3">
        <w:rPr>
          <w:rFonts w:eastAsia="Palatino Linotype"/>
          <w:i/>
          <w:szCs w:val="22"/>
        </w:rPr>
        <w:t>(…)</w:t>
      </w:r>
    </w:p>
    <w:p w14:paraId="2CCAA297" w14:textId="6602827B" w:rsidR="00C049E2" w:rsidRPr="005B73E3" w:rsidRDefault="00C049E2" w:rsidP="005B73E3">
      <w:pPr>
        <w:spacing w:line="240" w:lineRule="auto"/>
        <w:ind w:left="567" w:right="539"/>
        <w:rPr>
          <w:rFonts w:eastAsia="Palatino Linotype"/>
          <w:i/>
          <w:szCs w:val="22"/>
        </w:rPr>
      </w:pPr>
      <w:r w:rsidRPr="005B73E3">
        <w:rPr>
          <w:rFonts w:eastAsia="Palatino Linotype"/>
          <w:i/>
          <w:szCs w:val="22"/>
        </w:rPr>
        <w:t>Para efectos de lo dispuesto en el presente artículo se observará lo siguiente:</w:t>
      </w:r>
    </w:p>
    <w:p w14:paraId="74CC3718" w14:textId="77777777" w:rsidR="00C049E2" w:rsidRPr="005B73E3" w:rsidRDefault="00C049E2" w:rsidP="005B73E3">
      <w:pPr>
        <w:spacing w:line="240" w:lineRule="auto"/>
        <w:ind w:left="567" w:right="539"/>
        <w:rPr>
          <w:rFonts w:eastAsia="Palatino Linotype"/>
          <w:b/>
          <w:i/>
          <w:szCs w:val="22"/>
        </w:rPr>
      </w:pPr>
      <w:r w:rsidRPr="005B73E3">
        <w:rPr>
          <w:rFonts w:eastAsia="Palatino Linotype"/>
          <w:b/>
          <w:i/>
          <w:szCs w:val="22"/>
        </w:rPr>
        <w:t>A</w:t>
      </w:r>
      <w:r w:rsidRPr="005B73E3">
        <w:rPr>
          <w:rFonts w:eastAsia="Palatino Linotype"/>
          <w:i/>
          <w:szCs w:val="22"/>
        </w:rPr>
        <w:t xml:space="preserve">. </w:t>
      </w:r>
      <w:r w:rsidRPr="005B73E3">
        <w:rPr>
          <w:rFonts w:eastAsia="Palatino Linotype"/>
          <w:b/>
          <w:i/>
          <w:szCs w:val="22"/>
        </w:rPr>
        <w:t>Para el ejercicio del derecho de acceso a la información</w:t>
      </w:r>
      <w:r w:rsidRPr="005B73E3">
        <w:rPr>
          <w:rFonts w:eastAsia="Palatino Linotype"/>
          <w:i/>
          <w:szCs w:val="22"/>
        </w:rPr>
        <w:t xml:space="preserve">, la Federación y </w:t>
      </w:r>
      <w:r w:rsidRPr="005B73E3">
        <w:rPr>
          <w:rFonts w:eastAsia="Palatino Linotype"/>
          <w:b/>
          <w:i/>
          <w:szCs w:val="22"/>
        </w:rPr>
        <w:t>las entidades federativas, en el ámbito de sus respectivas competencias, se regirán por los siguientes principios y bases:</w:t>
      </w:r>
    </w:p>
    <w:p w14:paraId="596A956B" w14:textId="77777777" w:rsidR="00C049E2" w:rsidRPr="005B73E3" w:rsidRDefault="00C049E2" w:rsidP="005B73E3">
      <w:pPr>
        <w:spacing w:line="240" w:lineRule="auto"/>
        <w:ind w:left="567" w:right="539"/>
        <w:rPr>
          <w:rFonts w:eastAsia="Palatino Linotype"/>
          <w:i/>
          <w:szCs w:val="22"/>
        </w:rPr>
      </w:pPr>
      <w:r w:rsidRPr="005B73E3">
        <w:rPr>
          <w:rFonts w:eastAsia="Palatino Linotype"/>
          <w:b/>
          <w:i/>
          <w:szCs w:val="22"/>
        </w:rPr>
        <w:t xml:space="preserve">I. </w:t>
      </w:r>
      <w:r w:rsidRPr="005B73E3">
        <w:rPr>
          <w:rFonts w:eastAsia="Palatino Linotype"/>
          <w:b/>
          <w:i/>
          <w:szCs w:val="22"/>
        </w:rPr>
        <w:tab/>
        <w:t>Toda la información en posesión de cualquier</w:t>
      </w:r>
      <w:r w:rsidRPr="005B73E3">
        <w:rPr>
          <w:rFonts w:eastAsia="Palatino Linotype"/>
          <w:i/>
          <w:szCs w:val="22"/>
        </w:rPr>
        <w:t xml:space="preserve"> </w:t>
      </w:r>
      <w:r w:rsidRPr="005B73E3">
        <w:rPr>
          <w:rFonts w:eastAsia="Palatino Linotype"/>
          <w:b/>
          <w:i/>
          <w:szCs w:val="22"/>
        </w:rPr>
        <w:t>autoridad</w:t>
      </w:r>
      <w:r w:rsidRPr="005B73E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73E3">
        <w:rPr>
          <w:rFonts w:eastAsia="Palatino Linotype"/>
          <w:b/>
          <w:i/>
          <w:szCs w:val="22"/>
        </w:rPr>
        <w:t>municipal</w:t>
      </w:r>
      <w:r w:rsidRPr="005B73E3">
        <w:rPr>
          <w:rFonts w:eastAsia="Palatino Linotype"/>
          <w:i/>
          <w:szCs w:val="22"/>
        </w:rPr>
        <w:t xml:space="preserve">, </w:t>
      </w:r>
      <w:r w:rsidRPr="005B73E3">
        <w:rPr>
          <w:rFonts w:eastAsia="Palatino Linotype"/>
          <w:b/>
          <w:i/>
          <w:szCs w:val="22"/>
        </w:rPr>
        <w:t>es pública</w:t>
      </w:r>
      <w:r w:rsidRPr="005B73E3">
        <w:rPr>
          <w:rFonts w:eastAsia="Palatino Linotype"/>
          <w:i/>
          <w:szCs w:val="22"/>
        </w:rPr>
        <w:t xml:space="preserve"> y sólo podrá ser reservada temporalmente por razones de interés público y seguridad nacional, en los términos que fijen las leyes. </w:t>
      </w:r>
      <w:r w:rsidRPr="005B73E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5B73E3">
        <w:rPr>
          <w:rFonts w:eastAsia="Palatino Linotype"/>
          <w:i/>
          <w:szCs w:val="22"/>
        </w:rPr>
        <w:t>, la ley determinará los supuestos específicos bajo los cuales procederá la declaración de inexistencia de la información.”</w:t>
      </w:r>
    </w:p>
    <w:p w14:paraId="68F313E4" w14:textId="77777777" w:rsidR="00C049E2" w:rsidRPr="005B73E3" w:rsidRDefault="00C049E2" w:rsidP="005B73E3">
      <w:pPr>
        <w:spacing w:line="240" w:lineRule="auto"/>
        <w:ind w:left="567" w:right="539"/>
        <w:rPr>
          <w:rFonts w:eastAsia="Palatino Linotype"/>
          <w:b/>
          <w:i/>
          <w:szCs w:val="22"/>
        </w:rPr>
      </w:pPr>
    </w:p>
    <w:p w14:paraId="504F12DB" w14:textId="77777777" w:rsidR="00C049E2" w:rsidRPr="005B73E3" w:rsidRDefault="00C049E2" w:rsidP="005B73E3">
      <w:pPr>
        <w:spacing w:line="240" w:lineRule="auto"/>
        <w:ind w:left="567" w:right="539"/>
        <w:rPr>
          <w:rFonts w:eastAsia="Palatino Linotype"/>
          <w:b/>
          <w:i/>
          <w:szCs w:val="22"/>
        </w:rPr>
      </w:pPr>
      <w:r w:rsidRPr="005B73E3">
        <w:rPr>
          <w:rFonts w:eastAsia="Palatino Linotype"/>
          <w:b/>
          <w:i/>
          <w:szCs w:val="22"/>
        </w:rPr>
        <w:t>Constitución Política del Estado Libre y Soberano de México</w:t>
      </w:r>
    </w:p>
    <w:p w14:paraId="04932D29" w14:textId="77777777" w:rsidR="00C049E2" w:rsidRPr="005B73E3" w:rsidRDefault="00C049E2" w:rsidP="005B73E3">
      <w:pPr>
        <w:spacing w:line="240" w:lineRule="auto"/>
        <w:ind w:left="567" w:right="539"/>
        <w:rPr>
          <w:rFonts w:eastAsia="Palatino Linotype"/>
          <w:i/>
          <w:szCs w:val="22"/>
        </w:rPr>
      </w:pPr>
      <w:r w:rsidRPr="005B73E3">
        <w:rPr>
          <w:rFonts w:eastAsia="Palatino Linotype"/>
          <w:b/>
          <w:i/>
          <w:szCs w:val="22"/>
        </w:rPr>
        <w:t>“Artículo 5</w:t>
      </w:r>
      <w:r w:rsidRPr="005B73E3">
        <w:rPr>
          <w:rFonts w:eastAsia="Palatino Linotype"/>
          <w:i/>
          <w:szCs w:val="22"/>
        </w:rPr>
        <w:t xml:space="preserve">.- </w:t>
      </w:r>
    </w:p>
    <w:p w14:paraId="1D3829F4" w14:textId="77777777" w:rsidR="00C049E2" w:rsidRPr="005B73E3" w:rsidRDefault="00C049E2" w:rsidP="005B73E3">
      <w:pPr>
        <w:spacing w:line="240" w:lineRule="auto"/>
        <w:ind w:left="567" w:right="539"/>
        <w:rPr>
          <w:rFonts w:eastAsia="Palatino Linotype"/>
          <w:i/>
          <w:szCs w:val="22"/>
        </w:rPr>
      </w:pPr>
      <w:r w:rsidRPr="005B73E3">
        <w:rPr>
          <w:rFonts w:eastAsia="Palatino Linotype"/>
          <w:i/>
          <w:szCs w:val="22"/>
        </w:rPr>
        <w:t>(…)</w:t>
      </w:r>
    </w:p>
    <w:p w14:paraId="0EAE47FD" w14:textId="77777777" w:rsidR="00C049E2" w:rsidRPr="005B73E3" w:rsidRDefault="00C049E2" w:rsidP="005B73E3">
      <w:pPr>
        <w:spacing w:line="240" w:lineRule="auto"/>
        <w:ind w:left="567" w:right="539"/>
        <w:rPr>
          <w:rFonts w:eastAsia="Palatino Linotype"/>
          <w:i/>
          <w:szCs w:val="22"/>
        </w:rPr>
      </w:pPr>
      <w:r w:rsidRPr="005B73E3">
        <w:rPr>
          <w:rFonts w:eastAsia="Palatino Linotype"/>
          <w:b/>
          <w:i/>
          <w:szCs w:val="22"/>
        </w:rPr>
        <w:t>El derecho a la información será garantizado por el Estado. La ley establecerá las previsiones que permitan asegurar la protección, el respeto y la difusión de este derecho</w:t>
      </w:r>
      <w:r w:rsidRPr="005B73E3">
        <w:rPr>
          <w:rFonts w:eastAsia="Palatino Linotype"/>
          <w:i/>
          <w:szCs w:val="22"/>
        </w:rPr>
        <w:t>.</w:t>
      </w:r>
    </w:p>
    <w:p w14:paraId="4F0C804A" w14:textId="77777777" w:rsidR="00C049E2" w:rsidRPr="005B73E3" w:rsidRDefault="00C049E2" w:rsidP="005B73E3">
      <w:pPr>
        <w:spacing w:line="240" w:lineRule="auto"/>
        <w:ind w:left="567" w:right="539"/>
        <w:rPr>
          <w:rFonts w:eastAsia="Palatino Linotype"/>
          <w:i/>
          <w:szCs w:val="22"/>
        </w:rPr>
      </w:pPr>
      <w:r w:rsidRPr="005B73E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B73E3" w:rsidRDefault="00C049E2" w:rsidP="005B73E3">
      <w:pPr>
        <w:spacing w:line="240" w:lineRule="auto"/>
        <w:ind w:left="567" w:right="539"/>
        <w:rPr>
          <w:rFonts w:eastAsia="Palatino Linotype"/>
          <w:i/>
          <w:szCs w:val="22"/>
        </w:rPr>
      </w:pPr>
      <w:r w:rsidRPr="005B73E3">
        <w:rPr>
          <w:rFonts w:eastAsia="Palatino Linotype"/>
          <w:b/>
          <w:i/>
          <w:szCs w:val="22"/>
        </w:rPr>
        <w:t>Este derecho se regirá por los principios y bases siguientes</w:t>
      </w:r>
      <w:r w:rsidRPr="005B73E3">
        <w:rPr>
          <w:rFonts w:eastAsia="Palatino Linotype"/>
          <w:i/>
          <w:szCs w:val="22"/>
        </w:rPr>
        <w:t>:</w:t>
      </w:r>
    </w:p>
    <w:p w14:paraId="4A3E8CBA" w14:textId="77777777" w:rsidR="00C049E2" w:rsidRPr="005B73E3" w:rsidRDefault="00C049E2" w:rsidP="005B73E3">
      <w:pPr>
        <w:spacing w:line="240" w:lineRule="auto"/>
        <w:ind w:left="567" w:right="539"/>
        <w:rPr>
          <w:rFonts w:eastAsia="Palatino Linotype"/>
          <w:i/>
          <w:szCs w:val="22"/>
        </w:rPr>
      </w:pPr>
      <w:r w:rsidRPr="005B73E3">
        <w:rPr>
          <w:rFonts w:eastAsia="Palatino Linotype"/>
          <w:b/>
          <w:i/>
          <w:szCs w:val="22"/>
        </w:rPr>
        <w:lastRenderedPageBreak/>
        <w:t>I. Toda la información en posesión de cualquier autoridad, entidad, órgano y organismos de los</w:t>
      </w:r>
      <w:r w:rsidRPr="005B73E3">
        <w:rPr>
          <w:rFonts w:eastAsia="Palatino Linotype"/>
          <w:i/>
          <w:szCs w:val="22"/>
        </w:rPr>
        <w:t xml:space="preserve"> Poderes Ejecutivo, Legislativo y Judicial, órganos autónomos, partidos políticos, fideicomisos y fondos públicos estatales y </w:t>
      </w:r>
      <w:r w:rsidRPr="005B73E3">
        <w:rPr>
          <w:rFonts w:eastAsia="Palatino Linotype"/>
          <w:b/>
          <w:i/>
          <w:szCs w:val="22"/>
        </w:rPr>
        <w:t>municipales</w:t>
      </w:r>
      <w:r w:rsidRPr="005B73E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73E3">
        <w:rPr>
          <w:rFonts w:eastAsia="Palatino Linotype"/>
          <w:b/>
          <w:i/>
          <w:szCs w:val="22"/>
        </w:rPr>
        <w:t>es pública</w:t>
      </w:r>
      <w:r w:rsidRPr="005B73E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5B73E3">
        <w:rPr>
          <w:rFonts w:eastAsia="Palatino Linotype"/>
          <w:b/>
          <w:i/>
          <w:szCs w:val="22"/>
        </w:rPr>
        <w:t>En la interpretación de este derecho deberá prevalecer el principio de máxima publicidad</w:t>
      </w:r>
      <w:r w:rsidRPr="005B73E3">
        <w:rPr>
          <w:rFonts w:eastAsia="Palatino Linotype"/>
          <w:i/>
          <w:szCs w:val="22"/>
        </w:rPr>
        <w:t xml:space="preserve">. </w:t>
      </w:r>
      <w:r w:rsidRPr="005B73E3">
        <w:rPr>
          <w:rFonts w:eastAsia="Palatino Linotype"/>
          <w:b/>
          <w:i/>
          <w:szCs w:val="22"/>
        </w:rPr>
        <w:t>Los sujetos obligados deberán documentar todo acto que derive del ejercicio de sus facultades, competencias o funciones</w:t>
      </w:r>
      <w:r w:rsidRPr="005B73E3">
        <w:rPr>
          <w:rFonts w:eastAsia="Palatino Linotype"/>
          <w:i/>
          <w:szCs w:val="22"/>
        </w:rPr>
        <w:t>, la ley determinará los supuestos específicos bajo los cuales procederá la declaración de inexistencia de la información.”</w:t>
      </w:r>
    </w:p>
    <w:p w14:paraId="6FC1BB3B" w14:textId="3BF4A33D" w:rsidR="00C049E2" w:rsidRPr="005B73E3" w:rsidRDefault="00717E59" w:rsidP="005B73E3">
      <w:pPr>
        <w:rPr>
          <w:rFonts w:eastAsia="Palatino Linotype"/>
          <w:i/>
          <w:szCs w:val="22"/>
        </w:rPr>
      </w:pPr>
      <w:r w:rsidRPr="005B73E3">
        <w:rPr>
          <w:rFonts w:eastAsia="Palatino Linotype"/>
          <w:szCs w:val="22"/>
        </w:rPr>
        <w:t xml:space="preserve">Asimismo, </w:t>
      </w:r>
      <w:r w:rsidR="00C049E2" w:rsidRPr="005B73E3">
        <w:rPr>
          <w:rFonts w:eastAsia="Palatino Linotype"/>
          <w:szCs w:val="22"/>
        </w:rPr>
        <w:t>el artículo 150 de la Ley de Transparencia y Acceso a la Información Pública del Estado de México y Municipios</w:t>
      </w:r>
      <w:r w:rsidR="00057B2D" w:rsidRPr="005B73E3">
        <w:rPr>
          <w:rFonts w:eastAsia="Palatino Linotype"/>
          <w:szCs w:val="22"/>
        </w:rPr>
        <w:t xml:space="preserve"> </w:t>
      </w:r>
      <w:r w:rsidR="00E9335C" w:rsidRPr="005B73E3">
        <w:rPr>
          <w:rFonts w:eastAsia="Palatino Linotype"/>
          <w:szCs w:val="22"/>
        </w:rPr>
        <w:t xml:space="preserve">indica </w:t>
      </w:r>
      <w:r w:rsidR="00057B2D" w:rsidRPr="005B73E3">
        <w:rPr>
          <w:rFonts w:eastAsia="Palatino Linotype"/>
          <w:szCs w:val="22"/>
        </w:rPr>
        <w:t>que</w:t>
      </w:r>
      <w:r w:rsidR="00C049E2" w:rsidRPr="005B73E3">
        <w:rPr>
          <w:rFonts w:eastAsia="Palatino Linotype"/>
          <w:szCs w:val="22"/>
        </w:rPr>
        <w:t xml:space="preserve"> la solicitud es la garantía primaria del Derecho de Acceso a la Información, además, establece que se regirá </w:t>
      </w:r>
      <w:r w:rsidR="00C049E2" w:rsidRPr="005B73E3">
        <w:rPr>
          <w:rFonts w:eastAsia="Palatino Linotype"/>
          <w:i/>
          <w:szCs w:val="22"/>
        </w:rPr>
        <w:t>por los principios de simplicidad, rapidez</w:t>
      </w:r>
      <w:r w:rsidR="005F65B7" w:rsidRPr="005B73E3">
        <w:rPr>
          <w:rFonts w:eastAsia="Palatino Linotype"/>
          <w:i/>
          <w:szCs w:val="22"/>
        </w:rPr>
        <w:t>,</w:t>
      </w:r>
      <w:r w:rsidR="00C049E2" w:rsidRPr="005B73E3">
        <w:rPr>
          <w:rFonts w:eastAsia="Palatino Linotype"/>
          <w:i/>
          <w:szCs w:val="22"/>
        </w:rPr>
        <w:t xml:space="preserve"> gratuidad del procedimiento, auxilio y orientación a los particulare</w:t>
      </w:r>
      <w:r w:rsidR="001A58B3" w:rsidRPr="005B73E3">
        <w:rPr>
          <w:rFonts w:eastAsia="Palatino Linotype"/>
          <w:i/>
          <w:szCs w:val="22"/>
        </w:rPr>
        <w:t>s.</w:t>
      </w:r>
    </w:p>
    <w:p w14:paraId="033466A6" w14:textId="77777777" w:rsidR="001A58B3" w:rsidRPr="005B73E3" w:rsidRDefault="001A58B3" w:rsidP="005B73E3">
      <w:pPr>
        <w:rPr>
          <w:rFonts w:eastAsia="Palatino Linotype"/>
          <w:i/>
          <w:szCs w:val="22"/>
        </w:rPr>
      </w:pPr>
    </w:p>
    <w:p w14:paraId="04ADA10B" w14:textId="574A944A" w:rsidR="001A58B3" w:rsidRPr="005B73E3" w:rsidRDefault="00233F17" w:rsidP="005B73E3">
      <w:pPr>
        <w:rPr>
          <w:rFonts w:eastAsia="Palatino Linotype" w:cs="Palatino Linotype"/>
          <w:i/>
          <w:szCs w:val="22"/>
        </w:rPr>
      </w:pPr>
      <w:r w:rsidRPr="005B73E3">
        <w:rPr>
          <w:rFonts w:eastAsia="Palatino Linotype" w:cs="Palatino Linotype"/>
          <w:szCs w:val="22"/>
        </w:rPr>
        <w:t xml:space="preserve">Por su parte, el artículo 4 de </w:t>
      </w:r>
      <w:r w:rsidR="001A58B3" w:rsidRPr="005B73E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B73E3">
        <w:rPr>
          <w:rFonts w:eastAsia="Palatino Linotype" w:cs="Palatino Linotype"/>
          <w:szCs w:val="22"/>
        </w:rPr>
        <w:t>.</w:t>
      </w:r>
    </w:p>
    <w:p w14:paraId="1407DBB8" w14:textId="77777777" w:rsidR="001A58B3" w:rsidRPr="005B73E3" w:rsidRDefault="001A58B3" w:rsidP="005B73E3">
      <w:pPr>
        <w:rPr>
          <w:rFonts w:eastAsia="Palatino Linotype" w:cs="Palatino Linotype"/>
          <w:szCs w:val="22"/>
        </w:rPr>
      </w:pPr>
    </w:p>
    <w:p w14:paraId="7552AA79" w14:textId="5C52E4A4" w:rsidR="001A58B3" w:rsidRPr="005B73E3" w:rsidRDefault="001A58B3" w:rsidP="005B73E3">
      <w:pPr>
        <w:rPr>
          <w:rFonts w:eastAsia="Palatino Linotype" w:cs="Palatino Linotype"/>
          <w:szCs w:val="22"/>
        </w:rPr>
      </w:pPr>
      <w:r w:rsidRPr="005B73E3">
        <w:rPr>
          <w:rFonts w:eastAsia="Palatino Linotype" w:cs="Palatino Linotype"/>
          <w:szCs w:val="22"/>
        </w:rPr>
        <w:t xml:space="preserve">Esto es, que los Sujetos Obligados </w:t>
      </w:r>
      <w:r w:rsidR="00FA5957" w:rsidRPr="005B73E3">
        <w:rPr>
          <w:rFonts w:eastAsia="Palatino Linotype" w:cs="Palatino Linotype"/>
          <w:szCs w:val="22"/>
        </w:rPr>
        <w:t>deben</w:t>
      </w:r>
      <w:r w:rsidRPr="005B73E3">
        <w:rPr>
          <w:rFonts w:eastAsia="Palatino Linotype" w:cs="Palatino Linotype"/>
          <w:szCs w:val="22"/>
        </w:rPr>
        <w:t xml:space="preserve"> atender las solicitudes de acceso a la información pública que se les </w:t>
      </w:r>
      <w:r w:rsidR="00FA5957" w:rsidRPr="005B73E3">
        <w:rPr>
          <w:rFonts w:eastAsia="Palatino Linotype" w:cs="Palatino Linotype"/>
          <w:szCs w:val="22"/>
        </w:rPr>
        <w:t>sean realizadas,</w:t>
      </w:r>
      <w:r w:rsidRPr="005B73E3">
        <w:rPr>
          <w:rFonts w:eastAsia="Palatino Linotype" w:cs="Palatino Linotype"/>
          <w:szCs w:val="22"/>
        </w:rPr>
        <w:t xml:space="preserve"> y proporcionar la información pública que obre en su poder</w:t>
      </w:r>
      <w:r w:rsidR="00FA5957" w:rsidRPr="005B73E3">
        <w:rPr>
          <w:rFonts w:eastAsia="Palatino Linotype" w:cs="Palatino Linotype"/>
          <w:szCs w:val="22"/>
        </w:rPr>
        <w:t>,</w:t>
      </w:r>
      <w:r w:rsidRPr="005B73E3">
        <w:rPr>
          <w:rFonts w:eastAsia="Palatino Linotype" w:cs="Palatino Linotype"/>
          <w:szCs w:val="22"/>
        </w:rPr>
        <w:t xml:space="preserve"> conforme </w:t>
      </w:r>
      <w:r w:rsidR="00FA5957" w:rsidRPr="005B73E3">
        <w:rPr>
          <w:rFonts w:eastAsia="Palatino Linotype" w:cs="Palatino Linotype"/>
          <w:szCs w:val="22"/>
        </w:rPr>
        <w:t>a</w:t>
      </w:r>
      <w:r w:rsidRPr="005B73E3">
        <w:rPr>
          <w:rFonts w:eastAsia="Palatino Linotype" w:cs="Palatino Linotype"/>
          <w:szCs w:val="22"/>
        </w:rPr>
        <w:t xml:space="preserve">l estado </w:t>
      </w:r>
      <w:r w:rsidR="00FA5957" w:rsidRPr="005B73E3">
        <w:rPr>
          <w:rFonts w:eastAsia="Palatino Linotype" w:cs="Palatino Linotype"/>
          <w:szCs w:val="22"/>
        </w:rPr>
        <w:t xml:space="preserve">en </w:t>
      </w:r>
      <w:r w:rsidRPr="005B73E3">
        <w:rPr>
          <w:rFonts w:eastAsia="Palatino Linotype" w:cs="Palatino Linotype"/>
          <w:szCs w:val="22"/>
        </w:rPr>
        <w:t>que se encuentr</w:t>
      </w:r>
      <w:r w:rsidR="00FA5957" w:rsidRPr="005B73E3">
        <w:rPr>
          <w:rFonts w:eastAsia="Palatino Linotype" w:cs="Palatino Linotype"/>
          <w:szCs w:val="22"/>
        </w:rPr>
        <w:t>e, sin que sea necesario</w:t>
      </w:r>
      <w:r w:rsidRPr="005B73E3">
        <w:rPr>
          <w:rFonts w:eastAsia="Palatino Linotype" w:cs="Palatino Linotype"/>
          <w:szCs w:val="22"/>
        </w:rPr>
        <w:t xml:space="preserve"> </w:t>
      </w:r>
      <w:r w:rsidR="00FA5957" w:rsidRPr="005B73E3">
        <w:rPr>
          <w:rFonts w:eastAsia="Palatino Linotype" w:cs="Palatino Linotype"/>
          <w:szCs w:val="22"/>
        </w:rPr>
        <w:t>procesar</w:t>
      </w:r>
      <w:r w:rsidRPr="005B73E3">
        <w:rPr>
          <w:rFonts w:eastAsia="Palatino Linotype" w:cs="Palatino Linotype"/>
          <w:szCs w:val="22"/>
        </w:rPr>
        <w:t xml:space="preserve"> la misma, ni presentarla conforme al interés del solicitante; </w:t>
      </w:r>
      <w:r w:rsidR="00FA5957" w:rsidRPr="005B73E3">
        <w:rPr>
          <w:rFonts w:eastAsia="Palatino Linotype" w:cs="Palatino Linotype"/>
          <w:szCs w:val="22"/>
        </w:rPr>
        <w:t>tal y como</w:t>
      </w:r>
      <w:r w:rsidRPr="005B73E3">
        <w:rPr>
          <w:rFonts w:eastAsia="Palatino Linotype" w:cs="Palatino Linotype"/>
          <w:szCs w:val="22"/>
        </w:rPr>
        <w:t xml:space="preserve"> lo establece el artículo 12 de la Ley de Transparencia y Acceso a la Información Pública del Estado de México y Municipios</w:t>
      </w:r>
      <w:r w:rsidR="00970EB3" w:rsidRPr="005B73E3">
        <w:rPr>
          <w:rFonts w:eastAsia="Palatino Linotype" w:cs="Palatino Linotype"/>
          <w:szCs w:val="22"/>
        </w:rPr>
        <w:t>.</w:t>
      </w:r>
    </w:p>
    <w:p w14:paraId="73245195" w14:textId="77777777" w:rsidR="00970EB3" w:rsidRPr="005B73E3" w:rsidRDefault="00970EB3" w:rsidP="005B73E3">
      <w:pPr>
        <w:rPr>
          <w:rFonts w:eastAsia="Palatino Linotype" w:cs="Palatino Linotype"/>
          <w:szCs w:val="22"/>
        </w:rPr>
      </w:pPr>
    </w:p>
    <w:p w14:paraId="7F62D4DF" w14:textId="775730E1" w:rsidR="001A58B3" w:rsidRPr="005B73E3" w:rsidRDefault="001A58B3" w:rsidP="005B73E3">
      <w:pPr>
        <w:rPr>
          <w:rFonts w:eastAsia="Palatino Linotype" w:cs="Palatino Linotype"/>
          <w:szCs w:val="22"/>
        </w:rPr>
      </w:pPr>
      <w:r w:rsidRPr="005B73E3">
        <w:rPr>
          <w:rFonts w:eastAsia="Palatino Linotype" w:cs="Palatino Linotype"/>
          <w:szCs w:val="22"/>
        </w:rPr>
        <w:t>Es decir, que todo sujeto obligado que genere, recopile, administre, procese, archive, posea o conserven, son responsables de la misma</w:t>
      </w:r>
      <w:r w:rsidR="00970EB3" w:rsidRPr="005B73E3">
        <w:rPr>
          <w:rFonts w:eastAsia="Palatino Linotype" w:cs="Palatino Linotype"/>
          <w:szCs w:val="22"/>
        </w:rPr>
        <w:t>,</w:t>
      </w:r>
      <w:r w:rsidRPr="005B73E3">
        <w:rPr>
          <w:rFonts w:eastAsia="Palatino Linotype" w:cs="Palatino Linotype"/>
          <w:szCs w:val="22"/>
        </w:rPr>
        <w:t xml:space="preserve"> teniendo a su vez la obligación de proporcionar la </w:t>
      </w:r>
      <w:r w:rsidRPr="005B73E3">
        <w:rPr>
          <w:rFonts w:eastAsia="Palatino Linotype" w:cs="Palatino Linotype"/>
          <w:szCs w:val="22"/>
        </w:rPr>
        <w:lastRenderedPageBreak/>
        <w:t xml:space="preserve">información que se les requiera sin necesidad de resumirla, efectuar procedimientos para obtenerla, calcular </w:t>
      </w:r>
      <w:r w:rsidR="00970EB3" w:rsidRPr="005B73E3">
        <w:rPr>
          <w:rFonts w:eastAsia="Palatino Linotype" w:cs="Palatino Linotype"/>
          <w:szCs w:val="22"/>
        </w:rPr>
        <w:t>o</w:t>
      </w:r>
      <w:r w:rsidRPr="005B73E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B73E3" w:rsidRDefault="001A58B3" w:rsidP="005B73E3">
      <w:pPr>
        <w:rPr>
          <w:rFonts w:eastAsia="Palatino Linotype" w:cs="Palatino Linotype"/>
          <w:szCs w:val="22"/>
        </w:rPr>
      </w:pPr>
    </w:p>
    <w:p w14:paraId="04E42DFE" w14:textId="573F1198" w:rsidR="001A58B3" w:rsidRPr="005B73E3" w:rsidRDefault="001A58B3" w:rsidP="005B73E3">
      <w:pPr>
        <w:rPr>
          <w:rFonts w:eastAsia="Palatino Linotype" w:cs="Palatino Linotype"/>
          <w:szCs w:val="22"/>
        </w:rPr>
      </w:pPr>
      <w:r w:rsidRPr="005B73E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B73E3">
        <w:rPr>
          <w:rFonts w:eastAsia="Palatino Linotype" w:cs="Palatino Linotype"/>
          <w:szCs w:val="22"/>
        </w:rPr>
        <w:t>, s</w:t>
      </w:r>
      <w:r w:rsidRPr="005B73E3">
        <w:rPr>
          <w:rFonts w:eastAsia="Palatino Linotype" w:cs="Palatino Linotype"/>
          <w:szCs w:val="22"/>
        </w:rPr>
        <w:t xml:space="preserve">iempre y cuando no se trate de información reservada o </w:t>
      </w:r>
      <w:r w:rsidR="00331F35" w:rsidRPr="005B73E3">
        <w:rPr>
          <w:rFonts w:eastAsia="Palatino Linotype" w:cs="Palatino Linotype"/>
          <w:szCs w:val="22"/>
        </w:rPr>
        <w:t>confidencial.</w:t>
      </w:r>
    </w:p>
    <w:p w14:paraId="40C5219F" w14:textId="77777777" w:rsidR="001A58B3" w:rsidRPr="005B73E3" w:rsidRDefault="001A58B3" w:rsidP="005B73E3">
      <w:pPr>
        <w:rPr>
          <w:rFonts w:eastAsia="Palatino Linotype" w:cs="Palatino Linotype"/>
          <w:szCs w:val="22"/>
        </w:rPr>
      </w:pPr>
    </w:p>
    <w:p w14:paraId="51A0E8B4" w14:textId="676DCA47" w:rsidR="00664420" w:rsidRPr="005B73E3" w:rsidRDefault="00C71CEF" w:rsidP="005B73E3">
      <w:pPr>
        <w:pStyle w:val="Ttulo3"/>
        <w:rPr>
          <w:rFonts w:eastAsia="Calibri"/>
          <w:szCs w:val="22"/>
          <w:lang w:eastAsia="es-ES_tradnl"/>
        </w:rPr>
      </w:pPr>
      <w:bookmarkStart w:id="31" w:name="_heading=h.2s8eyo1" w:colFirst="0" w:colLast="0"/>
      <w:bookmarkStart w:id="32" w:name="_Toc174019539"/>
      <w:bookmarkEnd w:id="31"/>
      <w:r w:rsidRPr="005B73E3">
        <w:rPr>
          <w:rFonts w:eastAsia="Calibri"/>
          <w:szCs w:val="22"/>
          <w:lang w:eastAsia="es-ES_tradnl"/>
        </w:rPr>
        <w:t>b)</w:t>
      </w:r>
      <w:r w:rsidR="00A53315" w:rsidRPr="005B73E3">
        <w:rPr>
          <w:rFonts w:eastAsia="Calibri"/>
          <w:szCs w:val="22"/>
          <w:lang w:eastAsia="es-ES_tradnl"/>
        </w:rPr>
        <w:t xml:space="preserve"> </w:t>
      </w:r>
      <w:r w:rsidR="00A21A20" w:rsidRPr="005B73E3">
        <w:rPr>
          <w:rFonts w:eastAsia="Calibri"/>
          <w:szCs w:val="22"/>
          <w:lang w:eastAsia="es-ES_tradnl"/>
        </w:rPr>
        <w:t>Controversia a resolver</w:t>
      </w:r>
      <w:bookmarkEnd w:id="32"/>
    </w:p>
    <w:p w14:paraId="5DAE2A65" w14:textId="382C31A9" w:rsidR="00664420" w:rsidRPr="005B73E3" w:rsidRDefault="00664420" w:rsidP="005B73E3">
      <w:pPr>
        <w:rPr>
          <w:rFonts w:eastAsia="Calibri"/>
          <w:szCs w:val="22"/>
          <w:lang w:eastAsia="es-ES_tradnl"/>
        </w:rPr>
      </w:pPr>
      <w:r w:rsidRPr="005B73E3">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B73E3">
        <w:rPr>
          <w:rFonts w:eastAsia="Calibri"/>
          <w:b/>
          <w:bCs/>
          <w:szCs w:val="22"/>
          <w:lang w:eastAsia="es-ES_tradnl"/>
        </w:rPr>
        <w:t>LA PARTE RECURRENTE</w:t>
      </w:r>
      <w:r w:rsidRPr="005B73E3">
        <w:rPr>
          <w:rFonts w:eastAsia="Calibri"/>
          <w:szCs w:val="22"/>
          <w:lang w:eastAsia="es-ES_tradnl"/>
        </w:rPr>
        <w:t xml:space="preserve"> solicitó lo siguiente:</w:t>
      </w:r>
    </w:p>
    <w:p w14:paraId="6328D20E" w14:textId="4D080659" w:rsidR="00C70B3F" w:rsidRPr="005B73E3" w:rsidRDefault="00C70B3F" w:rsidP="005B73E3">
      <w:pPr>
        <w:tabs>
          <w:tab w:val="left" w:pos="4962"/>
        </w:tabs>
        <w:rPr>
          <w:rFonts w:cs="Tahoma"/>
          <w:bCs/>
          <w:iCs/>
          <w:szCs w:val="22"/>
        </w:rPr>
      </w:pPr>
    </w:p>
    <w:p w14:paraId="41B75643" w14:textId="24947322" w:rsidR="009D51A2" w:rsidRPr="005B73E3" w:rsidRDefault="00961F5C" w:rsidP="005B73E3">
      <w:pPr>
        <w:pStyle w:val="Prrafodelista"/>
        <w:numPr>
          <w:ilvl w:val="0"/>
          <w:numId w:val="45"/>
        </w:numPr>
        <w:tabs>
          <w:tab w:val="left" w:pos="4962"/>
        </w:tabs>
        <w:rPr>
          <w:rFonts w:cs="Tahoma"/>
          <w:bCs/>
          <w:iCs/>
          <w:szCs w:val="22"/>
        </w:rPr>
      </w:pPr>
      <w:r w:rsidRPr="005B73E3">
        <w:rPr>
          <w:rFonts w:cs="Tahoma"/>
          <w:bCs/>
          <w:iCs/>
          <w:szCs w:val="22"/>
        </w:rPr>
        <w:t>Los formatos del sistema de planeación y presupuestario (SPP)</w:t>
      </w:r>
      <w:r w:rsidR="00BB67A6" w:rsidRPr="005B73E3">
        <w:rPr>
          <w:rFonts w:cs="Tahoma"/>
          <w:bCs/>
          <w:iCs/>
          <w:szCs w:val="22"/>
        </w:rPr>
        <w:t>, desde e</w:t>
      </w:r>
      <w:r w:rsidRPr="005B73E3">
        <w:rPr>
          <w:rFonts w:cs="Tahoma"/>
          <w:bCs/>
          <w:iCs/>
          <w:szCs w:val="22"/>
        </w:rPr>
        <w:t xml:space="preserve">l anteproyecto y hasta su informe anual correspondiente al ejercicio fiscal 2023. </w:t>
      </w:r>
    </w:p>
    <w:p w14:paraId="00FB3F56" w14:textId="488C33F3" w:rsidR="00A53915" w:rsidRPr="005B73E3" w:rsidRDefault="009D51A2" w:rsidP="005B73E3">
      <w:pPr>
        <w:pStyle w:val="Prrafodelista"/>
        <w:numPr>
          <w:ilvl w:val="0"/>
          <w:numId w:val="45"/>
        </w:numPr>
        <w:tabs>
          <w:tab w:val="left" w:pos="4962"/>
        </w:tabs>
        <w:rPr>
          <w:rFonts w:cs="Tahoma"/>
          <w:bCs/>
          <w:iCs/>
          <w:szCs w:val="22"/>
        </w:rPr>
      </w:pPr>
      <w:r w:rsidRPr="005B73E3">
        <w:rPr>
          <w:rFonts w:cs="Tahoma"/>
          <w:bCs/>
          <w:iCs/>
          <w:szCs w:val="22"/>
        </w:rPr>
        <w:t>L</w:t>
      </w:r>
      <w:r w:rsidR="00961F5C" w:rsidRPr="005B73E3">
        <w:rPr>
          <w:rFonts w:cs="Tahoma"/>
          <w:bCs/>
          <w:iCs/>
          <w:szCs w:val="22"/>
        </w:rPr>
        <w:t>os formatos firmados y sellados en copia simple y formato digital de los siguientes: 01a, 02a, 04a, 04b, 09a,</w:t>
      </w:r>
      <w:r w:rsidRPr="005B73E3">
        <w:rPr>
          <w:rFonts w:cs="Tahoma"/>
          <w:bCs/>
          <w:iCs/>
          <w:szCs w:val="22"/>
        </w:rPr>
        <w:t xml:space="preserve"> </w:t>
      </w:r>
      <w:r w:rsidR="00961F5C" w:rsidRPr="005B73E3">
        <w:rPr>
          <w:rFonts w:cs="Tahoma"/>
          <w:bCs/>
          <w:iCs/>
          <w:szCs w:val="22"/>
        </w:rPr>
        <w:t>11a y 13a.</w:t>
      </w:r>
    </w:p>
    <w:p w14:paraId="25FADFA7" w14:textId="77777777" w:rsidR="00961F5C" w:rsidRPr="005B73E3" w:rsidRDefault="00961F5C" w:rsidP="005B73E3">
      <w:pPr>
        <w:tabs>
          <w:tab w:val="left" w:pos="4962"/>
        </w:tabs>
        <w:contextualSpacing/>
        <w:rPr>
          <w:rFonts w:cs="Tahoma"/>
          <w:bCs/>
          <w:iCs/>
          <w:szCs w:val="22"/>
        </w:rPr>
      </w:pPr>
    </w:p>
    <w:p w14:paraId="32BCEBA4" w14:textId="7E624B27" w:rsidR="000820ED" w:rsidRPr="005B73E3" w:rsidRDefault="00664420" w:rsidP="005B73E3">
      <w:pPr>
        <w:tabs>
          <w:tab w:val="left" w:pos="4962"/>
        </w:tabs>
        <w:contextualSpacing/>
        <w:rPr>
          <w:rFonts w:eastAsiaTheme="minorHAnsi" w:cs="Tahoma"/>
          <w:bCs/>
          <w:iCs/>
          <w:szCs w:val="22"/>
          <w:lang w:eastAsia="en-US"/>
        </w:rPr>
      </w:pPr>
      <w:r w:rsidRPr="005B73E3">
        <w:rPr>
          <w:rFonts w:eastAsiaTheme="minorHAnsi" w:cs="Tahoma"/>
          <w:bCs/>
          <w:iCs/>
          <w:szCs w:val="22"/>
          <w:lang w:eastAsia="en-US"/>
        </w:rPr>
        <w:t>En respuesta,</w:t>
      </w:r>
      <w:r w:rsidR="000820ED" w:rsidRPr="005B73E3">
        <w:rPr>
          <w:rFonts w:eastAsiaTheme="minorHAnsi" w:cs="Tahoma"/>
          <w:bCs/>
          <w:iCs/>
          <w:szCs w:val="22"/>
          <w:lang w:eastAsia="en-US"/>
        </w:rPr>
        <w:t xml:space="preserve"> conforme a las constancias que obran en</w:t>
      </w:r>
      <w:r w:rsidR="00837517" w:rsidRPr="005B73E3">
        <w:rPr>
          <w:rFonts w:eastAsiaTheme="minorHAnsi" w:cs="Tahoma"/>
          <w:bCs/>
          <w:iCs/>
          <w:szCs w:val="22"/>
          <w:lang w:eastAsia="en-US"/>
        </w:rPr>
        <w:t xml:space="preserve"> el</w:t>
      </w:r>
      <w:r w:rsidR="000820ED" w:rsidRPr="005B73E3">
        <w:rPr>
          <w:rFonts w:eastAsiaTheme="minorHAnsi" w:cs="Tahoma"/>
          <w:bCs/>
          <w:iCs/>
          <w:szCs w:val="22"/>
          <w:lang w:eastAsia="en-US"/>
        </w:rPr>
        <w:t xml:space="preserve"> </w:t>
      </w:r>
      <w:r w:rsidR="000820ED" w:rsidRPr="005B73E3">
        <w:rPr>
          <w:rFonts w:eastAsiaTheme="minorHAnsi" w:cs="Tahoma"/>
          <w:b/>
          <w:bCs/>
          <w:iCs/>
          <w:szCs w:val="22"/>
          <w:lang w:eastAsia="en-US"/>
        </w:rPr>
        <w:t>SAIMEX</w:t>
      </w:r>
      <w:r w:rsidR="000820ED" w:rsidRPr="005B73E3">
        <w:rPr>
          <w:rFonts w:eastAsiaTheme="minorHAnsi" w:cs="Tahoma"/>
          <w:bCs/>
          <w:iCs/>
          <w:szCs w:val="22"/>
          <w:lang w:eastAsia="en-US"/>
        </w:rPr>
        <w:t>,</w:t>
      </w:r>
      <w:r w:rsidRPr="005B73E3">
        <w:rPr>
          <w:rFonts w:eastAsiaTheme="minorHAnsi" w:cs="Tahoma"/>
          <w:bCs/>
          <w:iCs/>
          <w:szCs w:val="22"/>
          <w:lang w:eastAsia="en-US"/>
        </w:rPr>
        <w:t xml:space="preserve"> </w:t>
      </w:r>
      <w:r w:rsidR="005D5A50" w:rsidRPr="005B73E3">
        <w:rPr>
          <w:rFonts w:eastAsiaTheme="minorHAnsi" w:cs="Tahoma"/>
          <w:b/>
          <w:iCs/>
          <w:szCs w:val="22"/>
          <w:lang w:eastAsia="en-US"/>
        </w:rPr>
        <w:t>EL SUJETO OBLIGADO</w:t>
      </w:r>
      <w:r w:rsidRPr="005B73E3">
        <w:rPr>
          <w:rFonts w:eastAsiaTheme="minorHAnsi" w:cs="Tahoma"/>
          <w:bCs/>
          <w:iCs/>
          <w:szCs w:val="22"/>
          <w:lang w:eastAsia="en-US"/>
        </w:rPr>
        <w:t xml:space="preserve"> se pronunció </w:t>
      </w:r>
      <w:r w:rsidR="000820ED" w:rsidRPr="005B73E3">
        <w:rPr>
          <w:rFonts w:eastAsiaTheme="minorHAnsi" w:cs="Tahoma"/>
          <w:bCs/>
          <w:iCs/>
          <w:szCs w:val="22"/>
          <w:lang w:eastAsia="en-US"/>
        </w:rPr>
        <w:t>a través de</w:t>
      </w:r>
      <w:r w:rsidR="009D51A2" w:rsidRPr="005B73E3">
        <w:rPr>
          <w:rFonts w:eastAsiaTheme="minorHAnsi" w:cs="Tahoma"/>
          <w:bCs/>
          <w:iCs/>
          <w:szCs w:val="22"/>
          <w:lang w:eastAsia="en-US"/>
        </w:rPr>
        <w:t xml:space="preserve">l Titular de la Unidad de Transparencia, quién le manifestó que </w:t>
      </w:r>
      <w:r w:rsidR="009D51A2" w:rsidRPr="005B73E3">
        <w:rPr>
          <w:rFonts w:eastAsiaTheme="minorHAnsi" w:cs="Tahoma"/>
          <w:bCs/>
          <w:iCs/>
          <w:szCs w:val="22"/>
          <w:lang w:eastAsia="en-US"/>
        </w:rPr>
        <w:lastRenderedPageBreak/>
        <w:t>encontrará una respuesta su solicitud</w:t>
      </w:r>
      <w:r w:rsidR="00931CFA" w:rsidRPr="005B73E3">
        <w:rPr>
          <w:rFonts w:eastAsiaTheme="minorHAnsi" w:cs="Tahoma"/>
          <w:bCs/>
          <w:iCs/>
          <w:szCs w:val="22"/>
          <w:lang w:eastAsia="en-US"/>
        </w:rPr>
        <w:t>; sin embargo no se advierte documento alguno adjunto o respuesta en particular al respecto.</w:t>
      </w:r>
    </w:p>
    <w:p w14:paraId="366A4404" w14:textId="77777777" w:rsidR="00B93231" w:rsidRPr="005B73E3" w:rsidRDefault="00B93231" w:rsidP="005B73E3">
      <w:pPr>
        <w:rPr>
          <w:szCs w:val="22"/>
        </w:rPr>
      </w:pPr>
    </w:p>
    <w:p w14:paraId="570E4E2F" w14:textId="4EB61A3E" w:rsidR="00BC67B0" w:rsidRPr="005B73E3" w:rsidRDefault="00CF7586" w:rsidP="005B73E3">
      <w:pPr>
        <w:tabs>
          <w:tab w:val="left" w:pos="4962"/>
        </w:tabs>
        <w:contextualSpacing/>
        <w:rPr>
          <w:rFonts w:eastAsiaTheme="minorHAnsi" w:cs="Tahoma"/>
          <w:bCs/>
          <w:iCs/>
          <w:szCs w:val="22"/>
          <w:lang w:eastAsia="en-US"/>
        </w:rPr>
      </w:pPr>
      <w:r w:rsidRPr="005B73E3">
        <w:rPr>
          <w:rFonts w:eastAsiaTheme="minorHAnsi" w:cs="Tahoma"/>
          <w:bCs/>
          <w:iCs/>
          <w:szCs w:val="22"/>
          <w:lang w:eastAsia="en-US"/>
        </w:rPr>
        <w:t xml:space="preserve">Ahora bien, en la interposición del presente recurso </w:t>
      </w:r>
      <w:r w:rsidRPr="005B73E3">
        <w:rPr>
          <w:rFonts w:eastAsiaTheme="minorHAnsi" w:cs="Tahoma"/>
          <w:b/>
          <w:iCs/>
          <w:szCs w:val="22"/>
          <w:lang w:eastAsia="en-US"/>
        </w:rPr>
        <w:t>LA PARTE RECURRENTE</w:t>
      </w:r>
      <w:r w:rsidR="00664420" w:rsidRPr="005B73E3">
        <w:rPr>
          <w:rFonts w:eastAsiaTheme="minorHAnsi" w:cs="Tahoma"/>
          <w:bCs/>
          <w:iCs/>
          <w:szCs w:val="22"/>
          <w:lang w:eastAsia="en-US"/>
        </w:rPr>
        <w:t xml:space="preserve"> se inconformó de</w:t>
      </w:r>
      <w:r w:rsidR="00B03AB8" w:rsidRPr="005B73E3">
        <w:rPr>
          <w:rFonts w:eastAsiaTheme="minorHAnsi" w:cs="Tahoma"/>
          <w:bCs/>
          <w:iCs/>
          <w:szCs w:val="22"/>
          <w:lang w:eastAsia="en-US"/>
        </w:rPr>
        <w:t xml:space="preserve"> que </w:t>
      </w:r>
      <w:r w:rsidR="00787340" w:rsidRPr="005B73E3">
        <w:rPr>
          <w:rFonts w:eastAsiaTheme="minorHAnsi" w:cs="Tahoma"/>
          <w:b/>
          <w:bCs/>
          <w:iCs/>
          <w:szCs w:val="22"/>
          <w:lang w:eastAsia="en-US"/>
        </w:rPr>
        <w:t xml:space="preserve">EL SUJETO OBLIGADO </w:t>
      </w:r>
      <w:r w:rsidR="009D51A2" w:rsidRPr="005B73E3">
        <w:rPr>
          <w:rFonts w:eastAsiaTheme="minorHAnsi" w:cs="Tahoma"/>
          <w:bCs/>
          <w:iCs/>
          <w:szCs w:val="22"/>
          <w:lang w:eastAsia="en-US"/>
        </w:rPr>
        <w:t>simula la entrega de información solicitada y no hay tal entrega de información, por lo que se considera negativa al del derecho humano de acceso a la información.</w:t>
      </w:r>
    </w:p>
    <w:p w14:paraId="50DCD9C9" w14:textId="77777777" w:rsidR="009D51A2" w:rsidRPr="005B73E3" w:rsidRDefault="009D51A2" w:rsidP="005B73E3">
      <w:pPr>
        <w:tabs>
          <w:tab w:val="left" w:pos="4962"/>
        </w:tabs>
        <w:contextualSpacing/>
        <w:rPr>
          <w:rFonts w:eastAsiaTheme="minorHAnsi" w:cs="Tahoma"/>
          <w:bCs/>
          <w:iCs/>
          <w:szCs w:val="22"/>
          <w:lang w:eastAsia="en-US"/>
        </w:rPr>
      </w:pPr>
    </w:p>
    <w:p w14:paraId="1F20D7A0" w14:textId="598DA652" w:rsidR="00931CFA" w:rsidRPr="005B73E3" w:rsidRDefault="00BC67B0" w:rsidP="005B73E3">
      <w:pPr>
        <w:tabs>
          <w:tab w:val="left" w:pos="4962"/>
        </w:tabs>
        <w:rPr>
          <w:szCs w:val="22"/>
          <w:lang w:val="es-ES"/>
        </w:rPr>
      </w:pPr>
      <w:r w:rsidRPr="005B73E3">
        <w:rPr>
          <w:szCs w:val="22"/>
          <w:lang w:val="es-ES"/>
        </w:rPr>
        <w:t xml:space="preserve">Abierta la etapa de instrucción, </w:t>
      </w:r>
      <w:r w:rsidRPr="005B73E3">
        <w:rPr>
          <w:b/>
          <w:szCs w:val="22"/>
          <w:lang w:val="es-ES"/>
        </w:rPr>
        <w:t>EL SUJETO OBLIGADO</w:t>
      </w:r>
      <w:r w:rsidR="00787340" w:rsidRPr="005B73E3">
        <w:rPr>
          <w:szCs w:val="22"/>
          <w:lang w:val="es-ES"/>
        </w:rPr>
        <w:t xml:space="preserve"> </w:t>
      </w:r>
      <w:r w:rsidRPr="005B73E3">
        <w:rPr>
          <w:szCs w:val="22"/>
          <w:lang w:val="es-ES"/>
        </w:rPr>
        <w:t xml:space="preserve">rindió su Informe Justificado, </w:t>
      </w:r>
      <w:r w:rsidR="00931CFA" w:rsidRPr="005B73E3">
        <w:rPr>
          <w:szCs w:val="22"/>
          <w:lang w:val="es-ES"/>
        </w:rPr>
        <w:t xml:space="preserve">en el que informó que la información solicitada se encontraba en </w:t>
      </w:r>
      <w:r w:rsidR="00052100" w:rsidRPr="005B73E3">
        <w:rPr>
          <w:szCs w:val="22"/>
          <w:lang w:val="es-ES"/>
        </w:rPr>
        <w:t>unas ligas electrónicas</w:t>
      </w:r>
      <w:r w:rsidR="00931CFA" w:rsidRPr="005B73E3">
        <w:rPr>
          <w:szCs w:val="22"/>
          <w:lang w:val="es-ES"/>
        </w:rPr>
        <w:t xml:space="preserve"> que refirió.</w:t>
      </w:r>
    </w:p>
    <w:p w14:paraId="0285E3AA" w14:textId="77777777" w:rsidR="00931CFA" w:rsidRPr="005B73E3" w:rsidRDefault="00931CFA" w:rsidP="005B73E3">
      <w:pPr>
        <w:tabs>
          <w:tab w:val="left" w:pos="4962"/>
        </w:tabs>
        <w:rPr>
          <w:szCs w:val="22"/>
          <w:lang w:val="es-ES"/>
        </w:rPr>
      </w:pPr>
    </w:p>
    <w:p w14:paraId="2C7A9299" w14:textId="6B60F584" w:rsidR="00BC67B0" w:rsidRPr="005B73E3" w:rsidRDefault="00931CFA" w:rsidP="005B73E3">
      <w:pPr>
        <w:tabs>
          <w:tab w:val="left" w:pos="4962"/>
        </w:tabs>
        <w:rPr>
          <w:szCs w:val="22"/>
          <w:lang w:val="es-ES"/>
        </w:rPr>
      </w:pPr>
      <w:r w:rsidRPr="005B73E3">
        <w:rPr>
          <w:szCs w:val="22"/>
          <w:lang w:val="es-ES"/>
        </w:rPr>
        <w:t xml:space="preserve">Por su parte </w:t>
      </w:r>
      <w:r w:rsidR="00052100" w:rsidRPr="005B73E3">
        <w:rPr>
          <w:b/>
          <w:bCs/>
          <w:szCs w:val="22"/>
          <w:lang w:val="es-ES"/>
        </w:rPr>
        <w:t>LA PERSONA</w:t>
      </w:r>
      <w:r w:rsidR="00052100" w:rsidRPr="005B73E3">
        <w:rPr>
          <w:szCs w:val="22"/>
          <w:lang w:val="es-ES"/>
        </w:rPr>
        <w:t xml:space="preserve"> </w:t>
      </w:r>
      <w:r w:rsidR="00076EF6" w:rsidRPr="005B73E3">
        <w:rPr>
          <w:b/>
          <w:bCs/>
          <w:szCs w:val="22"/>
          <w:lang w:val="es-ES"/>
        </w:rPr>
        <w:t>R</w:t>
      </w:r>
      <w:r w:rsidR="00787340" w:rsidRPr="005B73E3">
        <w:rPr>
          <w:b/>
          <w:szCs w:val="22"/>
          <w:lang w:val="es-ES"/>
        </w:rPr>
        <w:t xml:space="preserve">ECURRENTE </w:t>
      </w:r>
      <w:r w:rsidR="009D51A2" w:rsidRPr="005B73E3">
        <w:rPr>
          <w:szCs w:val="22"/>
          <w:lang w:val="es-ES"/>
        </w:rPr>
        <w:t xml:space="preserve">no </w:t>
      </w:r>
      <w:r w:rsidR="00787340" w:rsidRPr="005B73E3">
        <w:rPr>
          <w:szCs w:val="22"/>
          <w:lang w:val="es-ES"/>
        </w:rPr>
        <w:t>realizó manifestación alguna.</w:t>
      </w:r>
    </w:p>
    <w:p w14:paraId="54E09151" w14:textId="77777777" w:rsidR="00787340" w:rsidRPr="005B73E3" w:rsidRDefault="00787340" w:rsidP="005B73E3">
      <w:pPr>
        <w:tabs>
          <w:tab w:val="left" w:pos="4962"/>
        </w:tabs>
        <w:rPr>
          <w:szCs w:val="22"/>
          <w:lang w:val="es-ES"/>
        </w:rPr>
      </w:pPr>
    </w:p>
    <w:p w14:paraId="1435A67C" w14:textId="7CA14E7B" w:rsidR="001C1AE4" w:rsidRPr="005B73E3" w:rsidRDefault="001C1AE4" w:rsidP="005B73E3">
      <w:pPr>
        <w:rPr>
          <w:rFonts w:eastAsia="Palatino Linotype" w:cs="Palatino Linotype"/>
          <w:szCs w:val="22"/>
        </w:rPr>
      </w:pPr>
      <w:r w:rsidRPr="005B73E3">
        <w:rPr>
          <w:rFonts w:eastAsia="Palatino Linotype" w:cs="Palatino Linotype"/>
          <w:szCs w:val="22"/>
        </w:rPr>
        <w:t xml:space="preserve">Bajo las premisas anteriores, se concluye que la controversia a dilucidar en el presente medio de impugnación será </w:t>
      </w:r>
      <w:r w:rsidR="00EE1B1C" w:rsidRPr="005B73E3">
        <w:rPr>
          <w:rFonts w:eastAsia="Palatino Linotype" w:cs="Palatino Linotype"/>
          <w:b/>
          <w:szCs w:val="22"/>
        </w:rPr>
        <w:t xml:space="preserve">verificar si la </w:t>
      </w:r>
      <w:r w:rsidR="002B3577" w:rsidRPr="005B73E3">
        <w:rPr>
          <w:rFonts w:eastAsia="Palatino Linotype" w:cs="Palatino Linotype"/>
          <w:b/>
          <w:szCs w:val="22"/>
        </w:rPr>
        <w:t xml:space="preserve">información proporcionada en </w:t>
      </w:r>
      <w:r w:rsidR="00EE1B1C" w:rsidRPr="005B73E3">
        <w:rPr>
          <w:rFonts w:eastAsia="Palatino Linotype" w:cs="Palatino Linotype"/>
          <w:b/>
          <w:szCs w:val="22"/>
        </w:rPr>
        <w:t xml:space="preserve">respuesta </w:t>
      </w:r>
      <w:r w:rsidR="009D51A2" w:rsidRPr="005B73E3">
        <w:rPr>
          <w:rFonts w:eastAsia="Palatino Linotype" w:cs="Palatino Linotype"/>
          <w:b/>
          <w:szCs w:val="22"/>
        </w:rPr>
        <w:t xml:space="preserve">así como en el informe justificado </w:t>
      </w:r>
      <w:r w:rsidR="00EE1B1C" w:rsidRPr="005B73E3">
        <w:rPr>
          <w:rFonts w:eastAsia="Palatino Linotype" w:cs="Palatino Linotype"/>
          <w:b/>
          <w:szCs w:val="22"/>
        </w:rPr>
        <w:t xml:space="preserve">por </w:t>
      </w:r>
      <w:r w:rsidR="002B3577" w:rsidRPr="005B73E3">
        <w:rPr>
          <w:rFonts w:eastAsia="Palatino Linotype" w:cs="Palatino Linotype"/>
          <w:b/>
          <w:szCs w:val="22"/>
        </w:rPr>
        <w:t xml:space="preserve">EL SUJETO OBLIGADO </w:t>
      </w:r>
      <w:r w:rsidR="00EE1B1C" w:rsidRPr="005B73E3">
        <w:rPr>
          <w:rFonts w:eastAsia="Palatino Linotype" w:cs="Palatino Linotype"/>
          <w:b/>
          <w:szCs w:val="22"/>
        </w:rPr>
        <w:t xml:space="preserve">es adecuada y suficiente para satisfacer el derecho de acceso a la información pública </w:t>
      </w:r>
      <w:r w:rsidR="00EE1B1C" w:rsidRPr="005B73E3">
        <w:rPr>
          <w:rFonts w:eastAsia="Palatino Linotype" w:cs="Palatino Linotype"/>
          <w:szCs w:val="22"/>
        </w:rPr>
        <w:t xml:space="preserve">de </w:t>
      </w:r>
      <w:r w:rsidR="002B3577" w:rsidRPr="005B73E3">
        <w:rPr>
          <w:rFonts w:eastAsia="Palatino Linotype" w:cs="Palatino Linotype"/>
          <w:b/>
          <w:szCs w:val="22"/>
        </w:rPr>
        <w:t>LA PARTE RECURRENTE</w:t>
      </w:r>
      <w:r w:rsidRPr="005B73E3">
        <w:rPr>
          <w:rFonts w:eastAsia="Palatino Linotype" w:cs="Palatino Linotype"/>
          <w:szCs w:val="22"/>
        </w:rPr>
        <w:t>.</w:t>
      </w:r>
    </w:p>
    <w:p w14:paraId="2B9C19AB" w14:textId="77777777" w:rsidR="00EE1B1C" w:rsidRPr="005B73E3" w:rsidRDefault="00EE1B1C" w:rsidP="005B73E3">
      <w:pPr>
        <w:rPr>
          <w:rFonts w:eastAsia="Palatino Linotype" w:cs="Palatino Linotype"/>
          <w:szCs w:val="22"/>
        </w:rPr>
      </w:pPr>
    </w:p>
    <w:p w14:paraId="414FD2D5" w14:textId="702FC6A8" w:rsidR="00664420" w:rsidRPr="005B73E3" w:rsidRDefault="00A21A20" w:rsidP="005B73E3">
      <w:pPr>
        <w:pStyle w:val="Ttulo3"/>
        <w:rPr>
          <w:szCs w:val="22"/>
        </w:rPr>
      </w:pPr>
      <w:bookmarkStart w:id="33" w:name="_Toc174019540"/>
      <w:r w:rsidRPr="005B73E3">
        <w:rPr>
          <w:szCs w:val="22"/>
        </w:rPr>
        <w:t>c)</w:t>
      </w:r>
      <w:r w:rsidR="00664420" w:rsidRPr="005B73E3">
        <w:rPr>
          <w:szCs w:val="22"/>
        </w:rPr>
        <w:t xml:space="preserve"> </w:t>
      </w:r>
      <w:r w:rsidRPr="005B73E3">
        <w:rPr>
          <w:szCs w:val="22"/>
        </w:rPr>
        <w:t>Estudio de la controversia</w:t>
      </w:r>
      <w:bookmarkEnd w:id="33"/>
    </w:p>
    <w:p w14:paraId="4358AF9F" w14:textId="09C75B84" w:rsidR="00052100" w:rsidRPr="005B73E3" w:rsidRDefault="00052100" w:rsidP="005B73E3">
      <w:pPr>
        <w:pStyle w:val="Sinespaciado"/>
        <w:spacing w:line="360" w:lineRule="auto"/>
      </w:pPr>
      <w:r w:rsidRPr="005B73E3">
        <w:rPr>
          <w:rFonts w:cs="Arial"/>
        </w:rPr>
        <w:t xml:space="preserve">Primeramente, es importante señalar que si bien el particular indicó que deseaba recibir la información en </w:t>
      </w:r>
      <w:r w:rsidRPr="005B73E3">
        <w:rPr>
          <w:rFonts w:cs="Arial"/>
          <w:b/>
        </w:rPr>
        <w:t xml:space="preserve">copia simple </w:t>
      </w:r>
      <w:r w:rsidRPr="005B73E3">
        <w:rPr>
          <w:rFonts w:cs="Arial"/>
          <w:bCs/>
        </w:rPr>
        <w:t>respecto los formatos firmados y sellados correspondientes al PbRM01a, PbRM02a, PbRM04a, PbRM04b, PbRM09a, PbRM11a y PbRM13a, correspondiente al ejercicio fiscal 2023</w:t>
      </w:r>
      <w:r w:rsidRPr="005B73E3">
        <w:rPr>
          <w:rFonts w:cs="Arial"/>
        </w:rPr>
        <w:t xml:space="preserve">, también es que eligió también como modalidad de entrega vía </w:t>
      </w:r>
      <w:r w:rsidRPr="005B73E3">
        <w:rPr>
          <w:rFonts w:cs="Arial"/>
          <w:b/>
        </w:rPr>
        <w:t>SAIMEX</w:t>
      </w:r>
      <w:r w:rsidRPr="005B73E3">
        <w:rPr>
          <w:rFonts w:cs="Arial"/>
        </w:rPr>
        <w:t xml:space="preserve">, la cual se </w:t>
      </w:r>
      <w:r w:rsidRPr="005B73E3">
        <w:t xml:space="preserve">homologa a copias simples; ya que la impresión del archivo digital que se remita en cumplimiento de la resolución comparte la misma naturaleza de una copia simple, </w:t>
      </w:r>
      <w:r w:rsidRPr="005B73E3">
        <w:lastRenderedPageBreak/>
        <w:t xml:space="preserve">adicionalmente, la entrega de información vía </w:t>
      </w:r>
      <w:r w:rsidRPr="005B73E3">
        <w:rPr>
          <w:b/>
        </w:rPr>
        <w:t>SAIMEX</w:t>
      </w:r>
      <w:r w:rsidRPr="005B73E3">
        <w:t xml:space="preserve"> otorga el beneficio de disponer inmediata y gratuitamente de la información solicitada.</w:t>
      </w:r>
    </w:p>
    <w:p w14:paraId="7AED5B89" w14:textId="77777777" w:rsidR="003B1B3B" w:rsidRPr="005B73E3" w:rsidRDefault="003B1B3B" w:rsidP="005B73E3">
      <w:pPr>
        <w:tabs>
          <w:tab w:val="left" w:pos="709"/>
        </w:tabs>
        <w:spacing w:before="240" w:after="240"/>
        <w:contextualSpacing/>
        <w:rPr>
          <w:rFonts w:eastAsia="Palatino Linotype" w:cs="Palatino Linotype"/>
          <w:szCs w:val="22"/>
        </w:rPr>
      </w:pPr>
      <w:r w:rsidRPr="005B73E3">
        <w:rPr>
          <w:rFonts w:eastAsia="Palatino Linotype" w:cs="Palatino Linotype"/>
          <w:szCs w:val="22"/>
        </w:rPr>
        <w:t xml:space="preserve">En ese tenor, es conveniente analizar si la respuesta y la información remitida vía informe justificado del </w:t>
      </w:r>
      <w:r w:rsidRPr="005B73E3">
        <w:rPr>
          <w:rFonts w:eastAsia="Palatino Linotype" w:cs="Palatino Linotype"/>
          <w:b/>
          <w:szCs w:val="22"/>
        </w:rPr>
        <w:t>SUJETO OBLIGADO</w:t>
      </w:r>
      <w:r w:rsidRPr="005B73E3">
        <w:rPr>
          <w:rFonts w:eastAsia="Palatino Linotype" w:cs="Palatino Linotype"/>
          <w:szCs w:val="22"/>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EDD86C9" w14:textId="77777777" w:rsidR="003B1B3B" w:rsidRPr="005B73E3" w:rsidRDefault="003B1B3B" w:rsidP="005B73E3">
      <w:pPr>
        <w:pStyle w:val="Puesto"/>
        <w:rPr>
          <w:rFonts w:eastAsia="Palatino Linotype"/>
          <w:szCs w:val="22"/>
        </w:rPr>
      </w:pPr>
      <w:r w:rsidRPr="005B73E3">
        <w:rPr>
          <w:rFonts w:eastAsia="Palatino Linotype"/>
          <w:szCs w:val="22"/>
        </w:rPr>
        <w:t>“</w:t>
      </w:r>
      <w:r w:rsidRPr="005B73E3">
        <w:rPr>
          <w:rFonts w:eastAsia="Palatino Linotype"/>
          <w:b/>
          <w:szCs w:val="22"/>
        </w:rPr>
        <w:t>Artículo 4.</w:t>
      </w:r>
      <w:r w:rsidRPr="005B73E3">
        <w:rPr>
          <w:rFonts w:eastAsia="Palatino Linotype"/>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388BC24" w14:textId="77777777" w:rsidR="003B1B3B" w:rsidRPr="005B73E3" w:rsidRDefault="003B1B3B" w:rsidP="005B73E3">
      <w:pPr>
        <w:pStyle w:val="Puesto"/>
        <w:rPr>
          <w:rFonts w:eastAsia="Palatino Linotype"/>
          <w:szCs w:val="22"/>
        </w:rPr>
      </w:pPr>
      <w:r w:rsidRPr="005B73E3">
        <w:rPr>
          <w:rFonts w:eastAsia="Palatino Linotype"/>
          <w:b/>
          <w:szCs w:val="22"/>
        </w:rPr>
        <w:t>Toda la información generada, obtenida, adquirida, transformada, administrada o en posesión de los sujetos obligados es pública y accesible de manera permanente a cualquier persona</w:t>
      </w:r>
      <w:r w:rsidRPr="005B73E3">
        <w:rPr>
          <w:rFonts w:eastAsia="Palatino Linotype"/>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A672F0" w14:textId="77777777" w:rsidR="003B1B3B" w:rsidRPr="005B73E3" w:rsidRDefault="003B1B3B" w:rsidP="005B73E3">
      <w:pPr>
        <w:pStyle w:val="Puesto"/>
        <w:rPr>
          <w:rFonts w:eastAsia="Palatino Linotype"/>
          <w:szCs w:val="22"/>
        </w:rPr>
      </w:pPr>
      <w:r w:rsidRPr="005B73E3">
        <w:rPr>
          <w:rFonts w:eastAsia="Palatino Linotype"/>
          <w:b/>
          <w:szCs w:val="22"/>
        </w:rPr>
        <w:t>Los sujetos obligados deben poner en práctica, políticas y programas de acceso a la información que se apeguen a criterios de publicidad, veracidad, oportunidad, precisión y suficiencia en beneficio de los solicitantes</w:t>
      </w:r>
      <w:r w:rsidRPr="005B73E3">
        <w:rPr>
          <w:rFonts w:eastAsia="Palatino Linotype"/>
          <w:szCs w:val="22"/>
        </w:rPr>
        <w:t>.”(Sic)</w:t>
      </w:r>
    </w:p>
    <w:p w14:paraId="2F94546E" w14:textId="77777777" w:rsidR="003B1B3B" w:rsidRPr="005B73E3" w:rsidRDefault="003B1B3B" w:rsidP="005B73E3">
      <w:pPr>
        <w:spacing w:before="240" w:after="240"/>
        <w:ind w:left="709" w:right="760"/>
        <w:contextualSpacing/>
        <w:rPr>
          <w:rFonts w:eastAsia="Palatino Linotype" w:cs="Palatino Linotype"/>
          <w:szCs w:val="22"/>
        </w:rPr>
      </w:pPr>
    </w:p>
    <w:p w14:paraId="6877C185"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w:t>
      </w:r>
      <w:r w:rsidRPr="005B73E3">
        <w:rPr>
          <w:rFonts w:eastAsia="Palatino Linotype" w:cs="Palatino Linotype"/>
          <w:szCs w:val="22"/>
        </w:rPr>
        <w:lastRenderedPageBreak/>
        <w:t>y no hacer un procesamiento de la misma, ni presentarla conforme al interés del solicitante; como así lo establece el artículo 12 de la Ley de Transparencia y Acceso a la Información Pública del Estado de México y Municipios, el cual a la letra dice:</w:t>
      </w:r>
    </w:p>
    <w:p w14:paraId="5548090C" w14:textId="77777777" w:rsidR="003B1B3B" w:rsidRPr="005B73E3" w:rsidRDefault="003B1B3B" w:rsidP="005B73E3">
      <w:pPr>
        <w:pStyle w:val="Puesto"/>
        <w:rPr>
          <w:rFonts w:eastAsia="Palatino Linotype"/>
          <w:szCs w:val="22"/>
        </w:rPr>
      </w:pPr>
      <w:r w:rsidRPr="005B73E3">
        <w:rPr>
          <w:rFonts w:eastAsia="Palatino Linotype"/>
          <w:szCs w:val="22"/>
        </w:rPr>
        <w:t>“</w:t>
      </w:r>
      <w:r w:rsidRPr="005B73E3">
        <w:rPr>
          <w:rFonts w:eastAsia="Palatino Linotype"/>
          <w:b/>
          <w:szCs w:val="22"/>
        </w:rPr>
        <w:t>Artículo 12.-</w:t>
      </w:r>
      <w:r w:rsidRPr="005B73E3">
        <w:rPr>
          <w:rFonts w:eastAsia="Palatino Linotype"/>
          <w:szCs w:val="22"/>
        </w:rPr>
        <w:t xml:space="preserve"> Quienes generen, recopilen, administren, manejen, procesen, archiven o conserven información pública serán responsables de la misma en los términos de las disposiciones jurídicas aplicables. </w:t>
      </w:r>
    </w:p>
    <w:p w14:paraId="478FE342" w14:textId="77777777" w:rsidR="003B1B3B" w:rsidRPr="005B73E3" w:rsidRDefault="003B1B3B" w:rsidP="005B73E3">
      <w:pPr>
        <w:pStyle w:val="Puesto"/>
        <w:rPr>
          <w:rFonts w:eastAsia="Palatino Linotype"/>
          <w:szCs w:val="22"/>
        </w:rPr>
      </w:pPr>
    </w:p>
    <w:p w14:paraId="760E22E8" w14:textId="77777777" w:rsidR="003B1B3B" w:rsidRPr="005B73E3" w:rsidRDefault="003B1B3B" w:rsidP="005B73E3">
      <w:pPr>
        <w:pStyle w:val="Puesto"/>
        <w:rPr>
          <w:rFonts w:eastAsia="Palatino Linotype"/>
          <w:szCs w:val="22"/>
        </w:rPr>
      </w:pPr>
      <w:r w:rsidRPr="005B73E3">
        <w:rPr>
          <w:rFonts w:eastAsia="Palatino Linotype"/>
          <w:b/>
          <w:szCs w:val="22"/>
        </w:rPr>
        <w:t>Los sujetos obligados sólo proporcionarán la información pública que se les requiera y que obre en sus archivos y en el estado en que ésta se encuentre</w:t>
      </w:r>
      <w:r w:rsidRPr="005B73E3">
        <w:rPr>
          <w:rFonts w:eastAsia="Palatino Linotype"/>
          <w:szCs w:val="22"/>
        </w:rPr>
        <w:t xml:space="preserve">. </w:t>
      </w:r>
      <w:r w:rsidRPr="005B73E3">
        <w:rPr>
          <w:rFonts w:eastAsia="Palatino Linotype"/>
          <w:b/>
          <w:szCs w:val="22"/>
        </w:rPr>
        <w:t>La obligación de proporcionar información no comprende el procesamiento de la misma, ni el presentarla conforme al interés del solicitante; no estarán obligados a generarla, resumirla, efectuar cálculos o practicar investigaciones.” (Sic)</w:t>
      </w:r>
    </w:p>
    <w:p w14:paraId="175E0682" w14:textId="77777777" w:rsidR="003B1B3B" w:rsidRPr="005B73E3" w:rsidRDefault="003B1B3B" w:rsidP="005B73E3">
      <w:pPr>
        <w:spacing w:before="240" w:after="240"/>
        <w:contextualSpacing/>
        <w:rPr>
          <w:rFonts w:eastAsia="Palatino Linotype" w:cs="Palatino Linotype"/>
          <w:szCs w:val="22"/>
        </w:rPr>
      </w:pPr>
    </w:p>
    <w:p w14:paraId="0D2C762E"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5B73E3">
        <w:rPr>
          <w:rFonts w:eastAsia="Palatino Linotype" w:cs="Palatino Linotype"/>
          <w:strike/>
          <w:szCs w:val="22"/>
        </w:rPr>
        <w:t xml:space="preserve"> </w:t>
      </w:r>
    </w:p>
    <w:p w14:paraId="7DBE8B17" w14:textId="77777777" w:rsidR="003B1B3B" w:rsidRPr="005B73E3" w:rsidRDefault="003B1B3B" w:rsidP="005B73E3">
      <w:pPr>
        <w:spacing w:before="240" w:after="240"/>
        <w:contextualSpacing/>
        <w:rPr>
          <w:rFonts w:eastAsia="Palatino Linotype" w:cs="Palatino Linotype"/>
          <w:szCs w:val="22"/>
        </w:rPr>
      </w:pPr>
    </w:p>
    <w:p w14:paraId="11EADD08" w14:textId="77777777" w:rsidR="003B1B3B" w:rsidRPr="005B73E3" w:rsidRDefault="003B1B3B" w:rsidP="005B73E3">
      <w:pPr>
        <w:spacing w:before="240" w:after="240"/>
        <w:ind w:right="49"/>
        <w:contextualSpacing/>
        <w:rPr>
          <w:rFonts w:eastAsia="Palatino Linotype" w:cs="Palatino Linotype"/>
          <w:szCs w:val="22"/>
        </w:rPr>
      </w:pPr>
      <w:r w:rsidRPr="005B73E3">
        <w:rPr>
          <w:rFonts w:eastAsia="Palatino Linotype" w:cs="Palatino Linotype"/>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2E3021" w14:textId="77777777" w:rsidR="003B1B3B" w:rsidRPr="005B73E3" w:rsidRDefault="003B1B3B" w:rsidP="005B73E3">
      <w:pPr>
        <w:spacing w:before="240" w:after="240"/>
        <w:ind w:right="49"/>
        <w:contextualSpacing/>
        <w:rPr>
          <w:rFonts w:eastAsia="Palatino Linotype" w:cs="Palatino Linotype"/>
          <w:szCs w:val="22"/>
        </w:rPr>
      </w:pPr>
    </w:p>
    <w:p w14:paraId="58F952FB"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 xml:space="preserve">Por otra parte, conviene mencionar que la Ley de Transparencia vigente en el Estado de México refiere: </w:t>
      </w:r>
    </w:p>
    <w:p w14:paraId="14D9DA8B" w14:textId="77777777" w:rsidR="003B1B3B" w:rsidRPr="005B73E3" w:rsidRDefault="003B1B3B" w:rsidP="005B73E3">
      <w:pPr>
        <w:pStyle w:val="Puesto"/>
        <w:rPr>
          <w:rFonts w:eastAsia="Palatino Linotype"/>
          <w:szCs w:val="22"/>
        </w:rPr>
      </w:pPr>
      <w:r w:rsidRPr="005B73E3">
        <w:rPr>
          <w:rFonts w:eastAsia="Palatino Linotype"/>
          <w:szCs w:val="22"/>
        </w:rPr>
        <w:lastRenderedPageBreak/>
        <w:t>“</w:t>
      </w:r>
      <w:r w:rsidRPr="005B73E3">
        <w:rPr>
          <w:rFonts w:eastAsia="Palatino Linotype"/>
          <w:b/>
          <w:szCs w:val="22"/>
        </w:rPr>
        <w:t xml:space="preserve">Artículo 18. Los sujetos obligados deberán documentar todo acto que derive del ejercicio de sus facultades, </w:t>
      </w:r>
      <w:r w:rsidRPr="005B73E3">
        <w:rPr>
          <w:rFonts w:eastAsia="Palatino Linotype"/>
          <w:szCs w:val="22"/>
        </w:rPr>
        <w:t>competencias o funciones, considerando desde su origen la eventual publicidad y reutilización de la información que generen.</w:t>
      </w:r>
    </w:p>
    <w:p w14:paraId="04A1D58D" w14:textId="77777777" w:rsidR="003B1B3B" w:rsidRPr="005B73E3" w:rsidRDefault="003B1B3B" w:rsidP="005B73E3">
      <w:pPr>
        <w:pStyle w:val="Puesto"/>
        <w:rPr>
          <w:rFonts w:eastAsia="Palatino Linotype"/>
          <w:b/>
          <w:szCs w:val="22"/>
        </w:rPr>
      </w:pPr>
    </w:p>
    <w:p w14:paraId="4F8A2789" w14:textId="77777777" w:rsidR="003B1B3B" w:rsidRPr="005B73E3" w:rsidRDefault="003B1B3B" w:rsidP="005B73E3">
      <w:pPr>
        <w:pStyle w:val="Puesto"/>
        <w:rPr>
          <w:rFonts w:eastAsia="Palatino Linotype"/>
          <w:b/>
          <w:szCs w:val="22"/>
        </w:rPr>
      </w:pPr>
      <w:r w:rsidRPr="005B73E3">
        <w:rPr>
          <w:rFonts w:eastAsia="Palatino Linotype"/>
          <w:b/>
          <w:szCs w:val="22"/>
        </w:rPr>
        <w:t>Artículo 19. Se presume que la información debe existir si se refiere a las facultades, competencias y funciones que los ordenamientos jurídicos aplicables otorgan a los sujetos obligados.</w:t>
      </w:r>
    </w:p>
    <w:p w14:paraId="021B9E25" w14:textId="77777777" w:rsidR="003B1B3B" w:rsidRPr="005B73E3" w:rsidRDefault="003B1B3B" w:rsidP="005B73E3">
      <w:pPr>
        <w:pStyle w:val="Puesto"/>
        <w:rPr>
          <w:rFonts w:eastAsia="Palatino Linotype"/>
          <w:szCs w:val="22"/>
        </w:rPr>
      </w:pPr>
      <w:r w:rsidRPr="005B73E3">
        <w:rPr>
          <w:rFonts w:eastAsia="Palatino Linotype"/>
          <w:szCs w:val="22"/>
        </w:rPr>
        <w:t xml:space="preserve">En los casos en que ciertas facultades, competencias o funciones no se hayan ejercido, se debe motivar la respuesta en función de las causas que motiven tal circunstancia. </w:t>
      </w:r>
    </w:p>
    <w:p w14:paraId="788EB014" w14:textId="77777777" w:rsidR="003B1B3B" w:rsidRPr="005B73E3" w:rsidRDefault="003B1B3B" w:rsidP="005B73E3">
      <w:pPr>
        <w:pStyle w:val="Puesto"/>
        <w:rPr>
          <w:rFonts w:eastAsia="Palatino Linotype"/>
          <w:szCs w:val="22"/>
        </w:rPr>
      </w:pPr>
      <w:r w:rsidRPr="005B73E3">
        <w:rPr>
          <w:rFonts w:eastAsia="Palatino Linotype"/>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505E9C7" w14:textId="77777777" w:rsidR="003B1B3B" w:rsidRPr="005B73E3" w:rsidRDefault="003B1B3B" w:rsidP="005B73E3">
      <w:pPr>
        <w:pStyle w:val="Puesto"/>
        <w:rPr>
          <w:rFonts w:eastAsia="Palatino Linotype"/>
          <w:szCs w:val="22"/>
        </w:rPr>
      </w:pPr>
    </w:p>
    <w:p w14:paraId="1EE6411A"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25C32B4" w14:textId="77777777" w:rsidR="003B1B3B" w:rsidRPr="005B73E3" w:rsidRDefault="003B1B3B" w:rsidP="005B73E3">
      <w:pPr>
        <w:spacing w:before="240" w:after="240"/>
        <w:contextualSpacing/>
        <w:rPr>
          <w:rFonts w:eastAsia="Palatino Linotype" w:cs="Palatino Linotype"/>
          <w:szCs w:val="22"/>
        </w:rPr>
      </w:pPr>
    </w:p>
    <w:p w14:paraId="2611D5F8"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5B73E3">
        <w:rPr>
          <w:rFonts w:eastAsia="Palatino Linotype" w:cs="Palatino Linotype"/>
          <w:szCs w:val="22"/>
        </w:rPr>
        <w:lastRenderedPageBreak/>
        <w:t xml:space="preserve">sonoro, visual, electrónico, informático u holográfico de conformidad con el artículo 3, fracción XI de la Ley de la materia, el cual señala lo siguiente: </w:t>
      </w:r>
    </w:p>
    <w:p w14:paraId="154A55E1" w14:textId="77777777" w:rsidR="003B1B3B" w:rsidRPr="005B73E3" w:rsidRDefault="003B1B3B" w:rsidP="005B73E3">
      <w:pPr>
        <w:pStyle w:val="Puesto"/>
        <w:rPr>
          <w:rFonts w:eastAsia="Palatino Linotype"/>
          <w:szCs w:val="22"/>
        </w:rPr>
      </w:pPr>
      <w:r w:rsidRPr="005B73E3">
        <w:rPr>
          <w:rFonts w:eastAsia="Palatino Linotype"/>
          <w:szCs w:val="22"/>
        </w:rPr>
        <w:t>“</w:t>
      </w:r>
      <w:r w:rsidRPr="005B73E3">
        <w:rPr>
          <w:rFonts w:eastAsia="Palatino Linotype"/>
          <w:b/>
          <w:szCs w:val="22"/>
        </w:rPr>
        <w:t xml:space="preserve">Artículo 3. </w:t>
      </w:r>
      <w:r w:rsidRPr="005B73E3">
        <w:rPr>
          <w:rFonts w:eastAsia="Palatino Linotype"/>
          <w:szCs w:val="22"/>
        </w:rPr>
        <w:t>Para los efectos de la presente Ley se entenderá por:</w:t>
      </w:r>
    </w:p>
    <w:p w14:paraId="5FCD477E" w14:textId="77777777" w:rsidR="003B1B3B" w:rsidRPr="005B73E3" w:rsidRDefault="003B1B3B" w:rsidP="005B73E3">
      <w:pPr>
        <w:pStyle w:val="Puesto"/>
        <w:rPr>
          <w:rFonts w:eastAsia="Palatino Linotype"/>
          <w:szCs w:val="22"/>
        </w:rPr>
      </w:pPr>
      <w:r w:rsidRPr="005B73E3">
        <w:rPr>
          <w:rFonts w:eastAsia="Palatino Linotype"/>
          <w:szCs w:val="22"/>
        </w:rPr>
        <w:t>…</w:t>
      </w:r>
    </w:p>
    <w:p w14:paraId="613C93CC" w14:textId="77777777" w:rsidR="003B1B3B" w:rsidRPr="005B73E3" w:rsidRDefault="003B1B3B" w:rsidP="005B73E3">
      <w:pPr>
        <w:pStyle w:val="Puesto"/>
        <w:rPr>
          <w:rFonts w:eastAsia="Palatino Linotype"/>
          <w:szCs w:val="22"/>
        </w:rPr>
      </w:pPr>
      <w:r w:rsidRPr="005B73E3">
        <w:rPr>
          <w:rFonts w:eastAsia="Palatino Linotype"/>
          <w:b/>
          <w:szCs w:val="22"/>
        </w:rPr>
        <w:t>XI. Documento:</w:t>
      </w:r>
      <w:r w:rsidRPr="005B73E3">
        <w:rPr>
          <w:rFonts w:eastAsia="Palatino Linotype"/>
          <w:szCs w:val="22"/>
        </w:rPr>
        <w:t xml:space="preserve"> Los expedientes, reportes, estudios, actas</w:t>
      </w:r>
      <w:r w:rsidRPr="005B73E3">
        <w:rPr>
          <w:rFonts w:eastAsia="Palatino Linotype"/>
          <w:b/>
          <w:szCs w:val="22"/>
        </w:rPr>
        <w:t>,</w:t>
      </w:r>
      <w:r w:rsidRPr="005B73E3">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BFEEFF1" w14:textId="77777777" w:rsidR="003B1B3B" w:rsidRPr="005B73E3" w:rsidRDefault="003B1B3B" w:rsidP="005B73E3">
      <w:pPr>
        <w:spacing w:before="240" w:after="240"/>
        <w:ind w:left="851" w:right="899"/>
        <w:contextualSpacing/>
        <w:rPr>
          <w:rFonts w:eastAsia="Palatino Linotype" w:cs="Palatino Linotype"/>
          <w:szCs w:val="22"/>
        </w:rPr>
      </w:pPr>
    </w:p>
    <w:p w14:paraId="2E47F3E7"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964A86E" w14:textId="77777777" w:rsidR="003B1B3B" w:rsidRPr="005B73E3" w:rsidRDefault="003B1B3B" w:rsidP="005B73E3">
      <w:pPr>
        <w:pStyle w:val="Puesto"/>
        <w:rPr>
          <w:rFonts w:eastAsia="Palatino Linotype"/>
          <w:b/>
          <w:szCs w:val="22"/>
        </w:rPr>
      </w:pPr>
      <w:r w:rsidRPr="005B73E3">
        <w:rPr>
          <w:rFonts w:eastAsia="Palatino Linotype"/>
          <w:szCs w:val="22"/>
        </w:rPr>
        <w:t>“</w:t>
      </w:r>
      <w:r w:rsidRPr="005B73E3">
        <w:rPr>
          <w:rFonts w:eastAsia="Palatino Linotype"/>
          <w:b/>
          <w:szCs w:val="22"/>
        </w:rPr>
        <w:t>CRITERIO 0002-11</w:t>
      </w:r>
    </w:p>
    <w:p w14:paraId="459E50B0" w14:textId="77777777" w:rsidR="003B1B3B" w:rsidRPr="005B73E3" w:rsidRDefault="003B1B3B" w:rsidP="005B73E3">
      <w:pPr>
        <w:pStyle w:val="Puesto"/>
        <w:rPr>
          <w:rFonts w:eastAsia="Palatino Linotype"/>
          <w:szCs w:val="22"/>
        </w:rPr>
      </w:pPr>
      <w:r w:rsidRPr="005B73E3">
        <w:rPr>
          <w:rFonts w:eastAsia="Palatino Linotype"/>
          <w:b/>
          <w:szCs w:val="22"/>
        </w:rPr>
        <w:t>INFORMACIÓN PÚBLICA, CONCEPTO DE, EN MATERIA DE TRANSPARENCIA. INTERPRETACIÓN SISTEMÁTICA DE LOS ARTÍCULOS 2°, FRACCIÓN V, XV, Y XVI, 3°, 4°, 11 Y 41.</w:t>
      </w:r>
      <w:r w:rsidRPr="005B73E3">
        <w:rPr>
          <w:rFonts w:eastAsia="Palatino Linotype"/>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58A49C6" w14:textId="77777777" w:rsidR="003B1B3B" w:rsidRPr="005B73E3" w:rsidRDefault="003B1B3B" w:rsidP="005B73E3">
      <w:pPr>
        <w:pStyle w:val="Puesto"/>
        <w:rPr>
          <w:rFonts w:eastAsia="Palatino Linotype"/>
          <w:szCs w:val="22"/>
        </w:rPr>
      </w:pPr>
      <w:r w:rsidRPr="005B73E3">
        <w:rPr>
          <w:rFonts w:eastAsia="Palatino Linotype"/>
          <w:szCs w:val="22"/>
        </w:rPr>
        <w:t>En consecuencia el acceso a la información se refiere a que se cumplan cualquiera de los siguientes tres supuestos:</w:t>
      </w:r>
    </w:p>
    <w:p w14:paraId="053D28F8" w14:textId="77777777" w:rsidR="003B1B3B" w:rsidRPr="005B73E3" w:rsidRDefault="003B1B3B" w:rsidP="005B73E3">
      <w:pPr>
        <w:pStyle w:val="Puesto"/>
        <w:rPr>
          <w:rFonts w:eastAsia="Palatino Linotype"/>
          <w:szCs w:val="22"/>
        </w:rPr>
      </w:pPr>
      <w:r w:rsidRPr="005B73E3">
        <w:rPr>
          <w:rFonts w:eastAsia="Palatino Linotype"/>
          <w:szCs w:val="22"/>
        </w:rPr>
        <w:t>1) Que se trate de información registrada en cualquier soporte documental, que en ejercicio de las atribuciones conferidas, sea generada por los Sujetos Obligados;</w:t>
      </w:r>
    </w:p>
    <w:p w14:paraId="1659651F" w14:textId="77777777" w:rsidR="003B1B3B" w:rsidRPr="005B73E3" w:rsidRDefault="003B1B3B" w:rsidP="005B73E3">
      <w:pPr>
        <w:pStyle w:val="Puesto"/>
        <w:rPr>
          <w:rFonts w:eastAsia="Palatino Linotype"/>
          <w:szCs w:val="22"/>
        </w:rPr>
      </w:pPr>
      <w:r w:rsidRPr="005B73E3">
        <w:rPr>
          <w:rFonts w:eastAsia="Palatino Linotype"/>
          <w:szCs w:val="22"/>
        </w:rPr>
        <w:t>2) Que se trate de información registrada en cualquier soporte documental, que en ejercicio de las atribuciones conferidas, sea administrada por los Sujetos Obligados, y</w:t>
      </w:r>
    </w:p>
    <w:p w14:paraId="7E89247C" w14:textId="77777777" w:rsidR="003B1B3B" w:rsidRPr="005B73E3" w:rsidRDefault="003B1B3B" w:rsidP="005B73E3">
      <w:pPr>
        <w:pStyle w:val="Puesto"/>
        <w:rPr>
          <w:rFonts w:eastAsia="Palatino Linotype"/>
          <w:szCs w:val="22"/>
        </w:rPr>
      </w:pPr>
      <w:r w:rsidRPr="005B73E3">
        <w:rPr>
          <w:rFonts w:eastAsia="Palatino Linotype"/>
          <w:szCs w:val="22"/>
        </w:rPr>
        <w:lastRenderedPageBreak/>
        <w:t xml:space="preserve">3) Que se trate de información registrada en cualquier soporte documental, que en ejercicio de las atribuciones conferidas, se encuentre en posesión de los Sujetos Obligados.” </w:t>
      </w:r>
    </w:p>
    <w:p w14:paraId="6E499B29" w14:textId="77777777" w:rsidR="003B1B3B" w:rsidRPr="005B73E3" w:rsidRDefault="003B1B3B" w:rsidP="005B73E3">
      <w:pPr>
        <w:spacing w:before="240" w:after="240" w:line="276" w:lineRule="auto"/>
        <w:ind w:left="851" w:right="902"/>
        <w:contextualSpacing/>
        <w:rPr>
          <w:rFonts w:eastAsia="Palatino Linotype" w:cs="Palatino Linotype"/>
          <w:szCs w:val="22"/>
        </w:rPr>
      </w:pPr>
    </w:p>
    <w:p w14:paraId="18D26650" w14:textId="77777777" w:rsidR="003B1B3B" w:rsidRPr="005B73E3" w:rsidRDefault="003B1B3B" w:rsidP="005B73E3">
      <w:pPr>
        <w:spacing w:before="240" w:after="240"/>
        <w:contextualSpacing/>
        <w:rPr>
          <w:rFonts w:eastAsia="Palatino Linotype" w:cs="Palatino Linotype"/>
          <w:szCs w:val="22"/>
        </w:rPr>
      </w:pPr>
      <w:r w:rsidRPr="005B73E3">
        <w:rPr>
          <w:rFonts w:eastAsia="Palatino Linotype" w:cs="Palatino Linotype"/>
          <w:szCs w:val="22"/>
        </w:rPr>
        <w:t xml:space="preserve">De ahí que </w:t>
      </w:r>
      <w:r w:rsidRPr="005B73E3">
        <w:rPr>
          <w:rFonts w:eastAsia="Palatino Linotype" w:cs="Palatino Linotype"/>
          <w:b/>
          <w:szCs w:val="22"/>
        </w:rPr>
        <w:t>EL SUJETO OBLIGADO</w:t>
      </w:r>
      <w:r w:rsidRPr="005B73E3">
        <w:rPr>
          <w:rFonts w:eastAsia="Palatino Linotype" w:cs="Palatino Linotype"/>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B73E3">
        <w:rPr>
          <w:rFonts w:eastAsia="Palatino Linotype" w:cs="Palatino Linotype"/>
          <w:szCs w:val="22"/>
          <w:vertAlign w:val="superscript"/>
        </w:rPr>
        <w:footnoteReference w:id="1"/>
      </w:r>
      <w:r w:rsidRPr="005B73E3">
        <w:rPr>
          <w:rFonts w:eastAsia="Palatino Linotype" w:cs="Palatino Linotype"/>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B73E3">
        <w:rPr>
          <w:rFonts w:eastAsia="Palatino Linotype" w:cs="Palatino Linotype"/>
          <w:szCs w:val="22"/>
          <w:vertAlign w:val="superscript"/>
        </w:rPr>
        <w:footnoteReference w:id="2"/>
      </w:r>
      <w:r w:rsidRPr="005B73E3">
        <w:rPr>
          <w:rFonts w:eastAsia="Palatino Linotype" w:cs="Palatino Linotype"/>
          <w:szCs w:val="22"/>
        </w:rPr>
        <w:t>, como pudiera tratarse de aquella relacionada con las obligaciones de transparencia señaladas en los artículos 92 de la Ley de la Materia.</w:t>
      </w:r>
    </w:p>
    <w:p w14:paraId="5AABCCA0" w14:textId="77777777" w:rsidR="003B1B3B" w:rsidRPr="005B73E3" w:rsidRDefault="003B1B3B" w:rsidP="005B73E3"/>
    <w:p w14:paraId="0BD5ED7F" w14:textId="025670EA" w:rsidR="003B1B3B" w:rsidRPr="005B73E3" w:rsidRDefault="003B1B3B" w:rsidP="005B73E3">
      <w:r w:rsidRPr="005B73E3">
        <w:t xml:space="preserve">Expuesto lo anterior, es importante referir que en el caso que nos ocupa </w:t>
      </w:r>
      <w:r w:rsidRPr="005B73E3">
        <w:rPr>
          <w:b/>
          <w:bCs/>
        </w:rPr>
        <w:t xml:space="preserve">EL SUJETO OBLIGADO </w:t>
      </w:r>
      <w:r w:rsidRPr="005B73E3">
        <w:t xml:space="preserve">desde un principio con la respuesta proporcionada asumió poseer la información peticionada por </w:t>
      </w:r>
      <w:r w:rsidRPr="005B73E3">
        <w:rPr>
          <w:b/>
          <w:bCs/>
        </w:rPr>
        <w:t xml:space="preserve">LA PARTE RECURRENTE </w:t>
      </w:r>
      <w:r w:rsidRPr="005B73E3">
        <w:t>hecho que ratificó mediante el informe justificado al referir que la información solicitada se encontraba en las ligas electrónicas que señaló.</w:t>
      </w:r>
    </w:p>
    <w:p w14:paraId="2904CCAC" w14:textId="77777777" w:rsidR="003B1B3B" w:rsidRPr="005B73E3" w:rsidRDefault="003B1B3B" w:rsidP="005B73E3"/>
    <w:p w14:paraId="382CAA6B" w14:textId="43EFFB41" w:rsidR="003B1B3B" w:rsidRPr="005B73E3" w:rsidRDefault="003B1B3B" w:rsidP="005B73E3">
      <w:r w:rsidRPr="005B73E3">
        <w:lastRenderedPageBreak/>
        <w:t>Es por ello, que en el presente fallo resulta innecesario el estudio de la naturaleza jurídica de la información peticionada por la persona solicitante.</w:t>
      </w:r>
    </w:p>
    <w:p w14:paraId="6886D00A" w14:textId="77777777" w:rsidR="00052100" w:rsidRPr="005B73E3" w:rsidRDefault="00052100" w:rsidP="005B73E3"/>
    <w:p w14:paraId="24928CBC" w14:textId="77777777" w:rsidR="003B1B3B" w:rsidRPr="005B73E3" w:rsidRDefault="003B1B3B" w:rsidP="005B73E3">
      <w:pPr>
        <w:spacing w:after="160"/>
      </w:pPr>
      <w:r w:rsidRPr="005B73E3">
        <w:t xml:space="preserve">Así se tiene que, </w:t>
      </w:r>
      <w:r w:rsidRPr="005B73E3">
        <w:rPr>
          <w:b/>
          <w:bCs/>
        </w:rPr>
        <w:t xml:space="preserve">EL SUJETO OBLIGADO </w:t>
      </w:r>
      <w:r w:rsidRPr="005B73E3">
        <w:t>se pronunció a cerca de la información peticionada y manifestó poseer la información requerida por la persona solicitante, al señalar lo siguiente:</w:t>
      </w:r>
    </w:p>
    <w:p w14:paraId="252DD52D" w14:textId="77777777" w:rsidR="003B1B3B" w:rsidRPr="005B73E3" w:rsidRDefault="003B1B3B" w:rsidP="005B73E3">
      <w:pPr>
        <w:spacing w:after="160"/>
        <w:ind w:left="567" w:right="539"/>
      </w:pPr>
      <w:r w:rsidRPr="005B73E3">
        <w:t>“…</w:t>
      </w:r>
      <w:r w:rsidRPr="005B73E3">
        <w:rPr>
          <w:i/>
          <w:iCs/>
        </w:rPr>
        <w:t>la información solicitada en las siguientes ligas electrónicas:</w:t>
      </w:r>
      <w:r w:rsidRPr="005B73E3">
        <w:t xml:space="preserve"> </w:t>
      </w:r>
    </w:p>
    <w:p w14:paraId="6A57E0C2" w14:textId="77777777" w:rsidR="003B1B3B" w:rsidRPr="005B73E3" w:rsidRDefault="003B1B3B" w:rsidP="005B73E3">
      <w:pPr>
        <w:spacing w:after="160"/>
        <w:ind w:left="567" w:right="539"/>
        <w:rPr>
          <w:i/>
          <w:iCs/>
        </w:rPr>
      </w:pPr>
      <w:r w:rsidRPr="005B73E3">
        <w:rPr>
          <w:i/>
          <w:iCs/>
        </w:rPr>
        <w:t xml:space="preserve">Formato </w:t>
      </w:r>
      <w:proofErr w:type="spellStart"/>
      <w:r w:rsidRPr="005B73E3">
        <w:rPr>
          <w:i/>
          <w:iCs/>
        </w:rPr>
        <w:t>PbRM</w:t>
      </w:r>
      <w:proofErr w:type="spellEnd"/>
      <w:r w:rsidRPr="005B73E3">
        <w:rPr>
          <w:i/>
          <w:iCs/>
        </w:rPr>
        <w:t xml:space="preserve"> 04a Presupuesto de Egresos Detallado: </w:t>
      </w:r>
      <w:hyperlink r:id="rId15" w:history="1">
        <w:r w:rsidRPr="005B73E3">
          <w:rPr>
            <w:rStyle w:val="Hipervnculo"/>
            <w:i/>
            <w:iCs/>
            <w:color w:val="auto"/>
          </w:rPr>
          <w:t>www.texcoco.gob.mx/Documentos/LGCC/Presupuesto/PRESUPUESTO_DE_EGRESOS_DETALLADO.pdf</w:t>
        </w:r>
      </w:hyperlink>
      <w:r w:rsidRPr="005B73E3">
        <w:rPr>
          <w:i/>
          <w:iCs/>
        </w:rPr>
        <w:t xml:space="preserve"> </w:t>
      </w:r>
    </w:p>
    <w:p w14:paraId="48566245" w14:textId="77777777" w:rsidR="003B1B3B" w:rsidRPr="005B73E3" w:rsidRDefault="003B1B3B" w:rsidP="005B73E3">
      <w:pPr>
        <w:spacing w:after="160"/>
        <w:ind w:left="567" w:right="539"/>
        <w:rPr>
          <w:i/>
          <w:iCs/>
        </w:rPr>
      </w:pPr>
      <w:r w:rsidRPr="005B73E3">
        <w:rPr>
          <w:i/>
          <w:iCs/>
        </w:rPr>
        <w:t xml:space="preserve">Formato </w:t>
      </w:r>
      <w:proofErr w:type="spellStart"/>
      <w:r w:rsidRPr="005B73E3">
        <w:rPr>
          <w:i/>
          <w:iCs/>
        </w:rPr>
        <w:t>PbRM</w:t>
      </w:r>
      <w:proofErr w:type="spellEnd"/>
      <w:r w:rsidRPr="005B73E3">
        <w:rPr>
          <w:i/>
          <w:iCs/>
        </w:rPr>
        <w:t xml:space="preserve"> 04b Presupuesto de Egresos por Objeto del gasto y dependencia general </w:t>
      </w:r>
      <w:proofErr w:type="spellStart"/>
      <w:r w:rsidRPr="005B73E3">
        <w:rPr>
          <w:i/>
          <w:iCs/>
        </w:rPr>
        <w:t>PbRM</w:t>
      </w:r>
      <w:proofErr w:type="spellEnd"/>
      <w:r w:rsidRPr="005B73E3">
        <w:rPr>
          <w:i/>
          <w:iCs/>
        </w:rPr>
        <w:t xml:space="preserve"> 04b:</w:t>
      </w:r>
    </w:p>
    <w:p w14:paraId="3504CB35" w14:textId="77777777" w:rsidR="003B1B3B" w:rsidRPr="005B73E3" w:rsidRDefault="003B1B3B" w:rsidP="005B73E3">
      <w:pPr>
        <w:spacing w:after="160"/>
        <w:ind w:left="567" w:right="539"/>
        <w:rPr>
          <w:i/>
          <w:iCs/>
        </w:rPr>
      </w:pPr>
      <w:r w:rsidRPr="005B73E3">
        <w:rPr>
          <w:i/>
          <w:iCs/>
        </w:rPr>
        <w:t xml:space="preserve">www.texcoco.gob.mx/Documentos/LGCC/Presupuesto/PRESUPUESTO_DE_EGRESOS_POR OBJETO DEL GASTO Y DEPENDENCIA GENERAL.pdf </w:t>
      </w:r>
    </w:p>
    <w:p w14:paraId="13F47770" w14:textId="77777777" w:rsidR="003B1B3B" w:rsidRPr="005B73E3" w:rsidRDefault="003B1B3B" w:rsidP="005B73E3">
      <w:pPr>
        <w:spacing w:after="160"/>
        <w:ind w:left="567" w:right="539"/>
        <w:rPr>
          <w:i/>
          <w:iCs/>
        </w:rPr>
      </w:pPr>
      <w:r w:rsidRPr="005B73E3">
        <w:rPr>
          <w:i/>
          <w:iCs/>
        </w:rPr>
        <w:t xml:space="preserve"> </w:t>
      </w:r>
      <w:proofErr w:type="gramStart"/>
      <w:r w:rsidRPr="005B73E3">
        <w:rPr>
          <w:i/>
          <w:iCs/>
        </w:rPr>
        <w:t>los</w:t>
      </w:r>
      <w:proofErr w:type="gramEnd"/>
      <w:r w:rsidRPr="005B73E3">
        <w:rPr>
          <w:i/>
          <w:iCs/>
        </w:rPr>
        <w:t xml:space="preserve"> </w:t>
      </w:r>
      <w:proofErr w:type="spellStart"/>
      <w:r w:rsidRPr="005B73E3">
        <w:rPr>
          <w:i/>
          <w:iCs/>
        </w:rPr>
        <w:t>PbRM</w:t>
      </w:r>
      <w:proofErr w:type="spellEnd"/>
      <w:r w:rsidRPr="005B73E3">
        <w:rPr>
          <w:i/>
          <w:iCs/>
        </w:rPr>
        <w:t xml:space="preserve"> 01ª, </w:t>
      </w:r>
      <w:proofErr w:type="spellStart"/>
      <w:r w:rsidRPr="005B73E3">
        <w:rPr>
          <w:i/>
          <w:iCs/>
        </w:rPr>
        <w:t>PbRM</w:t>
      </w:r>
      <w:proofErr w:type="spellEnd"/>
      <w:r w:rsidRPr="005B73E3">
        <w:rPr>
          <w:i/>
          <w:iCs/>
        </w:rPr>
        <w:t xml:space="preserve"> 02ª, </w:t>
      </w:r>
      <w:proofErr w:type="spellStart"/>
      <w:r w:rsidRPr="005B73E3">
        <w:rPr>
          <w:i/>
          <w:iCs/>
        </w:rPr>
        <w:t>PbRM</w:t>
      </w:r>
      <w:proofErr w:type="spellEnd"/>
      <w:r w:rsidRPr="005B73E3">
        <w:rPr>
          <w:i/>
          <w:iCs/>
        </w:rPr>
        <w:t xml:space="preserve"> 09ª, </w:t>
      </w:r>
      <w:proofErr w:type="spellStart"/>
      <w:r w:rsidRPr="005B73E3">
        <w:rPr>
          <w:i/>
          <w:iCs/>
        </w:rPr>
        <w:t>PbRM</w:t>
      </w:r>
      <w:proofErr w:type="spellEnd"/>
      <w:r w:rsidRPr="005B73E3">
        <w:rPr>
          <w:i/>
          <w:iCs/>
        </w:rPr>
        <w:t xml:space="preserve"> 011ª y </w:t>
      </w:r>
      <w:proofErr w:type="spellStart"/>
      <w:r w:rsidRPr="005B73E3">
        <w:rPr>
          <w:i/>
          <w:iCs/>
        </w:rPr>
        <w:t>PbRM</w:t>
      </w:r>
      <w:proofErr w:type="spellEnd"/>
      <w:r w:rsidRPr="005B73E3">
        <w:rPr>
          <w:i/>
          <w:iCs/>
        </w:rPr>
        <w:t xml:space="preserve"> 013ª, podrá consultarlos en el siguiente Enlace electrónico: </w:t>
      </w:r>
    </w:p>
    <w:p w14:paraId="2496CC98" w14:textId="77777777" w:rsidR="003B1B3B" w:rsidRPr="005B73E3" w:rsidRDefault="00AD1341" w:rsidP="005B73E3">
      <w:pPr>
        <w:spacing w:after="160"/>
        <w:ind w:left="567" w:right="539"/>
        <w:rPr>
          <w:i/>
          <w:iCs/>
        </w:rPr>
      </w:pPr>
      <w:hyperlink r:id="rId16" w:history="1">
        <w:r w:rsidR="003B1B3B" w:rsidRPr="005B73E3">
          <w:rPr>
            <w:rStyle w:val="Hipervnculo"/>
            <w:i/>
            <w:iCs/>
            <w:color w:val="auto"/>
          </w:rPr>
          <w:t>https://www.texcocoedomex.gob.mx/p-2023.htm</w:t>
        </w:r>
      </w:hyperlink>
    </w:p>
    <w:p w14:paraId="4833B2F1" w14:textId="77777777" w:rsidR="003B1B3B" w:rsidRPr="005B73E3" w:rsidRDefault="003B1B3B" w:rsidP="005B73E3">
      <w:pPr>
        <w:spacing w:after="160"/>
        <w:ind w:left="567" w:right="539"/>
        <w:rPr>
          <w:i/>
          <w:iCs/>
        </w:rPr>
      </w:pPr>
      <w:r w:rsidRPr="005B73E3">
        <w:rPr>
          <w:i/>
          <w:iCs/>
        </w:rPr>
        <w:t>…”</w:t>
      </w:r>
    </w:p>
    <w:p w14:paraId="0264AB96" w14:textId="77777777" w:rsidR="003B1B3B" w:rsidRPr="005B73E3" w:rsidRDefault="003B1B3B" w:rsidP="005B73E3">
      <w:pPr>
        <w:ind w:right="-93"/>
        <w:rPr>
          <w:rFonts w:eastAsia="Palatino Linotype" w:cs="Palatino Linotype"/>
        </w:rPr>
      </w:pPr>
      <w:r w:rsidRPr="005B73E3">
        <w:rPr>
          <w:rFonts w:eastAsia="Palatino Linotype" w:cs="Palatino Linotype"/>
        </w:rPr>
        <w:t>Acotado lo anterior, este Instituto procedió a verificar si la información peticionada, obra en las ligas electrónicas referidas, encontrando que no es posible acceder a ninguno del contenido de los links referidos, al presentar un error, como se muestra enseguida:</w:t>
      </w:r>
    </w:p>
    <w:p w14:paraId="6B173969" w14:textId="77777777" w:rsidR="003B1B3B" w:rsidRPr="005B73E3" w:rsidRDefault="003B1B3B" w:rsidP="005B73E3">
      <w:pPr>
        <w:ind w:right="-93"/>
        <w:rPr>
          <w:rFonts w:eastAsia="Palatino Linotype" w:cs="Palatino Linotype"/>
        </w:rPr>
      </w:pPr>
    </w:p>
    <w:p w14:paraId="75025985" w14:textId="77777777" w:rsidR="003B1B3B" w:rsidRPr="005B73E3" w:rsidRDefault="003B1B3B" w:rsidP="005B73E3">
      <w:pPr>
        <w:ind w:right="-93"/>
        <w:rPr>
          <w:rFonts w:eastAsia="Palatino Linotype" w:cs="Palatino Linotype"/>
        </w:rPr>
      </w:pPr>
      <w:r w:rsidRPr="005B73E3">
        <w:rPr>
          <w:noProof/>
          <w:lang w:eastAsia="es-MX"/>
          <w14:ligatures w14:val="standardContextual"/>
        </w:rPr>
        <w:lastRenderedPageBreak/>
        <w:drawing>
          <wp:inline distT="0" distB="0" distL="0" distR="0" wp14:anchorId="35507E08" wp14:editId="6BFFD72A">
            <wp:extent cx="5742940" cy="2393343"/>
            <wp:effectExtent l="76200" t="76200" r="124460" b="1403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4197" cy="23938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313521" w14:textId="77777777" w:rsidR="003B1B3B" w:rsidRPr="005B73E3" w:rsidRDefault="003B1B3B" w:rsidP="005B73E3">
      <w:pPr>
        <w:ind w:right="-93"/>
        <w:rPr>
          <w:rFonts w:eastAsia="Palatino Linotype" w:cs="Palatino Linotype"/>
        </w:rPr>
      </w:pPr>
    </w:p>
    <w:p w14:paraId="58D02FE4" w14:textId="77777777" w:rsidR="003B1B3B" w:rsidRPr="005B73E3" w:rsidRDefault="003B1B3B" w:rsidP="005B73E3">
      <w:pPr>
        <w:ind w:right="-93"/>
        <w:rPr>
          <w:rFonts w:eastAsia="Palatino Linotype" w:cs="Palatino Linotype"/>
        </w:rPr>
      </w:pPr>
      <w:r w:rsidRPr="005B73E3">
        <w:rPr>
          <w:noProof/>
          <w:lang w:eastAsia="es-MX"/>
          <w14:ligatures w14:val="standardContextual"/>
        </w:rPr>
        <w:drawing>
          <wp:inline distT="0" distB="0" distL="0" distR="0" wp14:anchorId="50EE536D" wp14:editId="62036F76">
            <wp:extent cx="5742940" cy="2960370"/>
            <wp:effectExtent l="76200" t="76200" r="124460" b="12573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960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5CA363D" w14:textId="77777777" w:rsidR="003B1B3B" w:rsidRPr="005B73E3" w:rsidRDefault="003B1B3B" w:rsidP="005B73E3">
      <w:pPr>
        <w:ind w:right="-93"/>
        <w:rPr>
          <w:rFonts w:eastAsia="Palatino Linotype" w:cs="Palatino Linotype"/>
        </w:rPr>
      </w:pPr>
      <w:r w:rsidRPr="005B73E3">
        <w:rPr>
          <w:noProof/>
          <w:lang w:eastAsia="es-MX"/>
          <w14:ligatures w14:val="standardContextual"/>
        </w:rPr>
        <w:lastRenderedPageBreak/>
        <w:drawing>
          <wp:inline distT="0" distB="0" distL="0" distR="0" wp14:anchorId="38D7ED2A" wp14:editId="4EB2424B">
            <wp:extent cx="5742940" cy="3168015"/>
            <wp:effectExtent l="76200" t="76200" r="124460" b="127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3168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8F9806" w14:textId="77777777" w:rsidR="003B1B3B" w:rsidRPr="005B73E3" w:rsidRDefault="003B1B3B" w:rsidP="005B73E3">
      <w:pPr>
        <w:ind w:right="-93"/>
        <w:rPr>
          <w:rFonts w:eastAsia="Palatino Linotype" w:cs="Palatino Linotype"/>
        </w:rPr>
      </w:pPr>
    </w:p>
    <w:p w14:paraId="500BFE92" w14:textId="12CB8A8C" w:rsidR="00DD6170" w:rsidRPr="005B73E3" w:rsidRDefault="003B1B3B" w:rsidP="005B73E3">
      <w:pPr>
        <w:ind w:right="-93"/>
        <w:rPr>
          <w:rFonts w:eastAsia="Palatino Linotype" w:cs="Palatino Linotype"/>
        </w:rPr>
      </w:pPr>
      <w:r w:rsidRPr="005B73E3">
        <w:rPr>
          <w:rFonts w:eastAsia="Palatino Linotype" w:cs="Palatino Linotype"/>
        </w:rPr>
        <w:t xml:space="preserve">En razón de lo anterior, para este Instituto es imposible constatar que la información peticionada por la persona solicitante, se localice en las ligas electrónicas proporcionadas por </w:t>
      </w:r>
      <w:r w:rsidRPr="005B73E3">
        <w:rPr>
          <w:rFonts w:eastAsia="Palatino Linotype" w:cs="Palatino Linotype"/>
          <w:b/>
          <w:bCs/>
        </w:rPr>
        <w:t xml:space="preserve">EL SUJETO OBLIGADO </w:t>
      </w:r>
      <w:r w:rsidRPr="005B73E3">
        <w:rPr>
          <w:rFonts w:eastAsia="Palatino Linotype" w:cs="Palatino Linotype"/>
        </w:rPr>
        <w:t>en informe justificado</w:t>
      </w:r>
      <w:r w:rsidR="00BB67A6" w:rsidRPr="005B73E3">
        <w:rPr>
          <w:rFonts w:eastAsia="Palatino Linotype" w:cs="Palatino Linotype"/>
        </w:rPr>
        <w:t>, y de la respuesta proporcionada al no existir documento adjunto alguno tampoco es posible validar la respuesta proporcionada.</w:t>
      </w:r>
    </w:p>
    <w:p w14:paraId="258EE3E5" w14:textId="75C98328" w:rsidR="00BB67A6" w:rsidRPr="005B73E3" w:rsidRDefault="00BB67A6" w:rsidP="005B73E3">
      <w:pPr>
        <w:ind w:right="-93"/>
        <w:rPr>
          <w:rFonts w:eastAsia="Palatino Linotype" w:cs="Palatino Linotype"/>
        </w:rPr>
      </w:pPr>
    </w:p>
    <w:p w14:paraId="406A425A" w14:textId="3E61BF9A" w:rsidR="00BB67A6" w:rsidRPr="005B73E3" w:rsidRDefault="00BB67A6" w:rsidP="005B73E3">
      <w:pPr>
        <w:ind w:right="-93"/>
        <w:rPr>
          <w:rFonts w:eastAsia="Palatino Linotype" w:cs="Palatino Linotype"/>
        </w:rPr>
      </w:pPr>
      <w:r w:rsidRPr="005B73E3">
        <w:rPr>
          <w:rFonts w:eastAsia="Palatino Linotype" w:cs="Palatino Linotype"/>
        </w:rPr>
        <w:t xml:space="preserve">En consecuencia, no se tiene por colmado el derecho de acceso a la información de la persona solicitante, y resulta viable ordenar la entrega de la información peticionada por la </w:t>
      </w:r>
      <w:r w:rsidRPr="005B73E3">
        <w:rPr>
          <w:rFonts w:eastAsia="Palatino Linotype" w:cs="Palatino Linotype"/>
          <w:b/>
          <w:bCs/>
        </w:rPr>
        <w:t>PERSONA RECURRENTE</w:t>
      </w:r>
      <w:r w:rsidRPr="005B73E3">
        <w:rPr>
          <w:rFonts w:eastAsia="Palatino Linotype" w:cs="Palatino Linotype"/>
        </w:rPr>
        <w:t>.</w:t>
      </w:r>
    </w:p>
    <w:p w14:paraId="4700598D" w14:textId="7378518F" w:rsidR="00052100" w:rsidRPr="005B73E3" w:rsidRDefault="00052100" w:rsidP="005B73E3">
      <w:pPr>
        <w:ind w:right="-93"/>
        <w:rPr>
          <w:rFonts w:eastAsia="Palatino Linotype" w:cs="Palatino Linotype"/>
        </w:rPr>
      </w:pPr>
    </w:p>
    <w:p w14:paraId="7BD77F65" w14:textId="77777777" w:rsidR="00052100" w:rsidRPr="005B73E3" w:rsidRDefault="00052100" w:rsidP="005B73E3">
      <w:pPr>
        <w:ind w:right="-93"/>
      </w:pPr>
      <w:r w:rsidRPr="005B73E3">
        <w:t>Una vez precisado lo anterior, atendiendo la naturaleza de la información peticionada resulta conveniente traer a contexto</w:t>
      </w:r>
    </w:p>
    <w:p w14:paraId="153F4FB6" w14:textId="77777777" w:rsidR="00052100" w:rsidRPr="005B73E3" w:rsidRDefault="00052100" w:rsidP="005B73E3">
      <w:pPr>
        <w:ind w:right="-93"/>
        <w:rPr>
          <w:rFonts w:eastAsia="Palatino Linotype" w:cs="Palatino Linotype"/>
        </w:rPr>
      </w:pPr>
    </w:p>
    <w:p w14:paraId="38E1C312" w14:textId="77777777" w:rsidR="00052100" w:rsidRPr="005B73E3" w:rsidRDefault="00052100" w:rsidP="005B73E3">
      <w:pPr>
        <w:ind w:right="-93"/>
        <w:rPr>
          <w:rFonts w:eastAsia="Calibri" w:cs="Tahoma"/>
          <w:bCs/>
          <w:szCs w:val="22"/>
          <w:lang w:eastAsia="en-US"/>
        </w:rPr>
      </w:pPr>
      <w:r w:rsidRPr="005B73E3">
        <w:rPr>
          <w:rFonts w:eastAsia="Palatino Linotype" w:cs="Palatino Linotype"/>
        </w:rPr>
        <w:lastRenderedPageBreak/>
        <w:t xml:space="preserve">Ahora bien, respecto de la información que se peticionó mediante la solicitud de información materia del presente estudio, resulta necesario, realizar algunas precisiones, por ello es necesario, traer a </w:t>
      </w:r>
      <w:r w:rsidRPr="005B73E3">
        <w:rPr>
          <w:rFonts w:eastAsia="Calibri" w:cs="Tahoma"/>
          <w:bCs/>
          <w:szCs w:val="22"/>
          <w:lang w:eastAsia="en-US"/>
        </w:rPr>
        <w:t>colación el artículo 327-A y 327-B del Código Financiero del Estado de México y Municipios; 35, 36, 37 y 38 de la Ley de Planeación del Estado de México y Municipios, y 116 de la Ley Orgánica Municipal del Estado de México, donde se señala la obligación de llevar a cabo la evaluación de los resultados de la ejecución del Plan de Desarrollo Municipal y sus programas; destacando la necesidad de que dicho ejercicio sea congruente con los mecanismos establecidos en el Sistema de Planeación Democrática para el Desarrollo del Estado de México y Municipios.</w:t>
      </w:r>
    </w:p>
    <w:p w14:paraId="48056E18" w14:textId="77777777" w:rsidR="00052100" w:rsidRPr="005B73E3" w:rsidRDefault="00052100" w:rsidP="005B73E3">
      <w:pPr>
        <w:ind w:right="-93"/>
        <w:rPr>
          <w:rFonts w:eastAsia="Calibri" w:cs="Tahoma"/>
          <w:bCs/>
          <w:szCs w:val="22"/>
          <w:lang w:eastAsia="en-US"/>
        </w:rPr>
      </w:pPr>
    </w:p>
    <w:p w14:paraId="135D5F6B" w14:textId="77777777" w:rsidR="00052100" w:rsidRPr="005B73E3" w:rsidRDefault="00052100" w:rsidP="005B73E3">
      <w:pPr>
        <w:spacing w:line="276" w:lineRule="auto"/>
        <w:ind w:left="851" w:right="616"/>
        <w:jc w:val="center"/>
        <w:rPr>
          <w:rFonts w:eastAsia="Calibri" w:cs="Tahoma"/>
          <w:bCs/>
          <w:i/>
          <w:szCs w:val="22"/>
          <w:lang w:eastAsia="en-US"/>
        </w:rPr>
      </w:pPr>
      <w:r w:rsidRPr="005B73E3">
        <w:rPr>
          <w:rFonts w:eastAsia="Calibri" w:cs="Tahoma"/>
          <w:bCs/>
          <w:i/>
          <w:szCs w:val="22"/>
          <w:lang w:eastAsia="en-US"/>
        </w:rPr>
        <w:t>“</w:t>
      </w:r>
      <w:r w:rsidRPr="005B73E3">
        <w:rPr>
          <w:rFonts w:eastAsia="Calibri" w:cs="Tahoma"/>
          <w:b/>
          <w:bCs/>
          <w:i/>
          <w:szCs w:val="22"/>
          <w:lang w:eastAsia="en-US"/>
        </w:rPr>
        <w:t>Código Financiero del Estado de México y Municipios</w:t>
      </w:r>
    </w:p>
    <w:p w14:paraId="00225767"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Artículo 327-A.-</w:t>
      </w:r>
      <w:r w:rsidRPr="005B73E3">
        <w:rPr>
          <w:rFonts w:eastAsia="Calibri" w:cs="Tahoma"/>
          <w:bCs/>
          <w:i/>
          <w:szCs w:val="22"/>
          <w:lang w:eastAsia="en-US"/>
        </w:rPr>
        <w:t xml:space="preserve"> Los titulares de las Dependencias, Entidades Públicas y Organismos Autónomos </w:t>
      </w:r>
      <w:r w:rsidRPr="005B73E3">
        <w:rPr>
          <w:rFonts w:eastAsia="Calibri" w:cs="Tahoma"/>
          <w:b/>
          <w:bCs/>
          <w:i/>
          <w:szCs w:val="22"/>
          <w:lang w:eastAsia="en-US"/>
        </w:rPr>
        <w:t>en el ejercicio de su presupuesto, serán responsables de que se ejecuten con oportunidad, eficiencia, eficacia y honestidad los proyectos previstos en sus respectivos programas presupuestarios y serán los responsables del resultado, evaluación, así como del análisis de la información relativa al desarrollo y grado de avance de los mismos</w:t>
      </w:r>
      <w:r w:rsidRPr="005B73E3">
        <w:rPr>
          <w:rFonts w:eastAsia="Calibri" w:cs="Tahoma"/>
          <w:bCs/>
          <w:i/>
          <w:szCs w:val="22"/>
          <w:lang w:eastAsia="en-US"/>
        </w:rPr>
        <w:t xml:space="preserve">, ya sea que se ejecuten por cuenta propia o a través de terceros. Asimismo, deberán enviar a la Secretaría o la Contraloría, según sea el caso, a través de las Unidades de Información, Planeación, Programación y Evaluación o su equivalente, </w:t>
      </w:r>
      <w:r w:rsidRPr="005B73E3">
        <w:rPr>
          <w:rFonts w:eastAsia="Calibri" w:cs="Tahoma"/>
          <w:b/>
          <w:bCs/>
          <w:i/>
          <w:szCs w:val="22"/>
          <w:lang w:eastAsia="en-US"/>
        </w:rPr>
        <w:t>los resultados obtenidos de la evaluación, el informe del comportamiento del ejercicio presupuestal y el informe de avance programático en forma trimestral</w:t>
      </w:r>
      <w:r w:rsidRPr="005B73E3">
        <w:rPr>
          <w:rFonts w:eastAsia="Calibri" w:cs="Tahoma"/>
          <w:bCs/>
          <w:i/>
          <w:szCs w:val="22"/>
          <w:lang w:eastAsia="en-US"/>
        </w:rPr>
        <w:t xml:space="preserve">, </w:t>
      </w:r>
      <w:r w:rsidRPr="005B73E3">
        <w:rPr>
          <w:rFonts w:eastAsia="Calibri" w:cs="Tahoma"/>
          <w:b/>
          <w:bCs/>
          <w:i/>
          <w:szCs w:val="22"/>
          <w:lang w:eastAsia="en-US"/>
        </w:rPr>
        <w:t>para la revisión, seguimiento y evaluación del desempeño del cumplimiento de los objetivos y metas establecidas en los proyectos aprobados en relación con el presupuesto y ejercicio</w:t>
      </w:r>
      <w:r w:rsidRPr="005B73E3">
        <w:rPr>
          <w:rFonts w:eastAsia="Calibri" w:cs="Tahoma"/>
          <w:bCs/>
          <w:i/>
          <w:szCs w:val="22"/>
          <w:lang w:eastAsia="en-US"/>
        </w:rPr>
        <w:t>.</w:t>
      </w:r>
    </w:p>
    <w:p w14:paraId="407FC17E" w14:textId="77777777" w:rsidR="00052100" w:rsidRPr="005B73E3" w:rsidRDefault="00052100" w:rsidP="005B73E3">
      <w:pPr>
        <w:spacing w:line="276" w:lineRule="auto"/>
        <w:ind w:left="851" w:right="616"/>
        <w:rPr>
          <w:rFonts w:eastAsia="Calibri" w:cs="Tahoma"/>
          <w:b/>
          <w:bCs/>
          <w:i/>
          <w:szCs w:val="22"/>
          <w:lang w:eastAsia="en-US"/>
        </w:rPr>
      </w:pPr>
      <w:r w:rsidRPr="005B73E3">
        <w:rPr>
          <w:rFonts w:eastAsia="Calibri" w:cs="Tahoma"/>
          <w:b/>
          <w:bCs/>
          <w:i/>
          <w:szCs w:val="22"/>
          <w:lang w:eastAsia="en-US"/>
        </w:rPr>
        <w:t>En el caso de los municipios, los informes a que se refiere este artículo, se enviarán a la Tesorería…</w:t>
      </w:r>
    </w:p>
    <w:p w14:paraId="002EC5A9" w14:textId="77777777" w:rsidR="00052100" w:rsidRPr="005B73E3" w:rsidRDefault="00052100" w:rsidP="005B73E3">
      <w:pPr>
        <w:spacing w:line="276" w:lineRule="auto"/>
        <w:ind w:left="851" w:right="616"/>
        <w:rPr>
          <w:rFonts w:eastAsia="Calibri" w:cs="Tahoma"/>
          <w:b/>
          <w:bCs/>
          <w:i/>
          <w:szCs w:val="22"/>
          <w:lang w:eastAsia="en-US"/>
        </w:rPr>
      </w:pPr>
    </w:p>
    <w:p w14:paraId="1D619FD1"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Artículo 327-B.-</w:t>
      </w:r>
      <w:r w:rsidRPr="005B73E3">
        <w:rPr>
          <w:rFonts w:eastAsia="Calibri" w:cs="Tahoma"/>
          <w:bCs/>
          <w:i/>
          <w:szCs w:val="22"/>
          <w:lang w:eastAsia="en-US"/>
        </w:rPr>
        <w:t xml:space="preserve"> La Secretaría, la Tesorería, la Contraloría y los órganos internos de control, en coordinación con las Unidades de Información, Planeación, Programación y Evaluación o la unidad administrativa responsable de realizar estas funciones, en el </w:t>
      </w:r>
      <w:r w:rsidRPr="005B73E3">
        <w:rPr>
          <w:rFonts w:eastAsia="Calibri" w:cs="Tahoma"/>
          <w:bCs/>
          <w:i/>
          <w:szCs w:val="22"/>
          <w:lang w:eastAsia="en-US"/>
        </w:rPr>
        <w:lastRenderedPageBreak/>
        <w:t>ámbito de sus respectivas competencias, verificarán periódicamente a través del sistema de control y evaluación del desempeño que establezcan, los resultados de la ejecución de los programas en relación con el ejercicio del presupuesto.</w:t>
      </w:r>
    </w:p>
    <w:p w14:paraId="453CC9FA"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Cs/>
          <w:i/>
          <w:szCs w:val="22"/>
          <w:lang w:eastAsia="en-US"/>
        </w:rPr>
        <w:t>Los órganos internos de control vigilarán de manera mensual que en el ejercicio del presupuesto, no se adquieran compromisos que rebasen el monto anual del gasto que se les haya autorizado.</w:t>
      </w:r>
    </w:p>
    <w:p w14:paraId="481D54C3"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Cs/>
          <w:i/>
          <w:szCs w:val="22"/>
          <w:lang w:eastAsia="en-US"/>
        </w:rPr>
        <w:t>Será causa de responsabilidad administrativa de los titulares, responsables del área administrativa y en general de cualquier persona servidora pública de las Dependencias, Entidades Públicas y Unidades Administrativas estatales y municipales, que intervengan en la contratación de compromisos fuera de los montos mensuales aprobados en sus respectivos presupuestos, la cual podrá ser sancionada conforme lo establece la Ley de Responsabilidades Administrativas del Estado de México y Municipios.</w:t>
      </w:r>
    </w:p>
    <w:p w14:paraId="2849879F" w14:textId="77777777" w:rsidR="00052100" w:rsidRPr="005B73E3" w:rsidRDefault="00052100" w:rsidP="005B73E3">
      <w:pPr>
        <w:spacing w:line="276" w:lineRule="auto"/>
        <w:ind w:left="851" w:right="616"/>
        <w:rPr>
          <w:rFonts w:eastAsia="Calibri" w:cs="Tahoma"/>
          <w:bCs/>
          <w:i/>
          <w:szCs w:val="22"/>
          <w:lang w:eastAsia="en-US"/>
        </w:rPr>
      </w:pPr>
    </w:p>
    <w:p w14:paraId="27E49CE1" w14:textId="77777777" w:rsidR="00052100" w:rsidRPr="005B73E3" w:rsidRDefault="00052100" w:rsidP="005B73E3">
      <w:pPr>
        <w:spacing w:line="276" w:lineRule="auto"/>
        <w:ind w:left="851" w:right="616"/>
        <w:jc w:val="center"/>
        <w:rPr>
          <w:rFonts w:eastAsia="Calibri" w:cs="Tahoma"/>
          <w:b/>
          <w:bCs/>
          <w:i/>
          <w:szCs w:val="22"/>
          <w:lang w:eastAsia="en-US"/>
        </w:rPr>
      </w:pPr>
      <w:r w:rsidRPr="005B73E3">
        <w:rPr>
          <w:rFonts w:eastAsia="Calibri" w:cs="Tahoma"/>
          <w:b/>
          <w:bCs/>
          <w:i/>
          <w:szCs w:val="22"/>
          <w:lang w:eastAsia="en-US"/>
        </w:rPr>
        <w:t>Ley de Planeación del Estado de México y Municipios</w:t>
      </w:r>
    </w:p>
    <w:p w14:paraId="08632D79"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Artículo 35.-</w:t>
      </w:r>
      <w:r w:rsidRPr="005B73E3">
        <w:rPr>
          <w:rFonts w:eastAsia="Calibri" w:cs="Tahoma"/>
          <w:bCs/>
          <w:i/>
          <w:szCs w:val="22"/>
          <w:lang w:eastAsia="en-US"/>
        </w:rPr>
        <w:t xml:space="preserve"> Las Dependencias, Entidades Públicas y personas servidoras públicas, conforme a las facultades y obligaciones contenidas en este capítulo, reportarán periódicamente los resultados de la ejecución de los programas a la Secretaría, y en el caso de los municipios, a quien los ayuntamientos designen.</w:t>
      </w:r>
    </w:p>
    <w:p w14:paraId="5FD4243E"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Artículo 36.-</w:t>
      </w:r>
      <w:r w:rsidRPr="005B73E3">
        <w:rPr>
          <w:rFonts w:eastAsia="Calibri" w:cs="Tahoma"/>
          <w:bCs/>
          <w:i/>
          <w:szCs w:val="22"/>
          <w:lang w:eastAsia="en-US"/>
        </w:rPr>
        <w:t xml:space="preserve"> La Secretaría y los ayuntamientos, en el ámbito de su competencia, establecerán la metodología, procedimientos y mecanismos para el adecuado control, seguimiento, revisión y evaluación de la ejecución de los programas, el uso y destino de los recursos asignados a ellos y la vigilancia de su cumplimiento.</w:t>
      </w:r>
    </w:p>
    <w:p w14:paraId="687F3B95"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Cs/>
          <w:i/>
          <w:szCs w:val="22"/>
          <w:lang w:eastAsia="en-US"/>
        </w:rPr>
        <w:t>Para la elaboración e integración de los informes de evaluación habrán de considerarse entre otros elementos, los indicadores del Sistema Estatal de Información e Investigación Geográfica, Estadística y Catastral, aplicados al proceso de planeación democrática para el desarrollo, de conformidad con lo dispuesto por el ordenamiento de la materia y demás disposiciones aplicables.</w:t>
      </w:r>
    </w:p>
    <w:p w14:paraId="741DB3E5"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Artículo 37.-</w:t>
      </w:r>
      <w:r w:rsidRPr="005B73E3">
        <w:rPr>
          <w:rFonts w:eastAsia="Calibri" w:cs="Tahoma"/>
          <w:bCs/>
          <w:i/>
          <w:szCs w:val="22"/>
          <w:lang w:eastAsia="en-US"/>
        </w:rPr>
        <w:t xml:space="preserve"> En cumplimiento de los objetivos y metas establecidos en los planes de desarrollo estatal y municipales, los titulares de las Dependencias, Entidades Públicas y demás personas servidoras públicas serán responsables de que los programas se ejecuten con oportunidad, eficiencia y eficacia, atendiendo el mejoramiento de los indicadores para el desarrollo social y humano y enviarán a la Secretaría cuando ésta así lo solicite, los informes del avance programático presupuestal para su revisión, </w:t>
      </w:r>
      <w:r w:rsidRPr="005B73E3">
        <w:rPr>
          <w:rFonts w:eastAsia="Calibri" w:cs="Tahoma"/>
          <w:bCs/>
          <w:i/>
          <w:szCs w:val="22"/>
          <w:lang w:eastAsia="en-US"/>
        </w:rPr>
        <w:lastRenderedPageBreak/>
        <w:t>seguimiento y evaluación, y en el caso de los municipios, a quien los ayuntamientos designen.</w:t>
      </w:r>
    </w:p>
    <w:p w14:paraId="328B4031" w14:textId="77777777" w:rsidR="00052100" w:rsidRPr="005B73E3" w:rsidRDefault="00052100" w:rsidP="005B73E3">
      <w:pPr>
        <w:spacing w:line="276" w:lineRule="auto"/>
        <w:ind w:left="851" w:right="616"/>
        <w:rPr>
          <w:rFonts w:eastAsia="Calibri" w:cs="Tahoma"/>
          <w:bCs/>
          <w:i/>
          <w:szCs w:val="22"/>
          <w:lang w:eastAsia="en-US"/>
        </w:rPr>
      </w:pPr>
      <w:r w:rsidRPr="005B73E3">
        <w:rPr>
          <w:rFonts w:eastAsia="Calibri" w:cs="Tahoma"/>
          <w:b/>
          <w:bCs/>
          <w:i/>
          <w:szCs w:val="22"/>
          <w:lang w:eastAsia="en-US"/>
        </w:rPr>
        <w:t xml:space="preserve">Artículo 38.- </w:t>
      </w:r>
      <w:r w:rsidRPr="005B73E3">
        <w:rPr>
          <w:rFonts w:eastAsia="Calibri" w:cs="Tahoma"/>
          <w:bCs/>
          <w:i/>
          <w:szCs w:val="22"/>
          <w:lang w:eastAsia="en-US"/>
        </w:rPr>
        <w:t>Las Dependencias, Entidades Públicas y personas servidoras públicas, deberán realizar la evaluación a fin de asegurar el cumplimiento de los objetivos y metas, así como la mejora de los indicadores de desarrollo social y humano y, en su caso, emitirán dictamen de reconducción y actualización cuando sea necesaria la modificación o adecuación de la estrategia a la que se refiere el artículo 26 de esta Ley, dictamen que habrán de hacer del conocimiento inmediato de la Secretaría o del ayuntamiento en el ámbito de su competencia, para que a su vez, se reformule el contenido de la estrategia de desarrollo.</w:t>
      </w:r>
    </w:p>
    <w:p w14:paraId="232A7623" w14:textId="77777777" w:rsidR="00052100" w:rsidRPr="005B73E3" w:rsidRDefault="00052100" w:rsidP="005B73E3">
      <w:pPr>
        <w:spacing w:line="276" w:lineRule="auto"/>
        <w:ind w:left="851" w:right="616"/>
        <w:jc w:val="center"/>
        <w:rPr>
          <w:rFonts w:eastAsia="Calibri" w:cs="Tahoma"/>
          <w:bCs/>
          <w:i/>
          <w:szCs w:val="22"/>
          <w:lang w:eastAsia="en-US"/>
        </w:rPr>
      </w:pPr>
      <w:r w:rsidRPr="005B73E3">
        <w:rPr>
          <w:rFonts w:eastAsia="Calibri" w:cs="Tahoma"/>
          <w:bCs/>
          <w:i/>
          <w:szCs w:val="22"/>
          <w:lang w:eastAsia="en-US"/>
        </w:rPr>
        <w:cr/>
      </w:r>
      <w:r w:rsidRPr="005B73E3">
        <w:rPr>
          <w:rFonts w:eastAsia="Calibri" w:cs="Tahoma"/>
          <w:b/>
          <w:bCs/>
          <w:i/>
          <w:szCs w:val="22"/>
          <w:lang w:eastAsia="en-US"/>
        </w:rPr>
        <w:t>Ley Orgánica Municipal del Estado de Méxic</w:t>
      </w:r>
      <w:r w:rsidRPr="005B73E3">
        <w:rPr>
          <w:rFonts w:eastAsia="Calibri" w:cs="Tahoma"/>
          <w:bCs/>
          <w:i/>
          <w:szCs w:val="22"/>
          <w:lang w:eastAsia="en-US"/>
        </w:rPr>
        <w:t>o</w:t>
      </w:r>
    </w:p>
    <w:p w14:paraId="2F02EA7E" w14:textId="77777777" w:rsidR="00052100" w:rsidRPr="005B73E3" w:rsidRDefault="00052100" w:rsidP="005B73E3">
      <w:pPr>
        <w:spacing w:line="276" w:lineRule="auto"/>
        <w:ind w:left="851" w:right="616"/>
        <w:rPr>
          <w:rFonts w:eastAsia="Calibri" w:cs="Tahoma"/>
          <w:bCs/>
          <w:szCs w:val="22"/>
          <w:lang w:eastAsia="en-US"/>
        </w:rPr>
      </w:pPr>
      <w:r w:rsidRPr="005B73E3">
        <w:rPr>
          <w:rFonts w:eastAsia="Calibri" w:cs="Tahoma"/>
          <w:b/>
          <w:bCs/>
          <w:i/>
          <w:szCs w:val="22"/>
          <w:lang w:eastAsia="en-US"/>
        </w:rPr>
        <w:t>Artículo 116.-</w:t>
      </w:r>
      <w:r w:rsidRPr="005B73E3">
        <w:rPr>
          <w:rFonts w:eastAsia="Calibri" w:cs="Tahoma"/>
          <w:bCs/>
          <w:i/>
          <w:szCs w:val="22"/>
          <w:lang w:eastAsia="en-US"/>
        </w:rPr>
        <w:t xml:space="preserve"> </w:t>
      </w:r>
      <w:r w:rsidRPr="005B73E3">
        <w:rPr>
          <w:rFonts w:eastAsia="Calibri" w:cs="Tahoma"/>
          <w:b/>
          <w:bCs/>
          <w:i/>
          <w:szCs w:val="22"/>
          <w:lang w:eastAsia="en-US"/>
        </w:rPr>
        <w:t>El Plan de Desarrollo Municipal deberá ser elaborado, aprobado y publicado, dentro de los primeros tres meses de la gestión municipal</w:t>
      </w:r>
      <w:r w:rsidRPr="005B73E3">
        <w:rPr>
          <w:rFonts w:eastAsia="Calibri" w:cs="Tahoma"/>
          <w:bCs/>
          <w:i/>
          <w:szCs w:val="22"/>
          <w:lang w:eastAsia="en-US"/>
        </w:rPr>
        <w:t>. Su evaluación deberá realizarse anualmente; y en caso de no hacerse se hará acreedor a las sanciones de las dependencias normativas en el ámbito de su competencia</w:t>
      </w:r>
      <w:r w:rsidRPr="005B73E3">
        <w:rPr>
          <w:rFonts w:eastAsia="Calibri" w:cs="Tahoma"/>
          <w:bCs/>
          <w:szCs w:val="22"/>
          <w:lang w:eastAsia="en-US"/>
        </w:rPr>
        <w:t>.”</w:t>
      </w:r>
    </w:p>
    <w:p w14:paraId="1DEAAC15" w14:textId="77777777" w:rsidR="00052100" w:rsidRPr="005B73E3" w:rsidRDefault="00052100" w:rsidP="005B73E3">
      <w:pPr>
        <w:ind w:right="-93"/>
        <w:rPr>
          <w:rFonts w:eastAsia="Calibri" w:cs="Tahoma"/>
          <w:bCs/>
          <w:szCs w:val="22"/>
          <w:lang w:eastAsia="en-US"/>
        </w:rPr>
      </w:pPr>
    </w:p>
    <w:p w14:paraId="4ED85FF8" w14:textId="77777777" w:rsidR="00052100" w:rsidRPr="005B73E3" w:rsidRDefault="00052100" w:rsidP="005B73E3">
      <w:pPr>
        <w:ind w:right="-93"/>
        <w:rPr>
          <w:rFonts w:eastAsia="Calibri" w:cs="Tahoma"/>
          <w:bCs/>
          <w:szCs w:val="22"/>
          <w:lang w:eastAsia="en-US"/>
        </w:rPr>
      </w:pPr>
      <w:r w:rsidRPr="005B73E3">
        <w:rPr>
          <w:rFonts w:eastAsia="Calibri" w:cs="Tahoma"/>
          <w:bCs/>
          <w:szCs w:val="22"/>
          <w:lang w:eastAsia="en-US"/>
        </w:rPr>
        <w:t>Se implanta como un producto de la evaluación, el Informe de Ejecución del Plan de Desarrollo Municipal, cuyo periodo a evaluar debe coincidir con el año fiscal, es decir, de enero a diciembre de cada año, lo que permitirá establecer la congruencia con los datos reportados en la Cuenta Pública que cada año presentan los ayuntamientos de la entidad a la Legislatura Local; el Informe de Ejecución, es un elemento importante de evaluación que formará parte de los anexos del documento que se presenta a los legisladores, ya que identifica el cumplimiento de objetivos y prioridades de la planeación y la programación, en cumplimiento a lo establecido en el artículo 76 del Reglamento de la Ley de Planeación del Estado de México y Municipios.</w:t>
      </w:r>
    </w:p>
    <w:p w14:paraId="5DE68BBA" w14:textId="77777777" w:rsidR="00052100" w:rsidRPr="005B73E3" w:rsidRDefault="00052100" w:rsidP="005B73E3">
      <w:pPr>
        <w:ind w:right="-93"/>
        <w:rPr>
          <w:rFonts w:eastAsia="Calibri" w:cs="Tahoma"/>
          <w:bCs/>
          <w:szCs w:val="22"/>
          <w:lang w:eastAsia="en-US"/>
        </w:rPr>
      </w:pPr>
    </w:p>
    <w:p w14:paraId="708B4837" w14:textId="77777777" w:rsidR="00052100" w:rsidRPr="005B73E3" w:rsidRDefault="00052100" w:rsidP="005B73E3">
      <w:pPr>
        <w:ind w:right="-93"/>
        <w:rPr>
          <w:rFonts w:eastAsia="Calibri" w:cs="Tahoma"/>
          <w:bCs/>
          <w:szCs w:val="22"/>
          <w:lang w:eastAsia="en-US"/>
        </w:rPr>
      </w:pPr>
      <w:r w:rsidRPr="005B73E3">
        <w:rPr>
          <w:rFonts w:eastAsia="Calibri" w:cs="Tahoma"/>
          <w:bCs/>
          <w:szCs w:val="22"/>
          <w:lang w:eastAsia="en-US"/>
        </w:rPr>
        <w:t xml:space="preserve">Una vez integrado el Informe de Ejecución, éste deberá ser presentado al Cabildo, para su análisis y aprobación, durante los primeros dos meses posteriores al cierre del ejercicio a que se refiere el Informe, considerando en todos los casos las aportaciones y comentarios del Comité de Planeación para el Desarrollo Municipal, las cuales deberán constar en el acta, minuta o </w:t>
      </w:r>
      <w:r w:rsidRPr="005B73E3">
        <w:rPr>
          <w:rFonts w:eastAsia="Calibri" w:cs="Tahoma"/>
          <w:bCs/>
          <w:szCs w:val="22"/>
          <w:lang w:eastAsia="en-US"/>
        </w:rPr>
        <w:lastRenderedPageBreak/>
        <w:t>acuerdo correspondiente, en términos de lo establecido en el artículo 71 del Reglamento de la Ley de Planeación. Dicho documento, deberá remitirse en copia a la Subsecretaría de Planeación y Presupuesto de la Secretaría de Finanzas y al Comité de Planeación para el Desarrollo Municipal, a fin de establecer su vinculación con el Sistema de Planeación Democrática para el Desarrollo del Estado de México y Municipios.</w:t>
      </w:r>
    </w:p>
    <w:p w14:paraId="2A5E6A88" w14:textId="77777777" w:rsidR="00052100" w:rsidRPr="005B73E3" w:rsidRDefault="00052100" w:rsidP="005B73E3">
      <w:pPr>
        <w:ind w:right="-93"/>
        <w:rPr>
          <w:rFonts w:eastAsia="Calibri" w:cs="Tahoma"/>
          <w:bCs/>
          <w:szCs w:val="22"/>
          <w:lang w:eastAsia="en-US"/>
        </w:rPr>
      </w:pPr>
    </w:p>
    <w:p w14:paraId="0329A353" w14:textId="77777777" w:rsidR="00052100" w:rsidRPr="005B73E3" w:rsidRDefault="00052100" w:rsidP="005B73E3">
      <w:pPr>
        <w:ind w:right="-93"/>
        <w:rPr>
          <w:rFonts w:eastAsia="Calibri" w:cs="Tahoma"/>
          <w:bCs/>
          <w:szCs w:val="22"/>
          <w:lang w:eastAsia="en-US"/>
        </w:rPr>
      </w:pPr>
      <w:r w:rsidRPr="005B73E3">
        <w:rPr>
          <w:rFonts w:eastAsia="Calibri" w:cs="Tahoma"/>
          <w:bCs/>
          <w:szCs w:val="22"/>
          <w:lang w:eastAsia="en-US"/>
        </w:rPr>
        <w:t>Con el propósito de que la evaluación de avances y resultados de la ejecución del Plan de Desarrollo y los programas que de este documento rector se derivan (Programa Anual y otros), aborde los diferentes aspectos tanto cuantitativos como cualitativos que tienen que ver con el desarrollo de los proyectos, obras y acciones, dicho ejercicio deberá ser realizado a partir del análisis de cada una de las cuatro vertientes de avance que a continuación se enuncian:</w:t>
      </w:r>
    </w:p>
    <w:p w14:paraId="6F6B584E" w14:textId="77777777" w:rsidR="00052100" w:rsidRPr="005B73E3" w:rsidRDefault="00052100" w:rsidP="005B73E3">
      <w:pPr>
        <w:ind w:right="-93"/>
        <w:rPr>
          <w:rFonts w:eastAsia="Calibri" w:cs="Tahoma"/>
          <w:bCs/>
          <w:szCs w:val="22"/>
          <w:lang w:eastAsia="en-US"/>
        </w:rPr>
      </w:pPr>
    </w:p>
    <w:p w14:paraId="0427882D" w14:textId="77777777" w:rsidR="00052100" w:rsidRPr="005B73E3" w:rsidRDefault="00052100" w:rsidP="005B73E3">
      <w:pPr>
        <w:pStyle w:val="Prrafodelista"/>
        <w:numPr>
          <w:ilvl w:val="0"/>
          <w:numId w:val="46"/>
        </w:numPr>
        <w:ind w:right="-93"/>
        <w:contextualSpacing w:val="0"/>
        <w:rPr>
          <w:rFonts w:eastAsia="Calibri" w:cs="Tahoma"/>
          <w:bCs/>
        </w:rPr>
      </w:pPr>
      <w:r w:rsidRPr="005B73E3">
        <w:rPr>
          <w:rFonts w:eastAsia="Calibri" w:cs="Tahoma"/>
          <w:bCs/>
        </w:rPr>
        <w:t>En la ejecución de proyectos, obras y acciones relevantes,</w:t>
      </w:r>
    </w:p>
    <w:p w14:paraId="7B9FD6AC" w14:textId="77777777" w:rsidR="00052100" w:rsidRPr="005B73E3" w:rsidRDefault="00052100" w:rsidP="005B73E3">
      <w:pPr>
        <w:pStyle w:val="Prrafodelista"/>
        <w:numPr>
          <w:ilvl w:val="0"/>
          <w:numId w:val="46"/>
        </w:numPr>
        <w:ind w:right="-93"/>
        <w:contextualSpacing w:val="0"/>
        <w:rPr>
          <w:rFonts w:eastAsia="Calibri" w:cs="Tahoma"/>
          <w:bCs/>
        </w:rPr>
      </w:pPr>
      <w:r w:rsidRPr="005B73E3">
        <w:rPr>
          <w:rFonts w:eastAsia="Calibri" w:cs="Tahoma"/>
          <w:bCs/>
        </w:rPr>
        <w:t>De indicadores estratégicos y de gestión de la Matriz de Indicadores para Resultados por Programa presupuestario,</w:t>
      </w:r>
    </w:p>
    <w:p w14:paraId="3DFB8AC2" w14:textId="77777777" w:rsidR="00052100" w:rsidRPr="005B73E3" w:rsidRDefault="00052100" w:rsidP="005B73E3">
      <w:pPr>
        <w:pStyle w:val="Prrafodelista"/>
        <w:numPr>
          <w:ilvl w:val="0"/>
          <w:numId w:val="46"/>
        </w:numPr>
        <w:ind w:right="-93"/>
        <w:contextualSpacing w:val="0"/>
        <w:rPr>
          <w:rFonts w:eastAsia="Calibri" w:cs="Tahoma"/>
          <w:b/>
          <w:bCs/>
        </w:rPr>
      </w:pPr>
      <w:r w:rsidRPr="005B73E3">
        <w:rPr>
          <w:rFonts w:eastAsia="Calibri" w:cs="Tahoma"/>
          <w:b/>
          <w:bCs/>
        </w:rPr>
        <w:t>En el ejercicio del gasto público,</w:t>
      </w:r>
    </w:p>
    <w:p w14:paraId="7606FB22" w14:textId="77777777" w:rsidR="00052100" w:rsidRPr="005B73E3" w:rsidRDefault="00052100" w:rsidP="005B73E3">
      <w:pPr>
        <w:pStyle w:val="Prrafodelista"/>
        <w:numPr>
          <w:ilvl w:val="0"/>
          <w:numId w:val="46"/>
        </w:numPr>
        <w:ind w:right="-93"/>
        <w:contextualSpacing w:val="0"/>
        <w:rPr>
          <w:rFonts w:eastAsia="Calibri" w:cs="Tahoma"/>
          <w:bCs/>
        </w:rPr>
      </w:pPr>
      <w:r w:rsidRPr="005B73E3">
        <w:rPr>
          <w:rFonts w:eastAsia="Calibri" w:cs="Tahoma"/>
          <w:bCs/>
        </w:rPr>
        <w:t>En el cumplimiento de las demandas sociales.</w:t>
      </w:r>
    </w:p>
    <w:p w14:paraId="04DD2C36" w14:textId="77777777" w:rsidR="00052100" w:rsidRPr="005B73E3" w:rsidRDefault="00052100" w:rsidP="005B73E3">
      <w:pPr>
        <w:ind w:right="-93"/>
        <w:rPr>
          <w:rFonts w:eastAsia="Calibri" w:cs="Tahoma"/>
          <w:bCs/>
          <w:szCs w:val="22"/>
          <w:lang w:eastAsia="en-US"/>
        </w:rPr>
      </w:pPr>
    </w:p>
    <w:p w14:paraId="33F5B39D" w14:textId="77777777" w:rsidR="00052100" w:rsidRPr="005B73E3" w:rsidRDefault="00052100" w:rsidP="005B73E3">
      <w:pPr>
        <w:rPr>
          <w:rFonts w:cs="Tahoma"/>
          <w:szCs w:val="22"/>
        </w:rPr>
      </w:pPr>
      <w:r w:rsidRPr="005B73E3">
        <w:rPr>
          <w:rFonts w:eastAsia="Calibri" w:cs="Tahoma"/>
          <w:bCs/>
          <w:iCs/>
          <w:szCs w:val="22"/>
          <w:lang w:eastAsia="en-US"/>
        </w:rPr>
        <w:t xml:space="preserve">Aunado a lo anterior, la Guía Metodológica para el Seguimiento y Evaluación del Plan de Desarrollo Municipal vigente, </w:t>
      </w:r>
      <w:r w:rsidRPr="005B73E3">
        <w:rPr>
          <w:rFonts w:cs="Tahoma"/>
          <w:szCs w:val="22"/>
        </w:rPr>
        <w:t xml:space="preserve">en su apartado </w:t>
      </w:r>
      <w:r w:rsidRPr="005B73E3">
        <w:rPr>
          <w:rFonts w:cs="Tahoma"/>
          <w:i/>
          <w:szCs w:val="22"/>
        </w:rPr>
        <w:t xml:space="preserve">3.3. Integración del Informe Anual de Ejecución del Plan de Desarrollo Municipal </w:t>
      </w:r>
      <w:r w:rsidRPr="005B73E3">
        <w:rPr>
          <w:rFonts w:cs="Tahoma"/>
          <w:szCs w:val="22"/>
        </w:rPr>
        <w:t>establece que se deberá explicar el propósito y alcances que el gobierno local pretende lograr mediante el seguimiento, control y evaluación de los programas, proyectos, obras y acciones derivados del Plan de Desarrollo Municipal vigente y el Programa Anual; asimismo, se deberá describir de manera general el contenido de cada uno de los apartados que integran el Informe de Ejecución.</w:t>
      </w:r>
    </w:p>
    <w:p w14:paraId="73F85703" w14:textId="77777777" w:rsidR="00052100" w:rsidRPr="005B73E3" w:rsidRDefault="00052100" w:rsidP="005B73E3">
      <w:pPr>
        <w:spacing w:after="160" w:line="259" w:lineRule="auto"/>
        <w:jc w:val="left"/>
        <w:rPr>
          <w:rFonts w:eastAsia="Palatino Linotype" w:cs="Palatino Linotype"/>
          <w:szCs w:val="22"/>
        </w:rPr>
      </w:pPr>
      <w:r w:rsidRPr="005B73E3">
        <w:rPr>
          <w:rFonts w:eastAsia="Palatino Linotype" w:cs="Palatino Linotype"/>
          <w:szCs w:val="22"/>
        </w:rPr>
        <w:br w:type="page"/>
      </w:r>
    </w:p>
    <w:p w14:paraId="192F0B26" w14:textId="77777777" w:rsidR="00052100" w:rsidRPr="005B73E3" w:rsidRDefault="00052100" w:rsidP="005B73E3">
      <w:pPr>
        <w:rPr>
          <w:rFonts w:cs="Arial"/>
        </w:rPr>
      </w:pPr>
      <w:r w:rsidRPr="005B73E3">
        <w:rPr>
          <w:rFonts w:cs="Arial"/>
        </w:rPr>
        <w:lastRenderedPageBreak/>
        <w:t xml:space="preserve">Derivado de lo anterior, es importante traer a contexto el artículo 115 fracción IV, párrafo tercero de la Constitución Política de los Estados Unidos Mexicanos establece que: </w:t>
      </w:r>
    </w:p>
    <w:p w14:paraId="3CCB6A6D" w14:textId="77777777" w:rsidR="00052100" w:rsidRPr="005B73E3" w:rsidRDefault="00052100" w:rsidP="005B73E3">
      <w:pPr>
        <w:rPr>
          <w:rFonts w:cs="Arial"/>
        </w:rPr>
      </w:pPr>
    </w:p>
    <w:p w14:paraId="62BEA539"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r w:rsidRPr="005B73E3">
        <w:rPr>
          <w:rFonts w:cs="Arial"/>
          <w:b/>
          <w:i/>
          <w:szCs w:val="22"/>
          <w:lang w:val="es-ES"/>
        </w:rPr>
        <w:t>Artículo 115.</w:t>
      </w:r>
      <w:r w:rsidRPr="005B73E3">
        <w:rPr>
          <w:rFonts w:cs="Arial"/>
          <w:i/>
          <w:szCs w:val="22"/>
          <w:lang w:val="es-ES"/>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6D55C70"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p>
    <w:p w14:paraId="024821A3"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IV.</w:t>
      </w:r>
    </w:p>
    <w:p w14:paraId="243F21BD"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p>
    <w:p w14:paraId="24FE19FE"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 xml:space="preserve">Las legislaturas de los Estados aprobarán las leyes de ingresos de los municipios, revisarán y fiscalizarán sus cuentas públicas. </w:t>
      </w:r>
      <w:r w:rsidRPr="005B73E3">
        <w:rPr>
          <w:rFonts w:cs="Arial"/>
          <w:b/>
          <w:i/>
          <w:szCs w:val="22"/>
          <w:lang w:val="es-ES"/>
        </w:rPr>
        <w:t xml:space="preserve">Los presupuestos de egresos serán aprobados por los ayuntamientos con base en sus ingresos disponibles, y deberán incluir en los mismos, </w:t>
      </w:r>
      <w:r w:rsidRPr="005B73E3">
        <w:rPr>
          <w:rFonts w:cs="Arial"/>
          <w:i/>
          <w:szCs w:val="22"/>
          <w:lang w:val="es-ES"/>
        </w:rPr>
        <w:t xml:space="preserve">los tabuladores desglosados de las remuneraciones que perciban los servidores públicos municipales, sujetándose a lo dispuesto en el artículo 127 de esta Constitución” </w:t>
      </w:r>
    </w:p>
    <w:p w14:paraId="4337F6F2"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(Énfasis añadido)</w:t>
      </w:r>
    </w:p>
    <w:p w14:paraId="55097B4D" w14:textId="77777777" w:rsidR="00052100" w:rsidRPr="005B73E3" w:rsidRDefault="00052100" w:rsidP="005B73E3">
      <w:pPr>
        <w:rPr>
          <w:rFonts w:cs="Arial"/>
        </w:rPr>
      </w:pPr>
    </w:p>
    <w:p w14:paraId="67CC2D8F" w14:textId="77777777" w:rsidR="00052100" w:rsidRPr="005B73E3" w:rsidRDefault="00052100" w:rsidP="005B73E3">
      <w:pPr>
        <w:rPr>
          <w:rFonts w:cs="Arial"/>
        </w:rPr>
      </w:pPr>
      <w:r w:rsidRPr="005B73E3">
        <w:rPr>
          <w:rFonts w:cs="Arial"/>
        </w:rPr>
        <w:t xml:space="preserve">Asimismo, en el artículo 125 cuarto y quinto párrafos de la Constitución Política del Estado Libre y Soberano de México, dispone: </w:t>
      </w:r>
    </w:p>
    <w:p w14:paraId="1EFCB911" w14:textId="77777777" w:rsidR="00052100" w:rsidRPr="005B73E3" w:rsidRDefault="00052100" w:rsidP="005B73E3">
      <w:pPr>
        <w:rPr>
          <w:rFonts w:cs="Arial"/>
        </w:rPr>
      </w:pPr>
    </w:p>
    <w:p w14:paraId="60548D27"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r w:rsidRPr="005B73E3">
        <w:rPr>
          <w:rFonts w:cs="Arial"/>
          <w:b/>
          <w:i/>
          <w:szCs w:val="22"/>
          <w:lang w:val="es-ES"/>
        </w:rPr>
        <w:t>Artículo 125.-</w:t>
      </w:r>
      <w:r w:rsidRPr="005B73E3">
        <w:rPr>
          <w:rFonts w:cs="Arial"/>
          <w:i/>
          <w:szCs w:val="22"/>
          <w:lang w:val="es-ES"/>
        </w:rPr>
        <w:t xml:space="preserve"> Los municipios administrarán libremente su hacienda, la cual se formará de los rendimientos de los bienes que les pertenezcan, así como de las contribuciones y otros ingresos que la ley establezca, y en todo caso:</w:t>
      </w:r>
    </w:p>
    <w:p w14:paraId="26B7F20D"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p>
    <w:p w14:paraId="79CDB13D"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lastRenderedPageBreak/>
        <w:t xml:space="preserve">Los Ayuntamientos podrán celebrar sesiones extraordinarias de cabildo cuando la Ley de ingresos aprobada por la Legislatura, implique adecuaciones a su Presupuesto de Egresos, </w:t>
      </w:r>
      <w:proofErr w:type="spellStart"/>
      <w:r w:rsidRPr="005B73E3">
        <w:rPr>
          <w:rFonts w:cs="Arial"/>
          <w:i/>
          <w:szCs w:val="22"/>
          <w:lang w:val="es-ES"/>
        </w:rPr>
        <w:t>asi</w:t>
      </w:r>
      <w:proofErr w:type="spellEnd"/>
      <w:r w:rsidRPr="005B73E3">
        <w:rPr>
          <w:rFonts w:cs="Arial"/>
          <w:i/>
          <w:szCs w:val="22"/>
          <w:lang w:val="es-ES"/>
        </w:rPr>
        <w:t xml:space="preserve"> como por la asignación de las participaciones y aportaciones federales y estatales. Estas sesiones tendrán como único objeto concordar con el Presupuesto de Egresos. </w:t>
      </w:r>
      <w:r w:rsidRPr="005B73E3">
        <w:rPr>
          <w:rFonts w:cs="Arial"/>
          <w:b/>
          <w:i/>
          <w:szCs w:val="22"/>
          <w:lang w:val="es-ES"/>
        </w:rPr>
        <w:t>La Presidenta o el Presidente Municipal, promulgará y publicará el Presupuesto de Egresos Municipal, a más tardar el día 25 de febrero de cada año debiendo enviarlo al Órgano Superior de Fiscalización en la misma fecha</w:t>
      </w:r>
      <w:r w:rsidRPr="005B73E3">
        <w:rPr>
          <w:rFonts w:cs="Arial"/>
          <w:i/>
          <w:szCs w:val="22"/>
          <w:lang w:val="es-ES"/>
        </w:rPr>
        <w:t xml:space="preserve">. </w:t>
      </w:r>
    </w:p>
    <w:p w14:paraId="63156D2A"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 xml:space="preserve">El Presupuesto deberá incluir los tabuladores desglosados de las remuneraciones que perciban las y los servidores públicos municipales, sujetándose a lo dispuesto en el artículo 147 de esta Constitución.” </w:t>
      </w:r>
    </w:p>
    <w:p w14:paraId="4809D5C6"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(Énfasis añadido)</w:t>
      </w:r>
    </w:p>
    <w:p w14:paraId="3C5AEDE3" w14:textId="77777777" w:rsidR="00052100" w:rsidRPr="005B73E3" w:rsidRDefault="00052100" w:rsidP="005B73E3">
      <w:pPr>
        <w:rPr>
          <w:rFonts w:cs="Arial"/>
        </w:rPr>
      </w:pPr>
    </w:p>
    <w:p w14:paraId="0764F8F5" w14:textId="77777777" w:rsidR="00052100" w:rsidRPr="005B73E3" w:rsidRDefault="00052100" w:rsidP="005B73E3">
      <w:pPr>
        <w:rPr>
          <w:rFonts w:cs="Arial"/>
        </w:rPr>
      </w:pPr>
      <w:r w:rsidRPr="005B73E3">
        <w:rPr>
          <w:rFonts w:cs="Arial"/>
        </w:rPr>
        <w:t>Por su parte, el artículo 47 de la Ley de Fiscalización Superior del Estado de México indica que:</w:t>
      </w:r>
    </w:p>
    <w:p w14:paraId="47AF7A2A" w14:textId="77777777" w:rsidR="00052100" w:rsidRPr="005B73E3" w:rsidRDefault="00052100" w:rsidP="005B73E3">
      <w:pPr>
        <w:tabs>
          <w:tab w:val="left" w:pos="851"/>
        </w:tabs>
        <w:ind w:left="851" w:right="901"/>
        <w:rPr>
          <w:rFonts w:cs="Arial"/>
          <w:i/>
          <w:szCs w:val="22"/>
          <w:lang w:val="es-ES"/>
        </w:rPr>
      </w:pPr>
    </w:p>
    <w:p w14:paraId="31EE68B6"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r w:rsidRPr="005B73E3">
        <w:rPr>
          <w:rFonts w:cs="Arial"/>
          <w:b/>
          <w:i/>
          <w:szCs w:val="22"/>
          <w:lang w:val="es-ES"/>
        </w:rPr>
        <w:t>Artículo 47.-</w:t>
      </w:r>
      <w:r w:rsidRPr="005B73E3">
        <w:rPr>
          <w:rFonts w:cs="Arial"/>
          <w:i/>
          <w:szCs w:val="22"/>
          <w:lang w:val="es-ES"/>
        </w:rPr>
        <w:t xml:space="preserve"> </w:t>
      </w:r>
      <w:r w:rsidRPr="005B73E3">
        <w:rPr>
          <w:rFonts w:cs="Arial"/>
          <w:b/>
          <w:i/>
          <w:szCs w:val="22"/>
          <w:lang w:val="es-ES"/>
        </w:rPr>
        <w:t>Los</w:t>
      </w:r>
      <w:r w:rsidRPr="005B73E3">
        <w:rPr>
          <w:rFonts w:cs="Arial"/>
          <w:i/>
          <w:szCs w:val="22"/>
          <w:lang w:val="es-ES"/>
        </w:rPr>
        <w:t xml:space="preserve"> </w:t>
      </w:r>
      <w:r w:rsidRPr="005B73E3">
        <w:rPr>
          <w:rFonts w:cs="Arial"/>
          <w:b/>
          <w:i/>
          <w:szCs w:val="22"/>
          <w:lang w:val="es-ES"/>
        </w:rPr>
        <w:t>Presidentes Municipales y los Síndicos estarán obligados a informar al Órgano Superior, a más tardar el 25 de febrero de cada año, el Presupuesto de Egresos Municipal que haya aprobado el Ayuntamiento correspondiente</w:t>
      </w:r>
      <w:r w:rsidRPr="005B73E3">
        <w:rPr>
          <w:rFonts w:cs="Arial"/>
          <w:i/>
          <w:szCs w:val="22"/>
          <w:lang w:val="es-ES"/>
        </w:rPr>
        <w:t xml:space="preserve">.” </w:t>
      </w:r>
    </w:p>
    <w:p w14:paraId="2233E496"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(Énfasis añadido)</w:t>
      </w:r>
    </w:p>
    <w:p w14:paraId="3BD5197F" w14:textId="77777777" w:rsidR="00052100" w:rsidRPr="005B73E3" w:rsidRDefault="00052100" w:rsidP="005B73E3">
      <w:pPr>
        <w:tabs>
          <w:tab w:val="left" w:pos="851"/>
        </w:tabs>
        <w:ind w:right="901"/>
        <w:rPr>
          <w:rFonts w:cs="Arial"/>
          <w:i/>
          <w:szCs w:val="22"/>
          <w:lang w:val="es-ES"/>
        </w:rPr>
      </w:pPr>
    </w:p>
    <w:p w14:paraId="793FF027" w14:textId="77777777" w:rsidR="00052100" w:rsidRPr="005B73E3" w:rsidRDefault="00052100" w:rsidP="005B73E3">
      <w:pPr>
        <w:rPr>
          <w:rFonts w:cs="Arial"/>
        </w:rPr>
      </w:pPr>
      <w:r w:rsidRPr="005B73E3">
        <w:rPr>
          <w:rFonts w:cs="Arial"/>
        </w:rPr>
        <w:t>Aunado a lo anterior, el artículo 351 segundo párrafo del Código Financiero del Estado de México y Municipios establece que:</w:t>
      </w:r>
    </w:p>
    <w:p w14:paraId="24ED1243" w14:textId="77777777" w:rsidR="00052100" w:rsidRPr="005B73E3" w:rsidRDefault="00052100" w:rsidP="005B73E3">
      <w:pPr>
        <w:tabs>
          <w:tab w:val="left" w:pos="851"/>
        </w:tabs>
        <w:ind w:right="901"/>
      </w:pPr>
    </w:p>
    <w:p w14:paraId="35E26530"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w:t>
      </w:r>
      <w:r w:rsidRPr="005B73E3">
        <w:rPr>
          <w:rFonts w:cs="Arial"/>
          <w:b/>
          <w:i/>
          <w:szCs w:val="22"/>
          <w:lang w:val="es-ES"/>
        </w:rPr>
        <w:t>Artículo 351.</w:t>
      </w:r>
      <w:proofErr w:type="gramStart"/>
      <w:r w:rsidRPr="005B73E3">
        <w:rPr>
          <w:rFonts w:cs="Arial"/>
          <w:b/>
          <w:i/>
          <w:szCs w:val="22"/>
          <w:lang w:val="es-ES"/>
        </w:rPr>
        <w:t>-</w:t>
      </w:r>
      <w:r w:rsidRPr="005B73E3">
        <w:rPr>
          <w:rFonts w:cs="Arial"/>
          <w:i/>
          <w:szCs w:val="22"/>
          <w:lang w:val="es-ES"/>
        </w:rPr>
        <w:t xml:space="preserve"> …</w:t>
      </w:r>
      <w:proofErr w:type="gramEnd"/>
    </w:p>
    <w:p w14:paraId="4950BBE7" w14:textId="77777777" w:rsidR="00052100" w:rsidRPr="005B73E3" w:rsidRDefault="00052100" w:rsidP="005B73E3">
      <w:pPr>
        <w:tabs>
          <w:tab w:val="left" w:pos="851"/>
        </w:tabs>
        <w:ind w:left="851" w:right="901"/>
        <w:rPr>
          <w:rFonts w:cs="Arial"/>
          <w:i/>
          <w:szCs w:val="22"/>
          <w:lang w:val="es-ES"/>
        </w:rPr>
      </w:pPr>
      <w:r w:rsidRPr="005B73E3">
        <w:rPr>
          <w:rFonts w:cs="Arial"/>
          <w:b/>
          <w:i/>
          <w:szCs w:val="22"/>
          <w:lang w:val="es-ES"/>
        </w:rPr>
        <w:lastRenderedPageBreak/>
        <w:t xml:space="preserve">Los Ayuntamientos al aprobar en forma definitiva su presupuesto de egresos, deberán publicar en la "Gaceta Municipal" </w:t>
      </w:r>
      <w:r w:rsidRPr="005B73E3">
        <w:rPr>
          <w:rFonts w:cs="Arial"/>
          <w:i/>
          <w:szCs w:val="22"/>
          <w:lang w:val="es-ES"/>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3945621D" w14:textId="77777777" w:rsidR="00052100" w:rsidRPr="005B73E3" w:rsidRDefault="00052100" w:rsidP="005B73E3">
      <w:pPr>
        <w:tabs>
          <w:tab w:val="left" w:pos="851"/>
        </w:tabs>
        <w:ind w:left="851" w:right="901"/>
        <w:rPr>
          <w:rFonts w:cs="Arial"/>
          <w:i/>
          <w:szCs w:val="22"/>
          <w:lang w:val="es-ES"/>
        </w:rPr>
      </w:pPr>
      <w:r w:rsidRPr="005B73E3">
        <w:rPr>
          <w:rFonts w:cs="Arial"/>
          <w:i/>
          <w:szCs w:val="22"/>
          <w:lang w:val="es-ES"/>
        </w:rPr>
        <w:t>(Énfasis añadido)</w:t>
      </w:r>
    </w:p>
    <w:p w14:paraId="35D1BA2B" w14:textId="77777777" w:rsidR="00052100" w:rsidRPr="005B73E3" w:rsidRDefault="00052100" w:rsidP="005B73E3">
      <w:pPr>
        <w:tabs>
          <w:tab w:val="left" w:pos="851"/>
        </w:tabs>
        <w:ind w:right="901"/>
      </w:pPr>
    </w:p>
    <w:p w14:paraId="49DFCFF9" w14:textId="77777777" w:rsidR="00052100" w:rsidRPr="005B73E3" w:rsidRDefault="00052100" w:rsidP="005B73E3">
      <w:pPr>
        <w:rPr>
          <w:rFonts w:cs="Arial"/>
        </w:rPr>
      </w:pPr>
      <w:r w:rsidRPr="005B73E3">
        <w:rPr>
          <w:rFonts w:eastAsia="Calibri" w:cs="Tahoma"/>
          <w:iCs/>
          <w:szCs w:val="22"/>
          <w:lang w:val="es-ES" w:eastAsia="es-ES_tradnl"/>
        </w:rPr>
        <w:t>E</w:t>
      </w:r>
      <w:r w:rsidRPr="005B73E3">
        <w:rPr>
          <w:rFonts w:cs="Tahoma"/>
          <w:szCs w:val="22"/>
          <w:lang w:val="es-ES"/>
        </w:rPr>
        <w:t xml:space="preserve">stablecido lo anterior, </w:t>
      </w:r>
      <w:r w:rsidRPr="005B73E3">
        <w:rPr>
          <w:rFonts w:eastAsia="Calibri" w:cs="Tahoma"/>
          <w:bCs/>
          <w:szCs w:val="22"/>
          <w:lang w:eastAsia="en-US"/>
        </w:rPr>
        <w:t xml:space="preserve">se trae a colación el párrafo tercero del artículo 285, del Código Financiero del Estado de México y Municipios, que precisa que el Ayuntamiento es el encargado de aprobar el Presupuesto de Egresos del Municipio., </w:t>
      </w:r>
      <w:r w:rsidRPr="005B73E3">
        <w:rPr>
          <w:rFonts w:cs="Arial"/>
        </w:rPr>
        <w:t xml:space="preserve">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2A3A60D2" w14:textId="77777777" w:rsidR="00052100" w:rsidRPr="005B73E3" w:rsidRDefault="00052100" w:rsidP="005B73E3">
      <w:pPr>
        <w:ind w:right="-93"/>
        <w:rPr>
          <w:rFonts w:eastAsia="Calibri" w:cs="Tahoma"/>
          <w:bCs/>
          <w:szCs w:val="22"/>
          <w:lang w:eastAsia="en-US"/>
        </w:rPr>
      </w:pPr>
    </w:p>
    <w:p w14:paraId="1CA11835" w14:textId="77777777" w:rsidR="00052100" w:rsidRPr="005B73E3" w:rsidRDefault="00052100" w:rsidP="005B73E3">
      <w:pPr>
        <w:ind w:right="-93"/>
        <w:rPr>
          <w:rFonts w:eastAsia="Calibri" w:cs="Tahoma"/>
          <w:bCs/>
          <w:szCs w:val="22"/>
          <w:lang w:eastAsia="en-US"/>
        </w:rPr>
      </w:pPr>
      <w:r w:rsidRPr="005B73E3">
        <w:rPr>
          <w:rFonts w:eastAsia="Calibri" w:cs="Tahoma"/>
          <w:bCs/>
          <w:szCs w:val="22"/>
          <w:lang w:eastAsia="en-US"/>
        </w:rPr>
        <w:t>En el mismo sentido, el artículo 31, fracción XIX, de la Ley Orgánica Municipal del Estado de México, establece que los Ayuntamientos serán los encargados de aprobar anualmente, el Presupuesto de Egresos, con base a los ingresos presupuestados para el ejercicio de corresponda; además de señalar la remuneración de todo tipo que corresponde a un empleo, cargo o comisión de cualquier naturaleza.</w:t>
      </w:r>
    </w:p>
    <w:p w14:paraId="6B2A5A68" w14:textId="77777777" w:rsidR="00052100" w:rsidRPr="005B73E3" w:rsidRDefault="00052100" w:rsidP="005B73E3">
      <w:pPr>
        <w:ind w:right="-93"/>
        <w:rPr>
          <w:rFonts w:eastAsia="Calibri" w:cs="Tahoma"/>
          <w:bCs/>
          <w:szCs w:val="22"/>
          <w:lang w:eastAsia="en-US"/>
        </w:rPr>
      </w:pPr>
    </w:p>
    <w:p w14:paraId="52DB279D" w14:textId="77777777" w:rsidR="00052100" w:rsidRPr="005B73E3" w:rsidRDefault="00052100" w:rsidP="005B73E3">
      <w:pPr>
        <w:pStyle w:val="Prrafodelista"/>
        <w:widowControl w:val="0"/>
        <w:autoSpaceDE w:val="0"/>
        <w:autoSpaceDN w:val="0"/>
        <w:adjustRightInd w:val="0"/>
        <w:ind w:left="0"/>
        <w:rPr>
          <w:rFonts w:eastAsia="Calibri" w:cs="Arial"/>
        </w:rPr>
      </w:pPr>
      <w:r w:rsidRPr="005B73E3">
        <w:rPr>
          <w:rFonts w:cs="Arial"/>
        </w:rPr>
        <w:t xml:space="preserve">Asimismo, es importante destacar que </w:t>
      </w:r>
      <w:r w:rsidRPr="005B73E3">
        <w:rPr>
          <w:rFonts w:eastAsia="Calibri" w:cs="Arial"/>
        </w:rPr>
        <w:t xml:space="preserve">Manual para la Planeación, Programación y </w:t>
      </w:r>
      <w:r w:rsidRPr="005B73E3">
        <w:rPr>
          <w:rFonts w:eastAsia="Calibri" w:cs="Arial"/>
        </w:rPr>
        <w:lastRenderedPageBreak/>
        <w:t>Presupuesto de Egresos Municipal para el ejercicio fiscal de 2023</w:t>
      </w:r>
      <w:r w:rsidRPr="005B73E3">
        <w:rPr>
          <w:rStyle w:val="Refdenotaalpie"/>
          <w:rFonts w:eastAsia="Calibri" w:cs="Arial"/>
        </w:rPr>
        <w:footnoteReference w:id="3"/>
      </w:r>
      <w:r w:rsidRPr="005B73E3">
        <w:rPr>
          <w:rFonts w:eastAsia="Calibri" w:cs="Arial"/>
        </w:rPr>
        <w:t xml:space="preserve">, define al presupuesto municipal de acuerdo con lo establecido en el artículo 285 del Código Financiero del Estado de México y Municipios, </w:t>
      </w:r>
      <w:r w:rsidRPr="005B73E3">
        <w:t>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p>
    <w:p w14:paraId="3C8B982A" w14:textId="77777777" w:rsidR="00052100" w:rsidRPr="005B73E3" w:rsidRDefault="00052100" w:rsidP="005B73E3">
      <w:pPr>
        <w:pStyle w:val="Prrafodelista"/>
        <w:widowControl w:val="0"/>
        <w:autoSpaceDE w:val="0"/>
        <w:autoSpaceDN w:val="0"/>
        <w:adjustRightInd w:val="0"/>
        <w:ind w:left="0"/>
        <w:rPr>
          <w:rFonts w:eastAsia="Calibri" w:cs="Arial"/>
        </w:rPr>
      </w:pPr>
    </w:p>
    <w:p w14:paraId="52594CD6" w14:textId="77777777" w:rsidR="00052100" w:rsidRPr="005B73E3" w:rsidRDefault="00052100" w:rsidP="005B73E3">
      <w:pPr>
        <w:rPr>
          <w:rFonts w:eastAsia="Calibri" w:cs="Arial"/>
        </w:rPr>
      </w:pPr>
      <w:r w:rsidRPr="005B73E3">
        <w:rPr>
          <w:rFonts w:eastAsia="Calibri" w:cs="Arial"/>
        </w:rPr>
        <w:t>Para las administraciones municipales, el Presupuesto basado en Resultados (</w:t>
      </w:r>
      <w:proofErr w:type="spellStart"/>
      <w:r w:rsidRPr="005B73E3">
        <w:rPr>
          <w:rFonts w:eastAsia="Calibri" w:cs="Arial"/>
        </w:rPr>
        <w:t>PbR</w:t>
      </w:r>
      <w:proofErr w:type="spellEnd"/>
      <w:r w:rsidRPr="005B73E3">
        <w:rPr>
          <w:rFonts w:eastAsia="Calibri" w:cs="Arial"/>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46E595D1" w14:textId="77777777" w:rsidR="00052100" w:rsidRPr="005B73E3" w:rsidRDefault="00052100" w:rsidP="005B73E3">
      <w:pPr>
        <w:ind w:right="-93"/>
        <w:rPr>
          <w:rFonts w:eastAsia="Calibri" w:cs="Tahoma"/>
          <w:bCs/>
          <w:szCs w:val="22"/>
          <w:lang w:eastAsia="en-US"/>
        </w:rPr>
      </w:pPr>
    </w:p>
    <w:p w14:paraId="70B1583A" w14:textId="77777777" w:rsidR="00052100" w:rsidRPr="005B73E3" w:rsidRDefault="00052100" w:rsidP="005B73E3">
      <w:pPr>
        <w:ind w:right="-93"/>
        <w:rPr>
          <w:rFonts w:eastAsia="Calibri" w:cs="Tahoma"/>
          <w:bCs/>
          <w:szCs w:val="22"/>
          <w:lang w:eastAsia="en-US"/>
        </w:rPr>
      </w:pPr>
      <w:r w:rsidRPr="005B73E3">
        <w:rPr>
          <w:rFonts w:eastAsia="Calibri" w:cs="Tahoma"/>
          <w:bCs/>
          <w:szCs w:val="22"/>
          <w:lang w:eastAsia="en-US"/>
        </w:rPr>
        <w:t>En ese contexto, de conformidad con el artículo 100 y 101, fracción II, de la Ley Orgánica Municipal del Estado de México, el Presupuesto de Egresos, deberá contener las previsiones de gasto público y se conformará, entre otras cosas, por la estimación de los ingresos y gastos del ejercicio fiscal calendarizados.</w:t>
      </w:r>
    </w:p>
    <w:p w14:paraId="5E929916" w14:textId="77777777" w:rsidR="00052100" w:rsidRPr="005B73E3" w:rsidRDefault="00052100" w:rsidP="005B73E3">
      <w:pPr>
        <w:rPr>
          <w:rFonts w:eastAsia="Calibri" w:cs="Tahoma"/>
          <w:iCs/>
          <w:szCs w:val="22"/>
          <w:lang w:eastAsia="es-ES_tradnl"/>
        </w:rPr>
      </w:pPr>
    </w:p>
    <w:p w14:paraId="3907D01D" w14:textId="77777777" w:rsidR="00052100" w:rsidRPr="005B73E3" w:rsidRDefault="00052100" w:rsidP="005B73E3">
      <w:pPr>
        <w:rPr>
          <w:rFonts w:cs="Tahoma"/>
          <w:szCs w:val="22"/>
        </w:rPr>
      </w:pPr>
      <w:r w:rsidRPr="005B73E3">
        <w:rPr>
          <w:rFonts w:eastAsia="Calibri" w:cs="Tahoma"/>
          <w:bCs/>
          <w:iCs/>
          <w:szCs w:val="22"/>
          <w:lang w:val="es-ES" w:eastAsia="en-US"/>
        </w:rPr>
        <w:t>Aunado a lo anterior, el Manual para la Planeación, Programación y Presupuesto de Egresos Municipal para el ejercicio fiscal dos mil veintitrés</w:t>
      </w:r>
      <w:r w:rsidRPr="005B73E3">
        <w:rPr>
          <w:rFonts w:cs="Tahoma"/>
          <w:szCs w:val="22"/>
        </w:rPr>
        <w:t xml:space="preserve"> en su apartado de Introducción, precisa que tiene como propósito, apoyar a los Ayuntamientos y entidades públicas municipales, para </w:t>
      </w:r>
      <w:r w:rsidRPr="005B73E3">
        <w:rPr>
          <w:rFonts w:cs="Tahoma"/>
          <w:szCs w:val="22"/>
        </w:rPr>
        <w:lastRenderedPageBreak/>
        <w:t>integrar el Anteproyecto y Proyecto de Presupuesto de Egresos Municipal, proceso que ocurre en tres etapas, siendo las siguientes:</w:t>
      </w:r>
    </w:p>
    <w:p w14:paraId="7BC7AA52" w14:textId="77777777" w:rsidR="00052100" w:rsidRPr="005B73E3" w:rsidRDefault="00052100" w:rsidP="005B73E3">
      <w:pPr>
        <w:numPr>
          <w:ilvl w:val="0"/>
          <w:numId w:val="47"/>
        </w:numPr>
        <w:pBdr>
          <w:top w:val="nil"/>
          <w:left w:val="nil"/>
          <w:bottom w:val="nil"/>
          <w:right w:val="nil"/>
          <w:between w:val="nil"/>
        </w:pBdr>
        <w:spacing w:before="240"/>
        <w:ind w:right="51"/>
        <w:rPr>
          <w:rFonts w:eastAsia="Palatino Linotype" w:cs="Palatino Linotype"/>
        </w:rPr>
      </w:pPr>
      <w:r w:rsidRPr="005B73E3">
        <w:rPr>
          <w:rFonts w:eastAsia="Palatino Linotype" w:cs="Palatino Linotype"/>
        </w:rPr>
        <w:t>Anteproyecto de presupuesto de egresos municipal.</w:t>
      </w:r>
    </w:p>
    <w:p w14:paraId="35DDF810" w14:textId="77777777" w:rsidR="00052100" w:rsidRPr="005B73E3" w:rsidRDefault="00052100" w:rsidP="005B73E3">
      <w:pPr>
        <w:numPr>
          <w:ilvl w:val="0"/>
          <w:numId w:val="47"/>
        </w:numPr>
        <w:pBdr>
          <w:top w:val="nil"/>
          <w:left w:val="nil"/>
          <w:bottom w:val="nil"/>
          <w:right w:val="nil"/>
          <w:between w:val="nil"/>
        </w:pBdr>
        <w:ind w:right="51"/>
        <w:rPr>
          <w:rFonts w:eastAsia="Palatino Linotype" w:cs="Palatino Linotype"/>
        </w:rPr>
      </w:pPr>
      <w:r w:rsidRPr="005B73E3">
        <w:rPr>
          <w:rFonts w:eastAsia="Palatino Linotype" w:cs="Palatino Linotype"/>
        </w:rPr>
        <w:t>Proyecto de egresos municipal.</w:t>
      </w:r>
    </w:p>
    <w:p w14:paraId="1F82436C" w14:textId="77777777" w:rsidR="00052100" w:rsidRPr="005B73E3" w:rsidRDefault="00052100" w:rsidP="005B73E3">
      <w:pPr>
        <w:numPr>
          <w:ilvl w:val="0"/>
          <w:numId w:val="47"/>
        </w:numPr>
        <w:pBdr>
          <w:top w:val="nil"/>
          <w:left w:val="nil"/>
          <w:bottom w:val="nil"/>
          <w:right w:val="nil"/>
          <w:between w:val="nil"/>
        </w:pBdr>
        <w:spacing w:after="240"/>
        <w:ind w:right="51"/>
        <w:rPr>
          <w:rFonts w:eastAsia="Palatino Linotype" w:cs="Palatino Linotype"/>
        </w:rPr>
      </w:pPr>
      <w:r w:rsidRPr="005B73E3">
        <w:rPr>
          <w:rFonts w:eastAsia="Palatino Linotype" w:cs="Palatino Linotype"/>
        </w:rPr>
        <w:t>Publicación del presupuesto de egresos municipal.</w:t>
      </w:r>
    </w:p>
    <w:p w14:paraId="63615642" w14:textId="77777777" w:rsidR="00052100" w:rsidRPr="005B73E3" w:rsidRDefault="00052100" w:rsidP="005B73E3">
      <w:pPr>
        <w:spacing w:before="240" w:after="240"/>
        <w:ind w:right="49"/>
        <w:rPr>
          <w:rFonts w:eastAsia="Palatino Linotype" w:cs="Palatino Linotype"/>
        </w:rPr>
      </w:pPr>
      <w:r w:rsidRPr="005B73E3">
        <w:rPr>
          <w:rFonts w:eastAsia="Palatino Linotype" w:cs="Palatino Linotype"/>
        </w:rPr>
        <w:t>Atento a lo anterior, se colige que la materia de la solicitud que nos ocupa se refiere a documentación que se generó desde la primera etapa del presupuesto, es decir, el anteproyecto, y hasta su informe anual 2023, así como los formatos firmados y sellados en copia simple y formato digital de los siguientes: 01a, 02a, 04a, 04b, 09a, 11a y 13a</w:t>
      </w:r>
      <w:proofErr w:type="gramStart"/>
      <w:r w:rsidRPr="005B73E3">
        <w:rPr>
          <w:rFonts w:eastAsia="Palatino Linotype" w:cs="Palatino Linotype"/>
        </w:rPr>
        <w:t>..</w:t>
      </w:r>
      <w:proofErr w:type="gramEnd"/>
    </w:p>
    <w:p w14:paraId="2836FB85" w14:textId="77777777" w:rsidR="00052100" w:rsidRPr="005B73E3" w:rsidRDefault="00052100" w:rsidP="005B73E3">
      <w:pPr>
        <w:spacing w:before="240" w:after="240"/>
        <w:ind w:right="49"/>
        <w:rPr>
          <w:rFonts w:eastAsia="Palatino Linotype" w:cs="Palatino Linotype"/>
        </w:rPr>
      </w:pPr>
      <w:r w:rsidRPr="005B73E3">
        <w:rPr>
          <w:rFonts w:eastAsia="Palatino Linotype" w:cs="Palatino Linotype"/>
        </w:rPr>
        <w:t>En este sentido, los artículos 295 y 298, párrafo tercero del Código Financiero disponen lo siguiente:</w:t>
      </w:r>
    </w:p>
    <w:p w14:paraId="605BD31D" w14:textId="77777777" w:rsidR="00052100" w:rsidRPr="005B73E3" w:rsidRDefault="00052100" w:rsidP="005B73E3">
      <w:pPr>
        <w:spacing w:before="240" w:after="240"/>
        <w:ind w:left="851" w:right="900"/>
        <w:rPr>
          <w:rFonts w:eastAsia="Palatino Linotype" w:cs="Palatino Linotype"/>
          <w:i/>
          <w:szCs w:val="22"/>
        </w:rPr>
      </w:pPr>
      <w:r w:rsidRPr="005B73E3">
        <w:rPr>
          <w:rFonts w:eastAsia="Palatino Linotype" w:cs="Palatino Linotype"/>
          <w:i/>
          <w:szCs w:val="22"/>
        </w:rPr>
        <w:t>“</w:t>
      </w:r>
      <w:r w:rsidRPr="005B73E3">
        <w:rPr>
          <w:rFonts w:eastAsia="Palatino Linotype" w:cs="Palatino Linotype"/>
          <w:b/>
          <w:i/>
          <w:szCs w:val="22"/>
        </w:rPr>
        <w:t>Artículo 295</w:t>
      </w:r>
      <w:r w:rsidRPr="005B73E3">
        <w:rPr>
          <w:rFonts w:eastAsia="Palatino Linotype" w:cs="Palatino Linotype"/>
          <w:i/>
          <w:szCs w:val="22"/>
        </w:rPr>
        <w:t xml:space="preserve">.- </w:t>
      </w:r>
      <w:r w:rsidRPr="005B73E3">
        <w:rPr>
          <w:rFonts w:eastAsia="Palatino Linotype" w:cs="Palatino Linotype"/>
          <w:b/>
          <w:i/>
          <w:szCs w:val="22"/>
        </w:rPr>
        <w:t>A más tardar el primer día hábil del mes de octubre, la Secretaría dará a conocer el Manual para la Formulación del Anteproyecto de Presupuesto</w:t>
      </w:r>
      <w:r w:rsidRPr="005B73E3">
        <w:rPr>
          <w:rFonts w:eastAsia="Palatino Linotype" w:cs="Palatino Linotype"/>
          <w:i/>
          <w:szCs w:val="22"/>
        </w:rPr>
        <w:t xml:space="preserve"> a los Entes Públicos de acuerdo a su naturaleza jurídica y según corresponda, solicitará la elaboración del Anteproyecto de Presupuesto correspondiente. </w:t>
      </w:r>
    </w:p>
    <w:p w14:paraId="3DBEE969" w14:textId="77777777" w:rsidR="00052100" w:rsidRPr="005B73E3" w:rsidRDefault="00052100" w:rsidP="005B73E3">
      <w:pPr>
        <w:spacing w:before="240" w:after="240"/>
        <w:ind w:left="851" w:right="900"/>
        <w:rPr>
          <w:rFonts w:eastAsia="Palatino Linotype" w:cs="Palatino Linotype"/>
          <w:i/>
          <w:szCs w:val="22"/>
        </w:rPr>
      </w:pPr>
      <w:r w:rsidRPr="005B73E3">
        <w:rPr>
          <w:rFonts w:eastAsia="Palatino Linotype" w:cs="Palatino Linotype"/>
          <w:b/>
          <w:i/>
          <w:szCs w:val="22"/>
        </w:rPr>
        <w:t>En el caso de los municipios, la comunicación, la realizará la Tesorería, en coordinación con la Unidad de Información, Planeación, Programación y Evaluación, la Unidad Administrativa o servidores públicos responsables de realizar estas funciones</w:t>
      </w:r>
      <w:r w:rsidRPr="005B73E3">
        <w:rPr>
          <w:rFonts w:eastAsia="Palatino Linotype" w:cs="Palatino Linotype"/>
          <w:i/>
          <w:szCs w:val="22"/>
        </w:rPr>
        <w:t xml:space="preserve">, con base en las disposiciones que se aprueben en materia de planeación, programación, </w:t>
      </w:r>
      <w:proofErr w:type="spellStart"/>
      <w:r w:rsidRPr="005B73E3">
        <w:rPr>
          <w:rFonts w:eastAsia="Palatino Linotype" w:cs="Palatino Linotype"/>
          <w:i/>
          <w:szCs w:val="22"/>
        </w:rPr>
        <w:t>presupuestación</w:t>
      </w:r>
      <w:proofErr w:type="spellEnd"/>
      <w:r w:rsidRPr="005B73E3">
        <w:rPr>
          <w:rFonts w:eastAsia="Palatino Linotype" w:cs="Palatino Linotype"/>
          <w:i/>
          <w:szCs w:val="22"/>
        </w:rPr>
        <w:t>, evaluación y contabilidad gubernamental.</w:t>
      </w:r>
    </w:p>
    <w:p w14:paraId="600D2DDF" w14:textId="77777777" w:rsidR="00052100" w:rsidRPr="005B73E3" w:rsidRDefault="00052100" w:rsidP="005B73E3">
      <w:pPr>
        <w:spacing w:before="240" w:after="240"/>
        <w:ind w:left="851" w:right="900"/>
        <w:rPr>
          <w:rFonts w:eastAsia="Palatino Linotype" w:cs="Palatino Linotype"/>
          <w:i/>
          <w:sz w:val="20"/>
        </w:rPr>
      </w:pPr>
      <w:r w:rsidRPr="005B73E3">
        <w:rPr>
          <w:rFonts w:eastAsia="Palatino Linotype" w:cs="Palatino Linotype"/>
          <w:b/>
          <w:i/>
          <w:szCs w:val="22"/>
        </w:rPr>
        <w:lastRenderedPageBreak/>
        <w:t>Artículo 296</w:t>
      </w:r>
      <w:r w:rsidRPr="005B73E3">
        <w:rPr>
          <w:rFonts w:eastAsia="Palatino Linotype" w:cs="Palatino Linotype"/>
          <w:i/>
          <w:szCs w:val="22"/>
        </w:rPr>
        <w:t xml:space="preserve">.- Los Entes Públicos, de acuerdo con su naturaleza jurídica y según corresponda, </w:t>
      </w:r>
      <w:r w:rsidRPr="005B73E3">
        <w:rPr>
          <w:rFonts w:eastAsia="Palatino Linotype" w:cs="Palatino Linotype"/>
          <w:b/>
          <w:i/>
          <w:szCs w:val="22"/>
        </w:rPr>
        <w:t>deberán formular su Anteproyecto de Presupuesto de Egresos en apego a lo dispuesto por el Manual para la Formulación del Anteproyecto de Presupuesto,</w:t>
      </w:r>
      <w:r w:rsidRPr="005B73E3">
        <w:rPr>
          <w:rFonts w:eastAsia="Palatino Linotype" w:cs="Palatino Linotype"/>
          <w:i/>
          <w:szCs w:val="22"/>
        </w:rPr>
        <w:t xml:space="preserve"> el cual tiene por objeto establecer cuáles serán los términos y requerimientos generales que deberán observar en el proceso de formulación del Anteproyecto de Presupuesto que corresponda</w:t>
      </w:r>
    </w:p>
    <w:p w14:paraId="74A59DD9" w14:textId="77777777" w:rsidR="00052100" w:rsidRPr="005B73E3" w:rsidRDefault="00052100" w:rsidP="005B73E3">
      <w:pPr>
        <w:spacing w:before="240" w:after="240"/>
        <w:ind w:left="851" w:right="900"/>
        <w:rPr>
          <w:rFonts w:eastAsia="Palatino Linotype" w:cs="Palatino Linotype"/>
          <w:i/>
          <w:szCs w:val="22"/>
        </w:rPr>
      </w:pPr>
      <w:r w:rsidRPr="005B73E3">
        <w:rPr>
          <w:rFonts w:eastAsia="Palatino Linotype" w:cs="Palatino Linotype"/>
          <w:i/>
          <w:szCs w:val="22"/>
        </w:rPr>
        <w:t>...</w:t>
      </w:r>
    </w:p>
    <w:p w14:paraId="10A585DF" w14:textId="77777777" w:rsidR="00052100" w:rsidRPr="005B73E3" w:rsidRDefault="00052100" w:rsidP="005B73E3">
      <w:pPr>
        <w:spacing w:before="240" w:after="240"/>
        <w:ind w:left="851" w:right="900"/>
        <w:rPr>
          <w:rFonts w:eastAsia="Palatino Linotype" w:cs="Palatino Linotype"/>
          <w:i/>
          <w:szCs w:val="22"/>
        </w:rPr>
      </w:pPr>
      <w:r w:rsidRPr="005B73E3">
        <w:rPr>
          <w:rFonts w:eastAsia="Palatino Linotype" w:cs="Palatino Linotype"/>
          <w:b/>
          <w:i/>
          <w:szCs w:val="22"/>
        </w:rPr>
        <w:t>Artículo 298</w:t>
      </w:r>
      <w:r w:rsidRPr="005B73E3">
        <w:rPr>
          <w:rFonts w:eastAsia="Palatino Linotype" w:cs="Palatino Linotype"/>
          <w:i/>
          <w:szCs w:val="22"/>
        </w:rPr>
        <w:t>...</w:t>
      </w:r>
    </w:p>
    <w:p w14:paraId="390D6F30" w14:textId="77777777" w:rsidR="00052100" w:rsidRPr="005B73E3" w:rsidRDefault="00052100" w:rsidP="005B73E3">
      <w:pPr>
        <w:spacing w:before="240" w:after="240"/>
        <w:ind w:left="851" w:right="900"/>
        <w:rPr>
          <w:rFonts w:eastAsia="Palatino Linotype" w:cs="Palatino Linotype"/>
          <w:i/>
          <w:szCs w:val="22"/>
        </w:rPr>
      </w:pPr>
      <w:r w:rsidRPr="005B73E3">
        <w:rPr>
          <w:rFonts w:eastAsia="Palatino Linotype" w:cs="Palatino Linotype"/>
          <w:b/>
          <w:i/>
          <w:szCs w:val="22"/>
          <w:u w:val="single"/>
        </w:rPr>
        <w:t>Las unidades administrativas</w:t>
      </w:r>
      <w:r w:rsidRPr="005B73E3">
        <w:rPr>
          <w:rFonts w:eastAsia="Palatino Linotype" w:cs="Palatino Linotype"/>
          <w:b/>
          <w:i/>
          <w:szCs w:val="22"/>
        </w:rPr>
        <w:t xml:space="preserve"> de los Municipios enviarán su anteproyecto de presupuesto a la Tesorería para ser revisado con la Unidad de Información, Planeación, Programación y Evaluación</w:t>
      </w:r>
      <w:r w:rsidRPr="005B73E3">
        <w:rPr>
          <w:rFonts w:eastAsia="Palatino Linotype" w:cs="Palatino Linotype"/>
          <w:i/>
          <w:szCs w:val="22"/>
        </w:rPr>
        <w:t xml:space="preserve">, o la Unidad Administrativa responsable de realizar estas funciones. Dichas unidades </w:t>
      </w:r>
      <w:r w:rsidRPr="005B73E3">
        <w:rPr>
          <w:rFonts w:eastAsia="Palatino Linotype" w:cs="Palatino Linotype"/>
          <w:b/>
          <w:i/>
          <w:szCs w:val="22"/>
        </w:rPr>
        <w:t>administrativas deberán integrar el proyecto de presupuesto que se someterá a consideración del presidente municipal para su posterior aprobación por el Ayuntamiento.</w:t>
      </w:r>
      <w:r w:rsidRPr="005B73E3">
        <w:rPr>
          <w:rFonts w:eastAsia="Palatino Linotype" w:cs="Palatino Linotype"/>
          <w:i/>
          <w:szCs w:val="22"/>
        </w:rPr>
        <w:t>”</w:t>
      </w:r>
    </w:p>
    <w:p w14:paraId="536F6099" w14:textId="77777777" w:rsidR="00052100" w:rsidRPr="005B73E3" w:rsidRDefault="00052100" w:rsidP="005B73E3">
      <w:pPr>
        <w:spacing w:before="240" w:after="240"/>
        <w:ind w:right="49"/>
        <w:rPr>
          <w:rFonts w:eastAsia="Palatino Linotype" w:cs="Palatino Linotype"/>
        </w:rPr>
      </w:pPr>
      <w:r w:rsidRPr="005B73E3">
        <w:rPr>
          <w:rFonts w:eastAsia="Palatino Linotype" w:cs="Palatino Linotype"/>
        </w:rPr>
        <w:t xml:space="preserve">Como se advierte, la normatividad impone la obligación a las unidades administrativas del </w:t>
      </w:r>
      <w:r w:rsidRPr="005B73E3">
        <w:rPr>
          <w:rFonts w:eastAsia="Palatino Linotype" w:cs="Palatino Linotype"/>
          <w:b/>
          <w:bCs/>
        </w:rPr>
        <w:t>SUJETO OBLIGADO</w:t>
      </w:r>
      <w:r w:rsidRPr="005B73E3">
        <w:rPr>
          <w:rFonts w:eastAsia="Palatino Linotype" w:cs="Palatino Linotype"/>
        </w:rPr>
        <w:t xml:space="preserve"> de enviar su anteproyecto de egresos a la Tesorería Municipal, quien debe revisarlo en conjunto con la Unidad de Información, Planeación, Programación y Evaluación (UIPPE), o la Unidad Administrativa responsable de realizar estas funciones, con la finalidad de integrar el proyecto de egresos que será sometido a consideración del presidente municipal y los integrantes del ayuntamiento, para lo cual la Secretaría de Finanzas emite en el mes de octubre el Manual para la Formulación del Anteproyecto de Presupuesto.</w:t>
      </w:r>
    </w:p>
    <w:p w14:paraId="72D9B774" w14:textId="77777777" w:rsidR="00052100" w:rsidRPr="005B73E3" w:rsidRDefault="00052100" w:rsidP="005B73E3">
      <w:pPr>
        <w:spacing w:before="240" w:after="240"/>
        <w:ind w:right="49"/>
      </w:pPr>
      <w:r w:rsidRPr="005B73E3">
        <w:rPr>
          <w:rFonts w:eastAsia="Palatino Linotype" w:cs="Palatino Linotype"/>
        </w:rPr>
        <w:lastRenderedPageBreak/>
        <w:t>Atento a lo anterior, respecto del anteproyecto de presupuesto de egresos el Manual para la Planeación, Programación y Presupuesto de egresos Municipal para el Ejercicio fiscal 2023, publicado en el Periódico Oficial “Gaceta del Gobierno” del Estado de México, el diez de octubre de dos mil veintidós, dispone que el mismo e</w:t>
      </w:r>
      <w:r w:rsidRPr="005B73E3">
        <w:rPr>
          <w:rFonts w:eastAsia="Palatino Linotype" w:cs="Palatino Linotype"/>
          <w:b/>
        </w:rPr>
        <w:t xml:space="preserve">s la recopilación de la información de Dependencias Generales, Auxiliares y Organismos por la Tesorería y la UIPPE </w:t>
      </w:r>
      <w:r w:rsidRPr="005B73E3">
        <w:rPr>
          <w:rFonts w:eastAsia="Palatino Linotype" w:cs="Palatino Linotype"/>
        </w:rPr>
        <w:t xml:space="preserve">en el ámbito de sus responsabilidades para ser revisado e integrar el proyecto de presupuesto, lo anterior se encuentra normado en los artículos 296 y 298 del Código Financiero del Estado de México y Municipios, previamente citados en los que </w:t>
      </w:r>
      <w:r w:rsidRPr="005B73E3">
        <w:rPr>
          <w:rFonts w:eastAsia="Palatino Linotype" w:cs="Palatino Linotype"/>
          <w:b/>
        </w:rPr>
        <w:t>se establece la competencia de las Unidades Administrativas de los municipios quienes formularán su Anteproyecto de Presupuesto de Egresos</w:t>
      </w:r>
      <w:r w:rsidRPr="005B73E3">
        <w:rPr>
          <w:rFonts w:eastAsia="Palatino Linotype" w:cs="Palatino Linotype"/>
        </w:rPr>
        <w:t xml:space="preserve"> de acuerdo a las normas presupuestales vigentes y con base en sus Programas presupuestarios y Proyectos, </w:t>
      </w:r>
      <w:r w:rsidRPr="005B73E3">
        <w:rPr>
          <w:rFonts w:eastAsia="Palatino Linotype" w:cs="Palatino Linotype"/>
          <w:b/>
        </w:rPr>
        <w:t xml:space="preserve">mismos que se enviaran a más tardar </w:t>
      </w:r>
      <w:r w:rsidRPr="005B73E3">
        <w:rPr>
          <w:rFonts w:eastAsia="Palatino Linotype" w:cs="Palatino Linotype"/>
          <w:b/>
          <w:u w:val="single"/>
        </w:rPr>
        <w:t>el último día hábil anterior al 15 de octubre a la Tesorería</w:t>
      </w:r>
      <w:r w:rsidRPr="005B73E3">
        <w:rPr>
          <w:rFonts w:eastAsia="Palatino Linotype" w:cs="Palatino Linotype"/>
          <w:b/>
        </w:rPr>
        <w:t xml:space="preserve"> para su revisión, </w:t>
      </w:r>
      <w:r w:rsidRPr="005B73E3">
        <w:rPr>
          <w:rFonts w:eastAsia="Palatino Linotype" w:cs="Palatino Linotype"/>
        </w:rPr>
        <w:t>como se observa a continuación para un mejor entendimiento:</w:t>
      </w:r>
    </w:p>
    <w:p w14:paraId="255FD03C" w14:textId="77777777" w:rsidR="00052100" w:rsidRPr="005B73E3" w:rsidRDefault="00052100" w:rsidP="005B73E3">
      <w:pPr>
        <w:spacing w:before="240" w:after="240"/>
        <w:ind w:right="49"/>
        <w:rPr>
          <w:rFonts w:eastAsia="Palatino Linotype" w:cs="Palatino Linotype"/>
          <w:b/>
        </w:rPr>
      </w:pPr>
      <w:r w:rsidRPr="005B73E3">
        <w:rPr>
          <w:rFonts w:eastAsia="Palatino Linotype" w:cs="Palatino Linotype"/>
          <w:b/>
          <w:noProof/>
          <w:lang w:eastAsia="es-MX"/>
        </w:rPr>
        <w:drawing>
          <wp:inline distT="0" distB="0" distL="0" distR="0" wp14:anchorId="37D6E2B4" wp14:editId="49C3E0DE">
            <wp:extent cx="5610225" cy="21240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610225" cy="2124075"/>
                    </a:xfrm>
                    <a:prstGeom prst="rect">
                      <a:avLst/>
                    </a:prstGeom>
                    <a:ln/>
                  </pic:spPr>
                </pic:pic>
              </a:graphicData>
            </a:graphic>
          </wp:inline>
        </w:drawing>
      </w:r>
    </w:p>
    <w:p w14:paraId="67C44145" w14:textId="77777777" w:rsidR="00052100" w:rsidRPr="005B73E3" w:rsidRDefault="00052100" w:rsidP="005B73E3">
      <w:pPr>
        <w:spacing w:before="240" w:after="240"/>
        <w:ind w:right="49"/>
        <w:rPr>
          <w:rFonts w:eastAsia="Palatino Linotype" w:cs="Palatino Linotype"/>
        </w:rPr>
      </w:pPr>
      <w:r w:rsidRPr="005B73E3">
        <w:rPr>
          <w:lang w:eastAsia="es-MX"/>
        </w:rPr>
        <w:t xml:space="preserve">Por la ilustración que antecede se considera que el </w:t>
      </w:r>
      <w:r w:rsidRPr="005B73E3">
        <w:rPr>
          <w:b/>
          <w:i/>
          <w:lang w:eastAsia="es-MX"/>
        </w:rPr>
        <w:t>Anteproyecto de Presupuesto de Egresos es la recopilación de la información de Dependencias Generales, Auxiliares y Organismos por la Tesorería y la UIPPE</w:t>
      </w:r>
      <w:r w:rsidRPr="005B73E3">
        <w:rPr>
          <w:lang w:eastAsia="es-MX"/>
        </w:rPr>
        <w:t xml:space="preserve"> en el ámbito de sus responsabilidades para ser revisado e integrar el proyecto de presupuesto, lo anterior se encuentra normado en los artículos 296 y 298 del </w:t>
      </w:r>
      <w:r w:rsidRPr="005B73E3">
        <w:rPr>
          <w:lang w:eastAsia="es-MX"/>
        </w:rPr>
        <w:lastRenderedPageBreak/>
        <w:t>Código Financiero del Estado de México y Municipios; donde se establece la competencia de las Unidades Administrativas de los municipios quienes formularán su Anteproyecto de Presupuesto de Egresos de acuerdo a las normas presupuestales vigentes y con base en sus Programas presupuestarios y Proyectos, mismos que se enviaran a más tardar el último día hábil anterior al 15 de octubre a la Tesorería para su revisión.</w:t>
      </w:r>
    </w:p>
    <w:p w14:paraId="6F08EC19" w14:textId="77777777" w:rsidR="00052100" w:rsidRPr="005B73E3" w:rsidRDefault="00052100" w:rsidP="005B73E3">
      <w:pPr>
        <w:spacing w:before="240" w:after="240"/>
        <w:ind w:right="49"/>
        <w:rPr>
          <w:rFonts w:eastAsia="Palatino Linotype" w:cs="Palatino Linotype"/>
          <w:bCs/>
        </w:rPr>
      </w:pPr>
      <w:r w:rsidRPr="005B73E3">
        <w:rPr>
          <w:rFonts w:eastAsia="Palatino Linotype" w:cs="Palatino Linotype"/>
        </w:rPr>
        <w:t xml:space="preserve">Atento a lo anterior, el Anteproyecto de egresos de cada una de las áreas, debió presentarse a más tardar el último día hábil anterior al 15 de octubre, de 2022, por lo que debió generarse de manera previa por cada una de estas, y posterior a ello debió ser administrado o poseído por la Tesorería Municipal y la Unidad de Información, Planeación, Programación y Evaluación (UIPPE), en consecuencia, si la solicitud de información que nos ocupa se presentó el 13 de mayo de 2024, dicha información debe existir en los archivos del </w:t>
      </w:r>
      <w:r w:rsidRPr="005B73E3">
        <w:rPr>
          <w:rFonts w:eastAsia="Palatino Linotype" w:cs="Palatino Linotype"/>
          <w:b/>
        </w:rPr>
        <w:t>SUJETO OBLIGADO</w:t>
      </w:r>
      <w:r w:rsidRPr="005B73E3">
        <w:rPr>
          <w:rFonts w:eastAsia="Palatino Linotype" w:cs="Palatino Linotype"/>
          <w:bCs/>
        </w:rPr>
        <w:t>.</w:t>
      </w:r>
    </w:p>
    <w:p w14:paraId="44567AD6" w14:textId="77777777" w:rsidR="00052100" w:rsidRPr="005B73E3" w:rsidRDefault="00052100" w:rsidP="005B73E3">
      <w:pPr>
        <w:rPr>
          <w:rFonts w:cs="Arial"/>
        </w:rPr>
      </w:pPr>
      <w:r w:rsidRPr="005B73E3">
        <w:rPr>
          <w:rFonts w:cs="Arial"/>
        </w:rPr>
        <w:t xml:space="preserve">Por otro lado, algunos </w:t>
      </w:r>
      <w:r w:rsidRPr="005B73E3">
        <w:rPr>
          <w:rFonts w:cs="Arial"/>
          <w:iCs/>
        </w:rPr>
        <w:t>Aspectos a considerar en la entrega electrónica del Paquete Presupuestal Municipal 2023 al Órgano Superior de Fiscalización del Estado de México</w:t>
      </w:r>
      <w:r w:rsidRPr="005B73E3">
        <w:rPr>
          <w:rFonts w:cs="Arial"/>
        </w:rPr>
        <w:t xml:space="preserve"> que se contienen en los </w:t>
      </w:r>
      <w:r w:rsidRPr="005B73E3">
        <w:rPr>
          <w:rFonts w:cs="Arial"/>
          <w:i/>
        </w:rPr>
        <w:t>Lineamientos para la entrega del presupuesto de egresos municipal 2023</w:t>
      </w:r>
      <w:r w:rsidRPr="005B73E3">
        <w:rPr>
          <w:rStyle w:val="Refdenotaalpie"/>
          <w:rFonts w:cs="Arial"/>
          <w:i/>
        </w:rPr>
        <w:footnoteReference w:id="4"/>
      </w:r>
      <w:r w:rsidRPr="005B73E3">
        <w:rPr>
          <w:rFonts w:cs="Arial"/>
          <w:i/>
        </w:rPr>
        <w:t xml:space="preserve">, </w:t>
      </w:r>
      <w:r w:rsidRPr="005B73E3">
        <w:rPr>
          <w:rFonts w:cs="Arial"/>
        </w:rPr>
        <w:t xml:space="preserve">los siguientes: </w:t>
      </w:r>
    </w:p>
    <w:p w14:paraId="44B3320B" w14:textId="77777777" w:rsidR="00052100" w:rsidRPr="005B73E3" w:rsidRDefault="00052100" w:rsidP="005B73E3">
      <w:pPr>
        <w:rPr>
          <w:rFonts w:cs="Arial"/>
        </w:rPr>
      </w:pPr>
    </w:p>
    <w:p w14:paraId="2993A2B8" w14:textId="77777777" w:rsidR="00052100" w:rsidRPr="005B73E3" w:rsidRDefault="00052100" w:rsidP="005B73E3">
      <w:pPr>
        <w:ind w:left="851" w:right="901"/>
        <w:rPr>
          <w:rFonts w:cs="Arial"/>
          <w:i/>
          <w:iCs/>
          <w:szCs w:val="22"/>
        </w:rPr>
      </w:pPr>
      <w:r w:rsidRPr="005B73E3">
        <w:rPr>
          <w:rFonts w:cs="Arial"/>
          <w:i/>
          <w:iCs/>
          <w:szCs w:val="22"/>
        </w:rPr>
        <w:t xml:space="preserve">“1) La integración del </w:t>
      </w:r>
      <w:r w:rsidRPr="005B73E3">
        <w:rPr>
          <w:rFonts w:cs="Arial"/>
          <w:b/>
          <w:bCs/>
          <w:i/>
          <w:iCs/>
          <w:szCs w:val="22"/>
        </w:rPr>
        <w:t>Presupuesto de Ingresos y Egresos</w:t>
      </w:r>
      <w:r w:rsidRPr="005B73E3">
        <w:rPr>
          <w:rFonts w:cs="Arial"/>
          <w:i/>
          <w:iCs/>
          <w:szCs w:val="22"/>
        </w:rPr>
        <w:t xml:space="preserve"> debe contribuir a la transparencia y rendición de cuentas, fortaleciendo la correcta aplicación y manejo de los recursos públicos que dispongan las entidades fiscalizables (Municipios y Organismos Descentralizados); los cuales deberán ser administrados con eficiencia, eficacia, economía y honradez.</w:t>
      </w:r>
    </w:p>
    <w:p w14:paraId="1FD634B4" w14:textId="77777777" w:rsidR="00052100" w:rsidRPr="005B73E3" w:rsidRDefault="00052100" w:rsidP="005B73E3">
      <w:pPr>
        <w:ind w:left="851" w:right="901"/>
        <w:rPr>
          <w:rFonts w:cs="Arial"/>
          <w:i/>
          <w:iCs/>
          <w:szCs w:val="22"/>
        </w:rPr>
      </w:pPr>
      <w:r w:rsidRPr="005B73E3">
        <w:rPr>
          <w:rFonts w:cs="Arial"/>
          <w:i/>
          <w:iCs/>
          <w:szCs w:val="22"/>
        </w:rPr>
        <w:lastRenderedPageBreak/>
        <w:t xml:space="preserve">2) La entrega electrónica del </w:t>
      </w:r>
      <w:r w:rsidRPr="005B73E3">
        <w:rPr>
          <w:rFonts w:cs="Arial"/>
          <w:b/>
          <w:bCs/>
          <w:i/>
          <w:iCs/>
          <w:szCs w:val="22"/>
        </w:rPr>
        <w:t>Paquete Presupuestal Municipal 2023</w:t>
      </w:r>
      <w:r w:rsidRPr="005B73E3">
        <w:rPr>
          <w:rFonts w:cs="Arial"/>
          <w:i/>
          <w:iCs/>
          <w:szCs w:val="22"/>
        </w:rPr>
        <w:t xml:space="preserve">, al Órgano Superior de Fiscalización del Estado de México, se hará a través del </w:t>
      </w:r>
      <w:r w:rsidRPr="005B73E3">
        <w:rPr>
          <w:rFonts w:cs="Arial"/>
          <w:b/>
          <w:bCs/>
          <w:i/>
          <w:iCs/>
          <w:szCs w:val="22"/>
        </w:rPr>
        <w:t>COPREMUN</w:t>
      </w:r>
      <w:r w:rsidRPr="005B73E3">
        <w:rPr>
          <w:rFonts w:cs="Arial"/>
          <w:i/>
          <w:iCs/>
          <w:szCs w:val="22"/>
        </w:rPr>
        <w:t>.</w:t>
      </w:r>
    </w:p>
    <w:p w14:paraId="77B09848" w14:textId="77777777" w:rsidR="00052100" w:rsidRPr="005B73E3" w:rsidRDefault="00052100" w:rsidP="005B73E3">
      <w:pPr>
        <w:ind w:left="851" w:right="901"/>
        <w:rPr>
          <w:rFonts w:cs="Arial"/>
          <w:i/>
          <w:iCs/>
          <w:szCs w:val="22"/>
        </w:rPr>
      </w:pPr>
      <w:r w:rsidRPr="005B73E3">
        <w:rPr>
          <w:rFonts w:cs="Arial"/>
          <w:i/>
          <w:iCs/>
          <w:szCs w:val="22"/>
        </w:rPr>
        <w:t xml:space="preserve">3) Para la presentación electrónica del </w:t>
      </w:r>
      <w:r w:rsidRPr="005B73E3">
        <w:rPr>
          <w:rFonts w:cs="Arial"/>
          <w:b/>
          <w:bCs/>
          <w:i/>
          <w:iCs/>
          <w:szCs w:val="22"/>
        </w:rPr>
        <w:t>Paquete Presupuestal Municipal 2023</w:t>
      </w:r>
      <w:r w:rsidRPr="005B73E3">
        <w:rPr>
          <w:rFonts w:cs="Arial"/>
          <w:i/>
          <w:iCs/>
          <w:szCs w:val="22"/>
        </w:rPr>
        <w:t xml:space="preserve">, </w:t>
      </w:r>
      <w:r w:rsidRPr="005B73E3">
        <w:rPr>
          <w:rFonts w:cs="Arial"/>
          <w:b/>
          <w:bCs/>
          <w:i/>
          <w:iCs/>
          <w:szCs w:val="22"/>
        </w:rPr>
        <w:t>a través del COPREMUN</w:t>
      </w:r>
      <w:r w:rsidRPr="005B73E3">
        <w:rPr>
          <w:rFonts w:cs="Arial"/>
          <w:i/>
          <w:iCs/>
          <w:szCs w:val="22"/>
        </w:rPr>
        <w:t xml:space="preserve">, es necesario que de forma previa consulte el Manual de Usuario, disponible en la Plataforma Digital. </w:t>
      </w:r>
    </w:p>
    <w:p w14:paraId="4CCEF984" w14:textId="77777777" w:rsidR="00052100" w:rsidRPr="005B73E3" w:rsidRDefault="00052100" w:rsidP="005B73E3">
      <w:pPr>
        <w:ind w:left="851" w:right="901"/>
        <w:rPr>
          <w:rFonts w:cs="Arial"/>
          <w:i/>
          <w:iCs/>
          <w:szCs w:val="22"/>
        </w:rPr>
      </w:pPr>
      <w:r w:rsidRPr="005B73E3">
        <w:rPr>
          <w:rFonts w:cs="Arial"/>
          <w:i/>
          <w:iCs/>
          <w:szCs w:val="22"/>
        </w:rPr>
        <w:t xml:space="preserve">4) Para acceder al COPREMUN, la entidad fiscalizable debe contar con usuario y contraseña. (Es necesario consultar los </w:t>
      </w:r>
      <w:r w:rsidRPr="005B73E3">
        <w:rPr>
          <w:rFonts w:cs="Arial"/>
          <w:b/>
          <w:bCs/>
          <w:i/>
          <w:iCs/>
          <w:szCs w:val="22"/>
        </w:rPr>
        <w:t>“Lineamientos para la Implementación, Operatividad y Uso de la Plataforma Digital del Órgano Superior de Fiscalización del Estado de México y la aplicación de la Firma Electrónica”</w:t>
      </w:r>
      <w:r w:rsidRPr="005B73E3">
        <w:rPr>
          <w:rFonts w:cs="Arial"/>
          <w:i/>
          <w:iCs/>
          <w:szCs w:val="22"/>
        </w:rPr>
        <w:t xml:space="preserve">. </w:t>
      </w:r>
    </w:p>
    <w:p w14:paraId="3B47246E" w14:textId="77777777" w:rsidR="00052100" w:rsidRPr="005B73E3" w:rsidRDefault="00052100" w:rsidP="005B73E3">
      <w:pPr>
        <w:ind w:left="851" w:right="901"/>
        <w:rPr>
          <w:rFonts w:cs="Arial"/>
          <w:i/>
          <w:iCs/>
          <w:szCs w:val="22"/>
        </w:rPr>
      </w:pPr>
      <w:r w:rsidRPr="005B73E3">
        <w:rPr>
          <w:rFonts w:cs="Arial"/>
          <w:i/>
          <w:iCs/>
          <w:szCs w:val="22"/>
        </w:rPr>
        <w:t xml:space="preserve">5) Es importante señalar que las entidades fiscalizables (Municipios y Organismos Descentralizados) deberán considerar los instructivos de llenado y características solicitadas en los formatos y archivos que integran el Paquete Presupuestal Municipal 2023. </w:t>
      </w:r>
    </w:p>
    <w:p w14:paraId="334D63E2" w14:textId="77777777" w:rsidR="00052100" w:rsidRPr="005B73E3" w:rsidRDefault="00052100" w:rsidP="005B73E3">
      <w:pPr>
        <w:ind w:left="851" w:right="901"/>
        <w:rPr>
          <w:rFonts w:cs="Arial"/>
          <w:i/>
          <w:iCs/>
          <w:szCs w:val="22"/>
        </w:rPr>
      </w:pPr>
      <w:r w:rsidRPr="005B73E3">
        <w:rPr>
          <w:rFonts w:cs="Arial"/>
          <w:i/>
          <w:iCs/>
          <w:szCs w:val="22"/>
        </w:rPr>
        <w:t xml:space="preserve">6) Se precisa que antes de firmar de manera autógrafa, digitalizar y adjuntar los documentos que integran el </w:t>
      </w:r>
      <w:r w:rsidRPr="005B73E3">
        <w:rPr>
          <w:rFonts w:cs="Arial"/>
          <w:b/>
          <w:bCs/>
          <w:i/>
          <w:iCs/>
          <w:szCs w:val="22"/>
        </w:rPr>
        <w:t>Paquete Presupuestal Municipal</w:t>
      </w:r>
      <w:r w:rsidRPr="005B73E3">
        <w:rPr>
          <w:rFonts w:cs="Arial"/>
          <w:i/>
          <w:iCs/>
          <w:szCs w:val="22"/>
        </w:rPr>
        <w:t xml:space="preserve"> en el </w:t>
      </w:r>
      <w:r w:rsidRPr="005B73E3">
        <w:rPr>
          <w:rFonts w:cs="Arial"/>
          <w:b/>
          <w:bCs/>
          <w:i/>
          <w:iCs/>
          <w:szCs w:val="22"/>
        </w:rPr>
        <w:t>COPREMUN</w:t>
      </w:r>
      <w:r w:rsidRPr="005B73E3">
        <w:rPr>
          <w:rFonts w:cs="Arial"/>
          <w:i/>
          <w:iCs/>
          <w:szCs w:val="22"/>
        </w:rPr>
        <w:t xml:space="preserve">, los servidores públicos encargados de elaborar y emitir dichos documentos, deben asegurarse que los datos son correctos. </w:t>
      </w:r>
    </w:p>
    <w:p w14:paraId="3AFD995D" w14:textId="77777777" w:rsidR="00052100" w:rsidRPr="005B73E3" w:rsidRDefault="00052100" w:rsidP="005B73E3">
      <w:pPr>
        <w:ind w:left="851" w:right="901"/>
        <w:rPr>
          <w:rFonts w:cs="Arial"/>
          <w:b/>
          <w:bCs/>
          <w:i/>
          <w:iCs/>
          <w:szCs w:val="22"/>
        </w:rPr>
      </w:pPr>
      <w:r w:rsidRPr="005B73E3">
        <w:rPr>
          <w:rFonts w:cs="Arial"/>
          <w:i/>
          <w:iCs/>
          <w:szCs w:val="22"/>
        </w:rPr>
        <w:t xml:space="preserve">7) Para conocer los formatos que integran el </w:t>
      </w:r>
      <w:r w:rsidRPr="005B73E3">
        <w:rPr>
          <w:rFonts w:cs="Arial"/>
          <w:b/>
          <w:bCs/>
          <w:i/>
          <w:iCs/>
          <w:szCs w:val="22"/>
        </w:rPr>
        <w:t>Paquete Presupuestal Municipal 2023</w:t>
      </w:r>
      <w:r w:rsidRPr="005B73E3">
        <w:rPr>
          <w:rFonts w:cs="Arial"/>
          <w:i/>
          <w:iCs/>
          <w:szCs w:val="22"/>
        </w:rPr>
        <w:t xml:space="preserve">, así como a los responsables de autorizar la información, </w:t>
      </w:r>
      <w:r w:rsidRPr="005B73E3">
        <w:rPr>
          <w:rFonts w:cs="Arial"/>
          <w:b/>
          <w:bCs/>
          <w:i/>
          <w:iCs/>
          <w:szCs w:val="22"/>
        </w:rPr>
        <w:t xml:space="preserve">se deberá considerar la Matriz de firma autógrafa del soporte documental aplicable para Municipios y Organismos Descentralizados. </w:t>
      </w:r>
    </w:p>
    <w:p w14:paraId="2DF14A78" w14:textId="77777777" w:rsidR="00052100" w:rsidRPr="005B73E3" w:rsidRDefault="00052100" w:rsidP="005B73E3">
      <w:pPr>
        <w:ind w:left="851" w:right="901"/>
        <w:rPr>
          <w:rFonts w:cs="Arial"/>
          <w:i/>
          <w:iCs/>
          <w:szCs w:val="22"/>
        </w:rPr>
      </w:pPr>
      <w:r w:rsidRPr="005B73E3">
        <w:rPr>
          <w:rFonts w:cs="Arial"/>
          <w:i/>
          <w:iCs/>
          <w:szCs w:val="22"/>
        </w:rPr>
        <w:t xml:space="preserve">8) Los archivos correspondientes al apartado </w:t>
      </w:r>
      <w:r w:rsidRPr="005B73E3">
        <w:rPr>
          <w:rFonts w:cs="Arial"/>
          <w:b/>
          <w:bCs/>
          <w:i/>
          <w:iCs/>
          <w:szCs w:val="22"/>
        </w:rPr>
        <w:t>1. Planeación</w:t>
      </w:r>
      <w:r w:rsidRPr="005B73E3">
        <w:rPr>
          <w:rFonts w:cs="Arial"/>
          <w:i/>
          <w:iCs/>
          <w:szCs w:val="22"/>
        </w:rPr>
        <w:t xml:space="preserve"> “Alineación del Plan de Desarrollo Municipal con el Plan Nacional de Desarrollo y Plan Estatal de Desarrollo (APDM00002023.txt)”, “Asignación de Recurso por Programa Presupuestario PDM (ARPPPDM00002023.txt)” y “Programación de Metas del </w:t>
      </w:r>
      <w:r w:rsidRPr="005B73E3">
        <w:rPr>
          <w:rFonts w:cs="Arial"/>
          <w:i/>
          <w:iCs/>
          <w:szCs w:val="22"/>
        </w:rPr>
        <w:lastRenderedPageBreak/>
        <w:t xml:space="preserve">Plan de Desarrollo Municipal (PMPDM00002023.txt)”, deberán coincidir con la información del Plan de Desarrollo Municipal 2022- 2024 de la entidad fiscalizable, por lo que, en caso de existir alguna modificación en los ejercicios que comprenda la administración municipal, los archivos que se adjunten tienen que reflejar la información actualizada.” </w:t>
      </w:r>
    </w:p>
    <w:p w14:paraId="1CC2B497" w14:textId="77777777" w:rsidR="00052100" w:rsidRPr="005B73E3" w:rsidRDefault="00052100" w:rsidP="005B73E3">
      <w:pPr>
        <w:ind w:left="851" w:right="901"/>
        <w:rPr>
          <w:rFonts w:cs="Arial"/>
          <w:i/>
          <w:iCs/>
          <w:szCs w:val="22"/>
        </w:rPr>
      </w:pPr>
      <w:r w:rsidRPr="005B73E3">
        <w:rPr>
          <w:rFonts w:cs="Arial"/>
          <w:i/>
          <w:iCs/>
          <w:szCs w:val="22"/>
        </w:rPr>
        <w:t xml:space="preserve">(Énfasis añadido) </w:t>
      </w:r>
    </w:p>
    <w:p w14:paraId="7496B3E8" w14:textId="77777777" w:rsidR="00052100" w:rsidRPr="005B73E3" w:rsidRDefault="00052100" w:rsidP="005B73E3">
      <w:pPr>
        <w:ind w:left="851" w:right="901"/>
        <w:rPr>
          <w:rFonts w:cs="Arial"/>
          <w:i/>
          <w:iCs/>
          <w:szCs w:val="22"/>
        </w:rPr>
      </w:pPr>
    </w:p>
    <w:p w14:paraId="5480CE2E" w14:textId="77777777" w:rsidR="00052100" w:rsidRPr="005B73E3" w:rsidRDefault="00052100" w:rsidP="005B73E3">
      <w:pPr>
        <w:rPr>
          <w:rFonts w:cs="Arial"/>
        </w:rPr>
      </w:pPr>
      <w:r w:rsidRPr="005B73E3">
        <w:rPr>
          <w:rFonts w:cs="Arial"/>
        </w:rPr>
        <w:t xml:space="preserve">Asimismo, es importante destacar que la información que integra el paquete presupuestal municipal y la forma de cómo se debe entregar al Órgano Superior de Fiscalización del Estado de México, es la siguiente: </w:t>
      </w:r>
    </w:p>
    <w:p w14:paraId="6C72A123" w14:textId="77777777" w:rsidR="00052100" w:rsidRPr="005B73E3" w:rsidRDefault="00052100" w:rsidP="005B73E3">
      <w:pPr>
        <w:spacing w:before="240" w:after="240"/>
        <w:ind w:right="49"/>
        <w:rPr>
          <w:rFonts w:eastAsia="Palatino Linotype" w:cs="Palatino Linotype"/>
        </w:rPr>
      </w:pPr>
      <w:r w:rsidRPr="005B73E3">
        <w:rPr>
          <w:noProof/>
          <w:lang w:eastAsia="es-MX"/>
          <w14:ligatures w14:val="standardContextual"/>
        </w:rPr>
        <w:drawing>
          <wp:inline distT="0" distB="0" distL="0" distR="0" wp14:anchorId="7A967771" wp14:editId="79711F3C">
            <wp:extent cx="5742940" cy="32924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2940" cy="3292475"/>
                    </a:xfrm>
                    <a:prstGeom prst="rect">
                      <a:avLst/>
                    </a:prstGeom>
                  </pic:spPr>
                </pic:pic>
              </a:graphicData>
            </a:graphic>
          </wp:inline>
        </w:drawing>
      </w:r>
    </w:p>
    <w:p w14:paraId="049CA12C" w14:textId="77777777" w:rsidR="00052100" w:rsidRPr="005B73E3" w:rsidRDefault="00052100" w:rsidP="005B73E3">
      <w:pPr>
        <w:spacing w:before="240" w:after="240"/>
        <w:ind w:right="49"/>
        <w:rPr>
          <w:rFonts w:eastAsia="Palatino Linotype" w:cs="Palatino Linotype"/>
        </w:rPr>
      </w:pPr>
      <w:r w:rsidRPr="005B73E3">
        <w:rPr>
          <w:noProof/>
          <w:lang w:eastAsia="es-MX"/>
          <w14:ligatures w14:val="standardContextual"/>
        </w:rPr>
        <w:lastRenderedPageBreak/>
        <w:drawing>
          <wp:inline distT="0" distB="0" distL="0" distR="0" wp14:anchorId="03C8444D" wp14:editId="34F0E90F">
            <wp:extent cx="5742940" cy="27336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2940" cy="2733675"/>
                    </a:xfrm>
                    <a:prstGeom prst="rect">
                      <a:avLst/>
                    </a:prstGeom>
                  </pic:spPr>
                </pic:pic>
              </a:graphicData>
            </a:graphic>
          </wp:inline>
        </w:drawing>
      </w:r>
    </w:p>
    <w:p w14:paraId="07DFC65E" w14:textId="77777777" w:rsidR="00052100" w:rsidRPr="005B73E3" w:rsidRDefault="00052100" w:rsidP="005B73E3">
      <w:pPr>
        <w:tabs>
          <w:tab w:val="left" w:pos="426"/>
        </w:tabs>
        <w:spacing w:before="240" w:after="240"/>
        <w:ind w:right="51"/>
        <w:rPr>
          <w:rFonts w:eastAsia="Palatino Linotype" w:cs="Palatino Linotype"/>
        </w:rPr>
      </w:pPr>
      <w:r w:rsidRPr="005B73E3">
        <w:rPr>
          <w:rFonts w:eastAsia="Palatino Linotype" w:cs="Palatino Linotype"/>
        </w:rPr>
        <w:t xml:space="preserve">La integración del Informe se entregará de manera </w:t>
      </w:r>
      <w:r w:rsidRPr="005B73E3">
        <w:rPr>
          <w:rFonts w:eastAsia="Palatino Linotype" w:cs="Palatino Linotype"/>
          <w:b/>
          <w:bCs/>
          <w:u w:val="single"/>
        </w:rPr>
        <w:t>electrónica</w:t>
      </w:r>
      <w:r w:rsidRPr="005B73E3">
        <w:rPr>
          <w:rFonts w:eastAsia="Palatino Linotype" w:cs="Palatino Linotype"/>
        </w:rPr>
        <w:t xml:space="preserve"> </w:t>
      </w:r>
      <w:r w:rsidRPr="005B73E3">
        <w:t xml:space="preserve">con la Firma Electrónica del Presidente Municipal </w:t>
      </w:r>
      <w:r w:rsidRPr="005B73E3">
        <w:rPr>
          <w:rFonts w:eastAsia="Palatino Linotype" w:cs="Palatino Linotype"/>
        </w:rPr>
        <w:t>al Órgano Superior de Fiscalización del Estado de México, el documento señalado, establece la “</w:t>
      </w:r>
      <w:r w:rsidRPr="005B73E3">
        <w:t>Matriz de firma autógrafa del soporte documental aplicable para Municipios</w:t>
      </w:r>
      <w:r w:rsidRPr="005B73E3">
        <w:rPr>
          <w:rFonts w:eastAsia="Palatino Linotype" w:cs="Palatino Linotype"/>
        </w:rPr>
        <w:t xml:space="preserve">” que deberá estar integrada por los siguientes documentos: </w:t>
      </w:r>
    </w:p>
    <w:p w14:paraId="2EC9AC29" w14:textId="77777777" w:rsidR="00052100" w:rsidRPr="005B73E3" w:rsidRDefault="00052100" w:rsidP="005B73E3">
      <w:pPr>
        <w:tabs>
          <w:tab w:val="left" w:pos="426"/>
        </w:tabs>
        <w:spacing w:before="240" w:after="240"/>
        <w:ind w:right="51"/>
        <w:rPr>
          <w:rFonts w:eastAsia="Palatino Linotype" w:cs="Palatino Linotype"/>
        </w:rPr>
      </w:pPr>
      <w:r w:rsidRPr="005B73E3">
        <w:rPr>
          <w:noProof/>
          <w:lang w:eastAsia="es-MX"/>
          <w14:ligatures w14:val="standardContextual"/>
        </w:rPr>
        <w:drawing>
          <wp:inline distT="0" distB="0" distL="0" distR="0" wp14:anchorId="1929A8F0" wp14:editId="6E42B369">
            <wp:extent cx="5742839" cy="283861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47769" cy="2841053"/>
                    </a:xfrm>
                    <a:prstGeom prst="rect">
                      <a:avLst/>
                    </a:prstGeom>
                  </pic:spPr>
                </pic:pic>
              </a:graphicData>
            </a:graphic>
          </wp:inline>
        </w:drawing>
      </w:r>
    </w:p>
    <w:p w14:paraId="09DE7A96" w14:textId="77777777" w:rsidR="00052100" w:rsidRPr="005B73E3" w:rsidRDefault="00052100" w:rsidP="005B73E3">
      <w:pPr>
        <w:tabs>
          <w:tab w:val="left" w:pos="426"/>
        </w:tabs>
        <w:spacing w:before="240" w:after="240"/>
        <w:ind w:right="51"/>
        <w:rPr>
          <w:rFonts w:eastAsia="Palatino Linotype" w:cs="Palatino Linotype"/>
        </w:rPr>
      </w:pPr>
      <w:r w:rsidRPr="005B73E3">
        <w:rPr>
          <w:noProof/>
          <w:lang w:eastAsia="es-MX"/>
          <w14:ligatures w14:val="standardContextual"/>
        </w:rPr>
        <w:lastRenderedPageBreak/>
        <w:drawing>
          <wp:inline distT="0" distB="0" distL="0" distR="0" wp14:anchorId="0FE9B424" wp14:editId="13B07943">
            <wp:extent cx="5742940" cy="6321287"/>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 b="611"/>
                    <a:stretch/>
                  </pic:blipFill>
                  <pic:spPr bwMode="auto">
                    <a:xfrm>
                      <a:off x="0" y="0"/>
                      <a:ext cx="5742940" cy="6321287"/>
                    </a:xfrm>
                    <a:prstGeom prst="rect">
                      <a:avLst/>
                    </a:prstGeom>
                    <a:ln>
                      <a:noFill/>
                    </a:ln>
                    <a:extLst>
                      <a:ext uri="{53640926-AAD7-44D8-BBD7-CCE9431645EC}">
                        <a14:shadowObscured xmlns:a14="http://schemas.microsoft.com/office/drawing/2010/main"/>
                      </a:ext>
                    </a:extLst>
                  </pic:spPr>
                </pic:pic>
              </a:graphicData>
            </a:graphic>
          </wp:inline>
        </w:drawing>
      </w:r>
    </w:p>
    <w:p w14:paraId="3059771F" w14:textId="77777777" w:rsidR="000C391F" w:rsidRPr="005B73E3" w:rsidRDefault="000C391F" w:rsidP="005B73E3">
      <w:pPr>
        <w:pStyle w:val="Ttulo3"/>
        <w:rPr>
          <w:szCs w:val="22"/>
        </w:rPr>
      </w:pPr>
      <w:bookmarkStart w:id="34" w:name="_Toc172153688"/>
      <w:bookmarkStart w:id="35" w:name="_Toc174019541"/>
      <w:r w:rsidRPr="005B73E3">
        <w:rPr>
          <w:szCs w:val="22"/>
        </w:rPr>
        <w:lastRenderedPageBreak/>
        <w:t>d) Versión pública</w:t>
      </w:r>
      <w:bookmarkEnd w:id="34"/>
      <w:bookmarkEnd w:id="35"/>
    </w:p>
    <w:p w14:paraId="733B9ADA" w14:textId="77777777" w:rsidR="000C391F" w:rsidRPr="005B73E3" w:rsidRDefault="000C391F" w:rsidP="005B73E3">
      <w:pPr>
        <w:rPr>
          <w:szCs w:val="22"/>
        </w:rPr>
      </w:pPr>
      <w:r w:rsidRPr="005B73E3">
        <w:rPr>
          <w:szCs w:val="22"/>
        </w:rPr>
        <w:t xml:space="preserve">Para el caso de que el o los documentos de los cuales se ordena su entrega contengan datos personales susceptibles de ser testados, deberán ser entregados en </w:t>
      </w:r>
      <w:r w:rsidRPr="005B73E3">
        <w:rPr>
          <w:b/>
          <w:szCs w:val="22"/>
        </w:rPr>
        <w:t>versión pública</w:t>
      </w:r>
      <w:r w:rsidRPr="005B73E3">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B09F0C" w14:textId="77777777" w:rsidR="000C391F" w:rsidRPr="005B73E3" w:rsidRDefault="000C391F" w:rsidP="005B73E3">
      <w:pPr>
        <w:rPr>
          <w:szCs w:val="22"/>
        </w:rPr>
      </w:pPr>
    </w:p>
    <w:p w14:paraId="22D260F5" w14:textId="77777777" w:rsidR="000C391F" w:rsidRPr="005B73E3" w:rsidRDefault="000C391F" w:rsidP="005B73E3">
      <w:pPr>
        <w:rPr>
          <w:szCs w:val="22"/>
        </w:rPr>
      </w:pPr>
      <w:r w:rsidRPr="005B73E3">
        <w:rPr>
          <w:szCs w:val="22"/>
        </w:rPr>
        <w:t>A este respecto, los artículos 3, fracciones IX, XX, XXI y XLV; 51 y 52 de la Ley de Transparencia y Acceso a la Información Pública del Estado de México y Municipios establecen:</w:t>
      </w:r>
    </w:p>
    <w:p w14:paraId="7BDE696C" w14:textId="77777777" w:rsidR="000C391F" w:rsidRPr="005B73E3" w:rsidRDefault="000C391F" w:rsidP="005B73E3">
      <w:pPr>
        <w:rPr>
          <w:szCs w:val="22"/>
        </w:rPr>
      </w:pPr>
    </w:p>
    <w:p w14:paraId="1E7F4CF2" w14:textId="77777777" w:rsidR="000C391F" w:rsidRPr="005B73E3" w:rsidRDefault="000C391F" w:rsidP="005B73E3">
      <w:pPr>
        <w:pStyle w:val="Puesto"/>
        <w:rPr>
          <w:szCs w:val="22"/>
        </w:rPr>
      </w:pPr>
      <w:r w:rsidRPr="005B73E3">
        <w:rPr>
          <w:b/>
          <w:szCs w:val="22"/>
        </w:rPr>
        <w:t xml:space="preserve">“Artículo 3. </w:t>
      </w:r>
      <w:r w:rsidRPr="005B73E3">
        <w:rPr>
          <w:szCs w:val="22"/>
        </w:rPr>
        <w:t xml:space="preserve">Para los efectos de la presente Ley se entenderá por: </w:t>
      </w:r>
    </w:p>
    <w:p w14:paraId="14B7AB5F" w14:textId="77777777" w:rsidR="000C391F" w:rsidRPr="005B73E3" w:rsidRDefault="000C391F" w:rsidP="005B73E3">
      <w:pPr>
        <w:pStyle w:val="Puesto"/>
        <w:rPr>
          <w:szCs w:val="22"/>
        </w:rPr>
      </w:pPr>
      <w:r w:rsidRPr="005B73E3">
        <w:rPr>
          <w:b/>
          <w:szCs w:val="22"/>
        </w:rPr>
        <w:t>IX.</w:t>
      </w:r>
      <w:r w:rsidRPr="005B73E3">
        <w:rPr>
          <w:szCs w:val="22"/>
        </w:rPr>
        <w:t xml:space="preserve"> </w:t>
      </w:r>
      <w:r w:rsidRPr="005B73E3">
        <w:rPr>
          <w:b/>
          <w:szCs w:val="22"/>
        </w:rPr>
        <w:t xml:space="preserve">Datos personales: </w:t>
      </w:r>
      <w:r w:rsidRPr="005B73E3">
        <w:rPr>
          <w:szCs w:val="22"/>
        </w:rPr>
        <w:t xml:space="preserve">La información concerniente a una persona, identificada o identificable según lo dispuesto por la Ley de Protección de Datos Personales del Estado de México; </w:t>
      </w:r>
    </w:p>
    <w:p w14:paraId="65360B9D" w14:textId="77777777" w:rsidR="000C391F" w:rsidRPr="005B73E3" w:rsidRDefault="000C391F" w:rsidP="005B73E3">
      <w:pPr>
        <w:pStyle w:val="Puesto"/>
        <w:rPr>
          <w:szCs w:val="22"/>
        </w:rPr>
      </w:pPr>
    </w:p>
    <w:p w14:paraId="65687766" w14:textId="77777777" w:rsidR="000C391F" w:rsidRPr="005B73E3" w:rsidRDefault="000C391F" w:rsidP="005B73E3">
      <w:pPr>
        <w:pStyle w:val="Puesto"/>
        <w:rPr>
          <w:szCs w:val="22"/>
        </w:rPr>
      </w:pPr>
      <w:r w:rsidRPr="005B73E3">
        <w:rPr>
          <w:b/>
          <w:szCs w:val="22"/>
        </w:rPr>
        <w:t>XX.</w:t>
      </w:r>
      <w:r w:rsidRPr="005B73E3">
        <w:rPr>
          <w:szCs w:val="22"/>
        </w:rPr>
        <w:t xml:space="preserve"> </w:t>
      </w:r>
      <w:r w:rsidRPr="005B73E3">
        <w:rPr>
          <w:b/>
          <w:szCs w:val="22"/>
        </w:rPr>
        <w:t>Información clasificada:</w:t>
      </w:r>
      <w:r w:rsidRPr="005B73E3">
        <w:rPr>
          <w:szCs w:val="22"/>
        </w:rPr>
        <w:t xml:space="preserve"> Aquella considerada por la presente Ley como reservada o confidencial; </w:t>
      </w:r>
    </w:p>
    <w:p w14:paraId="73B97D70" w14:textId="77777777" w:rsidR="000C391F" w:rsidRPr="005B73E3" w:rsidRDefault="000C391F" w:rsidP="005B73E3">
      <w:pPr>
        <w:pStyle w:val="Puesto"/>
        <w:rPr>
          <w:szCs w:val="22"/>
        </w:rPr>
      </w:pPr>
    </w:p>
    <w:p w14:paraId="2E0E156B" w14:textId="77777777" w:rsidR="000C391F" w:rsidRPr="005B73E3" w:rsidRDefault="000C391F" w:rsidP="005B73E3">
      <w:pPr>
        <w:pStyle w:val="Puesto"/>
        <w:rPr>
          <w:szCs w:val="22"/>
        </w:rPr>
      </w:pPr>
      <w:r w:rsidRPr="005B73E3">
        <w:rPr>
          <w:b/>
          <w:szCs w:val="22"/>
        </w:rPr>
        <w:t>XXI.</w:t>
      </w:r>
      <w:r w:rsidRPr="005B73E3">
        <w:rPr>
          <w:szCs w:val="22"/>
        </w:rPr>
        <w:t xml:space="preserve"> </w:t>
      </w:r>
      <w:r w:rsidRPr="005B73E3">
        <w:rPr>
          <w:b/>
          <w:szCs w:val="22"/>
        </w:rPr>
        <w:t>Información confidencial</w:t>
      </w:r>
      <w:r w:rsidRPr="005B73E3">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587AB7" w14:textId="77777777" w:rsidR="000C391F" w:rsidRPr="005B73E3" w:rsidRDefault="000C391F" w:rsidP="005B73E3">
      <w:pPr>
        <w:pStyle w:val="Puesto"/>
        <w:rPr>
          <w:szCs w:val="22"/>
        </w:rPr>
      </w:pPr>
    </w:p>
    <w:p w14:paraId="7668BE4E" w14:textId="77777777" w:rsidR="000C391F" w:rsidRPr="005B73E3" w:rsidRDefault="000C391F" w:rsidP="005B73E3">
      <w:pPr>
        <w:pStyle w:val="Puesto"/>
        <w:rPr>
          <w:szCs w:val="22"/>
        </w:rPr>
      </w:pPr>
      <w:r w:rsidRPr="005B73E3">
        <w:rPr>
          <w:b/>
          <w:szCs w:val="22"/>
        </w:rPr>
        <w:t>XLV. Versión pública:</w:t>
      </w:r>
      <w:r w:rsidRPr="005B73E3">
        <w:rPr>
          <w:szCs w:val="22"/>
        </w:rPr>
        <w:t xml:space="preserve"> Documento en el que se elimine, suprime o borra la información clasificada como reservada o confidencial para permitir su acceso. </w:t>
      </w:r>
    </w:p>
    <w:p w14:paraId="2B59B20B" w14:textId="77777777" w:rsidR="000C391F" w:rsidRPr="005B73E3" w:rsidRDefault="000C391F" w:rsidP="005B73E3">
      <w:pPr>
        <w:pStyle w:val="Puesto"/>
        <w:rPr>
          <w:szCs w:val="22"/>
        </w:rPr>
      </w:pPr>
    </w:p>
    <w:p w14:paraId="2B1025A4" w14:textId="77777777" w:rsidR="000C391F" w:rsidRPr="005B73E3" w:rsidRDefault="000C391F" w:rsidP="005B73E3">
      <w:pPr>
        <w:pStyle w:val="Puesto"/>
        <w:rPr>
          <w:szCs w:val="22"/>
        </w:rPr>
      </w:pPr>
      <w:r w:rsidRPr="005B73E3">
        <w:rPr>
          <w:b/>
          <w:szCs w:val="22"/>
        </w:rPr>
        <w:lastRenderedPageBreak/>
        <w:t>Artículo 51.</w:t>
      </w:r>
      <w:r w:rsidRPr="005B73E3">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B73E3">
        <w:rPr>
          <w:b/>
          <w:szCs w:val="22"/>
        </w:rPr>
        <w:t xml:space="preserve">y tendrá la responsabilidad de verificar en cada caso que la misma no sea confidencial o reservada. </w:t>
      </w:r>
      <w:r w:rsidRPr="005B73E3">
        <w:rPr>
          <w:szCs w:val="22"/>
        </w:rPr>
        <w:t>Dicha Unidad contará con las facultades internas necesarias para gestionar la atención a las solicitudes de información en los términos de la Ley General y la presente Ley.</w:t>
      </w:r>
    </w:p>
    <w:p w14:paraId="2580CFA9" w14:textId="77777777" w:rsidR="000C391F" w:rsidRPr="005B73E3" w:rsidRDefault="000C391F" w:rsidP="005B73E3">
      <w:pPr>
        <w:pStyle w:val="Puesto"/>
        <w:rPr>
          <w:szCs w:val="22"/>
        </w:rPr>
      </w:pPr>
    </w:p>
    <w:p w14:paraId="59AB3A05" w14:textId="77777777" w:rsidR="000C391F" w:rsidRPr="005B73E3" w:rsidRDefault="000C391F" w:rsidP="005B73E3">
      <w:pPr>
        <w:pStyle w:val="Puesto"/>
        <w:rPr>
          <w:szCs w:val="22"/>
        </w:rPr>
      </w:pPr>
      <w:r w:rsidRPr="005B73E3">
        <w:rPr>
          <w:b/>
          <w:szCs w:val="22"/>
        </w:rPr>
        <w:t>Artículo 52.</w:t>
      </w:r>
      <w:r w:rsidRPr="005B73E3">
        <w:rPr>
          <w:szCs w:val="22"/>
        </w:rPr>
        <w:t xml:space="preserve"> Las solicitudes de acceso a la información y las respuestas que se les dé, incluyendo, en su caso, </w:t>
      </w:r>
      <w:r w:rsidRPr="005B73E3">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B73E3">
        <w:rPr>
          <w:szCs w:val="22"/>
        </w:rPr>
        <w:t>, siempre y cuando la resolución de referencia se someta a un proceso de disociación, es decir, no haga identificable al titular de tales datos personales.” (Énfasis añadido)</w:t>
      </w:r>
    </w:p>
    <w:p w14:paraId="18DDB16D" w14:textId="77777777" w:rsidR="000C391F" w:rsidRPr="005B73E3" w:rsidRDefault="000C391F" w:rsidP="005B73E3">
      <w:pPr>
        <w:rPr>
          <w:szCs w:val="22"/>
        </w:rPr>
      </w:pPr>
    </w:p>
    <w:p w14:paraId="0BEC73C0" w14:textId="77777777" w:rsidR="000C391F" w:rsidRPr="005B73E3" w:rsidRDefault="000C391F" w:rsidP="005B73E3">
      <w:pPr>
        <w:rPr>
          <w:szCs w:val="22"/>
        </w:rPr>
      </w:pPr>
      <w:r w:rsidRPr="005B73E3">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921355D" w14:textId="77777777" w:rsidR="000C391F" w:rsidRPr="005B73E3" w:rsidRDefault="000C391F" w:rsidP="005B73E3">
      <w:pPr>
        <w:rPr>
          <w:szCs w:val="22"/>
        </w:rPr>
      </w:pPr>
    </w:p>
    <w:p w14:paraId="5A08F57E" w14:textId="77777777" w:rsidR="000C391F" w:rsidRPr="005B73E3" w:rsidRDefault="000C391F" w:rsidP="005B73E3">
      <w:pPr>
        <w:pStyle w:val="Puesto"/>
        <w:rPr>
          <w:szCs w:val="22"/>
        </w:rPr>
      </w:pPr>
      <w:r w:rsidRPr="005B73E3">
        <w:rPr>
          <w:b/>
          <w:szCs w:val="22"/>
        </w:rPr>
        <w:t>“Artículo 22.</w:t>
      </w:r>
      <w:r w:rsidRPr="005B73E3">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4BED245" w14:textId="77777777" w:rsidR="000C391F" w:rsidRPr="005B73E3" w:rsidRDefault="000C391F" w:rsidP="005B73E3">
      <w:pPr>
        <w:rPr>
          <w:szCs w:val="22"/>
        </w:rPr>
      </w:pPr>
    </w:p>
    <w:p w14:paraId="47955F55" w14:textId="77777777" w:rsidR="000C391F" w:rsidRPr="005B73E3" w:rsidRDefault="000C391F" w:rsidP="005B73E3">
      <w:pPr>
        <w:pStyle w:val="Puesto"/>
        <w:rPr>
          <w:szCs w:val="22"/>
        </w:rPr>
      </w:pPr>
      <w:r w:rsidRPr="005B73E3">
        <w:rPr>
          <w:b/>
          <w:szCs w:val="22"/>
        </w:rPr>
        <w:t>Artículo 38.</w:t>
      </w:r>
      <w:r w:rsidRPr="005B73E3">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5B73E3">
        <w:rPr>
          <w:szCs w:val="22"/>
        </w:rPr>
        <w:lastRenderedPageBreak/>
        <w:t>destrucción, o el uso, transferencia, acceso o cualquier tratamiento no autorizado o ilícito, de conformidad con lo dispuesto en los lineamientos que al efecto se expidan.</w:t>
      </w:r>
      <w:r w:rsidRPr="005B73E3">
        <w:rPr>
          <w:b/>
          <w:szCs w:val="22"/>
        </w:rPr>
        <w:t>”</w:t>
      </w:r>
      <w:r w:rsidRPr="005B73E3">
        <w:rPr>
          <w:szCs w:val="22"/>
        </w:rPr>
        <w:t xml:space="preserve"> </w:t>
      </w:r>
    </w:p>
    <w:p w14:paraId="4877178B" w14:textId="77777777" w:rsidR="000C391F" w:rsidRPr="005B73E3" w:rsidRDefault="000C391F" w:rsidP="005B73E3">
      <w:pPr>
        <w:rPr>
          <w:i/>
          <w:szCs w:val="22"/>
        </w:rPr>
      </w:pPr>
    </w:p>
    <w:p w14:paraId="1BCF1D45" w14:textId="77777777" w:rsidR="000C391F" w:rsidRPr="005B73E3" w:rsidRDefault="000C391F" w:rsidP="005B73E3">
      <w:pPr>
        <w:rPr>
          <w:szCs w:val="22"/>
        </w:rPr>
      </w:pPr>
      <w:r w:rsidRPr="005B73E3">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3A29783" w14:textId="77777777" w:rsidR="000C391F" w:rsidRPr="005B73E3" w:rsidRDefault="000C391F" w:rsidP="005B73E3">
      <w:pPr>
        <w:rPr>
          <w:szCs w:val="22"/>
        </w:rPr>
      </w:pPr>
    </w:p>
    <w:p w14:paraId="3F9B6650" w14:textId="77777777" w:rsidR="000C391F" w:rsidRPr="005B73E3" w:rsidRDefault="000C391F" w:rsidP="005B73E3">
      <w:pPr>
        <w:rPr>
          <w:szCs w:val="22"/>
        </w:rPr>
      </w:pPr>
      <w:r w:rsidRPr="005B73E3">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B73E3">
        <w:rPr>
          <w:b/>
          <w:szCs w:val="22"/>
        </w:rPr>
        <w:t>EL SUJETO OBLIGADO,</w:t>
      </w:r>
      <w:r w:rsidRPr="005B73E3">
        <w:rPr>
          <w:szCs w:val="22"/>
        </w:rPr>
        <w:t xml:space="preserve"> por lo que, todo dato personal susceptible de clasificación debe ser protegido.</w:t>
      </w:r>
    </w:p>
    <w:p w14:paraId="47B0F04A" w14:textId="77777777" w:rsidR="000C391F" w:rsidRPr="005B73E3" w:rsidRDefault="000C391F" w:rsidP="005B73E3">
      <w:pPr>
        <w:rPr>
          <w:szCs w:val="22"/>
        </w:rPr>
      </w:pPr>
    </w:p>
    <w:p w14:paraId="69FF2FEE" w14:textId="77777777" w:rsidR="000C391F" w:rsidRPr="005B73E3" w:rsidRDefault="000C391F" w:rsidP="005B73E3">
      <w:pPr>
        <w:rPr>
          <w:szCs w:val="22"/>
        </w:rPr>
      </w:pPr>
      <w:r w:rsidRPr="005B73E3">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DEB09F" w14:textId="77777777" w:rsidR="000C391F" w:rsidRPr="005B73E3" w:rsidRDefault="000C391F" w:rsidP="005B73E3">
      <w:pPr>
        <w:rPr>
          <w:szCs w:val="22"/>
        </w:rPr>
      </w:pPr>
    </w:p>
    <w:p w14:paraId="632ACAEE" w14:textId="77777777" w:rsidR="000C391F" w:rsidRPr="005B73E3" w:rsidRDefault="000C391F" w:rsidP="005B73E3">
      <w:pPr>
        <w:rPr>
          <w:szCs w:val="22"/>
        </w:rPr>
      </w:pPr>
      <w:r w:rsidRPr="005B73E3">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5B73E3">
        <w:rPr>
          <w:szCs w:val="22"/>
        </w:rPr>
        <w:lastRenderedPageBreak/>
        <w:t>Desclasificación de la Información, así como para la elaboración de Versiones Públicas, que literalmente expresan:</w:t>
      </w:r>
    </w:p>
    <w:p w14:paraId="7BB8005F" w14:textId="77777777" w:rsidR="000C391F" w:rsidRPr="005B73E3" w:rsidRDefault="000C391F" w:rsidP="005B73E3">
      <w:pPr>
        <w:rPr>
          <w:szCs w:val="22"/>
        </w:rPr>
      </w:pPr>
    </w:p>
    <w:p w14:paraId="5CF33CA3" w14:textId="77777777" w:rsidR="000C391F" w:rsidRPr="005B73E3" w:rsidRDefault="000C391F" w:rsidP="005B73E3">
      <w:pPr>
        <w:pStyle w:val="Puesto"/>
        <w:rPr>
          <w:b/>
          <w:szCs w:val="22"/>
        </w:rPr>
      </w:pPr>
      <w:r w:rsidRPr="005B73E3">
        <w:rPr>
          <w:b/>
          <w:szCs w:val="22"/>
        </w:rPr>
        <w:t>Ley de Transparencia y Acceso a la Información Pública del Estado de México y Municipios</w:t>
      </w:r>
    </w:p>
    <w:p w14:paraId="7A6A2A6E" w14:textId="77777777" w:rsidR="000C391F" w:rsidRPr="005B73E3" w:rsidRDefault="000C391F" w:rsidP="005B73E3">
      <w:pPr>
        <w:rPr>
          <w:szCs w:val="22"/>
        </w:rPr>
      </w:pPr>
    </w:p>
    <w:p w14:paraId="55EAA968" w14:textId="77777777" w:rsidR="000C391F" w:rsidRPr="005B73E3" w:rsidRDefault="000C391F" w:rsidP="005B73E3">
      <w:pPr>
        <w:pStyle w:val="Puesto"/>
        <w:rPr>
          <w:szCs w:val="22"/>
        </w:rPr>
      </w:pPr>
      <w:r w:rsidRPr="005B73E3">
        <w:rPr>
          <w:b/>
          <w:szCs w:val="22"/>
        </w:rPr>
        <w:t xml:space="preserve">“Artículo 49. </w:t>
      </w:r>
      <w:r w:rsidRPr="005B73E3">
        <w:rPr>
          <w:szCs w:val="22"/>
        </w:rPr>
        <w:t>Los Comités de Transparencia tendrán las siguientes atribuciones:</w:t>
      </w:r>
    </w:p>
    <w:p w14:paraId="2671E6E8" w14:textId="77777777" w:rsidR="000C391F" w:rsidRPr="005B73E3" w:rsidRDefault="000C391F" w:rsidP="005B73E3">
      <w:pPr>
        <w:pStyle w:val="Puesto"/>
        <w:rPr>
          <w:szCs w:val="22"/>
        </w:rPr>
      </w:pPr>
      <w:r w:rsidRPr="005B73E3">
        <w:rPr>
          <w:b/>
          <w:szCs w:val="22"/>
        </w:rPr>
        <w:t>VIII.</w:t>
      </w:r>
      <w:r w:rsidRPr="005B73E3">
        <w:rPr>
          <w:szCs w:val="22"/>
        </w:rPr>
        <w:t xml:space="preserve"> Aprobar, modificar o revocar la clasificación de la información;</w:t>
      </w:r>
    </w:p>
    <w:p w14:paraId="7AB409E0" w14:textId="77777777" w:rsidR="000C391F" w:rsidRPr="005B73E3" w:rsidRDefault="000C391F" w:rsidP="005B73E3">
      <w:pPr>
        <w:pStyle w:val="Puesto"/>
        <w:rPr>
          <w:szCs w:val="22"/>
        </w:rPr>
      </w:pPr>
    </w:p>
    <w:p w14:paraId="67EBCE09" w14:textId="77777777" w:rsidR="000C391F" w:rsidRPr="005B73E3" w:rsidRDefault="000C391F" w:rsidP="005B73E3">
      <w:pPr>
        <w:pStyle w:val="Puesto"/>
        <w:rPr>
          <w:szCs w:val="22"/>
        </w:rPr>
      </w:pPr>
      <w:r w:rsidRPr="005B73E3">
        <w:rPr>
          <w:b/>
          <w:szCs w:val="22"/>
        </w:rPr>
        <w:t>Artículo 132.</w:t>
      </w:r>
      <w:r w:rsidRPr="005B73E3">
        <w:rPr>
          <w:szCs w:val="22"/>
        </w:rPr>
        <w:t xml:space="preserve"> La clasificación de la información se llevará a cabo en el momento en que:</w:t>
      </w:r>
    </w:p>
    <w:p w14:paraId="5C4C0C41" w14:textId="77777777" w:rsidR="000C391F" w:rsidRPr="005B73E3" w:rsidRDefault="000C391F" w:rsidP="005B73E3">
      <w:pPr>
        <w:pStyle w:val="Puesto"/>
        <w:rPr>
          <w:szCs w:val="22"/>
        </w:rPr>
      </w:pPr>
      <w:r w:rsidRPr="005B73E3">
        <w:rPr>
          <w:b/>
          <w:szCs w:val="22"/>
        </w:rPr>
        <w:t>I.</w:t>
      </w:r>
      <w:r w:rsidRPr="005B73E3">
        <w:rPr>
          <w:szCs w:val="22"/>
        </w:rPr>
        <w:t xml:space="preserve"> Se reciba una solicitud de acceso a la información;</w:t>
      </w:r>
    </w:p>
    <w:p w14:paraId="6C7F0369" w14:textId="77777777" w:rsidR="000C391F" w:rsidRPr="005B73E3" w:rsidRDefault="000C391F" w:rsidP="005B73E3">
      <w:pPr>
        <w:pStyle w:val="Puesto"/>
        <w:rPr>
          <w:szCs w:val="22"/>
        </w:rPr>
      </w:pPr>
      <w:r w:rsidRPr="005B73E3">
        <w:rPr>
          <w:b/>
          <w:szCs w:val="22"/>
        </w:rPr>
        <w:t>II.</w:t>
      </w:r>
      <w:r w:rsidRPr="005B73E3">
        <w:rPr>
          <w:szCs w:val="22"/>
        </w:rPr>
        <w:t xml:space="preserve"> Se determine mediante resolución de autoridad competente; o</w:t>
      </w:r>
    </w:p>
    <w:p w14:paraId="5FB2BF44" w14:textId="77777777" w:rsidR="000C391F" w:rsidRPr="005B73E3" w:rsidRDefault="000C391F" w:rsidP="005B73E3">
      <w:pPr>
        <w:pStyle w:val="Puesto"/>
        <w:rPr>
          <w:b/>
          <w:szCs w:val="22"/>
        </w:rPr>
      </w:pPr>
      <w:r w:rsidRPr="005B73E3">
        <w:rPr>
          <w:b/>
          <w:szCs w:val="22"/>
        </w:rPr>
        <w:t>III.</w:t>
      </w:r>
      <w:r w:rsidRPr="005B73E3">
        <w:rPr>
          <w:szCs w:val="22"/>
        </w:rPr>
        <w:t xml:space="preserve"> Se generen versiones públicas para dar cumplimiento a las obligaciones de transparencia previstas en esta Ley.</w:t>
      </w:r>
      <w:r w:rsidRPr="005B73E3">
        <w:rPr>
          <w:b/>
          <w:szCs w:val="22"/>
        </w:rPr>
        <w:t>”</w:t>
      </w:r>
    </w:p>
    <w:p w14:paraId="676071BC" w14:textId="77777777" w:rsidR="000C391F" w:rsidRPr="005B73E3" w:rsidRDefault="000C391F" w:rsidP="005B73E3">
      <w:pPr>
        <w:pStyle w:val="Puesto"/>
        <w:rPr>
          <w:szCs w:val="22"/>
        </w:rPr>
      </w:pPr>
    </w:p>
    <w:p w14:paraId="79F837EC" w14:textId="77777777" w:rsidR="000C391F" w:rsidRPr="005B73E3" w:rsidRDefault="000C391F" w:rsidP="005B73E3">
      <w:pPr>
        <w:pStyle w:val="Puesto"/>
        <w:rPr>
          <w:szCs w:val="22"/>
        </w:rPr>
      </w:pPr>
      <w:r w:rsidRPr="005B73E3">
        <w:rPr>
          <w:b/>
          <w:szCs w:val="22"/>
        </w:rPr>
        <w:t>“Segundo. -</w:t>
      </w:r>
      <w:r w:rsidRPr="005B73E3">
        <w:rPr>
          <w:szCs w:val="22"/>
        </w:rPr>
        <w:t xml:space="preserve"> Para efectos de los presentes Lineamientos Generales, se entenderá por:</w:t>
      </w:r>
    </w:p>
    <w:p w14:paraId="428657E3" w14:textId="77777777" w:rsidR="000C391F" w:rsidRPr="005B73E3" w:rsidRDefault="000C391F" w:rsidP="005B73E3">
      <w:pPr>
        <w:pStyle w:val="Puesto"/>
        <w:rPr>
          <w:szCs w:val="22"/>
        </w:rPr>
      </w:pPr>
      <w:r w:rsidRPr="005B73E3">
        <w:rPr>
          <w:b/>
          <w:szCs w:val="22"/>
        </w:rPr>
        <w:t>XVIII.</w:t>
      </w:r>
      <w:r w:rsidRPr="005B73E3">
        <w:rPr>
          <w:szCs w:val="22"/>
        </w:rPr>
        <w:t xml:space="preserve">  </w:t>
      </w:r>
      <w:r w:rsidRPr="005B73E3">
        <w:rPr>
          <w:b/>
          <w:szCs w:val="22"/>
        </w:rPr>
        <w:t>Versión pública:</w:t>
      </w:r>
      <w:r w:rsidRPr="005B73E3">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6E682BF" w14:textId="77777777" w:rsidR="000C391F" w:rsidRPr="005B73E3" w:rsidRDefault="000C391F" w:rsidP="005B73E3">
      <w:pPr>
        <w:pStyle w:val="Puesto"/>
        <w:rPr>
          <w:szCs w:val="22"/>
        </w:rPr>
      </w:pPr>
    </w:p>
    <w:p w14:paraId="4432A6B6" w14:textId="77777777" w:rsidR="000C391F" w:rsidRPr="005B73E3" w:rsidRDefault="000C391F" w:rsidP="005B73E3">
      <w:pPr>
        <w:pStyle w:val="Puesto"/>
        <w:rPr>
          <w:b/>
          <w:szCs w:val="22"/>
        </w:rPr>
      </w:pPr>
      <w:r w:rsidRPr="005B73E3">
        <w:rPr>
          <w:b/>
          <w:szCs w:val="22"/>
        </w:rPr>
        <w:t>Lineamientos Generales en materia de Clasificación y Desclasificación de la Información</w:t>
      </w:r>
    </w:p>
    <w:p w14:paraId="66327F56" w14:textId="77777777" w:rsidR="000C391F" w:rsidRPr="005B73E3" w:rsidRDefault="000C391F" w:rsidP="005B73E3">
      <w:pPr>
        <w:pStyle w:val="Puesto"/>
        <w:rPr>
          <w:szCs w:val="22"/>
        </w:rPr>
      </w:pPr>
    </w:p>
    <w:p w14:paraId="3A4C03AC" w14:textId="77777777" w:rsidR="000C391F" w:rsidRPr="005B73E3" w:rsidRDefault="000C391F" w:rsidP="005B73E3">
      <w:pPr>
        <w:pStyle w:val="Puesto"/>
        <w:rPr>
          <w:szCs w:val="22"/>
        </w:rPr>
      </w:pPr>
      <w:r w:rsidRPr="005B73E3">
        <w:rPr>
          <w:b/>
          <w:szCs w:val="22"/>
        </w:rPr>
        <w:t>Cuarto.</w:t>
      </w:r>
      <w:r w:rsidRPr="005B73E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35B9E0" w14:textId="77777777" w:rsidR="000C391F" w:rsidRPr="005B73E3" w:rsidRDefault="000C391F" w:rsidP="005B73E3">
      <w:pPr>
        <w:pStyle w:val="Puesto"/>
        <w:rPr>
          <w:szCs w:val="22"/>
        </w:rPr>
      </w:pPr>
      <w:r w:rsidRPr="005B73E3">
        <w:rPr>
          <w:szCs w:val="22"/>
        </w:rPr>
        <w:t>Los sujetos obligados deberán aplicar, de manera estricta, las excepciones al derecho de acceso a la información y sólo podrán invocarlas cuando acrediten su procedencia.</w:t>
      </w:r>
    </w:p>
    <w:p w14:paraId="5528786D" w14:textId="77777777" w:rsidR="000C391F" w:rsidRPr="005B73E3" w:rsidRDefault="000C391F" w:rsidP="005B73E3">
      <w:pPr>
        <w:pStyle w:val="Puesto"/>
        <w:rPr>
          <w:szCs w:val="22"/>
        </w:rPr>
      </w:pPr>
    </w:p>
    <w:p w14:paraId="0CA0D454" w14:textId="77777777" w:rsidR="000C391F" w:rsidRPr="005B73E3" w:rsidRDefault="000C391F" w:rsidP="005B73E3">
      <w:pPr>
        <w:pStyle w:val="Puesto"/>
        <w:rPr>
          <w:szCs w:val="22"/>
        </w:rPr>
      </w:pPr>
      <w:r w:rsidRPr="005B73E3">
        <w:rPr>
          <w:b/>
          <w:szCs w:val="22"/>
        </w:rPr>
        <w:t>Quinto.</w:t>
      </w:r>
      <w:r w:rsidRPr="005B73E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5B73E3">
        <w:rPr>
          <w:szCs w:val="22"/>
        </w:rPr>
        <w:lastRenderedPageBreak/>
        <w:t>momento en que generen versiones públicas para dar cumplimiento a las obligaciones de transparencia, observando lo dispuesto en la Ley General y las demás disposiciones aplicables en la materia.</w:t>
      </w:r>
    </w:p>
    <w:p w14:paraId="10FE4F1E" w14:textId="77777777" w:rsidR="000C391F" w:rsidRPr="005B73E3" w:rsidRDefault="000C391F" w:rsidP="005B73E3">
      <w:pPr>
        <w:pStyle w:val="Puesto"/>
        <w:rPr>
          <w:szCs w:val="22"/>
        </w:rPr>
      </w:pPr>
    </w:p>
    <w:p w14:paraId="072DF902" w14:textId="77777777" w:rsidR="000C391F" w:rsidRPr="005B73E3" w:rsidRDefault="000C391F" w:rsidP="005B73E3">
      <w:pPr>
        <w:pStyle w:val="Puesto"/>
        <w:rPr>
          <w:szCs w:val="22"/>
        </w:rPr>
      </w:pPr>
      <w:r w:rsidRPr="005B73E3">
        <w:rPr>
          <w:b/>
          <w:szCs w:val="22"/>
        </w:rPr>
        <w:t>Sexto.</w:t>
      </w:r>
      <w:r w:rsidRPr="005B73E3">
        <w:rPr>
          <w:szCs w:val="22"/>
        </w:rPr>
        <w:t xml:space="preserve"> Se deroga.</w:t>
      </w:r>
    </w:p>
    <w:p w14:paraId="09B683AB" w14:textId="77777777" w:rsidR="000C391F" w:rsidRPr="005B73E3" w:rsidRDefault="000C391F" w:rsidP="005B73E3">
      <w:pPr>
        <w:pStyle w:val="Puesto"/>
        <w:rPr>
          <w:szCs w:val="22"/>
        </w:rPr>
      </w:pPr>
    </w:p>
    <w:p w14:paraId="39E5E49A" w14:textId="77777777" w:rsidR="000C391F" w:rsidRPr="005B73E3" w:rsidRDefault="000C391F" w:rsidP="005B73E3">
      <w:pPr>
        <w:pStyle w:val="Puesto"/>
        <w:rPr>
          <w:szCs w:val="22"/>
        </w:rPr>
      </w:pPr>
      <w:r w:rsidRPr="005B73E3">
        <w:rPr>
          <w:b/>
          <w:szCs w:val="22"/>
        </w:rPr>
        <w:t>Séptimo.</w:t>
      </w:r>
      <w:r w:rsidRPr="005B73E3">
        <w:rPr>
          <w:szCs w:val="22"/>
        </w:rPr>
        <w:t xml:space="preserve"> La clasificación de la información se llevará a cabo en el momento en que:</w:t>
      </w:r>
    </w:p>
    <w:p w14:paraId="437FCB9A" w14:textId="77777777" w:rsidR="000C391F" w:rsidRPr="005B73E3" w:rsidRDefault="000C391F" w:rsidP="005B73E3">
      <w:pPr>
        <w:pStyle w:val="Puesto"/>
        <w:rPr>
          <w:szCs w:val="22"/>
        </w:rPr>
      </w:pPr>
      <w:r w:rsidRPr="005B73E3">
        <w:rPr>
          <w:b/>
          <w:szCs w:val="22"/>
        </w:rPr>
        <w:t>I.</w:t>
      </w:r>
      <w:r w:rsidRPr="005B73E3">
        <w:rPr>
          <w:szCs w:val="22"/>
        </w:rPr>
        <w:t xml:space="preserve">        Se reciba una solicitud de acceso a la información;</w:t>
      </w:r>
    </w:p>
    <w:p w14:paraId="18B29CC1" w14:textId="77777777" w:rsidR="000C391F" w:rsidRPr="005B73E3" w:rsidRDefault="000C391F" w:rsidP="005B73E3">
      <w:pPr>
        <w:pStyle w:val="Puesto"/>
        <w:rPr>
          <w:szCs w:val="22"/>
        </w:rPr>
      </w:pPr>
      <w:r w:rsidRPr="005B73E3">
        <w:rPr>
          <w:b/>
          <w:szCs w:val="22"/>
        </w:rPr>
        <w:t>II.</w:t>
      </w:r>
      <w:r w:rsidRPr="005B73E3">
        <w:rPr>
          <w:szCs w:val="22"/>
        </w:rPr>
        <w:t xml:space="preserve">       Se determine mediante resolución del Comité de Transparencia, el órgano garante competente, o en cumplimiento a una sentencia del Poder Judicial; o</w:t>
      </w:r>
    </w:p>
    <w:p w14:paraId="1734485F" w14:textId="77777777" w:rsidR="000C391F" w:rsidRPr="005B73E3" w:rsidRDefault="000C391F" w:rsidP="005B73E3">
      <w:pPr>
        <w:pStyle w:val="Puesto"/>
        <w:rPr>
          <w:szCs w:val="22"/>
        </w:rPr>
      </w:pPr>
      <w:r w:rsidRPr="005B73E3">
        <w:rPr>
          <w:b/>
          <w:szCs w:val="22"/>
        </w:rPr>
        <w:t>III.</w:t>
      </w:r>
      <w:r w:rsidRPr="005B73E3">
        <w:rPr>
          <w:szCs w:val="22"/>
        </w:rPr>
        <w:t xml:space="preserve">      Se generen versiones públicas para dar cumplimiento a las obligaciones de transparencia previstas en la Ley General, la Ley Federal y las correspondientes de las entidades federativas.</w:t>
      </w:r>
    </w:p>
    <w:p w14:paraId="4BC91717" w14:textId="77777777" w:rsidR="000C391F" w:rsidRPr="005B73E3" w:rsidRDefault="000C391F" w:rsidP="005B73E3">
      <w:pPr>
        <w:pStyle w:val="Puesto"/>
        <w:rPr>
          <w:szCs w:val="22"/>
        </w:rPr>
      </w:pPr>
      <w:r w:rsidRPr="005B73E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C879821" w14:textId="77777777" w:rsidR="000C391F" w:rsidRPr="005B73E3" w:rsidRDefault="000C391F" w:rsidP="005B73E3">
      <w:pPr>
        <w:pStyle w:val="Puesto"/>
        <w:rPr>
          <w:szCs w:val="22"/>
        </w:rPr>
      </w:pPr>
    </w:p>
    <w:p w14:paraId="78E434D4" w14:textId="77777777" w:rsidR="000C391F" w:rsidRPr="005B73E3" w:rsidRDefault="000C391F" w:rsidP="005B73E3">
      <w:pPr>
        <w:pStyle w:val="Puesto"/>
        <w:rPr>
          <w:szCs w:val="22"/>
        </w:rPr>
      </w:pPr>
      <w:r w:rsidRPr="005B73E3">
        <w:rPr>
          <w:b/>
          <w:szCs w:val="22"/>
        </w:rPr>
        <w:t>Octavo.</w:t>
      </w:r>
      <w:r w:rsidRPr="005B73E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CB992E" w14:textId="77777777" w:rsidR="000C391F" w:rsidRPr="005B73E3" w:rsidRDefault="000C391F" w:rsidP="005B73E3">
      <w:pPr>
        <w:pStyle w:val="Puesto"/>
        <w:rPr>
          <w:szCs w:val="22"/>
        </w:rPr>
      </w:pPr>
      <w:r w:rsidRPr="005B73E3">
        <w:rPr>
          <w:szCs w:val="22"/>
        </w:rPr>
        <w:t>Para motivar la clasificación se deberán señalar las razones o circunstancias especiales que lo llevaron a concluir que el caso particular se ajusta al supuesto previsto por la norma legal invocada como fundamento.</w:t>
      </w:r>
    </w:p>
    <w:p w14:paraId="4EC076C4" w14:textId="77777777" w:rsidR="000C391F" w:rsidRPr="005B73E3" w:rsidRDefault="000C391F" w:rsidP="005B73E3">
      <w:pPr>
        <w:pStyle w:val="Puesto"/>
        <w:rPr>
          <w:szCs w:val="22"/>
        </w:rPr>
      </w:pPr>
      <w:r w:rsidRPr="005B73E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8991D1C" w14:textId="77777777" w:rsidR="000C391F" w:rsidRPr="005B73E3" w:rsidRDefault="000C391F" w:rsidP="005B73E3">
      <w:pPr>
        <w:pStyle w:val="Puesto"/>
        <w:rPr>
          <w:szCs w:val="22"/>
        </w:rPr>
      </w:pPr>
    </w:p>
    <w:p w14:paraId="34FEA832" w14:textId="77777777" w:rsidR="000C391F" w:rsidRPr="005B73E3" w:rsidRDefault="000C391F" w:rsidP="005B73E3">
      <w:pPr>
        <w:pStyle w:val="Puesto"/>
        <w:rPr>
          <w:szCs w:val="22"/>
        </w:rPr>
      </w:pPr>
      <w:r w:rsidRPr="005B73E3">
        <w:rPr>
          <w:b/>
          <w:szCs w:val="22"/>
        </w:rPr>
        <w:t>Noveno.</w:t>
      </w:r>
      <w:r w:rsidRPr="005B73E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8744A8" w14:textId="77777777" w:rsidR="000C391F" w:rsidRPr="005B73E3" w:rsidRDefault="000C391F" w:rsidP="005B73E3">
      <w:pPr>
        <w:pStyle w:val="Puesto"/>
        <w:rPr>
          <w:szCs w:val="22"/>
        </w:rPr>
      </w:pPr>
    </w:p>
    <w:p w14:paraId="6861A73D" w14:textId="77777777" w:rsidR="000C391F" w:rsidRPr="005B73E3" w:rsidRDefault="000C391F" w:rsidP="005B73E3">
      <w:pPr>
        <w:pStyle w:val="Puesto"/>
        <w:rPr>
          <w:szCs w:val="22"/>
        </w:rPr>
      </w:pPr>
      <w:r w:rsidRPr="005B73E3">
        <w:rPr>
          <w:b/>
          <w:szCs w:val="22"/>
        </w:rPr>
        <w:t>Décimo.</w:t>
      </w:r>
      <w:r w:rsidRPr="005B73E3">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59B092" w14:textId="77777777" w:rsidR="000C391F" w:rsidRPr="005B73E3" w:rsidRDefault="000C391F" w:rsidP="005B73E3">
      <w:pPr>
        <w:pStyle w:val="Puesto"/>
        <w:rPr>
          <w:szCs w:val="22"/>
        </w:rPr>
      </w:pPr>
      <w:r w:rsidRPr="005B73E3">
        <w:rPr>
          <w:szCs w:val="22"/>
        </w:rPr>
        <w:lastRenderedPageBreak/>
        <w:t>En ausencia de los titulares de las áreas, la información será clasificada o desclasificada por la persona que lo supla, en términos de la normativa que rija la actuación del sujeto obligado.</w:t>
      </w:r>
    </w:p>
    <w:p w14:paraId="5CD7899C" w14:textId="77777777" w:rsidR="000C391F" w:rsidRPr="005B73E3" w:rsidRDefault="000C391F" w:rsidP="005B73E3">
      <w:pPr>
        <w:pStyle w:val="Puesto"/>
        <w:rPr>
          <w:b/>
          <w:szCs w:val="22"/>
        </w:rPr>
      </w:pPr>
      <w:r w:rsidRPr="005B73E3">
        <w:rPr>
          <w:b/>
          <w:szCs w:val="22"/>
        </w:rPr>
        <w:t>Décimo primero.</w:t>
      </w:r>
      <w:r w:rsidRPr="005B73E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B73E3">
        <w:rPr>
          <w:b/>
          <w:szCs w:val="22"/>
        </w:rPr>
        <w:t>”</w:t>
      </w:r>
    </w:p>
    <w:p w14:paraId="53C704D4" w14:textId="77777777" w:rsidR="000C391F" w:rsidRPr="005B73E3" w:rsidRDefault="000C391F" w:rsidP="005B73E3">
      <w:pPr>
        <w:rPr>
          <w:szCs w:val="22"/>
        </w:rPr>
      </w:pPr>
    </w:p>
    <w:p w14:paraId="15112D15" w14:textId="77777777" w:rsidR="000C391F" w:rsidRPr="005B73E3" w:rsidRDefault="000C391F" w:rsidP="005B73E3">
      <w:pPr>
        <w:rPr>
          <w:szCs w:val="22"/>
        </w:rPr>
      </w:pPr>
      <w:r w:rsidRPr="005B73E3">
        <w:rPr>
          <w:szCs w:val="22"/>
        </w:rPr>
        <w:t xml:space="preserve">Consecuentemente, se destaca que la versión pública que elabore </w:t>
      </w:r>
      <w:r w:rsidRPr="005B73E3">
        <w:rPr>
          <w:b/>
          <w:szCs w:val="22"/>
        </w:rPr>
        <w:t>EL SUJETO OBLIGADO</w:t>
      </w:r>
      <w:r w:rsidRPr="005B73E3">
        <w:rPr>
          <w:szCs w:val="22"/>
        </w:rPr>
        <w:t xml:space="preserve"> debe cumplir con las formalidades exigidas en la Ley, por lo que para tal efecto emitirá el </w:t>
      </w:r>
      <w:r w:rsidRPr="005B73E3">
        <w:rPr>
          <w:b/>
          <w:szCs w:val="22"/>
        </w:rPr>
        <w:t>Acuerdo del Comité de Transparencia</w:t>
      </w:r>
      <w:r w:rsidRPr="005B73E3">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EFB3FF7" w14:textId="77777777" w:rsidR="000C391F" w:rsidRPr="005B73E3" w:rsidRDefault="000C391F" w:rsidP="005B73E3">
      <w:pPr>
        <w:rPr>
          <w:szCs w:val="22"/>
        </w:rPr>
      </w:pPr>
    </w:p>
    <w:p w14:paraId="17D1CF8F" w14:textId="77777777" w:rsidR="000C391F" w:rsidRPr="005B73E3" w:rsidRDefault="000C391F" w:rsidP="005B73E3">
      <w:pPr>
        <w:rPr>
          <w:szCs w:val="22"/>
        </w:rPr>
      </w:pPr>
      <w:r w:rsidRPr="005B73E3">
        <w:rPr>
          <w:szCs w:val="22"/>
        </w:rPr>
        <w:t>Es importante señalar que, para el caso en concreto, se deben tomar en consideración los siguientes criterios respecto a la información que debe ser, o no, clasificada como confidencial:</w:t>
      </w:r>
    </w:p>
    <w:p w14:paraId="671458D8" w14:textId="77777777" w:rsidR="000C391F" w:rsidRPr="005B73E3" w:rsidRDefault="000C391F" w:rsidP="005B73E3">
      <w:pPr>
        <w:rPr>
          <w:szCs w:val="22"/>
        </w:rPr>
      </w:pPr>
    </w:p>
    <w:p w14:paraId="12A143A4" w14:textId="77777777" w:rsidR="000C391F" w:rsidRPr="005B73E3" w:rsidRDefault="000C391F" w:rsidP="005B73E3">
      <w:pPr>
        <w:ind w:right="51"/>
        <w:rPr>
          <w:rFonts w:cs="Arial"/>
          <w:szCs w:val="22"/>
        </w:rPr>
      </w:pPr>
      <w:r w:rsidRPr="005B73E3">
        <w:rPr>
          <w:rFonts w:eastAsia="Arial Unicode MS" w:cs="Arial"/>
          <w:szCs w:val="22"/>
        </w:rPr>
        <w:t xml:space="preserve">Así, previo a poner a disposición la información correspondiente debe considerarse que tiene carácter de confidencial </w:t>
      </w:r>
      <w:r w:rsidRPr="005B73E3">
        <w:rPr>
          <w:rFonts w:cs="Arial"/>
          <w:szCs w:val="22"/>
        </w:rPr>
        <w:t xml:space="preserve">el Registro Federal de Contribuyentes </w:t>
      </w:r>
      <w:r w:rsidRPr="005B73E3">
        <w:rPr>
          <w:rFonts w:cs="Arial"/>
          <w:b/>
          <w:bCs/>
          <w:szCs w:val="22"/>
          <w:u w:val="single"/>
        </w:rPr>
        <w:t>(RFC) que no sean de proveedores,</w:t>
      </w:r>
      <w:r w:rsidRPr="005B73E3">
        <w:rPr>
          <w:rFonts w:cs="Arial"/>
          <w:szCs w:val="22"/>
        </w:rPr>
        <w:t xml:space="preserve"> cuenta bancaria, la Clave Única de Registro de Población (CURP), el nombre de las personas físicas que no tengan la calidad de servidor público  o aquellos que no reciban </w:t>
      </w:r>
      <w:r w:rsidRPr="005B73E3">
        <w:rPr>
          <w:rFonts w:cs="Arial"/>
          <w:szCs w:val="22"/>
        </w:rPr>
        <w:lastRenderedPageBreak/>
        <w:t>recursos públicos, entre otros considerados como datos personales en términos de la normatividad aplicable.</w:t>
      </w:r>
    </w:p>
    <w:p w14:paraId="4FACB701" w14:textId="77777777" w:rsidR="000C391F" w:rsidRPr="005B73E3" w:rsidRDefault="000C391F" w:rsidP="005B73E3">
      <w:pPr>
        <w:ind w:right="51"/>
        <w:rPr>
          <w:rFonts w:cs="Arial"/>
          <w:szCs w:val="22"/>
        </w:rPr>
      </w:pPr>
    </w:p>
    <w:p w14:paraId="2FF585B2" w14:textId="77777777" w:rsidR="000C391F" w:rsidRPr="005B73E3" w:rsidRDefault="000C391F" w:rsidP="005B73E3">
      <w:pPr>
        <w:autoSpaceDE w:val="0"/>
        <w:autoSpaceDN w:val="0"/>
        <w:adjustRightInd w:val="0"/>
        <w:ind w:right="-91"/>
        <w:rPr>
          <w:rFonts w:cs="Arial"/>
          <w:szCs w:val="22"/>
        </w:rPr>
      </w:pPr>
      <w:r w:rsidRPr="005B73E3">
        <w:rPr>
          <w:rFonts w:cs="Arial"/>
          <w:szCs w:val="22"/>
        </w:rPr>
        <w:t>En cuanto al RFC de las personas físicas constituye un dato personal, ya que para su obtención es necesario acreditar ante la autoridad fiscal previamente la identidad de la persona, su fecha de nacimiento, entre otros aspectos.</w:t>
      </w:r>
    </w:p>
    <w:p w14:paraId="7916B974" w14:textId="77777777" w:rsidR="000C391F" w:rsidRPr="005B73E3" w:rsidRDefault="000C391F" w:rsidP="005B73E3">
      <w:pPr>
        <w:autoSpaceDE w:val="0"/>
        <w:autoSpaceDN w:val="0"/>
        <w:adjustRightInd w:val="0"/>
        <w:ind w:right="-91"/>
        <w:rPr>
          <w:rFonts w:cs="Arial"/>
          <w:szCs w:val="22"/>
        </w:rPr>
      </w:pPr>
    </w:p>
    <w:p w14:paraId="77D59564" w14:textId="77777777" w:rsidR="000C391F" w:rsidRPr="005B73E3" w:rsidRDefault="000C391F" w:rsidP="005B73E3">
      <w:pPr>
        <w:ind w:right="-91"/>
        <w:rPr>
          <w:rFonts w:cs="Arial"/>
          <w:szCs w:val="22"/>
        </w:rPr>
      </w:pPr>
      <w:r w:rsidRPr="005B73E3">
        <w:rPr>
          <w:rFonts w:cs="Arial"/>
          <w:szCs w:val="22"/>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7D12014" w14:textId="77777777" w:rsidR="000C391F" w:rsidRPr="005B73E3" w:rsidRDefault="000C391F" w:rsidP="005B73E3">
      <w:pPr>
        <w:ind w:right="-91"/>
        <w:rPr>
          <w:rFonts w:cs="Arial"/>
          <w:szCs w:val="22"/>
        </w:rPr>
      </w:pPr>
    </w:p>
    <w:p w14:paraId="0CC877C2" w14:textId="77777777" w:rsidR="000C391F" w:rsidRPr="005B73E3" w:rsidRDefault="000C391F" w:rsidP="005B73E3">
      <w:pPr>
        <w:ind w:right="-91"/>
        <w:rPr>
          <w:rFonts w:cs="Arial"/>
          <w:szCs w:val="22"/>
        </w:rPr>
      </w:pPr>
      <w:r w:rsidRPr="005B73E3">
        <w:rPr>
          <w:rFonts w:cs="Arial"/>
          <w:szCs w:val="22"/>
        </w:rPr>
        <w:t xml:space="preserve">Lo anterior es compartido por el ahora </w:t>
      </w:r>
      <w:r w:rsidRPr="005B73E3">
        <w:rPr>
          <w:rFonts w:cs="Arial"/>
          <w:b/>
          <w:bCs/>
          <w:szCs w:val="22"/>
        </w:rPr>
        <w:t>Instituto Nacional de Transparencia, Acceso a la Información y Protección de Datos Personales</w:t>
      </w:r>
      <w:r w:rsidRPr="005B73E3">
        <w:rPr>
          <w:rFonts w:cs="Arial"/>
          <w:szCs w:val="22"/>
        </w:rPr>
        <w:t xml:space="preserve"> (INAI), conforme al criterio </w:t>
      </w:r>
      <w:r w:rsidRPr="005B73E3">
        <w:rPr>
          <w:rFonts w:cs="Arial"/>
          <w:b/>
          <w:szCs w:val="22"/>
        </w:rPr>
        <w:t>19/17,</w:t>
      </w:r>
      <w:r w:rsidRPr="005B73E3">
        <w:rPr>
          <w:rFonts w:cs="Arial"/>
          <w:szCs w:val="22"/>
        </w:rPr>
        <w:t xml:space="preserve"> el cual es del tenor literal siguiente:</w:t>
      </w:r>
    </w:p>
    <w:p w14:paraId="01A714D0" w14:textId="77777777" w:rsidR="000C391F" w:rsidRPr="005B73E3" w:rsidRDefault="000C391F" w:rsidP="005B73E3">
      <w:pPr>
        <w:ind w:right="-91"/>
        <w:rPr>
          <w:rFonts w:cs="Arial"/>
          <w:szCs w:val="22"/>
        </w:rPr>
      </w:pPr>
    </w:p>
    <w:p w14:paraId="01D6200C" w14:textId="77777777" w:rsidR="000C391F" w:rsidRPr="005B73E3" w:rsidRDefault="000C391F" w:rsidP="005B73E3">
      <w:pPr>
        <w:pStyle w:val="Puesto"/>
        <w:rPr>
          <w:b/>
          <w:szCs w:val="22"/>
        </w:rPr>
      </w:pPr>
      <w:r w:rsidRPr="005B73E3">
        <w:rPr>
          <w:szCs w:val="22"/>
        </w:rPr>
        <w:t>“</w:t>
      </w:r>
      <w:r w:rsidRPr="005B73E3">
        <w:rPr>
          <w:b/>
          <w:szCs w:val="22"/>
        </w:rPr>
        <w:t>REGISTRO FEDERAL DE CONTRIBUYENTES (RFC) DE PERSONAS FÍSICAS.</w:t>
      </w:r>
    </w:p>
    <w:p w14:paraId="0E980D7B" w14:textId="77777777" w:rsidR="000C391F" w:rsidRPr="005B73E3" w:rsidRDefault="000C391F" w:rsidP="005B73E3">
      <w:pPr>
        <w:pStyle w:val="Puesto"/>
        <w:rPr>
          <w:szCs w:val="22"/>
        </w:rPr>
      </w:pPr>
      <w:r w:rsidRPr="005B73E3">
        <w:rPr>
          <w:szCs w:val="22"/>
        </w:rPr>
        <w:t>El RFC es una clave de carácter fiscal, única e irrepetible, que permite identificar al titular, su edad y fecha de nacimiento, por lo que es un dato personal de carácter confidencial.”</w:t>
      </w:r>
      <w:r w:rsidRPr="005B73E3">
        <w:rPr>
          <w:rStyle w:val="Refdenotaalpie"/>
          <w:rFonts w:cs="Arial"/>
          <w:bCs/>
          <w:i w:val="0"/>
          <w:szCs w:val="22"/>
        </w:rPr>
        <w:footnoteReference w:id="5"/>
      </w:r>
    </w:p>
    <w:p w14:paraId="7A49F198" w14:textId="77777777" w:rsidR="000C391F" w:rsidRPr="005B73E3" w:rsidRDefault="000C391F" w:rsidP="005B73E3">
      <w:pPr>
        <w:autoSpaceDE w:val="0"/>
        <w:autoSpaceDN w:val="0"/>
        <w:adjustRightInd w:val="0"/>
        <w:ind w:left="567" w:right="850"/>
        <w:rPr>
          <w:rFonts w:cs="Arial"/>
          <w:i/>
          <w:szCs w:val="22"/>
        </w:rPr>
      </w:pPr>
    </w:p>
    <w:p w14:paraId="01C657D6" w14:textId="77777777" w:rsidR="000C391F" w:rsidRPr="005B73E3" w:rsidRDefault="000C391F" w:rsidP="005B73E3">
      <w:pPr>
        <w:rPr>
          <w:rFonts w:cs="Arial"/>
          <w:szCs w:val="22"/>
        </w:rPr>
      </w:pPr>
      <w:r w:rsidRPr="005B73E3">
        <w:rPr>
          <w:rFonts w:cs="Arial"/>
          <w:szCs w:val="22"/>
        </w:rPr>
        <w:t xml:space="preserve">Así, el RFC se vincula al nombre de su titular, permite identificar la edad de la persona, su fecha de nacimiento, así como su </w:t>
      </w:r>
      <w:proofErr w:type="spellStart"/>
      <w:r w:rsidRPr="005B73E3">
        <w:rPr>
          <w:rFonts w:cs="Arial"/>
          <w:szCs w:val="22"/>
        </w:rPr>
        <w:t>homoclave</w:t>
      </w:r>
      <w:proofErr w:type="spellEnd"/>
      <w:r w:rsidRPr="005B73E3">
        <w:rPr>
          <w:rFonts w:cs="Arial"/>
          <w:szCs w:val="22"/>
        </w:rPr>
        <w:t>, la cual es única e irrepetible y determina justamente la identificación de dicha persona para efectos fiscales, por lo éste constituye un dato personal que concierne a una persona física identificada e identificable.</w:t>
      </w:r>
    </w:p>
    <w:p w14:paraId="31244F23" w14:textId="77777777" w:rsidR="000C391F" w:rsidRPr="005B73E3" w:rsidRDefault="000C391F" w:rsidP="005B73E3">
      <w:pPr>
        <w:rPr>
          <w:rFonts w:cs="Arial"/>
          <w:szCs w:val="22"/>
        </w:rPr>
      </w:pPr>
    </w:p>
    <w:p w14:paraId="58FCB381" w14:textId="77777777" w:rsidR="000C391F" w:rsidRPr="005B73E3" w:rsidRDefault="000C391F" w:rsidP="005B73E3">
      <w:pPr>
        <w:rPr>
          <w:rFonts w:cs="Arial"/>
          <w:szCs w:val="22"/>
        </w:rPr>
      </w:pPr>
      <w:r w:rsidRPr="005B73E3">
        <w:rPr>
          <w:rFonts w:cs="Arial"/>
          <w:szCs w:val="22"/>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717F38C6" w14:textId="77777777" w:rsidR="000C391F" w:rsidRPr="005B73E3" w:rsidRDefault="000C391F" w:rsidP="005B73E3">
      <w:pPr>
        <w:rPr>
          <w:rFonts w:cs="Arial"/>
          <w:szCs w:val="22"/>
        </w:rPr>
      </w:pPr>
    </w:p>
    <w:p w14:paraId="38B1E6C3" w14:textId="77777777" w:rsidR="000C391F" w:rsidRPr="005B73E3" w:rsidRDefault="000C391F" w:rsidP="005B73E3">
      <w:pPr>
        <w:rPr>
          <w:rFonts w:cs="Arial"/>
          <w:szCs w:val="22"/>
        </w:rPr>
      </w:pPr>
      <w:r w:rsidRPr="005B73E3">
        <w:rPr>
          <w:rFonts w:cs="Arial"/>
          <w:szCs w:val="22"/>
        </w:rPr>
        <w:t xml:space="preserve">Robustece lo anterior, el criterio </w:t>
      </w:r>
      <w:r w:rsidRPr="005B73E3">
        <w:rPr>
          <w:rFonts w:cs="Arial"/>
          <w:b/>
          <w:bCs/>
          <w:szCs w:val="22"/>
        </w:rPr>
        <w:t xml:space="preserve">04/21 </w:t>
      </w:r>
      <w:r w:rsidRPr="005B73E3">
        <w:rPr>
          <w:rFonts w:cs="Arial"/>
          <w:szCs w:val="22"/>
        </w:rPr>
        <w:t xml:space="preserve">emitido por el Órgano Garante Nacional, cuyo rubro y texto disponen a la literalidad lo siguiente: </w:t>
      </w:r>
    </w:p>
    <w:p w14:paraId="1BEE90CC" w14:textId="77777777" w:rsidR="000C391F" w:rsidRPr="005B73E3" w:rsidRDefault="000C391F" w:rsidP="005B73E3">
      <w:pPr>
        <w:rPr>
          <w:rFonts w:cs="Arial"/>
          <w:szCs w:val="22"/>
        </w:rPr>
      </w:pPr>
    </w:p>
    <w:p w14:paraId="2A35A04D" w14:textId="77777777" w:rsidR="000C391F" w:rsidRPr="005B73E3" w:rsidRDefault="000C391F" w:rsidP="005B73E3">
      <w:pPr>
        <w:pStyle w:val="Puesto"/>
        <w:rPr>
          <w:b/>
          <w:szCs w:val="22"/>
        </w:rPr>
      </w:pPr>
      <w:r w:rsidRPr="005B73E3">
        <w:rPr>
          <w:szCs w:val="22"/>
        </w:rPr>
        <w:t>“</w:t>
      </w:r>
      <w:r w:rsidRPr="005B73E3">
        <w:rPr>
          <w:b/>
          <w:szCs w:val="22"/>
        </w:rPr>
        <w:t xml:space="preserve">REGISTRO FEDERAL DE CONTRIBUYENTES (RFC) DE PERSONAS FÍSICAS PROVEEDORES O CONTRATISTAS. </w:t>
      </w:r>
    </w:p>
    <w:p w14:paraId="66537AAB" w14:textId="77777777" w:rsidR="000C391F" w:rsidRPr="005B73E3" w:rsidRDefault="000C391F" w:rsidP="005B73E3">
      <w:pPr>
        <w:pStyle w:val="Puesto"/>
        <w:rPr>
          <w:szCs w:val="22"/>
        </w:rPr>
      </w:pPr>
      <w:r w:rsidRPr="005B73E3">
        <w:rPr>
          <w:szCs w:val="22"/>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5B73E3">
        <w:rPr>
          <w:rStyle w:val="Refdenotaalpie"/>
          <w:szCs w:val="22"/>
        </w:rPr>
        <w:footnoteReference w:id="6"/>
      </w:r>
      <w:r w:rsidRPr="005B73E3">
        <w:rPr>
          <w:szCs w:val="22"/>
        </w:rPr>
        <w:t xml:space="preserve"> </w:t>
      </w:r>
    </w:p>
    <w:p w14:paraId="2B95E403" w14:textId="77777777" w:rsidR="000C391F" w:rsidRPr="005B73E3" w:rsidRDefault="000C391F" w:rsidP="005B73E3">
      <w:pPr>
        <w:pStyle w:val="Citas"/>
        <w:spacing w:before="0" w:after="0" w:line="240" w:lineRule="auto"/>
      </w:pPr>
    </w:p>
    <w:p w14:paraId="30592487" w14:textId="77777777" w:rsidR="000C391F" w:rsidRPr="005B73E3" w:rsidRDefault="000C391F" w:rsidP="005B73E3">
      <w:pPr>
        <w:rPr>
          <w:rFonts w:eastAsia="Calibri" w:cs="Arial"/>
          <w:szCs w:val="22"/>
        </w:rPr>
      </w:pPr>
      <w:r w:rsidRPr="005B73E3">
        <w:rPr>
          <w:rFonts w:cs="Arial"/>
          <w:szCs w:val="22"/>
        </w:rPr>
        <w:t xml:space="preserve">En cuanto a la Clave Única de Registro de Población (CURP), se </w:t>
      </w:r>
      <w:r w:rsidRPr="005B73E3">
        <w:rPr>
          <w:rFonts w:eastAsia="Calibri" w:cs="Arial"/>
          <w:szCs w:val="22"/>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6DB15EC" w14:textId="77777777" w:rsidR="000C391F" w:rsidRPr="005B73E3" w:rsidRDefault="000C391F" w:rsidP="005B73E3">
      <w:pPr>
        <w:rPr>
          <w:rFonts w:eastAsia="Calibri" w:cs="Arial"/>
          <w:szCs w:val="22"/>
        </w:rPr>
      </w:pPr>
    </w:p>
    <w:p w14:paraId="7DE4F87D" w14:textId="77777777" w:rsidR="000C391F" w:rsidRPr="005B73E3" w:rsidRDefault="000C391F" w:rsidP="005B73E3">
      <w:pPr>
        <w:ind w:right="-91"/>
        <w:rPr>
          <w:rFonts w:cs="Arial"/>
          <w:szCs w:val="22"/>
        </w:rPr>
      </w:pPr>
      <w:r w:rsidRPr="005B73E3">
        <w:rPr>
          <w:rFonts w:cs="Arial"/>
          <w:szCs w:val="22"/>
        </w:rPr>
        <w:lastRenderedPageBreak/>
        <w:t xml:space="preserve">Argumento que es compartido por el </w:t>
      </w:r>
      <w:r w:rsidRPr="005B73E3">
        <w:rPr>
          <w:rStyle w:val="Textoennegrita"/>
          <w:rFonts w:cs="Arial"/>
          <w:szCs w:val="22"/>
        </w:rPr>
        <w:t xml:space="preserve">Instituto Nacional de Transparencia, Acceso a la Información y Protección de Datos Personales, conforme al </w:t>
      </w:r>
      <w:r w:rsidRPr="005B73E3">
        <w:rPr>
          <w:rFonts w:cs="Arial"/>
          <w:szCs w:val="22"/>
        </w:rPr>
        <w:t xml:space="preserve">criterio número 18/17 el cual refiere: </w:t>
      </w:r>
    </w:p>
    <w:p w14:paraId="541DD9FB" w14:textId="77777777" w:rsidR="000C391F" w:rsidRPr="005B73E3" w:rsidRDefault="000C391F" w:rsidP="005B73E3">
      <w:pPr>
        <w:ind w:right="-91"/>
        <w:rPr>
          <w:rFonts w:cs="Arial"/>
          <w:szCs w:val="22"/>
        </w:rPr>
      </w:pPr>
    </w:p>
    <w:p w14:paraId="184054B8" w14:textId="77777777" w:rsidR="000C391F" w:rsidRPr="005B73E3" w:rsidRDefault="000C391F" w:rsidP="005B73E3">
      <w:pPr>
        <w:pStyle w:val="Puesto"/>
        <w:rPr>
          <w:b/>
          <w:szCs w:val="22"/>
        </w:rPr>
      </w:pPr>
      <w:r w:rsidRPr="005B73E3">
        <w:rPr>
          <w:szCs w:val="22"/>
        </w:rPr>
        <w:t>“</w:t>
      </w:r>
      <w:r w:rsidRPr="005B73E3">
        <w:rPr>
          <w:b/>
          <w:szCs w:val="22"/>
        </w:rPr>
        <w:t>CLAVE ÚNICA DE REGISTRO DE POBLACIÓN (CURP).</w:t>
      </w:r>
    </w:p>
    <w:p w14:paraId="76FEC4D9" w14:textId="77777777" w:rsidR="000C391F" w:rsidRPr="005B73E3" w:rsidRDefault="000C391F" w:rsidP="005B73E3">
      <w:pPr>
        <w:pStyle w:val="Puesto"/>
        <w:rPr>
          <w:szCs w:val="22"/>
        </w:rPr>
      </w:pPr>
      <w:r w:rsidRPr="005B73E3">
        <w:rPr>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5B73E3">
        <w:rPr>
          <w:rStyle w:val="Refdenotaalpie"/>
          <w:rFonts w:cs="Arial"/>
          <w:bCs/>
          <w:i w:val="0"/>
          <w:szCs w:val="22"/>
        </w:rPr>
        <w:footnoteReference w:id="7"/>
      </w:r>
      <w:r w:rsidRPr="005B73E3">
        <w:rPr>
          <w:szCs w:val="22"/>
        </w:rPr>
        <w:t xml:space="preserve">.  </w:t>
      </w:r>
    </w:p>
    <w:p w14:paraId="26D2A6E7" w14:textId="77777777" w:rsidR="000C391F" w:rsidRPr="005B73E3" w:rsidRDefault="000C391F" w:rsidP="005B73E3">
      <w:pPr>
        <w:ind w:right="51"/>
        <w:rPr>
          <w:rFonts w:cs="Arial"/>
          <w:szCs w:val="22"/>
        </w:rPr>
      </w:pPr>
    </w:p>
    <w:p w14:paraId="7A59BF4F" w14:textId="77777777" w:rsidR="000C391F" w:rsidRPr="005B73E3" w:rsidRDefault="000C391F" w:rsidP="005B73E3">
      <w:pPr>
        <w:ind w:right="51"/>
        <w:rPr>
          <w:rFonts w:cs="Arial"/>
          <w:szCs w:val="22"/>
        </w:rPr>
      </w:pPr>
      <w:r w:rsidRPr="005B73E3">
        <w:rPr>
          <w:rFonts w:cs="Arial"/>
          <w:szCs w:val="22"/>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5B73E3">
        <w:rPr>
          <w:rFonts w:cs="Arial"/>
          <w:b/>
          <w:szCs w:val="22"/>
        </w:rPr>
        <w:t>Lineamientos Generales en Materia de Clasificación y Desclasificación de la Información, así como para la Elaboración de Versiones Públicas,</w:t>
      </w:r>
      <w:r w:rsidRPr="005B73E3">
        <w:rPr>
          <w:rFonts w:cs="Arial"/>
          <w:szCs w:val="22"/>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5B73E3">
        <w:rPr>
          <w:rFonts w:cs="Arial"/>
          <w:szCs w:val="22"/>
          <w:vertAlign w:val="superscript"/>
        </w:rPr>
        <w:footnoteReference w:id="8"/>
      </w:r>
      <w:r w:rsidRPr="005B73E3">
        <w:rPr>
          <w:rFonts w:cs="Arial"/>
          <w:szCs w:val="22"/>
        </w:rPr>
        <w:t xml:space="preserve">. </w:t>
      </w:r>
    </w:p>
    <w:p w14:paraId="77677998" w14:textId="77777777" w:rsidR="000C391F" w:rsidRPr="005B73E3" w:rsidRDefault="000C391F" w:rsidP="005B73E3">
      <w:pPr>
        <w:contextualSpacing/>
        <w:rPr>
          <w:rFonts w:eastAsia="Calibri" w:cs="Tahoma"/>
          <w:b/>
          <w:bCs/>
          <w:szCs w:val="22"/>
          <w:lang w:eastAsia="en-US"/>
        </w:rPr>
      </w:pPr>
      <w:r w:rsidRPr="005B73E3">
        <w:rPr>
          <w:rFonts w:eastAsia="Calibri" w:cs="Tahoma"/>
          <w:bCs/>
          <w:szCs w:val="22"/>
          <w:lang w:eastAsia="en-US"/>
        </w:rPr>
        <w:lastRenderedPageBreak/>
        <w:t xml:space="preserve">El  </w:t>
      </w:r>
      <w:r w:rsidRPr="005B73E3">
        <w:rPr>
          <w:rFonts w:eastAsia="Calibri" w:cs="Tahoma"/>
          <w:b/>
          <w:bCs/>
          <w:szCs w:val="22"/>
          <w:lang w:eastAsia="en-US"/>
        </w:rPr>
        <w:t>Nombres de personas que no son servidores públicos</w:t>
      </w:r>
      <w:r w:rsidRPr="005B73E3">
        <w:rPr>
          <w:rFonts w:eastAsia="Calibri" w:cs="Tahoma"/>
          <w:bCs/>
          <w:szCs w:val="22"/>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B73E3">
        <w:rPr>
          <w:rFonts w:eastAsia="Calibri" w:cs="Tahoma"/>
          <w:bCs/>
          <w:i/>
          <w:szCs w:val="22"/>
          <w:lang w:eastAsia="en-US"/>
        </w:rPr>
        <w:t>per se</w:t>
      </w:r>
      <w:r w:rsidRPr="005B73E3">
        <w:rPr>
          <w:rFonts w:eastAsia="Calibri" w:cs="Tahoma"/>
          <w:bCs/>
          <w:szCs w:val="22"/>
          <w:lang w:eastAsia="en-US"/>
        </w:rPr>
        <w:t xml:space="preserve"> es un elemento que hace a una persona física identificada o identificable, por lo que, </w:t>
      </w:r>
      <w:r w:rsidRPr="005B73E3">
        <w:rPr>
          <w:rFonts w:eastAsia="Calibri" w:cs="Tahoma"/>
          <w:b/>
          <w:bCs/>
          <w:szCs w:val="22"/>
          <w:lang w:eastAsia="en-US"/>
        </w:rPr>
        <w:t>se considera un dato personal.</w:t>
      </w:r>
    </w:p>
    <w:p w14:paraId="57B0B6F3" w14:textId="77777777" w:rsidR="000C391F" w:rsidRPr="005B73E3" w:rsidRDefault="000C391F" w:rsidP="005B73E3">
      <w:pPr>
        <w:contextualSpacing/>
        <w:rPr>
          <w:rFonts w:eastAsia="Calibri" w:cs="Tahoma"/>
          <w:b/>
          <w:bCs/>
          <w:szCs w:val="22"/>
          <w:lang w:eastAsia="en-US"/>
        </w:rPr>
      </w:pPr>
    </w:p>
    <w:p w14:paraId="31677680" w14:textId="77777777" w:rsidR="000C391F" w:rsidRPr="005B73E3" w:rsidRDefault="000C391F" w:rsidP="005B73E3">
      <w:pPr>
        <w:rPr>
          <w:rFonts w:eastAsia="Calibri" w:cs="Tahoma"/>
          <w:bCs/>
          <w:szCs w:val="22"/>
          <w:lang w:val="es-ES" w:eastAsia="en-US"/>
        </w:rPr>
      </w:pPr>
      <w:r w:rsidRPr="005B73E3">
        <w:rPr>
          <w:rFonts w:eastAsia="Calibri" w:cs="Tahoma"/>
          <w:bCs/>
          <w:szCs w:val="22"/>
          <w:lang w:eastAsia="en-US"/>
        </w:rPr>
        <w:t>Con base en lo anterior, procede su eliminación de las versiones públicas, pues</w:t>
      </w:r>
      <w:r w:rsidRPr="005B73E3">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7E767FAB" w14:textId="77777777" w:rsidR="00543682" w:rsidRPr="005B73E3" w:rsidRDefault="00543682" w:rsidP="005B73E3">
      <w:pPr>
        <w:spacing w:after="160"/>
        <w:rPr>
          <w:rFonts w:cs="Tahoma"/>
          <w:bCs/>
          <w:iCs/>
          <w:szCs w:val="22"/>
        </w:rPr>
      </w:pPr>
    </w:p>
    <w:p w14:paraId="6CD05AC4" w14:textId="27BA992A" w:rsidR="00BD5A7C" w:rsidRPr="005B73E3" w:rsidRDefault="001E0ACD" w:rsidP="005B73E3">
      <w:pPr>
        <w:pStyle w:val="Ttulo3"/>
        <w:rPr>
          <w:szCs w:val="22"/>
        </w:rPr>
      </w:pPr>
      <w:bookmarkStart w:id="36" w:name="_Toc165304079"/>
      <w:bookmarkStart w:id="37" w:name="_Toc174019542"/>
      <w:r w:rsidRPr="005B73E3">
        <w:rPr>
          <w:rFonts w:eastAsia="Calibri"/>
          <w:szCs w:val="22"/>
        </w:rPr>
        <w:t>e</w:t>
      </w:r>
      <w:r w:rsidR="00335CDF" w:rsidRPr="005B73E3">
        <w:rPr>
          <w:rFonts w:eastAsia="Calibri"/>
          <w:szCs w:val="22"/>
        </w:rPr>
        <w:t xml:space="preserve">) </w:t>
      </w:r>
      <w:bookmarkEnd w:id="36"/>
      <w:r w:rsidR="00BD5A7C" w:rsidRPr="005B73E3">
        <w:rPr>
          <w:szCs w:val="22"/>
        </w:rPr>
        <w:t>Conclusión</w:t>
      </w:r>
      <w:bookmarkEnd w:id="37"/>
    </w:p>
    <w:p w14:paraId="0D7BDA8D" w14:textId="77777777" w:rsidR="000C391F" w:rsidRPr="005B73E3" w:rsidRDefault="000C391F" w:rsidP="005B73E3">
      <w:pPr>
        <w:rPr>
          <w:rFonts w:cs="Arial"/>
          <w:szCs w:val="22"/>
        </w:rPr>
      </w:pPr>
      <w:r w:rsidRPr="005B73E3">
        <w:rPr>
          <w:rFonts w:cs="Arial"/>
          <w:szCs w:val="22"/>
        </w:rPr>
        <w:t xml:space="preserve">Por lo </w:t>
      </w:r>
      <w:r w:rsidRPr="005B73E3">
        <w:rPr>
          <w:rFonts w:cs="Arial"/>
          <w:szCs w:val="22"/>
          <w:lang w:eastAsia="es-CO"/>
        </w:rPr>
        <w:t>anteriormente</w:t>
      </w:r>
      <w:r w:rsidRPr="005B73E3">
        <w:rPr>
          <w:rFonts w:cs="Arial"/>
          <w:szCs w:val="22"/>
        </w:rPr>
        <w:t xml:space="preserve"> expuesto, este Instituto estima que las razones o motivos de inconformidad hechos valer por </w:t>
      </w:r>
      <w:r w:rsidRPr="005B73E3">
        <w:rPr>
          <w:rFonts w:cs="Arial"/>
          <w:b/>
          <w:szCs w:val="22"/>
        </w:rPr>
        <w:t>LA PARTE RECURRENTE</w:t>
      </w:r>
      <w:r w:rsidRPr="005B73E3">
        <w:rPr>
          <w:rFonts w:cs="Arial"/>
          <w:szCs w:val="22"/>
        </w:rPr>
        <w:t xml:space="preserve"> devienen </w:t>
      </w:r>
      <w:r w:rsidRPr="005B73E3">
        <w:rPr>
          <w:rFonts w:cs="Arial"/>
          <w:b/>
          <w:szCs w:val="22"/>
        </w:rPr>
        <w:t>fundadas</w:t>
      </w:r>
      <w:r w:rsidRPr="005B73E3">
        <w:rPr>
          <w:rFonts w:cs="Arial"/>
          <w:szCs w:val="22"/>
        </w:rPr>
        <w:t xml:space="preserve"> y suficientes para </w:t>
      </w:r>
      <w:r w:rsidRPr="005B73E3">
        <w:rPr>
          <w:rFonts w:cs="Arial"/>
          <w:b/>
          <w:szCs w:val="22"/>
        </w:rPr>
        <w:t>REVOCAR</w:t>
      </w:r>
      <w:r w:rsidRPr="005B73E3">
        <w:rPr>
          <w:rFonts w:cs="Arial"/>
          <w:szCs w:val="22"/>
        </w:rPr>
        <w:t xml:space="preserve"> la respuesta del </w:t>
      </w:r>
      <w:r w:rsidRPr="005B73E3">
        <w:rPr>
          <w:rFonts w:cs="Arial"/>
          <w:b/>
          <w:szCs w:val="22"/>
        </w:rPr>
        <w:t>SUJETO OBLIGADO</w:t>
      </w:r>
      <w:r w:rsidRPr="005B73E3">
        <w:rPr>
          <w:rFonts w:cs="Arial"/>
          <w:szCs w:val="22"/>
        </w:rPr>
        <w:t xml:space="preserve"> y ordenarle haga entrega de la información descrita en el presente Considerando.</w:t>
      </w:r>
    </w:p>
    <w:p w14:paraId="35CC3E71" w14:textId="77777777" w:rsidR="00D332D7" w:rsidRPr="005B73E3" w:rsidRDefault="00D332D7" w:rsidP="005B73E3">
      <w:pPr>
        <w:rPr>
          <w:rFonts w:cs="Arial"/>
          <w:szCs w:val="22"/>
        </w:rPr>
      </w:pPr>
    </w:p>
    <w:p w14:paraId="6C4C444E" w14:textId="1A3B6AD9" w:rsidR="00BD5A7C" w:rsidRPr="005B73E3" w:rsidRDefault="00BD5A7C" w:rsidP="005B73E3">
      <w:pPr>
        <w:ind w:right="-93"/>
        <w:rPr>
          <w:rFonts w:cs="Tahoma"/>
          <w:bCs/>
          <w:szCs w:val="22"/>
        </w:rPr>
      </w:pPr>
      <w:bookmarkStart w:id="38" w:name="_Hlk165381027"/>
      <w:r w:rsidRPr="005B73E3">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C0A80B4" w14:textId="77777777" w:rsidR="00EC3252" w:rsidRPr="005B73E3" w:rsidRDefault="00EC3252" w:rsidP="005B73E3">
      <w:pPr>
        <w:ind w:right="-93"/>
        <w:rPr>
          <w:rFonts w:cs="Tahoma"/>
          <w:bCs/>
          <w:szCs w:val="22"/>
        </w:rPr>
      </w:pPr>
    </w:p>
    <w:bookmarkEnd w:id="38"/>
    <w:p w14:paraId="7C13D1A0" w14:textId="77777777" w:rsidR="00BD5A7C" w:rsidRPr="005B73E3" w:rsidRDefault="00BD5A7C" w:rsidP="005B73E3">
      <w:pPr>
        <w:rPr>
          <w:szCs w:val="22"/>
        </w:rPr>
      </w:pPr>
    </w:p>
    <w:p w14:paraId="5C396097" w14:textId="684A0E4F" w:rsidR="00664420" w:rsidRPr="005B73E3" w:rsidRDefault="00664420" w:rsidP="005B73E3">
      <w:pPr>
        <w:pStyle w:val="Ttulo1"/>
        <w:rPr>
          <w:szCs w:val="22"/>
        </w:rPr>
      </w:pPr>
      <w:bookmarkStart w:id="39" w:name="_Toc174019543"/>
      <w:r w:rsidRPr="005B73E3">
        <w:rPr>
          <w:szCs w:val="22"/>
        </w:rPr>
        <w:lastRenderedPageBreak/>
        <w:t>RESUELVE</w:t>
      </w:r>
      <w:bookmarkEnd w:id="39"/>
    </w:p>
    <w:p w14:paraId="203B7093" w14:textId="77777777" w:rsidR="00664420" w:rsidRPr="005B73E3" w:rsidRDefault="00664420" w:rsidP="005B73E3">
      <w:pPr>
        <w:ind w:right="113"/>
        <w:rPr>
          <w:rFonts w:cs="Arial"/>
          <w:b/>
          <w:szCs w:val="22"/>
        </w:rPr>
      </w:pPr>
    </w:p>
    <w:p w14:paraId="68DFB650" w14:textId="71FE350A" w:rsidR="008629A5" w:rsidRPr="005B73E3" w:rsidRDefault="008629A5" w:rsidP="005B73E3">
      <w:pPr>
        <w:widowControl w:val="0"/>
        <w:rPr>
          <w:rFonts w:eastAsia="Calibri" w:cs="Tahoma"/>
          <w:bCs/>
          <w:szCs w:val="22"/>
          <w:lang w:eastAsia="en-US"/>
        </w:rPr>
      </w:pPr>
      <w:r w:rsidRPr="005B73E3">
        <w:rPr>
          <w:b/>
          <w:bCs/>
          <w:szCs w:val="22"/>
        </w:rPr>
        <w:t>PRIMERO.</w:t>
      </w:r>
      <w:r w:rsidRPr="005B73E3">
        <w:rPr>
          <w:szCs w:val="22"/>
        </w:rPr>
        <w:t xml:space="preserve"> </w:t>
      </w:r>
      <w:r w:rsidRPr="005B73E3">
        <w:rPr>
          <w:rFonts w:cs="Tahoma"/>
          <w:szCs w:val="22"/>
        </w:rPr>
        <w:t xml:space="preserve">Se </w:t>
      </w:r>
      <w:r w:rsidRPr="005B73E3">
        <w:rPr>
          <w:rFonts w:cs="Tahoma"/>
          <w:b/>
          <w:bCs/>
          <w:szCs w:val="22"/>
        </w:rPr>
        <w:t>REVOCA</w:t>
      </w:r>
      <w:r w:rsidRPr="005B73E3">
        <w:rPr>
          <w:rFonts w:cs="Tahoma"/>
          <w:szCs w:val="22"/>
        </w:rPr>
        <w:t xml:space="preserve"> la respuesta entregada por el </w:t>
      </w:r>
      <w:r w:rsidRPr="005B73E3">
        <w:rPr>
          <w:rFonts w:cs="Tahoma"/>
          <w:b/>
          <w:bCs/>
          <w:szCs w:val="22"/>
        </w:rPr>
        <w:t>SUJETO OBLIGADO</w:t>
      </w:r>
      <w:r w:rsidRPr="005B73E3">
        <w:rPr>
          <w:rFonts w:cs="Tahoma"/>
          <w:szCs w:val="22"/>
        </w:rPr>
        <w:t xml:space="preserve"> en la solicitud de información </w:t>
      </w:r>
      <w:r w:rsidR="00A47883" w:rsidRPr="005B73E3">
        <w:rPr>
          <w:rFonts w:cs="Tahoma"/>
          <w:b/>
          <w:szCs w:val="22"/>
        </w:rPr>
        <w:t>00115/TEXCOCO/IP/2024</w:t>
      </w:r>
      <w:r w:rsidRPr="005B73E3">
        <w:rPr>
          <w:rFonts w:cs="Tahoma"/>
          <w:bCs/>
          <w:szCs w:val="22"/>
        </w:rPr>
        <w:t xml:space="preserve">, </w:t>
      </w:r>
      <w:r w:rsidRPr="005B73E3">
        <w:rPr>
          <w:rFonts w:eastAsia="Calibri" w:cs="Tahoma"/>
          <w:bCs/>
          <w:szCs w:val="22"/>
          <w:lang w:eastAsia="en-US"/>
        </w:rPr>
        <w:t xml:space="preserve">por resultar </w:t>
      </w:r>
      <w:r w:rsidRPr="005B73E3">
        <w:rPr>
          <w:rFonts w:eastAsia="Calibri" w:cs="Tahoma"/>
          <w:b/>
          <w:bCs/>
          <w:szCs w:val="22"/>
          <w:lang w:eastAsia="en-US"/>
        </w:rPr>
        <w:t>FUNDADAS</w:t>
      </w:r>
      <w:r w:rsidRPr="005B73E3">
        <w:rPr>
          <w:rFonts w:eastAsia="Calibri" w:cs="Tahoma"/>
          <w:bCs/>
          <w:szCs w:val="22"/>
          <w:lang w:eastAsia="en-US"/>
        </w:rPr>
        <w:t xml:space="preserve"> las razones o motivos de inconformidad hechos valer por </w:t>
      </w:r>
      <w:r w:rsidRPr="005B73E3">
        <w:rPr>
          <w:rFonts w:eastAsia="Calibri" w:cs="Tahoma"/>
          <w:b/>
          <w:szCs w:val="22"/>
          <w:lang w:eastAsia="en-US"/>
        </w:rPr>
        <w:t>LA PARTE RECURRENTE</w:t>
      </w:r>
      <w:r w:rsidRPr="005B73E3">
        <w:rPr>
          <w:rFonts w:eastAsia="Calibri" w:cs="Tahoma"/>
          <w:bCs/>
          <w:szCs w:val="22"/>
          <w:lang w:eastAsia="en-US"/>
        </w:rPr>
        <w:t xml:space="preserve"> en el Recurso de Revisión </w:t>
      </w:r>
      <w:r w:rsidR="008F136E" w:rsidRPr="005B73E3">
        <w:rPr>
          <w:rFonts w:eastAsiaTheme="minorHAnsi" w:cstheme="minorBidi"/>
          <w:b/>
          <w:bCs/>
          <w:szCs w:val="22"/>
          <w:lang w:eastAsia="en-US"/>
        </w:rPr>
        <w:t>03292/INFOEM/IP/RR/2024</w:t>
      </w:r>
      <w:r w:rsidRPr="005B73E3">
        <w:rPr>
          <w:rFonts w:eastAsiaTheme="minorHAnsi" w:cstheme="minorBidi"/>
          <w:szCs w:val="22"/>
          <w:lang w:eastAsia="en-US"/>
        </w:rPr>
        <w:t>,</w:t>
      </w:r>
      <w:r w:rsidRPr="005B73E3">
        <w:rPr>
          <w:rFonts w:cs="Tahoma"/>
          <w:b/>
          <w:szCs w:val="22"/>
        </w:rPr>
        <w:t xml:space="preserve"> </w:t>
      </w:r>
      <w:r w:rsidRPr="005B73E3">
        <w:rPr>
          <w:rFonts w:eastAsia="Calibri" w:cs="Tahoma"/>
          <w:bCs/>
          <w:szCs w:val="22"/>
          <w:lang w:eastAsia="en-US"/>
        </w:rPr>
        <w:t xml:space="preserve">en términos del considerando </w:t>
      </w:r>
      <w:r w:rsidRPr="005B73E3">
        <w:rPr>
          <w:rFonts w:eastAsia="Calibri" w:cs="Tahoma"/>
          <w:b/>
          <w:szCs w:val="22"/>
          <w:lang w:eastAsia="en-US"/>
        </w:rPr>
        <w:t>SEGUNDO</w:t>
      </w:r>
      <w:r w:rsidRPr="005B73E3">
        <w:rPr>
          <w:rFonts w:eastAsia="Calibri" w:cs="Tahoma"/>
          <w:bCs/>
          <w:szCs w:val="22"/>
          <w:lang w:eastAsia="en-US"/>
        </w:rPr>
        <w:t xml:space="preserve"> de la presente Resolución.</w:t>
      </w:r>
    </w:p>
    <w:p w14:paraId="6961F8DF" w14:textId="77777777" w:rsidR="008629A5" w:rsidRPr="005B73E3" w:rsidRDefault="008629A5" w:rsidP="005B73E3">
      <w:pPr>
        <w:widowControl w:val="0"/>
        <w:rPr>
          <w:rFonts w:eastAsia="Calibri" w:cs="Tahoma"/>
          <w:bCs/>
          <w:szCs w:val="22"/>
          <w:lang w:eastAsia="en-US"/>
        </w:rPr>
      </w:pPr>
    </w:p>
    <w:p w14:paraId="6E956CBC" w14:textId="1EF3DD17" w:rsidR="008629A5" w:rsidRPr="005B73E3" w:rsidRDefault="008629A5" w:rsidP="005B73E3">
      <w:pPr>
        <w:ind w:right="-93"/>
        <w:rPr>
          <w:rFonts w:eastAsia="Calibri" w:cs="Tahoma"/>
          <w:bCs/>
          <w:szCs w:val="22"/>
          <w:lang w:eastAsia="en-US"/>
        </w:rPr>
      </w:pPr>
      <w:r w:rsidRPr="005B73E3">
        <w:rPr>
          <w:rFonts w:eastAsia="Calibri" w:cs="Tahoma"/>
          <w:b/>
          <w:bCs/>
          <w:szCs w:val="22"/>
          <w:lang w:eastAsia="en-US"/>
        </w:rPr>
        <w:t>SEGUNDO.</w:t>
      </w:r>
      <w:r w:rsidRPr="005B73E3">
        <w:rPr>
          <w:rFonts w:eastAsia="Calibri" w:cs="Tahoma"/>
          <w:szCs w:val="22"/>
          <w:lang w:eastAsia="es-MX"/>
        </w:rPr>
        <w:t xml:space="preserve"> Se </w:t>
      </w:r>
      <w:r w:rsidRPr="005B73E3">
        <w:rPr>
          <w:rFonts w:eastAsia="Calibri" w:cs="Tahoma"/>
          <w:b/>
          <w:szCs w:val="22"/>
          <w:lang w:eastAsia="es-MX"/>
        </w:rPr>
        <w:t xml:space="preserve">ORDENA </w:t>
      </w:r>
      <w:r w:rsidRPr="005B73E3">
        <w:rPr>
          <w:rFonts w:eastAsia="Calibri" w:cs="Tahoma"/>
          <w:szCs w:val="22"/>
          <w:lang w:eastAsia="es-MX"/>
        </w:rPr>
        <w:t xml:space="preserve">al </w:t>
      </w:r>
      <w:r w:rsidRPr="005B73E3">
        <w:rPr>
          <w:rFonts w:eastAsia="Calibri" w:cs="Tahoma"/>
          <w:b/>
          <w:bCs/>
          <w:szCs w:val="22"/>
          <w:lang w:eastAsia="es-MX"/>
        </w:rPr>
        <w:t>SUJETO OBLIGADO</w:t>
      </w:r>
      <w:r w:rsidRPr="005B73E3">
        <w:rPr>
          <w:rFonts w:eastAsia="Calibri" w:cs="Tahoma"/>
          <w:szCs w:val="22"/>
          <w:lang w:eastAsia="es-MX"/>
        </w:rPr>
        <w:t xml:space="preserve">, </w:t>
      </w:r>
      <w:r w:rsidRPr="005B73E3">
        <w:rPr>
          <w:rFonts w:eastAsia="Calibri" w:cs="Tahoma"/>
          <w:bCs/>
          <w:szCs w:val="22"/>
          <w:lang w:eastAsia="en-US"/>
        </w:rPr>
        <w:t xml:space="preserve">a efecto de que, previa búsqueda exhaustiva y razonable de la información, entregue a través del </w:t>
      </w:r>
      <w:r w:rsidRPr="005B73E3">
        <w:rPr>
          <w:rFonts w:eastAsia="Calibri" w:cs="Tahoma"/>
          <w:b/>
          <w:bCs/>
          <w:szCs w:val="22"/>
          <w:lang w:eastAsia="en-US"/>
        </w:rPr>
        <w:t>SAIMEX</w:t>
      </w:r>
      <w:r w:rsidRPr="005B73E3">
        <w:rPr>
          <w:rFonts w:eastAsia="Calibri" w:cs="Tahoma"/>
          <w:bCs/>
          <w:szCs w:val="22"/>
          <w:lang w:eastAsia="en-US"/>
        </w:rPr>
        <w:t xml:space="preserve">, </w:t>
      </w:r>
      <w:r w:rsidR="005D5645" w:rsidRPr="005B73E3">
        <w:rPr>
          <w:rFonts w:eastAsia="Calibri" w:cs="Tahoma"/>
          <w:bCs/>
          <w:szCs w:val="22"/>
          <w:lang w:eastAsia="en-US"/>
        </w:rPr>
        <w:t xml:space="preserve">des ser procedente </w:t>
      </w:r>
      <w:r w:rsidRPr="005B73E3">
        <w:rPr>
          <w:rFonts w:eastAsia="Calibri" w:cs="Tahoma"/>
          <w:bCs/>
          <w:szCs w:val="22"/>
          <w:lang w:eastAsia="en-US"/>
        </w:rPr>
        <w:t xml:space="preserve">en </w:t>
      </w:r>
      <w:r w:rsidRPr="005B73E3">
        <w:rPr>
          <w:rFonts w:eastAsia="Calibri" w:cs="Tahoma"/>
          <w:b/>
          <w:bCs/>
          <w:szCs w:val="22"/>
          <w:lang w:eastAsia="en-US"/>
        </w:rPr>
        <w:t>versión pública</w:t>
      </w:r>
      <w:r w:rsidRPr="005B73E3">
        <w:rPr>
          <w:rFonts w:eastAsia="Calibri" w:cs="Tahoma"/>
          <w:bCs/>
          <w:szCs w:val="22"/>
          <w:lang w:eastAsia="en-US"/>
        </w:rPr>
        <w:t xml:space="preserve">, </w:t>
      </w:r>
      <w:r w:rsidR="00A701FB" w:rsidRPr="005B73E3">
        <w:rPr>
          <w:rFonts w:eastAsia="Calibri" w:cs="Tahoma"/>
          <w:bCs/>
          <w:szCs w:val="22"/>
          <w:lang w:eastAsia="en-US"/>
        </w:rPr>
        <w:t xml:space="preserve">el soporte documental que dé </w:t>
      </w:r>
      <w:r w:rsidRPr="005B73E3">
        <w:rPr>
          <w:rFonts w:eastAsia="Calibri" w:cs="Tahoma"/>
          <w:bCs/>
          <w:szCs w:val="22"/>
          <w:lang w:eastAsia="en-US"/>
        </w:rPr>
        <w:t>cuenta de lo siguiente:</w:t>
      </w:r>
    </w:p>
    <w:p w14:paraId="0C757368" w14:textId="77777777" w:rsidR="00BB67A6" w:rsidRPr="005B73E3" w:rsidRDefault="00BB67A6" w:rsidP="005B73E3">
      <w:pPr>
        <w:ind w:right="-93"/>
        <w:rPr>
          <w:rFonts w:eastAsia="Calibri" w:cs="Tahoma"/>
          <w:bCs/>
          <w:szCs w:val="22"/>
          <w:lang w:eastAsia="en-US"/>
        </w:rPr>
      </w:pPr>
    </w:p>
    <w:p w14:paraId="0A3D2BF6" w14:textId="77777777" w:rsidR="00BB67A6" w:rsidRPr="005B73E3" w:rsidRDefault="00BB67A6" w:rsidP="005B73E3">
      <w:pPr>
        <w:pStyle w:val="Prrafodelista"/>
        <w:numPr>
          <w:ilvl w:val="0"/>
          <w:numId w:val="49"/>
        </w:numPr>
        <w:tabs>
          <w:tab w:val="left" w:pos="4962"/>
        </w:tabs>
        <w:ind w:right="680"/>
        <w:rPr>
          <w:rFonts w:cs="Tahoma"/>
          <w:bCs/>
          <w:i/>
          <w:szCs w:val="22"/>
        </w:rPr>
      </w:pPr>
      <w:r w:rsidRPr="005B73E3">
        <w:rPr>
          <w:rFonts w:cs="Tahoma"/>
          <w:bCs/>
          <w:i/>
          <w:szCs w:val="22"/>
        </w:rPr>
        <w:t xml:space="preserve">Los formatos del sistema de planeación y presupuestario (SPP), desde el anteproyecto y hasta su informe anual correspondiente al ejercicio fiscal 2023. </w:t>
      </w:r>
    </w:p>
    <w:p w14:paraId="67CC3C81" w14:textId="137A2384" w:rsidR="00BB67A6" w:rsidRPr="005B73E3" w:rsidRDefault="00BB67A6" w:rsidP="005B73E3">
      <w:pPr>
        <w:pStyle w:val="Prrafodelista"/>
        <w:numPr>
          <w:ilvl w:val="0"/>
          <w:numId w:val="49"/>
        </w:numPr>
        <w:tabs>
          <w:tab w:val="left" w:pos="4962"/>
        </w:tabs>
        <w:ind w:right="680"/>
        <w:rPr>
          <w:rFonts w:cs="Tahoma"/>
          <w:bCs/>
          <w:i/>
          <w:szCs w:val="22"/>
        </w:rPr>
      </w:pPr>
      <w:r w:rsidRPr="005B73E3">
        <w:rPr>
          <w:rFonts w:cs="Tahoma"/>
          <w:bCs/>
          <w:i/>
          <w:szCs w:val="22"/>
        </w:rPr>
        <w:t xml:space="preserve">Los formatos firmados y sellados </w:t>
      </w:r>
      <w:r w:rsidR="00960108" w:rsidRPr="005B73E3">
        <w:rPr>
          <w:rFonts w:cs="Tahoma"/>
          <w:bCs/>
          <w:i/>
          <w:szCs w:val="22"/>
        </w:rPr>
        <w:t>correspondientes</w:t>
      </w:r>
      <w:r w:rsidRPr="005B73E3">
        <w:rPr>
          <w:rFonts w:cs="Tahoma"/>
          <w:bCs/>
          <w:i/>
          <w:szCs w:val="22"/>
        </w:rPr>
        <w:t xml:space="preserve"> </w:t>
      </w:r>
      <w:r w:rsidR="00960108" w:rsidRPr="005B73E3">
        <w:rPr>
          <w:rFonts w:cs="Tahoma"/>
          <w:bCs/>
          <w:i/>
          <w:szCs w:val="22"/>
        </w:rPr>
        <w:t xml:space="preserve">al </w:t>
      </w:r>
      <w:r w:rsidR="00960108" w:rsidRPr="005B73E3">
        <w:rPr>
          <w:i/>
        </w:rPr>
        <w:t>PbRM</w:t>
      </w:r>
      <w:r w:rsidRPr="005B73E3">
        <w:rPr>
          <w:rFonts w:cs="Tahoma"/>
          <w:bCs/>
          <w:i/>
          <w:szCs w:val="22"/>
        </w:rPr>
        <w:t xml:space="preserve">01a, </w:t>
      </w:r>
      <w:r w:rsidR="00960108" w:rsidRPr="005B73E3">
        <w:rPr>
          <w:i/>
        </w:rPr>
        <w:t>PbRM</w:t>
      </w:r>
      <w:r w:rsidRPr="005B73E3">
        <w:rPr>
          <w:rFonts w:cs="Tahoma"/>
          <w:bCs/>
          <w:i/>
          <w:szCs w:val="22"/>
        </w:rPr>
        <w:t xml:space="preserve">02a, </w:t>
      </w:r>
      <w:r w:rsidR="00960108" w:rsidRPr="005B73E3">
        <w:rPr>
          <w:i/>
        </w:rPr>
        <w:t>PbRM</w:t>
      </w:r>
      <w:r w:rsidRPr="005B73E3">
        <w:rPr>
          <w:rFonts w:cs="Tahoma"/>
          <w:bCs/>
          <w:i/>
          <w:szCs w:val="22"/>
        </w:rPr>
        <w:t xml:space="preserve">04a, </w:t>
      </w:r>
      <w:r w:rsidR="00960108" w:rsidRPr="005B73E3">
        <w:rPr>
          <w:i/>
        </w:rPr>
        <w:t>PbRM</w:t>
      </w:r>
      <w:r w:rsidRPr="005B73E3">
        <w:rPr>
          <w:rFonts w:cs="Tahoma"/>
          <w:bCs/>
          <w:i/>
          <w:szCs w:val="22"/>
        </w:rPr>
        <w:t xml:space="preserve">04b, </w:t>
      </w:r>
      <w:r w:rsidR="00960108" w:rsidRPr="005B73E3">
        <w:rPr>
          <w:i/>
        </w:rPr>
        <w:t>PbRM</w:t>
      </w:r>
      <w:r w:rsidRPr="005B73E3">
        <w:rPr>
          <w:rFonts w:cs="Tahoma"/>
          <w:bCs/>
          <w:i/>
          <w:szCs w:val="22"/>
        </w:rPr>
        <w:t xml:space="preserve">09a, </w:t>
      </w:r>
      <w:r w:rsidR="00960108" w:rsidRPr="005B73E3">
        <w:rPr>
          <w:i/>
        </w:rPr>
        <w:t>PbRM</w:t>
      </w:r>
      <w:r w:rsidRPr="005B73E3">
        <w:rPr>
          <w:rFonts w:cs="Tahoma"/>
          <w:bCs/>
          <w:i/>
          <w:szCs w:val="22"/>
        </w:rPr>
        <w:t xml:space="preserve">11a y </w:t>
      </w:r>
      <w:r w:rsidR="00960108" w:rsidRPr="005B73E3">
        <w:rPr>
          <w:i/>
        </w:rPr>
        <w:t>PbRM</w:t>
      </w:r>
      <w:r w:rsidRPr="005B73E3">
        <w:rPr>
          <w:rFonts w:cs="Tahoma"/>
          <w:bCs/>
          <w:i/>
          <w:szCs w:val="22"/>
        </w:rPr>
        <w:t>13</w:t>
      </w:r>
      <w:r w:rsidR="00960108" w:rsidRPr="005B73E3">
        <w:rPr>
          <w:rFonts w:cs="Tahoma"/>
          <w:bCs/>
          <w:i/>
          <w:szCs w:val="22"/>
        </w:rPr>
        <w:t>a</w:t>
      </w:r>
      <w:r w:rsidRPr="005B73E3">
        <w:rPr>
          <w:rFonts w:cs="Tahoma"/>
          <w:bCs/>
          <w:i/>
          <w:szCs w:val="22"/>
        </w:rPr>
        <w:t>, correspondiente al ejercicio fiscal 2023.</w:t>
      </w:r>
    </w:p>
    <w:p w14:paraId="6DA09AC8" w14:textId="77777777" w:rsidR="00B019F8" w:rsidRPr="005B73E3" w:rsidRDefault="00B019F8" w:rsidP="005B73E3">
      <w:pPr>
        <w:spacing w:line="276" w:lineRule="auto"/>
        <w:ind w:left="708" w:right="822"/>
        <w:rPr>
          <w:rFonts w:eastAsia="Calibri" w:cs="Tahoma"/>
          <w:i/>
          <w:iCs/>
          <w:szCs w:val="22"/>
          <w:lang w:eastAsia="es-ES_tradnl"/>
        </w:rPr>
      </w:pPr>
    </w:p>
    <w:p w14:paraId="659BAD7B" w14:textId="77777777" w:rsidR="006963F6" w:rsidRDefault="006963F6" w:rsidP="005B73E3">
      <w:pPr>
        <w:ind w:right="-93"/>
        <w:rPr>
          <w:rFonts w:eastAsia="Calibri" w:cs="Tahoma"/>
          <w:bCs/>
          <w:szCs w:val="22"/>
          <w:lang w:eastAsia="en-US"/>
        </w:rPr>
      </w:pPr>
      <w:r w:rsidRPr="005B73E3">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F925F5B" w14:textId="77777777" w:rsidR="004740A7" w:rsidRDefault="004740A7" w:rsidP="005B73E3">
      <w:pPr>
        <w:ind w:right="-93"/>
        <w:rPr>
          <w:rFonts w:eastAsia="Calibri" w:cs="Tahoma"/>
          <w:bCs/>
          <w:szCs w:val="22"/>
          <w:lang w:eastAsia="en-US"/>
        </w:rPr>
      </w:pPr>
    </w:p>
    <w:p w14:paraId="4D60DCE8" w14:textId="77777777" w:rsidR="004740A7" w:rsidRPr="005B73E3" w:rsidRDefault="004740A7" w:rsidP="005B73E3">
      <w:pPr>
        <w:ind w:right="-93"/>
        <w:rPr>
          <w:rFonts w:eastAsia="Calibri" w:cs="Tahoma"/>
          <w:bCs/>
          <w:szCs w:val="22"/>
          <w:lang w:eastAsia="en-US"/>
        </w:rPr>
      </w:pPr>
    </w:p>
    <w:p w14:paraId="72B97BB2" w14:textId="77777777" w:rsidR="009D69F6" w:rsidRPr="005B73E3" w:rsidRDefault="009D69F6" w:rsidP="005B73E3">
      <w:pPr>
        <w:spacing w:line="240" w:lineRule="auto"/>
        <w:ind w:right="539"/>
        <w:rPr>
          <w:rFonts w:eastAsia="Calibri"/>
          <w:i/>
          <w:szCs w:val="22"/>
          <w:lang w:eastAsia="en-US"/>
        </w:rPr>
      </w:pPr>
    </w:p>
    <w:p w14:paraId="68C87C12" w14:textId="77777777" w:rsidR="008629A5" w:rsidRPr="005B73E3" w:rsidRDefault="008629A5" w:rsidP="005B73E3">
      <w:pPr>
        <w:rPr>
          <w:szCs w:val="22"/>
        </w:rPr>
      </w:pPr>
      <w:r w:rsidRPr="005B73E3">
        <w:rPr>
          <w:b/>
          <w:bCs/>
          <w:szCs w:val="22"/>
        </w:rPr>
        <w:lastRenderedPageBreak/>
        <w:t>TERCERO.</w:t>
      </w:r>
      <w:r w:rsidRPr="005B73E3">
        <w:rPr>
          <w:szCs w:val="22"/>
        </w:rPr>
        <w:t xml:space="preserve"> Notifíquese vía Sistema de Acceso a la Información Mexiquense (</w:t>
      </w:r>
      <w:r w:rsidRPr="005B73E3">
        <w:rPr>
          <w:b/>
          <w:szCs w:val="22"/>
        </w:rPr>
        <w:t>SAIMEX</w:t>
      </w:r>
      <w:r w:rsidRPr="005B73E3">
        <w:rPr>
          <w:szCs w:val="22"/>
        </w:rPr>
        <w:t xml:space="preserve">) la presente resolución al Titular de la Unidad de Transparencia del </w:t>
      </w:r>
      <w:r w:rsidRPr="005B73E3">
        <w:rPr>
          <w:b/>
          <w:bCs/>
          <w:szCs w:val="22"/>
        </w:rPr>
        <w:t>SUJETO OBLIGADO</w:t>
      </w:r>
      <w:r w:rsidRPr="005B73E3">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5B73E3">
        <w:rPr>
          <w:b/>
          <w:bCs/>
          <w:szCs w:val="22"/>
        </w:rPr>
        <w:t>diez días hábiles</w:t>
      </w:r>
      <w:r w:rsidRPr="005B73E3">
        <w:rPr>
          <w:szCs w:val="22"/>
        </w:rPr>
        <w:t xml:space="preserve">, e informe a este Instituto en un plazo de </w:t>
      </w:r>
      <w:r w:rsidRPr="005B73E3">
        <w:rPr>
          <w:b/>
          <w:bCs/>
          <w:szCs w:val="22"/>
        </w:rPr>
        <w:t>tres días hábiles</w:t>
      </w:r>
      <w:r w:rsidRPr="005B73E3">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4CA2DE" w14:textId="77777777" w:rsidR="008629A5" w:rsidRPr="005B73E3" w:rsidRDefault="008629A5" w:rsidP="005B73E3">
      <w:pPr>
        <w:rPr>
          <w:szCs w:val="22"/>
        </w:rPr>
      </w:pPr>
    </w:p>
    <w:p w14:paraId="0D1100CF" w14:textId="77777777" w:rsidR="008629A5" w:rsidRPr="005B73E3" w:rsidRDefault="008629A5" w:rsidP="005B73E3">
      <w:pPr>
        <w:rPr>
          <w:szCs w:val="22"/>
        </w:rPr>
      </w:pPr>
      <w:r w:rsidRPr="005B73E3">
        <w:rPr>
          <w:b/>
          <w:bCs/>
          <w:szCs w:val="22"/>
        </w:rPr>
        <w:t>CUARTO.</w:t>
      </w:r>
      <w:r w:rsidRPr="005B73E3">
        <w:rPr>
          <w:szCs w:val="22"/>
        </w:rPr>
        <w:t xml:space="preserve"> Notifíquese a </w:t>
      </w:r>
      <w:r w:rsidRPr="005B73E3">
        <w:rPr>
          <w:b/>
          <w:bCs/>
          <w:szCs w:val="22"/>
        </w:rPr>
        <w:t>LA PARTE RECURRENTE</w:t>
      </w:r>
      <w:r w:rsidRPr="005B73E3">
        <w:rPr>
          <w:szCs w:val="22"/>
        </w:rPr>
        <w:t xml:space="preserve"> la presente resolución vía Sistema de Acceso a la Información Mexiquense (</w:t>
      </w:r>
      <w:r w:rsidRPr="005B73E3">
        <w:rPr>
          <w:b/>
          <w:szCs w:val="22"/>
        </w:rPr>
        <w:t>SAIMEX</w:t>
      </w:r>
      <w:r w:rsidRPr="005B73E3">
        <w:rPr>
          <w:szCs w:val="22"/>
        </w:rPr>
        <w:t>).</w:t>
      </w:r>
    </w:p>
    <w:p w14:paraId="6058B6E0" w14:textId="77777777" w:rsidR="008629A5" w:rsidRPr="005B73E3" w:rsidRDefault="008629A5" w:rsidP="005B73E3">
      <w:pPr>
        <w:rPr>
          <w:szCs w:val="22"/>
        </w:rPr>
      </w:pPr>
    </w:p>
    <w:p w14:paraId="466C99A0" w14:textId="6A09B956" w:rsidR="008629A5" w:rsidRPr="005B73E3" w:rsidRDefault="008629A5" w:rsidP="005B73E3">
      <w:pPr>
        <w:rPr>
          <w:szCs w:val="22"/>
        </w:rPr>
      </w:pPr>
      <w:r w:rsidRPr="005B73E3">
        <w:rPr>
          <w:b/>
          <w:bCs/>
          <w:szCs w:val="22"/>
        </w:rPr>
        <w:t>QUINTO</w:t>
      </w:r>
      <w:r w:rsidRPr="005B73E3">
        <w:rPr>
          <w:szCs w:val="22"/>
        </w:rPr>
        <w:t xml:space="preserve">. Hágase del conocimiento a </w:t>
      </w:r>
      <w:r w:rsidRPr="005B73E3">
        <w:rPr>
          <w:b/>
          <w:bCs/>
          <w:szCs w:val="22"/>
        </w:rPr>
        <w:t>LA PARTE RECURRENTE</w:t>
      </w:r>
      <w:r w:rsidRPr="005B73E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0340A4" w:rsidRPr="005B73E3">
        <w:rPr>
          <w:szCs w:val="22"/>
        </w:rPr>
        <w:t>.</w:t>
      </w:r>
    </w:p>
    <w:p w14:paraId="4F4E5854" w14:textId="77777777" w:rsidR="008629A5" w:rsidRPr="005B73E3" w:rsidRDefault="008629A5" w:rsidP="005B73E3">
      <w:pPr>
        <w:rPr>
          <w:szCs w:val="22"/>
        </w:rPr>
      </w:pPr>
    </w:p>
    <w:p w14:paraId="0B9F7A1E" w14:textId="77777777" w:rsidR="008629A5" w:rsidRDefault="008629A5" w:rsidP="005B73E3">
      <w:pPr>
        <w:rPr>
          <w:szCs w:val="22"/>
        </w:rPr>
      </w:pPr>
      <w:r w:rsidRPr="005B73E3">
        <w:rPr>
          <w:b/>
          <w:bCs/>
          <w:szCs w:val="22"/>
        </w:rPr>
        <w:t>SEXTO.</w:t>
      </w:r>
      <w:r w:rsidRPr="005B73E3">
        <w:rPr>
          <w:szCs w:val="22"/>
        </w:rPr>
        <w:t xml:space="preserve"> De conformidad con el artículo 198 de la Ley de Transparencia y Acceso a la Información Pública del Estado de México y Municipios, el </w:t>
      </w:r>
      <w:r w:rsidRPr="005B73E3">
        <w:rPr>
          <w:b/>
          <w:bCs/>
          <w:szCs w:val="22"/>
        </w:rPr>
        <w:t>SUJETO OBLIGADO</w:t>
      </w:r>
      <w:r w:rsidRPr="005B73E3">
        <w:rPr>
          <w:szCs w:val="22"/>
        </w:rPr>
        <w:t xml:space="preserve"> podrá solicitar una ampliación de plazo de manera fundada y motivada, para el cumplimiento de la presente resolución.</w:t>
      </w:r>
    </w:p>
    <w:p w14:paraId="180788A0" w14:textId="77777777" w:rsidR="004740A7" w:rsidRPr="005B73E3" w:rsidRDefault="004740A7" w:rsidP="005B73E3">
      <w:pPr>
        <w:rPr>
          <w:szCs w:val="22"/>
        </w:rPr>
      </w:pPr>
    </w:p>
    <w:p w14:paraId="2BC8564F" w14:textId="77777777" w:rsidR="00FC3CE0" w:rsidRPr="005B73E3" w:rsidRDefault="00FC3CE0" w:rsidP="005B73E3">
      <w:pPr>
        <w:ind w:right="113"/>
        <w:rPr>
          <w:rFonts w:cs="Arial"/>
          <w:b/>
          <w:szCs w:val="22"/>
        </w:rPr>
      </w:pPr>
    </w:p>
    <w:p w14:paraId="77AD47E9" w14:textId="71D4F94C" w:rsidR="005E1DDD" w:rsidRPr="005B73E3" w:rsidRDefault="005E1DDD" w:rsidP="005B73E3">
      <w:pPr>
        <w:rPr>
          <w:rFonts w:eastAsia="Palatino Linotype" w:cs="Palatino Linotype"/>
          <w:szCs w:val="22"/>
        </w:rPr>
      </w:pPr>
      <w:r w:rsidRPr="005B73E3">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A47883" w:rsidRPr="005B73E3">
        <w:rPr>
          <w:rFonts w:eastAsia="Palatino Linotype" w:cs="Palatino Linotype"/>
          <w:szCs w:val="22"/>
        </w:rPr>
        <w:t>NOVENA</w:t>
      </w:r>
      <w:r w:rsidRPr="005B73E3">
        <w:rPr>
          <w:rFonts w:eastAsia="Palatino Linotype" w:cs="Palatino Linotype"/>
          <w:szCs w:val="22"/>
        </w:rPr>
        <w:t xml:space="preserve"> SESIÓN ORDINARIA, CELEBRADA EL </w:t>
      </w:r>
      <w:r w:rsidR="00A47883" w:rsidRPr="005B73E3">
        <w:rPr>
          <w:rFonts w:eastAsia="Palatino Linotype" w:cs="Palatino Linotype"/>
          <w:szCs w:val="22"/>
        </w:rPr>
        <w:t>VEINTIUNO</w:t>
      </w:r>
      <w:r w:rsidRPr="005B73E3">
        <w:rPr>
          <w:rFonts w:eastAsia="Palatino Linotype" w:cs="Palatino Linotype"/>
          <w:szCs w:val="22"/>
        </w:rPr>
        <w:t xml:space="preserve"> DE AGOSTO DE DOS MIL VEINTICUATRO, ANTE EL SECRETARIO TÉCNICO DEL PLENO, ALEXIS TAPIA RAMÍREZ.</w:t>
      </w:r>
    </w:p>
    <w:p w14:paraId="26F5FDEB" w14:textId="77777777" w:rsidR="008629A5" w:rsidRPr="005B73E3" w:rsidRDefault="008629A5" w:rsidP="005B73E3">
      <w:pPr>
        <w:ind w:right="-93"/>
        <w:rPr>
          <w:szCs w:val="22"/>
        </w:rPr>
      </w:pPr>
      <w:r w:rsidRPr="005B73E3">
        <w:rPr>
          <w:rFonts w:eastAsia="Palatino Linotype" w:cs="Palatino Linotype"/>
          <w:szCs w:val="22"/>
        </w:rPr>
        <w:t>SCMM/AGZ/DEMF/PAG</w:t>
      </w:r>
    </w:p>
    <w:p w14:paraId="49D72DA3" w14:textId="77777777" w:rsidR="00664420" w:rsidRPr="005B73E3" w:rsidRDefault="00664420" w:rsidP="005B73E3">
      <w:pPr>
        <w:ind w:right="-93"/>
        <w:rPr>
          <w:rFonts w:eastAsia="Calibri" w:cs="Tahoma"/>
          <w:bCs/>
          <w:szCs w:val="22"/>
          <w:lang w:eastAsia="en-US"/>
        </w:rPr>
      </w:pPr>
    </w:p>
    <w:p w14:paraId="5EFEA0CD" w14:textId="77777777" w:rsidR="00664420" w:rsidRPr="005B73E3" w:rsidRDefault="00664420" w:rsidP="005B73E3">
      <w:pPr>
        <w:ind w:right="-93"/>
        <w:rPr>
          <w:rFonts w:eastAsia="Calibri" w:cs="Tahoma"/>
          <w:szCs w:val="22"/>
          <w:lang w:val="es-ES"/>
        </w:rPr>
      </w:pPr>
    </w:p>
    <w:p w14:paraId="696BC976" w14:textId="77777777" w:rsidR="00664420" w:rsidRPr="005B73E3" w:rsidRDefault="00664420" w:rsidP="005B73E3">
      <w:pPr>
        <w:ind w:right="-93"/>
        <w:rPr>
          <w:rFonts w:eastAsia="Calibri" w:cs="Tahoma"/>
          <w:bCs/>
          <w:szCs w:val="22"/>
          <w:lang w:val="es-ES" w:eastAsia="en-US"/>
        </w:rPr>
      </w:pPr>
    </w:p>
    <w:p w14:paraId="671CB0C5" w14:textId="77777777" w:rsidR="00664420" w:rsidRPr="005B73E3" w:rsidRDefault="00664420" w:rsidP="005B73E3">
      <w:pPr>
        <w:ind w:right="-93"/>
        <w:rPr>
          <w:rFonts w:eastAsia="Calibri" w:cs="Tahoma"/>
          <w:bCs/>
          <w:szCs w:val="22"/>
          <w:lang w:val="es-ES_tradnl" w:eastAsia="en-US"/>
        </w:rPr>
      </w:pPr>
    </w:p>
    <w:p w14:paraId="52B66DE7" w14:textId="77777777" w:rsidR="00664420" w:rsidRPr="005B73E3" w:rsidRDefault="00664420" w:rsidP="005B73E3">
      <w:pPr>
        <w:ind w:right="-93"/>
        <w:rPr>
          <w:rFonts w:eastAsia="Calibri" w:cs="Tahoma"/>
          <w:bCs/>
          <w:szCs w:val="22"/>
          <w:lang w:val="es-ES_tradnl" w:eastAsia="en-US"/>
        </w:rPr>
      </w:pPr>
    </w:p>
    <w:p w14:paraId="3BA305D1" w14:textId="77777777" w:rsidR="00664420" w:rsidRPr="005B73E3" w:rsidRDefault="00664420" w:rsidP="005B73E3">
      <w:pPr>
        <w:ind w:right="-93"/>
        <w:rPr>
          <w:rFonts w:eastAsia="Calibri" w:cs="Tahoma"/>
          <w:bCs/>
          <w:szCs w:val="22"/>
          <w:lang w:val="es-ES_tradnl" w:eastAsia="en-US"/>
        </w:rPr>
      </w:pPr>
    </w:p>
    <w:p w14:paraId="78230707" w14:textId="77777777" w:rsidR="00664420" w:rsidRPr="005B73E3" w:rsidRDefault="00664420" w:rsidP="005B73E3">
      <w:pPr>
        <w:ind w:right="-93"/>
        <w:rPr>
          <w:rFonts w:eastAsia="Calibri" w:cs="Tahoma"/>
          <w:bCs/>
          <w:szCs w:val="22"/>
          <w:lang w:val="es-ES_tradnl" w:eastAsia="en-US"/>
        </w:rPr>
      </w:pPr>
    </w:p>
    <w:p w14:paraId="72D18B28" w14:textId="77777777" w:rsidR="00664420" w:rsidRPr="005B73E3" w:rsidRDefault="00664420" w:rsidP="005B73E3">
      <w:pPr>
        <w:ind w:right="-93"/>
        <w:rPr>
          <w:rFonts w:eastAsia="Calibri" w:cs="Tahoma"/>
          <w:bCs/>
          <w:szCs w:val="22"/>
          <w:lang w:val="es-ES_tradnl" w:eastAsia="en-US"/>
        </w:rPr>
      </w:pPr>
    </w:p>
    <w:p w14:paraId="6BD461DC" w14:textId="77777777" w:rsidR="00664420" w:rsidRPr="005B73E3" w:rsidRDefault="00664420" w:rsidP="005B73E3">
      <w:pPr>
        <w:tabs>
          <w:tab w:val="center" w:pos="4568"/>
        </w:tabs>
        <w:ind w:right="-93"/>
        <w:rPr>
          <w:rFonts w:eastAsia="Calibri" w:cs="Tahoma"/>
          <w:bCs/>
          <w:szCs w:val="22"/>
          <w:lang w:eastAsia="en-US"/>
        </w:rPr>
      </w:pPr>
    </w:p>
    <w:p w14:paraId="4DBB1727" w14:textId="77777777" w:rsidR="00664420" w:rsidRPr="005B73E3" w:rsidRDefault="00664420" w:rsidP="005B73E3">
      <w:pPr>
        <w:tabs>
          <w:tab w:val="center" w:pos="4568"/>
        </w:tabs>
        <w:ind w:right="-93"/>
        <w:rPr>
          <w:rFonts w:eastAsia="Calibri" w:cs="Tahoma"/>
          <w:bCs/>
          <w:szCs w:val="22"/>
          <w:lang w:eastAsia="en-US"/>
        </w:rPr>
      </w:pPr>
    </w:p>
    <w:p w14:paraId="1D74121B" w14:textId="77777777" w:rsidR="00664420" w:rsidRPr="005B73E3" w:rsidRDefault="00664420" w:rsidP="005B73E3">
      <w:pPr>
        <w:tabs>
          <w:tab w:val="center" w:pos="4568"/>
        </w:tabs>
        <w:ind w:right="-93"/>
        <w:rPr>
          <w:rFonts w:eastAsia="Calibri" w:cs="Tahoma"/>
          <w:bCs/>
          <w:szCs w:val="22"/>
          <w:lang w:eastAsia="en-US"/>
        </w:rPr>
      </w:pPr>
    </w:p>
    <w:p w14:paraId="08E74E9C" w14:textId="77777777" w:rsidR="00664420" w:rsidRPr="005B73E3" w:rsidRDefault="00664420" w:rsidP="005B73E3">
      <w:pPr>
        <w:tabs>
          <w:tab w:val="center" w:pos="4568"/>
        </w:tabs>
        <w:ind w:right="-93"/>
        <w:rPr>
          <w:rFonts w:eastAsia="Calibri" w:cs="Tahoma"/>
          <w:bCs/>
          <w:szCs w:val="22"/>
          <w:lang w:eastAsia="en-US"/>
        </w:rPr>
      </w:pPr>
    </w:p>
    <w:p w14:paraId="2CBF5E03" w14:textId="77777777" w:rsidR="00664420" w:rsidRPr="005B73E3" w:rsidRDefault="00664420" w:rsidP="005B73E3">
      <w:pPr>
        <w:tabs>
          <w:tab w:val="center" w:pos="4568"/>
        </w:tabs>
        <w:ind w:right="-93"/>
        <w:rPr>
          <w:rFonts w:eastAsia="Calibri" w:cs="Tahoma"/>
          <w:bCs/>
          <w:szCs w:val="22"/>
          <w:lang w:eastAsia="en-US"/>
        </w:rPr>
      </w:pPr>
    </w:p>
    <w:p w14:paraId="44865A6D" w14:textId="77777777" w:rsidR="00664420" w:rsidRPr="005B73E3" w:rsidRDefault="00664420" w:rsidP="005B73E3">
      <w:pPr>
        <w:tabs>
          <w:tab w:val="center" w:pos="4568"/>
        </w:tabs>
        <w:ind w:right="-93"/>
        <w:rPr>
          <w:rFonts w:eastAsia="Calibri" w:cs="Tahoma"/>
          <w:bCs/>
          <w:szCs w:val="22"/>
          <w:lang w:eastAsia="en-US"/>
        </w:rPr>
      </w:pPr>
    </w:p>
    <w:p w14:paraId="7147F06B" w14:textId="77777777" w:rsidR="00664420" w:rsidRPr="005B73E3" w:rsidRDefault="00664420" w:rsidP="005B73E3">
      <w:pPr>
        <w:tabs>
          <w:tab w:val="center" w:pos="4568"/>
        </w:tabs>
        <w:ind w:right="-93"/>
        <w:rPr>
          <w:rFonts w:eastAsia="Calibri" w:cs="Tahoma"/>
          <w:bCs/>
          <w:szCs w:val="22"/>
          <w:lang w:eastAsia="en-US"/>
        </w:rPr>
      </w:pPr>
    </w:p>
    <w:p w14:paraId="6FDF3D7E" w14:textId="77777777" w:rsidR="00664420" w:rsidRPr="005B73E3" w:rsidRDefault="00664420" w:rsidP="005B73E3">
      <w:pPr>
        <w:tabs>
          <w:tab w:val="center" w:pos="4568"/>
        </w:tabs>
        <w:ind w:right="-93"/>
        <w:rPr>
          <w:rFonts w:eastAsia="Calibri" w:cs="Tahoma"/>
          <w:bCs/>
          <w:szCs w:val="22"/>
          <w:lang w:eastAsia="en-US"/>
        </w:rPr>
      </w:pPr>
    </w:p>
    <w:p w14:paraId="6246F818" w14:textId="77777777" w:rsidR="00664420" w:rsidRPr="005B73E3" w:rsidRDefault="00664420" w:rsidP="005B73E3">
      <w:pPr>
        <w:tabs>
          <w:tab w:val="center" w:pos="4568"/>
        </w:tabs>
        <w:ind w:right="-93"/>
        <w:rPr>
          <w:rFonts w:eastAsia="Calibri" w:cs="Tahoma"/>
          <w:bCs/>
          <w:szCs w:val="22"/>
          <w:lang w:eastAsia="en-US"/>
        </w:rPr>
      </w:pPr>
    </w:p>
    <w:p w14:paraId="57A88B28" w14:textId="77777777" w:rsidR="00664420" w:rsidRPr="005B73E3" w:rsidRDefault="00664420" w:rsidP="005B73E3">
      <w:pPr>
        <w:tabs>
          <w:tab w:val="center" w:pos="4568"/>
        </w:tabs>
        <w:ind w:right="-93"/>
        <w:rPr>
          <w:rFonts w:eastAsia="Calibri" w:cs="Tahoma"/>
          <w:bCs/>
          <w:szCs w:val="22"/>
          <w:lang w:eastAsia="en-US"/>
        </w:rPr>
      </w:pPr>
    </w:p>
    <w:p w14:paraId="77EF6095" w14:textId="77777777" w:rsidR="00664420" w:rsidRPr="005B73E3" w:rsidRDefault="00664420" w:rsidP="005B73E3">
      <w:pPr>
        <w:tabs>
          <w:tab w:val="center" w:pos="4568"/>
        </w:tabs>
        <w:ind w:right="-93"/>
        <w:rPr>
          <w:rFonts w:eastAsia="Calibri" w:cs="Tahoma"/>
          <w:bCs/>
          <w:szCs w:val="22"/>
          <w:lang w:eastAsia="en-US"/>
        </w:rPr>
      </w:pPr>
    </w:p>
    <w:p w14:paraId="35593947" w14:textId="77777777" w:rsidR="00664420" w:rsidRPr="005B73E3" w:rsidRDefault="00664420" w:rsidP="005B73E3">
      <w:pPr>
        <w:tabs>
          <w:tab w:val="center" w:pos="4568"/>
        </w:tabs>
        <w:ind w:right="-93"/>
        <w:rPr>
          <w:rFonts w:eastAsia="Calibri" w:cs="Tahoma"/>
          <w:bCs/>
          <w:szCs w:val="22"/>
          <w:lang w:eastAsia="en-US"/>
        </w:rPr>
      </w:pPr>
    </w:p>
    <w:p w14:paraId="3AF72A17" w14:textId="77777777" w:rsidR="00664420" w:rsidRPr="005B73E3" w:rsidRDefault="00664420" w:rsidP="005B73E3">
      <w:pPr>
        <w:tabs>
          <w:tab w:val="center" w:pos="4568"/>
        </w:tabs>
        <w:ind w:right="-93"/>
        <w:rPr>
          <w:rFonts w:eastAsia="Calibri" w:cs="Tahoma"/>
          <w:bCs/>
          <w:szCs w:val="22"/>
          <w:lang w:eastAsia="en-US"/>
        </w:rPr>
      </w:pPr>
    </w:p>
    <w:p w14:paraId="37169144" w14:textId="77777777" w:rsidR="00664420" w:rsidRPr="005B73E3" w:rsidRDefault="00664420" w:rsidP="005B73E3">
      <w:pPr>
        <w:tabs>
          <w:tab w:val="center" w:pos="4568"/>
        </w:tabs>
        <w:ind w:right="-93"/>
        <w:rPr>
          <w:rFonts w:eastAsia="Calibri" w:cs="Tahoma"/>
          <w:bCs/>
          <w:szCs w:val="22"/>
          <w:lang w:eastAsia="en-US"/>
        </w:rPr>
      </w:pPr>
    </w:p>
    <w:p w14:paraId="77CFC088" w14:textId="77777777" w:rsidR="00664420" w:rsidRPr="005B73E3" w:rsidRDefault="00664420" w:rsidP="005B73E3">
      <w:pPr>
        <w:tabs>
          <w:tab w:val="center" w:pos="4568"/>
        </w:tabs>
        <w:ind w:right="-93"/>
        <w:rPr>
          <w:rFonts w:eastAsia="Calibri" w:cs="Tahoma"/>
          <w:bCs/>
          <w:szCs w:val="22"/>
          <w:lang w:eastAsia="en-US"/>
        </w:rPr>
      </w:pPr>
    </w:p>
    <w:p w14:paraId="781A11A5" w14:textId="77777777" w:rsidR="00664420" w:rsidRPr="005B73E3" w:rsidRDefault="00664420" w:rsidP="005B73E3">
      <w:pPr>
        <w:tabs>
          <w:tab w:val="center" w:pos="4568"/>
        </w:tabs>
        <w:ind w:right="-93"/>
        <w:rPr>
          <w:rFonts w:eastAsia="Calibri" w:cs="Tahoma"/>
          <w:bCs/>
          <w:szCs w:val="22"/>
          <w:lang w:eastAsia="en-US"/>
        </w:rPr>
      </w:pPr>
    </w:p>
    <w:p w14:paraId="5B4ADFF3" w14:textId="77777777" w:rsidR="00A131AC" w:rsidRPr="005B73E3" w:rsidRDefault="00A131AC" w:rsidP="005B73E3">
      <w:pPr>
        <w:rPr>
          <w:szCs w:val="22"/>
        </w:rPr>
      </w:pPr>
    </w:p>
    <w:sectPr w:rsidR="00A131AC" w:rsidRPr="005B73E3" w:rsidSect="00EE2AF2">
      <w:footerReference w:type="default" r:id="rId2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7B2D" w14:textId="77777777" w:rsidR="00AD1341" w:rsidRDefault="00AD1341" w:rsidP="00664420">
      <w:pPr>
        <w:spacing w:line="240" w:lineRule="auto"/>
      </w:pPr>
      <w:r>
        <w:separator/>
      </w:r>
    </w:p>
  </w:endnote>
  <w:endnote w:type="continuationSeparator" w:id="0">
    <w:p w14:paraId="3265994A" w14:textId="77777777" w:rsidR="00AD1341" w:rsidRDefault="00AD134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B73E3" w:rsidRDefault="005B73E3">
    <w:pPr>
      <w:tabs>
        <w:tab w:val="center" w:pos="4550"/>
        <w:tab w:val="left" w:pos="5818"/>
      </w:tabs>
      <w:ind w:right="260"/>
      <w:jc w:val="right"/>
      <w:rPr>
        <w:color w:val="071320" w:themeColor="text2" w:themeShade="80"/>
        <w:sz w:val="24"/>
        <w:szCs w:val="24"/>
      </w:rPr>
    </w:pPr>
  </w:p>
  <w:p w14:paraId="1BCA7F23" w14:textId="77777777" w:rsidR="005B73E3" w:rsidRDefault="005B73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B73E3" w:rsidRDefault="005B73E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C3576" w:rsidRPr="008C3576">
      <w:rPr>
        <w:noProof/>
        <w:color w:val="0A1D30" w:themeColor="text2" w:themeShade="BF"/>
        <w:sz w:val="24"/>
        <w:szCs w:val="24"/>
        <w:lang w:val="es-ES"/>
      </w:rPr>
      <w:t>49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C3576" w:rsidRPr="008C3576">
      <w:rPr>
        <w:noProof/>
        <w:color w:val="0A1D30" w:themeColor="text2" w:themeShade="BF"/>
        <w:sz w:val="24"/>
        <w:szCs w:val="24"/>
        <w:lang w:val="es-ES"/>
      </w:rPr>
      <w:t>54</w:t>
    </w:r>
    <w:r>
      <w:rPr>
        <w:color w:val="0A1D30" w:themeColor="text2" w:themeShade="BF"/>
        <w:sz w:val="24"/>
        <w:szCs w:val="24"/>
      </w:rPr>
      <w:fldChar w:fldCharType="end"/>
    </w:r>
  </w:p>
  <w:p w14:paraId="310E15C0" w14:textId="77777777" w:rsidR="005B73E3" w:rsidRDefault="005B73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15B37" w14:textId="77777777" w:rsidR="00AD1341" w:rsidRDefault="00AD1341" w:rsidP="00664420">
      <w:pPr>
        <w:spacing w:line="240" w:lineRule="auto"/>
      </w:pPr>
      <w:r>
        <w:separator/>
      </w:r>
    </w:p>
  </w:footnote>
  <w:footnote w:type="continuationSeparator" w:id="0">
    <w:p w14:paraId="42BC3C58" w14:textId="77777777" w:rsidR="00AD1341" w:rsidRDefault="00AD1341" w:rsidP="00664420">
      <w:pPr>
        <w:spacing w:line="240" w:lineRule="auto"/>
      </w:pPr>
      <w:r>
        <w:continuationSeparator/>
      </w:r>
    </w:p>
  </w:footnote>
  <w:footnote w:id="1">
    <w:p w14:paraId="27A60F83" w14:textId="77777777" w:rsidR="005B73E3" w:rsidRPr="00D332D7" w:rsidRDefault="005B73E3" w:rsidP="003B1B3B">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rFonts w:eastAsia="Palatino Linotype" w:cs="Palatino Linotype"/>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2">
    <w:p w14:paraId="28ADED62" w14:textId="77777777" w:rsidR="005B73E3" w:rsidRPr="00D332D7" w:rsidRDefault="005B73E3" w:rsidP="003B1B3B">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9"/>
          <w:szCs w:val="19"/>
        </w:rPr>
        <w:t xml:space="preserve"> </w:t>
      </w:r>
      <w:r w:rsidRPr="00D332D7">
        <w:rPr>
          <w:rFonts w:eastAsia="Palatino Linotype" w:cs="Palatino Linotype"/>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428AAF2" w14:textId="77777777" w:rsidR="005B73E3" w:rsidRPr="00851536" w:rsidRDefault="005B73E3" w:rsidP="00052100">
      <w:pPr>
        <w:pStyle w:val="Textonotapie"/>
        <w:rPr>
          <w:sz w:val="16"/>
          <w:szCs w:val="16"/>
        </w:rPr>
      </w:pPr>
      <w:r>
        <w:rPr>
          <w:rStyle w:val="Refdenotaalpie"/>
        </w:rPr>
        <w:footnoteRef/>
      </w:r>
      <w:r>
        <w:t xml:space="preserve"> </w:t>
      </w:r>
      <w:hyperlink r:id="rId1" w:history="1">
        <w:r w:rsidRPr="00B47F62">
          <w:rPr>
            <w:rStyle w:val="Hipervnculo"/>
            <w:sz w:val="16"/>
            <w:szCs w:val="16"/>
          </w:rPr>
          <w:t>https://legislacion.edomex.gob.mx/sites/legislacion.edomex.gob.mx/files/files/pdf/gct/2022/octubre/oct101/oct101b.pdf</w:t>
        </w:r>
      </w:hyperlink>
      <w:r>
        <w:rPr>
          <w:sz w:val="16"/>
          <w:szCs w:val="16"/>
        </w:rPr>
        <w:t xml:space="preserve"> </w:t>
      </w:r>
    </w:p>
  </w:footnote>
  <w:footnote w:id="4">
    <w:p w14:paraId="5732FB2D" w14:textId="77777777" w:rsidR="005B73E3" w:rsidRDefault="005B73E3" w:rsidP="00052100">
      <w:pPr>
        <w:pStyle w:val="Textonotapie"/>
      </w:pPr>
      <w:r>
        <w:rPr>
          <w:rStyle w:val="Refdenotaalpie"/>
        </w:rPr>
        <w:footnoteRef/>
      </w:r>
      <w:r>
        <w:t xml:space="preserve"> </w:t>
      </w:r>
      <w:hyperlink r:id="rId2" w:history="1">
        <w:r>
          <w:rPr>
            <w:rStyle w:val="Hipervnculo"/>
            <w:rFonts w:eastAsiaTheme="majorEastAsia"/>
          </w:rPr>
          <w:t>anexo_01_presupuesto.pdf (osfem.gob.mx)</w:t>
        </w:r>
      </w:hyperlink>
      <w:r>
        <w:t xml:space="preserve">  </w:t>
      </w:r>
    </w:p>
  </w:footnote>
  <w:footnote w:id="5">
    <w:p w14:paraId="6939C764" w14:textId="77777777" w:rsidR="005B73E3" w:rsidRPr="00F92617" w:rsidRDefault="005B73E3" w:rsidP="000C391F">
      <w:pPr>
        <w:pStyle w:val="Textonotapie"/>
        <w:rPr>
          <w:sz w:val="18"/>
          <w:szCs w:val="18"/>
        </w:rPr>
      </w:pPr>
      <w:r w:rsidRPr="00F92617">
        <w:rPr>
          <w:rStyle w:val="Refdenotaalpie"/>
          <w:sz w:val="18"/>
          <w:szCs w:val="18"/>
        </w:rPr>
        <w:footnoteRef/>
      </w:r>
      <w:r w:rsidRPr="00F92617">
        <w:rPr>
          <w:sz w:val="18"/>
          <w:szCs w:val="18"/>
        </w:rPr>
        <w:t xml:space="preserve"> Resoluciones:</w:t>
      </w:r>
    </w:p>
    <w:p w14:paraId="68A33EB0" w14:textId="77777777" w:rsidR="005B73E3" w:rsidRPr="00F92617" w:rsidRDefault="005B73E3" w:rsidP="000C391F">
      <w:pPr>
        <w:pStyle w:val="Textonotapie"/>
        <w:rPr>
          <w:sz w:val="18"/>
          <w:szCs w:val="18"/>
        </w:rPr>
      </w:pPr>
      <w:r w:rsidRPr="00F92617">
        <w:rPr>
          <w:sz w:val="18"/>
          <w:szCs w:val="18"/>
        </w:rPr>
        <w:t>RRA 0189/17. Morena. 08 de febrero de 2017. Por unanimidad. Comisionado Ponente Joel Salas Suárez.</w:t>
      </w:r>
    </w:p>
    <w:p w14:paraId="59A8CD56" w14:textId="77777777" w:rsidR="005B73E3" w:rsidRPr="00F92617" w:rsidRDefault="005B73E3" w:rsidP="000C391F">
      <w:pPr>
        <w:pStyle w:val="Textonotapie"/>
        <w:rPr>
          <w:sz w:val="18"/>
          <w:szCs w:val="18"/>
        </w:rPr>
      </w:pPr>
      <w:r w:rsidRPr="00F92617">
        <w:rPr>
          <w:sz w:val="18"/>
          <w:szCs w:val="18"/>
        </w:rPr>
        <w:t xml:space="preserve">RRA 0677/17. Universidad Nacional Autónoma de México. 08 de marzo de 2017. Por unanimidad. Comisionado Ponente </w:t>
      </w:r>
      <w:proofErr w:type="spellStart"/>
      <w:r w:rsidRPr="00F92617">
        <w:rPr>
          <w:sz w:val="18"/>
          <w:szCs w:val="18"/>
        </w:rPr>
        <w:t>Rosendoevgueni</w:t>
      </w:r>
      <w:proofErr w:type="spellEnd"/>
      <w:r w:rsidRPr="00F92617">
        <w:rPr>
          <w:sz w:val="18"/>
          <w:szCs w:val="18"/>
        </w:rPr>
        <w:t xml:space="preserve"> Monterrey </w:t>
      </w:r>
      <w:proofErr w:type="spellStart"/>
      <w:r w:rsidRPr="00F92617">
        <w:rPr>
          <w:sz w:val="18"/>
          <w:szCs w:val="18"/>
        </w:rPr>
        <w:t>Chepov</w:t>
      </w:r>
      <w:proofErr w:type="spellEnd"/>
      <w:r w:rsidRPr="00F92617">
        <w:rPr>
          <w:sz w:val="18"/>
          <w:szCs w:val="18"/>
        </w:rPr>
        <w:t xml:space="preserve">. </w:t>
      </w:r>
    </w:p>
    <w:p w14:paraId="3BDA4F8F" w14:textId="77777777" w:rsidR="005B73E3" w:rsidRPr="00F92617" w:rsidRDefault="005B73E3" w:rsidP="000C391F">
      <w:pPr>
        <w:pStyle w:val="Textonotapie"/>
        <w:rPr>
          <w:sz w:val="18"/>
          <w:szCs w:val="18"/>
        </w:rPr>
      </w:pPr>
      <w:r w:rsidRPr="00F92617">
        <w:rPr>
          <w:sz w:val="18"/>
          <w:szCs w:val="18"/>
        </w:rPr>
        <w:t>RRA 1564/17. Tribunal Electoral del Poder Judicial de la Federación. 26 de abril de 2017. Por unanimidad. Comisionado Ponente Oscar Mauricio Guerra Ford.</w:t>
      </w:r>
    </w:p>
  </w:footnote>
  <w:footnote w:id="6">
    <w:p w14:paraId="412AE955" w14:textId="77777777" w:rsidR="005B73E3" w:rsidRPr="002651C1" w:rsidRDefault="005B73E3" w:rsidP="000C391F">
      <w:pPr>
        <w:pStyle w:val="Textonotapie"/>
        <w:rPr>
          <w:sz w:val="18"/>
          <w:szCs w:val="18"/>
        </w:rPr>
      </w:pPr>
      <w:r w:rsidRPr="002651C1">
        <w:rPr>
          <w:rStyle w:val="Refdenotaalpie"/>
          <w:sz w:val="18"/>
          <w:szCs w:val="18"/>
        </w:rPr>
        <w:footnoteRef/>
      </w:r>
      <w:r w:rsidRPr="002651C1">
        <w:rPr>
          <w:sz w:val="18"/>
          <w:szCs w:val="18"/>
        </w:rPr>
        <w:t xml:space="preserve"> Precedentes:</w:t>
      </w:r>
    </w:p>
    <w:p w14:paraId="26462731" w14:textId="77777777" w:rsidR="005B73E3" w:rsidRPr="002651C1" w:rsidRDefault="005B73E3" w:rsidP="000C391F">
      <w:pPr>
        <w:pStyle w:val="Textonotapie"/>
        <w:rPr>
          <w:sz w:val="18"/>
          <w:szCs w:val="18"/>
        </w:rPr>
      </w:pPr>
      <w:r w:rsidRPr="002651C1">
        <w:rPr>
          <w:sz w:val="18"/>
          <w:szCs w:val="18"/>
        </w:rPr>
        <w:t>•</w:t>
      </w:r>
      <w:r w:rsidRPr="002651C1">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sidRPr="002651C1">
        <w:rPr>
          <w:sz w:val="18"/>
          <w:szCs w:val="18"/>
        </w:rPr>
        <w:t>Kurczyn</w:t>
      </w:r>
      <w:proofErr w:type="spellEnd"/>
      <w:r w:rsidRPr="002651C1">
        <w:rPr>
          <w:sz w:val="18"/>
          <w:szCs w:val="18"/>
        </w:rPr>
        <w:t xml:space="preserve"> Villalobos.</w:t>
      </w:r>
    </w:p>
    <w:p w14:paraId="6C5A36F3" w14:textId="77777777" w:rsidR="005B73E3" w:rsidRPr="002651C1" w:rsidRDefault="005B73E3" w:rsidP="000C391F">
      <w:pPr>
        <w:pStyle w:val="Textonotapie"/>
        <w:rPr>
          <w:sz w:val="18"/>
          <w:szCs w:val="18"/>
        </w:rPr>
      </w:pPr>
      <w:r w:rsidRPr="002651C1">
        <w:rPr>
          <w:sz w:val="18"/>
          <w:szCs w:val="18"/>
        </w:rPr>
        <w:t>•</w:t>
      </w:r>
      <w:r w:rsidRPr="002651C1">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5BFAF24D" w14:textId="77777777" w:rsidR="005B73E3" w:rsidRDefault="005B73E3" w:rsidP="000C391F">
      <w:pPr>
        <w:pStyle w:val="Textonotapie"/>
      </w:pPr>
      <w:r w:rsidRPr="002651C1">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7">
    <w:p w14:paraId="452E4EB6" w14:textId="77777777" w:rsidR="005B73E3" w:rsidRPr="002651C1" w:rsidRDefault="005B73E3" w:rsidP="000C391F">
      <w:pPr>
        <w:pStyle w:val="Textonotapie"/>
        <w:rPr>
          <w:sz w:val="18"/>
          <w:szCs w:val="18"/>
        </w:rPr>
      </w:pPr>
      <w:r w:rsidRPr="002651C1">
        <w:rPr>
          <w:rStyle w:val="Refdenotaalpie"/>
          <w:sz w:val="18"/>
          <w:szCs w:val="18"/>
        </w:rPr>
        <w:footnoteRef/>
      </w:r>
      <w:r w:rsidRPr="002651C1">
        <w:rPr>
          <w:sz w:val="18"/>
          <w:szCs w:val="18"/>
        </w:rPr>
        <w:t xml:space="preserve"> Resoluciones:</w:t>
      </w:r>
    </w:p>
    <w:p w14:paraId="1C8E74AF" w14:textId="77777777" w:rsidR="005B73E3" w:rsidRPr="002651C1" w:rsidRDefault="005B73E3" w:rsidP="000C391F">
      <w:pPr>
        <w:pStyle w:val="Textonotapie"/>
        <w:rPr>
          <w:sz w:val="18"/>
          <w:szCs w:val="18"/>
        </w:rPr>
      </w:pPr>
      <w:r w:rsidRPr="002651C1">
        <w:rPr>
          <w:sz w:val="18"/>
          <w:szCs w:val="18"/>
        </w:rPr>
        <w:t xml:space="preserve">RRA 3995/16. Secretaría de la Defensa Nacional. 1 de febrero de 2017. Por unanimidad. Comisionado Ponente </w:t>
      </w:r>
      <w:proofErr w:type="spellStart"/>
      <w:r w:rsidRPr="002651C1">
        <w:rPr>
          <w:sz w:val="18"/>
          <w:szCs w:val="18"/>
        </w:rPr>
        <w:t>Rosendoevgueni</w:t>
      </w:r>
      <w:proofErr w:type="spellEnd"/>
      <w:r w:rsidRPr="002651C1">
        <w:rPr>
          <w:sz w:val="18"/>
          <w:szCs w:val="18"/>
        </w:rPr>
        <w:t xml:space="preserve"> Monterrey </w:t>
      </w:r>
      <w:proofErr w:type="spellStart"/>
      <w:r w:rsidRPr="002651C1">
        <w:rPr>
          <w:sz w:val="18"/>
          <w:szCs w:val="18"/>
        </w:rPr>
        <w:t>Chepov</w:t>
      </w:r>
      <w:proofErr w:type="spellEnd"/>
      <w:r w:rsidRPr="002651C1">
        <w:rPr>
          <w:sz w:val="18"/>
          <w:szCs w:val="18"/>
        </w:rPr>
        <w:t>.</w:t>
      </w:r>
    </w:p>
    <w:p w14:paraId="201F2BE0" w14:textId="77777777" w:rsidR="005B73E3" w:rsidRPr="002651C1" w:rsidRDefault="005B73E3" w:rsidP="000C391F">
      <w:pPr>
        <w:pStyle w:val="Textonotapie"/>
        <w:rPr>
          <w:sz w:val="18"/>
          <w:szCs w:val="18"/>
        </w:rPr>
      </w:pPr>
      <w:r w:rsidRPr="002651C1">
        <w:rPr>
          <w:sz w:val="18"/>
          <w:szCs w:val="18"/>
        </w:rPr>
        <w:t xml:space="preserve">RRA 0937/17. Senado de la República. 15 de marzo de 2017. Por unanimidad. Comisionada Ponente Ximena Puente de la Mora. </w:t>
      </w:r>
    </w:p>
    <w:p w14:paraId="66E30318" w14:textId="77777777" w:rsidR="005B73E3" w:rsidRPr="002651C1" w:rsidRDefault="005B73E3" w:rsidP="000C391F">
      <w:pPr>
        <w:pStyle w:val="Textonotapie"/>
        <w:rPr>
          <w:sz w:val="18"/>
          <w:szCs w:val="18"/>
        </w:rPr>
      </w:pPr>
      <w:r w:rsidRPr="002651C1">
        <w:rPr>
          <w:sz w:val="18"/>
          <w:szCs w:val="18"/>
        </w:rPr>
        <w:t>RRA 0478/17. Secretaría de Relaciones Exteriores. 26 de abril de 2017. Por unanimidad. Comisionada Ponente Areli Cano Guadiana.”</w:t>
      </w:r>
    </w:p>
  </w:footnote>
  <w:footnote w:id="8">
    <w:p w14:paraId="2DFA9DF1" w14:textId="77777777" w:rsidR="005B73E3" w:rsidRPr="00976CF1" w:rsidRDefault="005B73E3" w:rsidP="000C391F">
      <w:pPr>
        <w:pStyle w:val="Textonotapie"/>
        <w:rPr>
          <w:rFonts w:eastAsia="Calibri"/>
          <w:sz w:val="16"/>
          <w:szCs w:val="16"/>
        </w:rPr>
      </w:pPr>
      <w:r w:rsidRPr="00976CF1">
        <w:rPr>
          <w:rStyle w:val="Refdenotaalpie"/>
          <w:sz w:val="16"/>
          <w:szCs w:val="16"/>
        </w:rPr>
        <w:footnoteRef/>
      </w:r>
      <w:r w:rsidRPr="00976CF1">
        <w:rPr>
          <w:sz w:val="16"/>
          <w:szCs w:val="16"/>
        </w:rPr>
        <w:t xml:space="preserve"> Lineamientos expedidos el 15 de abril de 2016, por el Consejo Nacional del Sistema Nacional de Transparencia, Acceso a la Información Pública y Protección de Datos Personales, consultable en </w:t>
      </w:r>
      <w:hyperlink r:id="rId3" w:anchor="gsc.tab=0" w:history="1">
        <w:r w:rsidRPr="00976CF1">
          <w:rPr>
            <w:rStyle w:val="Hipervnculo"/>
            <w:rFonts w:eastAsiaTheme="majorEastAsia"/>
            <w:sz w:val="16"/>
            <w:szCs w:val="16"/>
          </w:rPr>
          <w:t>https://www.dof.gob.mx/nota_detalle.php?codigo=5433280&amp;fecha=15/04/2016#gsc.tab=0</w:t>
        </w:r>
      </w:hyperlink>
      <w:r w:rsidRPr="00976CF1">
        <w:rPr>
          <w:sz w:val="16"/>
          <w:szCs w:val="16"/>
        </w:rPr>
        <w:t xml:space="preserve">; modificados en cuanto a los artículos Sexagésimo segundo, Sexagésimo tercero y Quinto Transitorio el 29 de julio de 2016, visible </w:t>
      </w:r>
      <w:hyperlink r:id="rId4" w:anchor="gsc.tab=0" w:history="1">
        <w:r w:rsidRPr="00976CF1">
          <w:rPr>
            <w:rStyle w:val="Hipervnculo"/>
            <w:rFonts w:eastAsiaTheme="majorEastAsia"/>
            <w:sz w:val="16"/>
            <w:szCs w:val="16"/>
          </w:rPr>
          <w:t>https://www.dof.gob.mx/nota_detalle.php?codigo=5446230&amp;fecha=29/07/2016#gsc.tab=0</w:t>
        </w:r>
      </w:hyperlink>
      <w:r w:rsidRPr="00976CF1">
        <w:rPr>
          <w:sz w:val="16"/>
          <w:szCs w:val="16"/>
        </w:rPr>
        <w:t xml:space="preserve"> y, posteriormente el 18 de noviembre de 2022, se modificaron diversos numerales, entrando en vigor a partir del 17 de enero de 2023, consultable en </w:t>
      </w:r>
      <w:hyperlink r:id="rId5" w:anchor="gsc.tab=0" w:history="1">
        <w:r w:rsidRPr="00976CF1">
          <w:rPr>
            <w:rStyle w:val="Hipervnculo"/>
            <w:rFonts w:eastAsiaTheme="majorEastAsia"/>
            <w:sz w:val="16"/>
            <w:szCs w:val="16"/>
          </w:rPr>
          <w:t>https://www.dof.gob.mx/nota_detalle.php?codigo=5671860&amp;fecha=18/11/2022#gsc.tab=0</w:t>
        </w:r>
      </w:hyperlink>
      <w:r w:rsidRPr="00976CF1">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B73E3" w:rsidRPr="00330DA7" w14:paraId="070A4B18" w14:textId="77777777" w:rsidTr="003F35FD">
      <w:trPr>
        <w:trHeight w:val="144"/>
        <w:jc w:val="right"/>
      </w:trPr>
      <w:tc>
        <w:tcPr>
          <w:tcW w:w="2727" w:type="dxa"/>
        </w:tcPr>
        <w:p w14:paraId="62B7493A" w14:textId="77777777" w:rsidR="005B73E3" w:rsidRPr="00330DA7" w:rsidRDefault="005B73E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33B6A8B" w:rsidR="005B73E3" w:rsidRPr="00A90C72" w:rsidRDefault="005B73E3" w:rsidP="000748DF">
          <w:pPr>
            <w:tabs>
              <w:tab w:val="right" w:pos="8838"/>
            </w:tabs>
            <w:ind w:left="-74" w:right="-105"/>
            <w:rPr>
              <w:rFonts w:eastAsia="Calibri" w:cs="Tahoma"/>
              <w:szCs w:val="22"/>
              <w:lang w:eastAsia="en-US"/>
            </w:rPr>
          </w:pPr>
          <w:r w:rsidRPr="008F136E">
            <w:rPr>
              <w:rFonts w:eastAsia="Calibri" w:cs="Tahoma"/>
              <w:szCs w:val="22"/>
              <w:lang w:eastAsia="en-US"/>
            </w:rPr>
            <w:t>03292/INFOEM/IP/RR/2024</w:t>
          </w:r>
        </w:p>
      </w:tc>
    </w:tr>
    <w:tr w:rsidR="005B73E3" w:rsidRPr="00330DA7" w14:paraId="4521E058" w14:textId="77777777" w:rsidTr="003F35FD">
      <w:trPr>
        <w:trHeight w:val="283"/>
        <w:jc w:val="right"/>
      </w:trPr>
      <w:tc>
        <w:tcPr>
          <w:tcW w:w="2727" w:type="dxa"/>
        </w:tcPr>
        <w:p w14:paraId="0B68C086" w14:textId="77777777" w:rsidR="005B73E3" w:rsidRPr="00330DA7" w:rsidRDefault="005B73E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DC3A3" w:rsidR="005B73E3" w:rsidRPr="00952DD0" w:rsidRDefault="005B73E3" w:rsidP="003F35FD">
          <w:pPr>
            <w:tabs>
              <w:tab w:val="left" w:pos="2834"/>
              <w:tab w:val="right" w:pos="8838"/>
            </w:tabs>
            <w:ind w:left="-108" w:right="-105"/>
            <w:rPr>
              <w:rFonts w:eastAsia="Calibri" w:cs="Tahoma"/>
              <w:szCs w:val="22"/>
              <w:lang w:eastAsia="en-US"/>
            </w:rPr>
          </w:pPr>
          <w:r w:rsidRPr="008F136E">
            <w:rPr>
              <w:rFonts w:eastAsia="Calibri" w:cs="Tahoma"/>
              <w:szCs w:val="22"/>
              <w:lang w:eastAsia="en-US"/>
            </w:rPr>
            <w:t>Ayuntamiento de Texcoco</w:t>
          </w:r>
        </w:p>
      </w:tc>
    </w:tr>
    <w:tr w:rsidR="005B73E3" w:rsidRPr="00330DA7" w14:paraId="6331D9B6" w14:textId="77777777" w:rsidTr="003F35FD">
      <w:trPr>
        <w:trHeight w:val="283"/>
        <w:jc w:val="right"/>
      </w:trPr>
      <w:tc>
        <w:tcPr>
          <w:tcW w:w="2727" w:type="dxa"/>
        </w:tcPr>
        <w:p w14:paraId="3FA86BAE" w14:textId="1142F22E" w:rsidR="005B73E3" w:rsidRPr="00330DA7" w:rsidRDefault="005B73E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5B73E3" w:rsidRPr="00EA66FC" w:rsidRDefault="005B73E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B73E3" w:rsidRPr="00443C6B" w:rsidRDefault="005B73E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B73E3" w:rsidRPr="00330DA7" w14:paraId="29CFF901" w14:textId="77777777" w:rsidTr="004B56B4">
      <w:trPr>
        <w:trHeight w:val="1435"/>
      </w:trPr>
      <w:tc>
        <w:tcPr>
          <w:tcW w:w="283" w:type="dxa"/>
          <w:shd w:val="clear" w:color="auto" w:fill="auto"/>
        </w:tcPr>
        <w:p w14:paraId="046B9F8F" w14:textId="56D2D896" w:rsidR="005B73E3" w:rsidRPr="00330DA7" w:rsidRDefault="005B73E3"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B73E3" w:rsidRPr="00330DA7" w14:paraId="04F272D2" w14:textId="77777777" w:rsidTr="004B56B4">
            <w:trPr>
              <w:trHeight w:val="144"/>
            </w:trPr>
            <w:tc>
              <w:tcPr>
                <w:tcW w:w="2727" w:type="dxa"/>
              </w:tcPr>
              <w:p w14:paraId="2FD4DBF6" w14:textId="77777777" w:rsidR="005B73E3" w:rsidRPr="00330DA7" w:rsidRDefault="005B73E3"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A3113DC" w:rsidR="005B73E3" w:rsidRPr="00A90C72" w:rsidRDefault="005B73E3" w:rsidP="000748DF">
                <w:pPr>
                  <w:tabs>
                    <w:tab w:val="right" w:pos="8838"/>
                  </w:tabs>
                  <w:ind w:left="-74" w:right="-105"/>
                  <w:rPr>
                    <w:rFonts w:eastAsia="Calibri" w:cs="Tahoma"/>
                    <w:szCs w:val="22"/>
                    <w:lang w:eastAsia="en-US"/>
                  </w:rPr>
                </w:pPr>
                <w:r w:rsidRPr="008F136E">
                  <w:rPr>
                    <w:rFonts w:eastAsia="Calibri" w:cs="Tahoma"/>
                    <w:szCs w:val="22"/>
                    <w:lang w:eastAsia="en-US"/>
                  </w:rPr>
                  <w:t>03292/INFOEM/IP/RR/2024</w:t>
                </w:r>
              </w:p>
            </w:tc>
            <w:tc>
              <w:tcPr>
                <w:tcW w:w="3402" w:type="dxa"/>
              </w:tcPr>
              <w:p w14:paraId="71DEA1CF" w14:textId="77777777" w:rsidR="005B73E3" w:rsidRDefault="005B73E3" w:rsidP="004B56B4">
                <w:pPr>
                  <w:tabs>
                    <w:tab w:val="right" w:pos="8838"/>
                  </w:tabs>
                  <w:ind w:left="-74" w:right="-105"/>
                  <w:rPr>
                    <w:rFonts w:eastAsia="Calibri" w:cs="Tahoma"/>
                    <w:szCs w:val="22"/>
                    <w:lang w:eastAsia="en-US"/>
                  </w:rPr>
                </w:pPr>
              </w:p>
            </w:tc>
          </w:tr>
          <w:tr w:rsidR="005B73E3" w:rsidRPr="00330DA7" w14:paraId="05C58951" w14:textId="77777777" w:rsidTr="004B56B4">
            <w:trPr>
              <w:trHeight w:val="144"/>
            </w:trPr>
            <w:tc>
              <w:tcPr>
                <w:tcW w:w="2727" w:type="dxa"/>
              </w:tcPr>
              <w:p w14:paraId="642B9610" w14:textId="77777777" w:rsidR="005B73E3" w:rsidRPr="00330DA7" w:rsidRDefault="005B73E3"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B7308D0" w:rsidR="005B73E3" w:rsidRPr="005F19B1" w:rsidRDefault="008C3576" w:rsidP="004B56B4">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5B73E3" w:rsidRPr="005F19B1" w:rsidRDefault="005B73E3" w:rsidP="004B56B4">
                <w:pPr>
                  <w:tabs>
                    <w:tab w:val="left" w:pos="3122"/>
                    <w:tab w:val="right" w:pos="8838"/>
                  </w:tabs>
                  <w:ind w:left="-105" w:right="-105"/>
                  <w:rPr>
                    <w:rFonts w:eastAsia="Calibri" w:cs="Tahoma"/>
                    <w:szCs w:val="22"/>
                    <w:lang w:eastAsia="en-US"/>
                  </w:rPr>
                </w:pPr>
              </w:p>
            </w:tc>
          </w:tr>
          <w:bookmarkEnd w:id="1"/>
          <w:tr w:rsidR="005B73E3" w:rsidRPr="00330DA7" w14:paraId="00E6CDC1" w14:textId="77777777" w:rsidTr="004B56B4">
            <w:trPr>
              <w:trHeight w:val="283"/>
            </w:trPr>
            <w:tc>
              <w:tcPr>
                <w:tcW w:w="2727" w:type="dxa"/>
              </w:tcPr>
              <w:p w14:paraId="0631AD24" w14:textId="77777777" w:rsidR="005B73E3" w:rsidRPr="00330DA7" w:rsidRDefault="005B73E3"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36F07A2" w:rsidR="005B73E3" w:rsidRPr="00952DD0" w:rsidRDefault="005B73E3" w:rsidP="004B56B4">
                <w:pPr>
                  <w:tabs>
                    <w:tab w:val="left" w:pos="2834"/>
                    <w:tab w:val="right" w:pos="8838"/>
                  </w:tabs>
                  <w:ind w:left="-108" w:right="-105"/>
                  <w:rPr>
                    <w:rFonts w:eastAsia="Calibri" w:cs="Tahoma"/>
                    <w:szCs w:val="22"/>
                    <w:lang w:eastAsia="en-US"/>
                  </w:rPr>
                </w:pPr>
                <w:r w:rsidRPr="008F136E">
                  <w:rPr>
                    <w:rFonts w:eastAsia="Calibri" w:cs="Tahoma"/>
                    <w:szCs w:val="22"/>
                    <w:lang w:eastAsia="en-US"/>
                  </w:rPr>
                  <w:t>Ayuntamiento de Texcoco</w:t>
                </w:r>
              </w:p>
            </w:tc>
            <w:tc>
              <w:tcPr>
                <w:tcW w:w="3402" w:type="dxa"/>
              </w:tcPr>
              <w:p w14:paraId="3A7DA319" w14:textId="77777777" w:rsidR="005B73E3" w:rsidRPr="00A90C72" w:rsidRDefault="005B73E3" w:rsidP="004B56B4">
                <w:pPr>
                  <w:tabs>
                    <w:tab w:val="left" w:pos="2834"/>
                    <w:tab w:val="right" w:pos="8838"/>
                  </w:tabs>
                  <w:ind w:left="-108" w:right="-105"/>
                  <w:rPr>
                    <w:rFonts w:eastAsia="Calibri" w:cs="Tahoma"/>
                    <w:szCs w:val="22"/>
                    <w:lang w:eastAsia="en-US"/>
                  </w:rPr>
                </w:pPr>
              </w:p>
            </w:tc>
          </w:tr>
          <w:tr w:rsidR="005B73E3" w:rsidRPr="00330DA7" w14:paraId="0F6CD8D2" w14:textId="77777777" w:rsidTr="004B56B4">
            <w:trPr>
              <w:trHeight w:val="283"/>
            </w:trPr>
            <w:tc>
              <w:tcPr>
                <w:tcW w:w="2727" w:type="dxa"/>
              </w:tcPr>
              <w:p w14:paraId="31700628" w14:textId="7891E8C9" w:rsidR="005B73E3" w:rsidRPr="00330DA7" w:rsidRDefault="005B73E3" w:rsidP="004B56B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5B73E3" w:rsidRPr="00EA66FC" w:rsidRDefault="005B73E3"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B73E3" w:rsidRPr="00330DA7" w:rsidRDefault="005B73E3" w:rsidP="004B56B4">
                <w:pPr>
                  <w:tabs>
                    <w:tab w:val="right" w:pos="8838"/>
                  </w:tabs>
                  <w:ind w:left="-108" w:right="-105"/>
                  <w:rPr>
                    <w:rFonts w:eastAsia="Calibri" w:cs="Tahoma"/>
                    <w:szCs w:val="22"/>
                    <w:lang w:eastAsia="en-US"/>
                  </w:rPr>
                </w:pPr>
              </w:p>
            </w:tc>
          </w:tr>
        </w:tbl>
        <w:p w14:paraId="5DC6AC61" w14:textId="77777777" w:rsidR="005B73E3" w:rsidRPr="00330DA7" w:rsidRDefault="005B73E3" w:rsidP="004B56B4">
          <w:pPr>
            <w:tabs>
              <w:tab w:val="right" w:pos="8838"/>
            </w:tabs>
            <w:ind w:left="-28"/>
            <w:rPr>
              <w:rFonts w:ascii="Arial" w:eastAsia="Calibri" w:hAnsi="Arial" w:cs="Arial"/>
              <w:b/>
              <w:szCs w:val="22"/>
              <w:lang w:eastAsia="en-US"/>
            </w:rPr>
          </w:pPr>
        </w:p>
      </w:tc>
    </w:tr>
  </w:tbl>
  <w:p w14:paraId="2A906731" w14:textId="77777777" w:rsidR="005B73E3" w:rsidRPr="00765661" w:rsidRDefault="00AD1341"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94B1B"/>
    <w:multiLevelType w:val="hybridMultilevel"/>
    <w:tmpl w:val="D410F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2DB64EA6"/>
    <w:multiLevelType w:val="hybridMultilevel"/>
    <w:tmpl w:val="D410F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9"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FA20F8"/>
    <w:multiLevelType w:val="hybridMultilevel"/>
    <w:tmpl w:val="1048D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6416F5"/>
    <w:multiLevelType w:val="hybridMultilevel"/>
    <w:tmpl w:val="1A70870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46034F"/>
    <w:multiLevelType w:val="hybridMultilevel"/>
    <w:tmpl w:val="501A8FD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9" w15:restartNumberingAfterBreak="0">
    <w:nsid w:val="66825796"/>
    <w:multiLevelType w:val="multilevel"/>
    <w:tmpl w:val="A6721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106305"/>
    <w:multiLevelType w:val="hybridMultilevel"/>
    <w:tmpl w:val="1AFED4F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5"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43"/>
  </w:num>
  <w:num w:numId="4">
    <w:abstractNumId w:val="12"/>
  </w:num>
  <w:num w:numId="5">
    <w:abstractNumId w:val="4"/>
  </w:num>
  <w:num w:numId="6">
    <w:abstractNumId w:val="46"/>
  </w:num>
  <w:num w:numId="7">
    <w:abstractNumId w:val="28"/>
  </w:num>
  <w:num w:numId="8">
    <w:abstractNumId w:val="9"/>
  </w:num>
  <w:num w:numId="9">
    <w:abstractNumId w:val="27"/>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5"/>
  </w:num>
  <w:num w:numId="13">
    <w:abstractNumId w:val="1"/>
  </w:num>
  <w:num w:numId="14">
    <w:abstractNumId w:val="6"/>
  </w:num>
  <w:num w:numId="15">
    <w:abstractNumId w:val="29"/>
  </w:num>
  <w:num w:numId="16">
    <w:abstractNumId w:val="38"/>
  </w:num>
  <w:num w:numId="17">
    <w:abstractNumId w:val="19"/>
  </w:num>
  <w:num w:numId="18">
    <w:abstractNumId w:val="14"/>
  </w:num>
  <w:num w:numId="19">
    <w:abstractNumId w:val="7"/>
  </w:num>
  <w:num w:numId="20">
    <w:abstractNumId w:val="36"/>
  </w:num>
  <w:num w:numId="21">
    <w:abstractNumId w:val="42"/>
  </w:num>
  <w:num w:numId="22">
    <w:abstractNumId w:val="30"/>
  </w:num>
  <w:num w:numId="23">
    <w:abstractNumId w:val="41"/>
  </w:num>
  <w:num w:numId="24">
    <w:abstractNumId w:val="26"/>
  </w:num>
  <w:num w:numId="25">
    <w:abstractNumId w:val="3"/>
  </w:num>
  <w:num w:numId="26">
    <w:abstractNumId w:val="2"/>
  </w:num>
  <w:num w:numId="27">
    <w:abstractNumId w:val="44"/>
  </w:num>
  <w:num w:numId="28">
    <w:abstractNumId w:val="18"/>
  </w:num>
  <w:num w:numId="29">
    <w:abstractNumId w:val="5"/>
  </w:num>
  <w:num w:numId="30">
    <w:abstractNumId w:val="20"/>
  </w:num>
  <w:num w:numId="31">
    <w:abstractNumId w:val="33"/>
  </w:num>
  <w:num w:numId="32">
    <w:abstractNumId w:val="32"/>
  </w:num>
  <w:num w:numId="33">
    <w:abstractNumId w:val="8"/>
  </w:num>
  <w:num w:numId="34">
    <w:abstractNumId w:val="47"/>
  </w:num>
  <w:num w:numId="35">
    <w:abstractNumId w:val="10"/>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5"/>
  </w:num>
  <w:num w:numId="40">
    <w:abstractNumId w:val="34"/>
  </w:num>
  <w:num w:numId="41">
    <w:abstractNumId w:val="1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17"/>
  </w:num>
  <w:num w:numId="46">
    <w:abstractNumId w:val="22"/>
  </w:num>
  <w:num w:numId="47">
    <w:abstractNumId w:val="39"/>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37"/>
    <w:rsid w:val="000032B0"/>
    <w:rsid w:val="0000629A"/>
    <w:rsid w:val="00011CD8"/>
    <w:rsid w:val="00022BFA"/>
    <w:rsid w:val="000318BC"/>
    <w:rsid w:val="000340A4"/>
    <w:rsid w:val="00036589"/>
    <w:rsid w:val="00052100"/>
    <w:rsid w:val="00057B2D"/>
    <w:rsid w:val="00067799"/>
    <w:rsid w:val="000748DF"/>
    <w:rsid w:val="00076EF6"/>
    <w:rsid w:val="00080071"/>
    <w:rsid w:val="000820ED"/>
    <w:rsid w:val="00082A7D"/>
    <w:rsid w:val="00086B1B"/>
    <w:rsid w:val="00087AD8"/>
    <w:rsid w:val="000925BE"/>
    <w:rsid w:val="000931F8"/>
    <w:rsid w:val="000A57F7"/>
    <w:rsid w:val="000B73BB"/>
    <w:rsid w:val="000C391F"/>
    <w:rsid w:val="000D0D67"/>
    <w:rsid w:val="000E09C4"/>
    <w:rsid w:val="000E32CC"/>
    <w:rsid w:val="0011350D"/>
    <w:rsid w:val="00113CFA"/>
    <w:rsid w:val="0012162F"/>
    <w:rsid w:val="00122332"/>
    <w:rsid w:val="00124714"/>
    <w:rsid w:val="00125151"/>
    <w:rsid w:val="00125724"/>
    <w:rsid w:val="001259D3"/>
    <w:rsid w:val="00126BAB"/>
    <w:rsid w:val="0013398A"/>
    <w:rsid w:val="00134ED3"/>
    <w:rsid w:val="00141876"/>
    <w:rsid w:val="0014207B"/>
    <w:rsid w:val="00145CC6"/>
    <w:rsid w:val="00150C49"/>
    <w:rsid w:val="001750E6"/>
    <w:rsid w:val="001A58B3"/>
    <w:rsid w:val="001B67F4"/>
    <w:rsid w:val="001C1234"/>
    <w:rsid w:val="001C1AE4"/>
    <w:rsid w:val="001C5715"/>
    <w:rsid w:val="001C7688"/>
    <w:rsid w:val="001C7E98"/>
    <w:rsid w:val="001D0C50"/>
    <w:rsid w:val="001D43F1"/>
    <w:rsid w:val="001E0ACD"/>
    <w:rsid w:val="001E76F0"/>
    <w:rsid w:val="001F0975"/>
    <w:rsid w:val="001F2652"/>
    <w:rsid w:val="001F3515"/>
    <w:rsid w:val="0020283C"/>
    <w:rsid w:val="00207DEA"/>
    <w:rsid w:val="00224352"/>
    <w:rsid w:val="002268D4"/>
    <w:rsid w:val="00227FB3"/>
    <w:rsid w:val="00233005"/>
    <w:rsid w:val="00233F17"/>
    <w:rsid w:val="00234C6E"/>
    <w:rsid w:val="00241ACF"/>
    <w:rsid w:val="00242544"/>
    <w:rsid w:val="00242B28"/>
    <w:rsid w:val="002447D1"/>
    <w:rsid w:val="00244C9B"/>
    <w:rsid w:val="0024744C"/>
    <w:rsid w:val="00250AFF"/>
    <w:rsid w:val="002807DD"/>
    <w:rsid w:val="002A3601"/>
    <w:rsid w:val="002B1314"/>
    <w:rsid w:val="002B3577"/>
    <w:rsid w:val="002B7C6F"/>
    <w:rsid w:val="002C13BA"/>
    <w:rsid w:val="002C1A16"/>
    <w:rsid w:val="002D111C"/>
    <w:rsid w:val="002D6D09"/>
    <w:rsid w:val="002E6DBB"/>
    <w:rsid w:val="003018F2"/>
    <w:rsid w:val="00302476"/>
    <w:rsid w:val="003153DA"/>
    <w:rsid w:val="00331F35"/>
    <w:rsid w:val="0033442A"/>
    <w:rsid w:val="00335CDF"/>
    <w:rsid w:val="00336B4B"/>
    <w:rsid w:val="00361F91"/>
    <w:rsid w:val="00362A11"/>
    <w:rsid w:val="003A36BE"/>
    <w:rsid w:val="003A40C1"/>
    <w:rsid w:val="003A7ED3"/>
    <w:rsid w:val="003B0448"/>
    <w:rsid w:val="003B1B3B"/>
    <w:rsid w:val="003B5D3E"/>
    <w:rsid w:val="003B62E6"/>
    <w:rsid w:val="003C1E36"/>
    <w:rsid w:val="003D37E4"/>
    <w:rsid w:val="003E36E6"/>
    <w:rsid w:val="003E554D"/>
    <w:rsid w:val="003F35FD"/>
    <w:rsid w:val="003F5E69"/>
    <w:rsid w:val="00406F5A"/>
    <w:rsid w:val="0041385B"/>
    <w:rsid w:val="0041709A"/>
    <w:rsid w:val="00425243"/>
    <w:rsid w:val="004252F1"/>
    <w:rsid w:val="004326C1"/>
    <w:rsid w:val="00435F18"/>
    <w:rsid w:val="00437CF6"/>
    <w:rsid w:val="00441BFA"/>
    <w:rsid w:val="004427CC"/>
    <w:rsid w:val="00450EB0"/>
    <w:rsid w:val="00453B6D"/>
    <w:rsid w:val="00454FBD"/>
    <w:rsid w:val="00456D52"/>
    <w:rsid w:val="00463EB5"/>
    <w:rsid w:val="00464F6A"/>
    <w:rsid w:val="004740A7"/>
    <w:rsid w:val="00475583"/>
    <w:rsid w:val="00497BFA"/>
    <w:rsid w:val="004A7CF3"/>
    <w:rsid w:val="004B56B4"/>
    <w:rsid w:val="004C1BD1"/>
    <w:rsid w:val="004C2719"/>
    <w:rsid w:val="004C629E"/>
    <w:rsid w:val="004D4CA7"/>
    <w:rsid w:val="004D7988"/>
    <w:rsid w:val="004D7CD8"/>
    <w:rsid w:val="004E10F6"/>
    <w:rsid w:val="004E5068"/>
    <w:rsid w:val="004F5018"/>
    <w:rsid w:val="004F6E7A"/>
    <w:rsid w:val="004F7A00"/>
    <w:rsid w:val="00502348"/>
    <w:rsid w:val="0050792D"/>
    <w:rsid w:val="00513801"/>
    <w:rsid w:val="00523F48"/>
    <w:rsid w:val="005365FA"/>
    <w:rsid w:val="00543682"/>
    <w:rsid w:val="0054540E"/>
    <w:rsid w:val="00546D39"/>
    <w:rsid w:val="00562CFB"/>
    <w:rsid w:val="00564E8B"/>
    <w:rsid w:val="00565088"/>
    <w:rsid w:val="005666D8"/>
    <w:rsid w:val="005723CB"/>
    <w:rsid w:val="00575400"/>
    <w:rsid w:val="005776E3"/>
    <w:rsid w:val="005856CA"/>
    <w:rsid w:val="00590892"/>
    <w:rsid w:val="005B18AF"/>
    <w:rsid w:val="005B73E3"/>
    <w:rsid w:val="005D0C6C"/>
    <w:rsid w:val="005D5645"/>
    <w:rsid w:val="005D5A50"/>
    <w:rsid w:val="005E1DDD"/>
    <w:rsid w:val="005E6E5B"/>
    <w:rsid w:val="005F5301"/>
    <w:rsid w:val="005F5C51"/>
    <w:rsid w:val="005F65B7"/>
    <w:rsid w:val="006067C7"/>
    <w:rsid w:val="006153F0"/>
    <w:rsid w:val="006159AD"/>
    <w:rsid w:val="006201CA"/>
    <w:rsid w:val="006210F1"/>
    <w:rsid w:val="00632530"/>
    <w:rsid w:val="0063397B"/>
    <w:rsid w:val="00643710"/>
    <w:rsid w:val="00646436"/>
    <w:rsid w:val="0065172E"/>
    <w:rsid w:val="0065631F"/>
    <w:rsid w:val="00664420"/>
    <w:rsid w:val="006963F6"/>
    <w:rsid w:val="006A0C96"/>
    <w:rsid w:val="006A412D"/>
    <w:rsid w:val="006A61F1"/>
    <w:rsid w:val="006A646A"/>
    <w:rsid w:val="006B02DE"/>
    <w:rsid w:val="006B10B0"/>
    <w:rsid w:val="006D42B5"/>
    <w:rsid w:val="006E23FF"/>
    <w:rsid w:val="006E25BC"/>
    <w:rsid w:val="006E585D"/>
    <w:rsid w:val="006E6BBC"/>
    <w:rsid w:val="006F442A"/>
    <w:rsid w:val="006F64E7"/>
    <w:rsid w:val="006F7768"/>
    <w:rsid w:val="00702324"/>
    <w:rsid w:val="00717E59"/>
    <w:rsid w:val="0073082B"/>
    <w:rsid w:val="0075086A"/>
    <w:rsid w:val="00760756"/>
    <w:rsid w:val="00762102"/>
    <w:rsid w:val="0077382A"/>
    <w:rsid w:val="00773E03"/>
    <w:rsid w:val="00775BFC"/>
    <w:rsid w:val="00787340"/>
    <w:rsid w:val="007A2AD8"/>
    <w:rsid w:val="007A30A6"/>
    <w:rsid w:val="007A3459"/>
    <w:rsid w:val="007B034E"/>
    <w:rsid w:val="007B6074"/>
    <w:rsid w:val="007B6A4A"/>
    <w:rsid w:val="007C0FEA"/>
    <w:rsid w:val="007C17CC"/>
    <w:rsid w:val="007C6519"/>
    <w:rsid w:val="007C6859"/>
    <w:rsid w:val="007D1C55"/>
    <w:rsid w:val="007D317F"/>
    <w:rsid w:val="007F107E"/>
    <w:rsid w:val="007F2531"/>
    <w:rsid w:val="007F5D06"/>
    <w:rsid w:val="00803A08"/>
    <w:rsid w:val="00805A6E"/>
    <w:rsid w:val="00807778"/>
    <w:rsid w:val="0082247D"/>
    <w:rsid w:val="008262FD"/>
    <w:rsid w:val="00826371"/>
    <w:rsid w:val="00826A93"/>
    <w:rsid w:val="008363CB"/>
    <w:rsid w:val="00837517"/>
    <w:rsid w:val="00840D58"/>
    <w:rsid w:val="008436D6"/>
    <w:rsid w:val="00845F4A"/>
    <w:rsid w:val="008629A5"/>
    <w:rsid w:val="00865CF4"/>
    <w:rsid w:val="008669DA"/>
    <w:rsid w:val="00873ABE"/>
    <w:rsid w:val="0087567C"/>
    <w:rsid w:val="00876DBC"/>
    <w:rsid w:val="00893BA2"/>
    <w:rsid w:val="00896AF7"/>
    <w:rsid w:val="008A09B9"/>
    <w:rsid w:val="008A0F06"/>
    <w:rsid w:val="008A125E"/>
    <w:rsid w:val="008A6003"/>
    <w:rsid w:val="008A6AB7"/>
    <w:rsid w:val="008A6F88"/>
    <w:rsid w:val="008B1E16"/>
    <w:rsid w:val="008B1EE5"/>
    <w:rsid w:val="008B62FA"/>
    <w:rsid w:val="008C3576"/>
    <w:rsid w:val="008C697A"/>
    <w:rsid w:val="008D0D32"/>
    <w:rsid w:val="008E084B"/>
    <w:rsid w:val="008E1316"/>
    <w:rsid w:val="008E19A7"/>
    <w:rsid w:val="008F136E"/>
    <w:rsid w:val="008F6A6B"/>
    <w:rsid w:val="00907197"/>
    <w:rsid w:val="00907313"/>
    <w:rsid w:val="00910FD2"/>
    <w:rsid w:val="0091733B"/>
    <w:rsid w:val="00923307"/>
    <w:rsid w:val="00927844"/>
    <w:rsid w:val="00931437"/>
    <w:rsid w:val="00931CFA"/>
    <w:rsid w:val="0093564C"/>
    <w:rsid w:val="00953430"/>
    <w:rsid w:val="00953671"/>
    <w:rsid w:val="00953C09"/>
    <w:rsid w:val="00955DCC"/>
    <w:rsid w:val="00960108"/>
    <w:rsid w:val="00960996"/>
    <w:rsid w:val="00961F5C"/>
    <w:rsid w:val="00964368"/>
    <w:rsid w:val="00964569"/>
    <w:rsid w:val="0096663A"/>
    <w:rsid w:val="00970EB3"/>
    <w:rsid w:val="00975CA6"/>
    <w:rsid w:val="00977BCC"/>
    <w:rsid w:val="00983EEF"/>
    <w:rsid w:val="00992677"/>
    <w:rsid w:val="009A2D78"/>
    <w:rsid w:val="009A5387"/>
    <w:rsid w:val="009A7C10"/>
    <w:rsid w:val="009B2945"/>
    <w:rsid w:val="009B38F6"/>
    <w:rsid w:val="009D38E3"/>
    <w:rsid w:val="009D51A2"/>
    <w:rsid w:val="009D69F6"/>
    <w:rsid w:val="009E2DEE"/>
    <w:rsid w:val="009F08F5"/>
    <w:rsid w:val="009F66C8"/>
    <w:rsid w:val="009F797C"/>
    <w:rsid w:val="00A0449B"/>
    <w:rsid w:val="00A131AC"/>
    <w:rsid w:val="00A16D85"/>
    <w:rsid w:val="00A21A20"/>
    <w:rsid w:val="00A24D6A"/>
    <w:rsid w:val="00A32CA5"/>
    <w:rsid w:val="00A33BDB"/>
    <w:rsid w:val="00A34D05"/>
    <w:rsid w:val="00A36A99"/>
    <w:rsid w:val="00A37A09"/>
    <w:rsid w:val="00A45D1C"/>
    <w:rsid w:val="00A47883"/>
    <w:rsid w:val="00A53315"/>
    <w:rsid w:val="00A53915"/>
    <w:rsid w:val="00A61D5A"/>
    <w:rsid w:val="00A64191"/>
    <w:rsid w:val="00A66253"/>
    <w:rsid w:val="00A701FB"/>
    <w:rsid w:val="00A70BFB"/>
    <w:rsid w:val="00A70EF0"/>
    <w:rsid w:val="00A71845"/>
    <w:rsid w:val="00A771C6"/>
    <w:rsid w:val="00A81896"/>
    <w:rsid w:val="00A81DC8"/>
    <w:rsid w:val="00A9208D"/>
    <w:rsid w:val="00A93A79"/>
    <w:rsid w:val="00AA364B"/>
    <w:rsid w:val="00AA4FA7"/>
    <w:rsid w:val="00AA6253"/>
    <w:rsid w:val="00AA6EA9"/>
    <w:rsid w:val="00AB1BE1"/>
    <w:rsid w:val="00AB497D"/>
    <w:rsid w:val="00AB7D9E"/>
    <w:rsid w:val="00AC2DB8"/>
    <w:rsid w:val="00AC3CA0"/>
    <w:rsid w:val="00AD1341"/>
    <w:rsid w:val="00AD7917"/>
    <w:rsid w:val="00AE0232"/>
    <w:rsid w:val="00AE3DA7"/>
    <w:rsid w:val="00AE6FFC"/>
    <w:rsid w:val="00AF03C4"/>
    <w:rsid w:val="00B019F8"/>
    <w:rsid w:val="00B025D6"/>
    <w:rsid w:val="00B03AB8"/>
    <w:rsid w:val="00B05F2B"/>
    <w:rsid w:val="00B22A80"/>
    <w:rsid w:val="00B23C0A"/>
    <w:rsid w:val="00B27B35"/>
    <w:rsid w:val="00B406A5"/>
    <w:rsid w:val="00B416E8"/>
    <w:rsid w:val="00B50E12"/>
    <w:rsid w:val="00B540DC"/>
    <w:rsid w:val="00B55F8F"/>
    <w:rsid w:val="00B562C2"/>
    <w:rsid w:val="00B60BFC"/>
    <w:rsid w:val="00B72C2E"/>
    <w:rsid w:val="00B82086"/>
    <w:rsid w:val="00B83675"/>
    <w:rsid w:val="00B93231"/>
    <w:rsid w:val="00BA55A8"/>
    <w:rsid w:val="00BB1C99"/>
    <w:rsid w:val="00BB2ABF"/>
    <w:rsid w:val="00BB64F4"/>
    <w:rsid w:val="00BB67A6"/>
    <w:rsid w:val="00BB7B48"/>
    <w:rsid w:val="00BC13B1"/>
    <w:rsid w:val="00BC2617"/>
    <w:rsid w:val="00BC67B0"/>
    <w:rsid w:val="00BC7CDB"/>
    <w:rsid w:val="00BD0200"/>
    <w:rsid w:val="00BD3F4F"/>
    <w:rsid w:val="00BD5A7C"/>
    <w:rsid w:val="00BE413E"/>
    <w:rsid w:val="00BE5FAE"/>
    <w:rsid w:val="00BE7A1B"/>
    <w:rsid w:val="00BF0221"/>
    <w:rsid w:val="00BF091A"/>
    <w:rsid w:val="00BF2DE3"/>
    <w:rsid w:val="00BF4236"/>
    <w:rsid w:val="00BF4EAD"/>
    <w:rsid w:val="00BF7FF9"/>
    <w:rsid w:val="00C049E2"/>
    <w:rsid w:val="00C05AB7"/>
    <w:rsid w:val="00C1687C"/>
    <w:rsid w:val="00C219BE"/>
    <w:rsid w:val="00C27B1D"/>
    <w:rsid w:val="00C36795"/>
    <w:rsid w:val="00C461EC"/>
    <w:rsid w:val="00C507D4"/>
    <w:rsid w:val="00C626E9"/>
    <w:rsid w:val="00C67A70"/>
    <w:rsid w:val="00C70B3F"/>
    <w:rsid w:val="00C71CEF"/>
    <w:rsid w:val="00C72DAA"/>
    <w:rsid w:val="00C75036"/>
    <w:rsid w:val="00C80B14"/>
    <w:rsid w:val="00CB7E9A"/>
    <w:rsid w:val="00CC29E8"/>
    <w:rsid w:val="00CD0B92"/>
    <w:rsid w:val="00CD22FC"/>
    <w:rsid w:val="00CD3D41"/>
    <w:rsid w:val="00CD4E87"/>
    <w:rsid w:val="00CD633E"/>
    <w:rsid w:val="00CE29D3"/>
    <w:rsid w:val="00CE46BD"/>
    <w:rsid w:val="00CF2D8B"/>
    <w:rsid w:val="00CF3C01"/>
    <w:rsid w:val="00CF63D9"/>
    <w:rsid w:val="00CF7586"/>
    <w:rsid w:val="00D036D3"/>
    <w:rsid w:val="00D120A3"/>
    <w:rsid w:val="00D13782"/>
    <w:rsid w:val="00D201B7"/>
    <w:rsid w:val="00D21402"/>
    <w:rsid w:val="00D25D41"/>
    <w:rsid w:val="00D27906"/>
    <w:rsid w:val="00D2790D"/>
    <w:rsid w:val="00D332D7"/>
    <w:rsid w:val="00D340F8"/>
    <w:rsid w:val="00D431DD"/>
    <w:rsid w:val="00D51ECD"/>
    <w:rsid w:val="00D568DC"/>
    <w:rsid w:val="00D6170E"/>
    <w:rsid w:val="00D64B5C"/>
    <w:rsid w:val="00D713EE"/>
    <w:rsid w:val="00D75EE6"/>
    <w:rsid w:val="00D91CB4"/>
    <w:rsid w:val="00D947A7"/>
    <w:rsid w:val="00DB024D"/>
    <w:rsid w:val="00DB1C09"/>
    <w:rsid w:val="00DB28CE"/>
    <w:rsid w:val="00DD43D8"/>
    <w:rsid w:val="00DD6170"/>
    <w:rsid w:val="00DE1133"/>
    <w:rsid w:val="00DE285A"/>
    <w:rsid w:val="00DE61D0"/>
    <w:rsid w:val="00DE656C"/>
    <w:rsid w:val="00DF039B"/>
    <w:rsid w:val="00DF4AEA"/>
    <w:rsid w:val="00E16BF5"/>
    <w:rsid w:val="00E33714"/>
    <w:rsid w:val="00E37A3F"/>
    <w:rsid w:val="00E37D3C"/>
    <w:rsid w:val="00E37DCE"/>
    <w:rsid w:val="00E40D78"/>
    <w:rsid w:val="00E415FE"/>
    <w:rsid w:val="00E50268"/>
    <w:rsid w:val="00E5714F"/>
    <w:rsid w:val="00E61EBB"/>
    <w:rsid w:val="00E62E6A"/>
    <w:rsid w:val="00E727BA"/>
    <w:rsid w:val="00E810F7"/>
    <w:rsid w:val="00E83EF5"/>
    <w:rsid w:val="00E9137B"/>
    <w:rsid w:val="00E91C7F"/>
    <w:rsid w:val="00E9335C"/>
    <w:rsid w:val="00EA2B55"/>
    <w:rsid w:val="00EB1E3F"/>
    <w:rsid w:val="00EB5F97"/>
    <w:rsid w:val="00EC2ECB"/>
    <w:rsid w:val="00EC3252"/>
    <w:rsid w:val="00EC7E8F"/>
    <w:rsid w:val="00ED1788"/>
    <w:rsid w:val="00ED1C1E"/>
    <w:rsid w:val="00ED7170"/>
    <w:rsid w:val="00EE03D7"/>
    <w:rsid w:val="00EE1B1C"/>
    <w:rsid w:val="00EE2AF2"/>
    <w:rsid w:val="00EE44F7"/>
    <w:rsid w:val="00EE69EA"/>
    <w:rsid w:val="00EE78BF"/>
    <w:rsid w:val="00EF117C"/>
    <w:rsid w:val="00EF1CA6"/>
    <w:rsid w:val="00F0679F"/>
    <w:rsid w:val="00F07EE6"/>
    <w:rsid w:val="00F17E26"/>
    <w:rsid w:val="00F219D3"/>
    <w:rsid w:val="00F33CC8"/>
    <w:rsid w:val="00F4124A"/>
    <w:rsid w:val="00F4481C"/>
    <w:rsid w:val="00F53E56"/>
    <w:rsid w:val="00F57C01"/>
    <w:rsid w:val="00F616E2"/>
    <w:rsid w:val="00F62522"/>
    <w:rsid w:val="00F75D23"/>
    <w:rsid w:val="00F76045"/>
    <w:rsid w:val="00F76390"/>
    <w:rsid w:val="00F96E73"/>
    <w:rsid w:val="00FA3885"/>
    <w:rsid w:val="00FA5957"/>
    <w:rsid w:val="00FB1AF5"/>
    <w:rsid w:val="00FB4CA8"/>
    <w:rsid w:val="00FB5587"/>
    <w:rsid w:val="00FC1EAB"/>
    <w:rsid w:val="00FC3CE0"/>
    <w:rsid w:val="00FC406D"/>
    <w:rsid w:val="00FD06A8"/>
    <w:rsid w:val="00FE2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620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60459138">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12556848">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3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xcocoedomex.gob.mx/p-2023.ht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www.texcoco.gob.mx/Documentos/LGCC/Presupuesto/PRESUPUESTO_DE_EGRESOS_DETALLADO.pdf" TargetMode="External"/><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cocoedomex.gob.mx/p-2023.html" TargetMode="External"/><Relationship Id="rId22" Type="http://schemas.openxmlformats.org/officeDocument/2006/relationships/image" Target="media/image8.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33280&amp;fecha=15/04/2016" TargetMode="External"/><Relationship Id="rId2" Type="http://schemas.openxmlformats.org/officeDocument/2006/relationships/hyperlink" Target="https://www.osfem.gob.mx/assets/plataforma_digital/com_presupuesto/anexo_01_presupuesto.pdf" TargetMode="External"/><Relationship Id="rId1" Type="http://schemas.openxmlformats.org/officeDocument/2006/relationships/hyperlink" Target="https://legislacion.edomex.gob.mx/sites/legislacion.edomex.gob.mx/files/files/pdf/gct/2022/octubre/oct101/oct101b.pdf" TargetMode="External"/><Relationship Id="rId5" Type="http://schemas.openxmlformats.org/officeDocument/2006/relationships/hyperlink" Target="https://www.dof.gob.mx/nota_detalle.php?codigo=5671860&amp;fecha=18/11/2022" TargetMode="External"/><Relationship Id="rId4" Type="http://schemas.openxmlformats.org/officeDocument/2006/relationships/hyperlink" Target="https://www.dof.gob.mx/nota_detalle.php?codigo=5446230&amp;fecha=29/07/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F1A2CD2-4A67-404D-9125-25F8E82D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54</Pages>
  <Words>12836</Words>
  <Characters>70602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50</cp:revision>
  <cp:lastPrinted>2024-08-23T17:49:00Z</cp:lastPrinted>
  <dcterms:created xsi:type="dcterms:W3CDTF">2024-08-08T20:25:00Z</dcterms:created>
  <dcterms:modified xsi:type="dcterms:W3CDTF">2024-09-18T17:48:00Z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