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694F9" w14:textId="0F736529" w:rsidR="00383939" w:rsidRPr="00EB7F94" w:rsidRDefault="00383939" w:rsidP="00383939">
      <w:pPr>
        <w:spacing w:line="360" w:lineRule="auto"/>
        <w:jc w:val="both"/>
        <w:rPr>
          <w:rFonts w:ascii="Palatino Linotype" w:eastAsiaTheme="minorEastAsia" w:hAnsi="Palatino Linotype"/>
          <w:sz w:val="22"/>
          <w:szCs w:val="22"/>
          <w:lang w:val="es-ES_tradnl" w:eastAsia="es-ES"/>
        </w:rPr>
      </w:pPr>
      <w:r w:rsidRPr="00EB7F94">
        <w:rPr>
          <w:rFonts w:ascii="Palatino Linotype" w:eastAsiaTheme="minorEastAsia" w:hAnsi="Palatino Linotype"/>
          <w:sz w:val="22"/>
          <w:szCs w:val="22"/>
          <w:lang w:val="es-ES_tradnl" w:eastAsia="es-ES"/>
        </w:rPr>
        <w:t>Resolución del Pleno del Instituto de Transparencia, Acceso a la Información Pública y Protección de Datos Personales del Estado de México y Municipios, con domicilio en Metepec, Estado de México; de f</w:t>
      </w:r>
      <w:r w:rsidR="00C42F70" w:rsidRPr="00EB7F94">
        <w:rPr>
          <w:rFonts w:ascii="Palatino Linotype" w:eastAsiaTheme="minorEastAsia" w:hAnsi="Palatino Linotype"/>
          <w:sz w:val="22"/>
          <w:szCs w:val="22"/>
          <w:lang w:val="es-ES_tradnl" w:eastAsia="es-ES"/>
        </w:rPr>
        <w:t xml:space="preserve">echa </w:t>
      </w:r>
      <w:r w:rsidR="00835A7A" w:rsidRPr="00EB7F94">
        <w:rPr>
          <w:rFonts w:ascii="Palatino Linotype" w:eastAsiaTheme="minorEastAsia" w:hAnsi="Palatino Linotype"/>
          <w:sz w:val="22"/>
          <w:szCs w:val="22"/>
          <w:lang w:val="es-ES_tradnl" w:eastAsia="es-ES"/>
        </w:rPr>
        <w:t>dieciocho</w:t>
      </w:r>
      <w:r w:rsidR="00BC47C0" w:rsidRPr="00EB7F94">
        <w:rPr>
          <w:rFonts w:ascii="Palatino Linotype" w:eastAsiaTheme="minorEastAsia" w:hAnsi="Palatino Linotype"/>
          <w:sz w:val="22"/>
          <w:szCs w:val="22"/>
          <w:lang w:val="es-ES_tradnl" w:eastAsia="es-ES"/>
        </w:rPr>
        <w:t xml:space="preserve"> (18)</w:t>
      </w:r>
      <w:r w:rsidR="00835A7A" w:rsidRPr="00EB7F94">
        <w:rPr>
          <w:rFonts w:ascii="Palatino Linotype" w:eastAsiaTheme="minorEastAsia" w:hAnsi="Palatino Linotype"/>
          <w:sz w:val="22"/>
          <w:szCs w:val="22"/>
          <w:lang w:val="es-ES_tradnl" w:eastAsia="es-ES"/>
        </w:rPr>
        <w:t xml:space="preserve"> de diciembre</w:t>
      </w:r>
      <w:r w:rsidR="005D43DF" w:rsidRPr="00EB7F94">
        <w:rPr>
          <w:rFonts w:ascii="Palatino Linotype" w:eastAsiaTheme="minorEastAsia" w:hAnsi="Palatino Linotype"/>
          <w:sz w:val="22"/>
          <w:szCs w:val="22"/>
          <w:lang w:val="es-ES_tradnl" w:eastAsia="es-ES"/>
        </w:rPr>
        <w:t xml:space="preserve"> de dos mil veinticuatro.</w:t>
      </w:r>
    </w:p>
    <w:p w14:paraId="4CEE0C6B" w14:textId="77777777" w:rsidR="00383939" w:rsidRPr="00EB7F94" w:rsidRDefault="00383939" w:rsidP="00383939">
      <w:pPr>
        <w:spacing w:line="360" w:lineRule="auto"/>
        <w:jc w:val="both"/>
        <w:rPr>
          <w:rFonts w:ascii="Palatino Linotype" w:eastAsiaTheme="minorEastAsia" w:hAnsi="Palatino Linotype"/>
          <w:sz w:val="22"/>
          <w:szCs w:val="22"/>
          <w:lang w:val="es-ES_tradnl" w:eastAsia="es-ES"/>
        </w:rPr>
      </w:pPr>
    </w:p>
    <w:p w14:paraId="635F375E" w14:textId="09126393" w:rsidR="00383939" w:rsidRPr="00EB7F94" w:rsidRDefault="00383939" w:rsidP="00383939">
      <w:pPr>
        <w:spacing w:line="360" w:lineRule="auto"/>
        <w:jc w:val="both"/>
        <w:rPr>
          <w:rFonts w:ascii="Palatino Linotype" w:hAnsi="Palatino Linotype"/>
          <w:sz w:val="22"/>
          <w:szCs w:val="22"/>
        </w:rPr>
      </w:pPr>
      <w:r w:rsidRPr="00EB7F94">
        <w:rPr>
          <w:rFonts w:ascii="Palatino Linotype" w:hAnsi="Palatino Linotype"/>
          <w:b/>
          <w:sz w:val="22"/>
          <w:szCs w:val="22"/>
        </w:rPr>
        <w:t>VISTO</w:t>
      </w:r>
      <w:r w:rsidRPr="00EB7F94">
        <w:rPr>
          <w:rFonts w:ascii="Palatino Linotype" w:hAnsi="Palatino Linotype"/>
          <w:sz w:val="22"/>
          <w:szCs w:val="22"/>
        </w:rPr>
        <w:t xml:space="preserve"> el expediente electrónico formado con motivo del recurso de revisión </w:t>
      </w:r>
      <w:r w:rsidR="00C90E3A" w:rsidRPr="00EB7F94">
        <w:rPr>
          <w:rFonts w:ascii="Palatino Linotype" w:hAnsi="Palatino Linotype"/>
          <w:b/>
          <w:sz w:val="22"/>
          <w:szCs w:val="22"/>
        </w:rPr>
        <w:t>0</w:t>
      </w:r>
      <w:r w:rsidR="00835A7A" w:rsidRPr="00EB7F94">
        <w:rPr>
          <w:rFonts w:ascii="Palatino Linotype" w:hAnsi="Palatino Linotype"/>
          <w:b/>
          <w:sz w:val="22"/>
          <w:szCs w:val="22"/>
        </w:rPr>
        <w:t>7288</w:t>
      </w:r>
      <w:r w:rsidR="00187499" w:rsidRPr="00EB7F94">
        <w:rPr>
          <w:rFonts w:ascii="Palatino Linotype" w:hAnsi="Palatino Linotype"/>
          <w:b/>
          <w:sz w:val="22"/>
          <w:szCs w:val="22"/>
        </w:rPr>
        <w:t>/INFOEM/IP/RR/202</w:t>
      </w:r>
      <w:r w:rsidR="00372DF4" w:rsidRPr="00EB7F94">
        <w:rPr>
          <w:rFonts w:ascii="Palatino Linotype" w:hAnsi="Palatino Linotype"/>
          <w:b/>
          <w:sz w:val="22"/>
          <w:szCs w:val="22"/>
        </w:rPr>
        <w:t>4</w:t>
      </w:r>
      <w:r w:rsidRPr="00EB7F94">
        <w:rPr>
          <w:rFonts w:ascii="Palatino Linotype" w:hAnsi="Palatino Linotype"/>
          <w:b/>
          <w:sz w:val="22"/>
          <w:szCs w:val="22"/>
        </w:rPr>
        <w:t>,</w:t>
      </w:r>
      <w:r w:rsidRPr="00EB7F94">
        <w:rPr>
          <w:rFonts w:ascii="Palatino Linotype" w:hAnsi="Palatino Linotype" w:cs="Arial"/>
          <w:b/>
          <w:bCs/>
          <w:sz w:val="22"/>
          <w:szCs w:val="22"/>
        </w:rPr>
        <w:t xml:space="preserve"> </w:t>
      </w:r>
      <w:r w:rsidRPr="00EB7F94">
        <w:rPr>
          <w:rFonts w:ascii="Palatino Linotype" w:eastAsiaTheme="minorEastAsia" w:hAnsi="Palatino Linotype"/>
          <w:sz w:val="22"/>
          <w:szCs w:val="22"/>
          <w:lang w:val="es-ES_tradnl" w:eastAsia="es-ES"/>
        </w:rPr>
        <w:t xml:space="preserve">promovido </w:t>
      </w:r>
      <w:r w:rsidR="00C42F70" w:rsidRPr="00EB7F94">
        <w:rPr>
          <w:rFonts w:ascii="Palatino Linotype" w:eastAsiaTheme="minorEastAsia" w:hAnsi="Palatino Linotype"/>
          <w:sz w:val="22"/>
          <w:szCs w:val="22"/>
          <w:lang w:val="es-ES_tradnl" w:eastAsia="es-ES"/>
        </w:rPr>
        <w:t xml:space="preserve">por </w:t>
      </w:r>
      <w:r w:rsidR="00342F2C" w:rsidRPr="00EB7F94">
        <w:rPr>
          <w:rFonts w:ascii="Palatino Linotype" w:eastAsiaTheme="minorEastAsia" w:hAnsi="Palatino Linotype"/>
          <w:sz w:val="22"/>
          <w:szCs w:val="22"/>
          <w:lang w:val="es-ES_tradnl" w:eastAsia="es-ES"/>
        </w:rPr>
        <w:t xml:space="preserve">un </w:t>
      </w:r>
      <w:r w:rsidRPr="00EB7F94">
        <w:rPr>
          <w:rFonts w:ascii="Palatino Linotype" w:hAnsi="Palatino Linotype" w:cs="Arial"/>
          <w:b/>
          <w:sz w:val="22"/>
          <w:szCs w:val="22"/>
        </w:rPr>
        <w:t>RECURRENTE</w:t>
      </w:r>
      <w:r w:rsidRPr="00EB7F94">
        <w:rPr>
          <w:rFonts w:ascii="Palatino Linotype" w:hAnsi="Palatino Linotype" w:cs="Arial"/>
          <w:sz w:val="22"/>
          <w:szCs w:val="22"/>
        </w:rPr>
        <w:t>, en contra de la respuesta de</w:t>
      </w:r>
      <w:r w:rsidR="00835A7A" w:rsidRPr="00EB7F94">
        <w:rPr>
          <w:rFonts w:ascii="Palatino Linotype" w:hAnsi="Palatino Linotype" w:cs="Arial"/>
          <w:sz w:val="22"/>
          <w:szCs w:val="22"/>
        </w:rPr>
        <w:t xml:space="preserve"> </w:t>
      </w:r>
      <w:r w:rsidRPr="00EB7F94">
        <w:rPr>
          <w:rFonts w:ascii="Palatino Linotype" w:hAnsi="Palatino Linotype" w:cs="Arial"/>
          <w:sz w:val="22"/>
          <w:szCs w:val="22"/>
        </w:rPr>
        <w:t>l</w:t>
      </w:r>
      <w:r w:rsidR="00835A7A" w:rsidRPr="00EB7F94">
        <w:rPr>
          <w:rFonts w:ascii="Palatino Linotype" w:hAnsi="Palatino Linotype" w:cs="Arial"/>
          <w:sz w:val="22"/>
          <w:szCs w:val="22"/>
        </w:rPr>
        <w:t>a</w:t>
      </w:r>
      <w:r w:rsidRPr="00EB7F94">
        <w:rPr>
          <w:rFonts w:ascii="Palatino Linotype" w:hAnsi="Palatino Linotype" w:cs="Arial"/>
          <w:sz w:val="22"/>
          <w:szCs w:val="22"/>
        </w:rPr>
        <w:t xml:space="preserve"> </w:t>
      </w:r>
      <w:r w:rsidR="00835A7A" w:rsidRPr="00EB7F94">
        <w:rPr>
          <w:rFonts w:ascii="Palatino Linotype" w:hAnsi="Palatino Linotype"/>
          <w:b/>
          <w:bCs/>
          <w:color w:val="000000"/>
          <w:sz w:val="22"/>
          <w:szCs w:val="22"/>
        </w:rPr>
        <w:t>Secretaría de Bienestar</w:t>
      </w:r>
      <w:r w:rsidRPr="00EB7F94">
        <w:rPr>
          <w:rFonts w:ascii="Palatino Linotype" w:hAnsi="Palatino Linotype" w:cs="Arial"/>
          <w:b/>
          <w:sz w:val="22"/>
          <w:szCs w:val="22"/>
        </w:rPr>
        <w:t>,</w:t>
      </w:r>
      <w:r w:rsidRPr="00EB7F94">
        <w:rPr>
          <w:rFonts w:ascii="Palatino Linotype" w:hAnsi="Palatino Linotype"/>
          <w:b/>
          <w:sz w:val="22"/>
          <w:szCs w:val="22"/>
        </w:rPr>
        <w:t xml:space="preserve"> </w:t>
      </w:r>
      <w:r w:rsidRPr="00EB7F94">
        <w:rPr>
          <w:rFonts w:ascii="Palatino Linotype" w:hAnsi="Palatino Linotype"/>
          <w:sz w:val="22"/>
          <w:szCs w:val="22"/>
        </w:rPr>
        <w:t>en lo sucesivo el</w:t>
      </w:r>
      <w:r w:rsidRPr="00EB7F94">
        <w:rPr>
          <w:rFonts w:ascii="Palatino Linotype" w:hAnsi="Palatino Linotype"/>
          <w:b/>
          <w:sz w:val="22"/>
          <w:szCs w:val="22"/>
        </w:rPr>
        <w:t xml:space="preserve"> SUJETO OBLIGADO</w:t>
      </w:r>
      <w:r w:rsidRPr="00EB7F94">
        <w:rPr>
          <w:rFonts w:ascii="Palatino Linotype" w:hAnsi="Palatino Linotype"/>
          <w:sz w:val="22"/>
          <w:szCs w:val="22"/>
        </w:rPr>
        <w:t>, por lo que se procede a dictar la presente resolución, con base en los siguientes:</w:t>
      </w:r>
    </w:p>
    <w:p w14:paraId="56DBEA76" w14:textId="77777777" w:rsidR="00383939" w:rsidRPr="00EB7F94" w:rsidRDefault="00383939" w:rsidP="00383939">
      <w:pPr>
        <w:spacing w:line="360" w:lineRule="auto"/>
        <w:jc w:val="both"/>
        <w:rPr>
          <w:rFonts w:ascii="Palatino Linotype" w:hAnsi="Palatino Linotype"/>
          <w:b/>
          <w:sz w:val="22"/>
          <w:szCs w:val="22"/>
        </w:rPr>
      </w:pPr>
    </w:p>
    <w:p w14:paraId="4DBE9E7D" w14:textId="77777777" w:rsidR="00383939" w:rsidRPr="00EB7F94" w:rsidRDefault="00383939" w:rsidP="00383939">
      <w:pPr>
        <w:keepNext/>
        <w:keepLines/>
        <w:spacing w:line="360" w:lineRule="auto"/>
        <w:jc w:val="center"/>
        <w:outlineLvl w:val="0"/>
        <w:rPr>
          <w:rFonts w:ascii="Palatino Linotype" w:eastAsiaTheme="majorEastAsia" w:hAnsi="Palatino Linotype" w:cstheme="majorBidi"/>
          <w:b/>
          <w:sz w:val="22"/>
          <w:szCs w:val="22"/>
        </w:rPr>
      </w:pPr>
      <w:bookmarkStart w:id="0" w:name="_Toc66992241"/>
      <w:r w:rsidRPr="00EB7F94">
        <w:rPr>
          <w:rFonts w:ascii="Palatino Linotype" w:eastAsiaTheme="majorEastAsia" w:hAnsi="Palatino Linotype" w:cstheme="majorBidi"/>
          <w:b/>
          <w:sz w:val="22"/>
          <w:szCs w:val="22"/>
        </w:rPr>
        <w:t>ANTECEDENTES</w:t>
      </w:r>
      <w:bookmarkEnd w:id="0"/>
    </w:p>
    <w:p w14:paraId="24D2F149" w14:textId="77777777" w:rsidR="00383939" w:rsidRPr="00EB7F94" w:rsidRDefault="00383939" w:rsidP="00383939">
      <w:pPr>
        <w:spacing w:line="360" w:lineRule="auto"/>
        <w:rPr>
          <w:rFonts w:ascii="Palatino Linotype" w:eastAsiaTheme="minorEastAsia" w:hAnsi="Palatino Linotype"/>
          <w:sz w:val="22"/>
          <w:szCs w:val="22"/>
        </w:rPr>
      </w:pPr>
    </w:p>
    <w:p w14:paraId="4B7F491F" w14:textId="25DA2668" w:rsidR="00383939" w:rsidRPr="00EB7F94" w:rsidRDefault="00383939" w:rsidP="00383939">
      <w:pPr>
        <w:pStyle w:val="Prrafodelista"/>
        <w:numPr>
          <w:ilvl w:val="0"/>
          <w:numId w:val="1"/>
        </w:numPr>
        <w:spacing w:line="360" w:lineRule="auto"/>
        <w:ind w:left="0" w:firstLine="0"/>
        <w:jc w:val="both"/>
        <w:rPr>
          <w:rFonts w:ascii="Palatino Linotype" w:hAnsi="Palatino Linotype" w:cs="Arial"/>
          <w:szCs w:val="22"/>
          <w:lang w:val="es-ES" w:eastAsia="es-ES"/>
        </w:rPr>
      </w:pPr>
      <w:r w:rsidRPr="00EB7F94">
        <w:rPr>
          <w:rFonts w:ascii="Palatino Linotype" w:eastAsia="Calibri" w:hAnsi="Palatino Linotype" w:cs="Arial"/>
          <w:szCs w:val="22"/>
          <w:lang w:val="es-ES" w:eastAsia="es-ES"/>
        </w:rPr>
        <w:t xml:space="preserve">El </w:t>
      </w:r>
      <w:r w:rsidR="00835A7A" w:rsidRPr="00EB7F94">
        <w:rPr>
          <w:rFonts w:ascii="Palatino Linotype" w:eastAsia="Calibri" w:hAnsi="Palatino Linotype" w:cs="Arial"/>
          <w:szCs w:val="22"/>
          <w:lang w:val="es-ES" w:eastAsia="es-ES"/>
        </w:rPr>
        <w:t>cuatro de noviembre</w:t>
      </w:r>
      <w:r w:rsidR="00C42F70" w:rsidRPr="00EB7F94">
        <w:rPr>
          <w:rFonts w:ascii="Palatino Linotype" w:eastAsia="Calibri" w:hAnsi="Palatino Linotype" w:cs="Arial"/>
          <w:szCs w:val="22"/>
          <w:lang w:val="es-ES" w:eastAsia="es-ES"/>
        </w:rPr>
        <w:t xml:space="preserve"> de dos mil veinti</w:t>
      </w:r>
      <w:r w:rsidR="00372DF4" w:rsidRPr="00EB7F94">
        <w:rPr>
          <w:rFonts w:ascii="Palatino Linotype" w:eastAsia="Calibri" w:hAnsi="Palatino Linotype" w:cs="Arial"/>
          <w:szCs w:val="22"/>
          <w:lang w:val="es-ES" w:eastAsia="es-ES"/>
        </w:rPr>
        <w:t>cuatro</w:t>
      </w:r>
      <w:r w:rsidRPr="00EB7F94">
        <w:rPr>
          <w:rFonts w:ascii="Palatino Linotype" w:eastAsia="Calibri" w:hAnsi="Palatino Linotype" w:cs="Arial"/>
          <w:szCs w:val="22"/>
          <w:lang w:val="es-ES" w:eastAsia="es-ES"/>
        </w:rPr>
        <w:t>,</w:t>
      </w:r>
      <w:r w:rsidR="00212386" w:rsidRPr="00EB7F94">
        <w:rPr>
          <w:rFonts w:ascii="Palatino Linotype" w:eastAsia="Calibri" w:hAnsi="Palatino Linotype"/>
          <w:szCs w:val="22"/>
          <w:lang w:val="es-ES" w:eastAsia="es-ES"/>
        </w:rPr>
        <w:t xml:space="preserve"> el </w:t>
      </w:r>
      <w:r w:rsidRPr="00EB7F94">
        <w:rPr>
          <w:rFonts w:ascii="Palatino Linotype" w:eastAsia="Calibri" w:hAnsi="Palatino Linotype"/>
          <w:b/>
          <w:szCs w:val="22"/>
          <w:lang w:val="es-ES" w:eastAsia="es-ES"/>
        </w:rPr>
        <w:t>RECURRENTE</w:t>
      </w:r>
      <w:r w:rsidR="00C90E3A" w:rsidRPr="00EB7F94">
        <w:rPr>
          <w:rFonts w:ascii="Palatino Linotype" w:eastAsiaTheme="minorEastAsia" w:hAnsi="Palatino Linotype"/>
          <w:b/>
          <w:szCs w:val="22"/>
          <w:lang w:val="es-ES" w:eastAsia="es-ES"/>
        </w:rPr>
        <w:t xml:space="preserve"> </w:t>
      </w:r>
      <w:r w:rsidRPr="00EB7F94">
        <w:rPr>
          <w:rFonts w:ascii="Palatino Linotype" w:eastAsia="Calibri" w:hAnsi="Palatino Linotype" w:cs="Arial"/>
          <w:szCs w:val="22"/>
          <w:lang w:val="es-ES_tradnl" w:eastAsia="es-ES"/>
        </w:rPr>
        <w:t xml:space="preserve">vía </w:t>
      </w:r>
      <w:r w:rsidRPr="00EB7F94">
        <w:rPr>
          <w:rFonts w:ascii="Palatino Linotype" w:eastAsia="Calibri" w:hAnsi="Palatino Linotype" w:cs="Arial"/>
          <w:szCs w:val="22"/>
          <w:lang w:val="es-ES" w:eastAsia="es-ES"/>
        </w:rPr>
        <w:t>Sistema de Acceso a la Información Mexiquense (</w:t>
      </w:r>
      <w:r w:rsidRPr="00EB7F94">
        <w:rPr>
          <w:rFonts w:ascii="Palatino Linotype" w:eastAsia="Calibri" w:hAnsi="Palatino Linotype" w:cs="Arial"/>
          <w:b/>
          <w:szCs w:val="22"/>
          <w:lang w:val="es-ES" w:eastAsia="es-ES"/>
        </w:rPr>
        <w:t>SAIMEX)</w:t>
      </w:r>
      <w:r w:rsidRPr="00EB7F94">
        <w:rPr>
          <w:rFonts w:ascii="Palatino Linotype" w:eastAsia="Calibri" w:hAnsi="Palatino Linotype" w:cs="Arial"/>
          <w:szCs w:val="22"/>
          <w:lang w:val="es-ES" w:eastAsia="es-ES"/>
        </w:rPr>
        <w:t xml:space="preserve">, presentó una solicitud de información registrada con el número </w:t>
      </w:r>
      <w:r w:rsidR="00C42F70" w:rsidRPr="00EB7F94">
        <w:rPr>
          <w:rFonts w:ascii="Palatino Linotype" w:hAnsi="Palatino Linotype"/>
          <w:b/>
          <w:bCs/>
          <w:szCs w:val="22"/>
        </w:rPr>
        <w:t>0</w:t>
      </w:r>
      <w:r w:rsidR="00835A7A" w:rsidRPr="00EB7F94">
        <w:rPr>
          <w:rFonts w:ascii="Palatino Linotype" w:hAnsi="Palatino Linotype"/>
          <w:b/>
          <w:bCs/>
          <w:szCs w:val="22"/>
        </w:rPr>
        <w:t>0250</w:t>
      </w:r>
      <w:r w:rsidR="00212386" w:rsidRPr="00EB7F94">
        <w:rPr>
          <w:rFonts w:ascii="Palatino Linotype" w:hAnsi="Palatino Linotype"/>
          <w:b/>
          <w:bCs/>
          <w:szCs w:val="22"/>
        </w:rPr>
        <w:t>/</w:t>
      </w:r>
      <w:r w:rsidR="00835A7A" w:rsidRPr="00EB7F94">
        <w:rPr>
          <w:rFonts w:ascii="Palatino Linotype" w:hAnsi="Palatino Linotype"/>
          <w:b/>
          <w:bCs/>
          <w:szCs w:val="22"/>
        </w:rPr>
        <w:t>BIENESTAR</w:t>
      </w:r>
      <w:r w:rsidR="00C42F70" w:rsidRPr="00EB7F94">
        <w:rPr>
          <w:rFonts w:ascii="Palatino Linotype" w:hAnsi="Palatino Linotype"/>
          <w:b/>
          <w:bCs/>
          <w:szCs w:val="22"/>
        </w:rPr>
        <w:t>/IP/202</w:t>
      </w:r>
      <w:r w:rsidR="00BC47C0" w:rsidRPr="00EB7F94">
        <w:rPr>
          <w:rFonts w:ascii="Palatino Linotype" w:hAnsi="Palatino Linotype"/>
          <w:b/>
          <w:bCs/>
          <w:szCs w:val="22"/>
        </w:rPr>
        <w:t>4</w:t>
      </w:r>
      <w:r w:rsidRPr="00EB7F94">
        <w:rPr>
          <w:rFonts w:ascii="Palatino Linotype" w:eastAsiaTheme="minorEastAsia" w:hAnsi="Palatino Linotype"/>
          <w:b/>
          <w:szCs w:val="22"/>
          <w:lang w:val="es-ES_tradnl" w:eastAsia="es-ES"/>
        </w:rPr>
        <w:t xml:space="preserve">, </w:t>
      </w:r>
      <w:r w:rsidRPr="00EB7F94">
        <w:rPr>
          <w:rFonts w:ascii="Palatino Linotype" w:eastAsia="Calibri" w:hAnsi="Palatino Linotype" w:cs="Arial"/>
          <w:szCs w:val="22"/>
          <w:lang w:val="es-ES" w:eastAsia="es-ES"/>
        </w:rPr>
        <w:t>mediante la cual solicitó lo siguiente:</w:t>
      </w:r>
    </w:p>
    <w:p w14:paraId="6D250EAA" w14:textId="77777777" w:rsidR="00383939" w:rsidRPr="00EB7F94" w:rsidRDefault="00383939" w:rsidP="00383939">
      <w:pPr>
        <w:pStyle w:val="Prrafodelista"/>
        <w:spacing w:line="360" w:lineRule="auto"/>
        <w:ind w:left="0"/>
        <w:jc w:val="both"/>
        <w:rPr>
          <w:rFonts w:ascii="Palatino Linotype" w:hAnsi="Palatino Linotype" w:cs="Arial"/>
          <w:szCs w:val="22"/>
          <w:lang w:val="es-ES" w:eastAsia="es-ES"/>
        </w:rPr>
      </w:pPr>
    </w:p>
    <w:p w14:paraId="41B078E2" w14:textId="39DB902A" w:rsidR="00383939" w:rsidRPr="00EB7F94" w:rsidRDefault="00383939" w:rsidP="00372DF4">
      <w:pPr>
        <w:pStyle w:val="Prrafodelista"/>
        <w:ind w:left="567" w:right="567"/>
        <w:jc w:val="both"/>
        <w:rPr>
          <w:rFonts w:ascii="Palatino Linotype" w:hAnsi="Palatino Linotype"/>
          <w:i/>
          <w:color w:val="000000"/>
          <w:szCs w:val="22"/>
        </w:rPr>
      </w:pPr>
      <w:r w:rsidRPr="00EB7F94">
        <w:rPr>
          <w:rFonts w:ascii="Palatino Linotype" w:hAnsi="Palatino Linotype"/>
          <w:i/>
          <w:color w:val="000000"/>
          <w:szCs w:val="22"/>
        </w:rPr>
        <w:t>“</w:t>
      </w:r>
      <w:r w:rsidR="00835A7A" w:rsidRPr="00EB7F94">
        <w:rPr>
          <w:rFonts w:ascii="Palatino Linotype" w:hAnsi="Palatino Linotype"/>
          <w:i/>
          <w:color w:val="000000"/>
          <w:szCs w:val="22"/>
        </w:rPr>
        <w:t xml:space="preserve">POR MEDIO DEL PRESENTE Y EN ATENCION A QUE LA LEY GENERAL DE TRANSPARENCIA Y ACCESO A LA INFORMACION PUBLICA DISPONE EN SUS ARTICULOS 1 Y 12, QUE TODA LA INFORMACION EN POSESION DE LOS SUJETOS OBLIGADOS SERA PUBLICA Y QUE LA INFORMACIÓN PUBLICA GENERADA, OBTENIDA, ADQUIRIDA, TRANSFORMADA O EN POSESION DE LOS SUJETOS OBLIGADOS SERA ACCESIBLE A CUALQUIER PERSONA, SOLICITO A USTED LO SIGUIENTE </w:t>
      </w:r>
      <w:r w:rsidR="00835A7A" w:rsidRPr="00EB7F94">
        <w:rPr>
          <w:rFonts w:ascii="Palatino Linotype" w:hAnsi="Palatino Linotype"/>
          <w:i/>
          <w:color w:val="000000"/>
          <w:szCs w:val="22"/>
        </w:rPr>
        <w:sym w:font="Symbol" w:char="F0D8"/>
      </w:r>
      <w:r w:rsidR="00835A7A" w:rsidRPr="00EB7F94">
        <w:rPr>
          <w:rFonts w:ascii="Palatino Linotype" w:hAnsi="Palatino Linotype"/>
          <w:i/>
          <w:color w:val="000000"/>
          <w:szCs w:val="22"/>
        </w:rPr>
        <w:t xml:space="preserve"> CALIFICACION DE LAS EVALUACIONES DEL DESEMPEÑO DEL 2022 A 2024 DE LAS SERVIDORAS PUBLICAS: </w:t>
      </w:r>
      <w:r w:rsidR="00835A7A" w:rsidRPr="00EB7F94">
        <w:rPr>
          <w:rFonts w:ascii="Palatino Linotype" w:hAnsi="Palatino Linotype"/>
          <w:i/>
          <w:color w:val="000000"/>
          <w:szCs w:val="22"/>
        </w:rPr>
        <w:sym w:font="Symbol" w:char="F076"/>
      </w:r>
      <w:r w:rsidR="00835A7A" w:rsidRPr="00EB7F94">
        <w:rPr>
          <w:rFonts w:ascii="Palatino Linotype" w:hAnsi="Palatino Linotype"/>
          <w:i/>
          <w:color w:val="000000"/>
          <w:szCs w:val="22"/>
        </w:rPr>
        <w:t xml:space="preserve"> ALEJANDRA BERENICE RUIZ DE JESUS </w:t>
      </w:r>
      <w:r w:rsidR="00835A7A" w:rsidRPr="00EB7F94">
        <w:rPr>
          <w:rFonts w:ascii="Palatino Linotype" w:hAnsi="Palatino Linotype"/>
          <w:i/>
          <w:color w:val="000000"/>
          <w:szCs w:val="22"/>
        </w:rPr>
        <w:sym w:font="Symbol" w:char="F076"/>
      </w:r>
      <w:r w:rsidR="00835A7A" w:rsidRPr="00EB7F94">
        <w:rPr>
          <w:rFonts w:ascii="Palatino Linotype" w:hAnsi="Palatino Linotype"/>
          <w:i/>
          <w:color w:val="000000"/>
          <w:szCs w:val="22"/>
        </w:rPr>
        <w:t xml:space="preserve"> MA. DE JESUS CARLOTA VALDEZ SOTO </w:t>
      </w:r>
      <w:r w:rsidR="00835A7A" w:rsidRPr="00EB7F94">
        <w:rPr>
          <w:rFonts w:ascii="Palatino Linotype" w:hAnsi="Palatino Linotype"/>
          <w:i/>
          <w:color w:val="000000"/>
          <w:szCs w:val="22"/>
        </w:rPr>
        <w:sym w:font="Symbol" w:char="F076"/>
      </w:r>
      <w:r w:rsidR="00835A7A" w:rsidRPr="00EB7F94">
        <w:rPr>
          <w:rFonts w:ascii="Palatino Linotype" w:hAnsi="Palatino Linotype"/>
          <w:i/>
          <w:color w:val="000000"/>
          <w:szCs w:val="22"/>
        </w:rPr>
        <w:t xml:space="preserve"> ESTELA MEJIA VILLEGAS </w:t>
      </w:r>
      <w:r w:rsidR="00835A7A" w:rsidRPr="00EB7F94">
        <w:rPr>
          <w:rFonts w:ascii="Palatino Linotype" w:hAnsi="Palatino Linotype"/>
          <w:i/>
          <w:color w:val="000000"/>
          <w:szCs w:val="22"/>
        </w:rPr>
        <w:sym w:font="Symbol" w:char="F076"/>
      </w:r>
      <w:r w:rsidR="00835A7A" w:rsidRPr="00EB7F94">
        <w:rPr>
          <w:rFonts w:ascii="Palatino Linotype" w:hAnsi="Palatino Linotype"/>
          <w:i/>
          <w:color w:val="000000"/>
          <w:szCs w:val="22"/>
        </w:rPr>
        <w:t xml:space="preserve"> DIANA COLIN SANCHEZ </w:t>
      </w:r>
      <w:r w:rsidR="00835A7A" w:rsidRPr="00EB7F94">
        <w:rPr>
          <w:rFonts w:ascii="Palatino Linotype" w:hAnsi="Palatino Linotype"/>
          <w:i/>
          <w:color w:val="000000"/>
          <w:szCs w:val="22"/>
        </w:rPr>
        <w:sym w:font="Symbol" w:char="F076"/>
      </w:r>
      <w:r w:rsidR="00835A7A" w:rsidRPr="00EB7F94">
        <w:rPr>
          <w:rFonts w:ascii="Palatino Linotype" w:hAnsi="Palatino Linotype"/>
          <w:i/>
          <w:color w:val="000000"/>
          <w:szCs w:val="22"/>
        </w:rPr>
        <w:t xml:space="preserve"> ANA KAREN DAVILA GARCIA </w:t>
      </w:r>
      <w:r w:rsidR="00835A7A" w:rsidRPr="00EB7F94">
        <w:rPr>
          <w:rFonts w:ascii="Palatino Linotype" w:hAnsi="Palatino Linotype"/>
          <w:i/>
          <w:color w:val="000000"/>
          <w:szCs w:val="22"/>
        </w:rPr>
        <w:sym w:font="Symbol" w:char="F076"/>
      </w:r>
      <w:r w:rsidR="00835A7A" w:rsidRPr="00EB7F94">
        <w:rPr>
          <w:rFonts w:ascii="Palatino Linotype" w:hAnsi="Palatino Linotype"/>
          <w:i/>
          <w:color w:val="000000"/>
          <w:szCs w:val="22"/>
        </w:rPr>
        <w:t xml:space="preserve"> LAURA RIVERA HERNANDEZ </w:t>
      </w:r>
      <w:r w:rsidR="00835A7A" w:rsidRPr="00EB7F94">
        <w:rPr>
          <w:rFonts w:ascii="Palatino Linotype" w:hAnsi="Palatino Linotype"/>
          <w:i/>
          <w:color w:val="000000"/>
          <w:szCs w:val="22"/>
        </w:rPr>
        <w:sym w:font="Symbol" w:char="F076"/>
      </w:r>
      <w:r w:rsidR="00835A7A" w:rsidRPr="00EB7F94">
        <w:rPr>
          <w:rFonts w:ascii="Palatino Linotype" w:hAnsi="Palatino Linotype"/>
          <w:i/>
          <w:color w:val="000000"/>
          <w:szCs w:val="22"/>
        </w:rPr>
        <w:t xml:space="preserve"> GUADALUPE FLORES TOLEDO ASIMISMO, PIDO SE ME INFORME SI LA ULTIMA EBALUACION DEL DESEMPEÑO REALISADA POR LA P.L.C. SILVIA REYES VILCHIS, TITULAR DE LA DIRECCIONN DE ADMINISTRACION DE PERSONAL, CUMPLIO CON EL REQUSITO: “LA EVALUASIÓN DEL DESEMPEÑO DEBE REALISARSE DE MANERA PRECENCIAL ENTRE LA EVALUADORA Y EL PERSONAL EVALUADO, MISMA QUE DEVE DE SER DE MANERA OBJETIBA Y CONFIDENCIAL”. • CUANTO DIAS ECONOMICOS AN PEDIDO HASTA LA </w:t>
      </w:r>
      <w:r w:rsidR="00835A7A" w:rsidRPr="00EB7F94">
        <w:rPr>
          <w:rFonts w:ascii="Palatino Linotype" w:hAnsi="Palatino Linotype"/>
          <w:i/>
          <w:color w:val="000000"/>
          <w:szCs w:val="22"/>
        </w:rPr>
        <w:lastRenderedPageBreak/>
        <w:t>FECHA LAS MENCIONADAS SERVIDORAS PUBLICAS DURANTE EL 2024. • CUANTAS INCAPACIDADES LLEBAN ASTA LA FECHA (AÑO 2024 • ME INFORME CUANTAS LLAMADAS DE ATENCIÓN, ACTAS ADMINISTRATIVAS, SANCIONES, AMONESTACIONES ESCRITAS AY EN EL EXPEDIENTE DE ELLAS, DEL AÑO EN CURSO, Y LOS MOTIVOS. • NOMBRE DE LAS CAPACITACIONES CURSADAS EN LOS ULTIMOS 2 AÑOS, DONDE INDIQ FECHA Y INSTITUCION QUE LA DIO • NIVEL DE ESTUDIOS • FECHA DE INGRESO AL GOBIERNO • FUNCIONES Y PUESTO POR ULTIMO QUE DESCRIBA PORQUE LAS SERVIDORAS PUBLICAS EN RELACION NO SON CONSIDERADAS PARA GANARSE EL ESTIMULO POR DESEMPEÑO</w:t>
      </w:r>
      <w:r w:rsidRPr="00EB7F94">
        <w:rPr>
          <w:rFonts w:ascii="Palatino Linotype" w:hAnsi="Palatino Linotype"/>
          <w:i/>
          <w:color w:val="000000"/>
          <w:szCs w:val="22"/>
        </w:rPr>
        <w:t xml:space="preserve">” (Sic) </w:t>
      </w:r>
    </w:p>
    <w:p w14:paraId="26945D66" w14:textId="77777777" w:rsidR="00C90E3A" w:rsidRPr="00EB7F94" w:rsidRDefault="00C90E3A" w:rsidP="00C90E3A">
      <w:pPr>
        <w:spacing w:line="360" w:lineRule="auto"/>
        <w:ind w:right="539"/>
        <w:jc w:val="both"/>
        <w:rPr>
          <w:rFonts w:ascii="Palatino Linotype" w:hAnsi="Palatino Linotype" w:cs="Arial"/>
          <w:sz w:val="22"/>
          <w:szCs w:val="22"/>
          <w:lang w:val="es-ES" w:eastAsia="es-ES"/>
        </w:rPr>
      </w:pPr>
    </w:p>
    <w:p w14:paraId="6F5151F7" w14:textId="2FB06626" w:rsidR="00050CDC" w:rsidRPr="00EB7F94" w:rsidRDefault="00C90E3A" w:rsidP="00F8434F">
      <w:pPr>
        <w:pStyle w:val="Prrafodelista"/>
        <w:numPr>
          <w:ilvl w:val="0"/>
          <w:numId w:val="1"/>
        </w:numPr>
        <w:spacing w:line="360" w:lineRule="auto"/>
        <w:ind w:right="539"/>
        <w:jc w:val="both"/>
        <w:rPr>
          <w:rFonts w:ascii="Palatino Linotype" w:hAnsi="Palatino Linotype" w:cs="Arial"/>
          <w:b/>
          <w:bCs/>
          <w:szCs w:val="22"/>
          <w:lang w:val="es-ES" w:eastAsia="es-ES"/>
        </w:rPr>
      </w:pPr>
      <w:r w:rsidRPr="00EB7F94">
        <w:rPr>
          <w:rFonts w:ascii="Palatino Linotype" w:hAnsi="Palatino Linotype" w:cs="Arial"/>
          <w:szCs w:val="22"/>
          <w:lang w:val="es-ES" w:eastAsia="es-ES"/>
        </w:rPr>
        <w:t xml:space="preserve">Se señaló como modalidad de entrega: </w:t>
      </w:r>
      <w:r w:rsidRPr="00EB7F94">
        <w:rPr>
          <w:rFonts w:ascii="Palatino Linotype" w:hAnsi="Palatino Linotype" w:cs="Arial"/>
          <w:b/>
          <w:bCs/>
          <w:szCs w:val="22"/>
          <w:lang w:val="es-ES" w:eastAsia="es-ES"/>
        </w:rPr>
        <w:t xml:space="preserve">A través del Sistema de Acceso a la Información Mexiquense (SAIMEX). </w:t>
      </w:r>
    </w:p>
    <w:p w14:paraId="3F2DF821" w14:textId="77777777" w:rsidR="00F51202" w:rsidRPr="00EB7F94" w:rsidRDefault="00F51202" w:rsidP="005D43DF">
      <w:pPr>
        <w:rPr>
          <w:rFonts w:ascii="Palatino Linotype" w:eastAsiaTheme="minorEastAsia" w:hAnsi="Palatino Linotype"/>
          <w:sz w:val="22"/>
          <w:szCs w:val="22"/>
          <w:lang w:val="es-ES_tradnl" w:eastAsia="es-ES"/>
        </w:rPr>
      </w:pPr>
    </w:p>
    <w:p w14:paraId="781E83B0" w14:textId="326BEFA4" w:rsidR="00383939" w:rsidRPr="00EB7F94" w:rsidRDefault="00835A7A" w:rsidP="002969F4">
      <w:pPr>
        <w:pStyle w:val="Prrafodelista"/>
        <w:numPr>
          <w:ilvl w:val="0"/>
          <w:numId w:val="1"/>
        </w:numPr>
        <w:spacing w:line="360" w:lineRule="auto"/>
        <w:ind w:left="0" w:firstLine="0"/>
        <w:jc w:val="both"/>
        <w:rPr>
          <w:rFonts w:ascii="Palatino Linotype" w:hAnsi="Palatino Linotype" w:cs="Arial"/>
          <w:szCs w:val="22"/>
          <w:lang w:val="es-ES" w:eastAsia="es-ES"/>
        </w:rPr>
      </w:pPr>
      <w:r w:rsidRPr="00EB7F94">
        <w:rPr>
          <w:rFonts w:ascii="Palatino Linotype" w:eastAsiaTheme="minorEastAsia" w:hAnsi="Palatino Linotype"/>
          <w:szCs w:val="22"/>
          <w:lang w:val="es-ES_tradnl" w:eastAsia="es-ES"/>
        </w:rPr>
        <w:t>El veinte de noviembre</w:t>
      </w:r>
      <w:r w:rsidR="00372DF4" w:rsidRPr="00EB7F94">
        <w:rPr>
          <w:rFonts w:ascii="Palatino Linotype" w:eastAsiaTheme="minorEastAsia" w:hAnsi="Palatino Linotype"/>
          <w:szCs w:val="22"/>
          <w:lang w:val="es-ES_tradnl" w:eastAsia="es-ES"/>
        </w:rPr>
        <w:t xml:space="preserve"> de dos mil veinticuatro</w:t>
      </w:r>
      <w:r w:rsidR="00383939" w:rsidRPr="00EB7F94">
        <w:rPr>
          <w:rFonts w:ascii="Palatino Linotype" w:eastAsiaTheme="minorEastAsia" w:hAnsi="Palatino Linotype"/>
          <w:szCs w:val="22"/>
          <w:lang w:val="es-ES_tradnl" w:eastAsia="es-ES"/>
        </w:rPr>
        <w:t xml:space="preserve">, </w:t>
      </w:r>
      <w:r w:rsidR="00383939" w:rsidRPr="00EB7F94">
        <w:rPr>
          <w:rFonts w:ascii="Palatino Linotype" w:eastAsia="Calibri" w:hAnsi="Palatino Linotype"/>
          <w:szCs w:val="22"/>
          <w:lang w:val="es-ES" w:eastAsia="es-ES"/>
        </w:rPr>
        <w:t xml:space="preserve">el </w:t>
      </w:r>
      <w:r w:rsidR="00383939" w:rsidRPr="00EB7F94">
        <w:rPr>
          <w:rFonts w:ascii="Palatino Linotype" w:eastAsia="Calibri" w:hAnsi="Palatino Linotype" w:cs="Arial"/>
          <w:b/>
          <w:szCs w:val="22"/>
          <w:lang w:val="es-AR" w:eastAsia="es-ES"/>
        </w:rPr>
        <w:t>SUJETO OBLIGADO</w:t>
      </w:r>
      <w:r w:rsidR="00383939" w:rsidRPr="00EB7F94">
        <w:rPr>
          <w:rFonts w:ascii="Palatino Linotype" w:eastAsia="Calibri" w:hAnsi="Palatino Linotype" w:cs="Arial"/>
          <w:b/>
          <w:i/>
          <w:szCs w:val="22"/>
          <w:lang w:val="es-AR" w:eastAsia="es-ES"/>
        </w:rPr>
        <w:t xml:space="preserve"> </w:t>
      </w:r>
      <w:r w:rsidR="00383939" w:rsidRPr="00EB7F94">
        <w:rPr>
          <w:rFonts w:ascii="Palatino Linotype" w:hAnsi="Palatino Linotype" w:cs="Arial"/>
          <w:szCs w:val="22"/>
          <w:lang w:val="es-ES" w:eastAsia="es-ES"/>
        </w:rPr>
        <w:t>dio respuesta a la solicitud de información</w:t>
      </w:r>
      <w:r w:rsidR="00050CDC" w:rsidRPr="00EB7F94">
        <w:rPr>
          <w:rFonts w:ascii="Palatino Linotype" w:hAnsi="Palatino Linotype" w:cs="Arial"/>
          <w:szCs w:val="22"/>
          <w:lang w:val="es-ES" w:eastAsia="es-ES"/>
        </w:rPr>
        <w:t>,</w:t>
      </w:r>
      <w:r w:rsidR="00383939" w:rsidRPr="00EB7F94">
        <w:rPr>
          <w:rFonts w:ascii="Palatino Linotype" w:hAnsi="Palatino Linotype" w:cs="Arial"/>
          <w:szCs w:val="22"/>
          <w:lang w:val="es-ES" w:eastAsia="es-ES"/>
        </w:rPr>
        <w:t xml:space="preserve"> en los siguientes términos:</w:t>
      </w:r>
    </w:p>
    <w:p w14:paraId="18BA99BE" w14:textId="77777777" w:rsidR="00050CDC" w:rsidRPr="00EB7F94" w:rsidRDefault="00050CDC" w:rsidP="00050CDC">
      <w:pPr>
        <w:pStyle w:val="Prrafodelista"/>
        <w:spacing w:line="360" w:lineRule="auto"/>
        <w:ind w:left="0"/>
        <w:jc w:val="both"/>
        <w:rPr>
          <w:rFonts w:ascii="Palatino Linotype" w:hAnsi="Palatino Linotype" w:cs="Arial"/>
          <w:szCs w:val="22"/>
          <w:lang w:val="es-ES" w:eastAsia="es-ES"/>
        </w:rPr>
      </w:pPr>
    </w:p>
    <w:p w14:paraId="7E7EFF51" w14:textId="2EEDFFE5" w:rsidR="00212386" w:rsidRPr="00EB7F94" w:rsidRDefault="00212386" w:rsidP="00372DF4">
      <w:pPr>
        <w:ind w:left="567" w:right="539"/>
        <w:jc w:val="both"/>
        <w:rPr>
          <w:rFonts w:ascii="Palatino Linotype" w:hAnsi="Palatino Linotype" w:cs="Arial"/>
          <w:i/>
          <w:iCs/>
          <w:sz w:val="22"/>
          <w:szCs w:val="22"/>
          <w:lang w:val="es-ES" w:eastAsia="es-ES"/>
        </w:rPr>
      </w:pPr>
      <w:r w:rsidRPr="00EB7F94">
        <w:rPr>
          <w:rFonts w:ascii="Palatino Linotype" w:hAnsi="Palatino Linotype"/>
          <w:i/>
          <w:iCs/>
          <w:color w:val="000000"/>
          <w:sz w:val="22"/>
          <w:szCs w:val="22"/>
        </w:rPr>
        <w:t>“…</w:t>
      </w:r>
      <w:r w:rsidR="00835A7A" w:rsidRPr="00EB7F94">
        <w:rPr>
          <w:rFonts w:ascii="Verdana" w:hAnsi="Verdana"/>
          <w:color w:val="000000"/>
          <w:sz w:val="18"/>
          <w:szCs w:val="18"/>
        </w:rPr>
        <w:t>Se anexa oficio de respuesta número SBIENESTAREDOMEX/UT/250/2024, de fecha 20 de noviembre de 2024, así como los oficios de funciones</w:t>
      </w:r>
      <w:r w:rsidRPr="00EB7F94">
        <w:rPr>
          <w:rFonts w:ascii="Palatino Linotype" w:hAnsi="Palatino Linotype"/>
          <w:i/>
          <w:iCs/>
          <w:color w:val="000000"/>
          <w:sz w:val="22"/>
          <w:szCs w:val="22"/>
        </w:rPr>
        <w:t>…” (Sic)</w:t>
      </w:r>
    </w:p>
    <w:p w14:paraId="786437A1" w14:textId="77777777" w:rsidR="00050CDC" w:rsidRPr="00EB7F94" w:rsidRDefault="00050CDC" w:rsidP="00050CDC">
      <w:pPr>
        <w:ind w:right="539"/>
        <w:jc w:val="both"/>
        <w:rPr>
          <w:rFonts w:ascii="Palatino Linotype" w:hAnsi="Palatino Linotype" w:cs="Arial"/>
          <w:i/>
          <w:iCs/>
          <w:sz w:val="22"/>
          <w:szCs w:val="22"/>
          <w:lang w:val="es-ES" w:eastAsia="es-ES"/>
        </w:rPr>
      </w:pPr>
    </w:p>
    <w:p w14:paraId="4B06198E" w14:textId="0D6047F5" w:rsidR="00212386" w:rsidRPr="00EB7F94" w:rsidRDefault="00212386" w:rsidP="00212386">
      <w:pPr>
        <w:spacing w:line="360" w:lineRule="auto"/>
        <w:jc w:val="both"/>
        <w:rPr>
          <w:rFonts w:ascii="Palatino Linotype" w:hAnsi="Palatino Linotype" w:cs="Arial"/>
          <w:iCs/>
          <w:color w:val="000000" w:themeColor="text1"/>
          <w:sz w:val="22"/>
          <w:szCs w:val="22"/>
          <w:lang w:val="es-ES" w:eastAsia="es-ES"/>
        </w:rPr>
      </w:pPr>
      <w:r w:rsidRPr="00EB7F94">
        <w:rPr>
          <w:rFonts w:ascii="Palatino Linotype" w:hAnsi="Palatino Linotype" w:cs="Arial"/>
          <w:iCs/>
          <w:color w:val="000000" w:themeColor="text1"/>
          <w:sz w:val="22"/>
          <w:szCs w:val="22"/>
          <w:lang w:val="es-ES" w:eastAsia="es-ES"/>
        </w:rPr>
        <w:t>Archivo electrónico adjunto:</w:t>
      </w:r>
    </w:p>
    <w:p w14:paraId="41B52F7C" w14:textId="5EEB8BB3" w:rsidR="005D43DF" w:rsidRPr="00EB7F94" w:rsidRDefault="005D43DF" w:rsidP="005D43DF">
      <w:pPr>
        <w:jc w:val="both"/>
        <w:rPr>
          <w:rFonts w:ascii="Palatino Linotype" w:hAnsi="Palatino Linotype" w:cs="Arial"/>
          <w:iCs/>
          <w:color w:val="000000" w:themeColor="text1"/>
          <w:sz w:val="22"/>
          <w:szCs w:val="22"/>
          <w:lang w:val="es-ES" w:eastAsia="es-ES"/>
        </w:rPr>
      </w:pPr>
    </w:p>
    <w:p w14:paraId="24173DA1" w14:textId="68648DCE" w:rsidR="00835A7A" w:rsidRPr="00EB7F94" w:rsidRDefault="00E51087" w:rsidP="00E92A7E">
      <w:pPr>
        <w:ind w:left="567" w:right="539"/>
        <w:jc w:val="both"/>
        <w:rPr>
          <w:rFonts w:ascii="Palatino Linotype" w:hAnsi="Palatino Linotype"/>
          <w:b/>
          <w:sz w:val="22"/>
          <w:szCs w:val="22"/>
        </w:rPr>
      </w:pPr>
      <w:hyperlink r:id="rId7" w:tgtFrame="_blank" w:history="1">
        <w:r w:rsidR="00835A7A" w:rsidRPr="00EB7F94">
          <w:rPr>
            <w:rStyle w:val="Hipervnculo"/>
            <w:rFonts w:ascii="Palatino Linotype" w:hAnsi="Palatino Linotype" w:cs="Arial"/>
            <w:b/>
            <w:bCs/>
            <w:color w:val="auto"/>
            <w:sz w:val="22"/>
            <w:szCs w:val="22"/>
            <w:u w:val="none"/>
          </w:rPr>
          <w:t>OFICIO DE FUNCIONES.pdf</w:t>
        </w:r>
      </w:hyperlink>
      <w:r w:rsidR="00835A7A" w:rsidRPr="00EB7F94">
        <w:rPr>
          <w:rFonts w:ascii="Palatino Linotype" w:hAnsi="Palatino Linotype"/>
          <w:b/>
          <w:sz w:val="22"/>
          <w:szCs w:val="22"/>
        </w:rPr>
        <w:t xml:space="preserve">: </w:t>
      </w:r>
      <w:r w:rsidR="00835A7A" w:rsidRPr="00EB7F94">
        <w:rPr>
          <w:rFonts w:ascii="Palatino Linotype" w:hAnsi="Palatino Linotype"/>
          <w:sz w:val="22"/>
          <w:szCs w:val="22"/>
        </w:rPr>
        <w:t>Consistente en los oficios suscritos por la Directora de Administración de Personal, por medio de los cuales, se instruyeron las funciones respectivas a diversas servidoras públicas.</w:t>
      </w:r>
    </w:p>
    <w:p w14:paraId="0538A131" w14:textId="77777777" w:rsidR="00835A7A" w:rsidRPr="00EB7F94" w:rsidRDefault="00835A7A" w:rsidP="00E92A7E">
      <w:pPr>
        <w:ind w:left="567" w:right="539"/>
        <w:jc w:val="both"/>
        <w:rPr>
          <w:rFonts w:ascii="Palatino Linotype" w:hAnsi="Palatino Linotype"/>
          <w:b/>
          <w:sz w:val="22"/>
          <w:szCs w:val="22"/>
        </w:rPr>
      </w:pPr>
    </w:p>
    <w:p w14:paraId="54030EFD" w14:textId="34A59234" w:rsidR="00F8434F" w:rsidRPr="00EB7F94" w:rsidRDefault="00E51087" w:rsidP="00835A7A">
      <w:pPr>
        <w:ind w:left="567" w:right="539"/>
        <w:jc w:val="both"/>
        <w:rPr>
          <w:rFonts w:ascii="Palatino Linotype" w:hAnsi="Palatino Linotype"/>
          <w:sz w:val="22"/>
          <w:szCs w:val="22"/>
        </w:rPr>
      </w:pPr>
      <w:hyperlink r:id="rId8" w:tgtFrame="_blank" w:history="1">
        <w:r w:rsidR="00835A7A" w:rsidRPr="00EB7F94">
          <w:rPr>
            <w:rStyle w:val="Hipervnculo"/>
            <w:rFonts w:ascii="Palatino Linotype" w:hAnsi="Palatino Linotype" w:cs="Arial"/>
            <w:b/>
            <w:bCs/>
            <w:color w:val="auto"/>
            <w:sz w:val="22"/>
            <w:szCs w:val="22"/>
            <w:u w:val="none"/>
          </w:rPr>
          <w:t>250 - C. Ciudadano - Unidad de Transparencia - 0250.pdf</w:t>
        </w:r>
      </w:hyperlink>
      <w:r w:rsidR="00835A7A" w:rsidRPr="00EB7F94">
        <w:rPr>
          <w:rFonts w:ascii="Palatino Linotype" w:hAnsi="Palatino Linotype"/>
          <w:b/>
          <w:sz w:val="22"/>
          <w:szCs w:val="22"/>
        </w:rPr>
        <w:t xml:space="preserve">: </w:t>
      </w:r>
      <w:r w:rsidR="00835A7A" w:rsidRPr="00EB7F94">
        <w:rPr>
          <w:rFonts w:ascii="Palatino Linotype" w:hAnsi="Palatino Linotype"/>
          <w:sz w:val="22"/>
          <w:szCs w:val="22"/>
        </w:rPr>
        <w:t>Oficio suscrito por el Titular de la Unidad de Transparencia, por medio del cual, informó las calificaciones de las evaluaciones de desempeño de 2022 a 2024 de las servidoras públicas referidas en la solicitud de información, asimismo, la información relativa a la Titular de la Dirección de Administración de Personal.</w:t>
      </w:r>
    </w:p>
    <w:p w14:paraId="6D0CC554" w14:textId="77777777" w:rsidR="00372DF4" w:rsidRPr="00EB7F94" w:rsidRDefault="00372DF4" w:rsidP="005D43DF">
      <w:pPr>
        <w:spacing w:line="360" w:lineRule="auto"/>
        <w:ind w:right="539"/>
        <w:jc w:val="both"/>
        <w:rPr>
          <w:rFonts w:ascii="Palatino Linotype" w:hAnsi="Palatino Linotype" w:cs="Arial"/>
          <w:b/>
          <w:bCs/>
          <w:iCs/>
          <w:color w:val="000000" w:themeColor="text1"/>
          <w:sz w:val="22"/>
          <w:szCs w:val="22"/>
          <w:lang w:val="es-ES" w:eastAsia="es-ES"/>
        </w:rPr>
      </w:pPr>
    </w:p>
    <w:p w14:paraId="2736E735" w14:textId="18364217" w:rsidR="00383939" w:rsidRPr="00EB7F94" w:rsidRDefault="00383939" w:rsidP="00383939">
      <w:pPr>
        <w:pStyle w:val="Prrafodelista"/>
        <w:numPr>
          <w:ilvl w:val="0"/>
          <w:numId w:val="1"/>
        </w:numPr>
        <w:spacing w:line="360" w:lineRule="auto"/>
        <w:ind w:left="0" w:firstLine="0"/>
        <w:jc w:val="both"/>
        <w:rPr>
          <w:rFonts w:ascii="Palatino Linotype" w:hAnsi="Palatino Linotype" w:cs="Arial"/>
          <w:szCs w:val="22"/>
          <w:lang w:val="es-ES" w:eastAsia="es-ES"/>
        </w:rPr>
      </w:pPr>
      <w:r w:rsidRPr="00EB7F94">
        <w:rPr>
          <w:rFonts w:ascii="Palatino Linotype" w:eastAsia="Calibri" w:hAnsi="Palatino Linotype" w:cs="Arial"/>
          <w:szCs w:val="22"/>
          <w:lang w:val="es-AR" w:eastAsia="es-ES"/>
        </w:rPr>
        <w:t xml:space="preserve">El </w:t>
      </w:r>
      <w:r w:rsidR="00835A7A" w:rsidRPr="00EB7F94">
        <w:rPr>
          <w:rFonts w:ascii="Palatino Linotype" w:eastAsia="Calibri" w:hAnsi="Palatino Linotype" w:cs="Arial"/>
          <w:szCs w:val="22"/>
          <w:lang w:val="es-AR" w:eastAsia="es-ES"/>
        </w:rPr>
        <w:t>veintiuno de noviembre</w:t>
      </w:r>
      <w:r w:rsidR="00E92A7E" w:rsidRPr="00EB7F94">
        <w:rPr>
          <w:rFonts w:ascii="Palatino Linotype" w:eastAsia="Calibri" w:hAnsi="Palatino Linotype" w:cs="Arial"/>
          <w:szCs w:val="22"/>
          <w:lang w:val="es-AR" w:eastAsia="es-ES"/>
        </w:rPr>
        <w:t xml:space="preserve"> de dos mil veinticuatro</w:t>
      </w:r>
      <w:r w:rsidRPr="00EB7F94">
        <w:rPr>
          <w:rFonts w:ascii="Palatino Linotype" w:hAnsi="Palatino Linotype" w:cs="Arial"/>
          <w:szCs w:val="22"/>
          <w:lang w:val="es-ES" w:eastAsia="es-ES"/>
        </w:rPr>
        <w:t>,</w:t>
      </w:r>
      <w:r w:rsidR="00050CDC" w:rsidRPr="00EB7F94">
        <w:rPr>
          <w:rFonts w:ascii="Palatino Linotype" w:hAnsi="Palatino Linotype" w:cs="Arial"/>
          <w:szCs w:val="22"/>
          <w:lang w:val="es-ES" w:eastAsia="es-ES"/>
        </w:rPr>
        <w:t xml:space="preserve"> el</w:t>
      </w:r>
      <w:r w:rsidRPr="00EB7F94">
        <w:rPr>
          <w:rFonts w:ascii="Palatino Linotype" w:eastAsiaTheme="minorEastAsia" w:hAnsi="Palatino Linotype"/>
          <w:b/>
          <w:szCs w:val="22"/>
          <w:lang w:val="es-ES_tradnl" w:eastAsia="es-ES"/>
        </w:rPr>
        <w:t xml:space="preserve"> RECURRENTE</w:t>
      </w:r>
      <w:r w:rsidRPr="00EB7F94">
        <w:rPr>
          <w:rFonts w:ascii="Palatino Linotype" w:hAnsi="Palatino Linotype" w:cs="Arial"/>
          <w:szCs w:val="22"/>
          <w:lang w:val="es-ES" w:eastAsia="es-ES"/>
        </w:rPr>
        <w:t xml:space="preserve"> interpuso el recurso de revisión, en contra de la respuesta, señalando como:</w:t>
      </w:r>
    </w:p>
    <w:p w14:paraId="0050AF34" w14:textId="77777777" w:rsidR="00383939" w:rsidRPr="00EB7F94" w:rsidRDefault="00383939" w:rsidP="00383939">
      <w:pPr>
        <w:pStyle w:val="Prrafodelista"/>
        <w:spacing w:line="360" w:lineRule="auto"/>
        <w:ind w:left="0"/>
        <w:jc w:val="both"/>
        <w:rPr>
          <w:rFonts w:ascii="Palatino Linotype" w:hAnsi="Palatino Linotype" w:cs="Arial"/>
          <w:szCs w:val="22"/>
          <w:lang w:val="es-ES" w:eastAsia="es-ES"/>
        </w:rPr>
      </w:pPr>
    </w:p>
    <w:p w14:paraId="5FF66BED" w14:textId="0283A41C" w:rsidR="00383939" w:rsidRPr="00EB7F94" w:rsidRDefault="00383939" w:rsidP="005D43DF">
      <w:pPr>
        <w:ind w:left="567" w:right="567"/>
        <w:contextualSpacing/>
        <w:jc w:val="both"/>
        <w:rPr>
          <w:rFonts w:ascii="Palatino Linotype" w:hAnsi="Palatino Linotype"/>
          <w:i/>
          <w:color w:val="000000"/>
          <w:sz w:val="22"/>
          <w:szCs w:val="22"/>
        </w:rPr>
      </w:pPr>
      <w:r w:rsidRPr="00EB7F94">
        <w:rPr>
          <w:rFonts w:ascii="Palatino Linotype" w:eastAsiaTheme="minorEastAsia" w:hAnsi="Palatino Linotype"/>
          <w:b/>
          <w:sz w:val="22"/>
          <w:szCs w:val="22"/>
          <w:lang w:val="es-ES_tradnl" w:eastAsia="es-ES"/>
        </w:rPr>
        <w:lastRenderedPageBreak/>
        <w:t>Acto impugnado</w:t>
      </w:r>
      <w:r w:rsidRPr="00EB7F94">
        <w:rPr>
          <w:rFonts w:ascii="Palatino Linotype" w:eastAsiaTheme="minorEastAsia" w:hAnsi="Palatino Linotype"/>
          <w:b/>
          <w:i/>
          <w:sz w:val="22"/>
          <w:szCs w:val="22"/>
          <w:lang w:val="es-ES_tradnl" w:eastAsia="es-ES"/>
        </w:rPr>
        <w:t>:</w:t>
      </w:r>
      <w:r w:rsidRPr="00EB7F94">
        <w:rPr>
          <w:rFonts w:ascii="Palatino Linotype" w:hAnsi="Palatino Linotype"/>
          <w:i/>
          <w:color w:val="000000"/>
          <w:sz w:val="22"/>
          <w:szCs w:val="22"/>
        </w:rPr>
        <w:t xml:space="preserve"> “</w:t>
      </w:r>
      <w:r w:rsidR="00835A7A" w:rsidRPr="00EB7F94">
        <w:rPr>
          <w:rFonts w:ascii="Palatino Linotype" w:hAnsi="Palatino Linotype"/>
          <w:i/>
          <w:color w:val="000000"/>
          <w:sz w:val="22"/>
          <w:szCs w:val="22"/>
        </w:rPr>
        <w:t>Solicitud folio 00250/BIENESTAR/IP/2024, mismo que se respondió a través del oficio SBIENESTAREDOMEX/UT/250/2024 de fecha 20 de noviembre de 2024.</w:t>
      </w:r>
      <w:r w:rsidRPr="00EB7F94">
        <w:rPr>
          <w:rFonts w:ascii="Palatino Linotype" w:hAnsi="Palatino Linotype"/>
          <w:i/>
          <w:color w:val="000000"/>
          <w:sz w:val="22"/>
          <w:szCs w:val="22"/>
        </w:rPr>
        <w:t>" (Sic)</w:t>
      </w:r>
    </w:p>
    <w:p w14:paraId="61F7E733" w14:textId="77777777" w:rsidR="005D43DF" w:rsidRPr="00EB7F94" w:rsidRDefault="005D43DF" w:rsidP="005D43DF">
      <w:pPr>
        <w:ind w:left="567" w:right="567"/>
        <w:contextualSpacing/>
        <w:jc w:val="both"/>
        <w:rPr>
          <w:rFonts w:ascii="Palatino Linotype" w:hAnsi="Palatino Linotype"/>
          <w:i/>
          <w:color w:val="000000"/>
          <w:sz w:val="22"/>
          <w:szCs w:val="22"/>
        </w:rPr>
      </w:pPr>
    </w:p>
    <w:p w14:paraId="0B974405" w14:textId="0655AB37" w:rsidR="00383939" w:rsidRPr="00EB7F94" w:rsidRDefault="00383939" w:rsidP="005D43DF">
      <w:pPr>
        <w:ind w:left="567" w:right="567"/>
        <w:contextualSpacing/>
        <w:jc w:val="both"/>
        <w:rPr>
          <w:rFonts w:ascii="Palatino Linotype" w:hAnsi="Palatino Linotype"/>
          <w:i/>
          <w:color w:val="000000"/>
          <w:sz w:val="22"/>
          <w:szCs w:val="22"/>
        </w:rPr>
      </w:pPr>
      <w:r w:rsidRPr="00EB7F94">
        <w:rPr>
          <w:rFonts w:ascii="Palatino Linotype" w:eastAsiaTheme="minorEastAsia" w:hAnsi="Palatino Linotype"/>
          <w:b/>
          <w:sz w:val="22"/>
          <w:szCs w:val="22"/>
          <w:lang w:val="es-ES_tradnl" w:eastAsia="es-ES"/>
        </w:rPr>
        <w:t>Razones o Motivos de inconformidad</w:t>
      </w:r>
      <w:r w:rsidR="00A12546" w:rsidRPr="00EB7F94">
        <w:rPr>
          <w:rFonts w:ascii="Palatino Linotype" w:eastAsiaTheme="minorEastAsia" w:hAnsi="Palatino Linotype"/>
          <w:b/>
          <w:sz w:val="22"/>
          <w:szCs w:val="22"/>
          <w:lang w:val="es-ES_tradnl" w:eastAsia="es-ES"/>
        </w:rPr>
        <w:t xml:space="preserve">: </w:t>
      </w:r>
      <w:r w:rsidR="00A12546" w:rsidRPr="00EB7F94">
        <w:rPr>
          <w:rFonts w:ascii="Palatino Linotype" w:eastAsiaTheme="minorEastAsia" w:hAnsi="Palatino Linotype"/>
          <w:i/>
          <w:iCs/>
          <w:sz w:val="22"/>
          <w:szCs w:val="22"/>
          <w:lang w:val="es-ES_tradnl" w:eastAsia="es-ES"/>
        </w:rPr>
        <w:t>“</w:t>
      </w:r>
      <w:r w:rsidR="00835A7A" w:rsidRPr="00EB7F94">
        <w:rPr>
          <w:rFonts w:ascii="Palatino Linotype" w:hAnsi="Palatino Linotype"/>
          <w:i/>
          <w:color w:val="000000"/>
          <w:sz w:val="22"/>
          <w:szCs w:val="22"/>
        </w:rPr>
        <w:t>El cuadro donde se enuncian las evaluaciones del desempeño de las servidoras públicas citadas en dicha solicitud no es claro. Solicito se me explique por qué aparece un guion, donde debería existir una calificación (0.00 a 10.00), considerando que el párrafo que le antecede refiere que dicha información consta en los archivos físicos y electrónicos; no obstante, las calificaciones de desempeño se encuentran (todas las solicitadas) en el Sistema Integral para la Gestión Administrativa del Personal, a excepción de la relativa al segundo semestre del año en curso. La omisión de información puede considerarse como ocultamiento de información ya que no existe motivo para no hacerla pública. En ese sentido, y como se afirma en su respuesta que se está cumpliendo con los requisitos de la convocatoria mismos que son: antigüedad de dos años en la Unidad Administrativa, Evaluación sobresaliente del desempeño, situación que no coincide con las evaluaciones del desempeño que se muestran en el cuadro que enviaron de la C. Karen Dávila. por lo que, si no se cumple ese criterio, así como la C. Estela Mejía tampoco cumple con el criterio de los dos años, estarían en la misma condición de merecer el premio, sin considerar y sin menospreciar el grado académico de ésta última, las capacitaciones, así como que no cuenta con incapacidades, no ha solicitado días económicos, y tampoco cuenta con actas administrativas. Es importante mencionar que el trabajo de la C. Karen Dávila no es lo que la P.L.C. Silvia Reyes refiere, muestra de ello son los mensajes que escribe al grupo de WhatsApp de la D.A.P.,donde se evidencia su deficiente ortografía y redacción, reflejo de la inexistente capacitación, compromiso y responsabilidad con sus funciones. En ese mismo sentido solicito me aclare quienes son de acuerdo a los lineamientos de la convocatoria sus dos pruebas testimoniales. Por lo que, de no cumplir ninguna servidora pública con los requisitos expuestos, ¿será correcto que ese premio se entregue? Así mismo solicito se me aclare porque refiere que no existe registro de capacitaciones, si las servidoras públicas acaban de entregar constancias de capacitación para concurso escalafonario, recalcando que de acuerdo al Procedimiento:110 Expediente de Personal, norma 20301/110-01 del Manual de Normas y Procedimientos de Desarrollo y Administración de Personal, que a la letra dice: Las dependencias del sector central del Poder Ejecutivo, así como sus órganos desconcentrados serán responsables de conformar y mantener actualizados los expedientes de los servidores públicos que estén adscritos a las mismas. En virtud de lo anterior, si a sus manos llegaron esos documentos, ¿por qué no obran copias en sus expedientes?</w:t>
      </w:r>
      <w:r w:rsidR="00A12546" w:rsidRPr="00EB7F94">
        <w:rPr>
          <w:rFonts w:ascii="Palatino Linotype" w:hAnsi="Palatino Linotype"/>
          <w:i/>
          <w:iCs/>
          <w:color w:val="000000"/>
          <w:sz w:val="22"/>
          <w:szCs w:val="22"/>
        </w:rPr>
        <w:t>” (Sic)</w:t>
      </w:r>
    </w:p>
    <w:p w14:paraId="4519389A" w14:textId="77777777" w:rsidR="00383939" w:rsidRPr="00EB7F94" w:rsidRDefault="00383939" w:rsidP="00383939">
      <w:pPr>
        <w:spacing w:line="360" w:lineRule="auto"/>
        <w:jc w:val="both"/>
        <w:rPr>
          <w:rFonts w:ascii="Palatino Linotype" w:hAnsi="Palatino Linotype" w:cs="Arial"/>
          <w:sz w:val="22"/>
          <w:szCs w:val="22"/>
          <w:lang w:val="es-ES" w:eastAsia="es-ES"/>
        </w:rPr>
      </w:pPr>
    </w:p>
    <w:p w14:paraId="739D3C0A" w14:textId="77777777" w:rsidR="00383939" w:rsidRPr="00EB7F94" w:rsidRDefault="00383939" w:rsidP="005D43DF">
      <w:pPr>
        <w:pStyle w:val="Prrafodelista"/>
        <w:numPr>
          <w:ilvl w:val="0"/>
          <w:numId w:val="1"/>
        </w:numPr>
        <w:spacing w:line="360" w:lineRule="auto"/>
        <w:ind w:left="0" w:firstLine="0"/>
        <w:jc w:val="both"/>
        <w:rPr>
          <w:rFonts w:ascii="Palatino Linotype" w:hAnsi="Palatino Linotype" w:cs="Arial"/>
          <w:szCs w:val="22"/>
          <w:lang w:val="es-ES" w:eastAsia="es-ES"/>
        </w:rPr>
      </w:pPr>
      <w:r w:rsidRPr="00EB7F94">
        <w:rPr>
          <w:rFonts w:ascii="Palatino Linotype" w:hAnsi="Palatino Linotype" w:cs="Arial"/>
          <w:szCs w:val="22"/>
          <w:lang w:val="es-ES" w:eastAsia="es-ES"/>
        </w:rPr>
        <w:t xml:space="preserve">Se registró el recurso de revisión bajo el número de expediente </w:t>
      </w:r>
      <w:r w:rsidRPr="00EB7F94">
        <w:rPr>
          <w:rFonts w:ascii="Palatino Linotype" w:eastAsiaTheme="minorEastAsia" w:hAnsi="Palatino Linotype" w:cs="Arial"/>
          <w:bCs/>
          <w:szCs w:val="22"/>
          <w:lang w:val="es-ES_tradnl" w:eastAsia="es-ES"/>
        </w:rPr>
        <w:t xml:space="preserve">al rubro indicado, asimismo con fundamento en lo dispuesto por el </w:t>
      </w:r>
      <w:r w:rsidRPr="00EB7F94">
        <w:rPr>
          <w:rFonts w:ascii="Palatino Linotype" w:eastAsia="Calibri" w:hAnsi="Palatino Linotype" w:cs="Arial"/>
          <w:szCs w:val="22"/>
          <w:lang w:val="es-ES" w:eastAsia="es-ES"/>
        </w:rPr>
        <w:t xml:space="preserve">artículo 185 fracción I de la </w:t>
      </w:r>
      <w:r w:rsidRPr="00EB7F94">
        <w:rPr>
          <w:rFonts w:ascii="Palatino Linotype" w:eastAsia="Calibri" w:hAnsi="Palatino Linotype" w:cs="Arial"/>
          <w:b/>
          <w:szCs w:val="22"/>
          <w:lang w:val="es-ES" w:eastAsia="es-ES"/>
        </w:rPr>
        <w:t xml:space="preserve">Ley de </w:t>
      </w:r>
      <w:r w:rsidRPr="00EB7F94">
        <w:rPr>
          <w:rFonts w:ascii="Palatino Linotype" w:eastAsia="Calibri" w:hAnsi="Palatino Linotype" w:cs="Arial"/>
          <w:b/>
          <w:szCs w:val="22"/>
          <w:lang w:val="es-ES" w:eastAsia="es-ES"/>
        </w:rPr>
        <w:lastRenderedPageBreak/>
        <w:t xml:space="preserve">Transparencia y Acceso a la Información Pública del Estado de México y Municipios </w:t>
      </w:r>
      <w:r w:rsidRPr="00EB7F94">
        <w:rPr>
          <w:rFonts w:ascii="Palatino Linotype" w:hAnsi="Palatino Linotype" w:cs="Arial"/>
          <w:szCs w:val="22"/>
          <w:lang w:val="es-ES" w:eastAsia="es-ES"/>
        </w:rPr>
        <w:t xml:space="preserve">se turnó a la </w:t>
      </w:r>
      <w:r w:rsidRPr="00EB7F94">
        <w:rPr>
          <w:rFonts w:ascii="Palatino Linotype" w:hAnsi="Palatino Linotype" w:cs="Arial"/>
          <w:b/>
          <w:szCs w:val="22"/>
          <w:lang w:val="es-ES" w:eastAsia="es-ES"/>
        </w:rPr>
        <w:t xml:space="preserve">Comisionada María del Rosario Mejía Ayala, </w:t>
      </w:r>
      <w:r w:rsidRPr="00EB7F94">
        <w:rPr>
          <w:rFonts w:ascii="Palatino Linotype" w:hAnsi="Palatino Linotype" w:cs="Arial"/>
          <w:szCs w:val="22"/>
          <w:lang w:val="es-ES" w:eastAsia="es-ES"/>
        </w:rPr>
        <w:t xml:space="preserve">con el objeto de </w:t>
      </w:r>
      <w:r w:rsidRPr="00EB7F94">
        <w:rPr>
          <w:rFonts w:ascii="Palatino Linotype" w:hAnsi="Palatino Linotype" w:cs="Arial"/>
          <w:szCs w:val="22"/>
          <w:lang w:eastAsia="es-ES"/>
        </w:rPr>
        <w:t xml:space="preserve">su análisis. </w:t>
      </w:r>
    </w:p>
    <w:p w14:paraId="72155280" w14:textId="77777777" w:rsidR="00383939" w:rsidRPr="00EB7F94" w:rsidRDefault="00383939" w:rsidP="005D43DF">
      <w:pPr>
        <w:pStyle w:val="Prrafodelista"/>
        <w:spacing w:line="360" w:lineRule="auto"/>
        <w:ind w:left="0"/>
        <w:jc w:val="both"/>
        <w:rPr>
          <w:rFonts w:ascii="Palatino Linotype" w:hAnsi="Palatino Linotype" w:cs="Arial"/>
          <w:szCs w:val="22"/>
          <w:lang w:val="es-ES" w:eastAsia="es-ES"/>
        </w:rPr>
      </w:pPr>
    </w:p>
    <w:p w14:paraId="370AF6E8" w14:textId="1DE2A229" w:rsidR="00A12546" w:rsidRPr="00EB7F94" w:rsidRDefault="005D43DF" w:rsidP="005D43DF">
      <w:pPr>
        <w:pStyle w:val="Prrafodelista"/>
        <w:numPr>
          <w:ilvl w:val="0"/>
          <w:numId w:val="1"/>
        </w:numPr>
        <w:spacing w:line="360" w:lineRule="auto"/>
        <w:ind w:left="0" w:firstLine="0"/>
        <w:jc w:val="both"/>
        <w:rPr>
          <w:rFonts w:ascii="Palatino Linotype" w:hAnsi="Palatino Linotype" w:cs="Arial"/>
          <w:szCs w:val="22"/>
          <w:lang w:val="es-ES" w:eastAsia="es-ES"/>
        </w:rPr>
      </w:pPr>
      <w:r w:rsidRPr="00EB7F94">
        <w:rPr>
          <w:rFonts w:ascii="Palatino Linotype" w:eastAsia="Calibri" w:hAnsi="Palatino Linotype" w:cs="Arial"/>
          <w:szCs w:val="22"/>
          <w:lang w:val="es-ES" w:eastAsia="es-ES"/>
        </w:rPr>
        <w:t xml:space="preserve">La </w:t>
      </w:r>
      <w:r w:rsidR="00383939" w:rsidRPr="00EB7F94">
        <w:rPr>
          <w:rFonts w:ascii="Palatino Linotype" w:eastAsia="Calibri" w:hAnsi="Palatino Linotype" w:cs="Arial"/>
          <w:szCs w:val="22"/>
          <w:lang w:val="es-ES" w:eastAsia="es-ES"/>
        </w:rPr>
        <w:t>Comisionad</w:t>
      </w:r>
      <w:r w:rsidRPr="00EB7F94">
        <w:rPr>
          <w:rFonts w:ascii="Palatino Linotype" w:eastAsia="Calibri" w:hAnsi="Palatino Linotype" w:cs="Arial"/>
          <w:szCs w:val="22"/>
          <w:lang w:val="es-ES" w:eastAsia="es-ES"/>
        </w:rPr>
        <w:t>a</w:t>
      </w:r>
      <w:r w:rsidR="00383939" w:rsidRPr="00EB7F94">
        <w:rPr>
          <w:rFonts w:ascii="Palatino Linotype" w:eastAsia="Calibri" w:hAnsi="Palatino Linotype" w:cs="Arial"/>
          <w:szCs w:val="22"/>
          <w:lang w:val="es-ES" w:eastAsia="es-ES"/>
        </w:rPr>
        <w:t xml:space="preserve"> Ponente con fundamento en lo dispuesto por el artículo 185 fracción II de la ley de la materia, a través del acuerdo de admisión de</w:t>
      </w:r>
      <w:r w:rsidR="002969F4" w:rsidRPr="00EB7F94">
        <w:rPr>
          <w:rFonts w:ascii="Palatino Linotype" w:eastAsia="Calibri" w:hAnsi="Palatino Linotype" w:cs="Arial"/>
          <w:szCs w:val="22"/>
          <w:lang w:val="es-ES" w:eastAsia="es-ES"/>
        </w:rPr>
        <w:t xml:space="preserve">l </w:t>
      </w:r>
      <w:r w:rsidR="00835A7A" w:rsidRPr="00EB7F94">
        <w:rPr>
          <w:rFonts w:ascii="Palatino Linotype" w:eastAsia="Calibri" w:hAnsi="Palatino Linotype" w:cs="Arial"/>
          <w:szCs w:val="22"/>
          <w:lang w:val="es-ES" w:eastAsia="es-ES"/>
        </w:rPr>
        <w:t>veintisiete de noviembre</w:t>
      </w:r>
      <w:r w:rsidR="00E92A7E" w:rsidRPr="00EB7F94">
        <w:rPr>
          <w:rFonts w:ascii="Palatino Linotype" w:eastAsia="Calibri" w:hAnsi="Palatino Linotype" w:cs="Arial"/>
          <w:szCs w:val="22"/>
          <w:lang w:val="es-ES" w:eastAsia="es-ES"/>
        </w:rPr>
        <w:t xml:space="preserve"> de dos mil veinticuatro</w:t>
      </w:r>
      <w:r w:rsidR="00383939" w:rsidRPr="00EB7F94">
        <w:rPr>
          <w:rFonts w:ascii="Palatino Linotype" w:eastAsia="Calibri" w:hAnsi="Palatino Linotype" w:cs="Arial"/>
          <w:szCs w:val="22"/>
          <w:lang w:val="es-ES" w:eastAsia="es-ES"/>
        </w:rPr>
        <w:t xml:space="preserve">, puso a disposición de las partes el expediente electrónico </w:t>
      </w:r>
      <w:r w:rsidR="00383939" w:rsidRPr="00EB7F94">
        <w:rPr>
          <w:rFonts w:ascii="Palatino Linotype" w:eastAsia="Calibri" w:hAnsi="Palatino Linotype" w:cs="Arial"/>
          <w:szCs w:val="22"/>
          <w:lang w:val="es-ES_tradnl" w:eastAsia="es-ES"/>
        </w:rPr>
        <w:t xml:space="preserve">vía </w:t>
      </w:r>
      <w:r w:rsidR="00383939" w:rsidRPr="00EB7F94">
        <w:rPr>
          <w:rFonts w:ascii="Palatino Linotype" w:eastAsia="Calibri" w:hAnsi="Palatino Linotype" w:cs="Arial"/>
          <w:b/>
          <w:szCs w:val="22"/>
          <w:lang w:val="es-ES" w:eastAsia="es-ES"/>
        </w:rPr>
        <w:t xml:space="preserve">SAIMEX </w:t>
      </w:r>
      <w:r w:rsidR="00383939" w:rsidRPr="00EB7F94">
        <w:rPr>
          <w:rFonts w:ascii="Palatino Linotype" w:eastAsia="Calibri" w:hAnsi="Palatino Linotype" w:cs="Arial"/>
          <w:szCs w:val="22"/>
          <w:lang w:val="es-ES" w:eastAsia="es-ES"/>
        </w:rPr>
        <w:t xml:space="preserve">a efecto de que en un plazo máximo de siete días manifestaran lo que a derecho convinieran, ofrecieran pruebas y alegatos según corresponda al caso concreto, de esta forma para que el </w:t>
      </w:r>
      <w:r w:rsidR="00383939" w:rsidRPr="00EB7F94">
        <w:rPr>
          <w:rFonts w:ascii="Palatino Linotype" w:eastAsia="Calibri" w:hAnsi="Palatino Linotype" w:cs="Arial"/>
          <w:b/>
          <w:szCs w:val="22"/>
          <w:lang w:val="es-ES" w:eastAsia="es-ES"/>
        </w:rPr>
        <w:t>SUJETO OBLIGADO</w:t>
      </w:r>
      <w:r w:rsidR="00383939" w:rsidRPr="00EB7F94">
        <w:rPr>
          <w:rFonts w:ascii="Palatino Linotype" w:eastAsia="Calibri" w:hAnsi="Palatino Linotype" w:cs="Arial"/>
          <w:szCs w:val="22"/>
          <w:lang w:val="es-ES" w:eastAsia="es-ES"/>
        </w:rPr>
        <w:t xml:space="preserve"> presentara el informe justificado procedente. </w:t>
      </w:r>
    </w:p>
    <w:p w14:paraId="3AAEE63E" w14:textId="77777777" w:rsidR="00A12546" w:rsidRPr="00EB7F94" w:rsidRDefault="00A12546" w:rsidP="005D43DF">
      <w:pPr>
        <w:spacing w:line="360" w:lineRule="auto"/>
        <w:rPr>
          <w:rFonts w:ascii="Palatino Linotype" w:eastAsia="Calibri" w:hAnsi="Palatino Linotype" w:cs="Arial"/>
          <w:sz w:val="22"/>
          <w:szCs w:val="22"/>
          <w:lang w:val="es-ES" w:eastAsia="es-ES"/>
        </w:rPr>
      </w:pPr>
    </w:p>
    <w:p w14:paraId="5468D2EF" w14:textId="77777777" w:rsidR="00E92A7E" w:rsidRPr="00EB7F94" w:rsidRDefault="00383939" w:rsidP="005D43DF">
      <w:pPr>
        <w:pStyle w:val="Prrafodelista"/>
        <w:numPr>
          <w:ilvl w:val="0"/>
          <w:numId w:val="1"/>
        </w:numPr>
        <w:spacing w:line="360" w:lineRule="auto"/>
        <w:ind w:left="0" w:firstLine="0"/>
        <w:jc w:val="both"/>
        <w:rPr>
          <w:rFonts w:ascii="Palatino Linotype" w:hAnsi="Palatino Linotype" w:cs="Arial"/>
          <w:szCs w:val="22"/>
          <w:lang w:val="es-ES" w:eastAsia="es-ES"/>
        </w:rPr>
      </w:pPr>
      <w:r w:rsidRPr="00EB7F94">
        <w:rPr>
          <w:rFonts w:ascii="Palatino Linotype" w:eastAsia="Calibri" w:hAnsi="Palatino Linotype" w:cs="Arial"/>
          <w:szCs w:val="22"/>
          <w:lang w:val="es-ES" w:eastAsia="es-ES"/>
        </w:rPr>
        <w:t xml:space="preserve">De las constancias que obran en el expediente electrónico SAIMEX el </w:t>
      </w:r>
      <w:r w:rsidR="002969F4" w:rsidRPr="00EB7F94">
        <w:rPr>
          <w:rFonts w:ascii="Palatino Linotype" w:eastAsia="Calibri" w:hAnsi="Palatino Linotype" w:cs="Arial"/>
          <w:b/>
          <w:bCs/>
          <w:szCs w:val="22"/>
          <w:lang w:val="es-ES" w:eastAsia="es-ES"/>
        </w:rPr>
        <w:t>RECURRENTE</w:t>
      </w:r>
      <w:r w:rsidRPr="00EB7F94">
        <w:rPr>
          <w:rFonts w:ascii="Palatino Linotype" w:eastAsia="Calibri" w:hAnsi="Palatino Linotype" w:cs="Arial"/>
          <w:szCs w:val="22"/>
          <w:lang w:val="es-ES" w:eastAsia="es-ES"/>
        </w:rPr>
        <w:t xml:space="preserve"> no realizó manifestaciones</w:t>
      </w:r>
      <w:r w:rsidR="00E92A7E" w:rsidRPr="00EB7F94">
        <w:rPr>
          <w:rFonts w:ascii="Palatino Linotype" w:hAnsi="Palatino Linotype" w:cs="Arial"/>
          <w:szCs w:val="22"/>
          <w:lang w:val="es-ES" w:eastAsia="es-ES"/>
        </w:rPr>
        <w:t>.</w:t>
      </w:r>
    </w:p>
    <w:p w14:paraId="0C4D1099" w14:textId="77777777" w:rsidR="00E92A7E" w:rsidRPr="00EB7F94" w:rsidRDefault="00E92A7E" w:rsidP="00E92A7E">
      <w:pPr>
        <w:pStyle w:val="Prrafodelista"/>
        <w:rPr>
          <w:rFonts w:ascii="Palatino Linotype" w:eastAsia="Calibri" w:hAnsi="Palatino Linotype" w:cs="Arial"/>
          <w:szCs w:val="22"/>
          <w:lang w:val="es-ES" w:eastAsia="es-ES"/>
        </w:rPr>
      </w:pPr>
    </w:p>
    <w:p w14:paraId="434EB59A" w14:textId="05A204D8" w:rsidR="00E21F81" w:rsidRPr="00EB7F94" w:rsidRDefault="00E92A7E" w:rsidP="005D43DF">
      <w:pPr>
        <w:pStyle w:val="Prrafodelista"/>
        <w:numPr>
          <w:ilvl w:val="0"/>
          <w:numId w:val="1"/>
        </w:numPr>
        <w:spacing w:line="360" w:lineRule="auto"/>
        <w:ind w:left="0" w:firstLine="0"/>
        <w:jc w:val="both"/>
        <w:rPr>
          <w:rFonts w:ascii="Palatino Linotype" w:hAnsi="Palatino Linotype" w:cs="Arial"/>
          <w:szCs w:val="22"/>
          <w:lang w:val="es-ES" w:eastAsia="es-ES"/>
        </w:rPr>
      </w:pPr>
      <w:r w:rsidRPr="00EB7F94">
        <w:rPr>
          <w:rFonts w:ascii="Palatino Linotype" w:eastAsia="Calibri" w:hAnsi="Palatino Linotype" w:cs="Arial"/>
          <w:szCs w:val="22"/>
          <w:lang w:val="es-ES" w:eastAsia="es-ES"/>
        </w:rPr>
        <w:t>P</w:t>
      </w:r>
      <w:r w:rsidR="00383939" w:rsidRPr="00EB7F94">
        <w:rPr>
          <w:rFonts w:ascii="Palatino Linotype" w:eastAsia="Calibri" w:hAnsi="Palatino Linotype" w:cs="Arial"/>
          <w:szCs w:val="22"/>
          <w:lang w:val="es-ES" w:eastAsia="es-ES"/>
        </w:rPr>
        <w:t>or su parte,</w:t>
      </w:r>
      <w:r w:rsidR="004757E3" w:rsidRPr="00EB7F94">
        <w:rPr>
          <w:rFonts w:ascii="Palatino Linotype" w:eastAsia="Calibri" w:hAnsi="Palatino Linotype" w:cs="Arial"/>
          <w:szCs w:val="22"/>
          <w:lang w:val="es-ES" w:eastAsia="es-ES"/>
        </w:rPr>
        <w:t xml:space="preserve"> el</w:t>
      </w:r>
      <w:r w:rsidR="00383939" w:rsidRPr="00EB7F94">
        <w:rPr>
          <w:rFonts w:ascii="Palatino Linotype" w:eastAsia="Calibri" w:hAnsi="Palatino Linotype" w:cs="Arial"/>
          <w:szCs w:val="22"/>
          <w:lang w:val="es-ES" w:eastAsia="es-ES"/>
        </w:rPr>
        <w:t xml:space="preserve"> </w:t>
      </w:r>
      <w:r w:rsidR="00835A7A" w:rsidRPr="00EB7F94">
        <w:rPr>
          <w:rFonts w:ascii="Palatino Linotype" w:eastAsia="Calibri" w:hAnsi="Palatino Linotype" w:cs="Arial"/>
          <w:szCs w:val="22"/>
          <w:lang w:val="es-ES" w:eastAsia="es-ES"/>
        </w:rPr>
        <w:t>veintiuno de diciembre</w:t>
      </w:r>
      <w:r w:rsidRPr="00EB7F94">
        <w:rPr>
          <w:rFonts w:ascii="Palatino Linotype" w:eastAsia="Calibri" w:hAnsi="Palatino Linotype" w:cs="Arial"/>
          <w:szCs w:val="22"/>
          <w:lang w:val="es-ES" w:eastAsia="es-ES"/>
        </w:rPr>
        <w:t xml:space="preserve"> de dos mil veinticuatro, el </w:t>
      </w:r>
      <w:r w:rsidR="002969F4" w:rsidRPr="00EB7F94">
        <w:rPr>
          <w:rFonts w:ascii="Palatino Linotype" w:eastAsia="Calibri" w:hAnsi="Palatino Linotype" w:cs="Arial"/>
          <w:b/>
          <w:bCs/>
          <w:color w:val="000000" w:themeColor="text1"/>
          <w:szCs w:val="22"/>
          <w:lang w:val="es-ES" w:eastAsia="es-ES"/>
        </w:rPr>
        <w:t>SUJETO OBLIGADO</w:t>
      </w:r>
      <w:r w:rsidR="004757E3" w:rsidRPr="00EB7F94">
        <w:rPr>
          <w:rFonts w:ascii="Palatino Linotype" w:eastAsia="Calibri" w:hAnsi="Palatino Linotype" w:cs="Arial"/>
          <w:color w:val="000000" w:themeColor="text1"/>
          <w:szCs w:val="22"/>
          <w:lang w:val="es-ES" w:eastAsia="es-ES"/>
        </w:rPr>
        <w:t xml:space="preserve"> rindió el info</w:t>
      </w:r>
      <w:r w:rsidRPr="00EB7F94">
        <w:rPr>
          <w:rFonts w:ascii="Palatino Linotype" w:eastAsia="Calibri" w:hAnsi="Palatino Linotype" w:cs="Arial"/>
          <w:color w:val="000000" w:themeColor="text1"/>
          <w:szCs w:val="22"/>
          <w:lang w:val="es-ES" w:eastAsia="es-ES"/>
        </w:rPr>
        <w:t xml:space="preserve">rme justificado correspondiente, por medio </w:t>
      </w:r>
      <w:r w:rsidR="00835A7A" w:rsidRPr="00EB7F94">
        <w:rPr>
          <w:rFonts w:ascii="Palatino Linotype" w:eastAsia="Calibri" w:hAnsi="Palatino Linotype" w:cs="Arial"/>
          <w:color w:val="000000" w:themeColor="text1"/>
          <w:szCs w:val="22"/>
          <w:lang w:val="es-ES" w:eastAsia="es-ES"/>
        </w:rPr>
        <w:t xml:space="preserve">del archivo electrónico </w:t>
      </w:r>
      <w:r w:rsidR="00835A7A" w:rsidRPr="00EB7F94">
        <w:rPr>
          <w:rFonts w:ascii="Palatino Linotype" w:eastAsia="Calibri" w:hAnsi="Palatino Linotype" w:cs="Arial"/>
          <w:b/>
          <w:color w:val="000000" w:themeColor="text1"/>
          <w:szCs w:val="22"/>
          <w:lang w:val="es-ES" w:eastAsia="es-ES"/>
        </w:rPr>
        <w:t>denominado 250 – C. Ciudadano –</w:t>
      </w:r>
      <w:r w:rsidR="001268EE" w:rsidRPr="00EB7F94">
        <w:rPr>
          <w:rFonts w:ascii="Palatino Linotype" w:eastAsia="Calibri" w:hAnsi="Palatino Linotype" w:cs="Arial"/>
          <w:b/>
          <w:color w:val="000000" w:themeColor="text1"/>
          <w:szCs w:val="22"/>
          <w:lang w:val="es-ES" w:eastAsia="es-ES"/>
        </w:rPr>
        <w:t xml:space="preserve"> Informe Justificado – RR – 07288 – Unidad de Transparencia - 0250</w:t>
      </w:r>
      <w:r w:rsidR="00835A7A" w:rsidRPr="00EB7F94">
        <w:rPr>
          <w:rFonts w:ascii="Palatino Linotype" w:eastAsia="Calibri" w:hAnsi="Palatino Linotype" w:cs="Arial"/>
          <w:b/>
          <w:color w:val="000000" w:themeColor="text1"/>
          <w:szCs w:val="22"/>
          <w:lang w:val="es-ES" w:eastAsia="es-ES"/>
        </w:rPr>
        <w:t>,</w:t>
      </w:r>
      <w:r w:rsidR="00835A7A" w:rsidRPr="00EB7F94">
        <w:rPr>
          <w:rFonts w:ascii="Palatino Linotype" w:eastAsia="Calibri" w:hAnsi="Palatino Linotype" w:cs="Arial"/>
          <w:color w:val="000000" w:themeColor="text1"/>
          <w:szCs w:val="22"/>
          <w:lang w:val="es-ES" w:eastAsia="es-ES"/>
        </w:rPr>
        <w:t xml:space="preserve"> donde </w:t>
      </w:r>
      <w:r w:rsidR="00835A7A" w:rsidRPr="00EB7F94">
        <w:rPr>
          <w:rFonts w:ascii="Palatino Linotype" w:eastAsia="Calibri" w:hAnsi="Palatino Linotype" w:cs="Arial"/>
          <w:b/>
          <w:color w:val="000000" w:themeColor="text1"/>
          <w:szCs w:val="22"/>
          <w:lang w:val="es-ES" w:eastAsia="es-ES"/>
        </w:rPr>
        <w:t>ratificó la respuesta.</w:t>
      </w:r>
    </w:p>
    <w:p w14:paraId="4FF2D7AC" w14:textId="77777777" w:rsidR="000A5A70" w:rsidRPr="00EB7F94" w:rsidRDefault="000A5A70" w:rsidP="000A5A70">
      <w:pPr>
        <w:pStyle w:val="Prrafodelista"/>
        <w:spacing w:line="360" w:lineRule="auto"/>
        <w:ind w:left="0"/>
        <w:jc w:val="both"/>
        <w:rPr>
          <w:rFonts w:ascii="Palatino Linotype" w:hAnsi="Palatino Linotype" w:cs="Arial"/>
          <w:szCs w:val="22"/>
          <w:lang w:val="es-ES" w:eastAsia="es-ES"/>
        </w:rPr>
      </w:pPr>
    </w:p>
    <w:p w14:paraId="06A2A1A8" w14:textId="31387D50" w:rsidR="002969F4" w:rsidRPr="00EB7F94" w:rsidRDefault="005D43DF" w:rsidP="005D43DF">
      <w:pPr>
        <w:pStyle w:val="Prrafodelista"/>
        <w:numPr>
          <w:ilvl w:val="0"/>
          <w:numId w:val="1"/>
        </w:numPr>
        <w:spacing w:line="360" w:lineRule="auto"/>
        <w:ind w:left="0" w:firstLine="0"/>
        <w:jc w:val="both"/>
        <w:rPr>
          <w:rFonts w:ascii="Palatino Linotype" w:hAnsi="Palatino Linotype" w:cs="Arial"/>
          <w:szCs w:val="22"/>
          <w:lang w:val="es-ES" w:eastAsia="es-ES"/>
        </w:rPr>
      </w:pPr>
      <w:r w:rsidRPr="00EB7F94">
        <w:rPr>
          <w:rFonts w:ascii="Palatino Linotype" w:eastAsiaTheme="minorEastAsia" w:hAnsi="Palatino Linotype"/>
          <w:szCs w:val="22"/>
          <w:lang w:val="es-ES_tradnl" w:eastAsia="es-ES"/>
        </w:rPr>
        <w:t xml:space="preserve">La </w:t>
      </w:r>
      <w:r w:rsidR="00383939" w:rsidRPr="00EB7F94">
        <w:rPr>
          <w:rFonts w:ascii="Palatino Linotype" w:eastAsiaTheme="minorEastAsia" w:hAnsi="Palatino Linotype"/>
          <w:szCs w:val="22"/>
          <w:lang w:val="es-ES_tradnl" w:eastAsia="es-ES"/>
        </w:rPr>
        <w:t>Comisionad</w:t>
      </w:r>
      <w:r w:rsidRPr="00EB7F94">
        <w:rPr>
          <w:rFonts w:ascii="Palatino Linotype" w:eastAsiaTheme="minorEastAsia" w:hAnsi="Palatino Linotype"/>
          <w:szCs w:val="22"/>
          <w:lang w:val="es-ES_tradnl" w:eastAsia="es-ES"/>
        </w:rPr>
        <w:t>a</w:t>
      </w:r>
      <w:r w:rsidR="00383939" w:rsidRPr="00EB7F94">
        <w:rPr>
          <w:rFonts w:ascii="Palatino Linotype" w:eastAsiaTheme="minorEastAsia" w:hAnsi="Palatino Linotype"/>
          <w:szCs w:val="22"/>
          <w:lang w:val="es-ES_tradnl" w:eastAsia="es-ES"/>
        </w:rPr>
        <w:t xml:space="preserve"> Ponente decretó el cierre de instrucción</w:t>
      </w:r>
      <w:r w:rsidR="00383939" w:rsidRPr="00EB7F94">
        <w:rPr>
          <w:rFonts w:ascii="Palatino Linotype" w:eastAsiaTheme="minorEastAsia" w:hAnsi="Palatino Linotype" w:cs="Arial"/>
          <w:szCs w:val="22"/>
          <w:lang w:val="es-ES_tradnl" w:eastAsia="es-ES"/>
        </w:rPr>
        <w:t xml:space="preserve"> </w:t>
      </w:r>
      <w:r w:rsidR="00383939" w:rsidRPr="00EB7F94">
        <w:rPr>
          <w:rFonts w:ascii="Palatino Linotype" w:eastAsiaTheme="minorEastAsia" w:hAnsi="Palatino Linotype"/>
          <w:szCs w:val="22"/>
          <w:lang w:val="es-ES_tradnl" w:eastAsia="es-ES"/>
        </w:rPr>
        <w:t>mediante el acuerdo de</w:t>
      </w:r>
      <w:r w:rsidR="00F51202" w:rsidRPr="00EB7F94">
        <w:rPr>
          <w:rFonts w:ascii="Palatino Linotype" w:eastAsiaTheme="minorEastAsia" w:hAnsi="Palatino Linotype"/>
          <w:szCs w:val="22"/>
          <w:lang w:val="es-ES_tradnl" w:eastAsia="es-ES"/>
        </w:rPr>
        <w:t xml:space="preserve">l </w:t>
      </w:r>
      <w:r w:rsidR="001268EE" w:rsidRPr="00EB7F94">
        <w:rPr>
          <w:rFonts w:ascii="Palatino Linotype" w:eastAsiaTheme="minorEastAsia" w:hAnsi="Palatino Linotype"/>
          <w:szCs w:val="22"/>
          <w:lang w:val="es-ES_tradnl" w:eastAsia="es-ES"/>
        </w:rPr>
        <w:t>18 de diciembre de 2024</w:t>
      </w:r>
      <w:r w:rsidRPr="00EB7F94">
        <w:rPr>
          <w:rFonts w:ascii="Palatino Linotype" w:eastAsiaTheme="minorEastAsia" w:hAnsi="Palatino Linotype"/>
          <w:szCs w:val="22"/>
          <w:lang w:val="es-ES_tradnl" w:eastAsia="es-ES"/>
        </w:rPr>
        <w:t xml:space="preserve"> de dos mil veinticuatro</w:t>
      </w:r>
      <w:r w:rsidR="00383939" w:rsidRPr="00EB7F94">
        <w:rPr>
          <w:rFonts w:ascii="Palatino Linotype" w:eastAsiaTheme="minorEastAsia" w:hAnsi="Palatino Linotype"/>
          <w:szCs w:val="22"/>
          <w:lang w:val="es-ES_tradnl" w:eastAsia="es-ES"/>
        </w:rPr>
        <w:t xml:space="preserve">. </w:t>
      </w:r>
      <w:r w:rsidR="000571B3" w:rsidRPr="00EB7F94">
        <w:rPr>
          <w:rFonts w:ascii="Palatino Linotype" w:eastAsiaTheme="minorEastAsia" w:hAnsi="Palatino Linotype"/>
          <w:szCs w:val="22"/>
          <w:lang w:val="es-ES_tradnl" w:eastAsia="es-ES"/>
        </w:rPr>
        <w:t>-------------------------------------</w:t>
      </w:r>
      <w:r w:rsidR="003D6F25" w:rsidRPr="00EB7F94">
        <w:rPr>
          <w:rFonts w:ascii="Palatino Linotype" w:eastAsiaTheme="minorEastAsia" w:hAnsi="Palatino Linotype"/>
          <w:szCs w:val="22"/>
          <w:lang w:val="es-ES_tradnl" w:eastAsia="es-ES"/>
        </w:rPr>
        <w:t>------------</w:t>
      </w:r>
      <w:r w:rsidRPr="00EB7F94">
        <w:rPr>
          <w:rFonts w:ascii="Palatino Linotype" w:eastAsiaTheme="minorEastAsia" w:hAnsi="Palatino Linotype"/>
          <w:szCs w:val="22"/>
          <w:lang w:val="es-ES_tradnl" w:eastAsia="es-ES"/>
        </w:rPr>
        <w:t>--------</w:t>
      </w:r>
      <w:r w:rsidR="00E92A7E" w:rsidRPr="00EB7F94">
        <w:rPr>
          <w:rFonts w:ascii="Palatino Linotype" w:eastAsiaTheme="minorEastAsia" w:hAnsi="Palatino Linotype"/>
          <w:szCs w:val="22"/>
          <w:lang w:val="es-ES_tradnl" w:eastAsia="es-ES"/>
        </w:rPr>
        <w:t>----------</w:t>
      </w:r>
    </w:p>
    <w:p w14:paraId="7D02A2B3" w14:textId="77777777" w:rsidR="00490845" w:rsidRPr="00EB7F94" w:rsidRDefault="00490845" w:rsidP="000571B3">
      <w:pPr>
        <w:pStyle w:val="Prrafodelista"/>
        <w:spacing w:line="360" w:lineRule="auto"/>
        <w:ind w:left="0"/>
        <w:jc w:val="both"/>
        <w:rPr>
          <w:rFonts w:ascii="Palatino Linotype" w:hAnsi="Palatino Linotype" w:cs="Arial"/>
          <w:szCs w:val="22"/>
          <w:lang w:val="es-ES" w:eastAsia="es-ES"/>
        </w:rPr>
      </w:pPr>
    </w:p>
    <w:p w14:paraId="5C8AF542" w14:textId="77777777" w:rsidR="00383939" w:rsidRPr="00EB7F94" w:rsidRDefault="00383939" w:rsidP="00383939">
      <w:pPr>
        <w:spacing w:line="360" w:lineRule="auto"/>
        <w:jc w:val="center"/>
        <w:rPr>
          <w:rFonts w:ascii="Palatino Linotype" w:hAnsi="Palatino Linotype" w:cs="Arial"/>
          <w:sz w:val="22"/>
          <w:szCs w:val="22"/>
          <w:lang w:eastAsia="es-ES"/>
        </w:rPr>
      </w:pPr>
      <w:bookmarkStart w:id="1" w:name="_Toc66992242"/>
      <w:r w:rsidRPr="00EB7F94">
        <w:rPr>
          <w:rFonts w:ascii="Palatino Linotype" w:hAnsi="Palatino Linotype" w:cs="Arial"/>
          <w:b/>
          <w:sz w:val="22"/>
          <w:szCs w:val="22"/>
          <w:lang w:eastAsia="es-ES"/>
        </w:rPr>
        <w:t>CONSIDERANDO</w:t>
      </w:r>
      <w:bookmarkEnd w:id="1"/>
    </w:p>
    <w:p w14:paraId="59EFD106" w14:textId="77777777" w:rsidR="00383939" w:rsidRPr="00EB7F94" w:rsidRDefault="00383939" w:rsidP="00383939">
      <w:pPr>
        <w:spacing w:line="360" w:lineRule="auto"/>
        <w:jc w:val="both"/>
        <w:rPr>
          <w:rFonts w:ascii="Palatino Linotype" w:hAnsi="Palatino Linotype" w:cs="Arial"/>
          <w:sz w:val="22"/>
          <w:szCs w:val="22"/>
          <w:lang w:eastAsia="es-ES"/>
        </w:rPr>
      </w:pPr>
    </w:p>
    <w:p w14:paraId="6032AA2B" w14:textId="77777777" w:rsidR="00383939" w:rsidRPr="00EB7F94" w:rsidRDefault="00383939" w:rsidP="00383939">
      <w:pPr>
        <w:spacing w:line="360" w:lineRule="auto"/>
        <w:jc w:val="both"/>
        <w:rPr>
          <w:rFonts w:ascii="Palatino Linotype" w:hAnsi="Palatino Linotype" w:cs="Arial"/>
          <w:b/>
          <w:sz w:val="22"/>
          <w:szCs w:val="22"/>
          <w:lang w:eastAsia="es-ES"/>
        </w:rPr>
      </w:pPr>
      <w:bookmarkStart w:id="2" w:name="_Toc66992243"/>
      <w:r w:rsidRPr="00EB7F94">
        <w:rPr>
          <w:rFonts w:ascii="Palatino Linotype" w:hAnsi="Palatino Linotype" w:cs="Arial"/>
          <w:b/>
          <w:sz w:val="22"/>
          <w:szCs w:val="22"/>
          <w:lang w:eastAsia="es-ES"/>
        </w:rPr>
        <w:t>PRIMERO. De la competencia</w:t>
      </w:r>
      <w:bookmarkEnd w:id="2"/>
    </w:p>
    <w:p w14:paraId="12B72F68" w14:textId="77777777" w:rsidR="00383939" w:rsidRPr="00EB7F94" w:rsidRDefault="00383939" w:rsidP="00383939">
      <w:pPr>
        <w:spacing w:line="360" w:lineRule="auto"/>
        <w:jc w:val="both"/>
        <w:rPr>
          <w:rFonts w:ascii="Palatino Linotype" w:hAnsi="Palatino Linotype" w:cs="Arial"/>
          <w:sz w:val="22"/>
          <w:szCs w:val="22"/>
          <w:lang w:val="es-ES" w:eastAsia="es-ES"/>
        </w:rPr>
      </w:pPr>
    </w:p>
    <w:p w14:paraId="18A25EF5" w14:textId="749844BA" w:rsidR="00383939" w:rsidRPr="00EB7F94" w:rsidRDefault="00383939" w:rsidP="004757E3">
      <w:pPr>
        <w:pStyle w:val="Prrafodelista"/>
        <w:numPr>
          <w:ilvl w:val="0"/>
          <w:numId w:val="1"/>
        </w:numPr>
        <w:spacing w:line="360" w:lineRule="auto"/>
        <w:ind w:left="0" w:firstLine="0"/>
        <w:jc w:val="both"/>
        <w:rPr>
          <w:rFonts w:ascii="Palatino Linotype" w:hAnsi="Palatino Linotype" w:cs="Arial"/>
          <w:szCs w:val="22"/>
          <w:lang w:val="es-ES" w:eastAsia="es-ES"/>
        </w:rPr>
      </w:pPr>
      <w:r w:rsidRPr="00EB7F94">
        <w:rPr>
          <w:rFonts w:ascii="Palatino Linotype" w:eastAsia="Calibri" w:hAnsi="Palatino Linotype"/>
          <w:szCs w:val="22"/>
          <w:lang w:val="es-ES" w:eastAsia="es-ES"/>
        </w:rPr>
        <w:t xml:space="preserve">Este </w:t>
      </w:r>
      <w:r w:rsidR="004757E3" w:rsidRPr="00EB7F94">
        <w:rPr>
          <w:rFonts w:ascii="Palatino Linotype" w:hAnsi="Palatino Linotype"/>
          <w:color w:val="222222"/>
          <w:szCs w:val="22"/>
          <w:shd w:val="clear" w:color="auto" w:fill="FFFFFF"/>
          <w:lang w:val="es-ES"/>
        </w:rPr>
        <w:t xml:space="preserve">Instituto de Transparencia, Acceso a la Información Pública y Protección de Datos Personales del Estado de México y Municipios, es competente para conocer y resolver del </w:t>
      </w:r>
      <w:r w:rsidR="004757E3" w:rsidRPr="00EB7F94">
        <w:rPr>
          <w:rFonts w:ascii="Palatino Linotype" w:hAnsi="Palatino Linotype"/>
          <w:color w:val="222222"/>
          <w:szCs w:val="22"/>
          <w:shd w:val="clear" w:color="auto" w:fill="FFFFFF"/>
          <w:lang w:val="es-ES"/>
        </w:rPr>
        <w:lastRenderedPageBreak/>
        <w:t>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r w:rsidR="004757E3" w:rsidRPr="00EB7F94">
        <w:rPr>
          <w:rFonts w:ascii="Palatino Linotype" w:hAnsi="Palatino Linotype"/>
          <w:color w:val="222222"/>
          <w:szCs w:val="22"/>
          <w:shd w:val="clear" w:color="auto" w:fill="FFFFFF"/>
        </w:rPr>
        <w:t>.</w:t>
      </w:r>
    </w:p>
    <w:p w14:paraId="28219CFF" w14:textId="77777777" w:rsidR="00383939" w:rsidRPr="00EB7F94" w:rsidRDefault="00383939" w:rsidP="00383939">
      <w:pPr>
        <w:pStyle w:val="Prrafodelista"/>
        <w:spacing w:line="360" w:lineRule="auto"/>
        <w:ind w:left="0"/>
        <w:jc w:val="both"/>
        <w:rPr>
          <w:rFonts w:ascii="Palatino Linotype" w:hAnsi="Palatino Linotype" w:cs="Arial"/>
          <w:szCs w:val="22"/>
          <w:lang w:val="es-ES" w:eastAsia="es-ES"/>
        </w:rPr>
      </w:pPr>
    </w:p>
    <w:p w14:paraId="2C909AC2" w14:textId="77777777" w:rsidR="00383939" w:rsidRPr="00EB7F94" w:rsidRDefault="00383939" w:rsidP="00383939">
      <w:pPr>
        <w:keepNext/>
        <w:keepLines/>
        <w:spacing w:line="360" w:lineRule="auto"/>
        <w:outlineLvl w:val="1"/>
        <w:rPr>
          <w:rFonts w:ascii="Palatino Linotype" w:eastAsiaTheme="majorEastAsia" w:hAnsi="Palatino Linotype" w:cstheme="majorBidi"/>
          <w:b/>
          <w:sz w:val="22"/>
          <w:szCs w:val="22"/>
        </w:rPr>
      </w:pPr>
      <w:bookmarkStart w:id="3" w:name="_Toc66992244"/>
      <w:r w:rsidRPr="00EB7F94">
        <w:rPr>
          <w:rFonts w:ascii="Palatino Linotype" w:eastAsiaTheme="majorEastAsia" w:hAnsi="Palatino Linotype" w:cstheme="majorBidi"/>
          <w:b/>
          <w:sz w:val="22"/>
          <w:szCs w:val="22"/>
        </w:rPr>
        <w:t>SEGUNDO. De la oportunidad y procedencia.</w:t>
      </w:r>
      <w:bookmarkEnd w:id="3"/>
    </w:p>
    <w:p w14:paraId="428DE030" w14:textId="77777777" w:rsidR="00383939" w:rsidRPr="00EB7F94" w:rsidRDefault="00383939" w:rsidP="00383939">
      <w:pPr>
        <w:pStyle w:val="Prrafodelista"/>
        <w:spacing w:line="360" w:lineRule="auto"/>
        <w:ind w:left="0"/>
        <w:jc w:val="both"/>
        <w:rPr>
          <w:rFonts w:ascii="Palatino Linotype" w:hAnsi="Palatino Linotype" w:cs="Arial"/>
          <w:szCs w:val="22"/>
          <w:lang w:val="es-ES" w:eastAsia="es-ES"/>
        </w:rPr>
      </w:pPr>
    </w:p>
    <w:p w14:paraId="5BF335AE" w14:textId="4844B180" w:rsidR="000571B3" w:rsidRPr="00EB7F94" w:rsidRDefault="00383939" w:rsidP="000571B3">
      <w:pPr>
        <w:pStyle w:val="Prrafodelista"/>
        <w:numPr>
          <w:ilvl w:val="0"/>
          <w:numId w:val="1"/>
        </w:numPr>
        <w:spacing w:line="360" w:lineRule="auto"/>
        <w:ind w:left="0" w:firstLine="0"/>
        <w:jc w:val="both"/>
        <w:rPr>
          <w:rFonts w:ascii="Palatino Linotype" w:hAnsi="Palatino Linotype" w:cs="Arial"/>
          <w:szCs w:val="22"/>
          <w:lang w:val="es-ES" w:eastAsia="es-ES"/>
        </w:rPr>
      </w:pPr>
      <w:r w:rsidRPr="00EB7F94">
        <w:rPr>
          <w:rFonts w:ascii="Palatino Linotype" w:eastAsia="Calibri" w:hAnsi="Palatino Linotype" w:cs="Arial"/>
          <w:szCs w:val="22"/>
          <w:lang w:val="es-ES_tradnl" w:eastAsia="es-ES"/>
        </w:rPr>
        <w:t xml:space="preserve">El medio de impugnación fue presentado a través del </w:t>
      </w:r>
      <w:r w:rsidRPr="00EB7F94">
        <w:rPr>
          <w:rFonts w:ascii="Palatino Linotype" w:eastAsia="Calibri" w:hAnsi="Palatino Linotype" w:cs="Arial"/>
          <w:b/>
          <w:szCs w:val="22"/>
          <w:lang w:val="es-ES_tradnl" w:eastAsia="es-ES"/>
        </w:rPr>
        <w:t>SAIMEX,</w:t>
      </w:r>
      <w:r w:rsidRPr="00EB7F94">
        <w:rPr>
          <w:rFonts w:ascii="Palatino Linotype" w:eastAsia="Calibri" w:hAnsi="Palatino Linotype" w:cs="Arial"/>
          <w:szCs w:val="22"/>
          <w:lang w:val="es-ES_tradnl" w:eastAsia="es-ES"/>
        </w:rPr>
        <w:t xml:space="preserve"> en el formato previamente aprobado para tal efecto y dentro del plazo legal de quince días hábiles otorgados; siendo así que el </w:t>
      </w:r>
      <w:r w:rsidRPr="00EB7F94">
        <w:rPr>
          <w:rFonts w:ascii="Palatino Linotype" w:eastAsia="Calibri" w:hAnsi="Palatino Linotype" w:cs="Arial"/>
          <w:b/>
          <w:szCs w:val="22"/>
          <w:lang w:val="es-ES_tradnl" w:eastAsia="es-ES"/>
        </w:rPr>
        <w:t>SUJETO OBLIGADO</w:t>
      </w:r>
      <w:r w:rsidRPr="00EB7F94">
        <w:rPr>
          <w:rFonts w:ascii="Palatino Linotype" w:eastAsia="Calibri" w:hAnsi="Palatino Linotype" w:cs="Arial"/>
          <w:szCs w:val="22"/>
          <w:lang w:val="es-ES_tradnl" w:eastAsia="es-ES"/>
        </w:rPr>
        <w:t xml:space="preserve"> entregó respuesta a la solicitud el </w:t>
      </w:r>
      <w:r w:rsidR="001268EE" w:rsidRPr="00EB7F94">
        <w:rPr>
          <w:rFonts w:ascii="Palatino Linotype" w:eastAsia="Calibri" w:hAnsi="Palatino Linotype" w:cs="Arial"/>
          <w:szCs w:val="22"/>
          <w:lang w:val="es-ES_tradnl" w:eastAsia="es-ES"/>
        </w:rPr>
        <w:t>veinte de noviembre</w:t>
      </w:r>
      <w:r w:rsidR="000A5A70" w:rsidRPr="00EB7F94">
        <w:rPr>
          <w:rFonts w:ascii="Palatino Linotype" w:eastAsia="Calibri" w:hAnsi="Palatino Linotype" w:cs="Arial"/>
          <w:szCs w:val="22"/>
          <w:lang w:val="es-ES_tradnl" w:eastAsia="es-ES"/>
        </w:rPr>
        <w:t xml:space="preserve"> de dos mil veinticuatro</w:t>
      </w:r>
      <w:r w:rsidRPr="00EB7F94">
        <w:rPr>
          <w:rFonts w:ascii="Palatino Linotype" w:eastAsia="Calibri" w:hAnsi="Palatino Linotype" w:cs="Arial"/>
          <w:szCs w:val="22"/>
          <w:lang w:val="es-ES_tradnl" w:eastAsia="es-ES"/>
        </w:rPr>
        <w:t xml:space="preserve">, </w:t>
      </w:r>
      <w:r w:rsidRPr="00EB7F94">
        <w:rPr>
          <w:rFonts w:ascii="Palatino Linotype" w:eastAsiaTheme="minorEastAsia" w:hAnsi="Palatino Linotype" w:cs="Arial"/>
          <w:szCs w:val="22"/>
          <w:lang w:val="es-ES_tradnl" w:eastAsia="es-ES"/>
        </w:rPr>
        <w:t xml:space="preserve">de tal forma que el plazo para interponer el recurso de revisión transcurrió del </w:t>
      </w:r>
      <w:r w:rsidR="001268EE" w:rsidRPr="00EB7F94">
        <w:rPr>
          <w:rFonts w:ascii="Palatino Linotype" w:eastAsiaTheme="minorEastAsia" w:hAnsi="Palatino Linotype" w:cs="Arial"/>
          <w:szCs w:val="22"/>
          <w:lang w:val="es-ES_tradnl" w:eastAsia="es-ES"/>
        </w:rPr>
        <w:t>veintiuno de noviembre</w:t>
      </w:r>
      <w:r w:rsidR="000A5A70" w:rsidRPr="00EB7F94">
        <w:rPr>
          <w:rFonts w:ascii="Palatino Linotype" w:eastAsiaTheme="minorEastAsia" w:hAnsi="Palatino Linotype" w:cs="Arial"/>
          <w:szCs w:val="22"/>
          <w:lang w:val="es-ES_tradnl" w:eastAsia="es-ES"/>
        </w:rPr>
        <w:t xml:space="preserve"> al </w:t>
      </w:r>
      <w:r w:rsidR="001268EE" w:rsidRPr="00EB7F94">
        <w:rPr>
          <w:rFonts w:ascii="Palatino Linotype" w:eastAsiaTheme="minorEastAsia" w:hAnsi="Palatino Linotype" w:cs="Arial"/>
          <w:szCs w:val="22"/>
          <w:lang w:val="es-ES_tradnl" w:eastAsia="es-ES"/>
        </w:rPr>
        <w:t>once de diciembre</w:t>
      </w:r>
      <w:r w:rsidR="005D43DF" w:rsidRPr="00EB7F94">
        <w:rPr>
          <w:rFonts w:ascii="Palatino Linotype" w:eastAsiaTheme="minorEastAsia" w:hAnsi="Palatino Linotype" w:cs="Arial"/>
          <w:szCs w:val="22"/>
          <w:lang w:val="es-ES_tradnl" w:eastAsia="es-ES"/>
        </w:rPr>
        <w:t xml:space="preserve"> </w:t>
      </w:r>
      <w:r w:rsidR="000A5A70" w:rsidRPr="00EB7F94">
        <w:rPr>
          <w:rFonts w:ascii="Palatino Linotype" w:eastAsiaTheme="minorEastAsia" w:hAnsi="Palatino Linotype" w:cs="Arial"/>
          <w:szCs w:val="22"/>
          <w:lang w:val="es-ES_tradnl" w:eastAsia="es-ES"/>
        </w:rPr>
        <w:t>de dos mil veinticuatro</w:t>
      </w:r>
      <w:r w:rsidRPr="00EB7F94">
        <w:rPr>
          <w:rFonts w:ascii="Palatino Linotype" w:eastAsiaTheme="minorEastAsia" w:hAnsi="Palatino Linotype" w:cs="Arial"/>
          <w:szCs w:val="22"/>
          <w:lang w:val="es-ES_tradnl" w:eastAsia="es-ES"/>
        </w:rPr>
        <w:t xml:space="preserve"> en consecuencia, presentó su inconformidad el </w:t>
      </w:r>
      <w:r w:rsidR="001268EE" w:rsidRPr="00EB7F94">
        <w:rPr>
          <w:rFonts w:ascii="Palatino Linotype" w:eastAsiaTheme="minorEastAsia" w:hAnsi="Palatino Linotype" w:cs="Arial"/>
          <w:szCs w:val="22"/>
          <w:lang w:val="es-ES_tradnl" w:eastAsia="es-ES"/>
        </w:rPr>
        <w:t>veintiuno de noviembre</w:t>
      </w:r>
      <w:r w:rsidR="000A5A70" w:rsidRPr="00EB7F94">
        <w:rPr>
          <w:rFonts w:ascii="Palatino Linotype" w:eastAsiaTheme="minorEastAsia" w:hAnsi="Palatino Linotype" w:cs="Arial"/>
          <w:szCs w:val="22"/>
          <w:lang w:val="es-ES_tradnl" w:eastAsia="es-ES"/>
        </w:rPr>
        <w:t xml:space="preserve"> de dos mil veinticuatro</w:t>
      </w:r>
      <w:r w:rsidRPr="00EB7F94">
        <w:rPr>
          <w:rFonts w:ascii="Palatino Linotype" w:eastAsiaTheme="minorEastAsia" w:hAnsi="Palatino Linotype" w:cs="Arial"/>
          <w:szCs w:val="22"/>
          <w:lang w:val="es-ES_tradnl" w:eastAsia="es-ES"/>
        </w:rPr>
        <w:t xml:space="preserve">, por lo que se encuentra dentro de los márgenes temporales previstos en el artículo 178 de la </w:t>
      </w:r>
      <w:r w:rsidRPr="00EB7F94">
        <w:rPr>
          <w:rFonts w:ascii="Palatino Linotype" w:eastAsiaTheme="minorEastAsia" w:hAnsi="Palatino Linotype" w:cs="Arial"/>
          <w:b/>
          <w:szCs w:val="22"/>
          <w:lang w:val="es-ES_tradnl" w:eastAsia="es-ES"/>
        </w:rPr>
        <w:t>Ley de Transparencia y Acceso a la Información Pública del Estado de México y Municipios</w:t>
      </w:r>
      <w:r w:rsidR="005D43DF" w:rsidRPr="00EB7F94">
        <w:rPr>
          <w:rFonts w:ascii="Palatino Linotype" w:eastAsiaTheme="minorEastAsia" w:hAnsi="Palatino Linotype" w:cs="Arial"/>
          <w:szCs w:val="22"/>
          <w:lang w:val="es-ES_tradnl" w:eastAsia="es-ES"/>
        </w:rPr>
        <w:t>.</w:t>
      </w:r>
    </w:p>
    <w:p w14:paraId="132159AA" w14:textId="77777777" w:rsidR="000571B3" w:rsidRPr="00EB7F94" w:rsidRDefault="000571B3" w:rsidP="000571B3">
      <w:pPr>
        <w:pStyle w:val="Prrafodelista"/>
        <w:spacing w:line="360" w:lineRule="auto"/>
        <w:ind w:left="0"/>
        <w:jc w:val="both"/>
        <w:rPr>
          <w:rFonts w:ascii="Palatino Linotype" w:hAnsi="Palatino Linotype" w:cs="Arial"/>
          <w:szCs w:val="22"/>
          <w:lang w:val="es-ES" w:eastAsia="es-ES"/>
        </w:rPr>
      </w:pPr>
    </w:p>
    <w:p w14:paraId="4C5F669F" w14:textId="42A77002" w:rsidR="00383939" w:rsidRPr="00EB7F94" w:rsidRDefault="000A5A70" w:rsidP="00383939">
      <w:pPr>
        <w:pStyle w:val="Prrafodelista"/>
        <w:numPr>
          <w:ilvl w:val="0"/>
          <w:numId w:val="1"/>
        </w:numPr>
        <w:spacing w:line="360" w:lineRule="auto"/>
        <w:ind w:left="0" w:firstLine="0"/>
        <w:jc w:val="both"/>
        <w:rPr>
          <w:rFonts w:ascii="Palatino Linotype" w:hAnsi="Palatino Linotype" w:cs="Arial"/>
          <w:szCs w:val="22"/>
          <w:lang w:val="es-ES" w:eastAsia="es-ES"/>
        </w:rPr>
      </w:pPr>
      <w:r w:rsidRPr="00EB7F94">
        <w:rPr>
          <w:rFonts w:ascii="Palatino Linotype" w:eastAsia="Calibri" w:hAnsi="Palatino Linotype" w:cs="Arial"/>
          <w:szCs w:val="22"/>
          <w:lang w:val="es-ES_tradnl" w:eastAsia="es-ES"/>
        </w:rPr>
        <w:t>Así</w:t>
      </w:r>
      <w:r w:rsidR="00383939" w:rsidRPr="00EB7F94">
        <w:rPr>
          <w:rFonts w:ascii="Palatino Linotype" w:eastAsia="Calibri" w:hAnsi="Palatino Linotype" w:cs="Arial"/>
          <w:szCs w:val="22"/>
          <w:lang w:val="es-ES_tradnl" w:eastAsia="es-ES"/>
        </w:rPr>
        <w:t>,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02F0B815" w14:textId="77777777" w:rsidR="00383939" w:rsidRPr="00EB7F94" w:rsidRDefault="00383939" w:rsidP="00383939">
      <w:pPr>
        <w:pStyle w:val="Prrafodelista"/>
        <w:spacing w:line="360" w:lineRule="auto"/>
        <w:ind w:left="0"/>
        <w:jc w:val="both"/>
        <w:rPr>
          <w:rFonts w:ascii="Palatino Linotype" w:hAnsi="Palatino Linotype" w:cs="Arial"/>
          <w:szCs w:val="22"/>
          <w:lang w:val="es-ES" w:eastAsia="es-ES"/>
        </w:rPr>
      </w:pPr>
    </w:p>
    <w:p w14:paraId="1A768572" w14:textId="63E5D671" w:rsidR="005D43DF" w:rsidRPr="00EB7F94" w:rsidRDefault="00383939" w:rsidP="00383939">
      <w:pPr>
        <w:spacing w:line="360" w:lineRule="auto"/>
        <w:jc w:val="both"/>
        <w:rPr>
          <w:rFonts w:ascii="Palatino Linotype" w:hAnsi="Palatino Linotype"/>
          <w:b/>
          <w:sz w:val="22"/>
          <w:szCs w:val="22"/>
        </w:rPr>
      </w:pPr>
      <w:bookmarkStart w:id="4" w:name="_Toc486525253"/>
      <w:bookmarkStart w:id="5" w:name="_Toc66992246"/>
      <w:r w:rsidRPr="00EB7F94">
        <w:rPr>
          <w:rFonts w:ascii="Palatino Linotype" w:hAnsi="Palatino Linotype" w:cs="Arial"/>
          <w:b/>
          <w:sz w:val="22"/>
          <w:szCs w:val="22"/>
          <w:lang w:eastAsia="es-ES"/>
        </w:rPr>
        <w:t xml:space="preserve">TERCERO. </w:t>
      </w:r>
      <w:bookmarkEnd w:id="4"/>
      <w:bookmarkEnd w:id="5"/>
      <w:r w:rsidR="005D43DF" w:rsidRPr="00EB7F94">
        <w:rPr>
          <w:rFonts w:ascii="Palatino Linotype" w:hAnsi="Palatino Linotype"/>
          <w:b/>
          <w:sz w:val="22"/>
          <w:szCs w:val="22"/>
        </w:rPr>
        <w:t>De las causales del sobreseimiento.</w:t>
      </w:r>
    </w:p>
    <w:p w14:paraId="03609282" w14:textId="77777777" w:rsidR="005D43DF" w:rsidRPr="00EB7F94" w:rsidRDefault="005D43DF" w:rsidP="00383939">
      <w:pPr>
        <w:spacing w:line="360" w:lineRule="auto"/>
        <w:jc w:val="both"/>
        <w:rPr>
          <w:rFonts w:ascii="Palatino Linotype" w:hAnsi="Palatino Linotype"/>
          <w:b/>
          <w:sz w:val="22"/>
          <w:szCs w:val="22"/>
        </w:rPr>
      </w:pPr>
    </w:p>
    <w:p w14:paraId="636EDC28" w14:textId="12BEB7CA" w:rsidR="005D43DF" w:rsidRPr="00EB7F94" w:rsidRDefault="005D43DF" w:rsidP="005D43DF">
      <w:pPr>
        <w:pStyle w:val="Prrafodelista"/>
        <w:numPr>
          <w:ilvl w:val="0"/>
          <w:numId w:val="1"/>
        </w:numPr>
        <w:spacing w:line="360" w:lineRule="auto"/>
        <w:ind w:left="0" w:right="-28" w:firstLine="0"/>
        <w:jc w:val="both"/>
        <w:rPr>
          <w:rFonts w:ascii="Palatino Linotype" w:eastAsia="Calibri" w:hAnsi="Palatino Linotype" w:cs="Tahoma"/>
          <w:iCs/>
          <w:szCs w:val="22"/>
          <w:lang w:val="es-ES" w:eastAsia="es-ES_tradnl"/>
        </w:rPr>
      </w:pPr>
      <w:r w:rsidRPr="00EB7F94">
        <w:rPr>
          <w:rFonts w:ascii="Palatino Linotype" w:eastAsia="Calibri" w:hAnsi="Palatino Linotype" w:cs="Tahoma"/>
          <w:iCs/>
          <w:szCs w:val="22"/>
          <w:lang w:val="es-ES" w:eastAsia="es-ES_tradnl"/>
        </w:rPr>
        <w:t xml:space="preserve">El </w:t>
      </w:r>
      <w:r w:rsidRPr="00EB7F94">
        <w:rPr>
          <w:rFonts w:ascii="Palatino Linotype" w:hAnsi="Palatino Linotype" w:cs="Arial"/>
          <w:szCs w:val="22"/>
        </w:rPr>
        <w:t xml:space="preserve">recurso revisión tiene como finalidad reparar cualquier posible afectación al Derecho de Acceso a la Información Pública en términos del Título Octavo de la Ley de </w:t>
      </w:r>
      <w:r w:rsidRPr="00EB7F94">
        <w:rPr>
          <w:rFonts w:ascii="Palatino Linotype" w:eastAsia="Calibri" w:hAnsi="Palatino Linotype" w:cs="Arial"/>
          <w:szCs w:val="22"/>
        </w:rPr>
        <w:t>Transparencia, Acceso a la Información Pública del Estado de México y Municipios</w:t>
      </w:r>
      <w:r w:rsidRPr="00EB7F94">
        <w:rPr>
          <w:rFonts w:ascii="Palatino Linotype" w:hAnsi="Palatino Linotype" w:cs="Arial"/>
          <w:szCs w:val="22"/>
        </w:rPr>
        <w:t xml:space="preserve">, y determinar la confirmación; revocación o modificación; desechamiento o </w:t>
      </w:r>
      <w:r w:rsidRPr="00EB7F94">
        <w:rPr>
          <w:rFonts w:ascii="Palatino Linotype" w:hAnsi="Palatino Linotype" w:cs="Arial"/>
          <w:b/>
          <w:szCs w:val="22"/>
          <w:u w:val="single"/>
        </w:rPr>
        <w:t>sobreseimiento</w:t>
      </w:r>
      <w:r w:rsidRPr="00EB7F94">
        <w:rPr>
          <w:rFonts w:ascii="Palatino Linotype" w:hAnsi="Palatino Linotype" w:cs="Arial"/>
          <w:szCs w:val="22"/>
        </w:rPr>
        <w:t xml:space="preserve">; y, en su caso, ordenar la entrega de la información respecto a la falta de respuesta por parte del </w:t>
      </w:r>
      <w:r w:rsidRPr="00EB7F94">
        <w:rPr>
          <w:rFonts w:ascii="Palatino Linotype" w:hAnsi="Palatino Linotype" w:cs="Arial"/>
          <w:b/>
          <w:szCs w:val="22"/>
        </w:rPr>
        <w:t>SUJETO</w:t>
      </w:r>
      <w:r w:rsidRPr="00EB7F94">
        <w:rPr>
          <w:rFonts w:ascii="Palatino Linotype" w:hAnsi="Palatino Linotype" w:cs="Arial"/>
          <w:szCs w:val="22"/>
        </w:rPr>
        <w:t xml:space="preserve"> </w:t>
      </w:r>
      <w:r w:rsidRPr="00EB7F94">
        <w:rPr>
          <w:rFonts w:ascii="Palatino Linotype" w:hAnsi="Palatino Linotype" w:cs="Arial"/>
          <w:b/>
          <w:szCs w:val="22"/>
        </w:rPr>
        <w:t>OBLIGADO</w:t>
      </w:r>
      <w:r w:rsidRPr="00EB7F94">
        <w:rPr>
          <w:rFonts w:ascii="Palatino Linotype" w:hAnsi="Palatino Linotype" w:cs="Arial"/>
          <w:szCs w:val="22"/>
        </w:rPr>
        <w:t>.</w:t>
      </w:r>
    </w:p>
    <w:p w14:paraId="399D6B64" w14:textId="77777777" w:rsidR="005D43DF" w:rsidRPr="00EB7F94" w:rsidRDefault="005D43DF" w:rsidP="005D43DF">
      <w:pPr>
        <w:pStyle w:val="Prrafodelista"/>
        <w:spacing w:line="360" w:lineRule="auto"/>
        <w:ind w:left="0" w:right="-28"/>
        <w:jc w:val="both"/>
        <w:rPr>
          <w:rFonts w:ascii="Palatino Linotype" w:eastAsia="Calibri" w:hAnsi="Palatino Linotype" w:cs="Tahoma"/>
          <w:iCs/>
          <w:szCs w:val="22"/>
          <w:lang w:val="es-ES" w:eastAsia="es-ES_tradnl"/>
        </w:rPr>
      </w:pPr>
    </w:p>
    <w:p w14:paraId="37DDCC74" w14:textId="5C215626" w:rsidR="005D43DF" w:rsidRPr="00EB7F94" w:rsidRDefault="005D43DF" w:rsidP="005D43DF">
      <w:pPr>
        <w:pStyle w:val="Prrafodelista"/>
        <w:numPr>
          <w:ilvl w:val="0"/>
          <w:numId w:val="1"/>
        </w:numPr>
        <w:spacing w:line="360" w:lineRule="auto"/>
        <w:ind w:left="0" w:right="-28" w:firstLine="0"/>
        <w:jc w:val="both"/>
        <w:rPr>
          <w:rFonts w:ascii="Palatino Linotype" w:eastAsia="Calibri" w:hAnsi="Palatino Linotype" w:cs="Tahoma"/>
          <w:szCs w:val="22"/>
          <w:lang w:val="es-ES" w:eastAsia="es-ES_tradnl"/>
        </w:rPr>
      </w:pPr>
      <w:r w:rsidRPr="00EB7F94">
        <w:rPr>
          <w:rFonts w:ascii="Palatino Linotype" w:eastAsia="Calibri" w:hAnsi="Palatino Linotype" w:cs="Tahoma"/>
          <w:iCs/>
          <w:szCs w:val="22"/>
          <w:lang w:val="es-ES" w:eastAsia="es-ES_tradnl"/>
        </w:rPr>
        <w:t xml:space="preserve">De </w:t>
      </w:r>
      <w:r w:rsidRPr="00EB7F94">
        <w:rPr>
          <w:rFonts w:ascii="Palatino Linotype" w:eastAsia="Calibri" w:hAnsi="Palatino Linotype"/>
          <w:szCs w:val="22"/>
        </w:rPr>
        <w:t xml:space="preserve">acuerdo con el precepto legal contenido en la fracción IV del artículo 192 de la </w:t>
      </w:r>
      <w:r w:rsidRPr="00EB7F94">
        <w:rPr>
          <w:rFonts w:ascii="Palatino Linotype" w:eastAsia="Calibri" w:hAnsi="Palatino Linotype"/>
          <w:b/>
          <w:szCs w:val="22"/>
        </w:rPr>
        <w:t>Ley de Transparencia y Acceso a la Información Pública del Estado de México y Municipios</w:t>
      </w:r>
      <w:r w:rsidRPr="00EB7F94">
        <w:rPr>
          <w:rFonts w:ascii="Palatino Linotype" w:eastAsia="Calibri" w:hAnsi="Palatino Linotype"/>
          <w:szCs w:val="22"/>
        </w:rPr>
        <w:t>, el recurso será sobreseído, cuando una vez admitido, aparezca alguna causal de improcedencia en términos de la misma Ley.</w:t>
      </w:r>
    </w:p>
    <w:p w14:paraId="2F3E4869" w14:textId="77777777" w:rsidR="00DE2189" w:rsidRPr="00EB7F94" w:rsidRDefault="00DE2189" w:rsidP="00DE2189">
      <w:pPr>
        <w:pStyle w:val="Prrafodelista"/>
        <w:spacing w:line="360" w:lineRule="auto"/>
        <w:ind w:left="0" w:right="-28"/>
        <w:jc w:val="both"/>
        <w:rPr>
          <w:rFonts w:ascii="Palatino Linotype" w:eastAsia="Calibri" w:hAnsi="Palatino Linotype" w:cs="Tahoma"/>
          <w:szCs w:val="22"/>
          <w:lang w:val="es-ES" w:eastAsia="es-ES_tradnl"/>
        </w:rPr>
      </w:pPr>
    </w:p>
    <w:p w14:paraId="4A0335D5" w14:textId="19C13F61" w:rsidR="00DE2189" w:rsidRPr="00EB7F94" w:rsidRDefault="00DE2189" w:rsidP="00DE2189">
      <w:pPr>
        <w:pStyle w:val="Prrafodelista"/>
        <w:numPr>
          <w:ilvl w:val="0"/>
          <w:numId w:val="10"/>
        </w:numPr>
        <w:spacing w:line="360" w:lineRule="auto"/>
        <w:ind w:right="-28"/>
        <w:jc w:val="both"/>
        <w:rPr>
          <w:rFonts w:ascii="Palatino Linotype" w:eastAsia="Calibri" w:hAnsi="Palatino Linotype" w:cs="Tahoma"/>
          <w:szCs w:val="22"/>
          <w:lang w:val="es-ES" w:eastAsia="es-ES_tradnl"/>
        </w:rPr>
      </w:pPr>
      <w:bookmarkStart w:id="6" w:name="_Toc365136"/>
      <w:r w:rsidRPr="00EB7F94">
        <w:rPr>
          <w:rFonts w:ascii="Palatino Linotype" w:eastAsiaTheme="majorEastAsia" w:hAnsi="Palatino Linotype" w:cstheme="majorBidi"/>
          <w:b/>
          <w:iCs/>
          <w:szCs w:val="22"/>
        </w:rPr>
        <w:t>De la solicitud de información</w:t>
      </w:r>
      <w:bookmarkEnd w:id="6"/>
    </w:p>
    <w:p w14:paraId="41131C7B" w14:textId="77777777" w:rsidR="005D43DF" w:rsidRPr="00EB7F94" w:rsidRDefault="005D43DF" w:rsidP="005D43DF">
      <w:pPr>
        <w:pStyle w:val="Prrafodelista"/>
        <w:spacing w:line="360" w:lineRule="auto"/>
        <w:ind w:left="0"/>
        <w:jc w:val="both"/>
        <w:rPr>
          <w:rFonts w:ascii="Palatino Linotype" w:hAnsi="Palatino Linotype" w:cs="Arial"/>
          <w:szCs w:val="22"/>
          <w:lang w:val="es-ES" w:eastAsia="es-ES"/>
        </w:rPr>
      </w:pPr>
    </w:p>
    <w:p w14:paraId="14C9438E" w14:textId="067885D2" w:rsidR="000A5A70" w:rsidRPr="00EB7F94" w:rsidRDefault="00DE2189" w:rsidP="000A5A70">
      <w:pPr>
        <w:pStyle w:val="Prrafodelista"/>
        <w:numPr>
          <w:ilvl w:val="0"/>
          <w:numId w:val="1"/>
        </w:numPr>
        <w:spacing w:line="360" w:lineRule="auto"/>
        <w:ind w:left="0" w:firstLine="0"/>
        <w:jc w:val="both"/>
        <w:rPr>
          <w:rFonts w:ascii="Palatino Linotype" w:hAnsi="Palatino Linotype" w:cs="Arial"/>
          <w:szCs w:val="22"/>
          <w:lang w:val="es-ES" w:eastAsia="es-ES"/>
        </w:rPr>
      </w:pPr>
      <w:r w:rsidRPr="00EB7F94">
        <w:rPr>
          <w:rFonts w:ascii="Palatino Linotype" w:eastAsia="MS Gothic" w:hAnsi="Palatino Linotype"/>
          <w:szCs w:val="22"/>
          <w:lang w:val="es-ES"/>
        </w:rPr>
        <w:t>C</w:t>
      </w:r>
      <w:r w:rsidR="005D43DF" w:rsidRPr="00EB7F94">
        <w:rPr>
          <w:rFonts w:ascii="Palatino Linotype" w:eastAsia="MS Gothic" w:hAnsi="Palatino Linotype"/>
          <w:szCs w:val="22"/>
          <w:lang w:val="es-ES"/>
        </w:rPr>
        <w:t>omo se ha señalado, e</w:t>
      </w:r>
      <w:r w:rsidR="00383939" w:rsidRPr="00EB7F94">
        <w:rPr>
          <w:rFonts w:ascii="Palatino Linotype" w:eastAsia="MS Gothic" w:hAnsi="Palatino Linotype"/>
          <w:szCs w:val="22"/>
        </w:rPr>
        <w:t xml:space="preserve">l </w:t>
      </w:r>
      <w:r w:rsidR="004E664A" w:rsidRPr="00EB7F94">
        <w:rPr>
          <w:rFonts w:ascii="Palatino Linotype" w:eastAsia="MS Gothic" w:hAnsi="Palatino Linotype"/>
          <w:b/>
          <w:bCs/>
          <w:szCs w:val="22"/>
        </w:rPr>
        <w:t>RECURRENTE</w:t>
      </w:r>
      <w:r w:rsidR="00383939" w:rsidRPr="00EB7F94">
        <w:rPr>
          <w:rFonts w:ascii="Palatino Linotype" w:eastAsia="MS Gothic" w:hAnsi="Palatino Linotype"/>
          <w:szCs w:val="22"/>
        </w:rPr>
        <w:t xml:space="preserve"> solicitó</w:t>
      </w:r>
      <w:r w:rsidR="006337B9" w:rsidRPr="00EB7F94">
        <w:rPr>
          <w:rFonts w:ascii="Palatino Linotype" w:hAnsi="Palatino Linotype"/>
          <w:iCs/>
          <w:color w:val="000000" w:themeColor="text1"/>
          <w:szCs w:val="22"/>
        </w:rPr>
        <w:t xml:space="preserve"> </w:t>
      </w:r>
      <w:r w:rsidR="001268EE" w:rsidRPr="00EB7F94">
        <w:rPr>
          <w:rFonts w:ascii="Palatino Linotype" w:hAnsi="Palatino Linotype"/>
          <w:iCs/>
          <w:color w:val="000000" w:themeColor="text1"/>
          <w:szCs w:val="22"/>
        </w:rPr>
        <w:t>lo siguiente:</w:t>
      </w:r>
    </w:p>
    <w:p w14:paraId="58B28DEC" w14:textId="77777777" w:rsidR="001268EE" w:rsidRPr="00EB7F94" w:rsidRDefault="001268EE" w:rsidP="001268EE">
      <w:pPr>
        <w:pStyle w:val="Prrafodelista"/>
        <w:spacing w:line="360" w:lineRule="auto"/>
        <w:ind w:left="0"/>
        <w:jc w:val="both"/>
        <w:rPr>
          <w:rFonts w:ascii="Palatino Linotype" w:hAnsi="Palatino Linotype"/>
          <w:iCs/>
          <w:color w:val="000000" w:themeColor="text1"/>
          <w:szCs w:val="22"/>
        </w:rPr>
      </w:pPr>
    </w:p>
    <w:p w14:paraId="54FB7F42" w14:textId="488A8064" w:rsidR="001268EE" w:rsidRPr="00EB7F94" w:rsidRDefault="001268EE" w:rsidP="001268EE">
      <w:pPr>
        <w:pStyle w:val="Prrafodelista"/>
        <w:ind w:left="567" w:right="567"/>
        <w:jc w:val="both"/>
        <w:rPr>
          <w:rFonts w:ascii="Palatino Linotype" w:hAnsi="Palatino Linotype" w:cs="Arial"/>
          <w:i/>
          <w:szCs w:val="22"/>
          <w:lang w:val="es-ES" w:eastAsia="es-ES"/>
        </w:rPr>
      </w:pPr>
      <w:r w:rsidRPr="00EB7F94">
        <w:rPr>
          <w:rFonts w:ascii="Palatino Linotype" w:hAnsi="Palatino Linotype"/>
          <w:i/>
          <w:color w:val="000000"/>
          <w:szCs w:val="22"/>
        </w:rPr>
        <w:t xml:space="preserve">“POR MEDIO DEL PRESENTE Y EN ATENCION A QUE LA LEY GENERAL DE TRANSPARENCIA Y ACCESO A LA INFORMACION PUBLICA DISPONE EN SUS ARTICULOS 1 Y 12, QUE TODA LA INFORMACION EN POSESION DE LOS SUJETOS OBLIGADOS SERA PUBLICA Y QUE LA INFORMACIÓN PUBLICA GENERADA, OBTENIDA, ADQUIRIDA, TRANSFORMADA O EN POSESION DE LOS SUJETOS OBLIGADOS SERA ACCESIBLE A CUALQUIER PERSONA, SOLICITO A USTED LO SIGUIENTE </w:t>
      </w:r>
      <w:r w:rsidRPr="00EB7F94">
        <w:rPr>
          <w:rFonts w:ascii="Palatino Linotype" w:hAnsi="Palatino Linotype"/>
          <w:i/>
          <w:color w:val="000000"/>
          <w:szCs w:val="22"/>
        </w:rPr>
        <w:sym w:font="Symbol" w:char="F0D8"/>
      </w:r>
      <w:r w:rsidRPr="00EB7F94">
        <w:rPr>
          <w:rFonts w:ascii="Palatino Linotype" w:hAnsi="Palatino Linotype"/>
          <w:i/>
          <w:color w:val="000000"/>
          <w:szCs w:val="22"/>
        </w:rPr>
        <w:t xml:space="preserve"> CALIFICACION DE LAS EVALUACIONES DEL DESEMPEÑO DEL 2022 A 2024 DE LAS SERVIDORAS PUBLICAS: </w:t>
      </w:r>
      <w:r w:rsidRPr="00EB7F94">
        <w:rPr>
          <w:rFonts w:ascii="Palatino Linotype" w:hAnsi="Palatino Linotype"/>
          <w:i/>
          <w:color w:val="000000"/>
          <w:szCs w:val="22"/>
        </w:rPr>
        <w:sym w:font="Symbol" w:char="F076"/>
      </w:r>
      <w:r w:rsidRPr="00EB7F94">
        <w:rPr>
          <w:rFonts w:ascii="Palatino Linotype" w:hAnsi="Palatino Linotype"/>
          <w:i/>
          <w:color w:val="000000"/>
          <w:szCs w:val="22"/>
        </w:rPr>
        <w:t xml:space="preserve"> ALEJANDRA BERENICE RUIZ DE JESUS </w:t>
      </w:r>
      <w:r w:rsidRPr="00EB7F94">
        <w:rPr>
          <w:rFonts w:ascii="Palatino Linotype" w:hAnsi="Palatino Linotype"/>
          <w:i/>
          <w:color w:val="000000"/>
          <w:szCs w:val="22"/>
        </w:rPr>
        <w:sym w:font="Symbol" w:char="F076"/>
      </w:r>
      <w:r w:rsidRPr="00EB7F94">
        <w:rPr>
          <w:rFonts w:ascii="Palatino Linotype" w:hAnsi="Palatino Linotype"/>
          <w:i/>
          <w:color w:val="000000"/>
          <w:szCs w:val="22"/>
        </w:rPr>
        <w:t xml:space="preserve"> MA. DE JESUS CARLOTA VALDEZ SOTO </w:t>
      </w:r>
      <w:r w:rsidRPr="00EB7F94">
        <w:rPr>
          <w:rFonts w:ascii="Palatino Linotype" w:hAnsi="Palatino Linotype"/>
          <w:i/>
          <w:color w:val="000000"/>
          <w:szCs w:val="22"/>
        </w:rPr>
        <w:sym w:font="Symbol" w:char="F076"/>
      </w:r>
      <w:r w:rsidRPr="00EB7F94">
        <w:rPr>
          <w:rFonts w:ascii="Palatino Linotype" w:hAnsi="Palatino Linotype"/>
          <w:i/>
          <w:color w:val="000000"/>
          <w:szCs w:val="22"/>
        </w:rPr>
        <w:t xml:space="preserve"> ESTELA MEJIA VILLEGAS </w:t>
      </w:r>
      <w:r w:rsidRPr="00EB7F94">
        <w:rPr>
          <w:rFonts w:ascii="Palatino Linotype" w:hAnsi="Palatino Linotype"/>
          <w:i/>
          <w:color w:val="000000"/>
          <w:szCs w:val="22"/>
        </w:rPr>
        <w:sym w:font="Symbol" w:char="F076"/>
      </w:r>
      <w:r w:rsidRPr="00EB7F94">
        <w:rPr>
          <w:rFonts w:ascii="Palatino Linotype" w:hAnsi="Palatino Linotype"/>
          <w:i/>
          <w:color w:val="000000"/>
          <w:szCs w:val="22"/>
        </w:rPr>
        <w:t xml:space="preserve"> DIANA COLIN SANCHEZ </w:t>
      </w:r>
      <w:r w:rsidRPr="00EB7F94">
        <w:rPr>
          <w:rFonts w:ascii="Palatino Linotype" w:hAnsi="Palatino Linotype"/>
          <w:i/>
          <w:color w:val="000000"/>
          <w:szCs w:val="22"/>
        </w:rPr>
        <w:sym w:font="Symbol" w:char="F076"/>
      </w:r>
      <w:r w:rsidRPr="00EB7F94">
        <w:rPr>
          <w:rFonts w:ascii="Palatino Linotype" w:hAnsi="Palatino Linotype"/>
          <w:i/>
          <w:color w:val="000000"/>
          <w:szCs w:val="22"/>
        </w:rPr>
        <w:t xml:space="preserve"> ANA KAREN DAVILA GARCIA </w:t>
      </w:r>
      <w:r w:rsidRPr="00EB7F94">
        <w:rPr>
          <w:rFonts w:ascii="Palatino Linotype" w:hAnsi="Palatino Linotype"/>
          <w:i/>
          <w:color w:val="000000"/>
          <w:szCs w:val="22"/>
        </w:rPr>
        <w:sym w:font="Symbol" w:char="F076"/>
      </w:r>
      <w:r w:rsidRPr="00EB7F94">
        <w:rPr>
          <w:rFonts w:ascii="Palatino Linotype" w:hAnsi="Palatino Linotype"/>
          <w:i/>
          <w:color w:val="000000"/>
          <w:szCs w:val="22"/>
        </w:rPr>
        <w:t xml:space="preserve"> LAURA RIVERA HERNANDEZ </w:t>
      </w:r>
      <w:r w:rsidRPr="00EB7F94">
        <w:rPr>
          <w:rFonts w:ascii="Palatino Linotype" w:hAnsi="Palatino Linotype"/>
          <w:i/>
          <w:color w:val="000000"/>
          <w:szCs w:val="22"/>
        </w:rPr>
        <w:sym w:font="Symbol" w:char="F076"/>
      </w:r>
      <w:r w:rsidRPr="00EB7F94">
        <w:rPr>
          <w:rFonts w:ascii="Palatino Linotype" w:hAnsi="Palatino Linotype"/>
          <w:i/>
          <w:color w:val="000000"/>
          <w:szCs w:val="22"/>
        </w:rPr>
        <w:t xml:space="preserve"> GUADALUPE FLORES TOLEDO ASIMISMO, PIDO SE ME INFORME SI LA ULTIMA EBALUACION DEL DESEMPEÑO REALISADA POR LA P.L.C. SILVIA REYES VILCHIS, TITULAR DE LA DIRECCIONN DE ADMINISTRACION DE PERSONAL, CUMPLIO CON EL </w:t>
      </w:r>
      <w:r w:rsidRPr="00EB7F94">
        <w:rPr>
          <w:rFonts w:ascii="Palatino Linotype" w:hAnsi="Palatino Linotype"/>
          <w:i/>
          <w:color w:val="000000"/>
          <w:szCs w:val="22"/>
        </w:rPr>
        <w:lastRenderedPageBreak/>
        <w:t>REQUSITO: “LA EVALUASIÓN DEL DESEMPEÑO DEBE REALISARSE DE MANERA PRECENCIAL ENTRE LA EVALUADORA Y EL PERSONAL EVALUADO, MISMA QUE DEVE DE SER DE MANERA OBJETIBA Y CONFIDENCIAL”. • CUANTO DIAS ECONOMICOS AN PEDIDO HASTA LA FECHA LAS MENCIONADAS SERVIDORAS PUBLICAS DURANTE EL 2024. • CUANTAS INCAPACIDADES LLEBAN ASTA LA FECHA (AÑO 2024 • ME INFORME CUANTAS LLAMADAS DE ATENCIÓN, ACTAS ADMINISTRATIVAS, SANCIONES, AMONESTACIONES ESCRITAS AY EN EL EXPEDIENTE DE ELLAS, DEL AÑO EN CURSO, Y LOS MOTIVOS. • NOMBRE DE LAS CAPACITACIONES CURSADAS EN LOS ULTIMOS 2 AÑOS, DONDE INDIQ FECHA Y INSTITUCION QUE LA DIO • NIVEL DE ESTUDIOS • FECHA DE INGRESO AL GOBIERNO • FUNCIONES Y PUESTO POR ULTIMO QUE DESCRIBA PORQUE LAS SERVIDORAS PUBLICAS EN RELACION NO SON CONSIDERADAS PARA GANARSE EL ESTIMULO POR DESEMPEÑO” (Sic)</w:t>
      </w:r>
    </w:p>
    <w:p w14:paraId="6A08C03F" w14:textId="77777777" w:rsidR="000A5A70" w:rsidRPr="00EB7F94" w:rsidRDefault="000A5A70" w:rsidP="000A5A70">
      <w:pPr>
        <w:pStyle w:val="Prrafodelista"/>
        <w:spacing w:line="360" w:lineRule="auto"/>
        <w:ind w:left="0"/>
        <w:jc w:val="both"/>
        <w:rPr>
          <w:rFonts w:ascii="Palatino Linotype" w:hAnsi="Palatino Linotype" w:cs="Arial"/>
          <w:szCs w:val="22"/>
          <w:lang w:val="es-ES" w:eastAsia="es-ES"/>
        </w:rPr>
      </w:pPr>
    </w:p>
    <w:p w14:paraId="27EA8DA4" w14:textId="01EE5A7D" w:rsidR="000A5A70" w:rsidRPr="00EB7F94" w:rsidRDefault="00DE2189" w:rsidP="000A5A70">
      <w:pPr>
        <w:pStyle w:val="Prrafodelista"/>
        <w:numPr>
          <w:ilvl w:val="0"/>
          <w:numId w:val="1"/>
        </w:numPr>
        <w:spacing w:line="360" w:lineRule="auto"/>
        <w:ind w:left="0" w:firstLine="0"/>
        <w:jc w:val="both"/>
        <w:rPr>
          <w:rFonts w:ascii="Palatino Linotype" w:hAnsi="Palatino Linotype" w:cs="Arial"/>
          <w:szCs w:val="22"/>
          <w:lang w:val="es-ES" w:eastAsia="es-ES"/>
        </w:rPr>
      </w:pPr>
      <w:r w:rsidRPr="00EB7F94">
        <w:rPr>
          <w:rFonts w:ascii="Palatino Linotype" w:eastAsia="MS Gothic" w:hAnsi="Palatino Linotype"/>
          <w:szCs w:val="22"/>
        </w:rPr>
        <w:t>Ante ello</w:t>
      </w:r>
      <w:r w:rsidR="005D43DF" w:rsidRPr="00EB7F94">
        <w:rPr>
          <w:rFonts w:ascii="Palatino Linotype" w:eastAsia="MS Gothic" w:hAnsi="Palatino Linotype"/>
          <w:szCs w:val="22"/>
        </w:rPr>
        <w:t>, e</w:t>
      </w:r>
      <w:r w:rsidR="00383939" w:rsidRPr="00EB7F94">
        <w:rPr>
          <w:rFonts w:ascii="Palatino Linotype" w:eastAsia="MS Gothic" w:hAnsi="Palatino Linotype"/>
          <w:szCs w:val="22"/>
        </w:rPr>
        <w:t xml:space="preserve">l </w:t>
      </w:r>
      <w:r w:rsidR="00383939" w:rsidRPr="00EB7F94">
        <w:rPr>
          <w:rFonts w:ascii="Palatino Linotype" w:eastAsia="MS Gothic" w:hAnsi="Palatino Linotype"/>
          <w:b/>
          <w:szCs w:val="22"/>
        </w:rPr>
        <w:t>SUJETO OBLIGADO</w:t>
      </w:r>
      <w:r w:rsidR="00B30C21" w:rsidRPr="00EB7F94">
        <w:rPr>
          <w:rFonts w:ascii="Palatino Linotype" w:eastAsia="MS Gothic" w:hAnsi="Palatino Linotype"/>
          <w:szCs w:val="22"/>
        </w:rPr>
        <w:t xml:space="preserve"> </w:t>
      </w:r>
      <w:r w:rsidR="001268EE" w:rsidRPr="00EB7F94">
        <w:rPr>
          <w:rFonts w:ascii="Palatino Linotype" w:hAnsi="Palatino Linotype"/>
          <w:szCs w:val="22"/>
        </w:rPr>
        <w:t>por medio de la Directora de Administración de Personal, hizo entrega de la información solicitada, en términos del párrafo 3 de la presente resolución.</w:t>
      </w:r>
    </w:p>
    <w:p w14:paraId="25248F37" w14:textId="77777777" w:rsidR="004E664A" w:rsidRPr="00EB7F94" w:rsidRDefault="004E664A" w:rsidP="000A5A70">
      <w:pPr>
        <w:pStyle w:val="Prrafodelista"/>
        <w:spacing w:line="360" w:lineRule="auto"/>
        <w:ind w:left="0"/>
        <w:jc w:val="both"/>
        <w:rPr>
          <w:rFonts w:ascii="Palatino Linotype" w:hAnsi="Palatino Linotype" w:cs="Arial"/>
          <w:szCs w:val="22"/>
          <w:lang w:val="es-ES" w:eastAsia="es-ES"/>
        </w:rPr>
      </w:pPr>
    </w:p>
    <w:p w14:paraId="64631321" w14:textId="5ADE1EF2" w:rsidR="005D43DF" w:rsidRPr="00EB7F94" w:rsidRDefault="004E664A" w:rsidP="001268EE">
      <w:pPr>
        <w:pStyle w:val="Prrafodelista"/>
        <w:numPr>
          <w:ilvl w:val="0"/>
          <w:numId w:val="1"/>
        </w:numPr>
        <w:spacing w:line="360" w:lineRule="auto"/>
        <w:ind w:left="0" w:firstLine="0"/>
        <w:jc w:val="both"/>
        <w:rPr>
          <w:rFonts w:ascii="Palatino Linotype" w:hAnsi="Palatino Linotype" w:cs="Arial"/>
          <w:b/>
          <w:szCs w:val="22"/>
          <w:lang w:val="es-ES" w:eastAsia="es-ES"/>
        </w:rPr>
      </w:pPr>
      <w:r w:rsidRPr="00EB7F94">
        <w:rPr>
          <w:rFonts w:ascii="Palatino Linotype" w:hAnsi="Palatino Linotype" w:cs="Arial"/>
          <w:szCs w:val="22"/>
          <w:lang w:val="es-ES" w:eastAsia="es-ES"/>
        </w:rPr>
        <w:t xml:space="preserve">No obstante, el </w:t>
      </w:r>
      <w:r w:rsidRPr="00EB7F94">
        <w:rPr>
          <w:rFonts w:ascii="Palatino Linotype" w:hAnsi="Palatino Linotype" w:cs="Arial"/>
          <w:b/>
          <w:bCs/>
          <w:szCs w:val="22"/>
          <w:lang w:val="es-ES" w:eastAsia="es-ES"/>
        </w:rPr>
        <w:t>RECURRENTE</w:t>
      </w:r>
      <w:r w:rsidRPr="00EB7F94">
        <w:rPr>
          <w:rFonts w:ascii="Palatino Linotype" w:hAnsi="Palatino Linotype" w:cs="Arial"/>
          <w:szCs w:val="22"/>
          <w:lang w:val="es-ES" w:eastAsia="es-ES"/>
        </w:rPr>
        <w:t xml:space="preserve"> se inconformó </w:t>
      </w:r>
      <w:r w:rsidR="005D43DF" w:rsidRPr="00EB7F94">
        <w:rPr>
          <w:rFonts w:ascii="Palatino Linotype" w:hAnsi="Palatino Linotype" w:cs="Arial"/>
          <w:szCs w:val="22"/>
          <w:lang w:val="es-ES" w:eastAsia="es-ES"/>
        </w:rPr>
        <w:t>por medio</w:t>
      </w:r>
      <w:r w:rsidRPr="00EB7F94">
        <w:rPr>
          <w:rFonts w:ascii="Palatino Linotype" w:hAnsi="Palatino Linotype" w:cs="Arial"/>
          <w:szCs w:val="22"/>
          <w:lang w:val="es-ES" w:eastAsia="es-ES"/>
        </w:rPr>
        <w:t xml:space="preserve"> del recurso de revisión, </w:t>
      </w:r>
      <w:r w:rsidR="005D43DF" w:rsidRPr="00EB7F94">
        <w:rPr>
          <w:rFonts w:ascii="Palatino Linotype" w:hAnsi="Palatino Linotype" w:cs="Arial"/>
          <w:szCs w:val="22"/>
          <w:lang w:val="es-ES" w:eastAsia="es-ES"/>
        </w:rPr>
        <w:t>donde manifestó</w:t>
      </w:r>
      <w:r w:rsidR="00051464" w:rsidRPr="00EB7F94">
        <w:rPr>
          <w:rFonts w:ascii="Palatino Linotype" w:hAnsi="Palatino Linotype" w:cs="Arial"/>
          <w:szCs w:val="22"/>
          <w:lang w:val="es-ES" w:eastAsia="es-ES"/>
        </w:rPr>
        <w:t xml:space="preserve"> </w:t>
      </w:r>
      <w:r w:rsidR="000A5A70" w:rsidRPr="00EB7F94">
        <w:rPr>
          <w:rFonts w:ascii="Palatino Linotype" w:hAnsi="Palatino Linotype" w:cs="Arial"/>
          <w:szCs w:val="22"/>
          <w:lang w:val="es-ES" w:eastAsia="es-ES"/>
        </w:rPr>
        <w:t>lo siguiente</w:t>
      </w:r>
      <w:r w:rsidR="005D43DF" w:rsidRPr="00EB7F94">
        <w:rPr>
          <w:rFonts w:ascii="Palatino Linotype" w:hAnsi="Palatino Linotype" w:cs="Arial"/>
          <w:szCs w:val="22"/>
          <w:lang w:val="es-ES" w:eastAsia="es-ES"/>
        </w:rPr>
        <w:t xml:space="preserve">: </w:t>
      </w:r>
      <w:r w:rsidR="000A5A70" w:rsidRPr="00EB7F94">
        <w:rPr>
          <w:rFonts w:ascii="Palatino Linotype" w:eastAsiaTheme="minorEastAsia" w:hAnsi="Palatino Linotype"/>
          <w:b/>
          <w:i/>
          <w:iCs/>
          <w:szCs w:val="22"/>
          <w:lang w:val="es-ES_tradnl" w:eastAsia="es-ES"/>
        </w:rPr>
        <w:t>“</w:t>
      </w:r>
      <w:r w:rsidR="001268EE" w:rsidRPr="00EB7F94">
        <w:rPr>
          <w:rFonts w:ascii="Palatino Linotype" w:hAnsi="Palatino Linotype" w:cs="Arial"/>
          <w:i/>
          <w:szCs w:val="22"/>
          <w:lang w:val="es-ES" w:eastAsia="es-ES"/>
        </w:rPr>
        <w:t xml:space="preserve">El </w:t>
      </w:r>
      <w:r w:rsidR="001268EE" w:rsidRPr="00EB7F94">
        <w:rPr>
          <w:rFonts w:ascii="Palatino Linotype" w:hAnsi="Palatino Linotype"/>
          <w:i/>
          <w:color w:val="000000"/>
          <w:szCs w:val="22"/>
        </w:rPr>
        <w:t>cuadro donde se enuncian las evaluaciones del desempeño de las servidoras públicas citadas en dicha solicitud no es claro. S</w:t>
      </w:r>
      <w:r w:rsidR="001268EE" w:rsidRPr="00EB7F94">
        <w:rPr>
          <w:rFonts w:ascii="Palatino Linotype" w:hAnsi="Palatino Linotype"/>
          <w:b/>
          <w:i/>
          <w:color w:val="000000"/>
          <w:szCs w:val="22"/>
        </w:rPr>
        <w:t>olicito se me explique por qué aparece un guion, donde debería existir una calificación (0.00 a 10.00)</w:t>
      </w:r>
      <w:r w:rsidR="001268EE" w:rsidRPr="00EB7F94">
        <w:rPr>
          <w:rFonts w:ascii="Palatino Linotype" w:hAnsi="Palatino Linotype"/>
          <w:i/>
          <w:color w:val="000000"/>
          <w:szCs w:val="22"/>
        </w:rPr>
        <w:t xml:space="preserve">, considerando que el párrafo que le antecede refiere que dicha información consta en los archivos físicos y electrónicos; no obstante, las calificaciones de desempeño se encuentran (todas las solicitadas) en el Sistema Integral para la Gestión Administrativa del Personal, a excepción de la relativa al segundo semestre del año en curso. La omisión de información puede considerarse como ocultamiento de información ya que no existe motivo para no hacerla pública. En ese sentido, y como se afirma en su respuesta que se está cumpliendo con los requisitos de la convocatoria mismos que son: antigüedad de dos años en la Unidad Administrativa, Evaluación sobresaliente del desempeño, situación que no coincide con las evaluaciones del desempeño que se muestran en el cuadro que enviaron de la C. Karen Dávila. por lo que, si no se cumple ese criterio, así como la C. Estela Mejía tampoco cumple con el criterio de los dos años, estarían en la misma </w:t>
      </w:r>
      <w:r w:rsidR="001268EE" w:rsidRPr="00EB7F94">
        <w:rPr>
          <w:rFonts w:ascii="Palatino Linotype" w:hAnsi="Palatino Linotype"/>
          <w:i/>
          <w:color w:val="000000"/>
          <w:szCs w:val="22"/>
        </w:rPr>
        <w:lastRenderedPageBreak/>
        <w:t xml:space="preserve">condición de merecer el premio, sin considerar y sin menospreciar el grado académico de ésta última, las capacitaciones, así como que no cuenta con incapacidades, no ha solicitado días económicos, y tampoco cuenta con actas administrativas. Es importante mencionar que el trabajo de la C. Karen Dávila no es lo que la P.L.C. Silvia Reyes refiere, muestra de ello son los mensajes que escribe al grupo de WhatsApp de la D.A.P.,donde se evidencia su deficiente ortografía y redacción, reflejo de la inexistente capacitación, compromiso y responsabilidad con sus funciones. En ese mismo sentido </w:t>
      </w:r>
      <w:r w:rsidR="001268EE" w:rsidRPr="00EB7F94">
        <w:rPr>
          <w:rFonts w:ascii="Palatino Linotype" w:hAnsi="Palatino Linotype"/>
          <w:b/>
          <w:i/>
          <w:color w:val="000000"/>
          <w:szCs w:val="22"/>
        </w:rPr>
        <w:t>solicito me aclare quienes son de acuerdo a los lineamientos de la convocatoria sus dos pruebas testimoniales.</w:t>
      </w:r>
      <w:r w:rsidR="001268EE" w:rsidRPr="00EB7F94">
        <w:rPr>
          <w:rFonts w:ascii="Palatino Linotype" w:hAnsi="Palatino Linotype"/>
          <w:i/>
          <w:color w:val="000000"/>
          <w:szCs w:val="22"/>
        </w:rPr>
        <w:t xml:space="preserve"> Por lo que, de no cumplir ninguna servidora pública con los requisitos expuestos, ¿será correcto que ese premio se entregue? Así mismo solicito se me aclare porque refiere que no existe registro de capacitaciones, si las servidoras públicas acaban de entregar constancias de capacitación para concurso escalafonario, recalcando que de acuerdo al Procedimiento:110 Expediente de Personal, norma 20301/110-01 del Manual de Normas y Procedimientos de Desarrollo y Administración de Personal, que a la letra dice: Las dependencias del sector central del Poder Ejecutivo, así como sus órganos desconcentrados serán responsables de conformar y mantener actualizados los expedientes de los servidores públicos que estén adscritos a las mismas. </w:t>
      </w:r>
      <w:r w:rsidR="001268EE" w:rsidRPr="00EB7F94">
        <w:rPr>
          <w:rFonts w:ascii="Palatino Linotype" w:hAnsi="Palatino Linotype"/>
          <w:b/>
          <w:i/>
          <w:color w:val="000000"/>
          <w:szCs w:val="22"/>
        </w:rPr>
        <w:t>En virtud de lo anterior, si a sus manos llegaron esos documentos, ¿por qué no obran copias en sus expedientes?” (Sic)</w:t>
      </w:r>
    </w:p>
    <w:p w14:paraId="301228D4" w14:textId="77777777" w:rsidR="001268EE" w:rsidRPr="00EB7F94" w:rsidRDefault="001268EE" w:rsidP="001268EE">
      <w:pPr>
        <w:pStyle w:val="Prrafodelista"/>
        <w:spacing w:line="360" w:lineRule="auto"/>
        <w:ind w:left="0"/>
        <w:jc w:val="both"/>
        <w:rPr>
          <w:rFonts w:ascii="Palatino Linotype" w:hAnsi="Palatino Linotype" w:cs="Arial"/>
          <w:szCs w:val="22"/>
          <w:lang w:val="es-ES" w:eastAsia="es-ES"/>
        </w:rPr>
      </w:pPr>
    </w:p>
    <w:p w14:paraId="3E86B2D7" w14:textId="354B0767" w:rsidR="00DE2189" w:rsidRPr="00EB7F94" w:rsidRDefault="0065753D" w:rsidP="00DE2189">
      <w:pPr>
        <w:numPr>
          <w:ilvl w:val="0"/>
          <w:numId w:val="1"/>
        </w:numPr>
        <w:spacing w:line="360" w:lineRule="auto"/>
        <w:ind w:left="0" w:firstLine="0"/>
        <w:contextualSpacing/>
        <w:jc w:val="both"/>
        <w:rPr>
          <w:rFonts w:ascii="Palatino Linotype" w:hAnsi="Palatino Linotype"/>
          <w:color w:val="000000"/>
          <w:sz w:val="22"/>
          <w:szCs w:val="22"/>
        </w:rPr>
      </w:pPr>
      <w:r w:rsidRPr="00EB7F94">
        <w:rPr>
          <w:rFonts w:ascii="Palatino Linotype" w:hAnsi="Palatino Linotype"/>
          <w:color w:val="000000"/>
          <w:sz w:val="22"/>
          <w:szCs w:val="22"/>
        </w:rPr>
        <w:t>Expuesto lo anterior</w:t>
      </w:r>
      <w:r w:rsidR="00DE2189" w:rsidRPr="00EB7F94">
        <w:rPr>
          <w:rFonts w:ascii="Palatino Linotype" w:eastAsia="MS Mincho" w:hAnsi="Palatino Linotype"/>
          <w:sz w:val="22"/>
          <w:szCs w:val="22"/>
          <w:lang w:val="es-ES_tradnl" w:eastAsia="es-ES"/>
        </w:rPr>
        <w:t xml:space="preserve">, </w:t>
      </w:r>
      <w:r w:rsidRPr="00EB7F94">
        <w:rPr>
          <w:rFonts w:ascii="Palatino Linotype" w:eastAsia="MS Mincho" w:hAnsi="Palatino Linotype"/>
          <w:sz w:val="22"/>
          <w:szCs w:val="22"/>
          <w:lang w:val="es-ES_tradnl" w:eastAsia="es-ES"/>
        </w:rPr>
        <w:t xml:space="preserve">es necesario señalar que </w:t>
      </w:r>
      <w:r w:rsidR="00DE2189" w:rsidRPr="00EB7F94">
        <w:rPr>
          <w:rFonts w:ascii="Palatino Linotype" w:eastAsia="MS Mincho" w:hAnsi="Palatino Linotype"/>
          <w:sz w:val="22"/>
          <w:szCs w:val="22"/>
          <w:lang w:val="es-ES_tradnl" w:eastAsia="es-ES"/>
        </w:rPr>
        <w:t xml:space="preserve">hay </w:t>
      </w:r>
      <w:r w:rsidR="00DE2189" w:rsidRPr="00EB7F94">
        <w:rPr>
          <w:rFonts w:ascii="Palatino Linotype" w:eastAsia="Palatino Linotype" w:hAnsi="Palatino Linotype" w:cs="Palatino Linotype"/>
          <w:sz w:val="22"/>
          <w:szCs w:val="22"/>
        </w:rPr>
        <w:t xml:space="preserve">elementos entregados en respuesta por parte del </w:t>
      </w:r>
      <w:r w:rsidR="00DE2189" w:rsidRPr="00EB7F94">
        <w:rPr>
          <w:rFonts w:ascii="Palatino Linotype" w:eastAsia="Palatino Linotype" w:hAnsi="Palatino Linotype" w:cs="Palatino Linotype"/>
          <w:b/>
          <w:sz w:val="22"/>
          <w:szCs w:val="22"/>
        </w:rPr>
        <w:t>SUJETO OBLIGADO</w:t>
      </w:r>
      <w:r w:rsidR="00DE2189" w:rsidRPr="00EB7F94">
        <w:rPr>
          <w:rFonts w:ascii="Palatino Linotype" w:eastAsia="Palatino Linotype" w:hAnsi="Palatino Linotype" w:cs="Palatino Linotype"/>
          <w:sz w:val="22"/>
          <w:szCs w:val="22"/>
        </w:rPr>
        <w:t xml:space="preserve"> sobre los cuales </w:t>
      </w:r>
      <w:r w:rsidR="00DE2189" w:rsidRPr="00EB7F94">
        <w:rPr>
          <w:rFonts w:ascii="Palatino Linotype" w:eastAsia="Palatino Linotype" w:hAnsi="Palatino Linotype" w:cs="Palatino Linotype"/>
          <w:bCs/>
          <w:sz w:val="22"/>
          <w:szCs w:val="22"/>
        </w:rPr>
        <w:t xml:space="preserve">el </w:t>
      </w:r>
      <w:r w:rsidR="00DE2189" w:rsidRPr="00EB7F94">
        <w:rPr>
          <w:rFonts w:ascii="Palatino Linotype" w:eastAsia="Palatino Linotype" w:hAnsi="Palatino Linotype" w:cs="Palatino Linotype"/>
          <w:b/>
          <w:sz w:val="22"/>
          <w:szCs w:val="22"/>
        </w:rPr>
        <w:t>RECURRENTE</w:t>
      </w:r>
      <w:r w:rsidR="00DE2189" w:rsidRPr="00EB7F94">
        <w:rPr>
          <w:rFonts w:ascii="Palatino Linotype" w:eastAsia="Palatino Linotype" w:hAnsi="Palatino Linotype" w:cs="Palatino Linotype"/>
          <w:bCs/>
          <w:sz w:val="22"/>
          <w:szCs w:val="22"/>
        </w:rPr>
        <w:t xml:space="preserve"> no</w:t>
      </w:r>
      <w:r w:rsidR="00DE2189" w:rsidRPr="00EB7F94">
        <w:rPr>
          <w:rFonts w:ascii="Palatino Linotype" w:eastAsia="Palatino Linotype" w:hAnsi="Palatino Linotype" w:cs="Palatino Linotype"/>
          <w:sz w:val="22"/>
          <w:szCs w:val="22"/>
        </w:rPr>
        <w:t xml:space="preserve"> se inconformó.</w:t>
      </w:r>
    </w:p>
    <w:p w14:paraId="312FF421" w14:textId="77777777" w:rsidR="00DE2189" w:rsidRPr="00EB7F94" w:rsidRDefault="00DE2189" w:rsidP="00DE2189">
      <w:pPr>
        <w:pStyle w:val="Prrafodelista"/>
        <w:spacing w:line="360" w:lineRule="auto"/>
        <w:ind w:left="0"/>
        <w:jc w:val="both"/>
        <w:rPr>
          <w:rFonts w:ascii="Palatino Linotype" w:hAnsi="Palatino Linotype" w:cs="Arial"/>
          <w:szCs w:val="22"/>
          <w:lang w:val="es-ES" w:eastAsia="es-ES"/>
        </w:rPr>
      </w:pPr>
    </w:p>
    <w:p w14:paraId="37851E95" w14:textId="77777777" w:rsidR="00DE2189" w:rsidRPr="00EB7F94" w:rsidRDefault="00DE2189" w:rsidP="00DE2189">
      <w:pPr>
        <w:numPr>
          <w:ilvl w:val="0"/>
          <w:numId w:val="1"/>
        </w:numPr>
        <w:spacing w:line="360" w:lineRule="auto"/>
        <w:ind w:left="0" w:firstLine="0"/>
        <w:contextualSpacing/>
        <w:jc w:val="both"/>
        <w:rPr>
          <w:rFonts w:ascii="Palatino Linotype" w:hAnsi="Palatino Linotype"/>
          <w:color w:val="000000"/>
          <w:sz w:val="22"/>
          <w:szCs w:val="22"/>
        </w:rPr>
      </w:pPr>
      <w:r w:rsidRPr="00EB7F94">
        <w:rPr>
          <w:rFonts w:ascii="Palatino Linotype" w:hAnsi="Palatino Linotype"/>
          <w:color w:val="000000"/>
          <w:sz w:val="22"/>
          <w:szCs w:val="22"/>
        </w:rPr>
        <w:t xml:space="preserve">En </w:t>
      </w:r>
      <w:r w:rsidRPr="00EB7F94">
        <w:rPr>
          <w:rFonts w:ascii="Palatino Linotype" w:eastAsia="MS Mincho" w:hAnsi="Palatino Linotype"/>
          <w:sz w:val="22"/>
          <w:szCs w:val="22"/>
          <w:lang w:val="es-ES_tradnl" w:eastAsia="es-ES"/>
        </w:rPr>
        <w:t xml:space="preserve">este sentido, </w:t>
      </w:r>
      <w:r w:rsidRPr="00EB7F94">
        <w:rPr>
          <w:rFonts w:ascii="Palatino Linotype" w:eastAsia="Palatino Linotype" w:hAnsi="Palatino Linotype" w:cs="Palatino Linotype"/>
          <w:sz w:val="22"/>
          <w:szCs w:val="22"/>
        </w:rPr>
        <w:t>la parte de la respuesta que no fue impugnada debe declararse consentida, toda vez que al no realizar manifestaciones de inconformidad respecto de la respuesta proporcionada; no pueden producirse efectos jurídicos tendentes a revocar, confirmar o modificar el acto reclamado, ya que no realizó manifestación alguna al respecto.</w:t>
      </w:r>
    </w:p>
    <w:p w14:paraId="08F31CBD" w14:textId="77777777" w:rsidR="00DE2189" w:rsidRPr="00EB7F94" w:rsidRDefault="00DE2189" w:rsidP="00DE2189">
      <w:pPr>
        <w:spacing w:line="360" w:lineRule="auto"/>
        <w:ind w:right="49"/>
        <w:contextualSpacing/>
        <w:jc w:val="both"/>
        <w:rPr>
          <w:rFonts w:ascii="Palatino Linotype" w:hAnsi="Palatino Linotype"/>
          <w:color w:val="000000"/>
          <w:sz w:val="22"/>
          <w:szCs w:val="22"/>
        </w:rPr>
      </w:pPr>
    </w:p>
    <w:p w14:paraId="2CAAACDB" w14:textId="5E5E0004" w:rsidR="00DE2189" w:rsidRPr="00EB7F94" w:rsidRDefault="00DE2189" w:rsidP="00536D2E">
      <w:pPr>
        <w:pStyle w:val="Prrafodelista"/>
        <w:numPr>
          <w:ilvl w:val="0"/>
          <w:numId w:val="1"/>
        </w:numPr>
        <w:spacing w:line="360" w:lineRule="auto"/>
        <w:ind w:left="0" w:firstLine="0"/>
        <w:jc w:val="both"/>
        <w:rPr>
          <w:rFonts w:ascii="Palatino Linotype" w:hAnsi="Palatino Linotype" w:cs="Arial"/>
          <w:szCs w:val="22"/>
          <w:lang w:val="es-ES" w:eastAsia="es-ES"/>
        </w:rPr>
      </w:pPr>
      <w:r w:rsidRPr="00EB7F94">
        <w:rPr>
          <w:rFonts w:ascii="Palatino Linotype" w:hAnsi="Palatino Linotype" w:cs="Arial"/>
          <w:szCs w:val="22"/>
          <w:lang w:val="es-ES" w:eastAsia="es-ES"/>
        </w:rPr>
        <w:lastRenderedPageBreak/>
        <w:t xml:space="preserve">Sirve </w:t>
      </w:r>
      <w:r w:rsidRPr="00EB7F94">
        <w:rPr>
          <w:rFonts w:ascii="Palatino Linotype" w:eastAsia="MS Mincho" w:hAnsi="Palatino Linotype"/>
          <w:szCs w:val="22"/>
          <w:lang w:val="es-ES_tradnl" w:eastAsia="es-ES"/>
        </w:rPr>
        <w:t xml:space="preserve">de sustento, </w:t>
      </w:r>
      <w:r w:rsidRPr="00EB7F94">
        <w:rPr>
          <w:rFonts w:ascii="Palatino Linotype" w:eastAsia="Palatino Linotype" w:hAnsi="Palatino Linotype" w:cs="Palatino Linotype"/>
          <w:szCs w:val="22"/>
        </w:rPr>
        <w:t>la tesis jurisprudencial número VI.3o.C. J/60, publicada en el Semanario Judicial de la Federación y su Gaceta bajo el número de registro 176,608 que a la letra dice:</w:t>
      </w:r>
    </w:p>
    <w:p w14:paraId="57338413" w14:textId="77777777" w:rsidR="00DE2189" w:rsidRPr="00EB7F94" w:rsidRDefault="00DE2189" w:rsidP="00DE2189">
      <w:pPr>
        <w:pStyle w:val="Prrafodelista"/>
        <w:spacing w:line="360" w:lineRule="auto"/>
        <w:ind w:left="0"/>
        <w:jc w:val="both"/>
        <w:rPr>
          <w:rFonts w:ascii="Palatino Linotype" w:hAnsi="Palatino Linotype" w:cs="Arial"/>
          <w:szCs w:val="22"/>
          <w:lang w:val="es-ES" w:eastAsia="es-ES"/>
        </w:rPr>
      </w:pPr>
    </w:p>
    <w:p w14:paraId="3E94EDB4" w14:textId="6BAC4D46" w:rsidR="00DE2189" w:rsidRPr="00EB7F94" w:rsidRDefault="00DE2189" w:rsidP="00DE2189">
      <w:pPr>
        <w:tabs>
          <w:tab w:val="left" w:pos="851"/>
        </w:tabs>
        <w:ind w:left="567" w:right="616"/>
        <w:jc w:val="both"/>
        <w:rPr>
          <w:rFonts w:ascii="Palatino Linotype" w:eastAsia="Palatino Linotype" w:hAnsi="Palatino Linotype" w:cs="Palatino Linotype"/>
          <w:i/>
          <w:sz w:val="22"/>
          <w:szCs w:val="22"/>
        </w:rPr>
      </w:pPr>
      <w:r w:rsidRPr="00EB7F94">
        <w:rPr>
          <w:rFonts w:ascii="Palatino Linotype" w:eastAsia="Palatino Linotype" w:hAnsi="Palatino Linotype" w:cs="Palatino Linotype"/>
          <w:b/>
          <w:i/>
          <w:sz w:val="22"/>
          <w:szCs w:val="22"/>
        </w:rPr>
        <w:t xml:space="preserve">“ACTOS CONSENTIDOS. SON LOS QUE NO SE IMPUGNAN MEDIANTE EL RECURSO IDÓNEO. </w:t>
      </w:r>
      <w:r w:rsidRPr="00EB7F94">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26FE436" w14:textId="77777777" w:rsidR="00DE2189" w:rsidRPr="00EB7F94" w:rsidRDefault="00DE2189" w:rsidP="00DE2189">
      <w:pPr>
        <w:pStyle w:val="Prrafodelista"/>
        <w:spacing w:line="360" w:lineRule="auto"/>
        <w:ind w:left="0"/>
        <w:jc w:val="both"/>
        <w:rPr>
          <w:rFonts w:ascii="Palatino Linotype" w:hAnsi="Palatino Linotype" w:cs="Arial"/>
          <w:szCs w:val="22"/>
          <w:lang w:val="es-ES" w:eastAsia="es-ES"/>
        </w:rPr>
      </w:pPr>
    </w:p>
    <w:p w14:paraId="1C4C90DA" w14:textId="77777777" w:rsidR="00DE2189" w:rsidRPr="00EB7F94" w:rsidRDefault="00DE2189" w:rsidP="00DE2189">
      <w:pPr>
        <w:numPr>
          <w:ilvl w:val="0"/>
          <w:numId w:val="1"/>
        </w:numPr>
        <w:spacing w:line="360" w:lineRule="auto"/>
        <w:ind w:left="0" w:right="49" w:firstLine="0"/>
        <w:contextualSpacing/>
        <w:jc w:val="both"/>
        <w:rPr>
          <w:rFonts w:ascii="Palatino Linotype" w:hAnsi="Palatino Linotype"/>
          <w:color w:val="000000"/>
          <w:sz w:val="22"/>
          <w:szCs w:val="22"/>
        </w:rPr>
      </w:pPr>
      <w:r w:rsidRPr="00EB7F94">
        <w:rPr>
          <w:rFonts w:ascii="Palatino Linotype" w:hAnsi="Palatino Linotype"/>
          <w:color w:val="000000"/>
          <w:sz w:val="22"/>
          <w:szCs w:val="22"/>
        </w:rPr>
        <w:t xml:space="preserve">De </w:t>
      </w:r>
      <w:r w:rsidRPr="00EB7F94">
        <w:rPr>
          <w:rFonts w:ascii="Palatino Linotype" w:eastAsia="MS Mincho" w:hAnsi="Palatino Linotype"/>
          <w:sz w:val="22"/>
          <w:szCs w:val="22"/>
          <w:lang w:val="es-ES_tradnl" w:eastAsia="es-ES"/>
        </w:rPr>
        <w:t xml:space="preserve">la </w:t>
      </w:r>
      <w:r w:rsidRPr="00EB7F94">
        <w:rPr>
          <w:rFonts w:ascii="Palatino Linotype" w:eastAsia="Palatino Linotype" w:hAnsi="Palatino Linotype" w:cs="Palatino Linotype"/>
          <w:sz w:val="22"/>
          <w:szCs w:val="22"/>
        </w:rPr>
        <w:t xml:space="preserve">interpretación del criterio antes citado, se advierte que cuando el Particular impugnó la respuesta del </w:t>
      </w:r>
      <w:r w:rsidRPr="00EB7F94">
        <w:rPr>
          <w:rFonts w:ascii="Palatino Linotype" w:eastAsia="Palatino Linotype" w:hAnsi="Palatino Linotype" w:cs="Palatino Linotype"/>
          <w:b/>
          <w:sz w:val="22"/>
          <w:szCs w:val="22"/>
        </w:rPr>
        <w:t>SUJETO OBLIGADO</w:t>
      </w:r>
      <w:r w:rsidRPr="00EB7F94">
        <w:rPr>
          <w:rFonts w:ascii="Palatino Linotype" w:eastAsia="Palatino Linotype" w:hAnsi="Palatino Linotype" w:cs="Palatino Linotype"/>
          <w:sz w:val="22"/>
          <w:szCs w:val="22"/>
        </w:rPr>
        <w:t xml:space="preserve">, no expresó razón o motivo de inconformidad en contra de los rubros solicitados, por tanto, estos deben declararse atendidos, pues se entiende que la </w:t>
      </w:r>
      <w:r w:rsidRPr="00EB7F94">
        <w:rPr>
          <w:rFonts w:ascii="Palatino Linotype" w:eastAsia="Palatino Linotype" w:hAnsi="Palatino Linotype" w:cs="Palatino Linotype"/>
          <w:b/>
          <w:bCs/>
          <w:sz w:val="22"/>
          <w:szCs w:val="22"/>
        </w:rPr>
        <w:t>RECURRENTE</w:t>
      </w:r>
      <w:r w:rsidRPr="00EB7F94">
        <w:rPr>
          <w:rFonts w:ascii="Palatino Linotype" w:eastAsia="Palatino Linotype" w:hAnsi="Palatino Linotype" w:cs="Palatino Linotype"/>
          <w:sz w:val="22"/>
          <w:szCs w:val="22"/>
        </w:rPr>
        <w:t xml:space="preserve"> está conforme con la respuesta proporcionada por el</w:t>
      </w:r>
      <w:r w:rsidRPr="00EB7F94">
        <w:rPr>
          <w:rFonts w:ascii="Palatino Linotype" w:eastAsia="Palatino Linotype" w:hAnsi="Palatino Linotype" w:cs="Palatino Linotype"/>
          <w:b/>
          <w:sz w:val="22"/>
          <w:szCs w:val="22"/>
        </w:rPr>
        <w:t xml:space="preserve"> SUJETO OBLIGADO,</w:t>
      </w:r>
      <w:r w:rsidRPr="00EB7F94">
        <w:rPr>
          <w:rFonts w:ascii="Palatino Linotype" w:eastAsia="Palatino Linotype" w:hAnsi="Palatino Linotype" w:cs="Palatino Linotype"/>
          <w:sz w:val="22"/>
          <w:szCs w:val="22"/>
        </w:rPr>
        <w:t xml:space="preserve"> al no contravenir la misma.</w:t>
      </w:r>
    </w:p>
    <w:p w14:paraId="2AB611F8" w14:textId="77777777" w:rsidR="00DE2189" w:rsidRPr="00EB7F94" w:rsidRDefault="00DE2189" w:rsidP="00DE2189">
      <w:pPr>
        <w:spacing w:line="360" w:lineRule="auto"/>
        <w:ind w:right="49"/>
        <w:jc w:val="both"/>
        <w:rPr>
          <w:rFonts w:ascii="Palatino Linotype" w:hAnsi="Palatino Linotype" w:cs="Arial"/>
          <w:sz w:val="22"/>
          <w:szCs w:val="22"/>
          <w:lang w:val="es-ES" w:eastAsia="es-ES"/>
        </w:rPr>
      </w:pPr>
    </w:p>
    <w:p w14:paraId="43C60CB8" w14:textId="77777777" w:rsidR="00DE2189" w:rsidRPr="00EB7F94" w:rsidRDefault="00DE2189" w:rsidP="00DE2189">
      <w:pPr>
        <w:numPr>
          <w:ilvl w:val="0"/>
          <w:numId w:val="1"/>
        </w:numPr>
        <w:spacing w:line="360" w:lineRule="auto"/>
        <w:ind w:left="0" w:right="49" w:firstLine="0"/>
        <w:contextualSpacing/>
        <w:jc w:val="both"/>
        <w:rPr>
          <w:rFonts w:ascii="Palatino Linotype" w:hAnsi="Palatino Linotype"/>
          <w:color w:val="000000"/>
          <w:sz w:val="22"/>
          <w:szCs w:val="22"/>
        </w:rPr>
      </w:pPr>
      <w:r w:rsidRPr="00EB7F94">
        <w:rPr>
          <w:rFonts w:ascii="Palatino Linotype" w:hAnsi="Palatino Linotype"/>
          <w:color w:val="000000"/>
          <w:sz w:val="22"/>
          <w:szCs w:val="22"/>
        </w:rPr>
        <w:t xml:space="preserve">Ante </w:t>
      </w:r>
      <w:r w:rsidRPr="00EB7F94">
        <w:rPr>
          <w:rFonts w:ascii="Palatino Linotype" w:eastAsia="MS Mincho" w:hAnsi="Palatino Linotype"/>
          <w:sz w:val="22"/>
          <w:szCs w:val="22"/>
          <w:lang w:val="es-ES_tradnl" w:eastAsia="es-ES"/>
        </w:rPr>
        <w:t xml:space="preserve">ello, </w:t>
      </w:r>
      <w:r w:rsidRPr="00EB7F94">
        <w:rPr>
          <w:rFonts w:ascii="Palatino Linotype" w:eastAsia="Palatino Linotype" w:hAnsi="Palatino Linotype" w:cs="Palatino Linotype"/>
          <w:sz w:val="22"/>
          <w:szCs w:val="22"/>
        </w:rPr>
        <w:t>es importante traer a contexto la Tesis Jurisprudencial Número 3ª./J.7/91, Publicada en el Semanario Judicial de la Federación y su Gaceta bajo el número de registro 174,177, que establece lo siguiente:</w:t>
      </w:r>
    </w:p>
    <w:p w14:paraId="46A97C17" w14:textId="77777777" w:rsidR="00634ABE" w:rsidRPr="00EB7F94" w:rsidRDefault="00634ABE" w:rsidP="00634ABE">
      <w:pPr>
        <w:rPr>
          <w:rFonts w:ascii="Palatino Linotype" w:hAnsi="Palatino Linotype"/>
          <w:color w:val="000000"/>
          <w:sz w:val="22"/>
          <w:szCs w:val="22"/>
        </w:rPr>
      </w:pPr>
    </w:p>
    <w:p w14:paraId="6A2BB5A7" w14:textId="35D243BA" w:rsidR="00634ABE" w:rsidRPr="00EB7F94" w:rsidRDefault="00634ABE" w:rsidP="00634ABE">
      <w:pPr>
        <w:ind w:left="567" w:right="567"/>
        <w:jc w:val="both"/>
        <w:rPr>
          <w:rFonts w:ascii="Palatino Linotype" w:eastAsia="Palatino Linotype" w:hAnsi="Palatino Linotype" w:cs="Palatino Linotype"/>
          <w:i/>
          <w:sz w:val="22"/>
          <w:szCs w:val="22"/>
        </w:rPr>
      </w:pPr>
      <w:r w:rsidRPr="00EB7F94">
        <w:rPr>
          <w:rFonts w:ascii="Palatino Linotype" w:eastAsia="Palatino Linotype" w:hAnsi="Palatino Linotype" w:cs="Palatino Linotype"/>
          <w:b/>
          <w:i/>
          <w:sz w:val="22"/>
          <w:szCs w:val="22"/>
        </w:rPr>
        <w:t xml:space="preserve">“REVISIÓN EN AMPARO. LOS RESOLUTIVOS NO COMBATIDOS DEBEN DECLARARSE FIRMES. </w:t>
      </w:r>
      <w:r w:rsidRPr="00EB7F94">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2B89D1D9" w14:textId="77777777" w:rsidR="00634ABE" w:rsidRPr="00EB7F94" w:rsidRDefault="00634ABE" w:rsidP="00634ABE">
      <w:pPr>
        <w:rPr>
          <w:rFonts w:ascii="Palatino Linotype" w:hAnsi="Palatino Linotype"/>
          <w:color w:val="000000"/>
          <w:sz w:val="22"/>
          <w:szCs w:val="22"/>
        </w:rPr>
      </w:pPr>
    </w:p>
    <w:p w14:paraId="61444A3F" w14:textId="6DF980EE" w:rsidR="00634ABE" w:rsidRPr="00EB7F94" w:rsidRDefault="00634ABE" w:rsidP="00634ABE">
      <w:pPr>
        <w:numPr>
          <w:ilvl w:val="0"/>
          <w:numId w:val="1"/>
        </w:numPr>
        <w:spacing w:line="360" w:lineRule="auto"/>
        <w:ind w:left="0" w:right="49" w:firstLine="0"/>
        <w:contextualSpacing/>
        <w:jc w:val="both"/>
        <w:rPr>
          <w:rFonts w:ascii="Palatino Linotype" w:hAnsi="Palatino Linotype"/>
          <w:color w:val="000000"/>
          <w:sz w:val="22"/>
          <w:szCs w:val="22"/>
        </w:rPr>
      </w:pPr>
      <w:r w:rsidRPr="00EB7F94">
        <w:rPr>
          <w:rFonts w:ascii="Palatino Linotype" w:hAnsi="Palatino Linotype"/>
          <w:color w:val="000000"/>
          <w:sz w:val="22"/>
          <w:szCs w:val="22"/>
        </w:rPr>
        <w:t xml:space="preserve">Una vez hecha la precisión anterior, se advierte que este Instituto no se encuentra facultado para dudar de la veracidad de las respuestas emitidas por los Sujetos Obligados ni </w:t>
      </w:r>
      <w:r w:rsidRPr="00EB7F94">
        <w:rPr>
          <w:rFonts w:ascii="Palatino Linotype" w:hAnsi="Palatino Linotype"/>
          <w:color w:val="000000"/>
          <w:sz w:val="22"/>
          <w:szCs w:val="22"/>
        </w:rPr>
        <w:lastRenderedPageBreak/>
        <w:t xml:space="preserve">de la que ponen a disposición de los solicitantes; situación que se aleja de las atribuciones de este Órgano Garante que al momento que ponen a disposición ésta, la misma tiene el carácter oficial y se presume veraz, tan es así que la misma queda registrada en el </w:t>
      </w:r>
      <w:r w:rsidRPr="00EB7F94">
        <w:rPr>
          <w:rFonts w:ascii="Palatino Linotype" w:hAnsi="Palatino Linotype"/>
          <w:b/>
          <w:color w:val="000000"/>
          <w:sz w:val="22"/>
          <w:szCs w:val="22"/>
        </w:rPr>
        <w:t>SAIMEX.</w:t>
      </w:r>
    </w:p>
    <w:p w14:paraId="1A67BD7B" w14:textId="77777777" w:rsidR="0065753D" w:rsidRPr="00EB7F94" w:rsidRDefault="0065753D" w:rsidP="00634ABE">
      <w:pPr>
        <w:pStyle w:val="Prrafodelista"/>
        <w:suppressAutoHyphens/>
        <w:spacing w:line="360" w:lineRule="auto"/>
        <w:ind w:left="0" w:right="-28"/>
        <w:jc w:val="both"/>
        <w:rPr>
          <w:rFonts w:ascii="Palatino Linotype" w:hAnsi="Palatino Linotype"/>
          <w:szCs w:val="22"/>
          <w:lang w:val="es-ES_tradnl"/>
        </w:rPr>
      </w:pPr>
      <w:bookmarkStart w:id="7" w:name="_Toc452722829"/>
      <w:bookmarkStart w:id="8" w:name="_Toc454373811"/>
      <w:bookmarkStart w:id="9" w:name="_Toc476675991"/>
    </w:p>
    <w:p w14:paraId="722E3DAF" w14:textId="12C84953" w:rsidR="002B61B1" w:rsidRPr="00EB7F94" w:rsidRDefault="002B61B1" w:rsidP="00634ABE">
      <w:pPr>
        <w:pStyle w:val="Prrafodelista"/>
        <w:numPr>
          <w:ilvl w:val="0"/>
          <w:numId w:val="12"/>
        </w:numPr>
        <w:spacing w:line="360" w:lineRule="auto"/>
        <w:rPr>
          <w:rFonts w:ascii="Palatino Linotype" w:eastAsiaTheme="minorEastAsia" w:hAnsi="Palatino Linotype"/>
          <w:b/>
          <w:bCs/>
          <w:i/>
          <w:iCs/>
          <w:szCs w:val="22"/>
          <w:lang w:val="es-ES_tradnl" w:eastAsia="es-ES"/>
        </w:rPr>
      </w:pPr>
      <w:r w:rsidRPr="00EB7F94">
        <w:rPr>
          <w:rFonts w:ascii="Palatino Linotype" w:eastAsiaTheme="minorEastAsia" w:hAnsi="Palatino Linotype"/>
          <w:b/>
          <w:bCs/>
          <w:i/>
          <w:iCs/>
          <w:szCs w:val="22"/>
          <w:lang w:val="es-ES_tradnl" w:eastAsia="es-ES"/>
        </w:rPr>
        <w:t>De la Plus Petitio.</w:t>
      </w:r>
    </w:p>
    <w:p w14:paraId="5E7D0924" w14:textId="77777777" w:rsidR="00634ABE" w:rsidRPr="00EB7F94" w:rsidRDefault="00634ABE" w:rsidP="00634ABE">
      <w:pPr>
        <w:rPr>
          <w:rFonts w:ascii="Palatino Linotype" w:eastAsiaTheme="minorEastAsia" w:hAnsi="Palatino Linotype"/>
          <w:b/>
          <w:bCs/>
          <w:i/>
          <w:iCs/>
          <w:sz w:val="22"/>
          <w:szCs w:val="22"/>
          <w:lang w:val="es-ES_tradnl" w:eastAsia="es-ES"/>
        </w:rPr>
      </w:pPr>
    </w:p>
    <w:p w14:paraId="18EAF046" w14:textId="01453948" w:rsidR="001268EE" w:rsidRPr="00EB7F94" w:rsidRDefault="002B61B1" w:rsidP="001268EE">
      <w:pPr>
        <w:pStyle w:val="Prrafodelista"/>
        <w:numPr>
          <w:ilvl w:val="0"/>
          <w:numId w:val="1"/>
        </w:numPr>
        <w:spacing w:line="360" w:lineRule="auto"/>
        <w:ind w:left="0" w:firstLine="0"/>
        <w:jc w:val="both"/>
        <w:rPr>
          <w:rFonts w:ascii="Palatino Linotype" w:hAnsi="Palatino Linotype" w:cs="Arial"/>
          <w:szCs w:val="22"/>
          <w:lang w:val="es-ES" w:eastAsia="es-ES"/>
        </w:rPr>
      </w:pPr>
      <w:r w:rsidRPr="00EB7F94">
        <w:rPr>
          <w:rFonts w:ascii="Palatino Linotype" w:hAnsi="Palatino Linotype" w:cs="Arial"/>
          <w:szCs w:val="22"/>
          <w:lang w:val="es-ES" w:eastAsia="es-ES"/>
        </w:rPr>
        <w:t xml:space="preserve">Ahora bien, </w:t>
      </w:r>
      <w:r w:rsidRPr="00EB7F94">
        <w:rPr>
          <w:rFonts w:ascii="Palatino Linotype" w:eastAsiaTheme="minorEastAsia" w:hAnsi="Palatino Linotype"/>
          <w:szCs w:val="22"/>
          <w:lang w:val="es-ES_tradnl" w:eastAsia="es-ES"/>
        </w:rPr>
        <w:t xml:space="preserve">resulta necesario reiterar las razones o motivos de inconformidad </w:t>
      </w:r>
      <w:r w:rsidR="00634ABE" w:rsidRPr="00EB7F94">
        <w:rPr>
          <w:rFonts w:ascii="Palatino Linotype" w:eastAsiaTheme="minorEastAsia" w:hAnsi="Palatino Linotype"/>
          <w:szCs w:val="22"/>
          <w:lang w:val="es-ES_tradnl" w:eastAsia="es-ES"/>
        </w:rPr>
        <w:t>vertidos</w:t>
      </w:r>
      <w:r w:rsidRPr="00EB7F94">
        <w:rPr>
          <w:rFonts w:ascii="Palatino Linotype" w:eastAsiaTheme="minorEastAsia" w:hAnsi="Palatino Linotype"/>
          <w:szCs w:val="22"/>
          <w:lang w:val="es-ES_tradnl" w:eastAsia="es-ES"/>
        </w:rPr>
        <w:t xml:space="preserve"> en el recurso de revisión </w:t>
      </w:r>
      <w:r w:rsidR="001268EE" w:rsidRPr="00EB7F94">
        <w:rPr>
          <w:rFonts w:ascii="Palatino Linotype" w:eastAsia="Calibri" w:hAnsi="Palatino Linotype" w:cs="Tahoma"/>
          <w:b/>
          <w:bCs/>
          <w:szCs w:val="22"/>
          <w:lang w:eastAsia="en-US"/>
        </w:rPr>
        <w:t>07288</w:t>
      </w:r>
      <w:r w:rsidR="0065753D" w:rsidRPr="00EB7F94">
        <w:rPr>
          <w:rFonts w:ascii="Palatino Linotype" w:eastAsia="Calibri" w:hAnsi="Palatino Linotype" w:cs="Tahoma"/>
          <w:b/>
          <w:bCs/>
          <w:szCs w:val="22"/>
          <w:lang w:eastAsia="en-US"/>
        </w:rPr>
        <w:t>/INFOEM/IP/RR/2024</w:t>
      </w:r>
      <w:r w:rsidR="0065753D" w:rsidRPr="00EB7F94">
        <w:rPr>
          <w:rFonts w:ascii="Palatino Linotype" w:eastAsiaTheme="minorEastAsia" w:hAnsi="Palatino Linotype"/>
          <w:szCs w:val="22"/>
          <w:lang w:val="es-ES_tradnl" w:eastAsia="es-ES"/>
        </w:rPr>
        <w:t xml:space="preserve">, en los siguientes términos: </w:t>
      </w:r>
      <w:r w:rsidR="001268EE" w:rsidRPr="00EB7F94">
        <w:rPr>
          <w:rFonts w:ascii="Palatino Linotype" w:eastAsiaTheme="minorEastAsia" w:hAnsi="Palatino Linotype"/>
          <w:b/>
          <w:i/>
          <w:iCs/>
          <w:szCs w:val="22"/>
          <w:lang w:val="es-ES_tradnl" w:eastAsia="es-ES"/>
        </w:rPr>
        <w:t>“</w:t>
      </w:r>
      <w:r w:rsidR="001268EE" w:rsidRPr="00EB7F94">
        <w:rPr>
          <w:rFonts w:ascii="Palatino Linotype" w:hAnsi="Palatino Linotype" w:cs="Arial"/>
          <w:i/>
          <w:szCs w:val="22"/>
          <w:lang w:val="es-ES" w:eastAsia="es-ES"/>
        </w:rPr>
        <w:t xml:space="preserve">El </w:t>
      </w:r>
      <w:r w:rsidR="001268EE" w:rsidRPr="00EB7F94">
        <w:rPr>
          <w:rFonts w:ascii="Palatino Linotype" w:hAnsi="Palatino Linotype"/>
          <w:i/>
          <w:color w:val="000000"/>
          <w:szCs w:val="22"/>
        </w:rPr>
        <w:t>cuadro donde se enuncian las evaluaciones del desempeño de las servidoras públicas citadas en dicha solicitud no es claro. S</w:t>
      </w:r>
      <w:r w:rsidR="001268EE" w:rsidRPr="00EB7F94">
        <w:rPr>
          <w:rFonts w:ascii="Palatino Linotype" w:hAnsi="Palatino Linotype"/>
          <w:b/>
          <w:i/>
          <w:color w:val="000000"/>
          <w:szCs w:val="22"/>
        </w:rPr>
        <w:t>olicito se me explique por qué aparece un guion, donde debería existir una calificación (0.00 a 10.00)</w:t>
      </w:r>
      <w:r w:rsidR="001268EE" w:rsidRPr="00EB7F94">
        <w:rPr>
          <w:rFonts w:ascii="Palatino Linotype" w:hAnsi="Palatino Linotype"/>
          <w:i/>
          <w:color w:val="000000"/>
          <w:szCs w:val="22"/>
        </w:rPr>
        <w:t xml:space="preserve">, considerando que el párrafo que le antecede refiere que dicha información consta en los archivos físicos y electrónicos; … compromiso y responsabilidad con sus funciones. En ese mismo sentido </w:t>
      </w:r>
      <w:r w:rsidR="001268EE" w:rsidRPr="00EB7F94">
        <w:rPr>
          <w:rFonts w:ascii="Palatino Linotype" w:hAnsi="Palatino Linotype"/>
          <w:b/>
          <w:i/>
          <w:color w:val="000000"/>
          <w:szCs w:val="22"/>
        </w:rPr>
        <w:t>solicito me aclare quienes son de acuerdo a los lineamientos de la convocatoria sus dos pruebas testimoniales.</w:t>
      </w:r>
      <w:r w:rsidR="001268EE" w:rsidRPr="00EB7F94">
        <w:rPr>
          <w:rFonts w:ascii="Palatino Linotype" w:hAnsi="Palatino Linotype"/>
          <w:i/>
          <w:color w:val="000000"/>
          <w:szCs w:val="22"/>
        </w:rPr>
        <w:t xml:space="preserve"> Por lo que, de no cumplir ninguna servidora pública con los requisitos expuestos, </w:t>
      </w:r>
      <w:r w:rsidR="001268EE" w:rsidRPr="00EB7F94">
        <w:rPr>
          <w:rFonts w:ascii="Palatino Linotype" w:hAnsi="Palatino Linotype"/>
          <w:b/>
          <w:i/>
          <w:color w:val="000000"/>
          <w:szCs w:val="22"/>
        </w:rPr>
        <w:t>¿será correcto que ese premio se entregue?</w:t>
      </w:r>
      <w:r w:rsidR="001268EE" w:rsidRPr="00EB7F94">
        <w:rPr>
          <w:rFonts w:ascii="Palatino Linotype" w:hAnsi="Palatino Linotype"/>
          <w:i/>
          <w:color w:val="000000"/>
          <w:szCs w:val="22"/>
        </w:rPr>
        <w:t xml:space="preserve"> Así mismo solicito se me aclare porque refiere que no existe registro de capacitaciones, si las servidoras públicas acaban de entregar constancias de capacitación para concurso escalafonario, recalcando que de acuerdo al … y mantener actualizados los expedientes de los servidores públicos que estén adscritos a las mismas. </w:t>
      </w:r>
      <w:r w:rsidR="001268EE" w:rsidRPr="00EB7F94">
        <w:rPr>
          <w:rFonts w:ascii="Palatino Linotype" w:hAnsi="Palatino Linotype"/>
          <w:b/>
          <w:i/>
          <w:color w:val="000000"/>
          <w:szCs w:val="22"/>
        </w:rPr>
        <w:t>En virtud de lo anterior, si a sus manos llegaron esos documentos, ¿por qué no obran copias en sus expedientes?” (Sic)</w:t>
      </w:r>
    </w:p>
    <w:p w14:paraId="52CB8D87" w14:textId="77777777" w:rsidR="002B61B1" w:rsidRPr="00EB7F94" w:rsidRDefault="002B61B1" w:rsidP="002B61B1">
      <w:pPr>
        <w:spacing w:line="360" w:lineRule="auto"/>
        <w:jc w:val="both"/>
        <w:rPr>
          <w:rFonts w:ascii="Palatino Linotype" w:hAnsi="Palatino Linotype" w:cs="Arial"/>
          <w:sz w:val="22"/>
          <w:szCs w:val="22"/>
          <w:lang w:val="es-ES" w:eastAsia="es-ES"/>
        </w:rPr>
      </w:pPr>
    </w:p>
    <w:p w14:paraId="4ADBE084" w14:textId="77777777" w:rsidR="00634ABE" w:rsidRPr="00EB7F94" w:rsidRDefault="002B61B1" w:rsidP="002B61B1">
      <w:pPr>
        <w:pStyle w:val="Prrafodelista"/>
        <w:numPr>
          <w:ilvl w:val="0"/>
          <w:numId w:val="1"/>
        </w:numPr>
        <w:spacing w:line="360" w:lineRule="auto"/>
        <w:ind w:left="0" w:firstLine="0"/>
        <w:jc w:val="both"/>
        <w:rPr>
          <w:rFonts w:ascii="Palatino Linotype" w:hAnsi="Palatino Linotype" w:cs="Arial"/>
          <w:szCs w:val="22"/>
          <w:lang w:val="es-ES" w:eastAsia="es-ES"/>
        </w:rPr>
      </w:pPr>
      <w:r w:rsidRPr="00EB7F94">
        <w:rPr>
          <w:rFonts w:ascii="Palatino Linotype" w:hAnsi="Palatino Linotype"/>
          <w:color w:val="000000"/>
          <w:szCs w:val="22"/>
          <w:lang w:val="es-ES_tradnl"/>
        </w:rPr>
        <w:t xml:space="preserve">Conforme a lo anterior, </w:t>
      </w:r>
      <w:r w:rsidRPr="00EB7F94">
        <w:rPr>
          <w:rFonts w:ascii="Palatino Linotype" w:eastAsiaTheme="minorEastAsia" w:hAnsi="Palatino Linotype" w:cs="Arial"/>
          <w:szCs w:val="22"/>
          <w:lang w:eastAsia="es-ES"/>
        </w:rPr>
        <w:t xml:space="preserve">el sistema de medios de impugnación se centra en el análisis de los agravios o motivos de inconformidad, los que deben tener relación directa con el acto de autoridad que lo motiva. </w:t>
      </w:r>
    </w:p>
    <w:p w14:paraId="09E8AF2C" w14:textId="77777777" w:rsidR="00634ABE" w:rsidRPr="00EB7F94" w:rsidRDefault="00634ABE" w:rsidP="00634ABE">
      <w:pPr>
        <w:rPr>
          <w:rFonts w:ascii="Palatino Linotype" w:eastAsiaTheme="minorEastAsia" w:hAnsi="Palatino Linotype" w:cs="Arial"/>
          <w:sz w:val="22"/>
          <w:szCs w:val="22"/>
          <w:lang w:eastAsia="es-ES"/>
        </w:rPr>
      </w:pPr>
    </w:p>
    <w:p w14:paraId="66015A51" w14:textId="04A469A9" w:rsidR="002B61B1" w:rsidRPr="00EB7F94" w:rsidRDefault="002B61B1" w:rsidP="002B61B1">
      <w:pPr>
        <w:pStyle w:val="Prrafodelista"/>
        <w:numPr>
          <w:ilvl w:val="0"/>
          <w:numId w:val="1"/>
        </w:numPr>
        <w:spacing w:line="360" w:lineRule="auto"/>
        <w:ind w:left="0" w:firstLine="0"/>
        <w:jc w:val="both"/>
        <w:rPr>
          <w:rFonts w:ascii="Palatino Linotype" w:hAnsi="Palatino Linotype" w:cs="Arial"/>
          <w:szCs w:val="22"/>
          <w:lang w:val="es-ES" w:eastAsia="es-ES"/>
        </w:rPr>
      </w:pPr>
      <w:r w:rsidRPr="00EB7F94">
        <w:rPr>
          <w:rFonts w:ascii="Palatino Linotype" w:eastAsiaTheme="minorEastAsia" w:hAnsi="Palatino Linotype" w:cs="Arial"/>
          <w:szCs w:val="22"/>
          <w:lang w:eastAsia="es-ES"/>
        </w:rPr>
        <w:t xml:space="preserve">En materia de transparencia, los motivos de la inconformidad deben versar sobre la respuesta de información proporcionada por los sujetos obligados o la negativa de entrega de la misma, derivada de la solicitud de información pública. De este modo, en los motivos de </w:t>
      </w:r>
      <w:r w:rsidRPr="00EB7F94">
        <w:rPr>
          <w:rFonts w:ascii="Palatino Linotype" w:eastAsiaTheme="minorEastAsia" w:hAnsi="Palatino Linotype" w:cs="Arial"/>
          <w:szCs w:val="22"/>
          <w:lang w:eastAsia="es-ES"/>
        </w:rPr>
        <w:lastRenderedPageBreak/>
        <w:t xml:space="preserve">inconformidad los recurrentes no pueden incluir situaciones novedosas o solicitudes de información nuevas de las que el </w:t>
      </w:r>
      <w:r w:rsidR="00634ABE" w:rsidRPr="00EB7F94">
        <w:rPr>
          <w:rFonts w:ascii="Palatino Linotype" w:eastAsiaTheme="minorEastAsia" w:hAnsi="Palatino Linotype" w:cs="Arial"/>
          <w:b/>
          <w:szCs w:val="22"/>
          <w:lang w:eastAsia="es-ES"/>
        </w:rPr>
        <w:t>SUJETO OBLIGADO</w:t>
      </w:r>
      <w:r w:rsidR="00634ABE" w:rsidRPr="00EB7F94">
        <w:rPr>
          <w:rFonts w:ascii="Palatino Linotype" w:eastAsiaTheme="minorEastAsia" w:hAnsi="Palatino Linotype" w:cs="Arial"/>
          <w:szCs w:val="22"/>
          <w:lang w:eastAsia="es-ES"/>
        </w:rPr>
        <w:t xml:space="preserve"> </w:t>
      </w:r>
      <w:r w:rsidRPr="00EB7F94">
        <w:rPr>
          <w:rFonts w:ascii="Palatino Linotype" w:eastAsiaTheme="minorEastAsia" w:hAnsi="Palatino Linotype" w:cs="Arial"/>
          <w:szCs w:val="22"/>
          <w:lang w:eastAsia="es-ES"/>
        </w:rPr>
        <w:t>no tuvo la oportunidad de conocer y por consiguiente producir un posicionamiento.</w:t>
      </w:r>
    </w:p>
    <w:p w14:paraId="5CF2D34E" w14:textId="77777777" w:rsidR="002B61B1" w:rsidRPr="00EB7F94" w:rsidRDefault="002B61B1" w:rsidP="002B61B1">
      <w:pPr>
        <w:rPr>
          <w:rFonts w:ascii="Palatino Linotype" w:hAnsi="Palatino Linotype"/>
          <w:color w:val="000000"/>
          <w:sz w:val="22"/>
          <w:szCs w:val="22"/>
          <w:lang w:val="es-ES_tradnl"/>
        </w:rPr>
      </w:pPr>
    </w:p>
    <w:p w14:paraId="45CE52AC" w14:textId="47666F21" w:rsidR="002B61B1" w:rsidRPr="00EB7F94" w:rsidRDefault="002B61B1" w:rsidP="002B61B1">
      <w:pPr>
        <w:numPr>
          <w:ilvl w:val="0"/>
          <w:numId w:val="1"/>
        </w:numPr>
        <w:spacing w:line="360" w:lineRule="auto"/>
        <w:ind w:left="0" w:firstLine="0"/>
        <w:contextualSpacing/>
        <w:jc w:val="both"/>
        <w:rPr>
          <w:rFonts w:ascii="Palatino Linotype" w:hAnsi="Palatino Linotype"/>
          <w:color w:val="000000"/>
          <w:sz w:val="22"/>
          <w:szCs w:val="22"/>
          <w:lang w:val="es-ES_tradnl"/>
        </w:rPr>
      </w:pPr>
      <w:r w:rsidRPr="00EB7F94">
        <w:rPr>
          <w:rFonts w:ascii="Palatino Linotype" w:hAnsi="Palatino Linotype"/>
          <w:color w:val="000000"/>
          <w:sz w:val="22"/>
          <w:szCs w:val="22"/>
          <w:lang w:val="es-ES_tradnl"/>
        </w:rPr>
        <w:t xml:space="preserve">Es </w:t>
      </w:r>
      <w:r w:rsidRPr="00EB7F94">
        <w:rPr>
          <w:rFonts w:ascii="Palatino Linotype" w:eastAsiaTheme="minorEastAsia" w:hAnsi="Palatino Linotype" w:cs="Arial"/>
          <w:sz w:val="22"/>
          <w:szCs w:val="22"/>
          <w:lang w:val="es-ES_tradnl" w:eastAsia="es-ES"/>
        </w:rPr>
        <w:t>por ello, que la Ley de la materia contempla que en los casos en que a través del recurso de revisión se pretenda ampliar los requerimientos de información, la inconformidad relativa a estas situaciones novedosas no debe ser tomada en cuenta como parte de la Litis y debe ser desechada, tal y como lo establece el artículo 191 fracción VII.</w:t>
      </w:r>
    </w:p>
    <w:p w14:paraId="3DB2BAC7" w14:textId="77777777" w:rsidR="0065753D" w:rsidRPr="00EB7F94" w:rsidRDefault="0065753D" w:rsidP="0065753D">
      <w:pPr>
        <w:spacing w:line="360" w:lineRule="auto"/>
        <w:contextualSpacing/>
        <w:jc w:val="both"/>
        <w:rPr>
          <w:rFonts w:ascii="Palatino Linotype" w:hAnsi="Palatino Linotype"/>
          <w:color w:val="000000"/>
          <w:sz w:val="22"/>
          <w:szCs w:val="22"/>
          <w:lang w:val="es-ES_tradnl"/>
        </w:rPr>
      </w:pPr>
    </w:p>
    <w:p w14:paraId="17467976" w14:textId="77777777" w:rsidR="002B61B1" w:rsidRPr="00EB7F94" w:rsidRDefault="002B61B1" w:rsidP="002B61B1">
      <w:pPr>
        <w:ind w:left="567" w:right="539"/>
        <w:contextualSpacing/>
        <w:jc w:val="both"/>
        <w:rPr>
          <w:rFonts w:ascii="Palatino Linotype" w:eastAsiaTheme="minorEastAsia" w:hAnsi="Palatino Linotype" w:cs="Arial"/>
          <w:i/>
          <w:sz w:val="22"/>
          <w:szCs w:val="22"/>
          <w:lang w:val="es-ES_tradnl" w:eastAsia="es-ES"/>
        </w:rPr>
      </w:pPr>
      <w:r w:rsidRPr="00EB7F94">
        <w:rPr>
          <w:rFonts w:ascii="Palatino Linotype" w:eastAsiaTheme="minorEastAsia" w:hAnsi="Palatino Linotype" w:cs="Arial"/>
          <w:b/>
          <w:bCs/>
          <w:i/>
          <w:sz w:val="22"/>
          <w:szCs w:val="22"/>
          <w:lang w:val="es-ES_tradnl" w:eastAsia="es-ES"/>
        </w:rPr>
        <w:t>“Artículo 191.</w:t>
      </w:r>
      <w:r w:rsidRPr="00EB7F94">
        <w:rPr>
          <w:rFonts w:ascii="Palatino Linotype" w:eastAsiaTheme="minorEastAsia" w:hAnsi="Palatino Linotype" w:cs="Arial"/>
          <w:i/>
          <w:sz w:val="22"/>
          <w:szCs w:val="22"/>
          <w:lang w:val="es-ES_tradnl" w:eastAsia="es-ES"/>
        </w:rPr>
        <w:t xml:space="preserve"> El recurso será desechado por improcedente cuando:</w:t>
      </w:r>
    </w:p>
    <w:p w14:paraId="05AE69B4" w14:textId="77777777" w:rsidR="002B61B1" w:rsidRPr="00EB7F94" w:rsidRDefault="002B61B1" w:rsidP="002B61B1">
      <w:pPr>
        <w:ind w:left="567" w:right="539"/>
        <w:contextualSpacing/>
        <w:jc w:val="both"/>
        <w:rPr>
          <w:rFonts w:ascii="Palatino Linotype" w:eastAsiaTheme="minorEastAsia" w:hAnsi="Palatino Linotype" w:cs="Arial"/>
          <w:i/>
          <w:sz w:val="22"/>
          <w:szCs w:val="22"/>
          <w:lang w:val="es-ES_tradnl" w:eastAsia="es-ES"/>
        </w:rPr>
      </w:pPr>
      <w:r w:rsidRPr="00EB7F94">
        <w:rPr>
          <w:rFonts w:ascii="Palatino Linotype" w:eastAsiaTheme="minorEastAsia" w:hAnsi="Palatino Linotype" w:cs="Arial"/>
          <w:i/>
          <w:sz w:val="22"/>
          <w:szCs w:val="22"/>
          <w:lang w:val="es-ES_tradnl" w:eastAsia="es-ES"/>
        </w:rPr>
        <w:t>(…)</w:t>
      </w:r>
    </w:p>
    <w:p w14:paraId="0F19DCF6" w14:textId="77777777" w:rsidR="002B61B1" w:rsidRPr="00EB7F94" w:rsidRDefault="002B61B1" w:rsidP="002B61B1">
      <w:pPr>
        <w:ind w:left="567" w:right="539"/>
        <w:contextualSpacing/>
        <w:jc w:val="both"/>
        <w:rPr>
          <w:rFonts w:ascii="Palatino Linotype" w:eastAsiaTheme="minorEastAsia" w:hAnsi="Palatino Linotype" w:cs="Arial"/>
          <w:b/>
          <w:bCs/>
          <w:i/>
          <w:sz w:val="22"/>
          <w:szCs w:val="22"/>
          <w:lang w:val="es-ES_tradnl" w:eastAsia="es-ES"/>
        </w:rPr>
      </w:pPr>
      <w:r w:rsidRPr="00EB7F94">
        <w:rPr>
          <w:rFonts w:ascii="Palatino Linotype" w:eastAsiaTheme="minorEastAsia" w:hAnsi="Palatino Linotype" w:cs="Arial"/>
          <w:b/>
          <w:bCs/>
          <w:i/>
          <w:sz w:val="22"/>
          <w:szCs w:val="22"/>
          <w:lang w:val="es-ES_tradnl" w:eastAsia="es-ES"/>
        </w:rPr>
        <w:t>VII. El recurrente amplíe su solicitud en el recurso de revisión, únicamente respecto de los nuevos contenidos.</w:t>
      </w:r>
    </w:p>
    <w:p w14:paraId="6C6271FF" w14:textId="4765F74F" w:rsidR="002B61B1" w:rsidRPr="00EB7F94" w:rsidRDefault="00634ABE" w:rsidP="00634ABE">
      <w:pPr>
        <w:ind w:left="567" w:right="539"/>
        <w:contextualSpacing/>
        <w:jc w:val="both"/>
        <w:rPr>
          <w:rFonts w:ascii="Palatino Linotype" w:eastAsiaTheme="minorEastAsia" w:hAnsi="Palatino Linotype" w:cs="Arial"/>
          <w:i/>
          <w:sz w:val="22"/>
          <w:szCs w:val="22"/>
          <w:lang w:val="es-ES_tradnl" w:eastAsia="es-ES"/>
        </w:rPr>
      </w:pPr>
      <w:r w:rsidRPr="00EB7F94">
        <w:rPr>
          <w:rFonts w:ascii="Palatino Linotype" w:eastAsiaTheme="minorEastAsia" w:hAnsi="Palatino Linotype" w:cs="Arial"/>
          <w:i/>
          <w:sz w:val="22"/>
          <w:szCs w:val="22"/>
          <w:lang w:val="es-ES_tradnl" w:eastAsia="es-ES"/>
        </w:rPr>
        <w:t>(…)”</w:t>
      </w:r>
    </w:p>
    <w:p w14:paraId="2DCD5DC1" w14:textId="77777777" w:rsidR="00634ABE" w:rsidRPr="00EB7F94" w:rsidRDefault="00634ABE" w:rsidP="00634ABE">
      <w:pPr>
        <w:ind w:right="539"/>
        <w:contextualSpacing/>
        <w:jc w:val="both"/>
        <w:rPr>
          <w:rFonts w:ascii="Palatino Linotype" w:eastAsiaTheme="minorEastAsia" w:hAnsi="Palatino Linotype" w:cs="Arial"/>
          <w:i/>
          <w:sz w:val="22"/>
          <w:szCs w:val="22"/>
          <w:lang w:val="es-ES_tradnl" w:eastAsia="es-ES"/>
        </w:rPr>
      </w:pPr>
    </w:p>
    <w:p w14:paraId="17BC2306" w14:textId="77777777" w:rsidR="002B61B1" w:rsidRPr="00EB7F94" w:rsidRDefault="002B61B1" w:rsidP="002B61B1">
      <w:pPr>
        <w:numPr>
          <w:ilvl w:val="0"/>
          <w:numId w:val="1"/>
        </w:numPr>
        <w:spacing w:line="360" w:lineRule="auto"/>
        <w:ind w:left="0" w:right="49" w:firstLine="0"/>
        <w:contextualSpacing/>
        <w:jc w:val="both"/>
        <w:rPr>
          <w:rFonts w:ascii="Palatino Linotype" w:hAnsi="Palatino Linotype"/>
          <w:color w:val="000000"/>
          <w:sz w:val="22"/>
          <w:szCs w:val="22"/>
          <w:lang w:val="es-ES_tradnl"/>
        </w:rPr>
      </w:pPr>
      <w:r w:rsidRPr="00EB7F94">
        <w:rPr>
          <w:rFonts w:ascii="Palatino Linotype" w:hAnsi="Palatino Linotype"/>
          <w:color w:val="000000"/>
          <w:sz w:val="22"/>
          <w:szCs w:val="22"/>
          <w:lang w:val="es-ES_tradnl"/>
        </w:rPr>
        <w:t xml:space="preserve">Por </w:t>
      </w:r>
      <w:r w:rsidRPr="00EB7F94">
        <w:rPr>
          <w:rFonts w:ascii="Palatino Linotype" w:eastAsiaTheme="minorEastAsia" w:hAnsi="Palatino Linotype" w:cs="Arial"/>
          <w:sz w:val="22"/>
          <w:szCs w:val="22"/>
          <w:lang w:eastAsia="es-ES"/>
        </w:rPr>
        <w:t xml:space="preserve">lo anterior, resulta improcedente el referido motivo de inconformidad, ya que </w:t>
      </w:r>
      <w:r w:rsidRPr="00EB7F94">
        <w:rPr>
          <w:rFonts w:ascii="Palatino Linotype" w:hAnsi="Palatino Linotype" w:cs="Arial"/>
          <w:color w:val="000000"/>
          <w:sz w:val="22"/>
          <w:szCs w:val="22"/>
        </w:rPr>
        <w:t xml:space="preserve">se aprecia que la </w:t>
      </w:r>
      <w:r w:rsidRPr="00EB7F94">
        <w:rPr>
          <w:rFonts w:ascii="Palatino Linotype" w:hAnsi="Palatino Linotype" w:cs="Arial"/>
          <w:b/>
          <w:bCs/>
          <w:color w:val="000000"/>
          <w:sz w:val="22"/>
          <w:szCs w:val="22"/>
        </w:rPr>
        <w:t>RECURRENTE</w:t>
      </w:r>
      <w:r w:rsidRPr="00EB7F94">
        <w:rPr>
          <w:rFonts w:ascii="Palatino Linotype" w:hAnsi="Palatino Linotype" w:cs="Arial"/>
          <w:color w:val="000000"/>
          <w:sz w:val="22"/>
          <w:szCs w:val="22"/>
        </w:rPr>
        <w:t xml:space="preserve"> se excede dentro de su inconformidad respecto a lo requerido originalmente en la solicitud de información, siendo el caso que pretende ampliar lo solicitado de origen, lo que hace que se surta lo que en la teoría jurídica se le denomina </w:t>
      </w:r>
      <w:r w:rsidRPr="00EB7F94">
        <w:rPr>
          <w:rFonts w:ascii="Palatino Linotype" w:hAnsi="Palatino Linotype" w:cs="Arial"/>
          <w:b/>
          <w:bCs/>
          <w:i/>
          <w:iCs/>
          <w:color w:val="000000"/>
          <w:sz w:val="22"/>
          <w:szCs w:val="22"/>
        </w:rPr>
        <w:t>plus petitio.</w:t>
      </w:r>
    </w:p>
    <w:p w14:paraId="27985980" w14:textId="77777777" w:rsidR="002B61B1" w:rsidRPr="00EB7F94" w:rsidRDefault="002B61B1" w:rsidP="002B61B1">
      <w:pPr>
        <w:spacing w:line="360" w:lineRule="auto"/>
        <w:ind w:right="49"/>
        <w:contextualSpacing/>
        <w:jc w:val="both"/>
        <w:rPr>
          <w:rFonts w:ascii="Palatino Linotype" w:hAnsi="Palatino Linotype"/>
          <w:color w:val="000000"/>
          <w:sz w:val="22"/>
          <w:szCs w:val="22"/>
          <w:lang w:val="es-ES_tradnl"/>
        </w:rPr>
      </w:pPr>
    </w:p>
    <w:p w14:paraId="1AAE3F72" w14:textId="77777777" w:rsidR="002B61B1" w:rsidRPr="00EB7F94" w:rsidRDefault="002B61B1" w:rsidP="002B61B1">
      <w:pPr>
        <w:numPr>
          <w:ilvl w:val="0"/>
          <w:numId w:val="1"/>
        </w:numPr>
        <w:spacing w:line="360" w:lineRule="auto"/>
        <w:ind w:left="0" w:right="49" w:firstLine="0"/>
        <w:contextualSpacing/>
        <w:jc w:val="both"/>
        <w:rPr>
          <w:rFonts w:ascii="Palatino Linotype" w:hAnsi="Palatino Linotype"/>
          <w:color w:val="000000"/>
          <w:sz w:val="22"/>
          <w:szCs w:val="22"/>
          <w:lang w:val="es-ES_tradnl"/>
        </w:rPr>
      </w:pPr>
      <w:r w:rsidRPr="00EB7F94">
        <w:rPr>
          <w:rFonts w:ascii="Palatino Linotype" w:hAnsi="Palatino Linotype"/>
          <w:color w:val="000000"/>
          <w:sz w:val="22"/>
          <w:szCs w:val="22"/>
          <w:lang w:val="es-ES_tradnl"/>
        </w:rPr>
        <w:t xml:space="preserve">Sirve </w:t>
      </w:r>
      <w:r w:rsidRPr="00EB7F94">
        <w:rPr>
          <w:rFonts w:ascii="Palatino Linotype" w:hAnsi="Palatino Linotype" w:cs="Arial"/>
          <w:color w:val="000000"/>
          <w:sz w:val="22"/>
          <w:szCs w:val="22"/>
        </w:rPr>
        <w:t>de apoyo el criterio 01/17 emitido por el Instituto Nacional de Transparencia, Acceso a la Información y Protección de Datos Personales que establece lo siguiente:</w:t>
      </w:r>
    </w:p>
    <w:p w14:paraId="29C4B7E1" w14:textId="77777777" w:rsidR="002B61B1" w:rsidRPr="00EB7F94" w:rsidRDefault="002B61B1" w:rsidP="002B61B1">
      <w:pPr>
        <w:spacing w:line="360" w:lineRule="auto"/>
        <w:ind w:right="49"/>
        <w:contextualSpacing/>
        <w:jc w:val="both"/>
        <w:rPr>
          <w:rFonts w:ascii="Palatino Linotype" w:hAnsi="Palatino Linotype"/>
          <w:color w:val="000000"/>
          <w:sz w:val="22"/>
          <w:szCs w:val="22"/>
          <w:lang w:val="es-ES_tradnl"/>
        </w:rPr>
      </w:pPr>
    </w:p>
    <w:p w14:paraId="7ACF06CE" w14:textId="77777777" w:rsidR="002B61B1" w:rsidRPr="00EB7F94" w:rsidRDefault="002B61B1" w:rsidP="002B61B1">
      <w:pPr>
        <w:ind w:left="567" w:right="539"/>
        <w:contextualSpacing/>
        <w:jc w:val="both"/>
        <w:rPr>
          <w:rFonts w:ascii="Palatino Linotype" w:hAnsi="Palatino Linotype" w:cs="Arial"/>
          <w:i/>
          <w:color w:val="000000"/>
          <w:sz w:val="22"/>
          <w:szCs w:val="22"/>
        </w:rPr>
      </w:pPr>
      <w:r w:rsidRPr="00EB7F94">
        <w:rPr>
          <w:rFonts w:ascii="Palatino Linotype" w:hAnsi="Palatino Linotype" w:cs="Arial"/>
          <w:b/>
          <w:i/>
          <w:color w:val="000000"/>
          <w:sz w:val="22"/>
          <w:szCs w:val="22"/>
        </w:rPr>
        <w:t>Es improcedente ampliar las solicitudes de acceso a información, a través de la interposición del recurso de revisión.</w:t>
      </w:r>
      <w:r w:rsidRPr="00EB7F94">
        <w:rPr>
          <w:rFonts w:ascii="Palatino Linotype" w:hAnsi="Palatino Linotype" w:cs="Arial"/>
          <w:i/>
          <w:color w:val="000000"/>
          <w:sz w:val="22"/>
          <w:szCs w:val="22"/>
        </w:rPr>
        <w:t xml:space="preserve">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p>
    <w:p w14:paraId="73450565" w14:textId="77777777" w:rsidR="002B61B1" w:rsidRPr="00EB7F94" w:rsidRDefault="002B61B1" w:rsidP="002B61B1">
      <w:pPr>
        <w:ind w:left="567" w:right="539"/>
        <w:contextualSpacing/>
        <w:jc w:val="both"/>
        <w:rPr>
          <w:rFonts w:ascii="Palatino Linotype" w:hAnsi="Palatino Linotype" w:cs="Arial"/>
          <w:color w:val="000000"/>
          <w:sz w:val="22"/>
          <w:szCs w:val="22"/>
        </w:rPr>
      </w:pPr>
    </w:p>
    <w:p w14:paraId="39ECD792" w14:textId="77777777" w:rsidR="002B61B1" w:rsidRPr="00EB7F94" w:rsidRDefault="002B61B1" w:rsidP="002B61B1">
      <w:pPr>
        <w:ind w:left="567" w:right="539"/>
        <w:contextualSpacing/>
        <w:jc w:val="both"/>
        <w:rPr>
          <w:rFonts w:ascii="Palatino Linotype" w:hAnsi="Palatino Linotype" w:cs="Arial"/>
          <w:i/>
          <w:color w:val="000000"/>
          <w:sz w:val="22"/>
          <w:szCs w:val="22"/>
        </w:rPr>
      </w:pPr>
      <w:r w:rsidRPr="00EB7F94">
        <w:rPr>
          <w:rFonts w:ascii="Palatino Linotype" w:hAnsi="Palatino Linotype" w:cs="Arial"/>
          <w:i/>
          <w:color w:val="000000"/>
          <w:sz w:val="22"/>
          <w:szCs w:val="22"/>
        </w:rPr>
        <w:lastRenderedPageBreak/>
        <w:t>Resoluciones:</w:t>
      </w:r>
    </w:p>
    <w:p w14:paraId="4E16DAD3" w14:textId="77777777" w:rsidR="002B61B1" w:rsidRPr="00EB7F94" w:rsidRDefault="002B61B1" w:rsidP="002B61B1">
      <w:pPr>
        <w:ind w:left="567" w:right="616"/>
        <w:contextualSpacing/>
        <w:jc w:val="both"/>
        <w:rPr>
          <w:rFonts w:ascii="Palatino Linotype" w:hAnsi="Palatino Linotype" w:cs="Arial"/>
          <w:i/>
          <w:color w:val="000000"/>
          <w:sz w:val="22"/>
          <w:szCs w:val="22"/>
        </w:rPr>
      </w:pPr>
      <w:r w:rsidRPr="00EB7F94">
        <w:rPr>
          <w:rFonts w:ascii="Palatino Linotype" w:hAnsi="Palatino Linotype" w:cs="Arial"/>
          <w:i/>
          <w:color w:val="000000"/>
          <w:sz w:val="22"/>
          <w:szCs w:val="22"/>
        </w:rPr>
        <w:t>RRA 0196/16. Secretaría de Agricultura, Ganadería, Desarrollo Rural, Pesca y Alimentación. 13 de julio de 2016. Por unanimidad. Comisionado Ponente Joel Salas Suárez.</w:t>
      </w:r>
    </w:p>
    <w:p w14:paraId="5DD5A1E0" w14:textId="77777777" w:rsidR="002B61B1" w:rsidRPr="00EB7F94" w:rsidRDefault="002B61B1" w:rsidP="002B61B1">
      <w:pPr>
        <w:ind w:left="567" w:right="616"/>
        <w:contextualSpacing/>
        <w:jc w:val="both"/>
        <w:rPr>
          <w:rFonts w:ascii="Palatino Linotype" w:hAnsi="Palatino Linotype" w:cs="Arial"/>
          <w:i/>
          <w:color w:val="000000"/>
          <w:sz w:val="22"/>
          <w:szCs w:val="22"/>
        </w:rPr>
      </w:pPr>
      <w:r w:rsidRPr="00EB7F94">
        <w:rPr>
          <w:rFonts w:ascii="Palatino Linotype" w:hAnsi="Palatino Linotype" w:cs="Arial"/>
          <w:i/>
          <w:color w:val="000000"/>
          <w:sz w:val="22"/>
          <w:szCs w:val="22"/>
        </w:rPr>
        <w:t>RRA 0130/16. Comisión Nacional del Agua. 09 de agosto de 2016. Por unanimidad. Comisionado Ponente María Patricia Kurczyn Villalobos.</w:t>
      </w:r>
    </w:p>
    <w:p w14:paraId="61D6DE60" w14:textId="3A92769A" w:rsidR="002B61B1" w:rsidRPr="00EB7F94" w:rsidRDefault="002B61B1" w:rsidP="00634ABE">
      <w:pPr>
        <w:ind w:left="567" w:right="616"/>
        <w:contextualSpacing/>
        <w:jc w:val="both"/>
        <w:rPr>
          <w:rFonts w:ascii="Palatino Linotype" w:hAnsi="Palatino Linotype" w:cs="Arial"/>
          <w:i/>
          <w:color w:val="000000"/>
          <w:sz w:val="22"/>
          <w:szCs w:val="22"/>
        </w:rPr>
      </w:pPr>
      <w:r w:rsidRPr="00EB7F94">
        <w:rPr>
          <w:rFonts w:ascii="Palatino Linotype" w:hAnsi="Palatino Linotype" w:cs="Arial"/>
          <w:i/>
          <w:color w:val="000000"/>
          <w:sz w:val="22"/>
          <w:szCs w:val="22"/>
        </w:rPr>
        <w:t>RRA 0342/16. Colegio de Bachilleres. 24 de agosto de 2016. Por unanimidad. Comisionada Ponente Ximena Puente de la Mora.</w:t>
      </w:r>
    </w:p>
    <w:p w14:paraId="57B31F39" w14:textId="77777777" w:rsidR="001268EE" w:rsidRPr="00EB7F94" w:rsidRDefault="001268EE" w:rsidP="001268EE">
      <w:pPr>
        <w:ind w:right="616"/>
        <w:contextualSpacing/>
        <w:jc w:val="both"/>
        <w:rPr>
          <w:rFonts w:ascii="Palatino Linotype" w:hAnsi="Palatino Linotype" w:cs="Arial"/>
          <w:i/>
          <w:color w:val="000000"/>
          <w:sz w:val="22"/>
          <w:szCs w:val="22"/>
        </w:rPr>
      </w:pPr>
    </w:p>
    <w:p w14:paraId="0B1DF8BF" w14:textId="77777777" w:rsidR="002B61B1" w:rsidRPr="00EB7F94" w:rsidRDefault="002B61B1" w:rsidP="002B61B1">
      <w:pPr>
        <w:numPr>
          <w:ilvl w:val="0"/>
          <w:numId w:val="1"/>
        </w:numPr>
        <w:spacing w:line="360" w:lineRule="auto"/>
        <w:ind w:left="0" w:right="49" w:firstLine="0"/>
        <w:contextualSpacing/>
        <w:jc w:val="both"/>
        <w:rPr>
          <w:rFonts w:ascii="Palatino Linotype" w:hAnsi="Palatino Linotype"/>
          <w:color w:val="000000"/>
          <w:sz w:val="22"/>
          <w:szCs w:val="22"/>
          <w:lang w:val="es-ES_tradnl"/>
        </w:rPr>
      </w:pPr>
      <w:r w:rsidRPr="00EB7F94">
        <w:rPr>
          <w:rFonts w:ascii="Palatino Linotype" w:hAnsi="Palatino Linotype"/>
          <w:color w:val="000000"/>
          <w:sz w:val="22"/>
          <w:szCs w:val="22"/>
          <w:lang w:val="es-ES_tradnl"/>
        </w:rPr>
        <w:t xml:space="preserve">Asimismo, </w:t>
      </w:r>
      <w:r w:rsidRPr="00EB7F94">
        <w:rPr>
          <w:rFonts w:ascii="Palatino Linotype" w:hAnsi="Palatino Linotype" w:cs="Arial"/>
          <w:color w:val="000000"/>
          <w:sz w:val="22"/>
          <w:szCs w:val="22"/>
        </w:rPr>
        <w:t>sirve de apoyo a lo anterior por analogía, la Jurisprudencia No. 29 visible a foja 19 del Apéndice al Semanario Judicial de la Federación 1917-1995, Torno VI, Materia Común, Primera Parte, Tesis de la Suprema Corte de Justicia, que contiene:</w:t>
      </w:r>
    </w:p>
    <w:p w14:paraId="17DC7222" w14:textId="77777777" w:rsidR="002B61B1" w:rsidRPr="00EB7F94" w:rsidRDefault="002B61B1" w:rsidP="002B61B1">
      <w:pPr>
        <w:spacing w:line="360" w:lineRule="auto"/>
        <w:ind w:right="49"/>
        <w:contextualSpacing/>
        <w:jc w:val="both"/>
        <w:rPr>
          <w:rFonts w:ascii="Palatino Linotype" w:hAnsi="Palatino Linotype"/>
          <w:color w:val="000000"/>
          <w:sz w:val="22"/>
          <w:szCs w:val="22"/>
          <w:lang w:val="es-ES_tradnl"/>
        </w:rPr>
      </w:pPr>
    </w:p>
    <w:p w14:paraId="7F134569" w14:textId="77777777" w:rsidR="002B61B1" w:rsidRPr="00EB7F94" w:rsidRDefault="002B61B1" w:rsidP="002B61B1">
      <w:pPr>
        <w:ind w:left="567" w:right="539"/>
        <w:contextualSpacing/>
        <w:jc w:val="both"/>
        <w:rPr>
          <w:rFonts w:ascii="Palatino Linotype" w:hAnsi="Palatino Linotype"/>
          <w:color w:val="000000"/>
          <w:sz w:val="22"/>
          <w:szCs w:val="22"/>
          <w:lang w:val="es-ES_tradnl"/>
        </w:rPr>
      </w:pPr>
      <w:r w:rsidRPr="00EB7F94">
        <w:rPr>
          <w:rFonts w:ascii="Palatino Linotype" w:hAnsi="Palatino Linotype" w:cs="Arial"/>
          <w:b/>
          <w:i/>
          <w:color w:val="000000"/>
          <w:sz w:val="22"/>
          <w:szCs w:val="22"/>
        </w:rPr>
        <w:t xml:space="preserve">AGRAVIOS EN LA REVISION. DEBEN ESTAR EN RELACION DIRECTA CON LOS FUNDAMENTOS Y CONSIDERACIONES DE LA SENTENCIA.- </w:t>
      </w:r>
      <w:r w:rsidRPr="00EB7F94">
        <w:rPr>
          <w:rFonts w:ascii="Palatino Linotype" w:hAnsi="Palatino Linotype" w:cs="Arial"/>
          <w:i/>
          <w:color w:val="000000"/>
          <w:sz w:val="22"/>
          <w:szCs w:val="22"/>
        </w:rPr>
        <w:t>Los agravios deben estar en relación directa e inmediata con los fundamentos contenidos en la sentencia que se recurre,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w:t>
      </w:r>
    </w:p>
    <w:p w14:paraId="215ABCCA" w14:textId="77777777" w:rsidR="002B61B1" w:rsidRPr="00EB7F94" w:rsidRDefault="002B61B1" w:rsidP="002B61B1">
      <w:pPr>
        <w:spacing w:line="360" w:lineRule="auto"/>
        <w:ind w:right="49"/>
        <w:contextualSpacing/>
        <w:jc w:val="both"/>
        <w:rPr>
          <w:rFonts w:ascii="Palatino Linotype" w:hAnsi="Palatino Linotype"/>
          <w:color w:val="000000"/>
          <w:sz w:val="22"/>
          <w:szCs w:val="22"/>
          <w:lang w:val="es-ES_tradnl"/>
        </w:rPr>
      </w:pPr>
    </w:p>
    <w:p w14:paraId="31095DBC" w14:textId="77777777" w:rsidR="002B61B1" w:rsidRPr="00EB7F94" w:rsidRDefault="002B61B1" w:rsidP="002B61B1">
      <w:pPr>
        <w:numPr>
          <w:ilvl w:val="0"/>
          <w:numId w:val="1"/>
        </w:numPr>
        <w:spacing w:line="360" w:lineRule="auto"/>
        <w:ind w:left="0" w:right="49" w:firstLine="0"/>
        <w:contextualSpacing/>
        <w:jc w:val="both"/>
        <w:rPr>
          <w:rFonts w:ascii="Palatino Linotype" w:hAnsi="Palatino Linotype"/>
          <w:color w:val="000000"/>
          <w:sz w:val="22"/>
          <w:szCs w:val="22"/>
          <w:lang w:val="es-ES_tradnl"/>
        </w:rPr>
      </w:pPr>
      <w:r w:rsidRPr="00EB7F94">
        <w:rPr>
          <w:rFonts w:ascii="Palatino Linotype" w:hAnsi="Palatino Linotype"/>
          <w:color w:val="000000"/>
          <w:sz w:val="22"/>
          <w:szCs w:val="22"/>
          <w:lang w:val="es-ES_tradnl"/>
        </w:rPr>
        <w:t>Consecuentemente</w:t>
      </w:r>
      <w:r w:rsidRPr="00EB7F94">
        <w:rPr>
          <w:rFonts w:ascii="Palatino Linotype" w:hAnsi="Palatino Linotype" w:cs="Arial"/>
          <w:color w:val="000000"/>
          <w:sz w:val="22"/>
          <w:szCs w:val="22"/>
        </w:rPr>
        <w:t xml:space="preserve">, en términos del artículo 191, fracción VII de la Ley de Transparencia y Acceso a la Información Pública del Estado de México y Municipios, este Instituto </w:t>
      </w:r>
      <w:r w:rsidRPr="00EB7F94">
        <w:rPr>
          <w:rFonts w:ascii="Palatino Linotype" w:eastAsia="Calibri" w:hAnsi="Palatino Linotype"/>
          <w:sz w:val="22"/>
          <w:szCs w:val="22"/>
          <w:lang w:val="es-CO"/>
        </w:rPr>
        <w:t xml:space="preserve">determina el </w:t>
      </w:r>
      <w:r w:rsidRPr="00EB7F94">
        <w:rPr>
          <w:rFonts w:ascii="Palatino Linotype" w:eastAsia="Calibri" w:hAnsi="Palatino Linotype"/>
          <w:b/>
          <w:sz w:val="22"/>
          <w:szCs w:val="22"/>
          <w:lang w:val="es-CO"/>
        </w:rPr>
        <w:t xml:space="preserve">SOBRESEIMIENTO </w:t>
      </w:r>
      <w:r w:rsidRPr="00EB7F94">
        <w:rPr>
          <w:rFonts w:ascii="Palatino Linotype" w:eastAsia="Calibri" w:hAnsi="Palatino Linotype"/>
          <w:sz w:val="22"/>
          <w:szCs w:val="22"/>
          <w:lang w:val="es-CO"/>
        </w:rPr>
        <w:t>del presente recurso de revisión,</w:t>
      </w:r>
      <w:r w:rsidRPr="00EB7F94">
        <w:rPr>
          <w:rFonts w:ascii="Palatino Linotype" w:hAnsi="Palatino Linotype"/>
          <w:sz w:val="22"/>
          <w:szCs w:val="22"/>
        </w:rPr>
        <w:t xml:space="preserve"> por</w:t>
      </w:r>
      <w:r w:rsidRPr="00EB7F94">
        <w:rPr>
          <w:rFonts w:ascii="Palatino Linotype" w:hAnsi="Palatino Linotype"/>
          <w:spacing w:val="1"/>
          <w:sz w:val="22"/>
          <w:szCs w:val="22"/>
        </w:rPr>
        <w:t xml:space="preserve"> </w:t>
      </w:r>
      <w:r w:rsidRPr="00EB7F94">
        <w:rPr>
          <w:rFonts w:ascii="Palatino Linotype" w:hAnsi="Palatino Linotype"/>
          <w:sz w:val="22"/>
          <w:szCs w:val="22"/>
        </w:rPr>
        <w:t>resultar</w:t>
      </w:r>
      <w:r w:rsidRPr="00EB7F94">
        <w:rPr>
          <w:rFonts w:ascii="Palatino Linotype" w:hAnsi="Palatino Linotype"/>
          <w:spacing w:val="1"/>
          <w:sz w:val="22"/>
          <w:szCs w:val="22"/>
        </w:rPr>
        <w:t xml:space="preserve"> </w:t>
      </w:r>
      <w:r w:rsidRPr="00EB7F94">
        <w:rPr>
          <w:rFonts w:ascii="Palatino Linotype" w:hAnsi="Palatino Linotype"/>
          <w:sz w:val="22"/>
          <w:szCs w:val="22"/>
        </w:rPr>
        <w:t>improcedente, de acuerdo con el artículo 192 fracción IV del mismo ordenamiento legal.</w:t>
      </w:r>
    </w:p>
    <w:p w14:paraId="4F5DD2A8" w14:textId="77777777" w:rsidR="002B61B1" w:rsidRPr="00EB7F94" w:rsidRDefault="002B61B1" w:rsidP="002B61B1">
      <w:pPr>
        <w:spacing w:line="360" w:lineRule="auto"/>
        <w:ind w:right="49"/>
        <w:contextualSpacing/>
        <w:jc w:val="both"/>
        <w:rPr>
          <w:rFonts w:ascii="Palatino Linotype" w:hAnsi="Palatino Linotype"/>
          <w:color w:val="000000"/>
          <w:sz w:val="22"/>
          <w:szCs w:val="22"/>
          <w:lang w:val="es-ES_tradnl"/>
        </w:rPr>
      </w:pPr>
    </w:p>
    <w:p w14:paraId="5D675D4F" w14:textId="77777777" w:rsidR="002B61B1" w:rsidRPr="00EB7F94" w:rsidRDefault="002B61B1" w:rsidP="002B61B1">
      <w:pPr>
        <w:ind w:left="567" w:right="539"/>
        <w:contextualSpacing/>
        <w:jc w:val="both"/>
        <w:rPr>
          <w:rFonts w:ascii="Palatino Linotype" w:hAnsi="Palatino Linotype"/>
          <w:i/>
          <w:iCs/>
          <w:sz w:val="22"/>
          <w:szCs w:val="22"/>
        </w:rPr>
      </w:pPr>
      <w:r w:rsidRPr="00EB7F94">
        <w:rPr>
          <w:rFonts w:ascii="Palatino Linotype" w:hAnsi="Palatino Linotype"/>
          <w:b/>
          <w:bCs/>
          <w:i/>
          <w:iCs/>
          <w:sz w:val="22"/>
          <w:szCs w:val="22"/>
        </w:rPr>
        <w:t>“Artículo 192.</w:t>
      </w:r>
      <w:r w:rsidRPr="00EB7F94">
        <w:rPr>
          <w:rFonts w:ascii="Palatino Linotype" w:hAnsi="Palatino Linotype"/>
          <w:i/>
          <w:iCs/>
          <w:sz w:val="22"/>
          <w:szCs w:val="22"/>
        </w:rPr>
        <w:t xml:space="preserve"> El recurso será sobreseído, en todo o en parte, cuando una vez admitido, se actualicen alguno de los siguientes supuestos: </w:t>
      </w:r>
    </w:p>
    <w:p w14:paraId="61737737" w14:textId="77777777" w:rsidR="002B61B1" w:rsidRPr="00EB7F94" w:rsidRDefault="002B61B1" w:rsidP="002B61B1">
      <w:pPr>
        <w:ind w:left="567" w:right="539"/>
        <w:contextualSpacing/>
        <w:jc w:val="both"/>
        <w:rPr>
          <w:rFonts w:ascii="Palatino Linotype" w:hAnsi="Palatino Linotype"/>
          <w:i/>
          <w:iCs/>
          <w:sz w:val="22"/>
          <w:szCs w:val="22"/>
        </w:rPr>
      </w:pPr>
      <w:r w:rsidRPr="00EB7F94">
        <w:rPr>
          <w:rFonts w:ascii="Palatino Linotype" w:hAnsi="Palatino Linotype"/>
          <w:i/>
          <w:iCs/>
          <w:sz w:val="22"/>
          <w:szCs w:val="22"/>
        </w:rPr>
        <w:t>(…)</w:t>
      </w:r>
    </w:p>
    <w:p w14:paraId="25B158D1" w14:textId="77777777" w:rsidR="002B61B1" w:rsidRPr="00EB7F94" w:rsidRDefault="002B61B1" w:rsidP="002B61B1">
      <w:pPr>
        <w:ind w:left="567" w:right="539"/>
        <w:contextualSpacing/>
        <w:jc w:val="both"/>
        <w:rPr>
          <w:rFonts w:ascii="Palatino Linotype" w:hAnsi="Palatino Linotype"/>
          <w:b/>
          <w:bCs/>
          <w:i/>
          <w:iCs/>
          <w:sz w:val="22"/>
          <w:szCs w:val="22"/>
        </w:rPr>
      </w:pPr>
      <w:r w:rsidRPr="00EB7F94">
        <w:rPr>
          <w:rFonts w:ascii="Palatino Linotype" w:hAnsi="Palatino Linotype"/>
          <w:b/>
          <w:bCs/>
          <w:i/>
          <w:iCs/>
          <w:sz w:val="22"/>
          <w:szCs w:val="22"/>
        </w:rPr>
        <w:t xml:space="preserve">IV. Admitido el recurso de revisión, aparezca alguna causal de improcedencia en los términos de la presente Ley; </w:t>
      </w:r>
    </w:p>
    <w:p w14:paraId="1FA9099E" w14:textId="77777777" w:rsidR="002B61B1" w:rsidRPr="00EB7F94" w:rsidRDefault="002B61B1" w:rsidP="002B61B1">
      <w:pPr>
        <w:ind w:left="567" w:right="539"/>
        <w:contextualSpacing/>
        <w:jc w:val="both"/>
        <w:rPr>
          <w:rFonts w:ascii="Palatino Linotype" w:hAnsi="Palatino Linotype"/>
          <w:b/>
          <w:bCs/>
          <w:i/>
          <w:iCs/>
          <w:sz w:val="22"/>
          <w:szCs w:val="22"/>
        </w:rPr>
      </w:pPr>
      <w:r w:rsidRPr="00EB7F94">
        <w:rPr>
          <w:rFonts w:ascii="Palatino Linotype" w:hAnsi="Palatino Linotype"/>
          <w:i/>
          <w:iCs/>
          <w:sz w:val="22"/>
          <w:szCs w:val="22"/>
        </w:rPr>
        <w:t>(…)”</w:t>
      </w:r>
    </w:p>
    <w:p w14:paraId="2709660F" w14:textId="77777777" w:rsidR="00FD697E" w:rsidRPr="00EB7F94" w:rsidRDefault="00FD697E" w:rsidP="00E81DD0">
      <w:pPr>
        <w:rPr>
          <w:rFonts w:ascii="Palatino Linotype" w:eastAsiaTheme="minorEastAsia" w:hAnsi="Palatino Linotype"/>
          <w:color w:val="000000"/>
          <w:sz w:val="22"/>
          <w:szCs w:val="22"/>
          <w:lang w:val="es-ES"/>
        </w:rPr>
      </w:pPr>
    </w:p>
    <w:p w14:paraId="5DC555E2" w14:textId="5614B91B" w:rsidR="00383939" w:rsidRPr="00EB7F94" w:rsidRDefault="00383939" w:rsidP="00383939">
      <w:pPr>
        <w:pStyle w:val="Prrafodelista"/>
        <w:numPr>
          <w:ilvl w:val="0"/>
          <w:numId w:val="1"/>
        </w:numPr>
        <w:spacing w:line="360" w:lineRule="auto"/>
        <w:ind w:left="0" w:firstLine="0"/>
        <w:jc w:val="both"/>
        <w:rPr>
          <w:rFonts w:ascii="Palatino Linotype" w:hAnsi="Palatino Linotype" w:cs="Arial"/>
          <w:szCs w:val="22"/>
          <w:lang w:val="es-ES" w:eastAsia="es-ES"/>
        </w:rPr>
      </w:pPr>
      <w:r w:rsidRPr="00EB7F94">
        <w:rPr>
          <w:rFonts w:ascii="Palatino Linotype" w:eastAsiaTheme="minorEastAsia" w:hAnsi="Palatino Linotype"/>
          <w:color w:val="000000"/>
          <w:szCs w:val="22"/>
          <w:lang w:val="es-ES"/>
        </w:rPr>
        <w:lastRenderedPageBreak/>
        <w:t xml:space="preserve">Por lo anteriormente expuesto y fundado, este </w:t>
      </w:r>
      <w:r w:rsidRPr="00EB7F94">
        <w:rPr>
          <w:rFonts w:ascii="Palatino Linotype" w:eastAsiaTheme="minorEastAsia" w:hAnsi="Palatino Linotype"/>
          <w:b/>
          <w:bCs/>
          <w:color w:val="000000"/>
          <w:szCs w:val="22"/>
          <w:lang w:val="es-ES"/>
        </w:rPr>
        <w:t>ÓRGANO GARANTE</w:t>
      </w:r>
      <w:r w:rsidRPr="00EB7F94">
        <w:rPr>
          <w:rFonts w:ascii="Palatino Linotype" w:eastAsiaTheme="minorEastAsia" w:hAnsi="Palatino Linotype"/>
          <w:color w:val="000000"/>
          <w:szCs w:val="22"/>
          <w:lang w:val="es-ES"/>
        </w:rPr>
        <w:t xml:space="preserve"> emite los siguientes: </w:t>
      </w:r>
    </w:p>
    <w:p w14:paraId="1476DA13" w14:textId="77777777" w:rsidR="00220BFE" w:rsidRPr="00EB7F94" w:rsidRDefault="00220BFE" w:rsidP="00220BFE">
      <w:pPr>
        <w:pStyle w:val="Prrafodelista"/>
        <w:spacing w:line="360" w:lineRule="auto"/>
        <w:ind w:left="0"/>
        <w:jc w:val="both"/>
        <w:rPr>
          <w:rFonts w:ascii="Palatino Linotype" w:hAnsi="Palatino Linotype" w:cs="Arial"/>
          <w:szCs w:val="22"/>
          <w:lang w:val="es-ES" w:eastAsia="es-ES"/>
        </w:rPr>
      </w:pPr>
    </w:p>
    <w:p w14:paraId="767C95F1" w14:textId="77777777" w:rsidR="00383939" w:rsidRPr="00EB7F94" w:rsidRDefault="00383939" w:rsidP="00383939">
      <w:pPr>
        <w:keepNext/>
        <w:keepLines/>
        <w:spacing w:line="360" w:lineRule="auto"/>
        <w:jc w:val="center"/>
        <w:outlineLvl w:val="0"/>
        <w:rPr>
          <w:rFonts w:ascii="Palatino Linotype" w:hAnsi="Palatino Linotype" w:cstheme="majorBidi"/>
          <w:b/>
          <w:bCs/>
          <w:sz w:val="22"/>
          <w:szCs w:val="22"/>
          <w:lang w:val="es-ES_tradnl" w:eastAsia="es-ES"/>
        </w:rPr>
      </w:pPr>
      <w:bookmarkStart w:id="10" w:name="_Toc66992248"/>
      <w:r w:rsidRPr="00EB7F94">
        <w:rPr>
          <w:rFonts w:ascii="Palatino Linotype" w:hAnsi="Palatino Linotype" w:cstheme="majorBidi"/>
          <w:b/>
          <w:bCs/>
          <w:sz w:val="22"/>
          <w:szCs w:val="22"/>
          <w:lang w:val="es-ES_tradnl" w:eastAsia="es-ES"/>
        </w:rPr>
        <w:t>R E S O L U T I V O S</w:t>
      </w:r>
      <w:bookmarkEnd w:id="10"/>
    </w:p>
    <w:p w14:paraId="24912C66" w14:textId="77777777" w:rsidR="00383939" w:rsidRPr="00EB7F94" w:rsidRDefault="00383939" w:rsidP="00383939">
      <w:pPr>
        <w:shd w:val="clear" w:color="auto" w:fill="FFFFFF"/>
        <w:spacing w:line="360" w:lineRule="auto"/>
        <w:contextualSpacing/>
        <w:jc w:val="both"/>
        <w:rPr>
          <w:rFonts w:ascii="Palatino Linotype" w:eastAsiaTheme="minorEastAsia" w:hAnsi="Palatino Linotype" w:cs="Arial"/>
          <w:sz w:val="22"/>
          <w:szCs w:val="22"/>
          <w:lang w:val="es-ES_tradnl" w:eastAsia="es-ES"/>
        </w:rPr>
      </w:pPr>
    </w:p>
    <w:p w14:paraId="24645910" w14:textId="58FC913D" w:rsidR="00536D2E" w:rsidRPr="00EB7F94" w:rsidRDefault="00536D2E" w:rsidP="00536D2E">
      <w:pPr>
        <w:spacing w:line="360" w:lineRule="auto"/>
        <w:jc w:val="both"/>
        <w:rPr>
          <w:rFonts w:ascii="Palatino Linotype" w:eastAsiaTheme="minorEastAsia" w:hAnsi="Palatino Linotype" w:cs="Arial"/>
          <w:bCs/>
          <w:sz w:val="22"/>
          <w:szCs w:val="22"/>
          <w:lang w:val="es-ES_tradnl" w:eastAsia="es-ES"/>
        </w:rPr>
      </w:pPr>
      <w:r w:rsidRPr="00EB7F94">
        <w:rPr>
          <w:rFonts w:ascii="Palatino Linotype" w:hAnsi="Palatino Linotype" w:cs="Arial"/>
          <w:b/>
          <w:sz w:val="22"/>
          <w:szCs w:val="22"/>
          <w:lang w:val="es-ES_tradnl" w:eastAsia="es-ES"/>
        </w:rPr>
        <w:t xml:space="preserve">PRIMERO. </w:t>
      </w:r>
      <w:r w:rsidRPr="00EB7F94">
        <w:rPr>
          <w:rFonts w:ascii="Palatino Linotype" w:hAnsi="Palatino Linotype"/>
          <w:sz w:val="22"/>
          <w:szCs w:val="22"/>
        </w:rPr>
        <w:t xml:space="preserve">Se </w:t>
      </w:r>
      <w:r w:rsidRPr="00EB7F94">
        <w:rPr>
          <w:rFonts w:ascii="Palatino Linotype" w:hAnsi="Palatino Linotype"/>
          <w:b/>
          <w:sz w:val="22"/>
          <w:szCs w:val="22"/>
        </w:rPr>
        <w:t>SOBRESEE por improcedente</w:t>
      </w:r>
      <w:r w:rsidRPr="00EB7F94">
        <w:rPr>
          <w:rFonts w:ascii="Palatino Linotype" w:hAnsi="Palatino Linotype"/>
          <w:sz w:val="22"/>
          <w:szCs w:val="22"/>
        </w:rPr>
        <w:t xml:space="preserve"> el recurso de revisión número </w:t>
      </w:r>
      <w:r w:rsidR="001268EE" w:rsidRPr="00EB7F94">
        <w:rPr>
          <w:rFonts w:ascii="Palatino Linotype" w:hAnsi="Palatino Linotype"/>
          <w:b/>
          <w:sz w:val="22"/>
          <w:szCs w:val="22"/>
        </w:rPr>
        <w:t>07288</w:t>
      </w:r>
      <w:r w:rsidR="00634ABE" w:rsidRPr="00EB7F94">
        <w:rPr>
          <w:rFonts w:ascii="Palatino Linotype" w:hAnsi="Palatino Linotype"/>
          <w:b/>
          <w:sz w:val="22"/>
          <w:szCs w:val="22"/>
        </w:rPr>
        <w:t>/INFOEM/IP/RR/2024</w:t>
      </w:r>
      <w:r w:rsidRPr="00EB7F94">
        <w:rPr>
          <w:rFonts w:ascii="Palatino Linotype" w:hAnsi="Palatino Linotype"/>
          <w:b/>
          <w:sz w:val="22"/>
          <w:szCs w:val="22"/>
        </w:rPr>
        <w:t xml:space="preserve"> </w:t>
      </w:r>
      <w:r w:rsidRPr="00EB7F94">
        <w:rPr>
          <w:rFonts w:ascii="Palatino Linotype" w:hAnsi="Palatino Linotype"/>
          <w:bCs/>
          <w:sz w:val="22"/>
          <w:szCs w:val="22"/>
        </w:rPr>
        <w:t xml:space="preserve">de conformidad con el 192, fracción IV, en relación </w:t>
      </w:r>
      <w:r w:rsidR="002B61B1" w:rsidRPr="00EB7F94">
        <w:rPr>
          <w:rFonts w:ascii="Palatino Linotype" w:hAnsi="Palatino Linotype"/>
          <w:bCs/>
          <w:sz w:val="22"/>
          <w:szCs w:val="22"/>
        </w:rPr>
        <w:t>con el artículo 191, fracción VII</w:t>
      </w:r>
      <w:r w:rsidR="00BC47C0" w:rsidRPr="00EB7F94">
        <w:rPr>
          <w:rFonts w:ascii="Palatino Linotype" w:hAnsi="Palatino Linotype"/>
          <w:bCs/>
          <w:sz w:val="22"/>
          <w:szCs w:val="22"/>
        </w:rPr>
        <w:t>,</w:t>
      </w:r>
      <w:r w:rsidR="002B61B1" w:rsidRPr="00EB7F94">
        <w:rPr>
          <w:rFonts w:ascii="Palatino Linotype" w:hAnsi="Palatino Linotype"/>
          <w:bCs/>
          <w:sz w:val="22"/>
          <w:szCs w:val="22"/>
        </w:rPr>
        <w:t xml:space="preserve"> </w:t>
      </w:r>
      <w:r w:rsidRPr="00EB7F94">
        <w:rPr>
          <w:rFonts w:ascii="Palatino Linotype" w:hAnsi="Palatino Linotype"/>
          <w:bCs/>
          <w:sz w:val="22"/>
          <w:szCs w:val="22"/>
        </w:rPr>
        <w:t>de la Ley de Transparencia y Acceso a la Información Pública del Estado de México y Municipios</w:t>
      </w:r>
      <w:r w:rsidRPr="00EB7F94">
        <w:rPr>
          <w:rFonts w:ascii="Palatino Linotype" w:hAnsi="Palatino Linotype"/>
          <w:sz w:val="22"/>
          <w:szCs w:val="22"/>
        </w:rPr>
        <w:t xml:space="preserve">, en términos del Considerando </w:t>
      </w:r>
      <w:r w:rsidRPr="00EB7F94">
        <w:rPr>
          <w:rFonts w:ascii="Palatino Linotype" w:hAnsi="Palatino Linotype"/>
          <w:b/>
          <w:sz w:val="22"/>
          <w:szCs w:val="22"/>
        </w:rPr>
        <w:t>TERCERO</w:t>
      </w:r>
      <w:r w:rsidRPr="00EB7F94">
        <w:rPr>
          <w:rFonts w:ascii="Palatino Linotype" w:hAnsi="Palatino Linotype"/>
          <w:sz w:val="22"/>
          <w:szCs w:val="22"/>
        </w:rPr>
        <w:t xml:space="preserve"> de la presente resolución.</w:t>
      </w:r>
    </w:p>
    <w:p w14:paraId="38B99195" w14:textId="77777777" w:rsidR="00536D2E" w:rsidRPr="00EB7F94" w:rsidRDefault="00536D2E" w:rsidP="00536D2E">
      <w:pPr>
        <w:spacing w:line="360" w:lineRule="auto"/>
        <w:jc w:val="both"/>
        <w:rPr>
          <w:rFonts w:ascii="Palatino Linotype" w:hAnsi="Palatino Linotype"/>
          <w:sz w:val="22"/>
          <w:szCs w:val="22"/>
          <w:lang w:val="es-ES_tradnl" w:eastAsia="es-ES"/>
        </w:rPr>
      </w:pPr>
    </w:p>
    <w:p w14:paraId="4212C1A4" w14:textId="77777777" w:rsidR="00536D2E" w:rsidRPr="00EB7F94" w:rsidRDefault="00536D2E" w:rsidP="00536D2E">
      <w:pPr>
        <w:spacing w:line="360" w:lineRule="auto"/>
        <w:jc w:val="both"/>
        <w:rPr>
          <w:rFonts w:ascii="Palatino Linotype" w:eastAsia="Calibri" w:hAnsi="Palatino Linotype" w:cs="Arial"/>
          <w:sz w:val="22"/>
          <w:szCs w:val="22"/>
          <w:lang w:val="es-ES" w:eastAsia="es-ES"/>
        </w:rPr>
      </w:pPr>
      <w:r w:rsidRPr="00EB7F94">
        <w:rPr>
          <w:rFonts w:ascii="Palatino Linotype" w:eastAsiaTheme="minorEastAsia" w:hAnsi="Palatino Linotype"/>
          <w:b/>
          <w:sz w:val="22"/>
          <w:szCs w:val="22"/>
          <w:lang w:val="es-ES_tradnl" w:eastAsia="es-ES"/>
        </w:rPr>
        <w:t>SEGUNDO.</w:t>
      </w:r>
      <w:r w:rsidRPr="00EB7F94">
        <w:rPr>
          <w:rFonts w:ascii="Palatino Linotype" w:eastAsiaTheme="majorEastAsia" w:hAnsi="Palatino Linotype" w:cstheme="majorBidi"/>
          <w:b/>
          <w:color w:val="2E74B5" w:themeColor="accent1" w:themeShade="BF"/>
          <w:sz w:val="22"/>
          <w:szCs w:val="22"/>
          <w:lang w:val="es-ES_tradnl" w:eastAsia="es-ES"/>
        </w:rPr>
        <w:t xml:space="preserve"> </w:t>
      </w:r>
      <w:r w:rsidRPr="00EB7F94">
        <w:rPr>
          <w:rFonts w:ascii="Palatino Linotype" w:eastAsia="Calibri" w:hAnsi="Palatino Linotype" w:cs="Arial"/>
          <w:b/>
          <w:bCs/>
          <w:sz w:val="22"/>
          <w:szCs w:val="22"/>
          <w:lang w:val="es-ES"/>
        </w:rPr>
        <w:t xml:space="preserve">REMÍTASE </w:t>
      </w:r>
      <w:r w:rsidRPr="00EB7F94">
        <w:rPr>
          <w:rFonts w:ascii="Palatino Linotype" w:eastAsia="Calibri" w:hAnsi="Palatino Linotype" w:cs="Arial"/>
          <w:bCs/>
          <w:sz w:val="22"/>
          <w:szCs w:val="22"/>
          <w:lang w:val="es-ES"/>
        </w:rPr>
        <w:t xml:space="preserve">a través del Sistema de Acceso a la Información Mexiquense </w:t>
      </w:r>
      <w:r w:rsidRPr="00EB7F94">
        <w:rPr>
          <w:rFonts w:ascii="Palatino Linotype" w:eastAsia="Calibri" w:hAnsi="Palatino Linotype" w:cs="Arial"/>
          <w:b/>
          <w:bCs/>
          <w:sz w:val="22"/>
          <w:szCs w:val="22"/>
          <w:lang w:val="es-ES"/>
        </w:rPr>
        <w:t xml:space="preserve">(SAIMEX) </w:t>
      </w:r>
      <w:r w:rsidRPr="00EB7F94">
        <w:rPr>
          <w:rFonts w:ascii="Palatino Linotype" w:eastAsia="Calibri" w:hAnsi="Palatino Linotype" w:cs="Arial"/>
          <w:bCs/>
          <w:sz w:val="22"/>
          <w:szCs w:val="22"/>
          <w:lang w:val="es-ES"/>
        </w:rPr>
        <w:t>la presente resolución al Titular de la Unidad de Transparencia del</w:t>
      </w:r>
      <w:r w:rsidRPr="00EB7F94">
        <w:rPr>
          <w:rFonts w:ascii="Palatino Linotype" w:eastAsia="Calibri" w:hAnsi="Palatino Linotype" w:cs="Arial"/>
          <w:b/>
          <w:bCs/>
          <w:sz w:val="22"/>
          <w:szCs w:val="22"/>
          <w:lang w:val="es-ES"/>
        </w:rPr>
        <w:t xml:space="preserve"> SUJETO OBLIGADO.</w:t>
      </w:r>
    </w:p>
    <w:p w14:paraId="649B997A" w14:textId="77777777" w:rsidR="00536D2E" w:rsidRPr="00EB7F94" w:rsidRDefault="00536D2E" w:rsidP="00536D2E">
      <w:pPr>
        <w:spacing w:line="360" w:lineRule="auto"/>
        <w:jc w:val="both"/>
        <w:rPr>
          <w:rFonts w:ascii="Palatino Linotype" w:eastAsia="Calibri" w:hAnsi="Palatino Linotype" w:cs="Arial"/>
          <w:sz w:val="22"/>
          <w:szCs w:val="22"/>
          <w:lang w:val="es-ES" w:eastAsia="es-ES"/>
        </w:rPr>
      </w:pPr>
    </w:p>
    <w:p w14:paraId="405BC28C" w14:textId="77777777" w:rsidR="00536D2E" w:rsidRPr="00EB7F94" w:rsidRDefault="00536D2E" w:rsidP="00536D2E">
      <w:pPr>
        <w:tabs>
          <w:tab w:val="left" w:pos="8080"/>
        </w:tabs>
        <w:spacing w:line="360" w:lineRule="auto"/>
        <w:ind w:right="49"/>
        <w:contextualSpacing/>
        <w:jc w:val="both"/>
        <w:rPr>
          <w:rFonts w:ascii="Palatino Linotype" w:eastAsia="Calibri" w:hAnsi="Palatino Linotype" w:cs="Arial"/>
          <w:b/>
          <w:bCs/>
          <w:sz w:val="22"/>
          <w:szCs w:val="22"/>
          <w:lang w:val="es-ES"/>
        </w:rPr>
      </w:pPr>
      <w:r w:rsidRPr="00EB7F94">
        <w:rPr>
          <w:rFonts w:ascii="Palatino Linotype" w:eastAsia="Palatino Linotype" w:hAnsi="Palatino Linotype" w:cs="Palatino Linotype"/>
          <w:b/>
          <w:sz w:val="22"/>
          <w:szCs w:val="22"/>
          <w:lang w:val="es-ES_tradnl" w:eastAsia="es-ES"/>
        </w:rPr>
        <w:t xml:space="preserve">TERCERO. </w:t>
      </w:r>
      <w:r w:rsidRPr="00EB7F94">
        <w:rPr>
          <w:rFonts w:ascii="Palatino Linotype" w:hAnsi="Palatino Linotype"/>
          <w:b/>
          <w:bCs/>
          <w:sz w:val="22"/>
          <w:szCs w:val="22"/>
          <w:lang w:val="es-ES"/>
        </w:rPr>
        <w:t xml:space="preserve">Notifíquese </w:t>
      </w:r>
      <w:r w:rsidRPr="00EB7F94">
        <w:rPr>
          <w:rFonts w:ascii="Palatino Linotype" w:hAnsi="Palatino Linotype"/>
          <w:bCs/>
          <w:sz w:val="22"/>
          <w:szCs w:val="22"/>
          <w:lang w:val="es-ES"/>
        </w:rPr>
        <w:t xml:space="preserve">a la </w:t>
      </w:r>
      <w:r w:rsidRPr="00EB7F94">
        <w:rPr>
          <w:rFonts w:ascii="Palatino Linotype" w:hAnsi="Palatino Linotype"/>
          <w:b/>
          <w:bCs/>
          <w:sz w:val="22"/>
          <w:szCs w:val="22"/>
          <w:lang w:val="es-ES"/>
        </w:rPr>
        <w:t>RECURRENTE</w:t>
      </w:r>
      <w:r w:rsidRPr="00EB7F94">
        <w:rPr>
          <w:rFonts w:ascii="Palatino Linotype" w:hAnsi="Palatino Linotype"/>
          <w:sz w:val="22"/>
          <w:szCs w:val="22"/>
        </w:rPr>
        <w:t xml:space="preserve"> </w:t>
      </w:r>
      <w:r w:rsidRPr="00EB7F94">
        <w:rPr>
          <w:rFonts w:ascii="Palatino Linotype" w:hAnsi="Palatino Linotype"/>
          <w:sz w:val="22"/>
          <w:szCs w:val="22"/>
          <w:lang w:val="es-ES"/>
        </w:rPr>
        <w:t xml:space="preserve">la presente resolución, </w:t>
      </w:r>
      <w:r w:rsidRPr="00EB7F94">
        <w:rPr>
          <w:rFonts w:ascii="Palatino Linotype" w:eastAsia="Calibri" w:hAnsi="Palatino Linotype" w:cs="Arial"/>
          <w:bCs/>
          <w:sz w:val="22"/>
          <w:szCs w:val="22"/>
          <w:lang w:val="es-ES"/>
        </w:rPr>
        <w:t xml:space="preserve">a través del Sistema de Acceso a la Información Mexiquense </w:t>
      </w:r>
      <w:r w:rsidRPr="00EB7F94">
        <w:rPr>
          <w:rFonts w:ascii="Palatino Linotype" w:eastAsia="Calibri" w:hAnsi="Palatino Linotype" w:cs="Arial"/>
          <w:b/>
          <w:bCs/>
          <w:sz w:val="22"/>
          <w:szCs w:val="22"/>
          <w:lang w:val="es-ES"/>
        </w:rPr>
        <w:t>(SAIMEX).</w:t>
      </w:r>
    </w:p>
    <w:p w14:paraId="1B435DE9" w14:textId="77777777" w:rsidR="00536D2E" w:rsidRPr="00EB7F94" w:rsidRDefault="00536D2E" w:rsidP="00536D2E">
      <w:pPr>
        <w:tabs>
          <w:tab w:val="left" w:pos="8080"/>
        </w:tabs>
        <w:spacing w:line="360" w:lineRule="auto"/>
        <w:ind w:right="49"/>
        <w:contextualSpacing/>
        <w:jc w:val="both"/>
        <w:rPr>
          <w:rFonts w:ascii="Palatino Linotype" w:eastAsia="Calibri" w:hAnsi="Palatino Linotype" w:cs="Arial"/>
          <w:b/>
          <w:bCs/>
          <w:sz w:val="22"/>
          <w:szCs w:val="22"/>
          <w:lang w:val="es-ES"/>
        </w:rPr>
      </w:pPr>
    </w:p>
    <w:p w14:paraId="6524BB06" w14:textId="6C5CA59A" w:rsidR="00383939" w:rsidRPr="00EB7F94" w:rsidRDefault="00536D2E" w:rsidP="00536D2E">
      <w:pPr>
        <w:spacing w:line="360" w:lineRule="auto"/>
        <w:jc w:val="both"/>
        <w:rPr>
          <w:rFonts w:ascii="Palatino Linotype" w:eastAsia="MS Mincho" w:hAnsi="Palatino Linotype"/>
          <w:sz w:val="22"/>
          <w:szCs w:val="22"/>
          <w:lang w:val="es-ES" w:eastAsia="es-ES"/>
        </w:rPr>
      </w:pPr>
      <w:r w:rsidRPr="00EB7F94">
        <w:rPr>
          <w:rFonts w:ascii="Palatino Linotype" w:hAnsi="Palatino Linotype" w:cs="Arial"/>
          <w:b/>
          <w:color w:val="000000" w:themeColor="text1"/>
          <w:sz w:val="22"/>
          <w:szCs w:val="22"/>
          <w:lang w:val="es-ES_tradnl" w:eastAsia="es-ES"/>
        </w:rPr>
        <w:t xml:space="preserve">CUARTO. </w:t>
      </w:r>
      <w:r w:rsidRPr="00EB7F94">
        <w:rPr>
          <w:rFonts w:ascii="Palatino Linotype" w:eastAsia="MS Mincho" w:hAnsi="Palatino Linotype"/>
          <w:sz w:val="22"/>
          <w:szCs w:val="22"/>
          <w:lang w:val="es-ES"/>
        </w:rPr>
        <w:t xml:space="preserve">Se hace del conocimiento de la </w:t>
      </w:r>
      <w:r w:rsidRPr="00EB7F94">
        <w:rPr>
          <w:rFonts w:ascii="Palatino Linotype" w:hAnsi="Palatino Linotype"/>
          <w:b/>
          <w:bCs/>
          <w:sz w:val="22"/>
          <w:szCs w:val="22"/>
          <w:lang w:val="es-ES"/>
        </w:rPr>
        <w:t>RECURRENTE</w:t>
      </w:r>
      <w:r w:rsidRPr="00EB7F94">
        <w:rPr>
          <w:rFonts w:ascii="Palatino Linotype" w:hAnsi="Palatino Linotype"/>
          <w:sz w:val="22"/>
          <w:szCs w:val="22"/>
        </w:rPr>
        <w:t xml:space="preserve"> </w:t>
      </w:r>
      <w:r w:rsidRPr="00EB7F94">
        <w:rPr>
          <w:rFonts w:ascii="Palatino Linotype" w:eastAsia="MS Mincho" w:hAnsi="Palatino Linotype"/>
          <w:sz w:val="22"/>
          <w:szCs w:val="22"/>
          <w:lang w:val="es-ES"/>
        </w:rPr>
        <w:t>que, de conformidad con lo establecido en el artículo 196</w:t>
      </w:r>
      <w:r w:rsidR="00BC47C0" w:rsidRPr="00EB7F94">
        <w:rPr>
          <w:rFonts w:ascii="Palatino Linotype" w:eastAsia="MS Mincho" w:hAnsi="Palatino Linotype"/>
          <w:sz w:val="22"/>
          <w:szCs w:val="22"/>
          <w:lang w:val="es-ES"/>
        </w:rPr>
        <w:t>,</w:t>
      </w:r>
      <w:r w:rsidRPr="00EB7F94">
        <w:rPr>
          <w:rFonts w:ascii="Palatino Linotype" w:eastAsia="MS Mincho" w:hAnsi="Palatino Linotype"/>
          <w:sz w:val="22"/>
          <w:szCs w:val="22"/>
          <w:lang w:val="es-ES"/>
        </w:rPr>
        <w:t xml:space="preserve"> de la Ley de Transparencia y Acceso a la Información Pública del Estado de México y Municipios, en caso de que considere que la resolución le cause algún perjuicio podrá impugnarla </w:t>
      </w:r>
      <w:r w:rsidRPr="00EB7F94">
        <w:rPr>
          <w:rFonts w:ascii="Palatino Linotype" w:eastAsia="MS Mincho" w:hAnsi="Palatino Linotype"/>
          <w:bCs/>
          <w:sz w:val="22"/>
          <w:szCs w:val="22"/>
          <w:lang w:val="es-ES"/>
        </w:rPr>
        <w:t>vía juicio de amparo</w:t>
      </w:r>
      <w:r w:rsidRPr="00EB7F94">
        <w:rPr>
          <w:rFonts w:ascii="Palatino Linotype" w:eastAsia="MS Mincho" w:hAnsi="Palatino Linotype"/>
          <w:sz w:val="22"/>
          <w:szCs w:val="22"/>
          <w:lang w:val="es-ES"/>
        </w:rPr>
        <w:t> en los términos de las leyes aplicables.</w:t>
      </w:r>
    </w:p>
    <w:p w14:paraId="4D27CEDD" w14:textId="77777777" w:rsidR="00383939" w:rsidRPr="00EB7F94" w:rsidRDefault="00383939" w:rsidP="00383939">
      <w:pPr>
        <w:shd w:val="clear" w:color="auto" w:fill="FFFFFF"/>
        <w:spacing w:line="360" w:lineRule="auto"/>
        <w:contextualSpacing/>
        <w:jc w:val="both"/>
        <w:rPr>
          <w:rFonts w:ascii="Palatino Linotype" w:eastAsiaTheme="minorEastAsia" w:hAnsi="Palatino Linotype" w:cs="Arial"/>
          <w:sz w:val="22"/>
          <w:szCs w:val="22"/>
          <w:lang w:val="es-ES_tradnl" w:eastAsia="es-ES"/>
        </w:rPr>
      </w:pPr>
    </w:p>
    <w:bookmarkEnd w:id="7"/>
    <w:bookmarkEnd w:id="8"/>
    <w:bookmarkEnd w:id="9"/>
    <w:p w14:paraId="53A32E4A" w14:textId="77777777" w:rsidR="00BC47C0" w:rsidRPr="003C7186" w:rsidRDefault="00BC47C0" w:rsidP="00BC47C0">
      <w:pPr>
        <w:spacing w:line="360" w:lineRule="auto"/>
        <w:ind w:left="-142" w:right="-234" w:firstLine="1"/>
        <w:jc w:val="both"/>
        <w:rPr>
          <w:rFonts w:ascii="Palatino Linotype" w:hAnsi="Palatino Linotype"/>
        </w:rPr>
      </w:pPr>
      <w:r w:rsidRPr="00EB7F94">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w:t>
      </w:r>
      <w:r w:rsidRPr="00EB7F94">
        <w:rPr>
          <w:rFonts w:ascii="Palatino Linotype" w:hAnsi="Palatino Linotype"/>
        </w:rPr>
        <w:lastRenderedPageBreak/>
        <w:t>AYALA; SHARON CRISTINA MORALES MARTÍNEZ; LUIS GUSTAVO PARRA NORIEGA Y GUADALUPE RAMÍREZ PEÑA; EN LA CUADRAGÉSIMA CUARTA SESIÓN ORDINARIA CELEBRADA EL DIECIOCHO (18) DE DICIEMBRE DE DOS MIL VEINTICUATRO, ANTE EL SECRETARIO TÉCNICO DEL PLENO ALEXIS TAPIA RAMÍREZ.</w:t>
      </w:r>
      <w:bookmarkStart w:id="11" w:name="_GoBack"/>
      <w:bookmarkEnd w:id="11"/>
      <w:r w:rsidRPr="003C7186">
        <w:rPr>
          <w:rFonts w:ascii="Palatino Linotype" w:hAnsi="Palatino Linotype"/>
        </w:rPr>
        <w:t xml:space="preserve"> </w:t>
      </w:r>
    </w:p>
    <w:p w14:paraId="657CDD17" w14:textId="77777777" w:rsidR="00383939" w:rsidRPr="00634ABE" w:rsidRDefault="00383939" w:rsidP="00383939">
      <w:pPr>
        <w:spacing w:line="360" w:lineRule="auto"/>
        <w:rPr>
          <w:rFonts w:ascii="Palatino Linotype" w:hAnsi="Palatino Linotype"/>
          <w:sz w:val="22"/>
          <w:szCs w:val="22"/>
        </w:rPr>
      </w:pPr>
    </w:p>
    <w:p w14:paraId="023A9B1E" w14:textId="77777777" w:rsidR="00383939" w:rsidRPr="00634ABE" w:rsidRDefault="00383939" w:rsidP="00383939">
      <w:pPr>
        <w:spacing w:line="360" w:lineRule="auto"/>
        <w:rPr>
          <w:rFonts w:ascii="Palatino Linotype" w:hAnsi="Palatino Linotype"/>
          <w:sz w:val="22"/>
          <w:szCs w:val="22"/>
        </w:rPr>
      </w:pPr>
    </w:p>
    <w:p w14:paraId="1D5D869F" w14:textId="77777777" w:rsidR="00383939" w:rsidRPr="00634ABE" w:rsidRDefault="00383939" w:rsidP="00383939">
      <w:pPr>
        <w:spacing w:line="360" w:lineRule="auto"/>
        <w:rPr>
          <w:rFonts w:ascii="Palatino Linotype" w:hAnsi="Palatino Linotype"/>
          <w:sz w:val="22"/>
          <w:szCs w:val="22"/>
        </w:rPr>
      </w:pPr>
    </w:p>
    <w:p w14:paraId="28024880" w14:textId="77777777" w:rsidR="00383939" w:rsidRPr="00634ABE" w:rsidRDefault="00383939" w:rsidP="00383939">
      <w:pPr>
        <w:spacing w:line="360" w:lineRule="auto"/>
        <w:rPr>
          <w:rFonts w:ascii="Palatino Linotype" w:hAnsi="Palatino Linotype"/>
          <w:sz w:val="22"/>
          <w:szCs w:val="22"/>
        </w:rPr>
      </w:pPr>
    </w:p>
    <w:p w14:paraId="7AA40C98" w14:textId="77777777" w:rsidR="00383939" w:rsidRPr="00634ABE" w:rsidRDefault="00383939" w:rsidP="00383939">
      <w:pPr>
        <w:spacing w:line="360" w:lineRule="auto"/>
        <w:rPr>
          <w:rFonts w:ascii="Palatino Linotype" w:hAnsi="Palatino Linotype"/>
          <w:sz w:val="22"/>
          <w:szCs w:val="22"/>
        </w:rPr>
      </w:pPr>
    </w:p>
    <w:p w14:paraId="028428F8" w14:textId="77777777" w:rsidR="00383939" w:rsidRPr="00634ABE" w:rsidRDefault="00383939" w:rsidP="00383939">
      <w:pPr>
        <w:spacing w:line="360" w:lineRule="auto"/>
        <w:rPr>
          <w:rFonts w:ascii="Palatino Linotype" w:hAnsi="Palatino Linotype"/>
          <w:sz w:val="22"/>
          <w:szCs w:val="22"/>
        </w:rPr>
      </w:pPr>
    </w:p>
    <w:p w14:paraId="3FC20ECB" w14:textId="77777777" w:rsidR="002B61B1" w:rsidRPr="00634ABE" w:rsidRDefault="002B61B1" w:rsidP="00383939">
      <w:pPr>
        <w:spacing w:line="360" w:lineRule="auto"/>
        <w:rPr>
          <w:rFonts w:ascii="Palatino Linotype" w:hAnsi="Palatino Linotype"/>
          <w:sz w:val="22"/>
          <w:szCs w:val="22"/>
        </w:rPr>
      </w:pPr>
    </w:p>
    <w:p w14:paraId="12BE585E" w14:textId="77777777" w:rsidR="002B61B1" w:rsidRPr="00634ABE" w:rsidRDefault="002B61B1" w:rsidP="00383939">
      <w:pPr>
        <w:spacing w:line="360" w:lineRule="auto"/>
        <w:rPr>
          <w:rFonts w:ascii="Palatino Linotype" w:hAnsi="Palatino Linotype"/>
          <w:sz w:val="22"/>
          <w:szCs w:val="22"/>
        </w:rPr>
      </w:pPr>
    </w:p>
    <w:p w14:paraId="2B50C0BA" w14:textId="77777777" w:rsidR="002B61B1" w:rsidRPr="00634ABE" w:rsidRDefault="002B61B1" w:rsidP="00383939">
      <w:pPr>
        <w:spacing w:line="360" w:lineRule="auto"/>
        <w:rPr>
          <w:rFonts w:ascii="Palatino Linotype" w:hAnsi="Palatino Linotype"/>
          <w:sz w:val="22"/>
          <w:szCs w:val="22"/>
        </w:rPr>
      </w:pPr>
    </w:p>
    <w:p w14:paraId="53FE6A59" w14:textId="77777777" w:rsidR="002B61B1" w:rsidRPr="00634ABE" w:rsidRDefault="002B61B1" w:rsidP="00383939">
      <w:pPr>
        <w:spacing w:line="360" w:lineRule="auto"/>
        <w:rPr>
          <w:rFonts w:ascii="Palatino Linotype" w:hAnsi="Palatino Linotype"/>
          <w:sz w:val="22"/>
          <w:szCs w:val="22"/>
        </w:rPr>
      </w:pPr>
    </w:p>
    <w:p w14:paraId="6242BCCF" w14:textId="77777777" w:rsidR="002B61B1" w:rsidRPr="00634ABE" w:rsidRDefault="002B61B1" w:rsidP="00383939">
      <w:pPr>
        <w:spacing w:line="360" w:lineRule="auto"/>
        <w:rPr>
          <w:rFonts w:ascii="Palatino Linotype" w:hAnsi="Palatino Linotype"/>
          <w:sz w:val="22"/>
          <w:szCs w:val="22"/>
        </w:rPr>
      </w:pPr>
    </w:p>
    <w:p w14:paraId="5487CD81" w14:textId="77777777" w:rsidR="000A5A70" w:rsidRPr="00634ABE" w:rsidRDefault="000A5A70">
      <w:pPr>
        <w:rPr>
          <w:rFonts w:ascii="Palatino Linotype" w:hAnsi="Palatino Linotype"/>
          <w:sz w:val="22"/>
          <w:szCs w:val="22"/>
        </w:rPr>
      </w:pPr>
    </w:p>
    <w:sectPr w:rsidR="000A5A70" w:rsidRPr="00634ABE" w:rsidSect="00536D2E">
      <w:headerReference w:type="even" r:id="rId9"/>
      <w:headerReference w:type="default" r:id="rId10"/>
      <w:footerReference w:type="default" r:id="rId11"/>
      <w:headerReference w:type="first" r:id="rId12"/>
      <w:footerReference w:type="first" r:id="rId13"/>
      <w:pgSz w:w="12240" w:h="15840"/>
      <w:pgMar w:top="80" w:right="1580"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C5C2E" w14:textId="77777777" w:rsidR="00E51087" w:rsidRDefault="00E51087" w:rsidP="00C42F70">
      <w:r>
        <w:separator/>
      </w:r>
    </w:p>
  </w:endnote>
  <w:endnote w:type="continuationSeparator" w:id="0">
    <w:p w14:paraId="4E940B74" w14:textId="77777777" w:rsidR="00E51087" w:rsidRDefault="00E51087" w:rsidP="00C4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D8A20" w14:textId="77777777" w:rsidR="00835A7A" w:rsidRDefault="00835A7A">
    <w:pPr>
      <w:pStyle w:val="Piedepgina"/>
      <w:jc w:val="right"/>
    </w:pPr>
    <w:r>
      <w:rPr>
        <w:lang w:val="es-ES"/>
      </w:rPr>
      <w:t xml:space="preserve">Página </w:t>
    </w:r>
    <w:r>
      <w:rPr>
        <w:b/>
        <w:bCs/>
      </w:rPr>
      <w:fldChar w:fldCharType="begin"/>
    </w:r>
    <w:r>
      <w:rPr>
        <w:b/>
        <w:bCs/>
      </w:rPr>
      <w:instrText>PAGE</w:instrText>
    </w:r>
    <w:r>
      <w:rPr>
        <w:b/>
        <w:bCs/>
      </w:rPr>
      <w:fldChar w:fldCharType="separate"/>
    </w:r>
    <w:r w:rsidR="00EB7F94">
      <w:rPr>
        <w:b/>
        <w:bCs/>
        <w:noProof/>
      </w:rPr>
      <w:t>3</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EB7F94">
      <w:rPr>
        <w:b/>
        <w:bCs/>
        <w:noProof/>
      </w:rPr>
      <w:t>14</w:t>
    </w:r>
    <w:r>
      <w:rPr>
        <w:b/>
        <w:bCs/>
      </w:rPr>
      <w:fldChar w:fldCharType="end"/>
    </w:r>
  </w:p>
  <w:p w14:paraId="7318B9F9" w14:textId="77777777" w:rsidR="00835A7A" w:rsidRDefault="00835A7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CAF73" w14:textId="77777777" w:rsidR="00835A7A" w:rsidRDefault="00835A7A">
    <w:pPr>
      <w:pStyle w:val="Piedepgina"/>
      <w:jc w:val="right"/>
    </w:pPr>
    <w:r>
      <w:rPr>
        <w:lang w:val="es-ES"/>
      </w:rPr>
      <w:t xml:space="preserve">Página </w:t>
    </w:r>
    <w:r>
      <w:rPr>
        <w:b/>
        <w:bCs/>
      </w:rPr>
      <w:fldChar w:fldCharType="begin"/>
    </w:r>
    <w:r>
      <w:rPr>
        <w:b/>
        <w:bCs/>
      </w:rPr>
      <w:instrText>PAGE</w:instrText>
    </w:r>
    <w:r>
      <w:rPr>
        <w:b/>
        <w:bCs/>
      </w:rPr>
      <w:fldChar w:fldCharType="separate"/>
    </w:r>
    <w:r w:rsidR="00EB7F94">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EB7F94">
      <w:rPr>
        <w:b/>
        <w:bCs/>
        <w:noProof/>
      </w:rPr>
      <w:t>14</w:t>
    </w:r>
    <w:r>
      <w:rPr>
        <w:b/>
        <w:bCs/>
      </w:rPr>
      <w:fldChar w:fldCharType="end"/>
    </w:r>
  </w:p>
  <w:p w14:paraId="27A3C59E" w14:textId="77777777" w:rsidR="00835A7A" w:rsidRDefault="00835A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22B74" w14:textId="77777777" w:rsidR="00E51087" w:rsidRDefault="00E51087" w:rsidP="00C42F70">
      <w:r>
        <w:separator/>
      </w:r>
    </w:p>
  </w:footnote>
  <w:footnote w:type="continuationSeparator" w:id="0">
    <w:p w14:paraId="2EB2E12C" w14:textId="77777777" w:rsidR="00E51087" w:rsidRDefault="00E51087" w:rsidP="00C42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B0640" w14:textId="77777777" w:rsidR="00835A7A" w:rsidRDefault="00E51087">
    <w:pPr>
      <w:pStyle w:val="Encabezado"/>
    </w:pPr>
    <w:r>
      <w:rPr>
        <w:noProof/>
      </w:rPr>
      <w:pict w14:anchorId="38BFF1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51" type="#_x0000_t75" alt="" style="position:absolute;margin-left:0;margin-top:0;width:589.8pt;height:768pt;z-index:-25165977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ayout w:type="fixed"/>
      <w:tblLook w:val="04A0" w:firstRow="1" w:lastRow="0" w:firstColumn="1" w:lastColumn="0" w:noHBand="0" w:noVBand="1"/>
    </w:tblPr>
    <w:tblGrid>
      <w:gridCol w:w="2268"/>
      <w:gridCol w:w="6946"/>
    </w:tblGrid>
    <w:tr w:rsidR="00835A7A" w:rsidRPr="005C106F" w14:paraId="5AD48061" w14:textId="77777777" w:rsidTr="00E92A7E">
      <w:trPr>
        <w:trHeight w:val="1435"/>
      </w:trPr>
      <w:tc>
        <w:tcPr>
          <w:tcW w:w="2268" w:type="dxa"/>
          <w:shd w:val="clear" w:color="auto" w:fill="auto"/>
        </w:tcPr>
        <w:p w14:paraId="2EDB0B0E" w14:textId="77777777" w:rsidR="00835A7A" w:rsidRPr="005C106F" w:rsidRDefault="00835A7A" w:rsidP="00E92A7E">
          <w:pPr>
            <w:tabs>
              <w:tab w:val="right" w:pos="4273"/>
            </w:tabs>
            <w:rPr>
              <w:rFonts w:ascii="Garamond" w:eastAsia="Calibri" w:hAnsi="Garamond"/>
              <w:sz w:val="16"/>
              <w:szCs w:val="16"/>
              <w:lang w:eastAsia="en-US"/>
            </w:rPr>
          </w:pPr>
        </w:p>
      </w:tc>
      <w:tc>
        <w:tcPr>
          <w:tcW w:w="6946" w:type="dxa"/>
          <w:shd w:val="clear" w:color="auto" w:fill="auto"/>
        </w:tcPr>
        <w:p w14:paraId="2443DE72" w14:textId="77777777" w:rsidR="00835A7A" w:rsidRPr="00372DF4" w:rsidRDefault="00835A7A" w:rsidP="00E92A7E">
          <w:pPr>
            <w:rPr>
              <w:b/>
            </w:rPr>
          </w:pPr>
        </w:p>
        <w:tbl>
          <w:tblPr>
            <w:tblW w:w="6662" w:type="dxa"/>
            <w:tblInd w:w="40" w:type="dxa"/>
            <w:tblLayout w:type="fixed"/>
            <w:tblLook w:val="0420" w:firstRow="1" w:lastRow="0" w:firstColumn="0" w:lastColumn="0" w:noHBand="0" w:noVBand="1"/>
          </w:tblPr>
          <w:tblGrid>
            <w:gridCol w:w="2551"/>
            <w:gridCol w:w="4111"/>
          </w:tblGrid>
          <w:tr w:rsidR="00835A7A" w:rsidRPr="00372DF4" w14:paraId="4957A882" w14:textId="77777777" w:rsidTr="00E92A7E">
            <w:trPr>
              <w:trHeight w:val="150"/>
            </w:trPr>
            <w:tc>
              <w:tcPr>
                <w:tcW w:w="2551" w:type="dxa"/>
                <w:shd w:val="clear" w:color="auto" w:fill="auto"/>
              </w:tcPr>
              <w:p w14:paraId="5AB98465" w14:textId="77777777" w:rsidR="00835A7A" w:rsidRPr="00372DF4" w:rsidRDefault="00835A7A" w:rsidP="00E92A7E">
                <w:pPr>
                  <w:tabs>
                    <w:tab w:val="right" w:pos="8838"/>
                  </w:tabs>
                  <w:ind w:right="-105"/>
                  <w:rPr>
                    <w:rFonts w:ascii="Palatino Linotype" w:eastAsia="Calibri" w:hAnsi="Palatino Linotype" w:cs="Tahoma"/>
                    <w:b/>
                    <w:sz w:val="18"/>
                    <w:szCs w:val="18"/>
                    <w:lang w:val="es-ES" w:eastAsia="en-US"/>
                  </w:rPr>
                </w:pPr>
                <w:r w:rsidRPr="00372DF4">
                  <w:rPr>
                    <w:rFonts w:ascii="Palatino Linotype" w:eastAsia="Calibri" w:hAnsi="Palatino Linotype" w:cs="Tahoma"/>
                    <w:b/>
                    <w:sz w:val="18"/>
                    <w:szCs w:val="18"/>
                    <w:lang w:val="es-ES" w:eastAsia="en-US"/>
                  </w:rPr>
                  <w:t>Recurso de Revisión:</w:t>
                </w:r>
              </w:p>
            </w:tc>
            <w:tc>
              <w:tcPr>
                <w:tcW w:w="4111" w:type="dxa"/>
                <w:shd w:val="clear" w:color="auto" w:fill="auto"/>
              </w:tcPr>
              <w:p w14:paraId="1A18ED63" w14:textId="6C628447" w:rsidR="00835A7A" w:rsidRPr="00835A7A" w:rsidRDefault="00835A7A" w:rsidP="00835A7A">
                <w:pPr>
                  <w:tabs>
                    <w:tab w:val="right" w:pos="8838"/>
                  </w:tabs>
                  <w:ind w:left="-108" w:right="-102"/>
                  <w:jc w:val="both"/>
                  <w:rPr>
                    <w:rFonts w:ascii="Palatino Linotype" w:eastAsia="Calibri" w:hAnsi="Palatino Linotype" w:cs="Tahoma"/>
                    <w:b/>
                    <w:bCs/>
                    <w:sz w:val="18"/>
                    <w:szCs w:val="18"/>
                    <w:lang w:eastAsia="en-US"/>
                  </w:rPr>
                </w:pPr>
                <w:r>
                  <w:rPr>
                    <w:rFonts w:ascii="Palatino Linotype" w:eastAsia="Calibri" w:hAnsi="Palatino Linotype" w:cs="Tahoma"/>
                    <w:b/>
                    <w:bCs/>
                    <w:sz w:val="18"/>
                    <w:szCs w:val="18"/>
                    <w:lang w:eastAsia="en-US"/>
                  </w:rPr>
                  <w:t>07288</w:t>
                </w:r>
                <w:r w:rsidRPr="00372DF4">
                  <w:rPr>
                    <w:rFonts w:ascii="Palatino Linotype" w:eastAsia="Calibri" w:hAnsi="Palatino Linotype" w:cs="Tahoma"/>
                    <w:b/>
                    <w:bCs/>
                    <w:sz w:val="18"/>
                    <w:szCs w:val="18"/>
                    <w:lang w:eastAsia="en-US"/>
                  </w:rPr>
                  <w:t>/INFOEM/IP/RR/2024</w:t>
                </w:r>
              </w:p>
            </w:tc>
          </w:tr>
          <w:tr w:rsidR="00835A7A" w:rsidRPr="00372DF4" w14:paraId="7614103A" w14:textId="77777777" w:rsidTr="00E92A7E">
            <w:trPr>
              <w:trHeight w:val="295"/>
            </w:trPr>
            <w:tc>
              <w:tcPr>
                <w:tcW w:w="2551" w:type="dxa"/>
                <w:shd w:val="clear" w:color="auto" w:fill="auto"/>
              </w:tcPr>
              <w:p w14:paraId="42E8703F" w14:textId="77777777" w:rsidR="00835A7A" w:rsidRPr="00372DF4" w:rsidRDefault="00835A7A" w:rsidP="00E92A7E">
                <w:pPr>
                  <w:tabs>
                    <w:tab w:val="right" w:pos="8838"/>
                  </w:tabs>
                  <w:ind w:right="-105"/>
                  <w:rPr>
                    <w:rFonts w:ascii="Palatino Linotype" w:eastAsia="Calibri" w:hAnsi="Palatino Linotype" w:cs="Tahoma"/>
                    <w:b/>
                    <w:sz w:val="18"/>
                    <w:szCs w:val="18"/>
                    <w:lang w:val="es-ES" w:eastAsia="en-US"/>
                  </w:rPr>
                </w:pPr>
                <w:r w:rsidRPr="00372DF4">
                  <w:rPr>
                    <w:rFonts w:ascii="Palatino Linotype" w:eastAsia="Calibri" w:hAnsi="Palatino Linotype" w:cs="Tahoma"/>
                    <w:b/>
                    <w:sz w:val="18"/>
                    <w:szCs w:val="18"/>
                    <w:lang w:val="es-ES" w:eastAsia="en-US"/>
                  </w:rPr>
                  <w:t>Sujeto Obligado:</w:t>
                </w:r>
              </w:p>
            </w:tc>
            <w:tc>
              <w:tcPr>
                <w:tcW w:w="4111" w:type="dxa"/>
                <w:shd w:val="clear" w:color="auto" w:fill="auto"/>
              </w:tcPr>
              <w:p w14:paraId="6A2705BD" w14:textId="7F878CBB" w:rsidR="00835A7A" w:rsidRPr="00372DF4" w:rsidRDefault="00835A7A" w:rsidP="00E92A7E">
                <w:pPr>
                  <w:tabs>
                    <w:tab w:val="left" w:pos="2834"/>
                    <w:tab w:val="right" w:pos="8838"/>
                  </w:tabs>
                  <w:ind w:left="-108" w:right="-102"/>
                  <w:jc w:val="both"/>
                  <w:rPr>
                    <w:rFonts w:ascii="Palatino Linotype" w:eastAsia="Calibri" w:hAnsi="Palatino Linotype" w:cs="Tahoma"/>
                    <w:b/>
                    <w:sz w:val="18"/>
                    <w:szCs w:val="18"/>
                    <w:lang w:val="es-ES" w:eastAsia="en-US"/>
                  </w:rPr>
                </w:pPr>
                <w:r>
                  <w:rPr>
                    <w:rFonts w:ascii="Palatino Linotype" w:hAnsi="Palatino Linotype"/>
                    <w:b/>
                    <w:bCs/>
                    <w:color w:val="000000"/>
                    <w:sz w:val="18"/>
                    <w:szCs w:val="18"/>
                  </w:rPr>
                  <w:t>Secretaría de Bienestar</w:t>
                </w:r>
              </w:p>
            </w:tc>
          </w:tr>
          <w:tr w:rsidR="00835A7A" w:rsidRPr="00372DF4" w14:paraId="7AB9F650" w14:textId="77777777" w:rsidTr="00E92A7E">
            <w:trPr>
              <w:trHeight w:val="295"/>
            </w:trPr>
            <w:tc>
              <w:tcPr>
                <w:tcW w:w="2551" w:type="dxa"/>
                <w:shd w:val="clear" w:color="auto" w:fill="auto"/>
              </w:tcPr>
              <w:p w14:paraId="7ABF88D6" w14:textId="77777777" w:rsidR="00835A7A" w:rsidRPr="00372DF4" w:rsidRDefault="00835A7A" w:rsidP="00E92A7E">
                <w:pPr>
                  <w:tabs>
                    <w:tab w:val="right" w:pos="8838"/>
                  </w:tabs>
                  <w:ind w:right="-105"/>
                  <w:rPr>
                    <w:rFonts w:ascii="Palatino Linotype" w:eastAsia="Calibri" w:hAnsi="Palatino Linotype" w:cs="Tahoma"/>
                    <w:b/>
                    <w:sz w:val="18"/>
                    <w:szCs w:val="18"/>
                    <w:lang w:val="es-ES" w:eastAsia="en-US"/>
                  </w:rPr>
                </w:pPr>
                <w:r w:rsidRPr="00372DF4">
                  <w:rPr>
                    <w:rFonts w:ascii="Palatino Linotype" w:eastAsia="Calibri" w:hAnsi="Palatino Linotype" w:cs="Tahoma"/>
                    <w:b/>
                    <w:sz w:val="18"/>
                    <w:szCs w:val="18"/>
                    <w:lang w:val="es-ES" w:eastAsia="en-US"/>
                  </w:rPr>
                  <w:t>Comisionado ponente:</w:t>
                </w:r>
              </w:p>
            </w:tc>
            <w:tc>
              <w:tcPr>
                <w:tcW w:w="4111" w:type="dxa"/>
                <w:shd w:val="clear" w:color="auto" w:fill="auto"/>
              </w:tcPr>
              <w:p w14:paraId="20F17F0B" w14:textId="77777777" w:rsidR="00835A7A" w:rsidRPr="00372DF4" w:rsidRDefault="00835A7A" w:rsidP="00E92A7E">
                <w:pPr>
                  <w:tabs>
                    <w:tab w:val="right" w:pos="8838"/>
                  </w:tabs>
                  <w:ind w:left="-108" w:right="171"/>
                  <w:jc w:val="both"/>
                  <w:rPr>
                    <w:rFonts w:ascii="Palatino Linotype" w:eastAsia="Calibri" w:hAnsi="Palatino Linotype" w:cs="Tahoma"/>
                    <w:b/>
                    <w:sz w:val="18"/>
                    <w:szCs w:val="18"/>
                    <w:lang w:val="es-ES" w:eastAsia="en-US"/>
                  </w:rPr>
                </w:pPr>
                <w:r w:rsidRPr="00372DF4">
                  <w:rPr>
                    <w:rFonts w:ascii="Palatino Linotype" w:eastAsia="Calibri" w:hAnsi="Palatino Linotype" w:cs="Tahoma"/>
                    <w:b/>
                    <w:sz w:val="18"/>
                    <w:szCs w:val="18"/>
                    <w:lang w:val="es-ES" w:eastAsia="en-US"/>
                  </w:rPr>
                  <w:t>María del Rosario Mejía Ayala</w:t>
                </w:r>
              </w:p>
              <w:p w14:paraId="6BA381DD" w14:textId="77777777" w:rsidR="00835A7A" w:rsidRPr="00372DF4" w:rsidRDefault="00835A7A" w:rsidP="00E92A7E">
                <w:pPr>
                  <w:tabs>
                    <w:tab w:val="right" w:pos="8838"/>
                  </w:tabs>
                  <w:ind w:left="-108" w:right="171"/>
                  <w:jc w:val="both"/>
                  <w:rPr>
                    <w:rFonts w:ascii="Palatino Linotype" w:eastAsia="Calibri" w:hAnsi="Palatino Linotype" w:cs="Tahoma"/>
                    <w:b/>
                    <w:sz w:val="18"/>
                    <w:szCs w:val="18"/>
                    <w:lang w:val="es-ES" w:eastAsia="en-US"/>
                  </w:rPr>
                </w:pPr>
              </w:p>
            </w:tc>
          </w:tr>
        </w:tbl>
        <w:p w14:paraId="4B2B6528" w14:textId="77777777" w:rsidR="00835A7A" w:rsidRPr="005C106F" w:rsidRDefault="00835A7A" w:rsidP="00E92A7E">
          <w:pPr>
            <w:tabs>
              <w:tab w:val="right" w:pos="8838"/>
            </w:tabs>
            <w:ind w:left="-28"/>
            <w:jc w:val="both"/>
            <w:rPr>
              <w:rFonts w:ascii="Arial" w:eastAsia="Calibri" w:hAnsi="Arial" w:cs="Arial"/>
              <w:b/>
              <w:sz w:val="22"/>
              <w:szCs w:val="22"/>
              <w:lang w:eastAsia="en-US"/>
            </w:rPr>
          </w:pPr>
        </w:p>
      </w:tc>
    </w:tr>
  </w:tbl>
  <w:p w14:paraId="254DE2B4" w14:textId="77777777" w:rsidR="00835A7A" w:rsidRPr="00443C6B" w:rsidRDefault="00E51087" w:rsidP="00E92A7E">
    <w:pPr>
      <w:pStyle w:val="Encabezado"/>
      <w:rPr>
        <w:sz w:val="14"/>
      </w:rPr>
    </w:pPr>
    <w:r>
      <w:rPr>
        <w:noProof/>
        <w:sz w:val="14"/>
      </w:rPr>
      <w:pict w14:anchorId="1A3C7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alt="" style="position:absolute;margin-left:-68.8pt;margin-top:-120.5pt;width:589.8pt;height:768pt;z-index:-25165875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Look w:val="04A0" w:firstRow="1" w:lastRow="0" w:firstColumn="1" w:lastColumn="0" w:noHBand="0" w:noVBand="1"/>
    </w:tblPr>
    <w:tblGrid>
      <w:gridCol w:w="2268"/>
      <w:gridCol w:w="6804"/>
    </w:tblGrid>
    <w:tr w:rsidR="00835A7A" w:rsidRPr="00330DA7" w14:paraId="0F86C54A" w14:textId="77777777" w:rsidTr="00E92A7E">
      <w:trPr>
        <w:trHeight w:val="1435"/>
      </w:trPr>
      <w:tc>
        <w:tcPr>
          <w:tcW w:w="2268" w:type="dxa"/>
          <w:shd w:val="clear" w:color="auto" w:fill="auto"/>
        </w:tcPr>
        <w:p w14:paraId="1AD29024" w14:textId="77777777" w:rsidR="00835A7A" w:rsidRPr="00330DA7" w:rsidRDefault="00835A7A" w:rsidP="00E92A7E">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40" w:type="dxa"/>
            <w:tblLayout w:type="fixed"/>
            <w:tblLook w:val="0420" w:firstRow="1" w:lastRow="0" w:firstColumn="0" w:lastColumn="0" w:noHBand="0" w:noVBand="1"/>
          </w:tblPr>
          <w:tblGrid>
            <w:gridCol w:w="2444"/>
            <w:gridCol w:w="4218"/>
          </w:tblGrid>
          <w:tr w:rsidR="00835A7A" w:rsidRPr="00330DA7" w14:paraId="065B976C" w14:textId="77777777" w:rsidTr="00E92A7E">
            <w:trPr>
              <w:trHeight w:val="144"/>
            </w:trPr>
            <w:tc>
              <w:tcPr>
                <w:tcW w:w="2444" w:type="dxa"/>
                <w:shd w:val="clear" w:color="auto" w:fill="auto"/>
              </w:tcPr>
              <w:p w14:paraId="1AF0742C" w14:textId="77777777" w:rsidR="00835A7A" w:rsidRPr="00372DF4" w:rsidRDefault="00835A7A" w:rsidP="00E92A7E">
                <w:pPr>
                  <w:tabs>
                    <w:tab w:val="right" w:pos="8838"/>
                  </w:tabs>
                  <w:ind w:left="-264" w:right="-105" w:firstLine="195"/>
                  <w:rPr>
                    <w:rFonts w:ascii="Palatino Linotype" w:eastAsia="Calibri" w:hAnsi="Palatino Linotype" w:cs="Tahoma"/>
                    <w:b/>
                    <w:sz w:val="18"/>
                    <w:szCs w:val="18"/>
                    <w:lang w:val="es-ES" w:eastAsia="en-US"/>
                  </w:rPr>
                </w:pPr>
                <w:r w:rsidRPr="00372DF4">
                  <w:rPr>
                    <w:rFonts w:ascii="Palatino Linotype" w:eastAsia="Calibri" w:hAnsi="Palatino Linotype" w:cs="Tahoma"/>
                    <w:b/>
                    <w:sz w:val="18"/>
                    <w:szCs w:val="18"/>
                    <w:lang w:val="es-ES" w:eastAsia="en-US"/>
                  </w:rPr>
                  <w:t>Recurso de Revisión:</w:t>
                </w:r>
              </w:p>
            </w:tc>
            <w:tc>
              <w:tcPr>
                <w:tcW w:w="4218" w:type="dxa"/>
                <w:shd w:val="clear" w:color="auto" w:fill="auto"/>
              </w:tcPr>
              <w:p w14:paraId="15A56D37" w14:textId="55C31CB2" w:rsidR="00835A7A" w:rsidRPr="00372DF4" w:rsidRDefault="00835A7A" w:rsidP="00E92A7E">
                <w:pPr>
                  <w:tabs>
                    <w:tab w:val="right" w:pos="8838"/>
                  </w:tabs>
                  <w:ind w:left="-74" w:right="-105"/>
                  <w:jc w:val="both"/>
                  <w:rPr>
                    <w:rFonts w:ascii="Palatino Linotype" w:eastAsia="Calibri" w:hAnsi="Palatino Linotype" w:cs="Tahoma"/>
                    <w:b/>
                    <w:bCs/>
                    <w:sz w:val="18"/>
                    <w:szCs w:val="18"/>
                    <w:lang w:val="es-ES" w:eastAsia="en-US"/>
                  </w:rPr>
                </w:pPr>
                <w:r>
                  <w:rPr>
                    <w:rFonts w:ascii="Palatino Linotype" w:eastAsia="Calibri" w:hAnsi="Palatino Linotype" w:cs="Tahoma"/>
                    <w:b/>
                    <w:sz w:val="18"/>
                    <w:szCs w:val="18"/>
                    <w:lang w:eastAsia="en-US"/>
                  </w:rPr>
                  <w:t>07288</w:t>
                </w:r>
                <w:r w:rsidRPr="00372DF4">
                  <w:rPr>
                    <w:rFonts w:ascii="Palatino Linotype" w:eastAsia="Calibri" w:hAnsi="Palatino Linotype" w:cs="Tahoma"/>
                    <w:b/>
                    <w:sz w:val="18"/>
                    <w:szCs w:val="18"/>
                    <w:lang w:eastAsia="en-US"/>
                  </w:rPr>
                  <w:t>/INFOEM/IP/RR/2024</w:t>
                </w:r>
              </w:p>
            </w:tc>
          </w:tr>
          <w:tr w:rsidR="00835A7A" w:rsidRPr="00330DA7" w14:paraId="4F238AF7" w14:textId="77777777" w:rsidTr="00E92A7E">
            <w:trPr>
              <w:trHeight w:val="144"/>
            </w:trPr>
            <w:tc>
              <w:tcPr>
                <w:tcW w:w="2444" w:type="dxa"/>
                <w:shd w:val="clear" w:color="auto" w:fill="auto"/>
              </w:tcPr>
              <w:p w14:paraId="02CCC5CE" w14:textId="77777777" w:rsidR="00835A7A" w:rsidRPr="00372DF4" w:rsidRDefault="00835A7A" w:rsidP="00E92A7E">
                <w:pPr>
                  <w:tabs>
                    <w:tab w:val="right" w:pos="8838"/>
                  </w:tabs>
                  <w:ind w:left="-74" w:right="-105"/>
                  <w:rPr>
                    <w:rFonts w:ascii="Palatino Linotype" w:eastAsia="Calibri" w:hAnsi="Palatino Linotype" w:cs="Tahoma"/>
                    <w:b/>
                    <w:sz w:val="18"/>
                    <w:szCs w:val="18"/>
                    <w:lang w:val="es-ES" w:eastAsia="en-US"/>
                  </w:rPr>
                </w:pPr>
                <w:r w:rsidRPr="00372DF4">
                  <w:rPr>
                    <w:rFonts w:ascii="Palatino Linotype" w:eastAsia="Calibri" w:hAnsi="Palatino Linotype" w:cs="Tahoma"/>
                    <w:b/>
                    <w:sz w:val="18"/>
                    <w:szCs w:val="18"/>
                    <w:lang w:val="es-ES" w:eastAsia="en-US"/>
                  </w:rPr>
                  <w:t>Recurrente:</w:t>
                </w:r>
              </w:p>
            </w:tc>
            <w:tc>
              <w:tcPr>
                <w:tcW w:w="4218" w:type="dxa"/>
                <w:shd w:val="clear" w:color="auto" w:fill="auto"/>
              </w:tcPr>
              <w:p w14:paraId="04CD32D3" w14:textId="1A798A49" w:rsidR="00835A7A" w:rsidRPr="00372DF4" w:rsidRDefault="00835A7A" w:rsidP="00E92A7E">
                <w:pPr>
                  <w:tabs>
                    <w:tab w:val="left" w:pos="3122"/>
                    <w:tab w:val="right" w:pos="8838"/>
                  </w:tabs>
                  <w:ind w:left="-74" w:right="-105"/>
                  <w:jc w:val="both"/>
                  <w:rPr>
                    <w:rFonts w:ascii="Palatino Linotype" w:eastAsia="Calibri" w:hAnsi="Palatino Linotype" w:cs="Tahoma"/>
                    <w:b/>
                    <w:sz w:val="18"/>
                    <w:szCs w:val="18"/>
                    <w:lang w:val="es-ES" w:eastAsia="en-US"/>
                  </w:rPr>
                </w:pPr>
              </w:p>
            </w:tc>
          </w:tr>
          <w:tr w:rsidR="00835A7A" w:rsidRPr="00330DA7" w14:paraId="33B893A4" w14:textId="77777777" w:rsidTr="00E92A7E">
            <w:trPr>
              <w:trHeight w:val="283"/>
            </w:trPr>
            <w:tc>
              <w:tcPr>
                <w:tcW w:w="2444" w:type="dxa"/>
                <w:shd w:val="clear" w:color="auto" w:fill="auto"/>
              </w:tcPr>
              <w:p w14:paraId="21970D0D" w14:textId="77777777" w:rsidR="00835A7A" w:rsidRPr="00372DF4" w:rsidRDefault="00835A7A" w:rsidP="00E92A7E">
                <w:pPr>
                  <w:tabs>
                    <w:tab w:val="right" w:pos="8838"/>
                  </w:tabs>
                  <w:ind w:left="-74" w:right="-105"/>
                  <w:rPr>
                    <w:rFonts w:ascii="Palatino Linotype" w:eastAsia="Calibri" w:hAnsi="Palatino Linotype" w:cs="Tahoma"/>
                    <w:b/>
                    <w:sz w:val="18"/>
                    <w:szCs w:val="18"/>
                    <w:lang w:val="es-ES" w:eastAsia="en-US"/>
                  </w:rPr>
                </w:pPr>
                <w:r w:rsidRPr="00372DF4">
                  <w:rPr>
                    <w:rFonts w:ascii="Palatino Linotype" w:eastAsia="Calibri" w:hAnsi="Palatino Linotype" w:cs="Tahoma"/>
                    <w:b/>
                    <w:sz w:val="18"/>
                    <w:szCs w:val="18"/>
                    <w:lang w:val="es-ES" w:eastAsia="en-US"/>
                  </w:rPr>
                  <w:t>Sujeto Obligado:</w:t>
                </w:r>
              </w:p>
            </w:tc>
            <w:tc>
              <w:tcPr>
                <w:tcW w:w="4218" w:type="dxa"/>
                <w:shd w:val="clear" w:color="auto" w:fill="auto"/>
              </w:tcPr>
              <w:p w14:paraId="3ADC626C" w14:textId="53DC57C8" w:rsidR="00835A7A" w:rsidRPr="00372DF4" w:rsidRDefault="00835A7A" w:rsidP="00E92A7E">
                <w:pPr>
                  <w:tabs>
                    <w:tab w:val="left" w:pos="2834"/>
                    <w:tab w:val="right" w:pos="8838"/>
                  </w:tabs>
                  <w:ind w:left="-74" w:right="-105"/>
                  <w:jc w:val="both"/>
                  <w:rPr>
                    <w:rFonts w:ascii="Palatino Linotype" w:eastAsia="Calibri" w:hAnsi="Palatino Linotype" w:cs="Tahoma"/>
                    <w:b/>
                    <w:sz w:val="18"/>
                    <w:szCs w:val="18"/>
                    <w:lang w:val="es-ES" w:eastAsia="en-US"/>
                  </w:rPr>
                </w:pPr>
                <w:r>
                  <w:rPr>
                    <w:rFonts w:ascii="Palatino Linotype" w:hAnsi="Palatino Linotype"/>
                    <w:b/>
                    <w:bCs/>
                    <w:color w:val="000000"/>
                    <w:sz w:val="18"/>
                    <w:szCs w:val="18"/>
                  </w:rPr>
                  <w:t>Secretaría de Bienestar</w:t>
                </w:r>
              </w:p>
            </w:tc>
          </w:tr>
          <w:tr w:rsidR="00835A7A" w:rsidRPr="00330DA7" w14:paraId="0220C833" w14:textId="77777777" w:rsidTr="00E92A7E">
            <w:trPr>
              <w:trHeight w:val="283"/>
            </w:trPr>
            <w:tc>
              <w:tcPr>
                <w:tcW w:w="2444" w:type="dxa"/>
                <w:shd w:val="clear" w:color="auto" w:fill="auto"/>
              </w:tcPr>
              <w:p w14:paraId="4B04BC37" w14:textId="77777777" w:rsidR="00835A7A" w:rsidRPr="00372DF4" w:rsidRDefault="00835A7A" w:rsidP="00E92A7E">
                <w:pPr>
                  <w:tabs>
                    <w:tab w:val="right" w:pos="8838"/>
                  </w:tabs>
                  <w:ind w:left="-74" w:right="-105"/>
                  <w:rPr>
                    <w:rFonts w:ascii="Palatino Linotype" w:eastAsia="Calibri" w:hAnsi="Palatino Linotype" w:cs="Tahoma"/>
                    <w:b/>
                    <w:sz w:val="18"/>
                    <w:szCs w:val="18"/>
                    <w:lang w:val="es-ES" w:eastAsia="en-US"/>
                  </w:rPr>
                </w:pPr>
                <w:r w:rsidRPr="00372DF4">
                  <w:rPr>
                    <w:rFonts w:ascii="Palatino Linotype" w:eastAsia="Calibri" w:hAnsi="Palatino Linotype" w:cs="Tahoma"/>
                    <w:b/>
                    <w:sz w:val="18"/>
                    <w:szCs w:val="18"/>
                    <w:lang w:val="es-ES" w:eastAsia="en-US"/>
                  </w:rPr>
                  <w:t>Comisionado ponente:</w:t>
                </w:r>
              </w:p>
            </w:tc>
            <w:tc>
              <w:tcPr>
                <w:tcW w:w="4218" w:type="dxa"/>
                <w:shd w:val="clear" w:color="auto" w:fill="auto"/>
              </w:tcPr>
              <w:p w14:paraId="3D6FB934" w14:textId="05DD146E" w:rsidR="00835A7A" w:rsidRPr="00372DF4" w:rsidRDefault="00835A7A" w:rsidP="00372DF4">
                <w:pPr>
                  <w:tabs>
                    <w:tab w:val="right" w:pos="8838"/>
                  </w:tabs>
                  <w:ind w:left="-74" w:right="-105"/>
                  <w:jc w:val="both"/>
                  <w:rPr>
                    <w:rFonts w:ascii="Palatino Linotype" w:eastAsia="Calibri" w:hAnsi="Palatino Linotype" w:cs="Tahoma"/>
                    <w:b/>
                    <w:sz w:val="18"/>
                    <w:szCs w:val="18"/>
                    <w:lang w:val="es-ES" w:eastAsia="en-US"/>
                  </w:rPr>
                </w:pPr>
                <w:r w:rsidRPr="00372DF4">
                  <w:rPr>
                    <w:rFonts w:ascii="Palatino Linotype" w:eastAsia="Calibri" w:hAnsi="Palatino Linotype" w:cs="Tahoma"/>
                    <w:b/>
                    <w:sz w:val="18"/>
                    <w:szCs w:val="18"/>
                    <w:lang w:val="es-ES" w:eastAsia="en-US"/>
                  </w:rPr>
                  <w:t>María del Rosario Mejía Ayala</w:t>
                </w:r>
              </w:p>
            </w:tc>
          </w:tr>
        </w:tbl>
        <w:p w14:paraId="3EAD0ADE" w14:textId="77777777" w:rsidR="00835A7A" w:rsidRPr="00330DA7" w:rsidRDefault="00835A7A" w:rsidP="00E92A7E">
          <w:pPr>
            <w:tabs>
              <w:tab w:val="right" w:pos="8838"/>
            </w:tabs>
            <w:ind w:left="-28"/>
            <w:jc w:val="both"/>
            <w:rPr>
              <w:rFonts w:ascii="Arial" w:eastAsia="Calibri" w:hAnsi="Arial" w:cs="Arial"/>
              <w:b/>
              <w:sz w:val="22"/>
              <w:szCs w:val="22"/>
              <w:lang w:eastAsia="en-US"/>
            </w:rPr>
          </w:pPr>
        </w:p>
      </w:tc>
    </w:tr>
  </w:tbl>
  <w:p w14:paraId="404B5BCF" w14:textId="77777777" w:rsidR="00835A7A" w:rsidRPr="00827FA0" w:rsidRDefault="00E51087" w:rsidP="00E92A7E">
    <w:pPr>
      <w:pStyle w:val="Encabezado"/>
      <w:rPr>
        <w:sz w:val="2"/>
        <w:szCs w:val="22"/>
      </w:rPr>
    </w:pPr>
    <w:r>
      <w:rPr>
        <w:noProof/>
        <w:sz w:val="2"/>
        <w:szCs w:val="22"/>
      </w:rPr>
      <w:pict w14:anchorId="72B91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49" type="#_x0000_t75" alt="" style="position:absolute;margin-left:-68.8pt;margin-top:-117.6pt;width:589.8pt;height:768pt;z-index:-25165772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45C69"/>
    <w:multiLevelType w:val="hybridMultilevel"/>
    <w:tmpl w:val="612C40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161270"/>
    <w:multiLevelType w:val="hybridMultilevel"/>
    <w:tmpl w:val="12DA7DBA"/>
    <w:lvl w:ilvl="0" w:tplc="DAC43DB0">
      <w:start w:val="1"/>
      <w:numFmt w:val="decimal"/>
      <w:lvlText w:val="%1."/>
      <w:lvlJc w:val="left"/>
      <w:pPr>
        <w:ind w:left="360" w:hanging="360"/>
      </w:pPr>
      <w:rPr>
        <w:rFonts w:eastAsia="Calibri" w:hint="default"/>
        <w:b/>
        <w:i w:val="0"/>
        <w:color w:val="auto"/>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DB0E20"/>
    <w:multiLevelType w:val="hybridMultilevel"/>
    <w:tmpl w:val="44303D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D43123"/>
    <w:multiLevelType w:val="hybridMultilevel"/>
    <w:tmpl w:val="6E1473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9E19F6"/>
    <w:multiLevelType w:val="hybridMultilevel"/>
    <w:tmpl w:val="B5B0B0F8"/>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1F654C"/>
    <w:multiLevelType w:val="hybridMultilevel"/>
    <w:tmpl w:val="83EC6CA6"/>
    <w:lvl w:ilvl="0" w:tplc="D38A0ACC">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15:restartNumberingAfterBreak="0">
    <w:nsid w:val="25A8640C"/>
    <w:multiLevelType w:val="hybridMultilevel"/>
    <w:tmpl w:val="A240F898"/>
    <w:lvl w:ilvl="0" w:tplc="1EBC8CD0">
      <w:start w:val="1"/>
      <w:numFmt w:val="upperRoman"/>
      <w:lvlText w:val="%1."/>
      <w:lvlJc w:val="left"/>
      <w:pPr>
        <w:ind w:left="1080" w:hanging="720"/>
      </w:pPr>
      <w:rPr>
        <w:rFonts w:eastAsiaTheme="majorEastAsia" w:cstheme="majorBidi"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4317490"/>
    <w:multiLevelType w:val="hybridMultilevel"/>
    <w:tmpl w:val="10866472"/>
    <w:lvl w:ilvl="0" w:tplc="E6E6863C">
      <w:start w:val="1"/>
      <w:numFmt w:val="decimal"/>
      <w:lvlText w:val="%1."/>
      <w:lvlJc w:val="left"/>
      <w:pPr>
        <w:ind w:left="360" w:hanging="360"/>
      </w:pPr>
      <w:rPr>
        <w:rFonts w:ascii="Palatino Linotype" w:hAnsi="Palatino Linotype" w:hint="default"/>
        <w:b/>
        <w:i w:val="0"/>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2111F5D"/>
    <w:multiLevelType w:val="hybridMultilevel"/>
    <w:tmpl w:val="B73859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CD14D80"/>
    <w:multiLevelType w:val="hybridMultilevel"/>
    <w:tmpl w:val="7CF8B3EC"/>
    <w:lvl w:ilvl="0" w:tplc="5108FE22">
      <w:start w:val="1"/>
      <w:numFmt w:val="decimal"/>
      <w:lvlText w:val="%1."/>
      <w:lvlJc w:val="left"/>
      <w:pPr>
        <w:ind w:left="360" w:hanging="360"/>
      </w:pPr>
      <w:rPr>
        <w:rFonts w:eastAsia="Calibri"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70136A0"/>
    <w:multiLevelType w:val="hybridMultilevel"/>
    <w:tmpl w:val="4A840F12"/>
    <w:lvl w:ilvl="0" w:tplc="080A000F">
      <w:start w:val="1"/>
      <w:numFmt w:val="decimal"/>
      <w:lvlText w:val="%1."/>
      <w:lvlJc w:val="left"/>
      <w:pPr>
        <w:ind w:left="8582"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8"/>
  </w:num>
  <w:num w:numId="4">
    <w:abstractNumId w:val="10"/>
  </w:num>
  <w:num w:numId="5">
    <w:abstractNumId w:val="0"/>
  </w:num>
  <w:num w:numId="6">
    <w:abstractNumId w:val="5"/>
  </w:num>
  <w:num w:numId="7">
    <w:abstractNumId w:val="7"/>
  </w:num>
  <w:num w:numId="8">
    <w:abstractNumId w:val="4"/>
  </w:num>
  <w:num w:numId="9">
    <w:abstractNumId w:val="11"/>
  </w:num>
  <w:num w:numId="10">
    <w:abstractNumId w:val="6"/>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939"/>
    <w:rsid w:val="00034409"/>
    <w:rsid w:val="00050CDC"/>
    <w:rsid w:val="00051464"/>
    <w:rsid w:val="000571B3"/>
    <w:rsid w:val="00083CD6"/>
    <w:rsid w:val="000A5A70"/>
    <w:rsid w:val="000F5268"/>
    <w:rsid w:val="000F724F"/>
    <w:rsid w:val="001268EE"/>
    <w:rsid w:val="00187499"/>
    <w:rsid w:val="001B6734"/>
    <w:rsid w:val="00212386"/>
    <w:rsid w:val="00220BFE"/>
    <w:rsid w:val="00221171"/>
    <w:rsid w:val="00262CEA"/>
    <w:rsid w:val="002969F4"/>
    <w:rsid w:val="002B61B1"/>
    <w:rsid w:val="002E5307"/>
    <w:rsid w:val="002F6A26"/>
    <w:rsid w:val="00342F2C"/>
    <w:rsid w:val="00372DF4"/>
    <w:rsid w:val="00383939"/>
    <w:rsid w:val="003C2E10"/>
    <w:rsid w:val="003D6F25"/>
    <w:rsid w:val="00457D1B"/>
    <w:rsid w:val="00467C77"/>
    <w:rsid w:val="004757E3"/>
    <w:rsid w:val="00490845"/>
    <w:rsid w:val="004B2DC8"/>
    <w:rsid w:val="004E664A"/>
    <w:rsid w:val="004F4552"/>
    <w:rsid w:val="005103E3"/>
    <w:rsid w:val="00517129"/>
    <w:rsid w:val="00536D2E"/>
    <w:rsid w:val="00553D49"/>
    <w:rsid w:val="00581CA5"/>
    <w:rsid w:val="005B0FC4"/>
    <w:rsid w:val="005D43DF"/>
    <w:rsid w:val="00624EF1"/>
    <w:rsid w:val="006337B9"/>
    <w:rsid w:val="00634ABE"/>
    <w:rsid w:val="0065753D"/>
    <w:rsid w:val="00684F8A"/>
    <w:rsid w:val="007C34C2"/>
    <w:rsid w:val="007D54DA"/>
    <w:rsid w:val="007E1D86"/>
    <w:rsid w:val="007F12B6"/>
    <w:rsid w:val="008113D9"/>
    <w:rsid w:val="00834C3F"/>
    <w:rsid w:val="00835A7A"/>
    <w:rsid w:val="00857806"/>
    <w:rsid w:val="00892C27"/>
    <w:rsid w:val="008A7545"/>
    <w:rsid w:val="008C6145"/>
    <w:rsid w:val="008E4123"/>
    <w:rsid w:val="0096094E"/>
    <w:rsid w:val="00981FF0"/>
    <w:rsid w:val="00987BCF"/>
    <w:rsid w:val="00996761"/>
    <w:rsid w:val="009B566A"/>
    <w:rsid w:val="009D498C"/>
    <w:rsid w:val="00A01E81"/>
    <w:rsid w:val="00A12546"/>
    <w:rsid w:val="00A61C48"/>
    <w:rsid w:val="00AA7257"/>
    <w:rsid w:val="00B0087A"/>
    <w:rsid w:val="00B01A69"/>
    <w:rsid w:val="00B044AC"/>
    <w:rsid w:val="00B16251"/>
    <w:rsid w:val="00B30C21"/>
    <w:rsid w:val="00BC3127"/>
    <w:rsid w:val="00BC47C0"/>
    <w:rsid w:val="00C42F70"/>
    <w:rsid w:val="00C83CDA"/>
    <w:rsid w:val="00C84227"/>
    <w:rsid w:val="00C90E3A"/>
    <w:rsid w:val="00C9617E"/>
    <w:rsid w:val="00CB7924"/>
    <w:rsid w:val="00D942A3"/>
    <w:rsid w:val="00DA1022"/>
    <w:rsid w:val="00DE2189"/>
    <w:rsid w:val="00E21F81"/>
    <w:rsid w:val="00E51087"/>
    <w:rsid w:val="00E5408C"/>
    <w:rsid w:val="00E81DD0"/>
    <w:rsid w:val="00E92A7E"/>
    <w:rsid w:val="00EB7F94"/>
    <w:rsid w:val="00ED1D07"/>
    <w:rsid w:val="00F011DD"/>
    <w:rsid w:val="00F51202"/>
    <w:rsid w:val="00F83E19"/>
    <w:rsid w:val="00F8434F"/>
    <w:rsid w:val="00FB148C"/>
    <w:rsid w:val="00FD69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913461"/>
  <w15:chartTrackingRefBased/>
  <w15:docId w15:val="{72C0F4CB-AD54-4B48-833E-A252C2D8C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939"/>
    <w:pPr>
      <w:spacing w:after="0" w:line="240" w:lineRule="auto"/>
    </w:pPr>
    <w:rPr>
      <w:rFonts w:ascii="Times New Roman" w:eastAsia="Times New Roman" w:hAnsi="Times New Roman" w:cs="Times New Roman"/>
      <w:sz w:val="24"/>
      <w:szCs w:val="24"/>
      <w:lang w:eastAsia="es-MX"/>
    </w:rPr>
  </w:style>
  <w:style w:type="paragraph" w:styleId="Ttulo5">
    <w:name w:val="heading 5"/>
    <w:basedOn w:val="Normal"/>
    <w:next w:val="Normal"/>
    <w:link w:val="Ttulo5Car"/>
    <w:uiPriority w:val="9"/>
    <w:unhideWhenUsed/>
    <w:qFormat/>
    <w:rsid w:val="000571B3"/>
    <w:pPr>
      <w:keepNext/>
      <w:keepLines/>
      <w:suppressAutoHyphens/>
      <w:spacing w:before="40"/>
      <w:outlineLvl w:val="4"/>
    </w:pPr>
    <w:rPr>
      <w:rFonts w:asciiTheme="majorHAnsi" w:eastAsiaTheme="majorEastAsia" w:hAnsiTheme="majorHAnsi" w:cstheme="majorBidi"/>
      <w:color w:val="2E74B5" w:themeColor="accent1" w:themeShade="B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rsid w:val="00383939"/>
    <w:pPr>
      <w:tabs>
        <w:tab w:val="center" w:pos="4419"/>
        <w:tab w:val="right" w:pos="8838"/>
      </w:tabs>
    </w:pPr>
  </w:style>
  <w:style w:type="character" w:customStyle="1" w:styleId="EncabezadoCar">
    <w:name w:val="Encabezado Car"/>
    <w:basedOn w:val="Fuentedeprrafopredeter"/>
    <w:link w:val="Encabezado"/>
    <w:uiPriority w:val="99"/>
    <w:qFormat/>
    <w:rsid w:val="00383939"/>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383939"/>
    <w:pPr>
      <w:tabs>
        <w:tab w:val="center" w:pos="4419"/>
        <w:tab w:val="right" w:pos="8838"/>
      </w:tabs>
    </w:pPr>
  </w:style>
  <w:style w:type="character" w:customStyle="1" w:styleId="PiedepginaCar">
    <w:name w:val="Pie de página Car"/>
    <w:basedOn w:val="Fuentedeprrafopredeter"/>
    <w:link w:val="Piedepgina"/>
    <w:uiPriority w:val="99"/>
    <w:rsid w:val="00383939"/>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83939"/>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383939"/>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383939"/>
    <w:rPr>
      <w:color w:val="0563C1"/>
      <w:u w:val="single"/>
    </w:rPr>
  </w:style>
  <w:style w:type="character" w:styleId="Hipervnculovisitado">
    <w:name w:val="FollowedHyperlink"/>
    <w:basedOn w:val="Fuentedeprrafopredeter"/>
    <w:uiPriority w:val="99"/>
    <w:semiHidden/>
    <w:unhideWhenUsed/>
    <w:rsid w:val="007E1D86"/>
    <w:rPr>
      <w:color w:val="954F72" w:themeColor="followedHyperlink"/>
      <w:u w:val="single"/>
    </w:rPr>
  </w:style>
  <w:style w:type="paragraph" w:styleId="Sinespaciado">
    <w:name w:val="No Spacing"/>
    <w:aliases w:val="Francesa,INAI"/>
    <w:link w:val="SinespaciadoCar"/>
    <w:uiPriority w:val="1"/>
    <w:qFormat/>
    <w:rsid w:val="00A01E81"/>
    <w:pPr>
      <w:spacing w:after="0" w:line="240" w:lineRule="auto"/>
    </w:pPr>
  </w:style>
  <w:style w:type="character" w:customStyle="1" w:styleId="SinespaciadoCar">
    <w:name w:val="Sin espaciado Car"/>
    <w:aliases w:val="Francesa Car,INAI Car"/>
    <w:link w:val="Sinespaciado"/>
    <w:uiPriority w:val="1"/>
    <w:locked/>
    <w:rsid w:val="00A01E81"/>
  </w:style>
  <w:style w:type="table" w:styleId="Tablaconcuadrcula">
    <w:name w:val="Table Grid"/>
    <w:basedOn w:val="Tablanormal"/>
    <w:uiPriority w:val="39"/>
    <w:rsid w:val="00E21F81"/>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qFormat/>
    <w:rsid w:val="000571B3"/>
    <w:rPr>
      <w:rFonts w:asciiTheme="majorHAnsi" w:eastAsiaTheme="majorEastAsia" w:hAnsiTheme="majorHAnsi" w:cstheme="majorBidi"/>
      <w:color w:val="2E74B5" w:themeColor="accent1" w:themeShade="BF"/>
      <w:sz w:val="24"/>
      <w:szCs w:val="24"/>
      <w:lang w:val="es-ES" w:eastAsia="es-ES"/>
    </w:rPr>
  </w:style>
  <w:style w:type="numbering" w:customStyle="1" w:styleId="Estiloimportado2">
    <w:name w:val="Estilo importado 2"/>
    <w:qFormat/>
    <w:rsid w:val="000571B3"/>
    <w:pPr>
      <w:numPr>
        <w:numId w:val="7"/>
      </w:numPr>
    </w:pPr>
  </w:style>
  <w:style w:type="character" w:customStyle="1" w:styleId="UnresolvedMention">
    <w:name w:val="Unresolved Mention"/>
    <w:basedOn w:val="Fuentedeprrafopredeter"/>
    <w:uiPriority w:val="99"/>
    <w:semiHidden/>
    <w:unhideWhenUsed/>
    <w:rsid w:val="007D54DA"/>
    <w:rPr>
      <w:color w:val="605E5C"/>
      <w:shd w:val="clear" w:color="auto" w:fill="E1DFDD"/>
    </w:rPr>
  </w:style>
  <w:style w:type="paragraph" w:customStyle="1" w:styleId="Default">
    <w:name w:val="Default"/>
    <w:rsid w:val="009B566A"/>
    <w:pPr>
      <w:autoSpaceDE w:val="0"/>
      <w:autoSpaceDN w:val="0"/>
      <w:adjustRightInd w:val="0"/>
      <w:spacing w:after="0" w:line="240" w:lineRule="auto"/>
    </w:pPr>
    <w:rPr>
      <w:rFonts w:ascii="Bookman Old Style" w:eastAsiaTheme="minorEastAsia" w:hAnsi="Bookman Old Style" w:cs="Bookman Old Style"/>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240715">
      <w:bodyDiv w:val="1"/>
      <w:marLeft w:val="0"/>
      <w:marRight w:val="0"/>
      <w:marTop w:val="0"/>
      <w:marBottom w:val="0"/>
      <w:divBdr>
        <w:top w:val="none" w:sz="0" w:space="0" w:color="auto"/>
        <w:left w:val="none" w:sz="0" w:space="0" w:color="auto"/>
        <w:bottom w:val="none" w:sz="0" w:space="0" w:color="auto"/>
        <w:right w:val="none" w:sz="0" w:space="0" w:color="auto"/>
      </w:divBdr>
    </w:div>
    <w:div w:id="543173805">
      <w:bodyDiv w:val="1"/>
      <w:marLeft w:val="0"/>
      <w:marRight w:val="0"/>
      <w:marTop w:val="0"/>
      <w:marBottom w:val="0"/>
      <w:divBdr>
        <w:top w:val="none" w:sz="0" w:space="0" w:color="auto"/>
        <w:left w:val="none" w:sz="0" w:space="0" w:color="auto"/>
        <w:bottom w:val="none" w:sz="0" w:space="0" w:color="auto"/>
        <w:right w:val="none" w:sz="0" w:space="0" w:color="auto"/>
      </w:divBdr>
    </w:div>
    <w:div w:id="765462074">
      <w:bodyDiv w:val="1"/>
      <w:marLeft w:val="0"/>
      <w:marRight w:val="0"/>
      <w:marTop w:val="0"/>
      <w:marBottom w:val="0"/>
      <w:divBdr>
        <w:top w:val="none" w:sz="0" w:space="0" w:color="auto"/>
        <w:left w:val="none" w:sz="0" w:space="0" w:color="auto"/>
        <w:bottom w:val="none" w:sz="0" w:space="0" w:color="auto"/>
        <w:right w:val="none" w:sz="0" w:space="0" w:color="auto"/>
      </w:divBdr>
    </w:div>
    <w:div w:id="137595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85240.pag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aimex.org.mx/saimex/solicitud/downloadAttach/2285239.pag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4017</Words>
  <Characters>22094</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INFOEM403</cp:lastModifiedBy>
  <cp:revision>4</cp:revision>
  <cp:lastPrinted>2023-06-22T18:29:00Z</cp:lastPrinted>
  <dcterms:created xsi:type="dcterms:W3CDTF">2024-12-12T21:17:00Z</dcterms:created>
  <dcterms:modified xsi:type="dcterms:W3CDTF">2025-01-24T16:49:00Z</dcterms:modified>
</cp:coreProperties>
</file>