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42E075" w14:textId="3D04387E" w:rsidR="006D5803" w:rsidRDefault="006D5803" w:rsidP="00E669E6">
      <w:pPr>
        <w:spacing w:before="240" w:line="360" w:lineRule="auto"/>
        <w:jc w:val="both"/>
        <w:rPr>
          <w:rFonts w:ascii="Palatino Linotype" w:eastAsia="Times New Roman" w:hAnsi="Palatino Linotype" w:cs="Arial"/>
          <w:color w:val="000000"/>
          <w:sz w:val="24"/>
          <w:szCs w:val="24"/>
          <w:lang w:eastAsia="es-MX"/>
        </w:rPr>
      </w:pPr>
      <w:r w:rsidRPr="00A469C4">
        <w:rPr>
          <w:rFonts w:ascii="Palatino Linotype" w:eastAsia="Times New Roman" w:hAnsi="Palatino Linotype" w:cs="Arial"/>
          <w:color w:val="000000"/>
          <w:sz w:val="24"/>
          <w:szCs w:val="24"/>
          <w:lang w:eastAsia="es-MX"/>
        </w:rPr>
        <w:t>Resolución del Pleno del Instituto de Transparencia, Acceso a la Información Pública y Protección de Datos Personales del Estado de México y Municipios, con domicilio en Metepec, Estado de México</w:t>
      </w:r>
      <w:r w:rsidRPr="007900A4">
        <w:rPr>
          <w:rFonts w:ascii="Palatino Linotype" w:eastAsia="Times New Roman" w:hAnsi="Palatino Linotype" w:cs="Arial"/>
          <w:color w:val="000000"/>
          <w:sz w:val="24"/>
          <w:szCs w:val="24"/>
          <w:lang w:eastAsia="es-MX"/>
        </w:rPr>
        <w:t xml:space="preserve">, </w:t>
      </w:r>
      <w:r w:rsidRPr="00523ACD">
        <w:rPr>
          <w:rFonts w:ascii="Palatino Linotype" w:eastAsia="Times New Roman" w:hAnsi="Palatino Linotype" w:cs="Arial"/>
          <w:color w:val="000000"/>
          <w:sz w:val="24"/>
          <w:szCs w:val="24"/>
          <w:lang w:eastAsia="es-MX"/>
        </w:rPr>
        <w:t xml:space="preserve">a </w:t>
      </w:r>
      <w:r w:rsidR="00E626A3">
        <w:rPr>
          <w:rFonts w:ascii="Palatino Linotype" w:eastAsia="Times New Roman" w:hAnsi="Palatino Linotype" w:cs="Arial"/>
          <w:color w:val="000000"/>
          <w:sz w:val="24"/>
          <w:szCs w:val="24"/>
          <w:lang w:eastAsia="es-MX"/>
        </w:rPr>
        <w:t xml:space="preserve">treinta y uno de enero de dos mil veinticuatro. </w:t>
      </w:r>
      <w:r w:rsidR="008C3857">
        <w:rPr>
          <w:rFonts w:ascii="Palatino Linotype" w:eastAsia="Times New Roman" w:hAnsi="Palatino Linotype" w:cs="Arial"/>
          <w:color w:val="000000"/>
          <w:sz w:val="24"/>
          <w:szCs w:val="24"/>
          <w:lang w:eastAsia="es-MX"/>
        </w:rPr>
        <w:t xml:space="preserve"> </w:t>
      </w:r>
      <w:r w:rsidR="00F2667C">
        <w:rPr>
          <w:rFonts w:ascii="Palatino Linotype" w:eastAsia="Times New Roman" w:hAnsi="Palatino Linotype" w:cs="Arial"/>
          <w:color w:val="000000"/>
          <w:sz w:val="24"/>
          <w:szCs w:val="24"/>
          <w:lang w:eastAsia="es-MX"/>
        </w:rPr>
        <w:t xml:space="preserve"> </w:t>
      </w:r>
      <w:r w:rsidR="00EF6598">
        <w:rPr>
          <w:rFonts w:ascii="Palatino Linotype" w:eastAsia="Times New Roman" w:hAnsi="Palatino Linotype" w:cs="Arial"/>
          <w:color w:val="000000"/>
          <w:sz w:val="24"/>
          <w:szCs w:val="24"/>
          <w:lang w:eastAsia="es-MX"/>
        </w:rPr>
        <w:t xml:space="preserve"> </w:t>
      </w:r>
      <w:r w:rsidR="00D139EB">
        <w:rPr>
          <w:rFonts w:ascii="Palatino Linotype" w:eastAsia="Times New Roman" w:hAnsi="Palatino Linotype" w:cs="Arial"/>
          <w:color w:val="000000"/>
          <w:sz w:val="24"/>
          <w:szCs w:val="24"/>
          <w:lang w:eastAsia="es-MX"/>
        </w:rPr>
        <w:t xml:space="preserve"> </w:t>
      </w:r>
      <w:r w:rsidR="007F0DF4">
        <w:rPr>
          <w:rFonts w:ascii="Palatino Linotype" w:eastAsia="Times New Roman" w:hAnsi="Palatino Linotype" w:cs="Arial"/>
          <w:color w:val="000000"/>
          <w:sz w:val="24"/>
          <w:szCs w:val="24"/>
          <w:lang w:eastAsia="es-MX"/>
        </w:rPr>
        <w:t xml:space="preserve"> </w:t>
      </w:r>
      <w:r w:rsidR="00E138CC">
        <w:rPr>
          <w:rFonts w:ascii="Palatino Linotype" w:eastAsia="Times New Roman" w:hAnsi="Palatino Linotype" w:cs="Arial"/>
          <w:color w:val="000000"/>
          <w:sz w:val="24"/>
          <w:szCs w:val="24"/>
          <w:lang w:eastAsia="es-MX"/>
        </w:rPr>
        <w:t xml:space="preserve"> </w:t>
      </w:r>
      <w:r w:rsidR="00E0171F">
        <w:rPr>
          <w:rFonts w:ascii="Palatino Linotype" w:eastAsia="Times New Roman" w:hAnsi="Palatino Linotype" w:cs="Arial"/>
          <w:color w:val="000000"/>
          <w:sz w:val="24"/>
          <w:szCs w:val="24"/>
          <w:lang w:eastAsia="es-MX"/>
        </w:rPr>
        <w:t xml:space="preserve"> </w:t>
      </w:r>
      <w:r>
        <w:rPr>
          <w:rFonts w:ascii="Palatino Linotype" w:eastAsia="Times New Roman" w:hAnsi="Palatino Linotype" w:cs="Arial"/>
          <w:color w:val="000000"/>
          <w:sz w:val="24"/>
          <w:szCs w:val="24"/>
          <w:lang w:eastAsia="es-MX"/>
        </w:rPr>
        <w:t xml:space="preserve">    </w:t>
      </w:r>
    </w:p>
    <w:p w14:paraId="3A5F52B1" w14:textId="54E3B38E" w:rsidR="00E626A3" w:rsidRPr="00E626A3" w:rsidRDefault="006D5803" w:rsidP="00E669E6">
      <w:pPr>
        <w:tabs>
          <w:tab w:val="left" w:pos="1701"/>
        </w:tabs>
        <w:spacing w:before="240" w:line="360" w:lineRule="auto"/>
        <w:jc w:val="both"/>
        <w:rPr>
          <w:rFonts w:ascii="Palatino Linotype" w:hAnsi="Palatino Linotype" w:cs="Arial"/>
          <w:sz w:val="24"/>
        </w:rPr>
      </w:pPr>
      <w:r w:rsidRPr="00D336C5">
        <w:rPr>
          <w:rFonts w:ascii="Palatino Linotype" w:hAnsi="Palatino Linotype" w:cs="Arial"/>
          <w:b/>
          <w:sz w:val="24"/>
        </w:rPr>
        <w:t>VISTO</w:t>
      </w:r>
      <w:r w:rsidRPr="00D336C5">
        <w:rPr>
          <w:rFonts w:ascii="Palatino Linotype" w:hAnsi="Palatino Linotype" w:cs="Arial"/>
          <w:sz w:val="24"/>
        </w:rPr>
        <w:t xml:space="preserve"> el expediente electrónico formado con motivo del recurso de revisión número </w:t>
      </w:r>
      <w:r w:rsidR="00E626A3">
        <w:rPr>
          <w:rFonts w:ascii="Palatino Linotype" w:hAnsi="Palatino Linotype" w:cs="Arial"/>
          <w:b/>
          <w:sz w:val="24"/>
        </w:rPr>
        <w:t>06845</w:t>
      </w:r>
      <w:r w:rsidR="00FD6B57">
        <w:rPr>
          <w:rFonts w:ascii="Palatino Linotype" w:hAnsi="Palatino Linotype" w:cs="Arial"/>
          <w:b/>
          <w:sz w:val="24"/>
        </w:rPr>
        <w:t>/INFOEM/IP/RR/</w:t>
      </w:r>
      <w:r w:rsidR="00E87460">
        <w:rPr>
          <w:rFonts w:ascii="Palatino Linotype" w:hAnsi="Palatino Linotype" w:cs="Arial"/>
          <w:b/>
          <w:sz w:val="24"/>
        </w:rPr>
        <w:t>2023</w:t>
      </w:r>
      <w:r>
        <w:rPr>
          <w:rFonts w:ascii="Palatino Linotype" w:hAnsi="Palatino Linotype" w:cs="Arial"/>
          <w:b/>
          <w:sz w:val="24"/>
        </w:rPr>
        <w:t xml:space="preserve">, </w:t>
      </w:r>
      <w:r>
        <w:rPr>
          <w:rFonts w:ascii="Palatino Linotype" w:hAnsi="Palatino Linotype" w:cs="Arial"/>
          <w:sz w:val="24"/>
        </w:rPr>
        <w:t xml:space="preserve">interpuesto por </w:t>
      </w:r>
      <w:r w:rsidR="00E626A3">
        <w:rPr>
          <w:rFonts w:ascii="Palatino Linotype" w:hAnsi="Palatino Linotype" w:cs="Arial"/>
          <w:sz w:val="24"/>
        </w:rPr>
        <w:t xml:space="preserve">un particular, en lo sucesivo </w:t>
      </w:r>
      <w:r w:rsidR="00E626A3">
        <w:rPr>
          <w:rFonts w:ascii="Palatino Linotype" w:hAnsi="Palatino Linotype" w:cs="Arial"/>
          <w:b/>
          <w:bCs/>
          <w:sz w:val="24"/>
        </w:rPr>
        <w:t xml:space="preserve">El Recurrente, </w:t>
      </w:r>
      <w:r w:rsidR="00E626A3">
        <w:rPr>
          <w:rFonts w:ascii="Palatino Linotype" w:hAnsi="Palatino Linotype" w:cs="Arial"/>
          <w:sz w:val="24"/>
        </w:rPr>
        <w:t xml:space="preserve">en contra de la respuesta del </w:t>
      </w:r>
      <w:r w:rsidR="00E626A3">
        <w:rPr>
          <w:rFonts w:ascii="Palatino Linotype" w:hAnsi="Palatino Linotype" w:cs="Arial"/>
          <w:b/>
          <w:bCs/>
          <w:sz w:val="24"/>
        </w:rPr>
        <w:t xml:space="preserve">Ayuntamiento de Melchor Ocampo, </w:t>
      </w:r>
      <w:r w:rsidR="00E626A3">
        <w:rPr>
          <w:rFonts w:ascii="Palatino Linotype" w:hAnsi="Palatino Linotype" w:cs="Arial"/>
          <w:sz w:val="24"/>
        </w:rPr>
        <w:t xml:space="preserve">en lo sucesivo </w:t>
      </w:r>
      <w:r w:rsidR="00E626A3">
        <w:rPr>
          <w:rFonts w:ascii="Palatino Linotype" w:hAnsi="Palatino Linotype" w:cs="Arial"/>
          <w:b/>
          <w:bCs/>
          <w:sz w:val="24"/>
        </w:rPr>
        <w:t xml:space="preserve">El Sujeto Obligado, </w:t>
      </w:r>
      <w:r w:rsidR="00E626A3">
        <w:rPr>
          <w:rFonts w:ascii="Palatino Linotype" w:hAnsi="Palatino Linotype" w:cs="Arial"/>
          <w:sz w:val="24"/>
        </w:rPr>
        <w:t xml:space="preserve">se procede a dictar la presente resolución. </w:t>
      </w:r>
    </w:p>
    <w:p w14:paraId="2FAE9F08" w14:textId="77777777" w:rsidR="00E626A3" w:rsidRDefault="00E626A3" w:rsidP="00E669E6">
      <w:pPr>
        <w:tabs>
          <w:tab w:val="left" w:pos="1701"/>
        </w:tabs>
        <w:spacing w:before="240" w:line="360" w:lineRule="auto"/>
        <w:jc w:val="both"/>
        <w:rPr>
          <w:rFonts w:ascii="Palatino Linotype" w:hAnsi="Palatino Linotype" w:cs="Arial"/>
          <w:sz w:val="24"/>
        </w:rPr>
      </w:pPr>
      <w:bookmarkStart w:id="0" w:name="_GoBack"/>
      <w:bookmarkEnd w:id="0"/>
    </w:p>
    <w:p w14:paraId="22CF085C" w14:textId="77777777" w:rsidR="006D5803" w:rsidRPr="00B9640A" w:rsidRDefault="006D5803" w:rsidP="006D5803">
      <w:pPr>
        <w:pStyle w:val="infoemcitas"/>
        <w:jc w:val="center"/>
        <w:rPr>
          <w:b/>
          <w:bCs/>
          <w:i w:val="0"/>
          <w:iCs/>
          <w:sz w:val="28"/>
          <w:szCs w:val="28"/>
        </w:rPr>
      </w:pPr>
      <w:r w:rsidRPr="006522DA">
        <w:rPr>
          <w:b/>
          <w:bCs/>
          <w:i w:val="0"/>
          <w:iCs/>
          <w:sz w:val="28"/>
          <w:szCs w:val="28"/>
        </w:rPr>
        <w:t>A N T E C E D E N T E S   D E L   A S U N T O</w:t>
      </w:r>
    </w:p>
    <w:p w14:paraId="7B8068B7" w14:textId="77777777" w:rsidR="006D5803" w:rsidRPr="00523CF0" w:rsidRDefault="006D5803" w:rsidP="006D5803">
      <w:pPr>
        <w:spacing w:before="240" w:after="240" w:line="360" w:lineRule="auto"/>
        <w:jc w:val="both"/>
        <w:rPr>
          <w:rFonts w:ascii="Palatino Linotype" w:hAnsi="Palatino Linotype"/>
        </w:rPr>
      </w:pPr>
      <w:r w:rsidRPr="00523CF0">
        <w:rPr>
          <w:rFonts w:ascii="Palatino Linotype" w:hAnsi="Palatino Linotype" w:cs="Arial"/>
          <w:b/>
          <w:sz w:val="28"/>
        </w:rPr>
        <w:t>PRIMERO.</w:t>
      </w:r>
      <w:r w:rsidRPr="00523CF0">
        <w:rPr>
          <w:rFonts w:ascii="Palatino Linotype" w:hAnsi="Palatino Linotype" w:cs="Arial"/>
        </w:rPr>
        <w:t xml:space="preserve"> </w:t>
      </w:r>
      <w:r w:rsidRPr="00523CF0">
        <w:rPr>
          <w:rFonts w:ascii="Palatino Linotype" w:hAnsi="Palatino Linotype"/>
          <w:b/>
          <w:sz w:val="28"/>
          <w:szCs w:val="28"/>
        </w:rPr>
        <w:t>De la Solicitud de Información.</w:t>
      </w:r>
    </w:p>
    <w:p w14:paraId="0ABAECA3" w14:textId="284727C0" w:rsidR="00E626A3" w:rsidRDefault="0098057B" w:rsidP="0098057B">
      <w:pPr>
        <w:spacing w:before="240" w:line="360" w:lineRule="auto"/>
        <w:jc w:val="both"/>
        <w:rPr>
          <w:rFonts w:ascii="Palatino Linotype" w:hAnsi="Palatino Linotype" w:cs="Arial"/>
          <w:sz w:val="24"/>
        </w:rPr>
      </w:pPr>
      <w:r>
        <w:rPr>
          <w:rFonts w:ascii="Palatino Linotype" w:hAnsi="Palatino Linotype" w:cs="Arial"/>
          <w:sz w:val="24"/>
        </w:rPr>
        <w:t>Con fecha</w:t>
      </w:r>
      <w:r w:rsidR="007D63A2">
        <w:rPr>
          <w:rFonts w:ascii="Palatino Linotype" w:hAnsi="Palatino Linotype" w:cs="Arial"/>
          <w:sz w:val="24"/>
        </w:rPr>
        <w:t xml:space="preserve"> </w:t>
      </w:r>
      <w:r w:rsidR="00E626A3">
        <w:rPr>
          <w:rFonts w:ascii="Palatino Linotype" w:hAnsi="Palatino Linotype" w:cs="Arial"/>
          <w:sz w:val="24"/>
        </w:rPr>
        <w:t xml:space="preserve">veintinueve de agosto de dos mil veintitrés, </w:t>
      </w:r>
      <w:r w:rsidR="00E626A3">
        <w:rPr>
          <w:rFonts w:ascii="Palatino Linotype" w:hAnsi="Palatino Linotype" w:cs="Arial"/>
          <w:b/>
          <w:bCs/>
          <w:sz w:val="24"/>
        </w:rPr>
        <w:t xml:space="preserve">El Recurrente, </w:t>
      </w:r>
      <w:r w:rsidR="00E626A3">
        <w:rPr>
          <w:rFonts w:ascii="Palatino Linotype" w:hAnsi="Palatino Linotype" w:cs="Arial"/>
          <w:sz w:val="24"/>
        </w:rPr>
        <w:t xml:space="preserve">presentó a través del Sistema de Acceso a la Información Mexiquense </w:t>
      </w:r>
      <w:r w:rsidR="00E626A3" w:rsidRPr="00D3218F">
        <w:rPr>
          <w:rFonts w:ascii="Palatino Linotype" w:hAnsi="Palatino Linotype" w:cs="Arial"/>
          <w:sz w:val="24"/>
        </w:rPr>
        <w:t>(</w:t>
      </w:r>
      <w:r w:rsidR="00E626A3" w:rsidRPr="00D3218F">
        <w:rPr>
          <w:rFonts w:ascii="Palatino Linotype" w:hAnsi="Palatino Linotype" w:cs="Arial"/>
          <w:b/>
          <w:sz w:val="24"/>
        </w:rPr>
        <w:t>SAIMEX)</w:t>
      </w:r>
      <w:r w:rsidR="00E626A3" w:rsidRPr="00D3218F">
        <w:rPr>
          <w:rFonts w:ascii="Palatino Linotype" w:hAnsi="Palatino Linotype" w:cs="Arial"/>
          <w:sz w:val="24"/>
        </w:rPr>
        <w:t xml:space="preserve"> ante </w:t>
      </w:r>
      <w:r w:rsidR="00E626A3" w:rsidRPr="00D3218F">
        <w:rPr>
          <w:rFonts w:ascii="Palatino Linotype" w:hAnsi="Palatino Linotype" w:cs="Arial"/>
          <w:b/>
          <w:sz w:val="24"/>
        </w:rPr>
        <w:t>El Sujeto Obligado</w:t>
      </w:r>
      <w:r w:rsidR="00E626A3" w:rsidRPr="00D3218F">
        <w:rPr>
          <w:rFonts w:ascii="Palatino Linotype" w:hAnsi="Palatino Linotype" w:cs="Arial"/>
          <w:sz w:val="24"/>
        </w:rPr>
        <w:t>,</w:t>
      </w:r>
      <w:r w:rsidR="00E626A3">
        <w:rPr>
          <w:rFonts w:ascii="Palatino Linotype" w:hAnsi="Palatino Linotype" w:cs="Arial"/>
          <w:sz w:val="24"/>
        </w:rPr>
        <w:t xml:space="preserve"> la solicitud de acceso a la información pública, registrada bajo el número de expediente </w:t>
      </w:r>
      <w:r w:rsidR="00E626A3">
        <w:rPr>
          <w:rFonts w:ascii="Palatino Linotype" w:hAnsi="Palatino Linotype" w:cs="Arial"/>
          <w:b/>
          <w:bCs/>
          <w:sz w:val="24"/>
        </w:rPr>
        <w:t xml:space="preserve">00340/MELOCAM/IP/2023, </w:t>
      </w:r>
      <w:r w:rsidR="00E626A3">
        <w:rPr>
          <w:rFonts w:ascii="Palatino Linotype" w:hAnsi="Palatino Linotype" w:cs="Arial"/>
          <w:sz w:val="24"/>
        </w:rPr>
        <w:t>mediante la cual solicitó información en el tenor siguiente:</w:t>
      </w:r>
    </w:p>
    <w:p w14:paraId="65DE4789" w14:textId="4C1BFB2A" w:rsidR="00E626A3" w:rsidRPr="00E626A3" w:rsidRDefault="00E626A3" w:rsidP="00E626A3">
      <w:pPr>
        <w:pStyle w:val="Citas"/>
        <w:rPr>
          <w:b/>
          <w:bCs/>
          <w:sz w:val="24"/>
        </w:rPr>
      </w:pPr>
      <w:r>
        <w:t xml:space="preserve">“DIRECTORIO TELEFONICO, DOMICILIO, CORREO ELECTRONICO Y PRESUPUESTO DE EGRESOS 2019 DE TODOS LOS MUNICIPIOS, DIF MUNICIPALES, ORGANISMOS DE AGUA, IMCUFIDE (DIRECCION GENERAL DE CULTURA FISICA Y DEPORTE)” </w:t>
      </w:r>
      <w:r>
        <w:rPr>
          <w:b/>
          <w:bCs/>
        </w:rPr>
        <w:t>(Sic)</w:t>
      </w:r>
    </w:p>
    <w:p w14:paraId="6C718A25" w14:textId="4B44C21A" w:rsidR="0098057B" w:rsidRDefault="0098057B" w:rsidP="0098057B">
      <w:pPr>
        <w:spacing w:before="240" w:line="360" w:lineRule="auto"/>
        <w:jc w:val="both"/>
        <w:rPr>
          <w:rFonts w:ascii="Palatino Linotype" w:eastAsia="Times New Roman" w:hAnsi="Palatino Linotype" w:cs="Times New Roman"/>
          <w:sz w:val="24"/>
          <w:szCs w:val="24"/>
          <w:lang w:val="es-ES_tradnl" w:eastAsia="es-ES"/>
        </w:rPr>
      </w:pPr>
      <w:r w:rsidRPr="00124209">
        <w:rPr>
          <w:rFonts w:ascii="Palatino Linotype" w:eastAsia="Times New Roman" w:hAnsi="Palatino Linotype" w:cs="Times New Roman"/>
          <w:b/>
          <w:sz w:val="24"/>
          <w:szCs w:val="24"/>
          <w:lang w:val="es-ES_tradnl" w:eastAsia="es-ES"/>
        </w:rPr>
        <w:t>Modalidad de entrega:</w:t>
      </w:r>
      <w:r w:rsidRPr="00124209">
        <w:rPr>
          <w:rFonts w:ascii="Palatino Linotype" w:eastAsia="Times New Roman" w:hAnsi="Palatino Linotype" w:cs="Times New Roman"/>
          <w:sz w:val="24"/>
          <w:szCs w:val="24"/>
          <w:lang w:val="es-ES_tradnl" w:eastAsia="es-ES"/>
        </w:rPr>
        <w:t xml:space="preserve"> A través del SAIMEX</w:t>
      </w:r>
    </w:p>
    <w:p w14:paraId="3D1C9994" w14:textId="68755921" w:rsidR="00073E92" w:rsidRDefault="008C3857" w:rsidP="00073E92">
      <w:pPr>
        <w:spacing w:before="240" w:line="360" w:lineRule="auto"/>
        <w:jc w:val="both"/>
        <w:rPr>
          <w:rFonts w:ascii="Palatino Linotype" w:hAnsi="Palatino Linotype" w:cs="Arial"/>
          <w:b/>
          <w:sz w:val="28"/>
        </w:rPr>
      </w:pPr>
      <w:r>
        <w:rPr>
          <w:rFonts w:ascii="Palatino Linotype" w:hAnsi="Palatino Linotype" w:cs="Arial"/>
          <w:b/>
          <w:sz w:val="28"/>
        </w:rPr>
        <w:lastRenderedPageBreak/>
        <w:t>SEGUNDO</w:t>
      </w:r>
      <w:r w:rsidR="00073E92">
        <w:rPr>
          <w:rFonts w:ascii="Palatino Linotype" w:hAnsi="Palatino Linotype" w:cs="Arial"/>
          <w:b/>
          <w:sz w:val="28"/>
        </w:rPr>
        <w:t xml:space="preserve">. </w:t>
      </w:r>
      <w:r w:rsidR="00073E92" w:rsidRPr="00165D6E">
        <w:rPr>
          <w:rFonts w:ascii="Palatino Linotype" w:hAnsi="Palatino Linotype" w:cs="Arial"/>
          <w:b/>
          <w:sz w:val="28"/>
          <w:szCs w:val="20"/>
        </w:rPr>
        <w:t xml:space="preserve">De la respuesta </w:t>
      </w:r>
      <w:r w:rsidR="00073E92">
        <w:rPr>
          <w:rFonts w:ascii="Palatino Linotype" w:hAnsi="Palatino Linotype" w:cs="Arial"/>
          <w:b/>
          <w:sz w:val="28"/>
          <w:szCs w:val="20"/>
        </w:rPr>
        <w:t>del Sujeto Obligado</w:t>
      </w:r>
      <w:r w:rsidR="00073E92" w:rsidRPr="00165D6E">
        <w:rPr>
          <w:rFonts w:ascii="Palatino Linotype" w:hAnsi="Palatino Linotype" w:cs="Arial"/>
          <w:b/>
          <w:sz w:val="28"/>
          <w:szCs w:val="20"/>
        </w:rPr>
        <w:t>.</w:t>
      </w:r>
    </w:p>
    <w:p w14:paraId="764BC5F4" w14:textId="1BAB5A03" w:rsidR="00E626A3" w:rsidRDefault="00073E92" w:rsidP="00073E92">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En el expediente electrónico </w:t>
      </w:r>
      <w:r>
        <w:rPr>
          <w:rFonts w:ascii="Palatino Linotype" w:hAnsi="Palatino Linotype" w:cs="Arial"/>
          <w:b/>
          <w:sz w:val="24"/>
          <w:szCs w:val="24"/>
        </w:rPr>
        <w:t xml:space="preserve">SAIMEX, </w:t>
      </w:r>
      <w:r>
        <w:rPr>
          <w:rFonts w:ascii="Palatino Linotype" w:hAnsi="Palatino Linotype" w:cs="Arial"/>
          <w:sz w:val="24"/>
          <w:szCs w:val="24"/>
        </w:rPr>
        <w:t xml:space="preserve">se aprecia que el </w:t>
      </w:r>
      <w:r w:rsidR="00E626A3">
        <w:rPr>
          <w:rFonts w:ascii="Palatino Linotype" w:hAnsi="Palatino Linotype" w:cs="Arial"/>
          <w:sz w:val="24"/>
          <w:szCs w:val="24"/>
        </w:rPr>
        <w:t xml:space="preserve">diecinueve de septiembre de dos mil veintitrés, </w:t>
      </w:r>
      <w:r w:rsidR="00E626A3">
        <w:rPr>
          <w:rFonts w:ascii="Palatino Linotype" w:hAnsi="Palatino Linotype" w:cs="Arial"/>
          <w:b/>
          <w:bCs/>
          <w:sz w:val="24"/>
          <w:szCs w:val="24"/>
        </w:rPr>
        <w:t xml:space="preserve">El Sujeto Obligado </w:t>
      </w:r>
      <w:r w:rsidR="00E626A3">
        <w:rPr>
          <w:rFonts w:ascii="Palatino Linotype" w:hAnsi="Palatino Linotype" w:cs="Arial"/>
          <w:sz w:val="24"/>
          <w:szCs w:val="24"/>
        </w:rPr>
        <w:t>dio respuesta a la solicitud de información en los siguientes términos:</w:t>
      </w:r>
    </w:p>
    <w:p w14:paraId="45D649D6" w14:textId="50E01DCE" w:rsidR="00E626A3" w:rsidRDefault="00E626A3" w:rsidP="00E626A3">
      <w:pPr>
        <w:pStyle w:val="Citas"/>
      </w:pPr>
      <w:r>
        <w:t>“En respuesta a la solicitud recibida, nos permitimos hacer de su conocimiento que con fundamento en el artículo 53, Fracciones: II, V y VI de la Ley de Transparencia y Acceso a la Información Pública del Estado de México y Municipios, le contestamos que:</w:t>
      </w:r>
    </w:p>
    <w:p w14:paraId="57659140" w14:textId="1F29E889" w:rsidR="00E626A3" w:rsidRPr="00E626A3" w:rsidRDefault="00E626A3" w:rsidP="00E626A3">
      <w:pPr>
        <w:pStyle w:val="Citas"/>
        <w:rPr>
          <w:b/>
          <w:bCs/>
          <w:sz w:val="24"/>
          <w:szCs w:val="24"/>
        </w:rPr>
      </w:pPr>
      <w:r>
        <w:t xml:space="preserve">Por medio del presente y con fundamento en los artículos 3, 4, 8, 11, 12, 15, 16, 23 fracción IV, 45, 47, 49, 53, 58, 59, 150, 151, 176, 178, 179, 180 y demás relativos y aplicables de la Ley de Transparencia y Acceso a la Información Pública del Estado de México y Municipios, así como el numeral treinta y ocho inciso “d” de los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le informo que la respuesta dada a su solicitud de información pública, fue emitida por las siguientes Dependencias: (DIRECCIÓN DE ADMINISTRACIÓN) Y (TESORERÍA MUNICIPAL); por lo que en ese orden se transcriben: 1.- “Con fundamento en el artículo 6° Apartado “A” de la Constitución Política de los Estados Unidos Mexicanos, 5° de la Constitución Política del Estado Libre y Soberano de México 12, 23, fracción IV, 24, fracciones XI y XXV y 25 de la Ley de Transparencia y Acceso a la Información Pública del Estado de México y Municipios; en atención a la Solicitud de Información Pública marcada con el número de folio 00340/MELOCAM/IP/2023, turnada a través del Sistema </w:t>
      </w:r>
      <w:r>
        <w:lastRenderedPageBreak/>
        <w:t>SAIMEX, a esta Unidad Administrativa, en la cual se requiere lo siguiente: DESCRIPCIÓN DE LA INFORMACIÓN SOLICITADA: “DIRECTORIO TELEFONICO, DOMICILIO, CORREO ELECTRONICO Y PRESUPUESTO DE EGRESOS 2019 DE TODOS LOS MUNICIPIOS, DIF MUNICIPALES, ORGANISMOS DE AGUA, IMCUFIDE (DIRECCION GENERAL DE CULTURA FISICA Y DEPORTE)” (Sic) En virtud de lo anterior, me permito informar que en cumplimiento con lo dispuesto por el artículo 12 de la Ley de Transparencia y Acceso a la Información Pública del Estado de México y Municipios que a la letra señala “Los sujetos obligados sólo proporcionarán la información pública que se les requiera y que obre en sus archivos y en el estado en que ésta se encuentre; no estarán obligados a generarla, resumirla, efectuar cálculos o practicar investigaciones.”, por lo que me permito adjuntar documento electrónico .</w:t>
      </w:r>
      <w:proofErr w:type="spellStart"/>
      <w:r>
        <w:t>xlsx</w:t>
      </w:r>
      <w:proofErr w:type="spellEnd"/>
      <w:r>
        <w:t xml:space="preserve"> del directorio, en el que se proporciona nombre del titular, departamento, puesto, correo institucional, así como número telefónico y extensión. Por último, le comento que se deja a salvo sus derechos a efecto de que, de considerarlo conveniente, realice de nueva cuenta la solicitud de información o interponga el recurso contemplado en la ley de la materia, si no estuviera conforme, esto en un plazo de 15 días hábiles contados a partir de la notificación del presente. Sin otro particular por el momento aprovecho la ocasión para hacerle llegar un cordial saludo.” (Sic) Y 2.- “Al respecto le informo, que esta tesorería municipal se declara parcialmente competente para contestar sobre la misma, específicamente sobre lo siguiente: “PRESUPUESTO DE EGRESOS 2019”, y solo del Municipio de Melchor Ocampo, el cual consiste en $232,322,621.00” (Sic) Por lo anteriormente expuesto y fundado, solicito a Usted se sirva tener a esta Unidad de Transparencia por cumplimentada, en tiempo y forma, la respuesta a su solicitud de acceso a la información pública, a través del Sistema </w:t>
      </w:r>
      <w:proofErr w:type="spellStart"/>
      <w:r>
        <w:t>Saimex</w:t>
      </w:r>
      <w:proofErr w:type="spellEnd"/>
      <w:r>
        <w:t xml:space="preserve">; lo anterior, para los efectos legales a que haya lugar” </w:t>
      </w:r>
      <w:r>
        <w:rPr>
          <w:b/>
          <w:bCs/>
        </w:rPr>
        <w:t>(Sic)</w:t>
      </w:r>
    </w:p>
    <w:p w14:paraId="69A8E50D" w14:textId="6F5EA3DB" w:rsidR="00E626A3" w:rsidRPr="00E626A3" w:rsidRDefault="003D4013" w:rsidP="00EE257E">
      <w:pPr>
        <w:pStyle w:val="Citas"/>
        <w:ind w:left="0" w:right="72"/>
        <w:rPr>
          <w:i w:val="0"/>
          <w:sz w:val="24"/>
          <w:szCs w:val="24"/>
        </w:rPr>
      </w:pPr>
      <w:r>
        <w:rPr>
          <w:i w:val="0"/>
          <w:sz w:val="24"/>
          <w:szCs w:val="24"/>
        </w:rPr>
        <w:lastRenderedPageBreak/>
        <w:t>Adicionalmente</w:t>
      </w:r>
      <w:r w:rsidR="00EE257E" w:rsidRPr="006522DA">
        <w:rPr>
          <w:i w:val="0"/>
          <w:sz w:val="24"/>
          <w:szCs w:val="24"/>
        </w:rPr>
        <w:t xml:space="preserve">, </w:t>
      </w:r>
      <w:r w:rsidR="00EE257E" w:rsidRPr="006522DA">
        <w:rPr>
          <w:b/>
          <w:i w:val="0"/>
          <w:sz w:val="24"/>
          <w:szCs w:val="24"/>
        </w:rPr>
        <w:t xml:space="preserve">El Sujeto Obligado </w:t>
      </w:r>
      <w:r w:rsidR="00EE257E" w:rsidRPr="006522DA">
        <w:rPr>
          <w:i w:val="0"/>
          <w:sz w:val="24"/>
          <w:szCs w:val="24"/>
        </w:rPr>
        <w:t xml:space="preserve">adjuntó </w:t>
      </w:r>
      <w:r w:rsidR="00E626A3">
        <w:rPr>
          <w:i w:val="0"/>
          <w:sz w:val="24"/>
          <w:szCs w:val="24"/>
        </w:rPr>
        <w:t xml:space="preserve">los documentos electrónicos </w:t>
      </w:r>
      <w:r w:rsidR="00E626A3">
        <w:rPr>
          <w:b/>
          <w:bCs/>
          <w:i w:val="0"/>
          <w:sz w:val="24"/>
          <w:szCs w:val="24"/>
        </w:rPr>
        <w:t xml:space="preserve">“DIRECTORIO.xlsx” </w:t>
      </w:r>
      <w:r w:rsidR="00E626A3">
        <w:rPr>
          <w:i w:val="0"/>
          <w:sz w:val="24"/>
          <w:szCs w:val="24"/>
        </w:rPr>
        <w:t xml:space="preserve">y </w:t>
      </w:r>
      <w:r w:rsidR="00E626A3">
        <w:rPr>
          <w:b/>
          <w:bCs/>
          <w:i w:val="0"/>
          <w:sz w:val="24"/>
          <w:szCs w:val="24"/>
        </w:rPr>
        <w:t>“</w:t>
      </w:r>
      <w:proofErr w:type="spellStart"/>
      <w:r w:rsidR="00E626A3">
        <w:rPr>
          <w:b/>
          <w:bCs/>
          <w:i w:val="0"/>
          <w:sz w:val="24"/>
          <w:szCs w:val="24"/>
        </w:rPr>
        <w:t>CamScanner</w:t>
      </w:r>
      <w:proofErr w:type="spellEnd"/>
      <w:r w:rsidR="00E626A3">
        <w:rPr>
          <w:b/>
          <w:bCs/>
          <w:i w:val="0"/>
          <w:sz w:val="24"/>
          <w:szCs w:val="24"/>
        </w:rPr>
        <w:t xml:space="preserve"> 09-19-2023 10.15.pdf”, </w:t>
      </w:r>
      <w:r w:rsidR="00E626A3">
        <w:rPr>
          <w:i w:val="0"/>
          <w:sz w:val="24"/>
          <w:szCs w:val="24"/>
        </w:rPr>
        <w:t xml:space="preserve">cuyo contenido será materia de estudio en el considerando respectivo. </w:t>
      </w:r>
    </w:p>
    <w:p w14:paraId="09EB4B63" w14:textId="77777777" w:rsidR="008C3857" w:rsidRDefault="008C3857" w:rsidP="00EE257E">
      <w:pPr>
        <w:pStyle w:val="Citas"/>
        <w:ind w:left="0" w:right="72"/>
        <w:rPr>
          <w:i w:val="0"/>
          <w:sz w:val="24"/>
          <w:szCs w:val="24"/>
        </w:rPr>
      </w:pPr>
    </w:p>
    <w:p w14:paraId="067753A9" w14:textId="04756ACB" w:rsidR="00073E92" w:rsidRDefault="008C3857" w:rsidP="00073E92">
      <w:pPr>
        <w:spacing w:before="240" w:line="360" w:lineRule="auto"/>
        <w:jc w:val="both"/>
        <w:rPr>
          <w:rFonts w:ascii="Palatino Linotype" w:hAnsi="Palatino Linotype" w:cs="Arial"/>
          <w:b/>
          <w:sz w:val="28"/>
        </w:rPr>
      </w:pPr>
      <w:r>
        <w:rPr>
          <w:rFonts w:ascii="Palatino Linotype" w:hAnsi="Palatino Linotype" w:cs="Arial"/>
          <w:b/>
          <w:sz w:val="28"/>
        </w:rPr>
        <w:t>TERCERO</w:t>
      </w:r>
      <w:r w:rsidR="00073E92">
        <w:rPr>
          <w:rFonts w:ascii="Palatino Linotype" w:hAnsi="Palatino Linotype" w:cs="Arial"/>
          <w:b/>
          <w:sz w:val="28"/>
        </w:rPr>
        <w:t xml:space="preserve">. </w:t>
      </w:r>
      <w:r w:rsidR="00073E92">
        <w:rPr>
          <w:rFonts w:ascii="Palatino Linotype" w:hAnsi="Palatino Linotype"/>
          <w:b/>
          <w:sz w:val="28"/>
        </w:rPr>
        <w:t>Del recurso de revisión.</w:t>
      </w:r>
    </w:p>
    <w:p w14:paraId="30D97C49" w14:textId="77420F14" w:rsidR="00E626A3" w:rsidRPr="00E626A3" w:rsidRDefault="00073E92" w:rsidP="00073E92">
      <w:pPr>
        <w:spacing w:before="240" w:line="360" w:lineRule="auto"/>
        <w:jc w:val="both"/>
        <w:rPr>
          <w:rFonts w:ascii="Palatino Linotype" w:hAnsi="Palatino Linotype" w:cs="Arial"/>
          <w:sz w:val="24"/>
          <w:szCs w:val="24"/>
        </w:rPr>
      </w:pPr>
      <w:r w:rsidRPr="0096643B">
        <w:rPr>
          <w:rFonts w:ascii="Palatino Linotype" w:hAnsi="Palatino Linotype" w:cs="Arial"/>
          <w:sz w:val="24"/>
          <w:szCs w:val="24"/>
        </w:rPr>
        <w:t>Inconforme c</w:t>
      </w:r>
      <w:r>
        <w:rPr>
          <w:rFonts w:ascii="Palatino Linotype" w:hAnsi="Palatino Linotype" w:cs="Arial"/>
          <w:sz w:val="24"/>
          <w:szCs w:val="24"/>
        </w:rPr>
        <w:t xml:space="preserve">on la respuesta por </w:t>
      </w:r>
      <w:r>
        <w:rPr>
          <w:rFonts w:ascii="Palatino Linotype" w:hAnsi="Palatino Linotype" w:cs="Arial"/>
          <w:b/>
          <w:sz w:val="24"/>
          <w:szCs w:val="24"/>
        </w:rPr>
        <w:t xml:space="preserve">El Sujeto Obligado, El Recurrente </w:t>
      </w:r>
      <w:r>
        <w:rPr>
          <w:rFonts w:ascii="Palatino Linotype" w:hAnsi="Palatino Linotype" w:cs="Arial"/>
          <w:sz w:val="24"/>
          <w:szCs w:val="24"/>
        </w:rPr>
        <w:t>interpuso recurso de revisión, en fecha</w:t>
      </w:r>
      <w:r w:rsidR="00EE05C1">
        <w:rPr>
          <w:rFonts w:ascii="Palatino Linotype" w:hAnsi="Palatino Linotype" w:cs="Arial"/>
          <w:sz w:val="24"/>
          <w:szCs w:val="24"/>
        </w:rPr>
        <w:t xml:space="preserve"> </w:t>
      </w:r>
      <w:r w:rsidR="00E626A3">
        <w:rPr>
          <w:rFonts w:ascii="Palatino Linotype" w:hAnsi="Palatino Linotype" w:cs="Arial"/>
          <w:sz w:val="24"/>
          <w:szCs w:val="24"/>
        </w:rPr>
        <w:t xml:space="preserve">cinco de octubre de dos mil veintitrés, el cual fue registrado con el expediente </w:t>
      </w:r>
      <w:r w:rsidR="00E626A3" w:rsidRPr="00E626A3">
        <w:rPr>
          <w:rFonts w:ascii="Palatino Linotype" w:hAnsi="Palatino Linotype" w:cs="Arial"/>
          <w:sz w:val="24"/>
          <w:szCs w:val="24"/>
        </w:rPr>
        <w:t xml:space="preserve">número </w:t>
      </w:r>
      <w:r w:rsidR="00E626A3" w:rsidRPr="00E626A3">
        <w:rPr>
          <w:rFonts w:ascii="Palatino Linotype" w:hAnsi="Palatino Linotype" w:cs="Arial"/>
          <w:b/>
          <w:bCs/>
          <w:sz w:val="24"/>
          <w:szCs w:val="24"/>
        </w:rPr>
        <w:t xml:space="preserve">06845/INFOEM/IP/RR/2023, </w:t>
      </w:r>
      <w:r w:rsidR="00E626A3" w:rsidRPr="00E626A3">
        <w:rPr>
          <w:rFonts w:ascii="Palatino Linotype" w:hAnsi="Palatino Linotype" w:cs="Arial"/>
          <w:sz w:val="24"/>
          <w:szCs w:val="24"/>
        </w:rPr>
        <w:t>en el cual arguye las siguientes manifestaciones:</w:t>
      </w:r>
      <w:r w:rsidR="00E626A3">
        <w:rPr>
          <w:rFonts w:ascii="Palatino Linotype" w:hAnsi="Palatino Linotype" w:cs="Arial"/>
          <w:sz w:val="24"/>
          <w:szCs w:val="24"/>
        </w:rPr>
        <w:t xml:space="preserve"> </w:t>
      </w:r>
    </w:p>
    <w:p w14:paraId="0D67E781" w14:textId="48FE598D" w:rsidR="00F2667C" w:rsidRPr="00F2667C" w:rsidRDefault="00F2667C" w:rsidP="00073E92">
      <w:pPr>
        <w:spacing w:before="240" w:line="360" w:lineRule="auto"/>
        <w:jc w:val="both"/>
        <w:rPr>
          <w:rFonts w:ascii="Palatino Linotype" w:hAnsi="Palatino Linotype" w:cs="Arial"/>
          <w:b/>
          <w:sz w:val="24"/>
          <w:szCs w:val="24"/>
        </w:rPr>
      </w:pPr>
      <w:r>
        <w:rPr>
          <w:rFonts w:ascii="Palatino Linotype" w:hAnsi="Palatino Linotype" w:cs="Arial"/>
          <w:b/>
          <w:sz w:val="24"/>
          <w:szCs w:val="24"/>
        </w:rPr>
        <w:t xml:space="preserve">Acto impugnado: </w:t>
      </w:r>
    </w:p>
    <w:p w14:paraId="0B4E0576" w14:textId="2A7E351C" w:rsidR="00073E92" w:rsidRDefault="00F2667C" w:rsidP="00073E92">
      <w:pPr>
        <w:pStyle w:val="Citas"/>
        <w:rPr>
          <w:b/>
        </w:rPr>
      </w:pPr>
      <w:r w:rsidRPr="00360F1F">
        <w:t xml:space="preserve"> </w:t>
      </w:r>
      <w:r w:rsidR="00073E92" w:rsidRPr="00C61B54">
        <w:t>“</w:t>
      </w:r>
      <w:r w:rsidR="00C61B54" w:rsidRPr="00C61B54">
        <w:t>Respuesta incompleta</w:t>
      </w:r>
      <w:r w:rsidR="00073E92" w:rsidRPr="00C61B54">
        <w:t>”</w:t>
      </w:r>
      <w:r w:rsidR="00073E92" w:rsidRPr="007E24F0">
        <w:t xml:space="preserve"> </w:t>
      </w:r>
      <w:r w:rsidR="00073E92">
        <w:rPr>
          <w:b/>
        </w:rPr>
        <w:t xml:space="preserve">[Sic] </w:t>
      </w:r>
    </w:p>
    <w:p w14:paraId="02EF4683" w14:textId="5220B9DB" w:rsidR="00F2667C" w:rsidRPr="00F2667C" w:rsidRDefault="00F2667C" w:rsidP="00F2667C">
      <w:pPr>
        <w:spacing w:before="240" w:line="360" w:lineRule="auto"/>
        <w:jc w:val="both"/>
        <w:rPr>
          <w:rFonts w:ascii="Palatino Linotype" w:hAnsi="Palatino Linotype" w:cs="Arial"/>
          <w:b/>
          <w:sz w:val="24"/>
          <w:szCs w:val="24"/>
        </w:rPr>
      </w:pPr>
      <w:r>
        <w:rPr>
          <w:rFonts w:ascii="Palatino Linotype" w:hAnsi="Palatino Linotype" w:cs="Arial"/>
          <w:b/>
          <w:sz w:val="24"/>
          <w:szCs w:val="24"/>
        </w:rPr>
        <w:t xml:space="preserve">Razones o motivos de inconformidad: </w:t>
      </w:r>
    </w:p>
    <w:p w14:paraId="39BD595D" w14:textId="22F13B04" w:rsidR="003442C8" w:rsidRPr="00F2667C" w:rsidRDefault="00F2667C" w:rsidP="00F2667C">
      <w:pPr>
        <w:pStyle w:val="Citas"/>
        <w:rPr>
          <w:b/>
        </w:rPr>
      </w:pPr>
      <w:r w:rsidRPr="00C61B54">
        <w:t>“</w:t>
      </w:r>
      <w:r w:rsidR="00C61B54" w:rsidRPr="00C61B54">
        <w:t>Respuesta incompleta</w:t>
      </w:r>
      <w:r w:rsidRPr="00C61B54">
        <w:t>”</w:t>
      </w:r>
      <w:r>
        <w:t xml:space="preserve"> </w:t>
      </w:r>
      <w:r>
        <w:rPr>
          <w:b/>
        </w:rPr>
        <w:t xml:space="preserve">[Sic] </w:t>
      </w:r>
    </w:p>
    <w:p w14:paraId="2604D2B2" w14:textId="77777777" w:rsidR="008C3857" w:rsidRDefault="008C3857" w:rsidP="00875611">
      <w:pPr>
        <w:pStyle w:val="Citas"/>
        <w:ind w:left="0" w:right="0"/>
        <w:rPr>
          <w:i w:val="0"/>
          <w:sz w:val="24"/>
          <w:szCs w:val="24"/>
        </w:rPr>
      </w:pPr>
    </w:p>
    <w:p w14:paraId="6B689A4F" w14:textId="503DA0E4" w:rsidR="00073E92" w:rsidRDefault="008C3857" w:rsidP="00073E92">
      <w:pPr>
        <w:spacing w:before="240" w:line="360" w:lineRule="auto"/>
        <w:jc w:val="both"/>
        <w:rPr>
          <w:rFonts w:ascii="Palatino Linotype" w:hAnsi="Palatino Linotype" w:cs="Arial"/>
          <w:b/>
          <w:sz w:val="24"/>
          <w:szCs w:val="24"/>
        </w:rPr>
      </w:pPr>
      <w:r>
        <w:rPr>
          <w:rFonts w:ascii="Palatino Linotype" w:hAnsi="Palatino Linotype" w:cs="Arial"/>
          <w:b/>
          <w:sz w:val="28"/>
        </w:rPr>
        <w:t>CUARTO</w:t>
      </w:r>
      <w:r w:rsidR="00073E92" w:rsidRPr="008551ED">
        <w:rPr>
          <w:rFonts w:ascii="Palatino Linotype" w:hAnsi="Palatino Linotype" w:cs="Arial"/>
          <w:b/>
          <w:sz w:val="24"/>
          <w:szCs w:val="24"/>
        </w:rPr>
        <w:t xml:space="preserve">. </w:t>
      </w:r>
      <w:r w:rsidR="00073E92" w:rsidRPr="0087163A">
        <w:rPr>
          <w:rFonts w:ascii="Palatino Linotype" w:hAnsi="Palatino Linotype" w:cs="Arial"/>
          <w:b/>
          <w:sz w:val="28"/>
          <w:szCs w:val="28"/>
        </w:rPr>
        <w:t>Del turno del recurso de revisión.</w:t>
      </w:r>
    </w:p>
    <w:p w14:paraId="6782C784" w14:textId="123A862C" w:rsidR="004C7E3D" w:rsidRDefault="00073E92" w:rsidP="004C7E3D">
      <w:pPr>
        <w:spacing w:before="240" w:line="360" w:lineRule="auto"/>
        <w:jc w:val="both"/>
        <w:rPr>
          <w:rFonts w:ascii="Palatino Linotype" w:hAnsi="Palatino Linotype" w:cs="Arial"/>
          <w:sz w:val="24"/>
          <w:szCs w:val="24"/>
        </w:rPr>
      </w:pPr>
      <w:r>
        <w:rPr>
          <w:rFonts w:ascii="Palatino Linotype" w:hAnsi="Palatino Linotype" w:cs="Arial"/>
          <w:sz w:val="24"/>
          <w:szCs w:val="24"/>
        </w:rPr>
        <w:t xml:space="preserve">Medio de impugnación que le fue turnado al Comisionado </w:t>
      </w:r>
      <w:r w:rsidR="00F0532D">
        <w:rPr>
          <w:rFonts w:ascii="Palatino Linotype" w:hAnsi="Palatino Linotype" w:cs="Arial"/>
          <w:sz w:val="24"/>
          <w:szCs w:val="24"/>
        </w:rPr>
        <w:t>presidente</w:t>
      </w:r>
      <w:r w:rsidR="007518D4">
        <w:rPr>
          <w:rFonts w:ascii="Palatino Linotype" w:hAnsi="Palatino Linotype" w:cs="Arial"/>
          <w:sz w:val="24"/>
          <w:szCs w:val="24"/>
        </w:rPr>
        <w:t xml:space="preserve"> </w:t>
      </w:r>
      <w:r>
        <w:rPr>
          <w:rFonts w:ascii="Palatino Linotype" w:hAnsi="Palatino Linotype" w:cs="Arial"/>
          <w:b/>
          <w:sz w:val="24"/>
          <w:szCs w:val="24"/>
        </w:rPr>
        <w:t xml:space="preserve">José Martínez Vilchis, </w:t>
      </w:r>
      <w:r>
        <w:rPr>
          <w:rFonts w:ascii="Palatino Linotype" w:hAnsi="Palatino Linotype" w:cs="Arial"/>
          <w:sz w:val="24"/>
          <w:szCs w:val="24"/>
        </w:rPr>
        <w:t xml:space="preserve">por medio del sistema electrónico en términos del arábigo 185 fracción I de la Ley de Transparencia y Acceso a la información Pública del Estado de México y Municipios, del cual recayó acuerdo de admisión en fecha </w:t>
      </w:r>
      <w:r w:rsidR="00C61B54" w:rsidRPr="00C61B54">
        <w:rPr>
          <w:rFonts w:ascii="Palatino Linotype" w:hAnsi="Palatino Linotype" w:cs="Arial"/>
          <w:b/>
          <w:bCs/>
          <w:sz w:val="24"/>
          <w:szCs w:val="24"/>
        </w:rPr>
        <w:t xml:space="preserve">diez de octubre de dos mil </w:t>
      </w:r>
      <w:r w:rsidR="00C61B54" w:rsidRPr="00C61B54">
        <w:rPr>
          <w:rFonts w:ascii="Palatino Linotype" w:hAnsi="Palatino Linotype" w:cs="Arial"/>
          <w:b/>
          <w:bCs/>
          <w:sz w:val="24"/>
          <w:szCs w:val="24"/>
        </w:rPr>
        <w:lastRenderedPageBreak/>
        <w:t>veintitrés</w:t>
      </w:r>
      <w:r w:rsidR="00C62189" w:rsidRPr="00C61B54">
        <w:rPr>
          <w:rFonts w:ascii="Palatino Linotype" w:hAnsi="Palatino Linotype" w:cs="Arial"/>
          <w:b/>
          <w:bCs/>
          <w:sz w:val="24"/>
          <w:szCs w:val="24"/>
        </w:rPr>
        <w:t>,</w:t>
      </w:r>
      <w:r w:rsidR="00C62189">
        <w:rPr>
          <w:rFonts w:ascii="Palatino Linotype" w:hAnsi="Palatino Linotype" w:cs="Arial"/>
          <w:sz w:val="24"/>
          <w:szCs w:val="24"/>
        </w:rPr>
        <w:t xml:space="preserve"> </w:t>
      </w:r>
      <w:r w:rsidR="004C7E3D">
        <w:rPr>
          <w:rFonts w:ascii="Palatino Linotype" w:hAnsi="Palatino Linotype" w:cs="Arial"/>
          <w:sz w:val="24"/>
          <w:szCs w:val="24"/>
        </w:rPr>
        <w:t>determinándose en él, un plazo de siete días para que las partes manifestaran lo que a su derecho corresponda en términos del numeral ya citado.</w:t>
      </w:r>
    </w:p>
    <w:p w14:paraId="27840F0C" w14:textId="30BEB601" w:rsidR="00652E67" w:rsidRDefault="00652E67" w:rsidP="00871F78">
      <w:pPr>
        <w:spacing w:before="240" w:line="360" w:lineRule="auto"/>
        <w:jc w:val="both"/>
        <w:rPr>
          <w:rFonts w:ascii="Palatino Linotype" w:hAnsi="Palatino Linotype" w:cs="Arial"/>
          <w:sz w:val="24"/>
          <w:szCs w:val="24"/>
        </w:rPr>
      </w:pPr>
    </w:p>
    <w:p w14:paraId="66F3567F" w14:textId="090C4315" w:rsidR="00073E92" w:rsidRDefault="00C62189" w:rsidP="00073E92">
      <w:pPr>
        <w:pStyle w:val="Prrafodelista"/>
        <w:spacing w:line="360" w:lineRule="auto"/>
        <w:ind w:left="0"/>
        <w:jc w:val="both"/>
        <w:rPr>
          <w:rFonts w:ascii="Palatino Linotype" w:hAnsi="Palatino Linotype" w:cs="Arial"/>
          <w:b/>
        </w:rPr>
      </w:pPr>
      <w:r>
        <w:rPr>
          <w:rFonts w:ascii="Palatino Linotype" w:hAnsi="Palatino Linotype" w:cs="Arial"/>
          <w:b/>
          <w:sz w:val="28"/>
        </w:rPr>
        <w:t>QUINTO</w:t>
      </w:r>
      <w:r w:rsidR="00073E92" w:rsidRPr="00AC0CCC">
        <w:rPr>
          <w:rFonts w:ascii="Palatino Linotype" w:hAnsi="Palatino Linotype" w:cs="Arial"/>
          <w:b/>
          <w:sz w:val="28"/>
          <w:szCs w:val="28"/>
        </w:rPr>
        <w:t xml:space="preserve">. </w:t>
      </w:r>
      <w:r w:rsidR="00073E92" w:rsidRPr="0087163A">
        <w:rPr>
          <w:rFonts w:ascii="Palatino Linotype" w:hAnsi="Palatino Linotype" w:cs="Arial"/>
          <w:b/>
          <w:sz w:val="28"/>
          <w:szCs w:val="28"/>
        </w:rPr>
        <w:t>De la etapa de instrucción.</w:t>
      </w:r>
    </w:p>
    <w:p w14:paraId="5A134B91" w14:textId="77777777" w:rsidR="00515762" w:rsidRDefault="00A715FE" w:rsidP="00A715FE">
      <w:pPr>
        <w:spacing w:after="0" w:line="360" w:lineRule="auto"/>
        <w:jc w:val="both"/>
        <w:rPr>
          <w:rFonts w:ascii="Palatino Linotype" w:hAnsi="Palatino Linotype" w:cs="Arial"/>
          <w:b/>
          <w:bCs/>
          <w:sz w:val="24"/>
          <w:szCs w:val="24"/>
        </w:rPr>
      </w:pPr>
      <w:r>
        <w:rPr>
          <w:rFonts w:ascii="Palatino Linotype" w:hAnsi="Palatino Linotype" w:cs="Arial"/>
          <w:sz w:val="24"/>
          <w:szCs w:val="24"/>
        </w:rPr>
        <w:t xml:space="preserve">Así, en la etapa de instrucción, de las constancias que obran en el expediente electrónico del recurso de revisión se advierte que </w:t>
      </w:r>
      <w:r>
        <w:rPr>
          <w:rFonts w:ascii="Palatino Linotype" w:hAnsi="Palatino Linotype" w:cs="Arial"/>
          <w:b/>
          <w:bCs/>
          <w:sz w:val="24"/>
          <w:szCs w:val="24"/>
        </w:rPr>
        <w:t xml:space="preserve">El Sujeto Obligado </w:t>
      </w:r>
      <w:r w:rsidR="00C61B54">
        <w:rPr>
          <w:rFonts w:ascii="Palatino Linotype" w:hAnsi="Palatino Linotype" w:cs="Arial"/>
          <w:sz w:val="24"/>
          <w:szCs w:val="24"/>
        </w:rPr>
        <w:t xml:space="preserve">rindió su informe justificado en fecha </w:t>
      </w:r>
      <w:r w:rsidR="00C61B54">
        <w:rPr>
          <w:rFonts w:ascii="Palatino Linotype" w:hAnsi="Palatino Linotype" w:cs="Arial"/>
          <w:b/>
          <w:bCs/>
          <w:sz w:val="24"/>
          <w:szCs w:val="24"/>
        </w:rPr>
        <w:t>diecinueve de octubre de dos mil veintitrés</w:t>
      </w:r>
      <w:r w:rsidR="00515762">
        <w:rPr>
          <w:rFonts w:ascii="Palatino Linotype" w:hAnsi="Palatino Linotype" w:cs="Arial"/>
          <w:b/>
          <w:bCs/>
          <w:sz w:val="24"/>
          <w:szCs w:val="24"/>
        </w:rPr>
        <w:t>.</w:t>
      </w:r>
    </w:p>
    <w:p w14:paraId="11C48083" w14:textId="3B88A2BC" w:rsidR="00515762" w:rsidRDefault="00515762" w:rsidP="00515762">
      <w:pPr>
        <w:spacing w:before="240" w:line="360" w:lineRule="auto"/>
        <w:jc w:val="both"/>
        <w:rPr>
          <w:rFonts w:ascii="Palatino Linotype" w:hAnsi="Palatino Linotype" w:cs="Arial"/>
          <w:sz w:val="24"/>
          <w:szCs w:val="24"/>
        </w:rPr>
      </w:pPr>
      <w:r w:rsidRPr="0036654D">
        <w:rPr>
          <w:rFonts w:ascii="Palatino Linotype" w:hAnsi="Palatino Linotype" w:cs="Arial"/>
          <w:sz w:val="24"/>
          <w:szCs w:val="24"/>
        </w:rPr>
        <w:t>Así, en fecha</w:t>
      </w:r>
      <w:r>
        <w:rPr>
          <w:rFonts w:ascii="Palatino Linotype" w:hAnsi="Palatino Linotype" w:cs="Arial"/>
          <w:sz w:val="24"/>
          <w:szCs w:val="24"/>
        </w:rPr>
        <w:t xml:space="preserve"> </w:t>
      </w:r>
      <w:r>
        <w:rPr>
          <w:rFonts w:ascii="Palatino Linotype" w:hAnsi="Palatino Linotype" w:cs="Arial"/>
          <w:b/>
          <w:bCs/>
          <w:sz w:val="24"/>
          <w:szCs w:val="24"/>
        </w:rPr>
        <w:t xml:space="preserve">uno de diciembre de dos mil veintitrés, </w:t>
      </w:r>
      <w:r w:rsidRPr="005C7C26">
        <w:rPr>
          <w:rFonts w:ascii="Palatino Linotype" w:hAnsi="Palatino Linotype" w:cs="Arial"/>
          <w:sz w:val="24"/>
          <w:szCs w:val="24"/>
        </w:rPr>
        <w:t>e</w:t>
      </w:r>
      <w:r>
        <w:rPr>
          <w:rFonts w:ascii="Palatino Linotype" w:hAnsi="Palatino Linotype" w:cs="Arial"/>
          <w:sz w:val="24"/>
          <w:szCs w:val="24"/>
        </w:rPr>
        <w:t xml:space="preserve">n el expediente electrónico del recurso de revisión </w:t>
      </w:r>
      <w:r>
        <w:rPr>
          <w:rFonts w:ascii="Palatino Linotype" w:hAnsi="Palatino Linotype" w:cs="Arial"/>
          <w:sz w:val="24"/>
        </w:rPr>
        <w:t xml:space="preserve">se amplió plazo para dictar resolución, en términos del </w:t>
      </w:r>
      <w:r w:rsidRPr="0053191B">
        <w:rPr>
          <w:rFonts w:ascii="Palatino Linotype" w:hAnsi="Palatino Linotype" w:cs="Arial"/>
          <w:sz w:val="24"/>
          <w:szCs w:val="24"/>
        </w:rPr>
        <w:t>artículo 181 de la Ley de Transparencia y Acceso a la Información del Estado de México y Municipios.</w:t>
      </w:r>
      <w:r>
        <w:rPr>
          <w:rFonts w:ascii="Palatino Linotype" w:hAnsi="Palatino Linotype" w:cs="Arial"/>
          <w:sz w:val="24"/>
          <w:szCs w:val="24"/>
        </w:rPr>
        <w:t xml:space="preserve"> </w:t>
      </w:r>
    </w:p>
    <w:p w14:paraId="3A82DD15" w14:textId="77777777" w:rsidR="00515762" w:rsidRPr="001F3B43" w:rsidRDefault="00515762" w:rsidP="0051576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Este organismo garante no pasa por alto justificar, </w:t>
      </w:r>
      <w:r w:rsidRPr="001F3B43">
        <w:rPr>
          <w:rFonts w:ascii="Palatino Linotype" w:hAnsi="Palatino Linotype" w:cstheme="majorHAnsi"/>
          <w:bCs/>
          <w:sz w:val="24"/>
          <w:szCs w:val="24"/>
        </w:rPr>
        <w:t xml:space="preserve">que el plazo para emitir resolución en el presente asunto </w:t>
      </w:r>
      <w:r w:rsidRPr="001F3B43">
        <w:rPr>
          <w:rFonts w:ascii="Palatino Linotype" w:hAnsi="Palatino Linotype" w:cstheme="majorHAnsi"/>
          <w:sz w:val="24"/>
          <w:szCs w:val="24"/>
        </w:rPr>
        <w:t>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49685102" w14:textId="77777777" w:rsidR="00515762" w:rsidRPr="001F3B43" w:rsidRDefault="00515762" w:rsidP="0051576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es menester precisar que si bien se ha excedido el plazo para resolver el presente medio de impugnación, de conformidad con la ley de la materia, </w:t>
      </w:r>
      <w:r w:rsidRPr="001F3B43">
        <w:rPr>
          <w:rFonts w:ascii="Palatino Linotype" w:hAnsi="Palatino Linotype" w:cstheme="majorHAnsi"/>
          <w:bCs/>
          <w:sz w:val="24"/>
          <w:szCs w:val="24"/>
        </w:rPr>
        <w:t>el plazo para emitir resolución</w:t>
      </w:r>
      <w:r w:rsidRPr="001F3B43">
        <w:rPr>
          <w:rFonts w:ascii="Palatino Linotype" w:hAnsi="Palatino Linotype" w:cstheme="majorHAnsi"/>
          <w:sz w:val="24"/>
          <w:szCs w:val="24"/>
        </w:rPr>
        <w:t xml:space="preserve"> se encuentra justificado en los elementos para medir su razonabilidad de asuntos conforme a los parámetros establecidos por diversos órganos </w:t>
      </w:r>
      <w:r w:rsidRPr="001F3B43">
        <w:rPr>
          <w:rFonts w:ascii="Palatino Linotype" w:hAnsi="Palatino Linotype" w:cstheme="majorHAnsi"/>
          <w:sz w:val="24"/>
          <w:szCs w:val="24"/>
        </w:rPr>
        <w:lastRenderedPageBreak/>
        <w:t>jurisdiccionales federales, aplicables también en procedimientos análogos, como el que nos ocupa.</w:t>
      </w:r>
    </w:p>
    <w:p w14:paraId="41F8A686" w14:textId="77777777" w:rsidR="00515762" w:rsidRPr="001F3B43" w:rsidRDefault="00515762" w:rsidP="0051576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7B1932A0" w14:textId="77777777" w:rsidR="00515762" w:rsidRPr="001F3B43" w:rsidRDefault="00515762" w:rsidP="0051576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w:t>
      </w:r>
    </w:p>
    <w:p w14:paraId="10B81D10" w14:textId="77777777" w:rsidR="00515762" w:rsidRPr="001F3B43" w:rsidRDefault="00515762" w:rsidP="0051576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Por ello, excepcionalmente, si un asunto es resuelto con posterioridad a los plazos señalados por la norma debe analizarse la razonabilidad del tiempo necesario para su resolución, atentos a los siguientes criterios:  </w:t>
      </w:r>
    </w:p>
    <w:p w14:paraId="023FA8E3" w14:textId="77777777" w:rsidR="00515762" w:rsidRPr="001F3B43" w:rsidRDefault="00515762" w:rsidP="0051576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w:t>
      </w:r>
      <w:r>
        <w:rPr>
          <w:rFonts w:ascii="Palatino Linotype" w:hAnsi="Palatino Linotype" w:cstheme="majorHAnsi"/>
          <w:sz w:val="24"/>
          <w:szCs w:val="24"/>
        </w:rPr>
        <w:t xml:space="preserve"> </w:t>
      </w:r>
      <w:r w:rsidRPr="001F3B43">
        <w:rPr>
          <w:rFonts w:ascii="Palatino Linotype" w:hAnsi="Palatino Linotype" w:cstheme="majorHAnsi"/>
          <w:sz w:val="24"/>
          <w:szCs w:val="24"/>
        </w:rPr>
        <w:t>Complejidad del asunto: La complejidad de la prueba, la pluralidad de sujetos procesales, el tiempo transcurrido, las características y contexto del recurso.</w:t>
      </w:r>
    </w:p>
    <w:p w14:paraId="5F3EB72C" w14:textId="77777777" w:rsidR="00515762" w:rsidRPr="001F3B43" w:rsidRDefault="00515762" w:rsidP="0051576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b)     Actividad Procesal del interesado: Acciones u omisiones del interesado.</w:t>
      </w:r>
    </w:p>
    <w:p w14:paraId="0406015C" w14:textId="77777777" w:rsidR="00515762" w:rsidRPr="001F3B43" w:rsidRDefault="00515762" w:rsidP="0051576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c) </w:t>
      </w:r>
      <w:r>
        <w:rPr>
          <w:rFonts w:ascii="Palatino Linotype" w:hAnsi="Palatino Linotype" w:cstheme="majorHAnsi"/>
          <w:sz w:val="24"/>
          <w:szCs w:val="24"/>
        </w:rPr>
        <w:t xml:space="preserve"> </w:t>
      </w:r>
      <w:r w:rsidRPr="001F3B43">
        <w:rPr>
          <w:rFonts w:ascii="Palatino Linotype" w:hAnsi="Palatino Linotype" w:cstheme="majorHAnsi"/>
          <w:sz w:val="24"/>
          <w:szCs w:val="24"/>
        </w:rPr>
        <w:t>Conducta de la Autoridad: Las Acciones u omisiones realizadas en el procedimiento. Así como si la autoridad actuó con la debida diligencia.</w:t>
      </w:r>
    </w:p>
    <w:p w14:paraId="756EDFE4" w14:textId="77777777" w:rsidR="00515762" w:rsidRPr="001F3B43" w:rsidRDefault="00515762" w:rsidP="0051576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d)</w:t>
      </w:r>
      <w:r>
        <w:rPr>
          <w:rFonts w:ascii="Palatino Linotype" w:hAnsi="Palatino Linotype" w:cstheme="majorHAnsi"/>
          <w:sz w:val="24"/>
          <w:szCs w:val="24"/>
        </w:rPr>
        <w:t xml:space="preserve">   </w:t>
      </w:r>
      <w:r w:rsidRPr="001F3B43">
        <w:rPr>
          <w:rFonts w:ascii="Palatino Linotype" w:hAnsi="Palatino Linotype" w:cstheme="majorHAnsi"/>
          <w:sz w:val="24"/>
          <w:szCs w:val="24"/>
        </w:rPr>
        <w:t>La afectación generada en la situación jurídica de la persona involucrada en el proceso: Violación a sus derechos humanos.</w:t>
      </w:r>
    </w:p>
    <w:p w14:paraId="399013E2" w14:textId="77777777" w:rsidR="00515762" w:rsidRPr="001F3B43" w:rsidRDefault="00515762" w:rsidP="00515762">
      <w:pPr>
        <w:spacing w:line="360" w:lineRule="auto"/>
        <w:jc w:val="both"/>
        <w:rPr>
          <w:rFonts w:ascii="Palatino Linotype" w:hAnsi="Palatino Linotype" w:cstheme="majorHAnsi"/>
          <w:sz w:val="24"/>
          <w:szCs w:val="24"/>
        </w:rPr>
      </w:pPr>
    </w:p>
    <w:p w14:paraId="675787DC" w14:textId="77777777" w:rsidR="00515762" w:rsidRPr="001F3B43" w:rsidRDefault="00515762" w:rsidP="0051576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 xml:space="preserve"> 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403FD0F" w14:textId="77777777" w:rsidR="00515762" w:rsidRPr="001F3B43" w:rsidRDefault="00515762" w:rsidP="0051576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Argumento que encuentra sustento en la jurisprudencia P</w:t>
      </w:r>
      <w:proofErr w:type="gramStart"/>
      <w:r w:rsidRPr="001F3B43">
        <w:rPr>
          <w:rFonts w:ascii="Palatino Linotype" w:hAnsi="Palatino Linotype" w:cstheme="majorHAnsi"/>
          <w:sz w:val="24"/>
          <w:szCs w:val="24"/>
        </w:rPr>
        <w:t>./</w:t>
      </w:r>
      <w:proofErr w:type="gramEnd"/>
      <w:r w:rsidRPr="001F3B43">
        <w:rPr>
          <w:rFonts w:ascii="Palatino Linotype" w:hAnsi="Palatino Linotype" w:cstheme="majorHAnsi"/>
          <w:sz w:val="24"/>
          <w:szCs w:val="24"/>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14:paraId="480FDEC6" w14:textId="77777777" w:rsidR="00515762" w:rsidRPr="001F3B43" w:rsidRDefault="00515762" w:rsidP="0051576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23E21FDB" w14:textId="77777777" w:rsidR="00515762" w:rsidRPr="001F3B43" w:rsidRDefault="00515762" w:rsidP="0051576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lastRenderedPageBreak/>
        <w:t>Al respecto, también son de considerar los criterios sostenidos por el Cuarto Tribunal Colegiado en Materia Administrativa del Primer Circuito, cuyos rubros y datos de identificación son los siguientes:</w:t>
      </w:r>
    </w:p>
    <w:p w14:paraId="34ECEACD" w14:textId="77777777" w:rsidR="00515762" w:rsidRPr="001F3B43" w:rsidRDefault="00515762" w:rsidP="0051576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DIMENSIÓN Y EFECTOS DE ESTE CONCEPTO CUANDO SE ADUCE EXCESIVA CARGA DE TRABAJO.” consultable en el Seminario Judicial de la Federación y su gaceta, con el registro digital 2002351.</w:t>
      </w:r>
    </w:p>
    <w:p w14:paraId="7FF896EE" w14:textId="77777777" w:rsidR="00515762" w:rsidRPr="001F3B43" w:rsidRDefault="00515762" w:rsidP="00515762">
      <w:pPr>
        <w:spacing w:line="360" w:lineRule="auto"/>
        <w:jc w:val="both"/>
        <w:rPr>
          <w:rFonts w:ascii="Palatino Linotype" w:hAnsi="Palatino Linotype" w:cstheme="majorHAnsi"/>
          <w:sz w:val="24"/>
          <w:szCs w:val="24"/>
        </w:rPr>
      </w:pPr>
      <w:r w:rsidRPr="001F3B43">
        <w:rPr>
          <w:rFonts w:ascii="Palatino Linotype" w:hAnsi="Palatino Linotype" w:cstheme="majorHAnsi"/>
          <w:sz w:val="24"/>
          <w:szCs w:val="24"/>
        </w:rPr>
        <w:t xml:space="preserve"> “PLAZO RAZONABLE PARA RESOLVER. CONCEPTO Y ELEMENTOS QUE LO INTEGRAN A LA LUZ DEL DERECHO INTERNACIONAL DE LOS DERECHOS HUMANOS.”, visible en el Seminario Judicial de la Federación y su gaceta, con el registro digital 2002350.</w:t>
      </w:r>
    </w:p>
    <w:p w14:paraId="7EC32E34" w14:textId="77777777" w:rsidR="00515762" w:rsidRDefault="00515762" w:rsidP="00515762">
      <w:pPr>
        <w:spacing w:line="360" w:lineRule="auto"/>
        <w:jc w:val="both"/>
        <w:rPr>
          <w:rFonts w:ascii="Palatino Linotype" w:hAnsi="Palatino Linotype" w:cstheme="majorHAnsi"/>
          <w:bCs/>
          <w:sz w:val="24"/>
          <w:szCs w:val="24"/>
        </w:rPr>
      </w:pPr>
      <w:r w:rsidRPr="001F3B43">
        <w:rPr>
          <w:rFonts w:ascii="Palatino Linotype" w:hAnsi="Palatino Linotype" w:cstheme="majorHAnsi"/>
          <w:bCs/>
          <w:sz w:val="24"/>
          <w:szCs w:val="24"/>
        </w:rPr>
        <w:t>Por ello, este organismo garante comprometido con la tutela de los derechos humanos confiados, señala que este exceso del plazo legal para resolver el presente asunto, resulta de carácter excepcional.</w:t>
      </w:r>
    </w:p>
    <w:p w14:paraId="065DF2EC" w14:textId="18845C14" w:rsidR="00515762" w:rsidRPr="00515762" w:rsidRDefault="00515762" w:rsidP="00A715F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Ahora bien, se destaca que el informe justificado fue puesto a la vista el </w:t>
      </w:r>
      <w:r>
        <w:rPr>
          <w:rFonts w:ascii="Palatino Linotype" w:hAnsi="Palatino Linotype" w:cs="Arial"/>
          <w:b/>
          <w:bCs/>
          <w:sz w:val="24"/>
          <w:szCs w:val="24"/>
        </w:rPr>
        <w:t>veintitrés de enero de dos mil veinticuatro</w:t>
      </w:r>
      <w:r w:rsidR="00CE5056">
        <w:rPr>
          <w:rFonts w:ascii="Palatino Linotype" w:hAnsi="Palatino Linotype" w:cs="Arial"/>
          <w:b/>
          <w:bCs/>
          <w:sz w:val="24"/>
          <w:szCs w:val="24"/>
        </w:rPr>
        <w:t xml:space="preserve">. </w:t>
      </w:r>
    </w:p>
    <w:p w14:paraId="708196F7" w14:textId="0C80F792" w:rsidR="00A715FE" w:rsidRDefault="00A715FE" w:rsidP="00A715FE">
      <w:pPr>
        <w:spacing w:after="0" w:line="360" w:lineRule="auto"/>
        <w:jc w:val="both"/>
        <w:rPr>
          <w:rFonts w:ascii="Palatino Linotype" w:hAnsi="Palatino Linotype" w:cs="Arial"/>
          <w:sz w:val="24"/>
          <w:szCs w:val="24"/>
        </w:rPr>
      </w:pPr>
      <w:r>
        <w:rPr>
          <w:rFonts w:ascii="Palatino Linotype" w:hAnsi="Palatino Linotype" w:cs="Arial"/>
          <w:sz w:val="24"/>
          <w:szCs w:val="24"/>
        </w:rPr>
        <w:t xml:space="preserve">Por lo cual se decretó cierre de instrucción con fecha </w:t>
      </w:r>
      <w:r w:rsidR="00C61B54">
        <w:rPr>
          <w:rFonts w:ascii="Palatino Linotype" w:hAnsi="Palatino Linotype" w:cs="Arial"/>
          <w:b/>
          <w:bCs/>
          <w:sz w:val="24"/>
          <w:szCs w:val="24"/>
        </w:rPr>
        <w:t>veintinueve de enero del presente</w:t>
      </w:r>
      <w:r w:rsidR="004C1B07">
        <w:rPr>
          <w:rFonts w:ascii="Palatino Linotype" w:hAnsi="Palatino Linotype" w:cs="Arial"/>
          <w:b/>
          <w:bCs/>
          <w:sz w:val="24"/>
          <w:szCs w:val="24"/>
        </w:rPr>
        <w:t xml:space="preserve">, </w:t>
      </w:r>
      <w:r>
        <w:rPr>
          <w:rFonts w:ascii="Palatino Linotype" w:hAnsi="Palatino Linotype" w:cs="Arial"/>
          <w:sz w:val="24"/>
          <w:szCs w:val="24"/>
        </w:rPr>
        <w:t xml:space="preserve">en términos del artículo 185 Fracción VI de la Ley de Transparencia y Acceso a la Información Pública del Estado de México y Municipios, iniciando el término legal para dictar resolución definitiva del asunto. </w:t>
      </w:r>
    </w:p>
    <w:p w14:paraId="1B7137B3" w14:textId="77777777" w:rsidR="0012724B" w:rsidRDefault="0012724B" w:rsidP="00737D40">
      <w:pPr>
        <w:spacing w:before="240" w:line="360" w:lineRule="auto"/>
        <w:jc w:val="both"/>
        <w:rPr>
          <w:rFonts w:ascii="Palatino Linotype" w:hAnsi="Palatino Linotype" w:cs="Arial"/>
          <w:sz w:val="24"/>
          <w:szCs w:val="24"/>
        </w:rPr>
      </w:pPr>
    </w:p>
    <w:p w14:paraId="0D4A17DB" w14:textId="77777777" w:rsidR="006D5803" w:rsidRPr="005D0901" w:rsidRDefault="006D5803" w:rsidP="006D5803">
      <w:pPr>
        <w:spacing w:before="240" w:line="360" w:lineRule="auto"/>
        <w:jc w:val="center"/>
        <w:rPr>
          <w:rFonts w:ascii="Palatino Linotype" w:hAnsi="Palatino Linotype" w:cs="Arial"/>
          <w:b/>
          <w:sz w:val="24"/>
        </w:rPr>
      </w:pPr>
      <w:r w:rsidRPr="005D0901">
        <w:rPr>
          <w:rFonts w:ascii="Palatino Linotype" w:hAnsi="Palatino Linotype" w:cs="Arial"/>
          <w:b/>
          <w:sz w:val="24"/>
        </w:rPr>
        <w:t xml:space="preserve">C O N S I D E R A N D O </w:t>
      </w:r>
    </w:p>
    <w:p w14:paraId="6E81E773" w14:textId="77777777" w:rsidR="006D5803" w:rsidRDefault="006D5803" w:rsidP="006D5803">
      <w:pPr>
        <w:spacing w:before="240" w:line="360" w:lineRule="auto"/>
        <w:jc w:val="both"/>
        <w:rPr>
          <w:rFonts w:ascii="Palatino Linotype" w:hAnsi="Palatino Linotype" w:cs="Arial"/>
          <w:sz w:val="28"/>
          <w:szCs w:val="28"/>
        </w:rPr>
      </w:pPr>
      <w:r w:rsidRPr="005D0901">
        <w:rPr>
          <w:rFonts w:ascii="Palatino Linotype" w:hAnsi="Palatino Linotype" w:cs="Arial"/>
          <w:b/>
          <w:sz w:val="28"/>
        </w:rPr>
        <w:lastRenderedPageBreak/>
        <w:t>PRIMERO.</w:t>
      </w:r>
      <w:r w:rsidRPr="005D0901">
        <w:rPr>
          <w:rFonts w:ascii="Palatino Linotype" w:hAnsi="Palatino Linotype" w:cs="Arial"/>
          <w:b/>
        </w:rPr>
        <w:t xml:space="preserve"> </w:t>
      </w:r>
      <w:r w:rsidRPr="005D0901">
        <w:rPr>
          <w:rFonts w:ascii="Palatino Linotype" w:hAnsi="Palatino Linotype" w:cs="Arial"/>
          <w:b/>
          <w:sz w:val="28"/>
          <w:szCs w:val="28"/>
        </w:rPr>
        <w:t>De la competencia</w:t>
      </w:r>
      <w:r w:rsidRPr="005D0901">
        <w:rPr>
          <w:rFonts w:ascii="Palatino Linotype" w:hAnsi="Palatino Linotype" w:cs="Arial"/>
          <w:sz w:val="28"/>
          <w:szCs w:val="28"/>
        </w:rPr>
        <w:t>.</w:t>
      </w:r>
    </w:p>
    <w:p w14:paraId="525F7A10" w14:textId="77777777" w:rsidR="00C61B54" w:rsidRDefault="00C61B54" w:rsidP="00C61B54">
      <w:pPr>
        <w:spacing w:before="240" w:line="360" w:lineRule="auto"/>
        <w:jc w:val="both"/>
        <w:rPr>
          <w:rFonts w:ascii="Palatino Linotype" w:eastAsia="Calibri" w:hAnsi="Palatino Linotype" w:cs="Arial"/>
          <w:bCs/>
          <w:color w:val="000000" w:themeColor="text1"/>
          <w:sz w:val="24"/>
          <w:szCs w:val="24"/>
        </w:rPr>
      </w:pPr>
      <w:r>
        <w:rPr>
          <w:rFonts w:ascii="Palatino Linotype" w:eastAsia="Calibri" w:hAnsi="Palatino Linotype" w:cs="Arial"/>
          <w:bCs/>
          <w:color w:val="000000" w:themeColor="text1"/>
          <w:sz w:val="24"/>
          <w:szCs w:val="24"/>
        </w:rPr>
        <w:t>Este Instituto de Transparencia, Acceso a la Información Pública y Protección de Datos Personales del Estado de México y Municipios, es competente para conocer y resolver el presente recurso de revisión interpuesto por el ahora Recurrente, conforme a lo dispuesto en los artículos 6, apartado A, fracción IV de la Constitución Política de los Estados Unidos Mexicanos; 5, párrafos trigésimo segundo y trigésimo tercero, fracciones IV y V, de la Constitución Política del Estado Libre y Soberano de México; artículos 1, 2 fracción II, 13, 29, 36 fracciones I y II, 176, 178, 179, 181 párrafo tercero y 185 de la Ley de Transparencia y Acceso a la Información Pública del Estado de México y Municipios; y 7, 9 fracciones I y XXIV, y 11 del Reglamento Interior del Instituto de Transparencia, Acceso a la Información Pública y Protección de Datos Personales del Estado de México y Municipios.</w:t>
      </w:r>
    </w:p>
    <w:p w14:paraId="00BB87AA" w14:textId="77777777" w:rsidR="00C61B54" w:rsidRDefault="00C61B54" w:rsidP="006D5803">
      <w:pPr>
        <w:pStyle w:val="Prrafodelista"/>
        <w:autoSpaceDE w:val="0"/>
        <w:autoSpaceDN w:val="0"/>
        <w:adjustRightInd w:val="0"/>
        <w:spacing w:before="240" w:after="160" w:line="360" w:lineRule="auto"/>
        <w:ind w:left="0"/>
        <w:jc w:val="both"/>
        <w:rPr>
          <w:rFonts w:ascii="Palatino Linotype" w:hAnsi="Palatino Linotype" w:cs="Arial"/>
          <w:b/>
          <w:sz w:val="28"/>
        </w:rPr>
      </w:pPr>
    </w:p>
    <w:p w14:paraId="4FAE87B8" w14:textId="2758477E"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b/>
        </w:rPr>
      </w:pPr>
      <w:r w:rsidRPr="00C43323">
        <w:rPr>
          <w:rFonts w:ascii="Palatino Linotype" w:hAnsi="Palatino Linotype" w:cs="Arial"/>
          <w:b/>
          <w:sz w:val="28"/>
        </w:rPr>
        <w:t>SEGUNDO</w:t>
      </w:r>
      <w:r w:rsidRPr="00D24A52">
        <w:rPr>
          <w:rFonts w:ascii="Palatino Linotype" w:hAnsi="Palatino Linotype" w:cs="Arial"/>
          <w:b/>
        </w:rPr>
        <w:t xml:space="preserve">. </w:t>
      </w:r>
      <w:r w:rsidRPr="0087163A">
        <w:rPr>
          <w:rFonts w:ascii="Palatino Linotype" w:hAnsi="Palatino Linotype" w:cs="Arial"/>
          <w:b/>
          <w:sz w:val="28"/>
          <w:szCs w:val="28"/>
        </w:rPr>
        <w:t>Sobre los alcances del recurso de revisión.</w:t>
      </w:r>
      <w:r>
        <w:rPr>
          <w:rFonts w:ascii="Palatino Linotype" w:hAnsi="Palatino Linotype" w:cs="Arial"/>
          <w:b/>
        </w:rPr>
        <w:t xml:space="preserve"> </w:t>
      </w:r>
    </w:p>
    <w:p w14:paraId="75998877" w14:textId="77777777" w:rsidR="006D5803" w:rsidRDefault="006D5803" w:rsidP="006D5803">
      <w:pPr>
        <w:pStyle w:val="Prrafodelista"/>
        <w:autoSpaceDE w:val="0"/>
        <w:autoSpaceDN w:val="0"/>
        <w:adjustRightInd w:val="0"/>
        <w:spacing w:before="240" w:after="160" w:line="360" w:lineRule="auto"/>
        <w:ind w:left="0"/>
        <w:jc w:val="both"/>
        <w:rPr>
          <w:rFonts w:ascii="Palatino Linotype" w:hAnsi="Palatino Linotype" w:cs="Arial"/>
        </w:rPr>
      </w:pPr>
      <w:r>
        <w:rPr>
          <w:rFonts w:ascii="Palatino Linotype" w:hAnsi="Palatino Linotype" w:cs="Arial"/>
        </w:rPr>
        <w:t xml:space="preserve">Derivado de la impugnación realizada, es preciso e importante señalar que el recurso de revisión inmerso en la Ley de Transparencia vigente en la entidad, </w:t>
      </w:r>
      <w:r w:rsidRPr="00B10F60">
        <w:rPr>
          <w:rFonts w:ascii="Palatino Linotype" w:hAnsi="Palatino Linotype" w:cs="Arial"/>
        </w:rPr>
        <w:t>tiene el fin y alcance que señalan los numerales 176, 179, 181 párrafo cuarto, 194 y 195 y demás aplicables de la Ley de Transparencia y Acceso a la Información Pública del Estado</w:t>
      </w:r>
      <w:r>
        <w:rPr>
          <w:rFonts w:ascii="Palatino Linotype" w:hAnsi="Palatino Linotype" w:cs="Arial"/>
        </w:rPr>
        <w:t xml:space="preserve"> de México y Municipios vigente, el cual </w:t>
      </w:r>
      <w:r w:rsidRPr="00B10F60">
        <w:rPr>
          <w:rFonts w:ascii="Palatino Linotype" w:hAnsi="Palatino Linotype" w:cs="Arial"/>
        </w:rPr>
        <w:t xml:space="preserve">será analizado conforme a </w:t>
      </w:r>
      <w:r>
        <w:rPr>
          <w:rFonts w:ascii="Palatino Linotype" w:hAnsi="Palatino Linotype" w:cs="Arial"/>
        </w:rPr>
        <w:t xml:space="preserve">las actuaciones que obren en el expediente electrónico, con la finalidad de </w:t>
      </w:r>
      <w:r w:rsidRPr="00B10F60">
        <w:rPr>
          <w:rFonts w:ascii="Palatino Linotype" w:hAnsi="Palatino Linotype" w:cs="Arial"/>
        </w:rPr>
        <w:t>repara</w:t>
      </w:r>
      <w:r>
        <w:rPr>
          <w:rFonts w:ascii="Palatino Linotype" w:hAnsi="Palatino Linotype" w:cs="Arial"/>
        </w:rPr>
        <w:t>r</w:t>
      </w:r>
      <w:r w:rsidRPr="00B10F60">
        <w:rPr>
          <w:rFonts w:ascii="Palatino Linotype" w:hAnsi="Palatino Linotype" w:cs="Arial"/>
        </w:rPr>
        <w:t xml:space="preserve"> cualquier posible afectación al derecho de acceso a la información pública</w:t>
      </w:r>
      <w:r>
        <w:rPr>
          <w:rFonts w:ascii="Palatino Linotype" w:hAnsi="Palatino Linotype" w:cs="Arial"/>
        </w:rPr>
        <w:t xml:space="preserve"> y</w:t>
      </w:r>
      <w:r w:rsidRPr="00B10F60">
        <w:rPr>
          <w:rFonts w:ascii="Palatino Linotype" w:hAnsi="Palatino Linotype" w:cs="Arial"/>
        </w:rPr>
        <w:t xml:space="preserve"> garantizando el principio rector de máxima publicidad.</w:t>
      </w:r>
    </w:p>
    <w:p w14:paraId="2798DDFA" w14:textId="77777777" w:rsidR="00C61B54" w:rsidRPr="00161CEB" w:rsidRDefault="00C61B54" w:rsidP="00C61B54">
      <w:pPr>
        <w:autoSpaceDE w:val="0"/>
        <w:autoSpaceDN w:val="0"/>
        <w:adjustRightInd w:val="0"/>
        <w:spacing w:after="0" w:line="360" w:lineRule="auto"/>
        <w:jc w:val="both"/>
        <w:rPr>
          <w:rFonts w:ascii="Palatino Linotype" w:hAnsi="Palatino Linotype" w:cs="Arial"/>
          <w:b/>
        </w:rPr>
      </w:pPr>
      <w:r w:rsidRPr="00161CEB">
        <w:rPr>
          <w:rFonts w:ascii="Palatino Linotype" w:hAnsi="Palatino Linotype" w:cs="Arial"/>
          <w:b/>
          <w:sz w:val="28"/>
        </w:rPr>
        <w:lastRenderedPageBreak/>
        <w:t>TERCERO. Cuestiones de previo y especial pronunciamiento</w:t>
      </w:r>
      <w:r w:rsidRPr="00161CEB">
        <w:rPr>
          <w:rFonts w:ascii="Palatino Linotype" w:hAnsi="Palatino Linotype" w:cs="Arial"/>
          <w:b/>
        </w:rPr>
        <w:t>.</w:t>
      </w:r>
    </w:p>
    <w:p w14:paraId="2E888B80" w14:textId="77777777" w:rsidR="00C61B54" w:rsidRPr="00187D70" w:rsidRDefault="00C61B54" w:rsidP="00C61B54">
      <w:pPr>
        <w:spacing w:after="0" w:line="360" w:lineRule="auto"/>
        <w:jc w:val="both"/>
        <w:rPr>
          <w:rFonts w:ascii="Palatino Linotype" w:eastAsia="Times New Roman" w:hAnsi="Palatino Linotype" w:cs="Times New Roman"/>
          <w:sz w:val="24"/>
          <w:szCs w:val="24"/>
          <w:lang w:eastAsia="es-ES"/>
        </w:rPr>
      </w:pPr>
      <w:r w:rsidRPr="00187D70">
        <w:rPr>
          <w:rFonts w:ascii="Palatino Linotype" w:eastAsia="Times New Roman" w:hAnsi="Palatino Linotype" w:cs="Times New Roman"/>
          <w:sz w:val="24"/>
          <w:szCs w:val="24"/>
          <w:lang w:eastAsia="es-ES"/>
        </w:rPr>
        <w:t xml:space="preserve">El Recurso de Revisión en estudio contiene los elementos normativos de validez exigidos en la Ley de Transparencia y </w:t>
      </w:r>
      <w:r w:rsidRPr="00187D70">
        <w:rPr>
          <w:rFonts w:ascii="Palatino Linotype" w:eastAsia="Times New Roman" w:hAnsi="Palatino Linotype" w:cs="Times New Roman"/>
          <w:sz w:val="24"/>
          <w:szCs w:val="24"/>
          <w:lang w:val="es-ES_tradnl" w:eastAsia="es-ES"/>
        </w:rPr>
        <w:t>Acceso a la Información Pública del Estado de México y Municipios</w:t>
      </w:r>
      <w:r w:rsidRPr="00187D70">
        <w:rPr>
          <w:rFonts w:ascii="Palatino Linotype" w:eastAsia="Times New Roman" w:hAnsi="Palatino Linotype" w:cs="Times New Roman"/>
          <w:sz w:val="24"/>
          <w:szCs w:val="24"/>
          <w:lang w:eastAsia="es-ES"/>
        </w:rPr>
        <w:t>, establecidos en el artículo 180 que enuncia:</w:t>
      </w:r>
    </w:p>
    <w:p w14:paraId="475C7282" w14:textId="77777777" w:rsidR="00C61B54" w:rsidRPr="00187D70" w:rsidRDefault="00C61B54" w:rsidP="00C61B5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b/>
          <w:i/>
          <w:lang w:eastAsia="es-ES"/>
        </w:rPr>
        <w:t xml:space="preserve">“Artículo 180. </w:t>
      </w:r>
      <w:r w:rsidRPr="00187D70">
        <w:rPr>
          <w:rFonts w:ascii="Palatino Linotype" w:eastAsia="Times New Roman" w:hAnsi="Palatino Linotype" w:cs="Arial"/>
          <w:i/>
          <w:lang w:eastAsia="es-ES"/>
        </w:rPr>
        <w:t>El recurso de revisión contendrá:</w:t>
      </w:r>
    </w:p>
    <w:p w14:paraId="40A1CA3B" w14:textId="77777777" w:rsidR="00C61B54" w:rsidRPr="00187D70" w:rsidRDefault="00C61B54" w:rsidP="00C61B5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 El sujeto obligado ante la cual se presentó la solicitud;</w:t>
      </w:r>
    </w:p>
    <w:p w14:paraId="19D80D95" w14:textId="77777777" w:rsidR="00C61B54" w:rsidRPr="00187D70" w:rsidRDefault="00C61B54" w:rsidP="00C61B54">
      <w:pPr>
        <w:spacing w:before="240" w:line="360" w:lineRule="auto"/>
        <w:ind w:left="851" w:right="851"/>
        <w:jc w:val="both"/>
        <w:rPr>
          <w:rFonts w:ascii="Palatino Linotype" w:eastAsia="Times New Roman" w:hAnsi="Palatino Linotype" w:cs="Arial"/>
          <w:i/>
          <w:lang w:eastAsia="es-ES"/>
        </w:rPr>
      </w:pPr>
      <w:r w:rsidRPr="00FE605F">
        <w:rPr>
          <w:rFonts w:ascii="Palatino Linotype" w:eastAsia="Times New Roman" w:hAnsi="Palatino Linotype" w:cs="Arial"/>
          <w:b/>
          <w:i/>
          <w:u w:val="single"/>
          <w:lang w:eastAsia="es-ES"/>
        </w:rPr>
        <w:t>II. El nombre del solicitante que recurre</w:t>
      </w:r>
      <w:r w:rsidRPr="00187D70">
        <w:rPr>
          <w:rFonts w:ascii="Palatino Linotype" w:eastAsia="Times New Roman" w:hAnsi="Palatino Linotype" w:cs="Arial"/>
          <w:i/>
          <w:lang w:eastAsia="es-ES"/>
        </w:rPr>
        <w:t xml:space="preserve"> o de su representante y, en su caso, del tercero interesado, así como la dirección o medio que señale para recibir notificaciones;</w:t>
      </w:r>
    </w:p>
    <w:p w14:paraId="108DBFEF" w14:textId="77777777" w:rsidR="00C61B54" w:rsidRPr="00187D70" w:rsidRDefault="00C61B54" w:rsidP="00C61B5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III. El número de folio de respuesta de la solicitud de acceso;</w:t>
      </w:r>
    </w:p>
    <w:p w14:paraId="2908ED25" w14:textId="77777777" w:rsidR="00C61B54" w:rsidRPr="00187D70" w:rsidRDefault="00C61B54" w:rsidP="00C61B5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IV. La fecha en que fue notificada la respuesta al solicitante o tuvo conocimiento del acto reclamado, o de presentación de la solicitud, en caso de falta de respuesta;</w:t>
      </w:r>
    </w:p>
    <w:p w14:paraId="567E7C8E" w14:textId="77777777" w:rsidR="00C61B54" w:rsidRPr="00187D70" w:rsidRDefault="00C61B54" w:rsidP="00C61B5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 El acto que se recurre;</w:t>
      </w:r>
    </w:p>
    <w:p w14:paraId="4D7D44CD" w14:textId="77777777" w:rsidR="00C61B54" w:rsidRPr="00187D70" w:rsidRDefault="00C61B54" w:rsidP="00C61B5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 Las razones o motivos de inconformidad;</w:t>
      </w:r>
    </w:p>
    <w:p w14:paraId="59C557EB" w14:textId="77777777" w:rsidR="00C61B54" w:rsidRPr="00187D70" w:rsidRDefault="00C61B54" w:rsidP="00C61B5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 La copia de la respuesta que se impugna y, en su caso, de la notificación correspondiente, en el caso de respuesta de la solicitud; y</w:t>
      </w:r>
    </w:p>
    <w:p w14:paraId="02CABE59" w14:textId="77777777" w:rsidR="00C61B54" w:rsidRPr="00187D70" w:rsidRDefault="00C61B54" w:rsidP="00C61B5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VIII. Firma del recurrente, en su caso, cuando se presente por escrito, requisito sin el cual se dará trámite al recurso.</w:t>
      </w:r>
    </w:p>
    <w:p w14:paraId="36F505FE" w14:textId="77777777" w:rsidR="00C61B54" w:rsidRPr="00187D70" w:rsidRDefault="00C61B54" w:rsidP="00C61B5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t>Adicionalmente, se podrán anexar las pruebas y demás elementos que considere procedentes someter a juicio del Instituto.</w:t>
      </w:r>
    </w:p>
    <w:p w14:paraId="70F3BAD0" w14:textId="77777777" w:rsidR="00C61B54" w:rsidRPr="00187D70" w:rsidRDefault="00C61B54" w:rsidP="00C61B54">
      <w:pPr>
        <w:spacing w:before="240" w:line="360" w:lineRule="auto"/>
        <w:ind w:left="851" w:right="851"/>
        <w:jc w:val="both"/>
        <w:rPr>
          <w:rFonts w:ascii="Palatino Linotype" w:eastAsia="Times New Roman" w:hAnsi="Palatino Linotype" w:cs="Arial"/>
          <w:i/>
          <w:lang w:eastAsia="es-ES"/>
        </w:rPr>
      </w:pPr>
      <w:r w:rsidRPr="00187D70">
        <w:rPr>
          <w:rFonts w:ascii="Palatino Linotype" w:eastAsia="Times New Roman" w:hAnsi="Palatino Linotype" w:cs="Arial"/>
          <w:i/>
          <w:lang w:eastAsia="es-ES"/>
        </w:rPr>
        <w:lastRenderedPageBreak/>
        <w:t>En ningún caso será necesario que el particular ratifique el recurso de revisión interpuesto.</w:t>
      </w:r>
    </w:p>
    <w:p w14:paraId="5152B0BA" w14:textId="77777777" w:rsidR="00C61B54" w:rsidRPr="009B74C2" w:rsidRDefault="00C61B54" w:rsidP="00C61B54">
      <w:pPr>
        <w:spacing w:before="240" w:line="360" w:lineRule="auto"/>
        <w:ind w:left="851" w:right="851"/>
        <w:jc w:val="both"/>
        <w:rPr>
          <w:rFonts w:ascii="Palatino Linotype" w:eastAsia="Times New Roman" w:hAnsi="Palatino Linotype" w:cs="Arial"/>
          <w:i/>
          <w:sz w:val="24"/>
          <w:szCs w:val="24"/>
          <w:lang w:eastAsia="es-ES"/>
        </w:rPr>
      </w:pPr>
      <w:r w:rsidRPr="009B74C2">
        <w:rPr>
          <w:rFonts w:ascii="Palatino Linotype" w:eastAsia="Times New Roman" w:hAnsi="Palatino Linotype" w:cs="Arial"/>
          <w:b/>
          <w:i/>
          <w:u w:val="single"/>
          <w:lang w:eastAsia="es-ES"/>
        </w:rPr>
        <w:t>En caso de que el recurso se interponga de manera electrónica no será indispensable que contengan los requisitos establecidos en las fracciones II, IV, VII y VIII.”</w:t>
      </w:r>
      <w:r>
        <w:rPr>
          <w:rFonts w:ascii="Palatino Linotype" w:eastAsia="Times New Roman" w:hAnsi="Palatino Linotype" w:cs="Arial"/>
          <w:b/>
          <w:i/>
          <w:lang w:eastAsia="es-ES"/>
        </w:rPr>
        <w:t xml:space="preserve"> [Sic] </w:t>
      </w:r>
    </w:p>
    <w:p w14:paraId="6C52B073" w14:textId="77777777" w:rsidR="00C61B54" w:rsidRPr="00187D70" w:rsidRDefault="00C61B54" w:rsidP="00C61B54">
      <w:pPr>
        <w:spacing w:after="0" w:line="360" w:lineRule="auto"/>
        <w:jc w:val="both"/>
        <w:rPr>
          <w:rFonts w:ascii="Palatino Linotype" w:eastAsia="Times New Roman" w:hAnsi="Palatino Linotype" w:cs="Arial"/>
          <w:b/>
          <w:i/>
          <w:sz w:val="24"/>
          <w:szCs w:val="24"/>
          <w:lang w:eastAsia="es-ES"/>
        </w:rPr>
      </w:pPr>
    </w:p>
    <w:p w14:paraId="3B4826A9" w14:textId="77777777" w:rsidR="00C61B54" w:rsidRPr="00187D70" w:rsidRDefault="00C61B54" w:rsidP="00C61B54">
      <w:pPr>
        <w:spacing w:after="0" w:line="360" w:lineRule="auto"/>
        <w:jc w:val="both"/>
        <w:rPr>
          <w:rFonts w:ascii="Palatino Linotype" w:hAnsi="Palatino Linotype" w:cs="Arial"/>
          <w:sz w:val="24"/>
          <w:szCs w:val="24"/>
          <w:lang w:val="es-ES" w:eastAsia="es-ES"/>
        </w:rPr>
      </w:pPr>
      <w:r>
        <w:rPr>
          <w:rFonts w:ascii="Palatino Linotype" w:hAnsi="Palatino Linotype" w:cs="Segoe UI"/>
          <w:sz w:val="24"/>
          <w:szCs w:val="24"/>
          <w:lang w:val="es-ES" w:eastAsia="es-ES"/>
        </w:rPr>
        <w:t xml:space="preserve">Cabe señalar que </w:t>
      </w:r>
      <w:r w:rsidRPr="009B74C2">
        <w:rPr>
          <w:rFonts w:ascii="Palatino Linotype" w:hAnsi="Palatino Linotype" w:cs="Segoe UI"/>
          <w:b/>
          <w:sz w:val="24"/>
          <w:szCs w:val="24"/>
          <w:lang w:val="es-ES" w:eastAsia="es-ES"/>
        </w:rPr>
        <w:t>El Recurrente</w:t>
      </w:r>
      <w:r w:rsidRPr="00187D70">
        <w:rPr>
          <w:rFonts w:ascii="Palatino Linotype" w:hAnsi="Palatino Linotype" w:cs="Segoe UI"/>
          <w:sz w:val="24"/>
          <w:szCs w:val="24"/>
          <w:lang w:val="es-ES" w:eastAsia="es-ES"/>
        </w:rPr>
        <w:t xml:space="preserve"> </w:t>
      </w:r>
      <w:r>
        <w:rPr>
          <w:rFonts w:ascii="Palatino Linotype" w:hAnsi="Palatino Linotype" w:cs="Segoe UI"/>
          <w:sz w:val="24"/>
          <w:szCs w:val="24"/>
          <w:lang w:val="es-ES" w:eastAsia="es-ES"/>
        </w:rPr>
        <w:t>ejerció de manera anónima su derecho de acceso a la información pública</w:t>
      </w:r>
      <w:r>
        <w:rPr>
          <w:rFonts w:ascii="Palatino Linotype" w:hAnsi="Palatino Linotype" w:cs="Times New Roman"/>
          <w:sz w:val="24"/>
          <w:szCs w:val="24"/>
          <w:lang w:val="es-ES" w:eastAsia="es-ES"/>
        </w:rPr>
        <w:t>,</w:t>
      </w:r>
      <w:r w:rsidRPr="00187D70">
        <w:rPr>
          <w:rFonts w:ascii="Palatino Linotype" w:hAnsi="Palatino Linotype" w:cs="Times New Roman"/>
          <w:sz w:val="24"/>
          <w:szCs w:val="24"/>
          <w:lang w:val="es-ES" w:eastAsia="es-ES"/>
        </w:rPr>
        <w:t xml:space="preserve"> </w:t>
      </w:r>
      <w:r>
        <w:rPr>
          <w:rFonts w:ascii="Palatino Linotype" w:hAnsi="Palatino Linotype" w:cs="Times New Roman"/>
          <w:sz w:val="24"/>
          <w:szCs w:val="24"/>
          <w:lang w:val="es-ES" w:eastAsia="es-ES"/>
        </w:rPr>
        <w:t xml:space="preserve">sin embargo, </w:t>
      </w:r>
      <w:r w:rsidRPr="00187D70">
        <w:rPr>
          <w:rFonts w:ascii="Palatino Linotype" w:hAnsi="Palatino Linotype" w:cs="Times New Roman"/>
          <w:sz w:val="24"/>
          <w:szCs w:val="24"/>
          <w:lang w:val="es-ES" w:eastAsia="es-ES"/>
        </w:rPr>
        <w:t xml:space="preserve">no es motivo para desechar las </w:t>
      </w:r>
      <w:r w:rsidRPr="00187D70">
        <w:rPr>
          <w:rFonts w:ascii="Palatino Linotype" w:hAnsi="Palatino Linotype" w:cs="Arial"/>
          <w:sz w:val="24"/>
          <w:szCs w:val="24"/>
          <w:lang w:val="es-ES" w:eastAsia="es-ES"/>
        </w:rPr>
        <w:t>solicitudes de acceso a la información pública conforme a lo previsto en el artículo 155, penúltimo párrafo de la Ley de Transparencia y Acceso a la Información Pública del Estado de México y Municipios que señala lo siguiente:</w:t>
      </w:r>
    </w:p>
    <w:p w14:paraId="59FFF709" w14:textId="77777777" w:rsidR="00C61B54" w:rsidRDefault="00C61B54" w:rsidP="00C61B54">
      <w:pPr>
        <w:spacing w:before="240" w:line="360" w:lineRule="auto"/>
        <w:ind w:left="851" w:right="851"/>
        <w:jc w:val="both"/>
        <w:rPr>
          <w:rFonts w:ascii="Palatino Linotype" w:hAnsi="Palatino Linotype" w:cs="Arial"/>
          <w:b/>
          <w:i/>
          <w:lang w:val="es-ES" w:eastAsia="es-ES"/>
        </w:rPr>
      </w:pPr>
      <w:r w:rsidRPr="00187D70">
        <w:rPr>
          <w:rFonts w:ascii="Palatino Linotype" w:hAnsi="Palatino Linotype" w:cs="Arial"/>
          <w:i/>
          <w:lang w:val="es-ES" w:eastAsia="es-ES"/>
        </w:rPr>
        <w:t>“Las solicitudes anónimas, con nombre incompleto o seudónimo serán procedentes para su trámite por parte del sujeto obligado ante quien se presente. No podrá requerirse información adicional con motivo del nombre proporcionado por el solicitante.”</w:t>
      </w:r>
      <w:r>
        <w:rPr>
          <w:rFonts w:ascii="Palatino Linotype" w:hAnsi="Palatino Linotype" w:cs="Arial"/>
          <w:i/>
          <w:lang w:val="es-ES" w:eastAsia="es-ES"/>
        </w:rPr>
        <w:t xml:space="preserve"> </w:t>
      </w:r>
      <w:r>
        <w:rPr>
          <w:rFonts w:ascii="Palatino Linotype" w:hAnsi="Palatino Linotype" w:cs="Arial"/>
          <w:b/>
          <w:i/>
          <w:lang w:val="es-ES" w:eastAsia="es-ES"/>
        </w:rPr>
        <w:t>[Sic]</w:t>
      </w:r>
    </w:p>
    <w:p w14:paraId="4BB505B6" w14:textId="77777777" w:rsidR="00C61B54" w:rsidRPr="009B74C2" w:rsidRDefault="00C61B54" w:rsidP="00C61B54">
      <w:pPr>
        <w:spacing w:before="240" w:line="360" w:lineRule="auto"/>
        <w:ind w:left="851" w:right="851"/>
        <w:jc w:val="both"/>
        <w:rPr>
          <w:rFonts w:ascii="Palatino Linotype" w:hAnsi="Palatino Linotype" w:cs="Arial"/>
          <w:b/>
          <w:i/>
          <w:lang w:val="es-ES" w:eastAsia="es-ES"/>
        </w:rPr>
      </w:pPr>
    </w:p>
    <w:p w14:paraId="7AA8F11A" w14:textId="77777777" w:rsidR="00C61B54" w:rsidRDefault="00C61B54" w:rsidP="00C61B54">
      <w:pPr>
        <w:spacing w:after="0" w:line="360" w:lineRule="auto"/>
        <w:jc w:val="both"/>
        <w:rPr>
          <w:rFonts w:ascii="Palatino Linotype" w:hAnsi="Palatino Linotype" w:cs="Times New Roman"/>
          <w:sz w:val="24"/>
          <w:szCs w:val="24"/>
          <w:lang w:val="es-ES" w:eastAsia="es-ES"/>
        </w:rPr>
      </w:pPr>
      <w:r w:rsidRPr="00187D70">
        <w:rPr>
          <w:rFonts w:ascii="Palatino Linotype" w:hAnsi="Palatino Linotype" w:cs="Times New Roman"/>
          <w:sz w:val="24"/>
          <w:szCs w:val="24"/>
          <w:lang w:val="es-ES" w:eastAsia="es-ES"/>
        </w:rPr>
        <w:t xml:space="preserve">Robusteciendo lo anterior se encuentra lo dispuesto en los artículos 6, Apartado A, fracciones III y IV de la Constitución Política de los Estados Unidos Mexicanos y 5 párrafos </w:t>
      </w:r>
      <w:r w:rsidRPr="00187D70">
        <w:rPr>
          <w:rFonts w:ascii="Palatino Linotype" w:hAnsi="Palatino Linotype" w:cs="Arial"/>
          <w:sz w:val="24"/>
          <w:szCs w:val="24"/>
          <w:lang w:val="es-ES" w:eastAsia="es-ES"/>
        </w:rPr>
        <w:t>vigésimo, vigésimo primero</w:t>
      </w:r>
      <w:r w:rsidRPr="00187D70">
        <w:rPr>
          <w:rFonts w:ascii="Palatino Linotype" w:eastAsia="Times New Roman" w:hAnsi="Palatino Linotype" w:cs="Arial"/>
          <w:sz w:val="24"/>
          <w:szCs w:val="24"/>
          <w:lang w:eastAsia="es-ES"/>
        </w:rPr>
        <w:t xml:space="preserve"> y vigésimo segundo</w:t>
      </w:r>
      <w:r w:rsidRPr="00187D70">
        <w:rPr>
          <w:rFonts w:ascii="Palatino Linotype" w:hAnsi="Palatino Linotype" w:cs="Times New Roman"/>
          <w:sz w:val="24"/>
          <w:szCs w:val="24"/>
          <w:lang w:val="es-ES" w:eastAsia="es-ES"/>
        </w:rPr>
        <w:t>, de la Constitución Política del Estado Libre y Soberano de México, se establece lo siguiente:</w:t>
      </w:r>
    </w:p>
    <w:p w14:paraId="3E36786B" w14:textId="77777777" w:rsidR="00C61B54" w:rsidRPr="00187D70" w:rsidRDefault="00C61B54" w:rsidP="00C61B54">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 los Estados Unidos Mexicanos</w:t>
      </w:r>
    </w:p>
    <w:p w14:paraId="4AB67205" w14:textId="77777777" w:rsidR="00C61B54" w:rsidRPr="00187D70" w:rsidRDefault="00C61B54" w:rsidP="00C61B54">
      <w:pPr>
        <w:spacing w:before="240" w:line="360" w:lineRule="auto"/>
        <w:ind w:left="851" w:right="851"/>
        <w:jc w:val="both"/>
        <w:rPr>
          <w:rFonts w:ascii="Palatino Linotype" w:eastAsia="Times New Roman" w:hAnsi="Palatino Linotype" w:cs="Times New Roman"/>
          <w:i/>
          <w:lang w:val="es-ES" w:eastAsia="es-ES"/>
        </w:rPr>
      </w:pPr>
      <w:r>
        <w:rPr>
          <w:rFonts w:ascii="Palatino Linotype" w:eastAsia="Times New Roman" w:hAnsi="Palatino Linotype" w:cs="Times New Roman"/>
          <w:b/>
          <w:i/>
          <w:lang w:val="es-ES" w:eastAsia="es-ES"/>
        </w:rPr>
        <w:lastRenderedPageBreak/>
        <w:t>“</w:t>
      </w:r>
      <w:r w:rsidRPr="00187D70">
        <w:rPr>
          <w:rFonts w:ascii="Palatino Linotype" w:eastAsia="Times New Roman" w:hAnsi="Palatino Linotype" w:cs="Times New Roman"/>
          <w:b/>
          <w:i/>
          <w:lang w:val="es-ES" w:eastAsia="es-ES"/>
        </w:rPr>
        <w:t>Artículo 6</w:t>
      </w:r>
      <w:r w:rsidRPr="00187D70">
        <w:rPr>
          <w:rFonts w:ascii="Palatino Linotype" w:eastAsia="Times New Roman" w:hAnsi="Palatino Linotype" w:cs="Times New Roman"/>
          <w:i/>
          <w:lang w:val="es-ES" w:eastAsia="es-ES"/>
        </w:rPr>
        <w:t>°.-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14:paraId="5440F8CA" w14:textId="77777777" w:rsidR="00C61B54" w:rsidRPr="00187D70" w:rsidRDefault="00C61B54" w:rsidP="00C61B5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5B954874" w14:textId="77777777" w:rsidR="00C61B54" w:rsidRPr="00187D70" w:rsidRDefault="00C61B54" w:rsidP="00C61B5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Para efectos de lo dispuesto en el presente artículo se observará lo siguiente: </w:t>
      </w:r>
    </w:p>
    <w:p w14:paraId="090979A3" w14:textId="77777777" w:rsidR="00C61B54" w:rsidRPr="00187D70" w:rsidRDefault="00C61B54" w:rsidP="00C61B5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A. Para el ejercicio del derecho de acceso a la información, la Federación, los Estados y el Distrito Federal, en el ámbito de sus respectivas competencias, se regirán por los siguientes principios y bases:</w:t>
      </w:r>
    </w:p>
    <w:p w14:paraId="4B8C207B" w14:textId="77777777" w:rsidR="00C61B54" w:rsidRPr="00187D70" w:rsidRDefault="00C61B54" w:rsidP="00C61B5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59C6E659" w14:textId="77777777" w:rsidR="00C61B54" w:rsidRPr="00187D70" w:rsidRDefault="00C61B54" w:rsidP="00C61B5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III. Toda persona, sin necesidad de acreditar interés alguno o justificar su utilización, tendrá acceso gratuito a la información pública, a sus datos personales o a la rectificación de éstos. </w:t>
      </w:r>
    </w:p>
    <w:p w14:paraId="3E7FD21A" w14:textId="77777777" w:rsidR="00C61B54" w:rsidRDefault="00C61B54" w:rsidP="00C61B54">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IV. Se establecerán mecanismos de acceso a la información y procedimientos de revisión expeditos que se sustanciarán ante los organismos autónomos especializados e imparciales qu</w:t>
      </w:r>
      <w:r>
        <w:rPr>
          <w:rFonts w:ascii="Palatino Linotype" w:eastAsia="Times New Roman" w:hAnsi="Palatino Linotype" w:cs="Times New Roman"/>
          <w:i/>
          <w:lang w:val="es-ES" w:eastAsia="es-ES"/>
        </w:rPr>
        <w:t xml:space="preserve">e establece esta Constitución.” </w:t>
      </w:r>
      <w:r>
        <w:rPr>
          <w:rFonts w:ascii="Palatino Linotype" w:eastAsia="Times New Roman" w:hAnsi="Palatino Linotype" w:cs="Times New Roman"/>
          <w:b/>
          <w:i/>
          <w:lang w:val="es-ES" w:eastAsia="es-ES"/>
        </w:rPr>
        <w:t>[Sic]</w:t>
      </w:r>
    </w:p>
    <w:p w14:paraId="48AC0D41" w14:textId="77777777" w:rsidR="00C61B54" w:rsidRPr="00E71AB2" w:rsidRDefault="00C61B54" w:rsidP="00C61B54">
      <w:pPr>
        <w:spacing w:before="240" w:line="360" w:lineRule="auto"/>
        <w:ind w:left="851" w:right="851"/>
        <w:jc w:val="both"/>
        <w:rPr>
          <w:rFonts w:ascii="Palatino Linotype" w:eastAsia="Times New Roman" w:hAnsi="Palatino Linotype" w:cs="Times New Roman"/>
          <w:b/>
          <w:i/>
          <w:lang w:val="es-ES" w:eastAsia="es-ES"/>
        </w:rPr>
      </w:pPr>
    </w:p>
    <w:p w14:paraId="0B856057" w14:textId="77777777" w:rsidR="00C61B54" w:rsidRPr="00187D70" w:rsidRDefault="00C61B54" w:rsidP="00C61B54">
      <w:pPr>
        <w:spacing w:before="240" w:line="360" w:lineRule="auto"/>
        <w:ind w:left="851" w:right="851"/>
        <w:jc w:val="center"/>
        <w:rPr>
          <w:rFonts w:ascii="Palatino Linotype" w:eastAsia="Times New Roman" w:hAnsi="Palatino Linotype" w:cs="Times New Roman"/>
          <w:b/>
          <w:i/>
          <w:u w:val="single"/>
          <w:lang w:val="es-ES" w:eastAsia="es-ES"/>
        </w:rPr>
      </w:pPr>
      <w:r w:rsidRPr="00187D70">
        <w:rPr>
          <w:rFonts w:ascii="Palatino Linotype" w:eastAsia="Times New Roman" w:hAnsi="Palatino Linotype" w:cs="Times New Roman"/>
          <w:b/>
          <w:i/>
          <w:u w:val="single"/>
          <w:lang w:val="es-ES" w:eastAsia="es-ES"/>
        </w:rPr>
        <w:t>Constitución Política del Estado Libre y Soberano de México</w:t>
      </w:r>
    </w:p>
    <w:p w14:paraId="16CDA866" w14:textId="77777777" w:rsidR="00C61B54" w:rsidRPr="00187D70" w:rsidRDefault="00C61B54" w:rsidP="00C61B5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sidRPr="00187D70">
        <w:rPr>
          <w:rFonts w:ascii="Palatino Linotype" w:eastAsia="Times New Roman" w:hAnsi="Palatino Linotype" w:cs="Times New Roman"/>
          <w:b/>
          <w:i/>
          <w:lang w:val="es-ES" w:eastAsia="es-ES"/>
        </w:rPr>
        <w:t>Artículo 5</w:t>
      </w:r>
      <w:r w:rsidRPr="00187D70">
        <w:rPr>
          <w:rFonts w:ascii="Palatino Linotype" w:eastAsia="Times New Roman" w:hAnsi="Palatino Linotype" w:cs="Times New Roman"/>
          <w:i/>
          <w:lang w:val="es-ES" w:eastAsia="es-ES"/>
        </w:rPr>
        <w:t xml:space="preserve">.- En el Estado de México todas las personas gozarán de los derechos humanos reconocidos en la Constitución Política de los Estados Unidos Mexicanos, </w:t>
      </w:r>
      <w:r w:rsidRPr="00187D70">
        <w:rPr>
          <w:rFonts w:ascii="Palatino Linotype" w:eastAsia="Times New Roman" w:hAnsi="Palatino Linotype" w:cs="Times New Roman"/>
          <w:i/>
          <w:lang w:val="es-ES" w:eastAsia="es-ES"/>
        </w:rPr>
        <w:lastRenderedPageBreak/>
        <w:t>en los tratados internacionales en los que el Estado mexicano sea parte, en esta Constitución y en las leyes que de ésta emanen, por lo que gozarán de las garantías para su protección, las cuales no podrán restringirse ni suspenderse salvo en los casos y bajo las condiciones que la Constitución Política de los Estados Unidos Mexicanos establece.</w:t>
      </w:r>
    </w:p>
    <w:p w14:paraId="6AC20CC5" w14:textId="77777777" w:rsidR="00C61B54" w:rsidRPr="00187D70" w:rsidRDefault="00C61B54" w:rsidP="00C61B5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3170D8DA" w14:textId="77777777" w:rsidR="00C61B54" w:rsidRPr="00187D70" w:rsidRDefault="00C61B54" w:rsidP="00C61B5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Toda persona en el Estado de México, tiene derecho al libre acceso a la información plural y oportuna, así como a buscar recibir y difundir información e ideas de toda índole por cualquier medio de expresión.</w:t>
      </w:r>
    </w:p>
    <w:p w14:paraId="513C03A1" w14:textId="77777777" w:rsidR="00C61B54" w:rsidRPr="00187D70" w:rsidRDefault="00C61B54" w:rsidP="00C61B5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 (…)</w:t>
      </w:r>
    </w:p>
    <w:p w14:paraId="06640891" w14:textId="77777777" w:rsidR="00C61B54" w:rsidRPr="00187D70" w:rsidRDefault="00C61B54" w:rsidP="00C61B5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 xml:space="preserve">El derecho a la información será garantizado por el Estado. La ley establecerá las previsiones que permitan asegurar la protección, el respeto y la difusión de este derecho. </w:t>
      </w:r>
    </w:p>
    <w:p w14:paraId="46A94452" w14:textId="77777777" w:rsidR="00C61B54" w:rsidRPr="00187D70" w:rsidRDefault="00C61B54" w:rsidP="00C61B5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Este derecho se regirá por los principios y bases siguientes:</w:t>
      </w:r>
    </w:p>
    <w:p w14:paraId="66AEC69E" w14:textId="77777777" w:rsidR="00C61B54" w:rsidRPr="00187D70" w:rsidRDefault="00C61B54" w:rsidP="00C61B5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r>
        <w:rPr>
          <w:rFonts w:ascii="Palatino Linotype" w:eastAsia="Times New Roman" w:hAnsi="Palatino Linotype" w:cs="Times New Roman"/>
          <w:i/>
          <w:lang w:val="es-ES" w:eastAsia="es-ES"/>
        </w:rPr>
        <w:t>.</w:t>
      </w:r>
      <w:r w:rsidRPr="00187D70">
        <w:rPr>
          <w:rFonts w:ascii="Palatino Linotype" w:eastAsia="Times New Roman" w:hAnsi="Palatino Linotype" w:cs="Times New Roman"/>
          <w:i/>
          <w:lang w:val="es-ES" w:eastAsia="es-ES"/>
        </w:rPr>
        <w:t>.)</w:t>
      </w:r>
    </w:p>
    <w:p w14:paraId="5A068A84" w14:textId="77777777" w:rsidR="00C61B54" w:rsidRPr="00187D70" w:rsidRDefault="00C61B54" w:rsidP="00C61B5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III. Toda persona, sin necesidad de acreditar interés alguno o justificar su utilización, tendrá acceso gratuito a la información pública, a sus datos personales o a la rectificación de éstos;</w:t>
      </w:r>
    </w:p>
    <w:p w14:paraId="47FCD21A" w14:textId="77777777" w:rsidR="00C61B54" w:rsidRPr="00187D70" w:rsidRDefault="00C61B54" w:rsidP="00C61B5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lastRenderedPageBreak/>
        <w:t>IV. Se establecerán mecanismos de acceso a la información y procedimientos de revisión expeditos que se sustanciarán ante el organismo autónomo especializado e imparcial que establece esta Constitución.</w:t>
      </w:r>
    </w:p>
    <w:p w14:paraId="49151BB7" w14:textId="77777777" w:rsidR="00C61B54" w:rsidRPr="00187D70" w:rsidRDefault="00C61B54" w:rsidP="00C61B54">
      <w:pPr>
        <w:spacing w:before="240" w:line="360" w:lineRule="auto"/>
        <w:ind w:left="851" w:right="851"/>
        <w:jc w:val="both"/>
        <w:rPr>
          <w:rFonts w:ascii="Palatino Linotype" w:eastAsia="Times New Roman" w:hAnsi="Palatino Linotype" w:cs="Times New Roman"/>
          <w:i/>
          <w:lang w:val="es-ES" w:eastAsia="es-ES"/>
        </w:rPr>
      </w:pPr>
      <w:r w:rsidRPr="00187D70">
        <w:rPr>
          <w:rFonts w:ascii="Palatino Linotype" w:eastAsia="Times New Roman" w:hAnsi="Palatino Linotype" w:cs="Times New Roman"/>
          <w:i/>
          <w:lang w:val="es-ES" w:eastAsia="es-ES"/>
        </w:rPr>
        <w:t>(…)</w:t>
      </w:r>
    </w:p>
    <w:p w14:paraId="49D52760" w14:textId="77777777" w:rsidR="00C61B54" w:rsidRPr="009B74C2" w:rsidRDefault="00C61B54" w:rsidP="00C61B54">
      <w:pPr>
        <w:spacing w:before="240" w:line="360" w:lineRule="auto"/>
        <w:ind w:left="851" w:right="851"/>
        <w:jc w:val="both"/>
        <w:rPr>
          <w:rFonts w:ascii="Palatino Linotype" w:eastAsia="Times New Roman" w:hAnsi="Palatino Linotype" w:cs="Times New Roman"/>
          <w:b/>
          <w:i/>
          <w:lang w:val="es-ES" w:eastAsia="es-ES"/>
        </w:rPr>
      </w:pPr>
      <w:r w:rsidRPr="00187D70">
        <w:rPr>
          <w:rFonts w:ascii="Palatino Linotype" w:eastAsia="Times New Roman" w:hAnsi="Palatino Linotype" w:cs="Times New Roman"/>
          <w:i/>
          <w:lang w:val="es-ES" w:eastAsia="es-ES"/>
        </w:rPr>
        <w:t>VIII. El Estado contará con un organismo autónomo, especializado, imparcial, colegiado, con personalidad jurídica y patrimonio propio, con plena autonomía técnica y de gestión, con capacidad para decidir sobre el ejercicio de su presupuesto y determinar su organización interna, responsable de garantizar el cumplimiento del derecho de transparencia, acceso a la información pública y a la protección de datos personales en posesión de los sujetos obligados en los términos que establezca la ley. (…)”</w:t>
      </w:r>
      <w:r>
        <w:rPr>
          <w:rFonts w:ascii="Palatino Linotype" w:eastAsia="Times New Roman" w:hAnsi="Palatino Linotype" w:cs="Times New Roman"/>
          <w:i/>
          <w:lang w:val="es-ES" w:eastAsia="es-ES"/>
        </w:rPr>
        <w:t xml:space="preserve"> </w:t>
      </w:r>
      <w:r>
        <w:rPr>
          <w:rFonts w:ascii="Palatino Linotype" w:eastAsia="Times New Roman" w:hAnsi="Palatino Linotype" w:cs="Times New Roman"/>
          <w:b/>
          <w:i/>
          <w:lang w:val="es-ES" w:eastAsia="es-ES"/>
        </w:rPr>
        <w:t>[Sic]</w:t>
      </w:r>
    </w:p>
    <w:p w14:paraId="11547D4C" w14:textId="77777777" w:rsidR="00C61B54" w:rsidRDefault="00C61B54" w:rsidP="00C61B54">
      <w:pPr>
        <w:spacing w:after="0" w:line="360" w:lineRule="auto"/>
        <w:jc w:val="both"/>
        <w:rPr>
          <w:rFonts w:ascii="Palatino Linotype" w:eastAsia="Times New Roman" w:hAnsi="Palatino Linotype" w:cs="Times New Roman"/>
          <w:sz w:val="24"/>
          <w:szCs w:val="24"/>
          <w:lang w:val="es-ES" w:eastAsia="es-ES"/>
        </w:rPr>
      </w:pPr>
    </w:p>
    <w:p w14:paraId="715783E7" w14:textId="77777777" w:rsidR="00C61B54" w:rsidRPr="00187D70" w:rsidRDefault="00C61B54" w:rsidP="00C61B54">
      <w:pPr>
        <w:spacing w:after="0" w:line="360" w:lineRule="auto"/>
        <w:jc w:val="both"/>
        <w:rPr>
          <w:rFonts w:ascii="Palatino Linotype" w:eastAsia="Times New Roman" w:hAnsi="Palatino Linotype" w:cs="Times New Roman"/>
          <w:sz w:val="24"/>
          <w:szCs w:val="24"/>
          <w:lang w:val="es-ES" w:eastAsia="es-ES"/>
        </w:rPr>
      </w:pPr>
      <w:r w:rsidRPr="00187D70">
        <w:rPr>
          <w:rFonts w:ascii="Palatino Linotype" w:eastAsia="Times New Roman" w:hAnsi="Palatino Linotype" w:cs="Times New Roman"/>
          <w:sz w:val="24"/>
          <w:szCs w:val="24"/>
          <w:lang w:val="es-ES" w:eastAsia="es-ES"/>
        </w:rPr>
        <w:t>Por otra parte, del contenido del artículo 1 de la Constitución Política de los Estados Unidos Mexicanos, se destaca lo siguiente:</w:t>
      </w:r>
    </w:p>
    <w:p w14:paraId="456C3712" w14:textId="77777777" w:rsidR="00C61B54" w:rsidRPr="00187D70" w:rsidRDefault="00C61B54" w:rsidP="00C61B54">
      <w:pPr>
        <w:spacing w:before="240" w:line="360" w:lineRule="auto"/>
        <w:ind w:left="851" w:right="851"/>
        <w:jc w:val="both"/>
        <w:rPr>
          <w:rFonts w:ascii="Palatino Linotype" w:hAnsi="Palatino Linotype" w:cs="Times New Roman"/>
          <w:i/>
          <w:lang w:val="es-ES" w:eastAsia="es-ES"/>
        </w:rPr>
      </w:pPr>
      <w:r w:rsidRPr="00187D70">
        <w:rPr>
          <w:rFonts w:ascii="Palatino Linotype" w:hAnsi="Palatino Linotype" w:cs="Times New Roman"/>
          <w:i/>
          <w:lang w:val="es-ES" w:eastAsia="es-ES"/>
        </w:rPr>
        <w:t>“</w:t>
      </w:r>
      <w:r w:rsidRPr="00187D70">
        <w:rPr>
          <w:rFonts w:ascii="Palatino Linotype" w:hAnsi="Palatino Linotype" w:cs="Times New Roman"/>
          <w:b/>
          <w:i/>
          <w:lang w:val="es-ES" w:eastAsia="es-ES"/>
        </w:rPr>
        <w:t>Artículo 1o</w:t>
      </w:r>
      <w:r w:rsidRPr="00187D70">
        <w:rPr>
          <w:rFonts w:ascii="Palatino Linotype" w:hAnsi="Palatino Linotype" w:cs="Times New Roman"/>
          <w:i/>
          <w:lang w:val="es-ES" w:eastAsia="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638974A5" w14:textId="77777777" w:rsidR="00C61B54" w:rsidRPr="00187D70" w:rsidRDefault="00C61B54" w:rsidP="00C61B54">
      <w:pPr>
        <w:spacing w:before="240" w:line="360" w:lineRule="auto"/>
        <w:ind w:left="851" w:right="851"/>
        <w:jc w:val="both"/>
        <w:rPr>
          <w:rFonts w:ascii="Palatino Linotype" w:hAnsi="Palatino Linotype" w:cs="Times New Roman"/>
          <w:i/>
          <w:lang w:val="es-ES" w:eastAsia="es-ES"/>
        </w:rPr>
      </w:pPr>
      <w:r w:rsidRPr="00187D70">
        <w:rPr>
          <w:rFonts w:ascii="Palatino Linotype" w:hAnsi="Palatino Linotype" w:cs="Times New Roman"/>
          <w:i/>
          <w:lang w:val="es-ES" w:eastAsia="es-ES"/>
        </w:rPr>
        <w:t>Las normas relativas a los derechos humanos se interpretarán de conformidad con esta Constitución y con los tratados internacionales de la materia favoreciendo en todo tiempo a las personas la protección más amplia.</w:t>
      </w:r>
    </w:p>
    <w:p w14:paraId="2B4CC63E" w14:textId="77777777" w:rsidR="00C61B54" w:rsidRPr="009B74C2" w:rsidRDefault="00C61B54" w:rsidP="00C61B54">
      <w:pPr>
        <w:spacing w:before="240" w:line="360" w:lineRule="auto"/>
        <w:ind w:left="851" w:right="851"/>
        <w:jc w:val="both"/>
        <w:rPr>
          <w:rFonts w:ascii="Palatino Linotype" w:hAnsi="Palatino Linotype" w:cs="Times New Roman"/>
          <w:b/>
          <w:i/>
          <w:lang w:val="es-ES" w:eastAsia="es-ES"/>
        </w:rPr>
      </w:pPr>
      <w:r w:rsidRPr="00187D70">
        <w:rPr>
          <w:rFonts w:ascii="Palatino Linotype" w:hAnsi="Palatino Linotype" w:cs="Times New Roman"/>
          <w:i/>
          <w:lang w:val="es-ES" w:eastAsia="es-ES"/>
        </w:rPr>
        <w:lastRenderedPageBreak/>
        <w:t>Todas las autoridades, en el ámbito de sus competencias, tienen la obligación de promover, respetar, proteger y garantizar los derechos humanos de conformidad con los principios de universalidad, interdependencia, indivisibilidad y progresividad. En consecuencia, el Estado deberá prevenir, investigar, sancionar y reparar las violaciones a los derechos humanos, en los términos que establezca la ley.”</w:t>
      </w:r>
      <w:r>
        <w:rPr>
          <w:rFonts w:ascii="Palatino Linotype" w:hAnsi="Palatino Linotype" w:cs="Times New Roman"/>
          <w:i/>
          <w:lang w:val="es-ES" w:eastAsia="es-ES"/>
        </w:rPr>
        <w:t xml:space="preserve"> </w:t>
      </w:r>
      <w:r>
        <w:rPr>
          <w:rFonts w:ascii="Palatino Linotype" w:hAnsi="Palatino Linotype" w:cs="Times New Roman"/>
          <w:b/>
          <w:i/>
          <w:lang w:val="es-ES" w:eastAsia="es-ES"/>
        </w:rPr>
        <w:t>[Sic]</w:t>
      </w:r>
    </w:p>
    <w:p w14:paraId="3B5E0C5E" w14:textId="77777777" w:rsidR="00C61B54" w:rsidRDefault="00C61B54" w:rsidP="00C61B54">
      <w:pPr>
        <w:pBdr>
          <w:top w:val="nil"/>
          <w:left w:val="nil"/>
          <w:bottom w:val="nil"/>
          <w:right w:val="nil"/>
          <w:between w:val="nil"/>
        </w:pBdr>
        <w:spacing w:after="0" w:line="360" w:lineRule="auto"/>
        <w:jc w:val="both"/>
        <w:rPr>
          <w:rFonts w:ascii="Palatino Linotype" w:eastAsia="Times New Roman" w:hAnsi="Palatino Linotype" w:cs="Times New Roman"/>
          <w:sz w:val="24"/>
          <w:szCs w:val="24"/>
          <w:lang w:val="es-ES" w:eastAsia="es-ES"/>
        </w:rPr>
      </w:pPr>
    </w:p>
    <w:p w14:paraId="220D55CE" w14:textId="77777777" w:rsidR="00C61B54" w:rsidRDefault="00C61B54" w:rsidP="00C61B54">
      <w:pPr>
        <w:pBdr>
          <w:top w:val="nil"/>
          <w:left w:val="nil"/>
          <w:bottom w:val="nil"/>
          <w:right w:val="nil"/>
          <w:between w:val="nil"/>
        </w:pBdr>
        <w:spacing w:after="0" w:line="360" w:lineRule="auto"/>
        <w:jc w:val="both"/>
        <w:rPr>
          <w:rFonts w:ascii="Palatino Linotype" w:eastAsia="Palatino Linotype" w:hAnsi="Palatino Linotype" w:cs="Palatino Linotype"/>
          <w:b/>
          <w:color w:val="000000"/>
          <w:sz w:val="28"/>
          <w:szCs w:val="28"/>
          <w:lang w:val="es-ES"/>
        </w:rPr>
      </w:pPr>
      <w:r w:rsidRPr="00187D70">
        <w:rPr>
          <w:rFonts w:ascii="Palatino Linotype" w:eastAsia="Times New Roman" w:hAnsi="Palatino Linotype" w:cs="Times New Roman"/>
          <w:sz w:val="24"/>
          <w:szCs w:val="24"/>
          <w:lang w:val="es-ES" w:eastAsia="es-ES"/>
        </w:rPr>
        <w:t xml:space="preserve">Por lo cual, de una interpretación sistemática, conforme y progresiva del derecho humano de acceso a la información pública se aprecia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w:t>
      </w:r>
      <w:r w:rsidRPr="009B74C2">
        <w:rPr>
          <w:rFonts w:ascii="Palatino Linotype" w:eastAsia="Times New Roman" w:hAnsi="Palatino Linotype" w:cs="Times New Roman"/>
          <w:b/>
          <w:sz w:val="24"/>
          <w:szCs w:val="24"/>
          <w:u w:val="single"/>
          <w:lang w:val="es-ES" w:eastAsia="es-ES"/>
        </w:rPr>
        <w:t>incluso, la solicitud de acceso a la información pueda ser anónima</w:t>
      </w:r>
      <w:r w:rsidRPr="00187D70">
        <w:rPr>
          <w:rFonts w:ascii="Palatino Linotype" w:eastAsia="Times New Roman" w:hAnsi="Palatino Linotype" w:cs="Times New Roman"/>
          <w:sz w:val="24"/>
          <w:szCs w:val="24"/>
          <w:lang w:val="es-ES" w:eastAsia="es-ES"/>
        </w:rPr>
        <w:t xml:space="preserve"> o no contener un nombre que identifique al solicitante o que permita tener certeza sobre su identidad.</w:t>
      </w:r>
      <w:r>
        <w:rPr>
          <w:rFonts w:ascii="Palatino Linotype" w:eastAsia="Times New Roman" w:hAnsi="Palatino Linotype" w:cs="Times New Roman"/>
          <w:sz w:val="24"/>
          <w:szCs w:val="24"/>
          <w:lang w:val="es-ES" w:eastAsia="es-ES"/>
        </w:rPr>
        <w:t xml:space="preserve"> </w:t>
      </w:r>
      <w:r w:rsidRPr="009A0C69">
        <w:rPr>
          <w:rFonts w:ascii="Palatino Linotype" w:hAnsi="Palatino Linotype" w:cs="Arial"/>
          <w:sz w:val="24"/>
          <w:szCs w:val="24"/>
          <w:lang w:val="es-ES"/>
        </w:rPr>
        <w:t xml:space="preserve">En conclusión, se cubrieron los requisitos de procedencia y </w:t>
      </w:r>
      <w:proofErr w:type="spellStart"/>
      <w:r w:rsidRPr="009A0C69">
        <w:rPr>
          <w:rFonts w:ascii="Palatino Linotype" w:hAnsi="Palatino Linotype" w:cs="Arial"/>
          <w:sz w:val="24"/>
          <w:szCs w:val="24"/>
          <w:lang w:val="es-ES"/>
        </w:rPr>
        <w:t>procedibilidad</w:t>
      </w:r>
      <w:proofErr w:type="spellEnd"/>
      <w:r w:rsidRPr="009A0C69">
        <w:rPr>
          <w:rFonts w:ascii="Palatino Linotype" w:hAnsi="Palatino Linotype" w:cs="Arial"/>
          <w:sz w:val="24"/>
          <w:szCs w:val="24"/>
          <w:lang w:val="es-ES"/>
        </w:rPr>
        <w:t xml:space="preserve"> y conforme a las constancias que obran en el expediente.</w:t>
      </w:r>
    </w:p>
    <w:p w14:paraId="4F27F769" w14:textId="77777777" w:rsidR="00C61B54" w:rsidRDefault="00C61B54" w:rsidP="00672112">
      <w:pPr>
        <w:pStyle w:val="Prrafodelista"/>
        <w:autoSpaceDE w:val="0"/>
        <w:autoSpaceDN w:val="0"/>
        <w:adjustRightInd w:val="0"/>
        <w:spacing w:line="360" w:lineRule="auto"/>
        <w:ind w:left="0"/>
        <w:jc w:val="both"/>
        <w:rPr>
          <w:rFonts w:ascii="Palatino Linotype" w:hAnsi="Palatino Linotype" w:cs="Arial"/>
        </w:rPr>
      </w:pPr>
    </w:p>
    <w:p w14:paraId="10B9D50B" w14:textId="77777777" w:rsidR="006B6913" w:rsidRDefault="006B6913" w:rsidP="006B6913">
      <w:pPr>
        <w:tabs>
          <w:tab w:val="left" w:pos="709"/>
        </w:tabs>
        <w:spacing w:before="240" w:line="360" w:lineRule="auto"/>
        <w:ind w:right="51"/>
        <w:jc w:val="both"/>
        <w:rPr>
          <w:rFonts w:ascii="Palatino Linotype" w:hAnsi="Palatino Linotype"/>
          <w:b/>
          <w:sz w:val="28"/>
          <w:szCs w:val="28"/>
        </w:rPr>
      </w:pPr>
      <w:r w:rsidRPr="007D15EF">
        <w:rPr>
          <w:rFonts w:ascii="Palatino Linotype" w:hAnsi="Palatino Linotype"/>
          <w:b/>
          <w:sz w:val="28"/>
          <w:szCs w:val="28"/>
        </w:rPr>
        <w:t xml:space="preserve">CUARTO. </w:t>
      </w:r>
      <w:r w:rsidRPr="009510B5">
        <w:rPr>
          <w:rFonts w:ascii="Palatino Linotype" w:hAnsi="Palatino Linotype" w:cs="Arial"/>
          <w:b/>
          <w:sz w:val="28"/>
          <w:szCs w:val="28"/>
        </w:rPr>
        <w:t>Del estudio de las causas de improcedencia y sobreseimiento</w:t>
      </w:r>
    </w:p>
    <w:p w14:paraId="442EB0BB" w14:textId="77777777" w:rsidR="006B6913" w:rsidRDefault="006B6913" w:rsidP="006B6913">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t xml:space="preserve">Es menester resaltar que en el procedimiento de acceso a la información pública y de los medios de impugnación de la materia, se advierten diversos supuestos de </w:t>
      </w:r>
      <w:proofErr w:type="spellStart"/>
      <w:r>
        <w:rPr>
          <w:rFonts w:ascii="Palatino Linotype" w:hAnsi="Palatino Linotype" w:cs="Arial"/>
        </w:rPr>
        <w:t>procedibilidad</w:t>
      </w:r>
      <w:proofErr w:type="spellEnd"/>
      <w:r>
        <w:rPr>
          <w:rFonts w:ascii="Palatino Linotype" w:hAnsi="Palatino Linotype" w:cs="Arial"/>
        </w:rPr>
        <w:t xml:space="preserve"> que deben estudiarse con la finalidad de dar cumplimiento a los principios de legalidad y objetividad inmersos en el artículo 9 de </w:t>
      </w:r>
      <w:r w:rsidRPr="00025A37">
        <w:rPr>
          <w:rFonts w:ascii="Palatino Linotype" w:hAnsi="Palatino Linotype" w:cs="Arial"/>
        </w:rPr>
        <w:t>Ley de Transparencia y Acceso a la Información Pública del Estado de México y Municipios</w:t>
      </w:r>
      <w:r>
        <w:rPr>
          <w:rFonts w:ascii="Palatino Linotype" w:hAnsi="Palatino Linotype" w:cs="Arial"/>
        </w:rPr>
        <w:t>, en correlación con la seguridad jurídica que debe generar lo actuado ante este Organismo garante.</w:t>
      </w:r>
    </w:p>
    <w:p w14:paraId="4E3ED671" w14:textId="77777777" w:rsidR="006B6913" w:rsidRDefault="006B6913" w:rsidP="006B6913">
      <w:pPr>
        <w:pStyle w:val="Prrafodelista"/>
        <w:autoSpaceDE w:val="0"/>
        <w:autoSpaceDN w:val="0"/>
        <w:adjustRightInd w:val="0"/>
        <w:spacing w:line="360" w:lineRule="auto"/>
        <w:ind w:left="0"/>
        <w:jc w:val="both"/>
        <w:rPr>
          <w:rFonts w:ascii="Palatino Linotype" w:hAnsi="Palatino Linotype" w:cs="Arial"/>
        </w:rPr>
      </w:pPr>
      <w:r>
        <w:rPr>
          <w:rFonts w:ascii="Palatino Linotype" w:hAnsi="Palatino Linotype" w:cs="Arial"/>
        </w:rPr>
        <w:lastRenderedPageBreak/>
        <w:t xml:space="preserve">Siendo una facultad legal entrar al estudio de las causas de improcedencia que hagan valer las partes o que se adviertan de oficio por este </w:t>
      </w:r>
      <w:proofErr w:type="spellStart"/>
      <w:r>
        <w:rPr>
          <w:rFonts w:ascii="Palatino Linotype" w:hAnsi="Palatino Linotype" w:cs="Arial"/>
        </w:rPr>
        <w:t>Resolutor</w:t>
      </w:r>
      <w:proofErr w:type="spellEnd"/>
      <w:r>
        <w:rPr>
          <w:rFonts w:ascii="Palatino Linotype" w:hAnsi="Palatino Linotype" w:cs="Arial"/>
        </w:rPr>
        <w:t xml:space="preserve">; presupuestos procesales de inicio o trámite de un proceso que dotan de seguridad jurídica la resolución emitida por este organismo colegiado, máxime que se trata de una figura procesal adoptada en la ley de la materia, la cual permite dilucidar alguna causal que impida el estudio y resolución de un asunto en su fondo, cuando una vez admitido el recurso de revisión se advierta una causa de improcedencia que permita sobreseerlo. </w:t>
      </w:r>
      <w:r w:rsidRPr="00FC0BF5">
        <w:rPr>
          <w:rFonts w:ascii="Palatino Linotype" w:hAnsi="Palatino Linotype" w:cs="Arial"/>
        </w:rPr>
        <w:t>Estudio de causales de</w:t>
      </w:r>
      <w:r>
        <w:rPr>
          <w:rFonts w:ascii="Palatino Linotype" w:hAnsi="Palatino Linotype" w:cs="Arial"/>
        </w:rPr>
        <w:t xml:space="preserve"> improcedencia que no son incompatibles con el derecho de acceso a la justicia, ya que éste no se coarta por regular causas de improcedencia y sobreseimiento con tales fines</w:t>
      </w:r>
      <w:r>
        <w:rPr>
          <w:rStyle w:val="Refdenotaalpie"/>
          <w:rFonts w:ascii="Palatino Linotype" w:hAnsi="Palatino Linotype" w:cs="Arial"/>
        </w:rPr>
        <w:footnoteReference w:id="1"/>
      </w:r>
      <w:r>
        <w:rPr>
          <w:rFonts w:ascii="Palatino Linotype" w:hAnsi="Palatino Linotype" w:cs="Arial"/>
        </w:rPr>
        <w:t>.</w:t>
      </w:r>
    </w:p>
    <w:p w14:paraId="5BB58517" w14:textId="77777777" w:rsidR="006B6913" w:rsidRDefault="006B6913" w:rsidP="006B6913">
      <w:pPr>
        <w:autoSpaceDE w:val="0"/>
        <w:autoSpaceDN w:val="0"/>
        <w:adjustRightInd w:val="0"/>
        <w:spacing w:line="360" w:lineRule="auto"/>
        <w:jc w:val="both"/>
        <w:rPr>
          <w:rFonts w:ascii="Palatino Linotype" w:hAnsi="Palatino Linotype" w:cs="Arial"/>
          <w:sz w:val="24"/>
          <w:szCs w:val="24"/>
        </w:rPr>
      </w:pPr>
      <w:r w:rsidRPr="00552846">
        <w:rPr>
          <w:rFonts w:ascii="Palatino Linotype" w:hAnsi="Palatino Linotype" w:cs="Arial"/>
          <w:sz w:val="24"/>
          <w:szCs w:val="24"/>
        </w:rPr>
        <w:t>En primer término es necesario hacer alusión a la solicitud de información ya q</w:t>
      </w:r>
      <w:r>
        <w:rPr>
          <w:rFonts w:ascii="Palatino Linotype" w:hAnsi="Palatino Linotype" w:cs="Arial"/>
          <w:sz w:val="24"/>
          <w:szCs w:val="24"/>
        </w:rPr>
        <w:t>ue de ella deriva por un lado e</w:t>
      </w:r>
      <w:r w:rsidRPr="00552846">
        <w:rPr>
          <w:rFonts w:ascii="Palatino Linotype" w:hAnsi="Palatino Linotype" w:cs="Arial"/>
          <w:sz w:val="24"/>
          <w:szCs w:val="24"/>
        </w:rPr>
        <w:t xml:space="preserve">l procedimiento de acceso a la información ante </w:t>
      </w:r>
      <w:r w:rsidRPr="00FE69D7">
        <w:rPr>
          <w:rFonts w:ascii="Palatino Linotype" w:hAnsi="Palatino Linotype" w:cs="Arial"/>
          <w:b/>
          <w:sz w:val="24"/>
          <w:szCs w:val="24"/>
        </w:rPr>
        <w:t>El Sujeto Obligado</w:t>
      </w:r>
      <w:r w:rsidRPr="00552846">
        <w:rPr>
          <w:rFonts w:ascii="Palatino Linotype" w:hAnsi="Palatino Linotype" w:cs="Arial"/>
          <w:sz w:val="24"/>
          <w:szCs w:val="24"/>
        </w:rPr>
        <w:t>, y por otro lado la materia sobre la que versara el recurso de</w:t>
      </w:r>
      <w:r>
        <w:rPr>
          <w:rFonts w:ascii="Palatino Linotype" w:hAnsi="Palatino Linotype" w:cs="Arial"/>
          <w:sz w:val="24"/>
          <w:szCs w:val="24"/>
        </w:rPr>
        <w:t xml:space="preserve"> </w:t>
      </w:r>
      <w:r w:rsidRPr="00552846">
        <w:rPr>
          <w:rFonts w:ascii="Palatino Linotype" w:hAnsi="Palatino Linotype" w:cs="Arial"/>
          <w:sz w:val="24"/>
          <w:szCs w:val="24"/>
        </w:rPr>
        <w:t>revisión ante este Órgano Garante; se resalta la innegable necesidad de</w:t>
      </w:r>
      <w:r>
        <w:rPr>
          <w:rFonts w:ascii="Palatino Linotype" w:hAnsi="Palatino Linotype" w:cs="Arial"/>
          <w:sz w:val="24"/>
          <w:szCs w:val="24"/>
        </w:rPr>
        <w:t xml:space="preserve"> </w:t>
      </w:r>
      <w:r w:rsidRPr="00552846">
        <w:rPr>
          <w:rFonts w:ascii="Palatino Linotype" w:hAnsi="Palatino Linotype" w:cs="Arial"/>
          <w:sz w:val="24"/>
          <w:szCs w:val="24"/>
        </w:rPr>
        <w:t>interpretar el texto de las solicitud, porque no se podría entender el derecho de</w:t>
      </w:r>
      <w:r>
        <w:rPr>
          <w:rFonts w:ascii="Palatino Linotype" w:hAnsi="Palatino Linotype" w:cs="Arial"/>
          <w:sz w:val="24"/>
          <w:szCs w:val="24"/>
        </w:rPr>
        <w:t xml:space="preserve"> </w:t>
      </w:r>
      <w:r w:rsidRPr="00552846">
        <w:rPr>
          <w:rFonts w:ascii="Palatino Linotype" w:hAnsi="Palatino Linotype" w:cs="Arial"/>
          <w:sz w:val="24"/>
          <w:szCs w:val="24"/>
        </w:rPr>
        <w:t>acceso a la información sin la existencia de solicitudes de información a la luz de</w:t>
      </w:r>
      <w:r>
        <w:rPr>
          <w:rFonts w:ascii="Palatino Linotype" w:hAnsi="Palatino Linotype" w:cs="Arial"/>
          <w:sz w:val="24"/>
          <w:szCs w:val="24"/>
        </w:rPr>
        <w:t xml:space="preserve"> </w:t>
      </w:r>
      <w:r w:rsidRPr="00552846">
        <w:rPr>
          <w:rFonts w:ascii="Palatino Linotype" w:hAnsi="Palatino Linotype" w:cs="Arial"/>
          <w:sz w:val="24"/>
          <w:szCs w:val="24"/>
        </w:rPr>
        <w:t xml:space="preserve">su interpretación ya que ésta es la </w:t>
      </w:r>
      <w:r w:rsidRPr="00552846">
        <w:rPr>
          <w:rFonts w:ascii="Palatino Linotype" w:hAnsi="Palatino Linotype" w:cs="Arial"/>
          <w:sz w:val="24"/>
          <w:szCs w:val="24"/>
        </w:rPr>
        <w:lastRenderedPageBreak/>
        <w:t>fuente de la materia objeto de la transparencia</w:t>
      </w:r>
      <w:r>
        <w:rPr>
          <w:rFonts w:ascii="Palatino Linotype" w:hAnsi="Palatino Linotype" w:cs="Arial"/>
          <w:sz w:val="24"/>
          <w:szCs w:val="24"/>
        </w:rPr>
        <w:t xml:space="preserve"> </w:t>
      </w:r>
      <w:r w:rsidRPr="00552846">
        <w:rPr>
          <w:rFonts w:ascii="Palatino Linotype" w:hAnsi="Palatino Linotype" w:cs="Arial"/>
          <w:sz w:val="24"/>
          <w:szCs w:val="24"/>
        </w:rPr>
        <w:t>específica en cada recurso de revisión; es decir, no podemos establecer una</w:t>
      </w:r>
      <w:r>
        <w:rPr>
          <w:rFonts w:ascii="Palatino Linotype" w:hAnsi="Palatino Linotype" w:cs="Arial"/>
          <w:sz w:val="24"/>
          <w:szCs w:val="24"/>
        </w:rPr>
        <w:t xml:space="preserve"> </w:t>
      </w:r>
      <w:r w:rsidRPr="00552846">
        <w:rPr>
          <w:rFonts w:ascii="Palatino Linotype" w:hAnsi="Palatino Linotype" w:cs="Arial"/>
          <w:sz w:val="24"/>
          <w:szCs w:val="24"/>
        </w:rPr>
        <w:t>materia o un tema como objeto de derecho de acceso a la información, si de la</w:t>
      </w:r>
      <w:r>
        <w:rPr>
          <w:rFonts w:ascii="Palatino Linotype" w:hAnsi="Palatino Linotype" w:cs="Arial"/>
          <w:sz w:val="24"/>
          <w:szCs w:val="24"/>
        </w:rPr>
        <w:t xml:space="preserve"> </w:t>
      </w:r>
      <w:r w:rsidRPr="00552846">
        <w:rPr>
          <w:rFonts w:ascii="Palatino Linotype" w:hAnsi="Palatino Linotype" w:cs="Arial"/>
          <w:sz w:val="24"/>
          <w:szCs w:val="24"/>
        </w:rPr>
        <w:t>solicitud no se entiende o no se precisan temas o materias objetivas; por ello es</w:t>
      </w:r>
      <w:r>
        <w:rPr>
          <w:rFonts w:ascii="Palatino Linotype" w:hAnsi="Palatino Linotype" w:cs="Arial"/>
          <w:sz w:val="24"/>
          <w:szCs w:val="24"/>
        </w:rPr>
        <w:t xml:space="preserve"> </w:t>
      </w:r>
      <w:r w:rsidRPr="00552846">
        <w:rPr>
          <w:rFonts w:ascii="Palatino Linotype" w:hAnsi="Palatino Linotype" w:cs="Arial"/>
          <w:sz w:val="24"/>
          <w:szCs w:val="24"/>
        </w:rPr>
        <w:t>de notoria importancia el trabajo de interpretación que se le dé a las solicitudes de</w:t>
      </w:r>
      <w:r>
        <w:rPr>
          <w:rFonts w:ascii="Palatino Linotype" w:hAnsi="Palatino Linotype" w:cs="Arial"/>
          <w:sz w:val="24"/>
          <w:szCs w:val="24"/>
        </w:rPr>
        <w:t xml:space="preserve"> </w:t>
      </w:r>
      <w:r w:rsidRPr="00552846">
        <w:rPr>
          <w:rFonts w:ascii="Palatino Linotype" w:hAnsi="Palatino Linotype" w:cs="Arial"/>
          <w:sz w:val="24"/>
          <w:szCs w:val="24"/>
        </w:rPr>
        <w:t>información, ya que el sujeto obligado puede considerar una circunstancia en</w:t>
      </w:r>
      <w:r>
        <w:rPr>
          <w:rFonts w:ascii="Palatino Linotype" w:hAnsi="Palatino Linotype" w:cs="Arial"/>
          <w:sz w:val="24"/>
          <w:szCs w:val="24"/>
        </w:rPr>
        <w:t xml:space="preserve"> </w:t>
      </w:r>
      <w:r w:rsidRPr="00552846">
        <w:rPr>
          <w:rFonts w:ascii="Palatino Linotype" w:hAnsi="Palatino Linotype" w:cs="Arial"/>
          <w:sz w:val="24"/>
          <w:szCs w:val="24"/>
        </w:rPr>
        <w:t>particular diversa a la que el particular objetivamente requiere.</w:t>
      </w:r>
    </w:p>
    <w:p w14:paraId="5DBFAD9A" w14:textId="77777777" w:rsidR="006B6913" w:rsidRDefault="006B6913" w:rsidP="006B6913">
      <w:pPr>
        <w:autoSpaceDE w:val="0"/>
        <w:autoSpaceDN w:val="0"/>
        <w:adjustRightInd w:val="0"/>
        <w:spacing w:line="360" w:lineRule="auto"/>
        <w:jc w:val="both"/>
        <w:rPr>
          <w:rFonts w:ascii="Palatino Linotype" w:hAnsi="Palatino Linotype" w:cs="Arial"/>
          <w:sz w:val="24"/>
          <w:szCs w:val="24"/>
        </w:rPr>
      </w:pPr>
      <w:r w:rsidRPr="004B3753">
        <w:rPr>
          <w:rFonts w:ascii="Palatino Linotype" w:hAnsi="Palatino Linotype" w:cs="Arial"/>
          <w:sz w:val="24"/>
          <w:szCs w:val="24"/>
        </w:rPr>
        <w:t xml:space="preserve">Ya que el planteamiento del problema es de toral importancia, a efecto de determinar la intención o voluntad </w:t>
      </w:r>
      <w:r>
        <w:rPr>
          <w:rFonts w:ascii="Palatino Linotype" w:hAnsi="Palatino Linotype" w:cs="Arial"/>
          <w:sz w:val="24"/>
          <w:szCs w:val="24"/>
        </w:rPr>
        <w:t>del</w:t>
      </w:r>
      <w:r>
        <w:rPr>
          <w:rFonts w:ascii="Palatino Linotype" w:hAnsi="Palatino Linotype" w:cs="Arial"/>
          <w:b/>
          <w:sz w:val="24"/>
          <w:szCs w:val="24"/>
        </w:rPr>
        <w:t xml:space="preserve"> </w:t>
      </w:r>
      <w:r w:rsidRPr="004B3753">
        <w:rPr>
          <w:rFonts w:ascii="Palatino Linotype" w:hAnsi="Palatino Linotype" w:cs="Arial"/>
          <w:b/>
          <w:sz w:val="24"/>
          <w:szCs w:val="24"/>
        </w:rPr>
        <w:t>Recurrente</w:t>
      </w:r>
      <w:r w:rsidRPr="004B3753">
        <w:rPr>
          <w:rFonts w:ascii="Palatino Linotype" w:hAnsi="Palatino Linotype" w:cs="Arial"/>
          <w:sz w:val="24"/>
          <w:szCs w:val="24"/>
        </w:rPr>
        <w:t xml:space="preserve"> a la</w:t>
      </w:r>
      <w:r>
        <w:rPr>
          <w:rFonts w:ascii="Palatino Linotype" w:hAnsi="Palatino Linotype" w:cs="Arial"/>
          <w:sz w:val="24"/>
          <w:szCs w:val="24"/>
        </w:rPr>
        <w:t xml:space="preserve"> luz de la interpretación de la solicitud</w:t>
      </w:r>
      <w:r w:rsidRPr="004B3753">
        <w:rPr>
          <w:rFonts w:ascii="Palatino Linotype" w:hAnsi="Palatino Linotype" w:cs="Arial"/>
          <w:sz w:val="24"/>
          <w:szCs w:val="24"/>
        </w:rPr>
        <w:t xml:space="preserve"> de información, y que puede genera</w:t>
      </w:r>
      <w:r>
        <w:rPr>
          <w:rFonts w:ascii="Palatino Linotype" w:hAnsi="Palatino Linotype" w:cs="Arial"/>
          <w:sz w:val="24"/>
          <w:szCs w:val="24"/>
        </w:rPr>
        <w:t xml:space="preserve">r de forma objetiva y material </w:t>
      </w:r>
      <w:r w:rsidRPr="009A18AC">
        <w:rPr>
          <w:rFonts w:ascii="Palatino Linotype" w:hAnsi="Palatino Linotype" w:cs="Arial"/>
          <w:b/>
          <w:sz w:val="24"/>
          <w:szCs w:val="24"/>
        </w:rPr>
        <w:t>El Sujeto Obligado</w:t>
      </w:r>
      <w:r w:rsidRPr="004B3753">
        <w:rPr>
          <w:rFonts w:ascii="Palatino Linotype" w:hAnsi="Palatino Linotype" w:cs="Arial"/>
          <w:sz w:val="24"/>
          <w:szCs w:val="24"/>
        </w:rPr>
        <w:t xml:space="preserve"> que se relacione con esa intención, respecto del presente asunto se realiza a continuación.</w:t>
      </w:r>
    </w:p>
    <w:p w14:paraId="7222FA8A" w14:textId="77777777" w:rsidR="00C61B54" w:rsidRDefault="00C61B54" w:rsidP="00C61B54">
      <w:pPr>
        <w:autoSpaceDE w:val="0"/>
        <w:autoSpaceDN w:val="0"/>
        <w:adjustRightInd w:val="0"/>
        <w:spacing w:before="240" w:line="360" w:lineRule="auto"/>
        <w:jc w:val="both"/>
        <w:rPr>
          <w:rFonts w:ascii="Palatino Linotype" w:hAnsi="Palatino Linotype" w:cs="Arial"/>
          <w:sz w:val="24"/>
          <w:szCs w:val="24"/>
        </w:rPr>
      </w:pPr>
      <w:r w:rsidRPr="008028E9">
        <w:rPr>
          <w:rFonts w:ascii="Palatino Linotype" w:hAnsi="Palatino Linotype" w:cs="Arial"/>
          <w:sz w:val="24"/>
          <w:szCs w:val="24"/>
        </w:rPr>
        <w:t>En una aproximación inicial</w:t>
      </w:r>
      <w:r>
        <w:rPr>
          <w:rFonts w:ascii="Palatino Linotype" w:hAnsi="Palatino Linotype" w:cs="Arial"/>
          <w:sz w:val="24"/>
          <w:szCs w:val="24"/>
        </w:rPr>
        <w:t xml:space="preserve">, con relación a la solicitud de información se desprenden las siguientes consideraciones: </w:t>
      </w:r>
    </w:p>
    <w:p w14:paraId="42F264E9" w14:textId="77777777" w:rsidR="00C61B54" w:rsidRPr="00690743" w:rsidRDefault="00C61B54" w:rsidP="00C61B54">
      <w:pPr>
        <w:pStyle w:val="Prrafodelista"/>
        <w:numPr>
          <w:ilvl w:val="0"/>
          <w:numId w:val="39"/>
        </w:numPr>
        <w:autoSpaceDE w:val="0"/>
        <w:autoSpaceDN w:val="0"/>
        <w:adjustRightInd w:val="0"/>
        <w:spacing w:line="360" w:lineRule="auto"/>
        <w:jc w:val="both"/>
        <w:rPr>
          <w:rFonts w:ascii="Palatino Linotype" w:hAnsi="Palatino Linotype" w:cs="Arial"/>
        </w:rPr>
      </w:pPr>
      <w:r>
        <w:rPr>
          <w:rFonts w:ascii="Palatino Linotype" w:hAnsi="Palatino Linotype" w:cs="Arial"/>
        </w:rPr>
        <w:t xml:space="preserve">Que el derecho de acceso a la información pública estriba en la prerrogativa de carácter constitucional que reconoce la potestad de los ciudadanos para solicitar soportes documentales generados, poseídos o administrados por los </w:t>
      </w:r>
      <w:r>
        <w:rPr>
          <w:rFonts w:ascii="Palatino Linotype" w:hAnsi="Palatino Linotype" w:cs="Arial"/>
          <w:b/>
          <w:bCs/>
        </w:rPr>
        <w:t>Sujetos Obligados.</w:t>
      </w:r>
    </w:p>
    <w:p w14:paraId="0F86C08B" w14:textId="1DD5D25F" w:rsidR="00D53559" w:rsidRPr="00D53559" w:rsidRDefault="00C61B54" w:rsidP="00C61B54">
      <w:pPr>
        <w:pStyle w:val="Prrafodelista"/>
        <w:numPr>
          <w:ilvl w:val="0"/>
          <w:numId w:val="40"/>
        </w:numPr>
        <w:spacing w:before="240" w:line="360" w:lineRule="auto"/>
        <w:jc w:val="both"/>
        <w:rPr>
          <w:rFonts w:ascii="Palatino Linotype" w:hAnsi="Palatino Linotype"/>
          <w:i/>
          <w:iCs/>
        </w:rPr>
      </w:pPr>
      <w:r>
        <w:rPr>
          <w:rFonts w:ascii="Palatino Linotype" w:hAnsi="Palatino Linotype" w:cs="Arial"/>
        </w:rPr>
        <w:t xml:space="preserve">Que fueron formulados </w:t>
      </w:r>
      <w:r>
        <w:rPr>
          <w:rFonts w:ascii="Palatino Linotype" w:hAnsi="Palatino Linotype" w:cs="Arial"/>
          <w:b/>
          <w:bCs/>
        </w:rPr>
        <w:t xml:space="preserve">4 -cuatro- </w:t>
      </w:r>
      <w:r>
        <w:rPr>
          <w:rFonts w:ascii="Palatino Linotype" w:hAnsi="Palatino Linotype" w:cs="Arial"/>
        </w:rPr>
        <w:t xml:space="preserve">requerimientos respecto </w:t>
      </w:r>
      <w:r w:rsidR="00F346C8">
        <w:rPr>
          <w:rFonts w:ascii="Palatino Linotype" w:hAnsi="Palatino Linotype" w:cs="Arial"/>
        </w:rPr>
        <w:t>de “</w:t>
      </w:r>
      <w:r w:rsidR="00F346C8" w:rsidRPr="00F346C8">
        <w:rPr>
          <w:rFonts w:ascii="Palatino Linotype" w:hAnsi="Palatino Linotype"/>
          <w:i/>
          <w:iCs/>
          <w:color w:val="000000"/>
        </w:rPr>
        <w:t>TODOS LOS MUNICIPIOS, DIF MUNICIPALES, ORGANISMOS DE AGUA, IMCUFIDE (DIRECCION GENERAL DE CULTURA FISICA Y DEPORTE)</w:t>
      </w:r>
      <w:r w:rsidR="00F346C8">
        <w:rPr>
          <w:rFonts w:ascii="Palatino Linotype" w:hAnsi="Palatino Linotype"/>
          <w:i/>
          <w:iCs/>
          <w:color w:val="000000"/>
        </w:rPr>
        <w:t>”</w:t>
      </w:r>
      <w:r w:rsidR="00D53559">
        <w:rPr>
          <w:rFonts w:ascii="Palatino Linotype" w:hAnsi="Palatino Linotype"/>
          <w:i/>
          <w:iCs/>
          <w:color w:val="000000"/>
        </w:rPr>
        <w:t xml:space="preserve">. </w:t>
      </w:r>
      <w:r w:rsidR="00D53559">
        <w:rPr>
          <w:rFonts w:ascii="Palatino Linotype" w:hAnsi="Palatino Linotype"/>
          <w:color w:val="000000"/>
        </w:rPr>
        <w:t xml:space="preserve">En función de lo planteado y con base en el organigrama, se precisa que el Ayuntamiento de Melchor Ocampo se auxilia del Organismo Público Descentralizado de carácter </w:t>
      </w:r>
      <w:r w:rsidR="00D53559">
        <w:rPr>
          <w:rFonts w:ascii="Palatino Linotype" w:hAnsi="Palatino Linotype"/>
          <w:color w:val="000000"/>
        </w:rPr>
        <w:lastRenderedPageBreak/>
        <w:t xml:space="preserve">municipal denominado Sistema Municipal para el Desarrollo Integral de la Familia de Melchor Ocampo (descentralizado); la Dirección de Agua potable, drenaje y alcantarillado (centralizado); así como la Coordinación de Deporte (centralizado, dependiente de la Dirección de Desarrollo Social).  </w:t>
      </w:r>
    </w:p>
    <w:p w14:paraId="05840EAB" w14:textId="5E8D9181" w:rsidR="00C61B54" w:rsidRPr="00571653" w:rsidRDefault="00F346C8" w:rsidP="00C61B54">
      <w:pPr>
        <w:pStyle w:val="Prrafodelista"/>
        <w:numPr>
          <w:ilvl w:val="0"/>
          <w:numId w:val="40"/>
        </w:numPr>
        <w:spacing w:before="240" w:line="360" w:lineRule="auto"/>
        <w:jc w:val="both"/>
        <w:rPr>
          <w:rFonts w:ascii="Palatino Linotype" w:hAnsi="Palatino Linotype"/>
          <w:i/>
          <w:iCs/>
        </w:rPr>
      </w:pPr>
      <w:r w:rsidRPr="00F346C8">
        <w:rPr>
          <w:rFonts w:ascii="Palatino Linotype" w:hAnsi="Palatino Linotype" w:cs="Arial"/>
          <w:i/>
          <w:iCs/>
        </w:rPr>
        <w:t xml:space="preserve"> </w:t>
      </w:r>
      <w:r w:rsidR="00C61B54" w:rsidRPr="00F346C8">
        <w:rPr>
          <w:rFonts w:ascii="Palatino Linotype" w:hAnsi="Palatino Linotype" w:cs="Arial"/>
          <w:i/>
          <w:iCs/>
        </w:rPr>
        <w:t xml:space="preserve"> </w:t>
      </w:r>
      <w:r w:rsidR="00571653">
        <w:rPr>
          <w:rFonts w:ascii="Palatino Linotype" w:hAnsi="Palatino Linotype" w:cs="Arial"/>
        </w:rPr>
        <w:t xml:space="preserve">Que con relación a los requerimientos </w:t>
      </w:r>
      <w:r w:rsidR="00571653" w:rsidRPr="00571653">
        <w:rPr>
          <w:rFonts w:ascii="Palatino Linotype" w:hAnsi="Palatino Linotype" w:cs="Arial"/>
          <w:i/>
          <w:iCs/>
        </w:rPr>
        <w:t>“</w:t>
      </w:r>
      <w:r w:rsidR="00571653" w:rsidRPr="00571653">
        <w:rPr>
          <w:rFonts w:ascii="Palatino Linotype" w:hAnsi="Palatino Linotype"/>
          <w:i/>
          <w:iCs/>
          <w:color w:val="000000"/>
        </w:rPr>
        <w:t>DIRECTORIO TELEFONICO, DOMICILIO, CORREO ELECTRONICO</w:t>
      </w:r>
      <w:r w:rsidR="00571653">
        <w:rPr>
          <w:rFonts w:ascii="Palatino Linotype" w:hAnsi="Palatino Linotype"/>
          <w:i/>
          <w:iCs/>
          <w:color w:val="000000"/>
        </w:rPr>
        <w:t>”</w:t>
      </w:r>
      <w:r w:rsidR="00571653">
        <w:rPr>
          <w:rFonts w:ascii="Palatino Linotype" w:hAnsi="Palatino Linotype"/>
          <w:color w:val="000000"/>
        </w:rPr>
        <w:t xml:space="preserve"> el particular no fijo parámetros de inicio y conclusión para la búsqueda de la información. Por consiguiente, deben de ser delimitados a la fecha en que se ejerció el derecho de acceso a la información, es decir, al veintinueve de agosto de dos mil veintitrés. </w:t>
      </w:r>
    </w:p>
    <w:p w14:paraId="2E67487A" w14:textId="77777777" w:rsidR="00571653" w:rsidRDefault="00571653" w:rsidP="007518D4">
      <w:pPr>
        <w:autoSpaceDE w:val="0"/>
        <w:autoSpaceDN w:val="0"/>
        <w:adjustRightInd w:val="0"/>
        <w:spacing w:before="240" w:line="360" w:lineRule="auto"/>
        <w:jc w:val="both"/>
        <w:rPr>
          <w:rFonts w:ascii="Palatino Linotype" w:hAnsi="Palatino Linotype"/>
          <w:sz w:val="24"/>
          <w:szCs w:val="24"/>
        </w:rPr>
      </w:pPr>
    </w:p>
    <w:p w14:paraId="15427ECC" w14:textId="7813E5E4" w:rsidR="007518D4" w:rsidRPr="0051062B" w:rsidRDefault="00571653" w:rsidP="007518D4">
      <w:pPr>
        <w:autoSpaceDE w:val="0"/>
        <w:autoSpaceDN w:val="0"/>
        <w:adjustRightInd w:val="0"/>
        <w:spacing w:before="240" w:line="360" w:lineRule="auto"/>
        <w:jc w:val="both"/>
        <w:rPr>
          <w:rFonts w:ascii="Palatino Linotype" w:hAnsi="Palatino Linotype"/>
          <w:sz w:val="24"/>
          <w:szCs w:val="24"/>
        </w:rPr>
      </w:pPr>
      <w:r>
        <w:rPr>
          <w:rFonts w:ascii="Palatino Linotype" w:hAnsi="Palatino Linotype"/>
          <w:sz w:val="24"/>
          <w:szCs w:val="24"/>
        </w:rPr>
        <w:t>Dichas precisiones</w:t>
      </w:r>
      <w:r w:rsidR="007518D4">
        <w:rPr>
          <w:rFonts w:ascii="Palatino Linotype" w:hAnsi="Palatino Linotype"/>
          <w:sz w:val="24"/>
          <w:szCs w:val="24"/>
        </w:rPr>
        <w:t xml:space="preserve">, </w:t>
      </w:r>
      <w:r w:rsidR="007518D4" w:rsidRPr="0051062B">
        <w:rPr>
          <w:rFonts w:ascii="Palatino Linotype" w:hAnsi="Palatino Linotype"/>
          <w:sz w:val="24"/>
          <w:szCs w:val="24"/>
        </w:rPr>
        <w:t xml:space="preserve">con fundamento en los artículos 13 y 181 cuarto párrafo de la Ley en materia, los cuales a la letra rezan: </w:t>
      </w:r>
    </w:p>
    <w:p w14:paraId="33071ADF" w14:textId="77777777" w:rsidR="007518D4" w:rsidRPr="0051062B" w:rsidRDefault="007518D4" w:rsidP="007518D4">
      <w:pPr>
        <w:pStyle w:val="Citas"/>
      </w:pPr>
      <w:r w:rsidRPr="0051062B">
        <w:rPr>
          <w:b/>
          <w:bCs/>
        </w:rPr>
        <w:t xml:space="preserve">“Artículo 13. </w:t>
      </w:r>
      <w:r w:rsidRPr="0051062B">
        <w:t>El Instituto, en el ámbito de sus atribuciones, deberá suplir cualquier deficiencia para garantizar el ejercicio del derecho de acceso a la información.</w:t>
      </w:r>
    </w:p>
    <w:p w14:paraId="329EB0C8" w14:textId="77777777" w:rsidR="007518D4" w:rsidRPr="0051062B" w:rsidRDefault="007518D4" w:rsidP="007518D4">
      <w:pPr>
        <w:pStyle w:val="Citas"/>
        <w:rPr>
          <w:b/>
        </w:rPr>
      </w:pPr>
      <w:r w:rsidRPr="0051062B">
        <w:rPr>
          <w:b/>
        </w:rPr>
        <w:t xml:space="preserve">Artículo 181. … </w:t>
      </w:r>
    </w:p>
    <w:p w14:paraId="0CF0C559" w14:textId="77777777" w:rsidR="007518D4" w:rsidRPr="0051062B" w:rsidRDefault="007518D4" w:rsidP="007518D4">
      <w:pPr>
        <w:pStyle w:val="Citas"/>
        <w:rPr>
          <w:b/>
        </w:rPr>
      </w:pPr>
      <w:r w:rsidRPr="0051062B">
        <w:t xml:space="preserve">Durante el procedimiento deberá aplicarse la suplencia de la queja a favor del recurrente, sin cambiar los hechos expuestos, asegurándose de que las partes puedan presentar, de manera oral o escrita, los argumentos que funden y motiven sus pretensiones.” </w:t>
      </w:r>
      <w:r w:rsidRPr="0051062B">
        <w:rPr>
          <w:b/>
        </w:rPr>
        <w:t>[Sic]</w:t>
      </w:r>
    </w:p>
    <w:p w14:paraId="0BCF8EE6" w14:textId="77777777" w:rsidR="007518D4" w:rsidRDefault="007518D4" w:rsidP="00B6662B">
      <w:pPr>
        <w:spacing w:before="240" w:line="360" w:lineRule="auto"/>
        <w:jc w:val="both"/>
        <w:rPr>
          <w:rFonts w:ascii="Palatino Linotype" w:hAnsi="Palatino Linotype"/>
          <w:sz w:val="24"/>
          <w:szCs w:val="24"/>
        </w:rPr>
      </w:pPr>
    </w:p>
    <w:p w14:paraId="02642968" w14:textId="77777777" w:rsidR="007518D4" w:rsidRDefault="007518D4" w:rsidP="007518D4">
      <w:pPr>
        <w:tabs>
          <w:tab w:val="left" w:pos="709"/>
        </w:tabs>
        <w:spacing w:before="240" w:line="360" w:lineRule="auto"/>
        <w:ind w:right="51"/>
        <w:jc w:val="both"/>
        <w:rPr>
          <w:rFonts w:ascii="Palatino Linotype" w:hAnsi="Palatino Linotype"/>
          <w:sz w:val="24"/>
          <w:szCs w:val="24"/>
        </w:rPr>
      </w:pPr>
      <w:bookmarkStart w:id="1" w:name="_Hlk156914941"/>
      <w:r>
        <w:rPr>
          <w:rFonts w:ascii="Palatino Linotype" w:hAnsi="Palatino Linotype"/>
          <w:sz w:val="24"/>
          <w:szCs w:val="24"/>
        </w:rPr>
        <w:lastRenderedPageBreak/>
        <w:t xml:space="preserve">Bajo estas líneas argumentativas, al retomar y delimitar los requerimientos formulados por el ahora </w:t>
      </w:r>
      <w:r>
        <w:rPr>
          <w:rFonts w:ascii="Palatino Linotype" w:hAnsi="Palatino Linotype"/>
          <w:b/>
          <w:sz w:val="24"/>
          <w:szCs w:val="24"/>
        </w:rPr>
        <w:t xml:space="preserve">Recurrente, </w:t>
      </w:r>
      <w:r>
        <w:rPr>
          <w:rFonts w:ascii="Palatino Linotype" w:hAnsi="Palatino Linotype"/>
          <w:sz w:val="24"/>
          <w:szCs w:val="24"/>
        </w:rPr>
        <w:t>de manera objetiva se precisa que versa en conocer, la siguiente información:</w:t>
      </w:r>
    </w:p>
    <w:p w14:paraId="699957E7" w14:textId="0AE4353B" w:rsidR="00571653" w:rsidRDefault="00571653" w:rsidP="007518D4">
      <w:pPr>
        <w:pStyle w:val="Prrafodelista"/>
        <w:numPr>
          <w:ilvl w:val="0"/>
          <w:numId w:val="24"/>
        </w:numPr>
        <w:spacing w:before="240" w:line="360" w:lineRule="auto"/>
        <w:jc w:val="both"/>
        <w:rPr>
          <w:rFonts w:ascii="Palatino Linotype" w:hAnsi="Palatino Linotype" w:cs="Arial"/>
        </w:rPr>
      </w:pPr>
      <w:r>
        <w:rPr>
          <w:rFonts w:ascii="Palatino Linotype" w:hAnsi="Palatino Linotype" w:cs="Arial"/>
        </w:rPr>
        <w:t xml:space="preserve">Directorio telefónico del Ayuntamiento de Melchor Ocampo, al veintinueve de agosto de dos mil veintitrés. </w:t>
      </w:r>
    </w:p>
    <w:p w14:paraId="39DE6385" w14:textId="68509A96" w:rsidR="00571653" w:rsidRPr="00571653" w:rsidRDefault="00571653" w:rsidP="007518D4">
      <w:pPr>
        <w:pStyle w:val="Prrafodelista"/>
        <w:numPr>
          <w:ilvl w:val="0"/>
          <w:numId w:val="24"/>
        </w:numPr>
        <w:spacing w:before="240" w:line="360" w:lineRule="auto"/>
        <w:jc w:val="both"/>
        <w:rPr>
          <w:rFonts w:ascii="Palatino Linotype" w:hAnsi="Palatino Linotype" w:cs="Arial"/>
        </w:rPr>
      </w:pPr>
      <w:r>
        <w:rPr>
          <w:rFonts w:ascii="Palatino Linotype" w:hAnsi="Palatino Linotype" w:cs="Arial"/>
        </w:rPr>
        <w:t xml:space="preserve">Directorio telefónico del </w:t>
      </w:r>
      <w:r>
        <w:rPr>
          <w:rFonts w:ascii="Palatino Linotype" w:hAnsi="Palatino Linotype"/>
          <w:color w:val="000000"/>
        </w:rPr>
        <w:t>Sistema Municipal para el Desarrollo Integral de la Familia de Melchor Ocampo, al veintinueve de agosto de dos mil veintitrés.</w:t>
      </w:r>
    </w:p>
    <w:p w14:paraId="051FB405" w14:textId="7273CB9D" w:rsidR="00571653" w:rsidRDefault="00571653" w:rsidP="007518D4">
      <w:pPr>
        <w:pStyle w:val="Prrafodelista"/>
        <w:numPr>
          <w:ilvl w:val="0"/>
          <w:numId w:val="24"/>
        </w:numPr>
        <w:spacing w:before="240" w:line="360" w:lineRule="auto"/>
        <w:jc w:val="both"/>
        <w:rPr>
          <w:rFonts w:ascii="Palatino Linotype" w:hAnsi="Palatino Linotype" w:cs="Arial"/>
        </w:rPr>
      </w:pPr>
      <w:r>
        <w:rPr>
          <w:rFonts w:ascii="Palatino Linotype" w:hAnsi="Palatino Linotype"/>
          <w:color w:val="000000"/>
        </w:rPr>
        <w:t xml:space="preserve">El o los documentos donde conste el domicilio y correos electrónicos del Ayuntamiento de Melchor Ocampo, así como del Sistema Municipal para el Desarrollo Integral de la Familia de Melchor Ocampo, al veintinueve de agosto de dos mil veintitrés. </w:t>
      </w:r>
    </w:p>
    <w:p w14:paraId="57BAA11E" w14:textId="67C9F76C" w:rsidR="007518D4" w:rsidRPr="007518D4" w:rsidRDefault="00745229" w:rsidP="007518D4">
      <w:pPr>
        <w:pStyle w:val="Prrafodelista"/>
        <w:numPr>
          <w:ilvl w:val="0"/>
          <w:numId w:val="24"/>
        </w:numPr>
        <w:spacing w:before="240" w:line="360" w:lineRule="auto"/>
        <w:jc w:val="both"/>
        <w:rPr>
          <w:rFonts w:ascii="Palatino Linotype" w:hAnsi="Palatino Linotype" w:cs="Arial"/>
        </w:rPr>
      </w:pPr>
      <w:r>
        <w:rPr>
          <w:rFonts w:ascii="Palatino Linotype" w:hAnsi="Palatino Linotype" w:cs="Arial"/>
        </w:rPr>
        <w:t xml:space="preserve">El o los documentos donde conste el presupuesto de egresos del </w:t>
      </w:r>
      <w:r>
        <w:rPr>
          <w:rFonts w:ascii="Palatino Linotype" w:hAnsi="Palatino Linotype"/>
          <w:color w:val="000000"/>
        </w:rPr>
        <w:t>Ayuntamiento de Melchor Ocampo, así como del Sistema Municipal para el Desarrollo Integral de la Familia de Melchor Ocampo, correspondiente</w:t>
      </w:r>
      <w:r w:rsidR="00CE5056">
        <w:rPr>
          <w:rFonts w:ascii="Palatino Linotype" w:hAnsi="Palatino Linotype"/>
          <w:color w:val="000000"/>
        </w:rPr>
        <w:t>s</w:t>
      </w:r>
      <w:r>
        <w:rPr>
          <w:rFonts w:ascii="Palatino Linotype" w:hAnsi="Palatino Linotype"/>
          <w:color w:val="000000"/>
        </w:rPr>
        <w:t xml:space="preserve"> al ejercicio dos mil diecinueve. </w:t>
      </w:r>
    </w:p>
    <w:bookmarkEnd w:id="1"/>
    <w:p w14:paraId="4BF62FC7" w14:textId="77777777" w:rsidR="00301981" w:rsidRDefault="00301981" w:rsidP="00F448AA">
      <w:pPr>
        <w:pStyle w:val="Citas"/>
        <w:ind w:left="0" w:right="0"/>
        <w:rPr>
          <w:i w:val="0"/>
          <w:sz w:val="24"/>
          <w:szCs w:val="24"/>
        </w:rPr>
      </w:pPr>
    </w:p>
    <w:p w14:paraId="35298C7E" w14:textId="569117B8" w:rsidR="00C62189" w:rsidRDefault="00C62189" w:rsidP="00716F27">
      <w:pPr>
        <w:spacing w:after="0" w:line="360" w:lineRule="auto"/>
        <w:jc w:val="both"/>
        <w:rPr>
          <w:rFonts w:ascii="Palatino Linotype" w:hAnsi="Palatino Linotype"/>
          <w:b/>
          <w:bCs/>
          <w:sz w:val="24"/>
          <w:szCs w:val="24"/>
        </w:rPr>
      </w:pPr>
      <w:r>
        <w:rPr>
          <w:rFonts w:ascii="Palatino Linotype" w:hAnsi="Palatino Linotype"/>
          <w:sz w:val="24"/>
          <w:szCs w:val="24"/>
        </w:rPr>
        <w:t xml:space="preserve">Bajo este contexto, a efecto de identificar las unidades administrativas competentes se traen a colación las siguientes imágenes ilustrativas, correspondientes al organigrama del </w:t>
      </w:r>
      <w:r>
        <w:rPr>
          <w:rFonts w:ascii="Palatino Linotype" w:hAnsi="Palatino Linotype"/>
          <w:b/>
          <w:bCs/>
          <w:sz w:val="24"/>
          <w:szCs w:val="24"/>
        </w:rPr>
        <w:t xml:space="preserve">Sujeto Obligado: </w:t>
      </w:r>
    </w:p>
    <w:p w14:paraId="2C4A69C0" w14:textId="10E78BE0" w:rsidR="00C62189" w:rsidRDefault="00C62189" w:rsidP="00716F27">
      <w:pPr>
        <w:spacing w:after="0" w:line="360" w:lineRule="auto"/>
        <w:jc w:val="both"/>
        <w:rPr>
          <w:rFonts w:ascii="Palatino Linotype" w:hAnsi="Palatino Linotype"/>
          <w:b/>
          <w:bCs/>
          <w:sz w:val="24"/>
          <w:szCs w:val="24"/>
        </w:rPr>
      </w:pPr>
    </w:p>
    <w:p w14:paraId="12202DE7" w14:textId="2401E8EA" w:rsidR="00745229" w:rsidRDefault="006B6913" w:rsidP="002F5BD7">
      <w:pPr>
        <w:pStyle w:val="Citas"/>
        <w:ind w:left="0" w:right="0"/>
        <w:rPr>
          <w:i w:val="0"/>
          <w:noProof/>
          <w:sz w:val="24"/>
          <w:szCs w:val="24"/>
        </w:rPr>
      </w:pPr>
      <w:r>
        <w:rPr>
          <w:i w:val="0"/>
          <w:noProof/>
          <w:sz w:val="24"/>
          <w:szCs w:val="24"/>
          <w:lang w:eastAsia="es-MX"/>
        </w:rPr>
        <w:lastRenderedPageBreak/>
        <w:drawing>
          <wp:anchor distT="0" distB="0" distL="114300" distR="114300" simplePos="0" relativeHeight="251667456" behindDoc="0" locked="0" layoutInCell="1" allowOverlap="1" wp14:anchorId="07F5B69D" wp14:editId="29119CB8">
            <wp:simplePos x="0" y="0"/>
            <wp:positionH relativeFrom="margin">
              <wp:align>right</wp:align>
            </wp:positionH>
            <wp:positionV relativeFrom="paragraph">
              <wp:posOffset>19194</wp:posOffset>
            </wp:positionV>
            <wp:extent cx="5760720" cy="6329680"/>
            <wp:effectExtent l="19050" t="19050" r="11430" b="13970"/>
            <wp:wrapThrough wrapText="bothSides">
              <wp:wrapPolygon edited="0">
                <wp:start x="-71" y="-65"/>
                <wp:lineTo x="-71" y="21583"/>
                <wp:lineTo x="21571" y="21583"/>
                <wp:lineTo x="21571" y="-65"/>
                <wp:lineTo x="-71" y="-65"/>
              </wp:wrapPolygon>
            </wp:wrapThrough>
            <wp:docPr id="73446952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60720" cy="63296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i w:val="0"/>
          <w:noProof/>
          <w:sz w:val="24"/>
          <w:szCs w:val="24"/>
          <w:lang w:eastAsia="es-MX"/>
        </w:rPr>
        <w:drawing>
          <wp:anchor distT="0" distB="0" distL="114300" distR="114300" simplePos="0" relativeHeight="251670528" behindDoc="0" locked="0" layoutInCell="1" allowOverlap="1" wp14:anchorId="24F0ED62" wp14:editId="04ACF378">
            <wp:simplePos x="0" y="0"/>
            <wp:positionH relativeFrom="column">
              <wp:posOffset>3662045</wp:posOffset>
            </wp:positionH>
            <wp:positionV relativeFrom="paragraph">
              <wp:posOffset>6654165</wp:posOffset>
            </wp:positionV>
            <wp:extent cx="2162810" cy="818515"/>
            <wp:effectExtent l="19050" t="19050" r="27940" b="19685"/>
            <wp:wrapThrough wrapText="bothSides">
              <wp:wrapPolygon edited="0">
                <wp:start x="-190" y="-503"/>
                <wp:lineTo x="-190" y="21617"/>
                <wp:lineTo x="21689" y="21617"/>
                <wp:lineTo x="21689" y="-503"/>
                <wp:lineTo x="-190" y="-503"/>
              </wp:wrapPolygon>
            </wp:wrapThrough>
            <wp:docPr id="2607569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62810" cy="8185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i w:val="0"/>
          <w:noProof/>
          <w:sz w:val="24"/>
          <w:szCs w:val="24"/>
          <w:lang w:eastAsia="es-MX"/>
        </w:rPr>
        <w:drawing>
          <wp:anchor distT="0" distB="0" distL="114300" distR="114300" simplePos="0" relativeHeight="251669504" behindDoc="0" locked="0" layoutInCell="1" allowOverlap="1" wp14:anchorId="1BD745FD" wp14:editId="30854B77">
            <wp:simplePos x="0" y="0"/>
            <wp:positionH relativeFrom="margin">
              <wp:posOffset>1861185</wp:posOffset>
            </wp:positionH>
            <wp:positionV relativeFrom="paragraph">
              <wp:posOffset>6654165</wp:posOffset>
            </wp:positionV>
            <wp:extent cx="1537970" cy="818515"/>
            <wp:effectExtent l="19050" t="19050" r="24130" b="19685"/>
            <wp:wrapThrough wrapText="bothSides">
              <wp:wrapPolygon edited="0">
                <wp:start x="-268" y="-503"/>
                <wp:lineTo x="-268" y="21617"/>
                <wp:lineTo x="21671" y="21617"/>
                <wp:lineTo x="21671" y="-503"/>
                <wp:lineTo x="-268" y="-503"/>
              </wp:wrapPolygon>
            </wp:wrapThrough>
            <wp:docPr id="17541485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537970" cy="81851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Pr>
          <w:i w:val="0"/>
          <w:noProof/>
          <w:sz w:val="24"/>
          <w:szCs w:val="24"/>
          <w:lang w:eastAsia="es-MX"/>
        </w:rPr>
        <w:drawing>
          <wp:anchor distT="0" distB="0" distL="114300" distR="114300" simplePos="0" relativeHeight="251668480" behindDoc="0" locked="0" layoutInCell="1" allowOverlap="1" wp14:anchorId="7D49BC1C" wp14:editId="5C749218">
            <wp:simplePos x="0" y="0"/>
            <wp:positionH relativeFrom="margin">
              <wp:posOffset>19050</wp:posOffset>
            </wp:positionH>
            <wp:positionV relativeFrom="paragraph">
              <wp:posOffset>6654309</wp:posOffset>
            </wp:positionV>
            <wp:extent cx="1537970" cy="825500"/>
            <wp:effectExtent l="19050" t="19050" r="24130" b="12700"/>
            <wp:wrapThrough wrapText="bothSides">
              <wp:wrapPolygon edited="0">
                <wp:start x="-268" y="-498"/>
                <wp:lineTo x="-268" y="21434"/>
                <wp:lineTo x="21671" y="21434"/>
                <wp:lineTo x="21671" y="-498"/>
                <wp:lineTo x="-268" y="-498"/>
              </wp:wrapPolygon>
            </wp:wrapThrough>
            <wp:docPr id="12851392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537970" cy="8255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7FC1F340" w14:textId="08334FB5" w:rsidR="00494DB7" w:rsidRDefault="002429D6" w:rsidP="002429D6">
      <w:pPr>
        <w:spacing w:line="360" w:lineRule="auto"/>
        <w:jc w:val="both"/>
        <w:rPr>
          <w:rFonts w:ascii="Palatino Linotype" w:hAnsi="Palatino Linotype" w:cs="Arial"/>
          <w:sz w:val="24"/>
          <w:szCs w:val="24"/>
        </w:rPr>
      </w:pPr>
      <w:r w:rsidRPr="008D595F">
        <w:rPr>
          <w:rFonts w:ascii="Palatino Linotype" w:hAnsi="Palatino Linotype" w:cs="Arial"/>
          <w:sz w:val="24"/>
          <w:szCs w:val="24"/>
        </w:rPr>
        <w:lastRenderedPageBreak/>
        <w:t xml:space="preserve">De lo expuesto con anterioridad, se desprende que </w:t>
      </w:r>
      <w:r w:rsidRPr="008D595F">
        <w:rPr>
          <w:rFonts w:ascii="Palatino Linotype" w:hAnsi="Palatino Linotype" w:cs="Arial"/>
          <w:b/>
          <w:sz w:val="24"/>
          <w:szCs w:val="24"/>
        </w:rPr>
        <w:t xml:space="preserve">El Sujeto Obligado </w:t>
      </w:r>
      <w:r w:rsidRPr="008D595F">
        <w:rPr>
          <w:rFonts w:ascii="Palatino Linotype" w:hAnsi="Palatino Linotype" w:cs="Arial"/>
          <w:sz w:val="24"/>
          <w:szCs w:val="24"/>
        </w:rPr>
        <w:t xml:space="preserve">se auxilia de diversas Direcciones, Subdirecciones, Departamentos y Unidades Administrativas para cumplir con sus fines y objetivos, resultando de nuestro más amplio interés </w:t>
      </w:r>
      <w:r w:rsidR="00494DB7">
        <w:rPr>
          <w:rFonts w:ascii="Palatino Linotype" w:hAnsi="Palatino Linotype" w:cs="Arial"/>
          <w:sz w:val="24"/>
          <w:szCs w:val="24"/>
        </w:rPr>
        <w:t xml:space="preserve">la Tesorería municipal, la dirección de administración, así como el sistema municipal DIF de Melchor Ocampo. </w:t>
      </w:r>
    </w:p>
    <w:p w14:paraId="266F809B" w14:textId="4DF1164E" w:rsidR="00494DB7" w:rsidRDefault="002429D6" w:rsidP="00F91637">
      <w:pPr>
        <w:spacing w:line="360" w:lineRule="auto"/>
        <w:jc w:val="both"/>
        <w:rPr>
          <w:rFonts w:ascii="Palatino Linotype" w:hAnsi="Palatino Linotype"/>
          <w:iCs/>
          <w:noProof/>
          <w:sz w:val="24"/>
          <w:szCs w:val="24"/>
        </w:rPr>
      </w:pPr>
      <w:r>
        <w:rPr>
          <w:rFonts w:ascii="Palatino Linotype" w:hAnsi="Palatino Linotype" w:cs="Arial"/>
          <w:sz w:val="24"/>
          <w:szCs w:val="24"/>
        </w:rPr>
        <w:t xml:space="preserve">En virtud </w:t>
      </w:r>
      <w:r w:rsidRPr="002429D6">
        <w:rPr>
          <w:rFonts w:ascii="Palatino Linotype" w:hAnsi="Palatino Linotype" w:cs="Arial"/>
          <w:sz w:val="24"/>
          <w:szCs w:val="24"/>
        </w:rPr>
        <w:t>de lo anterior, para delimitar las fronteras competenciales de la</w:t>
      </w:r>
      <w:r w:rsidR="000B115B">
        <w:rPr>
          <w:rFonts w:ascii="Palatino Linotype" w:hAnsi="Palatino Linotype" w:cs="Arial"/>
          <w:sz w:val="24"/>
          <w:szCs w:val="24"/>
        </w:rPr>
        <w:t>s</w:t>
      </w:r>
      <w:r w:rsidRPr="002429D6">
        <w:rPr>
          <w:rFonts w:ascii="Palatino Linotype" w:hAnsi="Palatino Linotype" w:cs="Arial"/>
          <w:sz w:val="24"/>
          <w:szCs w:val="24"/>
        </w:rPr>
        <w:t xml:space="preserve"> unidad</w:t>
      </w:r>
      <w:r w:rsidR="000B115B">
        <w:rPr>
          <w:rFonts w:ascii="Palatino Linotype" w:hAnsi="Palatino Linotype" w:cs="Arial"/>
          <w:sz w:val="24"/>
          <w:szCs w:val="24"/>
        </w:rPr>
        <w:t>es</w:t>
      </w:r>
      <w:r w:rsidRPr="002429D6">
        <w:rPr>
          <w:rFonts w:ascii="Palatino Linotype" w:hAnsi="Palatino Linotype" w:cs="Arial"/>
          <w:sz w:val="24"/>
          <w:szCs w:val="24"/>
        </w:rPr>
        <w:t xml:space="preserve"> administrativa</w:t>
      </w:r>
      <w:r w:rsidR="000B115B">
        <w:rPr>
          <w:rFonts w:ascii="Palatino Linotype" w:hAnsi="Palatino Linotype" w:cs="Arial"/>
          <w:sz w:val="24"/>
          <w:szCs w:val="24"/>
        </w:rPr>
        <w:t>s</w:t>
      </w:r>
      <w:r w:rsidRPr="002429D6">
        <w:rPr>
          <w:rFonts w:ascii="Palatino Linotype" w:hAnsi="Palatino Linotype" w:cs="Arial"/>
          <w:sz w:val="24"/>
          <w:szCs w:val="24"/>
        </w:rPr>
        <w:t xml:space="preserve"> en cita, </w:t>
      </w:r>
      <w:r w:rsidRPr="002429D6">
        <w:rPr>
          <w:rFonts w:ascii="Palatino Linotype" w:hAnsi="Palatino Linotype"/>
          <w:iCs/>
          <w:noProof/>
          <w:sz w:val="24"/>
          <w:szCs w:val="24"/>
        </w:rPr>
        <w:t>resulta oportuno traer a colación</w:t>
      </w:r>
      <w:r w:rsidR="00494DB7">
        <w:rPr>
          <w:rFonts w:ascii="Palatino Linotype" w:hAnsi="Palatino Linotype"/>
          <w:iCs/>
          <w:noProof/>
          <w:sz w:val="24"/>
          <w:szCs w:val="24"/>
        </w:rPr>
        <w:t xml:space="preserve"> </w:t>
      </w:r>
      <w:r w:rsidR="00F7045B">
        <w:rPr>
          <w:rFonts w:ascii="Palatino Linotype" w:hAnsi="Palatino Linotype"/>
          <w:iCs/>
          <w:noProof/>
          <w:sz w:val="24"/>
          <w:szCs w:val="24"/>
        </w:rPr>
        <w:t>95 de la Ley organica municipal del Estado de México, así como los numerales 33</w:t>
      </w:r>
      <w:r w:rsidR="00B37818">
        <w:rPr>
          <w:rFonts w:ascii="Palatino Linotype" w:hAnsi="Palatino Linotype"/>
          <w:iCs/>
          <w:noProof/>
          <w:sz w:val="24"/>
          <w:szCs w:val="24"/>
        </w:rPr>
        <w:t xml:space="preserve"> </w:t>
      </w:r>
      <w:r w:rsidR="00F7045B">
        <w:rPr>
          <w:rFonts w:ascii="Palatino Linotype" w:hAnsi="Palatino Linotype"/>
          <w:iCs/>
          <w:noProof/>
          <w:sz w:val="24"/>
          <w:szCs w:val="24"/>
        </w:rPr>
        <w:t>y 69 del Bando Municipal de Melchor Ocampo, porciones normativas que disponen a la literalidad lo siguiente:</w:t>
      </w:r>
    </w:p>
    <w:p w14:paraId="3A941478" w14:textId="77777777" w:rsidR="00F7045B" w:rsidRPr="00B37818" w:rsidRDefault="00F7045B" w:rsidP="00F7045B">
      <w:pPr>
        <w:pStyle w:val="Citas"/>
        <w:jc w:val="center"/>
        <w:rPr>
          <w:b/>
          <w:bCs/>
          <w:i w:val="0"/>
          <w:iCs/>
        </w:rPr>
      </w:pPr>
      <w:r w:rsidRPr="00B37818">
        <w:rPr>
          <w:b/>
          <w:bCs/>
          <w:i w:val="0"/>
          <w:iCs/>
        </w:rPr>
        <w:t>LEY ORGÁNICA MUNICIPAL DEL ESTADO DE MÉXICO</w:t>
      </w:r>
    </w:p>
    <w:p w14:paraId="5DE20460" w14:textId="45FF7A38" w:rsidR="00F7045B" w:rsidRDefault="00903A73" w:rsidP="00F7045B">
      <w:pPr>
        <w:pStyle w:val="Citas"/>
      </w:pPr>
      <w:r>
        <w:t>“</w:t>
      </w:r>
      <w:r w:rsidR="00F7045B">
        <w:t>Artículo 95.- Son atribuciones del tesorero municipal:</w:t>
      </w:r>
    </w:p>
    <w:p w14:paraId="42CECD56" w14:textId="77777777" w:rsidR="00F7045B" w:rsidRDefault="00F7045B" w:rsidP="00F7045B">
      <w:pPr>
        <w:pStyle w:val="Citas"/>
      </w:pPr>
      <w:r>
        <w:t>I. Administrar la hacienda pública municipal, de conformidad con las disposiciones legales aplicables;</w:t>
      </w:r>
    </w:p>
    <w:p w14:paraId="12A83CC1" w14:textId="77777777" w:rsidR="00F7045B" w:rsidRPr="007D097F" w:rsidRDefault="00F7045B" w:rsidP="00F7045B">
      <w:pPr>
        <w:pStyle w:val="Citas"/>
        <w:rPr>
          <w:b/>
          <w:bCs/>
          <w:u w:val="single"/>
        </w:rPr>
      </w:pPr>
      <w:r w:rsidRPr="007D097F">
        <w:rPr>
          <w:b/>
          <w:bCs/>
          <w:u w:val="single"/>
        </w:rPr>
        <w:t xml:space="preserve">IV. Llevar los registros contables, financieros y administrativos de los ingresos, egresos, e inventarios; </w:t>
      </w:r>
    </w:p>
    <w:p w14:paraId="5B2F69CA" w14:textId="77777777" w:rsidR="00F7045B" w:rsidRDefault="00F7045B" w:rsidP="00F7045B">
      <w:pPr>
        <w:pStyle w:val="Citas"/>
      </w:pPr>
      <w:r>
        <w:t>V. Proporcionar oportunamente al ayuntamiento todos los datos o informes que sean necesarios para la formulación del Presupuesto de Egresos Municipales, vigilando que se ajuste a las disposiciones de esta Ley y otros ordenamientos aplicables;</w:t>
      </w:r>
    </w:p>
    <w:p w14:paraId="44FA54A2" w14:textId="77777777" w:rsidR="00F7045B" w:rsidRDefault="00F7045B" w:rsidP="00F7045B">
      <w:pPr>
        <w:pStyle w:val="Citas"/>
      </w:pPr>
      <w:r>
        <w:t>XVI. Glosar oportunamente las cuentas del ayuntamiento;</w:t>
      </w:r>
    </w:p>
    <w:p w14:paraId="528D940E" w14:textId="77777777" w:rsidR="00F7045B" w:rsidRPr="00E82C6A" w:rsidRDefault="00F7045B" w:rsidP="00F7045B">
      <w:pPr>
        <w:pStyle w:val="Citas"/>
        <w:rPr>
          <w:b/>
          <w:bCs/>
        </w:rPr>
      </w:pPr>
      <w:r>
        <w:t xml:space="preserve">(…)” </w:t>
      </w:r>
      <w:r>
        <w:rPr>
          <w:b/>
          <w:bCs/>
        </w:rPr>
        <w:t>(Sic)</w:t>
      </w:r>
    </w:p>
    <w:p w14:paraId="4D267609" w14:textId="77777777" w:rsidR="00494DB7" w:rsidRDefault="00494DB7" w:rsidP="00F91637">
      <w:pPr>
        <w:spacing w:line="360" w:lineRule="auto"/>
        <w:jc w:val="both"/>
        <w:rPr>
          <w:rFonts w:ascii="Palatino Linotype" w:hAnsi="Palatino Linotype"/>
          <w:iCs/>
          <w:noProof/>
          <w:sz w:val="24"/>
          <w:szCs w:val="24"/>
        </w:rPr>
      </w:pPr>
    </w:p>
    <w:p w14:paraId="0F808138" w14:textId="3077A304" w:rsidR="00F7045B" w:rsidRPr="00B37818" w:rsidRDefault="00B37818" w:rsidP="00B37818">
      <w:pPr>
        <w:pStyle w:val="Citas"/>
        <w:jc w:val="center"/>
        <w:rPr>
          <w:b/>
          <w:bCs/>
          <w:i w:val="0"/>
          <w:iCs/>
        </w:rPr>
      </w:pPr>
      <w:r w:rsidRPr="00B37818">
        <w:rPr>
          <w:b/>
          <w:bCs/>
          <w:i w:val="0"/>
          <w:iCs/>
        </w:rPr>
        <w:lastRenderedPageBreak/>
        <w:t>BANDO MUNICIPAL DE MELCHOR OCAMPO</w:t>
      </w:r>
    </w:p>
    <w:p w14:paraId="5C7D683E" w14:textId="2AAED4F0" w:rsidR="00F7045B" w:rsidRDefault="00B37818" w:rsidP="00F7045B">
      <w:pPr>
        <w:pStyle w:val="Citas"/>
      </w:pPr>
      <w:r>
        <w:t>“</w:t>
      </w:r>
      <w:r w:rsidR="00F7045B">
        <w:t>Artículo 33.- El H. Ayuntamiento a través del Organismo Público Descentralizado de carácter Municipal denominado Sistema Municipal para el Desarrollo Integral de la Familia de Melchor Ocampo (DIF), en coordinación con el Sistema Estatal, diseñará y ejecutará programas de asistencia social que permitan:</w:t>
      </w:r>
    </w:p>
    <w:p w14:paraId="272904F6" w14:textId="31238EA0" w:rsidR="00F7045B" w:rsidRDefault="00F7045B" w:rsidP="00F7045B">
      <w:pPr>
        <w:pStyle w:val="Citas"/>
      </w:pPr>
      <w:r>
        <w:t>(…)</w:t>
      </w:r>
    </w:p>
    <w:p w14:paraId="5E30799E" w14:textId="29AFA89A" w:rsidR="00F7045B" w:rsidRPr="00B37818" w:rsidRDefault="00F7045B" w:rsidP="00F7045B">
      <w:pPr>
        <w:pStyle w:val="Citas"/>
        <w:rPr>
          <w:b/>
          <w:bCs/>
          <w:iCs/>
          <w:noProof/>
          <w:sz w:val="24"/>
          <w:szCs w:val="24"/>
        </w:rPr>
      </w:pPr>
      <w:r>
        <w:t>Artículo 69. La Dirección de Administración proporcionará los recursos humanos, materiales y servicios, así como el soporte técnico y tecnológico a las diversas dependencias que conforman la Administración Pública Municipal, además asignará a éstas, previa autorización de Presidencia, al personal capacitado que se requiera para el cumplimiento de las atribuciones de cada área, llevando el registro del mismo; atenderá las relaciones laborales en coordinación con la Dirección de Juicios Laborales; realizará el pago de remuneraciones en coordinación con la Tesorería Municipal; establecerá programas de capacitación; llevará a cabo los procedimientos de adquisiciones de bienes y servicios y de manera general cumplirá con sus funciones y ejercerá sus atribuciones conforme a las disposiciones legales que regulen sus actividades. Para el adecuado cumplimiento de sus funciones esta dependencia contará con una Jefatura de Recursos Humanos, la Coordinación de Adquisiciones, la Coordinación de Tecnologías de la Información y Soporte Técnico, así como la Coordinación de Mantenimiento.</w:t>
      </w:r>
      <w:r w:rsidR="00B37818">
        <w:t xml:space="preserve">” </w:t>
      </w:r>
      <w:r w:rsidR="00B37818">
        <w:rPr>
          <w:b/>
          <w:bCs/>
        </w:rPr>
        <w:t>(Sic)</w:t>
      </w:r>
    </w:p>
    <w:p w14:paraId="0B28075A" w14:textId="77777777" w:rsidR="00494DB7" w:rsidRDefault="00494DB7" w:rsidP="00F91637">
      <w:pPr>
        <w:spacing w:line="360" w:lineRule="auto"/>
        <w:jc w:val="both"/>
        <w:rPr>
          <w:rFonts w:ascii="Palatino Linotype" w:hAnsi="Palatino Linotype"/>
          <w:iCs/>
          <w:noProof/>
          <w:sz w:val="24"/>
          <w:szCs w:val="24"/>
        </w:rPr>
      </w:pPr>
    </w:p>
    <w:p w14:paraId="436757AD" w14:textId="549A451C" w:rsidR="00976DFE" w:rsidRDefault="00976DFE" w:rsidP="00976DFE">
      <w:pPr>
        <w:spacing w:line="360" w:lineRule="auto"/>
        <w:jc w:val="both"/>
        <w:rPr>
          <w:rFonts w:ascii="Palatino Linotype" w:hAnsi="Palatino Linotype" w:cs="Arial"/>
          <w:sz w:val="24"/>
          <w:szCs w:val="24"/>
        </w:rPr>
      </w:pPr>
      <w:r w:rsidRPr="00B61C39">
        <w:rPr>
          <w:rFonts w:ascii="Palatino Linotype" w:hAnsi="Palatino Linotype" w:cs="Arial"/>
          <w:sz w:val="24"/>
          <w:szCs w:val="24"/>
        </w:rPr>
        <w:t xml:space="preserve">Del análisis sistemático y armónico de la normatividad previamente plasmada se desprende que la </w:t>
      </w:r>
      <w:r>
        <w:rPr>
          <w:rFonts w:ascii="Palatino Linotype" w:hAnsi="Palatino Linotype" w:cs="Arial"/>
          <w:sz w:val="24"/>
          <w:szCs w:val="24"/>
        </w:rPr>
        <w:t>Tesorería y sus unidades administrativas tienen competencia para generar, poseer o administrar soportes documentales vinculado</w:t>
      </w:r>
      <w:r w:rsidR="00D40C1A">
        <w:rPr>
          <w:rFonts w:ascii="Palatino Linotype" w:hAnsi="Palatino Linotype" w:cs="Arial"/>
          <w:sz w:val="24"/>
          <w:szCs w:val="24"/>
        </w:rPr>
        <w:t xml:space="preserve">s con diversos tópicos </w:t>
      </w:r>
      <w:r w:rsidR="00D40C1A">
        <w:rPr>
          <w:rFonts w:ascii="Palatino Linotype" w:hAnsi="Palatino Linotype" w:cs="Arial"/>
          <w:sz w:val="24"/>
          <w:szCs w:val="24"/>
        </w:rPr>
        <w:lastRenderedPageBreak/>
        <w:t xml:space="preserve">tales como pago de remuneraciones, ingresos, egresos, estados financieros y presupuestales, entre otros. En contraste, la Dirección de Administración tiene competencia en materia de altas, bajas, formación y actualización de expedientes personales, directorio de servidores públicos. Finalmente, el sistema DIF municipal diseñará y ejecutará múltiples programas de asistencia social. </w:t>
      </w:r>
    </w:p>
    <w:p w14:paraId="42609200" w14:textId="4A25DF92" w:rsidR="00573F98" w:rsidRDefault="00573F98" w:rsidP="00573F98">
      <w:pPr>
        <w:autoSpaceDE w:val="0"/>
        <w:autoSpaceDN w:val="0"/>
        <w:adjustRightInd w:val="0"/>
        <w:spacing w:before="240" w:line="360" w:lineRule="auto"/>
        <w:jc w:val="both"/>
        <w:rPr>
          <w:rFonts w:ascii="Palatino Linotype" w:hAnsi="Palatino Linotype" w:cs="Arial"/>
          <w:sz w:val="24"/>
          <w:szCs w:val="24"/>
        </w:rPr>
      </w:pPr>
      <w:r>
        <w:rPr>
          <w:rFonts w:ascii="Palatino Linotype" w:hAnsi="Palatino Linotype" w:cs="Arial"/>
          <w:sz w:val="24"/>
          <w:szCs w:val="24"/>
        </w:rPr>
        <w:t>De manera complementaria, resulta oportuno traer a colación los artículos 24 fracción XII</w:t>
      </w:r>
      <w:r w:rsidR="00B27B40">
        <w:rPr>
          <w:rFonts w:ascii="Palatino Linotype" w:hAnsi="Palatino Linotype" w:cs="Arial"/>
          <w:sz w:val="24"/>
          <w:szCs w:val="24"/>
        </w:rPr>
        <w:t xml:space="preserve">, </w:t>
      </w:r>
      <w:r>
        <w:rPr>
          <w:rFonts w:ascii="Palatino Linotype" w:hAnsi="Palatino Linotype" w:cs="Arial"/>
          <w:sz w:val="24"/>
          <w:szCs w:val="24"/>
        </w:rPr>
        <w:t xml:space="preserve">92 </w:t>
      </w:r>
      <w:proofErr w:type="gramStart"/>
      <w:r>
        <w:rPr>
          <w:rFonts w:ascii="Palatino Linotype" w:hAnsi="Palatino Linotype" w:cs="Arial"/>
          <w:sz w:val="24"/>
          <w:szCs w:val="24"/>
        </w:rPr>
        <w:t>fracción</w:t>
      </w:r>
      <w:proofErr w:type="gramEnd"/>
      <w:r>
        <w:rPr>
          <w:rFonts w:ascii="Palatino Linotype" w:hAnsi="Palatino Linotype" w:cs="Arial"/>
          <w:sz w:val="24"/>
          <w:szCs w:val="24"/>
        </w:rPr>
        <w:t xml:space="preserve"> VII</w:t>
      </w:r>
      <w:r w:rsidR="00B27B40">
        <w:rPr>
          <w:rFonts w:ascii="Palatino Linotype" w:hAnsi="Palatino Linotype" w:cs="Arial"/>
          <w:sz w:val="24"/>
          <w:szCs w:val="24"/>
        </w:rPr>
        <w:t>, 94 fracción I inciso b)</w:t>
      </w:r>
      <w:r>
        <w:rPr>
          <w:rFonts w:ascii="Palatino Linotype" w:hAnsi="Palatino Linotype" w:cs="Arial"/>
          <w:sz w:val="24"/>
          <w:szCs w:val="24"/>
        </w:rPr>
        <w:t xml:space="preserve"> de la Ley de Transparencia y Acceso a la Información Pública del Estado de México y Municipios, cuyo contenido literal es el siguiente: </w:t>
      </w:r>
    </w:p>
    <w:p w14:paraId="0DCDD528" w14:textId="77777777" w:rsidR="00573F98" w:rsidRPr="00FA7CFC" w:rsidRDefault="00573F98" w:rsidP="00573F98">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“Artículo 24. </w:t>
      </w:r>
      <w:r w:rsidRPr="00FA7CFC">
        <w:rPr>
          <w:rFonts w:ascii="Palatino Linotype" w:hAnsi="Palatino Linotype"/>
          <w:i/>
          <w:sz w:val="22"/>
          <w:szCs w:val="22"/>
        </w:rPr>
        <w:t>Para el cumplimiento de los objetivos de esta Ley, los sujetos obligados deberán cumplir con las siguientes obligaciones, según corresponda, de acuerdo a su naturaleza:</w:t>
      </w:r>
    </w:p>
    <w:p w14:paraId="2C771A20" w14:textId="77777777" w:rsidR="00573F98" w:rsidRPr="00FA7CFC" w:rsidRDefault="00573F98" w:rsidP="00573F98">
      <w:pPr>
        <w:pStyle w:val="Default"/>
        <w:spacing w:before="240" w:after="160" w:line="360" w:lineRule="auto"/>
        <w:ind w:left="851" w:right="851"/>
        <w:jc w:val="both"/>
        <w:rPr>
          <w:rFonts w:ascii="Palatino Linotype" w:hAnsi="Palatino Linotype"/>
          <w:b/>
          <w:bCs/>
          <w:i/>
          <w:sz w:val="22"/>
          <w:szCs w:val="22"/>
        </w:rPr>
      </w:pPr>
      <w:r w:rsidRPr="00FA7CFC">
        <w:rPr>
          <w:rFonts w:ascii="Palatino Linotype" w:hAnsi="Palatino Linotype"/>
          <w:b/>
          <w:bCs/>
          <w:i/>
          <w:sz w:val="22"/>
          <w:szCs w:val="22"/>
        </w:rPr>
        <w:t xml:space="preserve">XII. </w:t>
      </w:r>
      <w:r w:rsidRPr="00FA7CFC">
        <w:rPr>
          <w:rFonts w:ascii="Palatino Linotype" w:hAnsi="Palatino Linotype"/>
          <w:b/>
          <w:i/>
          <w:sz w:val="22"/>
          <w:szCs w:val="22"/>
          <w:u w:val="single"/>
        </w:rPr>
        <w:t>Publicar y mantener actualizada la información relativa a las obligaciones generales de transparencia</w:t>
      </w:r>
      <w:r w:rsidRPr="00FA7CFC">
        <w:rPr>
          <w:rFonts w:ascii="Palatino Linotype" w:hAnsi="Palatino Linotype"/>
          <w:i/>
          <w:sz w:val="22"/>
          <w:szCs w:val="22"/>
        </w:rPr>
        <w:t xml:space="preserve"> previstas en la presente Ley o determinadas así por el Instituto, y en general aquella que sea de interés público;</w:t>
      </w:r>
    </w:p>
    <w:p w14:paraId="7032191C" w14:textId="77777777" w:rsidR="00573F98" w:rsidRDefault="00573F98" w:rsidP="00573F98">
      <w:pPr>
        <w:pStyle w:val="Default"/>
        <w:spacing w:before="240" w:after="160" w:line="360" w:lineRule="auto"/>
        <w:ind w:left="851" w:right="851"/>
        <w:jc w:val="both"/>
        <w:rPr>
          <w:rFonts w:ascii="Palatino Linotype" w:hAnsi="Palatino Linotype"/>
          <w:i/>
          <w:sz w:val="22"/>
          <w:szCs w:val="22"/>
        </w:rPr>
      </w:pPr>
      <w:r w:rsidRPr="00FA7CFC">
        <w:rPr>
          <w:rFonts w:ascii="Palatino Linotype" w:hAnsi="Palatino Linotype"/>
          <w:b/>
          <w:bCs/>
          <w:i/>
          <w:sz w:val="22"/>
          <w:szCs w:val="22"/>
        </w:rPr>
        <w:t xml:space="preserve">Artículo 92. </w:t>
      </w:r>
      <w:r w:rsidRPr="00FA7CFC">
        <w:rPr>
          <w:rFonts w:ascii="Palatino Linotype" w:hAnsi="Palatino Linotype"/>
          <w:i/>
          <w:sz w:val="22"/>
          <w:szCs w:val="22"/>
        </w:rPr>
        <w:t xml:space="preserve">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 </w:t>
      </w:r>
    </w:p>
    <w:p w14:paraId="4CFA3F0F" w14:textId="77777777" w:rsidR="00573F98" w:rsidRDefault="00573F98" w:rsidP="00573F98">
      <w:pPr>
        <w:pStyle w:val="Default"/>
        <w:spacing w:before="240" w:after="160" w:line="360" w:lineRule="auto"/>
        <w:ind w:left="851" w:right="851"/>
        <w:jc w:val="both"/>
        <w:rPr>
          <w:rFonts w:ascii="Palatino Linotype" w:hAnsi="Palatino Linotype"/>
          <w:i/>
          <w:sz w:val="22"/>
          <w:szCs w:val="22"/>
        </w:rPr>
      </w:pPr>
      <w:r>
        <w:rPr>
          <w:rFonts w:ascii="Palatino Linotype" w:hAnsi="Palatino Linotype"/>
          <w:b/>
          <w:bCs/>
          <w:i/>
          <w:sz w:val="22"/>
          <w:szCs w:val="22"/>
        </w:rPr>
        <w:t>(…</w:t>
      </w:r>
      <w:r>
        <w:rPr>
          <w:rFonts w:ascii="Palatino Linotype" w:hAnsi="Palatino Linotype"/>
          <w:i/>
          <w:sz w:val="22"/>
          <w:szCs w:val="22"/>
        </w:rPr>
        <w:t>)</w:t>
      </w:r>
    </w:p>
    <w:p w14:paraId="3751EDE7" w14:textId="77777777" w:rsidR="00573F98" w:rsidRDefault="00573F98" w:rsidP="00573F98">
      <w:pPr>
        <w:pStyle w:val="Citas"/>
      </w:pPr>
      <w:r w:rsidRPr="00981203">
        <w:rPr>
          <w:b/>
          <w:bCs/>
          <w:u w:val="single"/>
        </w:rPr>
        <w:lastRenderedPageBreak/>
        <w:t>VII. El directorio de todos los servidores públicos,</w:t>
      </w:r>
      <w:r>
        <w:t xml:space="preserve"> a partir del nivel de jefe de departamento o su equivalente o de menor nivel, cuando se brinde atención al público, manejen o apliquen recursos públicos, realicen actos de autoridad o presten servicios profesionales bajo el régimen de confianza u honorarios y personal de base.</w:t>
      </w:r>
    </w:p>
    <w:p w14:paraId="5D208D62" w14:textId="77777777" w:rsidR="00573F98" w:rsidRDefault="00573F98" w:rsidP="00573F98">
      <w:pPr>
        <w:pStyle w:val="Citas"/>
      </w:pPr>
      <w:r w:rsidRPr="00F0532D">
        <w:rPr>
          <w:b/>
          <w:bCs/>
          <w:u w:val="single"/>
        </w:rPr>
        <w:t xml:space="preserve"> El directorio deberá incluir, al menos el nombre,</w:t>
      </w:r>
      <w:r>
        <w:t xml:space="preserve"> cargo o nombramiento oficial asignado, nivel del puesto en la estructura orgánica, fecha de alta en el cargo, </w:t>
      </w:r>
      <w:r w:rsidRPr="00F0532D">
        <w:rPr>
          <w:b/>
          <w:bCs/>
          <w:u w:val="single"/>
        </w:rPr>
        <w:t xml:space="preserve">número telefónico, </w:t>
      </w:r>
      <w:r>
        <w:t xml:space="preserve">domicilio para recibir correspondencia </w:t>
      </w:r>
      <w:r w:rsidRPr="00F0532D">
        <w:rPr>
          <w:b/>
          <w:bCs/>
          <w:u w:val="single"/>
        </w:rPr>
        <w:t>y dirección de correo electrónico</w:t>
      </w:r>
      <w:r>
        <w:t xml:space="preserve"> oficiales, datos que deberán señalarse de forma independiente por dependencia y entidad pública de cada sujeto obligado;</w:t>
      </w:r>
    </w:p>
    <w:p w14:paraId="47403D6D" w14:textId="63A10D56" w:rsidR="00B27B40" w:rsidRPr="00B27B40" w:rsidRDefault="00B27B40" w:rsidP="00573F98">
      <w:pPr>
        <w:pStyle w:val="Citas"/>
      </w:pPr>
      <w:r w:rsidRPr="00B27B40">
        <w:t>(…)</w:t>
      </w:r>
    </w:p>
    <w:p w14:paraId="14942C42" w14:textId="77777777" w:rsidR="00B27B40" w:rsidRDefault="00B27B40" w:rsidP="00573F98">
      <w:pPr>
        <w:pStyle w:val="Citas"/>
      </w:pPr>
      <w:r>
        <w:t xml:space="preserve">Artículo 94. Además de las obligaciones de transparencia común a que se refiere el Capítulo II de este Título, los sujetos obligados del Poder Ejecutivo Local y municipales, deberán poner a disposición del público y actualizar la siguiente información: </w:t>
      </w:r>
    </w:p>
    <w:p w14:paraId="58E2C462" w14:textId="77777777" w:rsidR="00B27B40" w:rsidRDefault="00B27B40" w:rsidP="00573F98">
      <w:pPr>
        <w:pStyle w:val="Citas"/>
      </w:pPr>
      <w:r>
        <w:t xml:space="preserve">I. En el caso del Poder Ejecutivo y los Municipios, en el ámbito de su competencia: </w:t>
      </w:r>
    </w:p>
    <w:p w14:paraId="1DB9994C" w14:textId="137293C1" w:rsidR="00B27B40" w:rsidRPr="00B27B40" w:rsidRDefault="00B27B40" w:rsidP="00573F98">
      <w:pPr>
        <w:pStyle w:val="Citas"/>
        <w:rPr>
          <w:b/>
          <w:bCs/>
          <w:u w:val="single"/>
        </w:rPr>
      </w:pPr>
      <w:r w:rsidRPr="00B27B40">
        <w:rPr>
          <w:b/>
          <w:bCs/>
          <w:u w:val="single"/>
        </w:rPr>
        <w:t>b) El presupuesto de egresos y las fórmulas de distribución de los recursos otorgados;</w:t>
      </w:r>
    </w:p>
    <w:p w14:paraId="4122AF7A" w14:textId="77777777" w:rsidR="00573F98" w:rsidRDefault="00573F98" w:rsidP="00573F98">
      <w:pPr>
        <w:autoSpaceDE w:val="0"/>
        <w:autoSpaceDN w:val="0"/>
        <w:adjustRightInd w:val="0"/>
        <w:spacing w:before="240" w:line="360" w:lineRule="auto"/>
        <w:ind w:left="851" w:right="851"/>
        <w:jc w:val="both"/>
        <w:rPr>
          <w:rFonts w:ascii="Palatino Linotype" w:hAnsi="Palatino Linotype"/>
          <w:b/>
          <w:i/>
        </w:rPr>
      </w:pPr>
      <w:r w:rsidRPr="00981203">
        <w:rPr>
          <w:rFonts w:ascii="Palatino Linotype" w:hAnsi="Palatino Linotype"/>
          <w:bCs/>
          <w:i/>
        </w:rPr>
        <w:t xml:space="preserve">(…)” </w:t>
      </w:r>
      <w:r>
        <w:rPr>
          <w:rFonts w:ascii="Palatino Linotype" w:hAnsi="Palatino Linotype"/>
          <w:b/>
          <w:i/>
        </w:rPr>
        <w:t>(Sic)</w:t>
      </w:r>
    </w:p>
    <w:p w14:paraId="2F5C54AB" w14:textId="77777777" w:rsidR="00CE5056" w:rsidRDefault="00CE5056" w:rsidP="00B27B40">
      <w:pPr>
        <w:pStyle w:val="infoemcitas"/>
        <w:tabs>
          <w:tab w:val="left" w:pos="7655"/>
        </w:tabs>
        <w:ind w:left="0" w:right="0"/>
        <w:rPr>
          <w:i w:val="0"/>
          <w:sz w:val="24"/>
          <w:szCs w:val="24"/>
        </w:rPr>
      </w:pPr>
    </w:p>
    <w:p w14:paraId="39ADC750" w14:textId="29FECF1D" w:rsidR="00573F98" w:rsidRPr="00E81D64" w:rsidRDefault="00573F98" w:rsidP="00B27B40">
      <w:pPr>
        <w:pStyle w:val="infoemcitas"/>
        <w:tabs>
          <w:tab w:val="left" w:pos="7655"/>
        </w:tabs>
        <w:ind w:left="0" w:right="0"/>
        <w:rPr>
          <w:sz w:val="24"/>
          <w:szCs w:val="24"/>
        </w:rPr>
      </w:pPr>
      <w:r w:rsidRPr="00303BAD">
        <w:rPr>
          <w:i w:val="0"/>
          <w:sz w:val="24"/>
          <w:szCs w:val="24"/>
        </w:rPr>
        <w:t xml:space="preserve">Robustece lo anterior, las siguientes imágenes ilustrativas, correspondientes a la tabla de aplicabilidad del </w:t>
      </w:r>
      <w:r w:rsidRPr="00303BAD">
        <w:rPr>
          <w:b/>
          <w:i w:val="0"/>
          <w:sz w:val="24"/>
          <w:szCs w:val="24"/>
        </w:rPr>
        <w:t>Sujeto Obligado</w:t>
      </w:r>
      <w:r w:rsidR="00B27B40">
        <w:rPr>
          <w:b/>
          <w:i w:val="0"/>
          <w:sz w:val="24"/>
          <w:szCs w:val="24"/>
        </w:rPr>
        <w:t>:</w:t>
      </w:r>
    </w:p>
    <w:p w14:paraId="312FBB33" w14:textId="6E7B570B" w:rsidR="00E176DD" w:rsidRDefault="006B6913" w:rsidP="002F5BD7">
      <w:pPr>
        <w:pStyle w:val="Citas"/>
        <w:ind w:left="0" w:right="0"/>
        <w:rPr>
          <w:i w:val="0"/>
          <w:sz w:val="24"/>
          <w:szCs w:val="24"/>
        </w:rPr>
      </w:pPr>
      <w:r>
        <w:rPr>
          <w:noProof/>
          <w:sz w:val="24"/>
          <w:szCs w:val="24"/>
          <w:lang w:eastAsia="es-MX"/>
        </w:rPr>
        <w:lastRenderedPageBreak/>
        <w:drawing>
          <wp:anchor distT="0" distB="0" distL="114300" distR="114300" simplePos="0" relativeHeight="251671552" behindDoc="0" locked="0" layoutInCell="1" allowOverlap="1" wp14:anchorId="246FB7F6" wp14:editId="2685FDE7">
            <wp:simplePos x="0" y="0"/>
            <wp:positionH relativeFrom="margin">
              <wp:align>left</wp:align>
            </wp:positionH>
            <wp:positionV relativeFrom="paragraph">
              <wp:posOffset>3930147</wp:posOffset>
            </wp:positionV>
            <wp:extent cx="5753735" cy="3534410"/>
            <wp:effectExtent l="19050" t="19050" r="18415" b="27940"/>
            <wp:wrapThrough wrapText="bothSides">
              <wp:wrapPolygon edited="0">
                <wp:start x="-72" y="-116"/>
                <wp:lineTo x="-72" y="21654"/>
                <wp:lineTo x="21598" y="21654"/>
                <wp:lineTo x="21598" y="-116"/>
                <wp:lineTo x="-72" y="-116"/>
              </wp:wrapPolygon>
            </wp:wrapThrough>
            <wp:docPr id="179316718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735" cy="353441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r w:rsidR="00B27B40">
        <w:rPr>
          <w:noProof/>
          <w:sz w:val="24"/>
          <w:szCs w:val="24"/>
          <w:lang w:eastAsia="es-MX"/>
        </w:rPr>
        <w:drawing>
          <wp:anchor distT="0" distB="0" distL="114300" distR="114300" simplePos="0" relativeHeight="251663359" behindDoc="0" locked="0" layoutInCell="1" allowOverlap="1" wp14:anchorId="48AA538F" wp14:editId="6CD1690C">
            <wp:simplePos x="0" y="0"/>
            <wp:positionH relativeFrom="margin">
              <wp:align>right</wp:align>
            </wp:positionH>
            <wp:positionV relativeFrom="paragraph">
              <wp:posOffset>19205</wp:posOffset>
            </wp:positionV>
            <wp:extent cx="5749925" cy="3548380"/>
            <wp:effectExtent l="19050" t="19050" r="22225" b="13970"/>
            <wp:wrapThrough wrapText="bothSides">
              <wp:wrapPolygon edited="0">
                <wp:start x="-72" y="-116"/>
                <wp:lineTo x="-72" y="21569"/>
                <wp:lineTo x="21612" y="21569"/>
                <wp:lineTo x="21612" y="-116"/>
                <wp:lineTo x="-72" y="-116"/>
              </wp:wrapPolygon>
            </wp:wrapThrough>
            <wp:docPr id="11117124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49925" cy="354838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8DF2057" w14:textId="0D4C57B4" w:rsidR="00B27B40" w:rsidRDefault="006B6913" w:rsidP="001154C1">
      <w:pPr>
        <w:spacing w:before="240" w:line="360" w:lineRule="auto"/>
        <w:jc w:val="both"/>
        <w:rPr>
          <w:rFonts w:ascii="Palatino Linotype" w:hAnsi="Palatino Linotype"/>
          <w:sz w:val="24"/>
          <w:szCs w:val="24"/>
        </w:rPr>
      </w:pPr>
      <w:r>
        <w:rPr>
          <w:rFonts w:ascii="Palatino Linotype" w:hAnsi="Palatino Linotype"/>
          <w:noProof/>
          <w:sz w:val="24"/>
          <w:szCs w:val="24"/>
          <w:lang w:eastAsia="es-MX"/>
        </w:rPr>
        <w:lastRenderedPageBreak/>
        <w:drawing>
          <wp:anchor distT="0" distB="0" distL="114300" distR="114300" simplePos="0" relativeHeight="251672576" behindDoc="0" locked="0" layoutInCell="1" allowOverlap="1" wp14:anchorId="6C52183D" wp14:editId="44CD4611">
            <wp:simplePos x="0" y="0"/>
            <wp:positionH relativeFrom="page">
              <wp:align>center</wp:align>
            </wp:positionH>
            <wp:positionV relativeFrom="paragraph">
              <wp:posOffset>19581</wp:posOffset>
            </wp:positionV>
            <wp:extent cx="5753735" cy="3525520"/>
            <wp:effectExtent l="19050" t="19050" r="18415" b="17780"/>
            <wp:wrapThrough wrapText="bothSides">
              <wp:wrapPolygon edited="0">
                <wp:start x="-72" y="-117"/>
                <wp:lineTo x="-72" y="21592"/>
                <wp:lineTo x="21598" y="21592"/>
                <wp:lineTo x="21598" y="-117"/>
                <wp:lineTo x="-72" y="-117"/>
              </wp:wrapPolygon>
            </wp:wrapThrough>
            <wp:docPr id="214309968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53735" cy="352552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10A8B458" w14:textId="4FF1E970" w:rsidR="00EB6D8B" w:rsidRPr="00EB6D8B" w:rsidRDefault="00EB6D8B" w:rsidP="00EB6D8B">
      <w:pPr>
        <w:autoSpaceDE w:val="0"/>
        <w:autoSpaceDN w:val="0"/>
        <w:adjustRightInd w:val="0"/>
        <w:spacing w:before="240" w:line="360" w:lineRule="auto"/>
        <w:jc w:val="both"/>
        <w:rPr>
          <w:rFonts w:ascii="Palatino Linotype" w:eastAsia="Arial Unicode MS" w:hAnsi="Palatino Linotype" w:cs="Arial"/>
          <w:sz w:val="24"/>
          <w:szCs w:val="24"/>
        </w:rPr>
      </w:pPr>
      <w:r w:rsidRPr="00D9557E">
        <w:rPr>
          <w:rFonts w:ascii="Palatino Linotype" w:eastAsia="MS Mincho" w:hAnsi="Palatino Linotype" w:cs="Tahoma"/>
          <w:sz w:val="24"/>
          <w:szCs w:val="24"/>
        </w:rPr>
        <w:t xml:space="preserve">Así la Ley de Transparencia y Acceso a la Información Pública del Estado de México y Municipios </w:t>
      </w:r>
      <w:r w:rsidRPr="00D9557E">
        <w:rPr>
          <w:rFonts w:ascii="Palatino Linotype" w:eastAsia="Arial Unicode MS" w:hAnsi="Palatino Linotype" w:cs="Arial"/>
          <w:sz w:val="24"/>
          <w:szCs w:val="24"/>
        </w:rPr>
        <w:t xml:space="preserve">en el artículo 92 </w:t>
      </w:r>
      <w:r>
        <w:rPr>
          <w:rFonts w:ascii="Palatino Linotype" w:eastAsia="Arial Unicode MS" w:hAnsi="Palatino Linotype" w:cs="Arial"/>
          <w:sz w:val="24"/>
          <w:szCs w:val="24"/>
        </w:rPr>
        <w:t xml:space="preserve">fracción VII y 94 fracción I inciso b) de la Ley de Transparencia y Acceso a la Información Pública del Estado de México y Municipios señala que la información requerida respecto del directorio de servidores públicos se trata de una </w:t>
      </w:r>
      <w:r>
        <w:rPr>
          <w:rFonts w:ascii="Palatino Linotype" w:eastAsia="Arial Unicode MS" w:hAnsi="Palatino Linotype"/>
          <w:sz w:val="24"/>
          <w:szCs w:val="24"/>
        </w:rPr>
        <w:t xml:space="preserve">obligación de transparencia común, mientras que el presupuesto de egresos se trata de una obligación de transparencia especifica de los Ayuntamientos, es decir, información que </w:t>
      </w:r>
      <w:r>
        <w:rPr>
          <w:rFonts w:ascii="Palatino Linotype" w:eastAsia="Arial Unicode MS" w:hAnsi="Palatino Linotype"/>
          <w:b/>
          <w:bCs/>
          <w:sz w:val="24"/>
          <w:szCs w:val="24"/>
        </w:rPr>
        <w:t xml:space="preserve">El Sujeto Obligado </w:t>
      </w:r>
      <w:r w:rsidR="00060ECD">
        <w:rPr>
          <w:rFonts w:ascii="Palatino Linotype" w:eastAsia="Arial Unicode MS" w:hAnsi="Palatino Linotype"/>
          <w:sz w:val="24"/>
          <w:szCs w:val="24"/>
        </w:rPr>
        <w:t xml:space="preserve">deberá hacer del conocimiento público de forma oficiosa. </w:t>
      </w:r>
    </w:p>
    <w:p w14:paraId="43ED3FDB" w14:textId="2BE212B5" w:rsidR="00060ECD" w:rsidRDefault="001154C1" w:rsidP="001154C1">
      <w:pPr>
        <w:spacing w:before="240" w:line="360" w:lineRule="auto"/>
        <w:jc w:val="both"/>
        <w:rPr>
          <w:rFonts w:ascii="Palatino Linotype" w:hAnsi="Palatino Linotype"/>
          <w:sz w:val="24"/>
          <w:szCs w:val="24"/>
        </w:rPr>
      </w:pPr>
      <w:r w:rsidRPr="00BF5918">
        <w:rPr>
          <w:rFonts w:ascii="Palatino Linotype" w:hAnsi="Palatino Linotype"/>
          <w:sz w:val="24"/>
          <w:szCs w:val="24"/>
        </w:rPr>
        <w:lastRenderedPageBreak/>
        <w:t xml:space="preserve">Una vez sentado lo anterior, como se mencionó en el antecedente </w:t>
      </w:r>
      <w:r w:rsidR="00573F98">
        <w:rPr>
          <w:rFonts w:ascii="Palatino Linotype" w:hAnsi="Palatino Linotype"/>
          <w:sz w:val="24"/>
          <w:szCs w:val="24"/>
        </w:rPr>
        <w:t xml:space="preserve">segundo, </w:t>
      </w:r>
      <w:r w:rsidR="00573F98">
        <w:rPr>
          <w:rFonts w:ascii="Palatino Linotype" w:hAnsi="Palatino Linotype"/>
          <w:b/>
          <w:bCs/>
          <w:sz w:val="24"/>
          <w:szCs w:val="24"/>
        </w:rPr>
        <w:t xml:space="preserve">El Sujeto Obligado </w:t>
      </w:r>
      <w:r w:rsidR="00573F98">
        <w:rPr>
          <w:rFonts w:ascii="Palatino Linotype" w:hAnsi="Palatino Linotype"/>
          <w:sz w:val="24"/>
          <w:szCs w:val="24"/>
        </w:rPr>
        <w:t xml:space="preserve">en fecha </w:t>
      </w:r>
      <w:r w:rsidR="00060ECD">
        <w:rPr>
          <w:rFonts w:ascii="Palatino Linotype" w:hAnsi="Palatino Linotype"/>
          <w:sz w:val="24"/>
          <w:szCs w:val="24"/>
        </w:rPr>
        <w:t xml:space="preserve">treinta de octubre de dos mil veintitrés, dio respuesta a la solicitud de información </w:t>
      </w:r>
      <w:r w:rsidR="00060ECD">
        <w:rPr>
          <w:rFonts w:ascii="Palatino Linotype" w:hAnsi="Palatino Linotype"/>
          <w:b/>
          <w:bCs/>
          <w:sz w:val="24"/>
          <w:szCs w:val="24"/>
        </w:rPr>
        <w:t xml:space="preserve">00309/TENAVALL/IP/2023 </w:t>
      </w:r>
      <w:r w:rsidR="00060ECD">
        <w:rPr>
          <w:rFonts w:ascii="Palatino Linotype" w:hAnsi="Palatino Linotype"/>
          <w:sz w:val="24"/>
          <w:szCs w:val="24"/>
        </w:rPr>
        <w:t>en los siguientes términos:</w:t>
      </w:r>
    </w:p>
    <w:p w14:paraId="213A5B6A" w14:textId="5DFCFFE5" w:rsidR="00060ECD" w:rsidRPr="00CF0E7E" w:rsidRDefault="00060ECD" w:rsidP="008E6C23">
      <w:pPr>
        <w:pStyle w:val="Prrafodelista"/>
        <w:numPr>
          <w:ilvl w:val="0"/>
          <w:numId w:val="42"/>
        </w:numPr>
        <w:spacing w:before="240" w:line="360" w:lineRule="auto"/>
        <w:jc w:val="both"/>
        <w:rPr>
          <w:rFonts w:ascii="Palatino Linotype" w:hAnsi="Palatino Linotype"/>
          <w:b/>
          <w:bCs/>
        </w:rPr>
      </w:pPr>
      <w:r>
        <w:rPr>
          <w:rFonts w:ascii="Palatino Linotype" w:hAnsi="Palatino Linotype"/>
          <w:b/>
          <w:bCs/>
        </w:rPr>
        <w:t>“</w:t>
      </w:r>
      <w:proofErr w:type="spellStart"/>
      <w:r w:rsidR="008E6C23">
        <w:rPr>
          <w:rFonts w:ascii="Palatino Linotype" w:hAnsi="Palatino Linotype"/>
          <w:b/>
          <w:bCs/>
        </w:rPr>
        <w:t>DIRECTORIO.zlsx</w:t>
      </w:r>
      <w:proofErr w:type="spellEnd"/>
      <w:r w:rsidR="008E6C23">
        <w:rPr>
          <w:rFonts w:ascii="Palatino Linotype" w:hAnsi="Palatino Linotype"/>
          <w:b/>
          <w:bCs/>
        </w:rPr>
        <w:t xml:space="preserve">”: </w:t>
      </w:r>
      <w:r w:rsidR="00CF0E7E">
        <w:rPr>
          <w:rFonts w:ascii="Palatino Linotype" w:hAnsi="Palatino Linotype"/>
        </w:rPr>
        <w:t xml:space="preserve">Directorio de la administración pública municipal de Melchor Ocampo, refleja diversos campos tales como nombre, departamento, puesto, domicilio, correo institucional, número de oficina y extensión. </w:t>
      </w:r>
    </w:p>
    <w:p w14:paraId="51D88ACD" w14:textId="3D4F55E3" w:rsidR="00CF0E7E" w:rsidRDefault="00CF0E7E" w:rsidP="00CF0E7E">
      <w:pPr>
        <w:pStyle w:val="Prrafodelista"/>
        <w:spacing w:before="240" w:line="360" w:lineRule="auto"/>
        <w:ind w:left="720"/>
        <w:jc w:val="both"/>
        <w:rPr>
          <w:rFonts w:ascii="Palatino Linotype" w:hAnsi="Palatino Linotype"/>
        </w:rPr>
      </w:pPr>
      <w:r>
        <w:rPr>
          <w:rFonts w:ascii="Palatino Linotype" w:hAnsi="Palatino Linotype"/>
        </w:rPr>
        <w:t xml:space="preserve">Sirve de sustento la siguiente imagen ilustrativa: </w:t>
      </w:r>
    </w:p>
    <w:p w14:paraId="123A4CB3" w14:textId="3E1F428F" w:rsidR="00CF0E7E" w:rsidRDefault="006B6913" w:rsidP="00CF0E7E">
      <w:pPr>
        <w:pStyle w:val="Prrafodelista"/>
        <w:spacing w:before="240" w:line="360" w:lineRule="auto"/>
        <w:ind w:left="720"/>
        <w:jc w:val="both"/>
        <w:rPr>
          <w:rFonts w:ascii="Palatino Linotype" w:hAnsi="Palatino Linotype"/>
        </w:rPr>
      </w:pPr>
      <w:r>
        <w:rPr>
          <w:rFonts w:ascii="Palatino Linotype" w:hAnsi="Palatino Linotype"/>
          <w:noProof/>
          <w:lang w:val="es-MX" w:eastAsia="es-MX"/>
        </w:rPr>
        <w:drawing>
          <wp:anchor distT="0" distB="0" distL="114300" distR="114300" simplePos="0" relativeHeight="251674624" behindDoc="0" locked="0" layoutInCell="1" allowOverlap="1" wp14:anchorId="67B9DA31" wp14:editId="04460912">
            <wp:simplePos x="0" y="0"/>
            <wp:positionH relativeFrom="page">
              <wp:align>center</wp:align>
            </wp:positionH>
            <wp:positionV relativeFrom="paragraph">
              <wp:posOffset>601639</wp:posOffset>
            </wp:positionV>
            <wp:extent cx="5753735" cy="3558540"/>
            <wp:effectExtent l="19050" t="19050" r="18415" b="22860"/>
            <wp:wrapThrough wrapText="bothSides">
              <wp:wrapPolygon edited="0">
                <wp:start x="-72" y="-116"/>
                <wp:lineTo x="-72" y="21623"/>
                <wp:lineTo x="21598" y="21623"/>
                <wp:lineTo x="21598" y="-116"/>
                <wp:lineTo x="-72" y="-116"/>
              </wp:wrapPolygon>
            </wp:wrapThrough>
            <wp:docPr id="32635246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735" cy="355854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310CE3E" w14:textId="4BD14D8B" w:rsidR="00CF0E7E" w:rsidRDefault="00CF0E7E" w:rsidP="00CF0E7E">
      <w:pPr>
        <w:pStyle w:val="Prrafodelista"/>
        <w:spacing w:before="240" w:line="360" w:lineRule="auto"/>
        <w:ind w:left="720"/>
        <w:jc w:val="both"/>
        <w:rPr>
          <w:rFonts w:ascii="Palatino Linotype" w:hAnsi="Palatino Linotype"/>
        </w:rPr>
      </w:pPr>
    </w:p>
    <w:p w14:paraId="22D2A80B" w14:textId="57998822" w:rsidR="008E6C23" w:rsidRPr="006B6913" w:rsidRDefault="008E6C23" w:rsidP="006B6913">
      <w:pPr>
        <w:pStyle w:val="Prrafodelista"/>
        <w:numPr>
          <w:ilvl w:val="0"/>
          <w:numId w:val="42"/>
        </w:numPr>
        <w:spacing w:before="240" w:line="360" w:lineRule="auto"/>
        <w:jc w:val="both"/>
        <w:rPr>
          <w:rFonts w:ascii="Palatino Linotype" w:hAnsi="Palatino Linotype"/>
          <w:b/>
          <w:bCs/>
        </w:rPr>
      </w:pPr>
      <w:r w:rsidRPr="006B6913">
        <w:rPr>
          <w:rFonts w:ascii="Palatino Linotype" w:hAnsi="Palatino Linotype"/>
          <w:b/>
          <w:bCs/>
        </w:rPr>
        <w:lastRenderedPageBreak/>
        <w:t>“</w:t>
      </w:r>
      <w:proofErr w:type="spellStart"/>
      <w:r w:rsidRPr="006B6913">
        <w:rPr>
          <w:rFonts w:ascii="Palatino Linotype" w:hAnsi="Palatino Linotype"/>
          <w:b/>
          <w:bCs/>
        </w:rPr>
        <w:t>CamScanner</w:t>
      </w:r>
      <w:proofErr w:type="spellEnd"/>
      <w:r w:rsidRPr="006B6913">
        <w:rPr>
          <w:rFonts w:ascii="Palatino Linotype" w:hAnsi="Palatino Linotype"/>
          <w:b/>
          <w:bCs/>
        </w:rPr>
        <w:t xml:space="preserve"> 09-19-2023 10.15.pdf”: </w:t>
      </w:r>
      <w:r w:rsidRPr="006B6913">
        <w:rPr>
          <w:rFonts w:ascii="Palatino Linotype" w:hAnsi="Palatino Linotype"/>
        </w:rPr>
        <w:t xml:space="preserve">Oficio número </w:t>
      </w:r>
      <w:r w:rsidRPr="006B6913">
        <w:rPr>
          <w:rFonts w:ascii="Palatino Linotype" w:hAnsi="Palatino Linotype"/>
          <w:b/>
          <w:bCs/>
        </w:rPr>
        <w:t xml:space="preserve">TM/IN/509/2023 </w:t>
      </w:r>
      <w:r w:rsidRPr="006B6913">
        <w:rPr>
          <w:rFonts w:ascii="Palatino Linotype" w:hAnsi="Palatino Linotype"/>
        </w:rPr>
        <w:t>signado por el tesorero municipal y dirigido al solicitante de información, de fecha dieciocho de septiembre de dos mil veintitrés, resulta de nuestro interés el siguiente extracto:</w:t>
      </w:r>
    </w:p>
    <w:p w14:paraId="3850A834" w14:textId="1C0DC8CB" w:rsidR="008E6C23" w:rsidRPr="008E6C23" w:rsidRDefault="008E6C23" w:rsidP="008E6C23">
      <w:pPr>
        <w:pStyle w:val="Prrafodelista"/>
        <w:spacing w:before="240" w:line="360" w:lineRule="auto"/>
        <w:ind w:left="720"/>
        <w:jc w:val="both"/>
        <w:rPr>
          <w:rFonts w:ascii="Palatino Linotype" w:hAnsi="Palatino Linotype"/>
          <w:i/>
          <w:iCs/>
        </w:rPr>
      </w:pPr>
      <w:r>
        <w:rPr>
          <w:rFonts w:ascii="Palatino Linotype" w:hAnsi="Palatino Linotype"/>
          <w:i/>
          <w:iCs/>
        </w:rPr>
        <w:t xml:space="preserve">“Al respecto le informo, que esta tesorería municipal se declara parcialmente competente para contestar sobre la misma, específicamente sobre lo siguiente: </w:t>
      </w:r>
      <w:r w:rsidRPr="008E6C23">
        <w:rPr>
          <w:rFonts w:ascii="Palatino Linotype" w:hAnsi="Palatino Linotype"/>
          <w:b/>
          <w:bCs/>
          <w:i/>
          <w:iCs/>
        </w:rPr>
        <w:t xml:space="preserve">“PRESUPUESTO DE EGRESOS 2019”, </w:t>
      </w:r>
      <w:r>
        <w:rPr>
          <w:rFonts w:ascii="Palatino Linotype" w:hAnsi="Palatino Linotype"/>
          <w:i/>
          <w:iCs/>
        </w:rPr>
        <w:t>y solo del Municipio de Melchor Ocampo, el cual consiste en $232,322, 621.00”</w:t>
      </w:r>
    </w:p>
    <w:p w14:paraId="403AAC97" w14:textId="77777777" w:rsidR="00060ECD" w:rsidRDefault="00060ECD" w:rsidP="001154C1">
      <w:pPr>
        <w:spacing w:before="240" w:line="360" w:lineRule="auto"/>
        <w:jc w:val="both"/>
        <w:rPr>
          <w:rFonts w:ascii="Palatino Linotype" w:hAnsi="Palatino Linotype"/>
          <w:sz w:val="24"/>
          <w:szCs w:val="24"/>
        </w:rPr>
      </w:pPr>
    </w:p>
    <w:p w14:paraId="603625A6" w14:textId="62FDF7F3" w:rsidR="00573F98" w:rsidRPr="003F55B2" w:rsidRDefault="003F55B2" w:rsidP="001154C1">
      <w:pPr>
        <w:spacing w:before="240" w:line="360" w:lineRule="auto"/>
        <w:jc w:val="both"/>
        <w:rPr>
          <w:rFonts w:ascii="Palatino Linotype" w:hAnsi="Palatino Linotype"/>
          <w:sz w:val="24"/>
          <w:szCs w:val="24"/>
        </w:rPr>
      </w:pPr>
      <w:r>
        <w:rPr>
          <w:rFonts w:ascii="Palatino Linotype" w:hAnsi="Palatino Linotype"/>
          <w:sz w:val="24"/>
          <w:szCs w:val="24"/>
        </w:rPr>
        <w:t xml:space="preserve">En las generalizaciones anteriores, se arriba a la premisa de que mediante respuesta primigenia fue remitido el directorio del Ayuntamiento de Melchor Ocampo, soporte documental susceptible de reflejar dirección y correo electrónico de los servidores públicos. Asimismo, </w:t>
      </w:r>
      <w:r>
        <w:rPr>
          <w:rFonts w:ascii="Palatino Linotype" w:hAnsi="Palatino Linotype"/>
          <w:b/>
          <w:bCs/>
          <w:sz w:val="24"/>
          <w:szCs w:val="24"/>
        </w:rPr>
        <w:t xml:space="preserve">El Sujeto Obligado </w:t>
      </w:r>
      <w:r>
        <w:rPr>
          <w:rFonts w:ascii="Palatino Linotype" w:hAnsi="Palatino Linotype"/>
          <w:sz w:val="24"/>
          <w:szCs w:val="24"/>
        </w:rPr>
        <w:t xml:space="preserve">refirió el presupuesto de egresos 2019 correspondiente al Ayuntamiento de Melchor Ocampo.   </w:t>
      </w:r>
    </w:p>
    <w:p w14:paraId="01963CFC" w14:textId="77777777" w:rsidR="003F55B2" w:rsidRPr="00FE30F4" w:rsidRDefault="003F55B2" w:rsidP="003F55B2">
      <w:pPr>
        <w:spacing w:before="100" w:beforeAutospacing="1" w:after="100" w:afterAutospacing="1" w:line="360" w:lineRule="auto"/>
        <w:jc w:val="both"/>
        <w:rPr>
          <w:rFonts w:ascii="Palatino Linotype" w:hAnsi="Palatino Linotype"/>
          <w:iCs/>
          <w:sz w:val="24"/>
          <w:szCs w:val="24"/>
        </w:rPr>
      </w:pPr>
      <w:r>
        <w:rPr>
          <w:rFonts w:ascii="Palatino Linotype" w:hAnsi="Palatino Linotype"/>
          <w:sz w:val="24"/>
          <w:szCs w:val="24"/>
        </w:rPr>
        <w:t xml:space="preserve">Se plantea entonces que </w:t>
      </w:r>
      <w:r w:rsidRPr="00FE30F4">
        <w:rPr>
          <w:rFonts w:ascii="Palatino Linotype" w:hAnsi="Palatino Linotype"/>
          <w:sz w:val="24"/>
          <w:szCs w:val="24"/>
        </w:rPr>
        <w:t>este</w:t>
      </w:r>
      <w:r w:rsidRPr="00FE30F4">
        <w:rPr>
          <w:rFonts w:ascii="Palatino Linotype" w:hAnsi="Palatino Linotype"/>
          <w:iCs/>
          <w:sz w:val="24"/>
          <w:szCs w:val="24"/>
        </w:rPr>
        <w:t xml:space="preserve"> Instituto no está facultado para manifestarse sobre la veracidad de la información proporcionada, pues este Órgano Garante, conforme al artículo 36 de la Ley de la Materia, no se encuentra facultado para pronunciarse acerca de la autenticidad de dicho pronunciamiento.  </w:t>
      </w:r>
    </w:p>
    <w:p w14:paraId="7BAE4D82" w14:textId="77777777" w:rsidR="003F55B2" w:rsidRPr="00093E92" w:rsidRDefault="003F55B2" w:rsidP="003F55B2">
      <w:pPr>
        <w:spacing w:before="100" w:beforeAutospacing="1" w:after="100" w:afterAutospacing="1" w:line="360" w:lineRule="auto"/>
        <w:jc w:val="both"/>
        <w:rPr>
          <w:rFonts w:ascii="Palatino Linotype" w:hAnsi="Palatino Linotype" w:cs="Arial"/>
          <w:iCs/>
          <w:sz w:val="24"/>
          <w:szCs w:val="24"/>
        </w:rPr>
      </w:pPr>
      <w:r w:rsidRPr="00093E92">
        <w:rPr>
          <w:rFonts w:ascii="Palatino Linotype" w:hAnsi="Palatino Linotype" w:cs="Arial"/>
          <w:iCs/>
          <w:sz w:val="24"/>
          <w:szCs w:val="24"/>
        </w:rPr>
        <w:t xml:space="preserve">Sirve de sustento a lo anterior, el criterio </w:t>
      </w:r>
      <w:r w:rsidRPr="00093E92">
        <w:rPr>
          <w:rFonts w:ascii="Palatino Linotype" w:hAnsi="Palatino Linotype" w:cs="Arial"/>
          <w:b/>
          <w:bCs/>
          <w:iCs/>
          <w:sz w:val="24"/>
          <w:szCs w:val="24"/>
        </w:rPr>
        <w:t>31/10</w:t>
      </w:r>
      <w:r w:rsidRPr="00093E92">
        <w:rPr>
          <w:rFonts w:ascii="Palatino Linotype" w:hAnsi="Palatino Linotype" w:cs="Arial"/>
          <w:iCs/>
          <w:sz w:val="24"/>
          <w:szCs w:val="24"/>
        </w:rPr>
        <w:t xml:space="preserve"> emitido por el entonces Instituto Federal de Acceso a la Información y Protección de Datos, ahora Instituto Nacional de Transparencia, Acceso a la Información y Protección de Datos Personales (INAI), el cual refiere: </w:t>
      </w:r>
    </w:p>
    <w:p w14:paraId="68E07CBF" w14:textId="77777777" w:rsidR="003F55B2" w:rsidRPr="003A41AE" w:rsidRDefault="003F55B2" w:rsidP="003F55B2">
      <w:pPr>
        <w:pStyle w:val="Citas"/>
        <w:rPr>
          <w:b/>
        </w:rPr>
      </w:pPr>
      <w:r w:rsidRPr="003A41AE">
        <w:rPr>
          <w:b/>
        </w:rPr>
        <w:lastRenderedPageBreak/>
        <w:t xml:space="preserve">“EL INSTITUTO FEDERAL DE ACCESO A LA INFORMACIÓN Y PROTECCIÓN DE DATOS NO CUENTA CON FACULTADES PARA PRONUNCIARSE RESPECTO DE LA VERACIDAD DE LOS DOCUMENTOS PROPORCIONADOS POR LOS SUJETOS OBLIGADOS. </w:t>
      </w:r>
    </w:p>
    <w:p w14:paraId="071E8ED2" w14:textId="77777777" w:rsidR="003F55B2" w:rsidRDefault="003F55B2" w:rsidP="003F55B2">
      <w:pPr>
        <w:pStyle w:val="Citas"/>
      </w:pPr>
      <w:r w:rsidRPr="00D02076">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 </w:t>
      </w:r>
    </w:p>
    <w:p w14:paraId="3A59C330" w14:textId="77777777" w:rsidR="003F55B2" w:rsidRDefault="003F55B2" w:rsidP="003F55B2">
      <w:pPr>
        <w:pStyle w:val="Citas"/>
      </w:pPr>
      <w:r w:rsidRPr="00D02076">
        <w:t xml:space="preserve">Expedientes: </w:t>
      </w:r>
    </w:p>
    <w:p w14:paraId="20A1EB6C" w14:textId="77777777" w:rsidR="003F55B2" w:rsidRDefault="003F55B2" w:rsidP="003F55B2">
      <w:pPr>
        <w:pStyle w:val="Citas"/>
        <w:numPr>
          <w:ilvl w:val="0"/>
          <w:numId w:val="44"/>
        </w:numPr>
      </w:pPr>
      <w:r w:rsidRPr="00D02076">
        <w:t xml:space="preserve">2440/07 Comisión Federal de Electricidad - Alonso Lujambio Irazábal </w:t>
      </w:r>
    </w:p>
    <w:p w14:paraId="7ED13FAF" w14:textId="77777777" w:rsidR="003F55B2" w:rsidRDefault="003F55B2" w:rsidP="003F55B2">
      <w:pPr>
        <w:pStyle w:val="Citas"/>
        <w:numPr>
          <w:ilvl w:val="0"/>
          <w:numId w:val="44"/>
        </w:numPr>
      </w:pPr>
      <w:r w:rsidRPr="00D02076">
        <w:t xml:space="preserve">0113/09 Instituto de Seguridad y Servicios Sociales de los Trabajadores del Estado – Alonso Lujambio Irazábal </w:t>
      </w:r>
    </w:p>
    <w:p w14:paraId="3C851848" w14:textId="77777777" w:rsidR="003F55B2" w:rsidRDefault="003F55B2" w:rsidP="003F55B2">
      <w:pPr>
        <w:pStyle w:val="Citas"/>
        <w:numPr>
          <w:ilvl w:val="0"/>
          <w:numId w:val="44"/>
        </w:numPr>
      </w:pPr>
      <w:r w:rsidRPr="00D02076">
        <w:t xml:space="preserve">1624/09 Instituto Nacional para la Educación de los Adultos - María </w:t>
      </w:r>
      <w:proofErr w:type="spellStart"/>
      <w:r w:rsidRPr="00D02076">
        <w:t>Marván</w:t>
      </w:r>
      <w:proofErr w:type="spellEnd"/>
      <w:r w:rsidRPr="00D02076">
        <w:t xml:space="preserve"> Laborde </w:t>
      </w:r>
    </w:p>
    <w:p w14:paraId="590157CC" w14:textId="77777777" w:rsidR="003F55B2" w:rsidRDefault="003F55B2" w:rsidP="003F55B2">
      <w:pPr>
        <w:pStyle w:val="Citas"/>
        <w:numPr>
          <w:ilvl w:val="0"/>
          <w:numId w:val="44"/>
        </w:numPr>
      </w:pPr>
      <w:r w:rsidRPr="00D02076">
        <w:t xml:space="preserve">2395/09 Secretaría de Economía - María </w:t>
      </w:r>
      <w:proofErr w:type="spellStart"/>
      <w:r w:rsidRPr="00D02076">
        <w:t>Marván</w:t>
      </w:r>
      <w:proofErr w:type="spellEnd"/>
      <w:r w:rsidRPr="00D02076">
        <w:t xml:space="preserve"> Laborde </w:t>
      </w:r>
    </w:p>
    <w:p w14:paraId="23921E8E" w14:textId="77777777" w:rsidR="003F55B2" w:rsidRPr="00D02076" w:rsidRDefault="003F55B2" w:rsidP="003F55B2">
      <w:pPr>
        <w:pStyle w:val="Citas"/>
        <w:numPr>
          <w:ilvl w:val="0"/>
          <w:numId w:val="44"/>
        </w:numPr>
      </w:pPr>
      <w:r w:rsidRPr="00D02076">
        <w:lastRenderedPageBreak/>
        <w:t xml:space="preserve">0837/10 Administración Portuaria Integral de Veracruz, S.A. de C.V. – María </w:t>
      </w:r>
      <w:proofErr w:type="spellStart"/>
      <w:r w:rsidRPr="00D02076">
        <w:t>Marván</w:t>
      </w:r>
      <w:proofErr w:type="spellEnd"/>
      <w:r w:rsidRPr="00D02076">
        <w:t xml:space="preserve"> Laborde</w:t>
      </w:r>
      <w:r>
        <w:t>”</w:t>
      </w:r>
      <w:r w:rsidRPr="00D02076">
        <w:t xml:space="preserve"> </w:t>
      </w:r>
      <w:r>
        <w:rPr>
          <w:b/>
        </w:rPr>
        <w:t>[Sic]</w:t>
      </w:r>
    </w:p>
    <w:p w14:paraId="37AAE136" w14:textId="77777777" w:rsidR="003F55B2" w:rsidRDefault="003F55B2" w:rsidP="003F55B2">
      <w:pPr>
        <w:spacing w:after="0" w:line="360" w:lineRule="auto"/>
        <w:jc w:val="both"/>
        <w:rPr>
          <w:rFonts w:ascii="Palatino Linotype" w:hAnsi="Palatino Linotype" w:cs="Arial"/>
          <w:noProof/>
          <w:color w:val="000000"/>
          <w:sz w:val="24"/>
          <w:szCs w:val="24"/>
          <w:lang w:eastAsia="es-MX"/>
        </w:rPr>
      </w:pPr>
    </w:p>
    <w:p w14:paraId="318EB43A" w14:textId="77777777" w:rsidR="003F55B2" w:rsidRDefault="003F55B2" w:rsidP="003F55B2">
      <w:pPr>
        <w:spacing w:after="0" w:line="360" w:lineRule="auto"/>
        <w:jc w:val="both"/>
        <w:rPr>
          <w:rFonts w:ascii="Palatino Linotype" w:hAnsi="Palatino Linotype" w:cs="Arial"/>
          <w:b/>
          <w:bCs/>
          <w:noProof/>
          <w:color w:val="000000"/>
          <w:sz w:val="24"/>
          <w:szCs w:val="24"/>
          <w:lang w:eastAsia="es-MX"/>
        </w:rPr>
      </w:pPr>
      <w:r w:rsidRPr="000D77ED">
        <w:rPr>
          <w:rFonts w:ascii="Palatino Linotype" w:hAnsi="Palatino Linotype" w:cs="Arial"/>
          <w:noProof/>
          <w:color w:val="000000"/>
          <w:sz w:val="24"/>
          <w:szCs w:val="24"/>
          <w:lang w:eastAsia="es-MX"/>
        </w:rPr>
        <w:t xml:space="preserve">Con base en lo anteriormente expuesto, se arriba a la premisa de que este Instituto no se encuentra facultado para dudar de la veracidad respecto de la información proporcionada por los </w:t>
      </w:r>
      <w:r w:rsidRPr="000D77ED">
        <w:rPr>
          <w:rFonts w:ascii="Palatino Linotype" w:hAnsi="Palatino Linotype" w:cs="Arial"/>
          <w:b/>
          <w:bCs/>
          <w:noProof/>
          <w:color w:val="000000"/>
          <w:sz w:val="24"/>
          <w:szCs w:val="24"/>
          <w:lang w:eastAsia="es-MX"/>
        </w:rPr>
        <w:t>Sujetos Obligados.</w:t>
      </w:r>
    </w:p>
    <w:p w14:paraId="7D9CA052" w14:textId="66EDC0A4" w:rsidR="00CF0E7E" w:rsidRPr="003F55B2" w:rsidRDefault="003F55B2" w:rsidP="001154C1">
      <w:pPr>
        <w:spacing w:before="240" w:line="360" w:lineRule="auto"/>
        <w:jc w:val="both"/>
        <w:rPr>
          <w:rFonts w:ascii="Palatino Linotype" w:hAnsi="Palatino Linotype"/>
          <w:sz w:val="24"/>
          <w:szCs w:val="24"/>
        </w:rPr>
      </w:pPr>
      <w:r>
        <w:rPr>
          <w:rFonts w:ascii="Palatino Linotype" w:hAnsi="Palatino Linotype"/>
          <w:sz w:val="24"/>
          <w:szCs w:val="24"/>
        </w:rPr>
        <w:t xml:space="preserve">En resumidas cuentas, la respuesta primigenia es susceptible de atender el requerimiento </w:t>
      </w:r>
      <w:r>
        <w:rPr>
          <w:rFonts w:ascii="Palatino Linotype" w:hAnsi="Palatino Linotype"/>
          <w:b/>
          <w:bCs/>
          <w:sz w:val="24"/>
          <w:szCs w:val="24"/>
        </w:rPr>
        <w:t xml:space="preserve">1 -uno-. </w:t>
      </w:r>
      <w:r>
        <w:rPr>
          <w:rFonts w:ascii="Palatino Linotype" w:hAnsi="Palatino Linotype"/>
          <w:sz w:val="24"/>
          <w:szCs w:val="24"/>
        </w:rPr>
        <w:t xml:space="preserve">En contraste, el requerimiento </w:t>
      </w:r>
      <w:r>
        <w:rPr>
          <w:rFonts w:ascii="Palatino Linotype" w:hAnsi="Palatino Linotype"/>
          <w:b/>
          <w:bCs/>
          <w:sz w:val="24"/>
          <w:szCs w:val="24"/>
        </w:rPr>
        <w:t xml:space="preserve">2 -dos- </w:t>
      </w:r>
      <w:r>
        <w:rPr>
          <w:rFonts w:ascii="Palatino Linotype" w:hAnsi="Palatino Linotype"/>
          <w:sz w:val="24"/>
          <w:szCs w:val="24"/>
        </w:rPr>
        <w:t xml:space="preserve">no fue materia de pronunciamiento. Finalmente, los requerimientos </w:t>
      </w:r>
      <w:r>
        <w:rPr>
          <w:rFonts w:ascii="Palatino Linotype" w:hAnsi="Palatino Linotype"/>
          <w:b/>
          <w:bCs/>
          <w:sz w:val="24"/>
          <w:szCs w:val="24"/>
        </w:rPr>
        <w:t xml:space="preserve">3 -tres- </w:t>
      </w:r>
      <w:r>
        <w:rPr>
          <w:rFonts w:ascii="Palatino Linotype" w:hAnsi="Palatino Linotype"/>
          <w:sz w:val="24"/>
          <w:szCs w:val="24"/>
        </w:rPr>
        <w:t xml:space="preserve">y </w:t>
      </w:r>
      <w:r>
        <w:rPr>
          <w:rFonts w:ascii="Palatino Linotype" w:hAnsi="Palatino Linotype"/>
          <w:b/>
          <w:bCs/>
          <w:sz w:val="24"/>
          <w:szCs w:val="24"/>
        </w:rPr>
        <w:t xml:space="preserve">4 -cuatro- </w:t>
      </w:r>
      <w:r>
        <w:rPr>
          <w:rFonts w:ascii="Palatino Linotype" w:hAnsi="Palatino Linotype"/>
          <w:sz w:val="24"/>
          <w:szCs w:val="24"/>
        </w:rPr>
        <w:t xml:space="preserve">se tienen por atendidos únicamente por cuanto hace al Ayuntamiento de Melchor Ocampo, </w:t>
      </w:r>
      <w:r w:rsidRPr="003F55B2">
        <w:rPr>
          <w:rFonts w:ascii="Palatino Linotype" w:hAnsi="Palatino Linotype"/>
          <w:sz w:val="24"/>
          <w:szCs w:val="24"/>
        </w:rPr>
        <w:t xml:space="preserve">englobando a </w:t>
      </w:r>
      <w:r w:rsidRPr="003F55B2">
        <w:rPr>
          <w:rFonts w:ascii="Palatino Linotype" w:hAnsi="Palatino Linotype"/>
          <w:color w:val="000000"/>
          <w:sz w:val="24"/>
          <w:szCs w:val="24"/>
        </w:rPr>
        <w:t>la Dirección de Agua potable, drenaje y alcantarillado (centralizado); así como la Coordinación de Deporte (centralizado, dependiente de la Dirección de Desarrollo Social</w:t>
      </w:r>
      <w:r w:rsidR="00AE49DD">
        <w:rPr>
          <w:rFonts w:ascii="Palatino Linotype" w:hAnsi="Palatino Linotype"/>
          <w:color w:val="000000"/>
          <w:sz w:val="24"/>
          <w:szCs w:val="24"/>
        </w:rPr>
        <w:t>),</w:t>
      </w:r>
      <w:r w:rsidR="00EA355B">
        <w:rPr>
          <w:rFonts w:ascii="Palatino Linotype" w:hAnsi="Palatino Linotype"/>
          <w:color w:val="000000"/>
          <w:sz w:val="24"/>
          <w:szCs w:val="24"/>
        </w:rPr>
        <w:t xml:space="preserve"> resultando faltante lo relativo al sistema municipal DIF. </w:t>
      </w:r>
    </w:p>
    <w:p w14:paraId="2A43E166" w14:textId="581B07A0" w:rsidR="003F55B2" w:rsidRDefault="000F1FE8" w:rsidP="000F1FE8">
      <w:pPr>
        <w:pStyle w:val="Default"/>
        <w:spacing w:before="240" w:after="160" w:line="360" w:lineRule="auto"/>
        <w:jc w:val="both"/>
        <w:rPr>
          <w:rFonts w:ascii="Palatino Linotype" w:hAnsi="Palatino Linotype"/>
          <w:lang w:eastAsia="es-MX"/>
        </w:rPr>
      </w:pPr>
      <w:r>
        <w:rPr>
          <w:rFonts w:ascii="Palatino Linotype" w:hAnsi="Palatino Linotype"/>
          <w:lang w:eastAsia="es-MX"/>
        </w:rPr>
        <w:t xml:space="preserve">Inconforme con la respuesta rendida por </w:t>
      </w:r>
      <w:r>
        <w:rPr>
          <w:rFonts w:ascii="Palatino Linotype" w:hAnsi="Palatino Linotype"/>
          <w:b/>
          <w:lang w:eastAsia="es-MX"/>
        </w:rPr>
        <w:t xml:space="preserve">El Sujeto Obligado, El Recurrente </w:t>
      </w:r>
      <w:r>
        <w:rPr>
          <w:rFonts w:ascii="Palatino Linotype" w:hAnsi="Palatino Linotype"/>
          <w:lang w:eastAsia="es-MX"/>
        </w:rPr>
        <w:t xml:space="preserve">interpuso recurso de revisión en fecha </w:t>
      </w:r>
      <w:r w:rsidR="00EA355B">
        <w:rPr>
          <w:rFonts w:ascii="Palatino Linotype" w:hAnsi="Palatino Linotype"/>
          <w:lang w:eastAsia="es-MX"/>
        </w:rPr>
        <w:t>cinco de octubre</w:t>
      </w:r>
      <w:r w:rsidR="003F55B2">
        <w:rPr>
          <w:rFonts w:ascii="Palatino Linotype" w:hAnsi="Palatino Linotype"/>
          <w:lang w:eastAsia="es-MX"/>
        </w:rPr>
        <w:t xml:space="preserve">, admitiéndose el </w:t>
      </w:r>
      <w:r w:rsidR="00EA355B">
        <w:rPr>
          <w:rFonts w:ascii="Palatino Linotype" w:hAnsi="Palatino Linotype"/>
          <w:lang w:eastAsia="es-MX"/>
        </w:rPr>
        <w:t>diez de octubre</w:t>
      </w:r>
      <w:r w:rsidR="003F55B2">
        <w:rPr>
          <w:rFonts w:ascii="Palatino Linotype" w:hAnsi="Palatino Linotype"/>
          <w:lang w:eastAsia="es-MX"/>
        </w:rPr>
        <w:t xml:space="preserve">, ambos de dos mil veintitrés. </w:t>
      </w:r>
      <w:r w:rsidR="007D6641">
        <w:rPr>
          <w:rFonts w:ascii="Palatino Linotype" w:hAnsi="Palatino Linotype"/>
          <w:lang w:eastAsia="es-MX"/>
        </w:rPr>
        <w:t>Señalando como razones o motivos de inconformidad:</w:t>
      </w:r>
    </w:p>
    <w:p w14:paraId="034BA622" w14:textId="77777777" w:rsidR="007D6641" w:rsidRPr="00F2667C" w:rsidRDefault="007D6641" w:rsidP="007D6641">
      <w:pPr>
        <w:pStyle w:val="Citas"/>
        <w:rPr>
          <w:b/>
        </w:rPr>
      </w:pPr>
      <w:r w:rsidRPr="00C61B54">
        <w:t>“Respuesta incompleta”</w:t>
      </w:r>
      <w:r>
        <w:t xml:space="preserve"> </w:t>
      </w:r>
      <w:r>
        <w:rPr>
          <w:b/>
        </w:rPr>
        <w:t xml:space="preserve">[Sic] </w:t>
      </w:r>
    </w:p>
    <w:p w14:paraId="49780CEB" w14:textId="77777777" w:rsidR="003F55B2" w:rsidRDefault="003F55B2" w:rsidP="000F1FE8">
      <w:pPr>
        <w:pStyle w:val="Default"/>
        <w:spacing w:before="240" w:after="160" w:line="360" w:lineRule="auto"/>
        <w:jc w:val="both"/>
        <w:rPr>
          <w:rFonts w:ascii="Palatino Linotype" w:hAnsi="Palatino Linotype"/>
          <w:lang w:eastAsia="es-MX"/>
        </w:rPr>
      </w:pPr>
    </w:p>
    <w:p w14:paraId="7B037C06" w14:textId="3E481575" w:rsidR="007D6641" w:rsidRPr="009F7941" w:rsidRDefault="007D6641" w:rsidP="007D6641">
      <w:pPr>
        <w:pStyle w:val="Prrafodelista"/>
        <w:autoSpaceDE w:val="0"/>
        <w:autoSpaceDN w:val="0"/>
        <w:adjustRightInd w:val="0"/>
        <w:spacing w:before="240" w:after="160" w:line="360" w:lineRule="auto"/>
        <w:ind w:left="0"/>
        <w:jc w:val="both"/>
        <w:rPr>
          <w:rFonts w:ascii="Palatino Linotype" w:hAnsi="Palatino Linotype" w:cs="Arial"/>
        </w:rPr>
      </w:pPr>
      <w:r w:rsidRPr="009F7941">
        <w:rPr>
          <w:rFonts w:ascii="Palatino Linotype" w:hAnsi="Palatino Linotype"/>
        </w:rPr>
        <w:t xml:space="preserve">Bajo </w:t>
      </w:r>
      <w:r>
        <w:rPr>
          <w:rFonts w:ascii="Palatino Linotype" w:hAnsi="Palatino Linotype"/>
        </w:rPr>
        <w:t xml:space="preserve">estas líneas argumentativas, la parte de la solicitud </w:t>
      </w:r>
      <w:r>
        <w:rPr>
          <w:rFonts w:ascii="Palatino Linotype" w:hAnsi="Palatino Linotype" w:cs="Arial"/>
          <w:b/>
        </w:rPr>
        <w:t xml:space="preserve">00340/MELOCAM/IP/2023 </w:t>
      </w:r>
      <w:r>
        <w:rPr>
          <w:rFonts w:ascii="Palatino Linotype" w:hAnsi="Palatino Linotype" w:cs="Arial"/>
        </w:rPr>
        <w:t xml:space="preserve">sobre la que no se expresó inconformidad </w:t>
      </w:r>
      <w:r w:rsidR="00A16EAB" w:rsidRPr="00A16EAB">
        <w:rPr>
          <w:rFonts w:ascii="Palatino Linotype" w:hAnsi="Palatino Linotype" w:cs="Arial"/>
          <w:b/>
          <w:bCs/>
        </w:rPr>
        <w:t>-directorio, domicilio, correos y presupuesto de egresos 2019 del Ayuntamiento de Melchor Ocampo-</w:t>
      </w:r>
      <w:r w:rsidR="00A16EAB">
        <w:rPr>
          <w:rFonts w:ascii="Palatino Linotype" w:hAnsi="Palatino Linotype" w:cs="Arial"/>
          <w:b/>
          <w:bCs/>
        </w:rPr>
        <w:t xml:space="preserve"> </w:t>
      </w:r>
      <w:r w:rsidR="00A16EAB">
        <w:rPr>
          <w:rFonts w:ascii="Palatino Linotype" w:hAnsi="Palatino Linotype" w:cs="Arial"/>
        </w:rPr>
        <w:t xml:space="preserve">(requerimiento 1, 3 parcialmente y 4 parcialmente) </w:t>
      </w:r>
      <w:r>
        <w:rPr>
          <w:rFonts w:ascii="Palatino Linotype" w:hAnsi="Palatino Linotype" w:cs="Arial"/>
        </w:rPr>
        <w:t xml:space="preserve">debe declararse consentida por el hoy </w:t>
      </w:r>
      <w:r>
        <w:rPr>
          <w:rFonts w:ascii="Palatino Linotype" w:hAnsi="Palatino Linotype" w:cs="Arial"/>
          <w:b/>
        </w:rPr>
        <w:t xml:space="preserve">Recurrente, </w:t>
      </w:r>
      <w:r>
        <w:rPr>
          <w:rFonts w:ascii="Palatino Linotype" w:hAnsi="Palatino Linotype" w:cs="Arial"/>
        </w:rPr>
        <w:lastRenderedPageBreak/>
        <w:t xml:space="preserve">ya que no pueden producirse efectos jurídicos tendentes a revocar </w:t>
      </w:r>
      <w:r w:rsidRPr="009F7941">
        <w:rPr>
          <w:rFonts w:ascii="Palatino Linotype" w:hAnsi="Palatino Linotype"/>
        </w:rPr>
        <w:t xml:space="preserve"> </w:t>
      </w:r>
      <w:r w:rsidRPr="009F7941">
        <w:rPr>
          <w:rFonts w:ascii="Palatino Linotype" w:hAnsi="Palatino Linotype" w:cs="Arial"/>
          <w:lang w:eastAsia="es-MX"/>
        </w:rPr>
        <w:t xml:space="preserve">confirmar o modificar la parte de la respuesta con relación a la parte de la solicitud que no fue motivo de disenso ya que se infiere un consentimiento de </w:t>
      </w:r>
      <w:r>
        <w:rPr>
          <w:rFonts w:ascii="Palatino Linotype" w:hAnsi="Palatino Linotype" w:cs="Arial"/>
          <w:b/>
          <w:bCs/>
          <w:lang w:eastAsia="es-MX"/>
        </w:rPr>
        <w:t>El</w:t>
      </w:r>
      <w:r w:rsidRPr="009F7941">
        <w:rPr>
          <w:rFonts w:ascii="Palatino Linotype" w:hAnsi="Palatino Linotype" w:cs="Arial"/>
          <w:lang w:eastAsia="es-MX"/>
        </w:rPr>
        <w:t xml:space="preserve"> </w:t>
      </w:r>
      <w:r w:rsidRPr="009F7941">
        <w:rPr>
          <w:rFonts w:ascii="Palatino Linotype" w:hAnsi="Palatino Linotype" w:cs="Arial"/>
          <w:b/>
          <w:lang w:eastAsia="es-MX"/>
        </w:rPr>
        <w:t>Recurrente</w:t>
      </w:r>
      <w:r w:rsidRPr="009F7941">
        <w:rPr>
          <w:rFonts w:ascii="Palatino Linotype" w:hAnsi="Palatino Linotype" w:cs="Arial"/>
          <w:lang w:eastAsia="es-MX"/>
        </w:rPr>
        <w:t xml:space="preserve"> ante la falta de impugnación eficaz. </w:t>
      </w:r>
      <w:r w:rsidRPr="009F7941">
        <w:rPr>
          <w:rFonts w:ascii="Palatino Linotype" w:hAnsi="Palatino Linotype" w:cs="Arial"/>
        </w:rPr>
        <w:t xml:space="preserve">Sirve de sustento a lo anterior, por analogía, la tesis jurisprudencial, que a la letra dice: </w:t>
      </w:r>
    </w:p>
    <w:p w14:paraId="4FB9FD8C" w14:textId="77777777" w:rsidR="007D6641" w:rsidRPr="001300D8" w:rsidRDefault="007D6641" w:rsidP="007D6641">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“Época: Novena</w:t>
      </w:r>
    </w:p>
    <w:p w14:paraId="2D40B801" w14:textId="77777777" w:rsidR="007D6641" w:rsidRPr="001300D8" w:rsidRDefault="007D6641" w:rsidP="007D6641">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Registro: 176608</w:t>
      </w:r>
    </w:p>
    <w:p w14:paraId="26DFD788" w14:textId="77777777" w:rsidR="007D6641" w:rsidRPr="001300D8" w:rsidRDefault="007D6641" w:rsidP="007D6641">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Tipo de tesis: Jurisprudencia</w:t>
      </w:r>
    </w:p>
    <w:p w14:paraId="745C35B9" w14:textId="77777777" w:rsidR="007D6641" w:rsidRPr="001300D8" w:rsidRDefault="007D6641" w:rsidP="007D6641">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Fuente: Semanario Judicial de la Federación y su Gaceta</w:t>
      </w:r>
    </w:p>
    <w:p w14:paraId="1085F8B0" w14:textId="77777777" w:rsidR="007D6641" w:rsidRPr="001300D8" w:rsidRDefault="007D6641" w:rsidP="007D6641">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Diciembre de 2005, Tomo XXII</w:t>
      </w:r>
    </w:p>
    <w:p w14:paraId="7EA242CA" w14:textId="77777777" w:rsidR="007D6641" w:rsidRPr="001300D8" w:rsidRDefault="007D6641" w:rsidP="007D6641">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Materia (s): Común</w:t>
      </w:r>
    </w:p>
    <w:p w14:paraId="31E92AD5" w14:textId="77777777" w:rsidR="007D6641" w:rsidRPr="001300D8" w:rsidRDefault="007D6641" w:rsidP="007D6641">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Tesis: VI. 3o.C. J/60</w:t>
      </w:r>
    </w:p>
    <w:p w14:paraId="591CF323" w14:textId="77777777" w:rsidR="007D6641" w:rsidRPr="001300D8" w:rsidRDefault="007D6641" w:rsidP="007D6641">
      <w:pPr>
        <w:pStyle w:val="Prrafodelista"/>
        <w:spacing w:before="240" w:after="160" w:line="360" w:lineRule="auto"/>
        <w:ind w:left="851" w:right="851"/>
        <w:jc w:val="both"/>
        <w:rPr>
          <w:rFonts w:ascii="Palatino Linotype" w:hAnsi="Palatino Linotype"/>
          <w:i/>
          <w:sz w:val="22"/>
          <w:szCs w:val="22"/>
        </w:rPr>
      </w:pPr>
      <w:r w:rsidRPr="001300D8">
        <w:rPr>
          <w:rFonts w:ascii="Palatino Linotype" w:hAnsi="Palatino Linotype"/>
          <w:i/>
          <w:sz w:val="22"/>
          <w:szCs w:val="22"/>
        </w:rPr>
        <w:t>Página: 2365</w:t>
      </w:r>
    </w:p>
    <w:p w14:paraId="46A863AD" w14:textId="77777777" w:rsidR="007D6641" w:rsidRPr="001300D8" w:rsidRDefault="007D6641" w:rsidP="007D6641">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 xml:space="preserve"> </w:t>
      </w:r>
      <w:r w:rsidRPr="001300D8">
        <w:rPr>
          <w:rFonts w:ascii="Palatino Linotype" w:hAnsi="Palatino Linotype" w:cs="Arial"/>
          <w:b/>
          <w:i/>
          <w:lang w:eastAsia="es-MX"/>
        </w:rPr>
        <w:t>ACTOS CONSENTIDOS. SON LOS QUE NO SE IMPUGNAN MEDIANTE EL RECURSO IDÓNEO</w:t>
      </w:r>
      <w:r w:rsidRPr="001300D8">
        <w:rPr>
          <w:rFonts w:ascii="Palatino Linotype" w:hAnsi="Palatino Linotype" w:cs="Arial"/>
          <w:i/>
          <w:lang w:eastAsia="es-MX"/>
        </w:rPr>
        <w:t xml:space="preserve">. </w:t>
      </w:r>
    </w:p>
    <w:p w14:paraId="4504B525" w14:textId="77777777" w:rsidR="007D6641" w:rsidRPr="001300D8" w:rsidRDefault="007D6641" w:rsidP="007D6641">
      <w:pPr>
        <w:spacing w:before="240" w:line="360" w:lineRule="auto"/>
        <w:ind w:left="851" w:right="851"/>
        <w:jc w:val="both"/>
        <w:rPr>
          <w:rFonts w:ascii="Palatino Linotype" w:hAnsi="Palatino Linotype" w:cs="Arial"/>
          <w:i/>
          <w:lang w:eastAsia="es-MX"/>
        </w:rPr>
      </w:pPr>
      <w:r w:rsidRPr="001300D8">
        <w:rPr>
          <w:rFonts w:ascii="Palatino Linotype" w:hAnsi="Palatino Linotype" w:cs="Arial"/>
          <w:i/>
          <w:lang w:eastAsia="es-MX"/>
        </w:rPr>
        <w:t>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
    <w:p w14:paraId="60A6295A" w14:textId="77777777" w:rsidR="007D6641" w:rsidRPr="001300D8" w:rsidRDefault="007D6641" w:rsidP="007D6641">
      <w:pPr>
        <w:spacing w:before="240" w:line="360" w:lineRule="auto"/>
        <w:ind w:left="851" w:right="851"/>
        <w:jc w:val="both"/>
        <w:rPr>
          <w:rFonts w:ascii="Palatino Linotype" w:eastAsia="Times New Roman" w:hAnsi="Palatino Linotype" w:cs="Calibri"/>
          <w:i/>
          <w:color w:val="000000"/>
          <w:lang w:eastAsia="es-MX"/>
        </w:rPr>
      </w:pPr>
      <w:r w:rsidRPr="001300D8">
        <w:rPr>
          <w:rFonts w:ascii="Palatino Linotype" w:eastAsia="Times New Roman" w:hAnsi="Palatino Linotype" w:cs="Calibri"/>
          <w:i/>
          <w:color w:val="000000"/>
          <w:lang w:eastAsia="es-MX"/>
        </w:rPr>
        <w:lastRenderedPageBreak/>
        <w:t>TERCER TRIBUNAL COLEGIADO EN MATERIA CIVIL DEL SEXTO CIRCUITO.</w:t>
      </w:r>
    </w:p>
    <w:p w14:paraId="618D4486" w14:textId="77777777" w:rsidR="007D6641" w:rsidRPr="001300D8" w:rsidRDefault="007D6641" w:rsidP="007D6641">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en revisión 2/90. Germán Miguel Núñez Rivera. 13 de noviembre de 1990. Unanimidad de votos. Ponente: Juan Manuel Brito Velázquez. Secretaria: Luz del Carmen Herrera Calderón.</w:t>
      </w:r>
    </w:p>
    <w:p w14:paraId="038AB8ED" w14:textId="77777777" w:rsidR="007D6641" w:rsidRPr="001300D8" w:rsidRDefault="007D6641" w:rsidP="007D6641">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en revisión 393/90. Amparo </w:t>
      </w:r>
      <w:proofErr w:type="spellStart"/>
      <w:r w:rsidRPr="001300D8">
        <w:rPr>
          <w:rFonts w:ascii="Palatino Linotype" w:eastAsia="Times New Roman" w:hAnsi="Palatino Linotype" w:cs="Calibri"/>
          <w:i/>
          <w:color w:val="444444"/>
          <w:lang w:eastAsia="es-MX"/>
        </w:rPr>
        <w:t>Naylor</w:t>
      </w:r>
      <w:proofErr w:type="spellEnd"/>
      <w:r w:rsidRPr="001300D8">
        <w:rPr>
          <w:rFonts w:ascii="Palatino Linotype" w:eastAsia="Times New Roman" w:hAnsi="Palatino Linotype" w:cs="Calibri"/>
          <w:i/>
          <w:color w:val="444444"/>
          <w:lang w:eastAsia="es-MX"/>
        </w:rPr>
        <w:t xml:space="preserve"> Hernández y otros. 6 de diciembre de 1990. Unanimidad de votos. Ponente: Juan Manuel Brito Velázquez. Secretaria: María Dolores Olarte Ruvalcaba.</w:t>
      </w:r>
    </w:p>
    <w:p w14:paraId="7BE51351" w14:textId="77777777" w:rsidR="007D6641" w:rsidRPr="001300D8" w:rsidRDefault="007D6641" w:rsidP="007D6641">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Amparo directo 352/2000. Omar González Morales. 1o. de septiembre de 2000. Unanimidad de votos. Ponente: Teresa Munguía Sánchez. Secretaria: Julieta Esther Fernández Gaona.</w:t>
      </w:r>
    </w:p>
    <w:p w14:paraId="1E23059C" w14:textId="77777777" w:rsidR="007D6641" w:rsidRPr="001300D8" w:rsidRDefault="007D6641" w:rsidP="007D6641">
      <w:pPr>
        <w:spacing w:before="240" w:line="360" w:lineRule="auto"/>
        <w:ind w:left="851" w:right="851"/>
        <w:jc w:val="both"/>
        <w:rPr>
          <w:rFonts w:ascii="Palatino Linotype" w:eastAsia="Times New Roman" w:hAnsi="Palatino Linotype" w:cs="Calibri"/>
          <w:i/>
          <w:color w:val="444444"/>
          <w:lang w:eastAsia="es-MX"/>
        </w:rPr>
      </w:pPr>
      <w:r w:rsidRPr="001300D8">
        <w:rPr>
          <w:rFonts w:ascii="Palatino Linotype" w:eastAsia="Times New Roman" w:hAnsi="Palatino Linotype" w:cs="Calibri"/>
          <w:i/>
          <w:color w:val="444444"/>
          <w:lang w:eastAsia="es-MX"/>
        </w:rPr>
        <w:t xml:space="preserve">Amparo directo 366/2005. Virginia </w:t>
      </w:r>
      <w:proofErr w:type="spellStart"/>
      <w:r w:rsidRPr="001300D8">
        <w:rPr>
          <w:rFonts w:ascii="Palatino Linotype" w:eastAsia="Times New Roman" w:hAnsi="Palatino Linotype" w:cs="Calibri"/>
          <w:i/>
          <w:color w:val="444444"/>
          <w:lang w:eastAsia="es-MX"/>
        </w:rPr>
        <w:t>Quixihuitl</w:t>
      </w:r>
      <w:proofErr w:type="spellEnd"/>
      <w:r w:rsidRPr="001300D8">
        <w:rPr>
          <w:rFonts w:ascii="Palatino Linotype" w:eastAsia="Times New Roman" w:hAnsi="Palatino Linotype" w:cs="Calibri"/>
          <w:i/>
          <w:color w:val="444444"/>
          <w:lang w:eastAsia="es-MX"/>
        </w:rPr>
        <w:t xml:space="preserve"> Burgos y otra. 14 de octubre de 2005. Unanimidad de votos. Ponente: Norma </w:t>
      </w:r>
      <w:proofErr w:type="spellStart"/>
      <w:r w:rsidRPr="001300D8">
        <w:rPr>
          <w:rFonts w:ascii="Palatino Linotype" w:eastAsia="Times New Roman" w:hAnsi="Palatino Linotype" w:cs="Calibri"/>
          <w:i/>
          <w:color w:val="444444"/>
          <w:lang w:eastAsia="es-MX"/>
        </w:rPr>
        <w:t>Fiallega</w:t>
      </w:r>
      <w:proofErr w:type="spellEnd"/>
      <w:r w:rsidRPr="001300D8">
        <w:rPr>
          <w:rFonts w:ascii="Palatino Linotype" w:eastAsia="Times New Roman" w:hAnsi="Palatino Linotype" w:cs="Calibri"/>
          <w:i/>
          <w:color w:val="444444"/>
          <w:lang w:eastAsia="es-MX"/>
        </w:rPr>
        <w:t xml:space="preserve"> Sánchez. Secretario: Horacio Óscar Rosete Mentado.</w:t>
      </w:r>
    </w:p>
    <w:p w14:paraId="409AFCD3" w14:textId="77777777" w:rsidR="007D6641" w:rsidRDefault="007D6641" w:rsidP="007D6641">
      <w:pPr>
        <w:spacing w:before="240" w:line="360" w:lineRule="auto"/>
        <w:ind w:left="851" w:right="851"/>
        <w:jc w:val="both"/>
        <w:rPr>
          <w:rFonts w:ascii="Palatino Linotype" w:eastAsia="Times New Roman" w:hAnsi="Palatino Linotype" w:cs="Calibri"/>
          <w:b/>
          <w:i/>
          <w:color w:val="444444"/>
          <w:lang w:eastAsia="es-MX"/>
        </w:rPr>
      </w:pPr>
      <w:r w:rsidRPr="001300D8">
        <w:rPr>
          <w:rFonts w:ascii="Palatino Linotype" w:eastAsia="Times New Roman" w:hAnsi="Palatino Linotype" w:cs="Calibri"/>
          <w:i/>
          <w:color w:val="444444"/>
          <w:lang w:eastAsia="es-MX"/>
        </w:rPr>
        <w:t xml:space="preserve">Amparo en revisión 353/2005. Francisco Torres Coronel y otro. 4 de noviembre de 2005. Unanimidad de votos. Ponente: Filiberto Méndez Gutiérrez. Secretaria: Carla </w:t>
      </w:r>
      <w:proofErr w:type="spellStart"/>
      <w:r w:rsidRPr="001300D8">
        <w:rPr>
          <w:rFonts w:ascii="Palatino Linotype" w:eastAsia="Times New Roman" w:hAnsi="Palatino Linotype" w:cs="Calibri"/>
          <w:i/>
          <w:color w:val="444444"/>
          <w:lang w:eastAsia="es-MX"/>
        </w:rPr>
        <w:t>Isselín</w:t>
      </w:r>
      <w:proofErr w:type="spellEnd"/>
      <w:r w:rsidRPr="001300D8">
        <w:rPr>
          <w:rFonts w:ascii="Palatino Linotype" w:eastAsia="Times New Roman" w:hAnsi="Palatino Linotype" w:cs="Calibri"/>
          <w:i/>
          <w:color w:val="444444"/>
          <w:lang w:eastAsia="es-MX"/>
        </w:rPr>
        <w:t xml:space="preserve"> Talavera.” </w:t>
      </w:r>
      <w:r w:rsidRPr="001300D8">
        <w:rPr>
          <w:rFonts w:ascii="Palatino Linotype" w:eastAsia="Times New Roman" w:hAnsi="Palatino Linotype" w:cs="Calibri"/>
          <w:b/>
          <w:i/>
          <w:color w:val="444444"/>
          <w:lang w:eastAsia="es-MX"/>
        </w:rPr>
        <w:t>[Sic]</w:t>
      </w:r>
    </w:p>
    <w:p w14:paraId="14E20B9D" w14:textId="77777777" w:rsidR="007D6641" w:rsidRDefault="007D6641" w:rsidP="007D6641">
      <w:pPr>
        <w:spacing w:after="0" w:line="360" w:lineRule="auto"/>
        <w:jc w:val="both"/>
        <w:rPr>
          <w:rFonts w:ascii="Palatino Linotype" w:hAnsi="Palatino Linotype" w:cs="Arial"/>
          <w:noProof/>
          <w:color w:val="000000"/>
          <w:sz w:val="24"/>
          <w:lang w:eastAsia="es-MX"/>
        </w:rPr>
      </w:pPr>
    </w:p>
    <w:p w14:paraId="3EE43B29" w14:textId="77777777" w:rsidR="007D6641" w:rsidRDefault="007D6641" w:rsidP="007D6641">
      <w:pPr>
        <w:spacing w:after="0" w:line="360" w:lineRule="auto"/>
        <w:jc w:val="both"/>
        <w:rPr>
          <w:rFonts w:ascii="Palatino Linotype" w:hAnsi="Palatino Linotype" w:cs="Arial"/>
          <w:noProof/>
          <w:color w:val="000000"/>
          <w:sz w:val="24"/>
          <w:lang w:eastAsia="es-MX"/>
        </w:rPr>
      </w:pPr>
      <w:r>
        <w:rPr>
          <w:rFonts w:ascii="Palatino Linotype" w:hAnsi="Palatino Linotype" w:cs="Arial"/>
          <w:noProof/>
          <w:color w:val="000000"/>
          <w:sz w:val="24"/>
          <w:lang w:eastAsia="es-MX"/>
        </w:rPr>
        <w:t xml:space="preserve">De forma complementaria, robustece lo anterior el criterio </w:t>
      </w:r>
      <w:r>
        <w:rPr>
          <w:rFonts w:ascii="Palatino Linotype" w:hAnsi="Palatino Linotype" w:cs="Arial"/>
          <w:b/>
          <w:bCs/>
          <w:noProof/>
          <w:color w:val="000000"/>
          <w:sz w:val="24"/>
          <w:lang w:eastAsia="es-MX"/>
        </w:rPr>
        <w:t xml:space="preserve">01/20 </w:t>
      </w:r>
      <w:r>
        <w:rPr>
          <w:rFonts w:ascii="Palatino Linotype" w:hAnsi="Palatino Linotype" w:cs="Arial"/>
          <w:noProof/>
          <w:color w:val="000000"/>
          <w:sz w:val="24"/>
          <w:lang w:eastAsia="es-MX"/>
        </w:rPr>
        <w:t xml:space="preserve">emitido por el Instituto Nacional de Transparencia, Acceso a la Información y Protección de Datos Personales, cuyo rubro y texto señalan a la literalidad lo siguiente: </w:t>
      </w:r>
    </w:p>
    <w:p w14:paraId="54BE656A" w14:textId="77777777" w:rsidR="007D6641" w:rsidRDefault="007D6641" w:rsidP="007D6641">
      <w:pPr>
        <w:pStyle w:val="Citas"/>
        <w:rPr>
          <w:b/>
        </w:rPr>
      </w:pPr>
      <w:r>
        <w:rPr>
          <w:b/>
        </w:rPr>
        <w:lastRenderedPageBreak/>
        <w:t>“</w:t>
      </w:r>
      <w:r w:rsidRPr="00D83913">
        <w:rPr>
          <w:b/>
        </w:rPr>
        <w:t>ACTOS CONSENTIDOS</w:t>
      </w:r>
      <w:r>
        <w:rPr>
          <w:b/>
        </w:rPr>
        <w:t xml:space="preserve"> TÁCITAMENTE</w:t>
      </w:r>
      <w:r w:rsidRPr="00D83913">
        <w:rPr>
          <w:b/>
        </w:rPr>
        <w:t xml:space="preserve">. </w:t>
      </w:r>
      <w:r w:rsidRPr="004A37A7">
        <w:rPr>
          <w:b/>
        </w:rPr>
        <w:t>IMPROCEDENCIA</w:t>
      </w:r>
      <w:r w:rsidRPr="00D83913">
        <w:rPr>
          <w:b/>
        </w:rPr>
        <w:t xml:space="preserve"> DE SU ANÁLISIS. </w:t>
      </w:r>
    </w:p>
    <w:p w14:paraId="27458553" w14:textId="77777777" w:rsidR="007D6641" w:rsidRPr="0071419E" w:rsidRDefault="007D6641" w:rsidP="007D6641">
      <w:pPr>
        <w:pStyle w:val="Citas"/>
        <w:rPr>
          <w:strike/>
        </w:rPr>
      </w:pPr>
      <w:r>
        <w:t xml:space="preserve">Si en su recurso de revisión, la persona recurrente </w:t>
      </w:r>
      <w:r w:rsidRPr="00D83913">
        <w:t xml:space="preserve">no expresó inconformidad alguna con ciertas partes de la respuesta otorgada, </w:t>
      </w:r>
      <w:r w:rsidRPr="0071419E">
        <w:t xml:space="preserve">se entienden tácitamente consentidas, por ende, no deben formar parte del estudio de fondo de la resolución que emite el Instituto. </w:t>
      </w:r>
    </w:p>
    <w:p w14:paraId="3118979F" w14:textId="77777777" w:rsidR="007D6641" w:rsidRPr="00D83913" w:rsidRDefault="007D6641" w:rsidP="007D6641">
      <w:pPr>
        <w:pStyle w:val="Citas"/>
        <w:rPr>
          <w:b/>
          <w:bCs/>
        </w:rPr>
      </w:pPr>
      <w:r w:rsidRPr="00D83913">
        <w:rPr>
          <w:b/>
          <w:bCs/>
        </w:rPr>
        <w:t>Resoluciones</w:t>
      </w:r>
      <w:r>
        <w:rPr>
          <w:b/>
          <w:bCs/>
        </w:rPr>
        <w:t>:</w:t>
      </w:r>
    </w:p>
    <w:p w14:paraId="177D79C5" w14:textId="77777777" w:rsidR="007D6641" w:rsidRPr="00D83913" w:rsidRDefault="007D6641" w:rsidP="007D6641">
      <w:pPr>
        <w:pStyle w:val="Citas"/>
      </w:pPr>
      <w:r w:rsidRPr="00D83913">
        <w:rPr>
          <w:b/>
        </w:rPr>
        <w:t xml:space="preserve">RRA 4548/18. </w:t>
      </w:r>
      <w:r w:rsidRPr="00D83913">
        <w:t>Instituto de Seguridad y Servicios Sociales de los Trabajadores del Estado. 12 de septiembre de 2018. Por unanimidad. Comisionado Ponente Oscar Mauricio Guerra Ford.</w:t>
      </w:r>
    </w:p>
    <w:p w14:paraId="43B52739" w14:textId="77777777" w:rsidR="007D6641" w:rsidRPr="009754D6" w:rsidRDefault="00B90AA8" w:rsidP="007D6641">
      <w:pPr>
        <w:pStyle w:val="Citas"/>
        <w:rPr>
          <w:sz w:val="20"/>
        </w:rPr>
      </w:pPr>
      <w:hyperlink r:id="rId16" w:history="1">
        <w:r w:rsidR="007D6641" w:rsidRPr="009754D6">
          <w:rPr>
            <w:rStyle w:val="Hipervnculo"/>
          </w:rPr>
          <w:t>http://consultas.ifai.org.mx/descargar.php?r=./pdf/resoluciones/2018/&amp;a=RRA%204548.pdf</w:t>
        </w:r>
      </w:hyperlink>
    </w:p>
    <w:p w14:paraId="17AE9970" w14:textId="77777777" w:rsidR="007D6641" w:rsidRPr="009754D6" w:rsidRDefault="007D6641" w:rsidP="007D6641">
      <w:pPr>
        <w:pStyle w:val="Citas"/>
        <w:rPr>
          <w:b/>
        </w:rPr>
      </w:pPr>
      <w:r w:rsidRPr="009754D6">
        <w:rPr>
          <w:b/>
        </w:rPr>
        <w:t xml:space="preserve">RRA 5097/18. </w:t>
      </w:r>
      <w:r w:rsidRPr="009754D6">
        <w:t>Secretaría de Hacienda y Crédito Público. 05 de septiembre de 2018. Por unanimidad. Comisionado Ponente Joel Salas Suárez.</w:t>
      </w:r>
    </w:p>
    <w:p w14:paraId="20412E76" w14:textId="77777777" w:rsidR="007D6641" w:rsidRPr="009754D6" w:rsidRDefault="00B90AA8" w:rsidP="007D6641">
      <w:pPr>
        <w:pStyle w:val="Citas"/>
        <w:rPr>
          <w:sz w:val="20"/>
        </w:rPr>
      </w:pPr>
      <w:hyperlink r:id="rId17" w:history="1">
        <w:r w:rsidR="007D6641" w:rsidRPr="009754D6">
          <w:rPr>
            <w:rStyle w:val="Hipervnculo"/>
          </w:rPr>
          <w:t>http://consultas.ifai.org.mx/descargar.php?r=./pdf/resoluciones/2018/&amp;a=RRA%205097.pdf</w:t>
        </w:r>
      </w:hyperlink>
    </w:p>
    <w:p w14:paraId="7FA0375C" w14:textId="77777777" w:rsidR="007D6641" w:rsidRPr="009754D6" w:rsidRDefault="007D6641" w:rsidP="007D6641">
      <w:pPr>
        <w:pStyle w:val="Citas"/>
        <w:rPr>
          <w:b/>
        </w:rPr>
      </w:pPr>
      <w:r w:rsidRPr="009754D6">
        <w:rPr>
          <w:b/>
        </w:rPr>
        <w:t xml:space="preserve">RRA 14270/19. </w:t>
      </w:r>
      <w:r w:rsidRPr="009754D6">
        <w:t>Registro Agrario Nacional. 22 de enero de 2020. Por unanimidad. Comisionado Ponente Francisco Javier Acuña Llamas.</w:t>
      </w:r>
    </w:p>
    <w:p w14:paraId="4078C41A" w14:textId="77777777" w:rsidR="007D6641" w:rsidRPr="009754D6" w:rsidRDefault="00B90AA8" w:rsidP="007D6641">
      <w:pPr>
        <w:pStyle w:val="Citas"/>
        <w:rPr>
          <w:rStyle w:val="Hipervnculo"/>
          <w:b/>
          <w:bCs/>
          <w:color w:val="auto"/>
          <w:sz w:val="24"/>
          <w:szCs w:val="24"/>
          <w:u w:val="none"/>
          <w:lang w:val="en-US"/>
        </w:rPr>
      </w:pPr>
      <w:hyperlink r:id="rId18" w:history="1">
        <w:r w:rsidR="007D6641" w:rsidRPr="009754D6">
          <w:rPr>
            <w:rStyle w:val="Hipervnculo"/>
            <w:lang w:val="en-US"/>
          </w:rPr>
          <w:t>http://consultas.ifai.org.mx/descargar.php?r=./pdf/resoluciones/2019/&amp;a=RRA%2014270.pdf</w:t>
        </w:r>
      </w:hyperlink>
      <w:proofErr w:type="gramStart"/>
      <w:r w:rsidR="007D6641" w:rsidRPr="009754D6">
        <w:rPr>
          <w:rStyle w:val="Hipervnculo"/>
          <w:sz w:val="20"/>
          <w:lang w:val="en-US"/>
        </w:rPr>
        <w:t xml:space="preserve">” </w:t>
      </w:r>
      <w:r w:rsidR="007D6641" w:rsidRPr="009754D6">
        <w:rPr>
          <w:rStyle w:val="Hipervnculo"/>
          <w:i w:val="0"/>
          <w:iCs/>
          <w:sz w:val="24"/>
          <w:szCs w:val="24"/>
          <w:u w:val="none"/>
          <w:lang w:val="en-US"/>
        </w:rPr>
        <w:t xml:space="preserve"> </w:t>
      </w:r>
      <w:r w:rsidR="007D6641" w:rsidRPr="009754D6">
        <w:rPr>
          <w:rStyle w:val="Hipervnculo"/>
          <w:b/>
          <w:bCs/>
          <w:color w:val="auto"/>
          <w:sz w:val="24"/>
          <w:szCs w:val="24"/>
          <w:u w:val="none"/>
          <w:lang w:val="en-US"/>
        </w:rPr>
        <w:t>[</w:t>
      </w:r>
      <w:proofErr w:type="gramEnd"/>
      <w:r w:rsidR="007D6641" w:rsidRPr="009754D6">
        <w:rPr>
          <w:rStyle w:val="Hipervnculo"/>
          <w:b/>
          <w:bCs/>
          <w:color w:val="auto"/>
          <w:sz w:val="24"/>
          <w:szCs w:val="24"/>
          <w:u w:val="none"/>
          <w:lang w:val="en-US"/>
        </w:rPr>
        <w:t xml:space="preserve">Sic] </w:t>
      </w:r>
    </w:p>
    <w:p w14:paraId="403C3EFA" w14:textId="77777777" w:rsidR="00A16EAB" w:rsidRPr="00AE49DD" w:rsidRDefault="00A16EAB" w:rsidP="00382012">
      <w:pPr>
        <w:pStyle w:val="Citas"/>
        <w:ind w:left="0" w:right="0"/>
        <w:rPr>
          <w:i w:val="0"/>
          <w:sz w:val="24"/>
          <w:szCs w:val="24"/>
          <w:lang w:val="en-US"/>
        </w:rPr>
      </w:pPr>
    </w:p>
    <w:p w14:paraId="42359487" w14:textId="6E6BFFAB" w:rsidR="00382012" w:rsidRDefault="000D7F7B" w:rsidP="00382012">
      <w:pPr>
        <w:pStyle w:val="Citas"/>
        <w:ind w:left="0" w:right="0"/>
        <w:rPr>
          <w:i w:val="0"/>
          <w:sz w:val="24"/>
          <w:szCs w:val="24"/>
        </w:rPr>
      </w:pPr>
      <w:r>
        <w:rPr>
          <w:i w:val="0"/>
          <w:sz w:val="24"/>
          <w:szCs w:val="24"/>
        </w:rPr>
        <w:lastRenderedPageBreak/>
        <w:t>Luego entonces</w:t>
      </w:r>
      <w:r w:rsidR="00B00C80">
        <w:rPr>
          <w:i w:val="0"/>
          <w:sz w:val="24"/>
          <w:szCs w:val="24"/>
        </w:rPr>
        <w:t xml:space="preserve">, a toda luz se desprende que las razones o motivos de inconformidad esgrimidos por el particular se encuentran encauzados a denotar la actualización de la causal de procedencia prevista en el artículo 179, </w:t>
      </w:r>
      <w:r w:rsidR="007D6641">
        <w:rPr>
          <w:i w:val="0"/>
          <w:sz w:val="24"/>
          <w:szCs w:val="24"/>
        </w:rPr>
        <w:t>fracciones I y V</w:t>
      </w:r>
      <w:r w:rsidR="00E075D4">
        <w:rPr>
          <w:i w:val="0"/>
          <w:sz w:val="24"/>
          <w:szCs w:val="24"/>
        </w:rPr>
        <w:t xml:space="preserve"> </w:t>
      </w:r>
      <w:r w:rsidR="00382012">
        <w:rPr>
          <w:i w:val="0"/>
          <w:sz w:val="24"/>
          <w:szCs w:val="24"/>
        </w:rPr>
        <w:t>de la Ley de Transparencia y Acceso a la Información Pública del Estado de México y Municipios, normatividad que dispone a la literalidad lo siguiente:</w:t>
      </w:r>
    </w:p>
    <w:p w14:paraId="7F91DB8B" w14:textId="77777777" w:rsidR="00B00C80" w:rsidRDefault="00B00C80" w:rsidP="00B00C80">
      <w:pPr>
        <w:pStyle w:val="Citas"/>
      </w:pPr>
      <w:r>
        <w:t>“</w:t>
      </w:r>
      <w:r w:rsidRPr="00615A99">
        <w:t>Artículo 179. El recurso de revisión es un medio de protección que la Ley otorga a los particulares, para hacer valer su derecho de acceso a la información pública, y procederá en contra de las siguientes causas:</w:t>
      </w:r>
    </w:p>
    <w:p w14:paraId="19A06C78" w14:textId="77777777" w:rsidR="00B00C80" w:rsidRDefault="00B00C80" w:rsidP="00B00C80">
      <w:pPr>
        <w:pStyle w:val="Citas"/>
      </w:pPr>
      <w:r>
        <w:t xml:space="preserve">I. La negativa a la información solicitada; </w:t>
      </w:r>
    </w:p>
    <w:p w14:paraId="738FCC99" w14:textId="77777777" w:rsidR="007D6641" w:rsidRDefault="00E075D4" w:rsidP="00B00C80">
      <w:pPr>
        <w:pStyle w:val="Citas"/>
      </w:pPr>
      <w:r>
        <w:t xml:space="preserve"> </w:t>
      </w:r>
      <w:r w:rsidR="00382012">
        <w:t>(…)</w:t>
      </w:r>
    </w:p>
    <w:p w14:paraId="0A00C1B7" w14:textId="2A75B8EC" w:rsidR="007D6641" w:rsidRDefault="007D6641" w:rsidP="00B00C80">
      <w:pPr>
        <w:pStyle w:val="Citas"/>
      </w:pPr>
      <w:r>
        <w:t>V. La entrega de información incompleta;</w:t>
      </w:r>
    </w:p>
    <w:p w14:paraId="3A6DEC92" w14:textId="14833E7B" w:rsidR="00B00C80" w:rsidRPr="007818E1" w:rsidRDefault="007D6641" w:rsidP="00B00C80">
      <w:pPr>
        <w:pStyle w:val="Citas"/>
        <w:rPr>
          <w:b/>
        </w:rPr>
      </w:pPr>
      <w:r>
        <w:t>(…)</w:t>
      </w:r>
      <w:r w:rsidR="00B00C80">
        <w:t xml:space="preserve">” </w:t>
      </w:r>
      <w:r w:rsidR="00B00C80">
        <w:rPr>
          <w:b/>
        </w:rPr>
        <w:t>[Sic]</w:t>
      </w:r>
    </w:p>
    <w:p w14:paraId="371605D1" w14:textId="77777777" w:rsidR="003E20B4" w:rsidRDefault="003E20B4" w:rsidP="005F4BA7">
      <w:pPr>
        <w:spacing w:after="0" w:line="360" w:lineRule="auto"/>
        <w:jc w:val="both"/>
        <w:rPr>
          <w:rFonts w:ascii="Palatino Linotype" w:hAnsi="Palatino Linotype"/>
          <w:bCs/>
        </w:rPr>
      </w:pPr>
    </w:p>
    <w:p w14:paraId="2F592F43" w14:textId="77777777" w:rsidR="00A16EAB" w:rsidRDefault="00A16EAB" w:rsidP="00A16EAB">
      <w:pPr>
        <w:pStyle w:val="Prrafodelista"/>
        <w:autoSpaceDE w:val="0"/>
        <w:autoSpaceDN w:val="0"/>
        <w:adjustRightInd w:val="0"/>
        <w:spacing w:before="240" w:after="160" w:line="360" w:lineRule="auto"/>
        <w:ind w:left="0"/>
        <w:jc w:val="both"/>
        <w:rPr>
          <w:rFonts w:ascii="Palatino Linotype" w:hAnsi="Palatino Linotype" w:cs="Arial"/>
          <w:color w:val="000000"/>
          <w:lang w:val="es-ES_tradnl"/>
        </w:rPr>
      </w:pPr>
      <w:r>
        <w:rPr>
          <w:rFonts w:ascii="Palatino Linotype" w:hAnsi="Palatino Linotype" w:cs="Arial"/>
          <w:color w:val="000000"/>
          <w:lang w:val="es-ES_tradnl"/>
        </w:rPr>
        <w:t xml:space="preserve">Por otra parte, como fue referido en el antecedente quinto, </w:t>
      </w:r>
      <w:r>
        <w:rPr>
          <w:rFonts w:ascii="Palatino Linotype" w:hAnsi="Palatino Linotype" w:cs="Arial"/>
          <w:b/>
          <w:bCs/>
          <w:color w:val="000000"/>
          <w:lang w:val="es-ES_tradnl"/>
        </w:rPr>
        <w:t xml:space="preserve">El Sujeto Obligado </w:t>
      </w:r>
      <w:r>
        <w:rPr>
          <w:rFonts w:ascii="Palatino Linotype" w:hAnsi="Palatino Linotype" w:cs="Arial"/>
          <w:color w:val="000000"/>
          <w:lang w:val="es-ES_tradnl"/>
        </w:rPr>
        <w:t>rindió su informe justificado en los siguientes términos:</w:t>
      </w:r>
    </w:p>
    <w:p w14:paraId="6A6F9B98" w14:textId="18F16B2E" w:rsidR="00A16EAB" w:rsidRPr="009314F6" w:rsidRDefault="00A16EAB" w:rsidP="00A16EAB">
      <w:pPr>
        <w:pStyle w:val="Prrafodelista"/>
        <w:numPr>
          <w:ilvl w:val="0"/>
          <w:numId w:val="45"/>
        </w:numPr>
        <w:spacing w:line="360" w:lineRule="auto"/>
        <w:jc w:val="both"/>
        <w:rPr>
          <w:rFonts w:ascii="Palatino Linotype" w:hAnsi="Palatino Linotype" w:cs="Arial"/>
          <w:b/>
          <w:bCs/>
          <w:lang w:val="es-MX"/>
        </w:rPr>
      </w:pPr>
      <w:r w:rsidRPr="00A16EAB">
        <w:rPr>
          <w:rFonts w:ascii="Palatino Linotype" w:hAnsi="Palatino Linotype" w:cs="Arial"/>
          <w:b/>
          <w:bCs/>
          <w:lang w:val="es-MX"/>
        </w:rPr>
        <w:t xml:space="preserve">“OF TESORERIA_RR 06845_2023.pdf”: </w:t>
      </w:r>
      <w:r w:rsidRPr="00A16EAB">
        <w:rPr>
          <w:rFonts w:ascii="Palatino Linotype" w:hAnsi="Palatino Linotype" w:cs="Arial"/>
          <w:lang w:val="es-MX"/>
        </w:rPr>
        <w:t>Oficio</w:t>
      </w:r>
      <w:r>
        <w:rPr>
          <w:rFonts w:ascii="Palatino Linotype" w:hAnsi="Palatino Linotype" w:cs="Arial"/>
          <w:lang w:val="es-MX"/>
        </w:rPr>
        <w:t xml:space="preserve"> número </w:t>
      </w:r>
      <w:r>
        <w:rPr>
          <w:rFonts w:ascii="Palatino Linotype" w:hAnsi="Palatino Linotype" w:cs="Arial"/>
          <w:b/>
          <w:bCs/>
          <w:lang w:val="es-MX"/>
        </w:rPr>
        <w:t xml:space="preserve">TM/IN/648/2023 </w:t>
      </w:r>
      <w:r>
        <w:rPr>
          <w:rFonts w:ascii="Palatino Linotype" w:hAnsi="Palatino Linotype" w:cs="Arial"/>
          <w:lang w:val="es-MX"/>
        </w:rPr>
        <w:t xml:space="preserve">signado por el tesorero municipal y dirigido al comisionado presidente, en lo medular ratifica el presupuesto de egresos 2019 correspondiente al Ayuntamiento de Melchor Ocampo.  </w:t>
      </w:r>
    </w:p>
    <w:p w14:paraId="1CC3E52E" w14:textId="77777777" w:rsidR="009314F6" w:rsidRPr="00A16EAB" w:rsidRDefault="009314F6" w:rsidP="009314F6">
      <w:pPr>
        <w:pStyle w:val="Prrafodelista"/>
        <w:spacing w:line="360" w:lineRule="auto"/>
        <w:ind w:left="720"/>
        <w:jc w:val="both"/>
        <w:rPr>
          <w:rFonts w:ascii="Palatino Linotype" w:hAnsi="Palatino Linotype" w:cs="Arial"/>
          <w:b/>
          <w:bCs/>
          <w:lang w:val="es-MX"/>
        </w:rPr>
      </w:pPr>
    </w:p>
    <w:p w14:paraId="4E9E0004" w14:textId="520161BC" w:rsidR="00A16EAB" w:rsidRPr="009314F6" w:rsidRDefault="00A16EAB" w:rsidP="00A16EAB">
      <w:pPr>
        <w:pStyle w:val="Prrafodelista"/>
        <w:numPr>
          <w:ilvl w:val="0"/>
          <w:numId w:val="45"/>
        </w:numPr>
        <w:spacing w:line="360" w:lineRule="auto"/>
        <w:jc w:val="both"/>
        <w:rPr>
          <w:rFonts w:ascii="Palatino Linotype" w:hAnsi="Palatino Linotype" w:cs="Arial"/>
          <w:b/>
          <w:bCs/>
          <w:lang w:val="es-MX"/>
        </w:rPr>
      </w:pPr>
      <w:r w:rsidRPr="00A16EAB">
        <w:rPr>
          <w:rFonts w:ascii="Palatino Linotype" w:hAnsi="Palatino Linotype" w:cs="Arial"/>
          <w:b/>
          <w:bCs/>
          <w:lang w:val="es-MX"/>
        </w:rPr>
        <w:lastRenderedPageBreak/>
        <w:t xml:space="preserve">“OF_ADMON_RR 06845_2023.pdf”: </w:t>
      </w:r>
      <w:r w:rsidRPr="00A16EAB">
        <w:rPr>
          <w:rFonts w:ascii="Palatino Linotype" w:hAnsi="Palatino Linotype" w:cs="Arial"/>
          <w:lang w:val="es-MX"/>
        </w:rPr>
        <w:t>Oficio númer</w:t>
      </w:r>
      <w:r>
        <w:rPr>
          <w:rFonts w:ascii="Palatino Linotype" w:hAnsi="Palatino Linotype" w:cs="Arial"/>
          <w:lang w:val="es-MX"/>
        </w:rPr>
        <w:t xml:space="preserve">o </w:t>
      </w:r>
      <w:r>
        <w:rPr>
          <w:rFonts w:ascii="Palatino Linotype" w:hAnsi="Palatino Linotype" w:cs="Arial"/>
          <w:b/>
          <w:bCs/>
          <w:lang w:val="es-MX"/>
        </w:rPr>
        <w:t xml:space="preserve">ADMON/DG/713/2023 </w:t>
      </w:r>
      <w:r>
        <w:rPr>
          <w:rFonts w:ascii="Palatino Linotype" w:hAnsi="Palatino Linotype" w:cs="Arial"/>
          <w:lang w:val="es-MX"/>
        </w:rPr>
        <w:t xml:space="preserve">signado por la directora de administración y dirigido al solicitante de información, de fecha dieciséis de octubre de dos mil veintitrés, refiere adjuntar directorio de la administración pública 2019-2021. </w:t>
      </w:r>
    </w:p>
    <w:p w14:paraId="7FFCA6AA" w14:textId="77777777" w:rsidR="009314F6" w:rsidRPr="009314F6" w:rsidRDefault="009314F6" w:rsidP="009314F6">
      <w:pPr>
        <w:pStyle w:val="Prrafodelista"/>
        <w:rPr>
          <w:rFonts w:ascii="Palatino Linotype" w:hAnsi="Palatino Linotype" w:cs="Arial"/>
          <w:b/>
          <w:bCs/>
          <w:lang w:val="es-MX"/>
        </w:rPr>
      </w:pPr>
    </w:p>
    <w:p w14:paraId="6ED517BD" w14:textId="77777777" w:rsidR="009314F6" w:rsidRPr="00A16EAB" w:rsidRDefault="009314F6" w:rsidP="009314F6">
      <w:pPr>
        <w:pStyle w:val="Prrafodelista"/>
        <w:spacing w:line="360" w:lineRule="auto"/>
        <w:ind w:left="720"/>
        <w:jc w:val="both"/>
        <w:rPr>
          <w:rFonts w:ascii="Palatino Linotype" w:hAnsi="Palatino Linotype" w:cs="Arial"/>
          <w:b/>
          <w:bCs/>
          <w:lang w:val="es-MX"/>
        </w:rPr>
      </w:pPr>
    </w:p>
    <w:p w14:paraId="727E5E14" w14:textId="379187BC" w:rsidR="00A16EAB" w:rsidRPr="009314F6" w:rsidRDefault="00A16EAB" w:rsidP="00A16EAB">
      <w:pPr>
        <w:pStyle w:val="Prrafodelista"/>
        <w:numPr>
          <w:ilvl w:val="0"/>
          <w:numId w:val="45"/>
        </w:numPr>
        <w:spacing w:line="360" w:lineRule="auto"/>
        <w:jc w:val="both"/>
        <w:rPr>
          <w:rFonts w:ascii="Palatino Linotype" w:hAnsi="Palatino Linotype" w:cs="Arial"/>
          <w:b/>
          <w:bCs/>
          <w:lang w:val="es-ES_tradnl"/>
        </w:rPr>
      </w:pPr>
      <w:r>
        <w:rPr>
          <w:rFonts w:ascii="Palatino Linotype" w:hAnsi="Palatino Linotype" w:cs="Arial"/>
          <w:b/>
          <w:bCs/>
          <w:lang w:val="es-ES_tradnl"/>
        </w:rPr>
        <w:t xml:space="preserve">“DIRECTORIO 2019-2021 H. AYUNTAMIENTO DE MELCHOR OCAMPO.pdf”: </w:t>
      </w:r>
      <w:r w:rsidR="009314F6">
        <w:rPr>
          <w:rFonts w:ascii="Palatino Linotype" w:hAnsi="Palatino Linotype" w:cs="Arial"/>
          <w:lang w:val="es-ES_tradnl"/>
        </w:rPr>
        <w:t xml:space="preserve">Directorio de la administración pública 2019-2021 refleja profesión, nombre, cargo, dirección, correo electrónico, teléfono y extensión. </w:t>
      </w:r>
    </w:p>
    <w:p w14:paraId="76C9D4E5" w14:textId="77777777" w:rsidR="009314F6" w:rsidRDefault="009314F6" w:rsidP="009314F6">
      <w:pPr>
        <w:pStyle w:val="Prrafodelista"/>
        <w:spacing w:line="360" w:lineRule="auto"/>
        <w:ind w:left="720"/>
        <w:jc w:val="both"/>
        <w:rPr>
          <w:rFonts w:ascii="Palatino Linotype" w:hAnsi="Palatino Linotype" w:cs="Arial"/>
          <w:b/>
          <w:bCs/>
          <w:lang w:val="es-ES_tradnl"/>
        </w:rPr>
      </w:pPr>
    </w:p>
    <w:p w14:paraId="1A4B0F4D" w14:textId="0EBF6C65" w:rsidR="00A16EAB" w:rsidRPr="0009081C" w:rsidRDefault="00A16EAB" w:rsidP="00A16EAB">
      <w:pPr>
        <w:pStyle w:val="Prrafodelista"/>
        <w:numPr>
          <w:ilvl w:val="0"/>
          <w:numId w:val="45"/>
        </w:numPr>
        <w:spacing w:line="360" w:lineRule="auto"/>
        <w:jc w:val="both"/>
        <w:rPr>
          <w:rFonts w:ascii="Palatino Linotype" w:hAnsi="Palatino Linotype" w:cs="Arial"/>
          <w:b/>
          <w:bCs/>
          <w:lang w:val="es-ES_tradnl"/>
        </w:rPr>
      </w:pPr>
      <w:r>
        <w:rPr>
          <w:rFonts w:ascii="Palatino Linotype" w:hAnsi="Palatino Linotype" w:cs="Arial"/>
          <w:b/>
          <w:bCs/>
          <w:lang w:val="es-ES_tradnl"/>
        </w:rPr>
        <w:t>“DIRECTORIO DIF.xlsx”:</w:t>
      </w:r>
      <w:r w:rsidR="009314F6">
        <w:rPr>
          <w:rFonts w:ascii="Palatino Linotype" w:hAnsi="Palatino Linotype" w:cs="Arial"/>
          <w:b/>
          <w:bCs/>
          <w:lang w:val="es-ES_tradnl"/>
        </w:rPr>
        <w:t xml:space="preserve"> </w:t>
      </w:r>
      <w:r w:rsidR="009314F6">
        <w:rPr>
          <w:rFonts w:ascii="Palatino Linotype" w:hAnsi="Palatino Linotype" w:cs="Arial"/>
          <w:lang w:val="es-ES_tradnl"/>
        </w:rPr>
        <w:t xml:space="preserve">Directorio del </w:t>
      </w:r>
      <w:r w:rsidR="00CC0DC2">
        <w:rPr>
          <w:rFonts w:ascii="Palatino Linotype" w:hAnsi="Palatino Linotype" w:cs="Arial"/>
          <w:lang w:val="es-ES_tradnl"/>
        </w:rPr>
        <w:t>Sistema Municipal para el Desarrollo Integral de la Familia de Melchor Ocampo 2022-2024, refleja área, nombre, teléfono, extensión, correo electrónico y dirección</w:t>
      </w:r>
      <w:r w:rsidR="0009081C">
        <w:rPr>
          <w:rFonts w:ascii="Palatino Linotype" w:hAnsi="Palatino Linotype" w:cs="Arial"/>
          <w:lang w:val="es-ES_tradnl"/>
        </w:rPr>
        <w:t>. Sirve de sustento la siguiente imagen ilustrativa:</w:t>
      </w:r>
    </w:p>
    <w:p w14:paraId="59C849BD" w14:textId="6B6A56B1" w:rsidR="0009081C" w:rsidRPr="0009081C" w:rsidRDefault="006B6913" w:rsidP="0009081C">
      <w:pPr>
        <w:pStyle w:val="Prrafodelista"/>
        <w:rPr>
          <w:rFonts w:ascii="Palatino Linotype" w:hAnsi="Palatino Linotype" w:cs="Arial"/>
          <w:b/>
          <w:bCs/>
          <w:lang w:val="es-ES_tradnl"/>
        </w:rPr>
      </w:pPr>
      <w:r>
        <w:rPr>
          <w:rFonts w:ascii="Palatino Linotype" w:hAnsi="Palatino Linotype" w:cs="Arial"/>
          <w:b/>
          <w:bCs/>
          <w:noProof/>
          <w:lang w:val="es-MX" w:eastAsia="es-MX"/>
        </w:rPr>
        <mc:AlternateContent>
          <mc:Choice Requires="wps">
            <w:drawing>
              <wp:anchor distT="0" distB="0" distL="114300" distR="114300" simplePos="0" relativeHeight="251676672" behindDoc="0" locked="0" layoutInCell="1" allowOverlap="1" wp14:anchorId="698CB344" wp14:editId="14F2CECC">
                <wp:simplePos x="0" y="0"/>
                <wp:positionH relativeFrom="column">
                  <wp:posOffset>95522</wp:posOffset>
                </wp:positionH>
                <wp:positionV relativeFrom="paragraph">
                  <wp:posOffset>309484</wp:posOffset>
                </wp:positionV>
                <wp:extent cx="5747657" cy="2719450"/>
                <wp:effectExtent l="0" t="0" r="24765" b="24130"/>
                <wp:wrapNone/>
                <wp:docPr id="582400734" name="Straight Connector 18"/>
                <wp:cNvGraphicFramePr/>
                <a:graphic xmlns:a="http://schemas.openxmlformats.org/drawingml/2006/main">
                  <a:graphicData uri="http://schemas.microsoft.com/office/word/2010/wordprocessingShape">
                    <wps:wsp>
                      <wps:cNvCnPr/>
                      <wps:spPr>
                        <a:xfrm>
                          <a:off x="0" y="0"/>
                          <a:ext cx="5747657" cy="27194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223BDEA6" id="Straight Connector 18"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24.35pt" to="460.05pt,2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" strokecolor="#5b9bd5 [3204]" strokeweight=".5pt">
                <v:stroke joinstyle="miter"/>
              </v:line>
            </w:pict>
          </mc:Fallback>
        </mc:AlternateContent>
      </w:r>
    </w:p>
    <w:p w14:paraId="110DCEEE" w14:textId="60AE244C" w:rsidR="0009081C" w:rsidRDefault="00EA355B" w:rsidP="0009081C">
      <w:pPr>
        <w:pStyle w:val="Prrafodelista"/>
        <w:spacing w:line="360" w:lineRule="auto"/>
        <w:ind w:left="720"/>
        <w:jc w:val="both"/>
        <w:rPr>
          <w:rFonts w:ascii="Palatino Linotype" w:hAnsi="Palatino Linotype" w:cs="Arial"/>
          <w:b/>
          <w:bCs/>
          <w:noProof/>
          <w:lang w:val="es-ES_tradnl"/>
        </w:rPr>
      </w:pPr>
      <w:r>
        <w:rPr>
          <w:rFonts w:ascii="Palatino Linotype" w:hAnsi="Palatino Linotype" w:cs="Arial"/>
          <w:b/>
          <w:bCs/>
          <w:noProof/>
          <w:lang w:val="es-MX" w:eastAsia="es-MX"/>
        </w:rPr>
        <w:lastRenderedPageBreak/>
        <w:drawing>
          <wp:anchor distT="0" distB="0" distL="114300" distR="114300" simplePos="0" relativeHeight="251675648" behindDoc="0" locked="0" layoutInCell="1" allowOverlap="1" wp14:anchorId="2382E346" wp14:editId="136FE347">
            <wp:simplePos x="0" y="0"/>
            <wp:positionH relativeFrom="page">
              <wp:align>center</wp:align>
            </wp:positionH>
            <wp:positionV relativeFrom="paragraph">
              <wp:posOffset>36170</wp:posOffset>
            </wp:positionV>
            <wp:extent cx="5753735" cy="3547745"/>
            <wp:effectExtent l="19050" t="19050" r="18415" b="14605"/>
            <wp:wrapThrough wrapText="bothSides">
              <wp:wrapPolygon edited="0">
                <wp:start x="-72" y="-116"/>
                <wp:lineTo x="-72" y="21573"/>
                <wp:lineTo x="21598" y="21573"/>
                <wp:lineTo x="21598" y="-116"/>
                <wp:lineTo x="-72" y="-116"/>
              </wp:wrapPolygon>
            </wp:wrapThrough>
            <wp:docPr id="46486222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3735" cy="354774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524B34CD" w14:textId="48EEA08B" w:rsidR="0009081C" w:rsidRDefault="0009081C" w:rsidP="0009081C">
      <w:pPr>
        <w:pStyle w:val="Prrafodelista"/>
        <w:spacing w:line="360" w:lineRule="auto"/>
        <w:ind w:left="720"/>
        <w:jc w:val="both"/>
        <w:rPr>
          <w:rFonts w:ascii="Palatino Linotype" w:hAnsi="Palatino Linotype" w:cs="Arial"/>
          <w:b/>
          <w:bCs/>
          <w:noProof/>
          <w:lang w:val="es-ES_tradnl"/>
        </w:rPr>
      </w:pPr>
    </w:p>
    <w:p w14:paraId="70456317" w14:textId="46C0BE72" w:rsidR="00A16EAB" w:rsidRDefault="00A16EAB" w:rsidP="00A16EAB">
      <w:pPr>
        <w:pStyle w:val="Prrafodelista"/>
        <w:numPr>
          <w:ilvl w:val="0"/>
          <w:numId w:val="45"/>
        </w:numPr>
        <w:spacing w:line="360" w:lineRule="auto"/>
        <w:jc w:val="both"/>
        <w:rPr>
          <w:rFonts w:ascii="Palatino Linotype" w:hAnsi="Palatino Linotype" w:cs="Arial"/>
          <w:b/>
          <w:bCs/>
          <w:lang w:val="es-ES_tradnl"/>
        </w:rPr>
      </w:pPr>
      <w:r>
        <w:rPr>
          <w:rFonts w:ascii="Palatino Linotype" w:hAnsi="Palatino Linotype" w:cs="Arial"/>
          <w:b/>
          <w:bCs/>
          <w:lang w:val="es-ES_tradnl"/>
        </w:rPr>
        <w:t>“OF_TRANSPARENCIA_RR_06845_2023.pdf”:</w:t>
      </w:r>
      <w:r w:rsidR="00CC0DC2">
        <w:rPr>
          <w:rFonts w:ascii="Palatino Linotype" w:hAnsi="Palatino Linotype" w:cs="Arial"/>
          <w:b/>
          <w:bCs/>
          <w:lang w:val="es-ES_tradnl"/>
        </w:rPr>
        <w:t xml:space="preserve"> </w:t>
      </w:r>
      <w:r w:rsidR="00CC0DC2">
        <w:rPr>
          <w:rFonts w:ascii="Palatino Linotype" w:hAnsi="Palatino Linotype" w:cs="Arial"/>
          <w:lang w:val="es-ES_tradnl"/>
        </w:rPr>
        <w:t xml:space="preserve">Oficio número </w:t>
      </w:r>
      <w:r w:rsidR="00CC0DC2">
        <w:rPr>
          <w:rFonts w:ascii="Palatino Linotype" w:hAnsi="Palatino Linotype" w:cs="Arial"/>
          <w:b/>
          <w:bCs/>
          <w:lang w:val="es-ES_tradnl"/>
        </w:rPr>
        <w:t xml:space="preserve">MMO/PM/UTYAIP/463/2023 </w:t>
      </w:r>
      <w:r w:rsidR="00CC0DC2">
        <w:rPr>
          <w:rFonts w:ascii="Palatino Linotype" w:hAnsi="Palatino Linotype" w:cs="Arial"/>
          <w:lang w:val="es-ES_tradnl"/>
        </w:rPr>
        <w:t xml:space="preserve">signado por el titular de la unidad de transparencia y dirigido al solicitante de información, de fecha dieciocho de octubre de dos mil veintitrés, en síntesis, refiere adjuntar oficios de respuesta y anexos remitidos por los servidores públicos habilitados de la dirección de administración, tesorería y sistema municipal DIF. </w:t>
      </w:r>
    </w:p>
    <w:p w14:paraId="210DF2E1" w14:textId="77777777" w:rsidR="00CC0DC2" w:rsidRDefault="00CC0DC2" w:rsidP="00CC0DC2">
      <w:pPr>
        <w:pStyle w:val="Prrafodelista"/>
        <w:spacing w:line="360" w:lineRule="auto"/>
        <w:ind w:left="720"/>
        <w:jc w:val="both"/>
        <w:rPr>
          <w:rFonts w:ascii="Palatino Linotype" w:hAnsi="Palatino Linotype" w:cs="Arial"/>
          <w:b/>
          <w:bCs/>
          <w:lang w:val="es-ES_tradnl"/>
        </w:rPr>
      </w:pPr>
    </w:p>
    <w:p w14:paraId="44E664F2" w14:textId="45177266" w:rsidR="00A16EAB" w:rsidRDefault="00A16EAB" w:rsidP="00A16EAB">
      <w:pPr>
        <w:pStyle w:val="Prrafodelista"/>
        <w:numPr>
          <w:ilvl w:val="0"/>
          <w:numId w:val="45"/>
        </w:numPr>
        <w:spacing w:line="360" w:lineRule="auto"/>
        <w:jc w:val="both"/>
        <w:rPr>
          <w:rFonts w:ascii="Palatino Linotype" w:hAnsi="Palatino Linotype" w:cs="Arial"/>
          <w:b/>
          <w:bCs/>
          <w:lang w:val="es-ES_tradnl"/>
        </w:rPr>
      </w:pPr>
      <w:r>
        <w:rPr>
          <w:rFonts w:ascii="Palatino Linotype" w:hAnsi="Palatino Linotype" w:cs="Arial"/>
          <w:b/>
          <w:bCs/>
          <w:lang w:val="es-ES_tradnl"/>
        </w:rPr>
        <w:t>“1 Caratula del Presupuesto de Ingresos (PBmR-03b).</w:t>
      </w:r>
      <w:proofErr w:type="spellStart"/>
      <w:r>
        <w:rPr>
          <w:rFonts w:ascii="Palatino Linotype" w:hAnsi="Palatino Linotype" w:cs="Arial"/>
          <w:b/>
          <w:bCs/>
          <w:lang w:val="es-ES_tradnl"/>
        </w:rPr>
        <w:t>pdf</w:t>
      </w:r>
      <w:proofErr w:type="spellEnd"/>
      <w:r>
        <w:rPr>
          <w:rFonts w:ascii="Palatino Linotype" w:hAnsi="Palatino Linotype" w:cs="Arial"/>
          <w:b/>
          <w:bCs/>
          <w:lang w:val="es-ES_tradnl"/>
        </w:rPr>
        <w:t>”:</w:t>
      </w:r>
      <w:r w:rsidR="00CC0DC2">
        <w:rPr>
          <w:rFonts w:ascii="Palatino Linotype" w:hAnsi="Palatino Linotype" w:cs="Arial"/>
          <w:b/>
          <w:bCs/>
          <w:lang w:val="es-ES_tradnl"/>
        </w:rPr>
        <w:t xml:space="preserve"> </w:t>
      </w:r>
      <w:r w:rsidR="00CC0DC2">
        <w:rPr>
          <w:rFonts w:ascii="Palatino Linotype" w:hAnsi="Palatino Linotype" w:cs="Arial"/>
          <w:lang w:val="es-ES_tradnl"/>
        </w:rPr>
        <w:t xml:space="preserve">PbRM-03b “Caratula de presupuesto de ingresos” del organismo público descentralizado DIF de Melchor Ocampo, correspondiente al ejercicio 2019. </w:t>
      </w:r>
    </w:p>
    <w:p w14:paraId="13A4A767" w14:textId="77777777" w:rsidR="00CC0DC2" w:rsidRPr="00CC0DC2" w:rsidRDefault="00CC0DC2" w:rsidP="00CC0DC2">
      <w:pPr>
        <w:pStyle w:val="Prrafodelista"/>
        <w:rPr>
          <w:rFonts w:ascii="Palatino Linotype" w:hAnsi="Palatino Linotype" w:cs="Arial"/>
          <w:b/>
          <w:bCs/>
          <w:lang w:val="es-ES_tradnl"/>
        </w:rPr>
      </w:pPr>
    </w:p>
    <w:p w14:paraId="7AB04E63" w14:textId="25E76A5F" w:rsidR="00A16EAB" w:rsidRPr="0009081C" w:rsidRDefault="00A16EAB" w:rsidP="00A16EAB">
      <w:pPr>
        <w:pStyle w:val="Prrafodelista"/>
        <w:numPr>
          <w:ilvl w:val="0"/>
          <w:numId w:val="45"/>
        </w:numPr>
        <w:spacing w:line="360" w:lineRule="auto"/>
        <w:jc w:val="both"/>
        <w:rPr>
          <w:rFonts w:ascii="Palatino Linotype" w:hAnsi="Palatino Linotype" w:cs="Arial"/>
          <w:b/>
          <w:bCs/>
          <w:lang w:val="es-MX"/>
        </w:rPr>
      </w:pPr>
      <w:r w:rsidRPr="0009081C">
        <w:rPr>
          <w:rFonts w:ascii="Palatino Linotype" w:hAnsi="Palatino Linotype" w:cs="Arial"/>
          <w:b/>
          <w:bCs/>
          <w:lang w:val="es-MX"/>
        </w:rPr>
        <w:t>“OF_DIF_RR_06845_2023.pdf”:</w:t>
      </w:r>
      <w:r w:rsidR="00CC0DC2" w:rsidRPr="0009081C">
        <w:rPr>
          <w:rFonts w:ascii="Palatino Linotype" w:hAnsi="Palatino Linotype" w:cs="Arial"/>
          <w:b/>
          <w:bCs/>
          <w:lang w:val="es-MX"/>
        </w:rPr>
        <w:t xml:space="preserve"> </w:t>
      </w:r>
      <w:r w:rsidR="0009081C" w:rsidRPr="0009081C">
        <w:rPr>
          <w:rFonts w:ascii="Palatino Linotype" w:hAnsi="Palatino Linotype" w:cs="Arial"/>
          <w:lang w:val="es-MX"/>
        </w:rPr>
        <w:t xml:space="preserve">Oficio número </w:t>
      </w:r>
      <w:r w:rsidR="0009081C">
        <w:rPr>
          <w:rFonts w:ascii="Palatino Linotype" w:hAnsi="Palatino Linotype" w:cs="Arial"/>
          <w:b/>
          <w:bCs/>
          <w:lang w:val="es-MX"/>
        </w:rPr>
        <w:t xml:space="preserve">UIPPE/AIVC/014/2023 </w:t>
      </w:r>
      <w:r w:rsidR="0009081C">
        <w:rPr>
          <w:rFonts w:ascii="Palatino Linotype" w:hAnsi="Palatino Linotype" w:cs="Arial"/>
          <w:lang w:val="es-MX"/>
        </w:rPr>
        <w:t xml:space="preserve">signado por el titular de UIPPE y enlace de transparencia del sistema municipal DIF, dirigido al titular de la unidad de transparencia, de fecha diecisiete de octubre de dos mil veintitrés, refiere adjuntar directorio 2019 y presupuesto de egresos 2019. </w:t>
      </w:r>
    </w:p>
    <w:p w14:paraId="1F191183" w14:textId="77777777" w:rsidR="00CC0DC2" w:rsidRPr="0009081C" w:rsidRDefault="00CC0DC2" w:rsidP="00CC0DC2">
      <w:pPr>
        <w:pStyle w:val="Prrafodelista"/>
        <w:rPr>
          <w:rFonts w:ascii="Palatino Linotype" w:hAnsi="Palatino Linotype" w:cs="Arial"/>
          <w:b/>
          <w:bCs/>
          <w:lang w:val="es-MX"/>
        </w:rPr>
      </w:pPr>
    </w:p>
    <w:p w14:paraId="0B76EBA5" w14:textId="3EE4E050" w:rsidR="00A16EAB" w:rsidRPr="00040F10" w:rsidRDefault="00A16EAB" w:rsidP="00A16EAB">
      <w:pPr>
        <w:pStyle w:val="Prrafodelista"/>
        <w:numPr>
          <w:ilvl w:val="0"/>
          <w:numId w:val="45"/>
        </w:numPr>
        <w:spacing w:line="360" w:lineRule="auto"/>
        <w:jc w:val="both"/>
        <w:rPr>
          <w:rFonts w:ascii="Palatino Linotype" w:hAnsi="Palatino Linotype" w:cs="Arial"/>
          <w:b/>
          <w:bCs/>
          <w:lang w:val="es-ES_tradnl"/>
        </w:rPr>
      </w:pPr>
      <w:r>
        <w:rPr>
          <w:rFonts w:ascii="Palatino Linotype" w:hAnsi="Palatino Linotype" w:cs="Arial"/>
          <w:b/>
          <w:bCs/>
          <w:lang w:val="es-ES_tradnl"/>
        </w:rPr>
        <w:t>“2 Caratula del Presupuesto de Egresos (PBmR-04d).</w:t>
      </w:r>
      <w:proofErr w:type="spellStart"/>
      <w:r>
        <w:rPr>
          <w:rFonts w:ascii="Palatino Linotype" w:hAnsi="Palatino Linotype" w:cs="Arial"/>
          <w:b/>
          <w:bCs/>
          <w:lang w:val="es-ES_tradnl"/>
        </w:rPr>
        <w:t>pdf</w:t>
      </w:r>
      <w:proofErr w:type="spellEnd"/>
      <w:r>
        <w:rPr>
          <w:rFonts w:ascii="Palatino Linotype" w:hAnsi="Palatino Linotype" w:cs="Arial"/>
          <w:b/>
          <w:bCs/>
          <w:lang w:val="es-ES_tradnl"/>
        </w:rPr>
        <w:t>”</w:t>
      </w:r>
      <w:proofErr w:type="gramStart"/>
      <w:r>
        <w:rPr>
          <w:rFonts w:ascii="Palatino Linotype" w:hAnsi="Palatino Linotype" w:cs="Arial"/>
          <w:b/>
          <w:bCs/>
          <w:lang w:val="es-ES_tradnl"/>
        </w:rPr>
        <w:t xml:space="preserve">: </w:t>
      </w:r>
      <w:r>
        <w:rPr>
          <w:rFonts w:ascii="Palatino Linotype" w:hAnsi="Palatino Linotype" w:cs="Arial"/>
          <w:lang w:val="es-ES_tradnl"/>
        </w:rPr>
        <w:t xml:space="preserve"> </w:t>
      </w:r>
      <w:r w:rsidR="0009081C">
        <w:rPr>
          <w:rFonts w:ascii="Palatino Linotype" w:hAnsi="Palatino Linotype" w:cs="Arial"/>
          <w:lang w:val="es-ES_tradnl"/>
        </w:rPr>
        <w:t>PbRM</w:t>
      </w:r>
      <w:proofErr w:type="gramEnd"/>
      <w:r w:rsidR="0009081C">
        <w:rPr>
          <w:rFonts w:ascii="Palatino Linotype" w:hAnsi="Palatino Linotype" w:cs="Arial"/>
          <w:lang w:val="es-ES_tradnl"/>
        </w:rPr>
        <w:t xml:space="preserve">-04d “Caratula de presupuesto de egresos” del organismo descentralizado municipal DIF de Melchor Ocampo, correspondiente al ejercicio 2019. </w:t>
      </w:r>
    </w:p>
    <w:p w14:paraId="1E11B5C7" w14:textId="77777777" w:rsidR="00E957C8" w:rsidRPr="00A16EAB" w:rsidRDefault="00E957C8" w:rsidP="00E957C8">
      <w:pPr>
        <w:spacing w:after="0" w:line="360" w:lineRule="auto"/>
        <w:jc w:val="both"/>
        <w:rPr>
          <w:rFonts w:ascii="Palatino Linotype" w:hAnsi="Palatino Linotype"/>
          <w:bCs/>
          <w:sz w:val="24"/>
          <w:szCs w:val="24"/>
          <w:lang w:val="es-ES_tradnl"/>
        </w:rPr>
      </w:pPr>
    </w:p>
    <w:p w14:paraId="2B7E5311" w14:textId="77777777" w:rsidR="007D6641" w:rsidRDefault="007D6641" w:rsidP="00E957C8">
      <w:pPr>
        <w:spacing w:after="0" w:line="360" w:lineRule="auto"/>
        <w:jc w:val="both"/>
        <w:rPr>
          <w:rFonts w:ascii="Palatino Linotype" w:hAnsi="Palatino Linotype"/>
          <w:bCs/>
          <w:sz w:val="24"/>
          <w:szCs w:val="24"/>
        </w:rPr>
      </w:pPr>
    </w:p>
    <w:p w14:paraId="5660B0E3" w14:textId="6E8333D5" w:rsidR="006B6913" w:rsidRDefault="0009081C" w:rsidP="006B6913">
      <w:pPr>
        <w:spacing w:after="0" w:line="360" w:lineRule="auto"/>
        <w:jc w:val="both"/>
        <w:rPr>
          <w:rFonts w:ascii="Palatino Linotype" w:hAnsi="Palatino Linotype" w:cs="Arial"/>
          <w:sz w:val="24"/>
          <w:szCs w:val="24"/>
          <w:lang w:val="es-ES_tradnl"/>
        </w:rPr>
      </w:pPr>
      <w:r w:rsidRPr="006B6913">
        <w:rPr>
          <w:rFonts w:ascii="Palatino Linotype" w:hAnsi="Palatino Linotype"/>
          <w:bCs/>
          <w:sz w:val="24"/>
          <w:szCs w:val="24"/>
        </w:rPr>
        <w:t xml:space="preserve">Luego entonces, se arriba a la premisa de </w:t>
      </w:r>
      <w:r w:rsidR="006B6913" w:rsidRPr="006B6913">
        <w:rPr>
          <w:rFonts w:ascii="Palatino Linotype" w:hAnsi="Palatino Linotype"/>
          <w:bCs/>
          <w:sz w:val="24"/>
          <w:szCs w:val="24"/>
        </w:rPr>
        <w:t>que,</w:t>
      </w:r>
      <w:r w:rsidRPr="006B6913">
        <w:rPr>
          <w:rFonts w:ascii="Palatino Linotype" w:hAnsi="Palatino Linotype"/>
          <w:bCs/>
          <w:sz w:val="24"/>
          <w:szCs w:val="24"/>
        </w:rPr>
        <w:t xml:space="preserve"> mediante informe justificado, </w:t>
      </w:r>
      <w:r w:rsidRPr="006B6913">
        <w:rPr>
          <w:rFonts w:ascii="Palatino Linotype" w:hAnsi="Palatino Linotype"/>
          <w:b/>
          <w:sz w:val="24"/>
          <w:szCs w:val="24"/>
        </w:rPr>
        <w:t xml:space="preserve">El Sujeto Obligado </w:t>
      </w:r>
      <w:r w:rsidRPr="006B6913">
        <w:rPr>
          <w:rFonts w:ascii="Palatino Linotype" w:hAnsi="Palatino Linotype"/>
          <w:bCs/>
          <w:sz w:val="24"/>
          <w:szCs w:val="24"/>
        </w:rPr>
        <w:t>aportó soportes documentales novedosos, cobrando particular relevancia el directorio del sistema municipal DIF, mismo que refleja teléfono, nombre, correo electrónico y dirección. De forma complementaria, adjunt</w:t>
      </w:r>
      <w:r w:rsidR="00AC6D9E">
        <w:rPr>
          <w:rFonts w:ascii="Palatino Linotype" w:hAnsi="Palatino Linotype"/>
          <w:bCs/>
          <w:sz w:val="24"/>
          <w:szCs w:val="24"/>
        </w:rPr>
        <w:t>ó</w:t>
      </w:r>
      <w:r w:rsidRPr="006B6913">
        <w:rPr>
          <w:rFonts w:ascii="Palatino Linotype" w:hAnsi="Palatino Linotype"/>
          <w:bCs/>
          <w:sz w:val="24"/>
          <w:szCs w:val="24"/>
        </w:rPr>
        <w:t xml:space="preserve"> </w:t>
      </w:r>
      <w:r w:rsidR="006B6913" w:rsidRPr="006B6913">
        <w:rPr>
          <w:rFonts w:ascii="Palatino Linotype" w:hAnsi="Palatino Linotype" w:cs="Arial"/>
          <w:sz w:val="24"/>
          <w:szCs w:val="24"/>
          <w:lang w:val="es-ES_tradnl"/>
        </w:rPr>
        <w:t xml:space="preserve">PbRM-04d “Caratula de presupuesto de egresos” del organismo descentralizado municipal DIF de Melchor Ocampo, correspondiente al ejercicio 2019. </w:t>
      </w:r>
    </w:p>
    <w:p w14:paraId="1AB67146" w14:textId="77777777" w:rsidR="00AC6D9E" w:rsidRDefault="00AC6D9E" w:rsidP="006B6913">
      <w:pPr>
        <w:spacing w:after="0" w:line="360" w:lineRule="auto"/>
        <w:jc w:val="both"/>
        <w:rPr>
          <w:rFonts w:ascii="Palatino Linotype" w:hAnsi="Palatino Linotype" w:cs="Arial"/>
          <w:sz w:val="24"/>
          <w:szCs w:val="24"/>
          <w:lang w:val="es-ES_tradnl"/>
        </w:rPr>
      </w:pPr>
    </w:p>
    <w:p w14:paraId="501B1CAD" w14:textId="018E429F" w:rsidR="00AC6D9E" w:rsidRPr="00AC6D9E" w:rsidRDefault="00AC6D9E" w:rsidP="006B6913">
      <w:pPr>
        <w:spacing w:after="0" w:line="360" w:lineRule="auto"/>
        <w:jc w:val="both"/>
        <w:rPr>
          <w:rFonts w:ascii="Palatino Linotype" w:hAnsi="Palatino Linotype" w:cs="Arial"/>
          <w:b/>
          <w:bCs/>
          <w:sz w:val="24"/>
          <w:szCs w:val="24"/>
          <w:lang w:val="es-ES_tradnl"/>
        </w:rPr>
      </w:pPr>
      <w:r>
        <w:rPr>
          <w:rFonts w:ascii="Palatino Linotype" w:hAnsi="Palatino Linotype" w:cs="Arial"/>
          <w:sz w:val="24"/>
          <w:szCs w:val="24"/>
          <w:lang w:val="es-ES_tradnl"/>
        </w:rPr>
        <w:t xml:space="preserve">Se quiere con ello significar que el informe justificado es susceptible de atender el requerimiento </w:t>
      </w:r>
      <w:r>
        <w:rPr>
          <w:rFonts w:ascii="Palatino Linotype" w:hAnsi="Palatino Linotype" w:cs="Arial"/>
          <w:b/>
          <w:bCs/>
          <w:sz w:val="24"/>
          <w:szCs w:val="24"/>
          <w:lang w:val="es-ES_tradnl"/>
        </w:rPr>
        <w:t xml:space="preserve">2 -dos-, </w:t>
      </w:r>
      <w:r>
        <w:rPr>
          <w:rFonts w:ascii="Palatino Linotype" w:hAnsi="Palatino Linotype" w:cs="Arial"/>
          <w:sz w:val="24"/>
          <w:szCs w:val="24"/>
          <w:lang w:val="es-ES_tradnl"/>
        </w:rPr>
        <w:t xml:space="preserve">así como de remitir la información faltante respecto de los puntos </w:t>
      </w:r>
      <w:r>
        <w:rPr>
          <w:rFonts w:ascii="Palatino Linotype" w:hAnsi="Palatino Linotype" w:cs="Arial"/>
          <w:b/>
          <w:bCs/>
          <w:sz w:val="24"/>
          <w:szCs w:val="24"/>
          <w:lang w:val="es-ES_tradnl"/>
        </w:rPr>
        <w:t xml:space="preserve">3 -tres- </w:t>
      </w:r>
      <w:r>
        <w:rPr>
          <w:rFonts w:ascii="Palatino Linotype" w:hAnsi="Palatino Linotype" w:cs="Arial"/>
          <w:sz w:val="24"/>
          <w:szCs w:val="24"/>
          <w:lang w:val="es-ES_tradnl"/>
        </w:rPr>
        <w:t xml:space="preserve">y </w:t>
      </w:r>
      <w:r>
        <w:rPr>
          <w:rFonts w:ascii="Palatino Linotype" w:hAnsi="Palatino Linotype" w:cs="Arial"/>
          <w:b/>
          <w:bCs/>
          <w:sz w:val="24"/>
          <w:szCs w:val="24"/>
          <w:lang w:val="es-ES_tradnl"/>
        </w:rPr>
        <w:t xml:space="preserve">4 -cuatro-. </w:t>
      </w:r>
    </w:p>
    <w:p w14:paraId="7E1CB07B" w14:textId="77777777" w:rsidR="00AC6D9E" w:rsidRDefault="00AC6D9E" w:rsidP="00AC6D9E">
      <w:pPr>
        <w:tabs>
          <w:tab w:val="left" w:pos="709"/>
        </w:tabs>
        <w:spacing w:before="240" w:line="360" w:lineRule="auto"/>
        <w:ind w:right="51"/>
        <w:jc w:val="both"/>
        <w:rPr>
          <w:rFonts w:ascii="Palatino Linotype" w:hAnsi="Palatino Linotype" w:cs="Arial"/>
          <w:sz w:val="24"/>
          <w:szCs w:val="24"/>
        </w:rPr>
      </w:pPr>
      <w:r>
        <w:rPr>
          <w:rFonts w:ascii="Palatino Linotype" w:hAnsi="Palatino Linotype" w:cs="Arial"/>
          <w:sz w:val="24"/>
          <w:szCs w:val="24"/>
        </w:rPr>
        <w:t xml:space="preserve">En este sentido, por lo que hace a las causas de sobreseimiento contenidas en el artículo 192 de la Ley de Transparencia y Acceso a la Información Pública del Estado </w:t>
      </w:r>
      <w:r>
        <w:rPr>
          <w:rFonts w:ascii="Palatino Linotype" w:hAnsi="Palatino Linotype" w:cs="Arial"/>
          <w:sz w:val="24"/>
          <w:szCs w:val="24"/>
        </w:rPr>
        <w:lastRenderedPageBreak/>
        <w:t>de México y Municipios, es oportuno señalar que estos requisitos privilegian la existencia de elementos de fondo, tales como el desistimiento o fallecimiento del</w:t>
      </w:r>
      <w:r>
        <w:rPr>
          <w:rFonts w:ascii="Palatino Linotype" w:hAnsi="Palatino Linotype" w:cs="Arial"/>
          <w:b/>
          <w:sz w:val="24"/>
          <w:szCs w:val="24"/>
        </w:rPr>
        <w:t xml:space="preserve"> Recurrente </w:t>
      </w:r>
      <w:r>
        <w:rPr>
          <w:rFonts w:ascii="Palatino Linotype" w:hAnsi="Palatino Linotype" w:cs="Arial"/>
          <w:sz w:val="24"/>
          <w:szCs w:val="24"/>
        </w:rPr>
        <w:t xml:space="preserve">o que el </w:t>
      </w:r>
      <w:r>
        <w:rPr>
          <w:rFonts w:ascii="Palatino Linotype" w:hAnsi="Palatino Linotype" w:cs="Arial"/>
          <w:b/>
          <w:sz w:val="24"/>
          <w:szCs w:val="24"/>
        </w:rPr>
        <w:t xml:space="preserve">Sujeto Obligado </w:t>
      </w:r>
      <w:r>
        <w:rPr>
          <w:rFonts w:ascii="Palatino Linotype" w:hAnsi="Palatino Linotype" w:cs="Arial"/>
          <w:b/>
          <w:sz w:val="24"/>
          <w:szCs w:val="24"/>
          <w:u w:val="single"/>
        </w:rPr>
        <w:t xml:space="preserve">modifique el acto; </w:t>
      </w:r>
      <w:r>
        <w:rPr>
          <w:rFonts w:ascii="Palatino Linotype" w:hAnsi="Palatino Linotype" w:cs="Arial"/>
          <w:sz w:val="24"/>
          <w:szCs w:val="24"/>
        </w:rPr>
        <w:t xml:space="preserve">de ahí que la actualización de alguno de éstos trae como consecuencia que el medio de impugnación se concluya sin que se analice el objeto de estudio planteado, es decir se sobresea. </w:t>
      </w:r>
    </w:p>
    <w:p w14:paraId="2DAB4C28" w14:textId="77777777" w:rsidR="00AC6D9E" w:rsidRDefault="00AC6D9E" w:rsidP="00AC6D9E">
      <w:pPr>
        <w:spacing w:line="360" w:lineRule="auto"/>
        <w:jc w:val="both"/>
        <w:rPr>
          <w:rFonts w:ascii="Palatino Linotype" w:hAnsi="Palatino Linotype" w:cs="Arial"/>
          <w:sz w:val="24"/>
          <w:szCs w:val="24"/>
        </w:rPr>
      </w:pPr>
      <w:r>
        <w:rPr>
          <w:rFonts w:ascii="Palatino Linotype" w:hAnsi="Palatino Linotype" w:cs="Arial"/>
          <w:sz w:val="24"/>
          <w:szCs w:val="24"/>
        </w:rPr>
        <w:t>Por otra parte, la doctrina del sobreseimiento provoca que un procedimiento se suspenda o se resuelva en definitiva sin que se entre al estudio de los agravios o motivos de inconformidad. Este mismo criterio es compartido por el más alto tribunal del país en múltiples jurisprudencias, por lo que a continuación se agrega una de ellas que sirve como orientador en esta resolución:</w:t>
      </w:r>
    </w:p>
    <w:p w14:paraId="1F955C8C" w14:textId="77777777" w:rsidR="00AC6D9E" w:rsidRDefault="00AC6D9E" w:rsidP="00AC6D9E">
      <w:pPr>
        <w:spacing w:line="360" w:lineRule="auto"/>
        <w:ind w:left="851" w:right="851"/>
        <w:jc w:val="both"/>
        <w:rPr>
          <w:rFonts w:ascii="Palatino Linotype" w:hAnsi="Palatino Linotype" w:cs="Arial"/>
          <w:b/>
          <w:i/>
        </w:rPr>
      </w:pPr>
      <w:r>
        <w:rPr>
          <w:rFonts w:ascii="Palatino Linotype" w:hAnsi="Palatino Linotype" w:cs="Arial"/>
          <w:b/>
          <w:i/>
        </w:rPr>
        <w:t>“SOBRESEIMIENTO EN EL JUICIO DE AMPARO DIRECTO. IMPIDE EL ESTUDIO DE LAS VIOLACIONES PROCESALES PLANTEADAS EN LOS CONCEPTOS DE VIOLACIÓN.</w:t>
      </w:r>
    </w:p>
    <w:p w14:paraId="400C1B4F" w14:textId="77777777" w:rsidR="00AC6D9E" w:rsidRDefault="00AC6D9E" w:rsidP="00AC6D9E">
      <w:pPr>
        <w:spacing w:line="360" w:lineRule="auto"/>
        <w:ind w:left="851" w:right="851"/>
        <w:jc w:val="both"/>
        <w:rPr>
          <w:rFonts w:ascii="Palatino Linotype" w:hAnsi="Palatino Linotype"/>
          <w:i/>
          <w:color w:val="000000"/>
        </w:rPr>
      </w:pPr>
      <w:r>
        <w:rPr>
          <w:rFonts w:ascii="Palatino Linotype" w:hAnsi="Palatino Linotype" w:cs="Arial"/>
          <w:b/>
          <w:i/>
          <w:u w:val="single"/>
        </w:rPr>
        <w:t>El sobreseimiento</w:t>
      </w:r>
      <w:r>
        <w:rPr>
          <w:rFonts w:ascii="Palatino Linotype" w:hAnsi="Palatino Linotype" w:cs="Arial"/>
          <w:b/>
          <w:i/>
        </w:rPr>
        <w:t xml:space="preserve"> </w:t>
      </w:r>
      <w:r>
        <w:rPr>
          <w:rFonts w:ascii="Palatino Linotype" w:hAnsi="Palatino Linotype" w:cs="Arial"/>
          <w:i/>
        </w:rPr>
        <w:t xml:space="preserve">en el juicio de amparo directo </w:t>
      </w:r>
      <w:r>
        <w:rPr>
          <w:rFonts w:ascii="Palatino Linotype" w:hAnsi="Palatino Linotype" w:cs="Arial"/>
          <w:b/>
          <w:i/>
          <w:u w:val="single"/>
        </w:rPr>
        <w:t>provoca la terminación de la controversia planteada</w:t>
      </w:r>
      <w:r>
        <w:rPr>
          <w:rFonts w:ascii="Palatino Linotype" w:hAnsi="Palatino Linotype" w:cs="Arial"/>
          <w:b/>
          <w:i/>
        </w:rPr>
        <w:t xml:space="preserve"> </w:t>
      </w:r>
      <w:r>
        <w:rPr>
          <w:rFonts w:ascii="Palatino Linotype" w:hAnsi="Palatino Linotype" w:cs="Arial"/>
          <w:i/>
        </w:rPr>
        <w:t>por el quejoso en la demanda de amparo</w:t>
      </w:r>
      <w:r>
        <w:rPr>
          <w:rFonts w:ascii="Calibri" w:hAnsi="Calibri"/>
          <w:color w:val="000000"/>
          <w:sz w:val="26"/>
          <w:szCs w:val="26"/>
        </w:rPr>
        <w:t xml:space="preserve"> </w:t>
      </w:r>
      <w:r>
        <w:rPr>
          <w:rFonts w:ascii="Palatino Linotype" w:hAnsi="Palatino Linotype"/>
          <w:i/>
          <w:color w:val="000000"/>
        </w:rPr>
        <w:t xml:space="preserve">provoca la terminación de la controversia planteada por el quejoso en la demanda de </w:t>
      </w:r>
      <w:r>
        <w:rPr>
          <w:rFonts w:ascii="Palatino Linotype" w:hAnsi="Palatino Linotype"/>
          <w:b/>
          <w:i/>
          <w:color w:val="000000"/>
        </w:rPr>
        <w:t>amparo</w:t>
      </w:r>
      <w:r>
        <w:rPr>
          <w:rFonts w:ascii="Palatino Linotype" w:hAnsi="Palatino Linotype"/>
          <w:i/>
          <w:color w:val="000000"/>
        </w:rPr>
        <w:t>, sin hacer un pronunciamiento de fondo sobre la legalidad o ilegalidad de la sentencia reclamada. Por consiguiente, si al sobreseerse en el</w:t>
      </w:r>
      <w:r>
        <w:rPr>
          <w:rFonts w:ascii="Palatino Linotype" w:hAnsi="Palatino Linotype"/>
          <w:b/>
          <w:i/>
          <w:color w:val="000000"/>
        </w:rPr>
        <w:t xml:space="preserve"> juicio </w:t>
      </w:r>
      <w:r>
        <w:rPr>
          <w:rFonts w:ascii="Palatino Linotype" w:hAnsi="Palatino Linotype"/>
          <w:i/>
          <w:color w:val="000000"/>
        </w:rPr>
        <w:t xml:space="preserve">de </w:t>
      </w:r>
      <w:r>
        <w:rPr>
          <w:rFonts w:ascii="Palatino Linotype" w:hAnsi="Palatino Linotype"/>
          <w:b/>
          <w:i/>
          <w:color w:val="000000"/>
        </w:rPr>
        <w:t>amparo</w:t>
      </w:r>
      <w:r>
        <w:rPr>
          <w:rFonts w:ascii="Palatino Linotype" w:hAnsi="Palatino Linotype"/>
          <w:i/>
          <w:color w:val="000000"/>
        </w:rPr>
        <w:t xml:space="preserve"> no se pueden estudiar los planteamientos que se hacen valer en contra del fallo reclamado, tampoco se deben analizar las</w:t>
      </w:r>
      <w:r>
        <w:rPr>
          <w:rFonts w:ascii="Palatino Linotype" w:hAnsi="Palatino Linotype"/>
          <w:b/>
          <w:i/>
          <w:color w:val="000000"/>
        </w:rPr>
        <w:t xml:space="preserve"> violaciones procesales</w:t>
      </w:r>
      <w:r>
        <w:rPr>
          <w:rFonts w:ascii="Palatino Linotype" w:hAnsi="Palatino Linotype"/>
          <w:i/>
          <w:color w:val="000000"/>
        </w:rPr>
        <w:t xml:space="preserve"> propuestas en los </w:t>
      </w:r>
      <w:r>
        <w:rPr>
          <w:rFonts w:ascii="Palatino Linotype" w:hAnsi="Palatino Linotype"/>
          <w:b/>
          <w:i/>
          <w:color w:val="000000"/>
        </w:rPr>
        <w:t xml:space="preserve">conceptos </w:t>
      </w:r>
      <w:r>
        <w:rPr>
          <w:rFonts w:ascii="Palatino Linotype" w:hAnsi="Palatino Linotype"/>
          <w:i/>
          <w:color w:val="000000"/>
        </w:rPr>
        <w:t xml:space="preserve">de </w:t>
      </w:r>
      <w:r>
        <w:rPr>
          <w:rFonts w:ascii="Palatino Linotype" w:hAnsi="Palatino Linotype"/>
          <w:b/>
          <w:i/>
          <w:color w:val="000000"/>
        </w:rPr>
        <w:t>violación</w:t>
      </w:r>
      <w:r>
        <w:rPr>
          <w:rFonts w:ascii="Palatino Linotype" w:hAnsi="Palatino Linotype"/>
          <w:i/>
          <w:color w:val="000000"/>
        </w:rPr>
        <w:t xml:space="preserve">, dado que, la principal consecuencia del </w:t>
      </w:r>
      <w:r>
        <w:rPr>
          <w:rFonts w:ascii="Palatino Linotype" w:hAnsi="Palatino Linotype"/>
          <w:b/>
          <w:i/>
          <w:color w:val="000000"/>
        </w:rPr>
        <w:t>sobreseimiento</w:t>
      </w:r>
      <w:r>
        <w:rPr>
          <w:rFonts w:ascii="Palatino Linotype" w:hAnsi="Palatino Linotype"/>
          <w:i/>
          <w:color w:val="000000"/>
        </w:rPr>
        <w:t xml:space="preserve"> es poner fin al </w:t>
      </w:r>
      <w:r>
        <w:rPr>
          <w:rFonts w:ascii="Palatino Linotype" w:hAnsi="Palatino Linotype"/>
          <w:b/>
          <w:i/>
          <w:color w:val="000000"/>
        </w:rPr>
        <w:t xml:space="preserve">juicio </w:t>
      </w:r>
      <w:r>
        <w:rPr>
          <w:rFonts w:ascii="Palatino Linotype" w:hAnsi="Palatino Linotype"/>
          <w:i/>
          <w:color w:val="000000"/>
        </w:rPr>
        <w:t xml:space="preserve">de </w:t>
      </w:r>
      <w:r>
        <w:rPr>
          <w:rFonts w:ascii="Palatino Linotype" w:hAnsi="Palatino Linotype"/>
          <w:b/>
          <w:i/>
          <w:color w:val="000000"/>
        </w:rPr>
        <w:t xml:space="preserve">amparo </w:t>
      </w:r>
      <w:r>
        <w:rPr>
          <w:rFonts w:ascii="Palatino Linotype" w:hAnsi="Palatino Linotype"/>
          <w:i/>
          <w:color w:val="000000"/>
        </w:rPr>
        <w:t>sin resolver la controversia en sus méritos.  </w:t>
      </w:r>
    </w:p>
    <w:p w14:paraId="2B80853C" w14:textId="77777777" w:rsidR="00AC6D9E" w:rsidRDefault="00AC6D9E" w:rsidP="00AC6D9E">
      <w:pPr>
        <w:spacing w:line="360" w:lineRule="auto"/>
        <w:ind w:left="851" w:right="851"/>
        <w:jc w:val="both"/>
        <w:rPr>
          <w:rFonts w:ascii="Palatino Linotype" w:hAnsi="Palatino Linotype" w:cs="Arial"/>
          <w:b/>
          <w:i/>
        </w:rPr>
      </w:pPr>
      <w:r>
        <w:rPr>
          <w:rFonts w:ascii="Palatino Linotype" w:hAnsi="Palatino Linotype" w:cs="Arial"/>
          <w:b/>
          <w:i/>
        </w:rPr>
        <w:t>SÉPTIMO TRIBUNAL COLEGIADO EN MATERIA CIVIL DEL PRIMER CIRCUITO.</w:t>
      </w:r>
    </w:p>
    <w:p w14:paraId="7C8418F9" w14:textId="77777777" w:rsidR="00AC6D9E" w:rsidRDefault="00AC6D9E" w:rsidP="00AC6D9E">
      <w:pPr>
        <w:spacing w:line="360" w:lineRule="auto"/>
        <w:ind w:left="851" w:right="851"/>
        <w:jc w:val="both"/>
        <w:rPr>
          <w:rFonts w:ascii="Palatino Linotype" w:hAnsi="Palatino Linotype" w:cs="Arial"/>
          <w:i/>
        </w:rPr>
      </w:pPr>
      <w:r>
        <w:rPr>
          <w:rFonts w:ascii="Palatino Linotype" w:hAnsi="Palatino Linotype" w:cs="Arial"/>
          <w:i/>
        </w:rPr>
        <w:lastRenderedPageBreak/>
        <w:t xml:space="preserve">Amparo directo 699/2008. Mariana Leticia González </w:t>
      </w:r>
      <w:proofErr w:type="spellStart"/>
      <w:r>
        <w:rPr>
          <w:rFonts w:ascii="Palatino Linotype" w:hAnsi="Palatino Linotype" w:cs="Arial"/>
          <w:i/>
        </w:rPr>
        <w:t>Steele</w:t>
      </w:r>
      <w:proofErr w:type="spellEnd"/>
      <w:r>
        <w:rPr>
          <w:rFonts w:ascii="Palatino Linotype" w:hAnsi="Palatino Linotype" w:cs="Arial"/>
          <w:i/>
        </w:rPr>
        <w:t>. 13 de noviembre de 2008. Unanimidad de votos. Ponente: Sara Judith Montalvo Trejo. Secretario: Arnulfo Mateos García.”</w:t>
      </w:r>
      <w:r>
        <w:rPr>
          <w:rFonts w:ascii="Palatino Linotype" w:eastAsia="Times New Roman" w:hAnsi="Palatino Linotype" w:cs="Times New Roman"/>
          <w:b/>
          <w:i/>
          <w:lang w:val="es-ES_tradnl" w:eastAsia="es-ES"/>
        </w:rPr>
        <w:t xml:space="preserve"> [Sic]</w:t>
      </w:r>
    </w:p>
    <w:p w14:paraId="72BF01EA" w14:textId="77777777" w:rsidR="00AC6D9E" w:rsidRDefault="00AC6D9E" w:rsidP="00AC6D9E">
      <w:pPr>
        <w:ind w:right="141"/>
        <w:jc w:val="both"/>
        <w:rPr>
          <w:rFonts w:ascii="Palatino Linotype" w:hAnsi="Palatino Linotype" w:cs="Arial"/>
        </w:rPr>
      </w:pPr>
    </w:p>
    <w:p w14:paraId="24B958C8" w14:textId="77777777" w:rsidR="00AC6D9E" w:rsidRDefault="00AC6D9E" w:rsidP="00AC6D9E">
      <w:pPr>
        <w:spacing w:line="360" w:lineRule="auto"/>
        <w:jc w:val="both"/>
        <w:rPr>
          <w:rFonts w:ascii="Palatino Linotype" w:hAnsi="Palatino Linotype" w:cs="Arial"/>
          <w:sz w:val="24"/>
          <w:szCs w:val="24"/>
        </w:rPr>
      </w:pPr>
      <w:r>
        <w:rPr>
          <w:rFonts w:ascii="Palatino Linotype" w:hAnsi="Palatino Linotype" w:cs="Arial"/>
          <w:sz w:val="24"/>
          <w:szCs w:val="24"/>
        </w:rPr>
        <w:t xml:space="preserve">De este modo, se puede deducir que, en las resoluciones dictadas por el Pleno de este Instituto, en las que se decreta el sobreseimiento de un recurso de revisión por la actualización de alguno de los supuestos jurídicos contemplados en el </w:t>
      </w:r>
      <w:r>
        <w:rPr>
          <w:rFonts w:ascii="Palatino Linotype" w:hAnsi="Palatino Linotype" w:cs="Arial"/>
          <w:b/>
          <w:sz w:val="24"/>
          <w:szCs w:val="24"/>
        </w:rPr>
        <w:t xml:space="preserve">artículo 192 </w:t>
      </w:r>
      <w:r>
        <w:rPr>
          <w:rFonts w:ascii="Palatino Linotype" w:hAnsi="Palatino Linotype" w:cs="Arial"/>
          <w:sz w:val="24"/>
          <w:szCs w:val="24"/>
        </w:rPr>
        <w:t xml:space="preserve">de la </w:t>
      </w:r>
      <w:r>
        <w:rPr>
          <w:rFonts w:ascii="Palatino Linotype" w:hAnsi="Palatino Linotype" w:cs="Arial"/>
          <w:b/>
          <w:sz w:val="24"/>
          <w:szCs w:val="24"/>
        </w:rPr>
        <w:t xml:space="preserve">Ley de Transparencia y Acceso a la Información Pública del Estado de México y Municipios, </w:t>
      </w:r>
      <w:r>
        <w:rPr>
          <w:rFonts w:ascii="Palatino Linotype" w:hAnsi="Palatino Linotype" w:cs="Arial"/>
          <w:sz w:val="24"/>
          <w:szCs w:val="24"/>
        </w:rPr>
        <w:t xml:space="preserve">nos encontramos ante un sobreseimiento definitivo toda vez que pone fin al procedimiento sin entrar al estudio de fondo del mismo. </w:t>
      </w:r>
    </w:p>
    <w:p w14:paraId="758FC459" w14:textId="77777777" w:rsidR="00AC6D9E" w:rsidRDefault="00AC6D9E" w:rsidP="00AC6D9E">
      <w:pPr>
        <w:spacing w:line="360" w:lineRule="auto"/>
        <w:jc w:val="both"/>
        <w:rPr>
          <w:rFonts w:ascii="Palatino Linotype" w:hAnsi="Palatino Linotype" w:cs="Arial"/>
          <w:b/>
          <w:sz w:val="24"/>
          <w:szCs w:val="24"/>
        </w:rPr>
      </w:pPr>
      <w:r>
        <w:rPr>
          <w:rFonts w:ascii="Palatino Linotype" w:hAnsi="Palatino Linotype" w:cs="Arial"/>
          <w:sz w:val="24"/>
          <w:szCs w:val="24"/>
        </w:rPr>
        <w:t xml:space="preserve">Para los efectos de esta resolución, resulta oportuno precisar los alcances jurídicos de la </w:t>
      </w:r>
      <w:r>
        <w:rPr>
          <w:rFonts w:ascii="Palatino Linotype" w:hAnsi="Palatino Linotype" w:cs="Arial"/>
          <w:b/>
          <w:sz w:val="24"/>
          <w:szCs w:val="24"/>
        </w:rPr>
        <w:t xml:space="preserve">fracción III </w:t>
      </w:r>
      <w:r>
        <w:rPr>
          <w:rFonts w:ascii="Palatino Linotype" w:hAnsi="Palatino Linotype" w:cs="Arial"/>
          <w:sz w:val="24"/>
          <w:szCs w:val="24"/>
        </w:rPr>
        <w:t xml:space="preserve">de la disposición legal transcrita. Así, procede el sobreseimiento del recurso de revisión cuando el </w:t>
      </w:r>
      <w:r>
        <w:rPr>
          <w:rFonts w:ascii="Palatino Linotype" w:hAnsi="Palatino Linotype" w:cs="Arial"/>
          <w:b/>
          <w:sz w:val="24"/>
          <w:szCs w:val="24"/>
        </w:rPr>
        <w:t xml:space="preserve">Sujeto Obligado: </w:t>
      </w:r>
    </w:p>
    <w:p w14:paraId="276C866A" w14:textId="77777777" w:rsidR="00AC6D9E" w:rsidRDefault="00AC6D9E" w:rsidP="00AC6D9E">
      <w:pPr>
        <w:pStyle w:val="Prrafodelista"/>
        <w:numPr>
          <w:ilvl w:val="0"/>
          <w:numId w:val="47"/>
        </w:numPr>
        <w:spacing w:line="360" w:lineRule="auto"/>
        <w:ind w:right="851"/>
        <w:jc w:val="both"/>
        <w:rPr>
          <w:rFonts w:ascii="Palatino Linotype" w:hAnsi="Palatino Linotype" w:cs="Arial"/>
          <w:b/>
        </w:rPr>
      </w:pPr>
      <w:r>
        <w:rPr>
          <w:rFonts w:ascii="Palatino Linotype" w:hAnsi="Palatino Linotype" w:cs="Arial"/>
          <w:b/>
        </w:rPr>
        <w:t xml:space="preserve">Modifique el acto impugnado: </w:t>
      </w:r>
      <w:r>
        <w:rPr>
          <w:rFonts w:ascii="Palatino Linotype" w:hAnsi="Palatino Linotype" w:cs="Arial"/>
        </w:rPr>
        <w:t xml:space="preserve">Se actualiza cuando el </w:t>
      </w:r>
      <w:r>
        <w:rPr>
          <w:rFonts w:ascii="Palatino Linotype" w:hAnsi="Palatino Linotype" w:cs="Arial"/>
          <w:b/>
        </w:rPr>
        <w:t xml:space="preserve">Sujeto Obligado </w:t>
      </w:r>
      <w:r>
        <w:rPr>
          <w:rFonts w:ascii="Palatino Linotype" w:hAnsi="Palatino Linotype" w:cs="Arial"/>
        </w:rPr>
        <w:t xml:space="preserve">después de haber otorgado una respuesta y hasta antes de dictada la resolución del recurso de revisión, emite una diversa en la que subsane las deficiencias que hubiere tenido. </w:t>
      </w:r>
    </w:p>
    <w:p w14:paraId="63E73FF0" w14:textId="77777777" w:rsidR="00AC6D9E" w:rsidRDefault="00AC6D9E" w:rsidP="00AC6D9E">
      <w:pPr>
        <w:spacing w:line="360" w:lineRule="auto"/>
        <w:jc w:val="both"/>
        <w:rPr>
          <w:rFonts w:ascii="Palatino Linotype" w:hAnsi="Palatino Linotype" w:cs="Arial"/>
          <w:sz w:val="24"/>
          <w:szCs w:val="24"/>
        </w:rPr>
      </w:pPr>
    </w:p>
    <w:p w14:paraId="096D628F" w14:textId="090A1C2A" w:rsidR="00AC6D9E" w:rsidRDefault="00AC6D9E" w:rsidP="00AC6D9E">
      <w:pPr>
        <w:spacing w:line="360" w:lineRule="auto"/>
        <w:jc w:val="both"/>
        <w:rPr>
          <w:rFonts w:ascii="Palatino Linotype" w:hAnsi="Palatino Linotype" w:cs="Arial"/>
          <w:sz w:val="24"/>
          <w:szCs w:val="24"/>
          <w:u w:val="single"/>
        </w:rPr>
      </w:pPr>
      <w:r>
        <w:rPr>
          <w:rFonts w:ascii="Palatino Linotype" w:hAnsi="Palatino Linotype" w:cs="Arial"/>
          <w:sz w:val="24"/>
          <w:szCs w:val="24"/>
        </w:rPr>
        <w:t xml:space="preserve">Las consecuencias jurídicas de esta modificación es que el recurso de revisión interpuesto quede sin efectos o sin materia y se procure la debida tutela del Derecho de Acceso a la Información Pública. Un acto impugnado queda sin efectos, cuando aun existiendo jurídicamente, no genera consecuencia legal alguna; queda sin materia, </w:t>
      </w:r>
      <w:r>
        <w:rPr>
          <w:rFonts w:ascii="Palatino Linotype" w:hAnsi="Palatino Linotype" w:cs="Arial"/>
          <w:b/>
          <w:sz w:val="24"/>
          <w:szCs w:val="24"/>
          <w:u w:val="single"/>
        </w:rPr>
        <w:lastRenderedPageBreak/>
        <w:t xml:space="preserve">cuando ha sido satisfecha la pretensión del particular, </w:t>
      </w:r>
      <w:r>
        <w:rPr>
          <w:rFonts w:ascii="Palatino Linotype" w:hAnsi="Palatino Linotype" w:cs="Arial"/>
          <w:sz w:val="24"/>
          <w:szCs w:val="24"/>
        </w:rPr>
        <w:t>ya sea porque se hizo la entrega de la información solicitada o porque se completó la misma.</w:t>
      </w:r>
      <w:r>
        <w:rPr>
          <w:rFonts w:ascii="Palatino Linotype" w:hAnsi="Palatino Linotype" w:cs="Arial"/>
          <w:sz w:val="24"/>
          <w:szCs w:val="24"/>
          <w:u w:val="single"/>
        </w:rPr>
        <w:t xml:space="preserve"> </w:t>
      </w:r>
    </w:p>
    <w:p w14:paraId="446AB774" w14:textId="77777777" w:rsidR="00AC6D9E" w:rsidRDefault="00AC6D9E" w:rsidP="00AC6D9E">
      <w:pPr>
        <w:spacing w:line="360" w:lineRule="auto"/>
        <w:jc w:val="both"/>
        <w:rPr>
          <w:rFonts w:ascii="Palatino Linotype" w:hAnsi="Palatino Linotype" w:cs="Arial"/>
          <w:sz w:val="24"/>
          <w:szCs w:val="24"/>
        </w:rPr>
      </w:pPr>
      <w:r>
        <w:rPr>
          <w:rFonts w:ascii="Palatino Linotype" w:hAnsi="Palatino Linotype" w:cs="Arial"/>
          <w:sz w:val="24"/>
          <w:szCs w:val="24"/>
        </w:rPr>
        <w:t xml:space="preserve">En este tenor, se advierte que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 xml:space="preserve">Sujeto Obligado </w:t>
      </w:r>
      <w:r>
        <w:rPr>
          <w:rFonts w:ascii="Palatino Linotype" w:hAnsi="Palatino Linotype" w:cs="Arial"/>
          <w:sz w:val="24"/>
          <w:szCs w:val="24"/>
        </w:rPr>
        <w:t xml:space="preserve">con la información enviada a este Órgano Garante, </w:t>
      </w:r>
      <w:r>
        <w:rPr>
          <w:rFonts w:ascii="Palatino Linotype" w:hAnsi="Palatino Linotype" w:cs="Arial"/>
          <w:b/>
          <w:sz w:val="24"/>
          <w:szCs w:val="24"/>
        </w:rPr>
        <w:t xml:space="preserve">modifica </w:t>
      </w:r>
      <w:r>
        <w:rPr>
          <w:rFonts w:ascii="Palatino Linotype" w:hAnsi="Palatino Linotype" w:cs="Arial"/>
          <w:sz w:val="24"/>
          <w:szCs w:val="24"/>
        </w:rPr>
        <w:t xml:space="preserve">el acto que le dio origen al recurso de revisión, </w:t>
      </w:r>
      <w:r>
        <w:rPr>
          <w:rFonts w:ascii="Palatino Linotype" w:hAnsi="Palatino Linotype" w:cs="Arial"/>
          <w:b/>
          <w:sz w:val="24"/>
          <w:szCs w:val="24"/>
        </w:rPr>
        <w:t xml:space="preserve">por lo que trae como consecuencia que el mismo quede sin materia, </w:t>
      </w:r>
      <w:r>
        <w:rPr>
          <w:rFonts w:ascii="Palatino Linotype" w:hAnsi="Palatino Linotype" w:cs="Arial"/>
          <w:sz w:val="24"/>
          <w:szCs w:val="24"/>
        </w:rPr>
        <w:t xml:space="preserve">actualizándose de este modo, la hipótesis jurídica contenida en la fracción III del artículo 192. </w:t>
      </w:r>
    </w:p>
    <w:p w14:paraId="4D0CBD20" w14:textId="77777777" w:rsidR="00AC6D9E" w:rsidRDefault="00AC6D9E" w:rsidP="00AC6D9E">
      <w:pPr>
        <w:spacing w:line="360" w:lineRule="auto"/>
        <w:jc w:val="both"/>
        <w:rPr>
          <w:rFonts w:ascii="Palatino Linotype" w:hAnsi="Palatino Linotype" w:cs="Arial"/>
          <w:sz w:val="24"/>
          <w:szCs w:val="24"/>
        </w:rPr>
      </w:pPr>
      <w:r>
        <w:rPr>
          <w:rFonts w:ascii="Palatino Linotype" w:hAnsi="Palatino Linotype" w:cs="Arial"/>
          <w:sz w:val="24"/>
          <w:szCs w:val="24"/>
        </w:rPr>
        <w:t xml:space="preserve">De este modo, cuando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Sujeto Obligado</w:t>
      </w:r>
      <w:r>
        <w:rPr>
          <w:rFonts w:ascii="Palatino Linotype" w:hAnsi="Palatino Linotype" w:cs="Arial"/>
          <w:sz w:val="24"/>
          <w:szCs w:val="24"/>
        </w:rPr>
        <w:t xml:space="preserve">, antes de que se dicte resolución definitiva, entrega la información solicitada o completa la respuesta que en un momento fue incompleta o no correspondió con lo solicitado; el recurso de revisión que al efecto se haya interpuesto queda sin materia lo que imposibilita el estudio de fondo de la </w:t>
      </w:r>
      <w:proofErr w:type="spellStart"/>
      <w:r>
        <w:rPr>
          <w:rFonts w:ascii="Palatino Linotype" w:hAnsi="Palatino Linotype" w:cs="Arial"/>
          <w:b/>
          <w:i/>
          <w:sz w:val="24"/>
          <w:szCs w:val="24"/>
        </w:rPr>
        <w:t>litis</w:t>
      </w:r>
      <w:proofErr w:type="spellEnd"/>
      <w:r>
        <w:rPr>
          <w:rFonts w:ascii="Palatino Linotype" w:hAnsi="Palatino Linotype" w:cs="Arial"/>
          <w:b/>
          <w:i/>
          <w:sz w:val="24"/>
          <w:szCs w:val="24"/>
        </w:rPr>
        <w:t xml:space="preserve"> </w:t>
      </w:r>
      <w:r>
        <w:rPr>
          <w:rFonts w:ascii="Palatino Linotype" w:hAnsi="Palatino Linotype" w:cs="Arial"/>
          <w:sz w:val="24"/>
          <w:szCs w:val="24"/>
        </w:rPr>
        <w:t xml:space="preserve">planteada, debido a que la afectación en su esfera de derechos fue restituida por la propia autoridad que emitió el acto de impugnación. </w:t>
      </w:r>
    </w:p>
    <w:p w14:paraId="7CC0423F" w14:textId="77777777" w:rsidR="00AC6D9E" w:rsidRDefault="00AC6D9E" w:rsidP="00AC6D9E">
      <w:pPr>
        <w:tabs>
          <w:tab w:val="left" w:pos="7797"/>
        </w:tabs>
        <w:spacing w:line="360" w:lineRule="auto"/>
        <w:jc w:val="both"/>
        <w:rPr>
          <w:rFonts w:ascii="Palatino Linotype" w:hAnsi="Palatino Linotype" w:cs="Arial"/>
          <w:sz w:val="24"/>
          <w:szCs w:val="24"/>
        </w:rPr>
      </w:pPr>
      <w:r>
        <w:rPr>
          <w:rFonts w:ascii="Palatino Linotype" w:hAnsi="Palatino Linotype" w:cs="Arial"/>
          <w:sz w:val="24"/>
          <w:szCs w:val="24"/>
        </w:rPr>
        <w:t xml:space="preserve">Por lo tanto, para que se actualice el sobreseimiento de un recurso de revisión, </w:t>
      </w:r>
      <w:r>
        <w:rPr>
          <w:rFonts w:ascii="Palatino Linotype" w:hAnsi="Palatino Linotype" w:cs="Arial"/>
          <w:b/>
          <w:sz w:val="24"/>
          <w:szCs w:val="24"/>
        </w:rPr>
        <w:t>El</w:t>
      </w:r>
      <w:r>
        <w:rPr>
          <w:rFonts w:ascii="Palatino Linotype" w:hAnsi="Palatino Linotype" w:cs="Arial"/>
          <w:sz w:val="24"/>
          <w:szCs w:val="24"/>
        </w:rPr>
        <w:t xml:space="preserve"> </w:t>
      </w:r>
      <w:r>
        <w:rPr>
          <w:rFonts w:ascii="Palatino Linotype" w:hAnsi="Palatino Linotype" w:cs="Arial"/>
          <w:b/>
          <w:sz w:val="24"/>
          <w:szCs w:val="24"/>
        </w:rPr>
        <w:t xml:space="preserve">Sujeto Obligado </w:t>
      </w:r>
      <w:r>
        <w:rPr>
          <w:rFonts w:ascii="Palatino Linotype" w:hAnsi="Palatino Linotype" w:cs="Arial"/>
          <w:sz w:val="24"/>
          <w:szCs w:val="24"/>
        </w:rPr>
        <w:t xml:space="preserve">puede entregar o completar la información al momento de rendir su </w:t>
      </w:r>
      <w:r>
        <w:rPr>
          <w:rFonts w:ascii="Palatino Linotype" w:hAnsi="Palatino Linotype" w:cs="Arial"/>
          <w:b/>
          <w:sz w:val="24"/>
          <w:szCs w:val="24"/>
          <w:u w:val="single"/>
        </w:rPr>
        <w:t>informe de justificación dentro de los siete días</w:t>
      </w:r>
      <w:r>
        <w:rPr>
          <w:rFonts w:ascii="Palatino Linotype" w:hAnsi="Palatino Linotype" w:cs="Arial"/>
          <w:b/>
          <w:sz w:val="24"/>
          <w:szCs w:val="24"/>
        </w:rPr>
        <w:t xml:space="preserve"> </w:t>
      </w:r>
      <w:r>
        <w:rPr>
          <w:rFonts w:ascii="Palatino Linotype" w:hAnsi="Palatino Linotype" w:cs="Arial"/>
          <w:sz w:val="24"/>
          <w:szCs w:val="24"/>
        </w:rPr>
        <w:t>previstos para manifestar lo que a su derecho convenga.</w:t>
      </w:r>
    </w:p>
    <w:p w14:paraId="76BA71FB" w14:textId="53BB6051" w:rsidR="00AC6D9E" w:rsidRDefault="00AC6D9E" w:rsidP="00AC6D9E">
      <w:pPr>
        <w:tabs>
          <w:tab w:val="left" w:pos="8080"/>
        </w:tabs>
        <w:spacing w:line="360" w:lineRule="auto"/>
        <w:jc w:val="both"/>
        <w:rPr>
          <w:rFonts w:ascii="Palatino Linotype" w:hAnsi="Palatino Linotype" w:cs="Arial"/>
          <w:sz w:val="24"/>
          <w:szCs w:val="24"/>
        </w:rPr>
      </w:pPr>
      <w:r>
        <w:rPr>
          <w:rFonts w:ascii="Palatino Linotype" w:hAnsi="Palatino Linotype" w:cs="Arial"/>
          <w:sz w:val="24"/>
          <w:szCs w:val="24"/>
        </w:rPr>
        <w:t xml:space="preserve">En mérito de lo expuesto en líneas anteriores, resultan fundados los motivos de inconformidad que arguye </w:t>
      </w:r>
      <w:r>
        <w:rPr>
          <w:rFonts w:ascii="Palatino Linotype" w:hAnsi="Palatino Linotype" w:cs="Arial"/>
          <w:b/>
          <w:sz w:val="24"/>
          <w:szCs w:val="24"/>
        </w:rPr>
        <w:t xml:space="preserve">El Recurrente </w:t>
      </w:r>
      <w:r>
        <w:rPr>
          <w:rFonts w:ascii="Palatino Linotype" w:hAnsi="Palatino Linotype" w:cs="Arial"/>
          <w:sz w:val="24"/>
          <w:szCs w:val="24"/>
        </w:rPr>
        <w:t xml:space="preserve">en su medio de impugnación que fue materia de estudio, por ello </w:t>
      </w:r>
      <w:r>
        <w:rPr>
          <w:rFonts w:ascii="Palatino Linotype" w:hAnsi="Palatino Linotype" w:cs="Arial"/>
          <w:b/>
          <w:sz w:val="24"/>
          <w:szCs w:val="24"/>
        </w:rPr>
        <w:t xml:space="preserve">con fundamento en el artículo 186 fracción I, en concordancia con el 192 fracción III de la Ley de Transparencia y Acceso a la Información Pública del Estado de México y Municipios, </w:t>
      </w:r>
      <w:r>
        <w:rPr>
          <w:rFonts w:ascii="Palatino Linotype" w:hAnsi="Palatino Linotype" w:cs="Arial"/>
          <w:sz w:val="24"/>
          <w:szCs w:val="24"/>
        </w:rPr>
        <w:t xml:space="preserve">se </w:t>
      </w:r>
      <w:r>
        <w:rPr>
          <w:rFonts w:ascii="Palatino Linotype" w:hAnsi="Palatino Linotype" w:cs="Arial"/>
          <w:b/>
          <w:sz w:val="24"/>
          <w:szCs w:val="24"/>
        </w:rPr>
        <w:t xml:space="preserve">SOBRESEE </w:t>
      </w:r>
      <w:r>
        <w:rPr>
          <w:rFonts w:ascii="Palatino Linotype" w:hAnsi="Palatino Linotype" w:cs="Arial"/>
          <w:sz w:val="24"/>
          <w:szCs w:val="24"/>
        </w:rPr>
        <w:t xml:space="preserve">el recurso de revisión </w:t>
      </w:r>
      <w:r>
        <w:rPr>
          <w:rFonts w:ascii="Palatino Linotype" w:hAnsi="Palatino Linotype" w:cs="Arial"/>
          <w:b/>
          <w:sz w:val="24"/>
          <w:szCs w:val="24"/>
        </w:rPr>
        <w:t>06845/INFOEM/IP/RR/2023</w:t>
      </w:r>
      <w:r>
        <w:rPr>
          <w:rFonts w:ascii="Palatino Linotype" w:hAnsi="Palatino Linotype" w:cs="Arial"/>
          <w:b/>
          <w:sz w:val="24"/>
          <w:szCs w:val="24"/>
          <w:lang w:val="es-ES_tradnl"/>
        </w:rPr>
        <w:t xml:space="preserve">, </w:t>
      </w:r>
      <w:r>
        <w:rPr>
          <w:rFonts w:ascii="Palatino Linotype" w:hAnsi="Palatino Linotype" w:cs="Arial"/>
          <w:sz w:val="24"/>
          <w:szCs w:val="24"/>
          <w:lang w:val="es-ES_tradnl"/>
        </w:rPr>
        <w:t xml:space="preserve">que ha sido materia del presente fallo. </w:t>
      </w:r>
    </w:p>
    <w:p w14:paraId="501EA865" w14:textId="77777777" w:rsidR="00AC6D9E" w:rsidRDefault="00AC6D9E" w:rsidP="00AC6D9E">
      <w:pPr>
        <w:tabs>
          <w:tab w:val="left" w:pos="8080"/>
        </w:tabs>
        <w:spacing w:line="360" w:lineRule="auto"/>
        <w:jc w:val="both"/>
        <w:rPr>
          <w:rFonts w:ascii="Palatino Linotype" w:hAnsi="Palatino Linotype" w:cs="Arial"/>
          <w:bCs/>
          <w:sz w:val="24"/>
          <w:szCs w:val="24"/>
        </w:rPr>
      </w:pPr>
      <w:r>
        <w:rPr>
          <w:rFonts w:ascii="Palatino Linotype" w:hAnsi="Palatino Linotype" w:cs="Arial"/>
          <w:bCs/>
          <w:sz w:val="24"/>
          <w:szCs w:val="24"/>
        </w:rPr>
        <w:lastRenderedPageBreak/>
        <w:t>Por lo antes expuesto y fundado es de resolverse y,</w:t>
      </w:r>
    </w:p>
    <w:p w14:paraId="432EFACA" w14:textId="77777777" w:rsidR="00AC6D9E" w:rsidRDefault="00AC6D9E" w:rsidP="00AC6D9E">
      <w:pPr>
        <w:spacing w:after="0" w:line="360" w:lineRule="auto"/>
        <w:jc w:val="center"/>
        <w:rPr>
          <w:rFonts w:ascii="Palatino Linotype" w:eastAsia="Times New Roman" w:hAnsi="Palatino Linotype" w:cs="Times New Roman"/>
          <w:b/>
          <w:bCs/>
          <w:spacing w:val="60"/>
          <w:sz w:val="28"/>
          <w:szCs w:val="24"/>
          <w:lang w:val="es-ES_tradnl" w:eastAsia="es-ES"/>
        </w:rPr>
      </w:pPr>
    </w:p>
    <w:p w14:paraId="7C57F7E3" w14:textId="77777777" w:rsidR="00AC6D9E" w:rsidRPr="00895C52" w:rsidRDefault="00AC6D9E" w:rsidP="00AC6D9E">
      <w:pPr>
        <w:spacing w:after="0" w:line="360" w:lineRule="auto"/>
        <w:jc w:val="center"/>
        <w:rPr>
          <w:rFonts w:ascii="Palatino Linotype" w:eastAsia="Times New Roman" w:hAnsi="Palatino Linotype" w:cs="Times New Roman"/>
          <w:b/>
          <w:bCs/>
          <w:spacing w:val="60"/>
          <w:sz w:val="28"/>
          <w:szCs w:val="24"/>
          <w:lang w:val="es-ES_tradnl" w:eastAsia="es-ES"/>
        </w:rPr>
      </w:pPr>
      <w:r w:rsidRPr="00895C52">
        <w:rPr>
          <w:rFonts w:ascii="Palatino Linotype" w:eastAsia="Times New Roman" w:hAnsi="Palatino Linotype" w:cs="Times New Roman"/>
          <w:b/>
          <w:bCs/>
          <w:spacing w:val="60"/>
          <w:sz w:val="28"/>
          <w:szCs w:val="24"/>
          <w:lang w:val="es-ES_tradnl" w:eastAsia="es-ES"/>
        </w:rPr>
        <w:t>SE    RESUELVE</w:t>
      </w:r>
    </w:p>
    <w:p w14:paraId="55CDBDDE" w14:textId="77777777" w:rsidR="00AC6D9E" w:rsidRPr="00895C52" w:rsidRDefault="00AC6D9E" w:rsidP="00AC6D9E">
      <w:pPr>
        <w:spacing w:after="0" w:line="360" w:lineRule="auto"/>
        <w:jc w:val="center"/>
        <w:rPr>
          <w:rFonts w:ascii="Palatino Linotype" w:eastAsia="Times New Roman" w:hAnsi="Palatino Linotype" w:cs="Times New Roman"/>
          <w:bCs/>
          <w:spacing w:val="60"/>
          <w:sz w:val="24"/>
          <w:szCs w:val="24"/>
          <w:lang w:val="es-ES_tradnl" w:eastAsia="es-ES"/>
        </w:rPr>
      </w:pPr>
    </w:p>
    <w:p w14:paraId="50F9D7F9" w14:textId="1BABE474" w:rsidR="00AC6D9E" w:rsidRDefault="00AC6D9E" w:rsidP="00AC6D9E">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895C52">
        <w:rPr>
          <w:rFonts w:ascii="Palatino Linotype" w:eastAsiaTheme="minorEastAsia" w:hAnsi="Palatino Linotype" w:cs="Arial"/>
          <w:b/>
          <w:sz w:val="28"/>
          <w:szCs w:val="24"/>
          <w:lang w:val="es-ES_tradnl" w:eastAsia="es-ES"/>
        </w:rPr>
        <w:t>PRIMERO.</w:t>
      </w:r>
      <w:r w:rsidRPr="00895C52">
        <w:rPr>
          <w:rFonts w:ascii="Palatino Linotype" w:eastAsiaTheme="minorEastAsia" w:hAnsi="Palatino Linotype" w:cs="Arial"/>
          <w:sz w:val="24"/>
          <w:szCs w:val="24"/>
          <w:lang w:val="es-ES_tradnl" w:eastAsia="es-ES"/>
        </w:rPr>
        <w:t xml:space="preserve"> </w:t>
      </w:r>
      <w:r w:rsidRPr="00C40C29">
        <w:rPr>
          <w:rFonts w:ascii="Palatino Linotype" w:eastAsiaTheme="minorEastAsia" w:hAnsi="Palatino Linotype" w:cs="Arial"/>
          <w:sz w:val="24"/>
          <w:szCs w:val="24"/>
          <w:lang w:val="es-ES_tradnl" w:eastAsia="es-ES"/>
        </w:rPr>
        <w:t xml:space="preserve">Se </w:t>
      </w:r>
      <w:r w:rsidRPr="00C40C29">
        <w:rPr>
          <w:rFonts w:ascii="Palatino Linotype" w:eastAsiaTheme="minorEastAsia" w:hAnsi="Palatino Linotype" w:cs="Arial"/>
          <w:b/>
          <w:sz w:val="24"/>
          <w:szCs w:val="24"/>
          <w:lang w:val="es-ES_tradnl" w:eastAsia="es-ES"/>
        </w:rPr>
        <w:t>SOBRESEE</w:t>
      </w:r>
      <w:r w:rsidRPr="00C40C29">
        <w:rPr>
          <w:rFonts w:ascii="Palatino Linotype" w:eastAsiaTheme="minorEastAsia" w:hAnsi="Palatino Linotype" w:cs="Arial"/>
          <w:sz w:val="24"/>
          <w:szCs w:val="24"/>
          <w:lang w:val="es-ES_tradnl" w:eastAsia="es-ES"/>
        </w:rPr>
        <w:t xml:space="preserve"> el recurso de revisión número </w:t>
      </w:r>
      <w:r>
        <w:rPr>
          <w:rFonts w:ascii="Palatino Linotype" w:hAnsi="Palatino Linotype" w:cs="Arial"/>
          <w:b/>
          <w:sz w:val="24"/>
          <w:szCs w:val="24"/>
        </w:rPr>
        <w:t>06845/INFOEM/IP/RR/2023</w:t>
      </w:r>
      <w:r w:rsidRPr="00C40C29">
        <w:rPr>
          <w:rFonts w:ascii="Palatino Linotype" w:eastAsiaTheme="minorEastAsia" w:hAnsi="Palatino Linotype" w:cs="Arial"/>
          <w:sz w:val="24"/>
          <w:szCs w:val="24"/>
          <w:lang w:val="es-ES_tradnl" w:eastAsia="es-ES"/>
        </w:rPr>
        <w:t>, por</w:t>
      </w:r>
      <w:r>
        <w:rPr>
          <w:rFonts w:ascii="Palatino Linotype" w:eastAsiaTheme="minorEastAsia" w:hAnsi="Palatino Linotype" w:cs="Arial"/>
          <w:sz w:val="24"/>
          <w:szCs w:val="24"/>
          <w:lang w:val="es-ES_tradnl" w:eastAsia="es-ES"/>
        </w:rPr>
        <w:t xml:space="preserve">que </w:t>
      </w:r>
      <w:r w:rsidRPr="00DB139B">
        <w:rPr>
          <w:rFonts w:ascii="Palatino Linotype" w:eastAsiaTheme="minorEastAsia" w:hAnsi="Palatino Linotype" w:cs="Arial"/>
          <w:b/>
          <w:bCs/>
          <w:sz w:val="24"/>
          <w:szCs w:val="24"/>
          <w:lang w:val="es-ES_tradnl" w:eastAsia="es-ES"/>
        </w:rPr>
        <w:t>EL SUJETO OBLIGADO</w:t>
      </w:r>
      <w:r>
        <w:rPr>
          <w:rFonts w:ascii="Palatino Linotype" w:eastAsiaTheme="minorEastAsia" w:hAnsi="Palatino Linotype" w:cs="Arial"/>
          <w:sz w:val="24"/>
          <w:szCs w:val="24"/>
          <w:lang w:val="es-ES_tradnl" w:eastAsia="es-ES"/>
        </w:rPr>
        <w:t xml:space="preserve"> al modificar su respuesta, el recurso de revisión quedó </w:t>
      </w:r>
      <w:r w:rsidRPr="00C40C29">
        <w:rPr>
          <w:rFonts w:ascii="Palatino Linotype" w:eastAsiaTheme="minorEastAsia" w:hAnsi="Palatino Linotype" w:cs="Arial"/>
          <w:sz w:val="24"/>
          <w:szCs w:val="24"/>
          <w:lang w:val="es-ES_tradnl" w:eastAsia="es-ES"/>
        </w:rPr>
        <w:t>sin materia</w:t>
      </w:r>
      <w:r>
        <w:rPr>
          <w:rFonts w:ascii="Palatino Linotype" w:eastAsiaTheme="minorEastAsia" w:hAnsi="Palatino Linotype" w:cs="Arial"/>
          <w:sz w:val="24"/>
          <w:szCs w:val="24"/>
          <w:lang w:val="es-ES_tradnl" w:eastAsia="es-ES"/>
        </w:rPr>
        <w:t xml:space="preserve">, en términos del </w:t>
      </w:r>
      <w:r w:rsidRPr="00C40C29">
        <w:rPr>
          <w:rFonts w:ascii="Palatino Linotype" w:eastAsiaTheme="minorEastAsia" w:hAnsi="Palatino Linotype" w:cs="Arial"/>
          <w:sz w:val="24"/>
          <w:szCs w:val="24"/>
          <w:lang w:val="es-ES_tradnl" w:eastAsia="es-ES"/>
        </w:rPr>
        <w:t xml:space="preserve">artículo 192 fracción III de la Ley de Transparencia y Acceso a la Información Pública del Estado de México y Municipios, en términos del Considerando </w:t>
      </w:r>
      <w:r>
        <w:rPr>
          <w:rFonts w:ascii="Palatino Linotype" w:eastAsiaTheme="minorEastAsia" w:hAnsi="Palatino Linotype" w:cs="Arial"/>
          <w:b/>
          <w:sz w:val="24"/>
          <w:szCs w:val="24"/>
          <w:lang w:val="es-ES_tradnl" w:eastAsia="es-ES"/>
        </w:rPr>
        <w:t>CUARTO</w:t>
      </w:r>
      <w:r w:rsidRPr="00C40C29">
        <w:rPr>
          <w:rFonts w:ascii="Palatino Linotype" w:eastAsiaTheme="minorEastAsia" w:hAnsi="Palatino Linotype" w:cs="Arial"/>
          <w:sz w:val="24"/>
          <w:szCs w:val="24"/>
          <w:lang w:val="es-ES_tradnl" w:eastAsia="es-ES"/>
        </w:rPr>
        <w:t xml:space="preserve"> de la presente resolución.</w:t>
      </w:r>
    </w:p>
    <w:p w14:paraId="1BDF3BA2" w14:textId="77777777" w:rsidR="00AC6D9E" w:rsidRPr="00895C52" w:rsidRDefault="00AC6D9E" w:rsidP="00AC6D9E">
      <w:pPr>
        <w:tabs>
          <w:tab w:val="left" w:pos="8647"/>
        </w:tabs>
        <w:spacing w:after="0" w:line="360" w:lineRule="auto"/>
        <w:ind w:right="51"/>
        <w:jc w:val="both"/>
        <w:rPr>
          <w:rFonts w:ascii="Palatino Linotype" w:eastAsiaTheme="minorEastAsia" w:hAnsi="Palatino Linotype" w:cs="Arial"/>
          <w:sz w:val="24"/>
          <w:szCs w:val="24"/>
          <w:lang w:eastAsia="es-ES"/>
        </w:rPr>
      </w:pPr>
    </w:p>
    <w:p w14:paraId="5DFF76F6" w14:textId="77777777" w:rsidR="00AC6D9E" w:rsidRDefault="00AC6D9E" w:rsidP="00AC6D9E">
      <w:pPr>
        <w:tabs>
          <w:tab w:val="left" w:pos="8647"/>
        </w:tabs>
        <w:spacing w:after="0" w:line="360" w:lineRule="auto"/>
        <w:ind w:right="51"/>
        <w:jc w:val="both"/>
        <w:rPr>
          <w:rFonts w:ascii="Palatino Linotype" w:eastAsiaTheme="minorEastAsia" w:hAnsi="Palatino Linotype" w:cs="Arial"/>
          <w:sz w:val="24"/>
          <w:szCs w:val="24"/>
          <w:lang w:val="es-ES_tradnl" w:eastAsia="es-ES"/>
        </w:rPr>
      </w:pPr>
      <w:r w:rsidRPr="00895C52">
        <w:rPr>
          <w:rFonts w:ascii="Palatino Linotype" w:eastAsiaTheme="minorEastAsia" w:hAnsi="Palatino Linotype" w:cs="Arial"/>
          <w:b/>
          <w:sz w:val="28"/>
          <w:szCs w:val="24"/>
          <w:lang w:val="es-ES_tradnl" w:eastAsia="es-ES"/>
        </w:rPr>
        <w:t>SEGUNDO</w:t>
      </w:r>
      <w:r w:rsidRPr="00895C52">
        <w:rPr>
          <w:rFonts w:ascii="Palatino Linotype" w:eastAsiaTheme="minorEastAsia" w:hAnsi="Palatino Linotype" w:cs="Arial"/>
          <w:b/>
          <w:sz w:val="24"/>
          <w:szCs w:val="24"/>
          <w:lang w:val="es-ES_tradnl" w:eastAsia="es-ES"/>
        </w:rPr>
        <w:t>.</w:t>
      </w:r>
      <w:r w:rsidRPr="00895C52">
        <w:rPr>
          <w:rFonts w:ascii="Palatino Linotype" w:eastAsiaTheme="minorEastAsia" w:hAnsi="Palatino Linotype" w:cs="Arial"/>
          <w:sz w:val="24"/>
          <w:szCs w:val="24"/>
          <w:lang w:val="es-ES_tradnl" w:eastAsia="es-ES"/>
        </w:rPr>
        <w:t xml:space="preserve"> </w:t>
      </w:r>
      <w:r w:rsidRPr="00895C52">
        <w:rPr>
          <w:rFonts w:ascii="Palatino Linotype" w:eastAsiaTheme="minorEastAsia" w:hAnsi="Palatino Linotype" w:cs="Arial"/>
          <w:b/>
          <w:sz w:val="24"/>
          <w:szCs w:val="24"/>
          <w:lang w:val="es-ES_tradnl" w:eastAsia="es-ES"/>
        </w:rPr>
        <w:t>NOTIFÍQUESE</w:t>
      </w:r>
      <w:r w:rsidRPr="00895C52">
        <w:rPr>
          <w:rFonts w:ascii="Palatino Linotype" w:eastAsiaTheme="minorEastAsia" w:hAnsi="Palatino Linotype" w:cs="Arial"/>
          <w:sz w:val="24"/>
          <w:szCs w:val="24"/>
          <w:lang w:val="es-ES_tradnl" w:eastAsia="es-ES"/>
        </w:rPr>
        <w:t xml:space="preserve"> vía </w:t>
      </w:r>
      <w:r w:rsidRPr="00895C52">
        <w:rPr>
          <w:rFonts w:ascii="Palatino Linotype" w:eastAsia="Times New Roman" w:hAnsi="Palatino Linotype" w:cs="Times New Roman"/>
          <w:sz w:val="24"/>
          <w:szCs w:val="24"/>
          <w:lang w:val="es-ES" w:eastAsia="es-ES"/>
        </w:rPr>
        <w:t>Sistema de Acceso a la Información Mexiquense</w:t>
      </w:r>
      <w:r w:rsidRPr="00DB139B">
        <w:rPr>
          <w:rFonts w:ascii="Palatino Linotype" w:eastAsiaTheme="minorEastAsia" w:hAnsi="Palatino Linotype" w:cs="Arial"/>
          <w:b/>
          <w:bCs/>
          <w:sz w:val="24"/>
          <w:szCs w:val="24"/>
          <w:lang w:val="es-ES_tradnl" w:eastAsia="es-ES"/>
        </w:rPr>
        <w:t xml:space="preserve"> </w:t>
      </w:r>
      <w:r>
        <w:rPr>
          <w:rFonts w:ascii="Palatino Linotype" w:eastAsiaTheme="minorEastAsia" w:hAnsi="Palatino Linotype" w:cs="Arial"/>
          <w:b/>
          <w:bCs/>
          <w:sz w:val="24"/>
          <w:szCs w:val="24"/>
          <w:lang w:val="es-ES_tradnl" w:eastAsia="es-ES"/>
        </w:rPr>
        <w:t>(</w:t>
      </w:r>
      <w:r w:rsidRPr="00DB139B">
        <w:rPr>
          <w:rFonts w:ascii="Palatino Linotype" w:eastAsiaTheme="minorEastAsia" w:hAnsi="Palatino Linotype" w:cs="Arial"/>
          <w:b/>
          <w:bCs/>
          <w:sz w:val="24"/>
          <w:szCs w:val="24"/>
          <w:lang w:val="es-ES_tradnl" w:eastAsia="es-ES"/>
        </w:rPr>
        <w:t>SAIMEX</w:t>
      </w:r>
      <w:r>
        <w:rPr>
          <w:rFonts w:ascii="Palatino Linotype" w:eastAsiaTheme="minorEastAsia" w:hAnsi="Palatino Linotype" w:cs="Arial"/>
          <w:b/>
          <w:bCs/>
          <w:sz w:val="24"/>
          <w:szCs w:val="24"/>
          <w:lang w:val="es-ES_tradnl" w:eastAsia="es-ES"/>
        </w:rPr>
        <w:t>)</w:t>
      </w:r>
      <w:r w:rsidRPr="00895C52">
        <w:rPr>
          <w:rFonts w:ascii="Palatino Linotype" w:eastAsiaTheme="minorEastAsia" w:hAnsi="Palatino Linotype" w:cs="Arial"/>
          <w:sz w:val="24"/>
          <w:szCs w:val="24"/>
          <w:lang w:val="es-ES_tradnl" w:eastAsia="es-ES"/>
        </w:rPr>
        <w:t xml:space="preserve"> la presente resolución al Titular de la Unidad de Transparencia del </w:t>
      </w:r>
      <w:r w:rsidRPr="00895C52">
        <w:rPr>
          <w:rFonts w:ascii="Palatino Linotype" w:eastAsiaTheme="minorEastAsia" w:hAnsi="Palatino Linotype" w:cs="Arial"/>
          <w:b/>
          <w:sz w:val="24"/>
          <w:szCs w:val="24"/>
          <w:lang w:val="es-ES_tradnl" w:eastAsia="es-ES"/>
        </w:rPr>
        <w:t>Sujeto Obligado</w:t>
      </w:r>
      <w:r w:rsidRPr="00895C52">
        <w:rPr>
          <w:rFonts w:ascii="Palatino Linotype" w:eastAsiaTheme="minorEastAsia" w:hAnsi="Palatino Linotype" w:cs="Arial"/>
          <w:sz w:val="24"/>
          <w:szCs w:val="24"/>
          <w:lang w:val="es-ES_tradnl" w:eastAsia="es-ES"/>
        </w:rPr>
        <w:t>.</w:t>
      </w:r>
    </w:p>
    <w:p w14:paraId="2C83B5A7" w14:textId="77777777" w:rsidR="00AC6D9E" w:rsidRDefault="00AC6D9E" w:rsidP="00AC6D9E">
      <w:pPr>
        <w:tabs>
          <w:tab w:val="left" w:pos="8647"/>
        </w:tabs>
        <w:spacing w:after="0" w:line="360" w:lineRule="auto"/>
        <w:ind w:right="51"/>
        <w:jc w:val="both"/>
        <w:rPr>
          <w:rFonts w:ascii="Palatino Linotype" w:eastAsiaTheme="minorEastAsia" w:hAnsi="Palatino Linotype" w:cs="Arial"/>
          <w:sz w:val="24"/>
          <w:szCs w:val="24"/>
          <w:lang w:val="es-ES_tradnl" w:eastAsia="es-ES"/>
        </w:rPr>
      </w:pPr>
    </w:p>
    <w:p w14:paraId="53DC8BED" w14:textId="77777777" w:rsidR="00AC6D9E" w:rsidRPr="00895C52" w:rsidRDefault="00AC6D9E" w:rsidP="00AC6D9E">
      <w:pPr>
        <w:tabs>
          <w:tab w:val="left" w:pos="8647"/>
        </w:tabs>
        <w:spacing w:after="0" w:line="360" w:lineRule="auto"/>
        <w:ind w:right="51"/>
        <w:jc w:val="both"/>
        <w:rPr>
          <w:rFonts w:ascii="Palatino Linotype" w:eastAsiaTheme="minorEastAsia" w:hAnsi="Palatino Linotype" w:cs="Arial"/>
          <w:sz w:val="24"/>
          <w:szCs w:val="24"/>
          <w:lang w:val="es-ES_tradnl" w:eastAsia="es-ES"/>
        </w:rPr>
      </w:pPr>
    </w:p>
    <w:p w14:paraId="4EF0EF25" w14:textId="77777777" w:rsidR="00AC6D9E" w:rsidRDefault="00AC6D9E" w:rsidP="00AC6D9E">
      <w:pPr>
        <w:spacing w:after="0" w:line="360" w:lineRule="auto"/>
        <w:jc w:val="both"/>
        <w:rPr>
          <w:rFonts w:ascii="Palatino Linotype" w:eastAsia="Times New Roman" w:hAnsi="Palatino Linotype" w:cs="Arial"/>
          <w:sz w:val="24"/>
          <w:szCs w:val="24"/>
          <w:lang w:val="es-ES" w:eastAsia="es-ES"/>
        </w:rPr>
      </w:pPr>
      <w:r w:rsidRPr="00895C52">
        <w:rPr>
          <w:rFonts w:ascii="Palatino Linotype" w:eastAsia="Times New Roman" w:hAnsi="Palatino Linotype" w:cs="Arial"/>
          <w:b/>
          <w:sz w:val="28"/>
          <w:szCs w:val="24"/>
          <w:lang w:val="es-ES" w:eastAsia="es-ES"/>
        </w:rPr>
        <w:t>TERCERO</w:t>
      </w:r>
      <w:r w:rsidRPr="00895C52">
        <w:rPr>
          <w:rFonts w:ascii="Palatino Linotype" w:eastAsia="Times New Roman" w:hAnsi="Palatino Linotype" w:cs="Arial"/>
          <w:b/>
          <w:sz w:val="24"/>
          <w:szCs w:val="24"/>
          <w:lang w:val="es-ES" w:eastAsia="es-ES"/>
        </w:rPr>
        <w:t>.</w:t>
      </w:r>
      <w:r w:rsidRPr="00895C52">
        <w:rPr>
          <w:rFonts w:ascii="Palatino Linotype" w:eastAsia="Times New Roman" w:hAnsi="Palatino Linotype" w:cs="Arial"/>
          <w:sz w:val="24"/>
          <w:szCs w:val="24"/>
          <w:lang w:val="es-ES" w:eastAsia="es-ES"/>
        </w:rPr>
        <w:t xml:space="preserve"> </w:t>
      </w:r>
      <w:r w:rsidRPr="00895C52">
        <w:rPr>
          <w:rFonts w:ascii="Palatino Linotype" w:eastAsia="Times New Roman" w:hAnsi="Palatino Linotype" w:cs="Arial"/>
          <w:b/>
          <w:sz w:val="24"/>
          <w:szCs w:val="24"/>
          <w:lang w:val="es-ES" w:eastAsia="es-ES"/>
        </w:rPr>
        <w:t>NOTIFÍQUESE</w:t>
      </w:r>
      <w:r w:rsidRPr="00895C52">
        <w:rPr>
          <w:rFonts w:ascii="Palatino Linotype" w:eastAsia="Times New Roman" w:hAnsi="Palatino Linotype" w:cs="Arial"/>
          <w:sz w:val="24"/>
          <w:szCs w:val="24"/>
          <w:lang w:val="es-ES" w:eastAsia="es-ES"/>
        </w:rPr>
        <w:t xml:space="preserve"> a través del</w:t>
      </w:r>
      <w:r w:rsidRPr="00895C52">
        <w:rPr>
          <w:rFonts w:ascii="Palatino Linotype" w:eastAsia="Times New Roman" w:hAnsi="Palatino Linotype" w:cs="Times New Roman"/>
          <w:sz w:val="24"/>
          <w:szCs w:val="24"/>
          <w:lang w:val="es-ES" w:eastAsia="es-ES"/>
        </w:rPr>
        <w:t xml:space="preserve"> Sistema de Acceso a la Información Mexiquense </w:t>
      </w:r>
      <w:r w:rsidRPr="00DB139B">
        <w:rPr>
          <w:rFonts w:ascii="Palatino Linotype" w:eastAsia="Times New Roman" w:hAnsi="Palatino Linotype" w:cs="Times New Roman"/>
          <w:b/>
          <w:bCs/>
          <w:sz w:val="24"/>
          <w:szCs w:val="24"/>
          <w:lang w:val="es-ES" w:eastAsia="es-ES"/>
        </w:rPr>
        <w:t>(SAIMEX)</w:t>
      </w:r>
      <w:r w:rsidRPr="00DB139B">
        <w:rPr>
          <w:rFonts w:ascii="Palatino Linotype" w:eastAsia="Times New Roman" w:hAnsi="Palatino Linotype" w:cs="Arial"/>
          <w:b/>
          <w:bCs/>
          <w:sz w:val="24"/>
          <w:szCs w:val="24"/>
          <w:lang w:val="es-ES" w:eastAsia="es-ES"/>
        </w:rPr>
        <w:t>,</w:t>
      </w:r>
      <w:r w:rsidRPr="00895C52">
        <w:rPr>
          <w:rFonts w:ascii="Palatino Linotype" w:eastAsia="Times New Roman" w:hAnsi="Palatino Linotype" w:cs="Arial"/>
          <w:sz w:val="24"/>
          <w:szCs w:val="24"/>
          <w:lang w:val="es-ES" w:eastAsia="es-ES"/>
        </w:rPr>
        <w:t xml:space="preserve"> </w:t>
      </w:r>
      <w:r>
        <w:rPr>
          <w:rFonts w:ascii="Palatino Linotype" w:eastAsia="Times New Roman" w:hAnsi="Palatino Linotype" w:cs="Arial"/>
          <w:sz w:val="24"/>
          <w:szCs w:val="24"/>
          <w:lang w:val="es-ES" w:eastAsia="es-ES"/>
        </w:rPr>
        <w:t>al</w:t>
      </w:r>
      <w:r w:rsidRPr="00895C52">
        <w:rPr>
          <w:rFonts w:ascii="Palatino Linotype" w:eastAsia="Times New Roman" w:hAnsi="Palatino Linotype" w:cs="Arial"/>
          <w:sz w:val="24"/>
          <w:szCs w:val="24"/>
          <w:lang w:val="es-ES" w:eastAsia="es-ES"/>
        </w:rPr>
        <w:t xml:space="preserve"> </w:t>
      </w:r>
      <w:r w:rsidRPr="00895C52">
        <w:rPr>
          <w:rFonts w:ascii="Palatino Linotype" w:eastAsia="Times New Roman" w:hAnsi="Palatino Linotype" w:cs="Arial"/>
          <w:b/>
          <w:sz w:val="24"/>
          <w:szCs w:val="24"/>
          <w:lang w:val="es-ES" w:eastAsia="es-ES"/>
        </w:rPr>
        <w:t xml:space="preserve">RECURRENTE </w:t>
      </w:r>
      <w:r w:rsidRPr="00895C52">
        <w:rPr>
          <w:rFonts w:ascii="Palatino Linotype" w:eastAsia="Times New Roman" w:hAnsi="Palatino Linotype" w:cs="Arial"/>
          <w:sz w:val="24"/>
          <w:szCs w:val="24"/>
          <w:lang w:val="es-ES" w:eastAsia="es-ES"/>
        </w:rPr>
        <w:t>la presente resolución y hágase del conocimiento que en caso de que considere que la presente resolución le causa algún perjuicio, podrá promover el Juicio de Amparo en los términos de las leyes aplicables, de acuerdo con lo estipulado por el artículo 196 de la Ley de Transparencia y Acceso a la Información Pública del Estado de México y Municipios.</w:t>
      </w:r>
    </w:p>
    <w:p w14:paraId="3A457E7B" w14:textId="77777777" w:rsidR="0009081C" w:rsidRPr="00AC6D9E" w:rsidRDefault="0009081C" w:rsidP="00E957C8">
      <w:pPr>
        <w:spacing w:after="0" w:line="360" w:lineRule="auto"/>
        <w:jc w:val="both"/>
        <w:rPr>
          <w:rFonts w:ascii="Palatino Linotype" w:hAnsi="Palatino Linotype"/>
          <w:bCs/>
          <w:sz w:val="24"/>
          <w:szCs w:val="24"/>
          <w:lang w:val="es-ES"/>
        </w:rPr>
      </w:pPr>
    </w:p>
    <w:p w14:paraId="49782EAA" w14:textId="37138E47" w:rsidR="0069237F" w:rsidRPr="00627D99" w:rsidRDefault="0069237F" w:rsidP="0069237F">
      <w:pPr>
        <w:pStyle w:val="Prrafodelista"/>
        <w:autoSpaceDE w:val="0"/>
        <w:autoSpaceDN w:val="0"/>
        <w:adjustRightInd w:val="0"/>
        <w:spacing w:before="240" w:after="160" w:line="360" w:lineRule="auto"/>
        <w:ind w:left="0"/>
        <w:jc w:val="both"/>
        <w:rPr>
          <w:rFonts w:ascii="Palatino Linotype" w:hAnsi="Palatino Linotype" w:cs="Arial"/>
          <w:sz w:val="23"/>
          <w:szCs w:val="23"/>
        </w:rPr>
      </w:pPr>
      <w:r>
        <w:rPr>
          <w:rFonts w:ascii="Palatino Linotype" w:hAnsi="Palatino Linotype" w:cs="Arial"/>
        </w:rPr>
        <w:lastRenderedPageBreak/>
        <w:t>A</w:t>
      </w:r>
      <w:r w:rsidRPr="00C91103">
        <w:rPr>
          <w:rFonts w:ascii="Palatino Linotype" w:hAnsi="Palatino Linotype" w:cs="Arial"/>
        </w:rPr>
        <w:t xml:space="preserve">SÍ LO </w:t>
      </w:r>
      <w:r>
        <w:rPr>
          <w:rFonts w:ascii="Palatino Linotype" w:hAnsi="Palatino Linotype" w:cs="Arial"/>
        </w:rPr>
        <w:t>ACORDÓ</w:t>
      </w:r>
      <w:r w:rsidRPr="00C91103">
        <w:rPr>
          <w:rFonts w:ascii="Palatino Linotype" w:hAnsi="Palatino Linotype" w:cs="Arial"/>
        </w:rPr>
        <w:t xml:space="preserve">, POR </w:t>
      </w:r>
      <w:r w:rsidR="00E15D96">
        <w:rPr>
          <w:rFonts w:ascii="Palatino Linotype" w:hAnsi="Palatino Linotype" w:cs="Arial"/>
        </w:rPr>
        <w:t>MAYORÍA</w:t>
      </w:r>
      <w:r w:rsidRPr="00C91103">
        <w:rPr>
          <w:rFonts w:ascii="Palatino Linotype" w:hAnsi="Palatino Linotype" w:cs="Arial"/>
        </w:rPr>
        <w:t xml:space="preserve"> DE </w:t>
      </w:r>
      <w:r>
        <w:rPr>
          <w:rFonts w:ascii="Palatino Linotype" w:hAnsi="Palatino Linotype" w:cs="Arial"/>
        </w:rPr>
        <w:t>VOTOS,</w:t>
      </w:r>
      <w:r w:rsidRPr="00C91103">
        <w:rPr>
          <w:rFonts w:ascii="Palatino Linotype" w:hAnsi="Palatino Linotype" w:cs="Arial"/>
        </w:rPr>
        <w:t xml:space="preserve"> EL PLENO DEL</w:t>
      </w:r>
      <w:r w:rsidRPr="00C91103">
        <w:rPr>
          <w:rFonts w:ascii="Palatino Linotype" w:eastAsia="Arial Unicode MS" w:hAnsi="Palatino Linotype" w:cs="Arial"/>
        </w:rPr>
        <w:t xml:space="preserve"> INSTITUTO DE TRANSPARENCIA, ACCESO A LA INFORMACIÓN PÚBLICA Y PROTECCIÓN DE DATOS PERSONALES DEL </w:t>
      </w:r>
      <w:r w:rsidRPr="00272CE0">
        <w:rPr>
          <w:rFonts w:ascii="Palatino Linotype" w:eastAsia="Arial Unicode MS" w:hAnsi="Palatino Linotype" w:cs="Arial"/>
        </w:rPr>
        <w:t>ESTADO DE MÉXICO Y MUNICIPIOS</w:t>
      </w:r>
      <w:r w:rsidRPr="00272CE0">
        <w:rPr>
          <w:rFonts w:ascii="Palatino Linotype" w:hAnsi="Palatino Linotype" w:cs="Arial"/>
        </w:rPr>
        <w:t>, CONFORMADO POR LOS COMISIONADOS</w:t>
      </w:r>
      <w:r>
        <w:rPr>
          <w:rFonts w:ascii="Palatino Linotype" w:hAnsi="Palatino Linotype" w:cs="Arial"/>
        </w:rPr>
        <w:t xml:space="preserve"> JOSÉ MARTÍNEZ VILCHIS, MARÍA DEL ROSARIO </w:t>
      </w:r>
      <w:r w:rsidRPr="00266B85">
        <w:rPr>
          <w:rFonts w:ascii="Palatino Linotype" w:hAnsi="Palatino Linotype" w:cs="Arial"/>
        </w:rPr>
        <w:t>MEJÍA AYALA, S</w:t>
      </w:r>
      <w:r>
        <w:rPr>
          <w:rFonts w:ascii="Palatino Linotype" w:hAnsi="Palatino Linotype" w:cs="Arial"/>
        </w:rPr>
        <w:t xml:space="preserve">HARON CRISTINA MORALES MARTÍNEZ, </w:t>
      </w:r>
      <w:r w:rsidRPr="00266B85">
        <w:rPr>
          <w:rFonts w:ascii="Palatino Linotype" w:hAnsi="Palatino Linotype" w:cs="Arial"/>
        </w:rPr>
        <w:t>LUIS GUSTAVO PARRA NORIEGA</w:t>
      </w:r>
      <w:r>
        <w:rPr>
          <w:rFonts w:ascii="Palatino Linotype" w:hAnsi="Palatino Linotype" w:cs="Arial"/>
        </w:rPr>
        <w:t xml:space="preserve"> </w:t>
      </w:r>
      <w:r w:rsidRPr="00266B85">
        <w:rPr>
          <w:rFonts w:ascii="Palatino Linotype" w:hAnsi="Palatino Linotype" w:cs="Arial"/>
        </w:rPr>
        <w:t>Y GUADALUPE RAMÍREZ PEÑA</w:t>
      </w:r>
      <w:r w:rsidR="00E15D96">
        <w:rPr>
          <w:rFonts w:ascii="Palatino Linotype" w:hAnsi="Palatino Linotype" w:cs="Arial"/>
        </w:rPr>
        <w:t xml:space="preserve"> (EMITIENDO VOTO DISIDENTE)</w:t>
      </w:r>
      <w:r w:rsidRPr="00266B85">
        <w:rPr>
          <w:rFonts w:ascii="Palatino Linotype" w:hAnsi="Palatino Linotype" w:cs="Arial"/>
        </w:rPr>
        <w:t xml:space="preserve">; EN LA </w:t>
      </w:r>
      <w:r w:rsidR="00E15D96">
        <w:rPr>
          <w:rFonts w:ascii="Palatino Linotype" w:hAnsi="Palatino Linotype" w:cs="Arial"/>
        </w:rPr>
        <w:t>TERCERA</w:t>
      </w:r>
      <w:r>
        <w:rPr>
          <w:rFonts w:ascii="Palatino Linotype" w:hAnsi="Palatino Linotype" w:cs="Arial"/>
        </w:rPr>
        <w:t xml:space="preserve"> SESIÓN ORDINARIA CELEBRADA EL </w:t>
      </w:r>
      <w:r w:rsidR="00E15D96">
        <w:rPr>
          <w:rFonts w:ascii="Palatino Linotype" w:hAnsi="Palatino Linotype" w:cs="Arial"/>
        </w:rPr>
        <w:t>TREINTA Y UNO</w:t>
      </w:r>
      <w:r>
        <w:rPr>
          <w:rFonts w:ascii="Palatino Linotype" w:hAnsi="Palatino Linotype" w:cs="Arial"/>
        </w:rPr>
        <w:t xml:space="preserve"> DE ENERO DE DOS MIL VEINTICUATRO, ANTE EL SECRETARIO </w:t>
      </w:r>
      <w:r w:rsidRPr="00627D99">
        <w:rPr>
          <w:rFonts w:ascii="Palatino Linotype" w:hAnsi="Palatino Linotype" w:cs="Arial"/>
          <w:sz w:val="23"/>
          <w:szCs w:val="23"/>
        </w:rPr>
        <w:t xml:space="preserve">TÉCNICO DEL PLENO, ALEXIS TAPIA RAMÍREZ. </w:t>
      </w:r>
    </w:p>
    <w:p w14:paraId="22A30807" w14:textId="77777777" w:rsidR="0069237F" w:rsidRDefault="0069237F" w:rsidP="0069237F">
      <w:pPr>
        <w:pStyle w:val="Prrafodelista"/>
        <w:autoSpaceDE w:val="0"/>
        <w:autoSpaceDN w:val="0"/>
        <w:adjustRightInd w:val="0"/>
        <w:spacing w:before="240" w:after="160" w:line="360" w:lineRule="auto"/>
        <w:ind w:left="0"/>
        <w:jc w:val="both"/>
        <w:rPr>
          <w:rFonts w:ascii="Palatino Linotype" w:hAnsi="Palatino Linotype"/>
          <w:bCs/>
          <w:sz w:val="18"/>
          <w:szCs w:val="18"/>
        </w:rPr>
      </w:pPr>
      <w:r>
        <w:rPr>
          <w:rFonts w:ascii="Palatino Linotype" w:hAnsi="Palatino Linotype"/>
          <w:bCs/>
          <w:sz w:val="18"/>
          <w:szCs w:val="18"/>
        </w:rPr>
        <w:t>CCR/J</w:t>
      </w:r>
      <w:r w:rsidRPr="00280B8B">
        <w:rPr>
          <w:rFonts w:ascii="Palatino Linotype" w:hAnsi="Palatino Linotype"/>
          <w:bCs/>
          <w:sz w:val="18"/>
          <w:szCs w:val="18"/>
        </w:rPr>
        <w:t>CMA</w:t>
      </w:r>
    </w:p>
    <w:p w14:paraId="6377A6F8" w14:textId="77777777" w:rsidR="0069237F" w:rsidRDefault="0069237F" w:rsidP="0069237F">
      <w:pPr>
        <w:pStyle w:val="Prrafodelista"/>
        <w:autoSpaceDE w:val="0"/>
        <w:autoSpaceDN w:val="0"/>
        <w:adjustRightInd w:val="0"/>
        <w:spacing w:before="240" w:after="160" w:line="360" w:lineRule="auto"/>
        <w:ind w:left="0"/>
        <w:jc w:val="both"/>
        <w:rPr>
          <w:rFonts w:ascii="Palatino Linotype" w:hAnsi="Palatino Linotype"/>
          <w:bCs/>
          <w:sz w:val="18"/>
          <w:szCs w:val="18"/>
          <w:lang w:val="es-MX"/>
        </w:rPr>
      </w:pPr>
      <w:r>
        <w:rPr>
          <w:rFonts w:ascii="Palatino Linotype" w:hAnsi="Palatino Linotype"/>
          <w:bCs/>
          <w:noProof/>
          <w:sz w:val="18"/>
          <w:szCs w:val="18"/>
          <w:lang w:val="es-MX" w:eastAsia="es-MX"/>
        </w:rPr>
        <mc:AlternateContent>
          <mc:Choice Requires="wps">
            <w:drawing>
              <wp:anchor distT="0" distB="0" distL="114300" distR="114300" simplePos="0" relativeHeight="251678720" behindDoc="0" locked="0" layoutInCell="1" allowOverlap="1" wp14:anchorId="004D5B4E" wp14:editId="27314269">
                <wp:simplePos x="0" y="0"/>
                <wp:positionH relativeFrom="margin">
                  <wp:align>left</wp:align>
                </wp:positionH>
                <wp:positionV relativeFrom="paragraph">
                  <wp:posOffset>57724</wp:posOffset>
                </wp:positionV>
                <wp:extent cx="5865962" cy="4304581"/>
                <wp:effectExtent l="0" t="0" r="20955" b="20320"/>
                <wp:wrapNone/>
                <wp:docPr id="1785966983" name="Straight Connector 5"/>
                <wp:cNvGraphicFramePr/>
                <a:graphic xmlns:a="http://schemas.openxmlformats.org/drawingml/2006/main">
                  <a:graphicData uri="http://schemas.microsoft.com/office/word/2010/wordprocessingShape">
                    <wps:wsp>
                      <wps:cNvCnPr/>
                      <wps:spPr>
                        <a:xfrm>
                          <a:off x="0" y="0"/>
                          <a:ext cx="5865962" cy="4304581"/>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w:pict>
              <v:line w14:anchorId="592097DE" id="Straight Connector 5" o:spid="_x0000_s1026" style="position:absolute;z-index:25167872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4.55pt" to="461.9pt,3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" strokecolor="#5b9bd5 [3204]" strokeweight=".5pt">
                <v:stroke joinstyle="miter"/>
                <w10:wrap anchorx="margin"/>
              </v:line>
            </w:pict>
          </mc:Fallback>
        </mc:AlternateContent>
      </w:r>
    </w:p>
    <w:p w14:paraId="27620CE0" w14:textId="77777777" w:rsidR="000D7F7B" w:rsidRDefault="000D7F7B" w:rsidP="000D7F7B">
      <w:pPr>
        <w:spacing w:line="360" w:lineRule="auto"/>
        <w:jc w:val="both"/>
        <w:rPr>
          <w:rFonts w:ascii="Palatino Linotype" w:hAnsi="Palatino Linotype"/>
          <w:bCs/>
          <w:sz w:val="24"/>
          <w:szCs w:val="24"/>
        </w:rPr>
      </w:pPr>
    </w:p>
    <w:p w14:paraId="3676623C" w14:textId="76A371A2" w:rsidR="008253B0" w:rsidRDefault="008253B0" w:rsidP="00643DA3">
      <w:pPr>
        <w:spacing w:after="0" w:line="360" w:lineRule="auto"/>
        <w:jc w:val="both"/>
        <w:rPr>
          <w:rFonts w:ascii="Palatino Linotype" w:eastAsia="Calibri" w:hAnsi="Palatino Linotype" w:cs="Times New Roman"/>
          <w:sz w:val="24"/>
          <w:szCs w:val="24"/>
          <w:lang w:eastAsia="es-ES"/>
        </w:rPr>
      </w:pPr>
    </w:p>
    <w:p w14:paraId="774B4BE2" w14:textId="1EAB1D02" w:rsidR="008253B0" w:rsidRDefault="008253B0" w:rsidP="00643DA3">
      <w:pPr>
        <w:spacing w:after="0" w:line="360" w:lineRule="auto"/>
        <w:jc w:val="both"/>
        <w:rPr>
          <w:rFonts w:ascii="Palatino Linotype" w:eastAsia="Calibri" w:hAnsi="Palatino Linotype" w:cs="Times New Roman"/>
          <w:sz w:val="24"/>
          <w:szCs w:val="24"/>
          <w:lang w:eastAsia="es-ES"/>
        </w:rPr>
      </w:pPr>
    </w:p>
    <w:p w14:paraId="25848B9A" w14:textId="77777777" w:rsidR="008253B0" w:rsidRDefault="008253B0" w:rsidP="00643DA3">
      <w:pPr>
        <w:spacing w:after="0" w:line="360" w:lineRule="auto"/>
        <w:jc w:val="both"/>
        <w:rPr>
          <w:rFonts w:ascii="Palatino Linotype" w:eastAsia="Calibri" w:hAnsi="Palatino Linotype" w:cs="Times New Roman"/>
          <w:sz w:val="24"/>
          <w:szCs w:val="24"/>
          <w:lang w:eastAsia="es-ES"/>
        </w:rPr>
      </w:pPr>
    </w:p>
    <w:p w14:paraId="186FDA35" w14:textId="77777777" w:rsidR="003D5267" w:rsidRDefault="003D5267" w:rsidP="00643DA3">
      <w:pPr>
        <w:spacing w:after="0" w:line="360" w:lineRule="auto"/>
        <w:jc w:val="both"/>
        <w:rPr>
          <w:rFonts w:ascii="Palatino Linotype" w:eastAsia="Calibri" w:hAnsi="Palatino Linotype" w:cs="Times New Roman"/>
          <w:sz w:val="24"/>
          <w:szCs w:val="24"/>
          <w:lang w:eastAsia="es-ES"/>
        </w:rPr>
      </w:pPr>
    </w:p>
    <w:p w14:paraId="1612E7E4" w14:textId="77777777" w:rsidR="003D5267" w:rsidRDefault="003D5267" w:rsidP="00643DA3">
      <w:pPr>
        <w:spacing w:after="0" w:line="360" w:lineRule="auto"/>
        <w:jc w:val="both"/>
        <w:rPr>
          <w:rFonts w:ascii="Palatino Linotype" w:eastAsia="Calibri" w:hAnsi="Palatino Linotype" w:cs="Times New Roman"/>
          <w:sz w:val="24"/>
          <w:szCs w:val="24"/>
          <w:lang w:eastAsia="es-ES"/>
        </w:rPr>
      </w:pPr>
    </w:p>
    <w:p w14:paraId="6E56D7FD" w14:textId="77777777" w:rsidR="003D5267" w:rsidRDefault="003D5267" w:rsidP="00643DA3">
      <w:pPr>
        <w:spacing w:after="0" w:line="360" w:lineRule="auto"/>
        <w:jc w:val="both"/>
        <w:rPr>
          <w:rFonts w:ascii="Palatino Linotype" w:eastAsia="Calibri" w:hAnsi="Palatino Linotype" w:cs="Times New Roman"/>
          <w:sz w:val="24"/>
          <w:szCs w:val="24"/>
          <w:lang w:eastAsia="es-ES"/>
        </w:rPr>
      </w:pPr>
    </w:p>
    <w:p w14:paraId="14A8EDAA" w14:textId="77777777" w:rsidR="003D5267" w:rsidRDefault="003D5267" w:rsidP="00643DA3">
      <w:pPr>
        <w:spacing w:after="0" w:line="360" w:lineRule="auto"/>
        <w:jc w:val="both"/>
        <w:rPr>
          <w:rFonts w:ascii="Palatino Linotype" w:eastAsia="Calibri" w:hAnsi="Palatino Linotype" w:cs="Times New Roman"/>
          <w:sz w:val="24"/>
          <w:szCs w:val="24"/>
          <w:lang w:eastAsia="es-ES"/>
        </w:rPr>
      </w:pPr>
    </w:p>
    <w:p w14:paraId="2FB243D6" w14:textId="77777777" w:rsidR="003D5267" w:rsidRDefault="003D5267" w:rsidP="00643DA3">
      <w:pPr>
        <w:spacing w:after="0" w:line="360" w:lineRule="auto"/>
        <w:jc w:val="both"/>
        <w:rPr>
          <w:rFonts w:ascii="Palatino Linotype" w:eastAsia="Calibri" w:hAnsi="Palatino Linotype" w:cs="Times New Roman"/>
          <w:sz w:val="24"/>
          <w:szCs w:val="24"/>
          <w:lang w:eastAsia="es-ES"/>
        </w:rPr>
      </w:pPr>
    </w:p>
    <w:p w14:paraId="64E1419B" w14:textId="77777777" w:rsidR="003D5267" w:rsidRDefault="003D5267" w:rsidP="00643DA3">
      <w:pPr>
        <w:spacing w:after="0" w:line="360" w:lineRule="auto"/>
        <w:jc w:val="both"/>
        <w:rPr>
          <w:rFonts w:ascii="Palatino Linotype" w:eastAsia="Calibri" w:hAnsi="Palatino Linotype" w:cs="Times New Roman"/>
          <w:sz w:val="24"/>
          <w:szCs w:val="24"/>
          <w:lang w:eastAsia="es-ES"/>
        </w:rPr>
      </w:pPr>
    </w:p>
    <w:p w14:paraId="309EC17C" w14:textId="77777777" w:rsidR="003D5267" w:rsidRDefault="003D5267" w:rsidP="00643DA3">
      <w:pPr>
        <w:spacing w:after="0" w:line="360" w:lineRule="auto"/>
        <w:jc w:val="both"/>
        <w:rPr>
          <w:rFonts w:ascii="Palatino Linotype" w:eastAsia="Calibri" w:hAnsi="Palatino Linotype" w:cs="Times New Roman"/>
          <w:sz w:val="24"/>
          <w:szCs w:val="24"/>
          <w:lang w:eastAsia="es-ES"/>
        </w:rPr>
      </w:pPr>
    </w:p>
    <w:p w14:paraId="55717448" w14:textId="77777777" w:rsidR="003D5267" w:rsidRDefault="003D5267" w:rsidP="00643DA3">
      <w:pPr>
        <w:spacing w:after="0" w:line="360" w:lineRule="auto"/>
        <w:jc w:val="both"/>
        <w:rPr>
          <w:rFonts w:ascii="Palatino Linotype" w:eastAsia="Calibri" w:hAnsi="Palatino Linotype" w:cs="Times New Roman"/>
          <w:sz w:val="24"/>
          <w:szCs w:val="24"/>
          <w:lang w:eastAsia="es-ES"/>
        </w:rPr>
      </w:pPr>
    </w:p>
    <w:p w14:paraId="7C86DDDF" w14:textId="77777777" w:rsidR="003D5267" w:rsidRDefault="003D5267" w:rsidP="00643DA3">
      <w:pPr>
        <w:spacing w:after="0" w:line="360" w:lineRule="auto"/>
        <w:jc w:val="both"/>
        <w:rPr>
          <w:rFonts w:ascii="Palatino Linotype" w:eastAsia="Calibri" w:hAnsi="Palatino Linotype" w:cs="Times New Roman"/>
          <w:sz w:val="24"/>
          <w:szCs w:val="24"/>
          <w:lang w:eastAsia="es-ES"/>
        </w:rPr>
      </w:pPr>
    </w:p>
    <w:p w14:paraId="5CFAAD8B" w14:textId="77777777" w:rsidR="003D5267" w:rsidRDefault="003D5267" w:rsidP="00643DA3">
      <w:pPr>
        <w:spacing w:after="0" w:line="360" w:lineRule="auto"/>
        <w:jc w:val="both"/>
        <w:rPr>
          <w:rFonts w:ascii="Palatino Linotype" w:eastAsia="Calibri" w:hAnsi="Palatino Linotype" w:cs="Times New Roman"/>
          <w:sz w:val="24"/>
          <w:szCs w:val="24"/>
          <w:lang w:eastAsia="es-ES"/>
        </w:rPr>
      </w:pPr>
    </w:p>
    <w:p w14:paraId="17E09F51" w14:textId="77777777" w:rsidR="003D5267" w:rsidRDefault="003D5267" w:rsidP="00643DA3">
      <w:pPr>
        <w:spacing w:after="0" w:line="360" w:lineRule="auto"/>
        <w:jc w:val="both"/>
        <w:rPr>
          <w:rFonts w:ascii="Palatino Linotype" w:eastAsia="Calibri" w:hAnsi="Palatino Linotype" w:cs="Times New Roman"/>
          <w:sz w:val="24"/>
          <w:szCs w:val="24"/>
          <w:lang w:eastAsia="es-ES"/>
        </w:rPr>
      </w:pPr>
    </w:p>
    <w:p w14:paraId="1F4C9688" w14:textId="77777777" w:rsidR="003D5267" w:rsidRPr="00D767A9" w:rsidRDefault="003D5267" w:rsidP="00643DA3">
      <w:pPr>
        <w:spacing w:after="0" w:line="360" w:lineRule="auto"/>
        <w:jc w:val="both"/>
        <w:rPr>
          <w:rFonts w:ascii="Palatino Linotype" w:eastAsia="Calibri" w:hAnsi="Palatino Linotype" w:cs="Times New Roman"/>
          <w:sz w:val="24"/>
          <w:szCs w:val="24"/>
          <w:lang w:eastAsia="es-ES"/>
        </w:rPr>
      </w:pPr>
    </w:p>
    <w:sectPr w:rsidR="003D5267" w:rsidRPr="00D767A9" w:rsidSect="00B43E4C">
      <w:headerReference w:type="default" r:id="rId20"/>
      <w:footerReference w:type="default" r:id="rId21"/>
      <w:headerReference w:type="first" r:id="rId22"/>
      <w:footerReference w:type="first" r:id="rId23"/>
      <w:pgSz w:w="12240" w:h="15840"/>
      <w:pgMar w:top="1417" w:right="1467"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E6D9B8D" w14:textId="77777777" w:rsidR="002E2C37" w:rsidRDefault="002E2C37" w:rsidP="006168E4">
      <w:pPr>
        <w:spacing w:after="0" w:line="240" w:lineRule="auto"/>
      </w:pPr>
      <w:r>
        <w:separator/>
      </w:r>
    </w:p>
  </w:endnote>
  <w:endnote w:type="continuationSeparator" w:id="0">
    <w:p w14:paraId="62A361F6" w14:textId="77777777" w:rsidR="002E2C37" w:rsidRDefault="002E2C37" w:rsidP="006168E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72DC73D" w14:textId="77777777" w:rsidR="00E05600" w:rsidRPr="000B69FA" w:rsidRDefault="00E0560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90AA8">
      <w:rPr>
        <w:rFonts w:ascii="Palatino Linotype" w:hAnsi="Palatino Linotype"/>
        <w:bCs/>
        <w:noProof/>
        <w:sz w:val="20"/>
      </w:rPr>
      <w:t>21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90AA8">
      <w:rPr>
        <w:rFonts w:ascii="Palatino Linotype" w:hAnsi="Palatino Linotype"/>
        <w:bCs/>
        <w:noProof/>
        <w:sz w:val="20"/>
      </w:rPr>
      <w:t>43</w:t>
    </w:r>
    <w:r w:rsidRPr="000B69FA">
      <w:rPr>
        <w:rFonts w:ascii="Palatino Linotype" w:hAnsi="Palatino Linotype"/>
        <w:bCs/>
        <w:sz w:val="20"/>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34BE9FD" w14:textId="14A06319" w:rsidR="00E05600" w:rsidRPr="000B69FA" w:rsidRDefault="00E05600" w:rsidP="00FB4AAD">
    <w:pPr>
      <w:pStyle w:val="Piedepgina"/>
      <w:jc w:val="right"/>
      <w:rPr>
        <w:rFonts w:ascii="Palatino Linotype" w:hAnsi="Palatino Linotype"/>
        <w:sz w:val="20"/>
      </w:rPr>
    </w:pPr>
    <w:r w:rsidRPr="000B69FA">
      <w:rPr>
        <w:rFonts w:ascii="Palatino Linotype" w:hAnsi="Palatino Linotype"/>
        <w:sz w:val="20"/>
      </w:rPr>
      <w:t xml:space="preserve">Página </w:t>
    </w:r>
    <w:r w:rsidRPr="000B69FA">
      <w:rPr>
        <w:rFonts w:ascii="Palatino Linotype" w:hAnsi="Palatino Linotype"/>
        <w:bCs/>
        <w:sz w:val="20"/>
      </w:rPr>
      <w:fldChar w:fldCharType="begin"/>
    </w:r>
    <w:r w:rsidRPr="000B69FA">
      <w:rPr>
        <w:rFonts w:ascii="Palatino Linotype" w:hAnsi="Palatino Linotype"/>
        <w:bCs/>
        <w:sz w:val="20"/>
      </w:rPr>
      <w:instrText>PAGE  \* Arabic  \* MERGEFORMAT</w:instrText>
    </w:r>
    <w:r w:rsidRPr="000B69FA">
      <w:rPr>
        <w:rFonts w:ascii="Palatino Linotype" w:hAnsi="Palatino Linotype"/>
        <w:bCs/>
        <w:sz w:val="20"/>
      </w:rPr>
      <w:fldChar w:fldCharType="separate"/>
    </w:r>
    <w:r w:rsidR="00B90AA8">
      <w:rPr>
        <w:rFonts w:ascii="Palatino Linotype" w:hAnsi="Palatino Linotype"/>
        <w:bCs/>
        <w:noProof/>
        <w:sz w:val="20"/>
      </w:rPr>
      <w:t>1</w:t>
    </w:r>
    <w:r w:rsidRPr="000B69FA">
      <w:rPr>
        <w:rFonts w:ascii="Palatino Linotype" w:hAnsi="Palatino Linotype"/>
        <w:bCs/>
        <w:sz w:val="20"/>
      </w:rPr>
      <w:fldChar w:fldCharType="end"/>
    </w:r>
    <w:r w:rsidRPr="000B69FA">
      <w:rPr>
        <w:rFonts w:ascii="Palatino Linotype" w:hAnsi="Palatino Linotype"/>
        <w:sz w:val="20"/>
      </w:rPr>
      <w:t xml:space="preserve"> de </w:t>
    </w:r>
    <w:r w:rsidRPr="000B69FA">
      <w:rPr>
        <w:rFonts w:ascii="Palatino Linotype" w:hAnsi="Palatino Linotype"/>
        <w:bCs/>
        <w:sz w:val="20"/>
      </w:rPr>
      <w:fldChar w:fldCharType="begin"/>
    </w:r>
    <w:r w:rsidRPr="000B69FA">
      <w:rPr>
        <w:rFonts w:ascii="Palatino Linotype" w:hAnsi="Palatino Linotype"/>
        <w:bCs/>
        <w:sz w:val="20"/>
      </w:rPr>
      <w:instrText>NUMPAGES  \* Arabic  \* MERGEFORMAT</w:instrText>
    </w:r>
    <w:r w:rsidRPr="000B69FA">
      <w:rPr>
        <w:rFonts w:ascii="Palatino Linotype" w:hAnsi="Palatino Linotype"/>
        <w:bCs/>
        <w:sz w:val="20"/>
      </w:rPr>
      <w:fldChar w:fldCharType="separate"/>
    </w:r>
    <w:r w:rsidR="00B90AA8">
      <w:rPr>
        <w:rFonts w:ascii="Palatino Linotype" w:hAnsi="Palatino Linotype"/>
        <w:bCs/>
        <w:noProof/>
        <w:sz w:val="20"/>
      </w:rPr>
      <w:t>43</w:t>
    </w:r>
    <w:r w:rsidRPr="000B69FA">
      <w:rPr>
        <w:rFonts w:ascii="Palatino Linotype" w:hAnsi="Palatino Linotype"/>
        <w:bCs/>
        <w:sz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56FA8B9" w14:textId="77777777" w:rsidR="002E2C37" w:rsidRDefault="002E2C37" w:rsidP="006168E4">
      <w:pPr>
        <w:spacing w:after="0" w:line="240" w:lineRule="auto"/>
      </w:pPr>
      <w:r>
        <w:separator/>
      </w:r>
    </w:p>
  </w:footnote>
  <w:footnote w:type="continuationSeparator" w:id="0">
    <w:p w14:paraId="7EAC3AED" w14:textId="77777777" w:rsidR="002E2C37" w:rsidRDefault="002E2C37" w:rsidP="006168E4">
      <w:pPr>
        <w:spacing w:after="0" w:line="240" w:lineRule="auto"/>
      </w:pPr>
      <w:r>
        <w:continuationSeparator/>
      </w:r>
    </w:p>
  </w:footnote>
  <w:footnote w:id="1">
    <w:p w14:paraId="1D73DC84" w14:textId="77777777" w:rsidR="006B6913" w:rsidRPr="00911081" w:rsidRDefault="006B6913" w:rsidP="006B6913">
      <w:pPr>
        <w:jc w:val="both"/>
        <w:rPr>
          <w:rFonts w:ascii="Palatino Linotype" w:eastAsia="Times New Roman" w:hAnsi="Palatino Linotype"/>
          <w:b/>
          <w:bCs/>
          <w:i/>
          <w:sz w:val="16"/>
          <w:szCs w:val="16"/>
          <w:lang w:eastAsia="es-MX"/>
        </w:rPr>
      </w:pPr>
      <w:r>
        <w:rPr>
          <w:rStyle w:val="Refdenotaalpie"/>
        </w:rPr>
        <w:footnoteRef/>
      </w:r>
      <w:r>
        <w:t xml:space="preserve"> </w:t>
      </w:r>
      <w:r w:rsidRPr="00911081">
        <w:rPr>
          <w:rFonts w:ascii="Palatino Linotype" w:hAnsi="Palatino Linotype"/>
          <w:b/>
          <w:bCs/>
          <w:i/>
          <w:sz w:val="16"/>
          <w:szCs w:val="16"/>
        </w:rPr>
        <w:t>IMPROCEDENCIA Y SOBRESEIMIENTO EN EL JUICIO DE AMPARO. LAS CAUSAS PREVISTAS EN LOS ARTÍCULOS 73 Y 74 DE LA LEY DE LA MATERIA, RESPECTIVAMENTE, NO SON INCOMPATIBLES CON EL ARTÍCULO 25.1 DE LA CONVENCIÓN AMERICANA SOBRE DERECHOS HUMANOS.</w:t>
      </w:r>
    </w:p>
    <w:p w14:paraId="00DF7931" w14:textId="77777777" w:rsidR="006B6913" w:rsidRPr="00911081" w:rsidRDefault="006B6913" w:rsidP="006B6913">
      <w:pPr>
        <w:jc w:val="both"/>
        <w:rPr>
          <w:rFonts w:ascii="Palatino Linotype" w:hAnsi="Palatino Linotype"/>
          <w:i/>
          <w:sz w:val="16"/>
          <w:szCs w:val="16"/>
        </w:rPr>
      </w:pPr>
      <w:r w:rsidRPr="00911081">
        <w:rPr>
          <w:rFonts w:ascii="Palatino Linotype" w:hAnsi="Palatino Linotype"/>
          <w:i/>
          <w:sz w:val="16"/>
          <w:szCs w:val="16"/>
        </w:rPr>
        <w:t>Del examen de compatibilidad de los artículos</w:t>
      </w:r>
      <w:r w:rsidRPr="00911081">
        <w:rPr>
          <w:rStyle w:val="apple-converted-space"/>
          <w:rFonts w:ascii="Palatino Linotype" w:hAnsi="Palatino Linotype"/>
          <w:i/>
          <w:sz w:val="16"/>
          <w:szCs w:val="16"/>
        </w:rPr>
        <w:t> </w:t>
      </w:r>
      <w:hyperlink r:id="rId1" w:history="1">
        <w:r w:rsidRPr="00911081">
          <w:rPr>
            <w:rStyle w:val="Hipervnculo"/>
            <w:rFonts w:ascii="Palatino Linotype" w:hAnsi="Palatino Linotype"/>
            <w:i/>
            <w:sz w:val="16"/>
            <w:szCs w:val="16"/>
          </w:rPr>
          <w:t>73 y 74 de la Ley de Amparo</w:t>
        </w:r>
      </w:hyperlink>
      <w:r w:rsidRPr="00911081">
        <w:rPr>
          <w:rStyle w:val="apple-converted-space"/>
          <w:rFonts w:ascii="Palatino Linotype" w:hAnsi="Palatino Linotype"/>
          <w:i/>
          <w:sz w:val="16"/>
          <w:szCs w:val="16"/>
        </w:rPr>
        <w:t> </w:t>
      </w:r>
      <w:r w:rsidRPr="00911081">
        <w:rPr>
          <w:rFonts w:ascii="Palatino Linotype" w:hAnsi="Palatino Linotype"/>
          <w:i/>
          <w:sz w:val="16"/>
          <w:szCs w:val="16"/>
        </w:rPr>
        <w:t>con el artículo</w:t>
      </w:r>
      <w:r w:rsidRPr="00911081">
        <w:rPr>
          <w:rStyle w:val="apple-converted-space"/>
          <w:rFonts w:ascii="Palatino Linotype" w:hAnsi="Palatino Linotype"/>
          <w:i/>
          <w:sz w:val="16"/>
          <w:szCs w:val="16"/>
        </w:rPr>
        <w:t> </w:t>
      </w:r>
      <w:hyperlink r:id="rId2" w:history="1">
        <w:r w:rsidRPr="00911081">
          <w:rPr>
            <w:rStyle w:val="Hipervnculo"/>
            <w:rFonts w:ascii="Palatino Linotype" w:hAnsi="Palatino Linotype"/>
            <w:i/>
            <w:sz w:val="16"/>
            <w:szCs w:val="16"/>
          </w:rPr>
          <w:t>25.1 de la Convención Americana sobre Derechos Humanos</w:t>
        </w:r>
      </w:hyperlink>
      <w:r w:rsidRPr="00911081">
        <w:rPr>
          <w:rStyle w:val="apple-converted-space"/>
          <w:rFonts w:ascii="Palatino Linotype" w:hAnsi="Palatino Linotype"/>
          <w:i/>
          <w:sz w:val="16"/>
          <w:szCs w:val="16"/>
        </w:rPr>
        <w:t> </w:t>
      </w:r>
      <w:r w:rsidRPr="00911081">
        <w:rPr>
          <w:rFonts w:ascii="Palatino Linotype" w:hAnsi="Palatino Linotype"/>
          <w:b/>
          <w:i/>
          <w:sz w:val="16"/>
          <w:szCs w:val="16"/>
          <w:u w:val="single"/>
        </w:rPr>
        <w:t>no se advierte que el derecho interno desatienda los estándares que pretenden proteger los derechos humanos en dicho tratado, por regular causas de improcedencia y sobreseimiento que impiden abordar el estudio de fondo del asunto en el juicio de amparo,</w:t>
      </w:r>
      <w:r w:rsidRPr="00911081">
        <w:rPr>
          <w:rFonts w:ascii="Palatino Linotype" w:hAnsi="Palatino Linotype"/>
          <w:i/>
          <w:sz w:val="16"/>
          <w:szCs w:val="16"/>
        </w:rPr>
        <w:t xml:space="preserve"> en virtud de que el propósito de condicionar el acceso a los tribunales para evitar un sobrecargo de casos sin mérito, es en sí legítimo, por lo que esa compatibilidad, en cuanto a los requisitos para la admisibilidad de los recursos dependerá, en principio, de los siguientes criterios: no pueden ser irracionales ni de tal naturaleza que despojen al derecho de su esencia, ni discriminatorios y, en el caso, la razonabilidad de esas causas se justifica por la viabilidad de que una eventual sentencia </w:t>
      </w:r>
      <w:proofErr w:type="spellStart"/>
      <w:r w:rsidRPr="00911081">
        <w:rPr>
          <w:rFonts w:ascii="Palatino Linotype" w:hAnsi="Palatino Linotype"/>
          <w:i/>
          <w:sz w:val="16"/>
          <w:szCs w:val="16"/>
        </w:rPr>
        <w:t>concesoria</w:t>
      </w:r>
      <w:proofErr w:type="spellEnd"/>
      <w:r w:rsidRPr="00911081">
        <w:rPr>
          <w:rFonts w:ascii="Palatino Linotype" w:hAnsi="Palatino Linotype"/>
          <w:i/>
          <w:sz w:val="16"/>
          <w:szCs w:val="16"/>
        </w:rPr>
        <w:t xml:space="preserve"> tenga un ámbito de protección concreto y no entre en conflicto con el orden jurídico, no son de tal naturaleza que despojen al derecho de su esencia ni tampoco son discriminatorias, pues no existe alguna condicionante para su aplicabilidad, en función de cuestiones personales o particulares del quejoso. Por tanto, las indicadas causas de improcedencia y sobreseimiento no son incompatibles con el citado precepto 25.1, pues no impiden decidir sencilla, rápida y efectivamente sobre los derechos fundamentales reclamados como violados dentro del juicio de garantías.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97EBE3" w14:textId="218EB0D7" w:rsidR="00E05600" w:rsidRDefault="00E05600">
    <w:pPr>
      <w:pStyle w:val="Encabezado"/>
    </w:pPr>
    <w:r>
      <w:rPr>
        <w:rFonts w:ascii="Palatino Linotype" w:hAnsi="Palatino Linotype" w:cs="Arial"/>
        <w:b/>
        <w:noProof/>
        <w:szCs w:val="20"/>
        <w:lang w:val="es-MX" w:eastAsia="es-MX"/>
      </w:rPr>
      <w:drawing>
        <wp:anchor distT="0" distB="0" distL="114300" distR="114300" simplePos="0" relativeHeight="251661312" behindDoc="1" locked="0" layoutInCell="0" allowOverlap="1" wp14:anchorId="1286E200" wp14:editId="0E8F5985">
          <wp:simplePos x="0" y="0"/>
          <wp:positionH relativeFrom="page">
            <wp:posOffset>38735</wp:posOffset>
          </wp:positionH>
          <wp:positionV relativeFrom="page">
            <wp:posOffset>19685</wp:posOffset>
          </wp:positionV>
          <wp:extent cx="7705725" cy="10048875"/>
          <wp:effectExtent l="0" t="0" r="9525" b="9525"/>
          <wp:wrapNone/>
          <wp:docPr id="7" name="Imagen 7"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pic:spPr>
              </pic:pic>
            </a:graphicData>
          </a:graphic>
          <wp14:sizeRelH relativeFrom="page">
            <wp14:pctWidth>0</wp14:pctWidth>
          </wp14:sizeRelH>
          <wp14:sizeRelV relativeFrom="page">
            <wp14:pctHeight>0</wp14:pctHeight>
          </wp14:sizeRelV>
        </wp:anchor>
      </w:drawing>
    </w:r>
  </w:p>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CellMar>
        <w:left w:w="70" w:type="dxa"/>
        <w:right w:w="70" w:type="dxa"/>
      </w:tblCellMar>
      <w:tblLook w:val="04A0" w:firstRow="1" w:lastRow="0" w:firstColumn="1" w:lastColumn="0" w:noHBand="0" w:noVBand="1"/>
    </w:tblPr>
    <w:tblGrid>
      <w:gridCol w:w="5529"/>
      <w:gridCol w:w="4536"/>
    </w:tblGrid>
    <w:tr w:rsidR="00E05600" w14:paraId="17981A04" w14:textId="77777777" w:rsidTr="00073E92">
      <w:trPr>
        <w:trHeight w:val="227"/>
      </w:trPr>
      <w:tc>
        <w:tcPr>
          <w:tcW w:w="5529" w:type="dxa"/>
          <w:hideMark/>
        </w:tcPr>
        <w:p w14:paraId="0E414BC5" w14:textId="19670DF2" w:rsidR="00E05600" w:rsidRDefault="00E0560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7A04720B" w14:textId="09E355E1" w:rsidR="00E05600" w:rsidRPr="00B4142F" w:rsidRDefault="00E626A3"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06845</w:t>
          </w:r>
          <w:r w:rsidR="00E05600">
            <w:rPr>
              <w:rFonts w:ascii="Palatino Linotype" w:hAnsi="Palatino Linotype" w:cs="Arial"/>
              <w:bCs/>
              <w:sz w:val="24"/>
              <w:lang w:eastAsia="es-MX"/>
            </w:rPr>
            <w:t>/INFOEM/IP/RR/202</w:t>
          </w:r>
          <w:r>
            <w:rPr>
              <w:rFonts w:ascii="Palatino Linotype" w:hAnsi="Palatino Linotype" w:cs="Arial"/>
              <w:bCs/>
              <w:sz w:val="24"/>
              <w:lang w:eastAsia="es-MX"/>
            </w:rPr>
            <w:t>3</w:t>
          </w:r>
        </w:p>
      </w:tc>
    </w:tr>
    <w:tr w:rsidR="00E05600" w14:paraId="637042F0" w14:textId="77777777" w:rsidTr="00073E92">
      <w:trPr>
        <w:trHeight w:val="242"/>
      </w:trPr>
      <w:tc>
        <w:tcPr>
          <w:tcW w:w="5529" w:type="dxa"/>
          <w:hideMark/>
        </w:tcPr>
        <w:p w14:paraId="412AD568" w14:textId="582E7AD7" w:rsidR="00E05600" w:rsidRDefault="00E05600" w:rsidP="009A686F">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2349DB56" w14:textId="135941AA" w:rsidR="00E05600" w:rsidRPr="00F06FED" w:rsidRDefault="00E05600" w:rsidP="00F2667C">
          <w:pPr>
            <w:spacing w:after="120" w:line="256" w:lineRule="auto"/>
            <w:ind w:left="639" w:right="214"/>
            <w:jc w:val="both"/>
            <w:rPr>
              <w:rFonts w:ascii="Palatino Linotype" w:hAnsi="Palatino Linotype" w:cs="Arial"/>
            </w:rPr>
          </w:pPr>
          <w:r>
            <w:rPr>
              <w:rFonts w:ascii="Palatino Linotype" w:hAnsi="Palatino Linotype" w:cs="Arial"/>
              <w:szCs w:val="20"/>
            </w:rPr>
            <w:t xml:space="preserve">Ayuntamiento de </w:t>
          </w:r>
          <w:r w:rsidR="00E626A3">
            <w:rPr>
              <w:rFonts w:ascii="Palatino Linotype" w:hAnsi="Palatino Linotype" w:cs="Arial"/>
              <w:szCs w:val="20"/>
            </w:rPr>
            <w:t>Melchor Ocampo</w:t>
          </w:r>
        </w:p>
      </w:tc>
    </w:tr>
    <w:tr w:rsidR="00E05600" w14:paraId="21BFE746" w14:textId="77777777" w:rsidTr="00073E92">
      <w:trPr>
        <w:trHeight w:val="342"/>
      </w:trPr>
      <w:tc>
        <w:tcPr>
          <w:tcW w:w="5529" w:type="dxa"/>
          <w:hideMark/>
        </w:tcPr>
        <w:p w14:paraId="64C4E314" w14:textId="2A83840C" w:rsidR="00E05600" w:rsidRDefault="00E05600" w:rsidP="009A686F">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704853B3" w14:textId="1CDF31FD" w:rsidR="00E05600" w:rsidRDefault="00E05600" w:rsidP="009A686F">
          <w:pPr>
            <w:spacing w:after="120" w:line="256" w:lineRule="auto"/>
            <w:ind w:left="497" w:right="214" w:firstLine="142"/>
            <w:jc w:val="both"/>
            <w:rPr>
              <w:rFonts w:ascii="Palatino Linotype" w:hAnsi="Palatino Linotype" w:cs="Arial"/>
              <w:szCs w:val="20"/>
            </w:rPr>
          </w:pPr>
          <w:r>
            <w:rPr>
              <w:rFonts w:ascii="Palatino Linotype" w:hAnsi="Palatino Linotype" w:cs="Arial"/>
              <w:szCs w:val="20"/>
            </w:rPr>
            <w:t>José Martínez Vilchis</w:t>
          </w:r>
        </w:p>
      </w:tc>
    </w:tr>
  </w:tbl>
  <w:p w14:paraId="5A183BF9" w14:textId="77777777" w:rsidR="00E05600" w:rsidRDefault="00E05600">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65" w:type="dxa"/>
      <w:tblInd w:w="-851" w:type="dxa"/>
      <w:tblBorders>
        <w:top w:val="single" w:sz="2" w:space="0" w:color="FFFFFF" w:themeColor="background1"/>
        <w:left w:val="single" w:sz="2" w:space="0" w:color="FFFFFF" w:themeColor="background1"/>
        <w:bottom w:val="single" w:sz="2" w:space="0" w:color="FFFFFF" w:themeColor="background1"/>
        <w:right w:val="single" w:sz="2" w:space="0" w:color="FFFFFF" w:themeColor="background1"/>
        <w:insideH w:val="single" w:sz="2" w:space="0" w:color="FFFFFF" w:themeColor="background1"/>
        <w:insideV w:val="single" w:sz="2" w:space="0" w:color="FFFFFF" w:themeColor="background1"/>
      </w:tblBorders>
      <w:tblLayout w:type="fixed"/>
      <w:tblCellMar>
        <w:left w:w="70" w:type="dxa"/>
        <w:right w:w="70" w:type="dxa"/>
      </w:tblCellMar>
      <w:tblLook w:val="04A0" w:firstRow="1" w:lastRow="0" w:firstColumn="1" w:lastColumn="0" w:noHBand="0" w:noVBand="1"/>
    </w:tblPr>
    <w:tblGrid>
      <w:gridCol w:w="5529"/>
      <w:gridCol w:w="4536"/>
    </w:tblGrid>
    <w:tr w:rsidR="00E05600" w14:paraId="385FD437" w14:textId="77777777" w:rsidTr="00073E92">
      <w:trPr>
        <w:trHeight w:val="227"/>
      </w:trPr>
      <w:tc>
        <w:tcPr>
          <w:tcW w:w="5529" w:type="dxa"/>
          <w:hideMark/>
        </w:tcPr>
        <w:p w14:paraId="272860E8" w14:textId="6340DBC0" w:rsidR="00E05600" w:rsidRDefault="00E0560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Recurso de Revisión N°:</w:t>
          </w:r>
        </w:p>
      </w:tc>
      <w:tc>
        <w:tcPr>
          <w:tcW w:w="4536" w:type="dxa"/>
          <w:hideMark/>
        </w:tcPr>
        <w:p w14:paraId="531A70A2" w14:textId="5A66DA0B" w:rsidR="00E05600" w:rsidRPr="00B4142F" w:rsidRDefault="00E626A3" w:rsidP="00C25084">
          <w:pPr>
            <w:spacing w:after="120" w:line="256" w:lineRule="auto"/>
            <w:ind w:left="639" w:right="214"/>
            <w:jc w:val="both"/>
            <w:rPr>
              <w:rFonts w:ascii="Palatino Linotype" w:hAnsi="Palatino Linotype" w:cs="Arial"/>
              <w:szCs w:val="20"/>
            </w:rPr>
          </w:pPr>
          <w:r>
            <w:rPr>
              <w:rFonts w:ascii="Palatino Linotype" w:hAnsi="Palatino Linotype" w:cs="Arial"/>
              <w:bCs/>
              <w:sz w:val="24"/>
              <w:lang w:eastAsia="es-MX"/>
            </w:rPr>
            <w:t>06845</w:t>
          </w:r>
          <w:r w:rsidR="00E05600">
            <w:rPr>
              <w:rFonts w:ascii="Palatino Linotype" w:hAnsi="Palatino Linotype" w:cs="Arial"/>
              <w:bCs/>
              <w:sz w:val="24"/>
              <w:lang w:eastAsia="es-MX"/>
            </w:rPr>
            <w:t>/INFOEM/IP/RR/202</w:t>
          </w:r>
          <w:r>
            <w:rPr>
              <w:rFonts w:ascii="Palatino Linotype" w:hAnsi="Palatino Linotype" w:cs="Arial"/>
              <w:bCs/>
              <w:sz w:val="24"/>
              <w:lang w:eastAsia="es-MX"/>
            </w:rPr>
            <w:t>3</w:t>
          </w:r>
        </w:p>
      </w:tc>
    </w:tr>
    <w:tr w:rsidR="00E05600" w14:paraId="33FC5097" w14:textId="77777777" w:rsidTr="00073E92">
      <w:trPr>
        <w:trHeight w:val="196"/>
      </w:trPr>
      <w:tc>
        <w:tcPr>
          <w:tcW w:w="5529" w:type="dxa"/>
          <w:hideMark/>
        </w:tcPr>
        <w:p w14:paraId="4F5D01E5" w14:textId="77777777" w:rsidR="00E05600" w:rsidRDefault="00E0560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Recurrente:</w:t>
          </w:r>
        </w:p>
      </w:tc>
      <w:tc>
        <w:tcPr>
          <w:tcW w:w="4536" w:type="dxa"/>
          <w:hideMark/>
        </w:tcPr>
        <w:p w14:paraId="3E1E85B5" w14:textId="1695E34D" w:rsidR="00E05600" w:rsidRPr="00F06FED" w:rsidRDefault="00B90AA8" w:rsidP="007A3BB5">
          <w:pPr>
            <w:spacing w:after="120" w:line="256" w:lineRule="auto"/>
            <w:ind w:left="639" w:right="214"/>
            <w:jc w:val="both"/>
            <w:rPr>
              <w:rFonts w:ascii="Palatino Linotype" w:hAnsi="Palatino Linotype" w:cs="Arial"/>
            </w:rPr>
          </w:pPr>
          <w:r>
            <w:rPr>
              <w:rFonts w:ascii="Palatino Linotype" w:hAnsi="Palatino Linotype" w:cs="Arial"/>
            </w:rPr>
            <w:t>XXXX</w:t>
          </w:r>
        </w:p>
      </w:tc>
    </w:tr>
    <w:tr w:rsidR="00E05600" w14:paraId="178280DE" w14:textId="77777777" w:rsidTr="00073E92">
      <w:trPr>
        <w:trHeight w:val="242"/>
      </w:trPr>
      <w:tc>
        <w:tcPr>
          <w:tcW w:w="5529" w:type="dxa"/>
          <w:hideMark/>
        </w:tcPr>
        <w:p w14:paraId="71AC708B" w14:textId="77777777" w:rsidR="00E05600" w:rsidRDefault="00E05600" w:rsidP="00FB4AAD">
          <w:pPr>
            <w:spacing w:after="120" w:line="256" w:lineRule="auto"/>
            <w:ind w:right="204"/>
            <w:jc w:val="right"/>
            <w:rPr>
              <w:rFonts w:ascii="Palatino Linotype" w:hAnsi="Palatino Linotype" w:cs="Arial"/>
              <w:b/>
              <w:szCs w:val="20"/>
            </w:rPr>
          </w:pPr>
          <w:r>
            <w:rPr>
              <w:rFonts w:ascii="Palatino Linotype" w:hAnsi="Palatino Linotype" w:cs="Arial"/>
              <w:b/>
              <w:szCs w:val="20"/>
            </w:rPr>
            <w:t>Sujeto Obligado:</w:t>
          </w:r>
        </w:p>
      </w:tc>
      <w:tc>
        <w:tcPr>
          <w:tcW w:w="4536" w:type="dxa"/>
          <w:hideMark/>
        </w:tcPr>
        <w:p w14:paraId="7F666D78" w14:textId="68632FC9" w:rsidR="00E05600" w:rsidRDefault="00E05600" w:rsidP="00F2667C">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Ayuntamiento de </w:t>
          </w:r>
          <w:r w:rsidR="00E626A3">
            <w:rPr>
              <w:rFonts w:ascii="Palatino Linotype" w:hAnsi="Palatino Linotype" w:cs="Arial"/>
              <w:szCs w:val="20"/>
            </w:rPr>
            <w:t>Melchor Ocampo</w:t>
          </w:r>
        </w:p>
      </w:tc>
    </w:tr>
    <w:tr w:rsidR="00E05600" w14:paraId="0518978B" w14:textId="77777777" w:rsidTr="00073E92">
      <w:trPr>
        <w:trHeight w:val="342"/>
      </w:trPr>
      <w:tc>
        <w:tcPr>
          <w:tcW w:w="5529" w:type="dxa"/>
          <w:hideMark/>
        </w:tcPr>
        <w:p w14:paraId="04968A43" w14:textId="7BE2A222" w:rsidR="00E05600" w:rsidRDefault="00E05600" w:rsidP="00FB4AAD">
          <w:pPr>
            <w:tabs>
              <w:tab w:val="left" w:pos="4892"/>
            </w:tabs>
            <w:spacing w:after="120" w:line="256" w:lineRule="auto"/>
            <w:ind w:right="204"/>
            <w:jc w:val="right"/>
            <w:rPr>
              <w:rFonts w:ascii="Palatino Linotype" w:hAnsi="Palatino Linotype" w:cs="Arial"/>
              <w:b/>
              <w:szCs w:val="20"/>
            </w:rPr>
          </w:pPr>
          <w:r>
            <w:rPr>
              <w:rFonts w:ascii="Palatino Linotype" w:hAnsi="Palatino Linotype" w:cs="Arial"/>
              <w:b/>
              <w:szCs w:val="20"/>
            </w:rPr>
            <w:t>Comisionado Ponente:</w:t>
          </w:r>
        </w:p>
      </w:tc>
      <w:tc>
        <w:tcPr>
          <w:tcW w:w="4536" w:type="dxa"/>
          <w:hideMark/>
        </w:tcPr>
        <w:p w14:paraId="1E42D601" w14:textId="465C7022" w:rsidR="00E05600" w:rsidRDefault="00E05600" w:rsidP="007D1F15">
          <w:pPr>
            <w:spacing w:after="120" w:line="256" w:lineRule="auto"/>
            <w:ind w:left="639" w:right="214"/>
            <w:jc w:val="both"/>
            <w:rPr>
              <w:rFonts w:ascii="Palatino Linotype" w:hAnsi="Palatino Linotype" w:cs="Arial"/>
              <w:szCs w:val="20"/>
            </w:rPr>
          </w:pPr>
          <w:r>
            <w:rPr>
              <w:rFonts w:ascii="Palatino Linotype" w:hAnsi="Palatino Linotype" w:cs="Arial"/>
              <w:szCs w:val="20"/>
            </w:rPr>
            <w:t xml:space="preserve">José Martínez Vilchis </w:t>
          </w:r>
        </w:p>
      </w:tc>
    </w:tr>
  </w:tbl>
  <w:p w14:paraId="1B7A654C" w14:textId="4A3B5148" w:rsidR="00E05600" w:rsidRDefault="00E05600">
    <w:pPr>
      <w:pStyle w:val="Encabezado"/>
    </w:pPr>
    <w:r>
      <w:rPr>
        <w:rFonts w:ascii="Palatino Linotype" w:hAnsi="Palatino Linotype" w:cs="Arial"/>
        <w:b/>
        <w:noProof/>
        <w:szCs w:val="20"/>
        <w:lang w:val="es-MX" w:eastAsia="es-MX"/>
      </w:rPr>
      <w:drawing>
        <wp:anchor distT="0" distB="0" distL="114300" distR="114300" simplePos="0" relativeHeight="251659264" behindDoc="1" locked="0" layoutInCell="0" allowOverlap="1" wp14:anchorId="2A69DC75" wp14:editId="6A0E6CF1">
          <wp:simplePos x="0" y="0"/>
          <wp:positionH relativeFrom="page">
            <wp:posOffset>29210</wp:posOffset>
          </wp:positionH>
          <wp:positionV relativeFrom="page">
            <wp:posOffset>34925</wp:posOffset>
          </wp:positionV>
          <wp:extent cx="7705725" cy="10048875"/>
          <wp:effectExtent l="19050" t="19050" r="28575" b="28575"/>
          <wp:wrapNone/>
          <wp:docPr id="3" name="Imagen 3" descr="logo info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infoe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05725" cy="10048875"/>
                  </a:xfrm>
                  <a:prstGeom prst="rect">
                    <a:avLst/>
                  </a:prstGeom>
                  <a:noFill/>
                  <a:ln>
                    <a:solidFill>
                      <a:schemeClr val="bg1"/>
                    </a:solid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346392D"/>
    <w:multiLevelType w:val="hybridMultilevel"/>
    <w:tmpl w:val="0F14E1AA"/>
    <w:lvl w:ilvl="0" w:tplc="FFFFFFFF">
      <w:start w:val="1"/>
      <w:numFmt w:val="decimal"/>
      <w:lvlText w:val="%1."/>
      <w:lvlJc w:val="left"/>
      <w:pPr>
        <w:ind w:left="782" w:hanging="360"/>
      </w:p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1">
    <w:nsid w:val="06AC282A"/>
    <w:multiLevelType w:val="hybridMultilevel"/>
    <w:tmpl w:val="55EA618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ABF79A4"/>
    <w:multiLevelType w:val="hybridMultilevel"/>
    <w:tmpl w:val="6D76C1A8"/>
    <w:lvl w:ilvl="0" w:tplc="59F20A52">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
    <w:nsid w:val="0EA63105"/>
    <w:multiLevelType w:val="hybridMultilevel"/>
    <w:tmpl w:val="B1881D2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0F6702E7"/>
    <w:multiLevelType w:val="hybridMultilevel"/>
    <w:tmpl w:val="10363E8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nsid w:val="13457E44"/>
    <w:multiLevelType w:val="hybridMultilevel"/>
    <w:tmpl w:val="6A1AD91A"/>
    <w:lvl w:ilvl="0" w:tplc="0BBA5E3A">
      <w:start w:val="1"/>
      <w:numFmt w:val="upperRoman"/>
      <w:lvlText w:val="%1."/>
      <w:lvlJc w:val="left"/>
      <w:pPr>
        <w:ind w:left="1571" w:hanging="720"/>
      </w:pPr>
      <w:rPr>
        <w:rFonts w:hint="default"/>
      </w:rPr>
    </w:lvl>
    <w:lvl w:ilvl="1" w:tplc="080A0019" w:tentative="1">
      <w:start w:val="1"/>
      <w:numFmt w:val="lowerLetter"/>
      <w:lvlText w:val="%2."/>
      <w:lvlJc w:val="left"/>
      <w:pPr>
        <w:ind w:left="1931" w:hanging="360"/>
      </w:pPr>
    </w:lvl>
    <w:lvl w:ilvl="2" w:tplc="080A001B" w:tentative="1">
      <w:start w:val="1"/>
      <w:numFmt w:val="lowerRoman"/>
      <w:lvlText w:val="%3."/>
      <w:lvlJc w:val="right"/>
      <w:pPr>
        <w:ind w:left="2651" w:hanging="180"/>
      </w:pPr>
    </w:lvl>
    <w:lvl w:ilvl="3" w:tplc="080A000F" w:tentative="1">
      <w:start w:val="1"/>
      <w:numFmt w:val="decimal"/>
      <w:lvlText w:val="%4."/>
      <w:lvlJc w:val="left"/>
      <w:pPr>
        <w:ind w:left="3371" w:hanging="360"/>
      </w:pPr>
    </w:lvl>
    <w:lvl w:ilvl="4" w:tplc="080A0019" w:tentative="1">
      <w:start w:val="1"/>
      <w:numFmt w:val="lowerLetter"/>
      <w:lvlText w:val="%5."/>
      <w:lvlJc w:val="left"/>
      <w:pPr>
        <w:ind w:left="4091" w:hanging="360"/>
      </w:pPr>
    </w:lvl>
    <w:lvl w:ilvl="5" w:tplc="080A001B" w:tentative="1">
      <w:start w:val="1"/>
      <w:numFmt w:val="lowerRoman"/>
      <w:lvlText w:val="%6."/>
      <w:lvlJc w:val="right"/>
      <w:pPr>
        <w:ind w:left="4811" w:hanging="180"/>
      </w:pPr>
    </w:lvl>
    <w:lvl w:ilvl="6" w:tplc="080A000F" w:tentative="1">
      <w:start w:val="1"/>
      <w:numFmt w:val="decimal"/>
      <w:lvlText w:val="%7."/>
      <w:lvlJc w:val="left"/>
      <w:pPr>
        <w:ind w:left="5531" w:hanging="360"/>
      </w:pPr>
    </w:lvl>
    <w:lvl w:ilvl="7" w:tplc="080A0019" w:tentative="1">
      <w:start w:val="1"/>
      <w:numFmt w:val="lowerLetter"/>
      <w:lvlText w:val="%8."/>
      <w:lvlJc w:val="left"/>
      <w:pPr>
        <w:ind w:left="6251" w:hanging="360"/>
      </w:pPr>
    </w:lvl>
    <w:lvl w:ilvl="8" w:tplc="080A001B" w:tentative="1">
      <w:start w:val="1"/>
      <w:numFmt w:val="lowerRoman"/>
      <w:lvlText w:val="%9."/>
      <w:lvlJc w:val="right"/>
      <w:pPr>
        <w:ind w:left="6971" w:hanging="180"/>
      </w:pPr>
    </w:lvl>
  </w:abstractNum>
  <w:abstractNum w:abstractNumId="6">
    <w:nsid w:val="14DC707A"/>
    <w:multiLevelType w:val="hybridMultilevel"/>
    <w:tmpl w:val="F886C42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19730A9B"/>
    <w:multiLevelType w:val="hybridMultilevel"/>
    <w:tmpl w:val="35044C8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nsid w:val="1C3A0345"/>
    <w:multiLevelType w:val="hybridMultilevel"/>
    <w:tmpl w:val="8A462B9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nsid w:val="1EF838A3"/>
    <w:multiLevelType w:val="hybridMultilevel"/>
    <w:tmpl w:val="073E534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1F023D3A"/>
    <w:multiLevelType w:val="hybridMultilevel"/>
    <w:tmpl w:val="17B84788"/>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1">
    <w:nsid w:val="2363516C"/>
    <w:multiLevelType w:val="multilevel"/>
    <w:tmpl w:val="D034F034"/>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440"/>
        </w:tabs>
        <w:ind w:left="1440" w:hanging="720"/>
      </w:pPr>
    </w:lvl>
    <w:lvl w:ilvl="2">
      <w:start w:val="1"/>
      <w:numFmt w:val="decimal"/>
      <w:pStyle w:val="Ttulo3"/>
      <w:lvlText w:val="%3."/>
      <w:lvlJc w:val="left"/>
      <w:pPr>
        <w:tabs>
          <w:tab w:val="num" w:pos="2160"/>
        </w:tabs>
        <w:ind w:left="2160" w:hanging="720"/>
      </w:pPr>
    </w:lvl>
    <w:lvl w:ilvl="3">
      <w:start w:val="1"/>
      <w:numFmt w:val="decimal"/>
      <w:pStyle w:val="Ttulo4"/>
      <w:lvlText w:val="%4."/>
      <w:lvlJc w:val="left"/>
      <w:pPr>
        <w:tabs>
          <w:tab w:val="num" w:pos="2880"/>
        </w:tabs>
        <w:ind w:left="2880" w:hanging="720"/>
      </w:pPr>
    </w:lvl>
    <w:lvl w:ilvl="4">
      <w:start w:val="1"/>
      <w:numFmt w:val="decimal"/>
      <w:pStyle w:val="Ttulo5"/>
      <w:lvlText w:val="%5."/>
      <w:lvlJc w:val="left"/>
      <w:pPr>
        <w:tabs>
          <w:tab w:val="num" w:pos="3600"/>
        </w:tabs>
        <w:ind w:left="3600" w:hanging="720"/>
      </w:pPr>
    </w:lvl>
    <w:lvl w:ilvl="5">
      <w:start w:val="1"/>
      <w:numFmt w:val="decimal"/>
      <w:pStyle w:val="Ttulo6"/>
      <w:lvlText w:val="%6."/>
      <w:lvlJc w:val="left"/>
      <w:pPr>
        <w:tabs>
          <w:tab w:val="num" w:pos="4320"/>
        </w:tabs>
        <w:ind w:left="4320" w:hanging="720"/>
      </w:pPr>
    </w:lvl>
    <w:lvl w:ilvl="6">
      <w:start w:val="1"/>
      <w:numFmt w:val="decimal"/>
      <w:pStyle w:val="Ttulo7"/>
      <w:lvlText w:val="%7."/>
      <w:lvlJc w:val="left"/>
      <w:pPr>
        <w:tabs>
          <w:tab w:val="num" w:pos="5040"/>
        </w:tabs>
        <w:ind w:left="5040" w:hanging="720"/>
      </w:pPr>
    </w:lvl>
    <w:lvl w:ilvl="7">
      <w:start w:val="1"/>
      <w:numFmt w:val="decimal"/>
      <w:pStyle w:val="Ttulo8"/>
      <w:lvlText w:val="%8."/>
      <w:lvlJc w:val="left"/>
      <w:pPr>
        <w:tabs>
          <w:tab w:val="num" w:pos="5760"/>
        </w:tabs>
        <w:ind w:left="5760" w:hanging="720"/>
      </w:pPr>
    </w:lvl>
    <w:lvl w:ilvl="8">
      <w:start w:val="1"/>
      <w:numFmt w:val="decimal"/>
      <w:pStyle w:val="Ttulo9"/>
      <w:lvlText w:val="%9."/>
      <w:lvlJc w:val="left"/>
      <w:pPr>
        <w:tabs>
          <w:tab w:val="num" w:pos="6480"/>
        </w:tabs>
        <w:ind w:left="6480" w:hanging="720"/>
      </w:pPr>
    </w:lvl>
  </w:abstractNum>
  <w:abstractNum w:abstractNumId="12">
    <w:nsid w:val="29DC1EE1"/>
    <w:multiLevelType w:val="hybridMultilevel"/>
    <w:tmpl w:val="8F38D312"/>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nsid w:val="2EBE73A6"/>
    <w:multiLevelType w:val="hybridMultilevel"/>
    <w:tmpl w:val="E5F8D6C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3C496EA0"/>
    <w:multiLevelType w:val="hybridMultilevel"/>
    <w:tmpl w:val="9BBAA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D482995"/>
    <w:multiLevelType w:val="hybridMultilevel"/>
    <w:tmpl w:val="96CA292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3DD5634E"/>
    <w:multiLevelType w:val="hybridMultilevel"/>
    <w:tmpl w:val="32565CE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7">
    <w:nsid w:val="402D3C81"/>
    <w:multiLevelType w:val="hybridMultilevel"/>
    <w:tmpl w:val="C5B0679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46207C18"/>
    <w:multiLevelType w:val="hybridMultilevel"/>
    <w:tmpl w:val="B2526E04"/>
    <w:lvl w:ilvl="0" w:tplc="6F466C28">
      <w:start w:val="5"/>
      <w:numFmt w:val="bullet"/>
      <w:lvlText w:val="-"/>
      <w:lvlJc w:val="left"/>
      <w:pPr>
        <w:ind w:left="1080" w:hanging="360"/>
      </w:pPr>
      <w:rPr>
        <w:rFonts w:ascii="Palatino Linotype" w:eastAsia="Calibri" w:hAnsi="Palatino Linotype"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47246713"/>
    <w:multiLevelType w:val="hybridMultilevel"/>
    <w:tmpl w:val="54C8DCF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47B23299"/>
    <w:multiLevelType w:val="hybridMultilevel"/>
    <w:tmpl w:val="3DF44A80"/>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47CF169A"/>
    <w:multiLevelType w:val="hybridMultilevel"/>
    <w:tmpl w:val="AEBA8E9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4BCB72F4"/>
    <w:multiLevelType w:val="hybridMultilevel"/>
    <w:tmpl w:val="A24225C4"/>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23">
    <w:nsid w:val="4EFE1D69"/>
    <w:multiLevelType w:val="hybridMultilevel"/>
    <w:tmpl w:val="0C52116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52CD412A"/>
    <w:multiLevelType w:val="hybridMultilevel"/>
    <w:tmpl w:val="471A09B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563E4FAA"/>
    <w:multiLevelType w:val="hybridMultilevel"/>
    <w:tmpl w:val="C0AADF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6A700CC"/>
    <w:multiLevelType w:val="hybridMultilevel"/>
    <w:tmpl w:val="AFFA8BD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5F191640"/>
    <w:multiLevelType w:val="hybridMultilevel"/>
    <w:tmpl w:val="35044C8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8">
    <w:nsid w:val="60B84148"/>
    <w:multiLevelType w:val="hybridMultilevel"/>
    <w:tmpl w:val="310E56E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nsid w:val="62E95FCE"/>
    <w:multiLevelType w:val="hybridMultilevel"/>
    <w:tmpl w:val="4B8215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63840B56"/>
    <w:multiLevelType w:val="hybridMultilevel"/>
    <w:tmpl w:val="DF1CD0F4"/>
    <w:lvl w:ilvl="0" w:tplc="87924D10">
      <w:start w:val="1"/>
      <w:numFmt w:val="lowerLetter"/>
      <w:lvlText w:val="%1)"/>
      <w:lvlJc w:val="left"/>
      <w:pPr>
        <w:ind w:left="1211" w:hanging="36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31">
    <w:nsid w:val="65941ABF"/>
    <w:multiLevelType w:val="hybridMultilevel"/>
    <w:tmpl w:val="A3B01CC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32">
    <w:nsid w:val="65C636D8"/>
    <w:multiLevelType w:val="hybridMultilevel"/>
    <w:tmpl w:val="D2687F5E"/>
    <w:lvl w:ilvl="0" w:tplc="5D74AED6">
      <w:start w:val="1"/>
      <w:numFmt w:val="bullet"/>
      <w:lvlText w:val="-"/>
      <w:lvlJc w:val="left"/>
      <w:pPr>
        <w:ind w:left="1080" w:hanging="360"/>
      </w:pPr>
      <w:rPr>
        <w:rFonts w:ascii="Palatino Linotype" w:eastAsia="Times New Roman" w:hAnsi="Palatino Linotype" w:cs="Times New Roman"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3">
    <w:nsid w:val="6A410C6F"/>
    <w:multiLevelType w:val="hybridMultilevel"/>
    <w:tmpl w:val="618A403A"/>
    <w:lvl w:ilvl="0" w:tplc="080A0001">
      <w:start w:val="1"/>
      <w:numFmt w:val="bullet"/>
      <w:lvlText w:val=""/>
      <w:lvlJc w:val="left"/>
      <w:pPr>
        <w:ind w:left="1571" w:hanging="360"/>
      </w:pPr>
      <w:rPr>
        <w:rFonts w:ascii="Symbol" w:hAnsi="Symbol" w:hint="default"/>
      </w:rPr>
    </w:lvl>
    <w:lvl w:ilvl="1" w:tplc="080A0003" w:tentative="1">
      <w:start w:val="1"/>
      <w:numFmt w:val="bullet"/>
      <w:lvlText w:val="o"/>
      <w:lvlJc w:val="left"/>
      <w:pPr>
        <w:ind w:left="2291" w:hanging="360"/>
      </w:pPr>
      <w:rPr>
        <w:rFonts w:ascii="Courier New" w:hAnsi="Courier New" w:cs="Courier New" w:hint="default"/>
      </w:rPr>
    </w:lvl>
    <w:lvl w:ilvl="2" w:tplc="080A0005" w:tentative="1">
      <w:start w:val="1"/>
      <w:numFmt w:val="bullet"/>
      <w:lvlText w:val=""/>
      <w:lvlJc w:val="left"/>
      <w:pPr>
        <w:ind w:left="3011" w:hanging="360"/>
      </w:pPr>
      <w:rPr>
        <w:rFonts w:ascii="Wingdings" w:hAnsi="Wingdings" w:hint="default"/>
      </w:rPr>
    </w:lvl>
    <w:lvl w:ilvl="3" w:tplc="080A0001" w:tentative="1">
      <w:start w:val="1"/>
      <w:numFmt w:val="bullet"/>
      <w:lvlText w:val=""/>
      <w:lvlJc w:val="left"/>
      <w:pPr>
        <w:ind w:left="3731" w:hanging="360"/>
      </w:pPr>
      <w:rPr>
        <w:rFonts w:ascii="Symbol" w:hAnsi="Symbol" w:hint="default"/>
      </w:rPr>
    </w:lvl>
    <w:lvl w:ilvl="4" w:tplc="080A0003" w:tentative="1">
      <w:start w:val="1"/>
      <w:numFmt w:val="bullet"/>
      <w:lvlText w:val="o"/>
      <w:lvlJc w:val="left"/>
      <w:pPr>
        <w:ind w:left="4451" w:hanging="360"/>
      </w:pPr>
      <w:rPr>
        <w:rFonts w:ascii="Courier New" w:hAnsi="Courier New" w:cs="Courier New" w:hint="default"/>
      </w:rPr>
    </w:lvl>
    <w:lvl w:ilvl="5" w:tplc="080A0005" w:tentative="1">
      <w:start w:val="1"/>
      <w:numFmt w:val="bullet"/>
      <w:lvlText w:val=""/>
      <w:lvlJc w:val="left"/>
      <w:pPr>
        <w:ind w:left="5171" w:hanging="360"/>
      </w:pPr>
      <w:rPr>
        <w:rFonts w:ascii="Wingdings" w:hAnsi="Wingdings" w:hint="default"/>
      </w:rPr>
    </w:lvl>
    <w:lvl w:ilvl="6" w:tplc="080A0001" w:tentative="1">
      <w:start w:val="1"/>
      <w:numFmt w:val="bullet"/>
      <w:lvlText w:val=""/>
      <w:lvlJc w:val="left"/>
      <w:pPr>
        <w:ind w:left="5891" w:hanging="360"/>
      </w:pPr>
      <w:rPr>
        <w:rFonts w:ascii="Symbol" w:hAnsi="Symbol" w:hint="default"/>
      </w:rPr>
    </w:lvl>
    <w:lvl w:ilvl="7" w:tplc="080A0003" w:tentative="1">
      <w:start w:val="1"/>
      <w:numFmt w:val="bullet"/>
      <w:lvlText w:val="o"/>
      <w:lvlJc w:val="left"/>
      <w:pPr>
        <w:ind w:left="6611" w:hanging="360"/>
      </w:pPr>
      <w:rPr>
        <w:rFonts w:ascii="Courier New" w:hAnsi="Courier New" w:cs="Courier New" w:hint="default"/>
      </w:rPr>
    </w:lvl>
    <w:lvl w:ilvl="8" w:tplc="080A0005" w:tentative="1">
      <w:start w:val="1"/>
      <w:numFmt w:val="bullet"/>
      <w:lvlText w:val=""/>
      <w:lvlJc w:val="left"/>
      <w:pPr>
        <w:ind w:left="7331" w:hanging="360"/>
      </w:pPr>
      <w:rPr>
        <w:rFonts w:ascii="Wingdings" w:hAnsi="Wingdings" w:hint="default"/>
      </w:rPr>
    </w:lvl>
  </w:abstractNum>
  <w:abstractNum w:abstractNumId="34">
    <w:nsid w:val="6AFA5381"/>
    <w:multiLevelType w:val="hybridMultilevel"/>
    <w:tmpl w:val="6420802A"/>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nsid w:val="6D215574"/>
    <w:multiLevelType w:val="hybridMultilevel"/>
    <w:tmpl w:val="0F14E1AA"/>
    <w:lvl w:ilvl="0" w:tplc="080A000F">
      <w:start w:val="1"/>
      <w:numFmt w:val="decimal"/>
      <w:lvlText w:val="%1."/>
      <w:lvlJc w:val="left"/>
      <w:pPr>
        <w:ind w:left="782" w:hanging="360"/>
      </w:pPr>
    </w:lvl>
    <w:lvl w:ilvl="1" w:tplc="080A0019" w:tentative="1">
      <w:start w:val="1"/>
      <w:numFmt w:val="lowerLetter"/>
      <w:lvlText w:val="%2."/>
      <w:lvlJc w:val="left"/>
      <w:pPr>
        <w:ind w:left="1502" w:hanging="360"/>
      </w:pPr>
    </w:lvl>
    <w:lvl w:ilvl="2" w:tplc="080A001B" w:tentative="1">
      <w:start w:val="1"/>
      <w:numFmt w:val="lowerRoman"/>
      <w:lvlText w:val="%3."/>
      <w:lvlJc w:val="right"/>
      <w:pPr>
        <w:ind w:left="2222" w:hanging="180"/>
      </w:pPr>
    </w:lvl>
    <w:lvl w:ilvl="3" w:tplc="080A000F" w:tentative="1">
      <w:start w:val="1"/>
      <w:numFmt w:val="decimal"/>
      <w:lvlText w:val="%4."/>
      <w:lvlJc w:val="left"/>
      <w:pPr>
        <w:ind w:left="2942" w:hanging="360"/>
      </w:pPr>
    </w:lvl>
    <w:lvl w:ilvl="4" w:tplc="080A0019" w:tentative="1">
      <w:start w:val="1"/>
      <w:numFmt w:val="lowerLetter"/>
      <w:lvlText w:val="%5."/>
      <w:lvlJc w:val="left"/>
      <w:pPr>
        <w:ind w:left="3662" w:hanging="360"/>
      </w:pPr>
    </w:lvl>
    <w:lvl w:ilvl="5" w:tplc="080A001B" w:tentative="1">
      <w:start w:val="1"/>
      <w:numFmt w:val="lowerRoman"/>
      <w:lvlText w:val="%6."/>
      <w:lvlJc w:val="right"/>
      <w:pPr>
        <w:ind w:left="4382" w:hanging="180"/>
      </w:pPr>
    </w:lvl>
    <w:lvl w:ilvl="6" w:tplc="080A000F" w:tentative="1">
      <w:start w:val="1"/>
      <w:numFmt w:val="decimal"/>
      <w:lvlText w:val="%7."/>
      <w:lvlJc w:val="left"/>
      <w:pPr>
        <w:ind w:left="5102" w:hanging="360"/>
      </w:pPr>
    </w:lvl>
    <w:lvl w:ilvl="7" w:tplc="080A0019" w:tentative="1">
      <w:start w:val="1"/>
      <w:numFmt w:val="lowerLetter"/>
      <w:lvlText w:val="%8."/>
      <w:lvlJc w:val="left"/>
      <w:pPr>
        <w:ind w:left="5822" w:hanging="360"/>
      </w:pPr>
    </w:lvl>
    <w:lvl w:ilvl="8" w:tplc="080A001B" w:tentative="1">
      <w:start w:val="1"/>
      <w:numFmt w:val="lowerRoman"/>
      <w:lvlText w:val="%9."/>
      <w:lvlJc w:val="right"/>
      <w:pPr>
        <w:ind w:left="6542" w:hanging="180"/>
      </w:pPr>
    </w:lvl>
  </w:abstractNum>
  <w:abstractNum w:abstractNumId="36">
    <w:nsid w:val="6F1C54DD"/>
    <w:multiLevelType w:val="hybridMultilevel"/>
    <w:tmpl w:val="ED4ADA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6F560B3F"/>
    <w:multiLevelType w:val="hybridMultilevel"/>
    <w:tmpl w:val="317825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FCD5582"/>
    <w:multiLevelType w:val="hybridMultilevel"/>
    <w:tmpl w:val="ACC0C690"/>
    <w:lvl w:ilvl="0" w:tplc="7DB8935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080331D"/>
    <w:multiLevelType w:val="hybridMultilevel"/>
    <w:tmpl w:val="EEE4434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0CF73F2"/>
    <w:multiLevelType w:val="hybridMultilevel"/>
    <w:tmpl w:val="D72A271E"/>
    <w:lvl w:ilvl="0" w:tplc="080A000F">
      <w:start w:val="1"/>
      <w:numFmt w:val="decimal"/>
      <w:lvlText w:val="%1."/>
      <w:lvlJc w:val="left"/>
      <w:pPr>
        <w:ind w:left="720" w:hanging="36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1">
    <w:nsid w:val="7338044B"/>
    <w:multiLevelType w:val="hybridMultilevel"/>
    <w:tmpl w:val="B5AE5D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3AB4A4A"/>
    <w:multiLevelType w:val="hybridMultilevel"/>
    <w:tmpl w:val="71F4410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3">
    <w:nsid w:val="76237A76"/>
    <w:multiLevelType w:val="hybridMultilevel"/>
    <w:tmpl w:val="4F8E4FB8"/>
    <w:lvl w:ilvl="0" w:tplc="04090001">
      <w:start w:val="1"/>
      <w:numFmt w:val="bullet"/>
      <w:lvlText w:val=""/>
      <w:lvlJc w:val="left"/>
      <w:pPr>
        <w:ind w:left="782" w:hanging="360"/>
      </w:pPr>
      <w:rPr>
        <w:rFonts w:ascii="Symbol" w:hAnsi="Symbol" w:hint="default"/>
      </w:rPr>
    </w:lvl>
    <w:lvl w:ilvl="1" w:tplc="FFFFFFFF" w:tentative="1">
      <w:start w:val="1"/>
      <w:numFmt w:val="lowerLetter"/>
      <w:lvlText w:val="%2."/>
      <w:lvlJc w:val="left"/>
      <w:pPr>
        <w:ind w:left="1502" w:hanging="360"/>
      </w:pPr>
    </w:lvl>
    <w:lvl w:ilvl="2" w:tplc="FFFFFFFF" w:tentative="1">
      <w:start w:val="1"/>
      <w:numFmt w:val="lowerRoman"/>
      <w:lvlText w:val="%3."/>
      <w:lvlJc w:val="right"/>
      <w:pPr>
        <w:ind w:left="2222" w:hanging="180"/>
      </w:pPr>
    </w:lvl>
    <w:lvl w:ilvl="3" w:tplc="FFFFFFFF" w:tentative="1">
      <w:start w:val="1"/>
      <w:numFmt w:val="decimal"/>
      <w:lvlText w:val="%4."/>
      <w:lvlJc w:val="left"/>
      <w:pPr>
        <w:ind w:left="2942" w:hanging="360"/>
      </w:pPr>
    </w:lvl>
    <w:lvl w:ilvl="4" w:tplc="FFFFFFFF" w:tentative="1">
      <w:start w:val="1"/>
      <w:numFmt w:val="lowerLetter"/>
      <w:lvlText w:val="%5."/>
      <w:lvlJc w:val="left"/>
      <w:pPr>
        <w:ind w:left="3662" w:hanging="360"/>
      </w:pPr>
    </w:lvl>
    <w:lvl w:ilvl="5" w:tplc="FFFFFFFF" w:tentative="1">
      <w:start w:val="1"/>
      <w:numFmt w:val="lowerRoman"/>
      <w:lvlText w:val="%6."/>
      <w:lvlJc w:val="right"/>
      <w:pPr>
        <w:ind w:left="4382" w:hanging="180"/>
      </w:pPr>
    </w:lvl>
    <w:lvl w:ilvl="6" w:tplc="FFFFFFFF" w:tentative="1">
      <w:start w:val="1"/>
      <w:numFmt w:val="decimal"/>
      <w:lvlText w:val="%7."/>
      <w:lvlJc w:val="left"/>
      <w:pPr>
        <w:ind w:left="5102" w:hanging="360"/>
      </w:pPr>
    </w:lvl>
    <w:lvl w:ilvl="7" w:tplc="FFFFFFFF" w:tentative="1">
      <w:start w:val="1"/>
      <w:numFmt w:val="lowerLetter"/>
      <w:lvlText w:val="%8."/>
      <w:lvlJc w:val="left"/>
      <w:pPr>
        <w:ind w:left="5822" w:hanging="360"/>
      </w:pPr>
    </w:lvl>
    <w:lvl w:ilvl="8" w:tplc="FFFFFFFF" w:tentative="1">
      <w:start w:val="1"/>
      <w:numFmt w:val="lowerRoman"/>
      <w:lvlText w:val="%9."/>
      <w:lvlJc w:val="right"/>
      <w:pPr>
        <w:ind w:left="6542" w:hanging="180"/>
      </w:pPr>
    </w:lvl>
  </w:abstractNum>
  <w:abstractNum w:abstractNumId="44">
    <w:nsid w:val="796B5600"/>
    <w:multiLevelType w:val="hybridMultilevel"/>
    <w:tmpl w:val="0EE822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5">
    <w:nsid w:val="7D417620"/>
    <w:multiLevelType w:val="hybridMultilevel"/>
    <w:tmpl w:val="0B8E950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nsid w:val="7FEA101E"/>
    <w:multiLevelType w:val="multilevel"/>
    <w:tmpl w:val="6FC09A30"/>
    <w:lvl w:ilvl="0">
      <w:start w:val="1"/>
      <w:numFmt w:val="decimal"/>
      <w:lvlText w:val="%1."/>
      <w:lvlJc w:val="left"/>
      <w:pPr>
        <w:ind w:left="720" w:hanging="360"/>
      </w:p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num w:numId="1">
    <w:abstractNumId w:val="11"/>
  </w:num>
  <w:num w:numId="2">
    <w:abstractNumId w:val="46"/>
  </w:num>
  <w:num w:numId="3">
    <w:abstractNumId w:val="20"/>
  </w:num>
  <w:num w:numId="4">
    <w:abstractNumId w:val="26"/>
  </w:num>
  <w:num w:numId="5">
    <w:abstractNumId w:val="12"/>
  </w:num>
  <w:num w:numId="6">
    <w:abstractNumId w:val="4"/>
  </w:num>
  <w:num w:numId="7">
    <w:abstractNumId w:val="28"/>
  </w:num>
  <w:num w:numId="8">
    <w:abstractNumId w:val="22"/>
  </w:num>
  <w:num w:numId="9">
    <w:abstractNumId w:val="38"/>
  </w:num>
  <w:num w:numId="10">
    <w:abstractNumId w:val="13"/>
  </w:num>
  <w:num w:numId="11">
    <w:abstractNumId w:val="5"/>
  </w:num>
  <w:num w:numId="12">
    <w:abstractNumId w:val="9"/>
  </w:num>
  <w:num w:numId="13">
    <w:abstractNumId w:val="42"/>
  </w:num>
  <w:num w:numId="14">
    <w:abstractNumId w:val="31"/>
  </w:num>
  <w:num w:numId="15">
    <w:abstractNumId w:val="6"/>
  </w:num>
  <w:num w:numId="16">
    <w:abstractNumId w:val="19"/>
  </w:num>
  <w:num w:numId="17">
    <w:abstractNumId w:val="36"/>
  </w:num>
  <w:num w:numId="18">
    <w:abstractNumId w:val="30"/>
  </w:num>
  <w:num w:numId="19">
    <w:abstractNumId w:val="2"/>
  </w:num>
  <w:num w:numId="20">
    <w:abstractNumId w:val="21"/>
  </w:num>
  <w:num w:numId="21">
    <w:abstractNumId w:val="37"/>
  </w:num>
  <w:num w:numId="22">
    <w:abstractNumId w:val="18"/>
  </w:num>
  <w:num w:numId="23">
    <w:abstractNumId w:val="25"/>
  </w:num>
  <w:num w:numId="24">
    <w:abstractNumId w:val="35"/>
  </w:num>
  <w:num w:numId="25">
    <w:abstractNumId w:val="17"/>
  </w:num>
  <w:num w:numId="26">
    <w:abstractNumId w:val="8"/>
  </w:num>
  <w:num w:numId="27">
    <w:abstractNumId w:val="45"/>
  </w:num>
  <w:num w:numId="28">
    <w:abstractNumId w:val="15"/>
  </w:num>
  <w:num w:numId="29">
    <w:abstractNumId w:val="40"/>
  </w:num>
  <w:num w:numId="30">
    <w:abstractNumId w:val="3"/>
  </w:num>
  <w:num w:numId="31">
    <w:abstractNumId w:val="44"/>
  </w:num>
  <w:num w:numId="32">
    <w:abstractNumId w:val="14"/>
  </w:num>
  <w:num w:numId="33">
    <w:abstractNumId w:val="39"/>
  </w:num>
  <w:num w:numId="34">
    <w:abstractNumId w:val="1"/>
  </w:num>
  <w:num w:numId="35">
    <w:abstractNumId w:val="0"/>
  </w:num>
  <w:num w:numId="36">
    <w:abstractNumId w:val="43"/>
  </w:num>
  <w:num w:numId="37">
    <w:abstractNumId w:val="41"/>
  </w:num>
  <w:num w:numId="38">
    <w:abstractNumId w:val="10"/>
  </w:num>
  <w:num w:numId="39">
    <w:abstractNumId w:val="34"/>
  </w:num>
  <w:num w:numId="40">
    <w:abstractNumId w:val="16"/>
  </w:num>
  <w:num w:numId="41">
    <w:abstractNumId w:val="29"/>
  </w:num>
  <w:num w:numId="42">
    <w:abstractNumId w:val="24"/>
  </w:num>
  <w:num w:numId="43">
    <w:abstractNumId w:val="32"/>
  </w:num>
  <w:num w:numId="44">
    <w:abstractNumId w:val="33"/>
  </w:num>
  <w:num w:numId="45">
    <w:abstractNumId w:val="27"/>
  </w:num>
  <w:num w:numId="46">
    <w:abstractNumId w:val="7"/>
  </w:num>
  <w:num w:numId="47">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68E4"/>
    <w:rsid w:val="0000045D"/>
    <w:rsid w:val="000009AE"/>
    <w:rsid w:val="000026CF"/>
    <w:rsid w:val="00002FA5"/>
    <w:rsid w:val="0000354B"/>
    <w:rsid w:val="000056BB"/>
    <w:rsid w:val="00005B85"/>
    <w:rsid w:val="0000721A"/>
    <w:rsid w:val="00010537"/>
    <w:rsid w:val="00011980"/>
    <w:rsid w:val="00012E56"/>
    <w:rsid w:val="0001366A"/>
    <w:rsid w:val="00013C75"/>
    <w:rsid w:val="000143F3"/>
    <w:rsid w:val="000171B7"/>
    <w:rsid w:val="00017F8D"/>
    <w:rsid w:val="00020E74"/>
    <w:rsid w:val="0002163D"/>
    <w:rsid w:val="00022B41"/>
    <w:rsid w:val="00023442"/>
    <w:rsid w:val="000240C8"/>
    <w:rsid w:val="0002560B"/>
    <w:rsid w:val="00025F8F"/>
    <w:rsid w:val="00027921"/>
    <w:rsid w:val="000306A7"/>
    <w:rsid w:val="000315CA"/>
    <w:rsid w:val="00031A66"/>
    <w:rsid w:val="00031B3B"/>
    <w:rsid w:val="0003281E"/>
    <w:rsid w:val="00032896"/>
    <w:rsid w:val="000329BE"/>
    <w:rsid w:val="00036740"/>
    <w:rsid w:val="0004186E"/>
    <w:rsid w:val="00044C7F"/>
    <w:rsid w:val="000451BE"/>
    <w:rsid w:val="00045379"/>
    <w:rsid w:val="000458B5"/>
    <w:rsid w:val="00045CB8"/>
    <w:rsid w:val="00047B1D"/>
    <w:rsid w:val="000508FA"/>
    <w:rsid w:val="000511AB"/>
    <w:rsid w:val="0005171D"/>
    <w:rsid w:val="00055224"/>
    <w:rsid w:val="00057FE1"/>
    <w:rsid w:val="00060ECD"/>
    <w:rsid w:val="000610F9"/>
    <w:rsid w:val="00061821"/>
    <w:rsid w:val="00062176"/>
    <w:rsid w:val="000623F9"/>
    <w:rsid w:val="00063A10"/>
    <w:rsid w:val="00063C69"/>
    <w:rsid w:val="00064EA6"/>
    <w:rsid w:val="000662F8"/>
    <w:rsid w:val="00066CAB"/>
    <w:rsid w:val="00070E99"/>
    <w:rsid w:val="00071290"/>
    <w:rsid w:val="00073E78"/>
    <w:rsid w:val="00073E92"/>
    <w:rsid w:val="00073FC2"/>
    <w:rsid w:val="00074B0E"/>
    <w:rsid w:val="00076AE0"/>
    <w:rsid w:val="0007756F"/>
    <w:rsid w:val="0008033D"/>
    <w:rsid w:val="0008151E"/>
    <w:rsid w:val="000821BF"/>
    <w:rsid w:val="00084BAA"/>
    <w:rsid w:val="00085007"/>
    <w:rsid w:val="0008548C"/>
    <w:rsid w:val="00086AF1"/>
    <w:rsid w:val="0008719F"/>
    <w:rsid w:val="00087E9F"/>
    <w:rsid w:val="00090174"/>
    <w:rsid w:val="0009081C"/>
    <w:rsid w:val="00091552"/>
    <w:rsid w:val="00091C3A"/>
    <w:rsid w:val="000944B9"/>
    <w:rsid w:val="00095CD4"/>
    <w:rsid w:val="0009704F"/>
    <w:rsid w:val="000A18F1"/>
    <w:rsid w:val="000A2E75"/>
    <w:rsid w:val="000A3486"/>
    <w:rsid w:val="000A46DE"/>
    <w:rsid w:val="000A46EB"/>
    <w:rsid w:val="000A5195"/>
    <w:rsid w:val="000A535D"/>
    <w:rsid w:val="000A5980"/>
    <w:rsid w:val="000A79DA"/>
    <w:rsid w:val="000A7EDC"/>
    <w:rsid w:val="000B03E0"/>
    <w:rsid w:val="000B0EFE"/>
    <w:rsid w:val="000B115B"/>
    <w:rsid w:val="000B2A2F"/>
    <w:rsid w:val="000B45EB"/>
    <w:rsid w:val="000B4B51"/>
    <w:rsid w:val="000B4D0F"/>
    <w:rsid w:val="000B5864"/>
    <w:rsid w:val="000B6663"/>
    <w:rsid w:val="000B701B"/>
    <w:rsid w:val="000B7158"/>
    <w:rsid w:val="000C0B33"/>
    <w:rsid w:val="000C2602"/>
    <w:rsid w:val="000C5B8B"/>
    <w:rsid w:val="000C7DC3"/>
    <w:rsid w:val="000D0352"/>
    <w:rsid w:val="000D0916"/>
    <w:rsid w:val="000D1A4E"/>
    <w:rsid w:val="000D1B55"/>
    <w:rsid w:val="000D3C75"/>
    <w:rsid w:val="000D4532"/>
    <w:rsid w:val="000D4A3A"/>
    <w:rsid w:val="000D5800"/>
    <w:rsid w:val="000D67B8"/>
    <w:rsid w:val="000D69D7"/>
    <w:rsid w:val="000D7523"/>
    <w:rsid w:val="000D7F7B"/>
    <w:rsid w:val="000E0C4D"/>
    <w:rsid w:val="000E30C2"/>
    <w:rsid w:val="000E3AEA"/>
    <w:rsid w:val="000E6545"/>
    <w:rsid w:val="000E686B"/>
    <w:rsid w:val="000F1FE8"/>
    <w:rsid w:val="000F2A5E"/>
    <w:rsid w:val="000F2E5A"/>
    <w:rsid w:val="000F3EC2"/>
    <w:rsid w:val="000F3F8D"/>
    <w:rsid w:val="00100C19"/>
    <w:rsid w:val="00101CE5"/>
    <w:rsid w:val="00104391"/>
    <w:rsid w:val="00106372"/>
    <w:rsid w:val="00110117"/>
    <w:rsid w:val="00111DCD"/>
    <w:rsid w:val="00112C29"/>
    <w:rsid w:val="00114CF9"/>
    <w:rsid w:val="00114FD0"/>
    <w:rsid w:val="001154C1"/>
    <w:rsid w:val="00117250"/>
    <w:rsid w:val="00120A03"/>
    <w:rsid w:val="00121E3A"/>
    <w:rsid w:val="001228AB"/>
    <w:rsid w:val="00124209"/>
    <w:rsid w:val="00124855"/>
    <w:rsid w:val="00124E99"/>
    <w:rsid w:val="001254F5"/>
    <w:rsid w:val="00127033"/>
    <w:rsid w:val="0012724B"/>
    <w:rsid w:val="00136C13"/>
    <w:rsid w:val="00136FAD"/>
    <w:rsid w:val="00140557"/>
    <w:rsid w:val="001408A0"/>
    <w:rsid w:val="001414E7"/>
    <w:rsid w:val="001416FE"/>
    <w:rsid w:val="00141BDA"/>
    <w:rsid w:val="001439C9"/>
    <w:rsid w:val="00146F0A"/>
    <w:rsid w:val="0015142D"/>
    <w:rsid w:val="00151D16"/>
    <w:rsid w:val="00152AB2"/>
    <w:rsid w:val="00152C2B"/>
    <w:rsid w:val="00161FBE"/>
    <w:rsid w:val="0016613D"/>
    <w:rsid w:val="0016699E"/>
    <w:rsid w:val="0016745C"/>
    <w:rsid w:val="001705AC"/>
    <w:rsid w:val="001710C0"/>
    <w:rsid w:val="001712BB"/>
    <w:rsid w:val="001733A0"/>
    <w:rsid w:val="00175897"/>
    <w:rsid w:val="00177BC8"/>
    <w:rsid w:val="00180B9F"/>
    <w:rsid w:val="00180F0F"/>
    <w:rsid w:val="00181CC5"/>
    <w:rsid w:val="001829BE"/>
    <w:rsid w:val="00182C4E"/>
    <w:rsid w:val="00184E8E"/>
    <w:rsid w:val="00185197"/>
    <w:rsid w:val="001854E1"/>
    <w:rsid w:val="0018577F"/>
    <w:rsid w:val="001913B5"/>
    <w:rsid w:val="00193784"/>
    <w:rsid w:val="00194676"/>
    <w:rsid w:val="00195824"/>
    <w:rsid w:val="00196DCE"/>
    <w:rsid w:val="00196FE9"/>
    <w:rsid w:val="001A02EC"/>
    <w:rsid w:val="001A1756"/>
    <w:rsid w:val="001A30F5"/>
    <w:rsid w:val="001A443E"/>
    <w:rsid w:val="001A4643"/>
    <w:rsid w:val="001A4BAD"/>
    <w:rsid w:val="001A5630"/>
    <w:rsid w:val="001A577E"/>
    <w:rsid w:val="001A7406"/>
    <w:rsid w:val="001A7484"/>
    <w:rsid w:val="001A7624"/>
    <w:rsid w:val="001A7959"/>
    <w:rsid w:val="001A7C9B"/>
    <w:rsid w:val="001B05B9"/>
    <w:rsid w:val="001B6914"/>
    <w:rsid w:val="001B7B88"/>
    <w:rsid w:val="001B7FA2"/>
    <w:rsid w:val="001C1337"/>
    <w:rsid w:val="001C1CAF"/>
    <w:rsid w:val="001C2AC5"/>
    <w:rsid w:val="001C336E"/>
    <w:rsid w:val="001C50EE"/>
    <w:rsid w:val="001C7319"/>
    <w:rsid w:val="001C7D87"/>
    <w:rsid w:val="001D23B4"/>
    <w:rsid w:val="001D27C1"/>
    <w:rsid w:val="001D3159"/>
    <w:rsid w:val="001D3E87"/>
    <w:rsid w:val="001D49A2"/>
    <w:rsid w:val="001D5F45"/>
    <w:rsid w:val="001D627A"/>
    <w:rsid w:val="001D6B60"/>
    <w:rsid w:val="001E0C3F"/>
    <w:rsid w:val="001E11BF"/>
    <w:rsid w:val="001E2C56"/>
    <w:rsid w:val="001E3960"/>
    <w:rsid w:val="001E3E6B"/>
    <w:rsid w:val="001E5168"/>
    <w:rsid w:val="001E58D8"/>
    <w:rsid w:val="001E6631"/>
    <w:rsid w:val="001E78AA"/>
    <w:rsid w:val="001F2101"/>
    <w:rsid w:val="001F2360"/>
    <w:rsid w:val="001F3385"/>
    <w:rsid w:val="001F3969"/>
    <w:rsid w:val="001F607C"/>
    <w:rsid w:val="001F6084"/>
    <w:rsid w:val="001F61DA"/>
    <w:rsid w:val="001F6D13"/>
    <w:rsid w:val="00204420"/>
    <w:rsid w:val="00205ACD"/>
    <w:rsid w:val="002075A5"/>
    <w:rsid w:val="00212797"/>
    <w:rsid w:val="00212A9D"/>
    <w:rsid w:val="0021501E"/>
    <w:rsid w:val="00215192"/>
    <w:rsid w:val="0021530C"/>
    <w:rsid w:val="002205C0"/>
    <w:rsid w:val="00221889"/>
    <w:rsid w:val="002248AC"/>
    <w:rsid w:val="00226AF5"/>
    <w:rsid w:val="0023220E"/>
    <w:rsid w:val="0023373D"/>
    <w:rsid w:val="0023423C"/>
    <w:rsid w:val="002406B0"/>
    <w:rsid w:val="00241398"/>
    <w:rsid w:val="002420E3"/>
    <w:rsid w:val="002429D6"/>
    <w:rsid w:val="002448CB"/>
    <w:rsid w:val="002525C7"/>
    <w:rsid w:val="002526E7"/>
    <w:rsid w:val="002534AB"/>
    <w:rsid w:val="002545DA"/>
    <w:rsid w:val="002548EC"/>
    <w:rsid w:val="00254BA9"/>
    <w:rsid w:val="00254CAC"/>
    <w:rsid w:val="0025556B"/>
    <w:rsid w:val="002577FE"/>
    <w:rsid w:val="00261125"/>
    <w:rsid w:val="002659E9"/>
    <w:rsid w:val="00267074"/>
    <w:rsid w:val="00267244"/>
    <w:rsid w:val="002717B7"/>
    <w:rsid w:val="00273D0E"/>
    <w:rsid w:val="00274159"/>
    <w:rsid w:val="00274300"/>
    <w:rsid w:val="00274BE8"/>
    <w:rsid w:val="002765A6"/>
    <w:rsid w:val="0028097F"/>
    <w:rsid w:val="00284A01"/>
    <w:rsid w:val="0028588E"/>
    <w:rsid w:val="00286784"/>
    <w:rsid w:val="00286C41"/>
    <w:rsid w:val="00287700"/>
    <w:rsid w:val="00292BF6"/>
    <w:rsid w:val="0029431D"/>
    <w:rsid w:val="00294823"/>
    <w:rsid w:val="00295248"/>
    <w:rsid w:val="00295749"/>
    <w:rsid w:val="0029598B"/>
    <w:rsid w:val="00296316"/>
    <w:rsid w:val="00297A36"/>
    <w:rsid w:val="002A0229"/>
    <w:rsid w:val="002A0ABA"/>
    <w:rsid w:val="002A2034"/>
    <w:rsid w:val="002A24F4"/>
    <w:rsid w:val="002A38BF"/>
    <w:rsid w:val="002A4319"/>
    <w:rsid w:val="002A5409"/>
    <w:rsid w:val="002A56AE"/>
    <w:rsid w:val="002A5933"/>
    <w:rsid w:val="002A597E"/>
    <w:rsid w:val="002B0A7C"/>
    <w:rsid w:val="002B113A"/>
    <w:rsid w:val="002B18B5"/>
    <w:rsid w:val="002B19E0"/>
    <w:rsid w:val="002B1A1F"/>
    <w:rsid w:val="002B1C3E"/>
    <w:rsid w:val="002B2879"/>
    <w:rsid w:val="002B3AF1"/>
    <w:rsid w:val="002B5A2F"/>
    <w:rsid w:val="002B5DBD"/>
    <w:rsid w:val="002C07C4"/>
    <w:rsid w:val="002C1B76"/>
    <w:rsid w:val="002C2ED7"/>
    <w:rsid w:val="002C3189"/>
    <w:rsid w:val="002C5BD5"/>
    <w:rsid w:val="002C72D2"/>
    <w:rsid w:val="002D08E3"/>
    <w:rsid w:val="002D30CB"/>
    <w:rsid w:val="002D310D"/>
    <w:rsid w:val="002D3D96"/>
    <w:rsid w:val="002D59F9"/>
    <w:rsid w:val="002D6159"/>
    <w:rsid w:val="002E23FD"/>
    <w:rsid w:val="002E2C37"/>
    <w:rsid w:val="002E2D7B"/>
    <w:rsid w:val="002E3B86"/>
    <w:rsid w:val="002E5E6A"/>
    <w:rsid w:val="002F14AA"/>
    <w:rsid w:val="002F2198"/>
    <w:rsid w:val="002F37BE"/>
    <w:rsid w:val="002F3C96"/>
    <w:rsid w:val="002F4577"/>
    <w:rsid w:val="002F5503"/>
    <w:rsid w:val="002F5BD7"/>
    <w:rsid w:val="002F6424"/>
    <w:rsid w:val="002F7704"/>
    <w:rsid w:val="00300D0B"/>
    <w:rsid w:val="00301981"/>
    <w:rsid w:val="00303210"/>
    <w:rsid w:val="00304D88"/>
    <w:rsid w:val="003056A2"/>
    <w:rsid w:val="00306096"/>
    <w:rsid w:val="00307369"/>
    <w:rsid w:val="003107AB"/>
    <w:rsid w:val="003111C0"/>
    <w:rsid w:val="0031632F"/>
    <w:rsid w:val="0031645D"/>
    <w:rsid w:val="003179EC"/>
    <w:rsid w:val="00317A04"/>
    <w:rsid w:val="00317A10"/>
    <w:rsid w:val="00320A67"/>
    <w:rsid w:val="00321565"/>
    <w:rsid w:val="0032187D"/>
    <w:rsid w:val="00322039"/>
    <w:rsid w:val="00323CD2"/>
    <w:rsid w:val="00324E31"/>
    <w:rsid w:val="00325645"/>
    <w:rsid w:val="00326F6B"/>
    <w:rsid w:val="003272FB"/>
    <w:rsid w:val="003317CD"/>
    <w:rsid w:val="00335EE5"/>
    <w:rsid w:val="0033704D"/>
    <w:rsid w:val="00337BA5"/>
    <w:rsid w:val="0034179E"/>
    <w:rsid w:val="00341AC3"/>
    <w:rsid w:val="0034299B"/>
    <w:rsid w:val="003430A8"/>
    <w:rsid w:val="003442C8"/>
    <w:rsid w:val="003443B2"/>
    <w:rsid w:val="00345B43"/>
    <w:rsid w:val="00346B14"/>
    <w:rsid w:val="00352D61"/>
    <w:rsid w:val="003549DC"/>
    <w:rsid w:val="00360F1F"/>
    <w:rsid w:val="0036194F"/>
    <w:rsid w:val="00361B9C"/>
    <w:rsid w:val="003625BE"/>
    <w:rsid w:val="00365C45"/>
    <w:rsid w:val="00366665"/>
    <w:rsid w:val="00371031"/>
    <w:rsid w:val="0037342D"/>
    <w:rsid w:val="003736ED"/>
    <w:rsid w:val="00374444"/>
    <w:rsid w:val="00374F7B"/>
    <w:rsid w:val="003755BC"/>
    <w:rsid w:val="003756A4"/>
    <w:rsid w:val="00376114"/>
    <w:rsid w:val="00376CEC"/>
    <w:rsid w:val="00380758"/>
    <w:rsid w:val="00382012"/>
    <w:rsid w:val="003827B4"/>
    <w:rsid w:val="00383334"/>
    <w:rsid w:val="00383C82"/>
    <w:rsid w:val="00386BBB"/>
    <w:rsid w:val="00386D84"/>
    <w:rsid w:val="0039245A"/>
    <w:rsid w:val="00393F7A"/>
    <w:rsid w:val="00394A1E"/>
    <w:rsid w:val="003A19E1"/>
    <w:rsid w:val="003A241D"/>
    <w:rsid w:val="003A43CE"/>
    <w:rsid w:val="003A60CC"/>
    <w:rsid w:val="003A61F9"/>
    <w:rsid w:val="003A73D3"/>
    <w:rsid w:val="003B1A03"/>
    <w:rsid w:val="003B1C4E"/>
    <w:rsid w:val="003B1E88"/>
    <w:rsid w:val="003B2317"/>
    <w:rsid w:val="003B5455"/>
    <w:rsid w:val="003B5FFE"/>
    <w:rsid w:val="003B63C0"/>
    <w:rsid w:val="003B6686"/>
    <w:rsid w:val="003C1C73"/>
    <w:rsid w:val="003C2632"/>
    <w:rsid w:val="003C2A8E"/>
    <w:rsid w:val="003C4C62"/>
    <w:rsid w:val="003C7873"/>
    <w:rsid w:val="003C78F7"/>
    <w:rsid w:val="003C79D5"/>
    <w:rsid w:val="003D0A89"/>
    <w:rsid w:val="003D11E5"/>
    <w:rsid w:val="003D153C"/>
    <w:rsid w:val="003D305F"/>
    <w:rsid w:val="003D4013"/>
    <w:rsid w:val="003D4806"/>
    <w:rsid w:val="003D5267"/>
    <w:rsid w:val="003E0BC5"/>
    <w:rsid w:val="003E16E1"/>
    <w:rsid w:val="003E20B4"/>
    <w:rsid w:val="003E2624"/>
    <w:rsid w:val="003E34C9"/>
    <w:rsid w:val="003E4B54"/>
    <w:rsid w:val="003E5686"/>
    <w:rsid w:val="003E6C30"/>
    <w:rsid w:val="003F0DF5"/>
    <w:rsid w:val="003F332C"/>
    <w:rsid w:val="003F3BA1"/>
    <w:rsid w:val="003F55B2"/>
    <w:rsid w:val="003F659A"/>
    <w:rsid w:val="003F6ADE"/>
    <w:rsid w:val="003F6CB2"/>
    <w:rsid w:val="0040028E"/>
    <w:rsid w:val="00400E16"/>
    <w:rsid w:val="004012CF"/>
    <w:rsid w:val="004012E1"/>
    <w:rsid w:val="00401F9A"/>
    <w:rsid w:val="004020B1"/>
    <w:rsid w:val="004028F5"/>
    <w:rsid w:val="00402FF3"/>
    <w:rsid w:val="00404627"/>
    <w:rsid w:val="00405192"/>
    <w:rsid w:val="00405EAB"/>
    <w:rsid w:val="00406265"/>
    <w:rsid w:val="004069EB"/>
    <w:rsid w:val="004072AA"/>
    <w:rsid w:val="004111DA"/>
    <w:rsid w:val="00413327"/>
    <w:rsid w:val="00413F1C"/>
    <w:rsid w:val="0041440A"/>
    <w:rsid w:val="00423213"/>
    <w:rsid w:val="0042416D"/>
    <w:rsid w:val="00427C71"/>
    <w:rsid w:val="00431DF7"/>
    <w:rsid w:val="00433507"/>
    <w:rsid w:val="004336AE"/>
    <w:rsid w:val="00433F50"/>
    <w:rsid w:val="00437A0E"/>
    <w:rsid w:val="00437EBD"/>
    <w:rsid w:val="00441432"/>
    <w:rsid w:val="00441566"/>
    <w:rsid w:val="00443B76"/>
    <w:rsid w:val="00444EC5"/>
    <w:rsid w:val="0044504F"/>
    <w:rsid w:val="004460C0"/>
    <w:rsid w:val="004502F1"/>
    <w:rsid w:val="004516EB"/>
    <w:rsid w:val="00451AC8"/>
    <w:rsid w:val="004529B6"/>
    <w:rsid w:val="00453DBD"/>
    <w:rsid w:val="00454CE6"/>
    <w:rsid w:val="00457162"/>
    <w:rsid w:val="00457A9F"/>
    <w:rsid w:val="0046133D"/>
    <w:rsid w:val="0046218B"/>
    <w:rsid w:val="00462881"/>
    <w:rsid w:val="00462B0D"/>
    <w:rsid w:val="00464534"/>
    <w:rsid w:val="0046475C"/>
    <w:rsid w:val="00464805"/>
    <w:rsid w:val="00466B1C"/>
    <w:rsid w:val="004702BF"/>
    <w:rsid w:val="0047088E"/>
    <w:rsid w:val="00470F88"/>
    <w:rsid w:val="00472649"/>
    <w:rsid w:val="004726B1"/>
    <w:rsid w:val="004738C8"/>
    <w:rsid w:val="0047555B"/>
    <w:rsid w:val="00475F48"/>
    <w:rsid w:val="00476C7B"/>
    <w:rsid w:val="0047718A"/>
    <w:rsid w:val="00477430"/>
    <w:rsid w:val="00477CC2"/>
    <w:rsid w:val="00480C13"/>
    <w:rsid w:val="00481325"/>
    <w:rsid w:val="0048180A"/>
    <w:rsid w:val="00481C7A"/>
    <w:rsid w:val="0048339F"/>
    <w:rsid w:val="004836B3"/>
    <w:rsid w:val="00484134"/>
    <w:rsid w:val="00485454"/>
    <w:rsid w:val="00485906"/>
    <w:rsid w:val="004863BE"/>
    <w:rsid w:val="00486CC8"/>
    <w:rsid w:val="004872B4"/>
    <w:rsid w:val="004906C8"/>
    <w:rsid w:val="0049459B"/>
    <w:rsid w:val="00494DB7"/>
    <w:rsid w:val="00494DE3"/>
    <w:rsid w:val="00495252"/>
    <w:rsid w:val="004964B5"/>
    <w:rsid w:val="0049675F"/>
    <w:rsid w:val="004967E2"/>
    <w:rsid w:val="0049785D"/>
    <w:rsid w:val="004A1436"/>
    <w:rsid w:val="004A19ED"/>
    <w:rsid w:val="004A290F"/>
    <w:rsid w:val="004A55D8"/>
    <w:rsid w:val="004A5FFD"/>
    <w:rsid w:val="004A6011"/>
    <w:rsid w:val="004A7195"/>
    <w:rsid w:val="004A7CE2"/>
    <w:rsid w:val="004B376D"/>
    <w:rsid w:val="004B4A4A"/>
    <w:rsid w:val="004B5DEC"/>
    <w:rsid w:val="004B7F32"/>
    <w:rsid w:val="004C1B07"/>
    <w:rsid w:val="004C1DF1"/>
    <w:rsid w:val="004C4E77"/>
    <w:rsid w:val="004C74FD"/>
    <w:rsid w:val="004C7E3D"/>
    <w:rsid w:val="004D08EB"/>
    <w:rsid w:val="004D6029"/>
    <w:rsid w:val="004D6663"/>
    <w:rsid w:val="004E0166"/>
    <w:rsid w:val="004E0679"/>
    <w:rsid w:val="004E0B32"/>
    <w:rsid w:val="004E1161"/>
    <w:rsid w:val="004E1AC5"/>
    <w:rsid w:val="004E1B1C"/>
    <w:rsid w:val="004E2371"/>
    <w:rsid w:val="004E35D0"/>
    <w:rsid w:val="004E4020"/>
    <w:rsid w:val="004E6BE9"/>
    <w:rsid w:val="004E79A4"/>
    <w:rsid w:val="004F26CF"/>
    <w:rsid w:val="004F3E8F"/>
    <w:rsid w:val="004F4792"/>
    <w:rsid w:val="004F4DF1"/>
    <w:rsid w:val="004F74F7"/>
    <w:rsid w:val="005008D0"/>
    <w:rsid w:val="00502F50"/>
    <w:rsid w:val="00503655"/>
    <w:rsid w:val="00505759"/>
    <w:rsid w:val="00505784"/>
    <w:rsid w:val="0050578D"/>
    <w:rsid w:val="0051107C"/>
    <w:rsid w:val="00512786"/>
    <w:rsid w:val="00514187"/>
    <w:rsid w:val="00515090"/>
    <w:rsid w:val="00515762"/>
    <w:rsid w:val="00517F23"/>
    <w:rsid w:val="00521A89"/>
    <w:rsid w:val="00521E57"/>
    <w:rsid w:val="00521FD6"/>
    <w:rsid w:val="00523ACD"/>
    <w:rsid w:val="00525E83"/>
    <w:rsid w:val="005268A3"/>
    <w:rsid w:val="00527A22"/>
    <w:rsid w:val="00527EBC"/>
    <w:rsid w:val="005305EA"/>
    <w:rsid w:val="00530E3E"/>
    <w:rsid w:val="005311BB"/>
    <w:rsid w:val="00535C9F"/>
    <w:rsid w:val="00536723"/>
    <w:rsid w:val="005371E7"/>
    <w:rsid w:val="0054033D"/>
    <w:rsid w:val="00540538"/>
    <w:rsid w:val="00540C92"/>
    <w:rsid w:val="00544016"/>
    <w:rsid w:val="005478DE"/>
    <w:rsid w:val="005520FE"/>
    <w:rsid w:val="0055211D"/>
    <w:rsid w:val="00552FA7"/>
    <w:rsid w:val="00553930"/>
    <w:rsid w:val="00553E92"/>
    <w:rsid w:val="00554927"/>
    <w:rsid w:val="005554CB"/>
    <w:rsid w:val="00556513"/>
    <w:rsid w:val="00560D4A"/>
    <w:rsid w:val="00562653"/>
    <w:rsid w:val="0056468F"/>
    <w:rsid w:val="00566E4B"/>
    <w:rsid w:val="00567F9A"/>
    <w:rsid w:val="005705E2"/>
    <w:rsid w:val="005714B9"/>
    <w:rsid w:val="00571653"/>
    <w:rsid w:val="005733EB"/>
    <w:rsid w:val="00573BA9"/>
    <w:rsid w:val="00573F98"/>
    <w:rsid w:val="00575485"/>
    <w:rsid w:val="00577500"/>
    <w:rsid w:val="00580802"/>
    <w:rsid w:val="00581A22"/>
    <w:rsid w:val="005833A8"/>
    <w:rsid w:val="00584485"/>
    <w:rsid w:val="005863B4"/>
    <w:rsid w:val="0058661B"/>
    <w:rsid w:val="005875FF"/>
    <w:rsid w:val="00587E4A"/>
    <w:rsid w:val="00590A32"/>
    <w:rsid w:val="00591165"/>
    <w:rsid w:val="00593E91"/>
    <w:rsid w:val="00594C99"/>
    <w:rsid w:val="0059513F"/>
    <w:rsid w:val="00595600"/>
    <w:rsid w:val="00596DC4"/>
    <w:rsid w:val="00597589"/>
    <w:rsid w:val="005A0B49"/>
    <w:rsid w:val="005A52D9"/>
    <w:rsid w:val="005A5A6E"/>
    <w:rsid w:val="005A694B"/>
    <w:rsid w:val="005A6D57"/>
    <w:rsid w:val="005B00A4"/>
    <w:rsid w:val="005B0424"/>
    <w:rsid w:val="005B1C46"/>
    <w:rsid w:val="005B2B98"/>
    <w:rsid w:val="005B2E7E"/>
    <w:rsid w:val="005B37EF"/>
    <w:rsid w:val="005B5B70"/>
    <w:rsid w:val="005B5F05"/>
    <w:rsid w:val="005B77A6"/>
    <w:rsid w:val="005B79E7"/>
    <w:rsid w:val="005C0435"/>
    <w:rsid w:val="005C36D0"/>
    <w:rsid w:val="005C3CD1"/>
    <w:rsid w:val="005C3E35"/>
    <w:rsid w:val="005C40CB"/>
    <w:rsid w:val="005C687E"/>
    <w:rsid w:val="005C6982"/>
    <w:rsid w:val="005D0901"/>
    <w:rsid w:val="005D16DD"/>
    <w:rsid w:val="005D2332"/>
    <w:rsid w:val="005D2B59"/>
    <w:rsid w:val="005D362F"/>
    <w:rsid w:val="005D370F"/>
    <w:rsid w:val="005D5217"/>
    <w:rsid w:val="005D5E8C"/>
    <w:rsid w:val="005E17BC"/>
    <w:rsid w:val="005E4D7C"/>
    <w:rsid w:val="005E4EB4"/>
    <w:rsid w:val="005E54CA"/>
    <w:rsid w:val="005E63EA"/>
    <w:rsid w:val="005E6A46"/>
    <w:rsid w:val="005E7A49"/>
    <w:rsid w:val="005F048E"/>
    <w:rsid w:val="005F10E7"/>
    <w:rsid w:val="005F1408"/>
    <w:rsid w:val="005F1E0B"/>
    <w:rsid w:val="005F4BA7"/>
    <w:rsid w:val="005F57F0"/>
    <w:rsid w:val="005F7424"/>
    <w:rsid w:val="005F7D10"/>
    <w:rsid w:val="00600A14"/>
    <w:rsid w:val="00600FB9"/>
    <w:rsid w:val="0060108E"/>
    <w:rsid w:val="006010C7"/>
    <w:rsid w:val="00602223"/>
    <w:rsid w:val="0060225F"/>
    <w:rsid w:val="0060242C"/>
    <w:rsid w:val="006041EC"/>
    <w:rsid w:val="00606FDA"/>
    <w:rsid w:val="0061042F"/>
    <w:rsid w:val="00612499"/>
    <w:rsid w:val="00612954"/>
    <w:rsid w:val="006168E4"/>
    <w:rsid w:val="00616943"/>
    <w:rsid w:val="006174FA"/>
    <w:rsid w:val="00620EEE"/>
    <w:rsid w:val="00621171"/>
    <w:rsid w:val="006214B9"/>
    <w:rsid w:val="00621940"/>
    <w:rsid w:val="006223C1"/>
    <w:rsid w:val="0062421A"/>
    <w:rsid w:val="00624FE9"/>
    <w:rsid w:val="00625866"/>
    <w:rsid w:val="006300D6"/>
    <w:rsid w:val="00630382"/>
    <w:rsid w:val="00630469"/>
    <w:rsid w:val="00630E5F"/>
    <w:rsid w:val="006321C8"/>
    <w:rsid w:val="0063265C"/>
    <w:rsid w:val="00633079"/>
    <w:rsid w:val="006332DC"/>
    <w:rsid w:val="00635020"/>
    <w:rsid w:val="00635846"/>
    <w:rsid w:val="006373D0"/>
    <w:rsid w:val="00637512"/>
    <w:rsid w:val="0063765F"/>
    <w:rsid w:val="00640EE4"/>
    <w:rsid w:val="0064168D"/>
    <w:rsid w:val="00643161"/>
    <w:rsid w:val="00643DA3"/>
    <w:rsid w:val="006455CC"/>
    <w:rsid w:val="006466F5"/>
    <w:rsid w:val="006468D6"/>
    <w:rsid w:val="006478C6"/>
    <w:rsid w:val="006517BB"/>
    <w:rsid w:val="006522DA"/>
    <w:rsid w:val="006529A5"/>
    <w:rsid w:val="00652E67"/>
    <w:rsid w:val="0065450F"/>
    <w:rsid w:val="00655735"/>
    <w:rsid w:val="00656289"/>
    <w:rsid w:val="00660155"/>
    <w:rsid w:val="00661404"/>
    <w:rsid w:val="00661753"/>
    <w:rsid w:val="006646AC"/>
    <w:rsid w:val="00664D5B"/>
    <w:rsid w:val="0066790A"/>
    <w:rsid w:val="00671D7C"/>
    <w:rsid w:val="00672112"/>
    <w:rsid w:val="0067275D"/>
    <w:rsid w:val="006766EB"/>
    <w:rsid w:val="00676C2E"/>
    <w:rsid w:val="00681802"/>
    <w:rsid w:val="00682225"/>
    <w:rsid w:val="006822F4"/>
    <w:rsid w:val="00682B6F"/>
    <w:rsid w:val="00683417"/>
    <w:rsid w:val="00684893"/>
    <w:rsid w:val="006848B7"/>
    <w:rsid w:val="00684CBE"/>
    <w:rsid w:val="00686FC2"/>
    <w:rsid w:val="0068792F"/>
    <w:rsid w:val="0069237F"/>
    <w:rsid w:val="0069391E"/>
    <w:rsid w:val="00694735"/>
    <w:rsid w:val="00697281"/>
    <w:rsid w:val="00697492"/>
    <w:rsid w:val="006A2C7F"/>
    <w:rsid w:val="006A2EFE"/>
    <w:rsid w:val="006A3C38"/>
    <w:rsid w:val="006B0AA4"/>
    <w:rsid w:val="006B12A6"/>
    <w:rsid w:val="006B1953"/>
    <w:rsid w:val="006B1BF1"/>
    <w:rsid w:val="006B1C95"/>
    <w:rsid w:val="006B26E3"/>
    <w:rsid w:val="006B3302"/>
    <w:rsid w:val="006B37EA"/>
    <w:rsid w:val="006B6913"/>
    <w:rsid w:val="006B7444"/>
    <w:rsid w:val="006C0C3F"/>
    <w:rsid w:val="006C0CF5"/>
    <w:rsid w:val="006C1288"/>
    <w:rsid w:val="006C32EE"/>
    <w:rsid w:val="006C3831"/>
    <w:rsid w:val="006C6A05"/>
    <w:rsid w:val="006D23FC"/>
    <w:rsid w:val="006D3CD7"/>
    <w:rsid w:val="006D5719"/>
    <w:rsid w:val="006D57FE"/>
    <w:rsid w:val="006D5803"/>
    <w:rsid w:val="006E01D1"/>
    <w:rsid w:val="006E2644"/>
    <w:rsid w:val="006E32D1"/>
    <w:rsid w:val="006E594D"/>
    <w:rsid w:val="006E5C99"/>
    <w:rsid w:val="006E7F05"/>
    <w:rsid w:val="006F1B61"/>
    <w:rsid w:val="006F1FC1"/>
    <w:rsid w:val="006F3F8C"/>
    <w:rsid w:val="006F4A27"/>
    <w:rsid w:val="006F53A9"/>
    <w:rsid w:val="006F5A35"/>
    <w:rsid w:val="006F6041"/>
    <w:rsid w:val="006F610D"/>
    <w:rsid w:val="006F6E0E"/>
    <w:rsid w:val="00701033"/>
    <w:rsid w:val="0070175B"/>
    <w:rsid w:val="007024E8"/>
    <w:rsid w:val="0070371E"/>
    <w:rsid w:val="00705BF0"/>
    <w:rsid w:val="00705F8F"/>
    <w:rsid w:val="007064F6"/>
    <w:rsid w:val="007078A3"/>
    <w:rsid w:val="007111B4"/>
    <w:rsid w:val="00711536"/>
    <w:rsid w:val="007129C0"/>
    <w:rsid w:val="00712AFE"/>
    <w:rsid w:val="00713390"/>
    <w:rsid w:val="007142B5"/>
    <w:rsid w:val="00716BFE"/>
    <w:rsid w:val="00716F27"/>
    <w:rsid w:val="00720774"/>
    <w:rsid w:val="00721D87"/>
    <w:rsid w:val="00723454"/>
    <w:rsid w:val="007234D1"/>
    <w:rsid w:val="0072378A"/>
    <w:rsid w:val="00731428"/>
    <w:rsid w:val="0073157A"/>
    <w:rsid w:val="007335F8"/>
    <w:rsid w:val="00734B6E"/>
    <w:rsid w:val="00735209"/>
    <w:rsid w:val="00737D40"/>
    <w:rsid w:val="0074023C"/>
    <w:rsid w:val="00743818"/>
    <w:rsid w:val="0074433F"/>
    <w:rsid w:val="00744E29"/>
    <w:rsid w:val="00744EEF"/>
    <w:rsid w:val="00745229"/>
    <w:rsid w:val="00746D2D"/>
    <w:rsid w:val="0074726D"/>
    <w:rsid w:val="00747D38"/>
    <w:rsid w:val="00750C96"/>
    <w:rsid w:val="00751095"/>
    <w:rsid w:val="007517D1"/>
    <w:rsid w:val="007518D4"/>
    <w:rsid w:val="007524CA"/>
    <w:rsid w:val="00753F8F"/>
    <w:rsid w:val="00754B2D"/>
    <w:rsid w:val="00754CAE"/>
    <w:rsid w:val="00757559"/>
    <w:rsid w:val="00760CA0"/>
    <w:rsid w:val="007658D5"/>
    <w:rsid w:val="0077063F"/>
    <w:rsid w:val="00770863"/>
    <w:rsid w:val="00772BA8"/>
    <w:rsid w:val="00774266"/>
    <w:rsid w:val="0078028A"/>
    <w:rsid w:val="007806CB"/>
    <w:rsid w:val="00780A54"/>
    <w:rsid w:val="007818E1"/>
    <w:rsid w:val="00781C64"/>
    <w:rsid w:val="00781EDB"/>
    <w:rsid w:val="007848FB"/>
    <w:rsid w:val="007851D5"/>
    <w:rsid w:val="00785698"/>
    <w:rsid w:val="0078693A"/>
    <w:rsid w:val="00787954"/>
    <w:rsid w:val="007900A4"/>
    <w:rsid w:val="007906E0"/>
    <w:rsid w:val="00794153"/>
    <w:rsid w:val="0079486A"/>
    <w:rsid w:val="00794D64"/>
    <w:rsid w:val="00794E74"/>
    <w:rsid w:val="00794F80"/>
    <w:rsid w:val="0079666D"/>
    <w:rsid w:val="0079788F"/>
    <w:rsid w:val="00797913"/>
    <w:rsid w:val="00797B4F"/>
    <w:rsid w:val="007A139A"/>
    <w:rsid w:val="007A1C9E"/>
    <w:rsid w:val="007A3BB5"/>
    <w:rsid w:val="007A4532"/>
    <w:rsid w:val="007A5926"/>
    <w:rsid w:val="007A6C53"/>
    <w:rsid w:val="007B2C77"/>
    <w:rsid w:val="007B2F5C"/>
    <w:rsid w:val="007B7A6F"/>
    <w:rsid w:val="007C2C6B"/>
    <w:rsid w:val="007C3CA3"/>
    <w:rsid w:val="007C4C73"/>
    <w:rsid w:val="007C53E1"/>
    <w:rsid w:val="007C7FF1"/>
    <w:rsid w:val="007D0D01"/>
    <w:rsid w:val="007D15EF"/>
    <w:rsid w:val="007D1A27"/>
    <w:rsid w:val="007D1B24"/>
    <w:rsid w:val="007D1F15"/>
    <w:rsid w:val="007D25B1"/>
    <w:rsid w:val="007D2878"/>
    <w:rsid w:val="007D300A"/>
    <w:rsid w:val="007D4430"/>
    <w:rsid w:val="007D4DD9"/>
    <w:rsid w:val="007D63A2"/>
    <w:rsid w:val="007D661B"/>
    <w:rsid w:val="007D6641"/>
    <w:rsid w:val="007E1016"/>
    <w:rsid w:val="007E1DE4"/>
    <w:rsid w:val="007E24F0"/>
    <w:rsid w:val="007E26F8"/>
    <w:rsid w:val="007E3A35"/>
    <w:rsid w:val="007E5726"/>
    <w:rsid w:val="007E7BAB"/>
    <w:rsid w:val="007E7C17"/>
    <w:rsid w:val="007E7DCE"/>
    <w:rsid w:val="007F0560"/>
    <w:rsid w:val="007F0DF4"/>
    <w:rsid w:val="007F1347"/>
    <w:rsid w:val="007F18CC"/>
    <w:rsid w:val="007F19D7"/>
    <w:rsid w:val="007F1C99"/>
    <w:rsid w:val="007F20AC"/>
    <w:rsid w:val="007F3914"/>
    <w:rsid w:val="007F43BD"/>
    <w:rsid w:val="007F53D4"/>
    <w:rsid w:val="007F67C9"/>
    <w:rsid w:val="007F6C8E"/>
    <w:rsid w:val="007F76DF"/>
    <w:rsid w:val="00800927"/>
    <w:rsid w:val="008016F1"/>
    <w:rsid w:val="00802C56"/>
    <w:rsid w:val="0080421D"/>
    <w:rsid w:val="0080447F"/>
    <w:rsid w:val="00804BD9"/>
    <w:rsid w:val="00805270"/>
    <w:rsid w:val="00806148"/>
    <w:rsid w:val="008111EB"/>
    <w:rsid w:val="00811205"/>
    <w:rsid w:val="00811D16"/>
    <w:rsid w:val="00811DCF"/>
    <w:rsid w:val="00812C48"/>
    <w:rsid w:val="008146F9"/>
    <w:rsid w:val="00814D55"/>
    <w:rsid w:val="00821792"/>
    <w:rsid w:val="00821C2C"/>
    <w:rsid w:val="008230AE"/>
    <w:rsid w:val="00824DCD"/>
    <w:rsid w:val="008253B0"/>
    <w:rsid w:val="00831D3F"/>
    <w:rsid w:val="00832986"/>
    <w:rsid w:val="00833DB5"/>
    <w:rsid w:val="00835692"/>
    <w:rsid w:val="008419A8"/>
    <w:rsid w:val="00842697"/>
    <w:rsid w:val="008436AD"/>
    <w:rsid w:val="00844569"/>
    <w:rsid w:val="00846539"/>
    <w:rsid w:val="0084766D"/>
    <w:rsid w:val="008479F1"/>
    <w:rsid w:val="00847D23"/>
    <w:rsid w:val="00853174"/>
    <w:rsid w:val="0085439C"/>
    <w:rsid w:val="00854887"/>
    <w:rsid w:val="00854BB0"/>
    <w:rsid w:val="00855544"/>
    <w:rsid w:val="00856D15"/>
    <w:rsid w:val="0086020D"/>
    <w:rsid w:val="00863327"/>
    <w:rsid w:val="008671BD"/>
    <w:rsid w:val="008673BF"/>
    <w:rsid w:val="00867B2F"/>
    <w:rsid w:val="00867FEE"/>
    <w:rsid w:val="00870084"/>
    <w:rsid w:val="008709D8"/>
    <w:rsid w:val="00870F44"/>
    <w:rsid w:val="00871F78"/>
    <w:rsid w:val="00874015"/>
    <w:rsid w:val="00875611"/>
    <w:rsid w:val="00876A75"/>
    <w:rsid w:val="0087786C"/>
    <w:rsid w:val="00877DCA"/>
    <w:rsid w:val="00883587"/>
    <w:rsid w:val="00884054"/>
    <w:rsid w:val="00886712"/>
    <w:rsid w:val="008868B6"/>
    <w:rsid w:val="00890A5B"/>
    <w:rsid w:val="00891715"/>
    <w:rsid w:val="00893C5F"/>
    <w:rsid w:val="00895089"/>
    <w:rsid w:val="008951ED"/>
    <w:rsid w:val="008966B3"/>
    <w:rsid w:val="00896BBD"/>
    <w:rsid w:val="00896DB2"/>
    <w:rsid w:val="00897D44"/>
    <w:rsid w:val="008A08B6"/>
    <w:rsid w:val="008A1129"/>
    <w:rsid w:val="008A322D"/>
    <w:rsid w:val="008A4437"/>
    <w:rsid w:val="008A75BE"/>
    <w:rsid w:val="008B00BD"/>
    <w:rsid w:val="008B14D0"/>
    <w:rsid w:val="008B18B5"/>
    <w:rsid w:val="008B5026"/>
    <w:rsid w:val="008B634F"/>
    <w:rsid w:val="008C2BCF"/>
    <w:rsid w:val="008C32A8"/>
    <w:rsid w:val="008C3857"/>
    <w:rsid w:val="008C55A3"/>
    <w:rsid w:val="008C5EC3"/>
    <w:rsid w:val="008D06E0"/>
    <w:rsid w:val="008D1DFF"/>
    <w:rsid w:val="008D29A7"/>
    <w:rsid w:val="008D2F5B"/>
    <w:rsid w:val="008D4DDD"/>
    <w:rsid w:val="008D6D20"/>
    <w:rsid w:val="008D7675"/>
    <w:rsid w:val="008E6375"/>
    <w:rsid w:val="008E6C23"/>
    <w:rsid w:val="008E7DB4"/>
    <w:rsid w:val="008F10A6"/>
    <w:rsid w:val="008F16D2"/>
    <w:rsid w:val="008F3674"/>
    <w:rsid w:val="008F4944"/>
    <w:rsid w:val="008F4AB6"/>
    <w:rsid w:val="008F4C65"/>
    <w:rsid w:val="0090155A"/>
    <w:rsid w:val="0090162D"/>
    <w:rsid w:val="009020E0"/>
    <w:rsid w:val="0090233A"/>
    <w:rsid w:val="00903376"/>
    <w:rsid w:val="00903410"/>
    <w:rsid w:val="00903A73"/>
    <w:rsid w:val="00905422"/>
    <w:rsid w:val="00910B4E"/>
    <w:rsid w:val="009130C0"/>
    <w:rsid w:val="00913133"/>
    <w:rsid w:val="00913283"/>
    <w:rsid w:val="00915791"/>
    <w:rsid w:val="00916B04"/>
    <w:rsid w:val="00917744"/>
    <w:rsid w:val="00917869"/>
    <w:rsid w:val="00921094"/>
    <w:rsid w:val="0092113F"/>
    <w:rsid w:val="00921DB9"/>
    <w:rsid w:val="00922358"/>
    <w:rsid w:val="0092403D"/>
    <w:rsid w:val="0092563B"/>
    <w:rsid w:val="00927C53"/>
    <w:rsid w:val="009314F6"/>
    <w:rsid w:val="00932888"/>
    <w:rsid w:val="009331C2"/>
    <w:rsid w:val="0093422A"/>
    <w:rsid w:val="00934B04"/>
    <w:rsid w:val="009361F0"/>
    <w:rsid w:val="009402DB"/>
    <w:rsid w:val="0094160B"/>
    <w:rsid w:val="00941FE3"/>
    <w:rsid w:val="00943DF1"/>
    <w:rsid w:val="00943F2E"/>
    <w:rsid w:val="00944898"/>
    <w:rsid w:val="009449B8"/>
    <w:rsid w:val="00944DC9"/>
    <w:rsid w:val="00946E7E"/>
    <w:rsid w:val="0094795E"/>
    <w:rsid w:val="00951D52"/>
    <w:rsid w:val="00952187"/>
    <w:rsid w:val="00954916"/>
    <w:rsid w:val="009549ED"/>
    <w:rsid w:val="009600E6"/>
    <w:rsid w:val="0096015A"/>
    <w:rsid w:val="00960A6D"/>
    <w:rsid w:val="00960A7F"/>
    <w:rsid w:val="009611E0"/>
    <w:rsid w:val="009634AB"/>
    <w:rsid w:val="00963D83"/>
    <w:rsid w:val="009642BE"/>
    <w:rsid w:val="00964573"/>
    <w:rsid w:val="00965139"/>
    <w:rsid w:val="00965FEE"/>
    <w:rsid w:val="0096643B"/>
    <w:rsid w:val="009679C0"/>
    <w:rsid w:val="0097038E"/>
    <w:rsid w:val="0097069C"/>
    <w:rsid w:val="009706B5"/>
    <w:rsid w:val="00970CE3"/>
    <w:rsid w:val="009718BF"/>
    <w:rsid w:val="00972BDF"/>
    <w:rsid w:val="00973028"/>
    <w:rsid w:val="0097390F"/>
    <w:rsid w:val="00976DFE"/>
    <w:rsid w:val="00977E05"/>
    <w:rsid w:val="0098057B"/>
    <w:rsid w:val="0098182D"/>
    <w:rsid w:val="00985AD2"/>
    <w:rsid w:val="00985C4C"/>
    <w:rsid w:val="0098704B"/>
    <w:rsid w:val="00993821"/>
    <w:rsid w:val="009940F6"/>
    <w:rsid w:val="00994280"/>
    <w:rsid w:val="0099575D"/>
    <w:rsid w:val="009970B5"/>
    <w:rsid w:val="009A0D0A"/>
    <w:rsid w:val="009A0FAE"/>
    <w:rsid w:val="009A110C"/>
    <w:rsid w:val="009A1915"/>
    <w:rsid w:val="009A2418"/>
    <w:rsid w:val="009A2DB0"/>
    <w:rsid w:val="009A41F6"/>
    <w:rsid w:val="009A517D"/>
    <w:rsid w:val="009A64BD"/>
    <w:rsid w:val="009A686F"/>
    <w:rsid w:val="009A6ACC"/>
    <w:rsid w:val="009B1636"/>
    <w:rsid w:val="009B33A8"/>
    <w:rsid w:val="009B3487"/>
    <w:rsid w:val="009B4429"/>
    <w:rsid w:val="009B4510"/>
    <w:rsid w:val="009B5F5A"/>
    <w:rsid w:val="009B7C61"/>
    <w:rsid w:val="009B7D7D"/>
    <w:rsid w:val="009C0DC9"/>
    <w:rsid w:val="009C2394"/>
    <w:rsid w:val="009C3793"/>
    <w:rsid w:val="009C451F"/>
    <w:rsid w:val="009C5075"/>
    <w:rsid w:val="009C5E96"/>
    <w:rsid w:val="009C726D"/>
    <w:rsid w:val="009D1B1E"/>
    <w:rsid w:val="009D3697"/>
    <w:rsid w:val="009D42F9"/>
    <w:rsid w:val="009D5F9E"/>
    <w:rsid w:val="009D735D"/>
    <w:rsid w:val="009E1411"/>
    <w:rsid w:val="009E32B5"/>
    <w:rsid w:val="009E5079"/>
    <w:rsid w:val="009E52F2"/>
    <w:rsid w:val="009E5717"/>
    <w:rsid w:val="009E6985"/>
    <w:rsid w:val="009F002C"/>
    <w:rsid w:val="009F01C0"/>
    <w:rsid w:val="009F1278"/>
    <w:rsid w:val="009F3C1F"/>
    <w:rsid w:val="009F5439"/>
    <w:rsid w:val="009F5DB2"/>
    <w:rsid w:val="009F614E"/>
    <w:rsid w:val="009F762B"/>
    <w:rsid w:val="00A0172D"/>
    <w:rsid w:val="00A02047"/>
    <w:rsid w:val="00A03338"/>
    <w:rsid w:val="00A036BE"/>
    <w:rsid w:val="00A03C4B"/>
    <w:rsid w:val="00A04C52"/>
    <w:rsid w:val="00A0717F"/>
    <w:rsid w:val="00A07627"/>
    <w:rsid w:val="00A11AE6"/>
    <w:rsid w:val="00A12205"/>
    <w:rsid w:val="00A164AC"/>
    <w:rsid w:val="00A16EAB"/>
    <w:rsid w:val="00A21876"/>
    <w:rsid w:val="00A279CF"/>
    <w:rsid w:val="00A30BC9"/>
    <w:rsid w:val="00A30C44"/>
    <w:rsid w:val="00A328AE"/>
    <w:rsid w:val="00A347D8"/>
    <w:rsid w:val="00A35865"/>
    <w:rsid w:val="00A36D20"/>
    <w:rsid w:val="00A4131E"/>
    <w:rsid w:val="00A41694"/>
    <w:rsid w:val="00A42326"/>
    <w:rsid w:val="00A43501"/>
    <w:rsid w:val="00A453DC"/>
    <w:rsid w:val="00A469C4"/>
    <w:rsid w:val="00A46BDA"/>
    <w:rsid w:val="00A475D9"/>
    <w:rsid w:val="00A50617"/>
    <w:rsid w:val="00A535E3"/>
    <w:rsid w:val="00A5450F"/>
    <w:rsid w:val="00A570A7"/>
    <w:rsid w:val="00A57E92"/>
    <w:rsid w:val="00A61900"/>
    <w:rsid w:val="00A625E2"/>
    <w:rsid w:val="00A62AA3"/>
    <w:rsid w:val="00A62B55"/>
    <w:rsid w:val="00A64C80"/>
    <w:rsid w:val="00A67EF9"/>
    <w:rsid w:val="00A708F1"/>
    <w:rsid w:val="00A715FE"/>
    <w:rsid w:val="00A72465"/>
    <w:rsid w:val="00A755B3"/>
    <w:rsid w:val="00A75CA6"/>
    <w:rsid w:val="00A76B72"/>
    <w:rsid w:val="00A80C92"/>
    <w:rsid w:val="00A81BCB"/>
    <w:rsid w:val="00A82461"/>
    <w:rsid w:val="00A82EF1"/>
    <w:rsid w:val="00A840FB"/>
    <w:rsid w:val="00A84571"/>
    <w:rsid w:val="00A84CDC"/>
    <w:rsid w:val="00A851D8"/>
    <w:rsid w:val="00A8580D"/>
    <w:rsid w:val="00A85816"/>
    <w:rsid w:val="00A85E37"/>
    <w:rsid w:val="00A860FD"/>
    <w:rsid w:val="00A86416"/>
    <w:rsid w:val="00A864D9"/>
    <w:rsid w:val="00A90202"/>
    <w:rsid w:val="00A908EE"/>
    <w:rsid w:val="00A9099E"/>
    <w:rsid w:val="00A9277F"/>
    <w:rsid w:val="00A940B5"/>
    <w:rsid w:val="00A95083"/>
    <w:rsid w:val="00A953BA"/>
    <w:rsid w:val="00A95A9B"/>
    <w:rsid w:val="00A96C9F"/>
    <w:rsid w:val="00A96E60"/>
    <w:rsid w:val="00A97D27"/>
    <w:rsid w:val="00AA12D0"/>
    <w:rsid w:val="00AA1687"/>
    <w:rsid w:val="00AA285C"/>
    <w:rsid w:val="00AA4325"/>
    <w:rsid w:val="00AA4BE1"/>
    <w:rsid w:val="00AA50AC"/>
    <w:rsid w:val="00AA5D62"/>
    <w:rsid w:val="00AB14BD"/>
    <w:rsid w:val="00AB1D6A"/>
    <w:rsid w:val="00AB3710"/>
    <w:rsid w:val="00AB46A3"/>
    <w:rsid w:val="00AB4B0F"/>
    <w:rsid w:val="00AB4FA1"/>
    <w:rsid w:val="00AB65D4"/>
    <w:rsid w:val="00AB6A6D"/>
    <w:rsid w:val="00AB6C3B"/>
    <w:rsid w:val="00AB747F"/>
    <w:rsid w:val="00AB76A1"/>
    <w:rsid w:val="00AC0516"/>
    <w:rsid w:val="00AC0D96"/>
    <w:rsid w:val="00AC2A55"/>
    <w:rsid w:val="00AC48E0"/>
    <w:rsid w:val="00AC6189"/>
    <w:rsid w:val="00AC6D9E"/>
    <w:rsid w:val="00AC7A73"/>
    <w:rsid w:val="00AC7C82"/>
    <w:rsid w:val="00AD1553"/>
    <w:rsid w:val="00AD25F0"/>
    <w:rsid w:val="00AD2EBD"/>
    <w:rsid w:val="00AD30EB"/>
    <w:rsid w:val="00AD3849"/>
    <w:rsid w:val="00AD461A"/>
    <w:rsid w:val="00AD6CC6"/>
    <w:rsid w:val="00AD6EAA"/>
    <w:rsid w:val="00AE008F"/>
    <w:rsid w:val="00AE04E8"/>
    <w:rsid w:val="00AE09FB"/>
    <w:rsid w:val="00AE0D01"/>
    <w:rsid w:val="00AE2056"/>
    <w:rsid w:val="00AE43EE"/>
    <w:rsid w:val="00AE49DD"/>
    <w:rsid w:val="00AE74E9"/>
    <w:rsid w:val="00AF16C8"/>
    <w:rsid w:val="00AF4AAA"/>
    <w:rsid w:val="00AF54EF"/>
    <w:rsid w:val="00AF74DA"/>
    <w:rsid w:val="00B00C72"/>
    <w:rsid w:val="00B00C80"/>
    <w:rsid w:val="00B01443"/>
    <w:rsid w:val="00B024D6"/>
    <w:rsid w:val="00B03C9B"/>
    <w:rsid w:val="00B03FB7"/>
    <w:rsid w:val="00B04CF0"/>
    <w:rsid w:val="00B06055"/>
    <w:rsid w:val="00B070A2"/>
    <w:rsid w:val="00B0761F"/>
    <w:rsid w:val="00B10E49"/>
    <w:rsid w:val="00B11E08"/>
    <w:rsid w:val="00B145FA"/>
    <w:rsid w:val="00B2037B"/>
    <w:rsid w:val="00B20C7F"/>
    <w:rsid w:val="00B226AF"/>
    <w:rsid w:val="00B23274"/>
    <w:rsid w:val="00B24D10"/>
    <w:rsid w:val="00B264D4"/>
    <w:rsid w:val="00B272A6"/>
    <w:rsid w:val="00B27B40"/>
    <w:rsid w:val="00B30856"/>
    <w:rsid w:val="00B32CD3"/>
    <w:rsid w:val="00B333EA"/>
    <w:rsid w:val="00B33F04"/>
    <w:rsid w:val="00B34CA9"/>
    <w:rsid w:val="00B35797"/>
    <w:rsid w:val="00B35A93"/>
    <w:rsid w:val="00B3672D"/>
    <w:rsid w:val="00B37818"/>
    <w:rsid w:val="00B40656"/>
    <w:rsid w:val="00B40F8A"/>
    <w:rsid w:val="00B43E4C"/>
    <w:rsid w:val="00B443AD"/>
    <w:rsid w:val="00B4502E"/>
    <w:rsid w:val="00B4745C"/>
    <w:rsid w:val="00B50AAA"/>
    <w:rsid w:val="00B51FC0"/>
    <w:rsid w:val="00B53B4F"/>
    <w:rsid w:val="00B544D9"/>
    <w:rsid w:val="00B5641B"/>
    <w:rsid w:val="00B564E0"/>
    <w:rsid w:val="00B57F47"/>
    <w:rsid w:val="00B61063"/>
    <w:rsid w:val="00B63AA2"/>
    <w:rsid w:val="00B658D4"/>
    <w:rsid w:val="00B6662B"/>
    <w:rsid w:val="00B67823"/>
    <w:rsid w:val="00B67D2A"/>
    <w:rsid w:val="00B70133"/>
    <w:rsid w:val="00B70741"/>
    <w:rsid w:val="00B7481A"/>
    <w:rsid w:val="00B75A2C"/>
    <w:rsid w:val="00B77A82"/>
    <w:rsid w:val="00B813AC"/>
    <w:rsid w:val="00B8287F"/>
    <w:rsid w:val="00B83146"/>
    <w:rsid w:val="00B8376C"/>
    <w:rsid w:val="00B84260"/>
    <w:rsid w:val="00B84884"/>
    <w:rsid w:val="00B86811"/>
    <w:rsid w:val="00B86CC9"/>
    <w:rsid w:val="00B8738D"/>
    <w:rsid w:val="00B90AA8"/>
    <w:rsid w:val="00B91F0B"/>
    <w:rsid w:val="00B9223B"/>
    <w:rsid w:val="00B92D47"/>
    <w:rsid w:val="00B961A5"/>
    <w:rsid w:val="00B97C8F"/>
    <w:rsid w:val="00BA0E4C"/>
    <w:rsid w:val="00BA18D5"/>
    <w:rsid w:val="00BA1FC4"/>
    <w:rsid w:val="00BA202D"/>
    <w:rsid w:val="00BA31F5"/>
    <w:rsid w:val="00BA49CC"/>
    <w:rsid w:val="00BA4D1F"/>
    <w:rsid w:val="00BA7AD1"/>
    <w:rsid w:val="00BB0B9D"/>
    <w:rsid w:val="00BB1CC2"/>
    <w:rsid w:val="00BB2250"/>
    <w:rsid w:val="00BB2E89"/>
    <w:rsid w:val="00BB4F63"/>
    <w:rsid w:val="00BB63AB"/>
    <w:rsid w:val="00BB744D"/>
    <w:rsid w:val="00BB7708"/>
    <w:rsid w:val="00BC0FDD"/>
    <w:rsid w:val="00BC22E0"/>
    <w:rsid w:val="00BC31FC"/>
    <w:rsid w:val="00BC4AA7"/>
    <w:rsid w:val="00BC4CC5"/>
    <w:rsid w:val="00BC5852"/>
    <w:rsid w:val="00BD293B"/>
    <w:rsid w:val="00BD2C39"/>
    <w:rsid w:val="00BD5425"/>
    <w:rsid w:val="00BD6AA7"/>
    <w:rsid w:val="00BD6F2F"/>
    <w:rsid w:val="00BD705F"/>
    <w:rsid w:val="00BE28ED"/>
    <w:rsid w:val="00BE4503"/>
    <w:rsid w:val="00BE5596"/>
    <w:rsid w:val="00BE55D6"/>
    <w:rsid w:val="00BE61B8"/>
    <w:rsid w:val="00BE6F45"/>
    <w:rsid w:val="00BF030A"/>
    <w:rsid w:val="00BF2DD7"/>
    <w:rsid w:val="00BF2EA1"/>
    <w:rsid w:val="00BF41EE"/>
    <w:rsid w:val="00BF53C9"/>
    <w:rsid w:val="00BF543F"/>
    <w:rsid w:val="00BF6902"/>
    <w:rsid w:val="00BF7421"/>
    <w:rsid w:val="00C01E2A"/>
    <w:rsid w:val="00C06E2B"/>
    <w:rsid w:val="00C07650"/>
    <w:rsid w:val="00C104DD"/>
    <w:rsid w:val="00C1331F"/>
    <w:rsid w:val="00C1348A"/>
    <w:rsid w:val="00C15275"/>
    <w:rsid w:val="00C15E31"/>
    <w:rsid w:val="00C1625D"/>
    <w:rsid w:val="00C16479"/>
    <w:rsid w:val="00C2058D"/>
    <w:rsid w:val="00C24754"/>
    <w:rsid w:val="00C25084"/>
    <w:rsid w:val="00C250CB"/>
    <w:rsid w:val="00C261C7"/>
    <w:rsid w:val="00C2768B"/>
    <w:rsid w:val="00C316A8"/>
    <w:rsid w:val="00C337F9"/>
    <w:rsid w:val="00C3746F"/>
    <w:rsid w:val="00C3768A"/>
    <w:rsid w:val="00C37D9D"/>
    <w:rsid w:val="00C4139D"/>
    <w:rsid w:val="00C45C58"/>
    <w:rsid w:val="00C45DE7"/>
    <w:rsid w:val="00C5122B"/>
    <w:rsid w:val="00C51736"/>
    <w:rsid w:val="00C538D4"/>
    <w:rsid w:val="00C55C14"/>
    <w:rsid w:val="00C562FD"/>
    <w:rsid w:val="00C5658A"/>
    <w:rsid w:val="00C56C17"/>
    <w:rsid w:val="00C61B54"/>
    <w:rsid w:val="00C62189"/>
    <w:rsid w:val="00C65944"/>
    <w:rsid w:val="00C666B4"/>
    <w:rsid w:val="00C66829"/>
    <w:rsid w:val="00C6788A"/>
    <w:rsid w:val="00C70EEF"/>
    <w:rsid w:val="00C71A4B"/>
    <w:rsid w:val="00C71CD1"/>
    <w:rsid w:val="00C72345"/>
    <w:rsid w:val="00C72E54"/>
    <w:rsid w:val="00C73143"/>
    <w:rsid w:val="00C76C40"/>
    <w:rsid w:val="00C77685"/>
    <w:rsid w:val="00C77815"/>
    <w:rsid w:val="00C80ED6"/>
    <w:rsid w:val="00C82D1D"/>
    <w:rsid w:val="00C85259"/>
    <w:rsid w:val="00C85378"/>
    <w:rsid w:val="00C861F5"/>
    <w:rsid w:val="00C86808"/>
    <w:rsid w:val="00C87238"/>
    <w:rsid w:val="00C90157"/>
    <w:rsid w:val="00C90F97"/>
    <w:rsid w:val="00C9297C"/>
    <w:rsid w:val="00C96057"/>
    <w:rsid w:val="00C961E8"/>
    <w:rsid w:val="00C967A3"/>
    <w:rsid w:val="00CA1C79"/>
    <w:rsid w:val="00CA30DB"/>
    <w:rsid w:val="00CA491B"/>
    <w:rsid w:val="00CA6D58"/>
    <w:rsid w:val="00CA6FDA"/>
    <w:rsid w:val="00CB3B6F"/>
    <w:rsid w:val="00CB3D57"/>
    <w:rsid w:val="00CB6F8B"/>
    <w:rsid w:val="00CB7F87"/>
    <w:rsid w:val="00CC0C5F"/>
    <w:rsid w:val="00CC0DC2"/>
    <w:rsid w:val="00CC1FE6"/>
    <w:rsid w:val="00CC24B0"/>
    <w:rsid w:val="00CC2788"/>
    <w:rsid w:val="00CC2F3D"/>
    <w:rsid w:val="00CC3AD5"/>
    <w:rsid w:val="00CC436A"/>
    <w:rsid w:val="00CC5FF3"/>
    <w:rsid w:val="00CD1E46"/>
    <w:rsid w:val="00CD7178"/>
    <w:rsid w:val="00CE2ADF"/>
    <w:rsid w:val="00CE33FC"/>
    <w:rsid w:val="00CE39B8"/>
    <w:rsid w:val="00CE4B84"/>
    <w:rsid w:val="00CE5056"/>
    <w:rsid w:val="00CE57D6"/>
    <w:rsid w:val="00CE6A56"/>
    <w:rsid w:val="00CE74B0"/>
    <w:rsid w:val="00CE78B8"/>
    <w:rsid w:val="00CF00DE"/>
    <w:rsid w:val="00CF052D"/>
    <w:rsid w:val="00CF0E7E"/>
    <w:rsid w:val="00CF1D7D"/>
    <w:rsid w:val="00CF2623"/>
    <w:rsid w:val="00CF3998"/>
    <w:rsid w:val="00CF45D3"/>
    <w:rsid w:val="00CF4D04"/>
    <w:rsid w:val="00CF4E1C"/>
    <w:rsid w:val="00CF58A9"/>
    <w:rsid w:val="00CF6B6C"/>
    <w:rsid w:val="00CF7B6B"/>
    <w:rsid w:val="00D0001C"/>
    <w:rsid w:val="00D00804"/>
    <w:rsid w:val="00D00A04"/>
    <w:rsid w:val="00D00C20"/>
    <w:rsid w:val="00D01094"/>
    <w:rsid w:val="00D01EA5"/>
    <w:rsid w:val="00D02978"/>
    <w:rsid w:val="00D03A57"/>
    <w:rsid w:val="00D042BB"/>
    <w:rsid w:val="00D050B4"/>
    <w:rsid w:val="00D06321"/>
    <w:rsid w:val="00D0676A"/>
    <w:rsid w:val="00D06CA0"/>
    <w:rsid w:val="00D07106"/>
    <w:rsid w:val="00D07E06"/>
    <w:rsid w:val="00D1014B"/>
    <w:rsid w:val="00D108E6"/>
    <w:rsid w:val="00D1312A"/>
    <w:rsid w:val="00D13159"/>
    <w:rsid w:val="00D13814"/>
    <w:rsid w:val="00D139EB"/>
    <w:rsid w:val="00D14BA9"/>
    <w:rsid w:val="00D16498"/>
    <w:rsid w:val="00D166FF"/>
    <w:rsid w:val="00D171EB"/>
    <w:rsid w:val="00D17789"/>
    <w:rsid w:val="00D21565"/>
    <w:rsid w:val="00D22B01"/>
    <w:rsid w:val="00D25E04"/>
    <w:rsid w:val="00D266BE"/>
    <w:rsid w:val="00D2737E"/>
    <w:rsid w:val="00D274A9"/>
    <w:rsid w:val="00D30750"/>
    <w:rsid w:val="00D32644"/>
    <w:rsid w:val="00D33619"/>
    <w:rsid w:val="00D36D0F"/>
    <w:rsid w:val="00D40C02"/>
    <w:rsid w:val="00D40C1A"/>
    <w:rsid w:val="00D4142D"/>
    <w:rsid w:val="00D414E0"/>
    <w:rsid w:val="00D427A6"/>
    <w:rsid w:val="00D42AFE"/>
    <w:rsid w:val="00D44A9E"/>
    <w:rsid w:val="00D46910"/>
    <w:rsid w:val="00D46E7E"/>
    <w:rsid w:val="00D475A2"/>
    <w:rsid w:val="00D5015D"/>
    <w:rsid w:val="00D516CC"/>
    <w:rsid w:val="00D52355"/>
    <w:rsid w:val="00D52AC7"/>
    <w:rsid w:val="00D53360"/>
    <w:rsid w:val="00D53559"/>
    <w:rsid w:val="00D53A66"/>
    <w:rsid w:val="00D54514"/>
    <w:rsid w:val="00D54935"/>
    <w:rsid w:val="00D54CA9"/>
    <w:rsid w:val="00D562D3"/>
    <w:rsid w:val="00D563D9"/>
    <w:rsid w:val="00D566F2"/>
    <w:rsid w:val="00D6188C"/>
    <w:rsid w:val="00D61959"/>
    <w:rsid w:val="00D62F3F"/>
    <w:rsid w:val="00D6340F"/>
    <w:rsid w:val="00D6781D"/>
    <w:rsid w:val="00D67D98"/>
    <w:rsid w:val="00D709E8"/>
    <w:rsid w:val="00D72D16"/>
    <w:rsid w:val="00D73893"/>
    <w:rsid w:val="00D7412C"/>
    <w:rsid w:val="00D75521"/>
    <w:rsid w:val="00D75B88"/>
    <w:rsid w:val="00D767A9"/>
    <w:rsid w:val="00D8195B"/>
    <w:rsid w:val="00D8307E"/>
    <w:rsid w:val="00D83503"/>
    <w:rsid w:val="00D84724"/>
    <w:rsid w:val="00D8554E"/>
    <w:rsid w:val="00D8619F"/>
    <w:rsid w:val="00D86764"/>
    <w:rsid w:val="00D872D8"/>
    <w:rsid w:val="00D87982"/>
    <w:rsid w:val="00D91F4E"/>
    <w:rsid w:val="00D93A67"/>
    <w:rsid w:val="00D93F28"/>
    <w:rsid w:val="00D942D8"/>
    <w:rsid w:val="00D96FC1"/>
    <w:rsid w:val="00D97AC9"/>
    <w:rsid w:val="00DA0601"/>
    <w:rsid w:val="00DA2E2B"/>
    <w:rsid w:val="00DA354D"/>
    <w:rsid w:val="00DA3DE4"/>
    <w:rsid w:val="00DA5CA1"/>
    <w:rsid w:val="00DA67AA"/>
    <w:rsid w:val="00DA69DE"/>
    <w:rsid w:val="00DB0E0F"/>
    <w:rsid w:val="00DB3BE8"/>
    <w:rsid w:val="00DB424F"/>
    <w:rsid w:val="00DB5C0A"/>
    <w:rsid w:val="00DB6DAF"/>
    <w:rsid w:val="00DC0AF1"/>
    <w:rsid w:val="00DC2393"/>
    <w:rsid w:val="00DC588B"/>
    <w:rsid w:val="00DC625A"/>
    <w:rsid w:val="00DC64BF"/>
    <w:rsid w:val="00DD0123"/>
    <w:rsid w:val="00DD13E2"/>
    <w:rsid w:val="00DD4938"/>
    <w:rsid w:val="00DD7977"/>
    <w:rsid w:val="00DE1FC5"/>
    <w:rsid w:val="00DE34FF"/>
    <w:rsid w:val="00DE35D7"/>
    <w:rsid w:val="00DE4454"/>
    <w:rsid w:val="00DE44AB"/>
    <w:rsid w:val="00DF003C"/>
    <w:rsid w:val="00DF00D4"/>
    <w:rsid w:val="00DF181A"/>
    <w:rsid w:val="00DF4501"/>
    <w:rsid w:val="00DF4928"/>
    <w:rsid w:val="00DF7233"/>
    <w:rsid w:val="00DF73DC"/>
    <w:rsid w:val="00DF75B7"/>
    <w:rsid w:val="00DF78AE"/>
    <w:rsid w:val="00E0171F"/>
    <w:rsid w:val="00E02AC4"/>
    <w:rsid w:val="00E033F2"/>
    <w:rsid w:val="00E0462A"/>
    <w:rsid w:val="00E05600"/>
    <w:rsid w:val="00E05BB8"/>
    <w:rsid w:val="00E075D4"/>
    <w:rsid w:val="00E07AAA"/>
    <w:rsid w:val="00E07CC2"/>
    <w:rsid w:val="00E115FB"/>
    <w:rsid w:val="00E11E2E"/>
    <w:rsid w:val="00E125CA"/>
    <w:rsid w:val="00E138CC"/>
    <w:rsid w:val="00E14B17"/>
    <w:rsid w:val="00E14EAE"/>
    <w:rsid w:val="00E15D96"/>
    <w:rsid w:val="00E16394"/>
    <w:rsid w:val="00E176DD"/>
    <w:rsid w:val="00E17B2E"/>
    <w:rsid w:val="00E22571"/>
    <w:rsid w:val="00E25156"/>
    <w:rsid w:val="00E25242"/>
    <w:rsid w:val="00E253F6"/>
    <w:rsid w:val="00E25AAC"/>
    <w:rsid w:val="00E2730D"/>
    <w:rsid w:val="00E279B9"/>
    <w:rsid w:val="00E27B3C"/>
    <w:rsid w:val="00E30CA9"/>
    <w:rsid w:val="00E31807"/>
    <w:rsid w:val="00E33AAA"/>
    <w:rsid w:val="00E33C53"/>
    <w:rsid w:val="00E33CB8"/>
    <w:rsid w:val="00E33F0E"/>
    <w:rsid w:val="00E36B77"/>
    <w:rsid w:val="00E36C8F"/>
    <w:rsid w:val="00E371EC"/>
    <w:rsid w:val="00E37EB7"/>
    <w:rsid w:val="00E404C5"/>
    <w:rsid w:val="00E40A10"/>
    <w:rsid w:val="00E42206"/>
    <w:rsid w:val="00E42DA5"/>
    <w:rsid w:val="00E44B8D"/>
    <w:rsid w:val="00E47568"/>
    <w:rsid w:val="00E47C5F"/>
    <w:rsid w:val="00E51EF9"/>
    <w:rsid w:val="00E523B5"/>
    <w:rsid w:val="00E54816"/>
    <w:rsid w:val="00E5512E"/>
    <w:rsid w:val="00E55E60"/>
    <w:rsid w:val="00E56594"/>
    <w:rsid w:val="00E57466"/>
    <w:rsid w:val="00E578DF"/>
    <w:rsid w:val="00E57D18"/>
    <w:rsid w:val="00E605C2"/>
    <w:rsid w:val="00E6129C"/>
    <w:rsid w:val="00E61E5F"/>
    <w:rsid w:val="00E626A3"/>
    <w:rsid w:val="00E644A0"/>
    <w:rsid w:val="00E669E6"/>
    <w:rsid w:val="00E67395"/>
    <w:rsid w:val="00E72707"/>
    <w:rsid w:val="00E72AE3"/>
    <w:rsid w:val="00E7349C"/>
    <w:rsid w:val="00E73B51"/>
    <w:rsid w:val="00E75790"/>
    <w:rsid w:val="00E80180"/>
    <w:rsid w:val="00E8129E"/>
    <w:rsid w:val="00E81A2B"/>
    <w:rsid w:val="00E81E42"/>
    <w:rsid w:val="00E82A17"/>
    <w:rsid w:val="00E83A01"/>
    <w:rsid w:val="00E83ECE"/>
    <w:rsid w:val="00E861BA"/>
    <w:rsid w:val="00E87460"/>
    <w:rsid w:val="00E9156D"/>
    <w:rsid w:val="00E91EBF"/>
    <w:rsid w:val="00E957C8"/>
    <w:rsid w:val="00E97676"/>
    <w:rsid w:val="00EA1CE1"/>
    <w:rsid w:val="00EA1F89"/>
    <w:rsid w:val="00EA21CB"/>
    <w:rsid w:val="00EA355B"/>
    <w:rsid w:val="00EB08A0"/>
    <w:rsid w:val="00EB117B"/>
    <w:rsid w:val="00EB40D6"/>
    <w:rsid w:val="00EB5CDD"/>
    <w:rsid w:val="00EB5F75"/>
    <w:rsid w:val="00EB6D8B"/>
    <w:rsid w:val="00EB7852"/>
    <w:rsid w:val="00EB79CD"/>
    <w:rsid w:val="00EC060D"/>
    <w:rsid w:val="00EC1B22"/>
    <w:rsid w:val="00EC2525"/>
    <w:rsid w:val="00EC4F33"/>
    <w:rsid w:val="00EC7410"/>
    <w:rsid w:val="00EC77D8"/>
    <w:rsid w:val="00EC7E6C"/>
    <w:rsid w:val="00ED3C5C"/>
    <w:rsid w:val="00ED3DE9"/>
    <w:rsid w:val="00ED4B06"/>
    <w:rsid w:val="00EE05C1"/>
    <w:rsid w:val="00EE0713"/>
    <w:rsid w:val="00EE07A6"/>
    <w:rsid w:val="00EE0F2E"/>
    <w:rsid w:val="00EE257E"/>
    <w:rsid w:val="00EE2A41"/>
    <w:rsid w:val="00EE4E10"/>
    <w:rsid w:val="00EE525B"/>
    <w:rsid w:val="00EE633C"/>
    <w:rsid w:val="00EF09FB"/>
    <w:rsid w:val="00EF0CFD"/>
    <w:rsid w:val="00EF0DE2"/>
    <w:rsid w:val="00EF128D"/>
    <w:rsid w:val="00EF3989"/>
    <w:rsid w:val="00EF4DFA"/>
    <w:rsid w:val="00EF5F08"/>
    <w:rsid w:val="00EF6598"/>
    <w:rsid w:val="00EF7736"/>
    <w:rsid w:val="00F02923"/>
    <w:rsid w:val="00F0351B"/>
    <w:rsid w:val="00F04089"/>
    <w:rsid w:val="00F0532D"/>
    <w:rsid w:val="00F059C0"/>
    <w:rsid w:val="00F06275"/>
    <w:rsid w:val="00F06472"/>
    <w:rsid w:val="00F1080A"/>
    <w:rsid w:val="00F123EC"/>
    <w:rsid w:val="00F14E6B"/>
    <w:rsid w:val="00F1508F"/>
    <w:rsid w:val="00F16331"/>
    <w:rsid w:val="00F16803"/>
    <w:rsid w:val="00F22566"/>
    <w:rsid w:val="00F22963"/>
    <w:rsid w:val="00F2380A"/>
    <w:rsid w:val="00F24A58"/>
    <w:rsid w:val="00F262C4"/>
    <w:rsid w:val="00F2667C"/>
    <w:rsid w:val="00F30AEF"/>
    <w:rsid w:val="00F31554"/>
    <w:rsid w:val="00F3229A"/>
    <w:rsid w:val="00F32406"/>
    <w:rsid w:val="00F346C8"/>
    <w:rsid w:val="00F378B2"/>
    <w:rsid w:val="00F403EA"/>
    <w:rsid w:val="00F40B51"/>
    <w:rsid w:val="00F40E4D"/>
    <w:rsid w:val="00F41C66"/>
    <w:rsid w:val="00F41DE4"/>
    <w:rsid w:val="00F41F3D"/>
    <w:rsid w:val="00F42499"/>
    <w:rsid w:val="00F42753"/>
    <w:rsid w:val="00F448AA"/>
    <w:rsid w:val="00F44DC5"/>
    <w:rsid w:val="00F44ECF"/>
    <w:rsid w:val="00F453CB"/>
    <w:rsid w:val="00F46CE7"/>
    <w:rsid w:val="00F471AE"/>
    <w:rsid w:val="00F510DB"/>
    <w:rsid w:val="00F5390F"/>
    <w:rsid w:val="00F548C1"/>
    <w:rsid w:val="00F578E5"/>
    <w:rsid w:val="00F604E0"/>
    <w:rsid w:val="00F6232F"/>
    <w:rsid w:val="00F63F11"/>
    <w:rsid w:val="00F647D9"/>
    <w:rsid w:val="00F648E3"/>
    <w:rsid w:val="00F6501E"/>
    <w:rsid w:val="00F7045B"/>
    <w:rsid w:val="00F70615"/>
    <w:rsid w:val="00F72722"/>
    <w:rsid w:val="00F727B0"/>
    <w:rsid w:val="00F7598B"/>
    <w:rsid w:val="00F80180"/>
    <w:rsid w:val="00F81ABD"/>
    <w:rsid w:val="00F868D1"/>
    <w:rsid w:val="00F87ADD"/>
    <w:rsid w:val="00F87CD3"/>
    <w:rsid w:val="00F914FD"/>
    <w:rsid w:val="00F91637"/>
    <w:rsid w:val="00F9164E"/>
    <w:rsid w:val="00F91FEE"/>
    <w:rsid w:val="00F92490"/>
    <w:rsid w:val="00F92D2B"/>
    <w:rsid w:val="00F952BF"/>
    <w:rsid w:val="00F95515"/>
    <w:rsid w:val="00F9574E"/>
    <w:rsid w:val="00F95C57"/>
    <w:rsid w:val="00F96695"/>
    <w:rsid w:val="00F974AA"/>
    <w:rsid w:val="00F976D1"/>
    <w:rsid w:val="00FA1FF1"/>
    <w:rsid w:val="00FA2545"/>
    <w:rsid w:val="00FA3650"/>
    <w:rsid w:val="00FA7CFC"/>
    <w:rsid w:val="00FB097C"/>
    <w:rsid w:val="00FB1D16"/>
    <w:rsid w:val="00FB21C2"/>
    <w:rsid w:val="00FB3846"/>
    <w:rsid w:val="00FB4AAD"/>
    <w:rsid w:val="00FB4AD8"/>
    <w:rsid w:val="00FB4E3D"/>
    <w:rsid w:val="00FB5A22"/>
    <w:rsid w:val="00FB5B57"/>
    <w:rsid w:val="00FB5F2A"/>
    <w:rsid w:val="00FB5FB6"/>
    <w:rsid w:val="00FB6061"/>
    <w:rsid w:val="00FB7602"/>
    <w:rsid w:val="00FC0398"/>
    <w:rsid w:val="00FC103E"/>
    <w:rsid w:val="00FC1407"/>
    <w:rsid w:val="00FC22E1"/>
    <w:rsid w:val="00FC2C04"/>
    <w:rsid w:val="00FC2C8C"/>
    <w:rsid w:val="00FC3549"/>
    <w:rsid w:val="00FC4F9B"/>
    <w:rsid w:val="00FC59F0"/>
    <w:rsid w:val="00FD2B77"/>
    <w:rsid w:val="00FD302E"/>
    <w:rsid w:val="00FD4474"/>
    <w:rsid w:val="00FD4599"/>
    <w:rsid w:val="00FD4784"/>
    <w:rsid w:val="00FD51C8"/>
    <w:rsid w:val="00FD5753"/>
    <w:rsid w:val="00FD65FE"/>
    <w:rsid w:val="00FD6B57"/>
    <w:rsid w:val="00FE0040"/>
    <w:rsid w:val="00FE00DA"/>
    <w:rsid w:val="00FE015B"/>
    <w:rsid w:val="00FE0FAF"/>
    <w:rsid w:val="00FE35B1"/>
    <w:rsid w:val="00FE3C36"/>
    <w:rsid w:val="00FE427F"/>
    <w:rsid w:val="00FE4DBB"/>
    <w:rsid w:val="00FE72EA"/>
    <w:rsid w:val="00FF2475"/>
    <w:rsid w:val="00FF3477"/>
    <w:rsid w:val="00FF3A25"/>
    <w:rsid w:val="00FF4138"/>
    <w:rsid w:val="00FF6DDE"/>
    <w:rsid w:val="00FF6E24"/>
    <w:rsid w:val="00FF7410"/>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65F6C781"/>
  <w15:chartTrackingRefBased/>
  <w15:docId w15:val="{4EEE4235-1ECD-4EDA-A389-22EB94D44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B6C3B"/>
  </w:style>
  <w:style w:type="paragraph" w:styleId="Ttulo1">
    <w:name w:val="heading 1"/>
    <w:basedOn w:val="Normal"/>
    <w:next w:val="Normal"/>
    <w:link w:val="Ttulo1Car"/>
    <w:uiPriority w:val="9"/>
    <w:qFormat/>
    <w:rsid w:val="00ED3C5C"/>
    <w:pPr>
      <w:keepNext/>
      <w:numPr>
        <w:numId w:val="1"/>
      </w:numPr>
      <w:spacing w:before="240" w:after="60" w:line="240" w:lineRule="auto"/>
      <w:outlineLvl w:val="0"/>
    </w:pPr>
    <w:rPr>
      <w:rFonts w:asciiTheme="majorHAnsi" w:eastAsiaTheme="majorEastAsia" w:hAnsiTheme="majorHAnsi" w:cstheme="majorBidi"/>
      <w:b/>
      <w:bCs/>
      <w:kern w:val="32"/>
      <w:sz w:val="32"/>
      <w:szCs w:val="32"/>
      <w:lang w:val="en-US"/>
    </w:rPr>
  </w:style>
  <w:style w:type="paragraph" w:styleId="Ttulo2">
    <w:name w:val="heading 2"/>
    <w:basedOn w:val="Normal"/>
    <w:next w:val="Normal"/>
    <w:link w:val="Ttulo2Car"/>
    <w:uiPriority w:val="9"/>
    <w:semiHidden/>
    <w:unhideWhenUsed/>
    <w:qFormat/>
    <w:rsid w:val="00ED3C5C"/>
    <w:pPr>
      <w:keepNext/>
      <w:numPr>
        <w:ilvl w:val="1"/>
        <w:numId w:val="1"/>
      </w:numPr>
      <w:spacing w:before="240" w:after="60" w:line="240" w:lineRule="auto"/>
      <w:outlineLvl w:val="1"/>
    </w:pPr>
    <w:rPr>
      <w:rFonts w:asciiTheme="majorHAnsi" w:eastAsiaTheme="majorEastAsia" w:hAnsiTheme="majorHAnsi" w:cstheme="majorBidi"/>
      <w:b/>
      <w:bCs/>
      <w:i/>
      <w:iCs/>
      <w:sz w:val="28"/>
      <w:szCs w:val="28"/>
      <w:lang w:val="en-US"/>
    </w:rPr>
  </w:style>
  <w:style w:type="paragraph" w:styleId="Ttulo3">
    <w:name w:val="heading 3"/>
    <w:basedOn w:val="Normal"/>
    <w:next w:val="Normal"/>
    <w:link w:val="Ttulo3Car"/>
    <w:uiPriority w:val="9"/>
    <w:semiHidden/>
    <w:unhideWhenUsed/>
    <w:qFormat/>
    <w:rsid w:val="00ED3C5C"/>
    <w:pPr>
      <w:keepNext/>
      <w:numPr>
        <w:ilvl w:val="2"/>
        <w:numId w:val="1"/>
      </w:numPr>
      <w:spacing w:before="240" w:after="60" w:line="240" w:lineRule="auto"/>
      <w:outlineLvl w:val="2"/>
    </w:pPr>
    <w:rPr>
      <w:rFonts w:asciiTheme="majorHAnsi" w:eastAsiaTheme="majorEastAsia" w:hAnsiTheme="majorHAnsi" w:cstheme="majorBidi"/>
      <w:b/>
      <w:bCs/>
      <w:sz w:val="26"/>
      <w:szCs w:val="26"/>
      <w:lang w:val="en-US"/>
    </w:rPr>
  </w:style>
  <w:style w:type="paragraph" w:styleId="Ttulo4">
    <w:name w:val="heading 4"/>
    <w:basedOn w:val="Normal"/>
    <w:next w:val="Normal"/>
    <w:link w:val="Ttulo4Car"/>
    <w:uiPriority w:val="9"/>
    <w:semiHidden/>
    <w:unhideWhenUsed/>
    <w:qFormat/>
    <w:rsid w:val="00ED3C5C"/>
    <w:pPr>
      <w:keepNext/>
      <w:numPr>
        <w:ilvl w:val="3"/>
        <w:numId w:val="1"/>
      </w:numPr>
      <w:spacing w:before="240" w:after="60" w:line="240" w:lineRule="auto"/>
      <w:outlineLvl w:val="3"/>
    </w:pPr>
    <w:rPr>
      <w:rFonts w:eastAsiaTheme="minorEastAsia"/>
      <w:b/>
      <w:bCs/>
      <w:sz w:val="28"/>
      <w:szCs w:val="28"/>
      <w:lang w:val="en-US"/>
    </w:rPr>
  </w:style>
  <w:style w:type="paragraph" w:styleId="Ttulo5">
    <w:name w:val="heading 5"/>
    <w:basedOn w:val="Normal"/>
    <w:next w:val="Normal"/>
    <w:link w:val="Ttulo5Car"/>
    <w:uiPriority w:val="9"/>
    <w:semiHidden/>
    <w:unhideWhenUsed/>
    <w:qFormat/>
    <w:rsid w:val="00ED3C5C"/>
    <w:pPr>
      <w:numPr>
        <w:ilvl w:val="4"/>
        <w:numId w:val="1"/>
      </w:numPr>
      <w:spacing w:before="240" w:after="60" w:line="240" w:lineRule="auto"/>
      <w:outlineLvl w:val="4"/>
    </w:pPr>
    <w:rPr>
      <w:rFonts w:eastAsiaTheme="minorEastAsia"/>
      <w:b/>
      <w:bCs/>
      <w:i/>
      <w:iCs/>
      <w:sz w:val="26"/>
      <w:szCs w:val="26"/>
      <w:lang w:val="en-US"/>
    </w:rPr>
  </w:style>
  <w:style w:type="paragraph" w:styleId="Ttulo6">
    <w:name w:val="heading 6"/>
    <w:basedOn w:val="Normal"/>
    <w:next w:val="Normal"/>
    <w:link w:val="Ttulo6Car"/>
    <w:qFormat/>
    <w:rsid w:val="00ED3C5C"/>
    <w:pPr>
      <w:numPr>
        <w:ilvl w:val="5"/>
        <w:numId w:val="1"/>
      </w:numPr>
      <w:spacing w:before="240" w:after="60" w:line="240" w:lineRule="auto"/>
      <w:outlineLvl w:val="5"/>
    </w:pPr>
    <w:rPr>
      <w:rFonts w:ascii="Times New Roman" w:eastAsia="Times New Roman" w:hAnsi="Times New Roman" w:cs="Times New Roman"/>
      <w:b/>
      <w:bCs/>
      <w:lang w:val="en-US"/>
    </w:rPr>
  </w:style>
  <w:style w:type="paragraph" w:styleId="Ttulo7">
    <w:name w:val="heading 7"/>
    <w:basedOn w:val="Normal"/>
    <w:next w:val="Normal"/>
    <w:link w:val="Ttulo7Car"/>
    <w:uiPriority w:val="9"/>
    <w:semiHidden/>
    <w:unhideWhenUsed/>
    <w:qFormat/>
    <w:rsid w:val="00ED3C5C"/>
    <w:pPr>
      <w:numPr>
        <w:ilvl w:val="6"/>
        <w:numId w:val="1"/>
      </w:numPr>
      <w:spacing w:before="240" w:after="60" w:line="240" w:lineRule="auto"/>
      <w:outlineLvl w:val="6"/>
    </w:pPr>
    <w:rPr>
      <w:rFonts w:eastAsiaTheme="minorEastAsia"/>
      <w:sz w:val="24"/>
      <w:szCs w:val="24"/>
      <w:lang w:val="en-US"/>
    </w:rPr>
  </w:style>
  <w:style w:type="paragraph" w:styleId="Ttulo8">
    <w:name w:val="heading 8"/>
    <w:basedOn w:val="Normal"/>
    <w:next w:val="Normal"/>
    <w:link w:val="Ttulo8Car"/>
    <w:uiPriority w:val="9"/>
    <w:semiHidden/>
    <w:unhideWhenUsed/>
    <w:qFormat/>
    <w:rsid w:val="00ED3C5C"/>
    <w:pPr>
      <w:numPr>
        <w:ilvl w:val="7"/>
        <w:numId w:val="1"/>
      </w:numPr>
      <w:spacing w:before="240" w:after="60" w:line="240" w:lineRule="auto"/>
      <w:outlineLvl w:val="7"/>
    </w:pPr>
    <w:rPr>
      <w:rFonts w:eastAsiaTheme="minorEastAsia"/>
      <w:i/>
      <w:iCs/>
      <w:sz w:val="24"/>
      <w:szCs w:val="24"/>
      <w:lang w:val="en-US"/>
    </w:rPr>
  </w:style>
  <w:style w:type="paragraph" w:styleId="Ttulo9">
    <w:name w:val="heading 9"/>
    <w:basedOn w:val="Normal"/>
    <w:next w:val="Normal"/>
    <w:link w:val="Ttulo9Car"/>
    <w:uiPriority w:val="9"/>
    <w:semiHidden/>
    <w:unhideWhenUsed/>
    <w:qFormat/>
    <w:rsid w:val="00ED3C5C"/>
    <w:pPr>
      <w:numPr>
        <w:ilvl w:val="8"/>
        <w:numId w:val="1"/>
      </w:numPr>
      <w:spacing w:before="240" w:after="60" w:line="240" w:lineRule="auto"/>
      <w:outlineLvl w:val="8"/>
    </w:pPr>
    <w:rPr>
      <w:rFonts w:asciiTheme="majorHAnsi" w:eastAsiaTheme="majorEastAsia" w:hAnsiTheme="majorHAnsi" w:cstheme="majorBidi"/>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EncabezadoCar">
    <w:name w:val="Encabezado Car"/>
    <w:basedOn w:val="Fuentedeprrafopredeter"/>
    <w:link w:val="Encabezado"/>
    <w:uiPriority w:val="99"/>
    <w:rsid w:val="006168E4"/>
    <w:rPr>
      <w:rFonts w:ascii="Times New Roman" w:eastAsia="Calibri" w:hAnsi="Times New Roman" w:cs="Times New Roman"/>
      <w:sz w:val="24"/>
      <w:szCs w:val="24"/>
      <w:lang w:val="es-ES" w:eastAsia="es-ES"/>
    </w:rPr>
  </w:style>
  <w:style w:type="paragraph" w:styleId="Piedepgina">
    <w:name w:val="footer"/>
    <w:basedOn w:val="Normal"/>
    <w:link w:val="PiedepginaCar"/>
    <w:uiPriority w:val="99"/>
    <w:unhideWhenUsed/>
    <w:rsid w:val="006168E4"/>
    <w:pPr>
      <w:tabs>
        <w:tab w:val="center" w:pos="4419"/>
        <w:tab w:val="right" w:pos="8838"/>
      </w:tabs>
      <w:spacing w:after="0" w:line="240" w:lineRule="auto"/>
    </w:pPr>
    <w:rPr>
      <w:rFonts w:ascii="Times New Roman" w:eastAsia="Calibri" w:hAnsi="Times New Roman" w:cs="Times New Roman"/>
      <w:sz w:val="24"/>
      <w:szCs w:val="24"/>
      <w:lang w:val="es-ES" w:eastAsia="es-ES"/>
    </w:rPr>
  </w:style>
  <w:style w:type="character" w:customStyle="1" w:styleId="PiedepginaCar">
    <w:name w:val="Pie de página Car"/>
    <w:basedOn w:val="Fuentedeprrafopredeter"/>
    <w:link w:val="Piedepgina"/>
    <w:uiPriority w:val="99"/>
    <w:rsid w:val="006168E4"/>
    <w:rPr>
      <w:rFonts w:ascii="Times New Roman" w:eastAsia="Calibri" w:hAnsi="Times New Roman" w:cs="Times New Roman"/>
      <w:sz w:val="24"/>
      <w:szCs w:val="24"/>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168E4"/>
    <w:pPr>
      <w:spacing w:after="0" w:line="240" w:lineRule="auto"/>
      <w:ind w:left="708"/>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6168E4"/>
    <w:rPr>
      <w:rFonts w:ascii="Times New Roman" w:eastAsia="Times New Roman" w:hAnsi="Times New Roman" w:cs="Times New Roman"/>
      <w:sz w:val="24"/>
      <w:szCs w:val="24"/>
      <w:lang w:val="es-ES" w:eastAsia="es-ES"/>
    </w:rPr>
  </w:style>
  <w:style w:type="character" w:customStyle="1" w:styleId="apple-converted-space">
    <w:name w:val="apple-converted-space"/>
    <w:basedOn w:val="Fuentedeprrafopredeter"/>
    <w:rsid w:val="006168E4"/>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qFormat/>
    <w:rsid w:val="006168E4"/>
    <w:rPr>
      <w:vertAlign w:val="superscript"/>
    </w:rPr>
  </w:style>
  <w:style w:type="character" w:styleId="Hipervnculo">
    <w:name w:val="Hyperlink"/>
    <w:aliases w:val="Hipervínculo1,Hipervínculo11,Hipervínculo12,Hipervínculo13,Hipervínculo14,Hipervínculo15"/>
    <w:basedOn w:val="Fuentedeprrafopredeter"/>
    <w:uiPriority w:val="99"/>
    <w:unhideWhenUsed/>
    <w:rsid w:val="006168E4"/>
    <w:rPr>
      <w:color w:val="0563C1" w:themeColor="hyperlink"/>
      <w:u w:val="single"/>
    </w:rPr>
  </w:style>
  <w:style w:type="paragraph" w:styleId="Sinespaciado">
    <w:name w:val="No Spacing"/>
    <w:aliases w:val="Francesa,INAI"/>
    <w:link w:val="SinespaciadoCar"/>
    <w:uiPriority w:val="1"/>
    <w:qFormat/>
    <w:rsid w:val="006168E4"/>
    <w:pPr>
      <w:spacing w:after="0" w:line="240" w:lineRule="auto"/>
    </w:pPr>
    <w:rPr>
      <w:rFonts w:ascii="Times New Roman" w:eastAsia="Times New Roman" w:hAnsi="Times New Roman" w:cs="Times New Roman"/>
      <w:sz w:val="24"/>
      <w:szCs w:val="24"/>
      <w:lang w:eastAsia="es-ES"/>
    </w:rPr>
  </w:style>
  <w:style w:type="character" w:styleId="Textoennegrita">
    <w:name w:val="Strong"/>
    <w:uiPriority w:val="22"/>
    <w:qFormat/>
    <w:rsid w:val="006168E4"/>
    <w:rPr>
      <w:b/>
      <w:bCs/>
    </w:rPr>
  </w:style>
  <w:style w:type="character" w:customStyle="1" w:styleId="SinespaciadoCar">
    <w:name w:val="Sin espaciado Car"/>
    <w:aliases w:val="Francesa Car,INAI Car"/>
    <w:link w:val="Sinespaciado"/>
    <w:uiPriority w:val="1"/>
    <w:locked/>
    <w:rsid w:val="006168E4"/>
    <w:rPr>
      <w:rFonts w:ascii="Times New Roman" w:eastAsia="Times New Roman" w:hAnsi="Times New Roman" w:cs="Times New Roman"/>
      <w:sz w:val="24"/>
      <w:szCs w:val="24"/>
      <w:lang w:eastAsia="es-ES"/>
    </w:rPr>
  </w:style>
  <w:style w:type="paragraph" w:styleId="Textonotapie">
    <w:name w:val="footnote text"/>
    <w:basedOn w:val="Normal"/>
    <w:link w:val="TextonotapieCar"/>
    <w:uiPriority w:val="99"/>
    <w:unhideWhenUsed/>
    <w:rsid w:val="008C55A3"/>
    <w:pPr>
      <w:spacing w:after="0" w:line="240" w:lineRule="auto"/>
    </w:pPr>
    <w:rPr>
      <w:sz w:val="20"/>
      <w:szCs w:val="20"/>
    </w:rPr>
  </w:style>
  <w:style w:type="character" w:customStyle="1" w:styleId="TextonotapieCar">
    <w:name w:val="Texto nota pie Car"/>
    <w:basedOn w:val="Fuentedeprrafopredeter"/>
    <w:link w:val="Textonotapie"/>
    <w:uiPriority w:val="99"/>
    <w:rsid w:val="008C55A3"/>
    <w:rPr>
      <w:sz w:val="20"/>
      <w:szCs w:val="20"/>
    </w:rPr>
  </w:style>
  <w:style w:type="paragraph" w:customStyle="1" w:styleId="Default">
    <w:name w:val="Default"/>
    <w:rsid w:val="00BA7AD1"/>
    <w:pPr>
      <w:autoSpaceDE w:val="0"/>
      <w:autoSpaceDN w:val="0"/>
      <w:adjustRightInd w:val="0"/>
      <w:spacing w:after="0" w:line="240" w:lineRule="auto"/>
    </w:pPr>
    <w:rPr>
      <w:rFonts w:ascii="Arial" w:hAnsi="Arial" w:cs="Arial"/>
      <w:color w:val="000000"/>
      <w:sz w:val="24"/>
      <w:szCs w:val="24"/>
    </w:rPr>
  </w:style>
  <w:style w:type="table" w:styleId="Tabladecuadrcula1clara">
    <w:name w:val="Grid Table 1 Light"/>
    <w:basedOn w:val="Tablanormal"/>
    <w:uiPriority w:val="46"/>
    <w:rsid w:val="00870F44"/>
    <w:pPr>
      <w:spacing w:after="0" w:line="240" w:lineRule="auto"/>
    </w:p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Textodeglobo">
    <w:name w:val="Balloon Text"/>
    <w:basedOn w:val="Normal"/>
    <w:link w:val="TextodegloboCar"/>
    <w:uiPriority w:val="99"/>
    <w:semiHidden/>
    <w:unhideWhenUsed/>
    <w:rsid w:val="000662F8"/>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0662F8"/>
    <w:rPr>
      <w:rFonts w:ascii="Segoe UI" w:hAnsi="Segoe UI" w:cs="Segoe UI"/>
      <w:sz w:val="18"/>
      <w:szCs w:val="18"/>
    </w:rPr>
  </w:style>
  <w:style w:type="character" w:styleId="Refdecomentario">
    <w:name w:val="annotation reference"/>
    <w:basedOn w:val="Fuentedeprrafopredeter"/>
    <w:uiPriority w:val="99"/>
    <w:semiHidden/>
    <w:unhideWhenUsed/>
    <w:rsid w:val="00C5122B"/>
    <w:rPr>
      <w:sz w:val="16"/>
      <w:szCs w:val="16"/>
    </w:rPr>
  </w:style>
  <w:style w:type="paragraph" w:styleId="Textocomentario">
    <w:name w:val="annotation text"/>
    <w:basedOn w:val="Normal"/>
    <w:link w:val="TextocomentarioCar"/>
    <w:uiPriority w:val="99"/>
    <w:semiHidden/>
    <w:unhideWhenUsed/>
    <w:rsid w:val="00C5122B"/>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C5122B"/>
    <w:rPr>
      <w:sz w:val="20"/>
      <w:szCs w:val="20"/>
    </w:rPr>
  </w:style>
  <w:style w:type="paragraph" w:styleId="Asuntodelcomentario">
    <w:name w:val="annotation subject"/>
    <w:basedOn w:val="Textocomentario"/>
    <w:next w:val="Textocomentario"/>
    <w:link w:val="AsuntodelcomentarioCar"/>
    <w:uiPriority w:val="99"/>
    <w:semiHidden/>
    <w:unhideWhenUsed/>
    <w:rsid w:val="00C5122B"/>
    <w:rPr>
      <w:b/>
      <w:bCs/>
    </w:rPr>
  </w:style>
  <w:style w:type="character" w:customStyle="1" w:styleId="AsuntodelcomentarioCar">
    <w:name w:val="Asunto del comentario Car"/>
    <w:basedOn w:val="TextocomentarioCar"/>
    <w:link w:val="Asuntodelcomentario"/>
    <w:uiPriority w:val="99"/>
    <w:semiHidden/>
    <w:rsid w:val="00C5122B"/>
    <w:rPr>
      <w:b/>
      <w:bCs/>
      <w:sz w:val="20"/>
      <w:szCs w:val="20"/>
    </w:rPr>
  </w:style>
  <w:style w:type="table" w:styleId="Tablaconcuadrcula">
    <w:name w:val="Table Grid"/>
    <w:basedOn w:val="Tablanormal"/>
    <w:uiPriority w:val="39"/>
    <w:rsid w:val="009B5F5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vnculovisitado">
    <w:name w:val="FollowedHyperlink"/>
    <w:basedOn w:val="Fuentedeprrafopredeter"/>
    <w:uiPriority w:val="99"/>
    <w:semiHidden/>
    <w:unhideWhenUsed/>
    <w:rsid w:val="00FB5A22"/>
    <w:rPr>
      <w:color w:val="954F72" w:themeColor="followedHyperlink"/>
      <w:u w:val="single"/>
    </w:rPr>
  </w:style>
  <w:style w:type="character" w:customStyle="1" w:styleId="apple-style-span">
    <w:name w:val="apple-style-span"/>
    <w:rsid w:val="00811D16"/>
  </w:style>
  <w:style w:type="character" w:customStyle="1" w:styleId="Mencinsinresolver1">
    <w:name w:val="Mención sin resolver1"/>
    <w:basedOn w:val="Fuentedeprrafopredeter"/>
    <w:uiPriority w:val="99"/>
    <w:semiHidden/>
    <w:unhideWhenUsed/>
    <w:rsid w:val="00F123EC"/>
    <w:rPr>
      <w:color w:val="605E5C"/>
      <w:shd w:val="clear" w:color="auto" w:fill="E1DFDD"/>
    </w:rPr>
  </w:style>
  <w:style w:type="character" w:customStyle="1" w:styleId="highlight">
    <w:name w:val="highlight"/>
    <w:basedOn w:val="Fuentedeprrafopredeter"/>
    <w:rsid w:val="00A4131E"/>
  </w:style>
  <w:style w:type="paragraph" w:customStyle="1" w:styleId="infoemcitas">
    <w:name w:val="infoem citas"/>
    <w:basedOn w:val="Normal"/>
    <w:qFormat/>
    <w:rsid w:val="006D5803"/>
    <w:pPr>
      <w:spacing w:before="240" w:line="360" w:lineRule="auto"/>
      <w:ind w:left="851" w:right="851"/>
      <w:jc w:val="both"/>
    </w:pPr>
    <w:rPr>
      <w:rFonts w:ascii="Palatino Linotype" w:hAnsi="Palatino Linotype"/>
      <w:i/>
    </w:rPr>
  </w:style>
  <w:style w:type="paragraph" w:customStyle="1" w:styleId="INFOEM">
    <w:name w:val="INFOEM"/>
    <w:basedOn w:val="Normal"/>
    <w:qFormat/>
    <w:rsid w:val="00F92D2B"/>
    <w:pPr>
      <w:spacing w:before="240" w:line="360" w:lineRule="auto"/>
      <w:ind w:left="851" w:right="851"/>
      <w:jc w:val="both"/>
    </w:pPr>
    <w:rPr>
      <w:rFonts w:ascii="Palatino Linotype" w:hAnsi="Palatino Linotype"/>
      <w:i/>
      <w:szCs w:val="14"/>
    </w:rPr>
  </w:style>
  <w:style w:type="paragraph" w:customStyle="1" w:styleId="Citas">
    <w:name w:val="Citas"/>
    <w:basedOn w:val="Normal"/>
    <w:qFormat/>
    <w:rsid w:val="00EC4F33"/>
    <w:pPr>
      <w:spacing w:before="240" w:line="360" w:lineRule="auto"/>
      <w:ind w:left="851" w:right="851"/>
      <w:jc w:val="both"/>
    </w:pPr>
    <w:rPr>
      <w:rFonts w:ascii="Palatino Linotype" w:hAnsi="Palatino Linotype" w:cs="Arial"/>
      <w:i/>
    </w:rPr>
  </w:style>
  <w:style w:type="character" w:customStyle="1" w:styleId="Mencinsinresolver2">
    <w:name w:val="Mención sin resolver2"/>
    <w:basedOn w:val="Fuentedeprrafopredeter"/>
    <w:uiPriority w:val="99"/>
    <w:semiHidden/>
    <w:unhideWhenUsed/>
    <w:rsid w:val="00F578E5"/>
    <w:rPr>
      <w:color w:val="605E5C"/>
      <w:shd w:val="clear" w:color="auto" w:fill="E1DFDD"/>
    </w:rPr>
  </w:style>
  <w:style w:type="paragraph" w:styleId="Textoindependiente">
    <w:name w:val="Body Text"/>
    <w:basedOn w:val="Normal"/>
    <w:link w:val="TextoindependienteCar"/>
    <w:uiPriority w:val="1"/>
    <w:qFormat/>
    <w:rsid w:val="00073E92"/>
    <w:pPr>
      <w:widowControl w:val="0"/>
      <w:autoSpaceDE w:val="0"/>
      <w:autoSpaceDN w:val="0"/>
      <w:spacing w:after="0" w:line="240" w:lineRule="auto"/>
    </w:pPr>
    <w:rPr>
      <w:rFonts w:ascii="Arial" w:eastAsia="Arial" w:hAnsi="Arial" w:cs="Arial"/>
      <w:sz w:val="24"/>
      <w:szCs w:val="24"/>
      <w:lang w:val="es-ES" w:eastAsia="es-ES" w:bidi="es-ES"/>
    </w:rPr>
  </w:style>
  <w:style w:type="character" w:customStyle="1" w:styleId="TextoindependienteCar">
    <w:name w:val="Texto independiente Car"/>
    <w:basedOn w:val="Fuentedeprrafopredeter"/>
    <w:link w:val="Textoindependiente"/>
    <w:uiPriority w:val="1"/>
    <w:rsid w:val="00073E92"/>
    <w:rPr>
      <w:rFonts w:ascii="Arial" w:eastAsia="Arial" w:hAnsi="Arial" w:cs="Arial"/>
      <w:sz w:val="24"/>
      <w:szCs w:val="24"/>
      <w:lang w:val="es-ES" w:eastAsia="es-ES" w:bidi="es-ES"/>
    </w:rPr>
  </w:style>
  <w:style w:type="character" w:customStyle="1" w:styleId="Ttulo1Car">
    <w:name w:val="Título 1 Car"/>
    <w:basedOn w:val="Fuentedeprrafopredeter"/>
    <w:link w:val="Ttulo1"/>
    <w:uiPriority w:val="9"/>
    <w:rsid w:val="00ED3C5C"/>
    <w:rPr>
      <w:rFonts w:asciiTheme="majorHAnsi" w:eastAsiaTheme="majorEastAsia" w:hAnsiTheme="majorHAnsi" w:cstheme="majorBidi"/>
      <w:b/>
      <w:bCs/>
      <w:kern w:val="32"/>
      <w:sz w:val="32"/>
      <w:szCs w:val="32"/>
      <w:lang w:val="en-US"/>
    </w:rPr>
  </w:style>
  <w:style w:type="character" w:customStyle="1" w:styleId="Ttulo2Car">
    <w:name w:val="Título 2 Car"/>
    <w:basedOn w:val="Fuentedeprrafopredeter"/>
    <w:link w:val="Ttulo2"/>
    <w:uiPriority w:val="9"/>
    <w:semiHidden/>
    <w:rsid w:val="00ED3C5C"/>
    <w:rPr>
      <w:rFonts w:asciiTheme="majorHAnsi" w:eastAsiaTheme="majorEastAsia" w:hAnsiTheme="majorHAnsi" w:cstheme="majorBidi"/>
      <w:b/>
      <w:bCs/>
      <w:i/>
      <w:iCs/>
      <w:sz w:val="28"/>
      <w:szCs w:val="28"/>
      <w:lang w:val="en-US"/>
    </w:rPr>
  </w:style>
  <w:style w:type="character" w:customStyle="1" w:styleId="Ttulo3Car">
    <w:name w:val="Título 3 Car"/>
    <w:basedOn w:val="Fuentedeprrafopredeter"/>
    <w:link w:val="Ttulo3"/>
    <w:uiPriority w:val="9"/>
    <w:semiHidden/>
    <w:rsid w:val="00ED3C5C"/>
    <w:rPr>
      <w:rFonts w:asciiTheme="majorHAnsi" w:eastAsiaTheme="majorEastAsia" w:hAnsiTheme="majorHAnsi" w:cstheme="majorBidi"/>
      <w:b/>
      <w:bCs/>
      <w:sz w:val="26"/>
      <w:szCs w:val="26"/>
      <w:lang w:val="en-US"/>
    </w:rPr>
  </w:style>
  <w:style w:type="character" w:customStyle="1" w:styleId="Ttulo4Car">
    <w:name w:val="Título 4 Car"/>
    <w:basedOn w:val="Fuentedeprrafopredeter"/>
    <w:link w:val="Ttulo4"/>
    <w:uiPriority w:val="9"/>
    <w:semiHidden/>
    <w:rsid w:val="00ED3C5C"/>
    <w:rPr>
      <w:rFonts w:eastAsiaTheme="minorEastAsia"/>
      <w:b/>
      <w:bCs/>
      <w:sz w:val="28"/>
      <w:szCs w:val="28"/>
      <w:lang w:val="en-US"/>
    </w:rPr>
  </w:style>
  <w:style w:type="character" w:customStyle="1" w:styleId="Ttulo5Car">
    <w:name w:val="Título 5 Car"/>
    <w:basedOn w:val="Fuentedeprrafopredeter"/>
    <w:link w:val="Ttulo5"/>
    <w:uiPriority w:val="9"/>
    <w:semiHidden/>
    <w:rsid w:val="00ED3C5C"/>
    <w:rPr>
      <w:rFonts w:eastAsiaTheme="minorEastAsia"/>
      <w:b/>
      <w:bCs/>
      <w:i/>
      <w:iCs/>
      <w:sz w:val="26"/>
      <w:szCs w:val="26"/>
      <w:lang w:val="en-US"/>
    </w:rPr>
  </w:style>
  <w:style w:type="character" w:customStyle="1" w:styleId="Ttulo6Car">
    <w:name w:val="Título 6 Car"/>
    <w:basedOn w:val="Fuentedeprrafopredeter"/>
    <w:link w:val="Ttulo6"/>
    <w:rsid w:val="00ED3C5C"/>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ED3C5C"/>
    <w:rPr>
      <w:rFonts w:eastAsiaTheme="minorEastAsia"/>
      <w:sz w:val="24"/>
      <w:szCs w:val="24"/>
      <w:lang w:val="en-US"/>
    </w:rPr>
  </w:style>
  <w:style w:type="character" w:customStyle="1" w:styleId="Ttulo8Car">
    <w:name w:val="Título 8 Car"/>
    <w:basedOn w:val="Fuentedeprrafopredeter"/>
    <w:link w:val="Ttulo8"/>
    <w:uiPriority w:val="9"/>
    <w:semiHidden/>
    <w:rsid w:val="00ED3C5C"/>
    <w:rPr>
      <w:rFonts w:eastAsiaTheme="minorEastAsia"/>
      <w:i/>
      <w:iCs/>
      <w:sz w:val="24"/>
      <w:szCs w:val="24"/>
      <w:lang w:val="en-US"/>
    </w:rPr>
  </w:style>
  <w:style w:type="character" w:customStyle="1" w:styleId="Ttulo9Car">
    <w:name w:val="Título 9 Car"/>
    <w:basedOn w:val="Fuentedeprrafopredeter"/>
    <w:link w:val="Ttulo9"/>
    <w:uiPriority w:val="9"/>
    <w:semiHidden/>
    <w:rsid w:val="00ED3C5C"/>
    <w:rPr>
      <w:rFonts w:asciiTheme="majorHAnsi" w:eastAsiaTheme="majorEastAsia" w:hAnsiTheme="majorHAnsi" w:cstheme="majorBidi"/>
      <w:lang w:val="en-US"/>
    </w:rPr>
  </w:style>
  <w:style w:type="character" w:customStyle="1" w:styleId="Mencinsinresolver3">
    <w:name w:val="Mención sin resolver3"/>
    <w:basedOn w:val="Fuentedeprrafopredeter"/>
    <w:uiPriority w:val="99"/>
    <w:semiHidden/>
    <w:unhideWhenUsed/>
    <w:rsid w:val="001D3159"/>
    <w:rPr>
      <w:color w:val="605E5C"/>
      <w:shd w:val="clear" w:color="auto" w:fill="E1DFDD"/>
    </w:rPr>
  </w:style>
  <w:style w:type="character" w:customStyle="1" w:styleId="markedcontent">
    <w:name w:val="markedcontent"/>
    <w:basedOn w:val="Fuentedeprrafopredeter"/>
    <w:rsid w:val="00963D83"/>
  </w:style>
  <w:style w:type="character" w:styleId="nfasis">
    <w:name w:val="Emphasis"/>
    <w:basedOn w:val="Fuentedeprrafopredeter"/>
    <w:uiPriority w:val="20"/>
    <w:qFormat/>
    <w:rsid w:val="00F1080A"/>
    <w:rPr>
      <w:i/>
      <w:iCs/>
    </w:rPr>
  </w:style>
  <w:style w:type="character" w:customStyle="1" w:styleId="UnresolvedMention1">
    <w:name w:val="Unresolved Mention1"/>
    <w:basedOn w:val="Fuentedeprrafopredeter"/>
    <w:uiPriority w:val="99"/>
    <w:semiHidden/>
    <w:unhideWhenUsed/>
    <w:rsid w:val="0030198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1429836">
      <w:bodyDiv w:val="1"/>
      <w:marLeft w:val="0"/>
      <w:marRight w:val="0"/>
      <w:marTop w:val="0"/>
      <w:marBottom w:val="0"/>
      <w:divBdr>
        <w:top w:val="none" w:sz="0" w:space="0" w:color="auto"/>
        <w:left w:val="none" w:sz="0" w:space="0" w:color="auto"/>
        <w:bottom w:val="none" w:sz="0" w:space="0" w:color="auto"/>
        <w:right w:val="none" w:sz="0" w:space="0" w:color="auto"/>
      </w:divBdr>
    </w:div>
    <w:div w:id="159539902">
      <w:bodyDiv w:val="1"/>
      <w:marLeft w:val="0"/>
      <w:marRight w:val="0"/>
      <w:marTop w:val="0"/>
      <w:marBottom w:val="0"/>
      <w:divBdr>
        <w:top w:val="none" w:sz="0" w:space="0" w:color="auto"/>
        <w:left w:val="none" w:sz="0" w:space="0" w:color="auto"/>
        <w:bottom w:val="none" w:sz="0" w:space="0" w:color="auto"/>
        <w:right w:val="none" w:sz="0" w:space="0" w:color="auto"/>
      </w:divBdr>
    </w:div>
    <w:div w:id="179663290">
      <w:bodyDiv w:val="1"/>
      <w:marLeft w:val="0"/>
      <w:marRight w:val="0"/>
      <w:marTop w:val="0"/>
      <w:marBottom w:val="0"/>
      <w:divBdr>
        <w:top w:val="none" w:sz="0" w:space="0" w:color="auto"/>
        <w:left w:val="none" w:sz="0" w:space="0" w:color="auto"/>
        <w:bottom w:val="none" w:sz="0" w:space="0" w:color="auto"/>
        <w:right w:val="none" w:sz="0" w:space="0" w:color="auto"/>
      </w:divBdr>
    </w:div>
    <w:div w:id="209584679">
      <w:bodyDiv w:val="1"/>
      <w:marLeft w:val="0"/>
      <w:marRight w:val="0"/>
      <w:marTop w:val="0"/>
      <w:marBottom w:val="0"/>
      <w:divBdr>
        <w:top w:val="none" w:sz="0" w:space="0" w:color="auto"/>
        <w:left w:val="none" w:sz="0" w:space="0" w:color="auto"/>
        <w:bottom w:val="none" w:sz="0" w:space="0" w:color="auto"/>
        <w:right w:val="none" w:sz="0" w:space="0" w:color="auto"/>
      </w:divBdr>
    </w:div>
    <w:div w:id="336809907">
      <w:bodyDiv w:val="1"/>
      <w:marLeft w:val="0"/>
      <w:marRight w:val="0"/>
      <w:marTop w:val="0"/>
      <w:marBottom w:val="0"/>
      <w:divBdr>
        <w:top w:val="none" w:sz="0" w:space="0" w:color="auto"/>
        <w:left w:val="none" w:sz="0" w:space="0" w:color="auto"/>
        <w:bottom w:val="none" w:sz="0" w:space="0" w:color="auto"/>
        <w:right w:val="none" w:sz="0" w:space="0" w:color="auto"/>
      </w:divBdr>
    </w:div>
    <w:div w:id="374235010">
      <w:bodyDiv w:val="1"/>
      <w:marLeft w:val="0"/>
      <w:marRight w:val="0"/>
      <w:marTop w:val="0"/>
      <w:marBottom w:val="0"/>
      <w:divBdr>
        <w:top w:val="none" w:sz="0" w:space="0" w:color="auto"/>
        <w:left w:val="none" w:sz="0" w:space="0" w:color="auto"/>
        <w:bottom w:val="none" w:sz="0" w:space="0" w:color="auto"/>
        <w:right w:val="none" w:sz="0" w:space="0" w:color="auto"/>
      </w:divBdr>
    </w:div>
    <w:div w:id="375473416">
      <w:bodyDiv w:val="1"/>
      <w:marLeft w:val="0"/>
      <w:marRight w:val="0"/>
      <w:marTop w:val="0"/>
      <w:marBottom w:val="0"/>
      <w:divBdr>
        <w:top w:val="none" w:sz="0" w:space="0" w:color="auto"/>
        <w:left w:val="none" w:sz="0" w:space="0" w:color="auto"/>
        <w:bottom w:val="none" w:sz="0" w:space="0" w:color="auto"/>
        <w:right w:val="none" w:sz="0" w:space="0" w:color="auto"/>
      </w:divBdr>
    </w:div>
    <w:div w:id="434255915">
      <w:bodyDiv w:val="1"/>
      <w:marLeft w:val="0"/>
      <w:marRight w:val="0"/>
      <w:marTop w:val="0"/>
      <w:marBottom w:val="0"/>
      <w:divBdr>
        <w:top w:val="none" w:sz="0" w:space="0" w:color="auto"/>
        <w:left w:val="none" w:sz="0" w:space="0" w:color="auto"/>
        <w:bottom w:val="none" w:sz="0" w:space="0" w:color="auto"/>
        <w:right w:val="none" w:sz="0" w:space="0" w:color="auto"/>
      </w:divBdr>
    </w:div>
    <w:div w:id="484666848">
      <w:bodyDiv w:val="1"/>
      <w:marLeft w:val="0"/>
      <w:marRight w:val="0"/>
      <w:marTop w:val="0"/>
      <w:marBottom w:val="0"/>
      <w:divBdr>
        <w:top w:val="none" w:sz="0" w:space="0" w:color="auto"/>
        <w:left w:val="none" w:sz="0" w:space="0" w:color="auto"/>
        <w:bottom w:val="none" w:sz="0" w:space="0" w:color="auto"/>
        <w:right w:val="none" w:sz="0" w:space="0" w:color="auto"/>
      </w:divBdr>
    </w:div>
    <w:div w:id="490296897">
      <w:bodyDiv w:val="1"/>
      <w:marLeft w:val="0"/>
      <w:marRight w:val="0"/>
      <w:marTop w:val="0"/>
      <w:marBottom w:val="0"/>
      <w:divBdr>
        <w:top w:val="none" w:sz="0" w:space="0" w:color="auto"/>
        <w:left w:val="none" w:sz="0" w:space="0" w:color="auto"/>
        <w:bottom w:val="none" w:sz="0" w:space="0" w:color="auto"/>
        <w:right w:val="none" w:sz="0" w:space="0" w:color="auto"/>
      </w:divBdr>
    </w:div>
    <w:div w:id="634024954">
      <w:bodyDiv w:val="1"/>
      <w:marLeft w:val="0"/>
      <w:marRight w:val="0"/>
      <w:marTop w:val="0"/>
      <w:marBottom w:val="0"/>
      <w:divBdr>
        <w:top w:val="none" w:sz="0" w:space="0" w:color="auto"/>
        <w:left w:val="none" w:sz="0" w:space="0" w:color="auto"/>
        <w:bottom w:val="none" w:sz="0" w:space="0" w:color="auto"/>
        <w:right w:val="none" w:sz="0" w:space="0" w:color="auto"/>
      </w:divBdr>
    </w:div>
    <w:div w:id="653460785">
      <w:bodyDiv w:val="1"/>
      <w:marLeft w:val="0"/>
      <w:marRight w:val="0"/>
      <w:marTop w:val="0"/>
      <w:marBottom w:val="0"/>
      <w:divBdr>
        <w:top w:val="none" w:sz="0" w:space="0" w:color="auto"/>
        <w:left w:val="none" w:sz="0" w:space="0" w:color="auto"/>
        <w:bottom w:val="none" w:sz="0" w:space="0" w:color="auto"/>
        <w:right w:val="none" w:sz="0" w:space="0" w:color="auto"/>
      </w:divBdr>
    </w:div>
    <w:div w:id="670986242">
      <w:bodyDiv w:val="1"/>
      <w:marLeft w:val="0"/>
      <w:marRight w:val="0"/>
      <w:marTop w:val="0"/>
      <w:marBottom w:val="0"/>
      <w:divBdr>
        <w:top w:val="none" w:sz="0" w:space="0" w:color="auto"/>
        <w:left w:val="none" w:sz="0" w:space="0" w:color="auto"/>
        <w:bottom w:val="none" w:sz="0" w:space="0" w:color="auto"/>
        <w:right w:val="none" w:sz="0" w:space="0" w:color="auto"/>
      </w:divBdr>
    </w:div>
    <w:div w:id="728041959">
      <w:bodyDiv w:val="1"/>
      <w:marLeft w:val="0"/>
      <w:marRight w:val="0"/>
      <w:marTop w:val="0"/>
      <w:marBottom w:val="0"/>
      <w:divBdr>
        <w:top w:val="none" w:sz="0" w:space="0" w:color="auto"/>
        <w:left w:val="none" w:sz="0" w:space="0" w:color="auto"/>
        <w:bottom w:val="none" w:sz="0" w:space="0" w:color="auto"/>
        <w:right w:val="none" w:sz="0" w:space="0" w:color="auto"/>
      </w:divBdr>
    </w:div>
    <w:div w:id="730229333">
      <w:bodyDiv w:val="1"/>
      <w:marLeft w:val="0"/>
      <w:marRight w:val="0"/>
      <w:marTop w:val="0"/>
      <w:marBottom w:val="0"/>
      <w:divBdr>
        <w:top w:val="none" w:sz="0" w:space="0" w:color="auto"/>
        <w:left w:val="none" w:sz="0" w:space="0" w:color="auto"/>
        <w:bottom w:val="none" w:sz="0" w:space="0" w:color="auto"/>
        <w:right w:val="none" w:sz="0" w:space="0" w:color="auto"/>
      </w:divBdr>
    </w:div>
    <w:div w:id="733742647">
      <w:bodyDiv w:val="1"/>
      <w:marLeft w:val="0"/>
      <w:marRight w:val="0"/>
      <w:marTop w:val="0"/>
      <w:marBottom w:val="0"/>
      <w:divBdr>
        <w:top w:val="none" w:sz="0" w:space="0" w:color="auto"/>
        <w:left w:val="none" w:sz="0" w:space="0" w:color="auto"/>
        <w:bottom w:val="none" w:sz="0" w:space="0" w:color="auto"/>
        <w:right w:val="none" w:sz="0" w:space="0" w:color="auto"/>
      </w:divBdr>
    </w:div>
    <w:div w:id="783614496">
      <w:bodyDiv w:val="1"/>
      <w:marLeft w:val="0"/>
      <w:marRight w:val="0"/>
      <w:marTop w:val="0"/>
      <w:marBottom w:val="0"/>
      <w:divBdr>
        <w:top w:val="none" w:sz="0" w:space="0" w:color="auto"/>
        <w:left w:val="none" w:sz="0" w:space="0" w:color="auto"/>
        <w:bottom w:val="none" w:sz="0" w:space="0" w:color="auto"/>
        <w:right w:val="none" w:sz="0" w:space="0" w:color="auto"/>
      </w:divBdr>
    </w:div>
    <w:div w:id="804542210">
      <w:bodyDiv w:val="1"/>
      <w:marLeft w:val="0"/>
      <w:marRight w:val="0"/>
      <w:marTop w:val="0"/>
      <w:marBottom w:val="0"/>
      <w:divBdr>
        <w:top w:val="none" w:sz="0" w:space="0" w:color="auto"/>
        <w:left w:val="none" w:sz="0" w:space="0" w:color="auto"/>
        <w:bottom w:val="none" w:sz="0" w:space="0" w:color="auto"/>
        <w:right w:val="none" w:sz="0" w:space="0" w:color="auto"/>
      </w:divBdr>
    </w:div>
    <w:div w:id="807625324">
      <w:bodyDiv w:val="1"/>
      <w:marLeft w:val="0"/>
      <w:marRight w:val="0"/>
      <w:marTop w:val="0"/>
      <w:marBottom w:val="0"/>
      <w:divBdr>
        <w:top w:val="none" w:sz="0" w:space="0" w:color="auto"/>
        <w:left w:val="none" w:sz="0" w:space="0" w:color="auto"/>
        <w:bottom w:val="none" w:sz="0" w:space="0" w:color="auto"/>
        <w:right w:val="none" w:sz="0" w:space="0" w:color="auto"/>
      </w:divBdr>
    </w:div>
    <w:div w:id="809516213">
      <w:bodyDiv w:val="1"/>
      <w:marLeft w:val="0"/>
      <w:marRight w:val="0"/>
      <w:marTop w:val="0"/>
      <w:marBottom w:val="0"/>
      <w:divBdr>
        <w:top w:val="none" w:sz="0" w:space="0" w:color="auto"/>
        <w:left w:val="none" w:sz="0" w:space="0" w:color="auto"/>
        <w:bottom w:val="none" w:sz="0" w:space="0" w:color="auto"/>
        <w:right w:val="none" w:sz="0" w:space="0" w:color="auto"/>
      </w:divBdr>
    </w:div>
    <w:div w:id="857044212">
      <w:bodyDiv w:val="1"/>
      <w:marLeft w:val="0"/>
      <w:marRight w:val="0"/>
      <w:marTop w:val="0"/>
      <w:marBottom w:val="0"/>
      <w:divBdr>
        <w:top w:val="none" w:sz="0" w:space="0" w:color="auto"/>
        <w:left w:val="none" w:sz="0" w:space="0" w:color="auto"/>
        <w:bottom w:val="none" w:sz="0" w:space="0" w:color="auto"/>
        <w:right w:val="none" w:sz="0" w:space="0" w:color="auto"/>
      </w:divBdr>
    </w:div>
    <w:div w:id="892816050">
      <w:bodyDiv w:val="1"/>
      <w:marLeft w:val="0"/>
      <w:marRight w:val="0"/>
      <w:marTop w:val="0"/>
      <w:marBottom w:val="0"/>
      <w:divBdr>
        <w:top w:val="none" w:sz="0" w:space="0" w:color="auto"/>
        <w:left w:val="none" w:sz="0" w:space="0" w:color="auto"/>
        <w:bottom w:val="none" w:sz="0" w:space="0" w:color="auto"/>
        <w:right w:val="none" w:sz="0" w:space="0" w:color="auto"/>
      </w:divBdr>
    </w:div>
    <w:div w:id="905720805">
      <w:bodyDiv w:val="1"/>
      <w:marLeft w:val="0"/>
      <w:marRight w:val="0"/>
      <w:marTop w:val="0"/>
      <w:marBottom w:val="0"/>
      <w:divBdr>
        <w:top w:val="none" w:sz="0" w:space="0" w:color="auto"/>
        <w:left w:val="none" w:sz="0" w:space="0" w:color="auto"/>
        <w:bottom w:val="none" w:sz="0" w:space="0" w:color="auto"/>
        <w:right w:val="none" w:sz="0" w:space="0" w:color="auto"/>
      </w:divBdr>
    </w:div>
    <w:div w:id="932979146">
      <w:bodyDiv w:val="1"/>
      <w:marLeft w:val="0"/>
      <w:marRight w:val="0"/>
      <w:marTop w:val="0"/>
      <w:marBottom w:val="0"/>
      <w:divBdr>
        <w:top w:val="none" w:sz="0" w:space="0" w:color="auto"/>
        <w:left w:val="none" w:sz="0" w:space="0" w:color="auto"/>
        <w:bottom w:val="none" w:sz="0" w:space="0" w:color="auto"/>
        <w:right w:val="none" w:sz="0" w:space="0" w:color="auto"/>
      </w:divBdr>
    </w:div>
    <w:div w:id="966080722">
      <w:bodyDiv w:val="1"/>
      <w:marLeft w:val="0"/>
      <w:marRight w:val="0"/>
      <w:marTop w:val="0"/>
      <w:marBottom w:val="0"/>
      <w:divBdr>
        <w:top w:val="none" w:sz="0" w:space="0" w:color="auto"/>
        <w:left w:val="none" w:sz="0" w:space="0" w:color="auto"/>
        <w:bottom w:val="none" w:sz="0" w:space="0" w:color="auto"/>
        <w:right w:val="none" w:sz="0" w:space="0" w:color="auto"/>
      </w:divBdr>
    </w:div>
    <w:div w:id="1030569572">
      <w:bodyDiv w:val="1"/>
      <w:marLeft w:val="0"/>
      <w:marRight w:val="0"/>
      <w:marTop w:val="0"/>
      <w:marBottom w:val="0"/>
      <w:divBdr>
        <w:top w:val="none" w:sz="0" w:space="0" w:color="auto"/>
        <w:left w:val="none" w:sz="0" w:space="0" w:color="auto"/>
        <w:bottom w:val="none" w:sz="0" w:space="0" w:color="auto"/>
        <w:right w:val="none" w:sz="0" w:space="0" w:color="auto"/>
      </w:divBdr>
    </w:div>
    <w:div w:id="1055665540">
      <w:bodyDiv w:val="1"/>
      <w:marLeft w:val="0"/>
      <w:marRight w:val="0"/>
      <w:marTop w:val="0"/>
      <w:marBottom w:val="0"/>
      <w:divBdr>
        <w:top w:val="none" w:sz="0" w:space="0" w:color="auto"/>
        <w:left w:val="none" w:sz="0" w:space="0" w:color="auto"/>
        <w:bottom w:val="none" w:sz="0" w:space="0" w:color="auto"/>
        <w:right w:val="none" w:sz="0" w:space="0" w:color="auto"/>
      </w:divBdr>
    </w:div>
    <w:div w:id="1112242907">
      <w:bodyDiv w:val="1"/>
      <w:marLeft w:val="0"/>
      <w:marRight w:val="0"/>
      <w:marTop w:val="0"/>
      <w:marBottom w:val="0"/>
      <w:divBdr>
        <w:top w:val="none" w:sz="0" w:space="0" w:color="auto"/>
        <w:left w:val="none" w:sz="0" w:space="0" w:color="auto"/>
        <w:bottom w:val="none" w:sz="0" w:space="0" w:color="auto"/>
        <w:right w:val="none" w:sz="0" w:space="0" w:color="auto"/>
      </w:divBdr>
    </w:div>
    <w:div w:id="1131554451">
      <w:bodyDiv w:val="1"/>
      <w:marLeft w:val="0"/>
      <w:marRight w:val="0"/>
      <w:marTop w:val="0"/>
      <w:marBottom w:val="0"/>
      <w:divBdr>
        <w:top w:val="none" w:sz="0" w:space="0" w:color="auto"/>
        <w:left w:val="none" w:sz="0" w:space="0" w:color="auto"/>
        <w:bottom w:val="none" w:sz="0" w:space="0" w:color="auto"/>
        <w:right w:val="none" w:sz="0" w:space="0" w:color="auto"/>
      </w:divBdr>
    </w:div>
    <w:div w:id="1212809784">
      <w:bodyDiv w:val="1"/>
      <w:marLeft w:val="0"/>
      <w:marRight w:val="0"/>
      <w:marTop w:val="0"/>
      <w:marBottom w:val="0"/>
      <w:divBdr>
        <w:top w:val="none" w:sz="0" w:space="0" w:color="auto"/>
        <w:left w:val="none" w:sz="0" w:space="0" w:color="auto"/>
        <w:bottom w:val="none" w:sz="0" w:space="0" w:color="auto"/>
        <w:right w:val="none" w:sz="0" w:space="0" w:color="auto"/>
      </w:divBdr>
    </w:div>
    <w:div w:id="1213077593">
      <w:bodyDiv w:val="1"/>
      <w:marLeft w:val="0"/>
      <w:marRight w:val="0"/>
      <w:marTop w:val="0"/>
      <w:marBottom w:val="0"/>
      <w:divBdr>
        <w:top w:val="none" w:sz="0" w:space="0" w:color="auto"/>
        <w:left w:val="none" w:sz="0" w:space="0" w:color="auto"/>
        <w:bottom w:val="none" w:sz="0" w:space="0" w:color="auto"/>
        <w:right w:val="none" w:sz="0" w:space="0" w:color="auto"/>
      </w:divBdr>
    </w:div>
    <w:div w:id="1219786591">
      <w:bodyDiv w:val="1"/>
      <w:marLeft w:val="0"/>
      <w:marRight w:val="0"/>
      <w:marTop w:val="0"/>
      <w:marBottom w:val="0"/>
      <w:divBdr>
        <w:top w:val="none" w:sz="0" w:space="0" w:color="auto"/>
        <w:left w:val="none" w:sz="0" w:space="0" w:color="auto"/>
        <w:bottom w:val="none" w:sz="0" w:space="0" w:color="auto"/>
        <w:right w:val="none" w:sz="0" w:space="0" w:color="auto"/>
      </w:divBdr>
    </w:div>
    <w:div w:id="1245067843">
      <w:bodyDiv w:val="1"/>
      <w:marLeft w:val="0"/>
      <w:marRight w:val="0"/>
      <w:marTop w:val="0"/>
      <w:marBottom w:val="0"/>
      <w:divBdr>
        <w:top w:val="none" w:sz="0" w:space="0" w:color="auto"/>
        <w:left w:val="none" w:sz="0" w:space="0" w:color="auto"/>
        <w:bottom w:val="none" w:sz="0" w:space="0" w:color="auto"/>
        <w:right w:val="none" w:sz="0" w:space="0" w:color="auto"/>
      </w:divBdr>
    </w:div>
    <w:div w:id="1251347996">
      <w:bodyDiv w:val="1"/>
      <w:marLeft w:val="0"/>
      <w:marRight w:val="0"/>
      <w:marTop w:val="0"/>
      <w:marBottom w:val="0"/>
      <w:divBdr>
        <w:top w:val="none" w:sz="0" w:space="0" w:color="auto"/>
        <w:left w:val="none" w:sz="0" w:space="0" w:color="auto"/>
        <w:bottom w:val="none" w:sz="0" w:space="0" w:color="auto"/>
        <w:right w:val="none" w:sz="0" w:space="0" w:color="auto"/>
      </w:divBdr>
    </w:div>
    <w:div w:id="1333533887">
      <w:bodyDiv w:val="1"/>
      <w:marLeft w:val="0"/>
      <w:marRight w:val="0"/>
      <w:marTop w:val="0"/>
      <w:marBottom w:val="0"/>
      <w:divBdr>
        <w:top w:val="none" w:sz="0" w:space="0" w:color="auto"/>
        <w:left w:val="none" w:sz="0" w:space="0" w:color="auto"/>
        <w:bottom w:val="none" w:sz="0" w:space="0" w:color="auto"/>
        <w:right w:val="none" w:sz="0" w:space="0" w:color="auto"/>
      </w:divBdr>
    </w:div>
    <w:div w:id="1335113774">
      <w:bodyDiv w:val="1"/>
      <w:marLeft w:val="0"/>
      <w:marRight w:val="0"/>
      <w:marTop w:val="0"/>
      <w:marBottom w:val="0"/>
      <w:divBdr>
        <w:top w:val="none" w:sz="0" w:space="0" w:color="auto"/>
        <w:left w:val="none" w:sz="0" w:space="0" w:color="auto"/>
        <w:bottom w:val="none" w:sz="0" w:space="0" w:color="auto"/>
        <w:right w:val="none" w:sz="0" w:space="0" w:color="auto"/>
      </w:divBdr>
    </w:div>
    <w:div w:id="1423839750">
      <w:bodyDiv w:val="1"/>
      <w:marLeft w:val="0"/>
      <w:marRight w:val="0"/>
      <w:marTop w:val="0"/>
      <w:marBottom w:val="0"/>
      <w:divBdr>
        <w:top w:val="none" w:sz="0" w:space="0" w:color="auto"/>
        <w:left w:val="none" w:sz="0" w:space="0" w:color="auto"/>
        <w:bottom w:val="none" w:sz="0" w:space="0" w:color="auto"/>
        <w:right w:val="none" w:sz="0" w:space="0" w:color="auto"/>
      </w:divBdr>
    </w:div>
    <w:div w:id="1504511205">
      <w:bodyDiv w:val="1"/>
      <w:marLeft w:val="0"/>
      <w:marRight w:val="0"/>
      <w:marTop w:val="0"/>
      <w:marBottom w:val="0"/>
      <w:divBdr>
        <w:top w:val="none" w:sz="0" w:space="0" w:color="auto"/>
        <w:left w:val="none" w:sz="0" w:space="0" w:color="auto"/>
        <w:bottom w:val="none" w:sz="0" w:space="0" w:color="auto"/>
        <w:right w:val="none" w:sz="0" w:space="0" w:color="auto"/>
      </w:divBdr>
    </w:div>
    <w:div w:id="1583561149">
      <w:bodyDiv w:val="1"/>
      <w:marLeft w:val="0"/>
      <w:marRight w:val="0"/>
      <w:marTop w:val="0"/>
      <w:marBottom w:val="0"/>
      <w:divBdr>
        <w:top w:val="none" w:sz="0" w:space="0" w:color="auto"/>
        <w:left w:val="none" w:sz="0" w:space="0" w:color="auto"/>
        <w:bottom w:val="none" w:sz="0" w:space="0" w:color="auto"/>
        <w:right w:val="none" w:sz="0" w:space="0" w:color="auto"/>
      </w:divBdr>
    </w:div>
    <w:div w:id="1599944847">
      <w:bodyDiv w:val="1"/>
      <w:marLeft w:val="0"/>
      <w:marRight w:val="0"/>
      <w:marTop w:val="0"/>
      <w:marBottom w:val="0"/>
      <w:divBdr>
        <w:top w:val="none" w:sz="0" w:space="0" w:color="auto"/>
        <w:left w:val="none" w:sz="0" w:space="0" w:color="auto"/>
        <w:bottom w:val="none" w:sz="0" w:space="0" w:color="auto"/>
        <w:right w:val="none" w:sz="0" w:space="0" w:color="auto"/>
      </w:divBdr>
    </w:div>
    <w:div w:id="1626812807">
      <w:bodyDiv w:val="1"/>
      <w:marLeft w:val="0"/>
      <w:marRight w:val="0"/>
      <w:marTop w:val="0"/>
      <w:marBottom w:val="0"/>
      <w:divBdr>
        <w:top w:val="none" w:sz="0" w:space="0" w:color="auto"/>
        <w:left w:val="none" w:sz="0" w:space="0" w:color="auto"/>
        <w:bottom w:val="none" w:sz="0" w:space="0" w:color="auto"/>
        <w:right w:val="none" w:sz="0" w:space="0" w:color="auto"/>
      </w:divBdr>
    </w:div>
    <w:div w:id="1627930448">
      <w:bodyDiv w:val="1"/>
      <w:marLeft w:val="0"/>
      <w:marRight w:val="0"/>
      <w:marTop w:val="0"/>
      <w:marBottom w:val="0"/>
      <w:divBdr>
        <w:top w:val="none" w:sz="0" w:space="0" w:color="auto"/>
        <w:left w:val="none" w:sz="0" w:space="0" w:color="auto"/>
        <w:bottom w:val="none" w:sz="0" w:space="0" w:color="auto"/>
        <w:right w:val="none" w:sz="0" w:space="0" w:color="auto"/>
      </w:divBdr>
    </w:div>
    <w:div w:id="1639187770">
      <w:bodyDiv w:val="1"/>
      <w:marLeft w:val="0"/>
      <w:marRight w:val="0"/>
      <w:marTop w:val="0"/>
      <w:marBottom w:val="0"/>
      <w:divBdr>
        <w:top w:val="none" w:sz="0" w:space="0" w:color="auto"/>
        <w:left w:val="none" w:sz="0" w:space="0" w:color="auto"/>
        <w:bottom w:val="none" w:sz="0" w:space="0" w:color="auto"/>
        <w:right w:val="none" w:sz="0" w:space="0" w:color="auto"/>
      </w:divBdr>
    </w:div>
    <w:div w:id="1727609460">
      <w:bodyDiv w:val="1"/>
      <w:marLeft w:val="0"/>
      <w:marRight w:val="0"/>
      <w:marTop w:val="0"/>
      <w:marBottom w:val="0"/>
      <w:divBdr>
        <w:top w:val="none" w:sz="0" w:space="0" w:color="auto"/>
        <w:left w:val="none" w:sz="0" w:space="0" w:color="auto"/>
        <w:bottom w:val="none" w:sz="0" w:space="0" w:color="auto"/>
        <w:right w:val="none" w:sz="0" w:space="0" w:color="auto"/>
      </w:divBdr>
    </w:div>
    <w:div w:id="1769035463">
      <w:bodyDiv w:val="1"/>
      <w:marLeft w:val="0"/>
      <w:marRight w:val="0"/>
      <w:marTop w:val="0"/>
      <w:marBottom w:val="0"/>
      <w:divBdr>
        <w:top w:val="none" w:sz="0" w:space="0" w:color="auto"/>
        <w:left w:val="none" w:sz="0" w:space="0" w:color="auto"/>
        <w:bottom w:val="none" w:sz="0" w:space="0" w:color="auto"/>
        <w:right w:val="none" w:sz="0" w:space="0" w:color="auto"/>
      </w:divBdr>
    </w:div>
    <w:div w:id="1813787293">
      <w:bodyDiv w:val="1"/>
      <w:marLeft w:val="0"/>
      <w:marRight w:val="0"/>
      <w:marTop w:val="0"/>
      <w:marBottom w:val="0"/>
      <w:divBdr>
        <w:top w:val="none" w:sz="0" w:space="0" w:color="auto"/>
        <w:left w:val="none" w:sz="0" w:space="0" w:color="auto"/>
        <w:bottom w:val="none" w:sz="0" w:space="0" w:color="auto"/>
        <w:right w:val="none" w:sz="0" w:space="0" w:color="auto"/>
      </w:divBdr>
    </w:div>
    <w:div w:id="1864250495">
      <w:bodyDiv w:val="1"/>
      <w:marLeft w:val="0"/>
      <w:marRight w:val="0"/>
      <w:marTop w:val="0"/>
      <w:marBottom w:val="0"/>
      <w:divBdr>
        <w:top w:val="none" w:sz="0" w:space="0" w:color="auto"/>
        <w:left w:val="none" w:sz="0" w:space="0" w:color="auto"/>
        <w:bottom w:val="none" w:sz="0" w:space="0" w:color="auto"/>
        <w:right w:val="none" w:sz="0" w:space="0" w:color="auto"/>
      </w:divBdr>
    </w:div>
    <w:div w:id="1882786856">
      <w:bodyDiv w:val="1"/>
      <w:marLeft w:val="0"/>
      <w:marRight w:val="0"/>
      <w:marTop w:val="0"/>
      <w:marBottom w:val="0"/>
      <w:divBdr>
        <w:top w:val="none" w:sz="0" w:space="0" w:color="auto"/>
        <w:left w:val="none" w:sz="0" w:space="0" w:color="auto"/>
        <w:bottom w:val="none" w:sz="0" w:space="0" w:color="auto"/>
        <w:right w:val="none" w:sz="0" w:space="0" w:color="auto"/>
      </w:divBdr>
    </w:div>
    <w:div w:id="1886520376">
      <w:bodyDiv w:val="1"/>
      <w:marLeft w:val="0"/>
      <w:marRight w:val="0"/>
      <w:marTop w:val="0"/>
      <w:marBottom w:val="0"/>
      <w:divBdr>
        <w:top w:val="none" w:sz="0" w:space="0" w:color="auto"/>
        <w:left w:val="none" w:sz="0" w:space="0" w:color="auto"/>
        <w:bottom w:val="none" w:sz="0" w:space="0" w:color="auto"/>
        <w:right w:val="none" w:sz="0" w:space="0" w:color="auto"/>
      </w:divBdr>
    </w:div>
    <w:div w:id="1889997061">
      <w:bodyDiv w:val="1"/>
      <w:marLeft w:val="0"/>
      <w:marRight w:val="0"/>
      <w:marTop w:val="0"/>
      <w:marBottom w:val="0"/>
      <w:divBdr>
        <w:top w:val="none" w:sz="0" w:space="0" w:color="auto"/>
        <w:left w:val="none" w:sz="0" w:space="0" w:color="auto"/>
        <w:bottom w:val="none" w:sz="0" w:space="0" w:color="auto"/>
        <w:right w:val="none" w:sz="0" w:space="0" w:color="auto"/>
      </w:divBdr>
    </w:div>
    <w:div w:id="1906256901">
      <w:bodyDiv w:val="1"/>
      <w:marLeft w:val="0"/>
      <w:marRight w:val="0"/>
      <w:marTop w:val="0"/>
      <w:marBottom w:val="0"/>
      <w:divBdr>
        <w:top w:val="none" w:sz="0" w:space="0" w:color="auto"/>
        <w:left w:val="none" w:sz="0" w:space="0" w:color="auto"/>
        <w:bottom w:val="none" w:sz="0" w:space="0" w:color="auto"/>
        <w:right w:val="none" w:sz="0" w:space="0" w:color="auto"/>
      </w:divBdr>
    </w:div>
    <w:div w:id="1935504748">
      <w:bodyDiv w:val="1"/>
      <w:marLeft w:val="0"/>
      <w:marRight w:val="0"/>
      <w:marTop w:val="0"/>
      <w:marBottom w:val="0"/>
      <w:divBdr>
        <w:top w:val="none" w:sz="0" w:space="0" w:color="auto"/>
        <w:left w:val="none" w:sz="0" w:space="0" w:color="auto"/>
        <w:bottom w:val="none" w:sz="0" w:space="0" w:color="auto"/>
        <w:right w:val="none" w:sz="0" w:space="0" w:color="auto"/>
      </w:divBdr>
    </w:div>
    <w:div w:id="1957321820">
      <w:bodyDiv w:val="1"/>
      <w:marLeft w:val="0"/>
      <w:marRight w:val="0"/>
      <w:marTop w:val="0"/>
      <w:marBottom w:val="0"/>
      <w:divBdr>
        <w:top w:val="none" w:sz="0" w:space="0" w:color="auto"/>
        <w:left w:val="none" w:sz="0" w:space="0" w:color="auto"/>
        <w:bottom w:val="none" w:sz="0" w:space="0" w:color="auto"/>
        <w:right w:val="none" w:sz="0" w:space="0" w:color="auto"/>
      </w:divBdr>
    </w:div>
    <w:div w:id="2038970081">
      <w:bodyDiv w:val="1"/>
      <w:marLeft w:val="0"/>
      <w:marRight w:val="0"/>
      <w:marTop w:val="0"/>
      <w:marBottom w:val="0"/>
      <w:divBdr>
        <w:top w:val="none" w:sz="0" w:space="0" w:color="auto"/>
        <w:left w:val="none" w:sz="0" w:space="0" w:color="auto"/>
        <w:bottom w:val="none" w:sz="0" w:space="0" w:color="auto"/>
        <w:right w:val="none" w:sz="0" w:space="0" w:color="auto"/>
      </w:divBdr>
    </w:div>
    <w:div w:id="2041936191">
      <w:bodyDiv w:val="1"/>
      <w:marLeft w:val="0"/>
      <w:marRight w:val="0"/>
      <w:marTop w:val="0"/>
      <w:marBottom w:val="0"/>
      <w:divBdr>
        <w:top w:val="none" w:sz="0" w:space="0" w:color="auto"/>
        <w:left w:val="none" w:sz="0" w:space="0" w:color="auto"/>
        <w:bottom w:val="none" w:sz="0" w:space="0" w:color="auto"/>
        <w:right w:val="none" w:sz="0" w:space="0" w:color="auto"/>
      </w:divBdr>
    </w:div>
    <w:div w:id="2053535162">
      <w:bodyDiv w:val="1"/>
      <w:marLeft w:val="0"/>
      <w:marRight w:val="0"/>
      <w:marTop w:val="0"/>
      <w:marBottom w:val="0"/>
      <w:divBdr>
        <w:top w:val="none" w:sz="0" w:space="0" w:color="auto"/>
        <w:left w:val="none" w:sz="0" w:space="0" w:color="auto"/>
        <w:bottom w:val="none" w:sz="0" w:space="0" w:color="auto"/>
        <w:right w:val="none" w:sz="0" w:space="0" w:color="auto"/>
      </w:divBdr>
    </w:div>
    <w:div w:id="2057851788">
      <w:bodyDiv w:val="1"/>
      <w:marLeft w:val="0"/>
      <w:marRight w:val="0"/>
      <w:marTop w:val="0"/>
      <w:marBottom w:val="0"/>
      <w:divBdr>
        <w:top w:val="none" w:sz="0" w:space="0" w:color="auto"/>
        <w:left w:val="none" w:sz="0" w:space="0" w:color="auto"/>
        <w:bottom w:val="none" w:sz="0" w:space="0" w:color="auto"/>
        <w:right w:val="none" w:sz="0" w:space="0" w:color="auto"/>
      </w:divBdr>
    </w:div>
    <w:div w:id="20902304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hyperlink" Target="http://consultas.ifai.org.mx/descargar.php?r=./pdf/resoluciones/2019/&amp;a=RRA%2014270.pdf" TargetMode="Externa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consultas.ifai.org.mx/descargar.php?r=./pdf/resoluciones/2018/&amp;a=RRA%205097.pdf"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consultas.ifai.org.mx/descargar.php?r=./pdf/resoluciones/2018/&amp;a=RRA%204548.pdf" TargetMode="External"/><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s>
</file>

<file path=word/_rels/footnotes.xml.rels><?xml version="1.0" encoding="UTF-8" standalone="yes"?>
<Relationships xmlns="http://schemas.openxmlformats.org/package/2006/relationships"><Relationship Id="rId2" Type="http://schemas.openxmlformats.org/officeDocument/2006/relationships/hyperlink" Target="javascript:AbrirModal(2)" TargetMode="External"/><Relationship Id="rId1" Type="http://schemas.openxmlformats.org/officeDocument/2006/relationships/hyperlink" Target="javascript:AbrirModal(1)"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_rels/header2.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8E1DFD6-3C39-499E-A158-10512F4DE7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286</TotalTime>
  <Pages>43</Pages>
  <Words>8004</Words>
  <Characters>44023</Characters>
  <Application>Microsoft Office Word</Application>
  <DocSecurity>0</DocSecurity>
  <Lines>366</Lines>
  <Paragraphs>103</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51924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INFOEM557</cp:lastModifiedBy>
  <cp:revision>22</cp:revision>
  <cp:lastPrinted>2024-02-01T18:57:00Z</cp:lastPrinted>
  <dcterms:created xsi:type="dcterms:W3CDTF">2024-01-23T16:56:00Z</dcterms:created>
  <dcterms:modified xsi:type="dcterms:W3CDTF">2024-02-08T14:54:00Z</dcterms:modified>
</cp:coreProperties>
</file>