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834E1" w14:textId="77777777" w:rsidR="00814D12" w:rsidRPr="00F96966" w:rsidRDefault="00814D12" w:rsidP="00814D12">
      <w:pPr>
        <w:spacing w:line="360" w:lineRule="auto"/>
        <w:jc w:val="both"/>
        <w:rPr>
          <w:rFonts w:ascii="Palatino Linotype" w:eastAsiaTheme="minorEastAsia" w:hAnsi="Palatino Linotype"/>
          <w:lang w:val="es-ES_tradnl" w:eastAsia="es-ES"/>
        </w:rPr>
      </w:pPr>
      <w:r w:rsidRPr="00F96966">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67743D" w:rsidRPr="00F96966">
        <w:rPr>
          <w:rFonts w:ascii="Palatino Linotype" w:eastAsiaTheme="minorEastAsia" w:hAnsi="Palatino Linotype"/>
          <w:lang w:val="es-ES_tradnl" w:eastAsia="es-ES"/>
        </w:rPr>
        <w:t xml:space="preserve"> de México; de</w:t>
      </w:r>
      <w:r w:rsidR="00335872">
        <w:rPr>
          <w:rFonts w:ascii="Palatino Linotype" w:eastAsiaTheme="minorEastAsia" w:hAnsi="Palatino Linotype"/>
          <w:lang w:val="es-ES_tradnl" w:eastAsia="es-ES"/>
        </w:rPr>
        <w:t xml:space="preserve"> fecha</w:t>
      </w:r>
      <w:r w:rsidR="0067743D" w:rsidRPr="00F96966">
        <w:rPr>
          <w:rFonts w:ascii="Palatino Linotype" w:eastAsiaTheme="minorEastAsia" w:hAnsi="Palatino Linotype"/>
          <w:lang w:val="es-ES_tradnl" w:eastAsia="es-ES"/>
        </w:rPr>
        <w:t xml:space="preserve"> veintiuno (21</w:t>
      </w:r>
      <w:r w:rsidRPr="00F96966">
        <w:rPr>
          <w:rFonts w:ascii="Palatino Linotype" w:eastAsiaTheme="minorEastAsia" w:hAnsi="Palatino Linotype"/>
          <w:lang w:val="es-ES_tradnl" w:eastAsia="es-ES"/>
        </w:rPr>
        <w:t xml:space="preserve">) de agosto de dos mil veinticuatro. </w:t>
      </w:r>
    </w:p>
    <w:p w14:paraId="006834E2" w14:textId="77777777" w:rsidR="00814D12" w:rsidRPr="00F96966" w:rsidRDefault="00814D12" w:rsidP="00814D12">
      <w:pPr>
        <w:spacing w:line="360" w:lineRule="auto"/>
        <w:jc w:val="both"/>
        <w:rPr>
          <w:rFonts w:ascii="Palatino Linotype" w:eastAsiaTheme="minorEastAsia" w:hAnsi="Palatino Linotype"/>
          <w:lang w:val="es-ES_tradnl" w:eastAsia="es-ES"/>
        </w:rPr>
      </w:pPr>
    </w:p>
    <w:p w14:paraId="006834E3" w14:textId="77777777" w:rsidR="00814D12" w:rsidRPr="00F96966" w:rsidRDefault="00814D12" w:rsidP="00814D12">
      <w:pPr>
        <w:spacing w:line="360" w:lineRule="auto"/>
        <w:jc w:val="both"/>
        <w:rPr>
          <w:rFonts w:ascii="Palatino Linotype" w:hAnsi="Palatino Linotype"/>
        </w:rPr>
      </w:pPr>
      <w:r w:rsidRPr="00F96966">
        <w:rPr>
          <w:rFonts w:ascii="Palatino Linotype" w:hAnsi="Palatino Linotype"/>
          <w:b/>
        </w:rPr>
        <w:t>VISTO</w:t>
      </w:r>
      <w:r w:rsidRPr="00F96966">
        <w:rPr>
          <w:rFonts w:ascii="Palatino Linotype" w:hAnsi="Palatino Linotype"/>
        </w:rPr>
        <w:t xml:space="preserve"> el expediente electrónico formado con motivo del recurso de revisión </w:t>
      </w:r>
      <w:r w:rsidRPr="00F96966">
        <w:rPr>
          <w:rFonts w:ascii="Palatino Linotype" w:hAnsi="Palatino Linotype"/>
          <w:b/>
        </w:rPr>
        <w:t>07773/INFOEM/IP/RR/2023,</w:t>
      </w:r>
      <w:r w:rsidRPr="00F96966">
        <w:rPr>
          <w:rFonts w:ascii="Palatino Linotype" w:hAnsi="Palatino Linotype" w:cs="Arial"/>
          <w:b/>
          <w:bCs/>
        </w:rPr>
        <w:t xml:space="preserve"> </w:t>
      </w:r>
      <w:r w:rsidRPr="00F96966">
        <w:rPr>
          <w:rFonts w:ascii="Palatino Linotype" w:eastAsiaTheme="minorEastAsia" w:hAnsi="Palatino Linotype"/>
          <w:lang w:val="es-ES_tradnl" w:eastAsia="es-ES"/>
        </w:rPr>
        <w:t xml:space="preserve">promovido </w:t>
      </w:r>
      <w:r w:rsidRPr="00F96966">
        <w:rPr>
          <w:rFonts w:ascii="Palatino Linotype" w:eastAsiaTheme="minorEastAsia" w:hAnsi="Palatino Linotype"/>
          <w:b/>
          <w:bCs/>
          <w:lang w:eastAsia="es-ES"/>
        </w:rPr>
        <w:t>por un usuario del Sistema de Acceso a la Información Mexiquense (SAIMEX)</w:t>
      </w:r>
      <w:r w:rsidRPr="00F96966">
        <w:rPr>
          <w:rFonts w:ascii="Palatino Linotype" w:eastAsiaTheme="minorEastAsia" w:hAnsi="Palatino Linotype"/>
          <w:b/>
          <w:lang w:val="es-ES_tradnl" w:eastAsia="es-ES"/>
        </w:rPr>
        <w:t>,</w:t>
      </w:r>
      <w:r w:rsidRPr="00F96966">
        <w:rPr>
          <w:rFonts w:ascii="Palatino Linotype" w:hAnsi="Palatino Linotype"/>
        </w:rPr>
        <w:t xml:space="preserve"> quien </w:t>
      </w:r>
      <w:r w:rsidR="00335872">
        <w:rPr>
          <w:rFonts w:ascii="Palatino Linotype" w:hAnsi="Palatino Linotype"/>
        </w:rPr>
        <w:t xml:space="preserve">no registró nombre alguno y que </w:t>
      </w:r>
      <w:r w:rsidRPr="00F96966">
        <w:rPr>
          <w:rFonts w:ascii="Palatino Linotype" w:hAnsi="Palatino Linotype"/>
        </w:rPr>
        <w:t xml:space="preserve">en lo sucesivo se identificará como </w:t>
      </w:r>
      <w:r w:rsidRPr="00F96966">
        <w:rPr>
          <w:rFonts w:ascii="Palatino Linotype" w:hAnsi="Palatino Linotype"/>
          <w:b/>
        </w:rPr>
        <w:t xml:space="preserve">EL </w:t>
      </w:r>
      <w:r w:rsidRPr="00F96966">
        <w:rPr>
          <w:rFonts w:ascii="Palatino Linotype" w:hAnsi="Palatino Linotype" w:cs="Arial"/>
          <w:b/>
        </w:rPr>
        <w:t>RECURRENTE</w:t>
      </w:r>
      <w:r w:rsidRPr="00F96966">
        <w:rPr>
          <w:rFonts w:ascii="Palatino Linotype" w:hAnsi="Palatino Linotype" w:cs="Arial"/>
        </w:rPr>
        <w:t xml:space="preserve">, en contra de la respuesta de la </w:t>
      </w:r>
      <w:r w:rsidRPr="00F96966">
        <w:rPr>
          <w:rFonts w:ascii="Palatino Linotype" w:hAnsi="Palatino Linotype" w:cs="Arial"/>
          <w:b/>
          <w:bCs/>
        </w:rPr>
        <w:t>Universidad Autónoma del Estado de México</w:t>
      </w:r>
      <w:r w:rsidRPr="00F96966">
        <w:rPr>
          <w:rFonts w:ascii="Palatino Linotype" w:hAnsi="Palatino Linotype" w:cs="Arial"/>
          <w:b/>
        </w:rPr>
        <w:t>,</w:t>
      </w:r>
      <w:r w:rsidRPr="00F96966">
        <w:rPr>
          <w:rFonts w:ascii="Palatino Linotype" w:hAnsi="Palatino Linotype"/>
          <w:b/>
        </w:rPr>
        <w:t xml:space="preserve"> </w:t>
      </w:r>
      <w:r w:rsidRPr="00F96966">
        <w:rPr>
          <w:rFonts w:ascii="Palatino Linotype" w:hAnsi="Palatino Linotype"/>
        </w:rPr>
        <w:t xml:space="preserve">en </w:t>
      </w:r>
      <w:r w:rsidR="00335872">
        <w:rPr>
          <w:rFonts w:ascii="Palatino Linotype" w:hAnsi="Palatino Linotype"/>
        </w:rPr>
        <w:t>adelante</w:t>
      </w:r>
      <w:r w:rsidRPr="00F96966">
        <w:rPr>
          <w:rFonts w:ascii="Palatino Linotype" w:hAnsi="Palatino Linotype"/>
        </w:rPr>
        <w:t xml:space="preserve"> el</w:t>
      </w:r>
      <w:r w:rsidRPr="00F96966">
        <w:rPr>
          <w:rFonts w:ascii="Palatino Linotype" w:hAnsi="Palatino Linotype"/>
          <w:b/>
        </w:rPr>
        <w:t xml:space="preserve"> SUJETO OBLIGADO</w:t>
      </w:r>
      <w:r w:rsidRPr="00F96966">
        <w:rPr>
          <w:rFonts w:ascii="Palatino Linotype" w:hAnsi="Palatino Linotype"/>
        </w:rPr>
        <w:t>, por lo que se procede a dictar la presente resolución, con base en los siguientes:</w:t>
      </w:r>
    </w:p>
    <w:p w14:paraId="006834E4" w14:textId="77777777" w:rsidR="00814D12" w:rsidRPr="00F96966" w:rsidRDefault="00814D12" w:rsidP="00814D12">
      <w:pPr>
        <w:spacing w:line="360" w:lineRule="auto"/>
        <w:jc w:val="both"/>
        <w:rPr>
          <w:rFonts w:ascii="Palatino Linotype" w:hAnsi="Palatino Linotype"/>
          <w:b/>
        </w:rPr>
      </w:pPr>
    </w:p>
    <w:p w14:paraId="006834E5" w14:textId="77777777" w:rsidR="00814D12" w:rsidRPr="00F96966" w:rsidRDefault="00814D12" w:rsidP="00814D12">
      <w:pPr>
        <w:keepNext/>
        <w:keepLines/>
        <w:spacing w:line="360" w:lineRule="auto"/>
        <w:jc w:val="center"/>
        <w:outlineLvl w:val="0"/>
        <w:rPr>
          <w:rFonts w:ascii="Palatino Linotype" w:eastAsiaTheme="majorEastAsia" w:hAnsi="Palatino Linotype" w:cstheme="majorBidi"/>
          <w:b/>
        </w:rPr>
      </w:pPr>
      <w:bookmarkStart w:id="0" w:name="_Toc66992241"/>
      <w:r w:rsidRPr="00F96966">
        <w:rPr>
          <w:rFonts w:ascii="Palatino Linotype" w:eastAsiaTheme="majorEastAsia" w:hAnsi="Palatino Linotype" w:cstheme="majorBidi"/>
          <w:b/>
        </w:rPr>
        <w:t>A</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N</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T</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E</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C</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E</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D</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E</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N</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T</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E</w:t>
      </w:r>
      <w:r w:rsidR="00335872">
        <w:rPr>
          <w:rFonts w:ascii="Palatino Linotype" w:eastAsiaTheme="majorEastAsia" w:hAnsi="Palatino Linotype" w:cstheme="majorBidi"/>
          <w:b/>
        </w:rPr>
        <w:t xml:space="preserve"> </w:t>
      </w:r>
      <w:r w:rsidRPr="00F96966">
        <w:rPr>
          <w:rFonts w:ascii="Palatino Linotype" w:eastAsiaTheme="majorEastAsia" w:hAnsi="Palatino Linotype" w:cstheme="majorBidi"/>
          <w:b/>
        </w:rPr>
        <w:t>S</w:t>
      </w:r>
      <w:bookmarkEnd w:id="0"/>
    </w:p>
    <w:p w14:paraId="006834E6" w14:textId="77777777" w:rsidR="00814D12" w:rsidRPr="00F96966" w:rsidRDefault="00814D12" w:rsidP="00814D12">
      <w:pPr>
        <w:spacing w:line="360" w:lineRule="auto"/>
        <w:rPr>
          <w:rFonts w:ascii="Palatino Linotype" w:eastAsiaTheme="minorEastAsia" w:hAnsi="Palatino Linotype"/>
        </w:rPr>
      </w:pPr>
    </w:p>
    <w:p w14:paraId="006834E7" w14:textId="77777777" w:rsidR="00814D12" w:rsidRPr="00F96966" w:rsidRDefault="00814D12" w:rsidP="00F14C47">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Calibri" w:hAnsi="Palatino Linotype" w:cs="Arial"/>
          <w:sz w:val="24"/>
          <w:lang w:val="es-ES" w:eastAsia="es-ES"/>
        </w:rPr>
        <w:t xml:space="preserve">El </w:t>
      </w:r>
      <w:r w:rsidR="00AA047E" w:rsidRPr="00F96966">
        <w:rPr>
          <w:rFonts w:ascii="Palatino Linotype" w:eastAsia="Calibri" w:hAnsi="Palatino Linotype" w:cs="Arial"/>
          <w:sz w:val="24"/>
          <w:lang w:val="es-ES" w:eastAsia="es-ES"/>
        </w:rPr>
        <w:t>cuatro (04) de octubre</w:t>
      </w:r>
      <w:r w:rsidRPr="00F96966">
        <w:rPr>
          <w:rFonts w:ascii="Palatino Linotype" w:eastAsia="Calibri" w:hAnsi="Palatino Linotype" w:cs="Arial"/>
          <w:sz w:val="24"/>
          <w:lang w:val="es-ES" w:eastAsia="es-ES"/>
        </w:rPr>
        <w:t xml:space="preserve">  de dos mil veintitrés,</w:t>
      </w:r>
      <w:r w:rsidRPr="00F96966">
        <w:rPr>
          <w:rFonts w:ascii="Palatino Linotype" w:eastAsia="Calibri" w:hAnsi="Palatino Linotype"/>
          <w:sz w:val="24"/>
          <w:lang w:val="es-ES" w:eastAsia="es-ES"/>
        </w:rPr>
        <w:t xml:space="preserve"> </w:t>
      </w:r>
      <w:r w:rsidRPr="00F96966">
        <w:rPr>
          <w:rFonts w:ascii="Palatino Linotype" w:eastAsia="Calibri" w:hAnsi="Palatino Linotype"/>
          <w:b/>
          <w:sz w:val="24"/>
          <w:lang w:val="es-ES" w:eastAsia="es-ES"/>
        </w:rPr>
        <w:t>EL RECURRENTE</w:t>
      </w:r>
      <w:r w:rsidRPr="00F96966">
        <w:rPr>
          <w:rFonts w:ascii="Palatino Linotype" w:eastAsiaTheme="minorEastAsia" w:hAnsi="Palatino Linotype"/>
          <w:b/>
          <w:sz w:val="24"/>
          <w:lang w:val="es-ES_tradnl" w:eastAsia="es-ES"/>
        </w:rPr>
        <w:t>,</w:t>
      </w:r>
      <w:r w:rsidRPr="00F96966">
        <w:rPr>
          <w:rFonts w:ascii="Palatino Linotype" w:eastAsia="Calibri" w:hAnsi="Palatino Linotype" w:cs="Arial"/>
          <w:sz w:val="24"/>
          <w:lang w:val="es-ES" w:eastAsia="es-ES"/>
        </w:rPr>
        <w:t xml:space="preserve"> ante el </w:t>
      </w:r>
      <w:r w:rsidRPr="00F96966">
        <w:rPr>
          <w:rFonts w:ascii="Palatino Linotype" w:eastAsia="Calibri" w:hAnsi="Palatino Linotype" w:cs="Arial"/>
          <w:b/>
          <w:sz w:val="24"/>
          <w:lang w:val="es-ES" w:eastAsia="es-ES"/>
        </w:rPr>
        <w:t>SUJETO OBLIGADO</w:t>
      </w:r>
      <w:r w:rsidRPr="00F96966">
        <w:rPr>
          <w:rFonts w:ascii="Palatino Linotype" w:eastAsia="Calibri" w:hAnsi="Palatino Linotype" w:cs="Arial"/>
          <w:sz w:val="24"/>
          <w:lang w:val="es-ES_tradnl" w:eastAsia="es-ES"/>
        </w:rPr>
        <w:t xml:space="preserve"> a través del Sistema de Acceso a la Información Mexiquense (SAIMEX)</w:t>
      </w:r>
      <w:r w:rsidRPr="00F96966">
        <w:rPr>
          <w:rFonts w:ascii="Palatino Linotype" w:eastAsia="Calibri" w:hAnsi="Palatino Linotype" w:cs="Arial"/>
          <w:sz w:val="24"/>
          <w:lang w:val="es-ES" w:eastAsia="es-ES"/>
        </w:rPr>
        <w:t xml:space="preserve">, presentó una solicitud de información registrada con el número </w:t>
      </w:r>
      <w:r w:rsidR="007901E6" w:rsidRPr="00F96966">
        <w:rPr>
          <w:rFonts w:ascii="Palatino Linotype" w:hAnsi="Palatino Linotype"/>
          <w:b/>
          <w:bCs/>
          <w:sz w:val="24"/>
        </w:rPr>
        <w:t>00481/UAEM/IP/2023</w:t>
      </w:r>
      <w:r w:rsidRPr="00F96966">
        <w:rPr>
          <w:rFonts w:ascii="Palatino Linotype" w:eastAsiaTheme="minorEastAsia" w:hAnsi="Palatino Linotype"/>
          <w:b/>
          <w:sz w:val="24"/>
          <w:lang w:val="es-ES_tradnl" w:eastAsia="es-ES"/>
        </w:rPr>
        <w:t xml:space="preserve">, </w:t>
      </w:r>
      <w:r w:rsidR="00335872">
        <w:rPr>
          <w:rFonts w:ascii="Palatino Linotype" w:eastAsia="Calibri" w:hAnsi="Palatino Linotype" w:cs="Arial"/>
          <w:sz w:val="24"/>
          <w:lang w:val="es-ES" w:eastAsia="es-ES"/>
        </w:rPr>
        <w:t>en la que se</w:t>
      </w:r>
      <w:r w:rsidRPr="00F96966">
        <w:rPr>
          <w:rFonts w:ascii="Palatino Linotype" w:eastAsia="Calibri" w:hAnsi="Palatino Linotype" w:cs="Arial"/>
          <w:sz w:val="24"/>
          <w:lang w:val="es-ES" w:eastAsia="es-ES"/>
        </w:rPr>
        <w:t xml:space="preserve"> solicitó lo siguiente:</w:t>
      </w:r>
    </w:p>
    <w:p w14:paraId="006834E8"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4E9" w14:textId="77777777" w:rsidR="00814D12" w:rsidRPr="00F96966" w:rsidRDefault="00814D12" w:rsidP="00814D12">
      <w:pPr>
        <w:pStyle w:val="Prrafodelista"/>
        <w:spacing w:line="360" w:lineRule="auto"/>
        <w:ind w:right="567"/>
        <w:jc w:val="both"/>
        <w:rPr>
          <w:rFonts w:ascii="Palatino Linotype" w:hAnsi="Palatino Linotype"/>
          <w:i/>
          <w:color w:val="000000"/>
          <w:sz w:val="24"/>
        </w:rPr>
      </w:pPr>
      <w:r w:rsidRPr="00F96966">
        <w:rPr>
          <w:rFonts w:ascii="Palatino Linotype" w:hAnsi="Palatino Linotype"/>
          <w:i/>
          <w:color w:val="000000"/>
          <w:sz w:val="24"/>
        </w:rPr>
        <w:lastRenderedPageBreak/>
        <w:t>“</w:t>
      </w:r>
      <w:r w:rsidR="007901E6" w:rsidRPr="00F96966">
        <w:rPr>
          <w:rFonts w:ascii="Palatino Linotype" w:hAnsi="Palatino Linotype"/>
          <w:i/>
          <w:color w:val="000000"/>
          <w:sz w:val="24"/>
        </w:rPr>
        <w:t>SOLICITO EL RECIBO DE NOMINA O CFDI DEL C. GABRIEL TORRES VALENZUELA DE LA SEGUNDA QUINCENA DE AGOSTO Y DE LA PRIMERA QUICENA DE SEPTIEMBRE DEL AÑO 2022 Y 2023</w:t>
      </w:r>
      <w:r w:rsidRPr="00F96966">
        <w:rPr>
          <w:rFonts w:ascii="Palatino Linotype" w:hAnsi="Palatino Linotype"/>
          <w:i/>
          <w:color w:val="000000"/>
          <w:sz w:val="24"/>
        </w:rPr>
        <w:t xml:space="preserve">” (Sic) </w:t>
      </w:r>
    </w:p>
    <w:p w14:paraId="006834EA"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4EB"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t>Se señaló como modalidad de entrega a través de SAIMEX.</w:t>
      </w:r>
    </w:p>
    <w:p w14:paraId="006834EC"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4ED" w14:textId="77777777" w:rsidR="007901E6" w:rsidRPr="00F96966" w:rsidRDefault="007901E6"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t xml:space="preserve">El cuatro (04) de octubre de dos mil veintitrés, se realizó un requerimiento al servidor público habilitado. </w:t>
      </w:r>
    </w:p>
    <w:p w14:paraId="006834EE" w14:textId="77777777" w:rsidR="007901E6" w:rsidRPr="00F96966" w:rsidRDefault="007901E6" w:rsidP="007901E6">
      <w:pPr>
        <w:pStyle w:val="Prrafodelista"/>
        <w:rPr>
          <w:rFonts w:ascii="Palatino Linotype" w:hAnsi="Palatino Linotype" w:cs="Arial"/>
          <w:sz w:val="24"/>
          <w:lang w:val="es-ES" w:eastAsia="es-ES"/>
        </w:rPr>
      </w:pPr>
    </w:p>
    <w:p w14:paraId="006834EF" w14:textId="77777777" w:rsidR="007901E6" w:rsidRPr="00F96966" w:rsidRDefault="007901E6"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t>El veinticinco (25) de octubre de dos mil veintidós, se notificó una prórroga para emitir respuesta en el siguiente sentido:</w:t>
      </w:r>
    </w:p>
    <w:tbl>
      <w:tblPr>
        <w:tblW w:w="7450" w:type="dxa"/>
        <w:jc w:val="center"/>
        <w:tblCellSpacing w:w="0" w:type="dxa"/>
        <w:tblCellMar>
          <w:left w:w="0" w:type="dxa"/>
          <w:right w:w="0" w:type="dxa"/>
        </w:tblCellMar>
        <w:tblLook w:val="04A0" w:firstRow="1" w:lastRow="0" w:firstColumn="1" w:lastColumn="0" w:noHBand="0" w:noVBand="1"/>
      </w:tblPr>
      <w:tblGrid>
        <w:gridCol w:w="7450"/>
      </w:tblGrid>
      <w:tr w:rsidR="007901E6" w:rsidRPr="00F96966" w14:paraId="006834F1" w14:textId="77777777" w:rsidTr="007901E6">
        <w:trPr>
          <w:trHeight w:val="304"/>
          <w:tblCellSpacing w:w="0" w:type="dxa"/>
          <w:jc w:val="center"/>
        </w:trPr>
        <w:tc>
          <w:tcPr>
            <w:tcW w:w="0" w:type="auto"/>
            <w:vAlign w:val="center"/>
            <w:hideMark/>
          </w:tcPr>
          <w:p w14:paraId="006834F0"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t>“Metepec, México a 25 de Octubre de 2023</w:t>
            </w:r>
          </w:p>
        </w:tc>
      </w:tr>
      <w:tr w:rsidR="007901E6" w:rsidRPr="00F96966" w14:paraId="006834F3" w14:textId="77777777" w:rsidTr="007901E6">
        <w:trPr>
          <w:trHeight w:val="304"/>
          <w:tblCellSpacing w:w="0" w:type="dxa"/>
          <w:jc w:val="center"/>
        </w:trPr>
        <w:tc>
          <w:tcPr>
            <w:tcW w:w="0" w:type="auto"/>
            <w:vAlign w:val="center"/>
            <w:hideMark/>
          </w:tcPr>
          <w:p w14:paraId="006834F2"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t>Nombre del solicitante: C. Solicitante</w:t>
            </w:r>
          </w:p>
        </w:tc>
      </w:tr>
      <w:tr w:rsidR="007901E6" w:rsidRPr="00F96966" w14:paraId="006834F5" w14:textId="77777777" w:rsidTr="007901E6">
        <w:trPr>
          <w:trHeight w:val="304"/>
          <w:tblCellSpacing w:w="0" w:type="dxa"/>
          <w:jc w:val="center"/>
        </w:trPr>
        <w:tc>
          <w:tcPr>
            <w:tcW w:w="0" w:type="auto"/>
            <w:vAlign w:val="center"/>
            <w:hideMark/>
          </w:tcPr>
          <w:p w14:paraId="006834F4"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t>Folio de la solicitud: 00481/UAEM/IP/2023</w:t>
            </w:r>
          </w:p>
        </w:tc>
      </w:tr>
      <w:tr w:rsidR="007901E6" w:rsidRPr="00F96966" w14:paraId="006834F7" w14:textId="77777777" w:rsidTr="007901E6">
        <w:trPr>
          <w:trHeight w:val="456"/>
          <w:tblCellSpacing w:w="0" w:type="dxa"/>
          <w:jc w:val="center"/>
        </w:trPr>
        <w:tc>
          <w:tcPr>
            <w:tcW w:w="0" w:type="auto"/>
            <w:vAlign w:val="center"/>
            <w:hideMark/>
          </w:tcPr>
          <w:p w14:paraId="006834F6" w14:textId="77777777" w:rsidR="007901E6" w:rsidRPr="00335872" w:rsidRDefault="007901E6" w:rsidP="007901E6">
            <w:pPr>
              <w:jc w:val="right"/>
              <w:rPr>
                <w:rFonts w:ascii="Palatino Linotype" w:hAnsi="Palatino Linotype"/>
                <w:i/>
                <w:sz w:val="22"/>
              </w:rPr>
            </w:pPr>
          </w:p>
        </w:tc>
      </w:tr>
      <w:tr w:rsidR="007901E6" w:rsidRPr="00F96966" w14:paraId="006834F9" w14:textId="77777777" w:rsidTr="007901E6">
        <w:trPr>
          <w:trHeight w:val="152"/>
          <w:tblCellSpacing w:w="0" w:type="dxa"/>
          <w:jc w:val="center"/>
        </w:trPr>
        <w:tc>
          <w:tcPr>
            <w:tcW w:w="0" w:type="auto"/>
            <w:vAlign w:val="center"/>
            <w:hideMark/>
          </w:tcPr>
          <w:p w14:paraId="006834F8" w14:textId="77777777" w:rsidR="007901E6" w:rsidRPr="00335872" w:rsidRDefault="007901E6" w:rsidP="007901E6">
            <w:pPr>
              <w:jc w:val="both"/>
              <w:rPr>
                <w:rFonts w:ascii="Palatino Linotype" w:hAnsi="Palatino Linotype"/>
                <w:i/>
                <w:sz w:val="22"/>
              </w:rPr>
            </w:pPr>
            <w:r w:rsidRPr="00335872">
              <w:rPr>
                <w:rFonts w:ascii="Palatino Linotype" w:hAnsi="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7901E6" w:rsidRPr="00F96966" w14:paraId="006834FB" w14:textId="77777777" w:rsidTr="007901E6">
        <w:trPr>
          <w:trHeight w:val="380"/>
          <w:tblCellSpacing w:w="0" w:type="dxa"/>
          <w:jc w:val="center"/>
        </w:trPr>
        <w:tc>
          <w:tcPr>
            <w:tcW w:w="0" w:type="auto"/>
            <w:vAlign w:val="center"/>
            <w:hideMark/>
          </w:tcPr>
          <w:p w14:paraId="006834FA" w14:textId="77777777" w:rsidR="007901E6" w:rsidRPr="00335872" w:rsidRDefault="007901E6" w:rsidP="007901E6">
            <w:pPr>
              <w:jc w:val="both"/>
              <w:rPr>
                <w:rFonts w:ascii="Palatino Linotype" w:hAnsi="Palatino Linotype"/>
                <w:i/>
                <w:sz w:val="22"/>
              </w:rPr>
            </w:pPr>
          </w:p>
        </w:tc>
      </w:tr>
      <w:tr w:rsidR="007901E6" w:rsidRPr="00F96966" w14:paraId="006834FD" w14:textId="77777777" w:rsidTr="007901E6">
        <w:trPr>
          <w:trHeight w:val="152"/>
          <w:tblCellSpacing w:w="0" w:type="dxa"/>
          <w:jc w:val="center"/>
        </w:trPr>
        <w:tc>
          <w:tcPr>
            <w:tcW w:w="0" w:type="auto"/>
            <w:vAlign w:val="center"/>
            <w:hideMark/>
          </w:tcPr>
          <w:p w14:paraId="006834FC" w14:textId="77777777" w:rsidR="007901E6" w:rsidRPr="00335872" w:rsidRDefault="007901E6" w:rsidP="007901E6">
            <w:pPr>
              <w:jc w:val="both"/>
              <w:rPr>
                <w:rFonts w:ascii="Palatino Linotype" w:hAnsi="Palatino Linotype"/>
                <w:i/>
                <w:sz w:val="22"/>
              </w:rPr>
            </w:pPr>
            <w:r w:rsidRPr="00335872">
              <w:rPr>
                <w:rFonts w:ascii="Palatino Linotype" w:hAnsi="Palatino Linotype"/>
                <w:i/>
                <w:sz w:val="22"/>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00481/UAEM/IP/2023, toda vez que se está realizando una búsqueda de la información solicitada con el fin de garantizar el derecho de acceso a la información del particular</w:t>
            </w:r>
          </w:p>
        </w:tc>
      </w:tr>
      <w:tr w:rsidR="007901E6" w:rsidRPr="00F96966" w14:paraId="006834FF" w14:textId="77777777" w:rsidTr="007901E6">
        <w:trPr>
          <w:trHeight w:val="380"/>
          <w:tblCellSpacing w:w="0" w:type="dxa"/>
          <w:jc w:val="center"/>
        </w:trPr>
        <w:tc>
          <w:tcPr>
            <w:tcW w:w="0" w:type="auto"/>
            <w:vAlign w:val="center"/>
            <w:hideMark/>
          </w:tcPr>
          <w:p w14:paraId="006834FE" w14:textId="77777777" w:rsidR="007901E6" w:rsidRPr="00335872" w:rsidRDefault="007901E6" w:rsidP="007901E6">
            <w:pPr>
              <w:rPr>
                <w:rFonts w:ascii="Palatino Linotype" w:hAnsi="Palatino Linotype"/>
                <w:i/>
                <w:sz w:val="22"/>
              </w:rPr>
            </w:pPr>
          </w:p>
        </w:tc>
      </w:tr>
      <w:tr w:rsidR="007901E6" w:rsidRPr="00F96966" w14:paraId="00683501" w14:textId="77777777" w:rsidTr="007901E6">
        <w:trPr>
          <w:trHeight w:val="152"/>
          <w:tblCellSpacing w:w="0" w:type="dxa"/>
          <w:jc w:val="center"/>
        </w:trPr>
        <w:tc>
          <w:tcPr>
            <w:tcW w:w="0" w:type="auto"/>
            <w:vAlign w:val="center"/>
            <w:hideMark/>
          </w:tcPr>
          <w:p w14:paraId="00683500" w14:textId="77777777" w:rsidR="007901E6" w:rsidRPr="00335872" w:rsidRDefault="007901E6" w:rsidP="007901E6">
            <w:pPr>
              <w:jc w:val="center"/>
              <w:rPr>
                <w:rFonts w:ascii="Palatino Linotype" w:hAnsi="Palatino Linotype"/>
                <w:i/>
                <w:sz w:val="22"/>
              </w:rPr>
            </w:pPr>
          </w:p>
        </w:tc>
      </w:tr>
      <w:tr w:rsidR="007901E6" w:rsidRPr="00F96966" w14:paraId="00683503" w14:textId="77777777" w:rsidTr="007901E6">
        <w:trPr>
          <w:trHeight w:val="152"/>
          <w:tblCellSpacing w:w="0" w:type="dxa"/>
          <w:jc w:val="center"/>
        </w:trPr>
        <w:tc>
          <w:tcPr>
            <w:tcW w:w="0" w:type="auto"/>
            <w:vAlign w:val="center"/>
            <w:hideMark/>
          </w:tcPr>
          <w:p w14:paraId="00683502" w14:textId="77777777" w:rsidR="007901E6" w:rsidRPr="00335872" w:rsidRDefault="007901E6" w:rsidP="007901E6">
            <w:pPr>
              <w:rPr>
                <w:rFonts w:ascii="Palatino Linotype" w:hAnsi="Palatino Linotype"/>
                <w:i/>
                <w:sz w:val="22"/>
              </w:rPr>
            </w:pPr>
            <w:r w:rsidRPr="00335872">
              <w:rPr>
                <w:rFonts w:ascii="Palatino Linotype" w:hAnsi="Palatino Linotype"/>
                <w:i/>
                <w:sz w:val="22"/>
              </w:rPr>
              <w:t>M. EN D. HUGO EDGAR CHAPARRO CAMPOS</w:t>
            </w:r>
          </w:p>
        </w:tc>
      </w:tr>
      <w:tr w:rsidR="007901E6" w:rsidRPr="00F96966" w14:paraId="00683505" w14:textId="77777777" w:rsidTr="007901E6">
        <w:trPr>
          <w:trHeight w:val="152"/>
          <w:tblCellSpacing w:w="0" w:type="dxa"/>
          <w:jc w:val="center"/>
        </w:trPr>
        <w:tc>
          <w:tcPr>
            <w:tcW w:w="0" w:type="auto"/>
            <w:vAlign w:val="center"/>
            <w:hideMark/>
          </w:tcPr>
          <w:p w14:paraId="00683504" w14:textId="77777777" w:rsidR="007901E6" w:rsidRPr="00335872" w:rsidRDefault="007901E6" w:rsidP="007901E6">
            <w:pPr>
              <w:rPr>
                <w:rFonts w:ascii="Palatino Linotype" w:hAnsi="Palatino Linotype"/>
                <w:i/>
                <w:sz w:val="22"/>
              </w:rPr>
            </w:pPr>
            <w:r w:rsidRPr="00335872">
              <w:rPr>
                <w:rFonts w:ascii="Palatino Linotype" w:hAnsi="Palatino Linotype"/>
                <w:b/>
                <w:bCs/>
                <w:i/>
                <w:sz w:val="22"/>
              </w:rPr>
              <w:t>Responsable de la Unidad de Transparencia”</w:t>
            </w:r>
          </w:p>
        </w:tc>
      </w:tr>
    </w:tbl>
    <w:p w14:paraId="00683506" w14:textId="77777777" w:rsidR="007901E6" w:rsidRPr="00F96966" w:rsidRDefault="007901E6" w:rsidP="007901E6">
      <w:pPr>
        <w:pStyle w:val="Prrafodelista"/>
        <w:spacing w:line="360" w:lineRule="auto"/>
        <w:ind w:left="0"/>
        <w:jc w:val="both"/>
        <w:rPr>
          <w:rFonts w:ascii="Palatino Linotype" w:hAnsi="Palatino Linotype" w:cs="Arial"/>
          <w:sz w:val="24"/>
          <w:lang w:val="es-ES" w:eastAsia="es-ES"/>
        </w:rPr>
      </w:pPr>
    </w:p>
    <w:p w14:paraId="00683507"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t>E</w:t>
      </w:r>
      <w:r w:rsidR="007901E6" w:rsidRPr="00F96966">
        <w:rPr>
          <w:rFonts w:ascii="Palatino Linotype" w:hAnsi="Palatino Linotype" w:cs="Arial"/>
          <w:sz w:val="24"/>
          <w:lang w:val="es-ES" w:eastAsia="es-ES"/>
        </w:rPr>
        <w:t>l seis (06) de noviembre</w:t>
      </w:r>
      <w:r w:rsidRPr="00F96966">
        <w:rPr>
          <w:rFonts w:ascii="Palatino Linotype" w:hAnsi="Palatino Linotype" w:cs="Arial"/>
          <w:sz w:val="24"/>
          <w:lang w:val="es-ES" w:eastAsia="es-ES"/>
        </w:rPr>
        <w:t xml:space="preserve"> de dos mil veintitrés, El Sujeto Obligado dio respuesta a la solicitud de información en los siguientes términos:</w:t>
      </w:r>
    </w:p>
    <w:tbl>
      <w:tblPr>
        <w:tblW w:w="7870" w:type="dxa"/>
        <w:jc w:val="center"/>
        <w:tblCellSpacing w:w="0" w:type="dxa"/>
        <w:tblCellMar>
          <w:left w:w="0" w:type="dxa"/>
          <w:right w:w="0" w:type="dxa"/>
        </w:tblCellMar>
        <w:tblLook w:val="04A0" w:firstRow="1" w:lastRow="0" w:firstColumn="1" w:lastColumn="0" w:noHBand="0" w:noVBand="1"/>
      </w:tblPr>
      <w:tblGrid>
        <w:gridCol w:w="7870"/>
      </w:tblGrid>
      <w:tr w:rsidR="007901E6" w:rsidRPr="00F96966" w14:paraId="00683509" w14:textId="77777777" w:rsidTr="007901E6">
        <w:trPr>
          <w:trHeight w:val="295"/>
          <w:tblCellSpacing w:w="0" w:type="dxa"/>
          <w:jc w:val="center"/>
        </w:trPr>
        <w:tc>
          <w:tcPr>
            <w:tcW w:w="0" w:type="auto"/>
            <w:vAlign w:val="center"/>
            <w:hideMark/>
          </w:tcPr>
          <w:p w14:paraId="00683508"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br/>
              <w:t>“Metepec, México a 06 de Noviembre de 2023</w:t>
            </w:r>
          </w:p>
        </w:tc>
      </w:tr>
      <w:tr w:rsidR="007901E6" w:rsidRPr="00F96966" w14:paraId="0068350B" w14:textId="77777777" w:rsidTr="007901E6">
        <w:trPr>
          <w:trHeight w:val="295"/>
          <w:tblCellSpacing w:w="0" w:type="dxa"/>
          <w:jc w:val="center"/>
        </w:trPr>
        <w:tc>
          <w:tcPr>
            <w:tcW w:w="0" w:type="auto"/>
            <w:vAlign w:val="center"/>
            <w:hideMark/>
          </w:tcPr>
          <w:p w14:paraId="0068350A"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t>Nombre del solicitante: C. Solicitante</w:t>
            </w:r>
          </w:p>
        </w:tc>
      </w:tr>
      <w:tr w:rsidR="007901E6" w:rsidRPr="00F96966" w14:paraId="0068350D" w14:textId="77777777" w:rsidTr="007901E6">
        <w:trPr>
          <w:trHeight w:val="295"/>
          <w:tblCellSpacing w:w="0" w:type="dxa"/>
          <w:jc w:val="center"/>
        </w:trPr>
        <w:tc>
          <w:tcPr>
            <w:tcW w:w="0" w:type="auto"/>
            <w:vAlign w:val="center"/>
            <w:hideMark/>
          </w:tcPr>
          <w:p w14:paraId="0068350C" w14:textId="77777777" w:rsidR="007901E6" w:rsidRPr="00335872" w:rsidRDefault="007901E6" w:rsidP="007901E6">
            <w:pPr>
              <w:jc w:val="right"/>
              <w:rPr>
                <w:rFonts w:ascii="Palatino Linotype" w:hAnsi="Palatino Linotype"/>
                <w:i/>
                <w:sz w:val="22"/>
              </w:rPr>
            </w:pPr>
            <w:r w:rsidRPr="00335872">
              <w:rPr>
                <w:rFonts w:ascii="Palatino Linotype" w:hAnsi="Palatino Linotype"/>
                <w:i/>
                <w:sz w:val="22"/>
              </w:rPr>
              <w:t>Folio de la solicitud: 00481/UAEM/IP/2023</w:t>
            </w:r>
          </w:p>
        </w:tc>
      </w:tr>
      <w:tr w:rsidR="007901E6" w:rsidRPr="00F96966" w14:paraId="0068350F" w14:textId="77777777" w:rsidTr="007901E6">
        <w:trPr>
          <w:trHeight w:val="443"/>
          <w:tblCellSpacing w:w="0" w:type="dxa"/>
          <w:jc w:val="center"/>
        </w:trPr>
        <w:tc>
          <w:tcPr>
            <w:tcW w:w="0" w:type="auto"/>
            <w:vAlign w:val="center"/>
            <w:hideMark/>
          </w:tcPr>
          <w:p w14:paraId="0068350E" w14:textId="77777777" w:rsidR="007901E6" w:rsidRPr="00335872" w:rsidRDefault="007901E6" w:rsidP="007901E6">
            <w:pPr>
              <w:jc w:val="right"/>
              <w:rPr>
                <w:rFonts w:ascii="Palatino Linotype" w:hAnsi="Palatino Linotype"/>
                <w:i/>
                <w:sz w:val="22"/>
              </w:rPr>
            </w:pPr>
          </w:p>
        </w:tc>
      </w:tr>
      <w:tr w:rsidR="007901E6" w:rsidRPr="00F96966" w14:paraId="00683511" w14:textId="77777777" w:rsidTr="007901E6">
        <w:trPr>
          <w:trHeight w:val="147"/>
          <w:tblCellSpacing w:w="0" w:type="dxa"/>
          <w:jc w:val="center"/>
        </w:trPr>
        <w:tc>
          <w:tcPr>
            <w:tcW w:w="0" w:type="auto"/>
            <w:vAlign w:val="center"/>
            <w:hideMark/>
          </w:tcPr>
          <w:p w14:paraId="00683510" w14:textId="77777777" w:rsidR="007901E6" w:rsidRPr="00335872" w:rsidRDefault="007901E6" w:rsidP="007901E6">
            <w:pPr>
              <w:jc w:val="both"/>
              <w:rPr>
                <w:rFonts w:ascii="Palatino Linotype" w:hAnsi="Palatino Linotype"/>
                <w:i/>
                <w:sz w:val="22"/>
              </w:rPr>
            </w:pPr>
            <w:r w:rsidRPr="00335872">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7901E6" w:rsidRPr="00F96966" w14:paraId="00683513" w14:textId="77777777" w:rsidTr="007901E6">
        <w:trPr>
          <w:trHeight w:val="369"/>
          <w:tblCellSpacing w:w="0" w:type="dxa"/>
          <w:jc w:val="center"/>
        </w:trPr>
        <w:tc>
          <w:tcPr>
            <w:tcW w:w="0" w:type="auto"/>
            <w:vAlign w:val="center"/>
            <w:hideMark/>
          </w:tcPr>
          <w:p w14:paraId="00683512" w14:textId="77777777" w:rsidR="007901E6" w:rsidRPr="00335872" w:rsidRDefault="007901E6" w:rsidP="007901E6">
            <w:pPr>
              <w:jc w:val="both"/>
              <w:rPr>
                <w:rFonts w:ascii="Palatino Linotype" w:hAnsi="Palatino Linotype"/>
                <w:i/>
                <w:sz w:val="22"/>
              </w:rPr>
            </w:pPr>
          </w:p>
        </w:tc>
      </w:tr>
      <w:tr w:rsidR="007901E6" w:rsidRPr="00F96966" w14:paraId="00683515" w14:textId="77777777" w:rsidTr="007901E6">
        <w:trPr>
          <w:trHeight w:val="147"/>
          <w:tblCellSpacing w:w="0" w:type="dxa"/>
          <w:jc w:val="center"/>
        </w:trPr>
        <w:tc>
          <w:tcPr>
            <w:tcW w:w="0" w:type="auto"/>
            <w:vAlign w:val="center"/>
            <w:hideMark/>
          </w:tcPr>
          <w:p w14:paraId="00683514" w14:textId="77777777" w:rsidR="007901E6" w:rsidRPr="00335872" w:rsidRDefault="007901E6" w:rsidP="007901E6">
            <w:pPr>
              <w:jc w:val="both"/>
              <w:rPr>
                <w:rFonts w:ascii="Palatino Linotype" w:hAnsi="Palatino Linotype"/>
                <w:i/>
                <w:sz w:val="22"/>
                <w:szCs w:val="22"/>
              </w:rPr>
            </w:pPr>
            <w:r w:rsidRPr="00335872">
              <w:rPr>
                <w:rFonts w:ascii="Palatino Linotype" w:hAnsi="Palatino Linotype"/>
                <w:i/>
                <w:sz w:val="22"/>
                <w:szCs w:val="22"/>
              </w:rPr>
              <w:t>En respuesta a la solicitud de acceso a la información pública con número de folio 00481/UAEM/IP/2023,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Recursos Humanos, la Dirección de Recursos Financieros que: Los recibos de nómina de los trabajadores universitarios no obran en los archivos de la Dirección de Recursos Humanos. La Dirección de Recursos Humanos no cuenta con los CFDI generados de los servidores públicos de la Institución, por lo que, de acuerdo a lo establecido en el artículo 12 de la Ley de Transparencia y Acceso a la Información Pública del Estado de México y Municipios, el cual dice que la obligación de proporcionar información no comprende el procesamiento de la misma y no existe la obligación de generarla, lo que tendría que acontecer en el caso concreto, no es posible proporcionar la información en los términos requeridos.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tc>
      </w:tr>
      <w:tr w:rsidR="007901E6" w:rsidRPr="00F96966" w14:paraId="00683517" w14:textId="77777777" w:rsidTr="007901E6">
        <w:trPr>
          <w:trHeight w:val="369"/>
          <w:tblCellSpacing w:w="0" w:type="dxa"/>
          <w:jc w:val="center"/>
        </w:trPr>
        <w:tc>
          <w:tcPr>
            <w:tcW w:w="0" w:type="auto"/>
            <w:vAlign w:val="center"/>
            <w:hideMark/>
          </w:tcPr>
          <w:p w14:paraId="00683516" w14:textId="77777777" w:rsidR="007901E6" w:rsidRPr="00335872" w:rsidRDefault="007901E6" w:rsidP="007901E6">
            <w:pPr>
              <w:rPr>
                <w:rFonts w:ascii="Palatino Linotype" w:hAnsi="Palatino Linotype"/>
                <w:i/>
                <w:sz w:val="22"/>
                <w:szCs w:val="22"/>
              </w:rPr>
            </w:pPr>
          </w:p>
        </w:tc>
      </w:tr>
      <w:tr w:rsidR="007901E6" w:rsidRPr="00F96966" w14:paraId="00683519" w14:textId="77777777" w:rsidTr="007901E6">
        <w:trPr>
          <w:trHeight w:val="147"/>
          <w:tblCellSpacing w:w="0" w:type="dxa"/>
          <w:jc w:val="center"/>
        </w:trPr>
        <w:tc>
          <w:tcPr>
            <w:tcW w:w="0" w:type="auto"/>
            <w:vAlign w:val="center"/>
            <w:hideMark/>
          </w:tcPr>
          <w:p w14:paraId="00683518" w14:textId="77777777" w:rsidR="007901E6" w:rsidRPr="00335872" w:rsidRDefault="007901E6" w:rsidP="007901E6">
            <w:pPr>
              <w:jc w:val="center"/>
              <w:rPr>
                <w:rFonts w:ascii="Palatino Linotype" w:hAnsi="Palatino Linotype"/>
                <w:i/>
                <w:sz w:val="22"/>
                <w:szCs w:val="22"/>
              </w:rPr>
            </w:pPr>
          </w:p>
        </w:tc>
      </w:tr>
      <w:tr w:rsidR="007901E6" w:rsidRPr="00F96966" w14:paraId="0068351B" w14:textId="77777777" w:rsidTr="007901E6">
        <w:trPr>
          <w:trHeight w:val="147"/>
          <w:tblCellSpacing w:w="0" w:type="dxa"/>
          <w:jc w:val="center"/>
        </w:trPr>
        <w:tc>
          <w:tcPr>
            <w:tcW w:w="0" w:type="auto"/>
            <w:vAlign w:val="center"/>
            <w:hideMark/>
          </w:tcPr>
          <w:p w14:paraId="0068351A" w14:textId="77777777" w:rsidR="007901E6" w:rsidRPr="00335872" w:rsidRDefault="007901E6" w:rsidP="007901E6">
            <w:pPr>
              <w:rPr>
                <w:rFonts w:ascii="Palatino Linotype" w:hAnsi="Palatino Linotype"/>
                <w:i/>
                <w:sz w:val="22"/>
                <w:szCs w:val="22"/>
              </w:rPr>
            </w:pPr>
          </w:p>
        </w:tc>
      </w:tr>
      <w:tr w:rsidR="007901E6" w:rsidRPr="00F96966" w14:paraId="0068351D" w14:textId="77777777" w:rsidTr="007901E6">
        <w:trPr>
          <w:trHeight w:val="147"/>
          <w:tblCellSpacing w:w="0" w:type="dxa"/>
          <w:jc w:val="center"/>
        </w:trPr>
        <w:tc>
          <w:tcPr>
            <w:tcW w:w="0" w:type="auto"/>
            <w:vAlign w:val="center"/>
            <w:hideMark/>
          </w:tcPr>
          <w:p w14:paraId="0068351C" w14:textId="77777777" w:rsidR="007901E6" w:rsidRPr="00335872" w:rsidRDefault="007901E6" w:rsidP="007901E6">
            <w:pPr>
              <w:rPr>
                <w:rFonts w:ascii="Palatino Linotype" w:hAnsi="Palatino Linotype"/>
                <w:i/>
                <w:sz w:val="22"/>
                <w:szCs w:val="22"/>
              </w:rPr>
            </w:pPr>
            <w:r w:rsidRPr="00335872">
              <w:rPr>
                <w:rFonts w:ascii="Palatino Linotype" w:hAnsi="Palatino Linotype"/>
                <w:i/>
                <w:sz w:val="22"/>
                <w:szCs w:val="22"/>
              </w:rPr>
              <w:lastRenderedPageBreak/>
              <w:t>ATENTAMENTE</w:t>
            </w:r>
          </w:p>
        </w:tc>
      </w:tr>
      <w:tr w:rsidR="007901E6" w:rsidRPr="00F96966" w14:paraId="0068351F" w14:textId="77777777" w:rsidTr="007901E6">
        <w:trPr>
          <w:trHeight w:val="221"/>
          <w:tblCellSpacing w:w="0" w:type="dxa"/>
          <w:jc w:val="center"/>
        </w:trPr>
        <w:tc>
          <w:tcPr>
            <w:tcW w:w="0" w:type="auto"/>
            <w:vAlign w:val="center"/>
            <w:hideMark/>
          </w:tcPr>
          <w:p w14:paraId="0068351E" w14:textId="77777777" w:rsidR="007901E6" w:rsidRPr="00335872" w:rsidRDefault="007901E6" w:rsidP="007901E6">
            <w:pPr>
              <w:rPr>
                <w:rFonts w:ascii="Palatino Linotype" w:hAnsi="Palatino Linotype"/>
                <w:i/>
                <w:sz w:val="22"/>
                <w:szCs w:val="22"/>
              </w:rPr>
            </w:pPr>
          </w:p>
        </w:tc>
      </w:tr>
      <w:tr w:rsidR="007901E6" w:rsidRPr="00F96966" w14:paraId="00683521" w14:textId="77777777" w:rsidTr="007901E6">
        <w:trPr>
          <w:trHeight w:val="147"/>
          <w:tblCellSpacing w:w="0" w:type="dxa"/>
          <w:jc w:val="center"/>
        </w:trPr>
        <w:tc>
          <w:tcPr>
            <w:tcW w:w="0" w:type="auto"/>
            <w:vAlign w:val="center"/>
            <w:hideMark/>
          </w:tcPr>
          <w:p w14:paraId="00683520" w14:textId="77777777" w:rsidR="007901E6" w:rsidRPr="00335872" w:rsidRDefault="007901E6" w:rsidP="007901E6">
            <w:pPr>
              <w:rPr>
                <w:rFonts w:ascii="Palatino Linotype" w:hAnsi="Palatino Linotype"/>
                <w:i/>
                <w:sz w:val="22"/>
                <w:szCs w:val="22"/>
              </w:rPr>
            </w:pPr>
            <w:r w:rsidRPr="00335872">
              <w:rPr>
                <w:rFonts w:ascii="Palatino Linotype" w:hAnsi="Palatino Linotype"/>
                <w:i/>
                <w:sz w:val="22"/>
                <w:szCs w:val="22"/>
              </w:rPr>
              <w:t>M. EN D. HUGO EDGAR CHAPARRO CAMPOS”</w:t>
            </w:r>
          </w:p>
        </w:tc>
      </w:tr>
    </w:tbl>
    <w:p w14:paraId="00683522"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Calibri" w:hAnsi="Palatino Linotype" w:cs="Arial"/>
          <w:sz w:val="24"/>
          <w:lang w:val="es-AR" w:eastAsia="es-ES"/>
        </w:rPr>
        <w:t xml:space="preserve">El </w:t>
      </w:r>
      <w:r w:rsidR="007901E6" w:rsidRPr="00F96966">
        <w:rPr>
          <w:rFonts w:ascii="Palatino Linotype" w:eastAsia="Calibri" w:hAnsi="Palatino Linotype" w:cs="Arial"/>
          <w:sz w:val="24"/>
          <w:lang w:val="es-AR" w:eastAsia="es-ES"/>
        </w:rPr>
        <w:t>siete (07) de noviembre</w:t>
      </w:r>
      <w:r w:rsidRPr="00F96966">
        <w:rPr>
          <w:rFonts w:ascii="Palatino Linotype" w:eastAsia="Calibri" w:hAnsi="Palatino Linotype" w:cs="Arial"/>
          <w:sz w:val="24"/>
          <w:lang w:val="es-AR" w:eastAsia="es-ES"/>
        </w:rPr>
        <w:t xml:space="preserve"> de dos mil veintitrés</w:t>
      </w:r>
      <w:r w:rsidRPr="00F96966">
        <w:rPr>
          <w:rFonts w:ascii="Palatino Linotype" w:hAnsi="Palatino Linotype" w:cs="Arial"/>
          <w:sz w:val="24"/>
          <w:lang w:val="es-ES" w:eastAsia="es-ES"/>
        </w:rPr>
        <w:t xml:space="preserve">, </w:t>
      </w:r>
      <w:r w:rsidRPr="00F96966">
        <w:rPr>
          <w:rFonts w:ascii="Palatino Linotype" w:eastAsiaTheme="minorEastAsia" w:hAnsi="Palatino Linotype"/>
          <w:b/>
          <w:sz w:val="24"/>
          <w:lang w:val="es-ES_tradnl" w:eastAsia="es-ES"/>
        </w:rPr>
        <w:t>EL RECURRENTE</w:t>
      </w:r>
      <w:r w:rsidRPr="00F96966">
        <w:rPr>
          <w:rFonts w:ascii="Palatino Linotype" w:hAnsi="Palatino Linotype" w:cs="Arial"/>
          <w:sz w:val="24"/>
          <w:lang w:val="es-ES" w:eastAsia="es-ES"/>
        </w:rPr>
        <w:t xml:space="preserve"> interpuso el recurso de revisión, en contra de la respuesta, señalando como:</w:t>
      </w:r>
    </w:p>
    <w:p w14:paraId="00683523" w14:textId="77777777" w:rsidR="00814D12" w:rsidRPr="00335872" w:rsidRDefault="00814D12" w:rsidP="00335872">
      <w:pPr>
        <w:pStyle w:val="Prrafodelista"/>
        <w:numPr>
          <w:ilvl w:val="0"/>
          <w:numId w:val="14"/>
        </w:numPr>
        <w:spacing w:line="360" w:lineRule="auto"/>
        <w:ind w:left="1134" w:right="822"/>
        <w:jc w:val="both"/>
        <w:rPr>
          <w:rFonts w:ascii="Palatino Linotype" w:eastAsia="Calibri" w:hAnsi="Palatino Linotype" w:cs="Arial"/>
          <w:i/>
          <w:lang w:val="es-ES" w:eastAsia="es-ES"/>
        </w:rPr>
      </w:pPr>
      <w:r w:rsidRPr="00335872">
        <w:rPr>
          <w:rFonts w:ascii="Palatino Linotype" w:eastAsiaTheme="minorEastAsia" w:hAnsi="Palatino Linotype"/>
          <w:b/>
          <w:lang w:val="es-ES_tradnl" w:eastAsia="es-ES"/>
        </w:rPr>
        <w:t>Acto impugnado</w:t>
      </w:r>
      <w:r w:rsidRPr="00335872">
        <w:rPr>
          <w:rFonts w:ascii="Palatino Linotype" w:eastAsiaTheme="minorEastAsia" w:hAnsi="Palatino Linotype"/>
          <w:b/>
          <w:i/>
          <w:lang w:val="es-ES_tradnl" w:eastAsia="es-ES"/>
        </w:rPr>
        <w:t>:</w:t>
      </w:r>
      <w:r w:rsidRPr="00335872">
        <w:rPr>
          <w:rFonts w:ascii="Palatino Linotype" w:hAnsi="Palatino Linotype"/>
          <w:i/>
          <w:color w:val="000000"/>
        </w:rPr>
        <w:t xml:space="preserve"> " </w:t>
      </w:r>
      <w:r w:rsidR="008F54DB" w:rsidRPr="00335872">
        <w:rPr>
          <w:rFonts w:ascii="Palatino Linotype" w:hAnsi="Palatino Linotype"/>
          <w:i/>
          <w:color w:val="000000"/>
        </w:rPr>
        <w:t>NO ENTREGA LA INFORMACION SOLICITADA</w:t>
      </w:r>
      <w:r w:rsidRPr="00335872">
        <w:rPr>
          <w:rFonts w:ascii="Palatino Linotype" w:hAnsi="Palatino Linotype"/>
          <w:i/>
          <w:color w:val="000000"/>
        </w:rPr>
        <w:t>" (Sic)</w:t>
      </w:r>
    </w:p>
    <w:p w14:paraId="00683524" w14:textId="77777777" w:rsidR="00814D12" w:rsidRPr="00335872" w:rsidRDefault="00814D12" w:rsidP="00335872">
      <w:pPr>
        <w:pStyle w:val="Prrafodelista"/>
        <w:numPr>
          <w:ilvl w:val="0"/>
          <w:numId w:val="14"/>
        </w:numPr>
        <w:spacing w:line="360" w:lineRule="auto"/>
        <w:ind w:left="1134" w:right="822"/>
        <w:jc w:val="both"/>
        <w:rPr>
          <w:rFonts w:ascii="Palatino Linotype" w:eastAsiaTheme="minorEastAsia" w:hAnsi="Palatino Linotype"/>
          <w:b/>
          <w:lang w:val="es-ES_tradnl" w:eastAsia="es-ES"/>
        </w:rPr>
      </w:pPr>
      <w:r w:rsidRPr="00335872">
        <w:rPr>
          <w:rFonts w:ascii="Palatino Linotype" w:eastAsiaTheme="minorEastAsia" w:hAnsi="Palatino Linotype"/>
          <w:b/>
          <w:lang w:val="es-ES_tradnl" w:eastAsia="es-ES"/>
        </w:rPr>
        <w:t xml:space="preserve">Razones o Motivos de inconformidad: </w:t>
      </w:r>
      <w:r w:rsidRPr="00335872">
        <w:rPr>
          <w:rFonts w:ascii="Palatino Linotype" w:eastAsiaTheme="minorEastAsia" w:hAnsi="Palatino Linotype"/>
          <w:i/>
          <w:lang w:eastAsia="es-ES"/>
        </w:rPr>
        <w:t>"</w:t>
      </w:r>
      <w:r w:rsidR="008F54DB" w:rsidRPr="00335872">
        <w:rPr>
          <w:rFonts w:ascii="Palatino Linotype" w:eastAsiaTheme="minorEastAsia" w:hAnsi="Palatino Linotype"/>
          <w:i/>
          <w:lang w:eastAsia="es-ES"/>
        </w:rPr>
        <w:t>A VER SOLICITE EL RECIBO DE PAGO, PORQUE EL DE OTROS SI LO REMITEN Y EL DE SERVIDOR PUBLICO NO</w:t>
      </w:r>
      <w:proofErr w:type="gramStart"/>
      <w:r w:rsidR="008F54DB" w:rsidRPr="00335872">
        <w:rPr>
          <w:rFonts w:ascii="Palatino Linotype" w:eastAsiaTheme="minorEastAsia" w:hAnsi="Palatino Linotype"/>
          <w:i/>
          <w:lang w:eastAsia="es-ES"/>
        </w:rPr>
        <w:t>?</w:t>
      </w:r>
      <w:proofErr w:type="gramEnd"/>
      <w:r w:rsidRPr="00335872">
        <w:rPr>
          <w:rFonts w:ascii="Palatino Linotype" w:eastAsiaTheme="minorEastAsia" w:hAnsi="Palatino Linotype"/>
          <w:i/>
          <w:lang w:eastAsia="es-ES"/>
        </w:rPr>
        <w:t>" (Sic)</w:t>
      </w:r>
    </w:p>
    <w:p w14:paraId="00683525" w14:textId="77777777" w:rsidR="00814D12" w:rsidRPr="00F96966" w:rsidRDefault="00814D12" w:rsidP="00814D12">
      <w:pPr>
        <w:spacing w:line="360" w:lineRule="auto"/>
        <w:ind w:right="567"/>
        <w:contextualSpacing/>
        <w:jc w:val="both"/>
        <w:rPr>
          <w:rFonts w:ascii="Palatino Linotype" w:hAnsi="Palatino Linotype" w:cs="Arial"/>
        </w:rPr>
      </w:pPr>
    </w:p>
    <w:p w14:paraId="00683526"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t xml:space="preserve">Se registró el recurso de revisión bajo el número de expediente </w:t>
      </w:r>
      <w:r w:rsidRPr="00F96966">
        <w:rPr>
          <w:rFonts w:ascii="Palatino Linotype" w:eastAsiaTheme="minorEastAsia" w:hAnsi="Palatino Linotype" w:cs="Arial"/>
          <w:bCs/>
          <w:sz w:val="24"/>
          <w:lang w:val="es-ES_tradnl" w:eastAsia="es-ES"/>
        </w:rPr>
        <w:t xml:space="preserve">al rubro indicado, asimismo con fundamento en lo dispuesto por el </w:t>
      </w:r>
      <w:r w:rsidRPr="00F96966">
        <w:rPr>
          <w:rFonts w:ascii="Palatino Linotype" w:eastAsia="Calibri" w:hAnsi="Palatino Linotype" w:cs="Arial"/>
          <w:sz w:val="24"/>
          <w:lang w:val="es-ES" w:eastAsia="es-ES"/>
        </w:rPr>
        <w:t xml:space="preserve">artículo 185 fracción I de la </w:t>
      </w:r>
      <w:r w:rsidRPr="00F96966">
        <w:rPr>
          <w:rFonts w:ascii="Palatino Linotype" w:eastAsia="Calibri" w:hAnsi="Palatino Linotype" w:cs="Arial"/>
          <w:b/>
          <w:sz w:val="24"/>
          <w:lang w:val="es-ES" w:eastAsia="es-ES"/>
        </w:rPr>
        <w:t xml:space="preserve">Ley de Transparencia y Acceso a la Información Pública del Estado de México y Municipios </w:t>
      </w:r>
      <w:r w:rsidRPr="00F96966">
        <w:rPr>
          <w:rFonts w:ascii="Palatino Linotype" w:hAnsi="Palatino Linotype" w:cs="Arial"/>
          <w:sz w:val="24"/>
          <w:lang w:val="es-ES" w:eastAsia="es-ES"/>
        </w:rPr>
        <w:t xml:space="preserve">se turnó a la </w:t>
      </w:r>
      <w:r w:rsidRPr="00F96966">
        <w:rPr>
          <w:rFonts w:ascii="Palatino Linotype" w:hAnsi="Palatino Linotype" w:cs="Arial"/>
          <w:b/>
          <w:sz w:val="24"/>
          <w:lang w:val="es-ES" w:eastAsia="es-ES"/>
        </w:rPr>
        <w:t xml:space="preserve">Comisionada María del Rosario Mejía Ayala, </w:t>
      </w:r>
      <w:r w:rsidR="00335872">
        <w:rPr>
          <w:rFonts w:ascii="Palatino Linotype" w:hAnsi="Palatino Linotype" w:cs="Arial"/>
          <w:sz w:val="24"/>
          <w:lang w:val="es-ES" w:eastAsia="es-ES"/>
        </w:rPr>
        <w:t>para</w:t>
      </w:r>
      <w:r w:rsidRPr="00F96966">
        <w:rPr>
          <w:rFonts w:ascii="Palatino Linotype" w:hAnsi="Palatino Linotype" w:cs="Arial"/>
          <w:sz w:val="24"/>
          <w:lang w:val="es-ES" w:eastAsia="es-ES"/>
        </w:rPr>
        <w:t xml:space="preserve"> </w:t>
      </w:r>
      <w:r w:rsidRPr="00F96966">
        <w:rPr>
          <w:rFonts w:ascii="Palatino Linotype" w:hAnsi="Palatino Linotype" w:cs="Arial"/>
          <w:sz w:val="24"/>
          <w:lang w:eastAsia="es-ES"/>
        </w:rPr>
        <w:t xml:space="preserve">su análisis. </w:t>
      </w:r>
    </w:p>
    <w:p w14:paraId="00683527"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28" w14:textId="77777777" w:rsidR="00814D12" w:rsidRPr="00F96966" w:rsidRDefault="0033587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La</w:t>
      </w:r>
      <w:r w:rsidR="00814D12" w:rsidRPr="00F96966">
        <w:rPr>
          <w:rFonts w:ascii="Palatino Linotype" w:eastAsia="Calibri" w:hAnsi="Palatino Linotype" w:cs="Arial"/>
          <w:sz w:val="24"/>
          <w:lang w:val="es-ES" w:eastAsia="es-ES"/>
        </w:rPr>
        <w:t xml:space="preserve"> Comisionado Ponente con fundamento en lo dispuesto por el artículo 185 fracción II de la ley de la materia, a través del acuerdo de admisión del </w:t>
      </w:r>
      <w:r w:rsidR="008F54DB" w:rsidRPr="00F96966">
        <w:rPr>
          <w:rFonts w:ascii="Palatino Linotype" w:eastAsia="Calibri" w:hAnsi="Palatino Linotype" w:cs="Arial"/>
          <w:sz w:val="24"/>
          <w:lang w:val="es-ES" w:eastAsia="es-ES"/>
        </w:rPr>
        <w:t>dieciséis (16) de noviembre</w:t>
      </w:r>
      <w:r w:rsidR="00814D12" w:rsidRPr="00F96966">
        <w:rPr>
          <w:rFonts w:ascii="Palatino Linotype" w:eastAsia="Calibri" w:hAnsi="Palatino Linotype" w:cs="Arial"/>
          <w:sz w:val="24"/>
          <w:lang w:val="es-ES" w:eastAsia="es-ES"/>
        </w:rPr>
        <w:t xml:space="preserve"> de dos mil veintitrés, puso a disposición de las partes el expediente electrónico </w:t>
      </w:r>
      <w:r w:rsidR="00814D12" w:rsidRPr="00F96966">
        <w:rPr>
          <w:rFonts w:ascii="Palatino Linotype" w:eastAsia="Calibri" w:hAnsi="Palatino Linotype" w:cs="Arial"/>
          <w:sz w:val="24"/>
          <w:lang w:val="es-ES_tradnl" w:eastAsia="es-ES"/>
        </w:rPr>
        <w:t xml:space="preserve">vía </w:t>
      </w:r>
      <w:r w:rsidR="00814D12" w:rsidRPr="00F96966">
        <w:rPr>
          <w:rFonts w:ascii="Palatino Linotype" w:eastAsia="Calibri" w:hAnsi="Palatino Linotype" w:cs="Arial"/>
          <w:b/>
          <w:sz w:val="24"/>
          <w:lang w:val="es-ES" w:eastAsia="es-ES"/>
        </w:rPr>
        <w:t xml:space="preserve">SAIMEX </w:t>
      </w:r>
      <w:r w:rsidR="00814D12" w:rsidRPr="00F96966">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814D12" w:rsidRPr="00F96966">
        <w:rPr>
          <w:rFonts w:ascii="Palatino Linotype" w:eastAsia="Calibri" w:hAnsi="Palatino Linotype" w:cs="Arial"/>
          <w:b/>
          <w:sz w:val="24"/>
          <w:lang w:val="es-ES" w:eastAsia="es-ES"/>
        </w:rPr>
        <w:t>SUJETO OBLIGADO</w:t>
      </w:r>
      <w:r w:rsidR="00814D12" w:rsidRPr="00F96966">
        <w:rPr>
          <w:rFonts w:ascii="Palatino Linotype" w:eastAsia="Calibri" w:hAnsi="Palatino Linotype" w:cs="Arial"/>
          <w:sz w:val="24"/>
          <w:lang w:val="es-ES" w:eastAsia="es-ES"/>
        </w:rPr>
        <w:t xml:space="preserve"> presentara el informe justificado procedente. </w:t>
      </w:r>
    </w:p>
    <w:p w14:paraId="00683529" w14:textId="77777777" w:rsidR="00814D12" w:rsidRPr="00F96966" w:rsidRDefault="00814D12" w:rsidP="00814D12">
      <w:pPr>
        <w:pStyle w:val="Prrafodelista"/>
        <w:rPr>
          <w:rFonts w:ascii="Palatino Linotype" w:eastAsia="Calibri" w:hAnsi="Palatino Linotype" w:cs="Arial"/>
          <w:sz w:val="24"/>
          <w:lang w:val="es-ES" w:eastAsia="es-ES"/>
        </w:rPr>
      </w:pPr>
    </w:p>
    <w:p w14:paraId="0068352A" w14:textId="77777777" w:rsidR="00814D12" w:rsidRPr="00F96966" w:rsidRDefault="00814D12" w:rsidP="008F54DB">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Calibri" w:hAnsi="Palatino Linotype" w:cs="Arial"/>
          <w:sz w:val="24"/>
          <w:lang w:val="es-ES" w:eastAsia="es-ES"/>
        </w:rPr>
        <w:t xml:space="preserve">De las constancias del expediente electrónico SAIMEX se advierte que el Recurrente no realizó manifestaciones; </w:t>
      </w:r>
      <w:r w:rsidRPr="00F96966">
        <w:rPr>
          <w:rFonts w:ascii="Palatino Linotype" w:hAnsi="Palatino Linotype" w:cs="Arial"/>
          <w:sz w:val="24"/>
          <w:lang w:val="es-ES" w:eastAsia="es-ES"/>
        </w:rPr>
        <w:t>p</w:t>
      </w:r>
      <w:r w:rsidRPr="00F96966">
        <w:rPr>
          <w:rFonts w:ascii="Palatino Linotype" w:eastAsia="Calibri" w:hAnsi="Palatino Linotype" w:cs="Arial"/>
          <w:sz w:val="24"/>
          <w:lang w:val="es-ES" w:eastAsia="es-ES"/>
        </w:rPr>
        <w:t xml:space="preserve">or su parte, el Sujeto Obligado entregó informe justificado el </w:t>
      </w:r>
      <w:r w:rsidR="008F54DB" w:rsidRPr="00F96966">
        <w:rPr>
          <w:rFonts w:ascii="Palatino Linotype" w:eastAsia="Calibri" w:hAnsi="Palatino Linotype" w:cs="Arial"/>
          <w:sz w:val="24"/>
          <w:lang w:val="es-ES" w:eastAsia="es-ES"/>
        </w:rPr>
        <w:t xml:space="preserve">veintitrés (23) de noviembre de dos mil veintitrés, a través del archivo </w:t>
      </w:r>
      <w:r w:rsidR="008F54DB" w:rsidRPr="00F96966">
        <w:rPr>
          <w:rFonts w:ascii="Palatino Linotype" w:eastAsia="Calibri" w:hAnsi="Palatino Linotype" w:cs="Arial"/>
          <w:b/>
          <w:sz w:val="24"/>
          <w:u w:val="single"/>
          <w:lang w:val="es-ES" w:eastAsia="es-ES"/>
        </w:rPr>
        <w:t>rr7773_23-11-2023-105033.pdf</w:t>
      </w:r>
      <w:r w:rsidR="008F54DB" w:rsidRPr="00F96966">
        <w:rPr>
          <w:rFonts w:ascii="Palatino Linotype" w:eastAsia="Calibri" w:hAnsi="Palatino Linotype" w:cs="Arial"/>
          <w:sz w:val="24"/>
          <w:lang w:val="es-ES" w:eastAsia="es-ES"/>
        </w:rPr>
        <w:t xml:space="preserve">, el cual no fue puesto a la vista por contener datos personales. </w:t>
      </w:r>
    </w:p>
    <w:p w14:paraId="0068352B" w14:textId="77777777" w:rsidR="008F54DB" w:rsidRPr="00F96966" w:rsidRDefault="008F54DB" w:rsidP="008F54DB">
      <w:pPr>
        <w:pStyle w:val="Prrafodelista"/>
        <w:spacing w:line="360" w:lineRule="auto"/>
        <w:ind w:left="0"/>
        <w:jc w:val="both"/>
        <w:rPr>
          <w:rFonts w:ascii="Palatino Linotype" w:hAnsi="Palatino Linotype" w:cs="Arial"/>
          <w:sz w:val="24"/>
          <w:lang w:val="es-ES" w:eastAsia="es-ES"/>
        </w:rPr>
      </w:pPr>
    </w:p>
    <w:p w14:paraId="0068352C"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hAnsi="Palatino Linotype" w:cs="Arial"/>
          <w:sz w:val="24"/>
          <w:lang w:val="es-ES" w:eastAsia="es-ES"/>
        </w:rPr>
        <w:lastRenderedPageBreak/>
        <w:t>E</w:t>
      </w:r>
      <w:r w:rsidR="008F54DB" w:rsidRPr="00F96966">
        <w:rPr>
          <w:rFonts w:ascii="Palatino Linotype" w:hAnsi="Palatino Linotype" w:cs="Arial"/>
          <w:sz w:val="24"/>
          <w:lang w:val="es-ES" w:eastAsia="es-ES"/>
        </w:rPr>
        <w:t>l catorce (14) de marzo de dos mil veinticuatro</w:t>
      </w:r>
      <w:r w:rsidRPr="00F96966">
        <w:rPr>
          <w:rFonts w:ascii="Palatino Linotype" w:hAnsi="Palatino Linotype" w:cs="Arial"/>
          <w:sz w:val="24"/>
          <w:lang w:val="es-ES" w:eastAsia="es-ES"/>
        </w:rPr>
        <w:t>, se notificó el acuerdo por el cual se aprobó la ampliación de plazo para emitir resolución.</w:t>
      </w:r>
    </w:p>
    <w:p w14:paraId="0068352D"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2E"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068352F" w14:textId="77777777" w:rsidR="00814D12" w:rsidRPr="00F96966" w:rsidRDefault="00814D12" w:rsidP="00814D12">
      <w:pPr>
        <w:spacing w:line="360" w:lineRule="auto"/>
        <w:rPr>
          <w:rFonts w:ascii="Palatino Linotype" w:hAnsi="Palatino Linotype"/>
        </w:rPr>
      </w:pPr>
    </w:p>
    <w:p w14:paraId="00683530"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0683531" w14:textId="77777777" w:rsidR="00814D12" w:rsidRPr="00F96966" w:rsidRDefault="00814D12" w:rsidP="00814D12">
      <w:pPr>
        <w:spacing w:line="360" w:lineRule="auto"/>
        <w:rPr>
          <w:rFonts w:ascii="Palatino Linotype" w:hAnsi="Palatino Linotype"/>
        </w:rPr>
      </w:pPr>
    </w:p>
    <w:p w14:paraId="00683532" w14:textId="77777777" w:rsidR="00814D12" w:rsidRPr="00335872"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683533" w14:textId="77777777" w:rsidR="00335872" w:rsidRPr="00F96966" w:rsidRDefault="00335872" w:rsidP="00335872">
      <w:pPr>
        <w:spacing w:line="360" w:lineRule="auto"/>
        <w:contextualSpacing/>
        <w:jc w:val="both"/>
        <w:rPr>
          <w:rFonts w:ascii="Palatino Linotype" w:eastAsia="MS Mincho" w:hAnsi="Palatino Linotype"/>
          <w:b/>
        </w:rPr>
      </w:pPr>
    </w:p>
    <w:p w14:paraId="00683534"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0683535" w14:textId="77777777" w:rsidR="00814D12" w:rsidRPr="00F96966" w:rsidRDefault="00814D12" w:rsidP="00814D12">
      <w:pPr>
        <w:spacing w:line="360" w:lineRule="auto"/>
        <w:contextualSpacing/>
        <w:jc w:val="both"/>
        <w:rPr>
          <w:rFonts w:ascii="Palatino Linotype" w:eastAsia="MS Mincho" w:hAnsi="Palatino Linotype"/>
          <w:b/>
        </w:rPr>
      </w:pPr>
    </w:p>
    <w:p w14:paraId="00683536"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00683537" w14:textId="77777777" w:rsidR="00814D12" w:rsidRPr="00335872" w:rsidRDefault="00814D12" w:rsidP="00335872">
      <w:pPr>
        <w:pStyle w:val="Prrafodelista"/>
        <w:numPr>
          <w:ilvl w:val="0"/>
          <w:numId w:val="3"/>
        </w:numPr>
        <w:spacing w:line="360" w:lineRule="auto"/>
        <w:ind w:right="963"/>
        <w:jc w:val="both"/>
        <w:rPr>
          <w:rFonts w:ascii="Palatino Linotype" w:hAnsi="Palatino Linotype"/>
        </w:rPr>
      </w:pPr>
      <w:r w:rsidRPr="00335872">
        <w:rPr>
          <w:rFonts w:ascii="Palatino Linotype" w:hAnsi="Palatino Linotype"/>
        </w:rPr>
        <w:t xml:space="preserve">Complejidad del Asunto: La complejidad de la prueba, la pluralidad de sujetos procesales, el tiempo transcurrido, las características y contexto del recurso. </w:t>
      </w:r>
    </w:p>
    <w:p w14:paraId="00683538" w14:textId="77777777" w:rsidR="00814D12" w:rsidRPr="00335872" w:rsidRDefault="00814D12" w:rsidP="00335872">
      <w:pPr>
        <w:pStyle w:val="Prrafodelista"/>
        <w:numPr>
          <w:ilvl w:val="0"/>
          <w:numId w:val="3"/>
        </w:numPr>
        <w:spacing w:line="360" w:lineRule="auto"/>
        <w:ind w:right="963"/>
        <w:jc w:val="both"/>
        <w:rPr>
          <w:rFonts w:ascii="Palatino Linotype" w:hAnsi="Palatino Linotype"/>
        </w:rPr>
      </w:pPr>
      <w:r w:rsidRPr="00335872">
        <w:rPr>
          <w:rFonts w:ascii="Palatino Linotype" w:hAnsi="Palatino Linotype"/>
        </w:rPr>
        <w:t>Actividad Procesal del interesado. Acciones u omisiones del interesado.</w:t>
      </w:r>
    </w:p>
    <w:p w14:paraId="00683539" w14:textId="77777777" w:rsidR="00814D12" w:rsidRPr="00335872" w:rsidRDefault="00814D12" w:rsidP="00335872">
      <w:pPr>
        <w:pStyle w:val="Prrafodelista"/>
        <w:numPr>
          <w:ilvl w:val="0"/>
          <w:numId w:val="3"/>
        </w:numPr>
        <w:spacing w:line="360" w:lineRule="auto"/>
        <w:ind w:right="963"/>
        <w:jc w:val="both"/>
        <w:rPr>
          <w:rFonts w:ascii="Palatino Linotype" w:hAnsi="Palatino Linotype"/>
        </w:rPr>
      </w:pPr>
      <w:r w:rsidRPr="00335872">
        <w:rPr>
          <w:rFonts w:ascii="Palatino Linotype" w:hAnsi="Palatino Linotype"/>
        </w:rPr>
        <w:t>Conducta de la Autoridad: Las Acciones u omisiones realizadas en el procedimiento. Así como si la autoridad actuó con la debida diligencia.</w:t>
      </w:r>
    </w:p>
    <w:p w14:paraId="0068353A" w14:textId="77777777" w:rsidR="00814D12" w:rsidRPr="00335872" w:rsidRDefault="00814D12" w:rsidP="00335872">
      <w:pPr>
        <w:spacing w:line="360" w:lineRule="auto"/>
        <w:ind w:left="567" w:right="963"/>
        <w:jc w:val="both"/>
        <w:rPr>
          <w:rFonts w:ascii="Palatino Linotype" w:hAnsi="Palatino Linotype"/>
          <w:sz w:val="22"/>
        </w:rPr>
      </w:pPr>
      <w:r w:rsidRPr="00335872">
        <w:rPr>
          <w:rFonts w:ascii="Palatino Linotype" w:hAnsi="Palatino Linotype"/>
          <w:sz w:val="22"/>
        </w:rPr>
        <w:t>d) La afectación generada en la situación jurídica de la persona involucrada en el proceso: Violación a sus derechos humanos.</w:t>
      </w:r>
    </w:p>
    <w:p w14:paraId="0068353B" w14:textId="77777777" w:rsidR="00814D12" w:rsidRPr="00F96966" w:rsidRDefault="00814D12" w:rsidP="00814D12">
      <w:pPr>
        <w:spacing w:line="360" w:lineRule="auto"/>
        <w:rPr>
          <w:rFonts w:ascii="Palatino Linotype" w:hAnsi="Palatino Linotype"/>
        </w:rPr>
      </w:pPr>
    </w:p>
    <w:p w14:paraId="0068353C"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68353D" w14:textId="77777777" w:rsidR="00814D12" w:rsidRPr="00F96966" w:rsidRDefault="00814D12" w:rsidP="00814D12">
      <w:pPr>
        <w:spacing w:line="360" w:lineRule="auto"/>
        <w:contextualSpacing/>
        <w:jc w:val="both"/>
        <w:rPr>
          <w:rFonts w:ascii="Palatino Linotype" w:eastAsia="MS Mincho" w:hAnsi="Palatino Linotype"/>
          <w:b/>
        </w:rPr>
      </w:pPr>
    </w:p>
    <w:p w14:paraId="0068353E"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Argumento que encuentra sustento en la jurisprudencia P</w:t>
      </w:r>
      <w:proofErr w:type="gramStart"/>
      <w:r w:rsidRPr="00F96966">
        <w:rPr>
          <w:rFonts w:ascii="Palatino Linotype" w:hAnsi="Palatino Linotype"/>
        </w:rPr>
        <w:t>./</w:t>
      </w:r>
      <w:proofErr w:type="gramEnd"/>
      <w:r w:rsidRPr="00F96966">
        <w:rPr>
          <w:rFonts w:ascii="Palatino Linotype" w:hAnsi="Palatino Linotype"/>
        </w:rPr>
        <w:t xml:space="preserve">J. 32/92 emitida por el Pleno de la Suprema Corte de Justicia de la Nación de rubro </w:t>
      </w:r>
      <w:r w:rsidRPr="00F96966">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00335872">
        <w:rPr>
          <w:rFonts w:ascii="Palatino Linotype" w:hAnsi="Palatino Linotype"/>
        </w:rPr>
        <w:t>, visible en la Gaceta del Sema</w:t>
      </w:r>
      <w:r w:rsidRPr="00F96966">
        <w:rPr>
          <w:rFonts w:ascii="Palatino Linotype" w:hAnsi="Palatino Linotype"/>
        </w:rPr>
        <w:t>nario Judicial de la Federación con el registro digital 205635.</w:t>
      </w:r>
    </w:p>
    <w:p w14:paraId="0068353F" w14:textId="77777777" w:rsidR="00814D12" w:rsidRPr="00F96966" w:rsidRDefault="00814D12" w:rsidP="00814D12">
      <w:pPr>
        <w:spacing w:line="360" w:lineRule="auto"/>
        <w:rPr>
          <w:rFonts w:ascii="Palatino Linotype" w:hAnsi="Palatino Linotype"/>
        </w:rPr>
      </w:pPr>
    </w:p>
    <w:p w14:paraId="00683540"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683541" w14:textId="77777777" w:rsidR="00814D12" w:rsidRPr="00F96966" w:rsidRDefault="00814D12" w:rsidP="00814D12">
      <w:pPr>
        <w:spacing w:line="360" w:lineRule="auto"/>
        <w:rPr>
          <w:rFonts w:ascii="Palatino Linotype" w:hAnsi="Palatino Linotype"/>
        </w:rPr>
      </w:pPr>
    </w:p>
    <w:p w14:paraId="00683542"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0683543" w14:textId="77777777" w:rsidR="00814D12" w:rsidRPr="00F96966" w:rsidRDefault="00814D12" w:rsidP="00814D12">
      <w:pPr>
        <w:spacing w:line="360" w:lineRule="auto"/>
        <w:rPr>
          <w:rFonts w:ascii="Palatino Linotype" w:hAnsi="Palatino Linotype"/>
        </w:rPr>
      </w:pPr>
    </w:p>
    <w:p w14:paraId="00683544" w14:textId="77777777" w:rsidR="00814D12" w:rsidRPr="00F96966" w:rsidRDefault="00814D12" w:rsidP="00814D12">
      <w:pPr>
        <w:numPr>
          <w:ilvl w:val="0"/>
          <w:numId w:val="1"/>
        </w:numPr>
        <w:spacing w:line="360" w:lineRule="auto"/>
        <w:ind w:left="0" w:firstLine="0"/>
        <w:contextualSpacing/>
        <w:jc w:val="both"/>
        <w:rPr>
          <w:rFonts w:ascii="Palatino Linotype" w:eastAsia="MS Mincho" w:hAnsi="Palatino Linotype"/>
          <w:b/>
        </w:rPr>
      </w:pPr>
      <w:r w:rsidRPr="00F9696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0683545" w14:textId="77777777" w:rsidR="00814D12" w:rsidRPr="00335872" w:rsidRDefault="00814D12" w:rsidP="00814D12">
      <w:pPr>
        <w:spacing w:line="360" w:lineRule="auto"/>
        <w:ind w:left="851" w:right="822"/>
        <w:jc w:val="both"/>
        <w:rPr>
          <w:rFonts w:ascii="Palatino Linotype" w:hAnsi="Palatino Linotype"/>
          <w:sz w:val="22"/>
        </w:rPr>
      </w:pPr>
      <w:r w:rsidRPr="00335872">
        <w:rPr>
          <w:rFonts w:ascii="Palatino Linotype" w:hAnsi="Palatino Linotype"/>
          <w:sz w:val="22"/>
        </w:rPr>
        <w:t xml:space="preserve"> </w:t>
      </w:r>
      <w:r w:rsidRPr="00335872">
        <w:rPr>
          <w:rFonts w:ascii="Palatino Linotype" w:hAnsi="Palatino Linotype"/>
          <w:i/>
          <w:sz w:val="22"/>
        </w:rPr>
        <w:t>“PLAZO RAZONABLE PARA RESOLVER. DIMENSIÓN Y EFECTOS DE ESTE CONCEPTO CUANDO SE ADUCE EXCESIVA CARGA DE TRABAJO.”</w:t>
      </w:r>
      <w:r w:rsidR="00335872">
        <w:rPr>
          <w:rFonts w:ascii="Palatino Linotype" w:hAnsi="Palatino Linotype"/>
          <w:sz w:val="22"/>
        </w:rPr>
        <w:t xml:space="preserve"> consultable en el Sema</w:t>
      </w:r>
      <w:r w:rsidRPr="00335872">
        <w:rPr>
          <w:rFonts w:ascii="Palatino Linotype" w:hAnsi="Palatino Linotype"/>
          <w:sz w:val="22"/>
        </w:rPr>
        <w:t>nario Judicial de la Federación y su gaceta, con el registro digital 2002351.</w:t>
      </w:r>
    </w:p>
    <w:p w14:paraId="00683546" w14:textId="77777777" w:rsidR="00814D12" w:rsidRPr="00335872" w:rsidRDefault="00814D12" w:rsidP="00814D12">
      <w:pPr>
        <w:spacing w:line="360" w:lineRule="auto"/>
        <w:ind w:left="851" w:right="822"/>
        <w:jc w:val="both"/>
        <w:rPr>
          <w:rFonts w:ascii="Palatino Linotype" w:hAnsi="Palatino Linotype"/>
          <w:b/>
          <w:sz w:val="22"/>
        </w:rPr>
      </w:pPr>
    </w:p>
    <w:p w14:paraId="00683547" w14:textId="77777777" w:rsidR="00814D12" w:rsidRPr="00335872" w:rsidRDefault="00814D12" w:rsidP="00814D12">
      <w:pPr>
        <w:spacing w:line="360" w:lineRule="auto"/>
        <w:ind w:left="851" w:right="822"/>
        <w:jc w:val="both"/>
        <w:rPr>
          <w:rFonts w:ascii="Palatino Linotype" w:hAnsi="Palatino Linotype"/>
          <w:sz w:val="22"/>
        </w:rPr>
      </w:pPr>
      <w:r w:rsidRPr="00335872">
        <w:rPr>
          <w:rFonts w:ascii="Palatino Linotype" w:hAnsi="Palatino Linotype"/>
          <w:i/>
          <w:sz w:val="22"/>
        </w:rPr>
        <w:t>“PLAZO RAZONABLE PARA RESOLVER. CONCEPTO Y ELEMENTOS QUE LO INTEGRAN A LA LUZ DEL DERECHO INTERNACIONAL DE LOS DERECHOS HUMANOS.”</w:t>
      </w:r>
      <w:r w:rsidR="00335872">
        <w:rPr>
          <w:rFonts w:ascii="Palatino Linotype" w:hAnsi="Palatino Linotype"/>
          <w:sz w:val="22"/>
        </w:rPr>
        <w:t>, visible en el Sema</w:t>
      </w:r>
      <w:r w:rsidRPr="00335872">
        <w:rPr>
          <w:rFonts w:ascii="Palatino Linotype" w:hAnsi="Palatino Linotype"/>
          <w:sz w:val="22"/>
        </w:rPr>
        <w:t>nario Judicial de la Federación y su gaceta, con el registro digital 2002350.</w:t>
      </w:r>
    </w:p>
    <w:p w14:paraId="00683548" w14:textId="77777777" w:rsidR="00814D12" w:rsidRPr="00F96966" w:rsidRDefault="00814D12" w:rsidP="00814D12">
      <w:pPr>
        <w:pStyle w:val="Prrafodelista"/>
        <w:numPr>
          <w:ilvl w:val="0"/>
          <w:numId w:val="1"/>
        </w:numPr>
        <w:spacing w:line="360" w:lineRule="auto"/>
        <w:ind w:left="0" w:right="113" w:firstLine="0"/>
        <w:jc w:val="both"/>
        <w:rPr>
          <w:rFonts w:ascii="Palatino Linotype" w:hAnsi="Palatino Linotype"/>
          <w:sz w:val="24"/>
        </w:rPr>
      </w:pPr>
      <w:r w:rsidRPr="00F96966">
        <w:rPr>
          <w:rFonts w:ascii="Palatino Linotype" w:hAnsi="Palatino Linotype"/>
          <w:sz w:val="24"/>
        </w:rPr>
        <w:lastRenderedPageBreak/>
        <w:t xml:space="preserve">Por ello, este Organismo Garante comprometido con la tutela de los derechos humanos confiados, señala que este exceso de plazo legal para resolver el presente asunto, resulta de carácter excepcional. </w:t>
      </w:r>
    </w:p>
    <w:p w14:paraId="00683549"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4A"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Theme="minorEastAsia" w:hAnsi="Palatino Linotype"/>
          <w:sz w:val="24"/>
          <w:lang w:val="es-ES_tradnl" w:eastAsia="es-ES"/>
        </w:rPr>
        <w:t>La Comisionada Ponente decretó el cierre de instrucción</w:t>
      </w:r>
      <w:r w:rsidRPr="00F96966">
        <w:rPr>
          <w:rFonts w:ascii="Palatino Linotype" w:eastAsiaTheme="minorEastAsia" w:hAnsi="Palatino Linotype" w:cs="Arial"/>
          <w:sz w:val="24"/>
          <w:lang w:val="es-ES_tradnl" w:eastAsia="es-ES"/>
        </w:rPr>
        <w:t xml:space="preserve"> </w:t>
      </w:r>
      <w:r w:rsidRPr="00F96966">
        <w:rPr>
          <w:rFonts w:ascii="Palatino Linotype" w:eastAsiaTheme="minorEastAsia" w:hAnsi="Palatino Linotype"/>
          <w:sz w:val="24"/>
          <w:lang w:val="es-ES_tradnl" w:eastAsia="es-ES"/>
        </w:rPr>
        <w:t xml:space="preserve">mediante el acuerdo del </w:t>
      </w:r>
      <w:r w:rsidR="008F54DB" w:rsidRPr="00F96966">
        <w:rPr>
          <w:rFonts w:ascii="Palatino Linotype" w:eastAsiaTheme="minorEastAsia" w:hAnsi="Palatino Linotype"/>
          <w:sz w:val="24"/>
          <w:lang w:val="es-ES_tradnl" w:eastAsia="es-ES"/>
        </w:rPr>
        <w:t>ocho (08) de agosto</w:t>
      </w:r>
      <w:r w:rsidRPr="00F96966">
        <w:rPr>
          <w:rFonts w:ascii="Palatino Linotype" w:eastAsiaTheme="minorEastAsia" w:hAnsi="Palatino Linotype"/>
          <w:sz w:val="24"/>
          <w:lang w:val="es-ES_tradnl" w:eastAsia="es-ES"/>
        </w:rPr>
        <w:t xml:space="preserve"> de dos mil veinticuatro.</w:t>
      </w:r>
    </w:p>
    <w:p w14:paraId="0068354B" w14:textId="77777777" w:rsidR="00814D12" w:rsidRPr="00F96966" w:rsidRDefault="00814D12" w:rsidP="00814D12">
      <w:pPr>
        <w:spacing w:line="360" w:lineRule="auto"/>
        <w:rPr>
          <w:rFonts w:ascii="Palatino Linotype" w:hAnsi="Palatino Linotype" w:cs="Arial"/>
          <w:lang w:val="es-ES" w:eastAsia="es-ES"/>
        </w:rPr>
      </w:pPr>
    </w:p>
    <w:p w14:paraId="0068354C" w14:textId="77777777" w:rsidR="00814D12" w:rsidRPr="00F96966" w:rsidRDefault="00814D12" w:rsidP="00814D12">
      <w:pPr>
        <w:spacing w:line="360" w:lineRule="auto"/>
        <w:jc w:val="center"/>
        <w:rPr>
          <w:rFonts w:ascii="Palatino Linotype" w:hAnsi="Palatino Linotype" w:cs="Arial"/>
          <w:lang w:eastAsia="es-ES"/>
        </w:rPr>
      </w:pPr>
      <w:bookmarkStart w:id="1" w:name="_Toc66992242"/>
      <w:r w:rsidRPr="00F96966">
        <w:rPr>
          <w:rFonts w:ascii="Palatino Linotype" w:hAnsi="Palatino Linotype" w:cs="Arial"/>
          <w:b/>
          <w:lang w:eastAsia="es-ES"/>
        </w:rPr>
        <w:t>C</w:t>
      </w:r>
      <w:r w:rsidR="00335872">
        <w:rPr>
          <w:rFonts w:ascii="Palatino Linotype" w:hAnsi="Palatino Linotype" w:cs="Arial"/>
          <w:b/>
          <w:lang w:eastAsia="es-ES"/>
        </w:rPr>
        <w:t xml:space="preserve"> </w:t>
      </w:r>
      <w:r w:rsidRPr="00F96966">
        <w:rPr>
          <w:rFonts w:ascii="Palatino Linotype" w:hAnsi="Palatino Linotype" w:cs="Arial"/>
          <w:b/>
          <w:lang w:eastAsia="es-ES"/>
        </w:rPr>
        <w:t>O</w:t>
      </w:r>
      <w:r w:rsidR="00335872">
        <w:rPr>
          <w:rFonts w:ascii="Palatino Linotype" w:hAnsi="Palatino Linotype" w:cs="Arial"/>
          <w:b/>
          <w:lang w:eastAsia="es-ES"/>
        </w:rPr>
        <w:t xml:space="preserve"> </w:t>
      </w:r>
      <w:r w:rsidRPr="00F96966">
        <w:rPr>
          <w:rFonts w:ascii="Palatino Linotype" w:hAnsi="Palatino Linotype" w:cs="Arial"/>
          <w:b/>
          <w:lang w:eastAsia="es-ES"/>
        </w:rPr>
        <w:t>N</w:t>
      </w:r>
      <w:r w:rsidR="00335872">
        <w:rPr>
          <w:rFonts w:ascii="Palatino Linotype" w:hAnsi="Palatino Linotype" w:cs="Arial"/>
          <w:b/>
          <w:lang w:eastAsia="es-ES"/>
        </w:rPr>
        <w:t xml:space="preserve"> </w:t>
      </w:r>
      <w:r w:rsidRPr="00F96966">
        <w:rPr>
          <w:rFonts w:ascii="Palatino Linotype" w:hAnsi="Palatino Linotype" w:cs="Arial"/>
          <w:b/>
          <w:lang w:eastAsia="es-ES"/>
        </w:rPr>
        <w:t>S</w:t>
      </w:r>
      <w:r w:rsidR="00335872">
        <w:rPr>
          <w:rFonts w:ascii="Palatino Linotype" w:hAnsi="Palatino Linotype" w:cs="Arial"/>
          <w:b/>
          <w:lang w:eastAsia="es-ES"/>
        </w:rPr>
        <w:t xml:space="preserve"> </w:t>
      </w:r>
      <w:r w:rsidRPr="00F96966">
        <w:rPr>
          <w:rFonts w:ascii="Palatino Linotype" w:hAnsi="Palatino Linotype" w:cs="Arial"/>
          <w:b/>
          <w:lang w:eastAsia="es-ES"/>
        </w:rPr>
        <w:t>I</w:t>
      </w:r>
      <w:r w:rsidR="00335872">
        <w:rPr>
          <w:rFonts w:ascii="Palatino Linotype" w:hAnsi="Palatino Linotype" w:cs="Arial"/>
          <w:b/>
          <w:lang w:eastAsia="es-ES"/>
        </w:rPr>
        <w:t xml:space="preserve"> </w:t>
      </w:r>
      <w:r w:rsidRPr="00F96966">
        <w:rPr>
          <w:rFonts w:ascii="Palatino Linotype" w:hAnsi="Palatino Linotype" w:cs="Arial"/>
          <w:b/>
          <w:lang w:eastAsia="es-ES"/>
        </w:rPr>
        <w:t>D</w:t>
      </w:r>
      <w:r w:rsidR="00335872">
        <w:rPr>
          <w:rFonts w:ascii="Palatino Linotype" w:hAnsi="Palatino Linotype" w:cs="Arial"/>
          <w:b/>
          <w:lang w:eastAsia="es-ES"/>
        </w:rPr>
        <w:t xml:space="preserve"> </w:t>
      </w:r>
      <w:r w:rsidRPr="00F96966">
        <w:rPr>
          <w:rFonts w:ascii="Palatino Linotype" w:hAnsi="Palatino Linotype" w:cs="Arial"/>
          <w:b/>
          <w:lang w:eastAsia="es-ES"/>
        </w:rPr>
        <w:t>E</w:t>
      </w:r>
      <w:r w:rsidR="00335872">
        <w:rPr>
          <w:rFonts w:ascii="Palatino Linotype" w:hAnsi="Palatino Linotype" w:cs="Arial"/>
          <w:b/>
          <w:lang w:eastAsia="es-ES"/>
        </w:rPr>
        <w:t xml:space="preserve"> </w:t>
      </w:r>
      <w:r w:rsidRPr="00F96966">
        <w:rPr>
          <w:rFonts w:ascii="Palatino Linotype" w:hAnsi="Palatino Linotype" w:cs="Arial"/>
          <w:b/>
          <w:lang w:eastAsia="es-ES"/>
        </w:rPr>
        <w:t>R</w:t>
      </w:r>
      <w:r w:rsidR="00335872">
        <w:rPr>
          <w:rFonts w:ascii="Palatino Linotype" w:hAnsi="Palatino Linotype" w:cs="Arial"/>
          <w:b/>
          <w:lang w:eastAsia="es-ES"/>
        </w:rPr>
        <w:t xml:space="preserve"> </w:t>
      </w:r>
      <w:r w:rsidRPr="00F96966">
        <w:rPr>
          <w:rFonts w:ascii="Palatino Linotype" w:hAnsi="Palatino Linotype" w:cs="Arial"/>
          <w:b/>
          <w:lang w:eastAsia="es-ES"/>
        </w:rPr>
        <w:t>A</w:t>
      </w:r>
      <w:r w:rsidR="00335872">
        <w:rPr>
          <w:rFonts w:ascii="Palatino Linotype" w:hAnsi="Palatino Linotype" w:cs="Arial"/>
          <w:b/>
          <w:lang w:eastAsia="es-ES"/>
        </w:rPr>
        <w:t xml:space="preserve"> </w:t>
      </w:r>
      <w:r w:rsidRPr="00F96966">
        <w:rPr>
          <w:rFonts w:ascii="Palatino Linotype" w:hAnsi="Palatino Linotype" w:cs="Arial"/>
          <w:b/>
          <w:lang w:eastAsia="es-ES"/>
        </w:rPr>
        <w:t>N</w:t>
      </w:r>
      <w:r w:rsidR="00335872">
        <w:rPr>
          <w:rFonts w:ascii="Palatino Linotype" w:hAnsi="Palatino Linotype" w:cs="Arial"/>
          <w:b/>
          <w:lang w:eastAsia="es-ES"/>
        </w:rPr>
        <w:t xml:space="preserve"> </w:t>
      </w:r>
      <w:r w:rsidRPr="00F96966">
        <w:rPr>
          <w:rFonts w:ascii="Palatino Linotype" w:hAnsi="Palatino Linotype" w:cs="Arial"/>
          <w:b/>
          <w:lang w:eastAsia="es-ES"/>
        </w:rPr>
        <w:t>D</w:t>
      </w:r>
      <w:r w:rsidR="00335872">
        <w:rPr>
          <w:rFonts w:ascii="Palatino Linotype" w:hAnsi="Palatino Linotype" w:cs="Arial"/>
          <w:b/>
          <w:lang w:eastAsia="es-ES"/>
        </w:rPr>
        <w:t xml:space="preserve"> </w:t>
      </w:r>
      <w:r w:rsidRPr="00F96966">
        <w:rPr>
          <w:rFonts w:ascii="Palatino Linotype" w:hAnsi="Palatino Linotype" w:cs="Arial"/>
          <w:b/>
          <w:lang w:eastAsia="es-ES"/>
        </w:rPr>
        <w:t>O</w:t>
      </w:r>
      <w:bookmarkEnd w:id="1"/>
    </w:p>
    <w:p w14:paraId="0068354D" w14:textId="77777777" w:rsidR="00814D12" w:rsidRPr="00F96966" w:rsidRDefault="00814D12" w:rsidP="00814D12">
      <w:pPr>
        <w:spacing w:line="360" w:lineRule="auto"/>
        <w:jc w:val="center"/>
        <w:rPr>
          <w:rFonts w:ascii="Palatino Linotype" w:hAnsi="Palatino Linotype" w:cs="Arial"/>
          <w:lang w:eastAsia="es-ES"/>
        </w:rPr>
      </w:pPr>
    </w:p>
    <w:p w14:paraId="0068354E" w14:textId="77777777" w:rsidR="00814D12" w:rsidRPr="00F96966" w:rsidRDefault="00814D12" w:rsidP="00814D12">
      <w:pPr>
        <w:spacing w:line="360" w:lineRule="auto"/>
        <w:jc w:val="both"/>
        <w:rPr>
          <w:rFonts w:ascii="Palatino Linotype" w:hAnsi="Palatino Linotype" w:cs="Arial"/>
          <w:b/>
          <w:lang w:eastAsia="es-ES"/>
        </w:rPr>
      </w:pPr>
      <w:bookmarkStart w:id="2" w:name="_Toc66992243"/>
      <w:r w:rsidRPr="00F96966">
        <w:rPr>
          <w:rFonts w:ascii="Palatino Linotype" w:hAnsi="Palatino Linotype" w:cs="Arial"/>
          <w:b/>
          <w:lang w:eastAsia="es-ES"/>
        </w:rPr>
        <w:t>PRIMERO. De la competencia</w:t>
      </w:r>
      <w:bookmarkEnd w:id="2"/>
    </w:p>
    <w:p w14:paraId="0068354F" w14:textId="77777777" w:rsidR="00814D12" w:rsidRPr="00F96966" w:rsidRDefault="00814D12" w:rsidP="00814D12">
      <w:pPr>
        <w:pStyle w:val="Prrafodelista"/>
        <w:numPr>
          <w:ilvl w:val="0"/>
          <w:numId w:val="1"/>
        </w:numPr>
        <w:spacing w:before="240" w:after="240" w:line="360" w:lineRule="auto"/>
        <w:ind w:left="0" w:firstLine="0"/>
        <w:jc w:val="both"/>
        <w:rPr>
          <w:rFonts w:ascii="Palatino Linotype" w:hAnsi="Palatino Linotype"/>
          <w:sz w:val="24"/>
        </w:rPr>
      </w:pPr>
      <w:r w:rsidRPr="00F96966">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8F54DB" w:rsidRPr="00F96966">
        <w:rPr>
          <w:rFonts w:ascii="Palatino Linotype" w:hAnsi="Palatino Linotype"/>
          <w:sz w:val="24"/>
        </w:rPr>
        <w:t>pios; y 7, 9 fracciones I y XXIII</w:t>
      </w:r>
      <w:r w:rsidRPr="00F96966">
        <w:rPr>
          <w:rFonts w:ascii="Palatino Linotype" w:hAnsi="Palatino Linotype"/>
          <w:sz w:val="24"/>
        </w:rPr>
        <w:t>, y 11 del Reglamento Interior del Instituto de Transparencia, Acceso a la Información Pública y Protección de Datos Personales del Estado de México y Municipios.</w:t>
      </w:r>
    </w:p>
    <w:p w14:paraId="00683550"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51" w14:textId="77777777" w:rsidR="00814D12" w:rsidRPr="00F96966" w:rsidRDefault="00814D12" w:rsidP="00814D12">
      <w:pPr>
        <w:keepNext/>
        <w:keepLines/>
        <w:spacing w:line="360" w:lineRule="auto"/>
        <w:outlineLvl w:val="1"/>
        <w:rPr>
          <w:rFonts w:ascii="Palatino Linotype" w:eastAsiaTheme="majorEastAsia" w:hAnsi="Palatino Linotype" w:cstheme="majorBidi"/>
          <w:b/>
        </w:rPr>
      </w:pPr>
      <w:bookmarkStart w:id="3" w:name="_Toc66992244"/>
      <w:r w:rsidRPr="00F96966">
        <w:rPr>
          <w:rFonts w:ascii="Palatino Linotype" w:eastAsiaTheme="majorEastAsia" w:hAnsi="Palatino Linotype" w:cstheme="majorBidi"/>
          <w:b/>
        </w:rPr>
        <w:t>SEGUNDO. De la oportunidad y procedencia.</w:t>
      </w:r>
      <w:bookmarkEnd w:id="3"/>
    </w:p>
    <w:p w14:paraId="00683552" w14:textId="77777777" w:rsidR="00814D12" w:rsidRPr="00F96966" w:rsidRDefault="00814D12" w:rsidP="008D597F">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Calibri" w:hAnsi="Palatino Linotype" w:cs="Arial"/>
          <w:sz w:val="24"/>
          <w:lang w:val="es-ES_tradnl" w:eastAsia="es-ES"/>
        </w:rPr>
        <w:t xml:space="preserve">El medio de impugnación fue presentado a través del </w:t>
      </w:r>
      <w:r w:rsidRPr="00F96966">
        <w:rPr>
          <w:rFonts w:ascii="Palatino Linotype" w:eastAsia="Calibri" w:hAnsi="Palatino Linotype" w:cs="Arial"/>
          <w:b/>
          <w:sz w:val="24"/>
          <w:lang w:val="es-ES_tradnl" w:eastAsia="es-ES"/>
        </w:rPr>
        <w:t>SAIMEX,</w:t>
      </w:r>
      <w:r w:rsidRPr="00F96966">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F96966">
        <w:rPr>
          <w:rFonts w:ascii="Palatino Linotype" w:eastAsia="Calibri" w:hAnsi="Palatino Linotype" w:cs="Arial"/>
          <w:b/>
          <w:sz w:val="24"/>
          <w:lang w:val="es-ES_tradnl" w:eastAsia="es-ES"/>
        </w:rPr>
        <w:t>SUJETO OBLIGADO</w:t>
      </w:r>
      <w:r w:rsidRPr="00F96966">
        <w:rPr>
          <w:rFonts w:ascii="Palatino Linotype" w:eastAsia="Calibri" w:hAnsi="Palatino Linotype" w:cs="Arial"/>
          <w:sz w:val="24"/>
          <w:lang w:val="es-ES_tradnl" w:eastAsia="es-ES"/>
        </w:rPr>
        <w:t xml:space="preserve"> entregó respuesta a la solicitud el día </w:t>
      </w:r>
      <w:r w:rsidR="008F54DB" w:rsidRPr="00F96966">
        <w:rPr>
          <w:rFonts w:ascii="Palatino Linotype" w:eastAsia="Calibri" w:hAnsi="Palatino Linotype" w:cs="Arial"/>
          <w:sz w:val="24"/>
          <w:lang w:val="es-ES_tradnl" w:eastAsia="es-ES"/>
        </w:rPr>
        <w:t xml:space="preserve">seis </w:t>
      </w:r>
      <w:r w:rsidR="008F54DB" w:rsidRPr="00F96966">
        <w:rPr>
          <w:rFonts w:ascii="Palatino Linotype" w:eastAsia="Calibri" w:hAnsi="Palatino Linotype" w:cs="Arial"/>
          <w:sz w:val="24"/>
          <w:lang w:val="es-ES_tradnl" w:eastAsia="es-ES"/>
        </w:rPr>
        <w:lastRenderedPageBreak/>
        <w:t>(06) de noviembre</w:t>
      </w:r>
      <w:r w:rsidRPr="00F96966">
        <w:rPr>
          <w:rFonts w:ascii="Palatino Linotype" w:eastAsia="Calibri" w:hAnsi="Palatino Linotype" w:cs="Arial"/>
          <w:sz w:val="24"/>
          <w:lang w:val="es-ES_tradnl" w:eastAsia="es-ES"/>
        </w:rPr>
        <w:t xml:space="preserve"> de dos mil veintitrés, </w:t>
      </w:r>
      <w:r w:rsidRPr="00F96966">
        <w:rPr>
          <w:rFonts w:ascii="Palatino Linotype" w:eastAsiaTheme="minorEastAsia" w:hAnsi="Palatino Linotype" w:cs="Arial"/>
          <w:sz w:val="24"/>
          <w:lang w:val="es-ES_tradnl" w:eastAsia="es-ES"/>
        </w:rPr>
        <w:t xml:space="preserve">de tal forma que el plazo para interponer el recurso de revisión transcurrió del </w:t>
      </w:r>
      <w:r w:rsidR="008D597F" w:rsidRPr="00F96966">
        <w:rPr>
          <w:rFonts w:ascii="Palatino Linotype" w:eastAsiaTheme="minorEastAsia" w:hAnsi="Palatino Linotype" w:cs="Arial"/>
          <w:sz w:val="24"/>
          <w:lang w:val="es-ES_tradnl" w:eastAsia="es-ES"/>
        </w:rPr>
        <w:t xml:space="preserve">siete (07) al veintiocho (28) de noviembre </w:t>
      </w:r>
      <w:r w:rsidRPr="00F96966">
        <w:rPr>
          <w:rFonts w:ascii="Palatino Linotype" w:eastAsiaTheme="minorEastAsia" w:hAnsi="Palatino Linotype" w:cs="Arial"/>
          <w:sz w:val="24"/>
          <w:lang w:val="es-ES_tradnl" w:eastAsia="es-ES"/>
        </w:rPr>
        <w:t xml:space="preserve">de dos mil veintitrés; en consecuencia, presentó su inconformidad el </w:t>
      </w:r>
      <w:r w:rsidR="008D597F" w:rsidRPr="00F96966">
        <w:rPr>
          <w:rFonts w:ascii="Palatino Linotype" w:eastAsiaTheme="minorEastAsia" w:hAnsi="Palatino Linotype" w:cs="Arial"/>
          <w:sz w:val="24"/>
          <w:lang w:val="es-ES_tradnl" w:eastAsia="es-ES"/>
        </w:rPr>
        <w:t xml:space="preserve">siete (07) de noviembre </w:t>
      </w:r>
      <w:r w:rsidRPr="00F96966">
        <w:rPr>
          <w:rFonts w:ascii="Palatino Linotype" w:eastAsiaTheme="minorEastAsia" w:hAnsi="Palatino Linotype" w:cs="Arial"/>
          <w:sz w:val="24"/>
          <w:lang w:val="es-ES_tradnl" w:eastAsia="es-ES"/>
        </w:rPr>
        <w:t xml:space="preserve">de dos mil veintitrés, por lo que se encuentra dentro de los márgenes temporales previstos en el artículo 178 de la </w:t>
      </w:r>
      <w:r w:rsidRPr="00F96966">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F96966">
        <w:rPr>
          <w:rFonts w:ascii="Palatino Linotype" w:eastAsiaTheme="minorEastAsia" w:hAnsi="Palatino Linotype" w:cs="Arial"/>
          <w:sz w:val="24"/>
          <w:lang w:val="es-ES_tradnl" w:eastAsia="es-ES"/>
        </w:rPr>
        <w:t>vigente.</w:t>
      </w:r>
    </w:p>
    <w:p w14:paraId="00683553" w14:textId="77777777" w:rsidR="008D597F" w:rsidRPr="00F96966" w:rsidRDefault="008D597F" w:rsidP="008D597F">
      <w:pPr>
        <w:pStyle w:val="Prrafodelista"/>
        <w:spacing w:line="360" w:lineRule="auto"/>
        <w:ind w:left="0"/>
        <w:jc w:val="both"/>
        <w:rPr>
          <w:rFonts w:ascii="Palatino Linotype" w:hAnsi="Palatino Linotype" w:cs="Arial"/>
          <w:sz w:val="24"/>
          <w:lang w:val="es-ES" w:eastAsia="es-ES"/>
        </w:rPr>
      </w:pPr>
    </w:p>
    <w:p w14:paraId="00683554" w14:textId="77777777" w:rsidR="008D597F" w:rsidRPr="00F96966" w:rsidRDefault="008D597F" w:rsidP="008D597F">
      <w:pPr>
        <w:numPr>
          <w:ilvl w:val="0"/>
          <w:numId w:val="1"/>
        </w:numPr>
        <w:spacing w:line="360" w:lineRule="auto"/>
        <w:ind w:left="0" w:firstLine="0"/>
        <w:contextualSpacing/>
        <w:jc w:val="both"/>
        <w:rPr>
          <w:rFonts w:ascii="Palatino Linotype" w:eastAsia="Calibri" w:hAnsi="Palatino Linotype" w:cs="Arial"/>
          <w:lang w:val="es-ES_tradnl" w:eastAsia="es-ES"/>
        </w:rPr>
      </w:pPr>
      <w:r w:rsidRPr="00F96966">
        <w:rPr>
          <w:rFonts w:ascii="Palatino Linotype" w:eastAsia="Calibri" w:hAnsi="Palatino Linotype" w:cs="Arial"/>
          <w:lang w:val="es-ES_tradnl" w:eastAsia="es-ES"/>
        </w:rPr>
        <w:t xml:space="preserve">Por otra parte, de la revisión al expediente electrónico del </w:t>
      </w:r>
      <w:r w:rsidRPr="00F96966">
        <w:rPr>
          <w:rFonts w:ascii="Palatino Linotype" w:eastAsia="Calibri" w:hAnsi="Palatino Linotype" w:cs="Arial"/>
          <w:b/>
          <w:lang w:val="es-ES_tradnl" w:eastAsia="es-ES"/>
        </w:rPr>
        <w:t>SAIMEX</w:t>
      </w:r>
      <w:r w:rsidRPr="00F96966">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00683555" w14:textId="77777777" w:rsidR="008D597F" w:rsidRPr="00F96966" w:rsidRDefault="008D597F" w:rsidP="008D597F">
      <w:pPr>
        <w:pStyle w:val="Prrafodelista"/>
        <w:ind w:left="0"/>
        <w:rPr>
          <w:rFonts w:ascii="Palatino Linotype" w:eastAsia="Calibri" w:hAnsi="Palatino Linotype" w:cs="Arial"/>
          <w:sz w:val="24"/>
          <w:lang w:val="es-ES_tradnl" w:eastAsia="es-ES"/>
        </w:rPr>
      </w:pPr>
    </w:p>
    <w:p w14:paraId="00683556" w14:textId="77777777" w:rsidR="008D597F" w:rsidRPr="00F96966" w:rsidRDefault="008D597F" w:rsidP="008D597F">
      <w:pPr>
        <w:numPr>
          <w:ilvl w:val="0"/>
          <w:numId w:val="1"/>
        </w:numPr>
        <w:spacing w:line="360" w:lineRule="auto"/>
        <w:ind w:left="0" w:firstLine="0"/>
        <w:contextualSpacing/>
        <w:jc w:val="both"/>
        <w:rPr>
          <w:rFonts w:ascii="Palatino Linotype" w:eastAsia="Calibri" w:hAnsi="Palatino Linotype" w:cs="Arial"/>
          <w:lang w:val="es-ES_tradnl" w:eastAsia="es-ES"/>
        </w:rPr>
      </w:pPr>
      <w:r w:rsidRPr="00F96966">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F96966">
        <w:rPr>
          <w:rFonts w:ascii="Palatino Linotype" w:eastAsia="Calibri" w:hAnsi="Palatino Linotype" w:cs="Arial"/>
          <w:bCs/>
          <w:lang w:val="es-ES" w:eastAsia="es-ES"/>
        </w:rPr>
        <w:t xml:space="preserve">5, párrafos vigésimo, vigésimo primero y vigésimo </w:t>
      </w:r>
      <w:r w:rsidR="00335872" w:rsidRPr="00F96966">
        <w:rPr>
          <w:rFonts w:ascii="Palatino Linotype" w:eastAsia="Calibri" w:hAnsi="Palatino Linotype" w:cs="Arial"/>
          <w:bCs/>
          <w:lang w:val="es-ES" w:eastAsia="es-ES"/>
        </w:rPr>
        <w:t>segundo</w:t>
      </w:r>
      <w:r w:rsidRPr="00F96966">
        <w:rPr>
          <w:rFonts w:ascii="Palatino Linotype" w:eastAsia="Calibri" w:hAnsi="Palatino Linotype" w:cs="Arial"/>
          <w:bCs/>
          <w:lang w:val="es-ES" w:eastAsia="es-ES"/>
        </w:rPr>
        <w:t> fracciones IV y V </w:t>
      </w:r>
      <w:r w:rsidRPr="00F96966">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0683557" w14:textId="77777777" w:rsidR="008D597F" w:rsidRPr="00F96966" w:rsidRDefault="008D597F" w:rsidP="008D597F">
      <w:pPr>
        <w:numPr>
          <w:ilvl w:val="0"/>
          <w:numId w:val="1"/>
        </w:numPr>
        <w:spacing w:line="360" w:lineRule="auto"/>
        <w:ind w:left="0" w:firstLine="0"/>
        <w:contextualSpacing/>
        <w:jc w:val="both"/>
        <w:rPr>
          <w:rFonts w:ascii="Palatino Linotype" w:eastAsia="Calibri" w:hAnsi="Palatino Linotype" w:cs="Arial"/>
          <w:lang w:val="es-ES_tradnl" w:eastAsia="es-ES"/>
        </w:rPr>
      </w:pPr>
      <w:r w:rsidRPr="00F96966">
        <w:rPr>
          <w:rFonts w:ascii="Palatino Linotype" w:eastAsia="Calibri" w:hAnsi="Palatino Linotype" w:cs="Arial"/>
          <w:lang w:val="es-ES_tradnl" w:eastAsia="es-ES"/>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0683558" w14:textId="77777777" w:rsidR="008D597F" w:rsidRPr="00F96966" w:rsidRDefault="008D597F" w:rsidP="008D597F">
      <w:pPr>
        <w:pStyle w:val="Prrafodelista"/>
        <w:ind w:left="0"/>
        <w:rPr>
          <w:rFonts w:ascii="Palatino Linotype" w:eastAsia="Calibri" w:hAnsi="Palatino Linotype" w:cs="Arial"/>
          <w:sz w:val="24"/>
          <w:lang w:val="es-ES_tradnl" w:eastAsia="es-ES"/>
        </w:rPr>
      </w:pPr>
    </w:p>
    <w:p w14:paraId="00683559" w14:textId="77777777" w:rsidR="008D597F" w:rsidRPr="00F96966" w:rsidRDefault="008D597F" w:rsidP="008D597F">
      <w:pPr>
        <w:numPr>
          <w:ilvl w:val="0"/>
          <w:numId w:val="1"/>
        </w:numPr>
        <w:spacing w:line="360" w:lineRule="auto"/>
        <w:ind w:left="0" w:firstLine="0"/>
        <w:contextualSpacing/>
        <w:jc w:val="both"/>
        <w:rPr>
          <w:rFonts w:ascii="Palatino Linotype" w:eastAsia="Calibri" w:hAnsi="Palatino Linotype" w:cs="Arial"/>
          <w:lang w:val="es-ES_tradnl" w:eastAsia="es-ES"/>
        </w:rPr>
      </w:pPr>
      <w:r w:rsidRPr="00F96966">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0068355A" w14:textId="77777777" w:rsidR="008D597F" w:rsidRPr="00F96966" w:rsidRDefault="008D597F" w:rsidP="008D597F">
      <w:pPr>
        <w:pStyle w:val="Prrafodelista"/>
        <w:ind w:left="0"/>
        <w:rPr>
          <w:rFonts w:ascii="Palatino Linotype" w:eastAsia="Calibri" w:hAnsi="Palatino Linotype" w:cs="Arial"/>
          <w:sz w:val="24"/>
          <w:lang w:val="es-ES_tradnl" w:eastAsia="es-ES"/>
        </w:rPr>
      </w:pPr>
    </w:p>
    <w:p w14:paraId="0068355B" w14:textId="77777777" w:rsidR="008D597F" w:rsidRPr="00F96966" w:rsidRDefault="008D597F" w:rsidP="008D597F">
      <w:pPr>
        <w:numPr>
          <w:ilvl w:val="0"/>
          <w:numId w:val="1"/>
        </w:numPr>
        <w:spacing w:line="360" w:lineRule="auto"/>
        <w:ind w:left="0" w:firstLine="0"/>
        <w:contextualSpacing/>
        <w:jc w:val="both"/>
        <w:rPr>
          <w:rFonts w:ascii="Palatino Linotype" w:eastAsia="Calibri" w:hAnsi="Palatino Linotype" w:cs="Arial"/>
          <w:lang w:val="es-ES_tradnl" w:eastAsia="es-ES"/>
        </w:rPr>
      </w:pPr>
      <w:r w:rsidRPr="00F96966">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0068355C" w14:textId="77777777" w:rsidR="008D597F" w:rsidRPr="00F96966" w:rsidRDefault="008D597F" w:rsidP="008D597F">
      <w:pPr>
        <w:pStyle w:val="Prrafodelista"/>
        <w:spacing w:line="360" w:lineRule="auto"/>
        <w:ind w:left="0"/>
        <w:jc w:val="both"/>
        <w:rPr>
          <w:rFonts w:ascii="Palatino Linotype" w:hAnsi="Palatino Linotype" w:cs="Arial"/>
          <w:sz w:val="24"/>
          <w:lang w:val="es-ES" w:eastAsia="es-ES"/>
        </w:rPr>
      </w:pPr>
    </w:p>
    <w:p w14:paraId="0068355D" w14:textId="77777777" w:rsidR="00814D12" w:rsidRPr="00F96966" w:rsidRDefault="00814D12" w:rsidP="00814D12">
      <w:pPr>
        <w:pStyle w:val="Prrafodelista"/>
        <w:numPr>
          <w:ilvl w:val="0"/>
          <w:numId w:val="1"/>
        </w:numPr>
        <w:spacing w:line="360" w:lineRule="auto"/>
        <w:ind w:left="0" w:firstLine="0"/>
        <w:jc w:val="both"/>
        <w:rPr>
          <w:rFonts w:ascii="Palatino Linotype" w:hAnsi="Palatino Linotype" w:cs="Arial"/>
          <w:sz w:val="24"/>
          <w:lang w:val="es-ES" w:eastAsia="es-ES"/>
        </w:rPr>
      </w:pPr>
      <w:r w:rsidRPr="00F96966">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068355E" w14:textId="77777777" w:rsidR="00BA04A2" w:rsidRPr="00F96966" w:rsidRDefault="00BA04A2" w:rsidP="00BA04A2">
      <w:pPr>
        <w:pStyle w:val="Prrafodelista"/>
        <w:rPr>
          <w:rFonts w:ascii="Palatino Linotype" w:hAnsi="Palatino Linotype" w:cs="Arial"/>
          <w:sz w:val="24"/>
          <w:lang w:val="es-ES" w:eastAsia="es-ES"/>
        </w:rPr>
      </w:pPr>
    </w:p>
    <w:p w14:paraId="0068355F" w14:textId="77777777" w:rsidR="00BA04A2" w:rsidRPr="00F96966" w:rsidRDefault="00BA04A2" w:rsidP="00BA04A2">
      <w:pPr>
        <w:pStyle w:val="Ttulo2"/>
        <w:tabs>
          <w:tab w:val="left" w:pos="0"/>
        </w:tabs>
        <w:spacing w:before="0" w:line="360" w:lineRule="auto"/>
        <w:rPr>
          <w:rFonts w:ascii="Palatino Linotype" w:hAnsi="Palatino Linotype"/>
          <w:b/>
          <w:color w:val="auto"/>
          <w:sz w:val="24"/>
          <w:szCs w:val="24"/>
        </w:rPr>
      </w:pPr>
      <w:r w:rsidRPr="00F96966">
        <w:rPr>
          <w:rFonts w:ascii="Palatino Linotype" w:hAnsi="Palatino Linotype"/>
          <w:b/>
          <w:color w:val="auto"/>
          <w:sz w:val="24"/>
          <w:szCs w:val="24"/>
        </w:rPr>
        <w:t xml:space="preserve">TERCERO. De las causales de sobreseimiento </w:t>
      </w:r>
    </w:p>
    <w:p w14:paraId="00683560"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bookmarkStart w:id="4" w:name="_Toc529263621"/>
      <w:bookmarkStart w:id="5" w:name="_Toc530650937"/>
      <w:bookmarkStart w:id="6" w:name="_Toc535334654"/>
      <w:bookmarkStart w:id="7" w:name="_Toc2248735"/>
      <w:r w:rsidRPr="00F96966">
        <w:rPr>
          <w:rFonts w:ascii="Palatino Linotype" w:eastAsia="Calibri" w:hAnsi="Palatino Linotype" w:cs="Arial"/>
          <w:color w:val="000000" w:themeColor="text1"/>
          <w:sz w:val="24"/>
        </w:rPr>
        <w:t xml:space="preserve">El recurso de revisión </w:t>
      </w:r>
      <w:r w:rsidRPr="00F96966">
        <w:rPr>
          <w:rFonts w:ascii="Palatino Linotype" w:hAnsi="Palatino Linotype" w:cs="Arial"/>
          <w:sz w:val="24"/>
        </w:rPr>
        <w:t xml:space="preserve">tiene como finalidad reparar cualquier posible afectación al derecho de acceso a la información pública en términos del Título Octavo de la Ley de </w:t>
      </w:r>
      <w:r w:rsidRPr="00F96966">
        <w:rPr>
          <w:rFonts w:ascii="Palatino Linotype" w:eastAsia="Calibri" w:hAnsi="Palatino Linotype" w:cs="Arial"/>
          <w:sz w:val="24"/>
        </w:rPr>
        <w:t>Transparencia, Acceso a la Información Pública del Estado de México y Municipios</w:t>
      </w:r>
      <w:r w:rsidRPr="00F96966">
        <w:rPr>
          <w:rFonts w:ascii="Palatino Linotype" w:hAnsi="Palatino Linotype" w:cs="Arial"/>
          <w:sz w:val="24"/>
        </w:rPr>
        <w:t xml:space="preserve">, y </w:t>
      </w:r>
      <w:r w:rsidRPr="00F96966">
        <w:rPr>
          <w:rFonts w:ascii="Palatino Linotype" w:hAnsi="Palatino Linotype" w:cs="Arial"/>
          <w:sz w:val="24"/>
        </w:rPr>
        <w:lastRenderedPageBreak/>
        <w:t xml:space="preserve">determinar la confirmación; revocación o modificación; desechamiento o </w:t>
      </w:r>
      <w:r w:rsidRPr="00F96966">
        <w:rPr>
          <w:rFonts w:ascii="Palatino Linotype" w:hAnsi="Palatino Linotype" w:cs="Arial"/>
          <w:b/>
          <w:sz w:val="24"/>
          <w:u w:val="single"/>
        </w:rPr>
        <w:t>sobreseimiento</w:t>
      </w:r>
      <w:r w:rsidRPr="00F96966">
        <w:rPr>
          <w:rFonts w:ascii="Palatino Linotype" w:hAnsi="Palatino Linotype" w:cs="Arial"/>
          <w:sz w:val="24"/>
        </w:rPr>
        <w:t xml:space="preserve">; y en su caso ordenar la entrega de la información con respecto a la respuesta emitida por el </w:t>
      </w:r>
      <w:r w:rsidRPr="00F96966">
        <w:rPr>
          <w:rFonts w:ascii="Palatino Linotype" w:hAnsi="Palatino Linotype" w:cs="Arial"/>
          <w:b/>
          <w:sz w:val="24"/>
        </w:rPr>
        <w:t>SUJETO</w:t>
      </w:r>
      <w:r w:rsidRPr="00F96966">
        <w:rPr>
          <w:rFonts w:ascii="Palatino Linotype" w:hAnsi="Palatino Linotype" w:cs="Arial"/>
          <w:sz w:val="24"/>
        </w:rPr>
        <w:t xml:space="preserve"> </w:t>
      </w:r>
      <w:r w:rsidRPr="00F96966">
        <w:rPr>
          <w:rFonts w:ascii="Palatino Linotype" w:hAnsi="Palatino Linotype" w:cs="Arial"/>
          <w:b/>
          <w:sz w:val="24"/>
        </w:rPr>
        <w:t>OBLIGADO</w:t>
      </w:r>
      <w:r w:rsidRPr="00F96966">
        <w:rPr>
          <w:rFonts w:ascii="Palatino Linotype" w:hAnsi="Palatino Linotype" w:cs="Arial"/>
          <w:sz w:val="24"/>
        </w:rPr>
        <w:t>.</w:t>
      </w:r>
    </w:p>
    <w:p w14:paraId="00683561" w14:textId="77777777" w:rsidR="00BA04A2" w:rsidRPr="00F96966" w:rsidRDefault="00BA04A2" w:rsidP="00BA04A2">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00683562"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rPr>
        <w:t xml:space="preserve">De </w:t>
      </w:r>
      <w:r w:rsidRPr="00F96966">
        <w:rPr>
          <w:rFonts w:ascii="Palatino Linotype" w:eastAsia="Calibri" w:hAnsi="Palatino Linotype"/>
          <w:sz w:val="24"/>
        </w:rPr>
        <w:t xml:space="preserve">acuerdo al precepto legal contenido en la fracción III del artículo 192 de la </w:t>
      </w:r>
      <w:r w:rsidRPr="00F96966">
        <w:rPr>
          <w:rFonts w:ascii="Palatino Linotype" w:eastAsia="Calibri" w:hAnsi="Palatino Linotype"/>
          <w:b/>
          <w:sz w:val="24"/>
        </w:rPr>
        <w:t>Ley de Transparencia y Acceso a la Información Pública del Estado de México y Municipios</w:t>
      </w:r>
      <w:r w:rsidRPr="00F96966">
        <w:rPr>
          <w:rFonts w:ascii="Palatino Linotype" w:eastAsia="Calibri" w:hAnsi="Palatino Linotype"/>
          <w:sz w:val="24"/>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00683563" w14:textId="77777777" w:rsidR="00BA04A2" w:rsidRPr="00F96966" w:rsidRDefault="00BA04A2" w:rsidP="00BA04A2">
      <w:pPr>
        <w:pStyle w:val="Prrafodelista"/>
        <w:ind w:left="0"/>
        <w:rPr>
          <w:rFonts w:ascii="Palatino Linotype" w:eastAsia="Calibri" w:hAnsi="Palatino Linotype" w:cs="Arial"/>
          <w:color w:val="000000" w:themeColor="text1"/>
          <w:sz w:val="24"/>
          <w:lang w:val="es-ES"/>
        </w:rPr>
      </w:pPr>
    </w:p>
    <w:p w14:paraId="00683564"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Para </w:t>
      </w:r>
      <w:r w:rsidRPr="00F96966">
        <w:rPr>
          <w:rFonts w:ascii="Palatino Linotype" w:eastAsia="Calibri" w:hAnsi="Palatino Linotype"/>
          <w:sz w:val="24"/>
        </w:rPr>
        <w:t xml:space="preserve">los efectos de esta resolución, es oportuno precisar los alcances jurídicos de la fracción III de la disposición legal transcrita. Así, procede el sobreseimiento del recurso de revisión cuando el </w:t>
      </w:r>
      <w:r w:rsidRPr="00F96966">
        <w:rPr>
          <w:rFonts w:ascii="Palatino Linotype" w:eastAsia="Calibri" w:hAnsi="Palatino Linotype"/>
          <w:b/>
          <w:sz w:val="24"/>
        </w:rPr>
        <w:t>SUJETO OBLIGADO</w:t>
      </w:r>
      <w:r w:rsidRPr="00F96966">
        <w:rPr>
          <w:rFonts w:ascii="Palatino Linotype" w:eastAsia="Calibri" w:hAnsi="Palatino Linotype"/>
          <w:sz w:val="24"/>
        </w:rPr>
        <w:t>:</w:t>
      </w:r>
    </w:p>
    <w:p w14:paraId="00683565" w14:textId="77777777" w:rsidR="00BA04A2" w:rsidRPr="00335872" w:rsidRDefault="00BA04A2" w:rsidP="00335872">
      <w:pPr>
        <w:numPr>
          <w:ilvl w:val="0"/>
          <w:numId w:val="12"/>
        </w:numPr>
        <w:spacing w:line="360" w:lineRule="auto"/>
        <w:ind w:left="567" w:right="1105" w:firstLine="0"/>
        <w:contextualSpacing/>
        <w:jc w:val="both"/>
        <w:rPr>
          <w:rFonts w:ascii="Palatino Linotype" w:hAnsi="Palatino Linotype" w:cs="Arial"/>
          <w:sz w:val="22"/>
        </w:rPr>
      </w:pPr>
      <w:r w:rsidRPr="00335872">
        <w:rPr>
          <w:rFonts w:ascii="Palatino Linotype" w:hAnsi="Palatino Linotype" w:cs="Arial"/>
          <w:b/>
          <w:sz w:val="22"/>
        </w:rPr>
        <w:t>Modifique el acto impugnado:</w:t>
      </w:r>
      <w:r w:rsidRPr="00335872">
        <w:rPr>
          <w:rFonts w:ascii="Palatino Linotype" w:hAnsi="Palatino Linotype" w:cs="Arial"/>
          <w:sz w:val="22"/>
        </w:rPr>
        <w:t xml:space="preserve"> Se actualiza cuando el </w:t>
      </w:r>
      <w:r w:rsidRPr="00335872">
        <w:rPr>
          <w:rFonts w:ascii="Palatino Linotype" w:hAnsi="Palatino Linotype" w:cs="Arial"/>
          <w:b/>
          <w:sz w:val="22"/>
        </w:rPr>
        <w:t>SUJETO OBLIGADO</w:t>
      </w:r>
      <w:r w:rsidRPr="00335872">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00683566" w14:textId="77777777" w:rsidR="00BA04A2" w:rsidRPr="00335872" w:rsidRDefault="00BA04A2" w:rsidP="00335872">
      <w:pPr>
        <w:numPr>
          <w:ilvl w:val="0"/>
          <w:numId w:val="12"/>
        </w:numPr>
        <w:spacing w:line="360" w:lineRule="auto"/>
        <w:ind w:left="567" w:right="1105" w:firstLine="0"/>
        <w:contextualSpacing/>
        <w:jc w:val="both"/>
        <w:rPr>
          <w:rFonts w:ascii="Palatino Linotype" w:hAnsi="Palatino Linotype" w:cs="Arial"/>
          <w:sz w:val="22"/>
        </w:rPr>
      </w:pPr>
      <w:r w:rsidRPr="00335872">
        <w:rPr>
          <w:rFonts w:ascii="Palatino Linotype" w:hAnsi="Palatino Linotype" w:cs="Arial"/>
          <w:b/>
          <w:sz w:val="22"/>
        </w:rPr>
        <w:t>Revoque el acto impugnado:</w:t>
      </w:r>
      <w:r w:rsidRPr="00335872">
        <w:rPr>
          <w:rFonts w:ascii="Palatino Linotype" w:hAnsi="Palatino Linotype" w:cs="Arial"/>
          <w:sz w:val="22"/>
        </w:rPr>
        <w:t xml:space="preserve"> En este supuesto, el </w:t>
      </w:r>
      <w:r w:rsidRPr="00335872">
        <w:rPr>
          <w:rFonts w:ascii="Palatino Linotype" w:hAnsi="Palatino Linotype" w:cs="Arial"/>
          <w:b/>
          <w:sz w:val="22"/>
        </w:rPr>
        <w:t>SUJETO OBLIGADO</w:t>
      </w:r>
      <w:r w:rsidRPr="00335872">
        <w:rPr>
          <w:rFonts w:ascii="Palatino Linotype" w:hAnsi="Palatino Linotype" w:cs="Arial"/>
          <w:sz w:val="22"/>
        </w:rPr>
        <w:t xml:space="preserve"> deja sin efectos la primera respuesta y en su lugar emite otra que satisfaga lo solicitado por el Particular en un primer momento.</w:t>
      </w:r>
    </w:p>
    <w:p w14:paraId="00683567" w14:textId="77777777" w:rsidR="00BA04A2" w:rsidRPr="00F96966" w:rsidRDefault="00BA04A2" w:rsidP="00BA04A2">
      <w:pPr>
        <w:spacing w:line="360" w:lineRule="auto"/>
        <w:ind w:right="616"/>
        <w:contextualSpacing/>
        <w:jc w:val="both"/>
        <w:rPr>
          <w:rFonts w:ascii="Palatino Linotype" w:hAnsi="Palatino Linotype" w:cs="Arial"/>
        </w:rPr>
      </w:pPr>
    </w:p>
    <w:p w14:paraId="00683568" w14:textId="77777777" w:rsidR="00BA04A2" w:rsidRPr="00F96966" w:rsidRDefault="00BA04A2" w:rsidP="00BA04A2">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Las </w:t>
      </w:r>
      <w:r w:rsidRPr="00F96966">
        <w:rPr>
          <w:rFonts w:ascii="Palatino Linotype" w:eastAsia="Calibri" w:hAnsi="Palatino Linotype"/>
          <w:sz w:val="24"/>
        </w:rPr>
        <w:t xml:space="preserve">consecuencias jurídicas de esta modificación o revocación es que el recurso de revisión interpuesto quede sin efectos o sin materia. Un acto impugnado queda sin efectos, cuando aun existiendo jurídicamente, no genera consecuencia legal alguna; queda sin </w:t>
      </w:r>
      <w:r w:rsidRPr="00F96966">
        <w:rPr>
          <w:rFonts w:ascii="Palatino Linotype" w:eastAsia="Calibri" w:hAnsi="Palatino Linotype"/>
          <w:sz w:val="24"/>
        </w:rPr>
        <w:lastRenderedPageBreak/>
        <w:t>materia, cuando ha sido satisfecha la pretensión del Particular, ya sea porque se hizo la entrega de la información solicitada o porque se completó la misma.</w:t>
      </w:r>
    </w:p>
    <w:p w14:paraId="00683569" w14:textId="77777777" w:rsidR="00BA04A2" w:rsidRPr="00F96966" w:rsidRDefault="00BA04A2" w:rsidP="00BA04A2">
      <w:pPr>
        <w:pStyle w:val="Prrafodelista"/>
        <w:tabs>
          <w:tab w:val="left" w:pos="284"/>
          <w:tab w:val="left" w:pos="567"/>
        </w:tabs>
        <w:spacing w:line="360" w:lineRule="auto"/>
        <w:ind w:left="0"/>
        <w:jc w:val="both"/>
        <w:rPr>
          <w:rFonts w:ascii="Palatino Linotype" w:eastAsia="Calibri" w:hAnsi="Palatino Linotype" w:cs="Arial"/>
          <w:color w:val="000000" w:themeColor="text1"/>
          <w:sz w:val="24"/>
          <w:lang w:val="es-ES"/>
        </w:rPr>
      </w:pPr>
    </w:p>
    <w:p w14:paraId="0068356A" w14:textId="77777777" w:rsidR="00BA04A2" w:rsidRPr="00F96966" w:rsidRDefault="00BA04A2" w:rsidP="00BA04A2">
      <w:pPr>
        <w:pStyle w:val="Prrafodelista"/>
        <w:numPr>
          <w:ilvl w:val="0"/>
          <w:numId w:val="1"/>
        </w:numPr>
        <w:tabs>
          <w:tab w:val="left" w:pos="284"/>
          <w:tab w:val="left" w:pos="567"/>
        </w:tabs>
        <w:spacing w:line="360" w:lineRule="auto"/>
        <w:ind w:left="0" w:firstLine="0"/>
        <w:jc w:val="both"/>
        <w:rPr>
          <w:rFonts w:ascii="Palatino Linotype" w:hAnsi="Palatino Linotype" w:cs="Arial"/>
          <w:color w:val="000000"/>
          <w:sz w:val="24"/>
        </w:rPr>
      </w:pPr>
      <w:r w:rsidRPr="00F96966">
        <w:rPr>
          <w:rFonts w:ascii="Palatino Linotype" w:eastAsia="Calibri" w:hAnsi="Palatino Linotype" w:cs="Arial"/>
          <w:color w:val="000000" w:themeColor="text1"/>
          <w:sz w:val="24"/>
          <w:lang w:val="es-ES"/>
        </w:rPr>
        <w:t xml:space="preserve">En el presente caso, </w:t>
      </w:r>
      <w:r w:rsidRPr="00F96966">
        <w:rPr>
          <w:rFonts w:ascii="Palatino Linotype" w:hAnsi="Palatino Linotype" w:cs="Arial"/>
          <w:color w:val="000000"/>
          <w:sz w:val="24"/>
          <w:lang w:val="es-ES"/>
        </w:rPr>
        <w:t xml:space="preserve">el Recurrente solicitó los recibos de nómina o CFDI del servidor público referido en la solicitud de información, de la segunda quincena de agosto y primera quincena de septiembre de dos mil veintidós y dos mil veintitrés. </w:t>
      </w:r>
    </w:p>
    <w:p w14:paraId="0068356B" w14:textId="77777777" w:rsidR="00BA04A2" w:rsidRPr="00F96966" w:rsidRDefault="00BA04A2" w:rsidP="00BA04A2">
      <w:pPr>
        <w:pStyle w:val="Prrafodelista"/>
        <w:tabs>
          <w:tab w:val="left" w:pos="284"/>
          <w:tab w:val="left" w:pos="567"/>
        </w:tabs>
        <w:spacing w:line="360" w:lineRule="auto"/>
        <w:ind w:left="0"/>
        <w:jc w:val="both"/>
        <w:rPr>
          <w:rFonts w:ascii="Palatino Linotype" w:hAnsi="Palatino Linotype"/>
          <w:b/>
          <w:bCs/>
          <w:color w:val="000000"/>
          <w:sz w:val="24"/>
          <w:lang w:val="es-ES"/>
        </w:rPr>
      </w:pPr>
    </w:p>
    <w:p w14:paraId="0068356C" w14:textId="77777777" w:rsidR="00BA04A2" w:rsidRPr="00F96966" w:rsidRDefault="00BA04A2" w:rsidP="00BA04A2">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 w:val="24"/>
          <w:lang w:val="es-ES"/>
        </w:rPr>
      </w:pPr>
      <w:r w:rsidRPr="00F96966">
        <w:rPr>
          <w:rFonts w:ascii="Palatino Linotype" w:hAnsi="Palatino Linotype" w:cs="Arial"/>
          <w:color w:val="000000"/>
          <w:sz w:val="24"/>
          <w:lang w:val="es-ES"/>
        </w:rPr>
        <w:t>En respuesta, el Sujeto Obligado señaló que de la información proporcionada por la Dirección de Recursos Humanos, no se loca</w:t>
      </w:r>
      <w:r w:rsidR="008943CE" w:rsidRPr="00F96966">
        <w:rPr>
          <w:rFonts w:ascii="Palatino Linotype" w:hAnsi="Palatino Linotype" w:cs="Arial"/>
          <w:color w:val="000000"/>
          <w:sz w:val="24"/>
          <w:lang w:val="es-ES"/>
        </w:rPr>
        <w:t xml:space="preserve">lizó la información solicitada, situación de la que se agravió el recurrente. </w:t>
      </w:r>
    </w:p>
    <w:p w14:paraId="0068356D" w14:textId="77777777" w:rsidR="00BA04A2" w:rsidRPr="00F96966" w:rsidRDefault="00BA04A2" w:rsidP="00BA04A2">
      <w:pPr>
        <w:rPr>
          <w:rFonts w:ascii="Palatino Linotype" w:eastAsia="Calibri" w:hAnsi="Palatino Linotype" w:cs="Arial"/>
          <w:color w:val="000000" w:themeColor="text1"/>
          <w:lang w:val="es-ES"/>
        </w:rPr>
      </w:pPr>
    </w:p>
    <w:p w14:paraId="0068356E" w14:textId="77777777" w:rsidR="00BA04A2" w:rsidRPr="00F96966" w:rsidRDefault="008943CE"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Posteriormente, el Sujeto Obligado entregó </w:t>
      </w:r>
      <w:r w:rsidR="00007940" w:rsidRPr="00F96966">
        <w:rPr>
          <w:rFonts w:ascii="Palatino Linotype" w:eastAsia="Calibri" w:hAnsi="Palatino Linotype" w:cs="Arial"/>
          <w:color w:val="000000" w:themeColor="text1"/>
          <w:sz w:val="24"/>
          <w:lang w:val="es-ES"/>
        </w:rPr>
        <w:t xml:space="preserve">los documentos en los que se advierte la versión pública de los recibos de nómina del servidor público habilitado correspondientes a la segunda quincena de agosto y primera quincena de septiembre de dos mil veintidós y segunda quincena de agosto de agosto y primera quincena de septiembre de dos mil veintitrés. </w:t>
      </w:r>
    </w:p>
    <w:p w14:paraId="0068356F" w14:textId="77777777" w:rsidR="00007940" w:rsidRPr="00F96966" w:rsidRDefault="00007940" w:rsidP="00007940">
      <w:pPr>
        <w:pStyle w:val="Prrafodelista"/>
        <w:rPr>
          <w:rFonts w:ascii="Palatino Linotype" w:eastAsia="Calibri" w:hAnsi="Palatino Linotype" w:cs="Arial"/>
          <w:color w:val="000000" w:themeColor="text1"/>
          <w:sz w:val="24"/>
          <w:lang w:val="es-ES"/>
        </w:rPr>
      </w:pPr>
    </w:p>
    <w:p w14:paraId="00683570" w14:textId="77777777" w:rsidR="00007940" w:rsidRPr="00F96966" w:rsidRDefault="00007940"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Cabe señalar que el Sujeto Obligado entregó el acuerdo de clasificación emitido por el Comité de Transparencia en el que señaló que se testa el RFC y los descuentos, deducciones y/o retenciones contraídas por compromisos personales o resolución de índole judicial, datos que de acuerdo a su naturaleza son clasificados como confidenciales por las siguientes razones:</w:t>
      </w:r>
    </w:p>
    <w:p w14:paraId="00683571" w14:textId="77777777" w:rsidR="00007940" w:rsidRPr="00F96966" w:rsidRDefault="00007940" w:rsidP="00007940">
      <w:pPr>
        <w:pStyle w:val="Prrafodelista"/>
        <w:rPr>
          <w:rFonts w:ascii="Palatino Linotype" w:eastAsia="Calibri" w:hAnsi="Palatino Linotype" w:cs="Arial"/>
          <w:color w:val="000000" w:themeColor="text1"/>
          <w:sz w:val="24"/>
          <w:lang w:val="es-ES"/>
        </w:rPr>
      </w:pPr>
    </w:p>
    <w:p w14:paraId="00683572" w14:textId="77777777" w:rsidR="00007940" w:rsidRPr="00F96966" w:rsidRDefault="00007940" w:rsidP="00007940">
      <w:pPr>
        <w:pStyle w:val="Ttulo3"/>
        <w:rPr>
          <w:rFonts w:ascii="Palatino Linotype" w:eastAsia="Palatino Linotype" w:hAnsi="Palatino Linotype" w:cs="Palatino Linotype"/>
          <w:b/>
          <w:color w:val="000000"/>
        </w:rPr>
      </w:pPr>
      <w:r w:rsidRPr="00F96966">
        <w:rPr>
          <w:rFonts w:ascii="Palatino Linotype" w:eastAsia="Palatino Linotype" w:hAnsi="Palatino Linotype" w:cs="Palatino Linotype"/>
          <w:b/>
          <w:color w:val="000000"/>
        </w:rPr>
        <w:lastRenderedPageBreak/>
        <w:t>Deducciones personales</w:t>
      </w:r>
    </w:p>
    <w:p w14:paraId="00683573" w14:textId="77777777" w:rsidR="00007940" w:rsidRPr="00F96966" w:rsidRDefault="00007940" w:rsidP="00007940">
      <w:pPr>
        <w:pStyle w:val="Prrafodelista"/>
        <w:numPr>
          <w:ilvl w:val="0"/>
          <w:numId w:val="1"/>
        </w:numPr>
        <w:shd w:val="clear" w:color="auto" w:fill="FFFFFF"/>
        <w:spacing w:before="240" w:after="240" w:line="360" w:lineRule="auto"/>
        <w:ind w:left="0" w:firstLine="0"/>
        <w:jc w:val="both"/>
        <w:rPr>
          <w:rFonts w:ascii="Palatino Linotype" w:hAnsi="Palatino Linotype"/>
          <w:color w:val="222222"/>
          <w:sz w:val="24"/>
        </w:rPr>
      </w:pPr>
      <w:r w:rsidRPr="00F96966">
        <w:rPr>
          <w:rFonts w:ascii="Palatino Linotype" w:eastAsia="Palatino Linotype" w:hAnsi="Palatino Linotype" w:cs="Palatino Linotype"/>
          <w:color w:val="000000"/>
          <w:sz w:val="24"/>
        </w:rPr>
        <w:t xml:space="preserve">Es necesario precisar que existen deducciones que se generan con motivo de una decisión libre y voluntaria de los servidores públicos, como son: créditos personales, </w:t>
      </w:r>
      <w:r w:rsidRPr="00F96966">
        <w:rPr>
          <w:rFonts w:ascii="Palatino Linotype" w:eastAsia="Palatino Linotype" w:hAnsi="Palatino Linotype" w:cs="Palatino Linotype"/>
          <w:b/>
          <w:color w:val="000000"/>
          <w:sz w:val="24"/>
          <w:u w:val="single"/>
        </w:rPr>
        <w:t>cuotas sindicales y fondo de resistencia del Sindicato Único de Trabajadores de los Poderes, Municipios e Institución Descentralizadas del Estado de México</w:t>
      </w:r>
      <w:r w:rsidRPr="00F96966">
        <w:rPr>
          <w:rFonts w:ascii="Palatino Linotype" w:eastAsia="Palatino Linotype" w:hAnsi="Palatino Linotype" w:cs="Palatino Linotype"/>
          <w:color w:val="000000"/>
          <w:sz w:val="24"/>
        </w:rPr>
        <w:t>, seguro de vida, accidentes y enfermedades.</w:t>
      </w:r>
    </w:p>
    <w:p w14:paraId="00683574"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t xml:space="preserve">Asimismo, hay otras que se generan con motivo de una sentencia judicial, como es la pensión alimenticia que periódicamente se retira de la cuenta de un empleado, a efecto de que sea entregado a un tercero.  </w:t>
      </w:r>
    </w:p>
    <w:p w14:paraId="00683575"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00683576"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t>Así, dichas deducciones reflejan el destino que un servidor público da a su patrimonio, lo que se aleja de la transparencia y rendición de cuentas.</w:t>
      </w:r>
      <w:bookmarkStart w:id="8" w:name="_heading=h.1ksv4uv" w:colFirst="0" w:colLast="0"/>
      <w:bookmarkEnd w:id="8"/>
    </w:p>
    <w:p w14:paraId="00683577" w14:textId="77777777" w:rsidR="00007940" w:rsidRPr="00F96966" w:rsidRDefault="00007940" w:rsidP="00007940">
      <w:pPr>
        <w:pStyle w:val="Ttulo3"/>
        <w:numPr>
          <w:ilvl w:val="0"/>
          <w:numId w:val="11"/>
        </w:numPr>
        <w:rPr>
          <w:rFonts w:ascii="Palatino Linotype" w:eastAsia="Palatino Linotype" w:hAnsi="Palatino Linotype" w:cs="Palatino Linotype"/>
          <w:b/>
          <w:color w:val="000000"/>
        </w:rPr>
      </w:pPr>
      <w:r w:rsidRPr="00F96966">
        <w:rPr>
          <w:rFonts w:ascii="Palatino Linotype" w:eastAsia="Palatino Linotype" w:hAnsi="Palatino Linotype" w:cs="Palatino Linotype"/>
          <w:b/>
          <w:color w:val="000000"/>
        </w:rPr>
        <w:t>Registro Federal de Contribuyentes (RFC)</w:t>
      </w:r>
    </w:p>
    <w:p w14:paraId="00683578" w14:textId="77777777" w:rsidR="00007940" w:rsidRPr="00F96966" w:rsidRDefault="00007940" w:rsidP="00007940">
      <w:pPr>
        <w:pStyle w:val="Prrafodelista"/>
        <w:numPr>
          <w:ilvl w:val="0"/>
          <w:numId w:val="1"/>
        </w:numPr>
        <w:shd w:val="clear" w:color="auto" w:fill="FFFFFF"/>
        <w:spacing w:before="240" w:after="240" w:line="360" w:lineRule="auto"/>
        <w:ind w:left="0" w:firstLine="0"/>
        <w:jc w:val="both"/>
        <w:rPr>
          <w:rFonts w:ascii="Palatino Linotype" w:hAnsi="Palatino Linotype"/>
          <w:color w:val="222222"/>
          <w:sz w:val="24"/>
        </w:rPr>
      </w:pPr>
      <w:r w:rsidRPr="00F96966">
        <w:rPr>
          <w:rFonts w:ascii="Palatino Linotype" w:eastAsia="Palatino Linotype" w:hAnsi="Palatino Linotype" w:cs="Palatino Linotype"/>
          <w:color w:val="000000"/>
          <w:sz w:val="24"/>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0683579"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lastRenderedPageBreak/>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0068357A"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068357B" w14:textId="77777777" w:rsidR="00007940" w:rsidRPr="00F96966" w:rsidRDefault="00007940" w:rsidP="00007940">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color w:val="000000"/>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0068357C" w14:textId="77777777" w:rsidR="00007940" w:rsidRPr="00F96966" w:rsidRDefault="00007940" w:rsidP="0067743D">
      <w:pPr>
        <w:numPr>
          <w:ilvl w:val="0"/>
          <w:numId w:val="1"/>
        </w:numPr>
        <w:shd w:val="clear" w:color="auto" w:fill="FFFFFF"/>
        <w:spacing w:before="240" w:after="240" w:line="360" w:lineRule="auto"/>
        <w:ind w:left="0" w:firstLine="0"/>
        <w:jc w:val="both"/>
        <w:rPr>
          <w:rFonts w:ascii="Palatino Linotype" w:hAnsi="Palatino Linotype"/>
          <w:color w:val="222222"/>
        </w:rPr>
      </w:pPr>
      <w:r w:rsidRPr="00F96966">
        <w:rPr>
          <w:rFonts w:ascii="Palatino Linotype" w:eastAsia="Palatino Linotype" w:hAnsi="Palatino Linotype" w:cs="Palatino Linotype"/>
          <w:b/>
          <w:color w:val="000000"/>
        </w:rPr>
        <w:t>De tal suerte, el Registro Federal de Contribuyentes de las personas físicas no guarda relación con la transparencia de los recursos públicos</w:t>
      </w:r>
      <w:r w:rsidRPr="00F96966">
        <w:rPr>
          <w:rFonts w:ascii="Palatino Linotype" w:eastAsia="Palatino Linotype" w:hAnsi="Palatino Linotype" w:cs="Palatino Linotype"/>
          <w:color w:val="000000"/>
        </w:rPr>
        <w:t>, así como tampoco con el desempeño laboral que pueda tener una persona.</w:t>
      </w:r>
      <w:bookmarkStart w:id="9" w:name="_heading=h.35nkun2" w:colFirst="0" w:colLast="0"/>
      <w:bookmarkEnd w:id="9"/>
    </w:p>
    <w:p w14:paraId="0068357D" w14:textId="77777777" w:rsidR="00BA04A2" w:rsidRPr="00F96966" w:rsidRDefault="00BA04A2"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En ese sentido, se puede concluir que la información entregada en </w:t>
      </w:r>
      <w:r w:rsidR="00007940" w:rsidRPr="00F96966">
        <w:rPr>
          <w:rFonts w:ascii="Palatino Linotype" w:eastAsia="Calibri" w:hAnsi="Palatino Linotype" w:cs="Arial"/>
          <w:color w:val="000000" w:themeColor="text1"/>
          <w:sz w:val="24"/>
          <w:lang w:val="es-ES"/>
        </w:rPr>
        <w:t>informe justificado</w:t>
      </w:r>
      <w:r w:rsidRPr="00F96966">
        <w:rPr>
          <w:rFonts w:ascii="Palatino Linotype" w:eastAsia="Calibri" w:hAnsi="Palatino Linotype" w:cs="Arial"/>
          <w:color w:val="000000" w:themeColor="text1"/>
          <w:sz w:val="24"/>
          <w:lang w:val="es-ES"/>
        </w:rPr>
        <w:t xml:space="preserve"> cumple con lo solicitado por</w:t>
      </w:r>
      <w:r w:rsidR="00007940" w:rsidRPr="00F96966">
        <w:rPr>
          <w:rFonts w:ascii="Palatino Linotype" w:eastAsia="Calibri" w:hAnsi="Palatino Linotype" w:cs="Arial"/>
          <w:color w:val="000000" w:themeColor="text1"/>
          <w:sz w:val="24"/>
          <w:lang w:val="es-ES"/>
        </w:rPr>
        <w:t xml:space="preserve"> el particular, pues se entregó la</w:t>
      </w:r>
      <w:r w:rsidRPr="00F96966">
        <w:rPr>
          <w:rFonts w:ascii="Palatino Linotype" w:eastAsia="Calibri" w:hAnsi="Palatino Linotype" w:cs="Arial"/>
          <w:color w:val="000000" w:themeColor="text1"/>
          <w:sz w:val="24"/>
          <w:lang w:val="es-ES"/>
        </w:rPr>
        <w:t xml:space="preserve"> información que fue requerida por el Recurrente</w:t>
      </w:r>
      <w:proofErr w:type="gramStart"/>
      <w:r w:rsidRPr="00F96966">
        <w:rPr>
          <w:rFonts w:ascii="Palatino Linotype" w:eastAsia="Calibri" w:hAnsi="Palatino Linotype" w:cs="Arial"/>
          <w:color w:val="000000" w:themeColor="text1"/>
          <w:sz w:val="24"/>
        </w:rPr>
        <w:t xml:space="preserve">, </w:t>
      </w:r>
      <w:r w:rsidRPr="00F96966">
        <w:rPr>
          <w:rFonts w:ascii="Palatino Linotype" w:eastAsia="Calibri" w:hAnsi="Palatino Linotype" w:cs="Arial"/>
          <w:color w:val="000000" w:themeColor="text1"/>
          <w:sz w:val="24"/>
          <w:lang w:val="es-ES"/>
        </w:rPr>
        <w:t xml:space="preserve"> asimismo</w:t>
      </w:r>
      <w:proofErr w:type="gramEnd"/>
      <w:r w:rsidRPr="00F96966">
        <w:rPr>
          <w:rFonts w:ascii="Palatino Linotype" w:eastAsia="Calibri" w:hAnsi="Palatino Linotype" w:cs="Arial"/>
          <w:color w:val="000000" w:themeColor="text1"/>
          <w:sz w:val="24"/>
          <w:lang w:val="es-ES"/>
        </w:rPr>
        <w:t xml:space="preserve">, </w:t>
      </w:r>
      <w:r w:rsidRPr="00F96966">
        <w:rPr>
          <w:rFonts w:ascii="Palatino Linotype" w:hAnsi="Palatino Linotype" w:cs="Arial"/>
          <w:bCs/>
          <w:sz w:val="24"/>
        </w:rPr>
        <w:t xml:space="preserve">al haber existido un pronunciamiento por parte del Sujeto Obligado, este Instituto no está facultado para manifestarse sobre la veracidad de este, pues </w:t>
      </w:r>
      <w:r w:rsidRPr="00F96966">
        <w:rPr>
          <w:rFonts w:ascii="Palatino Linotype" w:hAnsi="Palatino Linotype" w:cs="Arial"/>
          <w:bCs/>
          <w:sz w:val="24"/>
        </w:rPr>
        <w:lastRenderedPageBreak/>
        <w:t>no existe precepto legal alguno en la Ley de la materia que lo faculte para que, vía recurso de revisión, pueda pronunciarse al respecto.</w:t>
      </w:r>
    </w:p>
    <w:p w14:paraId="0068357E" w14:textId="77777777" w:rsidR="00BA04A2" w:rsidRPr="00F96966" w:rsidRDefault="00BA04A2" w:rsidP="00BA04A2">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0068357F" w14:textId="77777777" w:rsidR="00BA04A2" w:rsidRPr="00F96966" w:rsidRDefault="00BA04A2"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Sirve </w:t>
      </w:r>
      <w:r w:rsidRPr="00F96966">
        <w:rPr>
          <w:rFonts w:ascii="Palatino Linotype" w:hAnsi="Palatino Linotype" w:cs="Arial"/>
          <w:bCs/>
          <w:sz w:val="24"/>
          <w:lang w:val="es-ES"/>
        </w:rPr>
        <w:t xml:space="preserve">de apoyo a lo anterior, </w:t>
      </w:r>
      <w:r w:rsidRPr="00F96966">
        <w:rPr>
          <w:rFonts w:ascii="Palatino Linotype" w:hAnsi="Palatino Linotype" w:cs="Arial"/>
          <w:bCs/>
          <w:sz w:val="24"/>
        </w:rPr>
        <w:t>por analogía el criterio 31-10 emitido por el entonces Instituto Federal de Acceso a la Información ahora Instituto Nacional de Transparencia, Acceso a la Información y Protección de Datos Personales (INAI) que a la letra dice:</w:t>
      </w:r>
    </w:p>
    <w:p w14:paraId="00683580" w14:textId="77777777" w:rsidR="00BA04A2" w:rsidRPr="00335872" w:rsidRDefault="00BA04A2" w:rsidP="00BA04A2">
      <w:pPr>
        <w:tabs>
          <w:tab w:val="left" w:pos="709"/>
        </w:tabs>
        <w:spacing w:line="360" w:lineRule="auto"/>
        <w:ind w:left="851" w:right="822"/>
        <w:jc w:val="both"/>
        <w:rPr>
          <w:rFonts w:ascii="Palatino Linotype" w:hAnsi="Palatino Linotype" w:cs="Arial"/>
          <w:b/>
          <w:bCs/>
          <w:i/>
          <w:sz w:val="22"/>
        </w:rPr>
      </w:pPr>
      <w:r w:rsidRPr="00335872">
        <w:rPr>
          <w:rFonts w:ascii="Palatino Linotype" w:hAnsi="Palatino Linotype" w:cs="Arial"/>
          <w:b/>
          <w:bCs/>
          <w:i/>
          <w:sz w:val="22"/>
        </w:rPr>
        <w:t>“El Instituto Federal de Acceso a la Información y Protección de Datos no cuenta con facultades para pronunciarse respecto de la veracidad de los documentos proporcionados por los sujetos obligados</w:t>
      </w:r>
      <w:r w:rsidRPr="00335872">
        <w:rPr>
          <w:rFonts w:ascii="Palatino Linotype" w:hAnsi="Palatino Linotype" w:cs="Arial"/>
          <w:bCs/>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35872">
        <w:rPr>
          <w:rFonts w:ascii="Palatino Linotype" w:hAnsi="Palatino Linotype" w:cs="Arial"/>
          <w:b/>
          <w:bCs/>
          <w:i/>
          <w:sz w:val="22"/>
        </w:rPr>
        <w:t>”</w:t>
      </w:r>
    </w:p>
    <w:p w14:paraId="00683581" w14:textId="77777777" w:rsidR="00BA04A2" w:rsidRPr="00F96966" w:rsidRDefault="00BA04A2" w:rsidP="00BA04A2">
      <w:pPr>
        <w:tabs>
          <w:tab w:val="left" w:pos="709"/>
        </w:tabs>
        <w:ind w:right="565"/>
        <w:jc w:val="both"/>
        <w:rPr>
          <w:rFonts w:ascii="Palatino Linotype" w:hAnsi="Palatino Linotype" w:cs="Arial"/>
          <w:b/>
          <w:bCs/>
          <w:i/>
        </w:rPr>
      </w:pPr>
    </w:p>
    <w:p w14:paraId="00683582"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Así, </w:t>
      </w:r>
      <w:r w:rsidRPr="00F96966">
        <w:rPr>
          <w:rFonts w:ascii="Palatino Linotype" w:eastAsia="Calibri" w:hAnsi="Palatino Linotype"/>
          <w:sz w:val="24"/>
        </w:rPr>
        <w:t xml:space="preserve">este Pleno advierte que el </w:t>
      </w:r>
      <w:r w:rsidRPr="00F96966">
        <w:rPr>
          <w:rFonts w:ascii="Palatino Linotype" w:eastAsia="Calibri" w:hAnsi="Palatino Linotype"/>
          <w:b/>
          <w:sz w:val="24"/>
        </w:rPr>
        <w:t>SUJETO OBLIGADO</w:t>
      </w:r>
      <w:r w:rsidRPr="00F96966">
        <w:rPr>
          <w:rFonts w:ascii="Palatino Linotype" w:eastAsia="Calibri" w:hAnsi="Palatino Linotype"/>
          <w:sz w:val="24"/>
        </w:rPr>
        <w:t xml:space="preserve"> </w:t>
      </w:r>
      <w:r w:rsidRPr="00F96966">
        <w:rPr>
          <w:rFonts w:ascii="Palatino Linotype" w:eastAsia="Calibri" w:hAnsi="Palatino Linotype"/>
          <w:b/>
          <w:sz w:val="24"/>
        </w:rPr>
        <w:t xml:space="preserve">modificó </w:t>
      </w:r>
      <w:r w:rsidRPr="00F96966">
        <w:rPr>
          <w:rFonts w:ascii="Palatino Linotype" w:eastAsia="Calibri" w:hAnsi="Palatino Linotype"/>
          <w:sz w:val="24"/>
        </w:rPr>
        <w:t>el acto que le dio origen a los recursos de revisión, lo que trae como consecuencia que el mismo quede sin materia, actualizándose de este modo, la hipótesis jurídica contenida en la fracción III del artículo 192 de la Ley de Transparencia Local.</w:t>
      </w:r>
    </w:p>
    <w:p w14:paraId="00683583" w14:textId="77777777" w:rsidR="00BA04A2" w:rsidRPr="00F96966" w:rsidRDefault="00BA04A2" w:rsidP="00BA04A2">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00683584"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lastRenderedPageBreak/>
        <w:t xml:space="preserve">Ahora bien, </w:t>
      </w:r>
      <w:r w:rsidRPr="00F96966">
        <w:rPr>
          <w:rFonts w:ascii="Palatino Linotype" w:eastAsia="Calibri" w:hAnsi="Palatino Linotype"/>
          <w:sz w:val="24"/>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F96966">
        <w:rPr>
          <w:rFonts w:ascii="Palatino Linotype" w:eastAsia="Calibri" w:hAnsi="Palatino Linotype"/>
          <w:b/>
          <w:sz w:val="24"/>
        </w:rPr>
        <w:t>SUJETOS OBLIGADOS</w:t>
      </w:r>
      <w:r w:rsidRPr="00F96966">
        <w:rPr>
          <w:rFonts w:ascii="Palatino Linotype" w:eastAsia="Calibri" w:hAnsi="Palatino Linotype"/>
          <w:sz w:val="24"/>
        </w:rPr>
        <w:t xml:space="preserve"> o la negativa de entrega de esta, derivada de la solicitud de información pública.</w:t>
      </w:r>
    </w:p>
    <w:p w14:paraId="00683585" w14:textId="77777777" w:rsidR="00BA04A2" w:rsidRPr="00F96966" w:rsidRDefault="00BA04A2" w:rsidP="00BA04A2">
      <w:pPr>
        <w:rPr>
          <w:rFonts w:ascii="Palatino Linotype" w:eastAsia="Calibri" w:hAnsi="Palatino Linotype" w:cs="Arial"/>
          <w:color w:val="000000" w:themeColor="text1"/>
          <w:lang w:val="es-ES"/>
        </w:rPr>
      </w:pPr>
    </w:p>
    <w:p w14:paraId="00683586"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De </w:t>
      </w:r>
      <w:r w:rsidRPr="00F96966">
        <w:rPr>
          <w:rFonts w:ascii="Palatino Linotype" w:eastAsia="Calibri" w:hAnsi="Palatino Linotype"/>
          <w:sz w:val="24"/>
        </w:rPr>
        <w:t xml:space="preserve">este modo, cuando el </w:t>
      </w:r>
      <w:r w:rsidRPr="00F96966">
        <w:rPr>
          <w:rFonts w:ascii="Palatino Linotype" w:eastAsia="Calibri" w:hAnsi="Palatino Linotype"/>
          <w:b/>
          <w:sz w:val="24"/>
        </w:rPr>
        <w:t xml:space="preserve">SUJETO OBLIGADO, </w:t>
      </w:r>
      <w:r w:rsidRPr="00F96966">
        <w:rPr>
          <w:rFonts w:ascii="Palatino Linotype" w:eastAsia="Calibri" w:hAnsi="Palatino Linotype"/>
          <w:sz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F96966">
        <w:rPr>
          <w:rFonts w:ascii="Palatino Linotype" w:eastAsia="Calibri" w:hAnsi="Palatino Linotype"/>
          <w:i/>
          <w:sz w:val="24"/>
        </w:rPr>
        <w:t>litis</w:t>
      </w:r>
      <w:r w:rsidRPr="00F96966">
        <w:rPr>
          <w:rFonts w:ascii="Palatino Linotype" w:eastAsia="Calibri" w:hAnsi="Palatino Linotype"/>
          <w:sz w:val="24"/>
        </w:rPr>
        <w:t xml:space="preserve"> planteada, debido a que la afectación en su esfera de derechos fue restituida por la propia autoridad que emitió el acto motivo de impugnación.</w:t>
      </w:r>
    </w:p>
    <w:p w14:paraId="00683587" w14:textId="77777777" w:rsidR="00BA04A2" w:rsidRPr="00F96966" w:rsidRDefault="00BA04A2" w:rsidP="00BA04A2">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00683588" w14:textId="77777777" w:rsidR="00BA04A2" w:rsidRPr="00F96966" w:rsidRDefault="00BA04A2" w:rsidP="00BA04A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Sirve </w:t>
      </w:r>
      <w:r w:rsidRPr="00F96966">
        <w:rPr>
          <w:rFonts w:ascii="Palatino Linotype" w:eastAsia="Calibri" w:hAnsi="Palatino Linotype"/>
          <w:sz w:val="24"/>
        </w:rPr>
        <w:t>de sustento a lo anterior la siguiente jurisprudencia por contradicción, cuyo rubro, texto y datos de identificación son los siguientes:</w:t>
      </w:r>
    </w:p>
    <w:p w14:paraId="00683589" w14:textId="77777777" w:rsidR="00BA04A2" w:rsidRPr="00335872" w:rsidRDefault="00BA04A2" w:rsidP="00BA04A2">
      <w:pPr>
        <w:pStyle w:val="Prrafodelista"/>
        <w:tabs>
          <w:tab w:val="left" w:pos="709"/>
          <w:tab w:val="left" w:pos="851"/>
        </w:tabs>
        <w:spacing w:line="360" w:lineRule="auto"/>
        <w:ind w:left="851" w:right="822"/>
        <w:jc w:val="both"/>
        <w:rPr>
          <w:rFonts w:ascii="Palatino Linotype" w:eastAsia="Calibri" w:hAnsi="Palatino Linotype" w:cs="Arial"/>
          <w:color w:val="000000" w:themeColor="text1"/>
          <w:lang w:val="es-ES"/>
        </w:rPr>
      </w:pPr>
      <w:r w:rsidRPr="00335872">
        <w:rPr>
          <w:rFonts w:ascii="Palatino Linotype" w:eastAsia="Calibri" w:hAnsi="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335872">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w:t>
      </w:r>
      <w:r w:rsidRPr="00335872">
        <w:rPr>
          <w:rFonts w:ascii="Palatino Linotype" w:eastAsia="Calibri" w:hAnsi="Palatino Linotype"/>
          <w:i/>
        </w:rPr>
        <w:lastRenderedPageBreak/>
        <w:t>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0068358A" w14:textId="77777777" w:rsidR="00BA04A2" w:rsidRPr="00F96966" w:rsidRDefault="00BA04A2" w:rsidP="00BA04A2">
      <w:pPr>
        <w:rPr>
          <w:rFonts w:ascii="Palatino Linotype" w:eastAsia="Calibri" w:hAnsi="Palatino Linotype" w:cs="Arial"/>
          <w:color w:val="000000" w:themeColor="text1"/>
          <w:lang w:val="es-ES"/>
        </w:rPr>
      </w:pPr>
    </w:p>
    <w:p w14:paraId="0068358B" w14:textId="77777777" w:rsidR="00BA04A2" w:rsidRPr="00F96966" w:rsidRDefault="00BA04A2" w:rsidP="00BA04A2">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La </w:t>
      </w:r>
      <w:r w:rsidRPr="00F96966">
        <w:rPr>
          <w:rFonts w:ascii="Palatino Linotype" w:eastAsia="Calibri" w:hAnsi="Palatino Linotype"/>
          <w:sz w:val="24"/>
        </w:rPr>
        <w:t xml:space="preserve">anterior jurisprudencia resulta aplicable al presente asunto, en dos aspectos: </w:t>
      </w:r>
    </w:p>
    <w:p w14:paraId="0068358C" w14:textId="77777777" w:rsidR="00BA04A2" w:rsidRPr="00335872" w:rsidRDefault="00BA04A2" w:rsidP="00335872">
      <w:pPr>
        <w:numPr>
          <w:ilvl w:val="0"/>
          <w:numId w:val="13"/>
        </w:numPr>
        <w:spacing w:line="360" w:lineRule="auto"/>
        <w:ind w:left="567" w:right="963" w:firstLine="0"/>
        <w:contextualSpacing/>
        <w:jc w:val="both"/>
        <w:rPr>
          <w:rFonts w:ascii="Palatino Linotype" w:eastAsia="Calibri" w:hAnsi="Palatino Linotype"/>
          <w:sz w:val="22"/>
        </w:rPr>
      </w:pPr>
      <w:r w:rsidRPr="00335872">
        <w:rPr>
          <w:rFonts w:ascii="Palatino Linotype" w:eastAsia="Calibri" w:hAnsi="Palatino Linotype"/>
          <w:b/>
          <w:sz w:val="22"/>
        </w:rPr>
        <w:t>La cesación de los efectos perniciosos del acto de autoridad:</w:t>
      </w:r>
      <w:r w:rsidRPr="00335872">
        <w:rPr>
          <w:rFonts w:ascii="Palatino Linotype" w:eastAsia="Calibri" w:hAnsi="Palatino Linotype"/>
          <w:sz w:val="22"/>
        </w:rPr>
        <w:t xml:space="preserve"> Al respecto, la Ley de Transparencia contempla la figura jurídica del sobreseimiento cuando el </w:t>
      </w:r>
      <w:r w:rsidRPr="00335872">
        <w:rPr>
          <w:rFonts w:ascii="Palatino Linotype" w:eastAsia="Calibri" w:hAnsi="Palatino Linotype"/>
          <w:b/>
          <w:sz w:val="22"/>
        </w:rPr>
        <w:t>SUJETO OBLIGADO</w:t>
      </w:r>
      <w:r w:rsidRPr="00335872">
        <w:rPr>
          <w:rFonts w:ascii="Palatino Linotype" w:eastAsia="Calibri" w:hAnsi="Palatino Linotype"/>
          <w:sz w:val="22"/>
        </w:rPr>
        <w:t xml:space="preserve"> de </w:t>
      </w:r>
      <w:r w:rsidRPr="00335872">
        <w:rPr>
          <w:rFonts w:ascii="Palatino Linotype" w:eastAsia="Calibri" w:hAnsi="Palatino Linotype"/>
          <w:i/>
          <w:sz w:val="22"/>
        </w:rPr>
        <w:t>motu proprio</w:t>
      </w:r>
      <w:r w:rsidRPr="00335872">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0068358D" w14:textId="77777777" w:rsidR="00BA04A2" w:rsidRPr="00335872" w:rsidRDefault="00BA04A2" w:rsidP="00335872">
      <w:pPr>
        <w:spacing w:line="360" w:lineRule="auto"/>
        <w:ind w:left="567" w:right="963"/>
        <w:contextualSpacing/>
        <w:rPr>
          <w:rFonts w:ascii="Palatino Linotype" w:eastAsia="Calibri" w:hAnsi="Palatino Linotype"/>
          <w:sz w:val="22"/>
        </w:rPr>
      </w:pPr>
    </w:p>
    <w:p w14:paraId="0068358E" w14:textId="77777777" w:rsidR="00BA04A2" w:rsidRPr="00335872" w:rsidRDefault="00BA04A2" w:rsidP="00335872">
      <w:pPr>
        <w:numPr>
          <w:ilvl w:val="0"/>
          <w:numId w:val="13"/>
        </w:numPr>
        <w:spacing w:line="360" w:lineRule="auto"/>
        <w:ind w:left="567" w:right="963" w:firstLine="0"/>
        <w:contextualSpacing/>
        <w:jc w:val="both"/>
        <w:rPr>
          <w:rFonts w:ascii="Palatino Linotype" w:eastAsia="Calibri" w:hAnsi="Palatino Linotype"/>
          <w:sz w:val="22"/>
        </w:rPr>
      </w:pPr>
      <w:r w:rsidRPr="00335872">
        <w:rPr>
          <w:rFonts w:ascii="Palatino Linotype" w:eastAsia="Calibri" w:hAnsi="Palatino Linotype"/>
          <w:b/>
          <w:sz w:val="22"/>
        </w:rPr>
        <w:t>El momento procesal para modificar el acto impugnado:</w:t>
      </w:r>
      <w:r w:rsidRPr="00335872">
        <w:rPr>
          <w:rFonts w:ascii="Palatino Linotype" w:eastAsia="Calibri" w:hAnsi="Palatino Linotype"/>
          <w:sz w:val="22"/>
        </w:rPr>
        <w:t xml:space="preserve"> Para que se actualice el sobreseimiento de un recurso de revisión, el </w:t>
      </w:r>
      <w:r w:rsidRPr="00335872">
        <w:rPr>
          <w:rFonts w:ascii="Palatino Linotype" w:eastAsia="Calibri" w:hAnsi="Palatino Linotype"/>
          <w:b/>
          <w:sz w:val="22"/>
        </w:rPr>
        <w:t>SUJETO OBLIGADO</w:t>
      </w:r>
      <w:r w:rsidRPr="00335872">
        <w:rPr>
          <w:rFonts w:ascii="Palatino Linotype" w:eastAsia="Calibri" w:hAnsi="Palatino Linotype"/>
          <w:sz w:val="22"/>
        </w:rPr>
        <w:t xml:space="preserve"> puede entregar o completar la información al momento de rendir su informe de justificación o </w:t>
      </w:r>
      <w:r w:rsidRPr="00335872">
        <w:rPr>
          <w:rFonts w:ascii="Palatino Linotype" w:eastAsia="Calibri" w:hAnsi="Palatino Linotype"/>
          <w:b/>
          <w:sz w:val="22"/>
          <w:u w:val="single"/>
        </w:rPr>
        <w:t>posteriormente</w:t>
      </w:r>
      <w:r w:rsidRPr="00335872">
        <w:rPr>
          <w:rFonts w:ascii="Palatino Linotype" w:eastAsia="Calibri" w:hAnsi="Palatino Linotype"/>
          <w:sz w:val="22"/>
        </w:rPr>
        <w:t xml:space="preserve"> a éste, siempre y cuando el Pleno del Instituto no haya dictado resolución definitiva.</w:t>
      </w:r>
    </w:p>
    <w:p w14:paraId="0068358F" w14:textId="77777777" w:rsidR="00BA04A2" w:rsidRPr="00F96966" w:rsidRDefault="00BA04A2" w:rsidP="00BA04A2">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00683590" w14:textId="77777777" w:rsidR="00BA04A2" w:rsidRPr="00F96966" w:rsidRDefault="00BA04A2"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Eduardo Pallares, </w:t>
      </w:r>
      <w:r w:rsidRPr="00F96966">
        <w:rPr>
          <w:rFonts w:ascii="Palatino Linotype" w:eastAsia="Calibri" w:hAnsi="Palatino Linotype"/>
          <w:sz w:val="24"/>
        </w:rPr>
        <w:t xml:space="preserve">en su artículo </w:t>
      </w:r>
      <w:r w:rsidRPr="00F96966">
        <w:rPr>
          <w:rFonts w:ascii="Palatino Linotype" w:eastAsia="Calibri" w:hAnsi="Palatino Linotype"/>
          <w:i/>
          <w:sz w:val="24"/>
        </w:rPr>
        <w:t>“La caducidad y el sobreseimiento en el amparo”</w:t>
      </w:r>
      <w:r w:rsidRPr="00F96966">
        <w:rPr>
          <w:rFonts w:ascii="Palatino Linotype" w:eastAsia="Calibri" w:hAnsi="Palatino Linotype"/>
          <w:sz w:val="24"/>
        </w:rPr>
        <w:t xml:space="preserve">, cita la definición de Aguilera Paz, aduciendo que se </w:t>
      </w:r>
      <w:r w:rsidRPr="00F96966">
        <w:rPr>
          <w:rFonts w:ascii="Palatino Linotype" w:eastAsia="Calibri" w:hAnsi="Palatino Linotype"/>
          <w:i/>
          <w:sz w:val="24"/>
        </w:rPr>
        <w:t>“...entiende por sobreseimiento en el tecnicismo forense, el hecho de cesar en el procedimiento o curso de la causa, por no existir méritos bastantes para entrar en un juicio o para entablar la contienda judicial que debe ser objeto del mismo...”</w:t>
      </w:r>
      <w:r w:rsidRPr="00F96966">
        <w:rPr>
          <w:rFonts w:ascii="Palatino Linotype" w:eastAsia="Calibri" w:hAnsi="Palatino Linotype"/>
          <w:sz w:val="24"/>
        </w:rPr>
        <w:t xml:space="preserve">. Asimismo, </w:t>
      </w:r>
      <w:r w:rsidRPr="00F96966">
        <w:rPr>
          <w:rFonts w:ascii="Palatino Linotype" w:eastAsia="Calibri" w:hAnsi="Palatino Linotype"/>
          <w:sz w:val="24"/>
        </w:rPr>
        <w:lastRenderedPageBreak/>
        <w:t>señala que existe el sobreseimiento provisional y el definitivo</w:t>
      </w:r>
      <w:r w:rsidRPr="00F96966">
        <w:rPr>
          <w:rFonts w:ascii="Palatino Linotype" w:eastAsia="Calibri" w:hAnsi="Palatino Linotype"/>
          <w:i/>
          <w:sz w:val="24"/>
        </w:rPr>
        <w:t>: “...el definitivo es una verdadera sentencia que pone fin al juicio, y que una vez dictada, produce cosa juzgada, mientras que el provisorio tiene por efectos suspender la prosecución de la causa...”</w:t>
      </w:r>
    </w:p>
    <w:p w14:paraId="00683591" w14:textId="77777777" w:rsidR="00BA04A2" w:rsidRPr="00F96966" w:rsidRDefault="00BA04A2" w:rsidP="00BA04A2">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00683592" w14:textId="77777777" w:rsidR="00BA04A2" w:rsidRPr="00335872" w:rsidRDefault="00BA04A2"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lang w:val="es-ES"/>
        </w:rPr>
      </w:pPr>
      <w:r w:rsidRPr="00F96966">
        <w:rPr>
          <w:rFonts w:ascii="Palatino Linotype" w:eastAsia="Calibri" w:hAnsi="Palatino Linotype" w:cs="Arial"/>
          <w:color w:val="000000" w:themeColor="text1"/>
          <w:sz w:val="24"/>
          <w:lang w:val="es-ES"/>
        </w:rPr>
        <w:t xml:space="preserve">Así, </w:t>
      </w:r>
      <w:r w:rsidRPr="00F96966">
        <w:rPr>
          <w:rFonts w:ascii="Palatino Linotype" w:eastAsia="Calibri" w:hAnsi="Palatino Linotype"/>
          <w:sz w:val="24"/>
        </w:rPr>
        <w:t xml:space="preserve">para la doctrina el sobreseimiento provoca que un procedimiento se suspenda o se resuelva en definitiva </w:t>
      </w:r>
      <w:r w:rsidRPr="00F96966">
        <w:rPr>
          <w:rFonts w:ascii="Palatino Linotype" w:eastAsia="Calibri" w:hAnsi="Palatino Linotype"/>
          <w:b/>
          <w:sz w:val="24"/>
          <w:u w:val="single"/>
        </w:rPr>
        <w:t xml:space="preserve">sin que se entre al estudio de los agravios o motivos de inconformidad. </w:t>
      </w:r>
      <w:r w:rsidRPr="00F96966">
        <w:rPr>
          <w:rFonts w:ascii="Palatino Linotype" w:eastAsia="Calibri" w:hAnsi="Palatino Linotype"/>
          <w:sz w:val="24"/>
        </w:rPr>
        <w:t>Este mismo criterio es compartido por el más alto tribunal del país en múltiples jurisprudencias, por lo que a continuación se agrega</w:t>
      </w:r>
      <w:r w:rsidRPr="00335872">
        <w:rPr>
          <w:rFonts w:ascii="Palatino Linotype" w:eastAsia="Calibri" w:hAnsi="Palatino Linotype"/>
        </w:rPr>
        <w:t xml:space="preserve"> una de ellas que sirve como orientador en esta resolución:</w:t>
      </w:r>
    </w:p>
    <w:p w14:paraId="00683593" w14:textId="77777777" w:rsidR="00BA04A2" w:rsidRPr="00335872" w:rsidRDefault="00BA04A2" w:rsidP="00BA04A2">
      <w:pPr>
        <w:spacing w:line="360" w:lineRule="auto"/>
        <w:ind w:left="851" w:right="822"/>
        <w:contextualSpacing/>
        <w:jc w:val="both"/>
        <w:rPr>
          <w:rFonts w:ascii="Palatino Linotype" w:eastAsia="Calibri" w:hAnsi="Palatino Linotype"/>
          <w:i/>
          <w:sz w:val="22"/>
          <w:lang w:val="es-AR"/>
        </w:rPr>
      </w:pPr>
      <w:r w:rsidRPr="00335872">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335872">
        <w:rPr>
          <w:rFonts w:ascii="Palatino Linotype" w:eastAsia="Calibri" w:hAnsi="Palatino Linotype"/>
          <w:i/>
          <w:sz w:val="22"/>
          <w:lang w:val="es-AR"/>
        </w:rPr>
        <w:t xml:space="preserve"> en el juicio de amparo directo </w:t>
      </w:r>
      <w:r w:rsidRPr="00335872">
        <w:rPr>
          <w:rFonts w:ascii="Palatino Linotype" w:eastAsia="Calibri" w:hAnsi="Palatino Linotype"/>
          <w:b/>
          <w:i/>
          <w:sz w:val="22"/>
          <w:lang w:val="es-AR"/>
        </w:rPr>
        <w:t>provoca la terminación de la controversia planteada</w:t>
      </w:r>
      <w:r w:rsidRPr="00335872">
        <w:rPr>
          <w:rFonts w:ascii="Palatino Linotype" w:eastAsia="Calibri" w:hAnsi="Palatino Linotype"/>
          <w:i/>
          <w:sz w:val="22"/>
          <w:lang w:val="es-AR"/>
        </w:rPr>
        <w:t xml:space="preserve"> por el quejoso en la demanda de amparo</w:t>
      </w:r>
      <w:r w:rsidRPr="00335872">
        <w:rPr>
          <w:rFonts w:ascii="Palatino Linotype" w:eastAsia="Calibri" w:hAnsi="Palatino Linotype"/>
          <w:b/>
          <w:i/>
          <w:sz w:val="22"/>
          <w:lang w:val="es-AR"/>
        </w:rPr>
        <w:t>, sin hacer un pronunciamiento de fondo sobre la legalidad o ilegalidad de la sentencia reclamada</w:t>
      </w:r>
      <w:r w:rsidRPr="00335872">
        <w:rPr>
          <w:rFonts w:ascii="Palatino Linotype" w:eastAsia="Calibri" w:hAnsi="Palatino Linotype"/>
          <w:i/>
          <w:sz w:val="22"/>
          <w:lang w:val="es-AR"/>
        </w:rPr>
        <w:t xml:space="preserve">. </w:t>
      </w:r>
      <w:r w:rsidRPr="00335872">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335872">
        <w:rPr>
          <w:rFonts w:ascii="Palatino Linotype" w:eastAsia="Calibri" w:hAnsi="Palatino Linotype"/>
          <w:i/>
          <w:sz w:val="22"/>
          <w:lang w:val="es-AR"/>
        </w:rPr>
        <w:t>.</w:t>
      </w:r>
    </w:p>
    <w:p w14:paraId="00683594" w14:textId="77777777" w:rsidR="00BA04A2" w:rsidRPr="00335872" w:rsidRDefault="00BA04A2" w:rsidP="00BA04A2">
      <w:pPr>
        <w:spacing w:line="360" w:lineRule="auto"/>
        <w:ind w:left="851" w:right="822"/>
        <w:contextualSpacing/>
        <w:jc w:val="both"/>
        <w:rPr>
          <w:rFonts w:ascii="Palatino Linotype" w:eastAsia="Calibri" w:hAnsi="Palatino Linotype"/>
          <w:i/>
          <w:sz w:val="22"/>
          <w:lang w:val="es-AR"/>
        </w:rPr>
      </w:pPr>
      <w:r w:rsidRPr="00335872">
        <w:rPr>
          <w:rFonts w:ascii="Palatino Linotype" w:eastAsia="Calibri" w:hAnsi="Palatino Linotype"/>
          <w:i/>
          <w:sz w:val="22"/>
          <w:lang w:val="es-AR"/>
        </w:rPr>
        <w:t>SÉPTIMO TRIBUNAL COLEGIADO EN MATERIA CIVIL DEL PRIMER CIRCUITO.</w:t>
      </w:r>
    </w:p>
    <w:p w14:paraId="00683595" w14:textId="77777777" w:rsidR="00BA04A2" w:rsidRPr="00335872" w:rsidRDefault="00BA04A2" w:rsidP="00BA04A2">
      <w:pPr>
        <w:spacing w:line="360" w:lineRule="auto"/>
        <w:ind w:left="851" w:right="822"/>
        <w:contextualSpacing/>
        <w:jc w:val="both"/>
        <w:rPr>
          <w:rFonts w:ascii="Palatino Linotype" w:eastAsia="Calibri" w:hAnsi="Palatino Linotype"/>
          <w:b/>
          <w:i/>
          <w:sz w:val="22"/>
          <w:lang w:val="es-AR"/>
        </w:rPr>
      </w:pPr>
      <w:r w:rsidRPr="00335872">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00683596" w14:textId="77777777" w:rsidR="00BA04A2" w:rsidRPr="00F96966" w:rsidRDefault="00BA04A2" w:rsidP="00BA04A2">
      <w:pPr>
        <w:spacing w:line="360" w:lineRule="auto"/>
        <w:ind w:right="565"/>
        <w:contextualSpacing/>
        <w:jc w:val="both"/>
        <w:rPr>
          <w:rFonts w:ascii="Palatino Linotype" w:eastAsia="Calibri" w:hAnsi="Palatino Linotype"/>
          <w:b/>
          <w:i/>
          <w:lang w:val="es-AR"/>
        </w:rPr>
      </w:pPr>
    </w:p>
    <w:p w14:paraId="00683597" w14:textId="77777777" w:rsidR="00BA04A2" w:rsidRPr="00F96966" w:rsidRDefault="00BA04A2" w:rsidP="0067743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cs="Arial"/>
          <w:color w:val="000000" w:themeColor="text1"/>
          <w:sz w:val="24"/>
          <w:lang w:val="es-ES"/>
        </w:rPr>
        <w:t xml:space="preserve">Consecuentemente, </w:t>
      </w:r>
      <w:r w:rsidRPr="00F96966">
        <w:rPr>
          <w:rFonts w:ascii="Palatino Linotype" w:eastAsia="Calibri" w:hAnsi="Palatino Linotype"/>
          <w:sz w:val="24"/>
        </w:rPr>
        <w:t xml:space="preserve">por lo que hace a los motivos de inconformidad, los mismos devienen inatendibles por actualizarse la figura del sobreseimiento, misma que impide el </w:t>
      </w:r>
      <w:r w:rsidRPr="00F96966">
        <w:rPr>
          <w:rFonts w:ascii="Palatino Linotype" w:eastAsia="Calibri" w:hAnsi="Palatino Linotype"/>
          <w:sz w:val="24"/>
        </w:rPr>
        <w:lastRenderedPageBreak/>
        <w:t>estudio de los agravios planteados, máxime que se ha dado cumplimiento al derecho de acceso a la información.</w:t>
      </w:r>
    </w:p>
    <w:p w14:paraId="00683598" w14:textId="77777777" w:rsidR="00BA04A2" w:rsidRPr="00F96966" w:rsidRDefault="00BA04A2" w:rsidP="00BA04A2">
      <w:pPr>
        <w:pStyle w:val="Prrafodelista"/>
        <w:tabs>
          <w:tab w:val="left" w:pos="284"/>
        </w:tabs>
        <w:spacing w:line="360" w:lineRule="auto"/>
        <w:ind w:left="0"/>
        <w:jc w:val="both"/>
        <w:rPr>
          <w:rFonts w:ascii="Palatino Linotype" w:eastAsia="Calibri" w:hAnsi="Palatino Linotype" w:cs="Arial"/>
          <w:color w:val="000000" w:themeColor="text1"/>
          <w:sz w:val="24"/>
        </w:rPr>
      </w:pPr>
    </w:p>
    <w:p w14:paraId="00683599" w14:textId="77777777" w:rsidR="00BA04A2" w:rsidRPr="00F96966" w:rsidRDefault="00BA04A2" w:rsidP="00BA04A2">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F96966">
        <w:rPr>
          <w:rFonts w:ascii="Palatino Linotype" w:eastAsia="Calibri" w:hAnsi="Palatino Linotype"/>
          <w:sz w:val="24"/>
        </w:rPr>
        <w:t xml:space="preserve">Bajo </w:t>
      </w:r>
      <w:r w:rsidRPr="00F96966">
        <w:rPr>
          <w:rFonts w:ascii="Palatino Linotype" w:eastAsia="Calibri" w:hAnsi="Palatino Linotype"/>
          <w:sz w:val="24"/>
          <w:lang w:val="es-CO"/>
        </w:rPr>
        <w:t xml:space="preserve">ese tenor y en términos del artículo 186 fracción I este Pleno determina el </w:t>
      </w:r>
      <w:r w:rsidRPr="00F96966">
        <w:rPr>
          <w:rFonts w:ascii="Palatino Linotype" w:eastAsia="Calibri" w:hAnsi="Palatino Linotype"/>
          <w:b/>
          <w:sz w:val="24"/>
          <w:lang w:val="es-CO"/>
        </w:rPr>
        <w:t xml:space="preserve">SOBRESEIMIENTO </w:t>
      </w:r>
      <w:r w:rsidRPr="00F96966">
        <w:rPr>
          <w:rFonts w:ascii="Palatino Linotype" w:eastAsia="Calibri" w:hAnsi="Palatino Linotype"/>
          <w:sz w:val="24"/>
          <w:lang w:val="es-CO"/>
        </w:rPr>
        <w:t xml:space="preserve">del recurso de revisión </w:t>
      </w:r>
      <w:r w:rsidR="0067743D" w:rsidRPr="00F96966">
        <w:rPr>
          <w:rFonts w:ascii="Palatino Linotype" w:hAnsi="Palatino Linotype" w:cs="Arial"/>
          <w:b/>
          <w:bCs/>
          <w:sz w:val="24"/>
        </w:rPr>
        <w:t>07773</w:t>
      </w:r>
      <w:r w:rsidRPr="00F96966">
        <w:rPr>
          <w:rFonts w:ascii="Palatino Linotype" w:hAnsi="Palatino Linotype" w:cs="Arial"/>
          <w:b/>
          <w:bCs/>
          <w:sz w:val="24"/>
        </w:rPr>
        <w:t>/INFOEM/IP/RR/2023</w:t>
      </w:r>
      <w:r w:rsidRPr="00F96966">
        <w:rPr>
          <w:rFonts w:ascii="Palatino Linotype" w:eastAsia="Calibri" w:hAnsi="Palatino Linotype"/>
          <w:sz w:val="24"/>
          <w:lang w:val="es-CO"/>
        </w:rPr>
        <w:t>, toda vez que la afectación al derecho de acceso a la información pública establecido constitucionalmente a favor del Particular ha sido resarcida.</w:t>
      </w:r>
    </w:p>
    <w:p w14:paraId="0068359A" w14:textId="77777777" w:rsidR="00BA04A2" w:rsidRPr="00F96966" w:rsidRDefault="00BA04A2" w:rsidP="00BA04A2">
      <w:pPr>
        <w:pStyle w:val="Prrafodelista"/>
        <w:shd w:val="clear" w:color="auto" w:fill="FFFFFF"/>
        <w:tabs>
          <w:tab w:val="left" w:pos="284"/>
        </w:tabs>
        <w:spacing w:line="360" w:lineRule="auto"/>
        <w:ind w:left="0"/>
        <w:jc w:val="both"/>
        <w:rPr>
          <w:rFonts w:ascii="Palatino Linotype" w:hAnsi="Palatino Linotype" w:cs="Arial"/>
          <w:sz w:val="24"/>
        </w:rPr>
      </w:pPr>
    </w:p>
    <w:p w14:paraId="0068359B" w14:textId="77777777" w:rsidR="00BA04A2" w:rsidRPr="00F96966" w:rsidRDefault="00BA04A2" w:rsidP="00BA04A2">
      <w:pPr>
        <w:pStyle w:val="Sinespaciado"/>
        <w:numPr>
          <w:ilvl w:val="0"/>
          <w:numId w:val="1"/>
        </w:numPr>
        <w:tabs>
          <w:tab w:val="left" w:pos="284"/>
        </w:tabs>
        <w:spacing w:line="360" w:lineRule="auto"/>
        <w:ind w:left="0" w:firstLine="0"/>
        <w:contextualSpacing/>
        <w:jc w:val="both"/>
        <w:rPr>
          <w:rFonts w:ascii="Palatino Linotype" w:eastAsia="Calibri" w:hAnsi="Palatino Linotype"/>
        </w:rPr>
      </w:pPr>
      <w:r w:rsidRPr="00F96966">
        <w:rPr>
          <w:rFonts w:ascii="Palatino Linotype" w:eastAsia="Calibri" w:hAnsi="Palatino Linotype"/>
        </w:rPr>
        <w:t xml:space="preserve">Por lo anteriormente expuesto y fundado, este </w:t>
      </w:r>
      <w:r w:rsidRPr="00F96966">
        <w:rPr>
          <w:rFonts w:ascii="Palatino Linotype" w:eastAsia="Calibri" w:hAnsi="Palatino Linotype"/>
          <w:b/>
          <w:bCs/>
        </w:rPr>
        <w:t>ÓRGANO GARANTE</w:t>
      </w:r>
      <w:r w:rsidRPr="00F96966">
        <w:rPr>
          <w:rFonts w:ascii="Palatino Linotype" w:eastAsia="Calibri" w:hAnsi="Palatino Linotype"/>
        </w:rPr>
        <w:t xml:space="preserve"> emite los siguientes:</w:t>
      </w:r>
      <w:bookmarkEnd w:id="4"/>
      <w:bookmarkEnd w:id="5"/>
      <w:bookmarkEnd w:id="6"/>
      <w:bookmarkEnd w:id="7"/>
    </w:p>
    <w:p w14:paraId="0068359C" w14:textId="77777777" w:rsidR="0067743D" w:rsidRPr="00F96966" w:rsidRDefault="0067743D" w:rsidP="00BA04A2">
      <w:pPr>
        <w:pStyle w:val="Sinespaciado"/>
        <w:tabs>
          <w:tab w:val="left" w:pos="284"/>
        </w:tabs>
        <w:spacing w:line="360" w:lineRule="auto"/>
        <w:contextualSpacing/>
        <w:jc w:val="both"/>
        <w:rPr>
          <w:rFonts w:ascii="Palatino Linotype" w:eastAsia="Calibri" w:hAnsi="Palatino Linotype"/>
        </w:rPr>
      </w:pPr>
    </w:p>
    <w:p w14:paraId="0068359D" w14:textId="77777777" w:rsidR="00BA04A2" w:rsidRPr="00F96966" w:rsidRDefault="00BA04A2" w:rsidP="00BA04A2">
      <w:pPr>
        <w:spacing w:line="360" w:lineRule="auto"/>
        <w:jc w:val="center"/>
        <w:rPr>
          <w:rFonts w:ascii="Palatino Linotype" w:hAnsi="Palatino Linotype"/>
          <w:b/>
          <w:lang w:val="es-ES"/>
        </w:rPr>
      </w:pPr>
      <w:r w:rsidRPr="00F96966">
        <w:rPr>
          <w:rFonts w:ascii="Palatino Linotype" w:hAnsi="Palatino Linotype"/>
          <w:b/>
          <w:lang w:val="es-ES"/>
        </w:rPr>
        <w:t>R E S O L U T I V O S</w:t>
      </w:r>
    </w:p>
    <w:p w14:paraId="0068359E" w14:textId="77777777" w:rsidR="00BA04A2" w:rsidRPr="00F96966" w:rsidRDefault="00BA04A2" w:rsidP="00BA04A2">
      <w:pPr>
        <w:pStyle w:val="Sinespaciado"/>
        <w:spacing w:line="360" w:lineRule="auto"/>
        <w:jc w:val="both"/>
        <w:rPr>
          <w:rFonts w:ascii="Palatino Linotype" w:hAnsi="Palatino Linotype"/>
        </w:rPr>
      </w:pPr>
    </w:p>
    <w:p w14:paraId="0068359F" w14:textId="77777777" w:rsidR="00BA04A2" w:rsidRPr="00F96966" w:rsidRDefault="00BA04A2" w:rsidP="00BA04A2">
      <w:pPr>
        <w:spacing w:line="360" w:lineRule="auto"/>
        <w:jc w:val="both"/>
        <w:rPr>
          <w:rFonts w:ascii="Palatino Linotype" w:eastAsiaTheme="minorHAnsi" w:hAnsi="Palatino Linotype" w:cstheme="minorBidi"/>
          <w:lang w:eastAsia="en-US"/>
        </w:rPr>
      </w:pPr>
      <w:r w:rsidRPr="00F96966">
        <w:rPr>
          <w:rFonts w:ascii="Palatino Linotype" w:eastAsiaTheme="minorHAnsi" w:hAnsi="Palatino Linotype" w:cstheme="minorBidi"/>
          <w:b/>
          <w:lang w:eastAsia="en-US"/>
        </w:rPr>
        <w:t xml:space="preserve">PRIMERO. </w:t>
      </w:r>
      <w:r w:rsidRPr="00F96966">
        <w:rPr>
          <w:rFonts w:ascii="Palatino Linotype" w:eastAsia="MS Mincho" w:hAnsi="Palatino Linotype"/>
          <w:lang w:val="es-ES_tradnl" w:eastAsia="es-ES"/>
        </w:rPr>
        <w:t xml:space="preserve">Se </w:t>
      </w:r>
      <w:r w:rsidRPr="00F96966">
        <w:rPr>
          <w:rFonts w:ascii="Palatino Linotype" w:eastAsia="MS Mincho" w:hAnsi="Palatino Linotype"/>
          <w:b/>
          <w:lang w:val="es-ES_tradnl" w:eastAsia="es-ES"/>
        </w:rPr>
        <w:t>SOBRESEE</w:t>
      </w:r>
      <w:r w:rsidRPr="00F96966">
        <w:rPr>
          <w:rFonts w:ascii="Palatino Linotype" w:eastAsia="MS Mincho" w:hAnsi="Palatino Linotype"/>
          <w:lang w:val="es-ES_tradnl" w:eastAsia="es-ES"/>
        </w:rPr>
        <w:t xml:space="preserve"> el recurso de revisión número </w:t>
      </w:r>
      <w:r w:rsidR="0067743D" w:rsidRPr="00F96966">
        <w:rPr>
          <w:rFonts w:ascii="Palatino Linotype" w:eastAsia="MS Mincho" w:hAnsi="Palatino Linotype"/>
          <w:b/>
          <w:lang w:val="es-ES_tradnl" w:eastAsia="es-ES"/>
        </w:rPr>
        <w:t>07773</w:t>
      </w:r>
      <w:r w:rsidRPr="00F96966">
        <w:rPr>
          <w:rFonts w:ascii="Palatino Linotype" w:eastAsia="MS Mincho" w:hAnsi="Palatino Linotype"/>
          <w:b/>
          <w:lang w:val="es-ES_tradnl" w:eastAsia="es-ES"/>
        </w:rPr>
        <w:t xml:space="preserve">/INFOEM/IP/RR/2023 </w:t>
      </w:r>
      <w:r w:rsidRPr="00F96966">
        <w:rPr>
          <w:rFonts w:ascii="Palatino Linotype" w:eastAsia="MS Mincho" w:hAnsi="Palatino Linotype"/>
          <w:bCs/>
          <w:lang w:val="es-ES_tradnl" w:eastAsia="es-ES"/>
        </w:rPr>
        <w:t>conforme al artículo 192 fracción III de la Ley de Transparencia y Acceso a la Información Pública del Estado de México y Municipios,</w:t>
      </w:r>
      <w:r w:rsidRPr="00F96966">
        <w:rPr>
          <w:rFonts w:ascii="Palatino Linotype" w:eastAsia="MS Mincho" w:hAnsi="Palatino Linotype"/>
          <w:lang w:val="es-ES_tradnl" w:eastAsia="es-ES"/>
        </w:rPr>
        <w:t xml:space="preserve"> porque al </w:t>
      </w:r>
      <w:r w:rsidRPr="00F96966">
        <w:rPr>
          <w:rFonts w:ascii="Palatino Linotype" w:eastAsia="MS Mincho" w:hAnsi="Palatino Linotype"/>
          <w:b/>
          <w:bCs/>
          <w:lang w:val="es-ES_tradnl" w:eastAsia="es-ES"/>
        </w:rPr>
        <w:t>modificar la respuesta a través del informe justificado y atender lo solicitado</w:t>
      </w:r>
      <w:r w:rsidRPr="00F96966">
        <w:rPr>
          <w:rFonts w:ascii="Palatino Linotype" w:eastAsia="MS Mincho" w:hAnsi="Palatino Linotype"/>
          <w:lang w:val="es-ES_tradnl" w:eastAsia="es-ES"/>
        </w:rPr>
        <w:t xml:space="preserve">, el recurso de revisión quedó sin materia en términos del Considerando </w:t>
      </w:r>
      <w:r w:rsidRPr="00F96966">
        <w:rPr>
          <w:rFonts w:ascii="Palatino Linotype" w:eastAsia="MS Mincho" w:hAnsi="Palatino Linotype"/>
          <w:b/>
          <w:lang w:val="es-ES_tradnl" w:eastAsia="es-ES"/>
        </w:rPr>
        <w:t>TERCERO</w:t>
      </w:r>
      <w:r w:rsidRPr="00F96966">
        <w:rPr>
          <w:rFonts w:ascii="Palatino Linotype" w:eastAsia="MS Mincho" w:hAnsi="Palatino Linotype"/>
          <w:lang w:val="es-ES_tradnl" w:eastAsia="es-ES"/>
        </w:rPr>
        <w:t xml:space="preserve"> de la presente resolución.</w:t>
      </w:r>
    </w:p>
    <w:p w14:paraId="006835A0" w14:textId="77777777" w:rsidR="00BA04A2" w:rsidRPr="00F96966" w:rsidRDefault="00BA04A2" w:rsidP="00BA04A2">
      <w:pPr>
        <w:spacing w:line="360" w:lineRule="auto"/>
        <w:jc w:val="both"/>
        <w:rPr>
          <w:rFonts w:ascii="Palatino Linotype" w:eastAsiaTheme="minorHAnsi" w:hAnsi="Palatino Linotype" w:cstheme="minorBidi"/>
          <w:lang w:eastAsia="en-US"/>
        </w:rPr>
      </w:pPr>
    </w:p>
    <w:p w14:paraId="006835A1" w14:textId="77777777" w:rsidR="00BA04A2" w:rsidRPr="00F96966" w:rsidRDefault="00BA04A2" w:rsidP="00BA04A2">
      <w:pPr>
        <w:spacing w:line="360" w:lineRule="auto"/>
        <w:jc w:val="both"/>
        <w:rPr>
          <w:rFonts w:ascii="Palatino Linotype" w:eastAsia="Calibri" w:hAnsi="Palatino Linotype" w:cs="Arial"/>
          <w:b/>
          <w:bCs/>
          <w:lang w:val="es-ES" w:eastAsia="en-US"/>
        </w:rPr>
      </w:pPr>
      <w:r w:rsidRPr="00F96966">
        <w:rPr>
          <w:rFonts w:ascii="Palatino Linotype" w:eastAsia="Calibri" w:hAnsi="Palatino Linotype" w:cs="Arial"/>
          <w:b/>
          <w:bCs/>
          <w:lang w:val="es-ES" w:eastAsia="en-US"/>
        </w:rPr>
        <w:t xml:space="preserve">SEGUNDO. REMÍTASE </w:t>
      </w:r>
      <w:r w:rsidRPr="00F96966">
        <w:rPr>
          <w:rFonts w:ascii="Palatino Linotype" w:eastAsia="Calibri" w:hAnsi="Palatino Linotype" w:cs="Arial"/>
          <w:bCs/>
          <w:lang w:val="es-ES" w:eastAsia="en-US"/>
        </w:rPr>
        <w:t xml:space="preserve">a través del Sistema de Acceso a la Información Mexiquense </w:t>
      </w:r>
      <w:r w:rsidRPr="00F96966">
        <w:rPr>
          <w:rFonts w:ascii="Palatino Linotype" w:eastAsia="Calibri" w:hAnsi="Palatino Linotype" w:cs="Arial"/>
          <w:b/>
          <w:bCs/>
          <w:lang w:val="es-ES" w:eastAsia="en-US"/>
        </w:rPr>
        <w:t xml:space="preserve">(SAIMEX) </w:t>
      </w:r>
      <w:r w:rsidRPr="00F96966">
        <w:rPr>
          <w:rFonts w:ascii="Palatino Linotype" w:eastAsia="Calibri" w:hAnsi="Palatino Linotype" w:cs="Arial"/>
          <w:bCs/>
          <w:lang w:val="es-ES" w:eastAsia="en-US"/>
        </w:rPr>
        <w:t>la presente resolución al Titular de la Unidad de Transparencia del</w:t>
      </w:r>
      <w:r w:rsidRPr="00F96966">
        <w:rPr>
          <w:rFonts w:ascii="Palatino Linotype" w:eastAsia="Calibri" w:hAnsi="Palatino Linotype" w:cs="Arial"/>
          <w:b/>
          <w:bCs/>
          <w:lang w:val="es-ES" w:eastAsia="en-US"/>
        </w:rPr>
        <w:t xml:space="preserve"> SUJETO OBLIGADO. </w:t>
      </w:r>
    </w:p>
    <w:p w14:paraId="006835A2" w14:textId="77777777" w:rsidR="00BA04A2" w:rsidRPr="00F96966" w:rsidRDefault="00BA04A2" w:rsidP="00BA04A2">
      <w:pPr>
        <w:tabs>
          <w:tab w:val="left" w:pos="3263"/>
        </w:tabs>
        <w:spacing w:line="360" w:lineRule="auto"/>
        <w:jc w:val="both"/>
        <w:rPr>
          <w:rFonts w:ascii="Palatino Linotype" w:eastAsia="Palatino Linotype" w:hAnsi="Palatino Linotype" w:cs="Palatino Linotype"/>
          <w:b/>
          <w:lang w:eastAsia="en-US"/>
        </w:rPr>
      </w:pPr>
      <w:r w:rsidRPr="00F96966">
        <w:rPr>
          <w:rFonts w:ascii="Palatino Linotype" w:eastAsia="Palatino Linotype" w:hAnsi="Palatino Linotype" w:cs="Palatino Linotype"/>
          <w:b/>
          <w:lang w:eastAsia="en-US"/>
        </w:rPr>
        <w:tab/>
      </w:r>
    </w:p>
    <w:p w14:paraId="006835A3" w14:textId="77777777" w:rsidR="00BA04A2" w:rsidRPr="00F96966" w:rsidRDefault="00BA04A2" w:rsidP="00BA04A2">
      <w:pPr>
        <w:spacing w:line="360" w:lineRule="auto"/>
        <w:jc w:val="both"/>
        <w:rPr>
          <w:rFonts w:ascii="Palatino Linotype" w:hAnsi="Palatino Linotype"/>
          <w:color w:val="222222"/>
          <w:lang w:val="es-ES"/>
        </w:rPr>
      </w:pPr>
      <w:r w:rsidRPr="00F96966">
        <w:rPr>
          <w:rFonts w:ascii="Palatino Linotype" w:hAnsi="Palatino Linotype" w:cs="Arial"/>
          <w:b/>
          <w:lang w:eastAsia="en-US"/>
        </w:rPr>
        <w:t xml:space="preserve">TERCERO. </w:t>
      </w:r>
      <w:r w:rsidRPr="00F96966">
        <w:rPr>
          <w:rFonts w:ascii="Palatino Linotype" w:hAnsi="Palatino Linotype"/>
          <w:b/>
          <w:bCs/>
          <w:lang w:val="es-ES" w:eastAsia="en-US"/>
        </w:rPr>
        <w:t xml:space="preserve">Notifíquese </w:t>
      </w:r>
      <w:r w:rsidRPr="00F96966">
        <w:rPr>
          <w:rFonts w:ascii="Palatino Linotype" w:hAnsi="Palatino Linotype"/>
          <w:bCs/>
          <w:lang w:val="es-ES" w:eastAsia="en-US"/>
        </w:rPr>
        <w:t xml:space="preserve">al </w:t>
      </w:r>
      <w:r w:rsidRPr="00F96966">
        <w:rPr>
          <w:rFonts w:ascii="Palatino Linotype" w:hAnsi="Palatino Linotype"/>
          <w:b/>
          <w:bCs/>
          <w:lang w:val="es-ES" w:eastAsia="en-US"/>
        </w:rPr>
        <w:t>RECURRENTE</w:t>
      </w:r>
      <w:r w:rsidRPr="00F96966">
        <w:rPr>
          <w:rFonts w:ascii="Palatino Linotype" w:eastAsiaTheme="minorHAnsi" w:hAnsi="Palatino Linotype" w:cstheme="minorBidi"/>
          <w:lang w:eastAsia="en-US"/>
        </w:rPr>
        <w:t xml:space="preserve"> </w:t>
      </w:r>
      <w:r w:rsidRPr="00F96966">
        <w:rPr>
          <w:rFonts w:ascii="Palatino Linotype" w:hAnsi="Palatino Linotype"/>
          <w:lang w:val="es-ES"/>
        </w:rPr>
        <w:t xml:space="preserve">la presente resolución </w:t>
      </w:r>
      <w:r w:rsidRPr="00F96966">
        <w:rPr>
          <w:rFonts w:ascii="Palatino Linotype" w:hAnsi="Palatino Linotype"/>
          <w:b/>
          <w:lang w:val="es-ES"/>
        </w:rPr>
        <w:t>vía SAIMEX.</w:t>
      </w:r>
    </w:p>
    <w:p w14:paraId="006835A4" w14:textId="77777777" w:rsidR="00BA04A2" w:rsidRPr="00F96966" w:rsidRDefault="00BA04A2" w:rsidP="00BA04A2">
      <w:pPr>
        <w:spacing w:line="360" w:lineRule="auto"/>
        <w:jc w:val="both"/>
        <w:rPr>
          <w:rFonts w:ascii="Palatino Linotype" w:hAnsi="Palatino Linotype"/>
          <w:color w:val="222222"/>
          <w:lang w:val="es-ES"/>
        </w:rPr>
      </w:pPr>
    </w:p>
    <w:p w14:paraId="006835A5" w14:textId="77777777" w:rsidR="00BA04A2" w:rsidRPr="00F96966" w:rsidRDefault="00BA04A2" w:rsidP="00BA04A2">
      <w:pPr>
        <w:spacing w:line="360" w:lineRule="auto"/>
        <w:jc w:val="both"/>
        <w:rPr>
          <w:rFonts w:ascii="Palatino Linotype" w:eastAsia="MS Mincho" w:hAnsi="Palatino Linotype"/>
          <w:lang w:val="es-ES" w:eastAsia="es-ES"/>
        </w:rPr>
      </w:pPr>
      <w:r w:rsidRPr="00F96966">
        <w:rPr>
          <w:rFonts w:ascii="Palatino Linotype" w:eastAsia="MS Mincho" w:hAnsi="Palatino Linotype"/>
          <w:b/>
          <w:lang w:eastAsia="es-ES"/>
        </w:rPr>
        <w:lastRenderedPageBreak/>
        <w:t>CUARTO.</w:t>
      </w:r>
      <w:r w:rsidRPr="00F96966">
        <w:rPr>
          <w:rFonts w:ascii="Palatino Linotype" w:eastAsia="MS Mincho" w:hAnsi="Palatino Linotype"/>
          <w:lang w:eastAsia="es-ES"/>
        </w:rPr>
        <w:t xml:space="preserve"> </w:t>
      </w:r>
      <w:r w:rsidRPr="00F96966">
        <w:rPr>
          <w:rFonts w:ascii="Palatino Linotype" w:eastAsia="MS Mincho" w:hAnsi="Palatino Linotype"/>
          <w:lang w:val="es-ES" w:eastAsia="es-ES"/>
        </w:rPr>
        <w:t xml:space="preserve">Se hace del conocimiento del </w:t>
      </w:r>
      <w:r w:rsidRPr="00F96966">
        <w:rPr>
          <w:rFonts w:ascii="Palatino Linotype" w:hAnsi="Palatino Linotype"/>
          <w:b/>
          <w:bCs/>
          <w:lang w:val="es-ES" w:eastAsia="es-ES"/>
        </w:rPr>
        <w:t>RECURRENTE</w:t>
      </w:r>
      <w:r w:rsidRPr="00F96966">
        <w:rPr>
          <w:rFonts w:ascii="Palatino Linotype" w:eastAsiaTheme="minorEastAsia" w:hAnsi="Palatino Linotype" w:cstheme="minorBidi"/>
          <w:lang w:val="es-ES_tradnl" w:eastAsia="es-ES"/>
        </w:rPr>
        <w:t xml:space="preserve"> que</w:t>
      </w:r>
      <w:r w:rsidRPr="00F96966">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algún perjuicio podrá impugnarla </w:t>
      </w:r>
      <w:r w:rsidRPr="00F96966">
        <w:rPr>
          <w:rFonts w:ascii="Palatino Linotype" w:eastAsia="MS Mincho" w:hAnsi="Palatino Linotype"/>
          <w:bCs/>
          <w:lang w:val="es-ES" w:eastAsia="es-ES"/>
        </w:rPr>
        <w:t>vía juicio de amparo</w:t>
      </w:r>
      <w:r w:rsidRPr="00F96966">
        <w:rPr>
          <w:rFonts w:ascii="Palatino Linotype" w:eastAsia="MS Mincho" w:hAnsi="Palatino Linotype"/>
          <w:lang w:val="es-ES" w:eastAsia="es-ES"/>
        </w:rPr>
        <w:t> en los términos de las leyes aplicables.</w:t>
      </w:r>
    </w:p>
    <w:p w14:paraId="006835A6" w14:textId="3EC903C9" w:rsidR="00BA04A2" w:rsidRDefault="001F4BA2" w:rsidP="001F4BA2">
      <w:pPr>
        <w:tabs>
          <w:tab w:val="left" w:pos="1950"/>
        </w:tabs>
        <w:spacing w:line="360" w:lineRule="auto"/>
        <w:jc w:val="both"/>
        <w:rPr>
          <w:rFonts w:ascii="Palatino Linotype" w:eastAsia="MS Mincho" w:hAnsi="Palatino Linotype"/>
          <w:lang w:val="es-ES"/>
        </w:rPr>
      </w:pPr>
      <w:r>
        <w:rPr>
          <w:rFonts w:ascii="Palatino Linotype" w:eastAsia="MS Mincho" w:hAnsi="Palatino Linotype"/>
          <w:lang w:val="es-ES"/>
        </w:rPr>
        <w:tab/>
      </w:r>
    </w:p>
    <w:p w14:paraId="40A30AC4" w14:textId="77777777" w:rsidR="001F4BA2" w:rsidRPr="00F96966" w:rsidRDefault="001F4BA2" w:rsidP="001F4BA2">
      <w:pPr>
        <w:tabs>
          <w:tab w:val="left" w:pos="1950"/>
        </w:tabs>
        <w:spacing w:line="360" w:lineRule="auto"/>
        <w:jc w:val="both"/>
        <w:rPr>
          <w:rFonts w:ascii="Palatino Linotype" w:eastAsia="MS Mincho" w:hAnsi="Palatino Linotype"/>
          <w:lang w:val="es-ES"/>
        </w:rPr>
      </w:pPr>
      <w:bookmarkStart w:id="10" w:name="_GoBack"/>
      <w:bookmarkEnd w:id="10"/>
    </w:p>
    <w:p w14:paraId="50B853E4" w14:textId="77777777" w:rsidR="008255F9" w:rsidRPr="00E37AF3" w:rsidRDefault="008255F9" w:rsidP="008255F9">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006835A9" w14:textId="77777777" w:rsidR="00335872" w:rsidRPr="008255F9" w:rsidRDefault="00335872" w:rsidP="0067743D">
      <w:pPr>
        <w:pStyle w:val="Prrafodelista"/>
        <w:spacing w:line="360" w:lineRule="auto"/>
        <w:ind w:left="0"/>
        <w:jc w:val="both"/>
        <w:rPr>
          <w:rFonts w:ascii="Palatino Linotype" w:hAnsi="Palatino Linotype" w:cs="Arial"/>
          <w:sz w:val="24"/>
          <w:lang w:eastAsia="es-ES"/>
        </w:rPr>
      </w:pPr>
    </w:p>
    <w:p w14:paraId="006835AA"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AB"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AC"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AD"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AE"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AF"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B0"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B1"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B2" w14:textId="77777777" w:rsidR="00335872" w:rsidRDefault="00335872" w:rsidP="0067743D">
      <w:pPr>
        <w:pStyle w:val="Prrafodelista"/>
        <w:spacing w:line="360" w:lineRule="auto"/>
        <w:ind w:left="0"/>
        <w:jc w:val="both"/>
        <w:rPr>
          <w:rFonts w:ascii="Palatino Linotype" w:hAnsi="Palatino Linotype" w:cs="Arial"/>
          <w:sz w:val="24"/>
          <w:lang w:val="es-ES" w:eastAsia="es-ES"/>
        </w:rPr>
      </w:pPr>
    </w:p>
    <w:p w14:paraId="006835B3" w14:textId="77777777" w:rsidR="00335872" w:rsidRPr="00F96966" w:rsidRDefault="00335872" w:rsidP="0067743D">
      <w:pPr>
        <w:pStyle w:val="Prrafodelista"/>
        <w:spacing w:line="360" w:lineRule="auto"/>
        <w:ind w:left="0"/>
        <w:jc w:val="both"/>
        <w:rPr>
          <w:rFonts w:ascii="Palatino Linotype" w:hAnsi="Palatino Linotype" w:cs="Arial"/>
          <w:sz w:val="24"/>
          <w:lang w:val="es-ES" w:eastAsia="es-ES"/>
        </w:rPr>
      </w:pPr>
    </w:p>
    <w:p w14:paraId="006835B4" w14:textId="77777777" w:rsidR="00814D12" w:rsidRPr="00F96966" w:rsidRDefault="00814D12" w:rsidP="00814D12">
      <w:pPr>
        <w:pStyle w:val="Prrafodelista"/>
        <w:rPr>
          <w:rFonts w:ascii="Palatino Linotype" w:hAnsi="Palatino Linotype" w:cs="Arial"/>
          <w:sz w:val="24"/>
          <w:lang w:val="es-ES" w:eastAsia="es-ES"/>
        </w:rPr>
      </w:pPr>
    </w:p>
    <w:p w14:paraId="006835B5"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B6"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B7" w14:textId="77777777" w:rsidR="00814D12" w:rsidRPr="00F96966" w:rsidRDefault="00814D12" w:rsidP="00814D12">
      <w:pPr>
        <w:pStyle w:val="Prrafodelista"/>
        <w:spacing w:line="360" w:lineRule="auto"/>
        <w:ind w:left="0"/>
        <w:jc w:val="both"/>
        <w:rPr>
          <w:rFonts w:ascii="Palatino Linotype" w:hAnsi="Palatino Linotype" w:cs="Arial"/>
          <w:sz w:val="24"/>
          <w:lang w:val="es-ES" w:eastAsia="es-ES"/>
        </w:rPr>
      </w:pPr>
    </w:p>
    <w:p w14:paraId="006835B8" w14:textId="77777777" w:rsidR="00814D12" w:rsidRPr="00F96966" w:rsidRDefault="00814D12" w:rsidP="00814D12"/>
    <w:p w14:paraId="006835B9" w14:textId="77777777" w:rsidR="00814D12" w:rsidRPr="00F96966" w:rsidRDefault="00814D12" w:rsidP="00814D12"/>
    <w:p w14:paraId="006835BA" w14:textId="77777777" w:rsidR="00814D12" w:rsidRPr="00F96966" w:rsidRDefault="00814D12" w:rsidP="00814D12"/>
    <w:p w14:paraId="006835BB" w14:textId="77777777" w:rsidR="00346EED" w:rsidRPr="00F96966" w:rsidRDefault="00346EED"/>
    <w:sectPr w:rsidR="00346EED" w:rsidRPr="00F96966" w:rsidSect="00F96966">
      <w:headerReference w:type="even" r:id="rId7"/>
      <w:headerReference w:type="default" r:id="rId8"/>
      <w:footerReference w:type="default" r:id="rId9"/>
      <w:headerReference w:type="first" r:id="rId10"/>
      <w:footerReference w:type="first" r:id="rId11"/>
      <w:pgSz w:w="12240" w:h="15840"/>
      <w:pgMar w:top="80" w:right="900"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835BE" w14:textId="77777777" w:rsidR="001078A0" w:rsidRDefault="001078A0" w:rsidP="00814D12">
      <w:r>
        <w:separator/>
      </w:r>
    </w:p>
  </w:endnote>
  <w:endnote w:type="continuationSeparator" w:id="0">
    <w:p w14:paraId="006835BF" w14:textId="77777777" w:rsidR="001078A0" w:rsidRDefault="001078A0" w:rsidP="0081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835CF" w14:textId="77777777" w:rsidR="00007940" w:rsidRDefault="00007940">
    <w:pPr>
      <w:pStyle w:val="Piedepgina"/>
      <w:jc w:val="right"/>
    </w:pPr>
    <w:r>
      <w:rPr>
        <w:lang w:val="es-ES"/>
      </w:rPr>
      <w:t xml:space="preserve">Página </w:t>
    </w:r>
    <w:r>
      <w:rPr>
        <w:b/>
        <w:bCs/>
      </w:rPr>
      <w:fldChar w:fldCharType="begin"/>
    </w:r>
    <w:r>
      <w:rPr>
        <w:b/>
        <w:bCs/>
      </w:rPr>
      <w:instrText>PAGE</w:instrText>
    </w:r>
    <w:r>
      <w:rPr>
        <w:b/>
        <w:bCs/>
      </w:rPr>
      <w:fldChar w:fldCharType="separate"/>
    </w:r>
    <w:r w:rsidR="001F4BA2">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F4BA2">
      <w:rPr>
        <w:b/>
        <w:bCs/>
        <w:noProof/>
      </w:rPr>
      <w:t>21</w:t>
    </w:r>
    <w:r>
      <w:rPr>
        <w:b/>
        <w:bCs/>
      </w:rPr>
      <w:fldChar w:fldCharType="end"/>
    </w:r>
  </w:p>
  <w:p w14:paraId="006835D0" w14:textId="77777777" w:rsidR="00007940" w:rsidRDefault="000079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835E2" w14:textId="77777777" w:rsidR="00007940" w:rsidRDefault="00007940">
    <w:pPr>
      <w:pStyle w:val="Piedepgina"/>
      <w:jc w:val="right"/>
    </w:pPr>
    <w:r>
      <w:rPr>
        <w:lang w:val="es-ES"/>
      </w:rPr>
      <w:t xml:space="preserve">Página </w:t>
    </w:r>
    <w:r>
      <w:rPr>
        <w:b/>
        <w:bCs/>
      </w:rPr>
      <w:fldChar w:fldCharType="begin"/>
    </w:r>
    <w:r>
      <w:rPr>
        <w:b/>
        <w:bCs/>
      </w:rPr>
      <w:instrText>PAGE</w:instrText>
    </w:r>
    <w:r>
      <w:rPr>
        <w:b/>
        <w:bCs/>
      </w:rPr>
      <w:fldChar w:fldCharType="separate"/>
    </w:r>
    <w:r w:rsidR="001F4BA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F4BA2">
      <w:rPr>
        <w:b/>
        <w:bCs/>
        <w:noProof/>
      </w:rPr>
      <w:t>21</w:t>
    </w:r>
    <w:r>
      <w:rPr>
        <w:b/>
        <w:bCs/>
      </w:rPr>
      <w:fldChar w:fldCharType="end"/>
    </w:r>
  </w:p>
  <w:p w14:paraId="006835E3" w14:textId="77777777" w:rsidR="00007940" w:rsidRDefault="00007940">
    <w:pPr>
      <w:pStyle w:val="Piedepgina"/>
    </w:pPr>
  </w:p>
  <w:p w14:paraId="006835E4" w14:textId="77777777" w:rsidR="002D6246" w:rsidRDefault="002D6246"/>
  <w:p w14:paraId="006835E5" w14:textId="77777777" w:rsidR="002D6246" w:rsidRDefault="002D6246"/>
  <w:p w14:paraId="006835E6" w14:textId="77777777" w:rsidR="002D6246" w:rsidRDefault="002D6246"/>
  <w:p w14:paraId="006835E7" w14:textId="77777777" w:rsidR="002D6246" w:rsidRDefault="002D6246"/>
  <w:p w14:paraId="006835E8" w14:textId="77777777" w:rsidR="002D6246" w:rsidRDefault="002D6246"/>
  <w:p w14:paraId="006835E9" w14:textId="77777777" w:rsidR="002D6246" w:rsidRDefault="002D6246"/>
  <w:p w14:paraId="006835EA" w14:textId="77777777" w:rsidR="002D6246" w:rsidRDefault="002D6246"/>
  <w:p w14:paraId="006835EB" w14:textId="77777777" w:rsidR="002D6246" w:rsidRDefault="002D6246"/>
  <w:p w14:paraId="006835EC" w14:textId="77777777" w:rsidR="002D6246" w:rsidRDefault="002D6246"/>
  <w:p w14:paraId="006835ED" w14:textId="77777777" w:rsidR="002D6246" w:rsidRDefault="002D6246"/>
  <w:p w14:paraId="006835EE" w14:textId="77777777" w:rsidR="002D6246" w:rsidRDefault="002D6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35BC" w14:textId="77777777" w:rsidR="001078A0" w:rsidRDefault="001078A0" w:rsidP="00814D12">
      <w:r>
        <w:separator/>
      </w:r>
    </w:p>
  </w:footnote>
  <w:footnote w:type="continuationSeparator" w:id="0">
    <w:p w14:paraId="006835BD" w14:textId="77777777" w:rsidR="001078A0" w:rsidRDefault="001078A0" w:rsidP="0081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835C0" w14:textId="77777777" w:rsidR="00007940" w:rsidRDefault="001F4BA2">
    <w:pPr>
      <w:pStyle w:val="Encabezado"/>
    </w:pPr>
    <w:r>
      <w:rPr>
        <w:noProof/>
      </w:rPr>
      <w:pict w14:anchorId="00683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007940" w:rsidRPr="005C106F" w14:paraId="006835CD" w14:textId="77777777" w:rsidTr="007901E6">
      <w:trPr>
        <w:trHeight w:val="1435"/>
      </w:trPr>
      <w:tc>
        <w:tcPr>
          <w:tcW w:w="2268" w:type="dxa"/>
          <w:shd w:val="clear" w:color="auto" w:fill="auto"/>
        </w:tcPr>
        <w:p w14:paraId="006835C1" w14:textId="77777777" w:rsidR="00007940" w:rsidRPr="005C106F" w:rsidRDefault="00007940" w:rsidP="007901E6">
          <w:pPr>
            <w:tabs>
              <w:tab w:val="right" w:pos="4273"/>
            </w:tabs>
            <w:rPr>
              <w:rFonts w:ascii="Garamond" w:eastAsia="Calibri" w:hAnsi="Garamond"/>
              <w:sz w:val="16"/>
              <w:szCs w:val="16"/>
              <w:lang w:eastAsia="en-US"/>
            </w:rPr>
          </w:pPr>
        </w:p>
      </w:tc>
      <w:tc>
        <w:tcPr>
          <w:tcW w:w="6946" w:type="dxa"/>
          <w:shd w:val="clear" w:color="auto" w:fill="auto"/>
        </w:tcPr>
        <w:tbl>
          <w:tblPr>
            <w:tblW w:w="7452" w:type="dxa"/>
            <w:tblInd w:w="40" w:type="dxa"/>
            <w:tblLayout w:type="fixed"/>
            <w:tblLook w:val="0420" w:firstRow="1" w:lastRow="0" w:firstColumn="0" w:lastColumn="0" w:noHBand="0" w:noVBand="1"/>
          </w:tblPr>
          <w:tblGrid>
            <w:gridCol w:w="2536"/>
            <w:gridCol w:w="4916"/>
          </w:tblGrid>
          <w:tr w:rsidR="00007940" w14:paraId="006835C4" w14:textId="77777777" w:rsidTr="00F96966">
            <w:trPr>
              <w:trHeight w:val="171"/>
            </w:trPr>
            <w:tc>
              <w:tcPr>
                <w:tcW w:w="2536" w:type="dxa"/>
                <w:shd w:val="clear" w:color="auto" w:fill="auto"/>
              </w:tcPr>
              <w:p w14:paraId="006835C2" w14:textId="77777777" w:rsidR="00007940" w:rsidRPr="00020E73" w:rsidRDefault="00007940" w:rsidP="007901E6">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916" w:type="dxa"/>
                <w:shd w:val="clear" w:color="auto" w:fill="auto"/>
              </w:tcPr>
              <w:p w14:paraId="006835C3" w14:textId="77777777" w:rsidR="00007940" w:rsidRPr="00020E73" w:rsidRDefault="00007940" w:rsidP="00F96966">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07773/INFOEM/IP/RR/2023</w:t>
                </w:r>
                <w:r w:rsidRPr="009E7B0A">
                  <w:rPr>
                    <w:rFonts w:ascii="Palatino Linotype" w:eastAsia="Calibri" w:hAnsi="Palatino Linotype" w:cs="Tahoma"/>
                    <w:b/>
                    <w:bCs/>
                    <w:sz w:val="22"/>
                    <w:szCs w:val="22"/>
                    <w:lang w:eastAsia="en-US"/>
                  </w:rPr>
                  <w:t xml:space="preserve"> </w:t>
                </w:r>
              </w:p>
            </w:tc>
          </w:tr>
          <w:tr w:rsidR="00007940" w14:paraId="006835C7" w14:textId="77777777" w:rsidTr="00F96966">
            <w:trPr>
              <w:trHeight w:val="339"/>
            </w:trPr>
            <w:tc>
              <w:tcPr>
                <w:tcW w:w="2536" w:type="dxa"/>
                <w:shd w:val="clear" w:color="auto" w:fill="auto"/>
              </w:tcPr>
              <w:p w14:paraId="006835C5" w14:textId="77777777" w:rsidR="00007940" w:rsidRPr="00020E73" w:rsidRDefault="00007940" w:rsidP="007901E6">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916" w:type="dxa"/>
                <w:shd w:val="clear" w:color="auto" w:fill="auto"/>
              </w:tcPr>
              <w:p w14:paraId="006835C6" w14:textId="77777777" w:rsidR="00007940" w:rsidRPr="00814D12" w:rsidRDefault="00007940" w:rsidP="00F96966">
                <w:pPr>
                  <w:tabs>
                    <w:tab w:val="left" w:pos="2834"/>
                    <w:tab w:val="right" w:pos="8838"/>
                  </w:tabs>
                  <w:ind w:left="-108" w:right="-102"/>
                  <w:rPr>
                    <w:rFonts w:ascii="Palatino Linotype" w:eastAsia="Calibri" w:hAnsi="Palatino Linotype" w:cs="Tahoma"/>
                    <w:sz w:val="22"/>
                    <w:szCs w:val="22"/>
                    <w:lang w:val="es-ES" w:eastAsia="en-US"/>
                  </w:rPr>
                </w:pPr>
                <w:r w:rsidRPr="00814D12">
                  <w:rPr>
                    <w:rFonts w:ascii="Palatino Linotype" w:eastAsia="Calibri" w:hAnsi="Palatino Linotype" w:cs="Tahoma"/>
                    <w:bCs/>
                    <w:sz w:val="22"/>
                    <w:szCs w:val="22"/>
                    <w:lang w:eastAsia="en-US"/>
                  </w:rPr>
                  <w:t>Universidad Autónoma del Estado de México</w:t>
                </w:r>
              </w:p>
            </w:tc>
          </w:tr>
          <w:tr w:rsidR="00007940" w14:paraId="006835CB" w14:textId="77777777" w:rsidTr="00F96966">
            <w:trPr>
              <w:trHeight w:val="339"/>
            </w:trPr>
            <w:tc>
              <w:tcPr>
                <w:tcW w:w="2536" w:type="dxa"/>
                <w:shd w:val="clear" w:color="auto" w:fill="auto"/>
              </w:tcPr>
              <w:p w14:paraId="006835C8" w14:textId="77777777" w:rsidR="00007940" w:rsidRPr="00020E73" w:rsidRDefault="00007940" w:rsidP="007901E6">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916" w:type="dxa"/>
                <w:shd w:val="clear" w:color="auto" w:fill="auto"/>
              </w:tcPr>
              <w:p w14:paraId="006835C9" w14:textId="77777777" w:rsidR="00007940" w:rsidRPr="00020E73" w:rsidRDefault="00007940" w:rsidP="00F96966">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6835CA" w14:textId="77777777" w:rsidR="00007940" w:rsidRPr="00020E73" w:rsidRDefault="00007940" w:rsidP="00F96966">
                <w:pPr>
                  <w:tabs>
                    <w:tab w:val="right" w:pos="8838"/>
                  </w:tabs>
                  <w:ind w:left="-108" w:right="171"/>
                  <w:rPr>
                    <w:rFonts w:ascii="Palatino Linotype" w:eastAsia="Calibri" w:hAnsi="Palatino Linotype" w:cs="Tahoma"/>
                    <w:b/>
                    <w:sz w:val="22"/>
                    <w:szCs w:val="22"/>
                    <w:lang w:val="es-ES" w:eastAsia="en-US"/>
                  </w:rPr>
                </w:pPr>
              </w:p>
            </w:tc>
          </w:tr>
        </w:tbl>
        <w:p w14:paraId="006835CC" w14:textId="77777777" w:rsidR="00007940" w:rsidRPr="005C106F" w:rsidRDefault="00007940" w:rsidP="007901E6">
          <w:pPr>
            <w:tabs>
              <w:tab w:val="right" w:pos="8838"/>
            </w:tabs>
            <w:ind w:left="-28"/>
            <w:jc w:val="both"/>
            <w:rPr>
              <w:rFonts w:ascii="Arial" w:eastAsia="Calibri" w:hAnsi="Arial" w:cs="Arial"/>
              <w:b/>
              <w:sz w:val="22"/>
              <w:szCs w:val="22"/>
              <w:lang w:eastAsia="en-US"/>
            </w:rPr>
          </w:pPr>
        </w:p>
      </w:tc>
    </w:tr>
  </w:tbl>
  <w:p w14:paraId="006835CE" w14:textId="77777777" w:rsidR="00007940" w:rsidRPr="00443C6B" w:rsidRDefault="001F4BA2" w:rsidP="007901E6">
    <w:pPr>
      <w:pStyle w:val="Encabezado"/>
      <w:rPr>
        <w:sz w:val="14"/>
      </w:rPr>
    </w:pPr>
    <w:r>
      <w:rPr>
        <w:noProof/>
        <w:sz w:val="14"/>
      </w:rPr>
      <w:pict w14:anchorId="00683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7" w:type="dxa"/>
      <w:tblLayout w:type="fixed"/>
      <w:tblLook w:val="04A0" w:firstRow="1" w:lastRow="0" w:firstColumn="1" w:lastColumn="0" w:noHBand="0" w:noVBand="1"/>
    </w:tblPr>
    <w:tblGrid>
      <w:gridCol w:w="2444"/>
      <w:gridCol w:w="7333"/>
    </w:tblGrid>
    <w:tr w:rsidR="00007940" w:rsidRPr="00330DA7" w14:paraId="006835E0" w14:textId="77777777" w:rsidTr="00F96966">
      <w:trPr>
        <w:trHeight w:val="1678"/>
      </w:trPr>
      <w:tc>
        <w:tcPr>
          <w:tcW w:w="2444" w:type="dxa"/>
          <w:shd w:val="clear" w:color="auto" w:fill="auto"/>
        </w:tcPr>
        <w:p w14:paraId="006835D1" w14:textId="77777777" w:rsidR="00007940" w:rsidRPr="00330DA7" w:rsidRDefault="00007940" w:rsidP="007901E6">
          <w:pPr>
            <w:tabs>
              <w:tab w:val="right" w:pos="4273"/>
            </w:tabs>
            <w:rPr>
              <w:rFonts w:ascii="Garamond" w:eastAsia="Calibri" w:hAnsi="Garamond"/>
              <w:sz w:val="22"/>
              <w:szCs w:val="22"/>
              <w:lang w:eastAsia="en-US"/>
            </w:rPr>
          </w:pPr>
        </w:p>
      </w:tc>
      <w:tc>
        <w:tcPr>
          <w:tcW w:w="7333" w:type="dxa"/>
          <w:shd w:val="clear" w:color="auto" w:fill="auto"/>
        </w:tcPr>
        <w:tbl>
          <w:tblPr>
            <w:tblW w:w="8744" w:type="dxa"/>
            <w:tblInd w:w="9" w:type="dxa"/>
            <w:tblLayout w:type="fixed"/>
            <w:tblLook w:val="0420" w:firstRow="1" w:lastRow="0" w:firstColumn="0" w:lastColumn="0" w:noHBand="0" w:noVBand="1"/>
          </w:tblPr>
          <w:tblGrid>
            <w:gridCol w:w="2633"/>
            <w:gridCol w:w="6111"/>
          </w:tblGrid>
          <w:tr w:rsidR="00007940" w:rsidRPr="00330DA7" w14:paraId="006835D4" w14:textId="77777777" w:rsidTr="00F96966">
            <w:trPr>
              <w:trHeight w:val="168"/>
            </w:trPr>
            <w:tc>
              <w:tcPr>
                <w:tcW w:w="2633" w:type="dxa"/>
                <w:shd w:val="clear" w:color="auto" w:fill="auto"/>
              </w:tcPr>
              <w:p w14:paraId="006835D2" w14:textId="77777777" w:rsidR="00007940" w:rsidRPr="00020E73" w:rsidRDefault="00007940" w:rsidP="007901E6">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6111" w:type="dxa"/>
                <w:shd w:val="clear" w:color="auto" w:fill="auto"/>
              </w:tcPr>
              <w:p w14:paraId="006835D3" w14:textId="77777777" w:rsidR="00007940" w:rsidRPr="00020E73" w:rsidRDefault="00007940" w:rsidP="00F96966">
                <w:pPr>
                  <w:tabs>
                    <w:tab w:val="right" w:pos="8838"/>
                  </w:tabs>
                  <w:ind w:left="-74" w:right="-533"/>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07773/INFOEM/IP/RR/2023</w:t>
                </w:r>
              </w:p>
            </w:tc>
          </w:tr>
          <w:tr w:rsidR="00007940" w:rsidRPr="00330DA7" w14:paraId="006835D7" w14:textId="77777777" w:rsidTr="00F96966">
            <w:trPr>
              <w:trHeight w:val="168"/>
            </w:trPr>
            <w:tc>
              <w:tcPr>
                <w:tcW w:w="2633" w:type="dxa"/>
                <w:shd w:val="clear" w:color="auto" w:fill="auto"/>
              </w:tcPr>
              <w:p w14:paraId="006835D5" w14:textId="77777777" w:rsidR="00007940" w:rsidRPr="00020E73" w:rsidRDefault="00007940" w:rsidP="007901E6">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6111" w:type="dxa"/>
                <w:shd w:val="clear" w:color="auto" w:fill="auto"/>
              </w:tcPr>
              <w:p w14:paraId="006835D6" w14:textId="77777777" w:rsidR="00007940" w:rsidRPr="00814D12" w:rsidRDefault="00007940" w:rsidP="00F96966">
                <w:pPr>
                  <w:tabs>
                    <w:tab w:val="right" w:pos="8838"/>
                  </w:tabs>
                  <w:ind w:left="-74" w:right="-533"/>
                  <w:rPr>
                    <w:rFonts w:ascii="Palatino Linotype" w:eastAsia="Calibri" w:hAnsi="Palatino Linotype" w:cs="Tahoma"/>
                    <w:bCs/>
                    <w:sz w:val="22"/>
                    <w:szCs w:val="22"/>
                    <w:lang w:eastAsia="en-US"/>
                  </w:rPr>
                </w:pPr>
              </w:p>
            </w:tc>
          </w:tr>
          <w:tr w:rsidR="00007940" w:rsidRPr="00330DA7" w14:paraId="006835DA" w14:textId="77777777" w:rsidTr="00F96966">
            <w:trPr>
              <w:trHeight w:val="330"/>
            </w:trPr>
            <w:tc>
              <w:tcPr>
                <w:tcW w:w="2633" w:type="dxa"/>
                <w:shd w:val="clear" w:color="auto" w:fill="auto"/>
              </w:tcPr>
              <w:p w14:paraId="006835D8" w14:textId="77777777" w:rsidR="00007940" w:rsidRPr="00020E73" w:rsidRDefault="00007940" w:rsidP="007901E6">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6111" w:type="dxa"/>
                <w:shd w:val="clear" w:color="auto" w:fill="auto"/>
              </w:tcPr>
              <w:p w14:paraId="006835D9" w14:textId="77777777" w:rsidR="00007940" w:rsidRPr="00814D12" w:rsidRDefault="00007940" w:rsidP="00F96966">
                <w:pPr>
                  <w:tabs>
                    <w:tab w:val="left" w:pos="2834"/>
                    <w:tab w:val="right" w:pos="8838"/>
                  </w:tabs>
                  <w:ind w:left="-74" w:right="-533"/>
                  <w:rPr>
                    <w:rFonts w:ascii="Palatino Linotype" w:eastAsia="Calibri" w:hAnsi="Palatino Linotype" w:cs="Tahoma"/>
                    <w:sz w:val="22"/>
                    <w:szCs w:val="22"/>
                    <w:lang w:val="es-ES" w:eastAsia="en-US"/>
                  </w:rPr>
                </w:pPr>
                <w:r w:rsidRPr="00814D12">
                  <w:rPr>
                    <w:rFonts w:ascii="Palatino Linotype" w:eastAsia="Calibri" w:hAnsi="Palatino Linotype" w:cs="Tahoma"/>
                    <w:bCs/>
                    <w:sz w:val="22"/>
                    <w:szCs w:val="22"/>
                    <w:lang w:eastAsia="en-US"/>
                  </w:rPr>
                  <w:t>Universidad Autónoma del Estado de México</w:t>
                </w:r>
              </w:p>
            </w:tc>
          </w:tr>
          <w:tr w:rsidR="00007940" w:rsidRPr="00330DA7" w14:paraId="006835DE" w14:textId="77777777" w:rsidTr="00F96966">
            <w:trPr>
              <w:trHeight w:val="330"/>
            </w:trPr>
            <w:tc>
              <w:tcPr>
                <w:tcW w:w="2633" w:type="dxa"/>
                <w:shd w:val="clear" w:color="auto" w:fill="auto"/>
              </w:tcPr>
              <w:p w14:paraId="006835DB" w14:textId="77777777" w:rsidR="00007940" w:rsidRPr="00020E73" w:rsidRDefault="00007940" w:rsidP="007901E6">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6111" w:type="dxa"/>
                <w:shd w:val="clear" w:color="auto" w:fill="auto"/>
              </w:tcPr>
              <w:p w14:paraId="006835DC" w14:textId="77777777" w:rsidR="00007940" w:rsidRPr="00020E73" w:rsidRDefault="00007940" w:rsidP="00F96966">
                <w:pPr>
                  <w:tabs>
                    <w:tab w:val="right" w:pos="8838"/>
                  </w:tabs>
                  <w:ind w:left="-74" w:right="-533"/>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6835DD" w14:textId="77777777" w:rsidR="00007940" w:rsidRPr="00020E73" w:rsidRDefault="00007940" w:rsidP="00F96966">
                <w:pPr>
                  <w:tabs>
                    <w:tab w:val="right" w:pos="8838"/>
                  </w:tabs>
                  <w:ind w:left="-74" w:right="-533"/>
                  <w:rPr>
                    <w:rFonts w:ascii="Palatino Linotype" w:eastAsia="Calibri" w:hAnsi="Palatino Linotype" w:cs="Tahoma"/>
                    <w:b/>
                    <w:sz w:val="22"/>
                    <w:szCs w:val="22"/>
                    <w:lang w:val="es-ES" w:eastAsia="en-US"/>
                  </w:rPr>
                </w:pPr>
              </w:p>
            </w:tc>
          </w:tr>
        </w:tbl>
        <w:p w14:paraId="006835DF" w14:textId="77777777" w:rsidR="00007940" w:rsidRPr="00330DA7" w:rsidRDefault="00007940" w:rsidP="007901E6">
          <w:pPr>
            <w:tabs>
              <w:tab w:val="right" w:pos="8838"/>
            </w:tabs>
            <w:ind w:left="-28"/>
            <w:jc w:val="both"/>
            <w:rPr>
              <w:rFonts w:ascii="Arial" w:eastAsia="Calibri" w:hAnsi="Arial" w:cs="Arial"/>
              <w:b/>
              <w:sz w:val="22"/>
              <w:szCs w:val="22"/>
              <w:lang w:eastAsia="en-US"/>
            </w:rPr>
          </w:pPr>
        </w:p>
      </w:tc>
    </w:tr>
  </w:tbl>
  <w:p w14:paraId="006835E1" w14:textId="77777777" w:rsidR="002D6246" w:rsidRPr="00F96966" w:rsidRDefault="001F4BA2" w:rsidP="00F96966">
    <w:pPr>
      <w:pStyle w:val="Encabezado"/>
      <w:rPr>
        <w:sz w:val="2"/>
        <w:szCs w:val="22"/>
      </w:rPr>
    </w:pPr>
    <w:r>
      <w:rPr>
        <w:noProof/>
        <w:sz w:val="2"/>
        <w:szCs w:val="22"/>
      </w:rPr>
      <w:pict w14:anchorId="0068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1pt;margin-top:-120.4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38E7"/>
    <w:multiLevelType w:val="hybridMultilevel"/>
    <w:tmpl w:val="BC8280CC"/>
    <w:lvl w:ilvl="0" w:tplc="272C3B7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2161270"/>
    <w:multiLevelType w:val="hybridMultilevel"/>
    <w:tmpl w:val="BD4A3C02"/>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571859"/>
    <w:multiLevelType w:val="multilevel"/>
    <w:tmpl w:val="8FBC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84A4B"/>
    <w:multiLevelType w:val="hybridMultilevel"/>
    <w:tmpl w:val="5212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6E7535"/>
    <w:multiLevelType w:val="hybridMultilevel"/>
    <w:tmpl w:val="6694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1F21F0"/>
    <w:multiLevelType w:val="hybridMultilevel"/>
    <w:tmpl w:val="4F14433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nsid w:val="753B3C99"/>
    <w:multiLevelType w:val="hybridMultilevel"/>
    <w:tmpl w:val="61428530"/>
    <w:lvl w:ilvl="0" w:tplc="2D1CF0EE">
      <w:start w:val="50"/>
      <w:numFmt w:val="bullet"/>
      <w:lvlText w:val="-"/>
      <w:lvlJc w:val="left"/>
      <w:pPr>
        <w:ind w:left="720" w:hanging="360"/>
      </w:pPr>
      <w:rPr>
        <w:rFonts w:ascii="Palatino Linotype" w:eastAsia="Palatino Linotype" w:hAnsi="Palatino Linotype" w:cs="Palatino Linotype"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13">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13"/>
  </w:num>
  <w:num w:numId="4">
    <w:abstractNumId w:val="2"/>
  </w:num>
  <w:num w:numId="5">
    <w:abstractNumId w:val="5"/>
  </w:num>
  <w:num w:numId="6">
    <w:abstractNumId w:val="0"/>
  </w:num>
  <w:num w:numId="7">
    <w:abstractNumId w:val="4"/>
  </w:num>
  <w:num w:numId="8">
    <w:abstractNumId w:val="11"/>
  </w:num>
  <w:num w:numId="9">
    <w:abstractNumId w:val="8"/>
  </w:num>
  <w:num w:numId="10">
    <w:abstractNumId w:val="9"/>
  </w:num>
  <w:num w:numId="11">
    <w:abstractNumId w:val="6"/>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12"/>
    <w:rsid w:val="00007940"/>
    <w:rsid w:val="0002038B"/>
    <w:rsid w:val="001078A0"/>
    <w:rsid w:val="001931F1"/>
    <w:rsid w:val="001F4BA2"/>
    <w:rsid w:val="00233D0C"/>
    <w:rsid w:val="002D6246"/>
    <w:rsid w:val="00335872"/>
    <w:rsid w:val="00346EED"/>
    <w:rsid w:val="003E021B"/>
    <w:rsid w:val="004843A5"/>
    <w:rsid w:val="006432F6"/>
    <w:rsid w:val="006536C2"/>
    <w:rsid w:val="0066167F"/>
    <w:rsid w:val="0067743D"/>
    <w:rsid w:val="007901E6"/>
    <w:rsid w:val="00814D12"/>
    <w:rsid w:val="008255F9"/>
    <w:rsid w:val="008943CE"/>
    <w:rsid w:val="008D597F"/>
    <w:rsid w:val="008E7BD9"/>
    <w:rsid w:val="008F54DB"/>
    <w:rsid w:val="00AA047E"/>
    <w:rsid w:val="00B1266B"/>
    <w:rsid w:val="00BA04A2"/>
    <w:rsid w:val="00E4031A"/>
    <w:rsid w:val="00EF4326"/>
    <w:rsid w:val="00F14C47"/>
    <w:rsid w:val="00F96966"/>
    <w:rsid w:val="00FF6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6834E1"/>
  <w15:chartTrackingRefBased/>
  <w15:docId w15:val="{A9E3DB6A-D6D9-4551-8622-E00A218C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1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814D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843A5"/>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4D12"/>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814D12"/>
    <w:pPr>
      <w:tabs>
        <w:tab w:val="center" w:pos="4419"/>
        <w:tab w:val="right" w:pos="8838"/>
      </w:tabs>
    </w:pPr>
  </w:style>
  <w:style w:type="character" w:customStyle="1" w:styleId="EncabezadoCar">
    <w:name w:val="Encabezado Car"/>
    <w:basedOn w:val="Fuentedeprrafopredeter"/>
    <w:link w:val="Encabezado"/>
    <w:uiPriority w:val="99"/>
    <w:rsid w:val="00814D12"/>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14D12"/>
    <w:pPr>
      <w:tabs>
        <w:tab w:val="center" w:pos="4419"/>
        <w:tab w:val="right" w:pos="8838"/>
      </w:tabs>
    </w:pPr>
  </w:style>
  <w:style w:type="character" w:customStyle="1" w:styleId="PiedepginaCar">
    <w:name w:val="Pie de página Car"/>
    <w:basedOn w:val="Fuentedeprrafopredeter"/>
    <w:link w:val="Piedepgina"/>
    <w:uiPriority w:val="99"/>
    <w:rsid w:val="00814D12"/>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14D1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14D12"/>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14D12"/>
    <w:rPr>
      <w:color w:val="0563C1"/>
      <w:u w:val="single"/>
    </w:rPr>
  </w:style>
  <w:style w:type="table" w:styleId="Tablaconcuadrcula">
    <w:name w:val="Table Grid"/>
    <w:basedOn w:val="Tablanormal"/>
    <w:uiPriority w:val="39"/>
    <w:rsid w:val="00814D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814D1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14D12"/>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14D12"/>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14D12"/>
    <w:rPr>
      <w:vertAlign w:val="superscript"/>
    </w:rPr>
  </w:style>
  <w:style w:type="character" w:customStyle="1" w:styleId="Ttulo3Car">
    <w:name w:val="Título 3 Car"/>
    <w:basedOn w:val="Fuentedeprrafopredeter"/>
    <w:link w:val="Ttulo3"/>
    <w:uiPriority w:val="9"/>
    <w:rsid w:val="004843A5"/>
    <w:rPr>
      <w:rFonts w:asciiTheme="majorHAnsi" w:eastAsiaTheme="majorEastAsia" w:hAnsiTheme="majorHAnsi" w:cstheme="majorBidi"/>
      <w:color w:val="1F4D78" w:themeColor="accent1" w:themeShade="7F"/>
      <w:sz w:val="24"/>
      <w:szCs w:val="24"/>
      <w:lang w:val="es-ES_tradnl" w:eastAsia="es-ES"/>
    </w:rPr>
  </w:style>
  <w:style w:type="paragraph" w:styleId="Sinespaciado">
    <w:name w:val="No Spacing"/>
    <w:aliases w:val="Francesa,INAI"/>
    <w:link w:val="SinespaciadoCar"/>
    <w:uiPriority w:val="1"/>
    <w:qFormat/>
    <w:rsid w:val="00BA04A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A04A2"/>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33587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1578">
      <w:bodyDiv w:val="1"/>
      <w:marLeft w:val="0"/>
      <w:marRight w:val="0"/>
      <w:marTop w:val="0"/>
      <w:marBottom w:val="0"/>
      <w:divBdr>
        <w:top w:val="none" w:sz="0" w:space="0" w:color="auto"/>
        <w:left w:val="none" w:sz="0" w:space="0" w:color="auto"/>
        <w:bottom w:val="none" w:sz="0" w:space="0" w:color="auto"/>
        <w:right w:val="none" w:sz="0" w:space="0" w:color="auto"/>
      </w:divBdr>
    </w:div>
    <w:div w:id="16916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21</Pages>
  <Words>4973</Words>
  <Characters>27353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6</cp:revision>
  <cp:lastPrinted>2024-08-23T15:18:00Z</cp:lastPrinted>
  <dcterms:created xsi:type="dcterms:W3CDTF">2024-08-08T16:33:00Z</dcterms:created>
  <dcterms:modified xsi:type="dcterms:W3CDTF">2024-08-23T15:18:00Z</dcterms:modified>
</cp:coreProperties>
</file>