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62CAD" w14:textId="77777777" w:rsidR="00C4277B" w:rsidRDefault="007179A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once (11) de septiembre de dos mil veinticuatro.</w:t>
      </w:r>
    </w:p>
    <w:p w14:paraId="08CCB414" w14:textId="4C185B7A" w:rsidR="00C4277B" w:rsidRDefault="007179AB">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VISTO </w:t>
      </w:r>
      <w:r>
        <w:rPr>
          <w:rFonts w:ascii="Palatino Linotype" w:eastAsia="Palatino Linotype" w:hAnsi="Palatino Linotype" w:cs="Palatino Linotype"/>
          <w:color w:val="000000"/>
          <w:sz w:val="24"/>
          <w:szCs w:val="24"/>
        </w:rPr>
        <w:t xml:space="preserve">el expediente electrónico formado con motivo del recurso de revisión </w:t>
      </w:r>
      <w:r>
        <w:rPr>
          <w:rFonts w:ascii="Palatino Linotype" w:eastAsia="Palatino Linotype" w:hAnsi="Palatino Linotype" w:cs="Palatino Linotype"/>
          <w:b/>
          <w:color w:val="000000"/>
          <w:sz w:val="24"/>
          <w:szCs w:val="24"/>
        </w:rPr>
        <w:t xml:space="preserve">00523/INFOEM/ICR-21/IP/RR/2024, </w:t>
      </w:r>
      <w:r>
        <w:rPr>
          <w:rFonts w:ascii="Palatino Linotype" w:eastAsia="Palatino Linotype" w:hAnsi="Palatino Linotype" w:cs="Palatino Linotype"/>
          <w:color w:val="000000"/>
          <w:sz w:val="24"/>
          <w:szCs w:val="24"/>
        </w:rPr>
        <w:t>promovido a través del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por un usu</w:t>
      </w:r>
      <w:r>
        <w:rPr>
          <w:rFonts w:ascii="Palatino Linotype" w:eastAsia="Palatino Linotype" w:hAnsi="Palatino Linotype" w:cs="Palatino Linotype"/>
          <w:sz w:val="24"/>
          <w:szCs w:val="24"/>
        </w:rPr>
        <w:t xml:space="preserve">ario que se registró como </w:t>
      </w:r>
      <w:r w:rsidR="004845F4">
        <w:rPr>
          <w:rFonts w:ascii="Palatino Linotype" w:eastAsia="Palatino Linotype" w:hAnsi="Palatino Linotype" w:cs="Palatino Linotype"/>
          <w:b/>
          <w:color w:val="000000"/>
          <w:sz w:val="24"/>
          <w:szCs w:val="24"/>
        </w:rPr>
        <w:t>XXX XXX</w:t>
      </w:r>
      <w:r>
        <w:rPr>
          <w:rFonts w:ascii="Palatino Linotype" w:eastAsia="Palatino Linotype" w:hAnsi="Palatino Linotype" w:cs="Palatino Linotype"/>
          <w:color w:val="000000"/>
          <w:sz w:val="24"/>
          <w:szCs w:val="24"/>
        </w:rPr>
        <w:t xml:space="preserve">, a quien en adelante se le reconocerá como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 respuesta emitida por el </w:t>
      </w:r>
      <w:r>
        <w:rPr>
          <w:rFonts w:ascii="Palatino Linotype" w:eastAsia="Palatino Linotype" w:hAnsi="Palatino Linotype" w:cs="Palatino Linotype"/>
          <w:b/>
          <w:color w:val="000000"/>
          <w:sz w:val="24"/>
          <w:szCs w:val="24"/>
        </w:rPr>
        <w:t xml:space="preserve">Ayuntamiento de Ixtapaluca, </w:t>
      </w:r>
      <w:r>
        <w:rPr>
          <w:rFonts w:ascii="Palatino Linotype" w:eastAsia="Palatino Linotype" w:hAnsi="Palatino Linotype" w:cs="Palatino Linotype"/>
          <w:color w:val="000000"/>
          <w:sz w:val="24"/>
          <w:szCs w:val="24"/>
        </w:rPr>
        <w:t xml:space="preserve">en cumplimiento al Recurso de Revisión </w:t>
      </w:r>
      <w:r>
        <w:rPr>
          <w:rFonts w:ascii="Palatino Linotype" w:eastAsia="Palatino Linotype" w:hAnsi="Palatino Linotype" w:cs="Palatino Linotype"/>
          <w:b/>
          <w:color w:val="000000"/>
          <w:sz w:val="24"/>
          <w:szCs w:val="24"/>
        </w:rPr>
        <w:t>00523/INFOEM/IP/RR/2024</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en lo sucesivo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 con base en los siguientes:</w:t>
      </w:r>
    </w:p>
    <w:p w14:paraId="302524D4" w14:textId="77777777" w:rsidR="00C4277B" w:rsidRDefault="00C4277B">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sz w:val="24"/>
          <w:szCs w:val="24"/>
        </w:rPr>
      </w:pPr>
    </w:p>
    <w:p w14:paraId="1C02B062" w14:textId="77777777" w:rsidR="00C4277B" w:rsidRDefault="007179AB">
      <w:pPr>
        <w:pStyle w:val="Ttulo1"/>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2E357180" w14:textId="77777777" w:rsidR="00C4277B" w:rsidRDefault="00C4277B">
      <w:pPr>
        <w:rPr>
          <w:rFonts w:ascii="Palatino Linotype" w:eastAsia="Palatino Linotype" w:hAnsi="Palatino Linotype" w:cs="Palatino Linotype"/>
          <w:sz w:val="24"/>
          <w:szCs w:val="24"/>
        </w:rPr>
      </w:pPr>
    </w:p>
    <w:p w14:paraId="5350036E"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El día once de enero de dos mil veinticuatro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se presentó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vía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la solicitud de información pública registrada con el número</w:t>
      </w:r>
      <w:r>
        <w:rPr>
          <w:rFonts w:ascii="Palatino Linotype" w:eastAsia="Palatino Linotype" w:hAnsi="Palatino Linotype" w:cs="Palatino Linotype"/>
          <w:b/>
          <w:color w:val="000000"/>
          <w:sz w:val="24"/>
          <w:szCs w:val="24"/>
        </w:rPr>
        <w:t xml:space="preserve">  00008/IXTAPALU/IP/2024,</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en la que</w:t>
      </w:r>
      <w:r>
        <w:rPr>
          <w:rFonts w:ascii="Palatino Linotype" w:eastAsia="Palatino Linotype" w:hAnsi="Palatino Linotype" w:cs="Palatino Linotype"/>
          <w:color w:val="000000"/>
          <w:sz w:val="24"/>
          <w:szCs w:val="24"/>
        </w:rPr>
        <w:t xml:space="preserve"> se solicitó la siguiente información:</w:t>
      </w:r>
    </w:p>
    <w:p w14:paraId="3FA07B30" w14:textId="77777777" w:rsidR="00C4277B" w:rsidRDefault="00C4277B">
      <w:pPr>
        <w:pBdr>
          <w:top w:val="nil"/>
          <w:left w:val="nil"/>
          <w:bottom w:val="nil"/>
          <w:right w:val="nil"/>
          <w:between w:val="nil"/>
        </w:pBdr>
        <w:spacing w:line="360" w:lineRule="auto"/>
        <w:ind w:left="644"/>
        <w:jc w:val="both"/>
        <w:rPr>
          <w:rFonts w:ascii="Palatino Linotype" w:eastAsia="Palatino Linotype" w:hAnsi="Palatino Linotype" w:cs="Palatino Linotype"/>
          <w:sz w:val="24"/>
          <w:szCs w:val="24"/>
        </w:rPr>
      </w:pPr>
    </w:p>
    <w:p w14:paraId="0AA2AD51" w14:textId="77777777" w:rsidR="00C4277B" w:rsidRDefault="007179AB">
      <w:pPr>
        <w:pBdr>
          <w:top w:val="nil"/>
          <w:left w:val="nil"/>
          <w:bottom w:val="nil"/>
          <w:right w:val="nil"/>
          <w:between w:val="nil"/>
        </w:pBdr>
        <w:ind w:left="425" w:right="47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“Solicito recibo de nomina de la primera quincena de diciembre 2023 en versión pública de todos los directores, Subdirectores, síndicos y Regidores del Municipio de Ixtapaluca administración 2022-2024”</w:t>
      </w:r>
    </w:p>
    <w:p w14:paraId="1DDFBDD7" w14:textId="77777777" w:rsidR="00C4277B" w:rsidRDefault="007179AB">
      <w:pPr>
        <w:numPr>
          <w:ilvl w:val="0"/>
          <w:numId w:val="1"/>
        </w:num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Modalidad de entrega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SAIMEX</w:t>
      </w:r>
    </w:p>
    <w:p w14:paraId="2B82AA89" w14:textId="77777777" w:rsidR="00C4277B" w:rsidRDefault="00C4277B">
      <w:p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sz w:val="24"/>
          <w:szCs w:val="24"/>
        </w:rPr>
      </w:pPr>
    </w:p>
    <w:p w14:paraId="4ED523E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bookmarkStart w:id="1" w:name="_heading=h.30j0zll" w:colFirst="0" w:colLast="0"/>
      <w:bookmarkEnd w:id="1"/>
      <w:r>
        <w:rPr>
          <w:rFonts w:ascii="Palatino Linotype" w:eastAsia="Palatino Linotype" w:hAnsi="Palatino Linotype" w:cs="Palatino Linotype"/>
          <w:color w:val="000000"/>
          <w:sz w:val="24"/>
          <w:szCs w:val="24"/>
        </w:rPr>
        <w:t xml:space="preserve">Ante la falta de respuesta, el </w:t>
      </w:r>
      <w:r>
        <w:rPr>
          <w:rFonts w:ascii="Palatino Linotype" w:eastAsia="Palatino Linotype" w:hAnsi="Palatino Linotype" w:cs="Palatino Linotype"/>
          <w:b/>
          <w:color w:val="000000"/>
          <w:sz w:val="24"/>
          <w:szCs w:val="24"/>
        </w:rPr>
        <w:t>cinco de febrero de dos mil veinticuatro</w:t>
      </w:r>
      <w:r>
        <w:rPr>
          <w:rFonts w:ascii="Palatino Linotype" w:eastAsia="Palatino Linotype" w:hAnsi="Palatino Linotype" w:cs="Palatino Linotype"/>
          <w:color w:val="000000"/>
          <w:sz w:val="24"/>
          <w:szCs w:val="24"/>
        </w:rPr>
        <w:t>, el particular interpuso el recurso de revisión, señalando las siguientes razones o motivos de inconformidad:</w:t>
      </w:r>
    </w:p>
    <w:p w14:paraId="61CF68D3" w14:textId="77777777" w:rsidR="00C4277B" w:rsidRDefault="007179AB">
      <w:pPr>
        <w:numPr>
          <w:ilvl w:val="0"/>
          <w:numId w:val="10"/>
        </w:numPr>
        <w:pBdr>
          <w:top w:val="nil"/>
          <w:left w:val="nil"/>
          <w:bottom w:val="nil"/>
          <w:right w:val="nil"/>
          <w:between w:val="nil"/>
        </w:pBdr>
        <w:spacing w:line="360" w:lineRule="auto"/>
        <w:ind w:left="850"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ACTO IMPUGNADO</w:t>
      </w:r>
    </w:p>
    <w:p w14:paraId="6CF555EB" w14:textId="77777777" w:rsidR="00C4277B" w:rsidRDefault="007179AB">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recibo de nomina de la primera quincena de diciembre 2023 en versión pública de todos los directores, Subdirectores, síndicos y Regidores del Municipio de Ixtapaluca administración 2022-2024” </w:t>
      </w:r>
    </w:p>
    <w:p w14:paraId="1AEE0E76" w14:textId="77777777" w:rsidR="00C4277B" w:rsidRDefault="007179AB">
      <w:pPr>
        <w:numPr>
          <w:ilvl w:val="0"/>
          <w:numId w:val="4"/>
        </w:numPr>
        <w:spacing w:line="360" w:lineRule="auto"/>
        <w:ind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RAZONES O MOTIVOS DE INCONFORMIDAD: </w:t>
      </w:r>
    </w:p>
    <w:p w14:paraId="39AD8289" w14:textId="77777777" w:rsidR="00C4277B" w:rsidRDefault="007179AB">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La falta de respuesta a mi solicitud de información”</w:t>
      </w:r>
    </w:p>
    <w:p w14:paraId="5075880D" w14:textId="77777777" w:rsidR="00C4277B" w:rsidRDefault="00C4277B">
      <w:pPr>
        <w:spacing w:line="360" w:lineRule="auto"/>
        <w:ind w:left="567"/>
        <w:jc w:val="both"/>
        <w:rPr>
          <w:rFonts w:ascii="Palatino Linotype" w:eastAsia="Palatino Linotype" w:hAnsi="Palatino Linotype" w:cs="Palatino Linotype"/>
          <w:i/>
          <w:color w:val="000000"/>
          <w:sz w:val="24"/>
          <w:szCs w:val="24"/>
        </w:rPr>
      </w:pPr>
    </w:p>
    <w:p w14:paraId="47F1431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Se registró el recurso de revisión bajo el número de expediente al rubro indicado, y con fundamento en lo dispuesto por el artículo 185 fracción I de la Ley de Transparencia y Acceso a la Información Pública del Estado de México y Municipios, se </w:t>
      </w:r>
      <w:r>
        <w:rPr>
          <w:rFonts w:ascii="Palatino Linotype" w:eastAsia="Palatino Linotype" w:hAnsi="Palatino Linotype" w:cs="Palatino Linotype"/>
          <w:sz w:val="24"/>
          <w:szCs w:val="24"/>
        </w:rPr>
        <w:t>turna</w:t>
      </w:r>
      <w:r>
        <w:rPr>
          <w:rFonts w:ascii="Palatino Linotype" w:eastAsia="Palatino Linotype" w:hAnsi="Palatino Linotype" w:cs="Palatino Linotype"/>
          <w:color w:val="000000"/>
          <w:sz w:val="24"/>
          <w:szCs w:val="24"/>
        </w:rPr>
        <w:t xml:space="preserve"> a la </w:t>
      </w:r>
      <w:r>
        <w:rPr>
          <w:rFonts w:ascii="Palatino Linotype" w:eastAsia="Palatino Linotype" w:hAnsi="Palatino Linotype" w:cs="Palatino Linotype"/>
          <w:b/>
          <w:color w:val="000000"/>
          <w:sz w:val="24"/>
          <w:szCs w:val="24"/>
        </w:rPr>
        <w:t>Comisionada María del Rosario Mejía Ayala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para</w:t>
      </w:r>
      <w:r>
        <w:rPr>
          <w:rFonts w:ascii="Palatino Linotype" w:eastAsia="Palatino Linotype" w:hAnsi="Palatino Linotype" w:cs="Palatino Linotype"/>
          <w:color w:val="000000"/>
          <w:sz w:val="24"/>
          <w:szCs w:val="24"/>
        </w:rPr>
        <w:t xml:space="preserve"> su análisis.</w:t>
      </w:r>
    </w:p>
    <w:p w14:paraId="0DA7F0E6"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ED160B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w:t>
      </w:r>
      <w:r>
        <w:rPr>
          <w:rFonts w:ascii="Palatino Linotype" w:eastAsia="Palatino Linotype" w:hAnsi="Palatino Linotype" w:cs="Palatino Linotype"/>
          <w:b/>
          <w:color w:val="000000"/>
          <w:sz w:val="24"/>
          <w:szCs w:val="24"/>
        </w:rPr>
        <w:t xml:space="preserve">acuerdo de admisión </w:t>
      </w:r>
      <w:r>
        <w:rPr>
          <w:rFonts w:ascii="Palatino Linotype" w:eastAsia="Palatino Linotype" w:hAnsi="Palatino Linotype" w:cs="Palatino Linotype"/>
          <w:color w:val="000000"/>
          <w:sz w:val="24"/>
          <w:szCs w:val="24"/>
        </w:rPr>
        <w:t xml:space="preserve">de fecha </w:t>
      </w:r>
      <w:r>
        <w:rPr>
          <w:rFonts w:ascii="Palatino Linotype" w:eastAsia="Palatino Linotype" w:hAnsi="Palatino Linotype" w:cs="Palatino Linotype"/>
          <w:b/>
          <w:color w:val="000000"/>
          <w:sz w:val="24"/>
          <w:szCs w:val="24"/>
        </w:rPr>
        <w:t>seis de febrero de dos mil veinticuatro</w:t>
      </w:r>
      <w:r>
        <w:rPr>
          <w:rFonts w:ascii="Palatino Linotype" w:eastAsia="Palatino Linotype" w:hAnsi="Palatino Linotype" w:cs="Palatino Linotype"/>
          <w:color w:val="000000"/>
          <w:sz w:val="24"/>
          <w:szCs w:val="24"/>
        </w:rPr>
        <w:t xml:space="preserve">, puso a disposición de las partes el expediente electrónico vía SAIMEX a efecto de que en un plazo máximo de siete días </w:t>
      </w:r>
      <w:r>
        <w:rPr>
          <w:rFonts w:ascii="Palatino Linotype" w:eastAsia="Palatino Linotype" w:hAnsi="Palatino Linotype" w:cs="Palatino Linotype"/>
          <w:sz w:val="24"/>
          <w:szCs w:val="24"/>
        </w:rPr>
        <w:t>manifestara</w:t>
      </w:r>
      <w:r>
        <w:rPr>
          <w:rFonts w:ascii="Palatino Linotype" w:eastAsia="Palatino Linotype" w:hAnsi="Palatino Linotype" w:cs="Palatino Linotype"/>
          <w:color w:val="000000"/>
          <w:sz w:val="24"/>
          <w:szCs w:val="24"/>
        </w:rPr>
        <w:t xml:space="preserve"> lo que a su derecho conviniera, </w:t>
      </w:r>
      <w:r>
        <w:rPr>
          <w:rFonts w:ascii="Palatino Linotype" w:eastAsia="Palatino Linotype" w:hAnsi="Palatino Linotype" w:cs="Palatino Linotype"/>
          <w:sz w:val="24"/>
          <w:szCs w:val="24"/>
        </w:rPr>
        <w:t>ofreciera</w:t>
      </w:r>
      <w:r>
        <w:rPr>
          <w:rFonts w:ascii="Palatino Linotype" w:eastAsia="Palatino Linotype" w:hAnsi="Palatino Linotype" w:cs="Palatino Linotype"/>
          <w:color w:val="000000"/>
          <w:sz w:val="24"/>
          <w:szCs w:val="24"/>
        </w:rPr>
        <w:t xml:space="preserve"> pruebas y alegatos según corresponda al caso </w:t>
      </w:r>
      <w:r>
        <w:rPr>
          <w:rFonts w:ascii="Palatino Linotype" w:eastAsia="Palatino Linotype" w:hAnsi="Palatino Linotype" w:cs="Palatino Linotype"/>
          <w:color w:val="000000"/>
          <w:sz w:val="24"/>
          <w:szCs w:val="24"/>
        </w:rPr>
        <w:lastRenderedPageBreak/>
        <w:t xml:space="preserve">concreto, de esta forma para que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presentará</w:t>
      </w:r>
      <w:r>
        <w:rPr>
          <w:rFonts w:ascii="Palatino Linotype" w:eastAsia="Palatino Linotype" w:hAnsi="Palatino Linotype" w:cs="Palatino Linotype"/>
          <w:color w:val="000000"/>
          <w:sz w:val="24"/>
          <w:szCs w:val="24"/>
        </w:rPr>
        <w:t xml:space="preserve"> el Informe Justificado procedente.</w:t>
      </w:r>
    </w:p>
    <w:p w14:paraId="417889C0"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48495DF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fue omiso en rendir el informe justificado correspondiente. Por su parte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dejó de realizar manifestaciones que a su derecho conviniera y asistiera.</w:t>
      </w:r>
    </w:p>
    <w:p w14:paraId="41A7D1E9" w14:textId="77777777" w:rsidR="00C4277B" w:rsidRDefault="00C4277B">
      <w:pPr>
        <w:pBdr>
          <w:top w:val="nil"/>
          <w:left w:val="nil"/>
          <w:bottom w:val="nil"/>
          <w:right w:val="nil"/>
          <w:between w:val="nil"/>
        </w:pBdr>
        <w:spacing w:line="360" w:lineRule="auto"/>
        <w:ind w:left="720"/>
        <w:rPr>
          <w:rFonts w:ascii="Palatino Linotype" w:eastAsia="Palatino Linotype" w:hAnsi="Palatino Linotype" w:cs="Palatino Linotype"/>
          <w:color w:val="000000"/>
          <w:sz w:val="24"/>
          <w:szCs w:val="24"/>
        </w:rPr>
      </w:pPr>
    </w:p>
    <w:p w14:paraId="5E2C9C0D"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La Comisionada Ponente mediante acuerdo de fecha </w:t>
      </w:r>
      <w:r>
        <w:rPr>
          <w:rFonts w:ascii="Palatino Linotype" w:eastAsia="Palatino Linotype" w:hAnsi="Palatino Linotype" w:cs="Palatino Linotype"/>
          <w:b/>
          <w:color w:val="000000"/>
          <w:sz w:val="24"/>
          <w:szCs w:val="24"/>
        </w:rPr>
        <w:t xml:space="preserve">dieciséis de febrero de dos mil </w:t>
      </w:r>
      <w:r>
        <w:rPr>
          <w:rFonts w:ascii="Palatino Linotype" w:eastAsia="Palatino Linotype" w:hAnsi="Palatino Linotype" w:cs="Palatino Linotype"/>
          <w:color w:val="000000"/>
          <w:sz w:val="24"/>
          <w:szCs w:val="24"/>
        </w:rPr>
        <w:t>veinticuatro, decretó el cierre de instrucción.</w:t>
      </w:r>
    </w:p>
    <w:p w14:paraId="706B98B4"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ACE268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veintiséis de febrero de dos mil veinticuatro</w:t>
      </w:r>
      <w:r>
        <w:rPr>
          <w:rFonts w:ascii="Palatino Linotype" w:eastAsia="Palatino Linotype" w:hAnsi="Palatino Linotype" w:cs="Palatino Linotype"/>
          <w:color w:val="000000"/>
          <w:sz w:val="24"/>
          <w:szCs w:val="24"/>
        </w:rPr>
        <w:t xml:space="preserve">, se notificó al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la resolución aprobada Sexta Sesión Ordinaria celebrada el veintiuno (21) de febrero de dos mil veinticuatro</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en la cual se determinó lo siguiente:</w:t>
      </w:r>
    </w:p>
    <w:p w14:paraId="01A7F91C" w14:textId="77777777" w:rsidR="00C4277B" w:rsidRDefault="007179AB">
      <w:pPr>
        <w:ind w:left="709" w:right="68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PRIMERO. Resultan fundadas las razones y motivos de inconformidad hechos valer en el recurso de revisión 00523/INFOEM/IP/RR/2024, en términos de los considerandos CUARTO y SÉPTIMO de la presente resolución.</w:t>
      </w:r>
    </w:p>
    <w:p w14:paraId="240C5D59" w14:textId="77777777" w:rsidR="00C4277B" w:rsidRDefault="00C4277B">
      <w:pPr>
        <w:ind w:left="709" w:right="680"/>
        <w:jc w:val="both"/>
        <w:rPr>
          <w:rFonts w:ascii="Palatino Linotype" w:eastAsia="Palatino Linotype" w:hAnsi="Palatino Linotype" w:cs="Palatino Linotype"/>
          <w:b/>
          <w:i/>
          <w:sz w:val="22"/>
          <w:szCs w:val="22"/>
        </w:rPr>
      </w:pPr>
    </w:p>
    <w:p w14:paraId="0965DF53" w14:textId="77777777" w:rsidR="00C4277B" w:rsidRDefault="007179AB">
      <w:pPr>
        <w:ind w:left="709" w:right="68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SEGUNDO. Se ORDENA al Ayuntamiento de Ixtapaluca, dar atención a la solicitud de información  00008/IXTAPALU/IP/2024 y en su caso, entregar la información vía Sistema de Acceso a Información Mexiquense (SAIMEX).</w:t>
      </w:r>
    </w:p>
    <w:p w14:paraId="243536C7" w14:textId="77777777" w:rsidR="00C4277B" w:rsidRDefault="007179AB">
      <w:pPr>
        <w:ind w:left="709" w:right="68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883344B" w14:textId="77777777" w:rsidR="00C4277B" w:rsidRDefault="00C4277B">
      <w:pPr>
        <w:ind w:left="1134" w:right="900"/>
        <w:jc w:val="both"/>
        <w:rPr>
          <w:rFonts w:ascii="Palatino Linotype" w:eastAsia="Palatino Linotype" w:hAnsi="Palatino Linotype" w:cs="Palatino Linotype"/>
          <w:b/>
          <w:i/>
          <w:sz w:val="24"/>
          <w:szCs w:val="24"/>
        </w:rPr>
      </w:pPr>
    </w:p>
    <w:p w14:paraId="4C79E1B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 conformidad con el artículo 186, último párrafo de la Ley de Transparencia y Acceso a la Información Pública del Estado de México y Municipios, el Sujeto Obligado debió dar cumplimiento a la Resolución de referencia.</w:t>
      </w:r>
    </w:p>
    <w:p w14:paraId="7AD54870" w14:textId="77777777" w:rsidR="00C4277B" w:rsidRDefault="00C4277B">
      <w:pPr>
        <w:tabs>
          <w:tab w:val="left" w:pos="426"/>
        </w:tabs>
        <w:spacing w:line="360" w:lineRule="auto"/>
        <w:jc w:val="both"/>
        <w:rPr>
          <w:rFonts w:ascii="Palatino Linotype" w:eastAsia="Palatino Linotype" w:hAnsi="Palatino Linotype" w:cs="Palatino Linotype"/>
          <w:color w:val="000000"/>
          <w:sz w:val="24"/>
          <w:szCs w:val="24"/>
        </w:rPr>
      </w:pPr>
    </w:p>
    <w:p w14:paraId="6348EB1E"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catorce de marzo de dos mil veinticuatro</w:t>
      </w:r>
      <w:r>
        <w:rPr>
          <w:rFonts w:ascii="Palatino Linotype" w:eastAsia="Palatino Linotype" w:hAnsi="Palatino Linotype" w:cs="Palatino Linotype"/>
          <w:color w:val="000000"/>
          <w:sz w:val="24"/>
          <w:szCs w:val="24"/>
        </w:rPr>
        <w:t xml:space="preserve"> la Dirección de Cumplimientos de este Instituto, emitió Acuerdo de Incumplimiento al Recurso de Revisión 00523/INFOEM/IP/RR/2024, por parte del Sujeto Obligado Ayuntamiento de Ixtapaluca, apercibiéndolo, que en caso de persistir el incumplimiento, se impondrán al servidor público responsable las medidas de apremio correspondientes. </w:t>
      </w:r>
    </w:p>
    <w:p w14:paraId="7F70D69B"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6E5EA0D"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El veinticuatro de abril del año en curso, el Sujeto Obligado, remitió información con la finalidad de tener por colmada la solicitud de información primigenia, consistente en 43 recibos de nómina pertenecientes a directores y subdirectores de la primera quincena de diciembre de 2023.</w:t>
      </w:r>
    </w:p>
    <w:p w14:paraId="5D50C45F"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7E8A4D92"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veintiocho de septiembre de dos mil veintitrés</w:t>
      </w:r>
      <w:r>
        <w:rPr>
          <w:rFonts w:ascii="Palatino Linotype" w:eastAsia="Palatino Linotype" w:hAnsi="Palatino Linotype" w:cs="Palatino Linotype"/>
          <w:color w:val="000000"/>
          <w:sz w:val="24"/>
          <w:szCs w:val="24"/>
        </w:rPr>
        <w:t xml:space="preserve">, el Particular interpuso el recurso de revisión de la información entregada posterior a la resolución notificada, ante este Instituto a través del Sistema de Acceso a la Información Mexiquense (SAIMEX), en contra de la respuesta del Sujeto Obligado, en cumplimiento a la Resolución referida, en donde se </w:t>
      </w:r>
      <w:r>
        <w:rPr>
          <w:rFonts w:ascii="Palatino Linotype" w:eastAsia="Palatino Linotype" w:hAnsi="Palatino Linotype" w:cs="Palatino Linotype"/>
          <w:sz w:val="24"/>
          <w:szCs w:val="24"/>
        </w:rPr>
        <w:t>agravia</w:t>
      </w:r>
      <w:r>
        <w:rPr>
          <w:rFonts w:ascii="Palatino Linotype" w:eastAsia="Palatino Linotype" w:hAnsi="Palatino Linotype" w:cs="Palatino Linotype"/>
          <w:color w:val="000000"/>
          <w:sz w:val="24"/>
          <w:szCs w:val="24"/>
        </w:rPr>
        <w:t xml:space="preserve"> de lo siguiente:</w:t>
      </w:r>
    </w:p>
    <w:p w14:paraId="1ACECACF" w14:textId="77777777" w:rsidR="00C4277B" w:rsidRDefault="00C4277B">
      <w:pPr>
        <w:tabs>
          <w:tab w:val="left" w:pos="426"/>
        </w:tabs>
        <w:spacing w:line="360" w:lineRule="auto"/>
        <w:ind w:left="284"/>
        <w:jc w:val="both"/>
        <w:rPr>
          <w:rFonts w:ascii="Palatino Linotype" w:eastAsia="Palatino Linotype" w:hAnsi="Palatino Linotype" w:cs="Palatino Linotype"/>
          <w:color w:val="000000"/>
          <w:sz w:val="24"/>
          <w:szCs w:val="24"/>
        </w:rPr>
      </w:pPr>
    </w:p>
    <w:p w14:paraId="0A4728EA" w14:textId="77777777" w:rsidR="00C4277B" w:rsidRDefault="007179AB">
      <w:pPr>
        <w:numPr>
          <w:ilvl w:val="0"/>
          <w:numId w:val="2"/>
        </w:numPr>
        <w:tabs>
          <w:tab w:val="left" w:pos="851"/>
        </w:tabs>
        <w:ind w:left="851"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Solicito recibo de nomina de la primera quincena de diciembre 2023 en versión pública de todos los directores, Subdirectores, síndicos y Regidores del Municipio de Ixtapaluca administración 2022-2024”</w:t>
      </w:r>
      <w:r>
        <w:rPr>
          <w:rFonts w:ascii="Palatino Linotype" w:eastAsia="Palatino Linotype" w:hAnsi="Palatino Linotype" w:cs="Palatino Linotype"/>
          <w:color w:val="000000"/>
          <w:sz w:val="22"/>
          <w:szCs w:val="22"/>
        </w:rPr>
        <w:t xml:space="preserve"> </w:t>
      </w:r>
    </w:p>
    <w:p w14:paraId="66F957F2" w14:textId="77777777" w:rsidR="00C4277B" w:rsidRDefault="007179AB">
      <w:pPr>
        <w:numPr>
          <w:ilvl w:val="0"/>
          <w:numId w:val="2"/>
        </w:numPr>
        <w:tabs>
          <w:tab w:val="left" w:pos="851"/>
        </w:tabs>
        <w:ind w:left="851"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Razones o motivos de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 xml:space="preserve">“Falto la información del recibo de nomina de C. Luis Alberto Lopez Titular de la Oficina de Presidencia, el secretario del Ayuntamiento Roberto Avizuri, el Director de IMCUFIDE, de los 2 síndicos y todos </w:t>
      </w:r>
      <w:r>
        <w:rPr>
          <w:rFonts w:ascii="Palatino Linotype" w:eastAsia="Palatino Linotype" w:hAnsi="Palatino Linotype" w:cs="Palatino Linotype"/>
          <w:i/>
          <w:color w:val="000000"/>
          <w:sz w:val="22"/>
          <w:szCs w:val="22"/>
        </w:rPr>
        <w:lastRenderedPageBreak/>
        <w:t>los Regidores, solicito la información completa para oder concluir mi solicitud de información.”</w:t>
      </w:r>
      <w:r>
        <w:rPr>
          <w:rFonts w:ascii="Palatino Linotype" w:eastAsia="Palatino Linotype" w:hAnsi="Palatino Linotype" w:cs="Palatino Linotype"/>
          <w:color w:val="000000"/>
          <w:sz w:val="22"/>
          <w:szCs w:val="22"/>
        </w:rPr>
        <w:t xml:space="preserve"> (Sic).</w:t>
      </w:r>
    </w:p>
    <w:p w14:paraId="06AFCEF0" w14:textId="77777777" w:rsidR="00C4277B" w:rsidRDefault="00C4277B">
      <w:pPr>
        <w:ind w:left="720"/>
        <w:rPr>
          <w:rFonts w:ascii="Palatino Linotype" w:eastAsia="Palatino Linotype" w:hAnsi="Palatino Linotype" w:cs="Palatino Linotype"/>
          <w:color w:val="000000"/>
          <w:sz w:val="24"/>
          <w:szCs w:val="24"/>
        </w:rPr>
      </w:pPr>
    </w:p>
    <w:p w14:paraId="21A26F82"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tres de mayo de dos mil veinticuatro</w:t>
      </w:r>
      <w:r>
        <w:rPr>
          <w:rFonts w:ascii="Palatino Linotype" w:eastAsia="Palatino Linotype" w:hAnsi="Palatino Linotype" w:cs="Palatino Linotype"/>
          <w:color w:val="000000"/>
          <w:sz w:val="24"/>
          <w:szCs w:val="24"/>
        </w:rPr>
        <w:t xml:space="preserve">, con fundamento en lo dispuesto por el artículo 185, fracción II, de la ley de la materia, a través del acuerdo de admisión de misma fecha, puso a disposición de las partes el expediente electrónico vía SAIMEX, a efecto de que en un plazo máximo de siete días </w:t>
      </w:r>
      <w:r>
        <w:rPr>
          <w:rFonts w:ascii="Palatino Linotype" w:eastAsia="Palatino Linotype" w:hAnsi="Palatino Linotype" w:cs="Palatino Linotype"/>
          <w:sz w:val="24"/>
          <w:szCs w:val="24"/>
        </w:rPr>
        <w:t>manifestara</w:t>
      </w:r>
      <w:r>
        <w:rPr>
          <w:rFonts w:ascii="Palatino Linotype" w:eastAsia="Palatino Linotype" w:hAnsi="Palatino Linotype" w:cs="Palatino Linotype"/>
          <w:color w:val="000000"/>
          <w:sz w:val="24"/>
          <w:szCs w:val="24"/>
        </w:rPr>
        <w:t xml:space="preserve"> lo que a derecho </w:t>
      </w:r>
      <w:r>
        <w:rPr>
          <w:rFonts w:ascii="Palatino Linotype" w:eastAsia="Palatino Linotype" w:hAnsi="Palatino Linotype" w:cs="Palatino Linotype"/>
          <w:sz w:val="24"/>
          <w:szCs w:val="24"/>
        </w:rPr>
        <w:t>conviniera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ofreciera</w:t>
      </w:r>
      <w:r>
        <w:rPr>
          <w:rFonts w:ascii="Palatino Linotype" w:eastAsia="Palatino Linotype" w:hAnsi="Palatino Linotype" w:cs="Palatino Linotype"/>
          <w:color w:val="000000"/>
          <w:sz w:val="24"/>
          <w:szCs w:val="24"/>
        </w:rPr>
        <w:t xml:space="preserve"> pruebas y alegatos según corresponda a los casos concretos, de esta forma para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presentará</w:t>
      </w:r>
      <w:r>
        <w:rPr>
          <w:rFonts w:ascii="Palatino Linotype" w:eastAsia="Palatino Linotype" w:hAnsi="Palatino Linotype" w:cs="Palatino Linotype"/>
          <w:color w:val="000000"/>
          <w:sz w:val="24"/>
          <w:szCs w:val="24"/>
        </w:rPr>
        <w:t xml:space="preserve"> su informe justificado procedente.</w:t>
      </w:r>
    </w:p>
    <w:p w14:paraId="6F9C890B" w14:textId="77777777" w:rsidR="00C4277B" w:rsidRDefault="00C4277B">
      <w:pPr>
        <w:tabs>
          <w:tab w:val="left" w:pos="426"/>
        </w:tabs>
        <w:spacing w:line="360" w:lineRule="auto"/>
        <w:jc w:val="both"/>
        <w:rPr>
          <w:rFonts w:ascii="Palatino Linotype" w:eastAsia="Palatino Linotype" w:hAnsi="Palatino Linotype" w:cs="Palatino Linotype"/>
          <w:color w:val="000000"/>
          <w:sz w:val="24"/>
          <w:szCs w:val="24"/>
        </w:rPr>
      </w:pPr>
    </w:p>
    <w:p w14:paraId="63425B63" w14:textId="77777777" w:rsidR="00C4277B" w:rsidRDefault="007179A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De las constancias que obran en el expediente digital del recurso de revisión que hoy se resuelve, se aprecia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y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dejaron de realizar manifestaciones que a su derecho conviniera y asistiera respectivamente. En fecha </w:t>
      </w:r>
      <w:r>
        <w:rPr>
          <w:rFonts w:ascii="Palatino Linotype" w:eastAsia="Palatino Linotype" w:hAnsi="Palatino Linotype" w:cs="Palatino Linotype"/>
          <w:b/>
          <w:color w:val="000000"/>
          <w:sz w:val="24"/>
          <w:szCs w:val="24"/>
        </w:rPr>
        <w:t>cuatro de septiembre de dos mil veinticuatro</w:t>
      </w:r>
      <w:r>
        <w:rPr>
          <w:rFonts w:ascii="Palatino Linotype" w:eastAsia="Palatino Linotype" w:hAnsi="Palatino Linotype" w:cs="Palatino Linotype"/>
          <w:color w:val="000000"/>
          <w:sz w:val="24"/>
          <w:szCs w:val="24"/>
        </w:rPr>
        <w:t>, se amplió el término para resolver; al respecto es menester realizar las siguientes precisiones.</w:t>
      </w:r>
    </w:p>
    <w:p w14:paraId="03B8D07E" w14:textId="77777777" w:rsidR="00C4277B" w:rsidRDefault="00C4277B">
      <w:pPr>
        <w:spacing w:line="360" w:lineRule="auto"/>
        <w:rPr>
          <w:rFonts w:ascii="Palatino Linotype" w:eastAsia="Palatino Linotype" w:hAnsi="Palatino Linotype" w:cs="Palatino Linotype"/>
          <w:sz w:val="24"/>
          <w:szCs w:val="24"/>
        </w:rPr>
      </w:pPr>
    </w:p>
    <w:p w14:paraId="642317FC" w14:textId="77777777" w:rsidR="00C4277B" w:rsidRDefault="007179AB">
      <w:pPr>
        <w:numPr>
          <w:ilvl w:val="0"/>
          <w:numId w:val="6"/>
        </w:numP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De previo y especial pronunciamiento. Argumentos a considerar en las resoluciones a los recursos de revisión para justificar los fallos emitidos fuera del plazo legal de 45 días.</w:t>
      </w:r>
    </w:p>
    <w:p w14:paraId="315C10D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Este organismo garante no pasa por alto justificar, que la dilación en la resolución del presente asunto encuentra justificación en el alto número de recursos </w:t>
      </w:r>
      <w:r>
        <w:rPr>
          <w:rFonts w:ascii="Palatino Linotype" w:eastAsia="Palatino Linotype" w:hAnsi="Palatino Linotype" w:cs="Palatino Linotype"/>
          <w:color w:val="000000"/>
          <w:sz w:val="24"/>
          <w:szCs w:val="24"/>
        </w:rPr>
        <w:lastRenderedPageBreak/>
        <w:t>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33FDD57A" w14:textId="77777777" w:rsidR="00C4277B" w:rsidRDefault="00C4277B">
      <w:pPr>
        <w:spacing w:line="360" w:lineRule="auto"/>
        <w:jc w:val="both"/>
        <w:rPr>
          <w:rFonts w:ascii="Palatino Linotype" w:eastAsia="Palatino Linotype" w:hAnsi="Palatino Linotype" w:cs="Palatino Linotype"/>
          <w:sz w:val="24"/>
          <w:szCs w:val="24"/>
        </w:rPr>
      </w:pPr>
    </w:p>
    <w:p w14:paraId="2BF381F6"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7CD8FA3" w14:textId="77777777" w:rsidR="00C4277B" w:rsidRDefault="00C4277B">
      <w:pPr>
        <w:spacing w:line="360" w:lineRule="auto"/>
        <w:ind w:left="720"/>
        <w:rPr>
          <w:rFonts w:ascii="Palatino Linotype" w:eastAsia="Palatino Linotype" w:hAnsi="Palatino Linotype" w:cs="Palatino Linotype"/>
          <w:sz w:val="24"/>
          <w:szCs w:val="24"/>
        </w:rPr>
      </w:pPr>
    </w:p>
    <w:p w14:paraId="640C2ED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6CD02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7A6C44" w14:textId="77777777" w:rsidR="00C4277B" w:rsidRDefault="00C4277B">
      <w:pPr>
        <w:spacing w:line="360" w:lineRule="auto"/>
        <w:ind w:left="720"/>
        <w:rPr>
          <w:rFonts w:ascii="Palatino Linotype" w:eastAsia="Palatino Linotype" w:hAnsi="Palatino Linotype" w:cs="Palatino Linotype"/>
          <w:sz w:val="24"/>
          <w:szCs w:val="24"/>
        </w:rPr>
      </w:pPr>
    </w:p>
    <w:p w14:paraId="6A984F7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 xml:space="preserve">Por ello, excepcionalmente, si un asunto es resuelto con posterioridad a los plazos señalados por la norma debe analizarse la razonabilidad de dicha dilación atendiendo a los siguientes criterios:   </w:t>
      </w:r>
    </w:p>
    <w:p w14:paraId="702D24C7" w14:textId="77777777" w:rsidR="00C4277B" w:rsidRDefault="007179AB">
      <w:pPr>
        <w:numPr>
          <w:ilvl w:val="0"/>
          <w:numId w:val="5"/>
        </w:numPr>
        <w:spacing w:line="360" w:lineRule="auto"/>
        <w:ind w:right="39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0EE8C801" w14:textId="77777777" w:rsidR="00C4277B" w:rsidRDefault="007179AB">
      <w:pPr>
        <w:numPr>
          <w:ilvl w:val="0"/>
          <w:numId w:val="5"/>
        </w:numPr>
        <w:spacing w:line="360" w:lineRule="auto"/>
        <w:ind w:right="39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134D7C72" w14:textId="77777777" w:rsidR="00C4277B" w:rsidRDefault="007179AB">
      <w:pPr>
        <w:numPr>
          <w:ilvl w:val="0"/>
          <w:numId w:val="5"/>
        </w:numPr>
        <w:spacing w:line="360" w:lineRule="auto"/>
        <w:ind w:right="39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EABF017" w14:textId="77777777" w:rsidR="00C4277B" w:rsidRDefault="007179AB">
      <w:pPr>
        <w:spacing w:line="360" w:lineRule="auto"/>
        <w:ind w:left="851" w:right="399"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4526718E" w14:textId="77777777" w:rsidR="00C4277B" w:rsidRDefault="00C4277B">
      <w:pPr>
        <w:spacing w:line="360" w:lineRule="auto"/>
        <w:ind w:left="851" w:hanging="284"/>
        <w:jc w:val="both"/>
        <w:rPr>
          <w:rFonts w:ascii="Palatino Linotype" w:eastAsia="Palatino Linotype" w:hAnsi="Palatino Linotype" w:cs="Palatino Linotype"/>
          <w:sz w:val="24"/>
          <w:szCs w:val="24"/>
        </w:rPr>
      </w:pPr>
    </w:p>
    <w:p w14:paraId="6EDF2E33"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FC3DA9" w14:textId="77777777" w:rsidR="00C4277B" w:rsidRDefault="00C4277B">
      <w:pPr>
        <w:spacing w:line="360" w:lineRule="auto"/>
        <w:jc w:val="both"/>
        <w:rPr>
          <w:rFonts w:ascii="Palatino Linotype" w:eastAsia="Palatino Linotype" w:hAnsi="Palatino Linotype" w:cs="Palatino Linotype"/>
          <w:sz w:val="24"/>
          <w:szCs w:val="24"/>
        </w:rPr>
      </w:pPr>
    </w:p>
    <w:p w14:paraId="21D63BDC" w14:textId="77777777" w:rsidR="00C4277B" w:rsidRDefault="007179A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w:t>
      </w:r>
      <w:r>
        <w:rPr>
          <w:rFonts w:ascii="Palatino Linotype" w:eastAsia="Palatino Linotype" w:hAnsi="Palatino Linotype" w:cs="Palatino Linotype"/>
          <w:sz w:val="24"/>
          <w:szCs w:val="24"/>
        </w:rPr>
        <w:t>del rubro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“TÉRMINOS PROCESALES. PARA DETERMINAR SI UN FUNCIONARIO JUDICIAL ACTUÓ </w:t>
      </w:r>
      <w:r>
        <w:rPr>
          <w:rFonts w:ascii="Palatino Linotype" w:eastAsia="Palatino Linotype" w:hAnsi="Palatino Linotype" w:cs="Palatino Linotype"/>
          <w:color w:val="000000"/>
          <w:sz w:val="24"/>
          <w:szCs w:val="24"/>
        </w:rPr>
        <w:t>INDEBIDAMENTE</w:t>
      </w:r>
      <w:r>
        <w:rPr>
          <w:rFonts w:ascii="Palatino Linotype" w:eastAsia="Palatino Linotype" w:hAnsi="Palatino Linotype" w:cs="Palatino Linotype"/>
          <w:i/>
          <w:color w:val="000000"/>
          <w:sz w:val="24"/>
          <w:szCs w:val="24"/>
        </w:rPr>
        <w:t xml:space="preserve"> POR NO RESPETARLOS SE DEBE ATENDER AL </w:t>
      </w:r>
      <w:r>
        <w:rPr>
          <w:rFonts w:ascii="Palatino Linotype" w:eastAsia="Palatino Linotype" w:hAnsi="Palatino Linotype" w:cs="Palatino Linotype"/>
          <w:i/>
          <w:color w:val="000000"/>
          <w:sz w:val="24"/>
          <w:szCs w:val="24"/>
        </w:rPr>
        <w:lastRenderedPageBreak/>
        <w:t>PRESUPUESTO QUE CONSIDERÓ EL LEGISLADOR AL FIJARLOS Y LAS CARACTERÍSTICAS DEL CASO.”</w:t>
      </w:r>
      <w:r>
        <w:rPr>
          <w:rFonts w:ascii="Palatino Linotype" w:eastAsia="Palatino Linotype" w:hAnsi="Palatino Linotype" w:cs="Palatino Linotype"/>
          <w:color w:val="000000"/>
          <w:sz w:val="24"/>
          <w:szCs w:val="24"/>
        </w:rPr>
        <w:t xml:space="preserve">, visible en la Gaceta del </w:t>
      </w:r>
      <w:r>
        <w:rPr>
          <w:rFonts w:ascii="Palatino Linotype" w:eastAsia="Palatino Linotype" w:hAnsi="Palatino Linotype" w:cs="Palatino Linotype"/>
          <w:sz w:val="24"/>
          <w:szCs w:val="24"/>
        </w:rPr>
        <w:t>Semanario</w:t>
      </w:r>
      <w:r>
        <w:rPr>
          <w:rFonts w:ascii="Palatino Linotype" w:eastAsia="Palatino Linotype" w:hAnsi="Palatino Linotype" w:cs="Palatino Linotype"/>
          <w:color w:val="000000"/>
          <w:sz w:val="24"/>
          <w:szCs w:val="24"/>
        </w:rPr>
        <w:t xml:space="preserve"> Judicial de la Federación con el registro digital 205635.</w:t>
      </w:r>
    </w:p>
    <w:p w14:paraId="32C33AFF" w14:textId="77777777" w:rsidR="00C4277B" w:rsidRDefault="00C4277B">
      <w:pPr>
        <w:spacing w:line="360" w:lineRule="auto"/>
        <w:jc w:val="both"/>
        <w:rPr>
          <w:rFonts w:ascii="Palatino Linotype" w:eastAsia="Palatino Linotype" w:hAnsi="Palatino Linotype" w:cs="Palatino Linotype"/>
          <w:sz w:val="24"/>
          <w:szCs w:val="24"/>
        </w:rPr>
      </w:pPr>
    </w:p>
    <w:p w14:paraId="06BB0B7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B3FBB2"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23CBB43B" w14:textId="77777777" w:rsidR="00C4277B" w:rsidRDefault="00C4277B">
      <w:pPr>
        <w:spacing w:line="360" w:lineRule="auto"/>
        <w:jc w:val="both"/>
        <w:rPr>
          <w:rFonts w:ascii="Palatino Linotype" w:eastAsia="Palatino Linotype" w:hAnsi="Palatino Linotype" w:cs="Palatino Linotype"/>
          <w:sz w:val="24"/>
          <w:szCs w:val="24"/>
        </w:rPr>
      </w:pPr>
    </w:p>
    <w:p w14:paraId="58CE09BC"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73584404" w14:textId="77777777" w:rsidR="00C4277B" w:rsidRDefault="007179AB">
      <w:pPr>
        <w:ind w:left="709"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“PLAZO RAZONABLE PARA RESOLVER. DIMENSIÓN Y EFECTOS DE ESTE CONCEPTO CUANDO SE ADUCE EXCESIVA CARGA DE TRABAJO.” consultable en el Seminario Judicial de la Federación y su gaceta, con el registro digital 2002351.</w:t>
      </w:r>
    </w:p>
    <w:p w14:paraId="1C363BAD" w14:textId="77777777" w:rsidR="00C4277B" w:rsidRDefault="00C4277B">
      <w:pPr>
        <w:ind w:left="709" w:right="822"/>
        <w:jc w:val="both"/>
        <w:rPr>
          <w:rFonts w:ascii="Palatino Linotype" w:eastAsia="Palatino Linotype" w:hAnsi="Palatino Linotype" w:cs="Palatino Linotype"/>
          <w:b/>
          <w:i/>
          <w:sz w:val="22"/>
          <w:szCs w:val="22"/>
        </w:rPr>
      </w:pPr>
    </w:p>
    <w:p w14:paraId="679C16D0" w14:textId="77777777" w:rsidR="00C4277B" w:rsidRDefault="007179AB">
      <w:pPr>
        <w:ind w:left="709"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 visible en el Seminario Judicial de la Federación y su gaceta, con el registro digital 2002350.”</w:t>
      </w:r>
    </w:p>
    <w:p w14:paraId="6A2427E4"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081B391D" w14:textId="77777777" w:rsidR="00C4277B" w:rsidRDefault="007179A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Una vez transcurrido el plazo decretado con anterioridad, en misma fecha se decretó el cierre de instrucción y al no existir diligencias por realizar y se </w:t>
      </w:r>
      <w:r>
        <w:rPr>
          <w:rFonts w:ascii="Palatino Linotype" w:eastAsia="Palatino Linotype" w:hAnsi="Palatino Linotype" w:cs="Palatino Linotype"/>
          <w:sz w:val="24"/>
          <w:szCs w:val="24"/>
        </w:rPr>
        <w:t>turna</w:t>
      </w:r>
      <w:r>
        <w:rPr>
          <w:rFonts w:ascii="Palatino Linotype" w:eastAsia="Palatino Linotype" w:hAnsi="Palatino Linotype" w:cs="Palatino Linotype"/>
          <w:color w:val="000000"/>
          <w:sz w:val="24"/>
          <w:szCs w:val="24"/>
        </w:rPr>
        <w:t xml:space="preserve"> el expediente a resolución correspondiente, por lo que: ------------------------------------------</w:t>
      </w:r>
    </w:p>
    <w:p w14:paraId="176AB480"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p>
    <w:p w14:paraId="739B575B"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p>
    <w:p w14:paraId="29733B7E"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p>
    <w:p w14:paraId="44BE06F2" w14:textId="77777777" w:rsidR="00C4277B" w:rsidRDefault="007179AB">
      <w:pPr>
        <w:pStyle w:val="Ttulo1"/>
        <w:jc w:val="center"/>
        <w:rPr>
          <w:rFonts w:ascii="Palatino Linotype" w:eastAsia="Palatino Linotype" w:hAnsi="Palatino Linotype" w:cs="Palatino Linotype"/>
          <w:b/>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t xml:space="preserve">C O N S I D E R A N D O </w:t>
      </w:r>
    </w:p>
    <w:p w14:paraId="491D5844" w14:textId="77777777" w:rsidR="00C4277B" w:rsidRDefault="00C4277B">
      <w:pPr>
        <w:rPr>
          <w:rFonts w:ascii="Palatino Linotype" w:eastAsia="Palatino Linotype" w:hAnsi="Palatino Linotype" w:cs="Palatino Linotype"/>
          <w:sz w:val="24"/>
          <w:szCs w:val="24"/>
        </w:rPr>
      </w:pPr>
    </w:p>
    <w:p w14:paraId="05D00731" w14:textId="77777777" w:rsidR="00C4277B" w:rsidRDefault="007179AB">
      <w:pPr>
        <w:pStyle w:val="Ttulo2"/>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PRIMERO. De la competencia</w:t>
      </w:r>
    </w:p>
    <w:p w14:paraId="18B0982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w:t>
      </w:r>
      <w:r>
        <w:rPr>
          <w:rFonts w:ascii="Palatino Linotype" w:eastAsia="Palatino Linotype" w:hAnsi="Palatino Linotype" w:cs="Palatino Linotype"/>
          <w:color w:val="000000"/>
          <w:sz w:val="24"/>
          <w:szCs w:val="24"/>
        </w:rPr>
        <w:lastRenderedPageBreak/>
        <w:t>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9C9D03B"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E464CE3" w14:textId="77777777" w:rsidR="00C4277B" w:rsidRDefault="007179AB">
      <w:pPr>
        <w:pStyle w:val="Ttulo2"/>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SEGUNDO. De la oportunidad y procedencia.</w:t>
      </w:r>
    </w:p>
    <w:p w14:paraId="4A00780E"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la Recurrente ante otra instancia.</w:t>
      </w:r>
    </w:p>
    <w:p w14:paraId="0F0A97E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Finalmente, el escrito contiene las formalidades previstas por el artículo 180 último párrafo de la citada Ley de la materia, por lo que es procedente que este Instituto conozca y resuelva el presente recurso.</w:t>
      </w:r>
    </w:p>
    <w:p w14:paraId="2471C166"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3B15290B" w14:textId="77777777" w:rsidR="00C4277B" w:rsidRDefault="007179AB">
      <w:pPr>
        <w:pStyle w:val="Ttulo1"/>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p>
    <w:p w14:paraId="35D44D4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Se solicitó tener acceso, a la información que a continuación se simplifica:</w:t>
      </w:r>
    </w:p>
    <w:p w14:paraId="2CA6A006" w14:textId="77777777" w:rsidR="00C4277B" w:rsidRDefault="007179AB">
      <w:pPr>
        <w:numPr>
          <w:ilvl w:val="0"/>
          <w:numId w:val="8"/>
        </w:numPr>
        <w:pBdr>
          <w:top w:val="nil"/>
          <w:left w:val="nil"/>
          <w:bottom w:val="nil"/>
          <w:right w:val="nil"/>
          <w:between w:val="nil"/>
        </w:pBdr>
        <w:ind w:left="777" w:right="539" w:hanging="35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Recibos de nómina de Directores, Subdirectores, Síndicos y Regidores de la Administración Pública Municipal 2022-2024, correspondientes a la primera quincena de diciembre de 2023.</w:t>
      </w:r>
    </w:p>
    <w:p w14:paraId="0F55D53B" w14:textId="77777777" w:rsidR="00C4277B" w:rsidRDefault="00C4277B">
      <w:pPr>
        <w:pBdr>
          <w:top w:val="nil"/>
          <w:left w:val="nil"/>
          <w:bottom w:val="nil"/>
          <w:right w:val="nil"/>
          <w:between w:val="nil"/>
        </w:pBdr>
        <w:spacing w:line="360" w:lineRule="auto"/>
        <w:ind w:left="778" w:right="-646"/>
        <w:jc w:val="both"/>
        <w:rPr>
          <w:rFonts w:ascii="Palatino Linotype" w:eastAsia="Palatino Linotype" w:hAnsi="Palatino Linotype" w:cs="Palatino Linotype"/>
          <w:b/>
          <w:color w:val="000000"/>
          <w:sz w:val="24"/>
          <w:szCs w:val="24"/>
        </w:rPr>
      </w:pPr>
    </w:p>
    <w:p w14:paraId="6AE2041C"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En respuesta, el Sujeto Obligado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remitió los archivos ya descritos en el anterior Párrafo 10. Inconforme con la respuesta, se interpuso recurso de revisión argumentando sustancialmente la falta de entrega de otros recibos de nómina requeridos de manera inicial; es decir la entrega de información incompleta.</w:t>
      </w:r>
    </w:p>
    <w:p w14:paraId="7BC4918A" w14:textId="77777777" w:rsidR="00C4277B" w:rsidRDefault="00C4277B">
      <w:pPr>
        <w:spacing w:line="360" w:lineRule="auto"/>
        <w:ind w:right="-646"/>
        <w:jc w:val="both"/>
        <w:rPr>
          <w:rFonts w:ascii="Palatino Linotype" w:eastAsia="Palatino Linotype" w:hAnsi="Palatino Linotype" w:cs="Palatino Linotype"/>
          <w:i/>
          <w:color w:val="000000"/>
          <w:sz w:val="24"/>
          <w:szCs w:val="24"/>
        </w:rPr>
      </w:pPr>
    </w:p>
    <w:p w14:paraId="3F106693"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En dichas condiciones, la controversia a resolver en el presente proveído, corresponde a determinar si se actualiza la causal de procedencia prevista en el artículo 179, fracción V</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de la Ley de Transparencia y Acceso a la Información Pública del Estado de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México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y</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Municipios; fracción que determina las hipótesis relativas a la entrega de información incompleta; contexto del cual se dolió la Recurrente al momento de interponer su inconformidad. De modo tal que el presente recurso de revisión se abocará en determinar si el Sujeto Obligado con su respuesta ciertamente actualiza las causales de procedencia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señaladas. </w:t>
      </w:r>
    </w:p>
    <w:p w14:paraId="733BF096" w14:textId="77777777" w:rsidR="00C4277B" w:rsidRDefault="00C4277B">
      <w:pPr>
        <w:spacing w:line="360" w:lineRule="auto"/>
        <w:ind w:right="-646"/>
        <w:jc w:val="both"/>
        <w:rPr>
          <w:rFonts w:ascii="Palatino Linotype" w:eastAsia="Palatino Linotype" w:hAnsi="Palatino Linotype" w:cs="Palatino Linotype"/>
          <w:sz w:val="24"/>
          <w:szCs w:val="24"/>
        </w:rPr>
      </w:pPr>
    </w:p>
    <w:p w14:paraId="5D89ACDE" w14:textId="77777777" w:rsidR="00C4277B" w:rsidRDefault="007179AB">
      <w:pPr>
        <w:pStyle w:val="Ttulo2"/>
        <w:spacing w:before="0" w:line="360" w:lineRule="auto"/>
        <w:ind w:right="-646"/>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CUARTA. Estudio de la controversia.</w:t>
      </w:r>
    </w:p>
    <w:p w14:paraId="05B99C9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w:t>
      </w:r>
      <w:r>
        <w:rPr>
          <w:rFonts w:ascii="Palatino Linotype" w:eastAsia="Palatino Linotype" w:hAnsi="Palatino Linotype" w:cs="Palatino Linotype"/>
          <w:color w:val="000000"/>
          <w:sz w:val="24"/>
          <w:szCs w:val="24"/>
        </w:rPr>
        <w:lastRenderedPageBreak/>
        <w:t>establece que los Sujetos Obligados deberán documentar todo acto que derive del ejercicio de sus facultades, competencias o funciones desde su origen la eventual publicidad y reutilización de la información que generen.</w:t>
      </w:r>
    </w:p>
    <w:p w14:paraId="3CB8FB76" w14:textId="77777777" w:rsidR="00C4277B" w:rsidRDefault="00C4277B">
      <w:pPr>
        <w:spacing w:line="360" w:lineRule="auto"/>
        <w:ind w:right="-646"/>
        <w:jc w:val="both"/>
        <w:rPr>
          <w:rFonts w:ascii="Palatino Linotype" w:eastAsia="Palatino Linotype" w:hAnsi="Palatino Linotype" w:cs="Palatino Linotype"/>
          <w:sz w:val="24"/>
          <w:szCs w:val="24"/>
        </w:rPr>
      </w:pPr>
    </w:p>
    <w:p w14:paraId="1F93B6F6"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0DEADB9" w14:textId="77777777" w:rsidR="00C4277B" w:rsidRDefault="00C4277B">
      <w:pPr>
        <w:pBdr>
          <w:top w:val="nil"/>
          <w:left w:val="nil"/>
          <w:bottom w:val="nil"/>
          <w:right w:val="nil"/>
          <w:between w:val="nil"/>
        </w:pBdr>
        <w:spacing w:line="360" w:lineRule="auto"/>
        <w:ind w:left="720" w:right="-646"/>
        <w:jc w:val="both"/>
        <w:rPr>
          <w:rFonts w:ascii="Palatino Linotype" w:eastAsia="Palatino Linotype" w:hAnsi="Palatino Linotype" w:cs="Palatino Linotype"/>
          <w:color w:val="000000"/>
          <w:sz w:val="24"/>
          <w:szCs w:val="24"/>
        </w:rPr>
      </w:pPr>
    </w:p>
    <w:p w14:paraId="79BB481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20C9181C" w14:textId="77777777" w:rsidR="00C4277B" w:rsidRDefault="00C4277B">
      <w:pPr>
        <w:pBdr>
          <w:top w:val="nil"/>
          <w:left w:val="nil"/>
          <w:bottom w:val="nil"/>
          <w:right w:val="nil"/>
          <w:between w:val="nil"/>
        </w:pBdr>
        <w:spacing w:line="360" w:lineRule="auto"/>
        <w:ind w:left="720" w:right="-646"/>
        <w:jc w:val="both"/>
        <w:rPr>
          <w:rFonts w:ascii="Palatino Linotype" w:eastAsia="Palatino Linotype" w:hAnsi="Palatino Linotype" w:cs="Palatino Linotype"/>
          <w:color w:val="000000"/>
          <w:sz w:val="24"/>
          <w:szCs w:val="24"/>
        </w:rPr>
      </w:pPr>
    </w:p>
    <w:p w14:paraId="5DAEBE51" w14:textId="77777777" w:rsidR="00C4277B" w:rsidRDefault="007179AB">
      <w:pPr>
        <w:numPr>
          <w:ilvl w:val="0"/>
          <w:numId w:val="7"/>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Del Recurso de Revisión 00523/INFOEM/ICR-21/IP/RR/2024</w:t>
      </w:r>
    </w:p>
    <w:p w14:paraId="13C8029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Acotado lo anterior, es de recordar que el presente proveído obedece a la interposición de un segundo recurso de revisión, derivado que en la primera resolución, ante la falta de respuesta del Sujeto Obligado, se configuró la figura de la negativa ficta, existiendo el derecho del particular de impugnar la respuesta que diera el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derivada de esa resolución, mediante recurso de revisión, ante este Instituto.</w:t>
      </w:r>
    </w:p>
    <w:p w14:paraId="7B183A89"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6B8A983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Luego entonces de la respuesta emitida en cumplimiento a la primera resolución se advierte que  ciertamente se remitieron recibos de nómina pertenecientes a Directores y Subdirectores de la primera quincena de diciembre, como fuera solicitado, mismos que no fueron objeto de impugnación, sino únicamente los que el Recurrente consideró faltantes.</w:t>
      </w:r>
    </w:p>
    <w:p w14:paraId="3EFF9A1B"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EC7C2F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008F70AD"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19E2428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Sirve de sustento, la tesis jurisprudencial número VI.3o.C. J/60, publicada en el Semanario Judicial de la Federación y su Gaceta bajo el número de registro 176,608 que a la letra dice:</w:t>
      </w:r>
    </w:p>
    <w:p w14:paraId="181F69A0" w14:textId="77777777" w:rsidR="00C4277B" w:rsidRDefault="007179AB">
      <w:pPr>
        <w:pBdr>
          <w:top w:val="nil"/>
          <w:left w:val="nil"/>
          <w:bottom w:val="nil"/>
          <w:right w:val="nil"/>
          <w:between w:val="nil"/>
        </w:pBdr>
        <w:tabs>
          <w:tab w:val="left" w:pos="851"/>
        </w:tabs>
        <w:ind w:left="644"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23D4AA" w14:textId="77777777" w:rsidR="00C4277B" w:rsidRDefault="00C4277B">
      <w:pPr>
        <w:pBdr>
          <w:top w:val="nil"/>
          <w:left w:val="nil"/>
          <w:bottom w:val="nil"/>
          <w:right w:val="nil"/>
          <w:between w:val="nil"/>
        </w:pBdr>
        <w:tabs>
          <w:tab w:val="left" w:pos="851"/>
        </w:tabs>
        <w:ind w:left="644" w:right="616"/>
        <w:jc w:val="both"/>
        <w:rPr>
          <w:rFonts w:ascii="Palatino Linotype" w:eastAsia="Palatino Linotype" w:hAnsi="Palatino Linotype" w:cs="Palatino Linotype"/>
          <w:i/>
          <w:color w:val="000000"/>
          <w:sz w:val="24"/>
          <w:szCs w:val="24"/>
        </w:rPr>
      </w:pPr>
    </w:p>
    <w:p w14:paraId="61A23C0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 la interpretación del criterio antes citado, se advierte que cuando el particular impugnó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expresó razón o motivo de inconformidad en contra de todos los rubros solicitados, por tanto estos deben declararse atendidos, pues se entiende que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está conforme con la respuesta proporcionada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al no contravenir la misma. </w:t>
      </w:r>
    </w:p>
    <w:p w14:paraId="27E6F9C8" w14:textId="77777777" w:rsidR="00C4277B" w:rsidRDefault="00C4277B">
      <w:pPr>
        <w:pBdr>
          <w:top w:val="nil"/>
          <w:left w:val="nil"/>
          <w:bottom w:val="nil"/>
          <w:right w:val="nil"/>
          <w:between w:val="nil"/>
        </w:pBdr>
        <w:spacing w:line="360" w:lineRule="auto"/>
        <w:ind w:left="644"/>
        <w:jc w:val="both"/>
        <w:rPr>
          <w:rFonts w:ascii="Palatino Linotype" w:eastAsia="Palatino Linotype" w:hAnsi="Palatino Linotype" w:cs="Palatino Linotype"/>
          <w:color w:val="000000"/>
          <w:sz w:val="24"/>
          <w:szCs w:val="24"/>
        </w:rPr>
      </w:pPr>
    </w:p>
    <w:p w14:paraId="6309463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Atento a ello, es importante traer a contexto la Tesis Jurisprudencial Número 3ª./J.7/91, Publicada en el Semanario Judicial de la Federación y su Gaceta bajo el número de registro 174,177, que establece lo siguiente:</w:t>
      </w:r>
    </w:p>
    <w:p w14:paraId="75D7C701" w14:textId="77777777" w:rsidR="00C4277B" w:rsidRDefault="007179AB">
      <w:pPr>
        <w:pBdr>
          <w:top w:val="nil"/>
          <w:left w:val="nil"/>
          <w:bottom w:val="nil"/>
          <w:right w:val="nil"/>
          <w:between w:val="nil"/>
        </w:pBdr>
        <w:tabs>
          <w:tab w:val="left" w:pos="7937"/>
          <w:tab w:val="left" w:pos="8222"/>
        </w:tabs>
        <w:ind w:left="644"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w:t>
      </w:r>
      <w:r>
        <w:rPr>
          <w:rFonts w:ascii="Palatino Linotype" w:eastAsia="Palatino Linotype" w:hAnsi="Palatino Linotype" w:cs="Palatino Linotype"/>
          <w:i/>
          <w:color w:val="000000"/>
          <w:sz w:val="22"/>
          <w:szCs w:val="22"/>
        </w:rPr>
        <w:lastRenderedPageBreak/>
        <w:t>parte considerativa y en los resolutivos debe confirmarse la sentencia recurrida en la parte correspondiente.”</w:t>
      </w:r>
    </w:p>
    <w:p w14:paraId="71FA6A72" w14:textId="77777777" w:rsidR="00C4277B" w:rsidRDefault="00C4277B">
      <w:pPr>
        <w:pBdr>
          <w:top w:val="nil"/>
          <w:left w:val="nil"/>
          <w:bottom w:val="nil"/>
          <w:right w:val="nil"/>
          <w:between w:val="nil"/>
        </w:pBdr>
        <w:tabs>
          <w:tab w:val="left" w:pos="7937"/>
          <w:tab w:val="left" w:pos="8222"/>
        </w:tabs>
        <w:ind w:left="644" w:right="901"/>
        <w:jc w:val="both"/>
        <w:rPr>
          <w:rFonts w:ascii="Palatino Linotype" w:eastAsia="Palatino Linotype" w:hAnsi="Palatino Linotype" w:cs="Palatino Linotype"/>
          <w:color w:val="000000"/>
          <w:sz w:val="24"/>
          <w:szCs w:val="24"/>
        </w:rPr>
      </w:pPr>
    </w:p>
    <w:p w14:paraId="2ED285A3"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consecuencia que los demás fundamentos remitidos en respuesta. Se consideran un acto consentido y, en consecuencia, este Órgano Resolutor no entrará al estudio del mismo por las razones hasta aquí expuestas. </w:t>
      </w:r>
    </w:p>
    <w:p w14:paraId="5D5D792F"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65FED80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Ahora bien, respecto de los rubros impugnados a saber: “</w:t>
      </w:r>
      <w:r>
        <w:rPr>
          <w:rFonts w:ascii="Palatino Linotype" w:eastAsia="Palatino Linotype" w:hAnsi="Palatino Linotype" w:cs="Palatino Linotype"/>
          <w:i/>
          <w:color w:val="000000"/>
          <w:sz w:val="24"/>
          <w:szCs w:val="24"/>
        </w:rPr>
        <w:t>recibo de nomina de C. Luis Alberto Lopez Titular de la Oficina de Presidencia, el secretario del Ayuntamiento Roberto Avizuri, el Director de IMCUFIDE, de los 2 síndicos y todos los Regidor</w:t>
      </w:r>
      <w:r>
        <w:rPr>
          <w:rFonts w:ascii="Palatino Linotype" w:eastAsia="Palatino Linotype" w:hAnsi="Palatino Linotype" w:cs="Palatino Linotype"/>
          <w:color w:val="000000"/>
          <w:sz w:val="24"/>
          <w:szCs w:val="24"/>
        </w:rPr>
        <w:t>es”</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 xml:space="preserve"> de las constancias que obran en el expediente electrónico en que se actúa, se advierte que ciertamente no se adjuntaron los recibos de nómina que el particular impugna, pues como se estableció en el apartado de antecedentes, los recibos de nómina ninguno corresponde a regidores y síndicos; sino únicamente a servidores públicos que tienen el nivel o rango de director y subdirector.</w:t>
      </w:r>
    </w:p>
    <w:p w14:paraId="7CB2DAE9" w14:textId="77777777" w:rsidR="00C4277B" w:rsidRDefault="00C4277B">
      <w:pPr>
        <w:pBdr>
          <w:top w:val="nil"/>
          <w:left w:val="nil"/>
          <w:bottom w:val="nil"/>
          <w:right w:val="nil"/>
          <w:between w:val="nil"/>
        </w:pBdr>
        <w:spacing w:line="360" w:lineRule="auto"/>
        <w:ind w:left="644"/>
        <w:jc w:val="both"/>
        <w:rPr>
          <w:rFonts w:ascii="Palatino Linotype" w:eastAsia="Palatino Linotype" w:hAnsi="Palatino Linotype" w:cs="Palatino Linotype"/>
          <w:sz w:val="24"/>
          <w:szCs w:val="24"/>
        </w:rPr>
      </w:pPr>
    </w:p>
    <w:p w14:paraId="7485105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Atento a lo anterior, del Bando Municipal 2023 se advierte que la actual administración pública municipal está conformada por doce Regidores y dos Síndicos como se aprecia:</w:t>
      </w:r>
    </w:p>
    <w:p w14:paraId="2FD0781A"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inline distT="0" distB="0" distL="0" distR="0" wp14:anchorId="6D3050A5" wp14:editId="7192C246">
            <wp:extent cx="3479552" cy="3773778"/>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479552" cy="3773778"/>
                    </a:xfrm>
                    <a:prstGeom prst="rect">
                      <a:avLst/>
                    </a:prstGeom>
                    <a:ln/>
                  </pic:spPr>
                </pic:pic>
              </a:graphicData>
            </a:graphic>
          </wp:inline>
        </w:drawing>
      </w:r>
    </w:p>
    <w:p w14:paraId="6B9C5496"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p>
    <w:p w14:paraId="6765E1D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Insistiendo que ninguno de los recibos de nómina entregados, corresponden a los servidores públicos de referencia. Por otro lado también se confirma que ninguno pertenece al Titular de la Oficina de Presidencia y el Secretario del Ayuntamiento respectivamente, cargos que ciertamente como refiere el particular, se encuentran ocupados por los CC. Luis Alberto López Hernández y, Argenis Roberto Avizuri González, como se advierte de las siguientes capturas del Portal de Información </w:t>
      </w:r>
      <w:r>
        <w:rPr>
          <w:rFonts w:ascii="Palatino Linotype" w:eastAsia="Palatino Linotype" w:hAnsi="Palatino Linotype" w:cs="Palatino Linotype"/>
          <w:sz w:val="24"/>
          <w:szCs w:val="24"/>
        </w:rPr>
        <w:t>Pública</w:t>
      </w:r>
      <w:r>
        <w:rPr>
          <w:rFonts w:ascii="Palatino Linotype" w:eastAsia="Palatino Linotype" w:hAnsi="Palatino Linotype" w:cs="Palatino Linotype"/>
          <w:color w:val="000000"/>
          <w:sz w:val="24"/>
          <w:szCs w:val="24"/>
        </w:rPr>
        <w:t xml:space="preserve"> Mexiquense (IPOMEX):</w:t>
      </w:r>
    </w:p>
    <w:p w14:paraId="4A961647" w14:textId="77777777" w:rsidR="00C4277B" w:rsidRDefault="007179A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inline distT="0" distB="0" distL="0" distR="0" wp14:anchorId="2633ECD8" wp14:editId="3111E639">
            <wp:extent cx="5742940" cy="1506855"/>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42940" cy="1506855"/>
                    </a:xfrm>
                    <a:prstGeom prst="rect">
                      <a:avLst/>
                    </a:prstGeom>
                    <a:ln/>
                  </pic:spPr>
                </pic:pic>
              </a:graphicData>
            </a:graphic>
          </wp:inline>
        </w:drawing>
      </w:r>
    </w:p>
    <w:p w14:paraId="7AE17077" w14:textId="77777777" w:rsidR="00C4277B" w:rsidRDefault="007179A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16B9E4B0" wp14:editId="7486EE74">
            <wp:extent cx="5742940" cy="2048510"/>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42940" cy="2048510"/>
                    </a:xfrm>
                    <a:prstGeom prst="rect">
                      <a:avLst/>
                    </a:prstGeom>
                    <a:ln/>
                  </pic:spPr>
                </pic:pic>
              </a:graphicData>
            </a:graphic>
          </wp:inline>
        </w:drawing>
      </w:r>
    </w:p>
    <w:p w14:paraId="35A47ACB" w14:textId="77777777" w:rsidR="00C4277B" w:rsidRDefault="00C4277B">
      <w:pPr>
        <w:spacing w:line="360" w:lineRule="auto"/>
        <w:jc w:val="both"/>
        <w:rPr>
          <w:rFonts w:ascii="Palatino Linotype" w:eastAsia="Palatino Linotype" w:hAnsi="Palatino Linotype" w:cs="Palatino Linotype"/>
          <w:sz w:val="24"/>
          <w:szCs w:val="24"/>
        </w:rPr>
      </w:pPr>
    </w:p>
    <w:p w14:paraId="0207977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otro lado, respecto del Instituto  Municipal  de  Cultura  Física  y  Deporte  de  Ixtapaluca, su titular también tiene el carácter de director, como se desprende del Bando Municipal del Sujeto Obligado:</w:t>
      </w:r>
    </w:p>
    <w:p w14:paraId="7849676B"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7776D305" wp14:editId="248A62D3">
            <wp:extent cx="4609690" cy="805258"/>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609690" cy="805258"/>
                    </a:xfrm>
                    <a:prstGeom prst="rect">
                      <a:avLst/>
                    </a:prstGeom>
                    <a:ln/>
                  </pic:spPr>
                </pic:pic>
              </a:graphicData>
            </a:graphic>
          </wp:inline>
        </w:drawing>
      </w:r>
    </w:p>
    <w:p w14:paraId="33117BD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Cargos cuyo nivel y rango corresponden al de mandos medios y superiores, por lo que al haber versado la solicitud de información inicial respecto de directores y </w:t>
      </w:r>
      <w:r>
        <w:rPr>
          <w:rFonts w:ascii="Palatino Linotype" w:eastAsia="Palatino Linotype" w:hAnsi="Palatino Linotype" w:cs="Palatino Linotype"/>
          <w:color w:val="000000"/>
          <w:sz w:val="24"/>
          <w:szCs w:val="24"/>
        </w:rPr>
        <w:lastRenderedPageBreak/>
        <w:t>subdirectores, ciertamente la solicitud de información comprende a los servidores públicos de referencia; luego entonces se concluye que las razones o motivos de inconformidad devienen fundados y es dable ordenar la información faltante. La cual evidentemente detenta el Sujeto Obligado, al asumir que si la genera, posee y administra, no obstante ello no es impedimento para realizar las siguientes precisiones.</w:t>
      </w:r>
    </w:p>
    <w:p w14:paraId="40C9D821"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A7533B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1D4DE97F"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510363D5" w14:textId="77777777" w:rsidR="00C4277B" w:rsidRDefault="00C4277B">
      <w:pPr>
        <w:ind w:left="851" w:right="902"/>
        <w:jc w:val="both"/>
        <w:rPr>
          <w:rFonts w:ascii="Palatino Linotype" w:eastAsia="Palatino Linotype" w:hAnsi="Palatino Linotype" w:cs="Palatino Linotype"/>
          <w:i/>
          <w:sz w:val="24"/>
          <w:szCs w:val="24"/>
        </w:rPr>
      </w:pPr>
    </w:p>
    <w:p w14:paraId="0A19D326"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Aunado a lo anterior, debe destacarse que dicho término es mencionado en diferentes ordenamientos legales, tal es el caso del artículo 804 de la Ley Federal de Trabajo, fracción II que establece:</w:t>
      </w:r>
    </w:p>
    <w:p w14:paraId="1BC61A72"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804.- El patrón tiene obligación de conservar y exhibir en juicio los documentos que a continuación se precisan:</w:t>
      </w:r>
    </w:p>
    <w:p w14:paraId="19F13F63"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71986BD"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Listas de raya o nómina de personal, cuando se lleven en el centro de trabajo; o recibos de pagos de salarios;</w:t>
      </w:r>
    </w:p>
    <w:p w14:paraId="0952EF55"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B44E38" w14:textId="77777777" w:rsidR="00C4277B" w:rsidRDefault="00C4277B">
      <w:pPr>
        <w:ind w:left="851" w:right="902"/>
        <w:jc w:val="both"/>
        <w:rPr>
          <w:rFonts w:ascii="Palatino Linotype" w:eastAsia="Palatino Linotype" w:hAnsi="Palatino Linotype" w:cs="Palatino Linotype"/>
          <w:i/>
          <w:sz w:val="24"/>
          <w:szCs w:val="24"/>
        </w:rPr>
      </w:pPr>
    </w:p>
    <w:p w14:paraId="192998FB"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6BDE9878"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58C11C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 ahí que, el artículo 50 de la Ley del Trabajo de los Servidores Públicos del Estado y Municipios, dispone literalmente lo siguiente:</w:t>
      </w:r>
    </w:p>
    <w:p w14:paraId="7992E591"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37DE98F"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raya.”(Sic)</w:t>
      </w:r>
    </w:p>
    <w:p w14:paraId="6075CC6B" w14:textId="77777777" w:rsidR="00C4277B" w:rsidRDefault="00C4277B">
      <w:pPr>
        <w:spacing w:line="360" w:lineRule="auto"/>
        <w:ind w:right="49"/>
        <w:jc w:val="both"/>
        <w:rPr>
          <w:rFonts w:ascii="Palatino Linotype" w:eastAsia="Palatino Linotype" w:hAnsi="Palatino Linotype" w:cs="Palatino Linotype"/>
          <w:sz w:val="24"/>
          <w:szCs w:val="24"/>
        </w:rPr>
      </w:pPr>
    </w:p>
    <w:p w14:paraId="22300AED"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De lo anterior, se advierte que la relación laboral entre un servidor público y el Estado se formaliza mediante nombramiento, contrato o formato único de movimientos de personal.</w:t>
      </w:r>
    </w:p>
    <w:p w14:paraId="281FE8B6"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Ahora bien, tratándose de servidores públicos, la Ley del Trabajo de los Servidores Públicos del Estado y Municipios, en su artículo 220-K fracciones II y IV y último párrafo, establecen lo siguiente:</w:t>
      </w:r>
    </w:p>
    <w:p w14:paraId="6B2F53F3"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220 K.- La institución o dependencia pública tiene la obligación de conservar y exhibir en el proceso los documentos que a continuación se precisan: … </w:t>
      </w:r>
    </w:p>
    <w:p w14:paraId="11B47635"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Recibos de pagos de salarios o las constancias documentales del pago de salario cuando sea por depósito o mediante información electrónica; </w:t>
      </w:r>
    </w:p>
    <w:p w14:paraId="53279C81"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1ABE51E"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i/>
          <w:sz w:val="22"/>
          <w:szCs w:val="22"/>
          <w:u w:val="single"/>
        </w:rPr>
        <w:t>Recibos o las constancias de depósito</w:t>
      </w:r>
      <w:r>
        <w:rPr>
          <w:rFonts w:ascii="Palatino Linotype" w:eastAsia="Palatino Linotype" w:hAnsi="Palatino Linotype" w:cs="Palatino Linotype"/>
          <w:i/>
          <w:sz w:val="22"/>
          <w:szCs w:val="22"/>
        </w:rPr>
        <w:t xml:space="preserve"> o del medio de información magnética o electrónica que sean utilizadas para el </w:t>
      </w:r>
      <w:r>
        <w:rPr>
          <w:rFonts w:ascii="Palatino Linotype" w:eastAsia="Palatino Linotype" w:hAnsi="Palatino Linotype" w:cs="Palatino Linotype"/>
          <w:i/>
          <w:sz w:val="22"/>
          <w:szCs w:val="22"/>
          <w:u w:val="single"/>
        </w:rPr>
        <w:t xml:space="preserve">pago de salarios, prima vacacional, aguinaldo </w:t>
      </w:r>
      <w:r>
        <w:rPr>
          <w:rFonts w:ascii="Palatino Linotype" w:eastAsia="Palatino Linotype" w:hAnsi="Palatino Linotype" w:cs="Palatino Linotype"/>
          <w:i/>
          <w:sz w:val="22"/>
          <w:szCs w:val="22"/>
        </w:rPr>
        <w:t xml:space="preserve">y demás prestaciones establecidas en la presente ley; y </w:t>
      </w:r>
    </w:p>
    <w:p w14:paraId="2A818B16"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46C1A701"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0E30AD4E"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C7537F0" w14:textId="77777777" w:rsidR="00C4277B" w:rsidRDefault="00C4277B">
      <w:pPr>
        <w:spacing w:line="276" w:lineRule="auto"/>
        <w:ind w:left="851" w:right="900"/>
        <w:jc w:val="both"/>
        <w:rPr>
          <w:rFonts w:ascii="Palatino Linotype" w:eastAsia="Palatino Linotype" w:hAnsi="Palatino Linotype" w:cs="Palatino Linotype"/>
          <w:i/>
          <w:sz w:val="24"/>
          <w:szCs w:val="24"/>
        </w:rPr>
      </w:pPr>
    </w:p>
    <w:p w14:paraId="37EFF1A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En este sentido, se advierte que toda institución pública o dependencia pública del Estado de México debe conservar los recibos o constancias de pago de s</w:t>
      </w:r>
      <w:r>
        <w:rPr>
          <w:rFonts w:ascii="Palatino Linotype" w:eastAsia="Palatino Linotype" w:hAnsi="Palatino Linotype" w:cs="Palatino Linotype"/>
          <w:color w:val="000000"/>
          <w:sz w:val="24"/>
          <w:szCs w:val="24"/>
          <w:u w:val="single"/>
        </w:rPr>
        <w:t xml:space="preserve">alarios </w:t>
      </w:r>
      <w:r>
        <w:rPr>
          <w:rFonts w:ascii="Palatino Linotype" w:eastAsia="Palatino Linotype" w:hAnsi="Palatino Linotype" w:cs="Palatino Linotype"/>
          <w:color w:val="000000"/>
          <w:sz w:val="24"/>
          <w:szCs w:val="24"/>
        </w:rPr>
        <w:t xml:space="preserve">y demás prestaciones legales de acuerdo con la forma en que se haya realizado el pago, es decir, en efectivo, cheque, depósito, transferencia u otra, debiendo conservar dicha </w:t>
      </w:r>
      <w:r>
        <w:rPr>
          <w:rFonts w:ascii="Palatino Linotype" w:eastAsia="Palatino Linotype" w:hAnsi="Palatino Linotype" w:cs="Palatino Linotype"/>
          <w:color w:val="000000"/>
          <w:sz w:val="24"/>
          <w:szCs w:val="24"/>
        </w:rPr>
        <w:lastRenderedPageBreak/>
        <w:t>documentación durante el último año y un año después de que se extingue la relación laboral a través de los sistemas de digitalización o de información magnética o electrónica.</w:t>
      </w:r>
    </w:p>
    <w:p w14:paraId="0B15F95F" w14:textId="77777777" w:rsidR="00C4277B" w:rsidRDefault="00C4277B">
      <w:pPr>
        <w:spacing w:line="360" w:lineRule="auto"/>
        <w:ind w:right="49"/>
        <w:jc w:val="both"/>
        <w:rPr>
          <w:rFonts w:ascii="Palatino Linotype" w:eastAsia="Palatino Linotype" w:hAnsi="Palatino Linotype" w:cs="Palatino Linotype"/>
          <w:sz w:val="24"/>
          <w:szCs w:val="24"/>
        </w:rPr>
      </w:pPr>
    </w:p>
    <w:p w14:paraId="650C6E5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es considerado como ente fiscalizable, como así lo señala el artículo 4 fracción II de la Ley de Fiscalización Superior del Estado de México, el cual señala:</w:t>
      </w:r>
    </w:p>
    <w:p w14:paraId="28F25F6B" w14:textId="77777777" w:rsidR="00C4277B" w:rsidRDefault="007179AB">
      <w:pPr>
        <w:spacing w:before="240"/>
        <w:ind w:left="709"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14:paraId="754354D9" w14:textId="77777777" w:rsidR="00C4277B" w:rsidRDefault="007179AB">
      <w:pPr>
        <w:ind w:left="709"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31B05E3" w14:textId="77777777" w:rsidR="00C4277B" w:rsidRDefault="007179AB">
      <w:pPr>
        <w:spacing w:before="240" w:after="160"/>
        <w:ind w:left="709"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municipios del Estado de México…” </w:t>
      </w:r>
    </w:p>
    <w:p w14:paraId="2EBDB573" w14:textId="77777777" w:rsidR="00C4277B" w:rsidRDefault="00C4277B">
      <w:pPr>
        <w:spacing w:before="240"/>
        <w:ind w:left="851" w:right="851"/>
        <w:jc w:val="both"/>
        <w:rPr>
          <w:rFonts w:ascii="Palatino Linotype" w:eastAsia="Palatino Linotype" w:hAnsi="Palatino Linotype" w:cs="Palatino Linotype"/>
          <w:b/>
          <w:sz w:val="24"/>
          <w:szCs w:val="24"/>
        </w:rPr>
      </w:pPr>
    </w:p>
    <w:p w14:paraId="3EE6CA6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2023, como así se advierte a continuación:</w:t>
      </w:r>
    </w:p>
    <w:p w14:paraId="36EFB227"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249248C1"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FDCBA3" w14:textId="77777777" w:rsidR="00C4277B" w:rsidRDefault="007179AB">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w:t>
      </w:r>
    </w:p>
    <w:p w14:paraId="1579F68C" w14:textId="77777777" w:rsidR="00C4277B" w:rsidRDefault="00C4277B">
      <w:pPr>
        <w:ind w:left="851" w:right="851"/>
        <w:jc w:val="both"/>
        <w:rPr>
          <w:rFonts w:ascii="Palatino Linotype" w:eastAsia="Palatino Linotype" w:hAnsi="Palatino Linotype" w:cs="Palatino Linotype"/>
          <w:sz w:val="22"/>
          <w:szCs w:val="22"/>
        </w:rPr>
      </w:pPr>
    </w:p>
    <w:p w14:paraId="02F41388" w14:textId="77777777" w:rsidR="00C4277B" w:rsidRDefault="00C4277B">
      <w:pPr>
        <w:ind w:left="851" w:right="851"/>
        <w:jc w:val="both"/>
        <w:rPr>
          <w:rFonts w:ascii="Palatino Linotype" w:eastAsia="Palatino Linotype" w:hAnsi="Palatino Linotype" w:cs="Palatino Linotype"/>
          <w:sz w:val="22"/>
          <w:szCs w:val="22"/>
        </w:rPr>
      </w:pPr>
    </w:p>
    <w:p w14:paraId="689E047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Dentro de los cuales ubicamos en su módulo cuatro la información de la nómina, como se advierte en las siguientes imágenes sustraídas de dichas políticas:</w:t>
      </w:r>
    </w:p>
    <w:p w14:paraId="111F6FE8"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E14D3BF"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6BFE03CE" wp14:editId="0AE4D6CC">
            <wp:extent cx="3936910" cy="431831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35982" t="17911" r="21361" b="2999"/>
                    <a:stretch>
                      <a:fillRect/>
                    </a:stretch>
                  </pic:blipFill>
                  <pic:spPr>
                    <a:xfrm>
                      <a:off x="0" y="0"/>
                      <a:ext cx="3936910" cy="4318315"/>
                    </a:xfrm>
                    <a:prstGeom prst="rect">
                      <a:avLst/>
                    </a:prstGeom>
                    <a:ln/>
                  </pic:spPr>
                </pic:pic>
              </a:graphicData>
            </a:graphic>
          </wp:inline>
        </w:drawing>
      </w:r>
    </w:p>
    <w:p w14:paraId="000C36A2"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inline distT="0" distB="0" distL="0" distR="0" wp14:anchorId="08110563" wp14:editId="10086010">
            <wp:extent cx="4383899" cy="2585918"/>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2361" t="20325" r="3937" b="4206"/>
                    <a:stretch>
                      <a:fillRect/>
                    </a:stretch>
                  </pic:blipFill>
                  <pic:spPr>
                    <a:xfrm>
                      <a:off x="0" y="0"/>
                      <a:ext cx="4383899" cy="2585918"/>
                    </a:xfrm>
                    <a:prstGeom prst="rect">
                      <a:avLst/>
                    </a:prstGeom>
                    <a:ln/>
                  </pic:spPr>
                </pic:pic>
              </a:graphicData>
            </a:graphic>
          </wp:inline>
        </w:drawing>
      </w:r>
    </w:p>
    <w:p w14:paraId="6F989C39" w14:textId="77777777" w:rsidR="00C4277B" w:rsidRDefault="00C4277B">
      <w:pPr>
        <w:spacing w:line="360" w:lineRule="auto"/>
        <w:jc w:val="center"/>
        <w:rPr>
          <w:rFonts w:ascii="Palatino Linotype" w:eastAsia="Palatino Linotype" w:hAnsi="Palatino Linotype" w:cs="Palatino Linotype"/>
          <w:sz w:val="24"/>
          <w:szCs w:val="24"/>
        </w:rPr>
      </w:pPr>
    </w:p>
    <w:p w14:paraId="4CAE1977"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2C5A0906" wp14:editId="15190266">
            <wp:extent cx="4872571" cy="3220728"/>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3987" t="26966" r="3145" b="13261"/>
                    <a:stretch>
                      <a:fillRect/>
                    </a:stretch>
                  </pic:blipFill>
                  <pic:spPr>
                    <a:xfrm>
                      <a:off x="0" y="0"/>
                      <a:ext cx="4872571" cy="3220728"/>
                    </a:xfrm>
                    <a:prstGeom prst="rect">
                      <a:avLst/>
                    </a:prstGeom>
                    <a:ln/>
                  </pic:spPr>
                </pic:pic>
              </a:graphicData>
            </a:graphic>
          </wp:inline>
        </w:drawing>
      </w:r>
    </w:p>
    <w:p w14:paraId="4E13BAED"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inline distT="0" distB="0" distL="0" distR="0" wp14:anchorId="7B7DC703" wp14:editId="2348B4A1">
            <wp:extent cx="4697191" cy="241207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22516" t="21935" r="4391" b="21512"/>
                    <a:stretch>
                      <a:fillRect/>
                    </a:stretch>
                  </pic:blipFill>
                  <pic:spPr>
                    <a:xfrm>
                      <a:off x="0" y="0"/>
                      <a:ext cx="4697191" cy="2412070"/>
                    </a:xfrm>
                    <a:prstGeom prst="rect">
                      <a:avLst/>
                    </a:prstGeom>
                    <a:ln/>
                  </pic:spPr>
                </pic:pic>
              </a:graphicData>
            </a:graphic>
          </wp:inline>
        </w:drawing>
      </w:r>
    </w:p>
    <w:p w14:paraId="65F707FD"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374645C0" wp14:editId="1DEEB89C">
            <wp:extent cx="5096786" cy="3198361"/>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6206" t="14488" r="18081"/>
                    <a:stretch>
                      <a:fillRect/>
                    </a:stretch>
                  </pic:blipFill>
                  <pic:spPr>
                    <a:xfrm>
                      <a:off x="0" y="0"/>
                      <a:ext cx="5096786" cy="3198361"/>
                    </a:xfrm>
                    <a:prstGeom prst="rect">
                      <a:avLst/>
                    </a:prstGeom>
                    <a:ln/>
                  </pic:spPr>
                </pic:pic>
              </a:graphicData>
            </a:graphic>
          </wp:inline>
        </w:drawing>
      </w:r>
    </w:p>
    <w:p w14:paraId="50FA5258"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inline distT="0" distB="0" distL="0" distR="0" wp14:anchorId="6A2CF4B0" wp14:editId="59B3F0BB">
            <wp:extent cx="3886432" cy="3041895"/>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37792" t="16704" r="16949" b="2192"/>
                    <a:stretch>
                      <a:fillRect/>
                    </a:stretch>
                  </pic:blipFill>
                  <pic:spPr>
                    <a:xfrm>
                      <a:off x="0" y="0"/>
                      <a:ext cx="3886432" cy="3041895"/>
                    </a:xfrm>
                    <a:prstGeom prst="rect">
                      <a:avLst/>
                    </a:prstGeom>
                    <a:ln/>
                  </pic:spPr>
                </pic:pic>
              </a:graphicData>
            </a:graphic>
          </wp:inline>
        </w:drawing>
      </w:r>
    </w:p>
    <w:p w14:paraId="2E35E737" w14:textId="77777777" w:rsidR="00C4277B" w:rsidRDefault="00C4277B">
      <w:pPr>
        <w:spacing w:line="360" w:lineRule="auto"/>
        <w:jc w:val="center"/>
        <w:rPr>
          <w:rFonts w:ascii="Palatino Linotype" w:eastAsia="Palatino Linotype" w:hAnsi="Palatino Linotype" w:cs="Palatino Linotype"/>
          <w:sz w:val="24"/>
          <w:szCs w:val="24"/>
        </w:rPr>
      </w:pPr>
    </w:p>
    <w:p w14:paraId="64F3FC60" w14:textId="77777777" w:rsidR="00C4277B" w:rsidRDefault="007179AB">
      <w:pPr>
        <w:spacing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drawing>
          <wp:inline distT="0" distB="0" distL="0" distR="0" wp14:anchorId="67272C3E" wp14:editId="64D93F75">
            <wp:extent cx="3643455" cy="2650806"/>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43222" t="23949" r="22607" b="9438"/>
                    <a:stretch>
                      <a:fillRect/>
                    </a:stretch>
                  </pic:blipFill>
                  <pic:spPr>
                    <a:xfrm>
                      <a:off x="0" y="0"/>
                      <a:ext cx="3643455" cy="2650806"/>
                    </a:xfrm>
                    <a:prstGeom prst="rect">
                      <a:avLst/>
                    </a:prstGeom>
                    <a:ln/>
                  </pic:spPr>
                </pic:pic>
              </a:graphicData>
            </a:graphic>
          </wp:inline>
        </w:drawing>
      </w:r>
    </w:p>
    <w:p w14:paraId="7F25CF1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 xml:space="preserve">En observancia a las imágenes anteriores, se acredita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debió generar la información solicitada y </w:t>
      </w:r>
      <w:r>
        <w:rPr>
          <w:rFonts w:ascii="Palatino Linotype" w:eastAsia="Palatino Linotype" w:hAnsi="Palatino Linotype" w:cs="Palatino Linotype"/>
          <w:sz w:val="24"/>
          <w:szCs w:val="24"/>
        </w:rPr>
        <w:t>remitir al</w:t>
      </w:r>
      <w:r>
        <w:rPr>
          <w:rFonts w:ascii="Palatino Linotype" w:eastAsia="Palatino Linotype" w:hAnsi="Palatino Linotype" w:cs="Palatino Linotype"/>
          <w:color w:val="000000"/>
          <w:sz w:val="24"/>
          <w:szCs w:val="24"/>
        </w:rPr>
        <w:t xml:space="preserve"> Órgano Superior de Fiscalización del Estado de México, para su respectiva revisión y fiscalización.</w:t>
      </w:r>
    </w:p>
    <w:p w14:paraId="68863B28" w14:textId="77777777" w:rsidR="00C4277B" w:rsidRDefault="00C4277B">
      <w:pPr>
        <w:spacing w:line="360" w:lineRule="auto"/>
        <w:jc w:val="both"/>
        <w:rPr>
          <w:rFonts w:ascii="Palatino Linotype" w:eastAsia="Palatino Linotype" w:hAnsi="Palatino Linotype" w:cs="Palatino Linotype"/>
          <w:sz w:val="24"/>
          <w:szCs w:val="24"/>
        </w:rPr>
      </w:pPr>
    </w:p>
    <w:p w14:paraId="0098685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En resumen, los recibos de nómina, es el documento que contiene los salarios de todos los funcionarios de la administración pública del Sujeto Obligado y que debió haber</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generado, administrado o poseído de acuerdo a lo establecido en el presente considerando; por lo que resulta procedente ordenar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su entrega salvaguardando los datos personales que contenga, de conformidad con el considerando quinto. </w:t>
      </w:r>
    </w:p>
    <w:p w14:paraId="71E7A047" w14:textId="77777777" w:rsidR="00C4277B" w:rsidRDefault="00C4277B">
      <w:pPr>
        <w:spacing w:line="360" w:lineRule="auto"/>
        <w:ind w:right="51"/>
        <w:jc w:val="both"/>
        <w:rPr>
          <w:rFonts w:ascii="Palatino Linotype" w:eastAsia="Palatino Linotype" w:hAnsi="Palatino Linotype" w:cs="Palatino Linotype"/>
          <w:sz w:val="24"/>
          <w:szCs w:val="24"/>
        </w:rPr>
      </w:pPr>
    </w:p>
    <w:p w14:paraId="5DFCB95B"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w:t>
      </w:r>
      <w:r>
        <w:rPr>
          <w:rFonts w:ascii="Palatino Linotype" w:eastAsia="Palatino Linotype" w:hAnsi="Palatino Linotype" w:cs="Palatino Linotype"/>
          <w:color w:val="000000"/>
          <w:sz w:val="24"/>
          <w:szCs w:val="24"/>
        </w:rPr>
        <w:lastRenderedPageBreak/>
        <w:t>causas y finalidad en la disposición de esos recursos; precepto legal que es del tenor siguiente:</w:t>
      </w:r>
    </w:p>
    <w:p w14:paraId="435FBD49" w14:textId="77777777" w:rsidR="00C4277B" w:rsidRDefault="007179AB">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4AED8292"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14B6E7D8"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E903EA" w14:textId="77777777" w:rsidR="00C4277B" w:rsidRDefault="007179AB">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5147F58F"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A448B6" w14:textId="77777777" w:rsidR="00C4277B" w:rsidRDefault="007179AB">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9865F2F" w14:textId="77777777" w:rsidR="00C4277B" w:rsidRDefault="007179A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14:paraId="42FE6B96" w14:textId="77777777" w:rsidR="00C4277B" w:rsidRDefault="00C4277B">
      <w:pPr>
        <w:spacing w:line="360" w:lineRule="auto"/>
        <w:jc w:val="both"/>
        <w:rPr>
          <w:rFonts w:ascii="Palatino Linotype" w:eastAsia="Palatino Linotype" w:hAnsi="Palatino Linotype" w:cs="Palatino Linotype"/>
          <w:sz w:val="24"/>
          <w:szCs w:val="24"/>
        </w:rPr>
      </w:pPr>
    </w:p>
    <w:p w14:paraId="3572275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color w:val="000000"/>
          <w:sz w:val="24"/>
          <w:szCs w:val="24"/>
        </w:rPr>
        <w:t>01/2003</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02/2003</w:t>
      </w:r>
      <w:r>
        <w:rPr>
          <w:rFonts w:ascii="Palatino Linotype" w:eastAsia="Palatino Linotype" w:hAnsi="Palatino Linotype" w:cs="Palatino Linotype"/>
          <w:color w:val="000000"/>
          <w:sz w:val="24"/>
          <w:szCs w:val="24"/>
        </w:rPr>
        <w:t xml:space="preserve"> emitidos por el Comité de Acceso a la Información Pública y Protección de Datos Personales de la Suprema Corte de Justicia de la Nación que a continuación se citan: </w:t>
      </w:r>
    </w:p>
    <w:p w14:paraId="775C2A3D"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5CD6D1C" w14:textId="77777777" w:rsidR="00C4277B" w:rsidRDefault="007179AB">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14:paraId="54DF83E4"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14:paraId="1DD3AEED" w14:textId="77777777" w:rsidR="00C4277B" w:rsidRDefault="007179AB">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14:paraId="5CEA7F8E" w14:textId="77777777" w:rsidR="00C4277B" w:rsidRDefault="00C4277B">
      <w:pPr>
        <w:ind w:left="851" w:right="851"/>
        <w:jc w:val="both"/>
        <w:rPr>
          <w:rFonts w:ascii="Palatino Linotype" w:eastAsia="Palatino Linotype" w:hAnsi="Palatino Linotype" w:cs="Palatino Linotype"/>
          <w:i/>
          <w:sz w:val="22"/>
          <w:szCs w:val="22"/>
        </w:rPr>
      </w:pPr>
    </w:p>
    <w:p w14:paraId="2B2C530A" w14:textId="77777777" w:rsidR="00C4277B" w:rsidRDefault="007179AB">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5E7A620D"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14:paraId="18106823" w14:textId="77777777" w:rsidR="00C4277B" w:rsidRDefault="007179AB">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14:paraId="4877D145" w14:textId="77777777" w:rsidR="00C4277B" w:rsidRDefault="00C4277B">
      <w:pPr>
        <w:spacing w:line="360" w:lineRule="auto"/>
        <w:jc w:val="both"/>
        <w:rPr>
          <w:rFonts w:ascii="Palatino Linotype" w:eastAsia="Palatino Linotype" w:hAnsi="Palatino Linotype" w:cs="Palatino Linotype"/>
          <w:sz w:val="24"/>
          <w:szCs w:val="24"/>
        </w:rPr>
      </w:pPr>
    </w:p>
    <w:p w14:paraId="37A413A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 xml:space="preserve">Ahora bien, el artículo 70 de la Ley General de Transparencia y Acceso a la Información Pública dispone lo siguiente: </w:t>
      </w:r>
    </w:p>
    <w:p w14:paraId="2C9250AC" w14:textId="77777777" w:rsidR="00C4277B" w:rsidRDefault="007179AB">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42DA503" w14:textId="77777777" w:rsidR="00C4277B" w:rsidRDefault="007179AB">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6620255A" w14:textId="77777777" w:rsidR="00C4277B" w:rsidRDefault="007179AB">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7A45CF8C" w14:textId="77777777" w:rsidR="00C4277B" w:rsidRDefault="00C4277B">
      <w:pPr>
        <w:spacing w:line="360" w:lineRule="auto"/>
        <w:jc w:val="both"/>
        <w:rPr>
          <w:rFonts w:ascii="Palatino Linotype" w:eastAsia="Palatino Linotype" w:hAnsi="Palatino Linotype" w:cs="Palatino Linotype"/>
          <w:sz w:val="24"/>
          <w:szCs w:val="24"/>
        </w:rPr>
      </w:pPr>
    </w:p>
    <w:p w14:paraId="6338369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Robustece lo anterior, el artículo 92, fracción VIII de la Ley de Transparencia y Acceso a la Información Pública del Estado de México y Municipios, señala: </w:t>
      </w:r>
    </w:p>
    <w:p w14:paraId="7E939ED0" w14:textId="77777777" w:rsidR="00C4277B" w:rsidRDefault="007179AB">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0408ED9" w14:textId="77777777" w:rsidR="00C4277B" w:rsidRDefault="007179AB">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B4C2EB" w14:textId="77777777" w:rsidR="00C4277B" w:rsidRDefault="007179AB">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CA69207" w14:textId="77777777" w:rsidR="00C4277B" w:rsidRDefault="00C4277B">
      <w:pPr>
        <w:spacing w:line="360" w:lineRule="auto"/>
        <w:jc w:val="both"/>
        <w:rPr>
          <w:rFonts w:ascii="Palatino Linotype" w:eastAsia="Palatino Linotype" w:hAnsi="Palatino Linotype" w:cs="Palatino Linotype"/>
          <w:sz w:val="24"/>
          <w:szCs w:val="24"/>
        </w:rPr>
      </w:pPr>
    </w:p>
    <w:p w14:paraId="1D3D0AE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49D84391" w14:textId="77777777" w:rsidR="00C4277B" w:rsidRDefault="00C4277B">
      <w:pPr>
        <w:pBdr>
          <w:top w:val="nil"/>
          <w:left w:val="nil"/>
          <w:bottom w:val="nil"/>
          <w:right w:val="nil"/>
          <w:between w:val="nil"/>
        </w:pBdr>
        <w:spacing w:line="360" w:lineRule="auto"/>
        <w:ind w:left="644"/>
        <w:jc w:val="both"/>
        <w:rPr>
          <w:rFonts w:ascii="Palatino Linotype" w:eastAsia="Palatino Linotype" w:hAnsi="Palatino Linotype" w:cs="Palatino Linotype"/>
          <w:color w:val="000000"/>
          <w:sz w:val="24"/>
          <w:szCs w:val="24"/>
        </w:rPr>
      </w:pPr>
    </w:p>
    <w:p w14:paraId="08A4F0FD"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Razones por las cuales lo procedente es ordenar, los recibos de nómina solicitados, en una correcta versión </w:t>
      </w:r>
      <w:r>
        <w:rPr>
          <w:rFonts w:ascii="Palatino Linotype" w:eastAsia="Palatino Linotype" w:hAnsi="Palatino Linotype" w:cs="Palatino Linotype"/>
          <w:sz w:val="24"/>
          <w:szCs w:val="24"/>
        </w:rPr>
        <w:t>pública</w:t>
      </w:r>
      <w:r>
        <w:rPr>
          <w:rFonts w:ascii="Palatino Linotype" w:eastAsia="Palatino Linotype" w:hAnsi="Palatino Linotype" w:cs="Palatino Linotype"/>
          <w:color w:val="000000"/>
          <w:sz w:val="24"/>
          <w:szCs w:val="24"/>
        </w:rPr>
        <w:t>, ello a colación de que los entregados en cumplimiento de la primera resolución, se advierten datos testados que no eran susceptibles de ser clasificados, no obstante se reitera que su falta de análisis obedeció a los actos consentidos del particular.</w:t>
      </w:r>
    </w:p>
    <w:p w14:paraId="3ABDCF2F"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1EC21D89" w14:textId="77777777" w:rsidR="00C4277B" w:rsidRDefault="00C4277B">
      <w:pPr>
        <w:spacing w:line="360" w:lineRule="auto"/>
        <w:jc w:val="both"/>
        <w:rPr>
          <w:rFonts w:ascii="Palatino Linotype" w:eastAsia="Palatino Linotype" w:hAnsi="Palatino Linotype" w:cs="Palatino Linotype"/>
          <w:sz w:val="24"/>
          <w:szCs w:val="24"/>
        </w:rPr>
      </w:pPr>
    </w:p>
    <w:p w14:paraId="17F3D3FC" w14:textId="77777777" w:rsidR="00C4277B" w:rsidRDefault="007179AB">
      <w:pPr>
        <w:keepNext/>
        <w:keepLines/>
        <w:spacing w:line="360" w:lineRule="auto"/>
        <w:ind w:right="-646"/>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QUINTO. De la versión pública.</w:t>
      </w:r>
    </w:p>
    <w:p w14:paraId="00181B6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b/>
          <w:sz w:val="24"/>
          <w:szCs w:val="24"/>
        </w:rPr>
        <w:t>Cómo</w:t>
      </w:r>
      <w:r>
        <w:rPr>
          <w:rFonts w:ascii="Palatino Linotype" w:eastAsia="Palatino Linotype" w:hAnsi="Palatino Linotype" w:cs="Palatino Linotype"/>
          <w:color w:val="000000"/>
          <w:sz w:val="24"/>
          <w:szCs w:val="24"/>
        </w:rPr>
        <w:t xml:space="preserve"> fue debidamente apuntado, el</w:t>
      </w:r>
      <w:r>
        <w:rPr>
          <w:rFonts w:ascii="Palatino Linotype" w:eastAsia="Palatino Linotype" w:hAnsi="Palatino Linotype" w:cs="Palatino Linotype"/>
          <w:b/>
          <w:color w:val="000000"/>
          <w:sz w:val="24"/>
          <w:szCs w:val="24"/>
        </w:rPr>
        <w:t> SUJETO OBLIGADO</w:t>
      </w:r>
      <w:r>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37E00261"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7C8136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19D9842"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55E6F22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7E44AF0"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C1B965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3962F6BF" w14:textId="77777777" w:rsidR="00C4277B" w:rsidRDefault="007179AB">
      <w:pPr>
        <w:ind w:left="993" w:right="1041"/>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 “Artículo 3. Para los efectos de la presente Ley se entenderá por:</w:t>
      </w:r>
    </w:p>
    <w:p w14:paraId="24A0DC3F" w14:textId="77777777" w:rsidR="00C4277B" w:rsidRDefault="007179AB">
      <w:pPr>
        <w:ind w:left="993" w:right="1041"/>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IX. Datos personales: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La información concerniente a una persona, identificada o identificable</w:t>
      </w:r>
      <w:r>
        <w:rPr>
          <w:rFonts w:ascii="Palatino Linotype" w:eastAsia="Palatino Linotype" w:hAnsi="Palatino Linotype" w:cs="Palatino Linotype"/>
          <w:i/>
          <w:sz w:val="24"/>
          <w:szCs w:val="24"/>
        </w:rPr>
        <w:t xml:space="preserve"> según lo dispuesto por la Ley de Protección de Datos Personales del Estado de México;</w:t>
      </w:r>
    </w:p>
    <w:p w14:paraId="4A2E3514"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69B71216"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F3DBD52"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E94B8C5" w14:textId="77777777" w:rsidR="00C4277B" w:rsidRDefault="00C4277B">
      <w:pPr>
        <w:ind w:left="993" w:right="1041"/>
        <w:jc w:val="both"/>
        <w:rPr>
          <w:rFonts w:ascii="Palatino Linotype" w:eastAsia="Palatino Linotype" w:hAnsi="Palatino Linotype" w:cs="Palatino Linotype"/>
          <w:i/>
          <w:sz w:val="22"/>
          <w:szCs w:val="22"/>
        </w:rPr>
      </w:pPr>
    </w:p>
    <w:p w14:paraId="5A81506E"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F77756" w14:textId="77777777" w:rsidR="00C4277B" w:rsidRDefault="00C4277B">
      <w:pPr>
        <w:ind w:left="993" w:right="1041"/>
        <w:jc w:val="both"/>
        <w:rPr>
          <w:rFonts w:ascii="Palatino Linotype" w:eastAsia="Palatino Linotype" w:hAnsi="Palatino Linotype" w:cs="Palatino Linotype"/>
          <w:i/>
          <w:sz w:val="22"/>
          <w:szCs w:val="22"/>
        </w:rPr>
      </w:pPr>
    </w:p>
    <w:p w14:paraId="09A9DCE3"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14:paraId="548B9E3F"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42B00E"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14:paraId="1868C269"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F6E7E7"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C2B2D68" w14:textId="77777777" w:rsidR="00C4277B" w:rsidRDefault="00C4277B">
      <w:pPr>
        <w:ind w:left="993" w:right="1041"/>
        <w:jc w:val="both"/>
        <w:rPr>
          <w:rFonts w:ascii="Palatino Linotype" w:eastAsia="Palatino Linotype" w:hAnsi="Palatino Linotype" w:cs="Palatino Linotype"/>
          <w:i/>
          <w:sz w:val="22"/>
          <w:szCs w:val="22"/>
        </w:rPr>
      </w:pPr>
    </w:p>
    <w:p w14:paraId="4F79DA3A" w14:textId="77777777" w:rsidR="00C4277B" w:rsidRDefault="007179AB">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B5CF32" w14:textId="77777777" w:rsidR="00C4277B" w:rsidRDefault="00C4277B">
      <w:pPr>
        <w:ind w:left="993" w:right="1041"/>
        <w:jc w:val="both"/>
        <w:rPr>
          <w:rFonts w:ascii="Palatino Linotype" w:eastAsia="Palatino Linotype" w:hAnsi="Palatino Linotype" w:cs="Palatino Linotype"/>
          <w:b/>
          <w:i/>
          <w:sz w:val="22"/>
          <w:szCs w:val="22"/>
        </w:rPr>
      </w:pPr>
    </w:p>
    <w:p w14:paraId="29DA68C3"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AF1D223"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A1765A0"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EA28DF5" w14:textId="77777777" w:rsidR="00C4277B" w:rsidRDefault="007179AB">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D2CB9E2" w14:textId="77777777" w:rsidR="00C4277B" w:rsidRDefault="00C4277B">
      <w:pPr>
        <w:ind w:left="993" w:right="1041"/>
        <w:jc w:val="both"/>
        <w:rPr>
          <w:rFonts w:ascii="Palatino Linotype" w:eastAsia="Palatino Linotype" w:hAnsi="Palatino Linotype" w:cs="Palatino Linotype"/>
          <w:i/>
          <w:sz w:val="24"/>
          <w:szCs w:val="24"/>
        </w:rPr>
      </w:pPr>
    </w:p>
    <w:p w14:paraId="17E3F0B1"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E9564C2" w14:textId="77777777" w:rsidR="00C4277B" w:rsidRDefault="00C4277B">
      <w:pPr>
        <w:spacing w:line="360" w:lineRule="auto"/>
        <w:ind w:right="51"/>
        <w:jc w:val="both"/>
        <w:rPr>
          <w:rFonts w:ascii="Palatino Linotype" w:eastAsia="Palatino Linotype" w:hAnsi="Palatino Linotype" w:cs="Palatino Linotype"/>
          <w:sz w:val="24"/>
          <w:szCs w:val="24"/>
        </w:rPr>
      </w:pPr>
    </w:p>
    <w:p w14:paraId="644731A1"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A47CE73"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4FC7C6E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w:t>
      </w:r>
      <w:r>
        <w:rPr>
          <w:rFonts w:ascii="Palatino Linotype" w:eastAsia="Palatino Linotype" w:hAnsi="Palatino Linotype" w:cs="Palatino Linotype"/>
          <w:color w:val="000000"/>
          <w:sz w:val="24"/>
          <w:szCs w:val="24"/>
        </w:rPr>
        <w:lastRenderedPageBreak/>
        <w:t>que disponen los artículos 49 fracción VIII, 53, fracción X y 59, fracción V, de la Ley en consulta, cuyo sentido literal es el siguiente:</w:t>
      </w:r>
    </w:p>
    <w:p w14:paraId="3E265D71" w14:textId="77777777" w:rsidR="00C4277B" w:rsidRDefault="007179A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60DB8380" w14:textId="77777777" w:rsidR="00C4277B" w:rsidRDefault="007179A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6050C254" w14:textId="77777777" w:rsidR="00C4277B" w:rsidRDefault="00C4277B">
      <w:pPr>
        <w:ind w:left="992" w:right="1043"/>
        <w:jc w:val="both"/>
        <w:rPr>
          <w:rFonts w:ascii="Palatino Linotype" w:eastAsia="Palatino Linotype" w:hAnsi="Palatino Linotype" w:cs="Palatino Linotype"/>
          <w:i/>
          <w:sz w:val="22"/>
          <w:szCs w:val="22"/>
        </w:rPr>
      </w:pPr>
    </w:p>
    <w:p w14:paraId="153C01E3" w14:textId="77777777" w:rsidR="00C4277B" w:rsidRDefault="007179A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3A210E1F" w14:textId="77777777" w:rsidR="00C4277B" w:rsidRDefault="007179A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21279EFE" w14:textId="77777777" w:rsidR="00C4277B" w:rsidRDefault="007179A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080B470D" w14:textId="77777777" w:rsidR="00C4277B" w:rsidRDefault="007179A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33B169DB" w14:textId="77777777" w:rsidR="00C4277B" w:rsidRDefault="00C4277B">
      <w:pPr>
        <w:ind w:left="992" w:right="1043"/>
        <w:jc w:val="both"/>
        <w:rPr>
          <w:rFonts w:ascii="Palatino Linotype" w:eastAsia="Palatino Linotype" w:hAnsi="Palatino Linotype" w:cs="Palatino Linotype"/>
          <w:i/>
          <w:sz w:val="24"/>
          <w:szCs w:val="24"/>
        </w:rPr>
      </w:pPr>
    </w:p>
    <w:p w14:paraId="3836CFE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9D18BA2" w14:textId="77777777" w:rsidR="00C4277B" w:rsidRDefault="00C4277B">
      <w:pPr>
        <w:spacing w:line="360" w:lineRule="auto"/>
        <w:jc w:val="both"/>
        <w:rPr>
          <w:rFonts w:ascii="Palatino Linotype" w:eastAsia="Palatino Linotype" w:hAnsi="Palatino Linotype" w:cs="Palatino Linotype"/>
          <w:sz w:val="24"/>
          <w:szCs w:val="24"/>
        </w:rPr>
      </w:pPr>
    </w:p>
    <w:p w14:paraId="66E695B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Para lo cual, a su vez en el caso de información de carácter confidencial, se debe atender a lo que señala el artículo 149 de la Ley de Transparencia Local vigente, que se lee como sigue:</w:t>
      </w:r>
    </w:p>
    <w:p w14:paraId="370ACC2D" w14:textId="77777777" w:rsidR="00C4277B" w:rsidRDefault="007179AB">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34479864"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9ADF71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1ED0120"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C51054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w:t>
      </w:r>
      <w:r>
        <w:rPr>
          <w:rFonts w:ascii="Palatino Linotype" w:eastAsia="Palatino Linotype" w:hAnsi="Palatino Linotype" w:cs="Palatino Linotype"/>
          <w:color w:val="000000"/>
          <w:sz w:val="24"/>
          <w:szCs w:val="24"/>
        </w:rPr>
        <w:lastRenderedPageBreak/>
        <w:t xml:space="preserve">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color w:val="000000"/>
          <w:sz w:val="24"/>
          <w:szCs w:val="24"/>
        </w:rPr>
        <w:t>Registro Federal de Contribuyentes</w:t>
      </w:r>
      <w:r>
        <w:rPr>
          <w:rFonts w:ascii="Palatino Linotype" w:eastAsia="Palatino Linotype" w:hAnsi="Palatino Linotype" w:cs="Palatino Linotype"/>
          <w:color w:val="000000"/>
          <w:sz w:val="24"/>
          <w:szCs w:val="24"/>
        </w:rPr>
        <w:t xml:space="preserve"> (RFC), la </w:t>
      </w:r>
      <w:r>
        <w:rPr>
          <w:rFonts w:ascii="Palatino Linotype" w:eastAsia="Palatino Linotype" w:hAnsi="Palatino Linotype" w:cs="Palatino Linotype"/>
          <w:b/>
          <w:color w:val="000000"/>
          <w:sz w:val="24"/>
          <w:szCs w:val="24"/>
        </w:rPr>
        <w:t>Clave Única de Registro de Población</w:t>
      </w:r>
      <w:r>
        <w:rPr>
          <w:rFonts w:ascii="Palatino Linotype" w:eastAsia="Palatino Linotype" w:hAnsi="Palatino Linotype" w:cs="Palatino Linotype"/>
          <w:color w:val="000000"/>
          <w:sz w:val="24"/>
          <w:szCs w:val="24"/>
        </w:rPr>
        <w:t xml:space="preserve"> (CURP), la </w:t>
      </w:r>
      <w:r>
        <w:rPr>
          <w:rFonts w:ascii="Palatino Linotype" w:eastAsia="Palatino Linotype" w:hAnsi="Palatino Linotype" w:cs="Palatino Linotype"/>
          <w:b/>
          <w:color w:val="000000"/>
          <w:sz w:val="24"/>
          <w:szCs w:val="24"/>
        </w:rPr>
        <w:t>Clave de cualquier tipo de seguridad social</w:t>
      </w:r>
      <w:r>
        <w:rPr>
          <w:rFonts w:ascii="Palatino Linotype" w:eastAsia="Palatino Linotype" w:hAnsi="Palatino Linotype" w:cs="Palatino Linotype"/>
          <w:color w:val="000000"/>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2B459BFD"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87E0F2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Por cuanto hace al </w:t>
      </w:r>
      <w:r>
        <w:rPr>
          <w:rFonts w:ascii="Palatino Linotype" w:eastAsia="Palatino Linotype" w:hAnsi="Palatino Linotype" w:cs="Palatino Linotype"/>
          <w:b/>
          <w:color w:val="000000"/>
          <w:sz w:val="24"/>
          <w:szCs w:val="24"/>
        </w:rPr>
        <w:t>Registro Federal de Contribuyentes (RFC),</w:t>
      </w:r>
      <w:r>
        <w:rPr>
          <w:rFonts w:ascii="Palatino Linotype" w:eastAsia="Palatino Linotype" w:hAnsi="Palatino Linotype" w:cs="Palatino Linotype"/>
          <w:color w:val="000000"/>
          <w:sz w:val="24"/>
          <w:szCs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71827A2"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44B52ADF"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53A8F9D"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2A47BBC"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color w:val="000000"/>
          <w:sz w:val="24"/>
          <w:szCs w:val="24"/>
          <w:highlight w:val="white"/>
        </w:rPr>
        <w:t xml:space="preserve">19/17, </w:t>
      </w:r>
      <w:r>
        <w:rPr>
          <w:rFonts w:ascii="Palatino Linotype" w:eastAsia="Palatino Linotype" w:hAnsi="Palatino Linotype" w:cs="Palatino Linotype"/>
          <w:color w:val="000000"/>
          <w:sz w:val="24"/>
          <w:szCs w:val="24"/>
        </w:rPr>
        <w:t>el cual es del tenor literal siguiente:</w:t>
      </w:r>
    </w:p>
    <w:p w14:paraId="5B2BC552" w14:textId="77777777" w:rsidR="00C4277B" w:rsidRDefault="007179AB">
      <w:pPr>
        <w:ind w:left="851" w:right="902"/>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“Registro Federal de Contribuyentes (RFC) de personas físicas</w:t>
      </w:r>
      <w:r>
        <w:rPr>
          <w:rFonts w:ascii="Palatino Linotype" w:eastAsia="Palatino Linotype" w:hAnsi="Palatino Linotype" w:cs="Palatino Linotype"/>
          <w:i/>
          <w:sz w:val="24"/>
          <w:szCs w:val="24"/>
        </w:rPr>
        <w:t>. El RFC es una clave de carácter fiscal, única e irrepetible, que permite identificar al titular, su edad y fecha de nacimiento, por lo que es un dato personal de carácter confidencial.”</w:t>
      </w:r>
    </w:p>
    <w:p w14:paraId="393DB574" w14:textId="77777777" w:rsidR="00C4277B" w:rsidRDefault="00C4277B">
      <w:pPr>
        <w:spacing w:line="276" w:lineRule="auto"/>
        <w:ind w:left="851" w:right="900"/>
        <w:jc w:val="both"/>
        <w:rPr>
          <w:rFonts w:ascii="Palatino Linotype" w:eastAsia="Palatino Linotype" w:hAnsi="Palatino Linotype" w:cs="Palatino Linotype"/>
          <w:i/>
          <w:sz w:val="24"/>
          <w:szCs w:val="24"/>
        </w:rPr>
      </w:pPr>
    </w:p>
    <w:p w14:paraId="0F66F4BE"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BC7C914"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A79FCF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 igual manera la </w:t>
      </w:r>
      <w:r>
        <w:rPr>
          <w:rFonts w:ascii="Palatino Linotype" w:eastAsia="Palatino Linotype" w:hAnsi="Palatino Linotype" w:cs="Palatino Linotype"/>
          <w:b/>
          <w:color w:val="000000"/>
          <w:sz w:val="24"/>
          <w:szCs w:val="24"/>
        </w:rPr>
        <w:t>Clave Única de Registro de Población (CURP)</w:t>
      </w:r>
      <w:r>
        <w:rPr>
          <w:rFonts w:ascii="Palatino Linotype" w:eastAsia="Palatino Linotype" w:hAnsi="Palatino Linotype" w:cs="Palatino Linotype"/>
          <w:color w:val="000000"/>
          <w:sz w:val="24"/>
          <w:szCs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w:t>
      </w:r>
      <w:r>
        <w:rPr>
          <w:rFonts w:ascii="Palatino Linotype" w:eastAsia="Palatino Linotype" w:hAnsi="Palatino Linotype" w:cs="Palatino Linotype"/>
          <w:color w:val="000000"/>
          <w:sz w:val="24"/>
          <w:szCs w:val="24"/>
        </w:rPr>
        <w:lastRenderedPageBreak/>
        <w:t>sus apellidos y su lugar de nacimiento; información que permite distinguirlo del resto de los habitantes, por tal motivo, se considera que es de carácter confidencial.</w:t>
      </w:r>
    </w:p>
    <w:p w14:paraId="74EACE45"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EF829E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Argumento que es compartido por el Instituto </w:t>
      </w:r>
      <w:r>
        <w:rPr>
          <w:rFonts w:ascii="Palatino Linotype" w:eastAsia="Palatino Linotype" w:hAnsi="Palatino Linotype" w:cs="Palatino Linotype"/>
          <w:color w:val="000000"/>
          <w:sz w:val="24"/>
          <w:szCs w:val="24"/>
          <w:highlight w:val="white"/>
        </w:rPr>
        <w:t>Nacional de Transparencia, Acceso a la Información y Protección de Datos Personales, INAI</w:t>
      </w:r>
      <w:r>
        <w:rPr>
          <w:rFonts w:ascii="Palatino Linotype" w:eastAsia="Palatino Linotype" w:hAnsi="Palatino Linotype" w:cs="Palatino Linotype"/>
          <w:b/>
          <w:color w:val="000000"/>
          <w:sz w:val="24"/>
          <w:szCs w:val="24"/>
        </w:rPr>
        <w:t xml:space="preserve">, conforme al </w:t>
      </w:r>
      <w:r>
        <w:rPr>
          <w:rFonts w:ascii="Palatino Linotype" w:eastAsia="Palatino Linotype" w:hAnsi="Palatino Linotype" w:cs="Palatino Linotype"/>
          <w:color w:val="000000"/>
          <w:sz w:val="24"/>
          <w:szCs w:val="24"/>
        </w:rPr>
        <w:t xml:space="preserve">criterio 18/17, el cual refiere: </w:t>
      </w:r>
    </w:p>
    <w:p w14:paraId="416C27B5"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D3C2BC9" w14:textId="77777777" w:rsidR="00C4277B" w:rsidRDefault="00C4277B">
      <w:pPr>
        <w:spacing w:line="276" w:lineRule="auto"/>
        <w:ind w:left="851" w:right="851"/>
        <w:jc w:val="both"/>
        <w:rPr>
          <w:rFonts w:ascii="Palatino Linotype" w:eastAsia="Palatino Linotype" w:hAnsi="Palatino Linotype" w:cs="Palatino Linotype"/>
          <w:i/>
          <w:sz w:val="22"/>
          <w:szCs w:val="22"/>
        </w:rPr>
      </w:pPr>
    </w:p>
    <w:p w14:paraId="3868A07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Por cuanto hace a la </w:t>
      </w:r>
      <w:r>
        <w:rPr>
          <w:rFonts w:ascii="Palatino Linotype" w:eastAsia="Palatino Linotype" w:hAnsi="Palatino Linotype" w:cs="Palatino Linotype"/>
          <w:b/>
          <w:color w:val="000000"/>
          <w:sz w:val="24"/>
          <w:szCs w:val="24"/>
        </w:rPr>
        <w:t xml:space="preserve">Clave de cualquier tipo de seguridad social (ISSEMyM, u otros), </w:t>
      </w:r>
      <w:r>
        <w:rPr>
          <w:rFonts w:ascii="Palatino Linotype" w:eastAsia="Palatino Linotype" w:hAnsi="Palatino Linotype" w:cs="Palatino Linotype"/>
          <w:color w:val="000000"/>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0E135E0"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ADC85C6"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color w:val="000000"/>
          <w:sz w:val="24"/>
          <w:szCs w:val="24"/>
          <w:u w:val="single"/>
        </w:rPr>
        <w:t>se le asigna una clave para hacer identificable al trabajador con el objetivo de poder proporcionar los servicios que brinda el ISSEMYM.</w:t>
      </w:r>
    </w:p>
    <w:p w14:paraId="7904EDFE" w14:textId="77777777" w:rsidR="00C4277B" w:rsidRDefault="00C4277B">
      <w:pPr>
        <w:spacing w:line="360" w:lineRule="auto"/>
        <w:jc w:val="both"/>
        <w:rPr>
          <w:rFonts w:ascii="Palatino Linotype" w:eastAsia="Palatino Linotype" w:hAnsi="Palatino Linotype" w:cs="Palatino Linotype"/>
          <w:sz w:val="24"/>
          <w:szCs w:val="24"/>
        </w:rPr>
      </w:pPr>
    </w:p>
    <w:p w14:paraId="4D2B2D3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0C72B89B" w14:textId="77777777" w:rsidR="00C4277B" w:rsidRDefault="00C4277B">
      <w:pPr>
        <w:spacing w:line="360" w:lineRule="auto"/>
        <w:jc w:val="both"/>
        <w:rPr>
          <w:rFonts w:ascii="Palatino Linotype" w:eastAsia="Palatino Linotype" w:hAnsi="Palatino Linotype" w:cs="Palatino Linotype"/>
          <w:sz w:val="24"/>
          <w:szCs w:val="24"/>
        </w:rPr>
      </w:pPr>
    </w:p>
    <w:p w14:paraId="2820BE12"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w:t>
      </w:r>
      <w:r>
        <w:rPr>
          <w:rFonts w:ascii="Palatino Linotype" w:eastAsia="Palatino Linotype" w:hAnsi="Palatino Linotype" w:cs="Palatino Linotype"/>
          <w:color w:val="000000"/>
          <w:sz w:val="24"/>
          <w:szCs w:val="24"/>
        </w:rPr>
        <w:lastRenderedPageBreak/>
        <w:t>públicas que se elaboren, toda vez que actualiza el supuesto de confidencialidad del artículo 143, fracción I de la Ley de Transparencia y Acceso a la Información Pública del Estado de México y Municipios.</w:t>
      </w:r>
    </w:p>
    <w:p w14:paraId="0B286F04"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937A1F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Respecto de los </w:t>
      </w:r>
      <w:r>
        <w:rPr>
          <w:rFonts w:ascii="Palatino Linotype" w:eastAsia="Palatino Linotype" w:hAnsi="Palatino Linotype" w:cs="Palatino Linotype"/>
          <w:b/>
          <w:color w:val="000000"/>
          <w:sz w:val="24"/>
          <w:szCs w:val="24"/>
        </w:rPr>
        <w:t>préstamos o descuentos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de carácter personal</w:t>
      </w:r>
      <w:r>
        <w:rPr>
          <w:rFonts w:ascii="Palatino Linotype" w:eastAsia="Palatino Linotype" w:hAnsi="Palatino Linotype" w:cs="Palatino Linotype"/>
          <w:color w:val="000000"/>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64CDBA4"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5D92FFC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su parte, el artículo 84 de la Ley del Trabajo de los Servidores Públicos del Estado y Municipios, señala:</w:t>
      </w:r>
    </w:p>
    <w:p w14:paraId="6B6BC0B9" w14:textId="77777777" w:rsidR="00C4277B" w:rsidRDefault="007179AB">
      <w:pPr>
        <w:spacing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1FCD58F8"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Gravámenes fiscales relacionados con el sueldo;</w:t>
      </w:r>
    </w:p>
    <w:p w14:paraId="23DADAF7"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1E0F0A67"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420ECEA2"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D1A060D"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A66FB75"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5BC9B66E"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 Faltas de puntualidad o de asistencia injustificadas;</w:t>
      </w:r>
    </w:p>
    <w:p w14:paraId="64688EC6"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1A3A2297"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434DBA78"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7F76F9A" w14:textId="77777777" w:rsidR="00C4277B" w:rsidRDefault="007179AB">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A8130E7" w14:textId="77777777" w:rsidR="00C4277B" w:rsidRDefault="00C4277B">
      <w:pPr>
        <w:ind w:left="851" w:right="902"/>
        <w:jc w:val="both"/>
        <w:rPr>
          <w:rFonts w:ascii="Palatino Linotype" w:eastAsia="Palatino Linotype" w:hAnsi="Palatino Linotype" w:cs="Palatino Linotype"/>
          <w:sz w:val="24"/>
          <w:szCs w:val="24"/>
        </w:rPr>
      </w:pPr>
    </w:p>
    <w:p w14:paraId="193DCC1C"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color w:val="000000"/>
          <w:sz w:val="24"/>
          <w:szCs w:val="24"/>
        </w:rPr>
        <w:t xml:space="preserve">únicamente inciden </w:t>
      </w:r>
      <w:r>
        <w:rPr>
          <w:rFonts w:ascii="Palatino Linotype" w:eastAsia="Palatino Linotype" w:hAnsi="Palatino Linotype" w:cs="Palatino Linotype"/>
          <w:color w:val="000000"/>
          <w:sz w:val="24"/>
          <w:szCs w:val="24"/>
        </w:rPr>
        <w:t>en</w:t>
      </w:r>
      <w:r>
        <w:rPr>
          <w:rFonts w:ascii="Palatino Linotype" w:eastAsia="Palatino Linotype" w:hAnsi="Palatino Linotype" w:cs="Palatino Linotype"/>
          <w:b/>
          <w:color w:val="000000"/>
          <w:sz w:val="24"/>
          <w:szCs w:val="24"/>
        </w:rPr>
        <w:t xml:space="preserve"> su vida privada</w:t>
      </w:r>
      <w:r>
        <w:rPr>
          <w:rFonts w:ascii="Palatino Linotype" w:eastAsia="Palatino Linotype" w:hAnsi="Palatino Linotype" w:cs="Palatino Linotype"/>
          <w:color w:val="000000"/>
          <w:sz w:val="24"/>
          <w:szCs w:val="24"/>
        </w:rPr>
        <w:t>. De este modo, descuentos por pensiones alimenticias o créditos adquiridos con instituciones privadas o públicas pero que fueron contraídas en forma individual, son información que debe clasificarse como confidencial.</w:t>
      </w:r>
    </w:p>
    <w:p w14:paraId="72CC1EDE"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BC91C8B"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w:t>
      </w:r>
      <w:r>
        <w:rPr>
          <w:rFonts w:ascii="Palatino Linotype" w:eastAsia="Palatino Linotype" w:hAnsi="Palatino Linotype" w:cs="Palatino Linotype"/>
          <w:color w:val="000000"/>
          <w:sz w:val="24"/>
          <w:szCs w:val="24"/>
        </w:rPr>
        <w:lastRenderedPageBreak/>
        <w:t>titular, sobre todo cuando traiga implícita que se ponga en riesgo la vida o integridad de una persona.</w:t>
      </w:r>
    </w:p>
    <w:p w14:paraId="0D58B792"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1F8722EC"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Sirven de sustento a lo anterior, las tesis jurisprudenciales </w:t>
      </w:r>
      <w:r>
        <w:rPr>
          <w:rFonts w:ascii="Palatino Linotype" w:eastAsia="Palatino Linotype" w:hAnsi="Palatino Linotype" w:cs="Palatino Linotype"/>
          <w:i/>
          <w:color w:val="000000"/>
          <w:sz w:val="24"/>
          <w:szCs w:val="24"/>
        </w:rPr>
        <w:t xml:space="preserve">P. LX/2000 </w:t>
      </w:r>
      <w:r>
        <w:rPr>
          <w:rFonts w:ascii="Palatino Linotype" w:eastAsia="Palatino Linotype" w:hAnsi="Palatino Linotype" w:cs="Palatino Linotype"/>
          <w:color w:val="000000"/>
          <w:sz w:val="24"/>
          <w:szCs w:val="24"/>
        </w:rPr>
        <w:t xml:space="preserve">y </w:t>
      </w:r>
      <w:r>
        <w:rPr>
          <w:rFonts w:ascii="Palatino Linotype" w:eastAsia="Palatino Linotype" w:hAnsi="Palatino Linotype" w:cs="Palatino Linotype"/>
          <w:i/>
          <w:color w:val="000000"/>
          <w:sz w:val="24"/>
          <w:szCs w:val="24"/>
        </w:rPr>
        <w:t>2a. XLIII/2008</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emitidas por el Peno y la Segunda Sala de la Suprema Corte de Justicia de la Nación, respectivamente, que son del tenor literal siguiente:</w:t>
      </w:r>
    </w:p>
    <w:p w14:paraId="1E538B22"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060D5133" w14:textId="77777777" w:rsidR="00C4277B" w:rsidRDefault="00C4277B">
      <w:pPr>
        <w:ind w:left="851" w:right="851"/>
        <w:jc w:val="both"/>
        <w:rPr>
          <w:rFonts w:ascii="Palatino Linotype" w:eastAsia="Palatino Linotype" w:hAnsi="Palatino Linotype" w:cs="Palatino Linotype"/>
          <w:i/>
          <w:sz w:val="22"/>
          <w:szCs w:val="22"/>
        </w:rPr>
      </w:pPr>
    </w:p>
    <w:p w14:paraId="47F0CDB2" w14:textId="77777777" w:rsidR="00C4277B" w:rsidRDefault="007179A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w:t>
      </w:r>
      <w:r>
        <w:rPr>
          <w:rFonts w:ascii="Palatino Linotype" w:eastAsia="Palatino Linotype" w:hAnsi="Palatino Linotype" w:cs="Palatino Linotype"/>
          <w:b/>
          <w:i/>
          <w:sz w:val="22"/>
          <w:szCs w:val="22"/>
        </w:rPr>
        <w:lastRenderedPageBreak/>
        <w:t xml:space="preserve">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7C0FFA08" w14:textId="77777777" w:rsidR="00C4277B" w:rsidRDefault="00C4277B">
      <w:pPr>
        <w:ind w:left="851" w:right="851"/>
        <w:jc w:val="both"/>
        <w:rPr>
          <w:rFonts w:ascii="Palatino Linotype" w:eastAsia="Palatino Linotype" w:hAnsi="Palatino Linotype" w:cs="Palatino Linotype"/>
          <w:i/>
          <w:sz w:val="24"/>
          <w:szCs w:val="24"/>
        </w:rPr>
      </w:pPr>
    </w:p>
    <w:p w14:paraId="0BF7F2FB" w14:textId="77777777" w:rsidR="00C4277B" w:rsidRDefault="007179A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También,</w:t>
      </w:r>
      <w:r>
        <w:rPr>
          <w:rFonts w:ascii="Palatino Linotype" w:eastAsia="Palatino Linotype" w:hAnsi="Palatino Linotype" w:cs="Palatino Linotype"/>
          <w:b/>
          <w:color w:val="000000"/>
          <w:sz w:val="24"/>
          <w:szCs w:val="24"/>
        </w:rPr>
        <w:t xml:space="preserve"> el número de cuenta bancario</w:t>
      </w:r>
      <w:r>
        <w:rPr>
          <w:rFonts w:ascii="Palatino Linotype" w:eastAsia="Palatino Linotype" w:hAnsi="Palatino Linotype" w:cs="Palatino Linotype"/>
          <w:color w:val="000000"/>
          <w:sz w:val="24"/>
          <w:szCs w:val="24"/>
        </w:rPr>
        <w:t>, en el Criterio 10/17 emitido por el Pleno del Instituto Nacional de Transparencia, Acceso a la Información y Protección de Datos Personales  se establece lo siguiente:</w:t>
      </w:r>
    </w:p>
    <w:p w14:paraId="42313437" w14:textId="77777777" w:rsidR="00C4277B" w:rsidRDefault="007179AB">
      <w:pPr>
        <w:shd w:val="clear" w:color="auto" w:fill="FFFFFF"/>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w:t>
      </w:r>
      <w:r>
        <w:rPr>
          <w:rFonts w:ascii="Palatino Linotype" w:eastAsia="Palatino Linotype" w:hAnsi="Palatino Linotype" w:cs="Palatino Linotype"/>
          <w:i/>
          <w:sz w:val="22"/>
          <w:szCs w:val="22"/>
        </w:rPr>
        <w:lastRenderedPageBreak/>
        <w:t>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74AD022F" w14:textId="77777777" w:rsidR="00C4277B" w:rsidRDefault="00C4277B">
      <w:pPr>
        <w:spacing w:line="360" w:lineRule="auto"/>
        <w:jc w:val="both"/>
        <w:rPr>
          <w:rFonts w:ascii="Palatino Linotype" w:eastAsia="Palatino Linotype" w:hAnsi="Palatino Linotype" w:cs="Palatino Linotype"/>
          <w:sz w:val="24"/>
          <w:szCs w:val="24"/>
        </w:rPr>
      </w:pPr>
    </w:p>
    <w:p w14:paraId="2C39CDF8"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09F778A" w14:textId="77777777" w:rsidR="00C4277B" w:rsidRDefault="00C4277B">
      <w:pPr>
        <w:spacing w:line="360" w:lineRule="auto"/>
        <w:ind w:right="-93"/>
        <w:jc w:val="both"/>
        <w:rPr>
          <w:rFonts w:ascii="Palatino Linotype" w:eastAsia="Palatino Linotype" w:hAnsi="Palatino Linotype" w:cs="Palatino Linotype"/>
          <w:sz w:val="24"/>
          <w:szCs w:val="24"/>
        </w:rPr>
      </w:pPr>
    </w:p>
    <w:p w14:paraId="40B9B7CF" w14:textId="77777777" w:rsidR="00C4277B" w:rsidRDefault="007179A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Código de barras bidimensional (QR)</w:t>
      </w:r>
      <w:r>
        <w:rPr>
          <w:rFonts w:ascii="Palatino Linotype" w:eastAsia="Palatino Linotype" w:hAnsi="Palatino Linotype" w:cs="Palatino Linotype"/>
          <w:color w:val="000000"/>
          <w:sz w:val="24"/>
          <w:szCs w:val="24"/>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color w:val="000000"/>
          <w:sz w:val="24"/>
          <w:szCs w:val="24"/>
        </w:rPr>
        <w:t>QR Code (Quick Response Code)</w:t>
      </w:r>
      <w:r>
        <w:rPr>
          <w:rFonts w:ascii="Palatino Linotype" w:eastAsia="Palatino Linotype" w:hAnsi="Palatino Linotype" w:cs="Palatino Linotype"/>
          <w:color w:val="000000"/>
          <w:sz w:val="24"/>
          <w:szCs w:val="24"/>
        </w:rPr>
        <w:t xml:space="preserve">, el cual contiene el Registro Federal de Contribuyentes del receptor, del emisor, o de ambos.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como de la persona física o moral correspondiente.</w:t>
      </w:r>
    </w:p>
    <w:p w14:paraId="2FCD4F66" w14:textId="77777777" w:rsidR="00C4277B" w:rsidRDefault="00C4277B">
      <w:pPr>
        <w:spacing w:line="360" w:lineRule="auto"/>
        <w:ind w:right="-93"/>
        <w:jc w:val="both"/>
        <w:rPr>
          <w:rFonts w:ascii="Palatino Linotype" w:eastAsia="Palatino Linotype" w:hAnsi="Palatino Linotype" w:cs="Palatino Linotype"/>
          <w:sz w:val="24"/>
          <w:szCs w:val="24"/>
        </w:rPr>
      </w:pPr>
    </w:p>
    <w:p w14:paraId="726BD5AB"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2DF0E441" w14:textId="77777777" w:rsidR="00C4277B" w:rsidRDefault="007179AB">
      <w:pPr>
        <w:shd w:val="clear" w:color="auto" w:fill="FFFFFF"/>
        <w:spacing w:before="24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Por otra parte y respecto a</w:t>
      </w:r>
      <w:r>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D715115" w14:textId="77777777" w:rsidR="00C4277B" w:rsidRDefault="007179AB">
      <w:pPr>
        <w:shd w:val="clear" w:color="auto" w:fill="FFFFFF"/>
        <w:ind w:left="567"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4F404056" w14:textId="77777777" w:rsidR="00C4277B" w:rsidRDefault="00C4277B">
      <w:pPr>
        <w:spacing w:line="360" w:lineRule="auto"/>
        <w:ind w:right="-93"/>
        <w:jc w:val="both"/>
        <w:rPr>
          <w:rFonts w:ascii="Palatino Linotype" w:eastAsia="Palatino Linotype" w:hAnsi="Palatino Linotype" w:cs="Palatino Linotype"/>
          <w:sz w:val="24"/>
          <w:szCs w:val="24"/>
        </w:rPr>
      </w:pPr>
    </w:p>
    <w:p w14:paraId="6EF0F57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Al respecto, es de señalar que </w:t>
      </w:r>
      <w:r>
        <w:rPr>
          <w:rFonts w:ascii="Palatino Linotype" w:eastAsia="Palatino Linotype" w:hAnsi="Palatino Linotype" w:cs="Palatino Linotype"/>
          <w:b/>
          <w:color w:val="000000"/>
          <w:sz w:val="24"/>
          <w:szCs w:val="24"/>
        </w:rPr>
        <w:t xml:space="preserve">la firma </w:t>
      </w:r>
      <w:r>
        <w:rPr>
          <w:rFonts w:ascii="Palatino Linotype" w:eastAsia="Palatino Linotype" w:hAnsi="Palatino Linotype" w:cs="Palatino Linotype"/>
          <w:color w:val="000000"/>
          <w:sz w:val="24"/>
          <w:szCs w:val="24"/>
        </w:rPr>
        <w:t xml:space="preserve">es considerada un dato personal, al tratarse de información gráfica a través de la cual su titular exterioriza su voluntad en </w:t>
      </w:r>
      <w:r>
        <w:rPr>
          <w:rFonts w:ascii="Palatino Linotype" w:eastAsia="Palatino Linotype" w:hAnsi="Palatino Linotype" w:cs="Palatino Linotype"/>
          <w:color w:val="000000"/>
          <w:sz w:val="24"/>
          <w:szCs w:val="24"/>
        </w:rPr>
        <w:lastRenderedPageBreak/>
        <w:t xml:space="preserve">actos públicos y privados; no obstante, en el presente caso, dicho dato, es de la autoridad emisora del comprobante de los arqueos de caja. </w:t>
      </w:r>
    </w:p>
    <w:p w14:paraId="2D04AD7E" w14:textId="77777777" w:rsidR="00C4277B" w:rsidRDefault="00C4277B">
      <w:pPr>
        <w:spacing w:line="360" w:lineRule="auto"/>
        <w:ind w:right="-93"/>
        <w:jc w:val="both"/>
        <w:rPr>
          <w:rFonts w:ascii="Palatino Linotype" w:eastAsia="Palatino Linotype" w:hAnsi="Palatino Linotype" w:cs="Palatino Linotype"/>
          <w:sz w:val="24"/>
          <w:szCs w:val="24"/>
        </w:rPr>
      </w:pPr>
    </w:p>
    <w:p w14:paraId="27809284"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0A81A05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29F09035" w14:textId="77777777" w:rsidR="00C4277B" w:rsidRDefault="00C4277B">
      <w:pPr>
        <w:spacing w:line="360" w:lineRule="auto"/>
        <w:ind w:right="-93"/>
        <w:jc w:val="both"/>
        <w:rPr>
          <w:rFonts w:ascii="Palatino Linotype" w:eastAsia="Palatino Linotype" w:hAnsi="Palatino Linotype" w:cs="Palatino Linotype"/>
          <w:sz w:val="24"/>
          <w:szCs w:val="24"/>
        </w:rPr>
      </w:pPr>
    </w:p>
    <w:p w14:paraId="0CD904FE"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Sirve de sustento a lo anterior el Criterio de Interpretación 02/19 emitido por el Instituto Nacional de Transparencia, Acceso a la Información y Protección de Datos Personales, cuyo rubro y texto establecen lo siguiente:</w:t>
      </w:r>
    </w:p>
    <w:p w14:paraId="7CA13F8A" w14:textId="77777777" w:rsidR="00C4277B" w:rsidRDefault="007179AB">
      <w:pPr>
        <w:ind w:left="1134"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FIRMA Y RÚBRICA DE SERVIDORES PÚBLICOS.</w:t>
      </w:r>
      <w:r>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10F84F9" w14:textId="77777777" w:rsidR="00C4277B" w:rsidRDefault="00C4277B">
      <w:pPr>
        <w:spacing w:line="276" w:lineRule="auto"/>
        <w:ind w:left="1134" w:right="1041"/>
        <w:jc w:val="both"/>
        <w:rPr>
          <w:rFonts w:ascii="Palatino Linotype" w:eastAsia="Palatino Linotype" w:hAnsi="Palatino Linotype" w:cs="Palatino Linotype"/>
          <w:i/>
          <w:sz w:val="24"/>
          <w:szCs w:val="24"/>
        </w:rPr>
      </w:pPr>
    </w:p>
    <w:p w14:paraId="5B6D1767"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highlight w:val="white"/>
        </w:rPr>
      </w:pPr>
      <w:r>
        <w:rPr>
          <w:rFonts w:ascii="Palatino Linotype" w:eastAsia="Palatino Linotype" w:hAnsi="Palatino Linotype" w:cs="Palatino Linotype"/>
          <w:color w:val="000000"/>
          <w:sz w:val="24"/>
          <w:szCs w:val="24"/>
        </w:rPr>
        <w:lastRenderedPageBreak/>
        <w:t xml:space="preserve">Al respecto, se destaca que la versión pública que elabore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w:t>
      </w:r>
      <w:r>
        <w:rPr>
          <w:rFonts w:ascii="Palatino Linotype" w:eastAsia="Palatino Linotype" w:hAnsi="Palatino Linotype" w:cs="Palatino Linotype"/>
          <w:sz w:val="24"/>
          <w:szCs w:val="24"/>
        </w:rPr>
        <w:t>sustentará</w:t>
      </w:r>
      <w:r>
        <w:rPr>
          <w:rFonts w:ascii="Palatino Linotype" w:eastAsia="Palatino Linotype" w:hAnsi="Palatino Linotype" w:cs="Palatino Linotype"/>
          <w:color w:val="000000"/>
          <w:sz w:val="24"/>
          <w:szCs w:val="24"/>
        </w:rPr>
        <w:t xml:space="preserve"> la clasificación de datos y con ello la "versión pública" de los documentos materia de las solicitudes</w:t>
      </w:r>
      <w:r>
        <w:rPr>
          <w:rFonts w:ascii="Palatino Linotype" w:eastAsia="Palatino Linotype" w:hAnsi="Palatino Linotype" w:cs="Palatino Linotype"/>
          <w:color w:val="000000"/>
          <w:sz w:val="24"/>
          <w:szCs w:val="24"/>
          <w:highlight w:val="white"/>
        </w:rPr>
        <w:t>.</w:t>
      </w:r>
    </w:p>
    <w:p w14:paraId="0327A72F"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highlight w:val="white"/>
        </w:rPr>
      </w:pPr>
    </w:p>
    <w:p w14:paraId="2345649B"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Efectivamente, cuando se clasifica información como confidencial o reservada es importante someterlo al Comité de Transparencia, quien debe confirmar, modificar o revocar la clasificación.</w:t>
      </w:r>
    </w:p>
    <w:p w14:paraId="3831606F"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594D4FCD"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eastAsia="Palatino Linotype" w:hAnsi="Palatino Linotype" w:cs="Palatino Linotype"/>
          <w:color w:val="000000"/>
          <w:sz w:val="24"/>
          <w:szCs w:val="24"/>
        </w:rPr>
        <w:lastRenderedPageBreak/>
        <w:t>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color w:val="000000"/>
          <w:sz w:val="24"/>
          <w:szCs w:val="24"/>
        </w:rPr>
        <w:t>RECURRENTE.</w:t>
      </w:r>
    </w:p>
    <w:p w14:paraId="05FB3E46"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290ABE5"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531F26F7"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D26A31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w:t>
      </w:r>
      <w:r>
        <w:rPr>
          <w:rFonts w:ascii="Palatino Linotype" w:eastAsia="Palatino Linotype" w:hAnsi="Palatino Linotype" w:cs="Palatino Linotype"/>
          <w:sz w:val="24"/>
          <w:szCs w:val="24"/>
        </w:rPr>
        <w:t>clasificará</w:t>
      </w:r>
      <w:r>
        <w:rPr>
          <w:rFonts w:ascii="Palatino Linotype" w:eastAsia="Palatino Linotype" w:hAnsi="Palatino Linotype" w:cs="Palatino Linotype"/>
          <w:color w:val="000000"/>
          <w:sz w:val="24"/>
          <w:szCs w:val="24"/>
        </w:rPr>
        <w:t xml:space="preserve"> como reservada o confidencial la información que posean, </w:t>
      </w:r>
      <w:r>
        <w:rPr>
          <w:rFonts w:ascii="Palatino Linotype" w:eastAsia="Palatino Linotype" w:hAnsi="Palatino Linotype" w:cs="Palatino Linotype"/>
          <w:sz w:val="24"/>
          <w:szCs w:val="24"/>
        </w:rPr>
        <w:t>desclasificará</w:t>
      </w:r>
      <w:r>
        <w:rPr>
          <w:rFonts w:ascii="Palatino Linotype" w:eastAsia="Palatino Linotype" w:hAnsi="Palatino Linotype" w:cs="Palatino Linotype"/>
          <w:color w:val="000000"/>
          <w:sz w:val="24"/>
          <w:szCs w:val="24"/>
        </w:rPr>
        <w:t xml:space="preserve"> y generarán, en su caso, versiones públicas de expedientes o documentos que contengan partes o secciones clasificadas.</w:t>
      </w:r>
    </w:p>
    <w:p w14:paraId="7E4C0052" w14:textId="77777777" w:rsidR="00C4277B" w:rsidRDefault="00C4277B">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44B54EF0"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lastRenderedPageBreak/>
        <w:t>Entorno a lo que aquí nos interesa, los Lineamientos Quincuagésimo sexto, Quincuagésimo séptimo y Quincuagésimo octavo, establecen lo siguiente:</w:t>
      </w:r>
    </w:p>
    <w:p w14:paraId="7AA21E7B"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sexto</w:t>
      </w:r>
      <w:r>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87857F5"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14:paraId="7BD334D5"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09EBF9E"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152A1480"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A612EF9"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D53A9F9" w14:textId="77777777" w:rsidR="00C4277B" w:rsidRDefault="007179A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14:paraId="1DAC930B" w14:textId="77777777" w:rsidR="00C4277B" w:rsidRDefault="00C4277B">
      <w:pPr>
        <w:spacing w:before="120" w:after="120"/>
        <w:ind w:left="851" w:right="902"/>
        <w:jc w:val="both"/>
        <w:rPr>
          <w:rFonts w:ascii="Palatino Linotype" w:eastAsia="Palatino Linotype" w:hAnsi="Palatino Linotype" w:cs="Palatino Linotype"/>
          <w:i/>
          <w:sz w:val="24"/>
          <w:szCs w:val="24"/>
        </w:rPr>
      </w:pPr>
    </w:p>
    <w:p w14:paraId="0091E1D2"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 xml:space="preserve">Por lo tanto, </w:t>
      </w:r>
      <w:r>
        <w:rPr>
          <w:rFonts w:ascii="Palatino Linotype" w:eastAsia="Palatino Linotype" w:hAnsi="Palatino Linotype" w:cs="Palatino Linotype"/>
          <w:b/>
          <w:color w:val="000000"/>
          <w:sz w:val="24"/>
          <w:szCs w:val="24"/>
        </w:rPr>
        <w:t xml:space="preserve">la entrega de documentos en su versión pública debe acompañarse necesariamente del Acuerdo </w:t>
      </w:r>
      <w:r>
        <w:rPr>
          <w:rFonts w:ascii="Palatino Linotype" w:eastAsia="Palatino Linotype" w:hAnsi="Palatino Linotype" w:cs="Palatino Linotype"/>
          <w:color w:val="000000"/>
          <w:sz w:val="24"/>
          <w:szCs w:val="24"/>
        </w:rPr>
        <w:t>del</w:t>
      </w:r>
      <w:r>
        <w:rPr>
          <w:rFonts w:ascii="Palatino Linotype" w:eastAsia="Palatino Linotype" w:hAnsi="Palatino Linotype" w:cs="Palatino Linotype"/>
          <w:b/>
          <w:color w:val="000000"/>
          <w:sz w:val="24"/>
          <w:szCs w:val="24"/>
        </w:rPr>
        <w:t xml:space="preserve">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color w:val="000000"/>
          <w:sz w:val="24"/>
          <w:szCs w:val="24"/>
        </w:rPr>
        <w:t xml:space="preserve">, ya que no hacerlo, se reitera que lo entregado no tendría un sustento jurídico ni resultaría ser una versión pública, sino más bien una documentación ilegible, incompleta o tachada; ya que el no justificar las </w:t>
      </w:r>
      <w:r>
        <w:rPr>
          <w:rFonts w:ascii="Palatino Linotype" w:eastAsia="Palatino Linotype" w:hAnsi="Palatino Linotype" w:cs="Palatino Linotype"/>
          <w:color w:val="000000"/>
          <w:sz w:val="24"/>
          <w:szCs w:val="24"/>
        </w:rPr>
        <w:lastRenderedPageBreak/>
        <w:t>causas o motivos por las que no se aprecian determinados datos -ya sea porque se testan o suprimen- deja al solicitante en estado de incertidumbre, al no conocer o comprender porque no aparecen en la documentación respectiva.</w:t>
      </w:r>
    </w:p>
    <w:p w14:paraId="7790DA13" w14:textId="77777777" w:rsidR="00C4277B" w:rsidRDefault="00C4277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B0B123A"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En esa tesitura, no pasa desapercibido para este Órgano Garante que los sujetos obligados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2C6FBBC" w14:textId="77777777" w:rsidR="00C4277B" w:rsidRDefault="00C4277B">
      <w:pPr>
        <w:tabs>
          <w:tab w:val="left" w:pos="284"/>
        </w:tabs>
        <w:spacing w:line="360" w:lineRule="auto"/>
        <w:ind w:right="-646"/>
        <w:jc w:val="both"/>
        <w:rPr>
          <w:rFonts w:ascii="Palatino Linotype" w:eastAsia="Palatino Linotype" w:hAnsi="Palatino Linotype" w:cs="Palatino Linotype"/>
          <w:color w:val="000000"/>
          <w:sz w:val="24"/>
          <w:szCs w:val="24"/>
        </w:rPr>
      </w:pPr>
    </w:p>
    <w:tbl>
      <w:tblPr>
        <w:tblStyle w:val="a"/>
        <w:tblW w:w="1006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5"/>
        <w:gridCol w:w="7380"/>
      </w:tblGrid>
      <w:tr w:rsidR="00C4277B" w14:paraId="5C40A9A3" w14:textId="77777777">
        <w:tc>
          <w:tcPr>
            <w:tcW w:w="2685" w:type="dxa"/>
          </w:tcPr>
          <w:p w14:paraId="66B42BC5" w14:textId="77777777" w:rsidR="00C4277B" w:rsidRDefault="007179AB">
            <w:pPr>
              <w:tabs>
                <w:tab w:val="left" w:pos="284"/>
              </w:tabs>
              <w:spacing w:line="360" w:lineRule="auto"/>
              <w:ind w:right="-646"/>
              <w:jc w:val="both"/>
              <w:rPr>
                <w:rFonts w:ascii="Palatino Linotype" w:eastAsia="Palatino Linotype" w:hAnsi="Palatino Linotype" w:cs="Palatino Linotype"/>
                <w:b/>
              </w:rPr>
            </w:pPr>
            <w:r>
              <w:rPr>
                <w:rFonts w:ascii="Palatino Linotype" w:eastAsia="Palatino Linotype" w:hAnsi="Palatino Linotype" w:cs="Palatino Linotype"/>
                <w:b/>
              </w:rPr>
              <w:t>a) Requisitos previos.</w:t>
            </w:r>
          </w:p>
        </w:tc>
        <w:tc>
          <w:tcPr>
            <w:tcW w:w="7380" w:type="dxa"/>
          </w:tcPr>
          <w:p w14:paraId="2900018E"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0486807" w14:textId="77777777" w:rsidR="00C4277B" w:rsidRDefault="00C4277B">
            <w:pPr>
              <w:tabs>
                <w:tab w:val="left" w:pos="284"/>
              </w:tabs>
              <w:ind w:right="53"/>
              <w:jc w:val="both"/>
              <w:rPr>
                <w:rFonts w:ascii="Palatino Linotype" w:eastAsia="Palatino Linotype" w:hAnsi="Palatino Linotype" w:cs="Palatino Linotype"/>
                <w:color w:val="000000"/>
              </w:rPr>
            </w:pPr>
          </w:p>
          <w:p w14:paraId="74CB73EF"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C2B9C26"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0123D7C" w14:textId="77777777" w:rsidR="00C4277B" w:rsidRDefault="00C4277B">
            <w:pPr>
              <w:tabs>
                <w:tab w:val="left" w:pos="284"/>
              </w:tabs>
              <w:ind w:right="53"/>
              <w:jc w:val="both"/>
              <w:rPr>
                <w:rFonts w:ascii="Palatino Linotype" w:eastAsia="Palatino Linotype" w:hAnsi="Palatino Linotype" w:cs="Palatino Linotype"/>
                <w:color w:val="000000"/>
              </w:rPr>
            </w:pPr>
          </w:p>
          <w:p w14:paraId="06CDBC88"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1DC651E6" w14:textId="77777777" w:rsidR="00C4277B" w:rsidRDefault="00C4277B">
            <w:pPr>
              <w:tabs>
                <w:tab w:val="left" w:pos="284"/>
              </w:tabs>
              <w:ind w:right="53"/>
              <w:jc w:val="both"/>
              <w:rPr>
                <w:rFonts w:ascii="Palatino Linotype" w:eastAsia="Palatino Linotype" w:hAnsi="Palatino Linotype" w:cs="Palatino Linotype"/>
              </w:rPr>
            </w:pPr>
          </w:p>
        </w:tc>
      </w:tr>
      <w:tr w:rsidR="00C4277B" w14:paraId="230013F3" w14:textId="77777777">
        <w:tc>
          <w:tcPr>
            <w:tcW w:w="2685" w:type="dxa"/>
          </w:tcPr>
          <w:p w14:paraId="37B8BE30" w14:textId="77777777" w:rsidR="00C4277B" w:rsidRDefault="007179AB">
            <w:pPr>
              <w:tabs>
                <w:tab w:val="left" w:pos="284"/>
              </w:tabs>
              <w:spacing w:line="360" w:lineRule="auto"/>
              <w:ind w:right="-646"/>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Supuestos de clasificación.</w:t>
            </w:r>
          </w:p>
        </w:tc>
        <w:tc>
          <w:tcPr>
            <w:tcW w:w="7380" w:type="dxa"/>
          </w:tcPr>
          <w:p w14:paraId="45650776"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FDC1368" w14:textId="77777777" w:rsidR="00C4277B" w:rsidRDefault="00C4277B">
            <w:pPr>
              <w:tabs>
                <w:tab w:val="left" w:pos="284"/>
              </w:tabs>
              <w:ind w:right="53"/>
              <w:jc w:val="both"/>
              <w:rPr>
                <w:rFonts w:ascii="Palatino Linotype" w:eastAsia="Palatino Linotype" w:hAnsi="Palatino Linotype" w:cs="Palatino Linotype"/>
                <w:color w:val="000000"/>
              </w:rPr>
            </w:pPr>
          </w:p>
          <w:p w14:paraId="48E158F1"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81DFF6E" w14:textId="77777777" w:rsidR="00C4277B" w:rsidRDefault="00C4277B">
            <w:pPr>
              <w:tabs>
                <w:tab w:val="left" w:pos="284"/>
              </w:tabs>
              <w:ind w:right="53"/>
              <w:jc w:val="both"/>
              <w:rPr>
                <w:rFonts w:ascii="Palatino Linotype" w:eastAsia="Palatino Linotype" w:hAnsi="Palatino Linotype" w:cs="Palatino Linotype"/>
                <w:color w:val="000000"/>
              </w:rPr>
            </w:pPr>
          </w:p>
          <w:p w14:paraId="01DCC554"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D8ADAFF" w14:textId="77777777" w:rsidR="00C4277B" w:rsidRDefault="00C4277B">
            <w:pPr>
              <w:tabs>
                <w:tab w:val="left" w:pos="284"/>
              </w:tabs>
              <w:ind w:right="53"/>
              <w:jc w:val="both"/>
              <w:rPr>
                <w:rFonts w:ascii="Palatino Linotype" w:eastAsia="Palatino Linotype" w:hAnsi="Palatino Linotype" w:cs="Palatino Linotype"/>
              </w:rPr>
            </w:pPr>
          </w:p>
        </w:tc>
      </w:tr>
      <w:tr w:rsidR="00C4277B" w14:paraId="0E344809" w14:textId="77777777">
        <w:tc>
          <w:tcPr>
            <w:tcW w:w="2685" w:type="dxa"/>
          </w:tcPr>
          <w:p w14:paraId="550A1B4E" w14:textId="77777777" w:rsidR="00C4277B" w:rsidRDefault="007179AB">
            <w:pPr>
              <w:tabs>
                <w:tab w:val="left" w:pos="284"/>
              </w:tabs>
              <w:spacing w:line="360" w:lineRule="auto"/>
              <w:ind w:right="-646"/>
              <w:jc w:val="both"/>
              <w:rPr>
                <w:rFonts w:ascii="Palatino Linotype" w:eastAsia="Palatino Linotype" w:hAnsi="Palatino Linotype" w:cs="Palatino Linotype"/>
                <w:b/>
              </w:rPr>
            </w:pPr>
            <w:r>
              <w:rPr>
                <w:rFonts w:ascii="Palatino Linotype" w:eastAsia="Palatino Linotype" w:hAnsi="Palatino Linotype" w:cs="Palatino Linotype"/>
                <w:b/>
              </w:rPr>
              <w:t>c) Formalidades para emitir el acuerdo de clasificación.</w:t>
            </w:r>
          </w:p>
        </w:tc>
        <w:tc>
          <w:tcPr>
            <w:tcW w:w="7380" w:type="dxa"/>
          </w:tcPr>
          <w:p w14:paraId="7FC66ADB"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9FE467F" w14:textId="77777777" w:rsidR="00C4277B" w:rsidRDefault="00C4277B">
            <w:pPr>
              <w:tabs>
                <w:tab w:val="left" w:pos="284"/>
              </w:tabs>
              <w:ind w:right="53"/>
              <w:jc w:val="both"/>
              <w:rPr>
                <w:rFonts w:ascii="Palatino Linotype" w:eastAsia="Palatino Linotype" w:hAnsi="Palatino Linotype" w:cs="Palatino Linotype"/>
                <w:color w:val="000000"/>
              </w:rPr>
            </w:pPr>
          </w:p>
          <w:p w14:paraId="2AE3688E"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14:paraId="712ED125"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C1A762C" w14:textId="77777777" w:rsidR="00C4277B" w:rsidRDefault="00C4277B">
            <w:pPr>
              <w:tabs>
                <w:tab w:val="left" w:pos="284"/>
              </w:tabs>
              <w:ind w:right="53"/>
              <w:jc w:val="both"/>
              <w:rPr>
                <w:rFonts w:ascii="Palatino Linotype" w:eastAsia="Palatino Linotype" w:hAnsi="Palatino Linotype" w:cs="Palatino Linotype"/>
              </w:rPr>
            </w:pPr>
          </w:p>
        </w:tc>
      </w:tr>
      <w:tr w:rsidR="00C4277B" w14:paraId="3A3B9A24" w14:textId="77777777">
        <w:tc>
          <w:tcPr>
            <w:tcW w:w="2685" w:type="dxa"/>
          </w:tcPr>
          <w:p w14:paraId="06BC30C7" w14:textId="77777777" w:rsidR="00C4277B" w:rsidRDefault="00C4277B">
            <w:pPr>
              <w:tabs>
                <w:tab w:val="left" w:pos="284"/>
              </w:tabs>
              <w:spacing w:line="360" w:lineRule="auto"/>
              <w:ind w:right="-646"/>
              <w:jc w:val="both"/>
              <w:rPr>
                <w:rFonts w:ascii="Palatino Linotype" w:eastAsia="Palatino Linotype" w:hAnsi="Palatino Linotype" w:cs="Palatino Linotype"/>
                <w:b/>
              </w:rPr>
            </w:pPr>
          </w:p>
          <w:p w14:paraId="7CA7FBE9" w14:textId="77777777" w:rsidR="00C4277B" w:rsidRDefault="007179AB">
            <w:pPr>
              <w:tabs>
                <w:tab w:val="left" w:pos="284"/>
              </w:tabs>
              <w:spacing w:line="360" w:lineRule="auto"/>
              <w:ind w:right="-646"/>
              <w:jc w:val="both"/>
              <w:rPr>
                <w:rFonts w:ascii="Palatino Linotype" w:eastAsia="Palatino Linotype" w:hAnsi="Palatino Linotype" w:cs="Palatino Linotype"/>
                <w:b/>
              </w:rPr>
            </w:pPr>
            <w:r>
              <w:rPr>
                <w:rFonts w:ascii="Palatino Linotype" w:eastAsia="Palatino Linotype" w:hAnsi="Palatino Linotype" w:cs="Palatino Linotype"/>
                <w:b/>
                <w:color w:val="000000"/>
              </w:rPr>
              <w:t xml:space="preserve">d) Requisitos de fondo del acuerdo de clasificación. </w:t>
            </w:r>
          </w:p>
        </w:tc>
        <w:tc>
          <w:tcPr>
            <w:tcW w:w="7380" w:type="dxa"/>
          </w:tcPr>
          <w:p w14:paraId="53780DA2"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w:t>
            </w:r>
            <w:r>
              <w:rPr>
                <w:rFonts w:ascii="Palatino Linotype" w:eastAsia="Palatino Linotype" w:hAnsi="Palatino Linotype" w:cs="Palatino Linotype"/>
                <w:color w:val="000000"/>
              </w:rPr>
              <w:lastRenderedPageBreak/>
              <w:t xml:space="preserve">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14:paraId="3FAFE096"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color w:val="000000"/>
              </w:rPr>
              <w:t>clasificación total o parcial</w:t>
            </w:r>
            <w:r>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47A113" w14:textId="77777777" w:rsidR="00C4277B" w:rsidRDefault="00C4277B">
            <w:pPr>
              <w:tabs>
                <w:tab w:val="left" w:pos="284"/>
              </w:tabs>
              <w:ind w:right="53"/>
              <w:jc w:val="both"/>
              <w:rPr>
                <w:rFonts w:ascii="Palatino Linotype" w:eastAsia="Palatino Linotype" w:hAnsi="Palatino Linotype" w:cs="Palatino Linotype"/>
                <w:color w:val="000000"/>
              </w:rPr>
            </w:pPr>
          </w:p>
          <w:p w14:paraId="2BFB33CA"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EFE96B6" w14:textId="77777777" w:rsidR="00C4277B" w:rsidRDefault="00C4277B">
            <w:pPr>
              <w:tabs>
                <w:tab w:val="left" w:pos="284"/>
              </w:tabs>
              <w:ind w:right="53"/>
              <w:jc w:val="both"/>
              <w:rPr>
                <w:rFonts w:ascii="Palatino Linotype" w:eastAsia="Palatino Linotype" w:hAnsi="Palatino Linotype" w:cs="Palatino Linotype"/>
                <w:color w:val="000000"/>
              </w:rPr>
            </w:pPr>
          </w:p>
          <w:p w14:paraId="67E8A526"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63148542" w14:textId="77777777" w:rsidR="00C4277B" w:rsidRDefault="00C4277B">
            <w:pPr>
              <w:tabs>
                <w:tab w:val="left" w:pos="284"/>
              </w:tabs>
              <w:ind w:right="53"/>
              <w:jc w:val="both"/>
              <w:rPr>
                <w:rFonts w:ascii="Palatino Linotype" w:eastAsia="Palatino Linotype" w:hAnsi="Palatino Linotype" w:cs="Palatino Linotype"/>
                <w:color w:val="000000"/>
              </w:rPr>
            </w:pPr>
          </w:p>
          <w:p w14:paraId="254928BE"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color w:val="000000"/>
                <w:u w:val="single"/>
              </w:rPr>
              <w:t>para cada caso además de fundar y motivar</w:t>
            </w:r>
            <w:r>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02ACCCDB" w14:textId="77777777" w:rsidR="00C4277B" w:rsidRDefault="00C4277B">
            <w:pPr>
              <w:tabs>
                <w:tab w:val="left" w:pos="284"/>
              </w:tabs>
              <w:ind w:right="53"/>
              <w:jc w:val="both"/>
              <w:rPr>
                <w:rFonts w:ascii="Palatino Linotype" w:eastAsia="Palatino Linotype" w:hAnsi="Palatino Linotype" w:cs="Palatino Linotype"/>
                <w:color w:val="000000"/>
              </w:rPr>
            </w:pPr>
          </w:p>
        </w:tc>
      </w:tr>
      <w:tr w:rsidR="00C4277B" w14:paraId="5606587F" w14:textId="77777777">
        <w:tc>
          <w:tcPr>
            <w:tcW w:w="2685" w:type="dxa"/>
          </w:tcPr>
          <w:p w14:paraId="1B9533D8" w14:textId="77777777" w:rsidR="00C4277B" w:rsidRDefault="007179AB">
            <w:pPr>
              <w:tabs>
                <w:tab w:val="left" w:pos="284"/>
              </w:tabs>
              <w:spacing w:line="360" w:lineRule="auto"/>
              <w:ind w:right="-646"/>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e) Condiciones especiales de la clasificación de la información como confidencial. </w:t>
            </w:r>
          </w:p>
        </w:tc>
        <w:tc>
          <w:tcPr>
            <w:tcW w:w="7380" w:type="dxa"/>
          </w:tcPr>
          <w:p w14:paraId="45F2AB01"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09970E6C" w14:textId="77777777" w:rsidR="00C4277B" w:rsidRDefault="00C4277B">
            <w:pPr>
              <w:tabs>
                <w:tab w:val="left" w:pos="284"/>
              </w:tabs>
              <w:ind w:right="53"/>
              <w:jc w:val="both"/>
              <w:rPr>
                <w:rFonts w:ascii="Palatino Linotype" w:eastAsia="Palatino Linotype" w:hAnsi="Palatino Linotype" w:cs="Palatino Linotype"/>
                <w:color w:val="000000"/>
              </w:rPr>
            </w:pPr>
          </w:p>
          <w:p w14:paraId="0310FC89" w14:textId="77777777" w:rsidR="00C4277B" w:rsidRDefault="007179AB">
            <w:pPr>
              <w:tabs>
                <w:tab w:val="left" w:pos="284"/>
              </w:tabs>
              <w:ind w:right="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DB4C932" w14:textId="77777777" w:rsidR="00C4277B" w:rsidRDefault="00C4277B">
            <w:pPr>
              <w:tabs>
                <w:tab w:val="left" w:pos="284"/>
              </w:tabs>
              <w:ind w:right="53"/>
              <w:jc w:val="both"/>
              <w:rPr>
                <w:rFonts w:ascii="Palatino Linotype" w:eastAsia="Palatino Linotype" w:hAnsi="Palatino Linotype" w:cs="Palatino Linotype"/>
                <w:color w:val="000000"/>
              </w:rPr>
            </w:pPr>
          </w:p>
          <w:p w14:paraId="5B974A32" w14:textId="77777777" w:rsidR="00C4277B" w:rsidRDefault="007179AB">
            <w:pPr>
              <w:tabs>
                <w:tab w:val="left" w:pos="284"/>
              </w:tabs>
              <w:ind w:right="53"/>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w:t>
            </w:r>
            <w:r>
              <w:rPr>
                <w:rFonts w:ascii="Palatino Linotype" w:eastAsia="Palatino Linotype" w:hAnsi="Palatino Linotype" w:cs="Palatino Linotype"/>
                <w:color w:val="000000"/>
              </w:rPr>
              <w:lastRenderedPageBreak/>
              <w:t>consultar al titular de los datos si permite o no el acceso. De no ser posible, la realización de la consulta, procede, fundando y motivando, la clasificación.</w:t>
            </w:r>
          </w:p>
        </w:tc>
      </w:tr>
    </w:tbl>
    <w:p w14:paraId="4C7DF566" w14:textId="77777777" w:rsidR="00C4277B" w:rsidRDefault="00C4277B">
      <w:pPr>
        <w:spacing w:line="360" w:lineRule="auto"/>
        <w:ind w:right="-646"/>
        <w:jc w:val="both"/>
        <w:rPr>
          <w:rFonts w:ascii="Palatino Linotype" w:eastAsia="Palatino Linotype" w:hAnsi="Palatino Linotype" w:cs="Palatino Linotype"/>
          <w:color w:val="000000"/>
          <w:sz w:val="24"/>
          <w:szCs w:val="24"/>
        </w:rPr>
      </w:pPr>
    </w:p>
    <w:p w14:paraId="173C2E29" w14:textId="77777777" w:rsidR="00C4277B" w:rsidRDefault="007179AB">
      <w:pPr>
        <w:numPr>
          <w:ilvl w:val="0"/>
          <w:numId w:val="3"/>
        </w:numPr>
        <w:pBdr>
          <w:top w:val="nil"/>
          <w:left w:val="nil"/>
          <w:bottom w:val="nil"/>
          <w:right w:val="nil"/>
          <w:between w:val="nil"/>
        </w:pBdr>
        <w:spacing w:line="360" w:lineRule="auto"/>
        <w:ind w:left="0" w:firstLine="0"/>
        <w:jc w:val="both"/>
        <w:rPr>
          <w:color w:val="000000"/>
          <w:sz w:val="24"/>
          <w:szCs w:val="24"/>
        </w:rPr>
      </w:pPr>
      <w:r>
        <w:rPr>
          <w:rFonts w:ascii="Palatino Linotype" w:eastAsia="Palatino Linotype" w:hAnsi="Palatino Linotype" w:cs="Palatino Linotype"/>
          <w:color w:val="000000"/>
          <w:sz w:val="24"/>
          <w:szCs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AC3A824" w14:textId="77777777" w:rsidR="00C4277B" w:rsidRDefault="00C4277B">
      <w:pPr>
        <w:spacing w:line="360" w:lineRule="auto"/>
        <w:ind w:left="360" w:right="-646"/>
        <w:jc w:val="both"/>
        <w:rPr>
          <w:rFonts w:ascii="Palatino Linotype" w:eastAsia="Palatino Linotype" w:hAnsi="Palatino Linotype" w:cs="Palatino Linotype"/>
          <w:sz w:val="24"/>
          <w:szCs w:val="24"/>
        </w:rPr>
      </w:pPr>
    </w:p>
    <w:p w14:paraId="3F1677B2" w14:textId="77777777" w:rsidR="00C4277B" w:rsidRDefault="007179A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color w:val="000000"/>
          <w:sz w:val="24"/>
          <w:szCs w:val="24"/>
        </w:rPr>
        <w:t>Por</w:t>
      </w:r>
      <w:r>
        <w:rPr>
          <w:rFonts w:ascii="Palatino Linotype" w:eastAsia="Palatino Linotype" w:hAnsi="Palatino Linotype" w:cs="Palatino Linotype"/>
          <w:color w:val="222222"/>
          <w:sz w:val="24"/>
          <w:szCs w:val="24"/>
        </w:rPr>
        <w:t xml:space="preserve"> lo anteriormente expuesto y fundado, este </w:t>
      </w:r>
      <w:r>
        <w:rPr>
          <w:rFonts w:ascii="Palatino Linotype" w:eastAsia="Palatino Linotype" w:hAnsi="Palatino Linotype" w:cs="Palatino Linotype"/>
          <w:b/>
          <w:color w:val="222222"/>
          <w:sz w:val="24"/>
          <w:szCs w:val="24"/>
        </w:rPr>
        <w:t>ÓRGANO GARANTE</w:t>
      </w:r>
      <w:r>
        <w:rPr>
          <w:rFonts w:ascii="Palatino Linotype" w:eastAsia="Palatino Linotype" w:hAnsi="Palatino Linotype" w:cs="Palatino Linotype"/>
          <w:color w:val="222222"/>
          <w:sz w:val="24"/>
          <w:szCs w:val="24"/>
        </w:rPr>
        <w:t xml:space="preserve"> emite los siguientes: </w:t>
      </w:r>
    </w:p>
    <w:p w14:paraId="5BFAC300" w14:textId="77777777" w:rsidR="00C4277B" w:rsidRDefault="007179A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3E17C0F3" w14:textId="77777777" w:rsidR="00C4277B" w:rsidRDefault="00C4277B">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b/>
          <w:color w:val="000000"/>
          <w:sz w:val="24"/>
          <w:szCs w:val="24"/>
        </w:rPr>
      </w:pPr>
      <w:bookmarkStart w:id="7" w:name="_heading=h.1t3h5sf" w:colFirst="0" w:colLast="0"/>
      <w:bookmarkEnd w:id="7"/>
    </w:p>
    <w:p w14:paraId="3051FDF9" w14:textId="77777777" w:rsidR="00C4277B" w:rsidRDefault="007179AB">
      <w:pPr>
        <w:spacing w:line="360" w:lineRule="auto"/>
        <w:jc w:val="both"/>
        <w:rPr>
          <w:rFonts w:ascii="Palatino Linotype" w:eastAsia="Palatino Linotype" w:hAnsi="Palatino Linotype" w:cs="Palatino Linotype"/>
          <w:sz w:val="24"/>
          <w:szCs w:val="24"/>
        </w:rPr>
      </w:pPr>
      <w:bookmarkStart w:id="8" w:name="_heading=h.4d34og8" w:colFirst="0" w:colLast="0"/>
      <w:bookmarkEnd w:id="8"/>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 fundadas las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razones o motivos de inconformidad hechos valer en el Recurso de Revisión </w:t>
      </w:r>
      <w:r>
        <w:rPr>
          <w:rFonts w:ascii="Palatino Linotype" w:eastAsia="Palatino Linotype" w:hAnsi="Palatino Linotype" w:cs="Palatino Linotype"/>
          <w:b/>
          <w:sz w:val="24"/>
          <w:szCs w:val="24"/>
        </w:rPr>
        <w:t xml:space="preserve">00523/INFOEM/ICR-21/IP/RR/2024 </w:t>
      </w:r>
      <w:r>
        <w:rPr>
          <w:rFonts w:ascii="Palatino Linotype" w:eastAsia="Palatino Linotype" w:hAnsi="Palatino Linotype" w:cs="Palatino Linotype"/>
          <w:sz w:val="24"/>
          <w:szCs w:val="24"/>
        </w:rPr>
        <w:t>en términos de los</w:t>
      </w:r>
      <w:r>
        <w:rPr>
          <w:rFonts w:ascii="Palatino Linotype" w:eastAsia="Palatino Linotype" w:hAnsi="Palatino Linotype" w:cs="Palatino Linotype"/>
          <w:b/>
          <w:sz w:val="24"/>
          <w:szCs w:val="24"/>
        </w:rPr>
        <w:t xml:space="preserve"> Considerandos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Cuarto y Quinto</w:t>
      </w:r>
      <w:r>
        <w:rPr>
          <w:rFonts w:ascii="Palatino Linotype" w:eastAsia="Palatino Linotype" w:hAnsi="Palatino Linotype" w:cs="Palatino Linotype"/>
          <w:sz w:val="24"/>
          <w:szCs w:val="24"/>
        </w:rPr>
        <w:t xml:space="preserve"> de la presente Resolución.</w:t>
      </w:r>
    </w:p>
    <w:p w14:paraId="54890F2D" w14:textId="77777777" w:rsidR="00C4277B" w:rsidRDefault="007179AB">
      <w:pPr>
        <w:spacing w:before="240" w:after="240" w:line="360" w:lineRule="auto"/>
        <w:ind w:right="48"/>
        <w:jc w:val="both"/>
        <w:rPr>
          <w:rFonts w:ascii="Palatino Linotype" w:eastAsia="Palatino Linotype" w:hAnsi="Palatino Linotype" w:cs="Palatino Linotype"/>
          <w:sz w:val="24"/>
          <w:szCs w:val="24"/>
        </w:rPr>
      </w:pPr>
      <w:r w:rsidRPr="00AA4658">
        <w:rPr>
          <w:rFonts w:ascii="Palatino Linotype" w:eastAsia="Palatino Linotype" w:hAnsi="Palatino Linotype" w:cs="Palatino Linotype"/>
          <w:b/>
          <w:sz w:val="24"/>
          <w:szCs w:val="24"/>
        </w:rPr>
        <w:t>SEGUNDO.</w:t>
      </w:r>
      <w:r w:rsidRPr="00AA4658">
        <w:rPr>
          <w:rFonts w:ascii="Palatino Linotype" w:eastAsia="Palatino Linotype" w:hAnsi="Palatino Linotype" w:cs="Palatino Linotype"/>
          <w:color w:val="2F5496"/>
          <w:sz w:val="24"/>
          <w:szCs w:val="24"/>
        </w:rPr>
        <w:t xml:space="preserve"> </w:t>
      </w:r>
      <w:r w:rsidRPr="00AA4658">
        <w:rPr>
          <w:rFonts w:ascii="Palatino Linotype" w:eastAsia="Palatino Linotype" w:hAnsi="Palatino Linotype" w:cs="Palatino Linotype"/>
          <w:sz w:val="24"/>
          <w:szCs w:val="24"/>
        </w:rPr>
        <w:t>Se</w:t>
      </w:r>
      <w:r w:rsidRPr="00AA4658">
        <w:rPr>
          <w:rFonts w:ascii="Palatino Linotype" w:eastAsia="Palatino Linotype" w:hAnsi="Palatino Linotype" w:cs="Palatino Linotype"/>
          <w:b/>
          <w:sz w:val="24"/>
          <w:szCs w:val="24"/>
        </w:rPr>
        <w:t xml:space="preserve"> MODIFICA </w:t>
      </w:r>
      <w:r w:rsidRPr="00AA4658">
        <w:rPr>
          <w:rFonts w:ascii="Palatino Linotype" w:eastAsia="Palatino Linotype" w:hAnsi="Palatino Linotype" w:cs="Palatino Linotype"/>
          <w:sz w:val="24"/>
          <w:szCs w:val="24"/>
        </w:rPr>
        <w:t xml:space="preserve">la respuesta emitida por el </w:t>
      </w:r>
      <w:r w:rsidRPr="00AA4658">
        <w:rPr>
          <w:rFonts w:ascii="Palatino Linotype" w:eastAsia="Palatino Linotype" w:hAnsi="Palatino Linotype" w:cs="Palatino Linotype"/>
          <w:b/>
          <w:sz w:val="24"/>
          <w:szCs w:val="24"/>
        </w:rPr>
        <w:t>Ayuntamiento de Ixtapaluca</w:t>
      </w:r>
      <w:r w:rsidRPr="00AA4658">
        <w:rPr>
          <w:rFonts w:ascii="Palatino Linotype" w:eastAsia="Palatino Linotype" w:hAnsi="Palatino Linotype" w:cs="Palatino Linotype"/>
          <w:sz w:val="24"/>
          <w:szCs w:val="24"/>
        </w:rPr>
        <w:t xml:space="preserve"> </w:t>
      </w:r>
      <w:r w:rsidR="00EE11F2" w:rsidRPr="00AA4658">
        <w:rPr>
          <w:rFonts w:ascii="Palatino Linotype" w:eastAsia="Palatino Linotype" w:hAnsi="Palatino Linotype" w:cs="Palatino Linotype"/>
          <w:sz w:val="24"/>
          <w:szCs w:val="24"/>
        </w:rPr>
        <w:t xml:space="preserve">en cumplimiento al Recurso de Revisión </w:t>
      </w:r>
      <w:r w:rsidR="00EE11F2" w:rsidRPr="00AA4658">
        <w:rPr>
          <w:rFonts w:ascii="Palatino Linotype" w:eastAsia="Palatino Linotype" w:hAnsi="Palatino Linotype" w:cs="Palatino Linotype"/>
          <w:b/>
          <w:sz w:val="24"/>
          <w:szCs w:val="24"/>
        </w:rPr>
        <w:t xml:space="preserve">00523/INFOEM/IP/RR/2024 </w:t>
      </w:r>
      <w:r w:rsidRPr="00AA4658">
        <w:rPr>
          <w:rFonts w:ascii="Palatino Linotype" w:eastAsia="Palatino Linotype" w:hAnsi="Palatino Linotype" w:cs="Palatino Linotype"/>
          <w:sz w:val="24"/>
          <w:szCs w:val="24"/>
        </w:rPr>
        <w:t>y 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entregar vía Sistema de Accesos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en versión pública, lo siguiente:</w:t>
      </w:r>
    </w:p>
    <w:p w14:paraId="29180365" w14:textId="77777777" w:rsidR="00C4277B" w:rsidRDefault="007179AB">
      <w:pPr>
        <w:numPr>
          <w:ilvl w:val="0"/>
          <w:numId w:val="9"/>
        </w:numPr>
        <w:pBdr>
          <w:top w:val="nil"/>
          <w:left w:val="nil"/>
          <w:bottom w:val="nil"/>
          <w:right w:val="nil"/>
          <w:between w:val="nil"/>
        </w:pBdr>
        <w:ind w:right="567"/>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Recibos de nómina de la primera quincena de diciembre de 2023, de los doce Regidores y dos Síndicos del Ayuntamiento; así como del Titular de la Oficina de Presidencia, Secretario del Ayuntamiento y, del </w:t>
      </w:r>
      <w:r>
        <w:rPr>
          <w:rFonts w:ascii="Palatino Linotype" w:eastAsia="Palatino Linotype" w:hAnsi="Palatino Linotype" w:cs="Palatino Linotype"/>
          <w:b/>
          <w:color w:val="000000"/>
          <w:sz w:val="24"/>
          <w:szCs w:val="24"/>
        </w:rPr>
        <w:lastRenderedPageBreak/>
        <w:t>Director del Instituto  Municipal  de  Cultura  Física  y  Deporte  de  Ixtapaluca (IMCUFIDEI).</w:t>
      </w:r>
    </w:p>
    <w:p w14:paraId="19470F90" w14:textId="77777777" w:rsidR="00C4277B" w:rsidRDefault="00C4277B">
      <w:pPr>
        <w:pBdr>
          <w:top w:val="nil"/>
          <w:left w:val="nil"/>
          <w:bottom w:val="nil"/>
          <w:right w:val="nil"/>
          <w:between w:val="nil"/>
        </w:pBdr>
        <w:ind w:right="567"/>
        <w:jc w:val="both"/>
        <w:rPr>
          <w:rFonts w:ascii="Palatino Linotype" w:eastAsia="Palatino Linotype" w:hAnsi="Palatino Linotype" w:cs="Palatino Linotype"/>
          <w:b/>
          <w:color w:val="000000"/>
          <w:sz w:val="24"/>
          <w:szCs w:val="24"/>
        </w:rPr>
      </w:pPr>
    </w:p>
    <w:p w14:paraId="562CC0EE" w14:textId="77777777" w:rsidR="00C4277B" w:rsidRDefault="007179AB">
      <w:pPr>
        <w:tabs>
          <w:tab w:val="left" w:pos="8080"/>
        </w:tabs>
        <w:spacing w:line="360" w:lineRule="auto"/>
        <w:ind w:right="49"/>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Pr>
          <w:rFonts w:ascii="Palatino Linotype" w:eastAsia="Palatino Linotype" w:hAnsi="Palatino Linotype" w:cs="Palatino Linotype"/>
          <w:b/>
          <w:sz w:val="24"/>
          <w:szCs w:val="24"/>
        </w:rPr>
        <w:t>Recurrente.</w:t>
      </w:r>
    </w:p>
    <w:p w14:paraId="0DF25E74" w14:textId="77777777" w:rsidR="00C4277B" w:rsidRDefault="00C4277B">
      <w:pPr>
        <w:tabs>
          <w:tab w:val="left" w:pos="8080"/>
        </w:tabs>
        <w:spacing w:line="360" w:lineRule="auto"/>
        <w:ind w:right="49"/>
        <w:jc w:val="both"/>
        <w:rPr>
          <w:rFonts w:ascii="Palatino Linotype" w:eastAsia="Palatino Linotype" w:hAnsi="Palatino Linotype" w:cs="Palatino Linotype"/>
          <w:sz w:val="24"/>
          <w:szCs w:val="24"/>
        </w:rPr>
      </w:pPr>
    </w:p>
    <w:p w14:paraId="261E4283" w14:textId="77777777" w:rsidR="00C4277B" w:rsidRDefault="007179A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sz w:val="24"/>
          <w:szCs w:val="24"/>
        </w:rPr>
        <w:t>dé cumplimiento a lo ordenado dentro del plazo de diez días hábiles,</w:t>
      </w:r>
      <w:r>
        <w:rPr>
          <w:rFonts w:ascii="Palatino Linotype" w:eastAsia="Palatino Linotype" w:hAnsi="Palatino Linotype" w:cs="Palatino Linotype"/>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EA622B" w14:textId="77777777" w:rsidR="00C4277B" w:rsidRDefault="007179AB" w:rsidP="00EE11F2">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bookmarkStart w:id="9" w:name="_heading=h.2s8eyo1" w:colFirst="0" w:colLast="0"/>
      <w:bookmarkStart w:id="10" w:name="_heading=h.1ksv4uv" w:colFirst="0" w:colLast="0"/>
      <w:bookmarkEnd w:id="9"/>
      <w:bookmarkEnd w:id="10"/>
      <w:r>
        <w:rPr>
          <w:rFonts w:ascii="Palatino Linotype" w:eastAsia="Palatino Linotype" w:hAnsi="Palatino Linotype" w:cs="Palatino Linotype"/>
          <w:sz w:val="24"/>
          <w:szCs w:val="24"/>
        </w:rPr>
        <w:t xml:space="preserve">Notifíquese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47C50FDF" w14:textId="77777777" w:rsidR="00C4277B" w:rsidRDefault="00EE11F2">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QUIN</w:t>
      </w:r>
      <w:r w:rsidR="007179AB">
        <w:rPr>
          <w:rFonts w:ascii="Palatino Linotype" w:eastAsia="Palatino Linotype" w:hAnsi="Palatino Linotype" w:cs="Palatino Linotype"/>
          <w:b/>
          <w:sz w:val="24"/>
          <w:szCs w:val="24"/>
        </w:rPr>
        <w:t xml:space="preserve">TO. </w:t>
      </w:r>
      <w:r w:rsidR="007179AB">
        <w:rPr>
          <w:rFonts w:ascii="Palatino Linotype" w:eastAsia="Palatino Linotype" w:hAnsi="Palatino Linotype" w:cs="Palatino Linotype"/>
          <w:sz w:val="24"/>
          <w:szCs w:val="24"/>
        </w:rPr>
        <w:t>Se hace del conocimiento del</w:t>
      </w:r>
      <w:r w:rsidR="007179AB">
        <w:rPr>
          <w:rFonts w:ascii="Palatino Linotype" w:eastAsia="Palatino Linotype" w:hAnsi="Palatino Linotype" w:cs="Palatino Linotype"/>
          <w:b/>
          <w:sz w:val="24"/>
          <w:szCs w:val="24"/>
        </w:rPr>
        <w:t xml:space="preserve"> Recurrente </w:t>
      </w:r>
      <w:r w:rsidR="007179AB">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DFEA86A" w14:textId="77777777" w:rsidR="00CF440D" w:rsidRDefault="00CF440D">
      <w:pPr>
        <w:shd w:val="clear" w:color="auto" w:fill="FFFFFF"/>
        <w:spacing w:line="360" w:lineRule="auto"/>
        <w:jc w:val="both"/>
        <w:rPr>
          <w:rFonts w:ascii="Palatino Linotype" w:eastAsia="Palatino Linotype" w:hAnsi="Palatino Linotype" w:cs="Palatino Linotype"/>
          <w:sz w:val="24"/>
          <w:szCs w:val="24"/>
        </w:rPr>
      </w:pPr>
    </w:p>
    <w:p w14:paraId="5D8FD282" w14:textId="77777777" w:rsidR="00AA4658" w:rsidRDefault="00CF440D" w:rsidP="00CF440D">
      <w:pPr>
        <w:spacing w:line="360" w:lineRule="auto"/>
        <w:ind w:firstLine="1"/>
        <w:jc w:val="both"/>
        <w:rPr>
          <w:rFonts w:ascii="Palatino Linotype" w:hAnsi="Palatino Linotype"/>
          <w:sz w:val="24"/>
        </w:rPr>
      </w:pPr>
      <w:r w:rsidRPr="00CF440D">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ONCE (11) DE SEPTIEMBRE DE DOS MIL VEINTICUATRO, ANTE EL SECRETARIO TÉCNICO DEL PLENO ALEXIS TAPIA RAMÍREZ. </w:t>
      </w:r>
    </w:p>
    <w:p w14:paraId="718BA38F" w14:textId="77777777" w:rsidR="00AA4658" w:rsidRDefault="00AA4658">
      <w:pPr>
        <w:rPr>
          <w:rFonts w:ascii="Palatino Linotype" w:hAnsi="Palatino Linotype"/>
          <w:sz w:val="24"/>
        </w:rPr>
      </w:pPr>
      <w:r>
        <w:rPr>
          <w:rFonts w:ascii="Palatino Linotype" w:hAnsi="Palatino Linotype"/>
          <w:sz w:val="24"/>
        </w:rPr>
        <w:br w:type="page"/>
      </w:r>
    </w:p>
    <w:p w14:paraId="150E9917" w14:textId="77777777" w:rsidR="00CF440D" w:rsidRPr="00CF440D" w:rsidRDefault="00CF440D" w:rsidP="00CF440D">
      <w:pPr>
        <w:spacing w:line="360" w:lineRule="auto"/>
        <w:ind w:firstLine="1"/>
        <w:jc w:val="both"/>
        <w:rPr>
          <w:rFonts w:ascii="Palatino Linotype" w:hAnsi="Palatino Linotype"/>
          <w:sz w:val="24"/>
        </w:rPr>
      </w:pPr>
    </w:p>
    <w:p w14:paraId="6C13CFCF" w14:textId="77777777" w:rsidR="00C4277B" w:rsidRDefault="00C4277B">
      <w:pPr>
        <w:spacing w:before="240" w:after="240" w:line="360" w:lineRule="auto"/>
        <w:jc w:val="both"/>
        <w:rPr>
          <w:rFonts w:ascii="Palatino Linotype" w:eastAsia="Palatino Linotype" w:hAnsi="Palatino Linotype" w:cs="Palatino Linotype"/>
          <w:sz w:val="24"/>
          <w:szCs w:val="24"/>
        </w:rPr>
      </w:pPr>
    </w:p>
    <w:p w14:paraId="4F182AD7" w14:textId="77777777" w:rsidR="00C4277B" w:rsidRDefault="00C4277B">
      <w:pPr>
        <w:spacing w:before="240" w:after="240" w:line="360" w:lineRule="auto"/>
        <w:jc w:val="both"/>
        <w:rPr>
          <w:rFonts w:ascii="Palatino Linotype" w:eastAsia="Palatino Linotype" w:hAnsi="Palatino Linotype" w:cs="Palatino Linotype"/>
          <w:sz w:val="24"/>
          <w:szCs w:val="24"/>
        </w:rPr>
      </w:pPr>
    </w:p>
    <w:sectPr w:rsidR="00C4277B">
      <w:headerReference w:type="even" r:id="rId19"/>
      <w:headerReference w:type="default" r:id="rId20"/>
      <w:footerReference w:type="default" r:id="rId21"/>
      <w:headerReference w:type="first" r:id="rId22"/>
      <w:footerReference w:type="first" r:id="rId23"/>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973C" w14:textId="77777777" w:rsidR="00EE2DDC" w:rsidRDefault="00EE2DDC">
      <w:r>
        <w:separator/>
      </w:r>
    </w:p>
  </w:endnote>
  <w:endnote w:type="continuationSeparator" w:id="0">
    <w:p w14:paraId="4AE88336" w14:textId="77777777" w:rsidR="00EE2DDC" w:rsidRDefault="00EE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2B7A" w14:textId="77777777" w:rsidR="00C4277B" w:rsidRDefault="00C4277B">
    <w:pPr>
      <w:pBdr>
        <w:top w:val="nil"/>
        <w:left w:val="nil"/>
        <w:bottom w:val="nil"/>
        <w:right w:val="nil"/>
        <w:between w:val="nil"/>
      </w:pBdr>
      <w:tabs>
        <w:tab w:val="center" w:pos="4419"/>
        <w:tab w:val="right" w:pos="8838"/>
      </w:tabs>
      <w:jc w:val="right"/>
      <w:rPr>
        <w:color w:val="000000"/>
      </w:rPr>
    </w:pPr>
  </w:p>
  <w:p w14:paraId="232688BE" w14:textId="77777777" w:rsidR="00C4277B" w:rsidRDefault="007179A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570D0">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570D0">
      <w:rPr>
        <w:b/>
        <w:noProof/>
        <w:color w:val="000000"/>
        <w:sz w:val="24"/>
        <w:szCs w:val="24"/>
      </w:rPr>
      <w:t>56</w:t>
    </w:r>
    <w:r>
      <w:rPr>
        <w:b/>
        <w:color w:val="000000"/>
        <w:sz w:val="24"/>
        <w:szCs w:val="24"/>
      </w:rPr>
      <w:fldChar w:fldCharType="end"/>
    </w:r>
  </w:p>
  <w:p w14:paraId="185894F4" w14:textId="77777777" w:rsidR="00C4277B" w:rsidRDefault="00C4277B">
    <w:pPr>
      <w:pBdr>
        <w:top w:val="nil"/>
        <w:left w:val="nil"/>
        <w:bottom w:val="nil"/>
        <w:right w:val="nil"/>
        <w:between w:val="nil"/>
      </w:pBdr>
      <w:tabs>
        <w:tab w:val="center" w:pos="4419"/>
        <w:tab w:val="right" w:pos="8838"/>
      </w:tabs>
      <w:rPr>
        <w:color w:val="000000"/>
      </w:rPr>
    </w:pPr>
  </w:p>
  <w:p w14:paraId="19571A67" w14:textId="77777777" w:rsidR="00C4277B" w:rsidRDefault="00C4277B"/>
  <w:p w14:paraId="3D9C9904" w14:textId="77777777" w:rsidR="00C4277B" w:rsidRDefault="00C4277B"/>
  <w:p w14:paraId="3BA6FFC0" w14:textId="77777777" w:rsidR="00C4277B" w:rsidRDefault="00C427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0EF7" w14:textId="77777777" w:rsidR="00C4277B" w:rsidRDefault="007179A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570D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570D0">
      <w:rPr>
        <w:b/>
        <w:noProof/>
        <w:color w:val="000000"/>
        <w:sz w:val="24"/>
        <w:szCs w:val="24"/>
      </w:rPr>
      <w:t>56</w:t>
    </w:r>
    <w:r>
      <w:rPr>
        <w:b/>
        <w:color w:val="000000"/>
        <w:sz w:val="24"/>
        <w:szCs w:val="24"/>
      </w:rPr>
      <w:fldChar w:fldCharType="end"/>
    </w:r>
  </w:p>
  <w:p w14:paraId="19F3E530" w14:textId="77777777" w:rsidR="00C4277B" w:rsidRDefault="00C4277B">
    <w:pPr>
      <w:pBdr>
        <w:top w:val="nil"/>
        <w:left w:val="nil"/>
        <w:bottom w:val="nil"/>
        <w:right w:val="nil"/>
        <w:between w:val="nil"/>
      </w:pBdr>
      <w:tabs>
        <w:tab w:val="center" w:pos="4419"/>
        <w:tab w:val="right" w:pos="8838"/>
      </w:tabs>
      <w:rPr>
        <w:color w:val="000000"/>
      </w:rPr>
    </w:pPr>
  </w:p>
  <w:p w14:paraId="3CAC128B" w14:textId="77777777" w:rsidR="00C4277B" w:rsidRDefault="00C4277B"/>
  <w:p w14:paraId="30502980" w14:textId="77777777" w:rsidR="00C4277B" w:rsidRDefault="00C4277B"/>
  <w:p w14:paraId="0E54E686" w14:textId="77777777" w:rsidR="00C4277B" w:rsidRDefault="00C4277B"/>
  <w:p w14:paraId="6A1C600B" w14:textId="77777777" w:rsidR="00C4277B" w:rsidRDefault="00C427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2820B" w14:textId="77777777" w:rsidR="00EE2DDC" w:rsidRDefault="00EE2DDC">
      <w:r>
        <w:separator/>
      </w:r>
    </w:p>
  </w:footnote>
  <w:footnote w:type="continuationSeparator" w:id="0">
    <w:p w14:paraId="185324C7" w14:textId="77777777" w:rsidR="00EE2DDC" w:rsidRDefault="00EE2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CFD1" w14:textId="77777777" w:rsidR="00C4277B" w:rsidRDefault="00EE2DDC">
    <w:pPr>
      <w:pBdr>
        <w:top w:val="nil"/>
        <w:left w:val="nil"/>
        <w:bottom w:val="nil"/>
        <w:right w:val="nil"/>
        <w:between w:val="nil"/>
      </w:pBdr>
      <w:tabs>
        <w:tab w:val="center" w:pos="4419"/>
        <w:tab w:val="right" w:pos="8838"/>
      </w:tabs>
      <w:rPr>
        <w:color w:val="000000"/>
      </w:rPr>
    </w:pPr>
    <w:r>
      <w:rPr>
        <w:color w:val="000000"/>
      </w:rPr>
      <w:pict w14:anchorId="225B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63.5pt;height:12in;z-index:-251658752;mso-position-horizontal:center;mso-position-horizontal-relative:margin;mso-position-vertical:center;mso-position-vertical-relative:margin">
          <v:imagedata r:id="rId1" o:title="image3"/>
          <w10:wrap anchorx="margin" anchory="margin"/>
        </v:shape>
      </w:pict>
    </w:r>
  </w:p>
  <w:p w14:paraId="06634FC8" w14:textId="77777777" w:rsidR="00C4277B" w:rsidRDefault="00C4277B"/>
  <w:p w14:paraId="2AF870BE" w14:textId="77777777" w:rsidR="00C4277B" w:rsidRDefault="00C4277B"/>
  <w:p w14:paraId="1809EEA2" w14:textId="77777777" w:rsidR="00C4277B" w:rsidRDefault="00C427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46EA" w14:textId="77777777" w:rsidR="00C4277B" w:rsidRDefault="00C4277B">
    <w:pPr>
      <w:widowControl w:val="0"/>
      <w:pBdr>
        <w:top w:val="nil"/>
        <w:left w:val="nil"/>
        <w:bottom w:val="nil"/>
        <w:right w:val="nil"/>
        <w:between w:val="nil"/>
      </w:pBdr>
      <w:spacing w:line="276" w:lineRule="auto"/>
    </w:pPr>
  </w:p>
  <w:tbl>
    <w:tblPr>
      <w:tblStyle w:val="a0"/>
      <w:tblW w:w="9356" w:type="dxa"/>
      <w:tblInd w:w="0" w:type="dxa"/>
      <w:tblLayout w:type="fixed"/>
      <w:tblLook w:val="0400" w:firstRow="0" w:lastRow="0" w:firstColumn="0" w:lastColumn="0" w:noHBand="0" w:noVBand="1"/>
    </w:tblPr>
    <w:tblGrid>
      <w:gridCol w:w="1843"/>
      <w:gridCol w:w="7513"/>
    </w:tblGrid>
    <w:tr w:rsidR="00C4277B" w14:paraId="778E08D0" w14:textId="77777777">
      <w:trPr>
        <w:trHeight w:val="1435"/>
      </w:trPr>
      <w:tc>
        <w:tcPr>
          <w:tcW w:w="1843" w:type="dxa"/>
          <w:shd w:val="clear" w:color="auto" w:fill="auto"/>
        </w:tcPr>
        <w:p w14:paraId="5E465B2B" w14:textId="77777777" w:rsidR="00C4277B" w:rsidRDefault="007179AB">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14:paraId="4C246A7F" w14:textId="77777777" w:rsidR="00C4277B" w:rsidRDefault="00C4277B"/>
        <w:tbl>
          <w:tblPr>
            <w:tblStyle w:val="a1"/>
            <w:tblW w:w="7515" w:type="dxa"/>
            <w:tblInd w:w="879" w:type="dxa"/>
            <w:tblBorders>
              <w:top w:val="nil"/>
              <w:left w:val="nil"/>
              <w:bottom w:val="nil"/>
              <w:right w:val="nil"/>
              <w:insideH w:val="nil"/>
              <w:insideV w:val="nil"/>
            </w:tblBorders>
            <w:tblLayout w:type="fixed"/>
            <w:tblLook w:val="0400" w:firstRow="0" w:lastRow="0" w:firstColumn="0" w:lastColumn="0" w:noHBand="0" w:noVBand="1"/>
          </w:tblPr>
          <w:tblGrid>
            <w:gridCol w:w="2595"/>
            <w:gridCol w:w="4920"/>
          </w:tblGrid>
          <w:tr w:rsidR="00C4277B" w14:paraId="052809F8" w14:textId="77777777">
            <w:trPr>
              <w:trHeight w:val="338"/>
            </w:trPr>
            <w:tc>
              <w:tcPr>
                <w:tcW w:w="2595" w:type="dxa"/>
              </w:tcPr>
              <w:p w14:paraId="2C1656DD" w14:textId="77777777" w:rsidR="00C4277B" w:rsidRDefault="00C4277B">
                <w:pPr>
                  <w:tabs>
                    <w:tab w:val="right" w:pos="8838"/>
                  </w:tabs>
                  <w:ind w:right="-105"/>
                  <w:rPr>
                    <w:rFonts w:ascii="Palatino Linotype" w:eastAsia="Palatino Linotype" w:hAnsi="Palatino Linotype" w:cs="Palatino Linotype"/>
                    <w:b/>
                    <w:sz w:val="22"/>
                    <w:szCs w:val="22"/>
                  </w:rPr>
                </w:pPr>
              </w:p>
              <w:p w14:paraId="700F361F" w14:textId="77777777" w:rsidR="00C4277B" w:rsidRDefault="007179A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920" w:type="dxa"/>
              </w:tcPr>
              <w:p w14:paraId="129C3B4D" w14:textId="77777777" w:rsidR="00C4277B" w:rsidRDefault="00C4277B">
                <w:pPr>
                  <w:tabs>
                    <w:tab w:val="right" w:pos="8838"/>
                  </w:tabs>
                  <w:ind w:right="-105" w:hanging="101"/>
                  <w:jc w:val="both"/>
                  <w:rPr>
                    <w:rFonts w:ascii="Palatino Linotype" w:eastAsia="Palatino Linotype" w:hAnsi="Palatino Linotype" w:cs="Palatino Linotype"/>
                    <w:sz w:val="22"/>
                    <w:szCs w:val="22"/>
                  </w:rPr>
                </w:pPr>
              </w:p>
              <w:p w14:paraId="0E9BAC27" w14:textId="77777777" w:rsidR="00C4277B" w:rsidRDefault="007179AB">
                <w:pPr>
                  <w:tabs>
                    <w:tab w:val="right" w:pos="8838"/>
                  </w:tabs>
                  <w:ind w:right="-105" w:hanging="10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00523/INFOEM/ICR-21/IP/RR/2024</w:t>
                </w:r>
              </w:p>
            </w:tc>
          </w:tr>
          <w:tr w:rsidR="00C4277B" w14:paraId="252B001C" w14:textId="77777777">
            <w:trPr>
              <w:trHeight w:val="283"/>
            </w:trPr>
            <w:tc>
              <w:tcPr>
                <w:tcW w:w="2595" w:type="dxa"/>
              </w:tcPr>
              <w:p w14:paraId="6C13329A" w14:textId="77777777" w:rsidR="00C4277B" w:rsidRDefault="007179AB">
                <w:pPr>
                  <w:tabs>
                    <w:tab w:val="right" w:pos="8838"/>
                  </w:tabs>
                  <w:ind w:right="-105"/>
                  <w:rPr>
                    <w:rFonts w:ascii="Palatino Linotype" w:eastAsia="Palatino Linotype" w:hAnsi="Palatino Linotype" w:cs="Palatino Linotype"/>
                    <w:b/>
                    <w:sz w:val="22"/>
                    <w:szCs w:val="22"/>
                  </w:rPr>
                </w:pPr>
                <w:bookmarkStart w:id="11" w:name="_heading=h.17dp8vu" w:colFirst="0" w:colLast="0"/>
                <w:bookmarkEnd w:id="11"/>
                <w:r>
                  <w:rPr>
                    <w:rFonts w:ascii="Palatino Linotype" w:eastAsia="Palatino Linotype" w:hAnsi="Palatino Linotype" w:cs="Palatino Linotype"/>
                    <w:b/>
                    <w:sz w:val="22"/>
                    <w:szCs w:val="22"/>
                  </w:rPr>
                  <w:t>Sujeto Obligado:</w:t>
                </w:r>
              </w:p>
            </w:tc>
            <w:tc>
              <w:tcPr>
                <w:tcW w:w="4920" w:type="dxa"/>
              </w:tcPr>
              <w:p w14:paraId="37893109" w14:textId="77777777" w:rsidR="00C4277B" w:rsidRDefault="007179AB">
                <w:pPr>
                  <w:tabs>
                    <w:tab w:val="left" w:pos="2834"/>
                    <w:tab w:val="right" w:pos="8838"/>
                  </w:tabs>
                  <w:ind w:left="-113" w:right="131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r>
          <w:tr w:rsidR="00C4277B" w14:paraId="0F2E1C3A" w14:textId="77777777">
            <w:trPr>
              <w:trHeight w:val="283"/>
            </w:trPr>
            <w:tc>
              <w:tcPr>
                <w:tcW w:w="2595" w:type="dxa"/>
              </w:tcPr>
              <w:p w14:paraId="7DB003D7" w14:textId="77777777" w:rsidR="00C4277B" w:rsidRDefault="007179A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0" w:type="dxa"/>
              </w:tcPr>
              <w:p w14:paraId="64904EDB" w14:textId="77777777" w:rsidR="00C4277B" w:rsidRDefault="007179AB">
                <w:pPr>
                  <w:tabs>
                    <w:tab w:val="right" w:pos="8838"/>
                  </w:tabs>
                  <w:ind w:left="-11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76FD896D" w14:textId="77777777" w:rsidR="00C4277B" w:rsidRDefault="00C4277B">
          <w:pPr>
            <w:tabs>
              <w:tab w:val="right" w:pos="8838"/>
            </w:tabs>
            <w:ind w:left="-28"/>
            <w:jc w:val="both"/>
            <w:rPr>
              <w:rFonts w:ascii="Arial" w:eastAsia="Arial" w:hAnsi="Arial" w:cs="Arial"/>
              <w:b/>
              <w:sz w:val="22"/>
              <w:szCs w:val="22"/>
            </w:rPr>
          </w:pPr>
        </w:p>
      </w:tc>
    </w:tr>
  </w:tbl>
  <w:p w14:paraId="1EF51B43" w14:textId="77777777" w:rsidR="00C4277B" w:rsidRDefault="00EE2DDC">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2C0FC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104.3pt;margin-top:-147.5pt;width:663.5pt;height:12in;z-index:-251659776;mso-position-horizontal:absolute;mso-position-horizontal-relative:margin;mso-position-vertical:absolute;mso-position-vertical-relative:margin">
          <v:imagedata r:id="rId1" o:title="image3"/>
          <w10:wrap anchorx="margin" anchory="margin"/>
        </v:shape>
      </w:pict>
    </w:r>
  </w:p>
  <w:p w14:paraId="3C238B05" w14:textId="77777777" w:rsidR="00C4277B" w:rsidRDefault="00C4277B"/>
  <w:p w14:paraId="3A9902B4" w14:textId="77777777" w:rsidR="00C4277B" w:rsidRDefault="00C4277B"/>
  <w:p w14:paraId="1B097C99" w14:textId="77777777" w:rsidR="00C4277B" w:rsidRDefault="00C427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473B" w14:textId="77777777" w:rsidR="00C4277B" w:rsidRDefault="00C4277B">
    <w:pPr>
      <w:widowControl w:val="0"/>
      <w:pBdr>
        <w:top w:val="nil"/>
        <w:left w:val="nil"/>
        <w:bottom w:val="nil"/>
        <w:right w:val="nil"/>
        <w:between w:val="nil"/>
      </w:pBdr>
      <w:spacing w:line="276" w:lineRule="auto"/>
    </w:pPr>
  </w:p>
  <w:tbl>
    <w:tblPr>
      <w:tblStyle w:val="a2"/>
      <w:tblW w:w="9498" w:type="dxa"/>
      <w:tblInd w:w="0" w:type="dxa"/>
      <w:tblLayout w:type="fixed"/>
      <w:tblLook w:val="0400" w:firstRow="0" w:lastRow="0" w:firstColumn="0" w:lastColumn="0" w:noHBand="0" w:noVBand="1"/>
    </w:tblPr>
    <w:tblGrid>
      <w:gridCol w:w="1560"/>
      <w:gridCol w:w="7938"/>
    </w:tblGrid>
    <w:tr w:rsidR="00C4277B" w14:paraId="04BC7059" w14:textId="77777777">
      <w:trPr>
        <w:trHeight w:val="1435"/>
      </w:trPr>
      <w:tc>
        <w:tcPr>
          <w:tcW w:w="1560" w:type="dxa"/>
          <w:shd w:val="clear" w:color="auto" w:fill="auto"/>
        </w:tcPr>
        <w:p w14:paraId="60C045F3" w14:textId="77777777" w:rsidR="00C4277B" w:rsidRDefault="00C4277B">
          <w:pPr>
            <w:tabs>
              <w:tab w:val="right" w:pos="4273"/>
            </w:tabs>
            <w:rPr>
              <w:rFonts w:ascii="Garamond" w:eastAsia="Garamond" w:hAnsi="Garamond" w:cs="Garamond"/>
              <w:sz w:val="22"/>
              <w:szCs w:val="22"/>
            </w:rPr>
          </w:pPr>
        </w:p>
      </w:tc>
      <w:tc>
        <w:tcPr>
          <w:tcW w:w="7938" w:type="dxa"/>
          <w:shd w:val="clear" w:color="auto" w:fill="auto"/>
        </w:tcPr>
        <w:p w14:paraId="4B4858DD" w14:textId="77777777" w:rsidR="00C4277B" w:rsidRDefault="00C4277B">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10740" w:type="dxa"/>
            <w:tblInd w:w="1449" w:type="dxa"/>
            <w:tblBorders>
              <w:top w:val="nil"/>
              <w:left w:val="nil"/>
              <w:bottom w:val="nil"/>
              <w:right w:val="nil"/>
              <w:insideH w:val="nil"/>
              <w:insideV w:val="nil"/>
            </w:tblBorders>
            <w:tblLayout w:type="fixed"/>
            <w:tblLook w:val="0400" w:firstRow="0" w:lastRow="0" w:firstColumn="0" w:lastColumn="0" w:noHBand="0" w:noVBand="1"/>
          </w:tblPr>
          <w:tblGrid>
            <w:gridCol w:w="2415"/>
            <w:gridCol w:w="4923"/>
            <w:gridCol w:w="3402"/>
          </w:tblGrid>
          <w:tr w:rsidR="00C4277B" w14:paraId="7ECAEEC9" w14:textId="77777777">
            <w:trPr>
              <w:trHeight w:val="144"/>
            </w:trPr>
            <w:tc>
              <w:tcPr>
                <w:tcW w:w="2415" w:type="dxa"/>
              </w:tcPr>
              <w:p w14:paraId="3185EB1B" w14:textId="77777777" w:rsidR="00C4277B" w:rsidRDefault="007179AB">
                <w:pPr>
                  <w:tabs>
                    <w:tab w:val="right" w:pos="8838"/>
                  </w:tabs>
                  <w:ind w:left="-74" w:right="-105"/>
                  <w:rPr>
                    <w:rFonts w:ascii="Palatino Linotype" w:eastAsia="Palatino Linotype" w:hAnsi="Palatino Linotype" w:cs="Palatino Linotype"/>
                    <w:b/>
                    <w:sz w:val="22"/>
                    <w:szCs w:val="22"/>
                  </w:rPr>
                </w:pPr>
                <w:bookmarkStart w:id="12" w:name="_heading=h.3rdcrjn" w:colFirst="0" w:colLast="0"/>
                <w:bookmarkEnd w:id="12"/>
                <w:r>
                  <w:rPr>
                    <w:rFonts w:ascii="Palatino Linotype" w:eastAsia="Palatino Linotype" w:hAnsi="Palatino Linotype" w:cs="Palatino Linotype"/>
                    <w:b/>
                    <w:sz w:val="22"/>
                    <w:szCs w:val="22"/>
                  </w:rPr>
                  <w:t>Recurso de Revisión:</w:t>
                </w:r>
              </w:p>
            </w:tc>
            <w:tc>
              <w:tcPr>
                <w:tcW w:w="4923" w:type="dxa"/>
              </w:tcPr>
              <w:p w14:paraId="799935F5" w14:textId="77777777" w:rsidR="00C4277B" w:rsidRDefault="007179AB">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00523/INFOEM/ICR-21/IP/RR/2024</w:t>
                </w:r>
              </w:p>
            </w:tc>
            <w:tc>
              <w:tcPr>
                <w:tcW w:w="3402" w:type="dxa"/>
              </w:tcPr>
              <w:p w14:paraId="05B7FF54" w14:textId="77777777" w:rsidR="00C4277B" w:rsidRDefault="00C4277B">
                <w:pPr>
                  <w:tabs>
                    <w:tab w:val="right" w:pos="8838"/>
                  </w:tabs>
                  <w:ind w:left="-74" w:right="-105"/>
                  <w:jc w:val="both"/>
                  <w:rPr>
                    <w:rFonts w:ascii="Palatino Linotype" w:eastAsia="Palatino Linotype" w:hAnsi="Palatino Linotype" w:cs="Palatino Linotype"/>
                    <w:sz w:val="22"/>
                    <w:szCs w:val="22"/>
                  </w:rPr>
                </w:pPr>
              </w:p>
            </w:tc>
          </w:tr>
          <w:tr w:rsidR="00C4277B" w14:paraId="33BB00B4" w14:textId="77777777">
            <w:trPr>
              <w:trHeight w:val="144"/>
            </w:trPr>
            <w:tc>
              <w:tcPr>
                <w:tcW w:w="2415" w:type="dxa"/>
              </w:tcPr>
              <w:p w14:paraId="4A379AD7" w14:textId="77777777" w:rsidR="00C4277B" w:rsidRDefault="007179AB">
                <w:pPr>
                  <w:tabs>
                    <w:tab w:val="right" w:pos="8838"/>
                  </w:tabs>
                  <w:ind w:left="-74" w:right="-105"/>
                  <w:rPr>
                    <w:rFonts w:ascii="Palatino Linotype" w:eastAsia="Palatino Linotype" w:hAnsi="Palatino Linotype" w:cs="Palatino Linotype"/>
                    <w:b/>
                    <w:sz w:val="22"/>
                    <w:szCs w:val="22"/>
                  </w:rPr>
                </w:pPr>
                <w:bookmarkStart w:id="13" w:name="_heading=h.26in1rg" w:colFirst="0" w:colLast="0"/>
                <w:bookmarkEnd w:id="13"/>
                <w:r>
                  <w:rPr>
                    <w:rFonts w:ascii="Palatino Linotype" w:eastAsia="Palatino Linotype" w:hAnsi="Palatino Linotype" w:cs="Palatino Linotype"/>
                    <w:b/>
                    <w:sz w:val="22"/>
                    <w:szCs w:val="22"/>
                  </w:rPr>
                  <w:t>Recurrente:</w:t>
                </w:r>
              </w:p>
            </w:tc>
            <w:tc>
              <w:tcPr>
                <w:tcW w:w="4923" w:type="dxa"/>
              </w:tcPr>
              <w:p w14:paraId="523C13D4" w14:textId="5C6B4A1E" w:rsidR="00C4277B" w:rsidRDefault="001873D7">
                <w:pPr>
                  <w:tabs>
                    <w:tab w:val="left" w:pos="3122"/>
                    <w:tab w:val="right" w:pos="8838"/>
                  </w:tabs>
                  <w:ind w:right="14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 XXX</w:t>
                </w:r>
              </w:p>
            </w:tc>
            <w:tc>
              <w:tcPr>
                <w:tcW w:w="3402" w:type="dxa"/>
              </w:tcPr>
              <w:p w14:paraId="65D1912B" w14:textId="77777777" w:rsidR="00C4277B" w:rsidRDefault="00C4277B">
                <w:pPr>
                  <w:tabs>
                    <w:tab w:val="left" w:pos="3122"/>
                    <w:tab w:val="right" w:pos="8838"/>
                  </w:tabs>
                  <w:ind w:right="-105"/>
                  <w:jc w:val="both"/>
                  <w:rPr>
                    <w:rFonts w:ascii="Palatino Linotype" w:eastAsia="Palatino Linotype" w:hAnsi="Palatino Linotype" w:cs="Palatino Linotype"/>
                    <w:sz w:val="22"/>
                    <w:szCs w:val="22"/>
                  </w:rPr>
                </w:pPr>
              </w:p>
            </w:tc>
          </w:tr>
          <w:tr w:rsidR="00C4277B" w14:paraId="48CD2BA0" w14:textId="77777777">
            <w:trPr>
              <w:trHeight w:val="283"/>
            </w:trPr>
            <w:tc>
              <w:tcPr>
                <w:tcW w:w="2415" w:type="dxa"/>
              </w:tcPr>
              <w:p w14:paraId="2816CA51" w14:textId="77777777" w:rsidR="00C4277B" w:rsidRDefault="007179AB">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923" w:type="dxa"/>
              </w:tcPr>
              <w:p w14:paraId="0D5C3F80" w14:textId="77777777" w:rsidR="00C4277B" w:rsidRDefault="007179AB">
                <w:pPr>
                  <w:tabs>
                    <w:tab w:val="left" w:pos="2834"/>
                    <w:tab w:val="right" w:pos="8838"/>
                  </w:tabs>
                  <w:ind w:left="-3" w:right="131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c>
              <w:tcPr>
                <w:tcW w:w="3402" w:type="dxa"/>
              </w:tcPr>
              <w:p w14:paraId="26FCBC36" w14:textId="77777777" w:rsidR="00C4277B" w:rsidRDefault="00C4277B">
                <w:pPr>
                  <w:tabs>
                    <w:tab w:val="left" w:pos="2834"/>
                    <w:tab w:val="right" w:pos="8838"/>
                  </w:tabs>
                  <w:ind w:left="-74" w:right="-105"/>
                  <w:jc w:val="both"/>
                  <w:rPr>
                    <w:rFonts w:ascii="Palatino Linotype" w:eastAsia="Palatino Linotype" w:hAnsi="Palatino Linotype" w:cs="Palatino Linotype"/>
                    <w:sz w:val="22"/>
                    <w:szCs w:val="22"/>
                  </w:rPr>
                </w:pPr>
              </w:p>
            </w:tc>
          </w:tr>
          <w:tr w:rsidR="00C4277B" w14:paraId="5B356B66" w14:textId="77777777">
            <w:trPr>
              <w:trHeight w:val="283"/>
            </w:trPr>
            <w:tc>
              <w:tcPr>
                <w:tcW w:w="2415" w:type="dxa"/>
              </w:tcPr>
              <w:p w14:paraId="020F61F6" w14:textId="77777777" w:rsidR="00C4277B" w:rsidRDefault="007179AB">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3" w:type="dxa"/>
              </w:tcPr>
              <w:p w14:paraId="232DBCC3" w14:textId="77777777" w:rsidR="00C4277B" w:rsidRDefault="007179AB">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3402" w:type="dxa"/>
              </w:tcPr>
              <w:p w14:paraId="2CAF46A1" w14:textId="77777777" w:rsidR="00C4277B" w:rsidRDefault="00C4277B">
                <w:pPr>
                  <w:tabs>
                    <w:tab w:val="right" w:pos="8838"/>
                  </w:tabs>
                  <w:ind w:left="-74" w:right="-105"/>
                  <w:jc w:val="both"/>
                  <w:rPr>
                    <w:rFonts w:ascii="Palatino Linotype" w:eastAsia="Palatino Linotype" w:hAnsi="Palatino Linotype" w:cs="Palatino Linotype"/>
                    <w:sz w:val="22"/>
                    <w:szCs w:val="22"/>
                  </w:rPr>
                </w:pPr>
              </w:p>
            </w:tc>
          </w:tr>
        </w:tbl>
        <w:p w14:paraId="2B660AE3" w14:textId="77777777" w:rsidR="00C4277B" w:rsidRDefault="00C4277B">
          <w:pPr>
            <w:tabs>
              <w:tab w:val="right" w:pos="8838"/>
            </w:tabs>
            <w:ind w:left="-28"/>
            <w:jc w:val="both"/>
            <w:rPr>
              <w:rFonts w:ascii="Arial" w:eastAsia="Arial" w:hAnsi="Arial" w:cs="Arial"/>
              <w:b/>
              <w:sz w:val="22"/>
              <w:szCs w:val="22"/>
            </w:rPr>
          </w:pPr>
        </w:p>
      </w:tc>
    </w:tr>
  </w:tbl>
  <w:p w14:paraId="4C2EBD8E" w14:textId="77777777" w:rsidR="00C4277B" w:rsidRDefault="00EE2DDC">
    <w:pPr>
      <w:pBdr>
        <w:top w:val="nil"/>
        <w:left w:val="nil"/>
        <w:bottom w:val="nil"/>
        <w:right w:val="nil"/>
        <w:between w:val="nil"/>
      </w:pBdr>
      <w:tabs>
        <w:tab w:val="center" w:pos="4419"/>
        <w:tab w:val="right" w:pos="8838"/>
        <w:tab w:val="center" w:pos="4522"/>
      </w:tabs>
      <w:rPr>
        <w:color w:val="000000"/>
      </w:rPr>
    </w:pPr>
    <w:r>
      <w:rPr>
        <w:color w:val="000000"/>
        <w:sz w:val="14"/>
        <w:szCs w:val="14"/>
      </w:rPr>
      <w:pict w14:anchorId="74C79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6.45pt;margin-top:-149.05pt;width:661.75pt;height:861.75pt;z-index:-251657728;mso-wrap-edited:f;mso-position-horizontal:absolute;mso-position-horizontal-relative:margin;mso-position-vertical:absolute;mso-position-vertical-relative:margin" o:allowincell="f">
          <v:imagedata r:id="rId1" o:title="marcaaguaINFOEM"/>
          <w10:wrap anchorx="margin" anchory="margin"/>
        </v:shape>
      </w:pict>
    </w:r>
  </w:p>
  <w:p w14:paraId="382AC568" w14:textId="77777777" w:rsidR="00C4277B" w:rsidRDefault="00C4277B"/>
  <w:p w14:paraId="5BE3F1EF" w14:textId="77777777" w:rsidR="00C4277B" w:rsidRDefault="00C4277B"/>
  <w:p w14:paraId="52C53EC8" w14:textId="77777777" w:rsidR="00C4277B" w:rsidRDefault="00C427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04E3C"/>
    <w:multiLevelType w:val="multilevel"/>
    <w:tmpl w:val="2EB2E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80C38"/>
    <w:multiLevelType w:val="multilevel"/>
    <w:tmpl w:val="DAB6F7B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36E819BC"/>
    <w:multiLevelType w:val="multilevel"/>
    <w:tmpl w:val="0A6669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FE0FD1"/>
    <w:multiLevelType w:val="multilevel"/>
    <w:tmpl w:val="E18076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3D629E0"/>
    <w:multiLevelType w:val="multilevel"/>
    <w:tmpl w:val="4ABA3040"/>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2A17BB"/>
    <w:multiLevelType w:val="multilevel"/>
    <w:tmpl w:val="2E5832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6B73DA8"/>
    <w:multiLevelType w:val="multilevel"/>
    <w:tmpl w:val="230E51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7C3553DB"/>
    <w:multiLevelType w:val="multilevel"/>
    <w:tmpl w:val="A12E06B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8" w15:restartNumberingAfterBreak="0">
    <w:nsid w:val="7C441C10"/>
    <w:multiLevelType w:val="multilevel"/>
    <w:tmpl w:val="777C467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9" w15:restartNumberingAfterBreak="0">
    <w:nsid w:val="7F801F74"/>
    <w:multiLevelType w:val="multilevel"/>
    <w:tmpl w:val="D2940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2011846">
    <w:abstractNumId w:val="1"/>
  </w:num>
  <w:num w:numId="2" w16cid:durableId="1272664807">
    <w:abstractNumId w:val="6"/>
  </w:num>
  <w:num w:numId="3" w16cid:durableId="1416828214">
    <w:abstractNumId w:val="4"/>
  </w:num>
  <w:num w:numId="4" w16cid:durableId="813252071">
    <w:abstractNumId w:val="0"/>
  </w:num>
  <w:num w:numId="5" w16cid:durableId="476337611">
    <w:abstractNumId w:val="3"/>
  </w:num>
  <w:num w:numId="6" w16cid:durableId="501823266">
    <w:abstractNumId w:val="7"/>
  </w:num>
  <w:num w:numId="7" w16cid:durableId="1193764450">
    <w:abstractNumId w:val="9"/>
  </w:num>
  <w:num w:numId="8" w16cid:durableId="534738688">
    <w:abstractNumId w:val="8"/>
  </w:num>
  <w:num w:numId="9" w16cid:durableId="1268076281">
    <w:abstractNumId w:val="2"/>
  </w:num>
  <w:num w:numId="10" w16cid:durableId="480579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77B"/>
    <w:rsid w:val="001873D7"/>
    <w:rsid w:val="004845F4"/>
    <w:rsid w:val="005474E1"/>
    <w:rsid w:val="007179AB"/>
    <w:rsid w:val="007A2ABE"/>
    <w:rsid w:val="009570D0"/>
    <w:rsid w:val="00A23E3D"/>
    <w:rsid w:val="00AA4658"/>
    <w:rsid w:val="00B86E67"/>
    <w:rsid w:val="00C4277B"/>
    <w:rsid w:val="00CF440D"/>
    <w:rsid w:val="00EB0713"/>
    <w:rsid w:val="00EE11F2"/>
    <w:rsid w:val="00EE2D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EC09C"/>
  <w15:docId w15:val="{85F7412E-0011-4C9E-AEF0-5303F5F8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4E"/>
    <w:rPr>
      <w:lang w:eastAsia="es-ES"/>
    </w:rPr>
  </w:style>
  <w:style w:type="paragraph" w:styleId="Ttulo1">
    <w:name w:val="heading 1"/>
    <w:basedOn w:val="Normal"/>
    <w:next w:val="Normal"/>
    <w:link w:val="Ttulo1Car"/>
    <w:uiPriority w:val="9"/>
    <w:qFormat/>
    <w:rsid w:val="00CA2D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A2D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CA2D4E"/>
    <w:rPr>
      <w:rFonts w:asciiTheme="majorHAnsi" w:eastAsiaTheme="majorEastAsia" w:hAnsiTheme="majorHAnsi" w:cstheme="majorBidi"/>
      <w:color w:val="2E74B5" w:themeColor="accent1" w:themeShade="BF"/>
      <w:sz w:val="32"/>
      <w:szCs w:val="32"/>
      <w:lang w:val="es-MX" w:eastAsia="es-ES"/>
    </w:rPr>
  </w:style>
  <w:style w:type="character" w:customStyle="1" w:styleId="Ttulo2Car">
    <w:name w:val="Título 2 Car"/>
    <w:basedOn w:val="Fuentedeprrafopredeter"/>
    <w:link w:val="Ttulo2"/>
    <w:uiPriority w:val="9"/>
    <w:rsid w:val="00CA2D4E"/>
    <w:rPr>
      <w:rFonts w:asciiTheme="majorHAnsi" w:eastAsiaTheme="majorEastAsia" w:hAnsiTheme="majorHAnsi" w:cstheme="majorBidi"/>
      <w:color w:val="2E74B5" w:themeColor="accent1" w:themeShade="BF"/>
      <w:sz w:val="26"/>
      <w:szCs w:val="26"/>
      <w:lang w:val="es-MX"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A2D4E"/>
    <w:rPr>
      <w:rFonts w:ascii="Calibri" w:eastAsia="Calibri" w:hAnsi="Calibri"/>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A2D4E"/>
    <w:rPr>
      <w:rFonts w:ascii="Calibri" w:eastAsia="Calibri" w:hAnsi="Calibri" w:cs="Times New Roman"/>
      <w:sz w:val="20"/>
      <w:szCs w:val="20"/>
      <w:lang w:val="es-MX"/>
    </w:rPr>
  </w:style>
  <w:style w:type="paragraph" w:styleId="Encabezado">
    <w:name w:val="header"/>
    <w:basedOn w:val="Normal"/>
    <w:link w:val="EncabezadoCar"/>
    <w:uiPriority w:val="99"/>
    <w:unhideWhenUsed/>
    <w:qFormat/>
    <w:rsid w:val="00CA2D4E"/>
    <w:pPr>
      <w:tabs>
        <w:tab w:val="center" w:pos="4419"/>
        <w:tab w:val="right" w:pos="8838"/>
      </w:tabs>
    </w:pPr>
  </w:style>
  <w:style w:type="character" w:customStyle="1" w:styleId="EncabezadoCar">
    <w:name w:val="Encabezado Car"/>
    <w:basedOn w:val="Fuentedeprrafopredeter"/>
    <w:link w:val="Encabezado"/>
    <w:uiPriority w:val="99"/>
    <w:qFormat/>
    <w:rsid w:val="00CA2D4E"/>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qFormat/>
    <w:rsid w:val="00CA2D4E"/>
    <w:pPr>
      <w:tabs>
        <w:tab w:val="center" w:pos="4419"/>
        <w:tab w:val="right" w:pos="8838"/>
      </w:tabs>
    </w:pPr>
  </w:style>
  <w:style w:type="character" w:customStyle="1" w:styleId="PiedepginaCar">
    <w:name w:val="Pie de página Car"/>
    <w:basedOn w:val="Fuentedeprrafopredeter"/>
    <w:link w:val="Piedepgina"/>
    <w:uiPriority w:val="99"/>
    <w:qFormat/>
    <w:rsid w:val="00CA2D4E"/>
    <w:rPr>
      <w:rFonts w:ascii="Times New Roman" w:eastAsia="Times New Roman" w:hAnsi="Times New Roman" w:cs="Times New Roman"/>
      <w:sz w:val="20"/>
      <w:szCs w:val="20"/>
      <w:lang w:val="es-MX"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CA2D4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CA2D4E"/>
    <w:rPr>
      <w:color w:val="0563C1" w:themeColor="hyperlink"/>
      <w:u w:val="single"/>
    </w:rPr>
  </w:style>
  <w:style w:type="table" w:styleId="Tablaconcuadrcula">
    <w:name w:val="Table Grid"/>
    <w:basedOn w:val="Tablanormal"/>
    <w:uiPriority w:val="39"/>
    <w:qFormat/>
    <w:rsid w:val="00CA2D4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2D4E"/>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CA2D4E"/>
    <w:rPr>
      <w:rFonts w:ascii="Century Gothic" w:eastAsia="Times New Roman" w:hAnsi="Century Gothic" w:cs="Times New Roman"/>
      <w:szCs w:val="24"/>
      <w:lang w:val="es-MX" w:eastAsia="es-ES"/>
    </w:rPr>
  </w:style>
  <w:style w:type="paragraph" w:customStyle="1" w:styleId="m1609377113336227858gmail-msonormal">
    <w:name w:val="m_1609377113336227858gmail-msonormal"/>
    <w:basedOn w:val="Normal"/>
    <w:rsid w:val="00CA2D4E"/>
    <w:pPr>
      <w:spacing w:before="100" w:beforeAutospacing="1" w:after="100" w:afterAutospacing="1"/>
    </w:pPr>
    <w:rPr>
      <w:sz w:val="24"/>
      <w:szCs w:val="24"/>
      <w:lang w:val="es-ES"/>
    </w:rPr>
  </w:style>
  <w:style w:type="paragraph" w:styleId="TDC1">
    <w:name w:val="toc 1"/>
    <w:basedOn w:val="Normal"/>
    <w:next w:val="Normal"/>
    <w:autoRedefine/>
    <w:uiPriority w:val="39"/>
    <w:semiHidden/>
    <w:unhideWhenUsed/>
    <w:rsid w:val="0001292A"/>
    <w:pPr>
      <w:spacing w:after="10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vK4dNoyCmJPLBGBJZ2hrKSug==">CgMxLjAyCGguZ2pkZ3hzMgloLjMwajB6bGwyCWguMWZvYjl0ZTIJaC4zem55c2g3MgloLjJldDkycDAyCGgudHlqY3d0MgloLjF0M2g1c2YyCWguM2R5NnZrbTIJaC4xdDNoNXNmMgloLjRkMzRvZzgyCWguMnM4ZXlvMTIJaC4xa3N2NHV2MgloLjE3ZHA4dnUyCWguM3JkY3JqbjIJaC4yNmluMXJnOAByITFxalpoNnBQVEJTR05nU3lRN2tRenRYZlJEN2hHOEZtRw==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11821</Words>
  <Characters>65018</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inf03m612@outlook.com</cp:lastModifiedBy>
  <cp:revision>8</cp:revision>
  <cp:lastPrinted>2024-09-12T20:48:00Z</cp:lastPrinted>
  <dcterms:created xsi:type="dcterms:W3CDTF">2024-09-09T19:44:00Z</dcterms:created>
  <dcterms:modified xsi:type="dcterms:W3CDTF">2024-11-06T16:46:00Z</dcterms:modified>
</cp:coreProperties>
</file>