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9DFA"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BC10FD">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veinti</w:t>
      </w:r>
      <w:r w:rsidR="007F1783" w:rsidRPr="00BC10FD">
        <w:rPr>
          <w:rFonts w:ascii="Palatino Linotype" w:eastAsia="Palatino Linotype" w:hAnsi="Palatino Linotype" w:cs="Palatino Linotype"/>
          <w:sz w:val="24"/>
          <w:szCs w:val="24"/>
        </w:rPr>
        <w:t>uno</w:t>
      </w:r>
      <w:r w:rsidRPr="00BC10FD">
        <w:rPr>
          <w:rFonts w:ascii="Palatino Linotype" w:eastAsia="Palatino Linotype" w:hAnsi="Palatino Linotype" w:cs="Palatino Linotype"/>
          <w:sz w:val="24"/>
          <w:szCs w:val="24"/>
        </w:rPr>
        <w:t xml:space="preserve"> de </w:t>
      </w:r>
      <w:r w:rsidR="007F1783" w:rsidRPr="00BC10FD">
        <w:rPr>
          <w:rFonts w:ascii="Palatino Linotype" w:eastAsia="Palatino Linotype" w:hAnsi="Palatino Linotype" w:cs="Palatino Linotype"/>
          <w:sz w:val="24"/>
          <w:szCs w:val="24"/>
        </w:rPr>
        <w:t>febrero</w:t>
      </w:r>
      <w:r w:rsidRPr="00BC10FD">
        <w:rPr>
          <w:rFonts w:ascii="Palatino Linotype" w:eastAsia="Palatino Linotype" w:hAnsi="Palatino Linotype" w:cs="Palatino Linotype"/>
          <w:sz w:val="24"/>
          <w:szCs w:val="24"/>
        </w:rPr>
        <w:t xml:space="preserve"> de dos mil veinticuatro. </w:t>
      </w:r>
    </w:p>
    <w:p w14:paraId="1C67528B" w14:textId="77777777" w:rsidR="002447C2" w:rsidRPr="00BC10FD" w:rsidRDefault="002447C2">
      <w:pPr>
        <w:spacing w:after="0" w:line="360" w:lineRule="auto"/>
        <w:ind w:right="49"/>
        <w:jc w:val="both"/>
        <w:rPr>
          <w:rFonts w:ascii="Palatino Linotype" w:eastAsia="Palatino Linotype" w:hAnsi="Palatino Linotype" w:cs="Palatino Linotype"/>
          <w:sz w:val="24"/>
          <w:szCs w:val="24"/>
        </w:rPr>
      </w:pPr>
    </w:p>
    <w:p w14:paraId="42D6665A"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Visto el expediente relativo al recurso de revisión </w:t>
      </w:r>
      <w:r w:rsidRPr="00BC10FD">
        <w:rPr>
          <w:rFonts w:ascii="Palatino Linotype" w:eastAsia="Palatino Linotype" w:hAnsi="Palatino Linotype" w:cs="Palatino Linotype"/>
          <w:b/>
          <w:sz w:val="24"/>
          <w:szCs w:val="24"/>
        </w:rPr>
        <w:t>0</w:t>
      </w:r>
      <w:r w:rsidR="005C69C2" w:rsidRPr="00BC10FD">
        <w:rPr>
          <w:rFonts w:ascii="Palatino Linotype" w:eastAsia="Palatino Linotype" w:hAnsi="Palatino Linotype" w:cs="Palatino Linotype"/>
          <w:b/>
          <w:sz w:val="24"/>
          <w:szCs w:val="24"/>
        </w:rPr>
        <w:t>8469</w:t>
      </w:r>
      <w:r w:rsidRPr="00BC10FD">
        <w:rPr>
          <w:rFonts w:ascii="Palatino Linotype" w:eastAsia="Palatino Linotype" w:hAnsi="Palatino Linotype" w:cs="Palatino Linotype"/>
          <w:b/>
          <w:sz w:val="24"/>
          <w:szCs w:val="24"/>
        </w:rPr>
        <w:t>/INFOEM/IP/RR/2023</w:t>
      </w:r>
      <w:r w:rsidRPr="00BC10FD">
        <w:rPr>
          <w:rFonts w:ascii="Palatino Linotype" w:eastAsia="Palatino Linotype" w:hAnsi="Palatino Linotype" w:cs="Palatino Linotype"/>
          <w:sz w:val="24"/>
          <w:szCs w:val="24"/>
        </w:rPr>
        <w:t>, interpuesto por</w:t>
      </w:r>
      <w:r w:rsidR="00AD2849" w:rsidRPr="00BC10FD">
        <w:rPr>
          <w:rFonts w:ascii="Palatino Linotype" w:eastAsia="Palatino Linotype" w:hAnsi="Palatino Linotype" w:cs="Palatino Linotype"/>
          <w:sz w:val="24"/>
          <w:szCs w:val="24"/>
        </w:rPr>
        <w:t xml:space="preserve"> </w:t>
      </w:r>
      <w:r w:rsidR="005C69C2" w:rsidRPr="00BC10FD">
        <w:rPr>
          <w:rFonts w:ascii="Palatino Linotype" w:eastAsia="Palatino Linotype" w:hAnsi="Palatino Linotype" w:cs="Palatino Linotype"/>
          <w:b/>
          <w:sz w:val="24"/>
          <w:szCs w:val="24"/>
        </w:rPr>
        <w:t>una persona usuaria del Sistema de Acceso a la Información Mexiquense que no proporcionó nombre</w:t>
      </w:r>
      <w:r w:rsidRPr="00BC10FD">
        <w:rPr>
          <w:rFonts w:ascii="Palatino Linotype" w:eastAsia="Palatino Linotype" w:hAnsi="Palatino Linotype" w:cs="Palatino Linotype"/>
          <w:sz w:val="24"/>
          <w:szCs w:val="24"/>
        </w:rPr>
        <w:t xml:space="preserve">, a quien en lo sucesivo se le denominará </w:t>
      </w:r>
      <w:r w:rsidRPr="00BC10FD">
        <w:rPr>
          <w:rFonts w:ascii="Palatino Linotype" w:eastAsia="Palatino Linotype" w:hAnsi="Palatino Linotype" w:cs="Palatino Linotype"/>
          <w:b/>
          <w:sz w:val="24"/>
          <w:szCs w:val="24"/>
        </w:rPr>
        <w:t>la parte Recurrente</w:t>
      </w:r>
      <w:r w:rsidRPr="00BC10FD">
        <w:rPr>
          <w:rFonts w:ascii="Palatino Linotype" w:eastAsia="Palatino Linotype" w:hAnsi="Palatino Linotype" w:cs="Palatino Linotype"/>
          <w:sz w:val="24"/>
          <w:szCs w:val="24"/>
        </w:rPr>
        <w:t>, en contra de la respuesta a su solicitud de información identificada con número de folio</w:t>
      </w:r>
      <w:r w:rsidR="005C69C2" w:rsidRPr="00BC10FD">
        <w:t xml:space="preserve"> </w:t>
      </w:r>
      <w:r w:rsidR="005C69C2" w:rsidRPr="00BC10FD">
        <w:rPr>
          <w:rFonts w:ascii="Palatino Linotype" w:eastAsia="Palatino Linotype" w:hAnsi="Palatino Linotype" w:cs="Palatino Linotype"/>
          <w:b/>
          <w:sz w:val="24"/>
          <w:szCs w:val="24"/>
        </w:rPr>
        <w:t>00341/HUIXQUIL/IP/2023</w:t>
      </w:r>
      <w:r w:rsidR="00AD2849" w:rsidRPr="00BC10FD">
        <w:rPr>
          <w:rFonts w:ascii="Palatino Linotype" w:eastAsia="Palatino Linotype" w:hAnsi="Palatino Linotype" w:cs="Palatino Linotype"/>
          <w:sz w:val="24"/>
          <w:szCs w:val="24"/>
        </w:rPr>
        <w:t xml:space="preserve">, proporcionada por </w:t>
      </w:r>
      <w:r w:rsidR="005C69C2" w:rsidRPr="00BC10FD">
        <w:rPr>
          <w:rFonts w:ascii="Palatino Linotype" w:eastAsia="Palatino Linotype" w:hAnsi="Palatino Linotype" w:cs="Palatino Linotype"/>
          <w:sz w:val="24"/>
          <w:szCs w:val="24"/>
        </w:rPr>
        <w:t xml:space="preserve">el </w:t>
      </w:r>
      <w:r w:rsidR="005C69C2" w:rsidRPr="00BC10FD">
        <w:rPr>
          <w:rFonts w:ascii="Palatino Linotype" w:eastAsia="Palatino Linotype" w:hAnsi="Palatino Linotype" w:cs="Palatino Linotype"/>
          <w:b/>
          <w:sz w:val="24"/>
          <w:szCs w:val="24"/>
        </w:rPr>
        <w:t>Ayuntamiento de Huixquilucan</w:t>
      </w:r>
      <w:r w:rsidRPr="00BC10FD">
        <w:rPr>
          <w:rFonts w:ascii="Palatino Linotype" w:eastAsia="Palatino Linotype" w:hAnsi="Palatino Linotype" w:cs="Palatino Linotype"/>
          <w:b/>
          <w:sz w:val="24"/>
          <w:szCs w:val="24"/>
        </w:rPr>
        <w:t>,</w:t>
      </w:r>
      <w:r w:rsidRPr="00BC10FD">
        <w:rPr>
          <w:rFonts w:ascii="Palatino Linotype" w:eastAsia="Palatino Linotype" w:hAnsi="Palatino Linotype" w:cs="Palatino Linotype"/>
          <w:sz w:val="24"/>
          <w:szCs w:val="24"/>
        </w:rPr>
        <w:t xml:space="preserve"> en lo sucesivo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se procede a dictar la presente resolución, con base en los siguientes:</w:t>
      </w:r>
    </w:p>
    <w:p w14:paraId="36216BF4" w14:textId="77777777" w:rsidR="002447C2" w:rsidRPr="00BC10FD" w:rsidRDefault="002447C2">
      <w:pPr>
        <w:spacing w:after="0" w:line="360" w:lineRule="auto"/>
        <w:ind w:right="49"/>
        <w:jc w:val="both"/>
        <w:rPr>
          <w:rFonts w:ascii="Palatino Linotype" w:eastAsia="Palatino Linotype" w:hAnsi="Palatino Linotype" w:cs="Palatino Linotype"/>
          <w:sz w:val="24"/>
          <w:szCs w:val="24"/>
        </w:rPr>
      </w:pPr>
    </w:p>
    <w:p w14:paraId="3B3740A4" w14:textId="77777777" w:rsidR="002447C2" w:rsidRPr="00BC10FD" w:rsidRDefault="004E0CEE">
      <w:pPr>
        <w:spacing w:after="0" w:line="360" w:lineRule="auto"/>
        <w:ind w:right="49"/>
        <w:jc w:val="center"/>
        <w:rPr>
          <w:rFonts w:ascii="Palatino Linotype" w:eastAsia="Palatino Linotype" w:hAnsi="Palatino Linotype" w:cs="Palatino Linotype"/>
          <w:b/>
          <w:sz w:val="24"/>
          <w:szCs w:val="24"/>
        </w:rPr>
      </w:pPr>
      <w:r w:rsidRPr="00BC10FD">
        <w:rPr>
          <w:rFonts w:ascii="Palatino Linotype" w:eastAsia="Palatino Linotype" w:hAnsi="Palatino Linotype" w:cs="Palatino Linotype"/>
          <w:b/>
          <w:sz w:val="24"/>
          <w:szCs w:val="24"/>
        </w:rPr>
        <w:t>I.</w:t>
      </w:r>
      <w:r w:rsidRPr="00BC10FD">
        <w:rPr>
          <w:rFonts w:ascii="Palatino Linotype" w:eastAsia="Palatino Linotype" w:hAnsi="Palatino Linotype" w:cs="Palatino Linotype"/>
          <w:b/>
          <w:sz w:val="24"/>
          <w:szCs w:val="24"/>
        </w:rPr>
        <w:tab/>
        <w:t>A N T E C E D E N T E S</w:t>
      </w:r>
    </w:p>
    <w:p w14:paraId="51B7949D" w14:textId="77777777" w:rsidR="002447C2" w:rsidRPr="00BC10FD"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0ACD3E5A" w14:textId="77777777" w:rsidR="002447C2" w:rsidRPr="00BC10FD"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1fob9te" w:colFirst="0" w:colLast="0"/>
      <w:bookmarkEnd w:id="2"/>
      <w:r w:rsidRPr="00BC10FD">
        <w:rPr>
          <w:rFonts w:ascii="Palatino Linotype" w:eastAsia="Palatino Linotype" w:hAnsi="Palatino Linotype" w:cs="Palatino Linotype"/>
          <w:b/>
          <w:color w:val="000000"/>
          <w:sz w:val="24"/>
          <w:szCs w:val="24"/>
        </w:rPr>
        <w:t>Solicitud de acceso a la información.</w:t>
      </w:r>
      <w:r w:rsidRPr="00BC10FD">
        <w:rPr>
          <w:rFonts w:ascii="Palatino Linotype" w:eastAsia="Palatino Linotype" w:hAnsi="Palatino Linotype" w:cs="Palatino Linotype"/>
          <w:color w:val="000000"/>
          <w:sz w:val="24"/>
          <w:szCs w:val="24"/>
        </w:rPr>
        <w:t xml:space="preserve"> Con fecha </w:t>
      </w:r>
      <w:r w:rsidR="005C69C2" w:rsidRPr="00BC10FD">
        <w:rPr>
          <w:rFonts w:ascii="Palatino Linotype" w:eastAsia="Palatino Linotype" w:hAnsi="Palatino Linotype" w:cs="Palatino Linotype"/>
          <w:b/>
          <w:color w:val="000000"/>
          <w:sz w:val="24"/>
          <w:szCs w:val="24"/>
        </w:rPr>
        <w:t>nueve de noviembre</w:t>
      </w:r>
      <w:r w:rsidRPr="00BC10FD">
        <w:rPr>
          <w:rFonts w:ascii="Palatino Linotype" w:eastAsia="Palatino Linotype" w:hAnsi="Palatino Linotype" w:cs="Palatino Linotype"/>
          <w:b/>
          <w:color w:val="000000"/>
          <w:sz w:val="24"/>
          <w:szCs w:val="24"/>
        </w:rPr>
        <w:t xml:space="preserve"> de dos mil veintitrés</w:t>
      </w:r>
      <w:r w:rsidRPr="00BC10FD">
        <w:rPr>
          <w:rFonts w:ascii="Palatino Linotype" w:eastAsia="Palatino Linotype" w:hAnsi="Palatino Linotype" w:cs="Palatino Linotype"/>
          <w:color w:val="000000"/>
          <w:sz w:val="24"/>
          <w:szCs w:val="24"/>
        </w:rPr>
        <w:t>, la persona solicitante formuló solicitud de acceso a información pública al</w:t>
      </w:r>
      <w:r w:rsidRPr="00BC10FD">
        <w:rPr>
          <w:rFonts w:ascii="Palatino Linotype" w:eastAsia="Palatino Linotype" w:hAnsi="Palatino Linotype" w:cs="Palatino Linotype"/>
          <w:b/>
          <w:color w:val="000000"/>
          <w:sz w:val="24"/>
          <w:szCs w:val="24"/>
        </w:rPr>
        <w:t xml:space="preserve"> Sujeto Obligado</w:t>
      </w:r>
      <w:r w:rsidRPr="00BC10FD">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7EDDCB13" w14:textId="77777777" w:rsidR="002447C2" w:rsidRPr="00BC10FD" w:rsidRDefault="002447C2">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1DC48394" w14:textId="77777777" w:rsidR="002447C2" w:rsidRPr="00BC10FD" w:rsidRDefault="004E0CEE">
      <w:pPr>
        <w:tabs>
          <w:tab w:val="left" w:pos="8505"/>
        </w:tabs>
        <w:spacing w:after="0" w:line="276" w:lineRule="auto"/>
        <w:ind w:left="567" w:right="560"/>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005C69C2" w:rsidRPr="00BC10FD">
        <w:rPr>
          <w:rFonts w:ascii="Palatino Linotype" w:eastAsia="Palatino Linotype" w:hAnsi="Palatino Linotype" w:cs="Palatino Linotype"/>
          <w:i/>
        </w:rPr>
        <w:t>SOLICITO DOCUMENTO OFICIAL QUE INDIQUE CUÁNTAS LICENCIAS DE CONSTRUCCION FUERON OTORGADAS EN 2021,2022,2023 RESPECTIVAMENTE EN CADA AÑO</w:t>
      </w:r>
      <w:r w:rsidRPr="00BC10FD">
        <w:rPr>
          <w:rFonts w:ascii="Palatino Linotype" w:eastAsia="Palatino Linotype" w:hAnsi="Palatino Linotype" w:cs="Palatino Linotype"/>
          <w:i/>
        </w:rPr>
        <w:t>” (Sic)</w:t>
      </w:r>
    </w:p>
    <w:p w14:paraId="16F878FE" w14:textId="77777777" w:rsidR="002447C2" w:rsidRPr="00BC10FD" w:rsidRDefault="002447C2">
      <w:pPr>
        <w:tabs>
          <w:tab w:val="left" w:pos="8505"/>
        </w:tabs>
        <w:spacing w:after="0" w:line="360" w:lineRule="auto"/>
        <w:ind w:left="567" w:right="560"/>
        <w:jc w:val="both"/>
        <w:rPr>
          <w:rFonts w:ascii="Palatino Linotype" w:eastAsia="Palatino Linotype" w:hAnsi="Palatino Linotype" w:cs="Palatino Linotype"/>
          <w:i/>
        </w:rPr>
      </w:pPr>
    </w:p>
    <w:p w14:paraId="554672E7"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lastRenderedPageBreak/>
        <w:t>Modalidad elegida para la entrega de la información:</w:t>
      </w:r>
      <w:r w:rsidRPr="00BC10FD">
        <w:rPr>
          <w:rFonts w:ascii="Palatino Linotype" w:eastAsia="Palatino Linotype" w:hAnsi="Palatino Linotype" w:cs="Palatino Linotype"/>
          <w:sz w:val="24"/>
          <w:szCs w:val="24"/>
        </w:rPr>
        <w:t xml:space="preserve"> a través del Sistema de Acceso a la Información Mexiquense (SAIMEX). </w:t>
      </w:r>
    </w:p>
    <w:p w14:paraId="0AB2DE77" w14:textId="77777777" w:rsidR="002447C2" w:rsidRPr="00BC10FD"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0B0D26D8" w14:textId="77777777" w:rsidR="002447C2" w:rsidRPr="00BC10FD"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color w:val="000000"/>
          <w:sz w:val="24"/>
          <w:szCs w:val="24"/>
        </w:rPr>
        <w:t>Respuesta.</w:t>
      </w:r>
      <w:r w:rsidRPr="00BC10FD">
        <w:rPr>
          <w:rFonts w:ascii="Palatino Linotype" w:eastAsia="Palatino Linotype" w:hAnsi="Palatino Linotype" w:cs="Palatino Linotype"/>
          <w:color w:val="000000"/>
          <w:sz w:val="24"/>
          <w:szCs w:val="24"/>
        </w:rPr>
        <w:t xml:space="preserve"> </w:t>
      </w:r>
      <w:r w:rsidRPr="00BC10FD">
        <w:rPr>
          <w:rFonts w:ascii="Palatino Linotype" w:eastAsia="Palatino Linotype" w:hAnsi="Palatino Linotype" w:cs="Palatino Linotype"/>
          <w:sz w:val="24"/>
          <w:szCs w:val="24"/>
        </w:rPr>
        <w:t xml:space="preserve">En fecha </w:t>
      </w:r>
      <w:r w:rsidR="005C69C2" w:rsidRPr="00BC10FD">
        <w:rPr>
          <w:rFonts w:ascii="Palatino Linotype" w:eastAsia="Palatino Linotype" w:hAnsi="Palatino Linotype" w:cs="Palatino Linotype"/>
          <w:b/>
          <w:sz w:val="24"/>
          <w:szCs w:val="24"/>
        </w:rPr>
        <w:t>cuatro de diciembre</w:t>
      </w:r>
      <w:r w:rsidRPr="00BC10FD">
        <w:rPr>
          <w:rFonts w:ascii="Palatino Linotype" w:eastAsia="Palatino Linotype" w:hAnsi="Palatino Linotype" w:cs="Palatino Linotype"/>
          <w:b/>
          <w:sz w:val="24"/>
          <w:szCs w:val="24"/>
        </w:rPr>
        <w:t xml:space="preserve"> de dos mil veintitrés</w:t>
      </w:r>
      <w:r w:rsidRPr="00BC10FD">
        <w:rPr>
          <w:rFonts w:ascii="Palatino Linotype" w:eastAsia="Palatino Linotype" w:hAnsi="Palatino Linotype" w:cs="Palatino Linotype"/>
          <w:sz w:val="24"/>
          <w:szCs w:val="24"/>
        </w:rPr>
        <w:t xml:space="preserve">, el </w:t>
      </w:r>
      <w:r w:rsidRPr="00BC10FD">
        <w:rPr>
          <w:rFonts w:ascii="Palatino Linotype" w:eastAsia="Palatino Linotype" w:hAnsi="Palatino Linotype" w:cs="Palatino Linotype"/>
          <w:b/>
          <w:sz w:val="24"/>
          <w:szCs w:val="24"/>
        </w:rPr>
        <w:t xml:space="preserve">Sujeto Obligado </w:t>
      </w:r>
      <w:r w:rsidRPr="00BC10FD">
        <w:rPr>
          <w:rFonts w:ascii="Palatino Linotype" w:eastAsia="Palatino Linotype" w:hAnsi="Palatino Linotype" w:cs="Palatino Linotype"/>
          <w:sz w:val="24"/>
          <w:szCs w:val="24"/>
        </w:rPr>
        <w:t xml:space="preserve">remitió respuesta a la solicitud de información, al tenor de lo siguiente: </w:t>
      </w:r>
    </w:p>
    <w:p w14:paraId="1297D502" w14:textId="77777777" w:rsidR="002447C2" w:rsidRPr="00BC10FD"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5D36B77" w14:textId="77777777" w:rsidR="005C69C2" w:rsidRPr="00BC10FD" w:rsidRDefault="004E0CEE" w:rsidP="005C69C2">
      <w:pPr>
        <w:spacing w:after="0" w:line="276" w:lineRule="auto"/>
        <w:ind w:left="567" w:right="560"/>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005C69C2" w:rsidRPr="00BC10F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CEA7D7" w14:textId="77777777" w:rsidR="005C69C2" w:rsidRPr="00BC10FD" w:rsidRDefault="005C69C2" w:rsidP="005C69C2">
      <w:pPr>
        <w:spacing w:after="0" w:line="276" w:lineRule="auto"/>
        <w:ind w:left="567" w:right="560"/>
        <w:jc w:val="both"/>
        <w:rPr>
          <w:rFonts w:ascii="Palatino Linotype" w:eastAsia="Palatino Linotype" w:hAnsi="Palatino Linotype" w:cs="Palatino Linotype"/>
          <w:i/>
        </w:rPr>
      </w:pPr>
    </w:p>
    <w:p w14:paraId="6509EDB9" w14:textId="77777777" w:rsidR="002447C2" w:rsidRPr="00BC10FD" w:rsidRDefault="005C69C2" w:rsidP="005C69C2">
      <w:pPr>
        <w:spacing w:after="0" w:line="276" w:lineRule="auto"/>
        <w:ind w:left="567" w:right="56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2022; AL RESPECTO Y EN ATENCIÓN A SU SOLICITUD DE INFORMACIÓN REGISTRADA EN EL SISTEMA DE ACCESO A LA INFORMACIÓN PÚBLICA MEXIQUENSE (SAIMEX), CON EL NUMERO DE FOLIO: 00341/UIXQUIL/IP/2023, MISMA QUE A LA LETRA DICE: " SOLICITO DOCUMENTO OFICIAL QUE INDIQUE CUÁNTAS LICENCIAS DE CONSTRUCCION FUERON OTORGADAS EN 2021,2022,2023 RESPECTIVAMENTE EN CADA AÑO.” (SIC) SOBRE EL PARTICULAR, ESTA </w:t>
      </w:r>
      <w:r w:rsidRPr="00BC10FD">
        <w:rPr>
          <w:rFonts w:ascii="Palatino Linotype" w:eastAsia="Palatino Linotype" w:hAnsi="Palatino Linotype" w:cs="Palatino Linotype"/>
          <w:i/>
        </w:rPr>
        <w:lastRenderedPageBreak/>
        <w:t xml:space="preserve">UNIDAD DE TRANSPARENCIA EN EJERCICIO DE LAS ATRIBUCIONES QUE LA LEY </w:t>
      </w:r>
      <w:r w:rsidRPr="00BC10FD">
        <w:rPr>
          <w:rFonts w:ascii="Palatino Linotype" w:eastAsia="Palatino Linotype" w:hAnsi="Palatino Linotype" w:cs="Palatino Linotype"/>
          <w:b/>
          <w:i/>
          <w:u w:val="single"/>
        </w:rPr>
        <w:t xml:space="preserve">LE CONFIERE TURNO SU SOLICITUD DE INFORMACIÒN A LA DIRECCIÓN GENERAL DE DESARROLLO URBANO SUSTENTABLE QUE DE CONFORMIDAD CON LO ESTABLECIDO EN EL REGRLAMENTO ORGANICO MUNICIPAL ES COMPETENTE PARA ATENDER SU REQUERIMINETO, MISMO QUE MANIFESTO LO SIGUIENTE: </w:t>
      </w:r>
      <w:r w:rsidRPr="00BC10FD">
        <w:rPr>
          <w:rFonts w:ascii="Palatino Linotype" w:eastAsia="Palatino Linotype" w:hAnsi="Palatino Linotype" w:cs="Palatino Linotype"/>
          <w:i/>
        </w:rPr>
        <w:t xml:space="preserve">DIRECCIÓN GENERAL DE DESARROLLO URBANO SUSTENTABLE: “SE ADJUNTA RESPUESTA.” (SIC) SE ADJUNTA FORMATO </w:t>
      </w:r>
      <w:proofErr w:type="gramStart"/>
      <w:r w:rsidRPr="00BC10FD">
        <w:rPr>
          <w:rFonts w:ascii="Palatino Linotype" w:eastAsia="Palatino Linotype" w:hAnsi="Palatino Linotype" w:cs="Palatino Linotype"/>
          <w:i/>
        </w:rPr>
        <w:t>PDF</w:t>
      </w:r>
      <w:proofErr w:type="gramEnd"/>
      <w:r w:rsidRPr="00BC10FD">
        <w:rPr>
          <w:rFonts w:ascii="Palatino Linotype" w:eastAsia="Palatino Linotype" w:hAnsi="Palatino Linotype" w:cs="Palatino Linotype"/>
          <w:i/>
        </w:rPr>
        <w:t xml:space="preserve">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r w:rsidR="004E0CEE" w:rsidRPr="00BC10FD">
        <w:rPr>
          <w:rFonts w:ascii="Palatino Linotype" w:eastAsia="Palatino Linotype" w:hAnsi="Palatino Linotype" w:cs="Palatino Linotype"/>
          <w:i/>
        </w:rPr>
        <w:t>” (Sic)</w:t>
      </w:r>
    </w:p>
    <w:p w14:paraId="48F1AD8B" w14:textId="77777777" w:rsidR="002447C2" w:rsidRPr="00BC10FD" w:rsidRDefault="002447C2">
      <w:pPr>
        <w:spacing w:after="0" w:line="360" w:lineRule="auto"/>
        <w:ind w:right="560"/>
        <w:jc w:val="both"/>
        <w:rPr>
          <w:rFonts w:ascii="Palatino Linotype" w:eastAsia="Palatino Linotype" w:hAnsi="Palatino Linotype" w:cs="Palatino Linotype"/>
        </w:rPr>
      </w:pPr>
    </w:p>
    <w:p w14:paraId="7A9B9771" w14:textId="77777777" w:rsidR="00AD2849" w:rsidRPr="00BC10FD" w:rsidRDefault="00AD2849">
      <w:pPr>
        <w:spacing w:after="0" w:line="360" w:lineRule="auto"/>
        <w:ind w:right="560"/>
        <w:jc w:val="both"/>
        <w:rPr>
          <w:rFonts w:ascii="Palatino Linotype" w:eastAsia="Palatino Linotype" w:hAnsi="Palatino Linotype" w:cs="Palatino Linotype"/>
        </w:rPr>
      </w:pPr>
      <w:r w:rsidRPr="00BC10FD">
        <w:rPr>
          <w:rFonts w:ascii="Palatino Linotype" w:eastAsia="Palatino Linotype" w:hAnsi="Palatino Linotype" w:cs="Palatino Linotype"/>
        </w:rPr>
        <w:t>Adjunto a la respuesta,</w:t>
      </w:r>
      <w:r w:rsidRPr="00BC10FD">
        <w:rPr>
          <w:rFonts w:ascii="Palatino Linotype" w:eastAsia="Palatino Linotype" w:hAnsi="Palatino Linotype" w:cs="Palatino Linotype"/>
          <w:b/>
        </w:rPr>
        <w:t xml:space="preserve"> </w:t>
      </w:r>
      <w:r w:rsidRPr="00BC10FD">
        <w:rPr>
          <w:rFonts w:ascii="Palatino Linotype" w:eastAsia="Palatino Linotype" w:hAnsi="Palatino Linotype" w:cs="Palatino Linotype"/>
        </w:rPr>
        <w:t xml:space="preserve">el </w:t>
      </w:r>
      <w:r w:rsidRPr="00BC10FD">
        <w:rPr>
          <w:rFonts w:ascii="Palatino Linotype" w:eastAsia="Palatino Linotype" w:hAnsi="Palatino Linotype" w:cs="Palatino Linotype"/>
          <w:b/>
        </w:rPr>
        <w:t xml:space="preserve">Sujeto Obligado </w:t>
      </w:r>
      <w:r w:rsidRPr="00BC10FD">
        <w:rPr>
          <w:rFonts w:ascii="Palatino Linotype" w:eastAsia="Palatino Linotype" w:hAnsi="Palatino Linotype" w:cs="Palatino Linotype"/>
        </w:rPr>
        <w:t xml:space="preserve">aportó </w:t>
      </w:r>
      <w:r w:rsidR="005C69C2" w:rsidRPr="00BC10FD">
        <w:rPr>
          <w:rFonts w:ascii="Palatino Linotype" w:eastAsia="Palatino Linotype" w:hAnsi="Palatino Linotype" w:cs="Palatino Linotype"/>
        </w:rPr>
        <w:t>el</w:t>
      </w:r>
      <w:r w:rsidRPr="00BC10FD">
        <w:rPr>
          <w:rFonts w:ascii="Palatino Linotype" w:eastAsia="Palatino Linotype" w:hAnsi="Palatino Linotype" w:cs="Palatino Linotype"/>
        </w:rPr>
        <w:t xml:space="preserve"> archivo electrónico</w:t>
      </w:r>
      <w:r w:rsidR="005C69C2" w:rsidRPr="00BC10FD">
        <w:rPr>
          <w:rFonts w:ascii="Palatino Linotype" w:eastAsia="Palatino Linotype" w:hAnsi="Palatino Linotype" w:cs="Palatino Linotype"/>
        </w:rPr>
        <w:t xml:space="preserve"> denominado “</w:t>
      </w:r>
      <w:r w:rsidR="005C69C2" w:rsidRPr="00BC10FD">
        <w:rPr>
          <w:rFonts w:ascii="Palatino Linotype" w:eastAsia="Palatino Linotype" w:hAnsi="Palatino Linotype" w:cs="Palatino Linotype"/>
          <w:b/>
          <w:i/>
        </w:rPr>
        <w:t>202312011030.pdf</w:t>
      </w:r>
      <w:r w:rsidR="005C69C2" w:rsidRPr="00BC10FD">
        <w:rPr>
          <w:rFonts w:ascii="Palatino Linotype" w:eastAsia="Palatino Linotype" w:hAnsi="Palatino Linotype" w:cs="Palatino Linotype"/>
        </w:rPr>
        <w:t>”</w:t>
      </w:r>
      <w:r w:rsidRPr="00BC10FD">
        <w:rPr>
          <w:rFonts w:ascii="Palatino Linotype" w:eastAsia="Palatino Linotype" w:hAnsi="Palatino Linotype" w:cs="Palatino Linotype"/>
        </w:rPr>
        <w:t xml:space="preserve"> que contienen la información siguiente:</w:t>
      </w:r>
    </w:p>
    <w:p w14:paraId="3E0DC41C" w14:textId="77777777" w:rsidR="005C69C2" w:rsidRPr="00BC10FD" w:rsidRDefault="005C69C2">
      <w:pPr>
        <w:spacing w:after="0" w:line="360" w:lineRule="auto"/>
        <w:ind w:right="560"/>
        <w:jc w:val="both"/>
        <w:rPr>
          <w:rFonts w:ascii="Palatino Linotype" w:eastAsia="Palatino Linotype" w:hAnsi="Palatino Linotype" w:cs="Palatino Linotype"/>
        </w:rPr>
      </w:pPr>
    </w:p>
    <w:p w14:paraId="31293BF7" w14:textId="77777777" w:rsidR="00AD2849" w:rsidRPr="00BC10FD" w:rsidRDefault="005C69C2" w:rsidP="00903CB5">
      <w:pPr>
        <w:pStyle w:val="Prrafodelista"/>
        <w:numPr>
          <w:ilvl w:val="0"/>
          <w:numId w:val="13"/>
        </w:numPr>
        <w:spacing w:after="0" w:line="360" w:lineRule="auto"/>
        <w:ind w:right="-7"/>
        <w:jc w:val="both"/>
        <w:rPr>
          <w:rFonts w:ascii="Palatino Linotype" w:eastAsia="Palatino Linotype" w:hAnsi="Palatino Linotype" w:cs="Palatino Linotype"/>
        </w:rPr>
      </w:pPr>
      <w:r w:rsidRPr="00BC10FD">
        <w:rPr>
          <w:rFonts w:ascii="Palatino Linotype" w:eastAsia="Palatino Linotype" w:hAnsi="Palatino Linotype" w:cs="Palatino Linotype"/>
        </w:rPr>
        <w:lastRenderedPageBreak/>
        <w:t xml:space="preserve">Oficio número DGDUS/SC/476/2023 del primero de diciembre de dos mil veintitrés, a través del cual el Enlace de Transparencia de la Dirección General de </w:t>
      </w:r>
      <w:r w:rsidR="00903CB5" w:rsidRPr="00BC10FD">
        <w:rPr>
          <w:rFonts w:ascii="Palatino Linotype" w:eastAsia="Palatino Linotype" w:hAnsi="Palatino Linotype" w:cs="Palatino Linotype"/>
        </w:rPr>
        <w:t>Desarrollo Urbano Sustentable</w:t>
      </w:r>
      <w:r w:rsidR="004A5F30" w:rsidRPr="00BC10FD">
        <w:rPr>
          <w:rFonts w:ascii="Palatino Linotype" w:eastAsia="Palatino Linotype" w:hAnsi="Palatino Linotype" w:cs="Palatino Linotype"/>
        </w:rPr>
        <w:t xml:space="preserve"> hace del conocimiento de la Titular de la Unidad de Transparencia que, </w:t>
      </w:r>
      <w:r w:rsidR="005A7B36" w:rsidRPr="00BC10FD">
        <w:rPr>
          <w:rFonts w:ascii="Palatino Linotype" w:eastAsia="Palatino Linotype" w:hAnsi="Palatino Linotype" w:cs="Palatino Linotype"/>
        </w:rPr>
        <w:t xml:space="preserve">una vez visto el contenido de la solicitud de información, de acuerdo a las facultades que tiene conferidas dicha unidad administrativa conforme el artículo 151 del Reglamento Orgánico de la Administración Pública Municipal de Huixquilucan, Estado de México, no cuenta con documento oficial que acredite el número de licencias de construcción otorgadas anualmente; sin embargo, se puede </w:t>
      </w:r>
      <w:proofErr w:type="spellStart"/>
      <w:r w:rsidR="005A7B36" w:rsidRPr="00BC10FD">
        <w:rPr>
          <w:rFonts w:ascii="Palatino Linotype" w:eastAsia="Palatino Linotype" w:hAnsi="Palatino Linotype" w:cs="Palatino Linotype"/>
        </w:rPr>
        <w:t>accesar</w:t>
      </w:r>
      <w:proofErr w:type="spellEnd"/>
      <w:r w:rsidR="005A7B36" w:rsidRPr="00BC10FD">
        <w:rPr>
          <w:rFonts w:ascii="Palatino Linotype" w:eastAsia="Palatino Linotype" w:hAnsi="Palatino Linotype" w:cs="Palatino Linotype"/>
        </w:rPr>
        <w:t xml:space="preserve"> a ellas vía IPOMEX, proporcionando la siguiente liga electrónica: </w:t>
      </w:r>
      <w:hyperlink r:id="rId8" w:history="1">
        <w:r w:rsidR="00F23393" w:rsidRPr="00BC10FD">
          <w:rPr>
            <w:rStyle w:val="Hipervnculo"/>
            <w:rFonts w:ascii="Palatino Linotype" w:eastAsia="Palatino Linotype" w:hAnsi="Palatino Linotype" w:cs="Palatino Linotype"/>
          </w:rPr>
          <w:t>https://ipomex.org.mx/ipo3/lgt/portal.web</w:t>
        </w:r>
      </w:hyperlink>
      <w:r w:rsidR="005A7B36" w:rsidRPr="00BC10FD">
        <w:rPr>
          <w:rFonts w:ascii="Palatino Linotype" w:eastAsia="Palatino Linotype" w:hAnsi="Palatino Linotype" w:cs="Palatino Linotype"/>
        </w:rPr>
        <w:t>.</w:t>
      </w:r>
    </w:p>
    <w:p w14:paraId="15EE4BC0" w14:textId="77777777" w:rsidR="00AD2849" w:rsidRPr="00BC10FD" w:rsidRDefault="00AD2849">
      <w:pPr>
        <w:spacing w:after="0" w:line="360" w:lineRule="auto"/>
        <w:ind w:right="560"/>
        <w:jc w:val="both"/>
        <w:rPr>
          <w:rFonts w:ascii="Palatino Linotype" w:eastAsia="Palatino Linotype" w:hAnsi="Palatino Linotype" w:cs="Palatino Linotype"/>
        </w:rPr>
      </w:pPr>
    </w:p>
    <w:p w14:paraId="71DCB021" w14:textId="77777777" w:rsidR="002447C2" w:rsidRPr="00BC10FD"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color w:val="000000"/>
          <w:sz w:val="24"/>
          <w:szCs w:val="24"/>
        </w:rPr>
        <w:t>Recurso de revisión.</w:t>
      </w:r>
      <w:r w:rsidRPr="00BC10FD">
        <w:rPr>
          <w:rFonts w:ascii="Palatino Linotype" w:eastAsia="Palatino Linotype" w:hAnsi="Palatino Linotype" w:cs="Palatino Linotype"/>
          <w:color w:val="000000"/>
          <w:sz w:val="24"/>
          <w:szCs w:val="24"/>
        </w:rPr>
        <w:t xml:space="preserve"> Derivado de la respuesta del </w:t>
      </w:r>
      <w:r w:rsidRPr="00BC10FD">
        <w:rPr>
          <w:rFonts w:ascii="Palatino Linotype" w:eastAsia="Palatino Linotype" w:hAnsi="Palatino Linotype" w:cs="Palatino Linotype"/>
          <w:b/>
          <w:color w:val="000000"/>
          <w:sz w:val="24"/>
          <w:szCs w:val="24"/>
        </w:rPr>
        <w:t xml:space="preserve">Sujeto Obligado, </w:t>
      </w:r>
      <w:r w:rsidRPr="00BC10FD">
        <w:rPr>
          <w:rFonts w:ascii="Palatino Linotype" w:eastAsia="Palatino Linotype" w:hAnsi="Palatino Linotype" w:cs="Palatino Linotype"/>
          <w:color w:val="000000"/>
          <w:sz w:val="24"/>
          <w:szCs w:val="24"/>
        </w:rPr>
        <w:t xml:space="preserve">la persona solicitante interpuso Recurso de Revisión a través del </w:t>
      </w:r>
      <w:r w:rsidRPr="00BC10FD">
        <w:rPr>
          <w:rFonts w:ascii="Palatino Linotype" w:eastAsia="Palatino Linotype" w:hAnsi="Palatino Linotype" w:cs="Palatino Linotype"/>
          <w:b/>
          <w:color w:val="000000"/>
          <w:sz w:val="24"/>
          <w:szCs w:val="24"/>
        </w:rPr>
        <w:t>SAIMEX</w:t>
      </w:r>
      <w:r w:rsidRPr="00BC10FD">
        <w:rPr>
          <w:rFonts w:ascii="Palatino Linotype" w:eastAsia="Palatino Linotype" w:hAnsi="Palatino Linotype" w:cs="Palatino Linotype"/>
          <w:color w:val="000000"/>
          <w:sz w:val="24"/>
          <w:szCs w:val="24"/>
        </w:rPr>
        <w:t xml:space="preserve"> en fecha </w:t>
      </w:r>
      <w:r w:rsidR="00F23393" w:rsidRPr="00BC10FD">
        <w:rPr>
          <w:rFonts w:ascii="Palatino Linotype" w:eastAsia="Palatino Linotype" w:hAnsi="Palatino Linotype" w:cs="Palatino Linotype"/>
          <w:b/>
          <w:sz w:val="24"/>
          <w:szCs w:val="24"/>
        </w:rPr>
        <w:t>once de diciembre</w:t>
      </w:r>
      <w:r w:rsidR="00B56352" w:rsidRPr="00BC10FD">
        <w:rPr>
          <w:rFonts w:ascii="Palatino Linotype" w:eastAsia="Palatino Linotype" w:hAnsi="Palatino Linotype" w:cs="Palatino Linotype"/>
          <w:b/>
          <w:sz w:val="24"/>
          <w:szCs w:val="24"/>
        </w:rPr>
        <w:t xml:space="preserve"> de dos mil veintitrés</w:t>
      </w:r>
      <w:r w:rsidRPr="00BC10FD">
        <w:rPr>
          <w:rFonts w:ascii="Palatino Linotype" w:eastAsia="Palatino Linotype" w:hAnsi="Palatino Linotype" w:cs="Palatino Linotype"/>
          <w:color w:val="000000"/>
          <w:sz w:val="24"/>
          <w:szCs w:val="24"/>
        </w:rPr>
        <w:t>, a través del cual expresó lo siguiente:</w:t>
      </w:r>
    </w:p>
    <w:p w14:paraId="3A5DE8B6" w14:textId="77777777" w:rsidR="002447C2" w:rsidRPr="00BC10FD"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3FB5585F" w14:textId="77777777" w:rsidR="002447C2" w:rsidRPr="00BC10FD"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sidRPr="00BC10FD">
        <w:rPr>
          <w:rFonts w:ascii="Palatino Linotype" w:eastAsia="Palatino Linotype" w:hAnsi="Palatino Linotype" w:cs="Palatino Linotype"/>
          <w:b/>
          <w:color w:val="000000"/>
          <w:sz w:val="24"/>
          <w:szCs w:val="24"/>
        </w:rPr>
        <w:t xml:space="preserve">Acto impugnado. </w:t>
      </w:r>
      <w:r w:rsidRPr="00BC10FD">
        <w:rPr>
          <w:rFonts w:ascii="Palatino Linotype" w:eastAsia="Palatino Linotype" w:hAnsi="Palatino Linotype" w:cs="Palatino Linotype"/>
          <w:i/>
          <w:color w:val="000000"/>
        </w:rPr>
        <w:t>“</w:t>
      </w:r>
      <w:r w:rsidR="00F23393" w:rsidRPr="00BC10FD">
        <w:rPr>
          <w:rFonts w:ascii="Palatino Linotype" w:eastAsia="Palatino Linotype" w:hAnsi="Palatino Linotype" w:cs="Palatino Linotype"/>
          <w:i/>
          <w:color w:val="000000"/>
        </w:rPr>
        <w:t>NEGATIVA A LA ENTREGA DE INFORMACION RESPECTO AL NUMERO DE LICENCIAS EXPEDIDOS POR EL AYUNTAMIENTO</w:t>
      </w:r>
      <w:r w:rsidRPr="00BC10FD">
        <w:rPr>
          <w:rFonts w:ascii="Palatino Linotype" w:eastAsia="Palatino Linotype" w:hAnsi="Palatino Linotype" w:cs="Palatino Linotype"/>
          <w:i/>
          <w:color w:val="000000"/>
          <w:sz w:val="24"/>
          <w:szCs w:val="24"/>
        </w:rPr>
        <w:t xml:space="preserve">” </w:t>
      </w:r>
      <w:r w:rsidRPr="00BC10FD">
        <w:rPr>
          <w:rFonts w:ascii="Palatino Linotype" w:eastAsia="Palatino Linotype" w:hAnsi="Palatino Linotype" w:cs="Palatino Linotype"/>
          <w:i/>
          <w:color w:val="000000"/>
        </w:rPr>
        <w:t>(Sic)</w:t>
      </w:r>
    </w:p>
    <w:p w14:paraId="2B0C0E94" w14:textId="77777777" w:rsidR="002447C2" w:rsidRPr="00BC10FD"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089803FC" w14:textId="77777777" w:rsidR="002447C2" w:rsidRPr="00BC10FD"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sidRPr="00BC10FD">
        <w:rPr>
          <w:rFonts w:ascii="Palatino Linotype" w:eastAsia="Palatino Linotype" w:hAnsi="Palatino Linotype" w:cs="Palatino Linotype"/>
          <w:b/>
          <w:color w:val="000000"/>
          <w:sz w:val="24"/>
          <w:szCs w:val="24"/>
        </w:rPr>
        <w:t xml:space="preserve">Razones o motivos de la inconformidad: </w:t>
      </w:r>
      <w:r w:rsidRPr="00BC10FD">
        <w:rPr>
          <w:rFonts w:ascii="Palatino Linotype" w:eastAsia="Palatino Linotype" w:hAnsi="Palatino Linotype" w:cs="Palatino Linotype"/>
          <w:i/>
          <w:color w:val="000000"/>
        </w:rPr>
        <w:t>“</w:t>
      </w:r>
      <w:r w:rsidR="00F23393" w:rsidRPr="00BC10FD">
        <w:rPr>
          <w:rFonts w:ascii="Palatino Linotype" w:eastAsia="Palatino Linotype" w:hAnsi="Palatino Linotype" w:cs="Palatino Linotype"/>
          <w:i/>
          <w:color w:val="000000"/>
        </w:rPr>
        <w:t>EL SUJETO OBLIGADO DEBE FORZOSAMENTE GUARDAR RESPALDO DE TODOS LOS DOCUMENTOS EMITIDOS POR ESTE DE ACUERDO A LA LEGISLACION APLICABLE, TODA VEZ QUE RESULTA HILARANTE LA CONTESTACION DE ESTE A LA ENTREGA DE LA DOCUMENTACION SOLICITADA PUESTO QUE DEBE OBRAR EN SUS ARCHIVOS</w:t>
      </w:r>
      <w:r w:rsidRPr="00BC10FD">
        <w:rPr>
          <w:rFonts w:ascii="Palatino Linotype" w:eastAsia="Palatino Linotype" w:hAnsi="Palatino Linotype" w:cs="Palatino Linotype"/>
          <w:i/>
          <w:color w:val="000000"/>
          <w:sz w:val="24"/>
          <w:szCs w:val="24"/>
        </w:rPr>
        <w:t xml:space="preserve">” </w:t>
      </w:r>
      <w:r w:rsidRPr="00BC10FD">
        <w:rPr>
          <w:rFonts w:ascii="Palatino Linotype" w:eastAsia="Palatino Linotype" w:hAnsi="Palatino Linotype" w:cs="Palatino Linotype"/>
          <w:i/>
          <w:color w:val="000000"/>
        </w:rPr>
        <w:t>(Sic)</w:t>
      </w:r>
    </w:p>
    <w:p w14:paraId="4ADD8136" w14:textId="77777777" w:rsidR="002447C2" w:rsidRPr="00BC10FD" w:rsidRDefault="002447C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2EB2C3F8" w14:textId="77777777" w:rsidR="004F53B8" w:rsidRPr="00BC10FD" w:rsidRDefault="004F53B8">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1B14C249" w14:textId="77777777" w:rsidR="002447C2" w:rsidRPr="00BC10FD"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color w:val="000000"/>
          <w:sz w:val="24"/>
          <w:szCs w:val="24"/>
        </w:rPr>
        <w:t>Turno.</w:t>
      </w:r>
      <w:r w:rsidRPr="00BC10FD">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w:t>
      </w:r>
      <w:r w:rsidRPr="00BC10FD">
        <w:rPr>
          <w:rFonts w:ascii="Palatino Linotype" w:eastAsia="Palatino Linotype" w:hAnsi="Palatino Linotype" w:cs="Palatino Linotype"/>
          <w:color w:val="000000"/>
          <w:sz w:val="24"/>
          <w:szCs w:val="24"/>
        </w:rPr>
        <w:lastRenderedPageBreak/>
        <w:t xml:space="preserve">revisión número </w:t>
      </w:r>
      <w:r w:rsidRPr="00BC10FD">
        <w:rPr>
          <w:rFonts w:ascii="Palatino Linotype" w:eastAsia="Palatino Linotype" w:hAnsi="Palatino Linotype" w:cs="Palatino Linotype"/>
          <w:b/>
          <w:color w:val="000000"/>
          <w:sz w:val="24"/>
          <w:szCs w:val="24"/>
        </w:rPr>
        <w:t>0</w:t>
      </w:r>
      <w:r w:rsidR="00F23393" w:rsidRPr="00BC10FD">
        <w:rPr>
          <w:rFonts w:ascii="Palatino Linotype" w:eastAsia="Palatino Linotype" w:hAnsi="Palatino Linotype" w:cs="Palatino Linotype"/>
          <w:b/>
          <w:color w:val="000000"/>
          <w:sz w:val="24"/>
          <w:szCs w:val="24"/>
        </w:rPr>
        <w:t>8469</w:t>
      </w:r>
      <w:r w:rsidRPr="00BC10FD">
        <w:rPr>
          <w:rFonts w:ascii="Palatino Linotype" w:eastAsia="Palatino Linotype" w:hAnsi="Palatino Linotype" w:cs="Palatino Linotype"/>
          <w:b/>
          <w:color w:val="000000"/>
          <w:sz w:val="24"/>
          <w:szCs w:val="24"/>
        </w:rPr>
        <w:t>/INFOEM/IP/RR/2023</w:t>
      </w:r>
      <w:r w:rsidRPr="00BC10FD">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Personales del Estado de México y Municipios, a la </w:t>
      </w:r>
      <w:r w:rsidRPr="00BC10FD">
        <w:rPr>
          <w:rFonts w:ascii="Palatino Linotype" w:eastAsia="Palatino Linotype" w:hAnsi="Palatino Linotype" w:cs="Palatino Linotype"/>
          <w:b/>
          <w:color w:val="000000"/>
          <w:sz w:val="24"/>
          <w:szCs w:val="24"/>
        </w:rPr>
        <w:t>Comisionada Guadalupe Ramírez Peña</w:t>
      </w:r>
      <w:r w:rsidRPr="00BC10FD">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066E1F0C" w14:textId="77777777" w:rsidR="002447C2" w:rsidRPr="00BC10FD"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9A9CF7F" w14:textId="77777777" w:rsidR="002447C2" w:rsidRPr="00BC10FD"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color w:val="000000"/>
          <w:sz w:val="24"/>
          <w:szCs w:val="24"/>
        </w:rPr>
        <w:t>Admisión del recurso de revisión</w:t>
      </w:r>
      <w:r w:rsidRPr="00BC10FD">
        <w:rPr>
          <w:rFonts w:ascii="Palatino Linotype" w:eastAsia="Palatino Linotype" w:hAnsi="Palatino Linotype" w:cs="Palatino Linotype"/>
          <w:color w:val="000000"/>
          <w:sz w:val="24"/>
          <w:szCs w:val="24"/>
        </w:rPr>
        <w:t xml:space="preserve">: En fecha </w:t>
      </w:r>
      <w:r w:rsidR="00F23393" w:rsidRPr="00BC10FD">
        <w:rPr>
          <w:rFonts w:ascii="Palatino Linotype" w:eastAsia="Palatino Linotype" w:hAnsi="Palatino Linotype" w:cs="Palatino Linotype"/>
          <w:b/>
          <w:color w:val="000000"/>
          <w:sz w:val="24"/>
          <w:szCs w:val="24"/>
        </w:rPr>
        <w:t>catorce de diciembre</w:t>
      </w:r>
      <w:r w:rsidRPr="00BC10FD">
        <w:rPr>
          <w:rFonts w:ascii="Palatino Linotype" w:eastAsia="Palatino Linotype" w:hAnsi="Palatino Linotype" w:cs="Palatino Linotype"/>
          <w:b/>
          <w:color w:val="000000"/>
          <w:sz w:val="24"/>
          <w:szCs w:val="24"/>
        </w:rPr>
        <w:t xml:space="preserve"> de dos mil veintitrés</w:t>
      </w:r>
      <w:r w:rsidRPr="00BC10FD">
        <w:rPr>
          <w:rFonts w:ascii="Palatino Linotype" w:eastAsia="Palatino Linotype" w:hAnsi="Palatino Linotype" w:cs="Palatino Linotype"/>
          <w:color w:val="000000"/>
          <w:sz w:val="24"/>
          <w:szCs w:val="24"/>
        </w:rPr>
        <w:t>, la Comisionada Ponente</w:t>
      </w:r>
      <w:r w:rsidR="00FC7EB5" w:rsidRPr="00BC10FD">
        <w:rPr>
          <w:rFonts w:ascii="Palatino Linotype" w:eastAsia="Palatino Linotype" w:hAnsi="Palatino Linotype" w:cs="Palatino Linotype"/>
          <w:color w:val="000000"/>
          <w:sz w:val="24"/>
          <w:szCs w:val="24"/>
        </w:rPr>
        <w:t xml:space="preserve"> admitió a trámite el recurso d</w:t>
      </w:r>
      <w:r w:rsidRPr="00BC10FD">
        <w:rPr>
          <w:rFonts w:ascii="Palatino Linotype" w:eastAsia="Palatino Linotype" w:hAnsi="Palatino Linotype" w:cs="Palatino Linotype"/>
          <w:color w:val="000000"/>
          <w:sz w:val="24"/>
          <w:szCs w:val="24"/>
        </w:rPr>
        <w:t xml:space="preserve"> revisión que ahora se resuelve, dando un plazo máximo de siete días hábiles para que las partes manifestaran lo que a su derecho resultara conveniente, ofrecieran pruebas, formularan alegatos y el </w:t>
      </w:r>
      <w:r w:rsidRPr="00BC10FD">
        <w:rPr>
          <w:rFonts w:ascii="Palatino Linotype" w:eastAsia="Palatino Linotype" w:hAnsi="Palatino Linotype" w:cs="Palatino Linotype"/>
          <w:b/>
          <w:color w:val="000000"/>
          <w:sz w:val="24"/>
          <w:szCs w:val="24"/>
        </w:rPr>
        <w:t>Sujeto Obligado</w:t>
      </w:r>
      <w:r w:rsidRPr="00BC10FD">
        <w:rPr>
          <w:rFonts w:ascii="Palatino Linotype" w:eastAsia="Palatino Linotype" w:hAnsi="Palatino Linotype" w:cs="Palatino Linotype"/>
          <w:color w:val="000000"/>
          <w:sz w:val="24"/>
          <w:szCs w:val="24"/>
        </w:rPr>
        <w:t xml:space="preserve"> presentara su informe justificado. </w:t>
      </w:r>
    </w:p>
    <w:p w14:paraId="128A2790" w14:textId="77777777" w:rsidR="002447C2" w:rsidRPr="00BC10FD"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91C6C6B" w14:textId="77777777" w:rsidR="002447C2" w:rsidRPr="00BC10FD"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color w:val="000000"/>
        </w:rPr>
      </w:pPr>
      <w:r w:rsidRPr="00BC10FD">
        <w:rPr>
          <w:rFonts w:ascii="Palatino Linotype" w:eastAsia="Palatino Linotype" w:hAnsi="Palatino Linotype" w:cs="Palatino Linotype"/>
          <w:b/>
          <w:color w:val="000000"/>
          <w:sz w:val="24"/>
          <w:szCs w:val="24"/>
        </w:rPr>
        <w:t xml:space="preserve">Informe Justificado. </w:t>
      </w:r>
      <w:r w:rsidRPr="00BC10FD">
        <w:rPr>
          <w:rFonts w:ascii="Palatino Linotype" w:eastAsia="Palatino Linotype" w:hAnsi="Palatino Linotype" w:cs="Palatino Linotype"/>
          <w:color w:val="000000"/>
          <w:sz w:val="24"/>
          <w:szCs w:val="24"/>
        </w:rPr>
        <w:t xml:space="preserve">De las constancias que obran en el expediente electrónico </w:t>
      </w:r>
      <w:proofErr w:type="spellStart"/>
      <w:r w:rsidRPr="00BC10FD">
        <w:rPr>
          <w:rFonts w:ascii="Palatino Linotype" w:eastAsia="Palatino Linotype" w:hAnsi="Palatino Linotype" w:cs="Palatino Linotype"/>
          <w:color w:val="000000"/>
          <w:sz w:val="24"/>
          <w:szCs w:val="24"/>
        </w:rPr>
        <w:t>aperturado</w:t>
      </w:r>
      <w:proofErr w:type="spellEnd"/>
      <w:r w:rsidRPr="00BC10FD">
        <w:rPr>
          <w:rFonts w:ascii="Palatino Linotype" w:eastAsia="Palatino Linotype" w:hAnsi="Palatino Linotype" w:cs="Palatino Linotype"/>
          <w:color w:val="000000"/>
          <w:sz w:val="24"/>
          <w:szCs w:val="24"/>
        </w:rPr>
        <w:t xml:space="preserve"> con motivo del presente medio de impugnación, se advierte que durante el periodo de manifestaciones el </w:t>
      </w:r>
      <w:r w:rsidRPr="00BC10FD">
        <w:rPr>
          <w:rFonts w:ascii="Palatino Linotype" w:eastAsia="Palatino Linotype" w:hAnsi="Palatino Linotype" w:cs="Palatino Linotype"/>
          <w:b/>
          <w:color w:val="000000"/>
          <w:sz w:val="24"/>
          <w:szCs w:val="24"/>
        </w:rPr>
        <w:t xml:space="preserve">Sujeto Obligado </w:t>
      </w:r>
      <w:r w:rsidRPr="00BC10FD">
        <w:rPr>
          <w:rFonts w:ascii="Palatino Linotype" w:eastAsia="Palatino Linotype" w:hAnsi="Palatino Linotype" w:cs="Palatino Linotype"/>
          <w:color w:val="000000"/>
          <w:sz w:val="24"/>
          <w:szCs w:val="24"/>
        </w:rPr>
        <w:t>fue omiso en rendir su informe justificado</w:t>
      </w:r>
      <w:r w:rsidR="004F53B8" w:rsidRPr="00BC10FD">
        <w:rPr>
          <w:rFonts w:ascii="Palatino Linotype" w:eastAsia="Palatino Linotype" w:hAnsi="Palatino Linotype" w:cs="Palatino Linotype"/>
          <w:color w:val="000000"/>
          <w:sz w:val="24"/>
          <w:szCs w:val="24"/>
        </w:rPr>
        <w:t xml:space="preserve">, </w:t>
      </w:r>
      <w:r w:rsidR="00FC7EB5" w:rsidRPr="00BC10FD">
        <w:rPr>
          <w:rFonts w:ascii="Palatino Linotype" w:eastAsia="Palatino Linotype" w:hAnsi="Palatino Linotype" w:cs="Palatino Linotype"/>
          <w:color w:val="000000"/>
          <w:sz w:val="24"/>
          <w:szCs w:val="24"/>
        </w:rPr>
        <w:t xml:space="preserve">asimismo la parte </w:t>
      </w:r>
      <w:r w:rsidR="00FC7EB5" w:rsidRPr="00BC10FD">
        <w:rPr>
          <w:rFonts w:ascii="Palatino Linotype" w:eastAsia="Palatino Linotype" w:hAnsi="Palatino Linotype" w:cs="Palatino Linotype"/>
          <w:b/>
          <w:color w:val="000000"/>
          <w:sz w:val="24"/>
          <w:szCs w:val="24"/>
        </w:rPr>
        <w:t xml:space="preserve">Recurrente </w:t>
      </w:r>
      <w:r w:rsidR="00FC7EB5" w:rsidRPr="00BC10FD">
        <w:rPr>
          <w:rFonts w:ascii="Palatino Linotype" w:eastAsia="Palatino Linotype" w:hAnsi="Palatino Linotype" w:cs="Palatino Linotype"/>
          <w:color w:val="000000"/>
          <w:sz w:val="24"/>
          <w:szCs w:val="24"/>
        </w:rPr>
        <w:t xml:space="preserve">fue omisa en rendir manifestaciones que a su derecho resultaran convenientes, </w:t>
      </w:r>
      <w:r w:rsidRPr="00BC10FD">
        <w:rPr>
          <w:rFonts w:ascii="Palatino Linotype" w:eastAsia="Palatino Linotype" w:hAnsi="Palatino Linotype" w:cs="Palatino Linotype"/>
          <w:color w:val="000000"/>
          <w:sz w:val="24"/>
          <w:szCs w:val="24"/>
        </w:rPr>
        <w:t>como se muestra a continuación:</w:t>
      </w:r>
    </w:p>
    <w:p w14:paraId="32782C0C" w14:textId="77777777" w:rsidR="002B3F3D" w:rsidRPr="00BC10FD" w:rsidRDefault="002B3F3D" w:rsidP="002B3F3D">
      <w:pPr>
        <w:pStyle w:val="Prrafodelista"/>
        <w:rPr>
          <w:rFonts w:ascii="Palatino Linotype" w:eastAsia="Palatino Linotype" w:hAnsi="Palatino Linotype" w:cs="Palatino Linotype"/>
          <w:b/>
          <w:color w:val="000000"/>
        </w:rPr>
      </w:pPr>
    </w:p>
    <w:p w14:paraId="473EA6C5" w14:textId="77777777" w:rsidR="002447C2" w:rsidRPr="00BC10FD" w:rsidRDefault="00F23393">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sidRPr="00BC10FD">
        <w:rPr>
          <w:rFonts w:ascii="Palatino Linotype" w:eastAsia="Palatino Linotype" w:hAnsi="Palatino Linotype" w:cs="Palatino Linotype"/>
          <w:b/>
          <w:noProof/>
          <w:color w:val="000000"/>
        </w:rPr>
        <w:drawing>
          <wp:inline distT="0" distB="0" distL="0" distR="0" wp14:anchorId="7449F0B1" wp14:editId="53A3AA97">
            <wp:extent cx="5756275" cy="15500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550035"/>
                    </a:xfrm>
                    <a:prstGeom prst="rect">
                      <a:avLst/>
                    </a:prstGeom>
                  </pic:spPr>
                </pic:pic>
              </a:graphicData>
            </a:graphic>
          </wp:inline>
        </w:drawing>
      </w:r>
      <w:r w:rsidR="004E0CEE" w:rsidRPr="00BC10FD">
        <w:rPr>
          <w:rFonts w:ascii="Palatino Linotype" w:eastAsia="Palatino Linotype" w:hAnsi="Palatino Linotype" w:cs="Palatino Linotype"/>
          <w:b/>
          <w:color w:val="000000"/>
        </w:rPr>
        <w:t xml:space="preserve"> </w:t>
      </w:r>
    </w:p>
    <w:p w14:paraId="4990A84F" w14:textId="77777777" w:rsidR="004F53B8" w:rsidRPr="00BC10FD"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4D95C93F" w14:textId="3323D534" w:rsidR="00286E42" w:rsidRPr="00BC10FD" w:rsidRDefault="004E0CEE" w:rsidP="00286E4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color w:val="000000"/>
          <w:sz w:val="24"/>
          <w:szCs w:val="24"/>
        </w:rPr>
        <w:t>Cierre de instrucción</w:t>
      </w:r>
      <w:r w:rsidRPr="00BC10FD">
        <w:rPr>
          <w:rFonts w:ascii="Palatino Linotype" w:eastAsia="Palatino Linotype" w:hAnsi="Palatino Linotype" w:cs="Palatino Linotype"/>
          <w:color w:val="000000"/>
          <w:sz w:val="24"/>
          <w:szCs w:val="24"/>
        </w:rPr>
        <w:t xml:space="preserve">. En fecha </w:t>
      </w:r>
      <w:r w:rsidR="00286E42" w:rsidRPr="00BC10FD">
        <w:rPr>
          <w:rFonts w:ascii="Palatino Linotype" w:eastAsia="Palatino Linotype" w:hAnsi="Palatino Linotype" w:cs="Palatino Linotype"/>
          <w:b/>
          <w:color w:val="000000"/>
          <w:sz w:val="24"/>
          <w:szCs w:val="24"/>
        </w:rPr>
        <w:t>diecinueve</w:t>
      </w:r>
      <w:r w:rsidR="00FC7EB5" w:rsidRPr="00BC10FD">
        <w:rPr>
          <w:rFonts w:ascii="Palatino Linotype" w:eastAsia="Palatino Linotype" w:hAnsi="Palatino Linotype" w:cs="Palatino Linotype"/>
          <w:b/>
          <w:color w:val="000000"/>
          <w:sz w:val="24"/>
          <w:szCs w:val="24"/>
        </w:rPr>
        <w:t xml:space="preserve"> de </w:t>
      </w:r>
      <w:r w:rsidR="001C133F" w:rsidRPr="00BC10FD">
        <w:rPr>
          <w:rFonts w:ascii="Palatino Linotype" w:eastAsia="Palatino Linotype" w:hAnsi="Palatino Linotype" w:cs="Palatino Linotype"/>
          <w:b/>
          <w:color w:val="000000"/>
          <w:sz w:val="24"/>
          <w:szCs w:val="24"/>
        </w:rPr>
        <w:t xml:space="preserve">enero </w:t>
      </w:r>
      <w:r w:rsidR="00FC7EB5" w:rsidRPr="00BC10FD">
        <w:rPr>
          <w:rFonts w:ascii="Palatino Linotype" w:eastAsia="Palatino Linotype" w:hAnsi="Palatino Linotype" w:cs="Palatino Linotype"/>
          <w:b/>
          <w:color w:val="000000"/>
          <w:sz w:val="24"/>
          <w:szCs w:val="24"/>
        </w:rPr>
        <w:t>de dos mil veinticuatro</w:t>
      </w:r>
      <w:r w:rsidRPr="00BC10FD">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06565AF8" w14:textId="77777777" w:rsidR="00286E42" w:rsidRPr="00BC10FD" w:rsidRDefault="00286E42" w:rsidP="00286E42">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color w:val="000000"/>
          <w:sz w:val="24"/>
          <w:szCs w:val="24"/>
        </w:rPr>
      </w:pPr>
    </w:p>
    <w:p w14:paraId="39EC90D8" w14:textId="4F3511E2" w:rsidR="00286E42" w:rsidRPr="00BC10FD" w:rsidRDefault="00286E42" w:rsidP="00286E42">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8"/>
          <w:szCs w:val="24"/>
        </w:rPr>
      </w:pPr>
      <w:r w:rsidRPr="00BC10FD">
        <w:rPr>
          <w:rFonts w:ascii="Palatino Linotype" w:eastAsia="Palatino Linotype" w:hAnsi="Palatino Linotype" w:cs="Palatino Linotype"/>
          <w:b/>
          <w:sz w:val="24"/>
        </w:rPr>
        <w:t>Ampliación del término para resolver</w:t>
      </w:r>
      <w:r w:rsidRPr="00BC10FD">
        <w:rPr>
          <w:rFonts w:ascii="Palatino Linotype" w:eastAsia="Palatino Linotype" w:hAnsi="Palatino Linotype" w:cs="Palatino Linotype"/>
          <w:sz w:val="24"/>
        </w:rPr>
        <w:t xml:space="preserve">. En fecha </w:t>
      </w:r>
      <w:r w:rsidR="0044048E" w:rsidRPr="00BC10FD">
        <w:rPr>
          <w:rFonts w:ascii="Palatino Linotype" w:eastAsia="Palatino Linotype" w:hAnsi="Palatino Linotype" w:cs="Palatino Linotype"/>
          <w:b/>
          <w:sz w:val="24"/>
        </w:rPr>
        <w:t>dieciséis</w:t>
      </w:r>
      <w:r w:rsidRPr="00BC10FD">
        <w:rPr>
          <w:rFonts w:ascii="Palatino Linotype" w:eastAsia="Palatino Linotype" w:hAnsi="Palatino Linotype" w:cs="Palatino Linotype"/>
          <w:b/>
          <w:sz w:val="24"/>
        </w:rPr>
        <w:t xml:space="preserve"> de febrero dos mil veinticuatro</w:t>
      </w:r>
      <w:r w:rsidRPr="00BC10FD">
        <w:rPr>
          <w:rFonts w:ascii="Palatino Linotype" w:eastAsia="Palatino Linotype" w:hAnsi="Palatino Linotype" w:cs="Palatino Linotype"/>
          <w:sz w:val="24"/>
        </w:rPr>
        <w:t>, se amplió el término para resolver el recurso de revisión en términos del artículo 181 párrafo tercero de la Ley de Transparencia y Acceso a la Información Pública del Estado de México y Municipios.</w:t>
      </w:r>
    </w:p>
    <w:p w14:paraId="437D8383" w14:textId="77777777" w:rsidR="002447C2" w:rsidRPr="00BC10FD" w:rsidRDefault="002447C2" w:rsidP="00286E42">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color w:val="000000"/>
          <w:sz w:val="24"/>
          <w:szCs w:val="24"/>
        </w:rPr>
      </w:pPr>
    </w:p>
    <w:p w14:paraId="412B18A6"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D5D6CE6" w14:textId="77777777" w:rsidR="002447C2" w:rsidRPr="00BC10FD"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427902A" w14:textId="77777777" w:rsidR="002447C2" w:rsidRPr="00BC10FD" w:rsidRDefault="004E0CEE">
      <w:pPr>
        <w:spacing w:after="0" w:line="360" w:lineRule="auto"/>
        <w:ind w:right="49"/>
        <w:jc w:val="center"/>
        <w:rPr>
          <w:rFonts w:ascii="Palatino Linotype" w:eastAsia="Palatino Linotype" w:hAnsi="Palatino Linotype" w:cs="Palatino Linotype"/>
          <w:b/>
          <w:sz w:val="24"/>
          <w:szCs w:val="24"/>
        </w:rPr>
      </w:pPr>
      <w:r w:rsidRPr="00BC10FD">
        <w:rPr>
          <w:rFonts w:ascii="Palatino Linotype" w:eastAsia="Palatino Linotype" w:hAnsi="Palatino Linotype" w:cs="Palatino Linotype"/>
          <w:b/>
          <w:sz w:val="24"/>
          <w:szCs w:val="24"/>
        </w:rPr>
        <w:t>II.</w:t>
      </w:r>
      <w:r w:rsidRPr="00BC10FD">
        <w:rPr>
          <w:rFonts w:ascii="Palatino Linotype" w:eastAsia="Palatino Linotype" w:hAnsi="Palatino Linotype" w:cs="Palatino Linotype"/>
          <w:b/>
          <w:sz w:val="24"/>
          <w:szCs w:val="24"/>
        </w:rPr>
        <w:tab/>
        <w:t>C O N S I D E R A N D O:</w:t>
      </w:r>
    </w:p>
    <w:p w14:paraId="2CD28894" w14:textId="77777777" w:rsidR="002447C2" w:rsidRPr="00BC10FD" w:rsidRDefault="002447C2">
      <w:pPr>
        <w:spacing w:after="0" w:line="360" w:lineRule="auto"/>
        <w:ind w:right="49"/>
        <w:jc w:val="both"/>
        <w:rPr>
          <w:rFonts w:ascii="Palatino Linotype" w:eastAsia="Palatino Linotype" w:hAnsi="Palatino Linotype" w:cs="Palatino Linotype"/>
          <w:sz w:val="24"/>
          <w:szCs w:val="24"/>
        </w:rPr>
      </w:pPr>
    </w:p>
    <w:p w14:paraId="23CE7035"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t>Primero. Competencia.</w:t>
      </w:r>
      <w:r w:rsidRPr="00BC10FD">
        <w:rPr>
          <w:rFonts w:ascii="Palatino Linotype" w:eastAsia="Palatino Linotype" w:hAnsi="Palatino Linotype" w:cs="Palatino Linotype"/>
          <w:sz w:val="24"/>
          <w:szCs w:val="24"/>
        </w:rPr>
        <w:t xml:space="preserve"> </w:t>
      </w:r>
      <w:r w:rsidR="00733E85" w:rsidRPr="00BC10FD">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w:t>
      </w:r>
      <w:r w:rsidR="00733E85" w:rsidRPr="00BC10FD">
        <w:rPr>
          <w:rFonts w:ascii="Palatino Linotype" w:eastAsia="Palatino Linotype" w:hAnsi="Palatino Linotype" w:cs="Palatino Linotype"/>
          <w:sz w:val="24"/>
          <w:szCs w:val="24"/>
        </w:rPr>
        <w:lastRenderedPageBreak/>
        <w:t>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1B35DF2" w14:textId="77777777" w:rsidR="002447C2" w:rsidRPr="00BC10FD" w:rsidRDefault="002447C2">
      <w:pPr>
        <w:spacing w:after="0" w:line="360" w:lineRule="auto"/>
        <w:ind w:right="49"/>
        <w:jc w:val="both"/>
        <w:rPr>
          <w:rFonts w:ascii="Palatino Linotype" w:eastAsia="Palatino Linotype" w:hAnsi="Palatino Linotype" w:cs="Palatino Linotype"/>
          <w:sz w:val="24"/>
          <w:szCs w:val="24"/>
        </w:rPr>
      </w:pPr>
    </w:p>
    <w:p w14:paraId="1927EBB3" w14:textId="77777777" w:rsidR="002447C2" w:rsidRPr="00BC10FD" w:rsidRDefault="004E0CEE" w:rsidP="00733E85">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t>Segundo. Oportunidad y Procedibilidad del Recurso de Revisión</w:t>
      </w:r>
      <w:r w:rsidRPr="00BC10FD">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B8A0340" w14:textId="77777777" w:rsidR="002447C2" w:rsidRPr="00BC10FD" w:rsidRDefault="002447C2" w:rsidP="00733E85">
      <w:pPr>
        <w:spacing w:after="0" w:line="360" w:lineRule="auto"/>
        <w:jc w:val="both"/>
        <w:rPr>
          <w:rFonts w:ascii="Palatino Linotype" w:eastAsia="Palatino Linotype" w:hAnsi="Palatino Linotype" w:cs="Palatino Linotype"/>
        </w:rPr>
      </w:pPr>
    </w:p>
    <w:p w14:paraId="68AB8431" w14:textId="77777777" w:rsidR="00FC7EB5" w:rsidRPr="00BC10FD" w:rsidRDefault="00FC7EB5" w:rsidP="00FC7EB5">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BC10FD">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remitió su respuesta en fecha </w:t>
      </w:r>
      <w:r w:rsidR="00215E3C" w:rsidRPr="00BC10FD">
        <w:rPr>
          <w:rFonts w:ascii="Palatino Linotype" w:eastAsia="Palatino Linotype" w:hAnsi="Palatino Linotype" w:cs="Palatino Linotype"/>
          <w:b/>
          <w:sz w:val="24"/>
          <w:szCs w:val="24"/>
        </w:rPr>
        <w:t>cuatro de diciembre</w:t>
      </w:r>
      <w:r w:rsidRPr="00BC10FD">
        <w:rPr>
          <w:rFonts w:ascii="Palatino Linotype" w:eastAsia="Palatino Linotype" w:hAnsi="Palatino Linotype" w:cs="Palatino Linotype"/>
          <w:b/>
          <w:sz w:val="24"/>
          <w:szCs w:val="24"/>
        </w:rPr>
        <w:t xml:space="preserve"> de dos mil veintitrés</w:t>
      </w:r>
      <w:r w:rsidRPr="00BC10FD">
        <w:rPr>
          <w:rFonts w:ascii="Palatino Linotype" w:eastAsia="Palatino Linotype" w:hAnsi="Palatino Linotype" w:cs="Palatino Linotype"/>
          <w:sz w:val="24"/>
          <w:szCs w:val="24"/>
        </w:rPr>
        <w:t>,</w:t>
      </w:r>
      <w:r w:rsidRPr="00BC10FD">
        <w:rPr>
          <w:rFonts w:ascii="Palatino Linotype" w:eastAsia="Palatino Linotype" w:hAnsi="Palatino Linotype" w:cs="Palatino Linotype"/>
          <w:b/>
          <w:sz w:val="24"/>
          <w:szCs w:val="24"/>
        </w:rPr>
        <w:t xml:space="preserve"> </w:t>
      </w:r>
      <w:r w:rsidRPr="00BC10FD">
        <w:rPr>
          <w:rFonts w:ascii="Palatino Linotype" w:eastAsia="Palatino Linotype" w:hAnsi="Palatino Linotype" w:cs="Palatino Linotype"/>
          <w:sz w:val="24"/>
          <w:szCs w:val="24"/>
        </w:rPr>
        <w:t xml:space="preserve">mientras que el recurso de revisión interpuesto por la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se tuvo por presentado el </w:t>
      </w:r>
      <w:r w:rsidR="00215E3C" w:rsidRPr="00BC10FD">
        <w:rPr>
          <w:rFonts w:ascii="Palatino Linotype" w:eastAsia="Palatino Linotype" w:hAnsi="Palatino Linotype" w:cs="Palatino Linotype"/>
          <w:b/>
          <w:sz w:val="24"/>
          <w:szCs w:val="24"/>
        </w:rPr>
        <w:t xml:space="preserve">once de diciembre </w:t>
      </w:r>
      <w:r w:rsidRPr="00BC10FD">
        <w:rPr>
          <w:rFonts w:ascii="Palatino Linotype" w:eastAsia="Palatino Linotype" w:hAnsi="Palatino Linotype" w:cs="Palatino Linotype"/>
          <w:b/>
          <w:sz w:val="24"/>
          <w:szCs w:val="24"/>
        </w:rPr>
        <w:t>de dos mil veintitrés</w:t>
      </w:r>
      <w:r w:rsidRPr="00BC10FD">
        <w:rPr>
          <w:rFonts w:ascii="Palatino Linotype" w:eastAsia="Palatino Linotype" w:hAnsi="Palatino Linotype" w:cs="Palatino Linotype"/>
          <w:sz w:val="24"/>
          <w:szCs w:val="24"/>
        </w:rPr>
        <w:t xml:space="preserve">, esto es al </w:t>
      </w:r>
      <w:r w:rsidR="00215E3C" w:rsidRPr="00BC10FD">
        <w:rPr>
          <w:rFonts w:ascii="Palatino Linotype" w:eastAsia="Palatino Linotype" w:hAnsi="Palatino Linotype" w:cs="Palatino Linotype"/>
          <w:sz w:val="24"/>
          <w:szCs w:val="24"/>
        </w:rPr>
        <w:t>quinto</w:t>
      </w:r>
      <w:r w:rsidRPr="00BC10FD">
        <w:rPr>
          <w:rFonts w:ascii="Palatino Linotype" w:eastAsia="Palatino Linotype" w:hAnsi="Palatino Linotype" w:cs="Palatino Linotype"/>
          <w:sz w:val="24"/>
          <w:szCs w:val="24"/>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16FB32C1" w14:textId="77777777" w:rsidR="00733E85" w:rsidRPr="00BC10FD" w:rsidRDefault="00733E85" w:rsidP="00733E85">
      <w:pPr>
        <w:spacing w:after="0" w:line="360" w:lineRule="auto"/>
        <w:jc w:val="both"/>
        <w:rPr>
          <w:rFonts w:ascii="Palatino Linotype" w:eastAsia="Palatino Linotype" w:hAnsi="Palatino Linotype" w:cs="Palatino Linotype"/>
          <w:sz w:val="24"/>
          <w:szCs w:val="24"/>
        </w:rPr>
      </w:pPr>
    </w:p>
    <w:p w14:paraId="3DD6DF9E" w14:textId="77777777" w:rsidR="002447C2" w:rsidRPr="00BC10FD" w:rsidRDefault="004E0CEE" w:rsidP="00733E85">
      <w:pPr>
        <w:spacing w:after="0" w:line="360" w:lineRule="auto"/>
        <w:jc w:val="both"/>
        <w:rPr>
          <w:rFonts w:ascii="Palatino Linotype" w:eastAsia="Palatino Linotype" w:hAnsi="Palatino Linotype" w:cs="Palatino Linotype"/>
          <w:b/>
          <w:sz w:val="24"/>
          <w:szCs w:val="24"/>
        </w:rPr>
      </w:pPr>
      <w:r w:rsidRPr="00BC10FD">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w:t>
      </w:r>
      <w:r w:rsidRPr="00BC10FD">
        <w:rPr>
          <w:rFonts w:ascii="Palatino Linotype" w:eastAsia="Palatino Linotype" w:hAnsi="Palatino Linotype" w:cs="Palatino Linotype"/>
          <w:sz w:val="24"/>
          <w:szCs w:val="24"/>
        </w:rPr>
        <w:lastRenderedPageBreak/>
        <w:t xml:space="preserve">de Transparencia y Acceso a la Información Pública del Estado de México y Municipios, en atención a que fue presentado mediante el formato visible en el </w:t>
      </w:r>
      <w:r w:rsidRPr="00BC10FD">
        <w:rPr>
          <w:rFonts w:ascii="Palatino Linotype" w:eastAsia="Palatino Linotype" w:hAnsi="Palatino Linotype" w:cs="Palatino Linotype"/>
          <w:b/>
          <w:sz w:val="24"/>
          <w:szCs w:val="24"/>
        </w:rPr>
        <w:t>SAIMEX.</w:t>
      </w:r>
    </w:p>
    <w:p w14:paraId="774D9181" w14:textId="77777777" w:rsidR="00215E3C" w:rsidRPr="00BC10FD" w:rsidRDefault="00215E3C" w:rsidP="00733E85">
      <w:pPr>
        <w:spacing w:after="0" w:line="360" w:lineRule="auto"/>
        <w:jc w:val="both"/>
        <w:rPr>
          <w:rFonts w:ascii="Palatino Linotype" w:eastAsia="Palatino Linotype" w:hAnsi="Palatino Linotype" w:cs="Palatino Linotype"/>
          <w:b/>
          <w:sz w:val="24"/>
          <w:szCs w:val="24"/>
        </w:rPr>
      </w:pPr>
    </w:p>
    <w:p w14:paraId="75D3EB49" w14:textId="77777777" w:rsidR="00215E3C" w:rsidRPr="00BC10FD" w:rsidRDefault="00215E3C" w:rsidP="00215E3C">
      <w:pPr>
        <w:spacing w:after="0" w:line="360" w:lineRule="auto"/>
        <w:jc w:val="both"/>
        <w:rPr>
          <w:rFonts w:ascii="Palatino Linotype" w:eastAsia="Palatino Linotype" w:hAnsi="Palatino Linotype" w:cs="Palatino Linotype"/>
          <w:color w:val="222222"/>
          <w:sz w:val="24"/>
          <w:szCs w:val="24"/>
        </w:rPr>
      </w:pPr>
      <w:r w:rsidRPr="00BC10FD">
        <w:rPr>
          <w:rFonts w:ascii="Palatino Linotype" w:eastAsia="Palatino Linotype" w:hAnsi="Palatino Linotype" w:cs="Palatino Linotype"/>
          <w:sz w:val="24"/>
          <w:szCs w:val="24"/>
        </w:rPr>
        <w:t>Por otro lado, es de suma importancia mencionar que, si bien la parte</w:t>
      </w:r>
      <w:r w:rsidRPr="00BC10FD">
        <w:rPr>
          <w:rFonts w:ascii="Palatino Linotype" w:eastAsia="Palatino Linotype" w:hAnsi="Palatino Linotype" w:cs="Palatino Linotype"/>
          <w:b/>
          <w:sz w:val="24"/>
          <w:szCs w:val="24"/>
        </w:rPr>
        <w:t xml:space="preserve"> Recurrente</w:t>
      </w:r>
      <w:r w:rsidRPr="00BC10FD">
        <w:rPr>
          <w:rFonts w:ascii="Palatino Linotype" w:eastAsia="Palatino Linotype" w:hAnsi="Palatino Linotype" w:cs="Palatino Linotype"/>
          <w:sz w:val="24"/>
          <w:szCs w:val="24"/>
        </w:rPr>
        <w:t xml:space="preserve"> no proporcionó nombre </w:t>
      </w:r>
      <w:r w:rsidRPr="00BC10FD">
        <w:rPr>
          <w:rFonts w:ascii="Palatino Linotype" w:eastAsia="Palatino Linotype" w:hAnsi="Palatino Linotype" w:cs="Palatino Linotype"/>
          <w:color w:val="222222"/>
          <w:sz w:val="24"/>
          <w:szCs w:val="24"/>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DF63F3C" w14:textId="77777777" w:rsidR="00215E3C" w:rsidRPr="00BC10FD" w:rsidRDefault="00215E3C" w:rsidP="00215E3C">
      <w:pPr>
        <w:spacing w:after="0" w:line="360" w:lineRule="auto"/>
        <w:jc w:val="both"/>
        <w:rPr>
          <w:rFonts w:ascii="Palatino Linotype" w:eastAsia="Palatino Linotype" w:hAnsi="Palatino Linotype" w:cs="Palatino Linotype"/>
          <w:color w:val="222222"/>
          <w:sz w:val="24"/>
          <w:szCs w:val="24"/>
        </w:rPr>
      </w:pPr>
    </w:p>
    <w:p w14:paraId="4AE4DA68" w14:textId="77777777" w:rsidR="00215E3C" w:rsidRPr="00BC10FD" w:rsidRDefault="00215E3C" w:rsidP="00215E3C">
      <w:pPr>
        <w:spacing w:after="0" w:line="276" w:lineRule="auto"/>
        <w:ind w:left="851" w:right="902"/>
        <w:jc w:val="both"/>
        <w:rPr>
          <w:rFonts w:ascii="Palatino Linotype" w:eastAsia="Palatino Linotype" w:hAnsi="Palatino Linotype" w:cs="Palatino Linotype"/>
          <w:color w:val="222222"/>
        </w:rPr>
      </w:pPr>
      <w:r w:rsidRPr="00BC10FD">
        <w:rPr>
          <w:rFonts w:ascii="Palatino Linotype" w:eastAsia="Palatino Linotype" w:hAnsi="Palatino Linotype" w:cs="Palatino Linotype"/>
          <w:i/>
          <w:color w:val="222222"/>
        </w:rPr>
        <w:t>"</w:t>
      </w:r>
      <w:r w:rsidRPr="00BC10FD">
        <w:rPr>
          <w:rFonts w:ascii="Palatino Linotype" w:eastAsia="Palatino Linotype" w:hAnsi="Palatino Linotype" w:cs="Palatino Linotype"/>
          <w:b/>
          <w:i/>
          <w:color w:val="222222"/>
        </w:rPr>
        <w:t>Las solicitudes anónimas,</w:t>
      </w:r>
      <w:r w:rsidRPr="00BC10FD">
        <w:rPr>
          <w:rFonts w:ascii="Palatino Linotype" w:eastAsia="Palatino Linotype" w:hAnsi="Palatino Linotype" w:cs="Palatino Linotype"/>
          <w:i/>
          <w:color w:val="222222"/>
        </w:rPr>
        <w:t xml:space="preserve"> con nombre incompleto o seudónimo </w:t>
      </w:r>
      <w:r w:rsidRPr="00BC10FD">
        <w:rPr>
          <w:rFonts w:ascii="Palatino Linotype" w:eastAsia="Palatino Linotype" w:hAnsi="Palatino Linotype" w:cs="Palatino Linotype"/>
          <w:b/>
          <w:i/>
          <w:color w:val="222222"/>
        </w:rPr>
        <w:t>serán procedentes para su trámite por parte del sujeto obligado ante quien se presente</w:t>
      </w:r>
      <w:r w:rsidRPr="00BC10FD">
        <w:rPr>
          <w:rFonts w:ascii="Palatino Linotype" w:eastAsia="Palatino Linotype" w:hAnsi="Palatino Linotype" w:cs="Palatino Linotype"/>
          <w:i/>
          <w:color w:val="222222"/>
        </w:rPr>
        <w:t>. No podrá requerirse información adicional con motivo del nombre proporcionado por el solicitante."</w:t>
      </w:r>
    </w:p>
    <w:p w14:paraId="489B9A0D" w14:textId="77777777" w:rsidR="00215E3C" w:rsidRPr="00BC10FD" w:rsidRDefault="00215E3C" w:rsidP="00215E3C">
      <w:pPr>
        <w:spacing w:after="0" w:line="360" w:lineRule="auto"/>
        <w:jc w:val="both"/>
        <w:rPr>
          <w:rFonts w:ascii="Palatino Linotype" w:eastAsia="Palatino Linotype" w:hAnsi="Palatino Linotype" w:cs="Palatino Linotype"/>
          <w:b/>
          <w:sz w:val="24"/>
          <w:szCs w:val="24"/>
        </w:rPr>
      </w:pPr>
    </w:p>
    <w:p w14:paraId="1471CF80" w14:textId="77777777" w:rsidR="00215E3C" w:rsidRPr="00BC10FD" w:rsidRDefault="00215E3C" w:rsidP="00215E3C">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6D320EC1" w14:textId="77777777" w:rsidR="00215E3C" w:rsidRPr="00BC10FD" w:rsidRDefault="00215E3C" w:rsidP="00215E3C">
      <w:pPr>
        <w:spacing w:after="0" w:line="360" w:lineRule="auto"/>
        <w:jc w:val="both"/>
        <w:rPr>
          <w:rFonts w:ascii="Palatino Linotype" w:eastAsia="Palatino Linotype" w:hAnsi="Palatino Linotype" w:cs="Palatino Linotype"/>
        </w:rPr>
      </w:pPr>
    </w:p>
    <w:p w14:paraId="346CF73A" w14:textId="77777777" w:rsidR="00215E3C" w:rsidRPr="00BC10FD" w:rsidRDefault="00215E3C" w:rsidP="00215E3C">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Artículo 179.</w:t>
      </w:r>
      <w:r w:rsidRPr="00BC10F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3554250" w14:textId="77777777" w:rsidR="00215E3C" w:rsidRPr="00BC10FD" w:rsidRDefault="00215E3C" w:rsidP="00215E3C">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08DDD387" w14:textId="77777777" w:rsidR="00215E3C" w:rsidRPr="00BC10FD" w:rsidRDefault="00215E3C" w:rsidP="00215E3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rPr>
      </w:pPr>
      <w:r w:rsidRPr="00BC10FD">
        <w:rPr>
          <w:rFonts w:ascii="Palatino Linotype" w:eastAsia="Palatino Linotype" w:hAnsi="Palatino Linotype" w:cs="Palatino Linotype"/>
          <w:b/>
          <w:i/>
          <w:color w:val="000000"/>
        </w:rPr>
        <w:t>I. La negativa a la información solicitada;</w:t>
      </w:r>
    </w:p>
    <w:p w14:paraId="41089B10" w14:textId="77777777" w:rsidR="00215E3C" w:rsidRPr="00BC10FD" w:rsidRDefault="00215E3C" w:rsidP="00215E3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color w:val="000000"/>
        </w:rPr>
        <w:t>[…]</w:t>
      </w:r>
      <w:r w:rsidRPr="00BC10FD">
        <w:rPr>
          <w:rFonts w:ascii="Palatino Linotype" w:eastAsia="Palatino Linotype" w:hAnsi="Palatino Linotype" w:cs="Palatino Linotype"/>
          <w:i/>
        </w:rPr>
        <w:t>”</w:t>
      </w:r>
    </w:p>
    <w:p w14:paraId="0231976C" w14:textId="77777777" w:rsidR="00215E3C" w:rsidRPr="00BC10FD" w:rsidRDefault="00215E3C" w:rsidP="00215E3C">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BC10FD">
        <w:rPr>
          <w:rFonts w:ascii="Palatino Linotype" w:eastAsia="Palatino Linotype" w:hAnsi="Palatino Linotype" w:cs="Palatino Linotype"/>
          <w:i/>
          <w:color w:val="000000"/>
        </w:rPr>
        <w:t>(Énfasis añadido)</w:t>
      </w:r>
    </w:p>
    <w:p w14:paraId="438ABF35" w14:textId="77777777" w:rsidR="002447C2" w:rsidRPr="00BC10FD" w:rsidRDefault="002447C2" w:rsidP="00733E85">
      <w:pPr>
        <w:spacing w:after="0" w:line="360" w:lineRule="auto"/>
        <w:jc w:val="both"/>
        <w:rPr>
          <w:rFonts w:ascii="Palatino Linotype" w:eastAsia="Palatino Linotype" w:hAnsi="Palatino Linotype" w:cs="Palatino Linotype"/>
          <w:b/>
          <w:sz w:val="24"/>
          <w:szCs w:val="24"/>
        </w:rPr>
      </w:pPr>
    </w:p>
    <w:p w14:paraId="3CD63E35" w14:textId="77777777" w:rsidR="002447C2" w:rsidRPr="00BC10FD" w:rsidRDefault="002447C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color w:val="000000"/>
          <w:sz w:val="24"/>
          <w:szCs w:val="24"/>
        </w:rPr>
      </w:pPr>
    </w:p>
    <w:p w14:paraId="021D3B98" w14:textId="77777777" w:rsidR="002447C2" w:rsidRPr="00BC10FD" w:rsidRDefault="004E0CEE">
      <w:pPr>
        <w:spacing w:after="0" w:line="360" w:lineRule="auto"/>
        <w:jc w:val="both"/>
        <w:rPr>
          <w:rFonts w:ascii="Palatino Linotype" w:eastAsia="Palatino Linotype" w:hAnsi="Palatino Linotype" w:cs="Palatino Linotype"/>
          <w:b/>
          <w:sz w:val="24"/>
          <w:szCs w:val="24"/>
        </w:rPr>
      </w:pPr>
      <w:r w:rsidRPr="00BC10FD">
        <w:rPr>
          <w:rFonts w:ascii="Palatino Linotype" w:eastAsia="Palatino Linotype" w:hAnsi="Palatino Linotype" w:cs="Palatino Linotype"/>
          <w:b/>
          <w:sz w:val="24"/>
          <w:szCs w:val="24"/>
        </w:rPr>
        <w:t xml:space="preserve">Tercero. Materia de la revisión. </w:t>
      </w:r>
      <w:r w:rsidRPr="00BC10FD">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BC10FD">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BC10FD">
        <w:rPr>
          <w:rFonts w:ascii="Palatino Linotype" w:eastAsia="Palatino Linotype" w:hAnsi="Palatino Linotype" w:cs="Palatino Linotype"/>
          <w:sz w:val="24"/>
          <w:szCs w:val="24"/>
        </w:rPr>
        <w:t xml:space="preserve"> o en su defecto, en caso de ser procedente, ordenar la entrega de información oportuna.</w:t>
      </w:r>
    </w:p>
    <w:p w14:paraId="3683DC82"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7BAF3A19" w14:textId="77777777" w:rsidR="002447C2" w:rsidRPr="00BC10FD" w:rsidRDefault="004E0CE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b/>
          <w:sz w:val="24"/>
          <w:szCs w:val="24"/>
        </w:rPr>
        <w:t xml:space="preserve">Cuarto. Estudio del asunto. </w:t>
      </w:r>
      <w:r w:rsidRPr="00BC10FD">
        <w:rPr>
          <w:rFonts w:ascii="Palatino Linotype" w:eastAsia="Palatino Linotype" w:hAnsi="Palatino Linotype" w:cs="Palatino Linotype"/>
          <w:color w:val="000000"/>
          <w:sz w:val="24"/>
          <w:szCs w:val="24"/>
        </w:rPr>
        <w:t xml:space="preserve">Antes de entrar al análisis de los pronunciamientos del </w:t>
      </w:r>
      <w:r w:rsidRPr="00BC10FD">
        <w:rPr>
          <w:rFonts w:ascii="Palatino Linotype" w:eastAsia="Palatino Linotype" w:hAnsi="Palatino Linotype" w:cs="Palatino Linotype"/>
          <w:b/>
          <w:color w:val="000000"/>
          <w:sz w:val="24"/>
          <w:szCs w:val="24"/>
        </w:rPr>
        <w:t>Sujeto Obligado</w:t>
      </w:r>
      <w:r w:rsidRPr="00BC10FD">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C54BDE2" w14:textId="77777777" w:rsidR="002447C2" w:rsidRPr="00BC10FD" w:rsidRDefault="002447C2">
      <w:pPr>
        <w:pBdr>
          <w:top w:val="nil"/>
          <w:left w:val="nil"/>
          <w:bottom w:val="nil"/>
          <w:right w:val="nil"/>
          <w:between w:val="nil"/>
        </w:pBdr>
        <w:spacing w:after="0" w:line="360" w:lineRule="auto"/>
        <w:jc w:val="both"/>
        <w:rPr>
          <w:color w:val="000000"/>
        </w:rPr>
      </w:pPr>
    </w:p>
    <w:p w14:paraId="2A0530B0" w14:textId="77777777" w:rsidR="002447C2" w:rsidRPr="00BC10FD" w:rsidRDefault="004E0CEE">
      <w:pPr>
        <w:pBdr>
          <w:top w:val="nil"/>
          <w:left w:val="nil"/>
          <w:bottom w:val="nil"/>
          <w:right w:val="nil"/>
          <w:between w:val="nil"/>
        </w:pBdr>
        <w:spacing w:after="0" w:line="276" w:lineRule="auto"/>
        <w:ind w:left="851" w:right="850"/>
        <w:jc w:val="both"/>
        <w:rPr>
          <w:color w:val="000000"/>
        </w:rPr>
      </w:pPr>
      <w:r w:rsidRPr="00BC10FD">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BC10FD">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2429A283" w14:textId="77777777" w:rsidR="002447C2" w:rsidRPr="00BC10FD" w:rsidRDefault="004E0CEE">
      <w:pPr>
        <w:pBdr>
          <w:top w:val="nil"/>
          <w:left w:val="nil"/>
          <w:bottom w:val="nil"/>
          <w:right w:val="nil"/>
          <w:between w:val="nil"/>
        </w:pBdr>
        <w:spacing w:after="0" w:line="276" w:lineRule="auto"/>
        <w:ind w:left="851" w:right="850"/>
        <w:jc w:val="both"/>
        <w:rPr>
          <w:color w:val="000000"/>
        </w:rPr>
      </w:pPr>
      <w:r w:rsidRPr="00BC10FD">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6C4C3582" w14:textId="77777777" w:rsidR="002447C2" w:rsidRPr="00BC10FD" w:rsidRDefault="004E0CEE">
      <w:pPr>
        <w:pBdr>
          <w:top w:val="nil"/>
          <w:left w:val="nil"/>
          <w:bottom w:val="nil"/>
          <w:right w:val="nil"/>
          <w:between w:val="nil"/>
        </w:pBdr>
        <w:spacing w:after="0" w:line="276" w:lineRule="auto"/>
        <w:ind w:left="851" w:right="850"/>
        <w:jc w:val="both"/>
        <w:rPr>
          <w:color w:val="000000"/>
        </w:rPr>
      </w:pPr>
      <w:r w:rsidRPr="00BC10FD">
        <w:rPr>
          <w:rFonts w:ascii="Palatino Linotype" w:eastAsia="Palatino Linotype" w:hAnsi="Palatino Linotype" w:cs="Palatino Linotype"/>
          <w:b/>
          <w:i/>
          <w:color w:val="000000"/>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BC10FD">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42ADA5BA" w14:textId="77777777" w:rsidR="002447C2" w:rsidRPr="00BC10FD" w:rsidRDefault="004E0CEE">
      <w:pPr>
        <w:pBdr>
          <w:top w:val="nil"/>
          <w:left w:val="nil"/>
          <w:bottom w:val="nil"/>
          <w:right w:val="nil"/>
          <w:between w:val="nil"/>
        </w:pBdr>
        <w:spacing w:after="0" w:line="276" w:lineRule="auto"/>
        <w:ind w:left="851" w:right="850"/>
        <w:jc w:val="both"/>
        <w:rPr>
          <w:color w:val="000000"/>
        </w:rPr>
      </w:pPr>
      <w:r w:rsidRPr="00BC10FD">
        <w:rPr>
          <w:rFonts w:ascii="Palatino Linotype" w:eastAsia="Palatino Linotype" w:hAnsi="Palatino Linotype" w:cs="Palatino Linotype"/>
          <w:i/>
          <w:color w:val="000000"/>
        </w:rPr>
        <w:t>[…]</w:t>
      </w:r>
    </w:p>
    <w:p w14:paraId="1ABBA0D2" w14:textId="77777777" w:rsidR="002447C2" w:rsidRPr="00BC10FD" w:rsidRDefault="004E0CEE">
      <w:pPr>
        <w:pBdr>
          <w:top w:val="nil"/>
          <w:left w:val="nil"/>
          <w:bottom w:val="nil"/>
          <w:right w:val="nil"/>
          <w:between w:val="nil"/>
        </w:pBdr>
        <w:spacing w:after="0" w:line="276" w:lineRule="auto"/>
        <w:ind w:left="851" w:right="901"/>
        <w:jc w:val="both"/>
        <w:rPr>
          <w:color w:val="000000"/>
        </w:rPr>
      </w:pPr>
      <w:r w:rsidRPr="00BC10FD">
        <w:rPr>
          <w:rFonts w:ascii="Palatino Linotype" w:eastAsia="Palatino Linotype" w:hAnsi="Palatino Linotype" w:cs="Palatino Linotype"/>
          <w:b/>
          <w:i/>
          <w:color w:val="000000"/>
        </w:rPr>
        <w:t>“Artículo 6o.</w:t>
      </w:r>
    </w:p>
    <w:p w14:paraId="2B15605F" w14:textId="77777777" w:rsidR="002447C2" w:rsidRPr="00BC10FD" w:rsidRDefault="004E0CEE">
      <w:pPr>
        <w:pBdr>
          <w:top w:val="nil"/>
          <w:left w:val="nil"/>
          <w:bottom w:val="nil"/>
          <w:right w:val="nil"/>
          <w:between w:val="nil"/>
        </w:pBdr>
        <w:spacing w:after="0" w:line="276" w:lineRule="auto"/>
        <w:ind w:left="851" w:right="901"/>
        <w:jc w:val="both"/>
        <w:rPr>
          <w:color w:val="000000"/>
        </w:rPr>
      </w:pPr>
      <w:r w:rsidRPr="00BC10FD">
        <w:rPr>
          <w:rFonts w:ascii="Palatino Linotype" w:eastAsia="Palatino Linotype" w:hAnsi="Palatino Linotype" w:cs="Palatino Linotype"/>
          <w:i/>
          <w:color w:val="000000"/>
        </w:rPr>
        <w:t>[...]</w:t>
      </w:r>
    </w:p>
    <w:p w14:paraId="6E1EEC4F"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b/>
          <w:i/>
          <w:color w:val="000000"/>
        </w:rPr>
        <w:t xml:space="preserve">A. Para el ejercicio del derecho de acceso a la información, la Federación y </w:t>
      </w:r>
      <w:r w:rsidRPr="00BC10FD">
        <w:rPr>
          <w:rFonts w:ascii="Palatino Linotype" w:eastAsia="Palatino Linotype" w:hAnsi="Palatino Linotype" w:cs="Palatino Linotype"/>
          <w:b/>
          <w:i/>
          <w:color w:val="000000"/>
          <w:u w:val="single"/>
        </w:rPr>
        <w:t>las entidades federativas</w:t>
      </w:r>
      <w:r w:rsidRPr="00BC10FD">
        <w:rPr>
          <w:rFonts w:ascii="Palatino Linotype" w:eastAsia="Palatino Linotype" w:hAnsi="Palatino Linotype" w:cs="Palatino Linotype"/>
          <w:b/>
          <w:i/>
          <w:color w:val="000000"/>
        </w:rPr>
        <w:t>,</w:t>
      </w:r>
      <w:r w:rsidRPr="00BC10FD">
        <w:rPr>
          <w:rFonts w:ascii="Palatino Linotype" w:eastAsia="Palatino Linotype" w:hAnsi="Palatino Linotype" w:cs="Palatino Linotype"/>
          <w:i/>
          <w:color w:val="000000"/>
        </w:rPr>
        <w:t xml:space="preserve"> en el ámbito de sus respectivas competencias, se regirán por los siguientes principios y bases:</w:t>
      </w:r>
    </w:p>
    <w:p w14:paraId="335C7DB3"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 xml:space="preserve">I. </w:t>
      </w:r>
      <w:r w:rsidRPr="00BC10FD">
        <w:rPr>
          <w:rFonts w:ascii="Palatino Linotype" w:eastAsia="Palatino Linotype" w:hAnsi="Palatino Linotype" w:cs="Palatino Linotype"/>
          <w:b/>
          <w:i/>
          <w:color w:val="000000"/>
          <w:u w:val="single"/>
        </w:rPr>
        <w:t>Toda la información en posesión de cualquier autoridad, entidad, órgano y organismo de los Poderes</w:t>
      </w:r>
      <w:r w:rsidRPr="00BC10FD">
        <w:rPr>
          <w:rFonts w:ascii="Palatino Linotype" w:eastAsia="Palatino Linotype" w:hAnsi="Palatino Linotype" w:cs="Palatino Linotype"/>
          <w:i/>
          <w:color w:val="000000"/>
        </w:rPr>
        <w:t xml:space="preserve"> Ejecutivo, Legislativo </w:t>
      </w:r>
      <w:r w:rsidRPr="00BC10FD">
        <w:rPr>
          <w:rFonts w:ascii="Palatino Linotype" w:eastAsia="Palatino Linotype" w:hAnsi="Palatino Linotype" w:cs="Palatino Linotype"/>
          <w:b/>
          <w:i/>
          <w:color w:val="000000"/>
          <w:u w:val="single"/>
        </w:rPr>
        <w:t>y Judicial</w:t>
      </w:r>
      <w:r w:rsidRPr="00BC10FD">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C10FD">
        <w:rPr>
          <w:rFonts w:ascii="Palatino Linotype" w:eastAsia="Palatino Linotype" w:hAnsi="Palatino Linotype" w:cs="Palatino Linotype"/>
          <w:b/>
          <w:i/>
          <w:color w:val="000000"/>
        </w:rPr>
        <w:t>es pública y sólo podrá ser reservada temporalmente por razones de interés público y seguridad nacional,</w:t>
      </w:r>
      <w:r w:rsidRPr="00BC10FD">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4EFE30"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377A6030"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 xml:space="preserve">III. </w:t>
      </w:r>
      <w:r w:rsidRPr="00BC10FD">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BC10FD">
        <w:rPr>
          <w:rFonts w:ascii="Palatino Linotype" w:eastAsia="Palatino Linotype" w:hAnsi="Palatino Linotype" w:cs="Palatino Linotype"/>
          <w:i/>
          <w:color w:val="000000"/>
        </w:rPr>
        <w:t xml:space="preserve"> a sus datos personales o a la rectificación de éstos.</w:t>
      </w:r>
    </w:p>
    <w:p w14:paraId="6CC8E8E0"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 xml:space="preserve">IV. </w:t>
      </w:r>
      <w:r w:rsidRPr="00BC10FD">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729AD89A"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b/>
          <w:i/>
          <w:color w:val="000000"/>
        </w:rPr>
        <w:t xml:space="preserve">V. </w:t>
      </w:r>
      <w:r w:rsidRPr="00BC10FD">
        <w:rPr>
          <w:rFonts w:ascii="Palatino Linotype" w:eastAsia="Palatino Linotype" w:hAnsi="Palatino Linotype" w:cs="Palatino Linotype"/>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w:t>
      </w:r>
      <w:r w:rsidRPr="00BC10FD">
        <w:rPr>
          <w:rFonts w:ascii="Palatino Linotype" w:eastAsia="Palatino Linotype" w:hAnsi="Palatino Linotype" w:cs="Palatino Linotype"/>
          <w:i/>
          <w:color w:val="000000"/>
        </w:rPr>
        <w:lastRenderedPageBreak/>
        <w:t>públicos y los indicadores que permitan rendir cuenta del cumplimiento de sus objetivos y de los resultados obtenidos.</w:t>
      </w:r>
    </w:p>
    <w:p w14:paraId="39747645" w14:textId="77777777" w:rsidR="002447C2" w:rsidRPr="00BC10FD" w:rsidRDefault="004E0CEE">
      <w:pPr>
        <w:pBdr>
          <w:top w:val="nil"/>
          <w:left w:val="nil"/>
          <w:bottom w:val="nil"/>
          <w:right w:val="nil"/>
          <w:between w:val="nil"/>
        </w:pBdr>
        <w:spacing w:after="0" w:line="276" w:lineRule="auto"/>
        <w:ind w:left="851" w:right="851"/>
        <w:jc w:val="both"/>
        <w:rPr>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 xml:space="preserve">VI. </w:t>
      </w:r>
      <w:r w:rsidRPr="00BC10FD">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43EA0551" w14:textId="77777777" w:rsidR="002447C2" w:rsidRPr="00BC10FD" w:rsidRDefault="004E0CE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r w:rsidRPr="00BC10FD">
        <w:rPr>
          <w:rFonts w:ascii="Palatino Linotype" w:eastAsia="Palatino Linotype" w:hAnsi="Palatino Linotype" w:cs="Palatino Linotype"/>
          <w:i/>
          <w:color w:val="000000"/>
        </w:rPr>
        <w:t> </w:t>
      </w:r>
      <w:r w:rsidRPr="00BC10FD">
        <w:rPr>
          <w:rFonts w:ascii="Palatino Linotype" w:eastAsia="Palatino Linotype" w:hAnsi="Palatino Linotype" w:cs="Palatino Linotype"/>
          <w:b/>
          <w:i/>
          <w:color w:val="000000"/>
        </w:rPr>
        <w:t xml:space="preserve">VII. </w:t>
      </w:r>
      <w:r w:rsidRPr="00BC10FD">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03DABC83" w14:textId="77777777" w:rsidR="002447C2" w:rsidRPr="00BC10FD" w:rsidRDefault="002447C2">
      <w:pPr>
        <w:pBdr>
          <w:top w:val="nil"/>
          <w:left w:val="nil"/>
          <w:bottom w:val="nil"/>
          <w:right w:val="nil"/>
          <w:between w:val="nil"/>
        </w:pBdr>
        <w:spacing w:after="0" w:line="276" w:lineRule="auto"/>
        <w:ind w:left="851" w:right="851"/>
        <w:jc w:val="both"/>
        <w:rPr>
          <w:color w:val="000000"/>
        </w:rPr>
      </w:pPr>
    </w:p>
    <w:p w14:paraId="797E9706" w14:textId="77777777" w:rsidR="002447C2" w:rsidRPr="00BC10FD" w:rsidRDefault="004E0CE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BC10FD">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874AC2E" w14:textId="77777777" w:rsidR="002447C2" w:rsidRPr="00BC10FD" w:rsidRDefault="002447C2">
      <w:pPr>
        <w:pBdr>
          <w:top w:val="nil"/>
          <w:left w:val="nil"/>
          <w:bottom w:val="nil"/>
          <w:right w:val="nil"/>
          <w:between w:val="nil"/>
        </w:pBdr>
        <w:spacing w:after="0" w:line="360" w:lineRule="auto"/>
        <w:jc w:val="both"/>
        <w:rPr>
          <w:color w:val="000000"/>
          <w:sz w:val="24"/>
          <w:szCs w:val="24"/>
        </w:rPr>
      </w:pPr>
    </w:p>
    <w:p w14:paraId="7EFE22DE" w14:textId="77777777" w:rsidR="002447C2" w:rsidRPr="00BC10FD" w:rsidRDefault="004E0CEE">
      <w:pPr>
        <w:spacing w:after="0" w:line="276"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Artículo 4</w:t>
      </w:r>
      <w:r w:rsidRPr="00BC10FD">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68CADC2" w14:textId="77777777" w:rsidR="002447C2" w:rsidRPr="00BC10FD" w:rsidRDefault="002447C2">
      <w:pPr>
        <w:spacing w:after="0" w:line="276" w:lineRule="auto"/>
        <w:ind w:left="567" w:right="616"/>
        <w:jc w:val="both"/>
        <w:rPr>
          <w:rFonts w:ascii="Palatino Linotype" w:eastAsia="Palatino Linotype" w:hAnsi="Palatino Linotype" w:cs="Palatino Linotype"/>
          <w:i/>
        </w:rPr>
      </w:pPr>
    </w:p>
    <w:p w14:paraId="0DF2E949" w14:textId="77777777" w:rsidR="002447C2" w:rsidRPr="00BC10FD" w:rsidRDefault="004E0CEE">
      <w:pPr>
        <w:spacing w:after="0" w:line="276"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C10FD">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w:t>
      </w:r>
      <w:r w:rsidRPr="00BC10FD">
        <w:rPr>
          <w:rFonts w:ascii="Palatino Linotype" w:eastAsia="Palatino Linotype" w:hAnsi="Palatino Linotype" w:cs="Palatino Linotype"/>
          <w:i/>
        </w:rPr>
        <w:lastRenderedPageBreak/>
        <w:t>como reservada temporalmente por razones de interés público, en los términos de las causas legítimas y estrictamente necesarias previstas por esta Ley.</w:t>
      </w:r>
    </w:p>
    <w:p w14:paraId="3AEC4819" w14:textId="77777777" w:rsidR="002447C2" w:rsidRPr="00BC10FD" w:rsidRDefault="002447C2">
      <w:pPr>
        <w:spacing w:after="0" w:line="276" w:lineRule="auto"/>
        <w:ind w:left="567" w:right="616"/>
        <w:jc w:val="both"/>
        <w:rPr>
          <w:rFonts w:ascii="Palatino Linotype" w:eastAsia="Palatino Linotype" w:hAnsi="Palatino Linotype" w:cs="Palatino Linotype"/>
          <w:i/>
        </w:rPr>
      </w:pPr>
    </w:p>
    <w:p w14:paraId="1596B1DD" w14:textId="77777777" w:rsidR="002447C2" w:rsidRPr="00BC10FD" w:rsidRDefault="004E0CEE">
      <w:pPr>
        <w:spacing w:after="0" w:line="276"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C10FD">
        <w:rPr>
          <w:rFonts w:ascii="Palatino Linotype" w:eastAsia="Palatino Linotype" w:hAnsi="Palatino Linotype" w:cs="Palatino Linotype"/>
          <w:i/>
        </w:rPr>
        <w:t>.”</w:t>
      </w:r>
    </w:p>
    <w:p w14:paraId="51322966" w14:textId="77777777" w:rsidR="002447C2" w:rsidRPr="00BC10FD" w:rsidRDefault="002447C2">
      <w:pPr>
        <w:spacing w:after="0" w:line="360" w:lineRule="auto"/>
        <w:jc w:val="both"/>
        <w:rPr>
          <w:rFonts w:ascii="Palatino Linotype" w:eastAsia="Palatino Linotype" w:hAnsi="Palatino Linotype" w:cs="Palatino Linotype"/>
        </w:rPr>
      </w:pPr>
    </w:p>
    <w:p w14:paraId="0C6B1E27"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4706775"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673DAA33"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b/>
          <w:i/>
        </w:rPr>
        <w:t>“Artículo 12.-</w:t>
      </w:r>
      <w:r w:rsidRPr="00BC10F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3B7574B" w14:textId="77777777" w:rsidR="002447C2" w:rsidRPr="00BC10FD" w:rsidRDefault="002447C2">
      <w:pPr>
        <w:spacing w:after="0" w:line="240" w:lineRule="auto"/>
        <w:ind w:left="567" w:right="616"/>
        <w:jc w:val="both"/>
        <w:rPr>
          <w:rFonts w:ascii="Palatino Linotype" w:eastAsia="Palatino Linotype" w:hAnsi="Palatino Linotype" w:cs="Palatino Linotype"/>
          <w:i/>
        </w:rPr>
      </w:pPr>
    </w:p>
    <w:p w14:paraId="6B9CC03F" w14:textId="77777777" w:rsidR="002447C2" w:rsidRPr="00BC10FD" w:rsidRDefault="004E0CEE">
      <w:pPr>
        <w:spacing w:after="0" w:line="240" w:lineRule="auto"/>
        <w:ind w:left="567" w:right="616"/>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C10FD">
        <w:rPr>
          <w:rFonts w:ascii="Palatino Linotype" w:eastAsia="Palatino Linotype" w:hAnsi="Palatino Linotype" w:cs="Palatino Linotype"/>
          <w:i/>
        </w:rPr>
        <w:t xml:space="preserve">. </w:t>
      </w:r>
      <w:r w:rsidRPr="00BC10FD">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7880F38" w14:textId="77777777" w:rsidR="002447C2" w:rsidRPr="00BC10FD" w:rsidRDefault="002447C2">
      <w:pPr>
        <w:spacing w:after="0" w:line="360" w:lineRule="auto"/>
        <w:ind w:left="567" w:right="616"/>
        <w:jc w:val="both"/>
        <w:rPr>
          <w:rFonts w:ascii="Palatino Linotype" w:eastAsia="Palatino Linotype" w:hAnsi="Palatino Linotype" w:cs="Palatino Linotype"/>
          <w:i/>
          <w:sz w:val="24"/>
          <w:szCs w:val="24"/>
        </w:rPr>
      </w:pPr>
    </w:p>
    <w:p w14:paraId="39BCCB8F" w14:textId="77777777" w:rsidR="002447C2" w:rsidRPr="00BC10FD" w:rsidRDefault="004E0CEE">
      <w:pPr>
        <w:spacing w:after="0" w:line="360" w:lineRule="auto"/>
        <w:ind w:right="-93"/>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w:t>
      </w:r>
      <w:r w:rsidRPr="00BC10FD">
        <w:rPr>
          <w:rFonts w:ascii="Palatino Linotype" w:eastAsia="Palatino Linotype" w:hAnsi="Palatino Linotype" w:cs="Palatino Linotype"/>
          <w:sz w:val="24"/>
          <w:szCs w:val="24"/>
        </w:rPr>
        <w:lastRenderedPageBreak/>
        <w:t>que tengan en su poder en el estado que se encuentran, sin necesidad de concretarse al interés o términos específicos del solicitante.</w:t>
      </w:r>
    </w:p>
    <w:p w14:paraId="1AD9FC4D" w14:textId="77777777" w:rsidR="002447C2" w:rsidRPr="00BC10FD" w:rsidRDefault="002447C2">
      <w:pPr>
        <w:spacing w:after="0" w:line="360" w:lineRule="auto"/>
        <w:ind w:right="-93"/>
        <w:jc w:val="both"/>
        <w:rPr>
          <w:rFonts w:ascii="Palatino Linotype" w:eastAsia="Palatino Linotype" w:hAnsi="Palatino Linotype" w:cs="Palatino Linotype"/>
          <w:sz w:val="24"/>
          <w:szCs w:val="24"/>
        </w:rPr>
      </w:pPr>
    </w:p>
    <w:p w14:paraId="37B0D729" w14:textId="77777777" w:rsidR="002447C2" w:rsidRPr="00BC10FD" w:rsidRDefault="004E0CEE">
      <w:pPr>
        <w:spacing w:after="0" w:line="360" w:lineRule="auto"/>
        <w:jc w:val="both"/>
        <w:rPr>
          <w:rFonts w:ascii="Palatino Linotype" w:eastAsia="Palatino Linotype" w:hAnsi="Palatino Linotype" w:cs="Palatino Linotype"/>
          <w:b/>
          <w:sz w:val="24"/>
          <w:szCs w:val="24"/>
        </w:rPr>
      </w:pPr>
      <w:r w:rsidRPr="00BC10FD">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BC10FD">
        <w:rPr>
          <w:rFonts w:ascii="Palatino Linotype" w:eastAsia="Palatino Linotype" w:hAnsi="Palatino Linotype" w:cs="Palatino Linotype"/>
          <w:b/>
          <w:sz w:val="24"/>
          <w:szCs w:val="24"/>
        </w:rPr>
        <w:t xml:space="preserve"> </w:t>
      </w:r>
    </w:p>
    <w:p w14:paraId="163B1AC9" w14:textId="77777777" w:rsidR="002447C2" w:rsidRPr="00BC10FD" w:rsidRDefault="002447C2">
      <w:pPr>
        <w:spacing w:after="0" w:line="360" w:lineRule="auto"/>
        <w:jc w:val="both"/>
        <w:rPr>
          <w:rFonts w:ascii="Palatino Linotype" w:eastAsia="Palatino Linotype" w:hAnsi="Palatino Linotype" w:cs="Palatino Linotype"/>
          <w:b/>
          <w:sz w:val="24"/>
          <w:szCs w:val="24"/>
        </w:rPr>
      </w:pPr>
    </w:p>
    <w:p w14:paraId="747F5128"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No existe obligación de elaborar documentos ad hoc para atender las solicitudes de acceso a la información.</w:t>
      </w:r>
      <w:r w:rsidRPr="00BC10FD">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35957F4" w14:textId="77777777" w:rsidR="002447C2" w:rsidRPr="00BC10FD" w:rsidRDefault="002447C2">
      <w:pPr>
        <w:spacing w:after="0" w:line="360" w:lineRule="auto"/>
        <w:ind w:right="-93"/>
        <w:jc w:val="both"/>
        <w:rPr>
          <w:rFonts w:ascii="Palatino Linotype" w:eastAsia="Palatino Linotype" w:hAnsi="Palatino Linotype" w:cs="Palatino Linotype"/>
        </w:rPr>
      </w:pPr>
    </w:p>
    <w:p w14:paraId="258FFF30"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3D9C39" w14:textId="77777777" w:rsidR="002447C2" w:rsidRPr="00BC10FD" w:rsidRDefault="002447C2">
      <w:pPr>
        <w:spacing w:after="0" w:line="360" w:lineRule="auto"/>
        <w:jc w:val="both"/>
        <w:rPr>
          <w:rFonts w:ascii="Palatino Linotype" w:eastAsia="Palatino Linotype" w:hAnsi="Palatino Linotype" w:cs="Palatino Linotype"/>
        </w:rPr>
      </w:pPr>
    </w:p>
    <w:p w14:paraId="769EEAA1" w14:textId="77777777" w:rsidR="002447C2" w:rsidRPr="00BC10FD" w:rsidRDefault="004E0CEE">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w:t>
      </w:r>
      <w:r w:rsidRPr="00BC10FD">
        <w:rPr>
          <w:rFonts w:ascii="Palatino Linotype" w:eastAsia="Palatino Linotype" w:hAnsi="Palatino Linotype" w:cs="Palatino Linotype"/>
          <w:sz w:val="24"/>
          <w:szCs w:val="24"/>
        </w:rPr>
        <w:lastRenderedPageBreak/>
        <w:t>clasificatorio del comité de transparencia y la versión pública que emita el servidor público habilitado de cada Sujeto Obligado; como así se establece en la Ley de Transparencia y Acceso a la Información Pública del Estado de México y Municipios.</w:t>
      </w:r>
    </w:p>
    <w:p w14:paraId="499C1DF8" w14:textId="77777777" w:rsidR="002447C2" w:rsidRPr="00BC10FD" w:rsidRDefault="002447C2">
      <w:pPr>
        <w:spacing w:after="0" w:line="360" w:lineRule="auto"/>
        <w:ind w:right="49"/>
        <w:jc w:val="both"/>
        <w:rPr>
          <w:rFonts w:ascii="Palatino Linotype" w:eastAsia="Palatino Linotype" w:hAnsi="Palatino Linotype" w:cs="Palatino Linotype"/>
          <w:sz w:val="24"/>
          <w:szCs w:val="24"/>
        </w:rPr>
      </w:pPr>
    </w:p>
    <w:p w14:paraId="05369A20"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C367BD" w14:textId="77777777" w:rsidR="003A1A41" w:rsidRPr="00BC10FD" w:rsidRDefault="003A1A41">
      <w:pPr>
        <w:spacing w:after="0" w:line="360" w:lineRule="auto"/>
        <w:jc w:val="both"/>
        <w:rPr>
          <w:rFonts w:ascii="Palatino Linotype" w:eastAsia="Palatino Linotype" w:hAnsi="Palatino Linotype" w:cs="Palatino Linotype"/>
          <w:sz w:val="24"/>
          <w:szCs w:val="24"/>
        </w:rPr>
      </w:pPr>
    </w:p>
    <w:p w14:paraId="556F7448"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 xml:space="preserve">Artículo 3. </w:t>
      </w:r>
      <w:r w:rsidRPr="00BC10FD">
        <w:rPr>
          <w:rFonts w:ascii="Palatino Linotype" w:eastAsia="Palatino Linotype" w:hAnsi="Palatino Linotype" w:cs="Palatino Linotype"/>
          <w:i/>
        </w:rPr>
        <w:t>Para los efectos de la presente Ley se entenderá por:</w:t>
      </w:r>
    </w:p>
    <w:p w14:paraId="2FCCD7F5"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608597C3"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b/>
          <w:i/>
        </w:rPr>
        <w:t>XI. Documento:</w:t>
      </w:r>
      <w:r w:rsidRPr="00BC10FD">
        <w:rPr>
          <w:rFonts w:ascii="Palatino Linotype" w:eastAsia="Palatino Linotype" w:hAnsi="Palatino Linotype" w:cs="Palatino Linotype"/>
          <w:i/>
        </w:rPr>
        <w:t xml:space="preserve"> Los expedientes, reportes, estudios, actas</w:t>
      </w:r>
      <w:r w:rsidRPr="00BC10FD">
        <w:rPr>
          <w:rFonts w:ascii="Palatino Linotype" w:eastAsia="Palatino Linotype" w:hAnsi="Palatino Linotype" w:cs="Palatino Linotype"/>
          <w:b/>
          <w:i/>
        </w:rPr>
        <w:t>,</w:t>
      </w:r>
      <w:r w:rsidRPr="00BC10FD">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01BF1CE" w14:textId="77777777" w:rsidR="002447C2" w:rsidRPr="00BC10FD" w:rsidRDefault="002447C2">
      <w:pPr>
        <w:spacing w:after="0" w:line="360" w:lineRule="auto"/>
        <w:ind w:left="851" w:right="899"/>
        <w:jc w:val="both"/>
        <w:rPr>
          <w:rFonts w:ascii="Palatino Linotype" w:eastAsia="Palatino Linotype" w:hAnsi="Palatino Linotype" w:cs="Palatino Linotype"/>
          <w:sz w:val="24"/>
          <w:szCs w:val="24"/>
        </w:rPr>
      </w:pPr>
    </w:p>
    <w:p w14:paraId="4B1816C5"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BC10FD">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762E607A"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6C381989" w14:textId="77777777" w:rsidR="002447C2" w:rsidRPr="00BC10FD" w:rsidRDefault="004E0CEE">
      <w:pPr>
        <w:spacing w:after="0" w:line="240" w:lineRule="auto"/>
        <w:ind w:left="567" w:right="616"/>
        <w:jc w:val="both"/>
        <w:rPr>
          <w:rFonts w:ascii="Palatino Linotype" w:eastAsia="Palatino Linotype" w:hAnsi="Palatino Linotype" w:cs="Palatino Linotype"/>
          <w:b/>
          <w:i/>
        </w:rPr>
      </w:pPr>
      <w:r w:rsidRPr="00BC10FD">
        <w:rPr>
          <w:rFonts w:ascii="Palatino Linotype" w:eastAsia="Palatino Linotype" w:hAnsi="Palatino Linotype" w:cs="Palatino Linotype"/>
          <w:b/>
        </w:rPr>
        <w:t>“</w:t>
      </w:r>
      <w:r w:rsidRPr="00BC10FD">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C10F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38884B"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En </w:t>
      </w:r>
      <w:proofErr w:type="gramStart"/>
      <w:r w:rsidRPr="00BC10FD">
        <w:rPr>
          <w:rFonts w:ascii="Palatino Linotype" w:eastAsia="Palatino Linotype" w:hAnsi="Palatino Linotype" w:cs="Palatino Linotype"/>
          <w:i/>
        </w:rPr>
        <w:t>consecuencia</w:t>
      </w:r>
      <w:proofErr w:type="gramEnd"/>
      <w:r w:rsidRPr="00BC10FD">
        <w:rPr>
          <w:rFonts w:ascii="Palatino Linotype" w:eastAsia="Palatino Linotype" w:hAnsi="Palatino Linotype" w:cs="Palatino Linotype"/>
          <w:i/>
        </w:rPr>
        <w:t xml:space="preserve"> el acceso a la información se refiere a que se cumplan cualquiera de los siguientes tres supuestos:</w:t>
      </w:r>
    </w:p>
    <w:p w14:paraId="76D171E5" w14:textId="77777777" w:rsidR="002447C2" w:rsidRPr="00BC10FD" w:rsidRDefault="004E0CEE">
      <w:pPr>
        <w:spacing w:after="0" w:line="240" w:lineRule="auto"/>
        <w:ind w:left="567" w:right="616"/>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1) Que se trate de información registrada en cualquier soporte documental, </w:t>
      </w:r>
      <w:proofErr w:type="gramStart"/>
      <w:r w:rsidRPr="00BC10FD">
        <w:rPr>
          <w:rFonts w:ascii="Palatino Linotype" w:eastAsia="Palatino Linotype" w:hAnsi="Palatino Linotype" w:cs="Palatino Linotype"/>
          <w:i/>
        </w:rPr>
        <w:t>que</w:t>
      </w:r>
      <w:proofErr w:type="gramEnd"/>
      <w:r w:rsidRPr="00BC10FD">
        <w:rPr>
          <w:rFonts w:ascii="Palatino Linotype" w:eastAsia="Palatino Linotype" w:hAnsi="Palatino Linotype" w:cs="Palatino Linotype"/>
          <w:i/>
        </w:rPr>
        <w:t xml:space="preserve"> en ejercicio de las atribuciones conferidas, sea generada por los Sujetos Obligados;</w:t>
      </w:r>
    </w:p>
    <w:p w14:paraId="5C0B576D" w14:textId="77777777" w:rsidR="002447C2" w:rsidRPr="00BC10FD" w:rsidRDefault="004E0CEE">
      <w:pPr>
        <w:spacing w:after="0" w:line="240" w:lineRule="auto"/>
        <w:ind w:left="567" w:right="616"/>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t xml:space="preserve">2) Que se trate de información registrada en cualquier soporte documental, </w:t>
      </w:r>
      <w:proofErr w:type="gramStart"/>
      <w:r w:rsidRPr="00BC10FD">
        <w:rPr>
          <w:rFonts w:ascii="Palatino Linotype" w:eastAsia="Palatino Linotype" w:hAnsi="Palatino Linotype" w:cs="Palatino Linotype"/>
          <w:b/>
          <w:i/>
        </w:rPr>
        <w:t>que</w:t>
      </w:r>
      <w:proofErr w:type="gramEnd"/>
      <w:r w:rsidRPr="00BC10FD">
        <w:rPr>
          <w:rFonts w:ascii="Palatino Linotype" w:eastAsia="Palatino Linotype" w:hAnsi="Palatino Linotype" w:cs="Palatino Linotype"/>
          <w:b/>
          <w:i/>
        </w:rPr>
        <w:t xml:space="preserve"> en ejercicio de las atribuciones conferidas, sea administrada por los Sujetos Obligados, y</w:t>
      </w:r>
    </w:p>
    <w:p w14:paraId="3A25C68B" w14:textId="77777777" w:rsidR="002447C2" w:rsidRPr="00BC10FD" w:rsidRDefault="004E0CEE">
      <w:pPr>
        <w:spacing w:after="0" w:line="240" w:lineRule="auto"/>
        <w:ind w:left="567" w:right="616"/>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t xml:space="preserve">3) Que se trate de información registrada en cualquier soporte documental, </w:t>
      </w:r>
      <w:proofErr w:type="gramStart"/>
      <w:r w:rsidRPr="00BC10FD">
        <w:rPr>
          <w:rFonts w:ascii="Palatino Linotype" w:eastAsia="Palatino Linotype" w:hAnsi="Palatino Linotype" w:cs="Palatino Linotype"/>
          <w:b/>
          <w:i/>
        </w:rPr>
        <w:t>que</w:t>
      </w:r>
      <w:proofErr w:type="gramEnd"/>
      <w:r w:rsidRPr="00BC10FD">
        <w:rPr>
          <w:rFonts w:ascii="Palatino Linotype" w:eastAsia="Palatino Linotype" w:hAnsi="Palatino Linotype" w:cs="Palatino Linotype"/>
          <w:b/>
          <w:i/>
        </w:rPr>
        <w:t xml:space="preserve"> en ejercicio de las atribuciones conferidas, se encuentre en posesión de los Sujetos Obligados.” </w:t>
      </w:r>
    </w:p>
    <w:p w14:paraId="563E8315" w14:textId="77777777" w:rsidR="002447C2" w:rsidRPr="00BC10FD" w:rsidRDefault="002447C2">
      <w:pPr>
        <w:spacing w:after="0" w:line="276" w:lineRule="auto"/>
        <w:ind w:left="567" w:right="616"/>
        <w:jc w:val="both"/>
        <w:rPr>
          <w:rFonts w:ascii="Palatino Linotype" w:eastAsia="Palatino Linotype" w:hAnsi="Palatino Linotype" w:cs="Palatino Linotype"/>
          <w:b/>
          <w:i/>
        </w:rPr>
      </w:pPr>
    </w:p>
    <w:p w14:paraId="3737AC7F"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De ahí que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C10FD">
        <w:rPr>
          <w:rFonts w:ascii="Palatino Linotype" w:eastAsia="Palatino Linotype" w:hAnsi="Palatino Linotype" w:cs="Palatino Linotype"/>
          <w:sz w:val="24"/>
          <w:szCs w:val="24"/>
          <w:vertAlign w:val="superscript"/>
        </w:rPr>
        <w:footnoteReference w:id="1"/>
      </w:r>
      <w:r w:rsidRPr="00BC10FD">
        <w:rPr>
          <w:rFonts w:ascii="Palatino Linotype" w:eastAsia="Palatino Linotype" w:hAnsi="Palatino Linotype" w:cs="Palatino Linotype"/>
          <w:sz w:val="24"/>
          <w:szCs w:val="24"/>
        </w:rPr>
        <w:t xml:space="preserve">, así como de interés público, es decir, aquella que </w:t>
      </w:r>
      <w:r w:rsidRPr="00BC10FD">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BC10FD">
        <w:rPr>
          <w:rFonts w:ascii="Palatino Linotype" w:eastAsia="Palatino Linotype" w:hAnsi="Palatino Linotype" w:cs="Palatino Linotype"/>
          <w:sz w:val="24"/>
          <w:szCs w:val="24"/>
          <w:vertAlign w:val="superscript"/>
        </w:rPr>
        <w:footnoteReference w:id="2"/>
      </w:r>
      <w:r w:rsidRPr="00BC10FD">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6DE1653E"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7AF5E4F2" w14:textId="77777777" w:rsidR="002447C2" w:rsidRPr="00BC10FD" w:rsidRDefault="004E0CEE">
      <w:pPr>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BC10FD">
        <w:rPr>
          <w:rFonts w:ascii="Palatino Linotype" w:eastAsia="Palatino Linotype" w:hAnsi="Palatino Linotype" w:cs="Palatino Linotype"/>
          <w:b/>
          <w:color w:val="000000"/>
          <w:sz w:val="24"/>
          <w:szCs w:val="24"/>
        </w:rPr>
        <w:t>De la solicitud de información y respuesta del Sujeto Obligado:</w:t>
      </w:r>
    </w:p>
    <w:p w14:paraId="465D07A2" w14:textId="77777777" w:rsidR="002447C2" w:rsidRPr="00BC10FD"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79FAA518" w14:textId="77777777" w:rsidR="002447C2" w:rsidRPr="00BC10FD" w:rsidRDefault="004E0CE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Dicho lo anterior, en el caso se analizará el agravio hecho valer por la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que actualiza la causal de proce</w:t>
      </w:r>
      <w:r w:rsidR="00E14806" w:rsidRPr="00BC10FD">
        <w:rPr>
          <w:rFonts w:ascii="Palatino Linotype" w:eastAsia="Palatino Linotype" w:hAnsi="Palatino Linotype" w:cs="Palatino Linotype"/>
          <w:sz w:val="24"/>
          <w:szCs w:val="24"/>
        </w:rPr>
        <w:t>dencia prevista en la fracción I</w:t>
      </w:r>
      <w:r w:rsidRPr="00BC10FD">
        <w:rPr>
          <w:rFonts w:ascii="Palatino Linotype" w:eastAsia="Palatino Linotype" w:hAnsi="Palatino Linotype" w:cs="Palatino Linotype"/>
          <w:sz w:val="24"/>
          <w:szCs w:val="24"/>
        </w:rPr>
        <w:t xml:space="preserve"> del artículo 179 de la Ley de Transparencia y Acceso a la Información del Estado de México y Municipios, relativa a </w:t>
      </w:r>
      <w:r w:rsidR="00C13326" w:rsidRPr="00BC10FD">
        <w:rPr>
          <w:rFonts w:ascii="Palatino Linotype" w:eastAsia="Palatino Linotype" w:hAnsi="Palatino Linotype" w:cs="Palatino Linotype"/>
          <w:b/>
          <w:sz w:val="24"/>
          <w:szCs w:val="24"/>
          <w:u w:val="single"/>
        </w:rPr>
        <w:t>negativa a la información solicitada</w:t>
      </w:r>
      <w:r w:rsidRPr="00BC10FD">
        <w:rPr>
          <w:rFonts w:ascii="Palatino Linotype" w:eastAsia="Palatino Linotype" w:hAnsi="Palatino Linotype" w:cs="Palatino Linotype"/>
          <w:b/>
          <w:sz w:val="24"/>
          <w:szCs w:val="24"/>
          <w:u w:val="single"/>
        </w:rPr>
        <w:t>.</w:t>
      </w:r>
    </w:p>
    <w:p w14:paraId="1F9C825B" w14:textId="77777777" w:rsidR="002447C2" w:rsidRPr="00BC10FD"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241A19E" w14:textId="77777777" w:rsidR="002447C2" w:rsidRPr="00BC10FD" w:rsidRDefault="004E0CEE"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BC10FD">
        <w:rPr>
          <w:rFonts w:ascii="Palatino Linotype" w:eastAsia="Palatino Linotype" w:hAnsi="Palatino Linotype" w:cs="Palatino Linotype"/>
          <w:sz w:val="24"/>
          <w:szCs w:val="24"/>
        </w:rPr>
        <w:t>Para ello, conviene iniciar el</w:t>
      </w:r>
      <w:r w:rsidR="00EF0729" w:rsidRPr="00BC10FD">
        <w:rPr>
          <w:rFonts w:ascii="Palatino Linotype" w:eastAsia="Palatino Linotype" w:hAnsi="Palatino Linotype" w:cs="Palatino Linotype"/>
          <w:sz w:val="24"/>
          <w:szCs w:val="24"/>
        </w:rPr>
        <w:t xml:space="preserve"> presente estudio señalando que, del análisis a la solicitud de información, se advierte que la persona solicitante requiere</w:t>
      </w:r>
      <w:r w:rsidRPr="00BC10FD">
        <w:rPr>
          <w:rFonts w:ascii="Palatino Linotype" w:eastAsia="Palatino Linotype" w:hAnsi="Palatino Linotype" w:cs="Palatino Linotype"/>
          <w:sz w:val="24"/>
          <w:szCs w:val="24"/>
        </w:rPr>
        <w:t xml:space="preserve"> del </w:t>
      </w:r>
      <w:r w:rsidRPr="00BC10FD">
        <w:rPr>
          <w:rFonts w:ascii="Palatino Linotype" w:eastAsia="Palatino Linotype" w:hAnsi="Palatino Linotype" w:cs="Palatino Linotype"/>
          <w:b/>
          <w:sz w:val="24"/>
          <w:szCs w:val="24"/>
        </w:rPr>
        <w:t xml:space="preserve">Sujeto Obligado, </w:t>
      </w:r>
      <w:r w:rsidRPr="00BC10FD">
        <w:rPr>
          <w:rFonts w:ascii="Palatino Linotype" w:eastAsia="Palatino Linotype" w:hAnsi="Palatino Linotype" w:cs="Palatino Linotype"/>
          <w:b/>
          <w:sz w:val="24"/>
          <w:szCs w:val="24"/>
          <w:u w:val="single"/>
        </w:rPr>
        <w:t>lo siguiente:</w:t>
      </w:r>
    </w:p>
    <w:p w14:paraId="3AE20BF5" w14:textId="77777777" w:rsidR="00E14806" w:rsidRPr="00BC10FD" w:rsidRDefault="00E14806"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0CF17C84" w14:textId="77777777" w:rsidR="002447C2" w:rsidRPr="00BC10FD" w:rsidRDefault="00C13326" w:rsidP="00820281">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BC10FD">
        <w:rPr>
          <w:rFonts w:ascii="Palatino Linotype" w:eastAsia="Palatino Linotype" w:hAnsi="Palatino Linotype" w:cs="Palatino Linotype"/>
          <w:b/>
          <w:color w:val="000000"/>
          <w:sz w:val="24"/>
          <w:szCs w:val="24"/>
        </w:rPr>
        <w:t>Documento oficial que indique el número de licencias de construcción que fueron otorgadas en los ejercicios 2021, 2022 y 2023.</w:t>
      </w:r>
    </w:p>
    <w:p w14:paraId="27428482" w14:textId="77777777" w:rsidR="00EF0729" w:rsidRPr="00BC10FD" w:rsidRDefault="00EF0729" w:rsidP="00C6604D">
      <w:p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p>
    <w:p w14:paraId="3DE23DAD" w14:textId="77777777" w:rsidR="00C6604D" w:rsidRPr="00BC10FD" w:rsidRDefault="00C6604D" w:rsidP="00C6604D">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color w:val="000000"/>
          <w:sz w:val="24"/>
          <w:szCs w:val="24"/>
        </w:rPr>
        <w:lastRenderedPageBreak/>
        <w:t xml:space="preserve">En respuesta, el </w:t>
      </w:r>
      <w:r w:rsidRPr="00BC10FD">
        <w:rPr>
          <w:rFonts w:ascii="Palatino Linotype" w:eastAsia="Palatino Linotype" w:hAnsi="Palatino Linotype" w:cs="Palatino Linotype"/>
          <w:b/>
          <w:color w:val="000000"/>
          <w:sz w:val="24"/>
          <w:szCs w:val="24"/>
        </w:rPr>
        <w:t xml:space="preserve">sujeto Obligado </w:t>
      </w:r>
      <w:r w:rsidRPr="00BC10FD">
        <w:rPr>
          <w:rFonts w:ascii="Palatino Linotype" w:eastAsia="Palatino Linotype" w:hAnsi="Palatino Linotype" w:cs="Palatino Linotype"/>
          <w:color w:val="000000"/>
          <w:sz w:val="24"/>
          <w:szCs w:val="24"/>
        </w:rPr>
        <w:t xml:space="preserve">por conducto de </w:t>
      </w:r>
      <w:r w:rsidRPr="00BC10FD">
        <w:rPr>
          <w:rFonts w:ascii="Palatino Linotype" w:eastAsia="Palatino Linotype" w:hAnsi="Palatino Linotype" w:cs="Palatino Linotype"/>
          <w:sz w:val="24"/>
          <w:szCs w:val="24"/>
        </w:rPr>
        <w:t xml:space="preserve">la </w:t>
      </w:r>
      <w:r w:rsidRPr="00BC10FD">
        <w:rPr>
          <w:rFonts w:ascii="Palatino Linotype" w:eastAsia="Palatino Linotype" w:hAnsi="Palatino Linotype" w:cs="Palatino Linotype"/>
          <w:b/>
          <w:sz w:val="24"/>
          <w:szCs w:val="24"/>
          <w:u w:val="single"/>
        </w:rPr>
        <w:t>Dirección General de Desarrollo Urbano Sustentable</w:t>
      </w:r>
      <w:r w:rsidRPr="00BC10FD">
        <w:rPr>
          <w:rFonts w:ascii="Palatino Linotype" w:eastAsia="Palatino Linotype" w:hAnsi="Palatino Linotype" w:cs="Palatino Linotype"/>
          <w:sz w:val="24"/>
          <w:szCs w:val="24"/>
        </w:rPr>
        <w:t xml:space="preserve"> hace del conocimiento de acuerdo a las facultades que tiene conferidas conforme el artículo 151 del Reglamento Orgánico de la Administración Pública Municipal de Huixquilucan, Estado de México, no cuenta con un documento oficial que acredite el número de licencias de construcción otorgadas anualmente; sin embargo, indicó que se puede </w:t>
      </w:r>
      <w:proofErr w:type="spellStart"/>
      <w:r w:rsidRPr="00BC10FD">
        <w:rPr>
          <w:rFonts w:ascii="Palatino Linotype" w:eastAsia="Palatino Linotype" w:hAnsi="Palatino Linotype" w:cs="Palatino Linotype"/>
          <w:sz w:val="24"/>
          <w:szCs w:val="24"/>
        </w:rPr>
        <w:t>accesar</w:t>
      </w:r>
      <w:proofErr w:type="spellEnd"/>
      <w:r w:rsidRPr="00BC10FD">
        <w:rPr>
          <w:rFonts w:ascii="Palatino Linotype" w:eastAsia="Palatino Linotype" w:hAnsi="Palatino Linotype" w:cs="Palatino Linotype"/>
          <w:sz w:val="24"/>
          <w:szCs w:val="24"/>
        </w:rPr>
        <w:t xml:space="preserve"> a ellas vía IPOMEX, proporcionando la siguiente liga electrónica: </w:t>
      </w:r>
      <w:hyperlink r:id="rId10" w:history="1">
        <w:r w:rsidRPr="00BC10FD">
          <w:rPr>
            <w:rFonts w:ascii="Palatino Linotype" w:eastAsia="Palatino Linotype" w:hAnsi="Palatino Linotype" w:cs="Palatino Linotype"/>
            <w:color w:val="0563C1"/>
            <w:sz w:val="24"/>
            <w:szCs w:val="24"/>
            <w:u w:val="single"/>
          </w:rPr>
          <w:t>https://ipomex.org.mx/ipo3/lgt/portal.web</w:t>
        </w:r>
      </w:hyperlink>
      <w:r w:rsidR="00391A47" w:rsidRPr="00BC10FD">
        <w:rPr>
          <w:rFonts w:ascii="Palatino Linotype" w:eastAsia="Palatino Linotype" w:hAnsi="Palatino Linotype" w:cs="Palatino Linotype"/>
          <w:sz w:val="24"/>
          <w:szCs w:val="24"/>
        </w:rPr>
        <w:t>, misma que se analizará más adelante.</w:t>
      </w:r>
    </w:p>
    <w:p w14:paraId="2B64F682" w14:textId="77777777" w:rsidR="00C6604D" w:rsidRPr="00BC10FD" w:rsidRDefault="00C6604D" w:rsidP="00C6604D">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p>
    <w:p w14:paraId="5B5198D7" w14:textId="77777777" w:rsidR="00C6604D" w:rsidRPr="00BC10FD" w:rsidRDefault="00C6604D" w:rsidP="00C6604D">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Conocida la respuesta por la particular, al no estar conforme con los términos de la misma, presentó el recurso de revisión que nos ocupa, mediante el cual señaló como motivo de inconformidad en lo medular la negativa a la entrega de la información requerida, ya que a consideración de la </w:t>
      </w:r>
      <w:r w:rsidRPr="00BC10FD">
        <w:rPr>
          <w:rFonts w:ascii="Palatino Linotype" w:eastAsia="Palatino Linotype" w:hAnsi="Palatino Linotype" w:cs="Palatino Linotype"/>
          <w:b/>
          <w:sz w:val="24"/>
          <w:szCs w:val="24"/>
        </w:rPr>
        <w:t xml:space="preserve">parte Recurrente, </w:t>
      </w:r>
      <w:r w:rsidRPr="00BC10FD">
        <w:rPr>
          <w:rFonts w:ascii="Palatino Linotype" w:eastAsia="Palatino Linotype" w:hAnsi="Palatino Linotype" w:cs="Palatino Linotype"/>
          <w:sz w:val="24"/>
          <w:szCs w:val="24"/>
        </w:rPr>
        <w:t>el ente público debe contar con respaldo de todos los documentos emitidos de acuerdo a la legislación aplicable</w:t>
      </w:r>
      <w:r w:rsidR="00391A47" w:rsidRPr="00BC10FD">
        <w:rPr>
          <w:rFonts w:ascii="Palatino Linotype" w:eastAsia="Palatino Linotype" w:hAnsi="Palatino Linotype" w:cs="Palatino Linotype"/>
          <w:sz w:val="24"/>
          <w:szCs w:val="24"/>
        </w:rPr>
        <w:t>, y que resulta hilarante la respuesta ya que la información debe obrar en sus archivos.</w:t>
      </w:r>
      <w:r w:rsidRPr="00BC10FD">
        <w:rPr>
          <w:rFonts w:ascii="Palatino Linotype" w:eastAsia="Palatino Linotype" w:hAnsi="Palatino Linotype" w:cs="Palatino Linotype"/>
          <w:sz w:val="24"/>
          <w:szCs w:val="24"/>
        </w:rPr>
        <w:t xml:space="preserve"> </w:t>
      </w:r>
    </w:p>
    <w:p w14:paraId="6461521C" w14:textId="77777777" w:rsidR="00C6604D" w:rsidRPr="00BC10FD" w:rsidRDefault="00C6604D" w:rsidP="00C6604D">
      <w:pPr>
        <w:spacing w:after="0" w:line="360" w:lineRule="auto"/>
        <w:jc w:val="both"/>
        <w:rPr>
          <w:rFonts w:ascii="Palatino Linotype" w:eastAsia="Palatino Linotype" w:hAnsi="Palatino Linotype" w:cs="Palatino Linotype"/>
          <w:sz w:val="24"/>
          <w:szCs w:val="24"/>
        </w:rPr>
      </w:pPr>
    </w:p>
    <w:p w14:paraId="0497EC7E" w14:textId="77777777" w:rsidR="00C6604D" w:rsidRPr="00BC10FD" w:rsidRDefault="00C6604D" w:rsidP="00C6604D">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Admitido el presente recurso de revisión, en términos del artículo 185 fracción II</w:t>
      </w:r>
      <w:r w:rsidRPr="00BC10FD">
        <w:rPr>
          <w:rFonts w:ascii="Palatino Linotype" w:eastAsia="Palatino Linotype" w:hAnsi="Palatino Linotype" w:cs="Palatino Linotype"/>
          <w:sz w:val="24"/>
          <w:szCs w:val="24"/>
          <w:vertAlign w:val="superscript"/>
        </w:rPr>
        <w:footnoteReference w:id="3"/>
      </w:r>
      <w:r w:rsidRPr="00BC10FD">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3585BF7" w14:textId="77777777" w:rsidR="00C6604D" w:rsidRPr="00BC10FD" w:rsidRDefault="00C6604D" w:rsidP="00C6604D">
      <w:pPr>
        <w:spacing w:after="0" w:line="360" w:lineRule="auto"/>
        <w:jc w:val="both"/>
        <w:rPr>
          <w:rFonts w:ascii="Palatino Linotype" w:eastAsia="Palatino Linotype" w:hAnsi="Palatino Linotype" w:cs="Palatino Linotype"/>
          <w:sz w:val="24"/>
          <w:szCs w:val="24"/>
        </w:rPr>
      </w:pPr>
    </w:p>
    <w:p w14:paraId="7FCCE36D" w14:textId="77777777" w:rsidR="00C6604D" w:rsidRPr="00BC10FD" w:rsidRDefault="00C6604D" w:rsidP="00C6604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Cabe resaltar que durante la etapa de manifestaciones </w:t>
      </w:r>
      <w:r w:rsidR="00391A47" w:rsidRPr="00BC10FD">
        <w:rPr>
          <w:rFonts w:ascii="Palatino Linotype" w:eastAsia="Palatino Linotype" w:hAnsi="Palatino Linotype" w:cs="Palatino Linotype"/>
          <w:b/>
          <w:sz w:val="24"/>
          <w:szCs w:val="24"/>
        </w:rPr>
        <w:t>la parte Recurrente</w:t>
      </w:r>
      <w:r w:rsidR="00391A47"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sz w:val="24"/>
          <w:szCs w:val="24"/>
        </w:rPr>
        <w:t>fue omisa de rendir alegatos, por lo que respecta al</w:t>
      </w:r>
      <w:r w:rsidRPr="00BC10FD">
        <w:rPr>
          <w:rFonts w:ascii="Palatino Linotype" w:eastAsia="Palatino Linotype" w:hAnsi="Palatino Linotype" w:cs="Palatino Linotype"/>
          <w:b/>
          <w:sz w:val="24"/>
          <w:szCs w:val="24"/>
        </w:rPr>
        <w:t xml:space="preserve"> </w:t>
      </w:r>
      <w:r w:rsidR="00391A47" w:rsidRPr="00BC10FD">
        <w:rPr>
          <w:rFonts w:ascii="Palatino Linotype" w:eastAsia="Palatino Linotype" w:hAnsi="Palatino Linotype" w:cs="Palatino Linotype"/>
          <w:b/>
          <w:sz w:val="24"/>
          <w:szCs w:val="24"/>
        </w:rPr>
        <w:t>Sujeto Obligado</w:t>
      </w:r>
      <w:r w:rsidR="00391A47"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sz w:val="24"/>
          <w:szCs w:val="24"/>
        </w:rPr>
        <w:t xml:space="preserve">también resultó omiso de remitir su informe justificado conforme a derecho les corresponde. </w:t>
      </w:r>
    </w:p>
    <w:p w14:paraId="723DBE7C" w14:textId="77777777" w:rsidR="00C6604D" w:rsidRPr="00BC10FD" w:rsidRDefault="00C6604D" w:rsidP="00C6604D">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5C19ED9" w14:textId="77777777" w:rsidR="00C6604D" w:rsidRPr="00BC10FD" w:rsidRDefault="00C6604D" w:rsidP="00C6604D">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Aclarado lo anterior se precede al análisis de la información a fin de determinar </w:t>
      </w:r>
      <w:proofErr w:type="gramStart"/>
      <w:r w:rsidRPr="00BC10FD">
        <w:rPr>
          <w:rFonts w:ascii="Palatino Linotype" w:eastAsia="Palatino Linotype" w:hAnsi="Palatino Linotype" w:cs="Palatino Linotype"/>
          <w:sz w:val="24"/>
          <w:szCs w:val="24"/>
        </w:rPr>
        <w:t xml:space="preserve">si  </w:t>
      </w:r>
      <w:r w:rsidR="00391A47" w:rsidRPr="00BC10FD">
        <w:rPr>
          <w:rFonts w:ascii="Palatino Linotype" w:eastAsia="Palatino Linotype" w:hAnsi="Palatino Linotype" w:cs="Palatino Linotype"/>
          <w:b/>
          <w:sz w:val="24"/>
          <w:szCs w:val="24"/>
        </w:rPr>
        <w:t>el</w:t>
      </w:r>
      <w:proofErr w:type="gramEnd"/>
      <w:r w:rsidR="00391A47" w:rsidRPr="00BC10FD">
        <w:rPr>
          <w:rFonts w:ascii="Palatino Linotype" w:eastAsia="Palatino Linotype" w:hAnsi="Palatino Linotype" w:cs="Palatino Linotype"/>
          <w:b/>
          <w:sz w:val="24"/>
          <w:szCs w:val="24"/>
        </w:rPr>
        <w:t xml:space="preserve"> Sujeto Obligado</w:t>
      </w:r>
      <w:r w:rsidR="00391A47"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sz w:val="24"/>
          <w:szCs w:val="24"/>
        </w:rPr>
        <w:t>es competente para generarla, poseerla o administrarla.</w:t>
      </w:r>
    </w:p>
    <w:p w14:paraId="2FF7B1CA" w14:textId="77777777" w:rsidR="00C6604D" w:rsidRPr="00BC10FD" w:rsidRDefault="00C6604D" w:rsidP="00A5485F">
      <w:pPr>
        <w:spacing w:after="0" w:line="360" w:lineRule="auto"/>
        <w:ind w:right="-7"/>
        <w:jc w:val="both"/>
        <w:rPr>
          <w:rFonts w:ascii="Palatino Linotype" w:eastAsia="Palatino Linotype" w:hAnsi="Palatino Linotype" w:cs="Palatino Linotype"/>
          <w:sz w:val="24"/>
          <w:szCs w:val="24"/>
        </w:rPr>
      </w:pPr>
    </w:p>
    <w:p w14:paraId="4C6C6CBF" w14:textId="77777777" w:rsidR="00C6604D" w:rsidRPr="00BC10FD" w:rsidRDefault="00391A47" w:rsidP="00A5485F">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En primera instancia es de señalar que se pronunció la </w:t>
      </w:r>
      <w:r w:rsidRPr="00BC10FD">
        <w:rPr>
          <w:rFonts w:ascii="Palatino Linotype" w:eastAsia="Palatino Linotype" w:hAnsi="Palatino Linotype" w:cs="Palatino Linotype"/>
          <w:b/>
          <w:sz w:val="24"/>
          <w:szCs w:val="24"/>
          <w:u w:val="single"/>
        </w:rPr>
        <w:t>Dirección General de Desarrollo Urbano Sustentable</w:t>
      </w:r>
      <w:r w:rsidRPr="00BC10FD">
        <w:rPr>
          <w:rFonts w:ascii="Palatino Linotype" w:eastAsia="Palatino Linotype" w:hAnsi="Palatino Linotype" w:cs="Palatino Linotype"/>
          <w:sz w:val="24"/>
          <w:szCs w:val="24"/>
        </w:rPr>
        <w:t>, la cual conforme el artículo 151 del Reglamento Orgánico de la Administración Pública Municipal de Huixquilucan de la Administración 2022-2024, tiene dentro de sus atribuciones la siguiente:</w:t>
      </w:r>
    </w:p>
    <w:p w14:paraId="7694B778" w14:textId="77777777" w:rsidR="00391A47" w:rsidRPr="00BC10FD" w:rsidRDefault="00391A47" w:rsidP="00A5485F">
      <w:pPr>
        <w:spacing w:after="0" w:line="360" w:lineRule="auto"/>
        <w:ind w:right="-7"/>
        <w:jc w:val="both"/>
        <w:rPr>
          <w:rFonts w:ascii="Palatino Linotype" w:eastAsia="Palatino Linotype" w:hAnsi="Palatino Linotype" w:cs="Palatino Linotype"/>
          <w:sz w:val="24"/>
          <w:szCs w:val="24"/>
        </w:rPr>
      </w:pPr>
    </w:p>
    <w:p w14:paraId="424F7FDD" w14:textId="77777777" w:rsidR="00391A47" w:rsidRPr="00BC10FD" w:rsidRDefault="00391A47" w:rsidP="00391A47">
      <w:pPr>
        <w:spacing w:after="0" w:line="360" w:lineRule="auto"/>
        <w:ind w:left="567" w:right="701"/>
        <w:jc w:val="both"/>
        <w:rPr>
          <w:rFonts w:ascii="Palatino Linotype" w:eastAsia="Palatino Linotype" w:hAnsi="Palatino Linotype" w:cs="Palatino Linotype"/>
          <w:b/>
          <w:i/>
          <w:sz w:val="24"/>
          <w:szCs w:val="24"/>
        </w:rPr>
      </w:pPr>
      <w:r w:rsidRPr="00BC10FD">
        <w:rPr>
          <w:rFonts w:ascii="Palatino Linotype" w:eastAsia="Palatino Linotype" w:hAnsi="Palatino Linotype" w:cs="Palatino Linotype"/>
          <w:b/>
          <w:i/>
          <w:sz w:val="24"/>
          <w:szCs w:val="24"/>
        </w:rPr>
        <w:t>“VI. Promover y autorizar la construcción de obras de urbanización, infraestructura y equipamiento urbano;”</w:t>
      </w:r>
    </w:p>
    <w:p w14:paraId="7EE91221" w14:textId="77777777" w:rsidR="00C6604D" w:rsidRPr="00BC10FD" w:rsidRDefault="00C6604D" w:rsidP="00A5485F">
      <w:pPr>
        <w:spacing w:after="0" w:line="360" w:lineRule="auto"/>
        <w:ind w:right="-7"/>
        <w:jc w:val="both"/>
        <w:rPr>
          <w:rFonts w:ascii="Palatino Linotype" w:eastAsia="Palatino Linotype" w:hAnsi="Palatino Linotype" w:cs="Palatino Linotype"/>
          <w:sz w:val="24"/>
          <w:szCs w:val="24"/>
        </w:rPr>
      </w:pPr>
    </w:p>
    <w:p w14:paraId="4E697BD1" w14:textId="77777777" w:rsidR="00C6604D" w:rsidRPr="00BC10FD" w:rsidRDefault="00391A47" w:rsidP="00A5485F">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Asimismo, para el despacho de los asuntos de su competencia, la Dirección General de Desarrollo Urbano Sustentable, conforme el artículo 151 de dicho Reglamento, se auxiliará, entre otras, de la siguiente área: Subdirección de Gestión Urbana, quien conforme el diverso numeral 156, fracción I de dicho ordenamiento, tiene dentro de sus atribuciones la siguiente:</w:t>
      </w:r>
    </w:p>
    <w:p w14:paraId="3FBFD645" w14:textId="77777777" w:rsidR="00391A47" w:rsidRPr="00BC10FD" w:rsidRDefault="00391A47" w:rsidP="00A5485F">
      <w:pPr>
        <w:spacing w:after="0" w:line="360" w:lineRule="auto"/>
        <w:ind w:right="-7"/>
        <w:jc w:val="both"/>
        <w:rPr>
          <w:rFonts w:ascii="Palatino Linotype" w:eastAsia="Palatino Linotype" w:hAnsi="Palatino Linotype" w:cs="Palatino Linotype"/>
          <w:sz w:val="24"/>
          <w:szCs w:val="24"/>
        </w:rPr>
      </w:pPr>
    </w:p>
    <w:p w14:paraId="3D8BEAA3" w14:textId="77777777" w:rsidR="00391A47" w:rsidRPr="00BC10FD" w:rsidRDefault="00391A47" w:rsidP="00391A47">
      <w:pPr>
        <w:spacing w:after="0" w:line="276" w:lineRule="auto"/>
        <w:ind w:left="426" w:right="560"/>
        <w:jc w:val="both"/>
        <w:rPr>
          <w:rFonts w:ascii="Palatino Linotype" w:eastAsia="Palatino Linotype" w:hAnsi="Palatino Linotype" w:cs="Palatino Linotype"/>
          <w:i/>
          <w:szCs w:val="24"/>
        </w:rPr>
      </w:pPr>
      <w:r w:rsidRPr="00BC10FD">
        <w:rPr>
          <w:rFonts w:ascii="Palatino Linotype" w:eastAsia="Palatino Linotype" w:hAnsi="Palatino Linotype" w:cs="Palatino Linotype"/>
          <w:i/>
          <w:szCs w:val="24"/>
        </w:rPr>
        <w:t xml:space="preserve">“Artículo 156. La Subdirección de Gestión Urbana contará con las atribuciones siguientes: </w:t>
      </w:r>
    </w:p>
    <w:p w14:paraId="3BB53353" w14:textId="77777777" w:rsidR="00391A47" w:rsidRPr="00BC10FD" w:rsidRDefault="00391A47" w:rsidP="00391A47">
      <w:pPr>
        <w:spacing w:after="0" w:line="276" w:lineRule="auto"/>
        <w:ind w:left="426" w:right="560"/>
        <w:jc w:val="both"/>
        <w:rPr>
          <w:rFonts w:ascii="Palatino Linotype" w:eastAsia="Palatino Linotype" w:hAnsi="Palatino Linotype" w:cs="Palatino Linotype"/>
          <w:i/>
          <w:szCs w:val="24"/>
        </w:rPr>
      </w:pPr>
      <w:r w:rsidRPr="00BC10FD">
        <w:rPr>
          <w:rFonts w:ascii="Palatino Linotype" w:eastAsia="Palatino Linotype" w:hAnsi="Palatino Linotype" w:cs="Palatino Linotype"/>
          <w:b/>
          <w:i/>
          <w:szCs w:val="24"/>
          <w:u w:val="single"/>
        </w:rPr>
        <w:lastRenderedPageBreak/>
        <w:t>I. Recibir y atender las solicitudes de personas físicas o jurídico colectivas para la obtención de autorizaciones de construcción (licencias</w:t>
      </w:r>
      <w:r w:rsidRPr="00BC10FD">
        <w:rPr>
          <w:rFonts w:ascii="Palatino Linotype" w:eastAsia="Palatino Linotype" w:hAnsi="Palatino Linotype" w:cs="Palatino Linotype"/>
          <w:i/>
          <w:szCs w:val="24"/>
        </w:rPr>
        <w:t xml:space="preserve"> y/o permisos), en sus diversas modalidades (obra nueva, ampliación o modificación de obra existente, bardas, demoliciones, etc.</w:t>
      </w:r>
      <w:proofErr w:type="gramStart"/>
      <w:r w:rsidRPr="00BC10FD">
        <w:rPr>
          <w:rFonts w:ascii="Palatino Linotype" w:eastAsia="Palatino Linotype" w:hAnsi="Palatino Linotype" w:cs="Palatino Linotype"/>
          <w:i/>
          <w:szCs w:val="24"/>
        </w:rPr>
        <w:t>);[</w:t>
      </w:r>
      <w:proofErr w:type="gramEnd"/>
      <w:r w:rsidRPr="00BC10FD">
        <w:rPr>
          <w:rFonts w:ascii="Palatino Linotype" w:eastAsia="Palatino Linotype" w:hAnsi="Palatino Linotype" w:cs="Palatino Linotype"/>
          <w:i/>
          <w:szCs w:val="24"/>
        </w:rPr>
        <w:t>…]”</w:t>
      </w:r>
    </w:p>
    <w:p w14:paraId="317ED543" w14:textId="77777777" w:rsidR="00C6604D" w:rsidRPr="00BC10FD" w:rsidRDefault="00C6604D" w:rsidP="00A5485F">
      <w:pPr>
        <w:spacing w:after="0" w:line="360" w:lineRule="auto"/>
        <w:ind w:right="-7"/>
        <w:jc w:val="both"/>
        <w:rPr>
          <w:rFonts w:ascii="Palatino Linotype" w:eastAsia="Palatino Linotype" w:hAnsi="Palatino Linotype" w:cs="Palatino Linotype"/>
          <w:sz w:val="24"/>
          <w:szCs w:val="24"/>
        </w:rPr>
      </w:pPr>
    </w:p>
    <w:p w14:paraId="69C84A92" w14:textId="77777777" w:rsidR="00C6604D" w:rsidRPr="00BC10FD" w:rsidRDefault="00391A47" w:rsidP="00A5485F">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Como se desprende, dentro de las unidades administrativas que tiene a su cargo la </w:t>
      </w:r>
      <w:r w:rsidRPr="00BC10FD">
        <w:rPr>
          <w:rFonts w:ascii="Palatino Linotype" w:eastAsia="Palatino Linotype" w:hAnsi="Palatino Linotype" w:cs="Palatino Linotype"/>
          <w:b/>
          <w:sz w:val="24"/>
          <w:szCs w:val="24"/>
          <w:u w:val="single"/>
        </w:rPr>
        <w:t xml:space="preserve">Dirección General de Desarrollo Urbano Sustentable, </w:t>
      </w:r>
      <w:r w:rsidRPr="00BC10FD">
        <w:rPr>
          <w:rFonts w:ascii="Palatino Linotype" w:eastAsia="Palatino Linotype" w:hAnsi="Palatino Linotype" w:cs="Palatino Linotype"/>
          <w:sz w:val="24"/>
          <w:szCs w:val="24"/>
        </w:rPr>
        <w:t>se encuentra la Subdirección de Gestión Urbana a quien le delega la atribución de recibir y atender las solicitudes de personas físicas y jurídico</w:t>
      </w:r>
      <w:r w:rsidR="00984251" w:rsidRPr="00BC10FD">
        <w:rPr>
          <w:rFonts w:ascii="Palatino Linotype" w:eastAsia="Palatino Linotype" w:hAnsi="Palatino Linotype" w:cs="Palatino Linotype"/>
          <w:sz w:val="24"/>
          <w:szCs w:val="24"/>
        </w:rPr>
        <w:t>-</w:t>
      </w:r>
      <w:r w:rsidRPr="00BC10FD">
        <w:rPr>
          <w:rFonts w:ascii="Palatino Linotype" w:eastAsia="Palatino Linotype" w:hAnsi="Palatino Linotype" w:cs="Palatino Linotype"/>
          <w:sz w:val="24"/>
          <w:szCs w:val="24"/>
        </w:rPr>
        <w:t>colectivas para la obtención de licencias de construcción.</w:t>
      </w:r>
    </w:p>
    <w:p w14:paraId="43E1BE12" w14:textId="77777777" w:rsidR="00C6604D" w:rsidRPr="00BC10FD" w:rsidRDefault="00C6604D" w:rsidP="00A5485F">
      <w:pPr>
        <w:spacing w:after="0" w:line="360" w:lineRule="auto"/>
        <w:ind w:right="-7"/>
        <w:jc w:val="both"/>
        <w:rPr>
          <w:rFonts w:ascii="Palatino Linotype" w:eastAsia="Palatino Linotype" w:hAnsi="Palatino Linotype" w:cs="Palatino Linotype"/>
          <w:sz w:val="24"/>
          <w:szCs w:val="24"/>
        </w:rPr>
      </w:pPr>
    </w:p>
    <w:p w14:paraId="46459C1E" w14:textId="77777777" w:rsidR="00984251" w:rsidRPr="00BC10FD" w:rsidRDefault="00984251" w:rsidP="0098425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En virtud de lo anterior, se tiene </w:t>
      </w:r>
      <w:proofErr w:type="gramStart"/>
      <w:r w:rsidRPr="00BC10FD">
        <w:rPr>
          <w:rFonts w:ascii="Palatino Linotype" w:eastAsia="Palatino Linotype" w:hAnsi="Palatino Linotype" w:cs="Palatino Linotype"/>
          <w:sz w:val="24"/>
          <w:szCs w:val="24"/>
        </w:rPr>
        <w:t>que</w:t>
      </w:r>
      <w:proofErr w:type="gramEnd"/>
      <w:r w:rsidRPr="00BC10FD">
        <w:rPr>
          <w:rFonts w:ascii="Palatino Linotype" w:eastAsia="Palatino Linotype" w:hAnsi="Palatino Linotype" w:cs="Palatino Linotype"/>
          <w:sz w:val="24"/>
          <w:szCs w:val="24"/>
        </w:rPr>
        <w:t xml:space="preserve"> en el caso concreto, se dio cabal cumplimiento con el requisito de turnar la solicitud de información al área competente que puede poseer, generar y/o administrar la información requerida.</w:t>
      </w:r>
    </w:p>
    <w:p w14:paraId="77831418" w14:textId="77777777" w:rsidR="00984251" w:rsidRPr="00BC10FD" w:rsidRDefault="00984251" w:rsidP="00984251">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AA6DDD1" w14:textId="77777777" w:rsidR="00984251" w:rsidRPr="00BC10FD" w:rsidRDefault="00984251" w:rsidP="009842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C10FD">
        <w:rPr>
          <w:rFonts w:ascii="Palatino Linotype" w:eastAsia="Palatino Linotype" w:hAnsi="Palatino Linotype" w:cs="Palatino Linotype"/>
          <w:color w:val="000000"/>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E9899ED" w14:textId="77777777" w:rsidR="00984251" w:rsidRPr="00BC10FD" w:rsidRDefault="00984251" w:rsidP="00984251">
      <w:pPr>
        <w:spacing w:after="0" w:line="360" w:lineRule="auto"/>
        <w:rPr>
          <w:rFonts w:ascii="Times New Roman" w:eastAsia="Times New Roman" w:hAnsi="Times New Roman" w:cs="Times New Roman"/>
          <w:sz w:val="24"/>
          <w:szCs w:val="24"/>
        </w:rPr>
      </w:pPr>
    </w:p>
    <w:p w14:paraId="6F5614CD"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BC10FD">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468F87A" w14:textId="77777777" w:rsidR="00984251" w:rsidRPr="00BC10FD" w:rsidRDefault="00984251" w:rsidP="00984251">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rPr>
      </w:pPr>
    </w:p>
    <w:p w14:paraId="5A1151D6"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BC10FD">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57D5FB3" w14:textId="77777777" w:rsidR="00984251" w:rsidRPr="00BC10FD" w:rsidRDefault="00984251" w:rsidP="00984251">
      <w:pPr>
        <w:pBdr>
          <w:top w:val="nil"/>
          <w:left w:val="nil"/>
          <w:bottom w:val="nil"/>
          <w:right w:val="nil"/>
          <w:between w:val="nil"/>
        </w:pBdr>
        <w:ind w:left="720"/>
        <w:rPr>
          <w:rFonts w:ascii="Palatino Linotype" w:eastAsia="Palatino Linotype" w:hAnsi="Palatino Linotype" w:cs="Palatino Linotype"/>
          <w:color w:val="000000"/>
        </w:rPr>
      </w:pPr>
    </w:p>
    <w:p w14:paraId="15CD3185"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BC10FD">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BC10FD">
        <w:rPr>
          <w:rFonts w:ascii="Palatino Linotype" w:eastAsia="Palatino Linotype" w:hAnsi="Palatino Linotype" w:cs="Palatino Linotype"/>
          <w:b/>
          <w:color w:val="000000"/>
        </w:rPr>
        <w:t>quince días, contados a partir del día siguiente a la presentación de ésta.</w:t>
      </w:r>
      <w:r w:rsidRPr="00BC10FD">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7BF16679" w14:textId="77777777" w:rsidR="00984251" w:rsidRPr="00BC10FD" w:rsidRDefault="00984251" w:rsidP="00984251">
      <w:pPr>
        <w:pBdr>
          <w:top w:val="nil"/>
          <w:left w:val="nil"/>
          <w:bottom w:val="nil"/>
          <w:right w:val="nil"/>
          <w:between w:val="nil"/>
        </w:pBdr>
        <w:ind w:left="720"/>
        <w:rPr>
          <w:rFonts w:ascii="Palatino Linotype" w:eastAsia="Palatino Linotype" w:hAnsi="Palatino Linotype" w:cs="Palatino Linotype"/>
          <w:color w:val="000000"/>
        </w:rPr>
      </w:pPr>
    </w:p>
    <w:p w14:paraId="76F521C5"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u w:val="single"/>
        </w:rPr>
      </w:pPr>
      <w:r w:rsidRPr="00BC10FD">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1D7F79" w14:textId="77777777" w:rsidR="00984251" w:rsidRPr="00BC10FD" w:rsidRDefault="00984251" w:rsidP="00984251">
      <w:pPr>
        <w:pBdr>
          <w:top w:val="nil"/>
          <w:left w:val="nil"/>
          <w:bottom w:val="nil"/>
          <w:right w:val="nil"/>
          <w:between w:val="nil"/>
        </w:pBdr>
        <w:ind w:left="720"/>
        <w:rPr>
          <w:rFonts w:ascii="Palatino Linotype" w:eastAsia="Palatino Linotype" w:hAnsi="Palatino Linotype" w:cs="Palatino Linotype"/>
          <w:b/>
          <w:color w:val="000000"/>
          <w:u w:val="single"/>
        </w:rPr>
      </w:pPr>
    </w:p>
    <w:p w14:paraId="47B01701"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BC10FD">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96F573B" w14:textId="77777777" w:rsidR="00984251" w:rsidRPr="00BC10FD" w:rsidRDefault="00984251" w:rsidP="00984251">
      <w:pPr>
        <w:pBdr>
          <w:top w:val="nil"/>
          <w:left w:val="nil"/>
          <w:bottom w:val="nil"/>
          <w:right w:val="nil"/>
          <w:between w:val="nil"/>
        </w:pBdr>
        <w:spacing w:after="0" w:line="360" w:lineRule="auto"/>
        <w:ind w:left="360"/>
        <w:jc w:val="both"/>
        <w:rPr>
          <w:rFonts w:ascii="Palatino Linotype" w:eastAsia="Palatino Linotype" w:hAnsi="Palatino Linotype" w:cs="Palatino Linotype"/>
          <w:b/>
          <w:color w:val="000000"/>
        </w:rPr>
      </w:pPr>
    </w:p>
    <w:p w14:paraId="4F72526B" w14:textId="77777777" w:rsidR="00984251" w:rsidRPr="00BC10FD" w:rsidRDefault="00984251" w:rsidP="00984251">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BC10FD">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w:t>
      </w:r>
      <w:r w:rsidRPr="00BC10FD">
        <w:rPr>
          <w:rFonts w:ascii="Palatino Linotype" w:eastAsia="Palatino Linotype" w:hAnsi="Palatino Linotype" w:cs="Palatino Linotype"/>
          <w:color w:val="000000"/>
        </w:rPr>
        <w:lastRenderedPageBreak/>
        <w:t xml:space="preserve">realizado, en su caso, el pago respectivo, el cual deberá efectuarse en un plazo no mayor a treinta días hábiles; por lo que, una vez </w:t>
      </w:r>
      <w:r w:rsidRPr="00BC10FD">
        <w:rPr>
          <w:rFonts w:ascii="Palatino Linotype" w:eastAsia="Palatino Linotype" w:hAnsi="Palatino Linotype" w:cs="Palatino Linotype"/>
        </w:rPr>
        <w:t>transcurrida</w:t>
      </w:r>
      <w:r w:rsidRPr="00BC10FD">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6FD0A07F" w14:textId="77777777" w:rsidR="00984251" w:rsidRPr="00BC10FD" w:rsidRDefault="00984251" w:rsidP="00984251">
      <w:pPr>
        <w:spacing w:after="0" w:line="360" w:lineRule="auto"/>
        <w:rPr>
          <w:rFonts w:ascii="Times New Roman" w:eastAsia="Times New Roman" w:hAnsi="Times New Roman" w:cs="Times New Roman"/>
          <w:sz w:val="24"/>
          <w:szCs w:val="24"/>
        </w:rPr>
      </w:pPr>
    </w:p>
    <w:p w14:paraId="31AA08DF" w14:textId="77777777" w:rsidR="00984251" w:rsidRPr="00BC10FD" w:rsidRDefault="00984251" w:rsidP="00984251">
      <w:pPr>
        <w:pBdr>
          <w:top w:val="nil"/>
          <w:left w:val="nil"/>
          <w:bottom w:val="nil"/>
          <w:right w:val="nil"/>
          <w:between w:val="nil"/>
        </w:pBdr>
        <w:spacing w:after="0" w:line="360" w:lineRule="auto"/>
        <w:ind w:right="49"/>
        <w:jc w:val="both"/>
        <w:rPr>
          <w:rFonts w:ascii="Times New Roman" w:eastAsia="Times New Roman" w:hAnsi="Times New Roman" w:cs="Times New Roman"/>
          <w:color w:val="000000"/>
          <w:sz w:val="24"/>
          <w:szCs w:val="24"/>
        </w:rPr>
      </w:pPr>
      <w:r w:rsidRPr="00BC10FD">
        <w:rPr>
          <w:rFonts w:ascii="Palatino Linotype" w:eastAsia="Palatino Linotype" w:hAnsi="Palatino Linotype" w:cs="Palatino Linotype"/>
          <w:color w:val="000000"/>
          <w:sz w:val="24"/>
          <w:szCs w:val="24"/>
        </w:rPr>
        <w:t xml:space="preserve">En virtud de lo anterior, se tiene que, </w:t>
      </w:r>
      <w:r w:rsidRPr="00BC10FD">
        <w:rPr>
          <w:rFonts w:ascii="Palatino Linotype" w:eastAsia="Palatino Linotype" w:hAnsi="Palatino Linotype" w:cs="Palatino Linotype"/>
          <w:b/>
          <w:color w:val="000000"/>
          <w:sz w:val="24"/>
          <w:szCs w:val="24"/>
          <w:u w:val="single"/>
        </w:rPr>
        <w:t>el procedimiento de búsqueda de la información se tiene por atendido. </w:t>
      </w:r>
    </w:p>
    <w:p w14:paraId="632319AB" w14:textId="77777777" w:rsidR="00984251" w:rsidRPr="00BC10FD" w:rsidRDefault="00984251" w:rsidP="00984251">
      <w:pPr>
        <w:spacing w:after="0" w:line="360" w:lineRule="auto"/>
        <w:ind w:right="-7"/>
        <w:jc w:val="both"/>
        <w:rPr>
          <w:rFonts w:ascii="Palatino Linotype" w:eastAsia="Palatino Linotype" w:hAnsi="Palatino Linotype" w:cs="Palatino Linotype"/>
          <w:sz w:val="24"/>
          <w:szCs w:val="24"/>
        </w:rPr>
      </w:pPr>
    </w:p>
    <w:p w14:paraId="549C99F9" w14:textId="77777777" w:rsidR="00984251" w:rsidRPr="00BC10FD" w:rsidRDefault="00984251" w:rsidP="00984251">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No </w:t>
      </w:r>
      <w:proofErr w:type="gramStart"/>
      <w:r w:rsidRPr="00BC10FD">
        <w:rPr>
          <w:rFonts w:ascii="Palatino Linotype" w:eastAsia="Palatino Linotype" w:hAnsi="Palatino Linotype" w:cs="Palatino Linotype"/>
          <w:sz w:val="24"/>
          <w:szCs w:val="24"/>
        </w:rPr>
        <w:t>obstante</w:t>
      </w:r>
      <w:proofErr w:type="gramEnd"/>
      <w:r w:rsidRPr="00BC10FD">
        <w:rPr>
          <w:rFonts w:ascii="Palatino Linotype" w:eastAsia="Palatino Linotype" w:hAnsi="Palatino Linotype" w:cs="Palatino Linotype"/>
          <w:sz w:val="24"/>
          <w:szCs w:val="24"/>
        </w:rPr>
        <w:t xml:space="preserve"> lo anterior, si bien hubo pronunciamiento sobre lo solicitado por el Servidor Público Habilitado competente, se considera que con la respuesta otorgada al requerimiento de nuestra atención no colmó en su totalidad el derecho de acceso a la información pública de la persona solicitante.</w:t>
      </w:r>
    </w:p>
    <w:p w14:paraId="16CBD208" w14:textId="77777777" w:rsidR="00984251" w:rsidRPr="00BC10FD" w:rsidRDefault="00984251" w:rsidP="00A5485F">
      <w:pPr>
        <w:spacing w:after="0" w:line="360" w:lineRule="auto"/>
        <w:ind w:right="-7"/>
        <w:jc w:val="both"/>
        <w:rPr>
          <w:rFonts w:ascii="Palatino Linotype" w:eastAsia="Palatino Linotype" w:hAnsi="Palatino Linotype" w:cs="Palatino Linotype"/>
          <w:sz w:val="24"/>
          <w:szCs w:val="24"/>
        </w:rPr>
      </w:pPr>
    </w:p>
    <w:p w14:paraId="244537F4" w14:textId="77777777" w:rsidR="00740AE0" w:rsidRPr="00BC10FD" w:rsidRDefault="00984251" w:rsidP="00A5485F">
      <w:pPr>
        <w:spacing w:after="0" w:line="360" w:lineRule="auto"/>
        <w:ind w:right="-7"/>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Se afirma lo anterior, en virtud de que </w:t>
      </w:r>
      <w:r w:rsidRPr="00BC10FD">
        <w:rPr>
          <w:rFonts w:ascii="Palatino Linotype" w:eastAsia="Palatino Linotype" w:hAnsi="Palatino Linotype" w:cs="Palatino Linotype"/>
          <w:b/>
          <w:sz w:val="24"/>
          <w:szCs w:val="24"/>
        </w:rPr>
        <w:t>si bien de la normatividad que regula al ente público, no se desprende que de manera anual tenga que generar un documento donde se indique el número de licencias de construcción que autoriza,</w:t>
      </w:r>
      <w:r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b/>
          <w:sz w:val="24"/>
          <w:szCs w:val="24"/>
        </w:rPr>
        <w:t>también lo es que cuenta con atribuciones para generar las mismas</w:t>
      </w:r>
      <w:r w:rsidRPr="00BC10FD">
        <w:rPr>
          <w:rFonts w:ascii="Palatino Linotype" w:eastAsia="Palatino Linotype" w:hAnsi="Palatino Linotype" w:cs="Palatino Linotype"/>
          <w:sz w:val="24"/>
          <w:szCs w:val="24"/>
        </w:rPr>
        <w:t xml:space="preserve">, además que del análisis a la liga proporcionada en respuesta de la que indicó que ahí se podría consultar las licencias requeridas, de su consulta se advierte que la misma </w:t>
      </w:r>
      <w:r w:rsidR="00C06D22" w:rsidRPr="00BC10FD">
        <w:rPr>
          <w:rFonts w:ascii="Palatino Linotype" w:eastAsia="Palatino Linotype" w:hAnsi="Palatino Linotype" w:cs="Palatino Linotype"/>
          <w:sz w:val="24"/>
          <w:szCs w:val="24"/>
        </w:rPr>
        <w:t>remite a la página principal del portal de la Información Pública de Oficio Mexiquense (</w:t>
      </w:r>
      <w:r w:rsidR="009C23E7" w:rsidRPr="00BC10FD">
        <w:rPr>
          <w:rFonts w:ascii="Palatino Linotype" w:eastAsia="Palatino Linotype" w:hAnsi="Palatino Linotype" w:cs="Palatino Linotype"/>
          <w:sz w:val="24"/>
          <w:szCs w:val="24"/>
        </w:rPr>
        <w:t>IPOMEX</w:t>
      </w:r>
      <w:r w:rsidR="00C06D22" w:rsidRPr="00BC10FD">
        <w:rPr>
          <w:rFonts w:ascii="Palatino Linotype" w:eastAsia="Palatino Linotype" w:hAnsi="Palatino Linotype" w:cs="Palatino Linotype"/>
          <w:sz w:val="24"/>
          <w:szCs w:val="24"/>
        </w:rPr>
        <w:t>)</w:t>
      </w:r>
      <w:r w:rsidR="009C23E7" w:rsidRPr="00BC10FD">
        <w:rPr>
          <w:rFonts w:ascii="Palatino Linotype" w:eastAsia="Palatino Linotype" w:hAnsi="Palatino Linotype" w:cs="Palatino Linotype"/>
          <w:sz w:val="24"/>
          <w:szCs w:val="24"/>
        </w:rPr>
        <w:t xml:space="preserve"> </w:t>
      </w:r>
      <w:r w:rsidR="00586F44" w:rsidRPr="00BC10FD">
        <w:rPr>
          <w:rFonts w:ascii="Palatino Linotype" w:eastAsia="Palatino Linotype" w:hAnsi="Palatino Linotype" w:cs="Palatino Linotype"/>
          <w:sz w:val="24"/>
          <w:szCs w:val="24"/>
        </w:rPr>
        <w:t xml:space="preserve">del </w:t>
      </w:r>
      <w:r w:rsidRPr="00BC10FD">
        <w:rPr>
          <w:rFonts w:ascii="Palatino Linotype" w:eastAsia="Palatino Linotype" w:hAnsi="Palatino Linotype" w:cs="Palatino Linotype"/>
          <w:sz w:val="24"/>
          <w:szCs w:val="24"/>
        </w:rPr>
        <w:t>Directorio de los sitios electrónicos de sujetos obligados a la transparencia</w:t>
      </w:r>
      <w:r w:rsidR="00586F44" w:rsidRPr="00BC10FD">
        <w:rPr>
          <w:rFonts w:ascii="Palatino Linotype" w:eastAsia="Palatino Linotype" w:hAnsi="Palatino Linotype" w:cs="Palatino Linotype"/>
          <w:sz w:val="24"/>
          <w:szCs w:val="24"/>
        </w:rPr>
        <w:t>, como se muestra de la siguiente digitalización:</w:t>
      </w:r>
    </w:p>
    <w:p w14:paraId="0E804437" w14:textId="00EDBC90"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69C5AAC6" w14:textId="77777777"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5F3561FE" w14:textId="77777777"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1DFD34FA" w14:textId="77777777"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15E61D49" w14:textId="77777777" w:rsidR="00586F44" w:rsidRPr="00BC10FD" w:rsidRDefault="00984251" w:rsidP="00586F44">
      <w:pPr>
        <w:spacing w:after="0" w:line="360" w:lineRule="auto"/>
        <w:ind w:right="-7"/>
        <w:jc w:val="center"/>
        <w:rPr>
          <w:rFonts w:ascii="Palatino Linotype" w:eastAsia="Palatino Linotype" w:hAnsi="Palatino Linotype" w:cs="Palatino Linotype"/>
          <w:sz w:val="24"/>
          <w:szCs w:val="24"/>
        </w:rPr>
      </w:pPr>
      <w:r w:rsidRPr="00BC10FD">
        <w:rPr>
          <w:rFonts w:ascii="Palatino Linotype" w:eastAsia="Palatino Linotype" w:hAnsi="Palatino Linotype" w:cs="Palatino Linotype"/>
          <w:noProof/>
          <w:sz w:val="24"/>
          <w:szCs w:val="24"/>
        </w:rPr>
        <w:drawing>
          <wp:inline distT="0" distB="0" distL="0" distR="0" wp14:anchorId="4AE1C3E1" wp14:editId="52247158">
            <wp:extent cx="3946525" cy="3971925"/>
            <wp:effectExtent l="19050" t="19050" r="15875"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6525" cy="3971925"/>
                    </a:xfrm>
                    <a:prstGeom prst="rect">
                      <a:avLst/>
                    </a:prstGeom>
                    <a:ln w="3175">
                      <a:solidFill>
                        <a:schemeClr val="tx1"/>
                      </a:solidFill>
                    </a:ln>
                  </pic:spPr>
                </pic:pic>
              </a:graphicData>
            </a:graphic>
          </wp:inline>
        </w:drawing>
      </w:r>
    </w:p>
    <w:p w14:paraId="37FE316B" w14:textId="77777777"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2DBA9CAE"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Por lo que, a consideración de este Órgano Garante, con la entrega de la liga electrónica indicada no se colma la solicitud de información.</w:t>
      </w:r>
    </w:p>
    <w:p w14:paraId="6B198BA3"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4E0ED08B"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Se afirma lo anterior, pues como se pudo aprecia</w:t>
      </w:r>
      <w:r w:rsidR="00984251" w:rsidRPr="00BC10FD">
        <w:rPr>
          <w:rFonts w:ascii="Palatino Linotype" w:eastAsia="Palatino Linotype" w:hAnsi="Palatino Linotype" w:cs="Palatino Linotype"/>
          <w:sz w:val="24"/>
          <w:szCs w:val="24"/>
        </w:rPr>
        <w:t xml:space="preserve">r, dicha liga electrónica, no </w:t>
      </w:r>
      <w:r w:rsidRPr="00BC10FD">
        <w:rPr>
          <w:rFonts w:ascii="Palatino Linotype" w:eastAsia="Palatino Linotype" w:hAnsi="Palatino Linotype" w:cs="Palatino Linotype"/>
          <w:sz w:val="24"/>
          <w:szCs w:val="24"/>
        </w:rPr>
        <w:t>dirige a la información requerida por la persona solicitante.</w:t>
      </w:r>
    </w:p>
    <w:p w14:paraId="296346BB"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609D2C6E"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lastRenderedPageBreak/>
        <w:t>De modo que, es importante traer a colación que el artículo 161</w:t>
      </w:r>
      <w:r w:rsidRPr="00BC10FD">
        <w:rPr>
          <w:rFonts w:ascii="Palatino Linotype" w:eastAsia="Palatino Linotype" w:hAnsi="Palatino Linotype" w:cs="Palatino Linotype"/>
          <w:sz w:val="24"/>
          <w:szCs w:val="24"/>
          <w:vertAlign w:val="superscript"/>
        </w:rPr>
        <w:t xml:space="preserve"> </w:t>
      </w:r>
      <w:r w:rsidRPr="00BC10FD">
        <w:rPr>
          <w:rFonts w:ascii="Palatino Linotype" w:eastAsia="Palatino Linotype" w:hAnsi="Palatino Linotype" w:cs="Palatino Linotype"/>
          <w:sz w:val="24"/>
          <w:szCs w:val="24"/>
        </w:rPr>
        <w:t>de la Ley de Transparencia y Acceso a la Información Pública del Estado de México y Municipios</w:t>
      </w:r>
      <w:r w:rsidRPr="00BC10FD">
        <w:rPr>
          <w:rFonts w:ascii="Palatino Linotype" w:eastAsia="Palatino Linotype" w:hAnsi="Palatino Linotype" w:cs="Palatino Linotype"/>
          <w:i/>
          <w:sz w:val="24"/>
          <w:szCs w:val="24"/>
        </w:rPr>
        <w:t xml:space="preserve"> </w:t>
      </w:r>
      <w:r w:rsidRPr="00BC10FD">
        <w:rPr>
          <w:rFonts w:ascii="Palatino Linotype" w:eastAsia="Palatino Linotype" w:hAnsi="Palatino Linotype" w:cs="Palatino Linotype"/>
          <w:sz w:val="24"/>
          <w:szCs w:val="24"/>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BC10FD">
        <w:rPr>
          <w:rFonts w:ascii="Palatino Linotype" w:eastAsia="Palatino Linotype" w:hAnsi="Palatino Linotype" w:cs="Palatino Linotype"/>
          <w:b/>
          <w:sz w:val="24"/>
          <w:szCs w:val="24"/>
          <w:u w:val="single"/>
        </w:rPr>
        <w:t>en un plazo no mayor a cinco días hábiles</w:t>
      </w:r>
      <w:r w:rsidRPr="00BC10FD">
        <w:rPr>
          <w:rFonts w:ascii="Palatino Linotype" w:eastAsia="Palatino Linotype" w:hAnsi="Palatino Linotype" w:cs="Palatino Linotype"/>
          <w:sz w:val="24"/>
          <w:szCs w:val="24"/>
        </w:rPr>
        <w:t>, comprendiendo:</w:t>
      </w:r>
    </w:p>
    <w:p w14:paraId="08BE5028"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0815B9FE"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a) La fuente</w:t>
      </w:r>
    </w:p>
    <w:p w14:paraId="448D063C"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b) El lugar y</w:t>
      </w:r>
    </w:p>
    <w:p w14:paraId="71351824"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c) La forma</w:t>
      </w:r>
    </w:p>
    <w:p w14:paraId="1CEC0FF2"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272C7BED"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Asimismo, se establece que la fuente de la información deberá ser:</w:t>
      </w:r>
    </w:p>
    <w:p w14:paraId="709AF1BC"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0338B3CF"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a) Precisa</w:t>
      </w:r>
    </w:p>
    <w:p w14:paraId="3156BF14"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b) Concreta</w:t>
      </w:r>
    </w:p>
    <w:p w14:paraId="67ED228E"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b/>
          <w:sz w:val="24"/>
          <w:szCs w:val="24"/>
          <w:u w:val="single"/>
        </w:rPr>
      </w:pPr>
      <w:r w:rsidRPr="00BC10FD">
        <w:rPr>
          <w:rFonts w:ascii="Palatino Linotype" w:eastAsia="Palatino Linotype" w:hAnsi="Palatino Linotype" w:cs="Palatino Linotype"/>
          <w:b/>
          <w:sz w:val="24"/>
          <w:szCs w:val="24"/>
          <w:u w:val="single"/>
        </w:rPr>
        <w:t>c) Y no debe implicar que el solicitante realice una búsqueda en toda la información que se encuentre disponible.</w:t>
      </w:r>
    </w:p>
    <w:p w14:paraId="0F538C96"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134518A8"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Imperativos legales que detallan el procedimiento que debe seguir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para que pueda tomarse como válida su orientación sobre la forma en que puede consultar la información requerida.</w:t>
      </w:r>
    </w:p>
    <w:p w14:paraId="5CCFA76B" w14:textId="77777777" w:rsidR="00290589" w:rsidRPr="00BC10FD"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lastRenderedPageBreak/>
        <w:t xml:space="preserve">Dicho esto, se tiene que, respecto a la información que la persona Solicitante requirió, la liga electrónica que proporcionó el </w:t>
      </w:r>
      <w:r w:rsidRPr="00BC10FD">
        <w:rPr>
          <w:rFonts w:ascii="Palatino Linotype" w:eastAsia="Palatino Linotype" w:hAnsi="Palatino Linotype" w:cs="Palatino Linotype"/>
          <w:b/>
          <w:sz w:val="24"/>
          <w:szCs w:val="24"/>
        </w:rPr>
        <w:t xml:space="preserve">Sujeto </w:t>
      </w:r>
      <w:proofErr w:type="gramStart"/>
      <w:r w:rsidRPr="00BC10FD">
        <w:rPr>
          <w:rFonts w:ascii="Palatino Linotype" w:eastAsia="Palatino Linotype" w:hAnsi="Palatino Linotype" w:cs="Palatino Linotype"/>
          <w:b/>
          <w:sz w:val="24"/>
          <w:szCs w:val="24"/>
        </w:rPr>
        <w:t>Obligado</w:t>
      </w:r>
      <w:r w:rsidRPr="00BC10FD">
        <w:rPr>
          <w:rFonts w:ascii="Palatino Linotype" w:eastAsia="Palatino Linotype" w:hAnsi="Palatino Linotype" w:cs="Palatino Linotype"/>
          <w:b/>
          <w:sz w:val="24"/>
          <w:szCs w:val="24"/>
          <w:u w:val="single"/>
        </w:rPr>
        <w:t>,</w:t>
      </w:r>
      <w:r w:rsidRPr="00BC10FD">
        <w:rPr>
          <w:rFonts w:ascii="Palatino Linotype" w:eastAsia="Palatino Linotype" w:hAnsi="Palatino Linotype" w:cs="Palatino Linotype"/>
          <w:b/>
          <w:sz w:val="24"/>
          <w:szCs w:val="24"/>
        </w:rPr>
        <w:t xml:space="preserve">  </w:t>
      </w:r>
      <w:r w:rsidR="00090CE1" w:rsidRPr="00BC10FD">
        <w:rPr>
          <w:rFonts w:ascii="Palatino Linotype" w:eastAsia="Palatino Linotype" w:hAnsi="Palatino Linotype" w:cs="Palatino Linotype"/>
          <w:b/>
          <w:sz w:val="24"/>
          <w:szCs w:val="24"/>
          <w:u w:val="single"/>
        </w:rPr>
        <w:t>no</w:t>
      </w:r>
      <w:proofErr w:type="gramEnd"/>
      <w:r w:rsidR="00090CE1" w:rsidRPr="00BC10FD">
        <w:rPr>
          <w:rFonts w:ascii="Palatino Linotype" w:eastAsia="Palatino Linotype" w:hAnsi="Palatino Linotype" w:cs="Palatino Linotype"/>
          <w:b/>
          <w:sz w:val="24"/>
          <w:szCs w:val="24"/>
          <w:u w:val="single"/>
        </w:rPr>
        <w:t xml:space="preserve"> direcciona</w:t>
      </w:r>
      <w:r w:rsidRPr="00BC10FD">
        <w:rPr>
          <w:rFonts w:ascii="Palatino Linotype" w:eastAsia="Palatino Linotype" w:hAnsi="Palatino Linotype" w:cs="Palatino Linotype"/>
          <w:b/>
          <w:sz w:val="24"/>
          <w:szCs w:val="24"/>
          <w:u w:val="single"/>
        </w:rPr>
        <w:t xml:space="preserve"> a</w:t>
      </w:r>
      <w:r w:rsidR="00984251" w:rsidRPr="00BC10FD">
        <w:rPr>
          <w:rFonts w:ascii="Palatino Linotype" w:eastAsia="Palatino Linotype" w:hAnsi="Palatino Linotype" w:cs="Palatino Linotype"/>
          <w:b/>
          <w:sz w:val="24"/>
          <w:szCs w:val="24"/>
          <w:u w:val="single"/>
        </w:rPr>
        <w:t xml:space="preserve"> </w:t>
      </w:r>
      <w:r w:rsidRPr="00BC10FD">
        <w:rPr>
          <w:rFonts w:ascii="Palatino Linotype" w:eastAsia="Palatino Linotype" w:hAnsi="Palatino Linotype" w:cs="Palatino Linotype"/>
          <w:b/>
          <w:sz w:val="24"/>
          <w:szCs w:val="24"/>
          <w:u w:val="single"/>
        </w:rPr>
        <w:t>l</w:t>
      </w:r>
      <w:r w:rsidR="00984251" w:rsidRPr="00BC10FD">
        <w:rPr>
          <w:rFonts w:ascii="Palatino Linotype" w:eastAsia="Palatino Linotype" w:hAnsi="Palatino Linotype" w:cs="Palatino Linotype"/>
          <w:b/>
          <w:sz w:val="24"/>
          <w:szCs w:val="24"/>
          <w:u w:val="single"/>
        </w:rPr>
        <w:t>as</w:t>
      </w:r>
      <w:r w:rsidRPr="00BC10FD">
        <w:rPr>
          <w:rFonts w:ascii="Palatino Linotype" w:eastAsia="Palatino Linotype" w:hAnsi="Palatino Linotype" w:cs="Palatino Linotype"/>
          <w:b/>
          <w:sz w:val="24"/>
          <w:szCs w:val="24"/>
          <w:u w:val="single"/>
        </w:rPr>
        <w:t xml:space="preserve"> </w:t>
      </w:r>
      <w:r w:rsidR="00984251" w:rsidRPr="00BC10FD">
        <w:rPr>
          <w:rFonts w:ascii="Palatino Linotype" w:eastAsia="Palatino Linotype" w:hAnsi="Palatino Linotype" w:cs="Palatino Linotype"/>
          <w:b/>
          <w:sz w:val="24"/>
          <w:szCs w:val="24"/>
          <w:u w:val="single"/>
        </w:rPr>
        <w:t>licencias de construcción de los ejercicios 2021, 2022 y 2023</w:t>
      </w:r>
      <w:r w:rsidRPr="00BC10FD">
        <w:rPr>
          <w:rFonts w:ascii="Palatino Linotype" w:eastAsia="Palatino Linotype" w:hAnsi="Palatino Linotype" w:cs="Palatino Linotype"/>
          <w:b/>
          <w:sz w:val="24"/>
          <w:szCs w:val="24"/>
          <w:u w:val="single"/>
        </w:rPr>
        <w:t>,</w:t>
      </w:r>
      <w:r w:rsidRPr="00BC10FD">
        <w:rPr>
          <w:rFonts w:ascii="Palatino Linotype" w:eastAsia="Palatino Linotype" w:hAnsi="Palatino Linotype" w:cs="Palatino Linotype"/>
          <w:sz w:val="24"/>
          <w:szCs w:val="24"/>
        </w:rPr>
        <w:t xml:space="preserve"> por el contrario</w:t>
      </w:r>
      <w:r w:rsidR="00090CE1" w:rsidRPr="00BC10FD">
        <w:rPr>
          <w:rFonts w:ascii="Palatino Linotype" w:eastAsia="Palatino Linotype" w:hAnsi="Palatino Linotype" w:cs="Palatino Linotype"/>
          <w:sz w:val="24"/>
          <w:szCs w:val="24"/>
        </w:rPr>
        <w:t>,</w:t>
      </w:r>
      <w:r w:rsidRPr="00BC10FD">
        <w:rPr>
          <w:rFonts w:ascii="Palatino Linotype" w:eastAsia="Palatino Linotype" w:hAnsi="Palatino Linotype" w:cs="Palatino Linotype"/>
          <w:sz w:val="24"/>
          <w:szCs w:val="24"/>
        </w:rPr>
        <w:t xml:space="preserve"> implica que </w:t>
      </w:r>
      <w:r w:rsidR="00090CE1" w:rsidRPr="00BC10FD">
        <w:rPr>
          <w:rFonts w:ascii="Palatino Linotype" w:eastAsia="Palatino Linotype" w:hAnsi="Palatino Linotype" w:cs="Palatino Linotype"/>
          <w:sz w:val="24"/>
          <w:szCs w:val="24"/>
        </w:rPr>
        <w:t xml:space="preserve">la persona solicitante </w:t>
      </w:r>
      <w:r w:rsidRPr="00BC10FD">
        <w:rPr>
          <w:rFonts w:ascii="Palatino Linotype" w:eastAsia="Palatino Linotype" w:hAnsi="Palatino Linotype" w:cs="Palatino Linotype"/>
          <w:sz w:val="24"/>
          <w:szCs w:val="24"/>
        </w:rPr>
        <w:t xml:space="preserve">tenga que realizar una búsqueda en la página proporcionada, por lo que, se determina que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no observó lo que dispone el artículo 161 de la Ley en la materia.</w:t>
      </w:r>
    </w:p>
    <w:p w14:paraId="25568B2A" w14:textId="77777777" w:rsidR="00586F44" w:rsidRPr="00BC10FD" w:rsidRDefault="00586F44" w:rsidP="00A5485F">
      <w:pPr>
        <w:spacing w:after="0" w:line="360" w:lineRule="auto"/>
        <w:ind w:right="-7"/>
        <w:jc w:val="both"/>
        <w:rPr>
          <w:rFonts w:ascii="Palatino Linotype" w:eastAsia="Palatino Linotype" w:hAnsi="Palatino Linotype" w:cs="Palatino Linotype"/>
          <w:sz w:val="24"/>
          <w:szCs w:val="24"/>
        </w:rPr>
      </w:pPr>
    </w:p>
    <w:p w14:paraId="04259531" w14:textId="41A151A4"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 xml:space="preserve">Ahora </w:t>
      </w:r>
      <w:r w:rsidR="001C133F" w:rsidRPr="00BC10FD">
        <w:rPr>
          <w:rFonts w:ascii="Palatino Linotype" w:eastAsia="Palatino Linotype" w:hAnsi="Palatino Linotype" w:cs="Palatino Linotype"/>
          <w:sz w:val="24"/>
          <w:szCs w:val="24"/>
        </w:rPr>
        <w:t>bien,</w:t>
      </w:r>
      <w:r w:rsidRPr="00BC10FD">
        <w:rPr>
          <w:rFonts w:ascii="Palatino Linotype" w:eastAsia="Palatino Linotype" w:hAnsi="Palatino Linotype" w:cs="Palatino Linotype"/>
          <w:sz w:val="24"/>
          <w:szCs w:val="24"/>
        </w:rPr>
        <w:t xml:space="preserve"> respecto al fundamento leal para emitir dicha información –licencias de </w:t>
      </w:r>
      <w:r w:rsidR="001C133F" w:rsidRPr="00BC10FD">
        <w:rPr>
          <w:rFonts w:ascii="Palatino Linotype" w:eastAsia="Palatino Linotype" w:hAnsi="Palatino Linotype" w:cs="Palatino Linotype"/>
          <w:sz w:val="24"/>
          <w:szCs w:val="24"/>
        </w:rPr>
        <w:t>construcción</w:t>
      </w:r>
      <w:r w:rsidRPr="00BC10FD">
        <w:rPr>
          <w:rFonts w:ascii="Palatino Linotype" w:eastAsia="Palatino Linotype" w:hAnsi="Palatino Linotype" w:cs="Palatino Linotype"/>
          <w:sz w:val="24"/>
          <w:szCs w:val="24"/>
        </w:rPr>
        <w:t>-, es necesario remitirnos al contenido del artículo 115 fracciones I, II y V de la Constitución Política de los Estados Unidos Mexicanos que establece en lo que nos interesa, lo siguiente: </w:t>
      </w:r>
    </w:p>
    <w:p w14:paraId="30D91E7E" w14:textId="77777777" w:rsidR="00BF4662" w:rsidRPr="00BC10FD" w:rsidRDefault="00BF4662" w:rsidP="00BF4662">
      <w:pPr>
        <w:spacing w:after="0" w:line="240" w:lineRule="auto"/>
        <w:rPr>
          <w:rFonts w:ascii="Palatino Linotype" w:eastAsia="Palatino Linotype" w:hAnsi="Palatino Linotype" w:cs="Palatino Linotype"/>
          <w:sz w:val="24"/>
          <w:szCs w:val="24"/>
        </w:rPr>
      </w:pPr>
    </w:p>
    <w:p w14:paraId="14738944" w14:textId="77777777" w:rsidR="00BF4662" w:rsidRPr="00BC10FD" w:rsidRDefault="00BF4662" w:rsidP="00BF4662">
      <w:pPr>
        <w:spacing w:after="0" w:line="240" w:lineRule="auto"/>
        <w:ind w:left="567" w:right="567"/>
        <w:jc w:val="both"/>
        <w:rPr>
          <w:rFonts w:ascii="Palatino Linotype" w:eastAsia="Palatino Linotype" w:hAnsi="Palatino Linotype" w:cs="Palatino Linotype"/>
          <w:i/>
        </w:rPr>
      </w:pPr>
      <w:r w:rsidRPr="00BC10FD">
        <w:rPr>
          <w:rFonts w:ascii="Palatino Linotype" w:eastAsia="Palatino Linotype" w:hAnsi="Palatino Linotype" w:cs="Palatino Linotype"/>
          <w:sz w:val="24"/>
          <w:szCs w:val="24"/>
        </w:rPr>
        <w:t>“</w:t>
      </w:r>
      <w:r w:rsidRPr="00BC10FD">
        <w:rPr>
          <w:rFonts w:ascii="Palatino Linotype" w:eastAsia="Palatino Linotype" w:hAnsi="Palatino Linotype" w:cs="Palatino Linotype"/>
          <w:b/>
          <w:i/>
        </w:rPr>
        <w:t>Artículo 115.</w:t>
      </w:r>
      <w:r w:rsidRPr="00BC10FD">
        <w:rPr>
          <w:rFonts w:ascii="Palatino Linotype" w:eastAsia="Palatino Linotype" w:hAnsi="Palatino Linotype" w:cs="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2F659FBD"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p>
    <w:p w14:paraId="68ADEBAD"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xml:space="preserve">I. Cada Municipio será gobernado por un Ayuntamiento de elección popular directa, integrado por un </w:t>
      </w:r>
      <w:proofErr w:type="gramStart"/>
      <w:r w:rsidRPr="00BC10FD">
        <w:rPr>
          <w:rFonts w:ascii="Palatino Linotype" w:eastAsia="Palatino Linotype" w:hAnsi="Palatino Linotype" w:cs="Palatino Linotype"/>
          <w:i/>
        </w:rPr>
        <w:t>Presidente</w:t>
      </w:r>
      <w:proofErr w:type="gramEnd"/>
      <w:r w:rsidRPr="00BC10FD">
        <w:rPr>
          <w:rFonts w:ascii="Palatino Linotype" w:eastAsia="Palatino Linotype" w:hAnsi="Palatino Linotype" w:cs="Palatino Linotype"/>
          <w:i/>
        </w:rPr>
        <w:t xml:space="preserv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733739C4"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w:t>
      </w:r>
    </w:p>
    <w:p w14:paraId="28AFFFF4"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2FAEEEA"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w:t>
      </w:r>
    </w:p>
    <w:p w14:paraId="6FAC2E1E"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lastRenderedPageBreak/>
        <w:t>V. Los Municipios, en los términos de las leyes federales y Estatales relativas, estarán facultados para: </w:t>
      </w:r>
    </w:p>
    <w:p w14:paraId="3B722E0F"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xml:space="preserve"> (…)</w:t>
      </w:r>
    </w:p>
    <w:p w14:paraId="265DDB47"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b/>
          <w:i/>
          <w:u w:val="single"/>
        </w:rPr>
        <w:t>f) Otorgar licencias y permisos para construcciones</w:t>
      </w:r>
      <w:r w:rsidRPr="00BC10FD">
        <w:rPr>
          <w:rFonts w:ascii="Palatino Linotype" w:eastAsia="Palatino Linotype" w:hAnsi="Palatino Linotype" w:cs="Palatino Linotype"/>
          <w:i/>
        </w:rPr>
        <w:t>; (Sic)</w:t>
      </w:r>
    </w:p>
    <w:p w14:paraId="79B206DC" w14:textId="77777777" w:rsidR="00BF4662" w:rsidRPr="00BC10FD" w:rsidRDefault="00BF4662" w:rsidP="00BF4662">
      <w:pPr>
        <w:spacing w:after="0" w:line="360" w:lineRule="auto"/>
        <w:rPr>
          <w:rFonts w:ascii="Palatino Linotype" w:eastAsia="Palatino Linotype" w:hAnsi="Palatino Linotype" w:cs="Palatino Linotype"/>
          <w:sz w:val="24"/>
          <w:szCs w:val="24"/>
        </w:rPr>
      </w:pPr>
    </w:p>
    <w:p w14:paraId="3DBE1E7B"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Así, del texto transcrito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jurídica y patrimonio propio, en este sentido tendrán la facultad de aprobar con acuerdo a las leyes su bando, reglamentos, circulares y disposiciones administrativas de observancia general dentro de su circunscripción.</w:t>
      </w:r>
    </w:p>
    <w:p w14:paraId="41A43890" w14:textId="77777777" w:rsidR="00BF4662" w:rsidRPr="00BC10FD" w:rsidRDefault="00BF4662" w:rsidP="00BF4662">
      <w:pPr>
        <w:spacing w:after="0" w:line="360" w:lineRule="auto"/>
        <w:rPr>
          <w:rFonts w:ascii="Times New Roman" w:eastAsia="Times New Roman" w:hAnsi="Times New Roman" w:cs="Times New Roman"/>
          <w:sz w:val="24"/>
          <w:szCs w:val="24"/>
        </w:rPr>
      </w:pPr>
    </w:p>
    <w:p w14:paraId="541ACB05"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 xml:space="preserve">Asimismo, </w:t>
      </w:r>
      <w:r w:rsidRPr="00BC10FD">
        <w:rPr>
          <w:rFonts w:ascii="Palatino Linotype" w:eastAsia="Palatino Linotype" w:hAnsi="Palatino Linotype" w:cs="Palatino Linotype"/>
          <w:b/>
          <w:sz w:val="24"/>
          <w:szCs w:val="24"/>
          <w:u w:val="single"/>
        </w:rPr>
        <w:t>están facultados para otorgar licencias y permisos para construcciones. </w:t>
      </w:r>
    </w:p>
    <w:p w14:paraId="22EB6F70" w14:textId="77777777" w:rsidR="00BF4662" w:rsidRPr="00BC10FD" w:rsidRDefault="00BF4662" w:rsidP="00BF4662">
      <w:pPr>
        <w:spacing w:after="0" w:line="360" w:lineRule="auto"/>
        <w:rPr>
          <w:rFonts w:ascii="Times New Roman" w:eastAsia="Times New Roman" w:hAnsi="Times New Roman" w:cs="Times New Roman"/>
          <w:sz w:val="24"/>
          <w:szCs w:val="24"/>
        </w:rPr>
      </w:pPr>
    </w:p>
    <w:p w14:paraId="3D1ECF63"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Por su parte, la Ley Orgánica Municipal del Estado de México lo siguiente:</w:t>
      </w:r>
    </w:p>
    <w:p w14:paraId="6206EF8A" w14:textId="77777777" w:rsidR="00BF4662" w:rsidRPr="00BC10FD" w:rsidRDefault="00BF4662" w:rsidP="00BF4662">
      <w:pPr>
        <w:spacing w:after="0" w:line="240" w:lineRule="auto"/>
        <w:ind w:right="567"/>
        <w:jc w:val="both"/>
        <w:rPr>
          <w:rFonts w:ascii="Times New Roman" w:eastAsia="Times New Roman" w:hAnsi="Times New Roman" w:cs="Times New Roman"/>
          <w:sz w:val="24"/>
          <w:szCs w:val="24"/>
        </w:rPr>
      </w:pPr>
    </w:p>
    <w:p w14:paraId="3F207486"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b/>
          <w:i/>
        </w:rPr>
        <w:t>Artículo 31.-</w:t>
      </w:r>
      <w:r w:rsidRPr="00BC10FD">
        <w:rPr>
          <w:rFonts w:ascii="Palatino Linotype" w:eastAsia="Palatino Linotype" w:hAnsi="Palatino Linotype" w:cs="Palatino Linotype"/>
          <w:i/>
        </w:rPr>
        <w:t xml:space="preserve"> Son atribuciones de los ayuntamientos: </w:t>
      </w:r>
    </w:p>
    <w:p w14:paraId="5B230807"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w:t>
      </w:r>
    </w:p>
    <w:p w14:paraId="69F7DC17"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xml:space="preserve">XXIV </w:t>
      </w:r>
      <w:proofErr w:type="spellStart"/>
      <w:r w:rsidRPr="00BC10FD">
        <w:rPr>
          <w:rFonts w:ascii="Palatino Linotype" w:eastAsia="Palatino Linotype" w:hAnsi="Palatino Linotype" w:cs="Palatino Linotype"/>
          <w:i/>
        </w:rPr>
        <w:t>Quáter</w:t>
      </w:r>
      <w:proofErr w:type="spellEnd"/>
      <w:r w:rsidRPr="00BC10FD">
        <w:rPr>
          <w:rFonts w:ascii="Palatino Linotype" w:eastAsia="Palatino Linotype" w:hAnsi="Palatino Linotype" w:cs="Palatino Linotype"/>
          <w:i/>
        </w:rPr>
        <w:t>. Otorgar licencias y permisos para construcciones privadas, para el funcionamiento de unidades económicas o establecimientos destinados a la enajenación, reparación o mantenimiento de vehículos automotores usados y autopartes nuevas y usadas, parques y desarrollos industriales, urbanos y de servicios. </w:t>
      </w:r>
    </w:p>
    <w:p w14:paraId="64C35F9B" w14:textId="77777777" w:rsidR="00BF4662" w:rsidRPr="00BC10FD" w:rsidRDefault="00BF4662" w:rsidP="00BF4662">
      <w:pPr>
        <w:spacing w:after="0" w:line="240" w:lineRule="auto"/>
        <w:ind w:left="567" w:right="567"/>
        <w:jc w:val="both"/>
        <w:rPr>
          <w:rFonts w:ascii="Palatino Linotype" w:eastAsia="Palatino Linotype" w:hAnsi="Palatino Linotype" w:cs="Palatino Linotype"/>
          <w:i/>
        </w:rPr>
      </w:pPr>
    </w:p>
    <w:p w14:paraId="3637A3D0"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b/>
          <w:i/>
        </w:rPr>
        <w:t>Artículo 96.</w:t>
      </w:r>
      <w:r w:rsidRPr="00BC10FD">
        <w:rPr>
          <w:rFonts w:ascii="Palatino Linotype" w:eastAsia="Palatino Linotype" w:hAnsi="Palatino Linotype" w:cs="Palatino Linotype"/>
          <w:i/>
        </w:rPr>
        <w:t xml:space="preserve"> </w:t>
      </w:r>
      <w:proofErr w:type="spellStart"/>
      <w:proofErr w:type="gramStart"/>
      <w:r w:rsidRPr="00BC10FD">
        <w:rPr>
          <w:rFonts w:ascii="Palatino Linotype" w:eastAsia="Palatino Linotype" w:hAnsi="Palatino Linotype" w:cs="Palatino Linotype"/>
          <w:i/>
        </w:rPr>
        <w:t>Sexies</w:t>
      </w:r>
      <w:proofErr w:type="spellEnd"/>
      <w:r w:rsidRPr="00BC10FD">
        <w:rPr>
          <w:rFonts w:ascii="Palatino Linotype" w:eastAsia="Palatino Linotype" w:hAnsi="Palatino Linotype" w:cs="Palatino Linotype"/>
          <w:i/>
        </w:rPr>
        <w:t>.-</w:t>
      </w:r>
      <w:proofErr w:type="gramEnd"/>
      <w:r w:rsidRPr="00BC10FD">
        <w:rPr>
          <w:rFonts w:ascii="Palatino Linotype" w:eastAsia="Palatino Linotype" w:hAnsi="Palatino Linotype" w:cs="Palatino Linotype"/>
          <w:i/>
        </w:rPr>
        <w:t xml:space="preserve"> </w:t>
      </w:r>
      <w:r w:rsidRPr="00BC10FD">
        <w:rPr>
          <w:rFonts w:ascii="Palatino Linotype" w:eastAsia="Palatino Linotype" w:hAnsi="Palatino Linotype" w:cs="Palatino Linotype"/>
          <w:b/>
          <w:i/>
          <w:u w:val="single"/>
        </w:rPr>
        <w:t>El Director de Desarrollo Urbano</w:t>
      </w:r>
      <w:r w:rsidRPr="00BC10FD">
        <w:rPr>
          <w:rFonts w:ascii="Palatino Linotype" w:eastAsia="Palatino Linotype" w:hAnsi="Palatino Linotype" w:cs="Palatino Linotype"/>
          <w:i/>
        </w:rPr>
        <w:t xml:space="preserve"> o el Titular de la Unidad Administrativa equivalente, tiene las atribuciones siguientes: </w:t>
      </w:r>
    </w:p>
    <w:p w14:paraId="0F9428A0" w14:textId="77777777" w:rsidR="00BF4662" w:rsidRPr="00BC10FD" w:rsidRDefault="00BF4662" w:rsidP="00BF4662">
      <w:pPr>
        <w:spacing w:after="0" w:line="240" w:lineRule="auto"/>
        <w:ind w:left="567" w:right="567"/>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41E72F3B"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xml:space="preserve"> VI. Analizar las cédulas informativas de zonificación, licencias de uso de suelo y </w:t>
      </w:r>
      <w:r w:rsidRPr="00BC10FD">
        <w:rPr>
          <w:rFonts w:ascii="Palatino Linotype" w:eastAsia="Palatino Linotype" w:hAnsi="Palatino Linotype" w:cs="Palatino Linotype"/>
          <w:b/>
          <w:i/>
          <w:u w:val="single"/>
        </w:rPr>
        <w:t>licencias de construcción</w:t>
      </w:r>
      <w:r w:rsidRPr="00BC10FD">
        <w:rPr>
          <w:rFonts w:ascii="Palatino Linotype" w:eastAsia="Palatino Linotype" w:hAnsi="Palatino Linotype" w:cs="Palatino Linotype"/>
          <w:i/>
        </w:rPr>
        <w:t>; </w:t>
      </w:r>
    </w:p>
    <w:p w14:paraId="5D0BD19C" w14:textId="77777777" w:rsidR="00BF4662" w:rsidRPr="00BC10FD" w:rsidRDefault="00BF4662" w:rsidP="00BF4662">
      <w:pPr>
        <w:spacing w:after="0" w:line="240" w:lineRule="auto"/>
        <w:ind w:left="567" w:right="567"/>
        <w:jc w:val="both"/>
        <w:rPr>
          <w:rFonts w:ascii="Palatino Linotype" w:eastAsia="Palatino Linotype" w:hAnsi="Palatino Linotype" w:cs="Palatino Linotype"/>
          <w:i/>
        </w:rPr>
      </w:pPr>
      <w:r w:rsidRPr="00BC10FD">
        <w:rPr>
          <w:rFonts w:ascii="Palatino Linotype" w:eastAsia="Palatino Linotype" w:hAnsi="Palatino Linotype" w:cs="Palatino Linotype"/>
          <w:i/>
        </w:rPr>
        <w:t>VII. Vigilar la utilización y aprovechamiento del suelo con fines urbanos, en su circunscripción territorial;</w:t>
      </w:r>
    </w:p>
    <w:p w14:paraId="29752C15"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lastRenderedPageBreak/>
        <w:t xml:space="preserve">…” </w:t>
      </w:r>
    </w:p>
    <w:p w14:paraId="0F28F660" w14:textId="77777777" w:rsidR="00BF4662" w:rsidRPr="00BC10FD" w:rsidRDefault="00BF4662" w:rsidP="00BF4662">
      <w:pPr>
        <w:spacing w:after="0" w:line="240" w:lineRule="auto"/>
        <w:rPr>
          <w:rFonts w:ascii="Times New Roman" w:eastAsia="Times New Roman" w:hAnsi="Times New Roman" w:cs="Times New Roman"/>
          <w:sz w:val="24"/>
          <w:szCs w:val="24"/>
        </w:rPr>
      </w:pPr>
    </w:p>
    <w:p w14:paraId="31808510"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 xml:space="preserve">Luego entonces le corresponde al Ayuntamiento, </w:t>
      </w:r>
      <w:r w:rsidR="00C84E95" w:rsidRPr="00BC10FD">
        <w:rPr>
          <w:rFonts w:ascii="Palatino Linotype" w:eastAsia="Palatino Linotype" w:hAnsi="Palatino Linotype" w:cs="Palatino Linotype"/>
          <w:sz w:val="24"/>
          <w:szCs w:val="24"/>
        </w:rPr>
        <w:t>la atribución</w:t>
      </w:r>
      <w:r w:rsidRPr="00BC10FD">
        <w:rPr>
          <w:rFonts w:ascii="Palatino Linotype" w:eastAsia="Palatino Linotype" w:hAnsi="Palatino Linotype" w:cs="Palatino Linotype"/>
          <w:sz w:val="24"/>
          <w:szCs w:val="24"/>
        </w:rPr>
        <w:t xml:space="preserve"> de otorgar licencias de construcción a través del </w:t>
      </w:r>
      <w:proofErr w:type="gramStart"/>
      <w:r w:rsidRPr="00BC10FD">
        <w:rPr>
          <w:rFonts w:ascii="Palatino Linotype" w:eastAsia="Palatino Linotype" w:hAnsi="Palatino Linotype" w:cs="Palatino Linotype"/>
          <w:b/>
          <w:sz w:val="24"/>
          <w:szCs w:val="24"/>
        </w:rPr>
        <w:t>Director</w:t>
      </w:r>
      <w:proofErr w:type="gramEnd"/>
      <w:r w:rsidRPr="00BC10FD">
        <w:rPr>
          <w:rFonts w:ascii="Palatino Linotype" w:eastAsia="Palatino Linotype" w:hAnsi="Palatino Linotype" w:cs="Palatino Linotype"/>
          <w:b/>
          <w:sz w:val="24"/>
          <w:szCs w:val="24"/>
        </w:rPr>
        <w:t xml:space="preserve"> de Desarrollo Urbano</w:t>
      </w:r>
      <w:r w:rsidRPr="00BC10FD">
        <w:rPr>
          <w:rFonts w:ascii="Palatino Linotype" w:eastAsia="Palatino Linotype" w:hAnsi="Palatino Linotype" w:cs="Palatino Linotype"/>
          <w:sz w:val="24"/>
          <w:szCs w:val="24"/>
        </w:rPr>
        <w:t>. </w:t>
      </w:r>
    </w:p>
    <w:p w14:paraId="2A7D7587"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p>
    <w:p w14:paraId="2A129728"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En armonía con lo señalado anteriormente,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 </w:t>
      </w:r>
    </w:p>
    <w:p w14:paraId="263DAE94" w14:textId="77777777" w:rsidR="00BF4662" w:rsidRPr="00BC10FD" w:rsidRDefault="00BF4662" w:rsidP="00BF4662">
      <w:pPr>
        <w:spacing w:after="0" w:line="360" w:lineRule="auto"/>
        <w:rPr>
          <w:rFonts w:ascii="Times New Roman" w:eastAsia="Times New Roman" w:hAnsi="Times New Roman" w:cs="Times New Roman"/>
          <w:sz w:val="24"/>
          <w:szCs w:val="24"/>
        </w:rPr>
      </w:pPr>
    </w:p>
    <w:p w14:paraId="275F1D76"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06FA0C77" w14:textId="77777777" w:rsidR="00BF4662" w:rsidRPr="00BC10FD" w:rsidRDefault="00BF4662" w:rsidP="00BF4662">
      <w:pPr>
        <w:spacing w:after="0" w:line="240" w:lineRule="auto"/>
        <w:rPr>
          <w:rFonts w:ascii="Times New Roman" w:eastAsia="Times New Roman" w:hAnsi="Times New Roman" w:cs="Times New Roman"/>
          <w:sz w:val="24"/>
          <w:szCs w:val="24"/>
        </w:rPr>
      </w:pPr>
    </w:p>
    <w:p w14:paraId="41BCE77B"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“Artículo 18.3.- Toda construcción se sujetará a lo siguiente: </w:t>
      </w:r>
    </w:p>
    <w:p w14:paraId="070920A5"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 A las disposiciones de este Libro, del Libro Quinto del Código y su Reglamento, a las Normas Técnicas y a las demás disposiciones jurídicas aplicables; </w:t>
      </w:r>
    </w:p>
    <w:p w14:paraId="04360DF2"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II. Requerirán para su ejecución de la correspondiente licencia de construcción, salvo los casos de excepción que se establecen en este Libro; </w:t>
      </w:r>
    </w:p>
    <w:p w14:paraId="28C1B2A4"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III. Requerirán de la respectiva constancia de terminación de obra; </w:t>
      </w:r>
    </w:p>
    <w:p w14:paraId="29EEFA1F"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IV. Observarán la normatividad de uso y aprovechamiento del suelo contenida en los planes de desarrollo urbano correspondientes; </w:t>
      </w:r>
    </w:p>
    <w:p w14:paraId="4FFE481C"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lastRenderedPageBreak/>
        <w:t>V. Contarán con los cajones de estacionamiento que establezca el plan municipal de desarrollo urbano correspondiente, atendiendo lo que al respecto determine la normatividad aplicable; </w:t>
      </w:r>
    </w:p>
    <w:p w14:paraId="692133A2"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 Garantizarán su iluminación, ventilación y asoleamiento, la mitigación de efectos negativos que puedan causar a las construcciones vecinas; </w:t>
      </w:r>
    </w:p>
    <w:p w14:paraId="39C6C969"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VII. Cumplirán los requisitos de seguridad estructural que les permitan satisfacer los fines para los cuales fueron proyectadas; </w:t>
      </w:r>
    </w:p>
    <w:p w14:paraId="1A2988C7"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VIII. Estarán provistas de los servicios básicos de agua potable, desalojo de aguas residuales y energía eléctrica; </w:t>
      </w:r>
    </w:p>
    <w:p w14:paraId="467106A5"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IX. Dispondrán de espacios y muebles sanitarios de bajo consumo de agua, en número suficiente para los usuarios y de conformidad a las normas oficiales mexicanas; </w:t>
      </w:r>
    </w:p>
    <w:p w14:paraId="7918C54D"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X. Cumplirán con las previsiones correspondientes a protección civil, ingeniería sanitaria y personas con discapacidad; </w:t>
      </w:r>
    </w:p>
    <w:p w14:paraId="46560140"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6C7ACBD7" w14:textId="77777777" w:rsidR="00BF4662" w:rsidRPr="00BC10FD" w:rsidRDefault="00BF4662" w:rsidP="00BF4662">
      <w:pPr>
        <w:spacing w:after="0" w:line="276"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XII. Las dedicadas a servicios de radiotelecomunicación o similares y anuncios publicitarios que requieran elementos estructurales, fomentarán su integración al contexto y se ajustarán a las disposiciones aplicables; y </w:t>
      </w:r>
    </w:p>
    <w:p w14:paraId="3DEADDE8" w14:textId="77777777" w:rsidR="00BF4662" w:rsidRPr="00BC10FD" w:rsidRDefault="00BF4662" w:rsidP="00BF4662">
      <w:pPr>
        <w:spacing w:after="0" w:line="276"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XIII. Procurarán la utilización de tecnologías a efecto de lograr un aprovechamiento sustentable de los recursos naturales y el cuidado de la biosfera.”</w:t>
      </w:r>
    </w:p>
    <w:p w14:paraId="764FEF36" w14:textId="77777777" w:rsidR="00BF4662" w:rsidRPr="00BC10FD" w:rsidRDefault="00BF4662" w:rsidP="00BF4662">
      <w:pPr>
        <w:spacing w:after="0" w:line="360" w:lineRule="auto"/>
        <w:rPr>
          <w:rFonts w:ascii="Palatino Linotype" w:eastAsia="Palatino Linotype" w:hAnsi="Palatino Linotype" w:cs="Palatino Linotype"/>
          <w:sz w:val="24"/>
          <w:szCs w:val="24"/>
        </w:rPr>
      </w:pPr>
    </w:p>
    <w:p w14:paraId="7398D3F7"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 xml:space="preserve">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w:t>
      </w:r>
      <w:r w:rsidRPr="00BC10FD">
        <w:rPr>
          <w:rFonts w:ascii="Palatino Linotype" w:eastAsia="Palatino Linotype" w:hAnsi="Palatino Linotype" w:cs="Palatino Linotype"/>
          <w:sz w:val="24"/>
          <w:szCs w:val="24"/>
        </w:rPr>
        <w:lastRenderedPageBreak/>
        <w:t>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4908938E" w14:textId="77777777" w:rsidR="00BF4662" w:rsidRPr="00BC10FD" w:rsidRDefault="00BF4662" w:rsidP="00BF4662">
      <w:pPr>
        <w:spacing w:after="0" w:line="240" w:lineRule="auto"/>
        <w:rPr>
          <w:rFonts w:ascii="Palatino Linotype" w:eastAsia="Palatino Linotype" w:hAnsi="Palatino Linotype" w:cs="Palatino Linotype"/>
          <w:sz w:val="24"/>
          <w:szCs w:val="24"/>
        </w:rPr>
      </w:pPr>
    </w:p>
    <w:p w14:paraId="69118CEB"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“Artículo 18.20.- La licencia de construcción tiene por objeto autorizar: </w:t>
      </w:r>
    </w:p>
    <w:p w14:paraId="61580782"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 Obra nueva; </w:t>
      </w:r>
    </w:p>
    <w:p w14:paraId="0924F4E6"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II. Ampliación, modificación o reparación que afecte elementos estructurales de la obra existente; </w:t>
      </w:r>
    </w:p>
    <w:p w14:paraId="69D3D9E5"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III. Demolición parcial o total;</w:t>
      </w:r>
    </w:p>
    <w:p w14:paraId="7F5B04D3"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IV. Excavación o relleno; </w:t>
      </w:r>
    </w:p>
    <w:p w14:paraId="61D4FC4D"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 Construcción de bardas; </w:t>
      </w:r>
    </w:p>
    <w:p w14:paraId="42DFF44F"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 Obras de conexión a las redes de agua potable y drenaje; </w:t>
      </w:r>
    </w:p>
    <w:p w14:paraId="24AC487A"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VII. Modificación del proyecto de una obra autorizada; </w:t>
      </w:r>
    </w:p>
    <w:p w14:paraId="006538A1"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VIII. Construcción e instalación de estaciones repetidoras y antenas para radiotelecomunicaciones; </w:t>
      </w:r>
    </w:p>
    <w:p w14:paraId="463A36D4"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IX. Anuncios publicitarios que requieran de elementos estructurales; y </w:t>
      </w:r>
    </w:p>
    <w:p w14:paraId="425641A7"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X. Instalaciones o modificaciones de ascensores para personas, montacargas, escaleras mecánicas o cualquier otro mecanismo de transporte electromecánico. </w:t>
      </w:r>
    </w:p>
    <w:p w14:paraId="02217558"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589F63FE"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75CBFBDC" w14:textId="77777777" w:rsidR="00BF4662" w:rsidRPr="00BC10FD" w:rsidRDefault="00BF4662" w:rsidP="00BF4662">
      <w:pPr>
        <w:spacing w:after="0" w:line="240" w:lineRule="auto"/>
        <w:ind w:left="567" w:right="567"/>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 xml:space="preserve">Quedan exceptuadas de obtener la licencia de construcción a que se refiere el presente artículo, las obras que se ejecuten en bienes inmuebles que sean propiedad o posesión del Gobierno del Estado de México y destinados a la prestación de servicios públicos.” </w:t>
      </w:r>
    </w:p>
    <w:p w14:paraId="2D8A300B" w14:textId="77777777" w:rsidR="00BF4662" w:rsidRPr="00BC10FD" w:rsidRDefault="00BF4662" w:rsidP="00BF4662">
      <w:pPr>
        <w:spacing w:after="0" w:line="240" w:lineRule="auto"/>
        <w:rPr>
          <w:rFonts w:ascii="Palatino Linotype" w:eastAsia="Palatino Linotype" w:hAnsi="Palatino Linotype" w:cs="Palatino Linotype"/>
          <w:sz w:val="24"/>
          <w:szCs w:val="24"/>
        </w:rPr>
      </w:pPr>
    </w:p>
    <w:p w14:paraId="2961D90F"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lastRenderedPageBreak/>
        <w:t xml:space="preserve">En ese sentido se comprende, que </w:t>
      </w:r>
      <w:r w:rsidR="00C84E95" w:rsidRPr="00BC10FD">
        <w:rPr>
          <w:rFonts w:ascii="Palatino Linotype" w:eastAsia="Palatino Linotype" w:hAnsi="Palatino Linotype" w:cs="Palatino Linotype"/>
          <w:b/>
          <w:sz w:val="24"/>
          <w:szCs w:val="24"/>
        </w:rPr>
        <w:t xml:space="preserve">el Sujeto Obligado </w:t>
      </w:r>
      <w:r w:rsidRPr="00BC10FD">
        <w:rPr>
          <w:rFonts w:ascii="Palatino Linotype" w:eastAsia="Palatino Linotype" w:hAnsi="Palatino Linotype" w:cs="Palatino Linotype"/>
          <w:sz w:val="24"/>
          <w:szCs w:val="24"/>
        </w:rPr>
        <w:t xml:space="preserve">es competente para atender las cuestiones de fondo del presente medio de impugnación. </w:t>
      </w:r>
    </w:p>
    <w:p w14:paraId="29D0DDBB"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p>
    <w:p w14:paraId="4CD71B23"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Por otra parte, es de precisar que la información solicitada constituye una obligación de transparencia pues la fracción XXXII del artículo 92 de la Ley de la materia, prevé lo siguiente:</w:t>
      </w:r>
    </w:p>
    <w:p w14:paraId="7338DD23"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p>
    <w:p w14:paraId="6788763B" w14:textId="77777777" w:rsidR="00BF4662" w:rsidRPr="00BC10FD" w:rsidRDefault="00BF4662" w:rsidP="00BF4662">
      <w:pPr>
        <w:spacing w:after="0" w:line="276" w:lineRule="auto"/>
        <w:ind w:left="567" w:right="902"/>
        <w:jc w:val="both"/>
        <w:rPr>
          <w:rFonts w:ascii="Times New Roman" w:eastAsia="Times New Roman" w:hAnsi="Times New Roman" w:cs="Times New Roman"/>
          <w:sz w:val="24"/>
          <w:szCs w:val="24"/>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Artículo 92.</w:t>
      </w:r>
      <w:r w:rsidRPr="00BC10FD">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2CB2A3" w14:textId="77777777" w:rsidR="00BF4662" w:rsidRPr="00BC10FD" w:rsidRDefault="00BF4662" w:rsidP="00BF4662">
      <w:pPr>
        <w:spacing w:after="0" w:line="276" w:lineRule="auto"/>
        <w:ind w:left="567" w:right="902"/>
        <w:jc w:val="both"/>
        <w:rPr>
          <w:rFonts w:ascii="Times New Roman" w:eastAsia="Times New Roman" w:hAnsi="Times New Roman" w:cs="Times New Roman"/>
          <w:sz w:val="24"/>
          <w:szCs w:val="24"/>
        </w:rPr>
      </w:pPr>
      <w:r w:rsidRPr="00BC10FD">
        <w:rPr>
          <w:rFonts w:ascii="Palatino Linotype" w:eastAsia="Palatino Linotype" w:hAnsi="Palatino Linotype" w:cs="Palatino Linotype"/>
          <w:b/>
          <w:i/>
        </w:rPr>
        <w:t>...</w:t>
      </w:r>
    </w:p>
    <w:p w14:paraId="42CE050F" w14:textId="77777777" w:rsidR="00BF4662" w:rsidRPr="00BC10FD" w:rsidRDefault="00BF4662" w:rsidP="00BF4662">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XXXII.</w:t>
      </w:r>
      <w:r w:rsidRPr="00BC10FD">
        <w:rPr>
          <w:rFonts w:ascii="Palatino Linotype" w:eastAsia="Palatino Linotype" w:hAnsi="Palatino Linotype" w:cs="Palatino Linotype"/>
          <w:i/>
        </w:rPr>
        <w:t xml:space="preserve"> Las concesiones, contratos, convenios, permisos, </w:t>
      </w:r>
      <w:r w:rsidRPr="00BC10FD">
        <w:rPr>
          <w:rFonts w:ascii="Palatino Linotype" w:eastAsia="Palatino Linotype" w:hAnsi="Palatino Linotype" w:cs="Palatino Linotype"/>
          <w:b/>
          <w:i/>
        </w:rPr>
        <w:t>licencias</w:t>
      </w:r>
      <w:r w:rsidRPr="00BC10FD">
        <w:rPr>
          <w:rFonts w:ascii="Palatino Linotype" w:eastAsia="Palatino Linotype" w:hAnsi="Palatino Linotype" w:cs="Palatino Linotype"/>
          <w:i/>
        </w:rPr>
        <w:t xml:space="preserve">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74A4F560" w14:textId="77777777" w:rsidR="00BF4662" w:rsidRPr="00BC10FD" w:rsidRDefault="00BF4662" w:rsidP="00BF4662">
      <w:pPr>
        <w:spacing w:after="0" w:line="360" w:lineRule="auto"/>
        <w:ind w:left="567" w:right="902"/>
        <w:jc w:val="both"/>
        <w:rPr>
          <w:rFonts w:ascii="Times New Roman" w:eastAsia="Times New Roman" w:hAnsi="Times New Roman" w:cs="Times New Roman"/>
          <w:sz w:val="24"/>
          <w:szCs w:val="24"/>
        </w:rPr>
      </w:pPr>
    </w:p>
    <w:p w14:paraId="77665769"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Cabe mencionar que para la publicación de las obligaciones de transparencia en los portales de internet, se deben observar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2C345AF2"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p>
    <w:p w14:paraId="6F91BCDE"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lastRenderedPageBreak/>
        <w:t xml:space="preserve">En tal sentido, respecto de la publicación de las </w:t>
      </w:r>
      <w:r w:rsidRPr="00BC10FD">
        <w:rPr>
          <w:rFonts w:ascii="Palatino Linotype" w:eastAsia="Palatino Linotype" w:hAnsi="Palatino Linotype" w:cs="Palatino Linotype"/>
          <w:i/>
          <w:sz w:val="24"/>
          <w:szCs w:val="24"/>
        </w:rPr>
        <w:t xml:space="preserve">concesiones, contratos, convenios, permisos, </w:t>
      </w:r>
      <w:r w:rsidRPr="00BC10FD">
        <w:rPr>
          <w:rFonts w:ascii="Palatino Linotype" w:eastAsia="Palatino Linotype" w:hAnsi="Palatino Linotype" w:cs="Palatino Linotype"/>
          <w:b/>
          <w:i/>
          <w:sz w:val="24"/>
          <w:szCs w:val="24"/>
        </w:rPr>
        <w:t>licencias</w:t>
      </w:r>
      <w:r w:rsidRPr="00BC10FD">
        <w:rPr>
          <w:rFonts w:ascii="Palatino Linotype" w:eastAsia="Palatino Linotype" w:hAnsi="Palatino Linotype" w:cs="Palatino Linotype"/>
          <w:i/>
          <w:sz w:val="24"/>
          <w:szCs w:val="24"/>
        </w:rPr>
        <w:t xml:space="preserve">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r w:rsidRPr="00BC10FD">
        <w:rPr>
          <w:rFonts w:ascii="Palatino Linotype" w:eastAsia="Palatino Linotype" w:hAnsi="Palatino Linotype" w:cs="Palatino Linotype"/>
          <w:sz w:val="24"/>
          <w:szCs w:val="24"/>
        </w:rPr>
        <w:t>los Lineamientos señalan que 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w:t>
      </w:r>
    </w:p>
    <w:p w14:paraId="45079160" w14:textId="77777777" w:rsidR="00BF4662" w:rsidRPr="00BC10FD" w:rsidRDefault="00BF4662" w:rsidP="00BF4662">
      <w:pPr>
        <w:spacing w:after="0" w:line="360" w:lineRule="auto"/>
        <w:jc w:val="both"/>
        <w:rPr>
          <w:rFonts w:ascii="Times New Roman" w:eastAsia="Times New Roman" w:hAnsi="Times New Roman" w:cs="Times New Roman"/>
          <w:sz w:val="24"/>
          <w:szCs w:val="24"/>
        </w:rPr>
      </w:pPr>
    </w:p>
    <w:p w14:paraId="4E60EC1C" w14:textId="77777777" w:rsidR="00BF4662" w:rsidRPr="00BC10FD" w:rsidRDefault="00BF4662" w:rsidP="00BF4662">
      <w:pPr>
        <w:spacing w:after="240" w:line="36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Asimismo, se deben observar, entre otros, los criterios sustantivos de contenido: </w:t>
      </w:r>
      <w:r w:rsidR="00C84E95" w:rsidRPr="00BC10FD">
        <w:rPr>
          <w:rFonts w:ascii="Palatino Linotype" w:eastAsia="Palatino Linotype" w:hAnsi="Palatino Linotype" w:cs="Palatino Linotype"/>
          <w:noProof/>
          <w:sz w:val="24"/>
          <w:szCs w:val="24"/>
        </w:rPr>
        <w:drawing>
          <wp:inline distT="0" distB="0" distL="0" distR="0" wp14:anchorId="5B1D184E" wp14:editId="063A524A">
            <wp:extent cx="5581650" cy="2295525"/>
            <wp:effectExtent l="0" t="0" r="0" b="9525"/>
            <wp:docPr id="4" name="image7.png" descr="https://lh6.googleusercontent.com/nx69ZLps1JE7Qha8h54DlaU5FzRGXRjm7BSRKyU2ednmU_jjG2HTpcfFPRMoMp5mbuZvQ9EEbD78X9H_Xzq85WuLvfLfhn-jifGNDVqiwXXoTND0dZZLOnCh8__ilUa1OxBteh4nf69_HKPPZ6hG"/>
            <wp:cNvGraphicFramePr/>
            <a:graphic xmlns:a="http://schemas.openxmlformats.org/drawingml/2006/main">
              <a:graphicData uri="http://schemas.openxmlformats.org/drawingml/2006/picture">
                <pic:pic xmlns:pic="http://schemas.openxmlformats.org/drawingml/2006/picture">
                  <pic:nvPicPr>
                    <pic:cNvPr id="0" name="image7.png" descr="https://lh6.googleusercontent.com/nx69ZLps1JE7Qha8h54DlaU5FzRGXRjm7BSRKyU2ednmU_jjG2HTpcfFPRMoMp5mbuZvQ9EEbD78X9H_Xzq85WuLvfLfhn-jifGNDVqiwXXoTND0dZZLOnCh8__ilUa1OxBteh4nf69_HKPPZ6hG"/>
                    <pic:cNvPicPr preferRelativeResize="0"/>
                  </pic:nvPicPr>
                  <pic:blipFill>
                    <a:blip r:embed="rId12"/>
                    <a:srcRect/>
                    <a:stretch>
                      <a:fillRect/>
                    </a:stretch>
                  </pic:blipFill>
                  <pic:spPr>
                    <a:xfrm>
                      <a:off x="0" y="0"/>
                      <a:ext cx="5581650" cy="2295525"/>
                    </a:xfrm>
                    <a:prstGeom prst="rect">
                      <a:avLst/>
                    </a:prstGeom>
                    <a:ln/>
                  </pic:spPr>
                </pic:pic>
              </a:graphicData>
            </a:graphic>
          </wp:inline>
        </w:drawing>
      </w:r>
    </w:p>
    <w:p w14:paraId="774EDF03" w14:textId="77777777" w:rsidR="00BF4662" w:rsidRPr="00BC10FD" w:rsidRDefault="00BF4662" w:rsidP="00BF4662">
      <w:pPr>
        <w:spacing w:before="240" w:after="240" w:line="24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noProof/>
          <w:sz w:val="24"/>
          <w:szCs w:val="24"/>
        </w:rPr>
        <w:lastRenderedPageBreak/>
        <w:drawing>
          <wp:inline distT="0" distB="0" distL="0" distR="0" wp14:anchorId="06738E38" wp14:editId="1A23A9B3">
            <wp:extent cx="5591175" cy="2152650"/>
            <wp:effectExtent l="19050" t="19050" r="28575" b="19050"/>
            <wp:docPr id="8" name="image2.png" descr="https://lh3.googleusercontent.com/0vanMlPBfcptan2jE2KqeNyUQcsjUPWIT7ank7NEk6TKYH5zBtJhz6E8fnHwWXlH2xKubPIj6Yig2ebyb5djjWPqbkcMDSO36nPh4mc3W3c2WeBhjkcLCFI6tYl9odiVlciCb9kFX-CLQBzmrGdX"/>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0vanMlPBfcptan2jE2KqeNyUQcsjUPWIT7ank7NEk6TKYH5zBtJhz6E8fnHwWXlH2xKubPIj6Yig2ebyb5djjWPqbkcMDSO36nPh4mc3W3c2WeBhjkcLCFI6tYl9odiVlciCb9kFX-CLQBzmrGdX"/>
                    <pic:cNvPicPr preferRelativeResize="0"/>
                  </pic:nvPicPr>
                  <pic:blipFill>
                    <a:blip r:embed="rId13"/>
                    <a:srcRect/>
                    <a:stretch>
                      <a:fillRect/>
                    </a:stretch>
                  </pic:blipFill>
                  <pic:spPr>
                    <a:xfrm>
                      <a:off x="0" y="0"/>
                      <a:ext cx="5591175" cy="2152650"/>
                    </a:xfrm>
                    <a:prstGeom prst="rect">
                      <a:avLst/>
                    </a:prstGeom>
                    <a:ln w="3175">
                      <a:solidFill>
                        <a:schemeClr val="tx1"/>
                      </a:solidFill>
                    </a:ln>
                  </pic:spPr>
                </pic:pic>
              </a:graphicData>
            </a:graphic>
          </wp:inline>
        </w:drawing>
      </w:r>
    </w:p>
    <w:p w14:paraId="27CE650F" w14:textId="77777777" w:rsidR="00BF4662" w:rsidRPr="00BC10FD" w:rsidRDefault="00BF4662" w:rsidP="00BF4662">
      <w:pPr>
        <w:spacing w:before="240" w:after="240" w:line="24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sz w:val="24"/>
          <w:szCs w:val="24"/>
        </w:rPr>
        <w:t>Así como los criterios adjetivos de formato:</w:t>
      </w:r>
    </w:p>
    <w:p w14:paraId="3407CABD" w14:textId="77777777" w:rsidR="00BF4662" w:rsidRPr="00BC10FD" w:rsidRDefault="00BF4662" w:rsidP="00BF4662">
      <w:pPr>
        <w:spacing w:before="240" w:after="240" w:line="24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noProof/>
          <w:sz w:val="24"/>
          <w:szCs w:val="24"/>
        </w:rPr>
        <w:drawing>
          <wp:inline distT="0" distB="0" distL="0" distR="0" wp14:anchorId="65320A12" wp14:editId="4BB950C5">
            <wp:extent cx="5562600" cy="1466850"/>
            <wp:effectExtent l="0" t="0" r="0" b="0"/>
            <wp:docPr id="9" name="image1.png" descr="https://lh6.googleusercontent.com/3yHW9udIskTHNrqZyGFdzYvsge0Y-xWh6XhfrY8w8BdJQIHoQ2-HkxUonJp-Wsll-1QHVYicaVq7_CC8oIOUAruip3HNbAvBFGdYuYPd6Ber9NksSQhby0zRT7UJ_SGTR3uaPEVS7YeUDf9QHLtk"/>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3yHW9udIskTHNrqZyGFdzYvsge0Y-xWh6XhfrY8w8BdJQIHoQ2-HkxUonJp-Wsll-1QHVYicaVq7_CC8oIOUAruip3HNbAvBFGdYuYPd6Ber9NksSQhby0zRT7UJ_SGTR3uaPEVS7YeUDf9QHLtk"/>
                    <pic:cNvPicPr preferRelativeResize="0"/>
                  </pic:nvPicPr>
                  <pic:blipFill>
                    <a:blip r:embed="rId14"/>
                    <a:srcRect/>
                    <a:stretch>
                      <a:fillRect/>
                    </a:stretch>
                  </pic:blipFill>
                  <pic:spPr>
                    <a:xfrm>
                      <a:off x="0" y="0"/>
                      <a:ext cx="5562600" cy="1466850"/>
                    </a:xfrm>
                    <a:prstGeom prst="rect">
                      <a:avLst/>
                    </a:prstGeom>
                    <a:ln/>
                  </pic:spPr>
                </pic:pic>
              </a:graphicData>
            </a:graphic>
          </wp:inline>
        </w:drawing>
      </w:r>
    </w:p>
    <w:p w14:paraId="29F989C8" w14:textId="77777777" w:rsidR="00C84E95" w:rsidRPr="00BC10FD" w:rsidRDefault="00C84E95" w:rsidP="00BF4662">
      <w:pPr>
        <w:spacing w:before="240" w:after="240" w:line="240" w:lineRule="auto"/>
        <w:jc w:val="both"/>
        <w:rPr>
          <w:rFonts w:ascii="Times New Roman" w:eastAsia="Times New Roman" w:hAnsi="Times New Roman" w:cs="Times New Roman"/>
          <w:sz w:val="24"/>
          <w:szCs w:val="24"/>
        </w:rPr>
      </w:pPr>
      <w:r w:rsidRPr="00BC10FD">
        <w:rPr>
          <w:rFonts w:ascii="Palatino Linotype" w:eastAsia="Palatino Linotype" w:hAnsi="Palatino Linotype" w:cs="Palatino Linotype"/>
          <w:noProof/>
          <w:sz w:val="24"/>
          <w:szCs w:val="24"/>
        </w:rPr>
        <w:drawing>
          <wp:inline distT="0" distB="0" distL="0" distR="0" wp14:anchorId="1F5C758D" wp14:editId="39166FD9">
            <wp:extent cx="5543550" cy="1952625"/>
            <wp:effectExtent l="0" t="0" r="0" b="0"/>
            <wp:docPr id="5" name="image8.png" descr="https://lh4.googleusercontent.com/aJvg72Dwg1jb6I4MF7KgcgXSaU-F-7R9G2gc7JJRpZwJbNEPSMMQvO5eDzZLbFFgc9eWCn5N4k9FHXWSefJGP_uPD9bLkd012YAInIAhxXz-TM4vsbuMUFnLM2_X4wJTGdMC_7UFQOCzAQ9IiCH4"/>
            <wp:cNvGraphicFramePr/>
            <a:graphic xmlns:a="http://schemas.openxmlformats.org/drawingml/2006/main">
              <a:graphicData uri="http://schemas.openxmlformats.org/drawingml/2006/picture">
                <pic:pic xmlns:pic="http://schemas.openxmlformats.org/drawingml/2006/picture">
                  <pic:nvPicPr>
                    <pic:cNvPr id="0" name="image8.png" descr="https://lh4.googleusercontent.com/aJvg72Dwg1jb6I4MF7KgcgXSaU-F-7R9G2gc7JJRpZwJbNEPSMMQvO5eDzZLbFFgc9eWCn5N4k9FHXWSefJGP_uPD9bLkd012YAInIAhxXz-TM4vsbuMUFnLM2_X4wJTGdMC_7UFQOCzAQ9IiCH4"/>
                    <pic:cNvPicPr preferRelativeResize="0"/>
                  </pic:nvPicPr>
                  <pic:blipFill>
                    <a:blip r:embed="rId15"/>
                    <a:srcRect/>
                    <a:stretch>
                      <a:fillRect/>
                    </a:stretch>
                  </pic:blipFill>
                  <pic:spPr>
                    <a:xfrm>
                      <a:off x="0" y="0"/>
                      <a:ext cx="5543550" cy="1952625"/>
                    </a:xfrm>
                    <a:prstGeom prst="rect">
                      <a:avLst/>
                    </a:prstGeom>
                    <a:ln/>
                  </pic:spPr>
                </pic:pic>
              </a:graphicData>
            </a:graphic>
          </wp:inline>
        </w:drawing>
      </w:r>
    </w:p>
    <w:p w14:paraId="65277E51" w14:textId="77777777" w:rsidR="00BF4662" w:rsidRPr="00BC10FD" w:rsidRDefault="00BF4662" w:rsidP="00BF4662">
      <w:pPr>
        <w:spacing w:before="240"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De lo anterior se desprende que en cumplimiento a la obligación de transparencia relativa a la publicación de </w:t>
      </w:r>
      <w:r w:rsidRPr="00BC10FD">
        <w:rPr>
          <w:rFonts w:ascii="Palatino Linotype" w:eastAsia="Palatino Linotype" w:hAnsi="Palatino Linotype" w:cs="Palatino Linotype"/>
          <w:i/>
          <w:sz w:val="24"/>
          <w:szCs w:val="24"/>
        </w:rPr>
        <w:t xml:space="preserve">concesiones, contratos, convenios, permisos, licencias o autorizaciones otorgados, especificando los titulares de aquéllos, debiendo publicarse su objeto, </w:t>
      </w:r>
      <w:r w:rsidRPr="00BC10FD">
        <w:rPr>
          <w:rFonts w:ascii="Palatino Linotype" w:eastAsia="Palatino Linotype" w:hAnsi="Palatino Linotype" w:cs="Palatino Linotype"/>
          <w:i/>
          <w:sz w:val="24"/>
          <w:szCs w:val="24"/>
        </w:rPr>
        <w:lastRenderedPageBreak/>
        <w:t xml:space="preserve">nombre o razón social del titular, vigencia, tipo, términos, condiciones, monto y modificaciones, así como si el procedimiento involucra el aprovechamiento de bienes, servicios y/o recursos públicos, </w:t>
      </w:r>
      <w:r w:rsidRPr="00BC10FD">
        <w:rPr>
          <w:rFonts w:ascii="Palatino Linotype" w:eastAsia="Palatino Linotype" w:hAnsi="Palatino Linotype" w:cs="Palatino Linotype"/>
          <w:sz w:val="24"/>
          <w:szCs w:val="24"/>
        </w:rPr>
        <w:t>los Sujetos Obligados deben poner a disposición del público aquella información relacionada con el otorgamiento de dichos documentos, entre la que destaca el tipo del acto jurídico, el objeto, sector al cual se le otorgó el acto jurídico, el nombre del titular, la razón social del titular y el hipervínculo al contrato, convenio, permiso, licencia o concesión.</w:t>
      </w:r>
    </w:p>
    <w:p w14:paraId="3725E043" w14:textId="77777777" w:rsidR="00BF4662" w:rsidRPr="00BC10FD" w:rsidRDefault="00BF4662" w:rsidP="00BF4662">
      <w:pPr>
        <w:spacing w:after="0" w:line="360" w:lineRule="auto"/>
        <w:jc w:val="both"/>
        <w:rPr>
          <w:rFonts w:ascii="Palatino Linotype" w:eastAsia="Palatino Linotype" w:hAnsi="Palatino Linotype" w:cs="Palatino Linotype"/>
          <w:sz w:val="24"/>
          <w:szCs w:val="24"/>
        </w:rPr>
      </w:pPr>
    </w:p>
    <w:p w14:paraId="43194753" w14:textId="77777777" w:rsidR="00C84E95" w:rsidRPr="00BC10FD" w:rsidRDefault="00BF4662" w:rsidP="00BF4662">
      <w:pPr>
        <w:spacing w:after="0" w:line="360" w:lineRule="auto"/>
        <w:ind w:right="49"/>
        <w:jc w:val="both"/>
        <w:rPr>
          <w:rFonts w:ascii="Palatino Linotype" w:eastAsia="Palatino Linotype" w:hAnsi="Palatino Linotype" w:cs="Palatino Linotype"/>
          <w:sz w:val="24"/>
          <w:szCs w:val="24"/>
        </w:rPr>
      </w:pPr>
      <w:bookmarkStart w:id="6" w:name="_heading=h.3dy6vkm" w:colFirst="0" w:colLast="0"/>
      <w:bookmarkEnd w:id="6"/>
      <w:r w:rsidRPr="00BC10FD">
        <w:rPr>
          <w:rFonts w:ascii="Palatino Linotype" w:eastAsia="Palatino Linotype" w:hAnsi="Palatino Linotype" w:cs="Palatino Linotype"/>
          <w:sz w:val="24"/>
          <w:szCs w:val="24"/>
        </w:rPr>
        <w:t xml:space="preserve">Es por todo lo anterior que esta autoridad estima que las razones o motivos de inconformidad hechos valer por </w:t>
      </w:r>
      <w:r w:rsidRPr="00BC10FD">
        <w:rPr>
          <w:rFonts w:ascii="Palatino Linotype" w:eastAsia="Palatino Linotype" w:hAnsi="Palatino Linotype" w:cs="Palatino Linotype"/>
          <w:b/>
          <w:sz w:val="24"/>
          <w:szCs w:val="24"/>
        </w:rPr>
        <w:t>la</w:t>
      </w:r>
      <w:r w:rsidRPr="00BC10FD">
        <w:rPr>
          <w:rFonts w:ascii="Palatino Linotype" w:eastAsia="Palatino Linotype" w:hAnsi="Palatino Linotype" w:cs="Palatino Linotype"/>
          <w:sz w:val="24"/>
          <w:szCs w:val="24"/>
        </w:rPr>
        <w:t xml:space="preserve">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se </w:t>
      </w:r>
      <w:r w:rsidR="00C84E95" w:rsidRPr="00BC10FD">
        <w:rPr>
          <w:rFonts w:ascii="Palatino Linotype" w:eastAsia="Palatino Linotype" w:hAnsi="Palatino Linotype" w:cs="Palatino Linotype"/>
          <w:b/>
          <w:sz w:val="24"/>
          <w:szCs w:val="24"/>
        </w:rPr>
        <w:t xml:space="preserve">parcialmente </w:t>
      </w:r>
      <w:r w:rsidRPr="00BC10FD">
        <w:rPr>
          <w:rFonts w:ascii="Palatino Linotype" w:eastAsia="Palatino Linotype" w:hAnsi="Palatino Linotype" w:cs="Palatino Linotype"/>
          <w:b/>
          <w:sz w:val="24"/>
          <w:szCs w:val="24"/>
        </w:rPr>
        <w:t>fundados</w:t>
      </w:r>
      <w:r w:rsidRPr="00BC10FD">
        <w:rPr>
          <w:rFonts w:ascii="Palatino Linotype" w:eastAsia="Palatino Linotype" w:hAnsi="Palatino Linotype" w:cs="Palatino Linotype"/>
          <w:sz w:val="24"/>
          <w:szCs w:val="24"/>
        </w:rPr>
        <w:t xml:space="preserve">, ya que si bien el servidor público habilitado competente refirió </w:t>
      </w:r>
      <w:r w:rsidR="00C84E95" w:rsidRPr="00BC10FD">
        <w:rPr>
          <w:rFonts w:ascii="Palatino Linotype" w:eastAsia="Palatino Linotype" w:hAnsi="Palatino Linotype" w:cs="Palatino Linotype"/>
          <w:sz w:val="24"/>
          <w:szCs w:val="24"/>
        </w:rPr>
        <w:t>remitir la liga electrónica donde se podría consultar las licencias de construcción, de su consulta se advierte que no dirige a la información que pudiera colmar la pretensión de la persona solicitante.</w:t>
      </w:r>
    </w:p>
    <w:p w14:paraId="646C9DE9" w14:textId="77777777" w:rsidR="00F817B2" w:rsidRPr="00BC10FD" w:rsidRDefault="00F817B2" w:rsidP="00BF4662">
      <w:pPr>
        <w:spacing w:after="0" w:line="360" w:lineRule="auto"/>
        <w:ind w:right="49"/>
        <w:jc w:val="both"/>
        <w:rPr>
          <w:rFonts w:ascii="Palatino Linotype" w:eastAsia="Palatino Linotype" w:hAnsi="Palatino Linotype" w:cs="Palatino Linotype"/>
          <w:sz w:val="24"/>
          <w:szCs w:val="24"/>
        </w:rPr>
      </w:pPr>
    </w:p>
    <w:p w14:paraId="7E2084AE" w14:textId="1F00F5E2" w:rsidR="00F817B2" w:rsidRPr="00BC10FD" w:rsidRDefault="00F817B2" w:rsidP="000F34A8">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Máxime </w:t>
      </w:r>
      <w:proofErr w:type="gramStart"/>
      <w:r w:rsidRPr="00BC10FD">
        <w:rPr>
          <w:rFonts w:ascii="Palatino Linotype" w:eastAsia="Palatino Linotype" w:hAnsi="Palatino Linotype" w:cs="Palatino Linotype"/>
          <w:sz w:val="24"/>
          <w:szCs w:val="24"/>
        </w:rPr>
        <w:t>que</w:t>
      </w:r>
      <w:proofErr w:type="gramEnd"/>
      <w:r w:rsidRPr="00BC10FD">
        <w:rPr>
          <w:rFonts w:ascii="Palatino Linotype" w:eastAsia="Palatino Linotype" w:hAnsi="Palatino Linotype" w:cs="Palatino Linotype"/>
          <w:sz w:val="24"/>
          <w:szCs w:val="24"/>
        </w:rPr>
        <w:t xml:space="preserve"> en el caso en cuestión, la pretensión de la persona solicitante es acceder a información estadística, pues requiere conocer el número total de licencias de construcción otorgadas en los ejercicios 2021, 2022 y del 01 de enero al 09 de noviembre de 2023, la cual es de naturaleza pública</w:t>
      </w:r>
      <w:r w:rsidR="000F34A8" w:rsidRPr="00BC10FD">
        <w:rPr>
          <w:rFonts w:ascii="Palatino Linotype" w:eastAsia="Palatino Linotype" w:hAnsi="Palatino Linotype" w:cs="Palatino Linotype"/>
          <w:sz w:val="24"/>
          <w:szCs w:val="24"/>
        </w:rPr>
        <w:t xml:space="preserve">. </w:t>
      </w:r>
    </w:p>
    <w:p w14:paraId="02E59235" w14:textId="77777777" w:rsidR="000F34A8" w:rsidRPr="00BC10FD" w:rsidRDefault="000F34A8" w:rsidP="000F34A8">
      <w:pPr>
        <w:spacing w:after="0" w:line="360" w:lineRule="auto"/>
        <w:jc w:val="both"/>
        <w:rPr>
          <w:rFonts w:ascii="Palatino Linotype" w:eastAsia="Palatino Linotype" w:hAnsi="Palatino Linotype" w:cs="Palatino Linotype"/>
          <w:sz w:val="24"/>
          <w:szCs w:val="24"/>
        </w:rPr>
      </w:pPr>
    </w:p>
    <w:p w14:paraId="408F071D" w14:textId="77777777" w:rsidR="00F817B2" w:rsidRPr="00BC10FD" w:rsidRDefault="00F817B2" w:rsidP="00F817B2">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De forma complementaria, resulta de nuestro particular interés el criterio 11/09 emitido por el hoy Instituto Nacional de Transparencia, Acceso a la Información y Protección de Datos Personales, que a la letra dispone lo siguiente:</w:t>
      </w:r>
    </w:p>
    <w:p w14:paraId="4A10BFC6" w14:textId="77777777" w:rsidR="00F817B2" w:rsidRPr="00BC10FD" w:rsidRDefault="00F817B2" w:rsidP="00F817B2">
      <w:pPr>
        <w:spacing w:line="360" w:lineRule="auto"/>
        <w:jc w:val="both"/>
        <w:rPr>
          <w:rFonts w:ascii="Palatino Linotype" w:eastAsia="Palatino Linotype" w:hAnsi="Palatino Linotype" w:cs="Palatino Linotype"/>
        </w:rPr>
      </w:pPr>
    </w:p>
    <w:p w14:paraId="7F99D968" w14:textId="77777777" w:rsidR="00F817B2" w:rsidRPr="00BC10FD" w:rsidRDefault="00F817B2" w:rsidP="00F817B2">
      <w:pPr>
        <w:spacing w:line="276" w:lineRule="auto"/>
        <w:ind w:left="709" w:right="701"/>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lastRenderedPageBreak/>
        <w:t>“LA INFORMACIÓN ESTADÍSTICA ES DE NATURALEZA PÚBLICA, INDEPENDIENTEMENTE DE LA MATERIA CON LA QUE SE ENCUENTRE VINCULADA.</w:t>
      </w:r>
    </w:p>
    <w:p w14:paraId="4C3659C0" w14:textId="77777777" w:rsidR="00F817B2" w:rsidRPr="00BC10FD" w:rsidRDefault="00F817B2" w:rsidP="00F817B2">
      <w:pPr>
        <w:spacing w:line="276" w:lineRule="auto"/>
        <w:ind w:left="709" w:right="701"/>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5F2E22A" w14:textId="77777777" w:rsidR="00F817B2" w:rsidRPr="00BC10FD" w:rsidRDefault="00F817B2" w:rsidP="00BF4662">
      <w:pPr>
        <w:spacing w:after="0" w:line="360" w:lineRule="auto"/>
        <w:ind w:right="49"/>
        <w:jc w:val="both"/>
        <w:rPr>
          <w:rFonts w:ascii="Palatino Linotype" w:eastAsia="Palatino Linotype" w:hAnsi="Palatino Linotype" w:cs="Palatino Linotype"/>
          <w:sz w:val="24"/>
          <w:szCs w:val="24"/>
        </w:rPr>
      </w:pPr>
    </w:p>
    <w:p w14:paraId="07E06A67" w14:textId="524D98BF" w:rsidR="00BF4662" w:rsidRPr="00BC10FD" w:rsidRDefault="00C84E95" w:rsidP="00BF4662">
      <w:pPr>
        <w:spacing w:after="0" w:line="360" w:lineRule="auto"/>
        <w:ind w:right="49"/>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Por las consideraciones expuestas, a criterio de este Órgano Garante resulta </w:t>
      </w:r>
      <w:r w:rsidR="00BF4662" w:rsidRPr="00BC10FD">
        <w:rPr>
          <w:rFonts w:ascii="Palatino Linotype" w:eastAsia="Palatino Linotype" w:hAnsi="Palatino Linotype" w:cs="Palatino Linotype"/>
          <w:sz w:val="24"/>
          <w:szCs w:val="24"/>
        </w:rPr>
        <w:t>procedente es </w:t>
      </w:r>
      <w:r w:rsidR="00BF4662" w:rsidRPr="00BC10FD">
        <w:rPr>
          <w:rFonts w:ascii="Palatino Linotype" w:eastAsia="Palatino Linotype" w:hAnsi="Palatino Linotype" w:cs="Palatino Linotype"/>
          <w:b/>
          <w:sz w:val="24"/>
          <w:szCs w:val="24"/>
        </w:rPr>
        <w:t>R</w:t>
      </w:r>
      <w:r w:rsidRPr="00BC10FD">
        <w:rPr>
          <w:rFonts w:ascii="Palatino Linotype" w:eastAsia="Palatino Linotype" w:hAnsi="Palatino Linotype" w:cs="Palatino Linotype"/>
          <w:b/>
          <w:sz w:val="24"/>
          <w:szCs w:val="24"/>
        </w:rPr>
        <w:t>evocar</w:t>
      </w:r>
      <w:r w:rsidR="00BF4662" w:rsidRPr="00BC10FD">
        <w:rPr>
          <w:rFonts w:ascii="Palatino Linotype" w:eastAsia="Palatino Linotype" w:hAnsi="Palatino Linotype" w:cs="Palatino Linotype"/>
          <w:sz w:val="24"/>
          <w:szCs w:val="24"/>
        </w:rPr>
        <w:t xml:space="preserve"> la respuesta del </w:t>
      </w:r>
      <w:r w:rsidRPr="00BC10FD">
        <w:rPr>
          <w:rFonts w:ascii="Palatino Linotype" w:eastAsia="Palatino Linotype" w:hAnsi="Palatino Linotype" w:cs="Palatino Linotype"/>
          <w:b/>
          <w:sz w:val="24"/>
          <w:szCs w:val="24"/>
        </w:rPr>
        <w:t xml:space="preserve">Sujeto Obligado </w:t>
      </w:r>
      <w:r w:rsidR="00BF4662" w:rsidRPr="00BC10FD">
        <w:rPr>
          <w:rFonts w:ascii="Palatino Linotype" w:eastAsia="Palatino Linotype" w:hAnsi="Palatino Linotype" w:cs="Palatino Linotype"/>
          <w:b/>
          <w:sz w:val="24"/>
          <w:szCs w:val="24"/>
        </w:rPr>
        <w:t xml:space="preserve">y </w:t>
      </w:r>
      <w:r w:rsidRPr="00BC10FD">
        <w:rPr>
          <w:rFonts w:ascii="Palatino Linotype" w:eastAsia="Palatino Linotype" w:hAnsi="Palatino Linotype" w:cs="Palatino Linotype"/>
          <w:b/>
          <w:sz w:val="24"/>
          <w:szCs w:val="24"/>
        </w:rPr>
        <w:t xml:space="preserve">Ordenar, </w:t>
      </w:r>
      <w:r w:rsidR="00BF4662" w:rsidRPr="00BC10FD">
        <w:rPr>
          <w:rFonts w:ascii="Palatino Linotype" w:eastAsia="Palatino Linotype" w:hAnsi="Palatino Linotype" w:cs="Palatino Linotype"/>
          <w:b/>
          <w:sz w:val="24"/>
          <w:szCs w:val="24"/>
        </w:rPr>
        <w:t xml:space="preserve">previa búsqueda exhaustiva y razonable, la entrega </w:t>
      </w:r>
      <w:r w:rsidRPr="00BC10FD">
        <w:rPr>
          <w:rFonts w:ascii="Palatino Linotype" w:eastAsia="Palatino Linotype" w:hAnsi="Palatino Linotype" w:cs="Palatino Linotype"/>
          <w:sz w:val="24"/>
          <w:szCs w:val="24"/>
        </w:rPr>
        <w:t>de lo siguiente</w:t>
      </w:r>
      <w:r w:rsidR="00BF4662" w:rsidRPr="00BC10FD">
        <w:rPr>
          <w:rFonts w:ascii="Palatino Linotype" w:eastAsia="Palatino Linotype" w:hAnsi="Palatino Linotype" w:cs="Palatino Linotype"/>
          <w:sz w:val="24"/>
          <w:szCs w:val="24"/>
        </w:rPr>
        <w:t xml:space="preserve">, </w:t>
      </w:r>
      <w:r w:rsidR="001C133F" w:rsidRPr="00BC10FD">
        <w:rPr>
          <w:rFonts w:ascii="Palatino Linotype" w:eastAsia="Palatino Linotype" w:hAnsi="Palatino Linotype" w:cs="Palatino Linotype"/>
          <w:sz w:val="24"/>
          <w:szCs w:val="24"/>
        </w:rPr>
        <w:t xml:space="preserve">de ser el caso </w:t>
      </w:r>
      <w:r w:rsidR="00BF4662" w:rsidRPr="00BC10FD">
        <w:rPr>
          <w:rFonts w:ascii="Palatino Linotype" w:eastAsia="Palatino Linotype" w:hAnsi="Palatino Linotype" w:cs="Palatino Linotype"/>
          <w:sz w:val="24"/>
          <w:szCs w:val="24"/>
        </w:rPr>
        <w:t>en versión pública, atendiendo a lo dispuest</w:t>
      </w:r>
      <w:r w:rsidRPr="00BC10FD">
        <w:rPr>
          <w:rFonts w:ascii="Palatino Linotype" w:eastAsia="Palatino Linotype" w:hAnsi="Palatino Linotype" w:cs="Palatino Linotype"/>
          <w:sz w:val="24"/>
          <w:szCs w:val="24"/>
        </w:rPr>
        <w:t xml:space="preserve">o por el considerando siguiente: </w:t>
      </w:r>
    </w:p>
    <w:p w14:paraId="475EA904" w14:textId="77777777" w:rsidR="00C84E95" w:rsidRPr="00BC10FD" w:rsidRDefault="00C84E95" w:rsidP="00BF4662">
      <w:pPr>
        <w:spacing w:after="0" w:line="360" w:lineRule="auto"/>
        <w:ind w:right="49"/>
        <w:jc w:val="both"/>
        <w:rPr>
          <w:rFonts w:ascii="Palatino Linotype" w:eastAsia="Palatino Linotype" w:hAnsi="Palatino Linotype" w:cs="Palatino Linotype"/>
          <w:sz w:val="24"/>
          <w:szCs w:val="24"/>
        </w:rPr>
      </w:pPr>
    </w:p>
    <w:p w14:paraId="624DCE07" w14:textId="5DE5C1F6" w:rsidR="001C133F" w:rsidRPr="00BC10FD" w:rsidRDefault="001C133F" w:rsidP="000F34A8">
      <w:pPr>
        <w:numPr>
          <w:ilvl w:val="0"/>
          <w:numId w:val="3"/>
        </w:numPr>
        <w:pBdr>
          <w:top w:val="nil"/>
          <w:left w:val="nil"/>
          <w:bottom w:val="nil"/>
          <w:right w:val="nil"/>
          <w:between w:val="nil"/>
        </w:pBdr>
        <w:spacing w:after="0" w:line="360" w:lineRule="auto"/>
        <w:ind w:left="720" w:hanging="720"/>
        <w:jc w:val="both"/>
        <w:rPr>
          <w:rFonts w:ascii="Palatino Linotype" w:eastAsia="Palatino Linotype" w:hAnsi="Palatino Linotype" w:cs="Palatino Linotype"/>
          <w:b/>
          <w:color w:val="000000"/>
          <w:sz w:val="24"/>
          <w:szCs w:val="24"/>
        </w:rPr>
      </w:pPr>
      <w:r w:rsidRPr="00BC10FD">
        <w:rPr>
          <w:rFonts w:ascii="Palatino Linotype" w:eastAsia="Palatino Linotype" w:hAnsi="Palatino Linotype" w:cs="Palatino Linotype"/>
          <w:b/>
          <w:color w:val="000000"/>
          <w:sz w:val="24"/>
          <w:szCs w:val="24"/>
        </w:rPr>
        <w:t>El o los documentos donde conste o se pueda advertir el total de licencias de construcción otorgadas en los ejercicios 2021, 2022 y del 01 de enero al 09 de noviembre de 2023.</w:t>
      </w:r>
    </w:p>
    <w:p w14:paraId="6FDCD5A9" w14:textId="77777777" w:rsidR="002447C2" w:rsidRPr="00BC10FD"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FD973B" w14:textId="77777777" w:rsidR="00001903" w:rsidRPr="00BC10FD" w:rsidRDefault="00001903" w:rsidP="00001903">
      <w:pPr>
        <w:pBdr>
          <w:top w:val="nil"/>
          <w:left w:val="nil"/>
          <w:bottom w:val="nil"/>
          <w:right w:val="nil"/>
          <w:between w:val="nil"/>
        </w:pBdr>
        <w:spacing w:line="360" w:lineRule="auto"/>
        <w:jc w:val="both"/>
        <w:rPr>
          <w:color w:val="000000"/>
          <w:sz w:val="24"/>
        </w:rPr>
      </w:pPr>
      <w:r w:rsidRPr="00BC10FD">
        <w:rPr>
          <w:rFonts w:ascii="Palatino Linotype" w:eastAsia="Palatino Linotype" w:hAnsi="Palatino Linotype" w:cs="Palatino Linotype"/>
          <w:b/>
          <w:color w:val="000000"/>
          <w:sz w:val="24"/>
        </w:rPr>
        <w:t xml:space="preserve">Quinto. Versión Pública. </w:t>
      </w:r>
      <w:r w:rsidRPr="00BC10FD">
        <w:rPr>
          <w:rFonts w:ascii="Palatino Linotype" w:eastAsia="Palatino Linotype" w:hAnsi="Palatino Linotype" w:cs="Palatino Linotype"/>
          <w:color w:val="000000"/>
          <w:sz w:val="24"/>
        </w:rPr>
        <w:t xml:space="preserve">Finalmente, para la entrega de la información que se determina ordenar, el </w:t>
      </w:r>
      <w:r w:rsidRPr="00BC10FD">
        <w:rPr>
          <w:rFonts w:ascii="Palatino Linotype" w:eastAsia="Palatino Linotype" w:hAnsi="Palatino Linotype" w:cs="Palatino Linotype"/>
          <w:b/>
          <w:color w:val="000000"/>
          <w:sz w:val="24"/>
        </w:rPr>
        <w:t>Sujeto Obligado</w:t>
      </w:r>
      <w:r w:rsidRPr="00BC10FD">
        <w:rPr>
          <w:rFonts w:ascii="Palatino Linotype" w:eastAsia="Palatino Linotype" w:hAnsi="Palatino Linotype" w:cs="Palatino Linotype"/>
          <w:color w:val="000000"/>
          <w:sz w:val="24"/>
        </w:rPr>
        <w:t xml:space="preserve"> deberá realizar un análisis con la finalidad de advertir si esta contiene datos que deben ser clasificados en los términos que la misma </w:t>
      </w:r>
      <w:r w:rsidRPr="00BC10FD">
        <w:rPr>
          <w:rFonts w:ascii="Palatino Linotype" w:eastAsia="Palatino Linotype" w:hAnsi="Palatino Linotype" w:cs="Palatino Linotype"/>
          <w:color w:val="000000"/>
          <w:sz w:val="24"/>
        </w:rPr>
        <w:lastRenderedPageBreak/>
        <w:t xml:space="preserve">Ley en la materia señala, en ese sentido, el </w:t>
      </w:r>
      <w:r w:rsidRPr="00BC10FD">
        <w:rPr>
          <w:rFonts w:ascii="Palatino Linotype" w:eastAsia="Palatino Linotype" w:hAnsi="Palatino Linotype" w:cs="Palatino Linotype"/>
          <w:b/>
          <w:color w:val="000000"/>
          <w:sz w:val="24"/>
        </w:rPr>
        <w:t>Sujeto Obligado</w:t>
      </w:r>
      <w:r w:rsidRPr="00BC10FD">
        <w:rPr>
          <w:rFonts w:ascii="Palatino Linotype" w:eastAsia="Palatino Linotype" w:hAnsi="Palatino Linotype" w:cs="Palatino Linotype"/>
          <w:color w:val="000000"/>
          <w:sz w:val="24"/>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76F32496" w14:textId="77777777" w:rsidR="00F817B2" w:rsidRPr="00BC10FD" w:rsidRDefault="00F817B2" w:rsidP="00C84E95">
      <w:pPr>
        <w:spacing w:after="0" w:line="360" w:lineRule="auto"/>
        <w:ind w:right="50"/>
        <w:jc w:val="both"/>
        <w:rPr>
          <w:rFonts w:ascii="Palatino Linotype" w:eastAsia="Palatino Linotype" w:hAnsi="Palatino Linotype" w:cs="Palatino Linotype"/>
          <w:sz w:val="24"/>
          <w:szCs w:val="24"/>
        </w:rPr>
      </w:pPr>
    </w:p>
    <w:p w14:paraId="1A6A83F6" w14:textId="77777777" w:rsidR="00C84E95" w:rsidRPr="00BC10FD" w:rsidRDefault="00C84E95" w:rsidP="00C84E95">
      <w:pPr>
        <w:spacing w:after="0" w:line="360" w:lineRule="auto"/>
        <w:ind w:right="50"/>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035534BC" w14:textId="77777777" w:rsidR="00C84E95" w:rsidRPr="00BC10FD" w:rsidRDefault="00C84E95" w:rsidP="00C84E95">
      <w:pPr>
        <w:spacing w:after="0" w:line="360" w:lineRule="auto"/>
        <w:ind w:right="50"/>
        <w:jc w:val="both"/>
        <w:rPr>
          <w:rFonts w:ascii="Palatino Linotype" w:eastAsia="Palatino Linotype" w:hAnsi="Palatino Linotype" w:cs="Palatino Linotype"/>
          <w:sz w:val="24"/>
          <w:szCs w:val="24"/>
        </w:rPr>
      </w:pPr>
    </w:p>
    <w:p w14:paraId="76D4C4E5"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r w:rsidRPr="00BC10FD">
        <w:rPr>
          <w:rFonts w:ascii="Palatino Linotype" w:eastAsia="Palatino Linotype" w:hAnsi="Palatino Linotype" w:cs="Palatino Linotype"/>
          <w:b/>
          <w:i/>
        </w:rPr>
        <w:t>Artículo 3</w:t>
      </w:r>
      <w:r w:rsidRPr="00BC10FD">
        <w:rPr>
          <w:rFonts w:ascii="Palatino Linotype" w:eastAsia="Palatino Linotype" w:hAnsi="Palatino Linotype" w:cs="Palatino Linotype"/>
          <w:i/>
        </w:rPr>
        <w:t>. Para los efectos de la presente Ley se entenderá por:</w:t>
      </w:r>
    </w:p>
    <w:p w14:paraId="5B9272AA"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1C45BCB3"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IX. Datos personales:</w:t>
      </w:r>
      <w:r w:rsidRPr="00BC10FD">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A64E9CE"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XX. Información clasificada</w:t>
      </w:r>
      <w:r w:rsidRPr="00BC10FD">
        <w:rPr>
          <w:rFonts w:ascii="Palatino Linotype" w:eastAsia="Palatino Linotype" w:hAnsi="Palatino Linotype" w:cs="Palatino Linotype"/>
          <w:i/>
        </w:rPr>
        <w:t>: Aquella considerada por la presente Ley como reservada o confidencial;</w:t>
      </w:r>
    </w:p>
    <w:p w14:paraId="4C6A6850"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XXI. Información confidencial:</w:t>
      </w:r>
      <w:r w:rsidRPr="00BC10FD">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930B528"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XLV. Versión pública:</w:t>
      </w:r>
      <w:r w:rsidRPr="00BC10FD">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CA28F2E"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135BB4C6"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 xml:space="preserve">Artículo 91. </w:t>
      </w:r>
      <w:r w:rsidRPr="00BC10FD">
        <w:rPr>
          <w:rFonts w:ascii="Palatino Linotype" w:eastAsia="Palatino Linotype" w:hAnsi="Palatino Linotype" w:cs="Palatino Linotype"/>
          <w:i/>
        </w:rPr>
        <w:t>El acceso a la información pública será restringido excepcionalmente, cuando ésta sea clasificada como reservada o confidencial.</w:t>
      </w:r>
    </w:p>
    <w:p w14:paraId="4032DA55"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 xml:space="preserve">Artículo 132. </w:t>
      </w:r>
      <w:r w:rsidRPr="00BC10FD">
        <w:rPr>
          <w:rFonts w:ascii="Palatino Linotype" w:eastAsia="Palatino Linotype" w:hAnsi="Palatino Linotype" w:cs="Palatino Linotype"/>
          <w:i/>
        </w:rPr>
        <w:t>La clasificación de la información se llevará a cabo en el momento en que:</w:t>
      </w:r>
    </w:p>
    <w:p w14:paraId="79EED6E0"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w:t>
      </w:r>
      <w:r w:rsidRPr="00BC10FD">
        <w:rPr>
          <w:rFonts w:ascii="Palatino Linotype" w:eastAsia="Palatino Linotype" w:hAnsi="Palatino Linotype" w:cs="Palatino Linotype"/>
          <w:i/>
        </w:rPr>
        <w:t>. Se reciba una solicitud de acceso a la información;</w:t>
      </w:r>
    </w:p>
    <w:p w14:paraId="5AB65412"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lastRenderedPageBreak/>
        <w:t>II</w:t>
      </w:r>
      <w:r w:rsidRPr="00BC10FD">
        <w:rPr>
          <w:rFonts w:ascii="Palatino Linotype" w:eastAsia="Palatino Linotype" w:hAnsi="Palatino Linotype" w:cs="Palatino Linotype"/>
          <w:i/>
        </w:rPr>
        <w:t>. Se determine mediante resolución de autoridad competente; o</w:t>
      </w:r>
    </w:p>
    <w:p w14:paraId="1FC42AC1"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III</w:t>
      </w:r>
      <w:r w:rsidRPr="00BC10FD">
        <w:rPr>
          <w:rFonts w:ascii="Palatino Linotype" w:eastAsia="Palatino Linotype" w:hAnsi="Palatino Linotype" w:cs="Palatino Linotype"/>
          <w:i/>
        </w:rPr>
        <w:t>. Se generen versiones públicas para dar cumplimiento a las obligaciones de transparencia previstas en esta Ley.</w:t>
      </w:r>
    </w:p>
    <w:p w14:paraId="43A8FD63"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w:t>
      </w:r>
    </w:p>
    <w:p w14:paraId="450D9F8C"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Artículo 143</w:t>
      </w:r>
      <w:r w:rsidRPr="00BC10FD">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6AE9CDF"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w:t>
      </w:r>
      <w:r w:rsidRPr="00BC10FD">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3C4D6C6"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II.</w:t>
      </w:r>
      <w:r w:rsidRPr="00BC10FD">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17059E0"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b/>
          <w:i/>
        </w:rPr>
        <w:t>III</w:t>
      </w:r>
      <w:r w:rsidRPr="00BC10FD">
        <w:rPr>
          <w:rFonts w:ascii="Palatino Linotype" w:eastAsia="Palatino Linotype" w:hAnsi="Palatino Linotype" w:cs="Palatino Linotype"/>
          <w:i/>
        </w:rPr>
        <w:t>. La que presenten los particulares a los sujetos obligados, de conformidad con lo dispuesto por las leyes o los tratados internacionales.</w:t>
      </w:r>
    </w:p>
    <w:p w14:paraId="1E34A817"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521394B" w14:textId="77777777" w:rsidR="00C84E95" w:rsidRPr="00BC10FD" w:rsidRDefault="00C84E95" w:rsidP="00C84E95">
      <w:pPr>
        <w:spacing w:after="0" w:line="276" w:lineRule="auto"/>
        <w:ind w:left="567" w:right="902"/>
        <w:jc w:val="both"/>
        <w:rPr>
          <w:rFonts w:ascii="Palatino Linotype" w:eastAsia="Palatino Linotype" w:hAnsi="Palatino Linotype" w:cs="Palatino Linotype"/>
          <w:i/>
        </w:rPr>
      </w:pPr>
      <w:r w:rsidRPr="00BC10FD">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69FE244" w14:textId="77777777" w:rsidR="00C84E95" w:rsidRPr="00BC10FD" w:rsidRDefault="00C84E95" w:rsidP="00C84E95">
      <w:pPr>
        <w:spacing w:after="120" w:line="240" w:lineRule="auto"/>
        <w:ind w:left="567" w:right="902"/>
        <w:jc w:val="both"/>
        <w:rPr>
          <w:rFonts w:ascii="Palatino Linotype" w:eastAsia="Palatino Linotype" w:hAnsi="Palatino Linotype" w:cs="Palatino Linotype"/>
          <w:sz w:val="24"/>
          <w:szCs w:val="24"/>
        </w:rPr>
      </w:pPr>
    </w:p>
    <w:p w14:paraId="7EB81361" w14:textId="77777777" w:rsidR="00C84E95" w:rsidRPr="00BC10FD" w:rsidRDefault="00C84E95" w:rsidP="00C84E95">
      <w:pPr>
        <w:spacing w:before="120"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6CC77C8" w14:textId="77777777" w:rsidR="00C84E95" w:rsidRPr="00BC10FD" w:rsidRDefault="00C84E95" w:rsidP="00C84E95">
      <w:pPr>
        <w:spacing w:after="0" w:line="360" w:lineRule="auto"/>
        <w:jc w:val="both"/>
        <w:rPr>
          <w:rFonts w:ascii="Palatino Linotype" w:eastAsia="Palatino Linotype" w:hAnsi="Palatino Linotype" w:cs="Palatino Linotype"/>
          <w:sz w:val="24"/>
          <w:szCs w:val="24"/>
        </w:rPr>
      </w:pPr>
    </w:p>
    <w:p w14:paraId="1D1C2420" w14:textId="77777777" w:rsidR="00C84E95" w:rsidRPr="00BC10FD" w:rsidRDefault="00C84E95" w:rsidP="00C84E95">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lastRenderedPageBreak/>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siendo estas las siguientes:</w:t>
      </w:r>
    </w:p>
    <w:p w14:paraId="0AA6B371" w14:textId="77777777" w:rsidR="00C84E95" w:rsidRPr="00BC10FD" w:rsidRDefault="00C84E95" w:rsidP="00C84E95">
      <w:pPr>
        <w:spacing w:after="0" w:line="276" w:lineRule="auto"/>
        <w:ind w:left="567"/>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“CAPÍTULO VIII </w:t>
      </w:r>
    </w:p>
    <w:p w14:paraId="383EBE35" w14:textId="77777777" w:rsidR="00C84E95" w:rsidRPr="00BC10FD" w:rsidRDefault="00C84E95" w:rsidP="00C84E95">
      <w:pPr>
        <w:spacing w:after="0" w:line="276" w:lineRule="auto"/>
        <w:ind w:left="567"/>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DE LOS ELEMENTOS PARA LA CLASIFICACIÓN </w:t>
      </w:r>
    </w:p>
    <w:p w14:paraId="5A13CE05"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b/>
          <w:i/>
        </w:rPr>
        <w:t xml:space="preserve">Quincuagésimo. </w:t>
      </w:r>
      <w:r w:rsidRPr="00BC10FD">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4D37CB1"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b/>
          <w:i/>
        </w:rPr>
        <w:t xml:space="preserve">Quincuagésimo primero. </w:t>
      </w:r>
      <w:r w:rsidRPr="00BC10FD">
        <w:rPr>
          <w:rFonts w:ascii="Palatino Linotype" w:eastAsia="Palatino Linotype" w:hAnsi="Palatino Linotype" w:cs="Palatino Linotype"/>
          <w:i/>
        </w:rPr>
        <w:t xml:space="preserve">Toda acta del Comité de Transparencia deberá contener: </w:t>
      </w:r>
    </w:p>
    <w:p w14:paraId="00637B34"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 El número de sesión y fecha; </w:t>
      </w:r>
    </w:p>
    <w:p w14:paraId="037A38C2"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II. El nombre del área que solicitó la clasificación de información; </w:t>
      </w:r>
    </w:p>
    <w:p w14:paraId="02E02D2B"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III. La fundamentación legal y motivación correspondiente; </w:t>
      </w:r>
    </w:p>
    <w:p w14:paraId="6D317F6E"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IV. La resolución o resoluciones aprobadas; y </w:t>
      </w:r>
    </w:p>
    <w:p w14:paraId="1EF28A74"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V. La rúbrica o firma digital de cada integrante del Comité de Transparencia. Las resoluciones del Comité en las que se haya determinado confirmar o modificar la clasificación de información pública como reservada, deberán incluir, cuando menos: </w:t>
      </w:r>
    </w:p>
    <w:p w14:paraId="59B658BC"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I. Los motivos y razonamientos que sustenten la confirmación o modificación de la prueba de daño;</w:t>
      </w:r>
    </w:p>
    <w:p w14:paraId="437700E9"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II. Descripción de las partes o secciones reservadas, en caso de clasificación parcial; III. El periodo por el que mantendrá su clasificación y fecha de expiración; y </w:t>
      </w:r>
    </w:p>
    <w:p w14:paraId="476AB19A"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IV. El nombre del titular y área encargada de realizar la versión pública del documento, en su caso. </w:t>
      </w:r>
    </w:p>
    <w:p w14:paraId="632C3B4F"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En los casos en que se clasifique la información como reservada siempre se entregará o anexará la prueba de daño con la respuesta al solicitante. En los casos de resoluciones del Comité de Transparencia en las que se confirme la clasificación de información confidencial solo se deberán de identificar los tipos de datos protegidos, de conformidad con el lineamiento trigésimo octavo.</w:t>
      </w:r>
    </w:p>
    <w:p w14:paraId="32EC21CA"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t xml:space="preserve">Quincuagésimo segundo. </w:t>
      </w:r>
      <w:r w:rsidRPr="00BC10FD">
        <w:rPr>
          <w:rFonts w:ascii="Palatino Linotype" w:eastAsia="Palatino Linotype" w:hAnsi="Palatino Linotype" w:cs="Palatino Linotype"/>
          <w:i/>
        </w:rPr>
        <w:t xml:space="preserve">Para la clasificación y elaboración de versiones públicas de documentos que contengan información clasificada como reservada o confidencial, las áreas de los sujetos obligados deberán tomar las medidas pertinentes tendientes a </w:t>
      </w:r>
      <w:r w:rsidRPr="00BC10FD">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27D8FEED"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4AB89AF2"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 Fijar la fecha en que se elaboró la versión pública y la fecha en la cual el Comité de Transparencia confirmó dicha versión; </w:t>
      </w:r>
    </w:p>
    <w:p w14:paraId="271D0F61"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II. Señalar dentro del documento el tipo de información confidencial que fue testada en cada caso específico, de conformidad con el lineamiento trigésimo octavo; y </w:t>
      </w:r>
    </w:p>
    <w:p w14:paraId="20E3D16F"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III. Señalar las personas o instancias autorizadas a acceder a la información clasificada. </w:t>
      </w:r>
    </w:p>
    <w:p w14:paraId="5EE656F4"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información confidencial. </w:t>
      </w:r>
    </w:p>
    <w:p w14:paraId="45A2C15B"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b/>
          <w:i/>
        </w:rPr>
        <w:t>Quincuagésimo tercero.</w:t>
      </w:r>
      <w:r w:rsidRPr="00BC10FD">
        <w:rPr>
          <w:rFonts w:ascii="Palatino Linotype" w:eastAsia="Palatino Linotype" w:hAnsi="Palatino Linotype" w:cs="Palatino Linotype"/>
          <w:i/>
        </w:rPr>
        <w:t xml:space="preserve"> El formato para señalar la clasificación de un documento o expediente que contenga información reservada, es el siguiente:</w:t>
      </w:r>
      <w:r w:rsidRPr="00BC10FD">
        <w:rPr>
          <w:noProof/>
        </w:rPr>
        <w:drawing>
          <wp:anchor distT="0" distB="0" distL="114300" distR="114300" simplePos="0" relativeHeight="251661312" behindDoc="0" locked="0" layoutInCell="1" hidden="0" allowOverlap="1" wp14:anchorId="2CCDB891" wp14:editId="6B2E5942">
            <wp:simplePos x="0" y="0"/>
            <wp:positionH relativeFrom="column">
              <wp:posOffset>377190</wp:posOffset>
            </wp:positionH>
            <wp:positionV relativeFrom="paragraph">
              <wp:posOffset>798830</wp:posOffset>
            </wp:positionV>
            <wp:extent cx="4568190" cy="330200"/>
            <wp:effectExtent l="0" t="0" r="0" b="0"/>
            <wp:wrapTopAndBottom distT="0" dist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568190" cy="330200"/>
                    </a:xfrm>
                    <a:prstGeom prst="rect">
                      <a:avLst/>
                    </a:prstGeom>
                    <a:ln/>
                  </pic:spPr>
                </pic:pic>
              </a:graphicData>
            </a:graphic>
          </wp:anchor>
        </w:drawing>
      </w:r>
    </w:p>
    <w:p w14:paraId="0FE09D6C"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b/>
          <w:i/>
        </w:rPr>
      </w:pPr>
      <w:r w:rsidRPr="00BC10FD">
        <w:rPr>
          <w:rFonts w:ascii="Palatino Linotype" w:eastAsia="Palatino Linotype" w:hAnsi="Palatino Linotype" w:cs="Palatino Linotype"/>
          <w:b/>
          <w:i/>
          <w:noProof/>
        </w:rPr>
        <w:drawing>
          <wp:inline distT="0" distB="0" distL="0" distR="0" wp14:anchorId="6C2316DC" wp14:editId="7682D0F0">
            <wp:extent cx="4572000" cy="325755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572000" cy="3257550"/>
                    </a:xfrm>
                    <a:prstGeom prst="rect">
                      <a:avLst/>
                    </a:prstGeom>
                    <a:ln/>
                  </pic:spPr>
                </pic:pic>
              </a:graphicData>
            </a:graphic>
          </wp:inline>
        </w:drawing>
      </w:r>
    </w:p>
    <w:p w14:paraId="3703F826"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b/>
          <w:i/>
        </w:rPr>
      </w:pPr>
      <w:r w:rsidRPr="00BC10FD">
        <w:rPr>
          <w:rFonts w:ascii="Palatino Linotype" w:eastAsia="Palatino Linotype" w:hAnsi="Palatino Linotype" w:cs="Palatino Linotype"/>
          <w:b/>
          <w:i/>
        </w:rPr>
        <w:lastRenderedPageBreak/>
        <w:t xml:space="preserve">Quincuagésimo cuarto. </w:t>
      </w:r>
      <w:r w:rsidRPr="00BC10FD">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C10FD">
        <w:rPr>
          <w:rFonts w:ascii="Palatino Linotype" w:eastAsia="Palatino Linotype" w:hAnsi="Palatino Linotype" w:cs="Palatino Linotype"/>
          <w:b/>
          <w:i/>
        </w:rPr>
        <w:t xml:space="preserve"> </w:t>
      </w:r>
    </w:p>
    <w:p w14:paraId="2E53A153"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i/>
        </w:rPr>
      </w:pPr>
      <w:r w:rsidRPr="00BC10FD">
        <w:rPr>
          <w:rFonts w:ascii="Palatino Linotype" w:eastAsia="Palatino Linotype" w:hAnsi="Palatino Linotype" w:cs="Palatino Linotype"/>
          <w:b/>
          <w:i/>
        </w:rPr>
        <w:t xml:space="preserve">Quincuagésimo quinto. </w:t>
      </w:r>
      <w:r w:rsidRPr="00BC10FD">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BC10FD">
        <w:rPr>
          <w:rFonts w:ascii="Palatino Linotype" w:eastAsia="Palatino Linotype" w:hAnsi="Palatino Linotype" w:cs="Palatino Linotype"/>
          <w:i/>
        </w:rPr>
        <w:t>testado</w:t>
      </w:r>
      <w:proofErr w:type="spellEnd"/>
      <w:r w:rsidRPr="00BC10FD">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960A69F" w14:textId="77777777" w:rsidR="00C84E95" w:rsidRPr="00BC10FD" w:rsidRDefault="00C84E95" w:rsidP="00C84E95">
      <w:pPr>
        <w:spacing w:after="0" w:line="276" w:lineRule="auto"/>
        <w:ind w:left="567" w:right="900"/>
        <w:jc w:val="both"/>
        <w:rPr>
          <w:rFonts w:ascii="Palatino Linotype" w:eastAsia="Palatino Linotype" w:hAnsi="Palatino Linotype" w:cs="Palatino Linotype"/>
          <w:sz w:val="24"/>
          <w:szCs w:val="24"/>
        </w:rPr>
      </w:pPr>
    </w:p>
    <w:p w14:paraId="6BE507D0" w14:textId="77777777" w:rsidR="00C84E95" w:rsidRPr="00BC10FD" w:rsidRDefault="00C84E95" w:rsidP="00C84E95">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C699F89" w14:textId="77777777" w:rsidR="00297F7F" w:rsidRPr="00BC10FD" w:rsidRDefault="00297F7F" w:rsidP="008555E1">
      <w:pPr>
        <w:spacing w:after="0" w:line="360" w:lineRule="auto"/>
        <w:jc w:val="both"/>
        <w:rPr>
          <w:rFonts w:ascii="Palatino Linotype" w:eastAsia="Palatino Linotype" w:hAnsi="Palatino Linotype" w:cs="Palatino Linotype"/>
          <w:sz w:val="24"/>
          <w:szCs w:val="24"/>
        </w:rPr>
      </w:pPr>
    </w:p>
    <w:p w14:paraId="0B1A370B" w14:textId="77777777" w:rsidR="00001903" w:rsidRPr="00BC10FD" w:rsidRDefault="00001903" w:rsidP="008555E1">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w:t>
      </w:r>
      <w:r w:rsidRPr="00BC10FD">
        <w:rPr>
          <w:rFonts w:ascii="Palatino Linotype" w:eastAsia="Palatino Linotype" w:hAnsi="Palatino Linotype" w:cs="Palatino Linotype"/>
          <w:sz w:val="24"/>
          <w:szCs w:val="24"/>
        </w:rPr>
        <w:lastRenderedPageBreak/>
        <w:t>185, fracción I, 186, fracción III, así como 188 de la Ley de Transparencia y Acceso a la Información Pública del Estado de México y Municipios, este Pleno:</w:t>
      </w:r>
    </w:p>
    <w:p w14:paraId="07BE6689"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2E703876" w14:textId="77777777" w:rsidR="002447C2" w:rsidRPr="00BC10FD" w:rsidRDefault="004E0CE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BC10FD">
        <w:rPr>
          <w:rFonts w:ascii="Palatino Linotype" w:eastAsia="Palatino Linotype" w:hAnsi="Palatino Linotype" w:cs="Palatino Linotype"/>
          <w:b/>
          <w:sz w:val="24"/>
          <w:szCs w:val="24"/>
        </w:rPr>
        <w:t>R E S U E L V E:</w:t>
      </w:r>
    </w:p>
    <w:p w14:paraId="2232E488" w14:textId="77777777" w:rsidR="002447C2" w:rsidRPr="00BC10FD" w:rsidRDefault="002447C2">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1575EAD5" w14:textId="77777777" w:rsidR="002447C2" w:rsidRPr="00BC10FD" w:rsidRDefault="004E0CEE">
      <w:pPr>
        <w:spacing w:after="0" w:line="360" w:lineRule="auto"/>
        <w:jc w:val="both"/>
        <w:rPr>
          <w:rFonts w:ascii="Palatino Linotype" w:eastAsia="Palatino Linotype" w:hAnsi="Palatino Linotype" w:cs="Palatino Linotype"/>
          <w:b/>
          <w:sz w:val="24"/>
          <w:szCs w:val="24"/>
        </w:rPr>
      </w:pPr>
      <w:r w:rsidRPr="00BC10FD">
        <w:rPr>
          <w:rFonts w:ascii="Palatino Linotype" w:eastAsia="Palatino Linotype" w:hAnsi="Palatino Linotype" w:cs="Palatino Linotype"/>
          <w:b/>
          <w:sz w:val="24"/>
          <w:szCs w:val="24"/>
        </w:rPr>
        <w:t xml:space="preserve">Primero. </w:t>
      </w:r>
      <w:r w:rsidRPr="00BC10FD">
        <w:rPr>
          <w:rFonts w:ascii="Palatino Linotype" w:eastAsia="Palatino Linotype" w:hAnsi="Palatino Linotype" w:cs="Palatino Linotype"/>
          <w:sz w:val="24"/>
          <w:szCs w:val="24"/>
        </w:rPr>
        <w:t>Resultan</w:t>
      </w:r>
      <w:r w:rsidR="00C84E95" w:rsidRPr="00BC10FD">
        <w:rPr>
          <w:rFonts w:ascii="Palatino Linotype" w:eastAsia="Palatino Linotype" w:hAnsi="Palatino Linotype" w:cs="Palatino Linotype"/>
          <w:sz w:val="24"/>
          <w:szCs w:val="24"/>
        </w:rPr>
        <w:t xml:space="preserve"> </w:t>
      </w:r>
      <w:r w:rsidR="00C84E95" w:rsidRPr="00BC10FD">
        <w:rPr>
          <w:rFonts w:ascii="Palatino Linotype" w:eastAsia="Palatino Linotype" w:hAnsi="Palatino Linotype" w:cs="Palatino Linotype"/>
          <w:b/>
          <w:sz w:val="24"/>
          <w:szCs w:val="24"/>
        </w:rPr>
        <w:t>parcialmente</w:t>
      </w:r>
      <w:r w:rsidR="00353CC9"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b/>
          <w:sz w:val="24"/>
          <w:szCs w:val="24"/>
        </w:rPr>
        <w:t>fundadas</w:t>
      </w:r>
      <w:r w:rsidRPr="00BC10FD">
        <w:rPr>
          <w:rFonts w:ascii="Palatino Linotype" w:eastAsia="Palatino Linotype" w:hAnsi="Palatino Linotype" w:cs="Palatino Linotype"/>
          <w:sz w:val="24"/>
          <w:szCs w:val="24"/>
        </w:rPr>
        <w:t xml:space="preserve"> las</w:t>
      </w:r>
      <w:r w:rsidRPr="00BC10FD">
        <w:rPr>
          <w:rFonts w:ascii="Palatino Linotype" w:eastAsia="Palatino Linotype" w:hAnsi="Palatino Linotype" w:cs="Palatino Linotype"/>
          <w:b/>
          <w:sz w:val="24"/>
          <w:szCs w:val="24"/>
        </w:rPr>
        <w:t xml:space="preserve"> </w:t>
      </w:r>
      <w:r w:rsidRPr="00BC10FD">
        <w:rPr>
          <w:rFonts w:ascii="Palatino Linotype" w:eastAsia="Palatino Linotype" w:hAnsi="Palatino Linotype" w:cs="Palatino Linotype"/>
          <w:sz w:val="24"/>
          <w:szCs w:val="24"/>
        </w:rPr>
        <w:t xml:space="preserve">razones o motivos de inconformidad hechos valer por la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en el Recurso de Revisión </w:t>
      </w:r>
      <w:r w:rsidR="00E537E3" w:rsidRPr="00BC10FD">
        <w:rPr>
          <w:rFonts w:ascii="Palatino Linotype" w:eastAsia="Palatino Linotype" w:hAnsi="Palatino Linotype" w:cs="Palatino Linotype"/>
          <w:b/>
          <w:sz w:val="24"/>
          <w:szCs w:val="24"/>
        </w:rPr>
        <w:t>0</w:t>
      </w:r>
      <w:r w:rsidR="00C84E95" w:rsidRPr="00BC10FD">
        <w:rPr>
          <w:rFonts w:ascii="Palatino Linotype" w:eastAsia="Palatino Linotype" w:hAnsi="Palatino Linotype" w:cs="Palatino Linotype"/>
          <w:b/>
          <w:sz w:val="24"/>
          <w:szCs w:val="24"/>
        </w:rPr>
        <w:t>8469</w:t>
      </w:r>
      <w:r w:rsidRPr="00BC10FD">
        <w:rPr>
          <w:rFonts w:ascii="Palatino Linotype" w:eastAsia="Palatino Linotype" w:hAnsi="Palatino Linotype" w:cs="Palatino Linotype"/>
          <w:b/>
          <w:sz w:val="24"/>
          <w:szCs w:val="24"/>
        </w:rPr>
        <w:t xml:space="preserve">/INFOEM/IP/RR/2023; </w:t>
      </w:r>
      <w:r w:rsidRPr="00BC10FD">
        <w:rPr>
          <w:rFonts w:ascii="Palatino Linotype" w:eastAsia="Palatino Linotype" w:hAnsi="Palatino Linotype" w:cs="Palatino Linotype"/>
          <w:sz w:val="24"/>
          <w:szCs w:val="24"/>
        </w:rPr>
        <w:t xml:space="preserve">por lo que, en términos del Considerando </w:t>
      </w:r>
      <w:r w:rsidRPr="00BC10FD">
        <w:rPr>
          <w:rFonts w:ascii="Palatino Linotype" w:eastAsia="Palatino Linotype" w:hAnsi="Palatino Linotype" w:cs="Palatino Linotype"/>
          <w:b/>
          <w:sz w:val="24"/>
          <w:szCs w:val="24"/>
        </w:rPr>
        <w:t>Cuarto</w:t>
      </w:r>
      <w:r w:rsidRPr="00BC10FD">
        <w:rPr>
          <w:rFonts w:ascii="Palatino Linotype" w:eastAsia="Palatino Linotype" w:hAnsi="Palatino Linotype" w:cs="Palatino Linotype"/>
          <w:sz w:val="24"/>
          <w:szCs w:val="24"/>
        </w:rPr>
        <w:t xml:space="preserve"> de la presente resolución se </w:t>
      </w:r>
      <w:r w:rsidR="00001903" w:rsidRPr="00BC10FD">
        <w:rPr>
          <w:rFonts w:ascii="Palatino Linotype" w:eastAsia="Palatino Linotype" w:hAnsi="Palatino Linotype" w:cs="Palatino Linotype"/>
          <w:b/>
          <w:sz w:val="24"/>
          <w:szCs w:val="24"/>
        </w:rPr>
        <w:t>Revoca</w:t>
      </w:r>
      <w:r w:rsidRPr="00BC10FD">
        <w:rPr>
          <w:rFonts w:ascii="Palatino Linotype" w:eastAsia="Palatino Linotype" w:hAnsi="Palatino Linotype" w:cs="Palatino Linotype"/>
          <w:b/>
          <w:sz w:val="24"/>
          <w:szCs w:val="24"/>
        </w:rPr>
        <w:t xml:space="preserve"> </w:t>
      </w:r>
      <w:r w:rsidRPr="00BC10FD">
        <w:rPr>
          <w:rFonts w:ascii="Palatino Linotype" w:eastAsia="Palatino Linotype" w:hAnsi="Palatino Linotype" w:cs="Palatino Linotype"/>
          <w:sz w:val="24"/>
          <w:szCs w:val="24"/>
        </w:rPr>
        <w:t xml:space="preserve">la respuesta emitida por el </w:t>
      </w:r>
      <w:r w:rsidRPr="00BC10FD">
        <w:rPr>
          <w:rFonts w:ascii="Palatino Linotype" w:eastAsia="Palatino Linotype" w:hAnsi="Palatino Linotype" w:cs="Palatino Linotype"/>
          <w:b/>
          <w:sz w:val="24"/>
          <w:szCs w:val="24"/>
        </w:rPr>
        <w:t xml:space="preserve">Sujeto Obligado. </w:t>
      </w:r>
    </w:p>
    <w:p w14:paraId="67BEB469" w14:textId="77777777" w:rsidR="002447C2" w:rsidRPr="00BC10FD" w:rsidRDefault="002447C2">
      <w:pPr>
        <w:spacing w:after="0" w:line="360" w:lineRule="auto"/>
        <w:jc w:val="both"/>
        <w:rPr>
          <w:rFonts w:ascii="Palatino Linotype" w:eastAsia="Palatino Linotype" w:hAnsi="Palatino Linotype" w:cs="Palatino Linotype"/>
          <w:b/>
          <w:sz w:val="24"/>
          <w:szCs w:val="24"/>
        </w:rPr>
      </w:pPr>
    </w:p>
    <w:p w14:paraId="1A1C017B"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t xml:space="preserve">Segundo. </w:t>
      </w:r>
      <w:r w:rsidRPr="00BC10FD">
        <w:rPr>
          <w:rFonts w:ascii="Palatino Linotype" w:eastAsia="Palatino Linotype" w:hAnsi="Palatino Linotype" w:cs="Palatino Linotype"/>
          <w:sz w:val="24"/>
          <w:szCs w:val="24"/>
        </w:rPr>
        <w:t xml:space="preserve">Se </w:t>
      </w:r>
      <w:r w:rsidRPr="00BC10FD">
        <w:rPr>
          <w:rFonts w:ascii="Palatino Linotype" w:eastAsia="Palatino Linotype" w:hAnsi="Palatino Linotype" w:cs="Palatino Linotype"/>
          <w:b/>
          <w:sz w:val="24"/>
          <w:szCs w:val="24"/>
        </w:rPr>
        <w:t>ordena</w:t>
      </w:r>
      <w:r w:rsidRPr="00BC10FD">
        <w:rPr>
          <w:rFonts w:ascii="Palatino Linotype" w:eastAsia="Palatino Linotype" w:hAnsi="Palatino Linotype" w:cs="Palatino Linotype"/>
          <w:sz w:val="24"/>
          <w:szCs w:val="24"/>
        </w:rPr>
        <w:t xml:space="preserve"> al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que, en términos de</w:t>
      </w:r>
      <w:r w:rsidR="00001903"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sz w:val="24"/>
          <w:szCs w:val="24"/>
        </w:rPr>
        <w:t>l</w:t>
      </w:r>
      <w:r w:rsidR="00001903" w:rsidRPr="00BC10FD">
        <w:rPr>
          <w:rFonts w:ascii="Palatino Linotype" w:eastAsia="Palatino Linotype" w:hAnsi="Palatino Linotype" w:cs="Palatino Linotype"/>
          <w:sz w:val="24"/>
          <w:szCs w:val="24"/>
        </w:rPr>
        <w:t>os</w:t>
      </w:r>
      <w:r w:rsidRPr="00BC10FD">
        <w:rPr>
          <w:rFonts w:ascii="Palatino Linotype" w:eastAsia="Palatino Linotype" w:hAnsi="Palatino Linotype" w:cs="Palatino Linotype"/>
          <w:sz w:val="24"/>
          <w:szCs w:val="24"/>
        </w:rPr>
        <w:t xml:space="preserve"> Considerando</w:t>
      </w:r>
      <w:r w:rsidR="00001903" w:rsidRPr="00BC10FD">
        <w:rPr>
          <w:rFonts w:ascii="Palatino Linotype" w:eastAsia="Palatino Linotype" w:hAnsi="Palatino Linotype" w:cs="Palatino Linotype"/>
          <w:sz w:val="24"/>
          <w:szCs w:val="24"/>
        </w:rPr>
        <w:t>s</w:t>
      </w:r>
      <w:r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b/>
          <w:sz w:val="24"/>
          <w:szCs w:val="24"/>
        </w:rPr>
        <w:t>Cuarto</w:t>
      </w:r>
      <w:r w:rsidR="00001903" w:rsidRPr="00BC10FD">
        <w:rPr>
          <w:rFonts w:ascii="Palatino Linotype" w:eastAsia="Palatino Linotype" w:hAnsi="Palatino Linotype" w:cs="Palatino Linotype"/>
          <w:b/>
          <w:sz w:val="24"/>
          <w:szCs w:val="24"/>
        </w:rPr>
        <w:t xml:space="preserve"> y Quinto</w:t>
      </w:r>
      <w:r w:rsidRPr="00BC10FD">
        <w:rPr>
          <w:rFonts w:ascii="Palatino Linotype" w:eastAsia="Palatino Linotype" w:hAnsi="Palatino Linotype" w:cs="Palatino Linotype"/>
          <w:sz w:val="24"/>
          <w:szCs w:val="24"/>
        </w:rPr>
        <w:t>, haga entrega, vía Sistema de Acceso a la Información Mexiquense,</w:t>
      </w:r>
      <w:r w:rsidR="00E537E3" w:rsidRPr="00BC10FD">
        <w:rPr>
          <w:rFonts w:ascii="Palatino Linotype" w:eastAsia="Palatino Linotype" w:hAnsi="Palatino Linotype" w:cs="Palatino Linotype"/>
          <w:sz w:val="24"/>
          <w:szCs w:val="24"/>
        </w:rPr>
        <w:t xml:space="preserve"> </w:t>
      </w:r>
      <w:r w:rsidR="00297F7F" w:rsidRPr="00BC10FD">
        <w:rPr>
          <w:rFonts w:ascii="Palatino Linotype" w:eastAsia="Palatino Linotype" w:hAnsi="Palatino Linotype" w:cs="Palatino Linotype"/>
          <w:sz w:val="24"/>
          <w:szCs w:val="24"/>
        </w:rPr>
        <w:t xml:space="preserve">previa búsqueda exhaustiva y razonable, </w:t>
      </w:r>
      <w:r w:rsidR="00001903" w:rsidRPr="00BC10FD">
        <w:rPr>
          <w:rFonts w:ascii="Palatino Linotype" w:eastAsia="Palatino Linotype" w:hAnsi="Palatino Linotype" w:cs="Palatino Linotype"/>
          <w:b/>
          <w:sz w:val="24"/>
          <w:szCs w:val="24"/>
          <w:u w:val="single"/>
        </w:rPr>
        <w:t>de ser procedente en versión pública</w:t>
      </w:r>
      <w:r w:rsidR="00001903" w:rsidRPr="00BC10FD">
        <w:rPr>
          <w:rFonts w:ascii="Palatino Linotype" w:eastAsia="Palatino Linotype" w:hAnsi="Palatino Linotype" w:cs="Palatino Linotype"/>
          <w:sz w:val="24"/>
          <w:szCs w:val="24"/>
        </w:rPr>
        <w:t xml:space="preserve">, </w:t>
      </w:r>
      <w:r w:rsidRPr="00BC10FD">
        <w:rPr>
          <w:rFonts w:ascii="Palatino Linotype" w:eastAsia="Palatino Linotype" w:hAnsi="Palatino Linotype" w:cs="Palatino Linotype"/>
          <w:sz w:val="24"/>
          <w:szCs w:val="24"/>
        </w:rPr>
        <w:t>lo siguiente:</w:t>
      </w:r>
    </w:p>
    <w:p w14:paraId="3F717D49"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7FE03CCC" w14:textId="0491A105" w:rsidR="00C84E95" w:rsidRPr="00BC10FD" w:rsidRDefault="00C84E95" w:rsidP="00C84E95">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BC10FD">
        <w:rPr>
          <w:rFonts w:ascii="Palatino Linotype" w:eastAsia="Palatino Linotype" w:hAnsi="Palatino Linotype" w:cs="Palatino Linotype"/>
          <w:b/>
          <w:color w:val="000000"/>
          <w:sz w:val="24"/>
          <w:szCs w:val="24"/>
        </w:rPr>
        <w:t>El o los documentos donde</w:t>
      </w:r>
      <w:r w:rsidR="001C133F" w:rsidRPr="00BC10FD">
        <w:rPr>
          <w:rFonts w:ascii="Palatino Linotype" w:eastAsia="Palatino Linotype" w:hAnsi="Palatino Linotype" w:cs="Palatino Linotype"/>
          <w:b/>
          <w:color w:val="000000"/>
          <w:sz w:val="24"/>
          <w:szCs w:val="24"/>
        </w:rPr>
        <w:t xml:space="preserve"> conste</w:t>
      </w:r>
      <w:r w:rsidRPr="00BC10FD">
        <w:rPr>
          <w:rFonts w:ascii="Palatino Linotype" w:eastAsia="Palatino Linotype" w:hAnsi="Palatino Linotype" w:cs="Palatino Linotype"/>
          <w:b/>
          <w:color w:val="000000"/>
          <w:sz w:val="24"/>
          <w:szCs w:val="24"/>
        </w:rPr>
        <w:t xml:space="preserve"> </w:t>
      </w:r>
      <w:r w:rsidR="001C133F" w:rsidRPr="00BC10FD">
        <w:rPr>
          <w:rFonts w:ascii="Palatino Linotype" w:eastAsia="Palatino Linotype" w:hAnsi="Palatino Linotype" w:cs="Palatino Linotype"/>
          <w:b/>
          <w:color w:val="000000"/>
          <w:sz w:val="24"/>
          <w:szCs w:val="24"/>
        </w:rPr>
        <w:t>o se pueda advertir el total de</w:t>
      </w:r>
      <w:r w:rsidRPr="00BC10FD">
        <w:rPr>
          <w:rFonts w:ascii="Palatino Linotype" w:eastAsia="Palatino Linotype" w:hAnsi="Palatino Linotype" w:cs="Palatino Linotype"/>
          <w:b/>
          <w:color w:val="000000"/>
          <w:sz w:val="24"/>
          <w:szCs w:val="24"/>
        </w:rPr>
        <w:t xml:space="preserve"> licencias de construcción otorgadas en los ejercicios 2021, 2022 y </w:t>
      </w:r>
      <w:r w:rsidR="001C133F" w:rsidRPr="00BC10FD">
        <w:rPr>
          <w:rFonts w:ascii="Palatino Linotype" w:eastAsia="Palatino Linotype" w:hAnsi="Palatino Linotype" w:cs="Palatino Linotype"/>
          <w:b/>
          <w:color w:val="000000"/>
          <w:sz w:val="24"/>
          <w:szCs w:val="24"/>
        </w:rPr>
        <w:t>del 01 de enero al 09 de noviembre de 2023.</w:t>
      </w:r>
    </w:p>
    <w:p w14:paraId="588951CC" w14:textId="77777777" w:rsidR="00001903" w:rsidRPr="00BC10FD" w:rsidRDefault="00001903" w:rsidP="00001903">
      <w:pPr>
        <w:pStyle w:val="Prrafodelista"/>
        <w:rPr>
          <w:rFonts w:ascii="Palatino Linotype" w:eastAsia="Palatino Linotype" w:hAnsi="Palatino Linotype" w:cs="Palatino Linotype"/>
          <w:b/>
          <w:color w:val="000000"/>
          <w:sz w:val="24"/>
          <w:szCs w:val="24"/>
        </w:rPr>
      </w:pPr>
    </w:p>
    <w:p w14:paraId="2713EA55" w14:textId="77777777" w:rsidR="00297F7F" w:rsidRPr="00BC10FD" w:rsidRDefault="00297F7F" w:rsidP="00001903">
      <w:pPr>
        <w:pBdr>
          <w:top w:val="nil"/>
          <w:left w:val="nil"/>
          <w:bottom w:val="nil"/>
          <w:right w:val="nil"/>
          <w:between w:val="nil"/>
        </w:pBdr>
        <w:tabs>
          <w:tab w:val="left" w:pos="3962"/>
        </w:tabs>
        <w:spacing w:line="276" w:lineRule="auto"/>
        <w:ind w:left="426" w:right="276"/>
        <w:jc w:val="both"/>
        <w:rPr>
          <w:rFonts w:ascii="Palatino Linotype" w:eastAsia="Palatino Linotype" w:hAnsi="Palatino Linotype" w:cs="Palatino Linotype"/>
          <w:i/>
        </w:rPr>
      </w:pPr>
      <w:r w:rsidRPr="00BC10FD">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BC10FD">
        <w:rPr>
          <w:rFonts w:ascii="Palatino Linotype" w:eastAsia="Palatino Linotype" w:hAnsi="Palatino Linotype" w:cs="Palatino Linotype"/>
          <w:b/>
          <w:i/>
        </w:rPr>
        <w:t>Recurrente</w:t>
      </w:r>
      <w:r w:rsidRPr="00BC10FD">
        <w:rPr>
          <w:rFonts w:ascii="Palatino Linotype" w:eastAsia="Palatino Linotype" w:hAnsi="Palatino Linotype" w:cs="Palatino Linotype"/>
          <w:i/>
        </w:rPr>
        <w:t>.</w:t>
      </w:r>
    </w:p>
    <w:p w14:paraId="421195F2" w14:textId="77777777" w:rsidR="00001903" w:rsidRPr="00BC10FD" w:rsidRDefault="00001903" w:rsidP="00001903">
      <w:pPr>
        <w:pBdr>
          <w:top w:val="nil"/>
          <w:left w:val="nil"/>
          <w:bottom w:val="nil"/>
          <w:right w:val="nil"/>
          <w:between w:val="nil"/>
        </w:pBdr>
        <w:spacing w:after="0" w:line="360" w:lineRule="auto"/>
        <w:ind w:left="360"/>
        <w:jc w:val="both"/>
        <w:rPr>
          <w:rFonts w:ascii="Palatino Linotype" w:eastAsia="Palatino Linotype" w:hAnsi="Palatino Linotype" w:cs="Palatino Linotype"/>
          <w:b/>
          <w:color w:val="000000"/>
          <w:sz w:val="24"/>
          <w:szCs w:val="24"/>
        </w:rPr>
      </w:pPr>
    </w:p>
    <w:p w14:paraId="37B2414D" w14:textId="77777777" w:rsidR="002447C2" w:rsidRPr="00BC10FD" w:rsidRDefault="004E0CEE">
      <w:pPr>
        <w:spacing w:after="0" w:line="360" w:lineRule="auto"/>
        <w:jc w:val="both"/>
        <w:rPr>
          <w:sz w:val="24"/>
          <w:szCs w:val="24"/>
        </w:rPr>
      </w:pPr>
      <w:r w:rsidRPr="00BC10FD">
        <w:rPr>
          <w:rFonts w:ascii="Palatino Linotype" w:eastAsia="Palatino Linotype" w:hAnsi="Palatino Linotype" w:cs="Palatino Linotype"/>
          <w:b/>
          <w:sz w:val="24"/>
          <w:szCs w:val="24"/>
        </w:rPr>
        <w:lastRenderedPageBreak/>
        <w:t>Tercero.</w:t>
      </w:r>
      <w:r w:rsidRPr="00BC10FD">
        <w:rPr>
          <w:rFonts w:ascii="Palatino Linotype" w:eastAsia="Palatino Linotype" w:hAnsi="Palatino Linotype" w:cs="Palatino Linotype"/>
          <w:b/>
          <w:sz w:val="32"/>
          <w:szCs w:val="32"/>
        </w:rPr>
        <w:t xml:space="preserve">  </w:t>
      </w:r>
      <w:r w:rsidRPr="00BC10FD">
        <w:rPr>
          <w:rFonts w:ascii="Palatino Linotype" w:eastAsia="Palatino Linotype" w:hAnsi="Palatino Linotype" w:cs="Palatino Linotype"/>
          <w:b/>
          <w:sz w:val="24"/>
          <w:szCs w:val="24"/>
        </w:rPr>
        <w:t>Notifíquese a través del Sistema de Acceso a la Información Mexiquense (SAIMEX),</w:t>
      </w:r>
      <w:r w:rsidRPr="00BC10FD">
        <w:rPr>
          <w:rFonts w:ascii="Palatino Linotype" w:eastAsia="Palatino Linotype" w:hAnsi="Palatino Linotype" w:cs="Palatino Linotype"/>
          <w:b/>
          <w:sz w:val="32"/>
          <w:szCs w:val="32"/>
        </w:rPr>
        <w:t xml:space="preserve"> </w:t>
      </w:r>
      <w:r w:rsidRPr="00BC10FD">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C10FD">
        <w:rPr>
          <w:sz w:val="24"/>
          <w:szCs w:val="24"/>
        </w:rPr>
        <w:t>.</w:t>
      </w:r>
    </w:p>
    <w:p w14:paraId="4C7FFF63" w14:textId="77777777" w:rsidR="002447C2" w:rsidRPr="00BC10FD" w:rsidRDefault="002447C2">
      <w:pPr>
        <w:spacing w:after="0" w:line="360" w:lineRule="auto"/>
        <w:jc w:val="both"/>
        <w:rPr>
          <w:sz w:val="24"/>
          <w:szCs w:val="24"/>
        </w:rPr>
      </w:pPr>
    </w:p>
    <w:p w14:paraId="65755FB1"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t>Cuarto.</w:t>
      </w:r>
      <w:r w:rsidRPr="00BC10FD">
        <w:rPr>
          <w:rFonts w:ascii="Palatino Linotype" w:eastAsia="Palatino Linotype" w:hAnsi="Palatino Linotype" w:cs="Palatino Linotype"/>
          <w:b/>
          <w:sz w:val="32"/>
          <w:szCs w:val="32"/>
        </w:rPr>
        <w:t xml:space="preserve"> </w:t>
      </w:r>
      <w:r w:rsidRPr="00BC10FD">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BC10FD">
        <w:rPr>
          <w:rFonts w:ascii="Palatino Linotype" w:eastAsia="Palatino Linotype" w:hAnsi="Palatino Linotype" w:cs="Palatino Linotype"/>
          <w:b/>
          <w:sz w:val="24"/>
          <w:szCs w:val="24"/>
        </w:rPr>
        <w:t>Sujeto Obligado</w:t>
      </w:r>
      <w:r w:rsidRPr="00BC10FD">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2E4E443"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0215CBD0" w14:textId="77777777" w:rsidR="002447C2" w:rsidRPr="00BC10FD" w:rsidRDefault="004E0CEE">
      <w:pPr>
        <w:spacing w:after="0" w:line="360" w:lineRule="auto"/>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b/>
          <w:sz w:val="24"/>
          <w:szCs w:val="24"/>
        </w:rPr>
        <w:t>Quinto. Notifíquese a través del Sistema de Acceso a la Información Mexiquense (SAIMEX)</w:t>
      </w:r>
      <w:r w:rsidRPr="00BC10FD">
        <w:rPr>
          <w:rFonts w:ascii="Palatino Linotype" w:eastAsia="Palatino Linotype" w:hAnsi="Palatino Linotype" w:cs="Palatino Linotype"/>
          <w:sz w:val="24"/>
          <w:szCs w:val="24"/>
        </w:rPr>
        <w:t>,</w:t>
      </w:r>
      <w:r w:rsidRPr="00BC10FD">
        <w:rPr>
          <w:rFonts w:ascii="Palatino Linotype" w:eastAsia="Palatino Linotype" w:hAnsi="Palatino Linotype" w:cs="Palatino Linotype"/>
          <w:b/>
          <w:sz w:val="24"/>
          <w:szCs w:val="24"/>
        </w:rPr>
        <w:t xml:space="preserve"> </w:t>
      </w:r>
      <w:r w:rsidRPr="00BC10FD">
        <w:rPr>
          <w:rFonts w:ascii="Palatino Linotype" w:eastAsia="Palatino Linotype" w:hAnsi="Palatino Linotype" w:cs="Palatino Linotype"/>
          <w:sz w:val="24"/>
          <w:szCs w:val="24"/>
        </w:rPr>
        <w:t xml:space="preserve">a la parte </w:t>
      </w:r>
      <w:r w:rsidRPr="00BC10FD">
        <w:rPr>
          <w:rFonts w:ascii="Palatino Linotype" w:eastAsia="Palatino Linotype" w:hAnsi="Palatino Linotype" w:cs="Palatino Linotype"/>
          <w:b/>
          <w:sz w:val="24"/>
          <w:szCs w:val="24"/>
        </w:rPr>
        <w:t>Recurrente</w:t>
      </w:r>
      <w:r w:rsidRPr="00BC10FD">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1938AC81" w14:textId="77777777" w:rsidR="002447C2" w:rsidRPr="00BC10FD" w:rsidRDefault="002447C2">
      <w:pPr>
        <w:spacing w:after="0" w:line="360" w:lineRule="auto"/>
        <w:jc w:val="both"/>
        <w:rPr>
          <w:rFonts w:ascii="Palatino Linotype" w:eastAsia="Palatino Linotype" w:hAnsi="Palatino Linotype" w:cs="Palatino Linotype"/>
          <w:sz w:val="24"/>
          <w:szCs w:val="24"/>
        </w:rPr>
      </w:pPr>
    </w:p>
    <w:p w14:paraId="2E3E7E59" w14:textId="0F50CA76" w:rsidR="002447C2" w:rsidRDefault="00296137">
      <w:pPr>
        <w:spacing w:after="0" w:line="360" w:lineRule="auto"/>
        <w:ind w:right="-93"/>
        <w:jc w:val="both"/>
        <w:rPr>
          <w:rFonts w:ascii="Palatino Linotype" w:eastAsia="Palatino Linotype" w:hAnsi="Palatino Linotype" w:cs="Palatino Linotype"/>
          <w:sz w:val="24"/>
          <w:szCs w:val="24"/>
        </w:rPr>
      </w:pPr>
      <w:r w:rsidRPr="00BC10FD">
        <w:rPr>
          <w:rFonts w:ascii="Palatino Linotype" w:eastAsia="Palatino Linotype" w:hAnsi="Palatino Linotype" w:cs="Palatino Linotype"/>
          <w:noProof/>
          <w:sz w:val="24"/>
          <w:szCs w:val="24"/>
        </w:rPr>
        <w:lastRenderedPageBreak/>
        <mc:AlternateContent>
          <mc:Choice Requires="wps">
            <w:drawing>
              <wp:anchor distT="0" distB="0" distL="114300" distR="114300" simplePos="0" relativeHeight="251662336" behindDoc="0" locked="0" layoutInCell="1" allowOverlap="1" wp14:anchorId="2973D727" wp14:editId="6E9564B7">
                <wp:simplePos x="0" y="0"/>
                <wp:positionH relativeFrom="column">
                  <wp:posOffset>34290</wp:posOffset>
                </wp:positionH>
                <wp:positionV relativeFrom="paragraph">
                  <wp:posOffset>2705735</wp:posOffset>
                </wp:positionV>
                <wp:extent cx="5619750" cy="4838700"/>
                <wp:effectExtent l="38100" t="19050" r="76200" b="95250"/>
                <wp:wrapNone/>
                <wp:docPr id="6" name="Conector recto 6"/>
                <wp:cNvGraphicFramePr/>
                <a:graphic xmlns:a="http://schemas.openxmlformats.org/drawingml/2006/main">
                  <a:graphicData uri="http://schemas.microsoft.com/office/word/2010/wordprocessingShape">
                    <wps:wsp>
                      <wps:cNvCnPr/>
                      <wps:spPr>
                        <a:xfrm>
                          <a:off x="0" y="0"/>
                          <a:ext cx="5619750" cy="483870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09AF46DD"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213.05pt" to="445.2pt,5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" strokecolor="#4f81bd [3204]" strokeweight=".25pt">
                <v:shadow on="t" color="black" opacity="24903f" origin=",.5" offset="0,.55556mm"/>
              </v:line>
            </w:pict>
          </mc:Fallback>
        </mc:AlternateContent>
      </w:r>
      <w:r w:rsidR="004E0CEE" w:rsidRPr="00BC10FD">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537E3" w:rsidRPr="00BC10FD">
        <w:rPr>
          <w:rFonts w:ascii="Palatino Linotype" w:eastAsia="Palatino Linotype" w:hAnsi="Palatino Linotype" w:cs="Palatino Linotype"/>
          <w:color w:val="000000"/>
          <w:sz w:val="24"/>
          <w:szCs w:val="24"/>
        </w:rPr>
        <w:t>SEXTA</w:t>
      </w:r>
      <w:r w:rsidR="004E0CEE" w:rsidRPr="00BC10FD">
        <w:rPr>
          <w:rFonts w:ascii="Palatino Linotype" w:eastAsia="Palatino Linotype" w:hAnsi="Palatino Linotype" w:cs="Palatino Linotype"/>
          <w:color w:val="000000"/>
          <w:sz w:val="24"/>
          <w:szCs w:val="24"/>
        </w:rPr>
        <w:t xml:space="preserve"> </w:t>
      </w:r>
      <w:r w:rsidR="004E0CEE" w:rsidRPr="00BC10FD">
        <w:rPr>
          <w:rFonts w:ascii="Palatino Linotype" w:eastAsia="Palatino Linotype" w:hAnsi="Palatino Linotype" w:cs="Palatino Linotype"/>
          <w:sz w:val="24"/>
          <w:szCs w:val="24"/>
        </w:rPr>
        <w:t>SESIÓN ORDINARIA CELEBRADA EL VEINTI</w:t>
      </w:r>
      <w:r w:rsidR="00E537E3" w:rsidRPr="00BC10FD">
        <w:rPr>
          <w:rFonts w:ascii="Palatino Linotype" w:eastAsia="Palatino Linotype" w:hAnsi="Palatino Linotype" w:cs="Palatino Linotype"/>
          <w:sz w:val="24"/>
          <w:szCs w:val="24"/>
        </w:rPr>
        <w:t>UNO</w:t>
      </w:r>
      <w:r w:rsidR="004E0CEE" w:rsidRPr="00BC10FD">
        <w:rPr>
          <w:rFonts w:ascii="Palatino Linotype" w:eastAsia="Palatino Linotype" w:hAnsi="Palatino Linotype" w:cs="Palatino Linotype"/>
          <w:sz w:val="24"/>
          <w:szCs w:val="24"/>
        </w:rPr>
        <w:t xml:space="preserve"> DE </w:t>
      </w:r>
      <w:r w:rsidR="00E537E3" w:rsidRPr="00BC10FD">
        <w:rPr>
          <w:rFonts w:ascii="Palatino Linotype" w:eastAsia="Palatino Linotype" w:hAnsi="Palatino Linotype" w:cs="Palatino Linotype"/>
          <w:sz w:val="24"/>
          <w:szCs w:val="24"/>
        </w:rPr>
        <w:t>FEBRERO</w:t>
      </w:r>
      <w:r w:rsidR="004E0CEE" w:rsidRPr="00BC10FD">
        <w:rPr>
          <w:rFonts w:ascii="Palatino Linotype" w:eastAsia="Palatino Linotype" w:hAnsi="Palatino Linotype" w:cs="Palatino Linotype"/>
          <w:sz w:val="24"/>
          <w:szCs w:val="24"/>
        </w:rPr>
        <w:t xml:space="preserve"> DE DOS MIL VEINTICUATRO, ANTE EL SECRETARIO TÉCNICO DEL PLENO ALEXIS TAPIA RAMÍREZ.</w:t>
      </w:r>
    </w:p>
    <w:p w14:paraId="2E81F0A1" w14:textId="77777777" w:rsidR="002447C2" w:rsidRDefault="002447C2">
      <w:pPr>
        <w:spacing w:after="0" w:line="360" w:lineRule="auto"/>
        <w:ind w:right="-93"/>
        <w:jc w:val="both"/>
        <w:rPr>
          <w:rFonts w:ascii="Palatino Linotype" w:eastAsia="Palatino Linotype" w:hAnsi="Palatino Linotype" w:cs="Palatino Linotype"/>
          <w:sz w:val="24"/>
          <w:szCs w:val="24"/>
        </w:rPr>
      </w:pPr>
    </w:p>
    <w:p w14:paraId="49F9113A"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316B582"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493E3B74"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37BBB76"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6CD39467"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0BF11B0C"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BA756EE"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1DBEAB73"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6C41D17"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1C9CCBAE"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463EA143"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6BBD5304"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926ABD3"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B9AA2BB"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661BB0C"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E519067"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A1D9F79"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D7BDFEA" w14:textId="77777777" w:rsidR="003B78A8" w:rsidRDefault="003B78A8">
      <w:pPr>
        <w:spacing w:after="0" w:line="360" w:lineRule="auto"/>
        <w:ind w:right="-93"/>
        <w:jc w:val="both"/>
        <w:rPr>
          <w:rFonts w:ascii="Palatino Linotype" w:eastAsia="Palatino Linotype" w:hAnsi="Palatino Linotype" w:cs="Palatino Linotype"/>
          <w:sz w:val="24"/>
          <w:szCs w:val="24"/>
        </w:rPr>
      </w:pPr>
    </w:p>
    <w:sectPr w:rsidR="003B78A8">
      <w:headerReference w:type="default" r:id="rId18"/>
      <w:footerReference w:type="default" r:id="rId19"/>
      <w:headerReference w:type="first" r:id="rId20"/>
      <w:footerReference w:type="first" r:id="rId2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9E6F" w14:textId="77777777" w:rsidR="00E45C85" w:rsidRDefault="00E45C85">
      <w:pPr>
        <w:spacing w:after="0" w:line="240" w:lineRule="auto"/>
      </w:pPr>
      <w:r>
        <w:separator/>
      </w:r>
    </w:p>
  </w:endnote>
  <w:endnote w:type="continuationSeparator" w:id="0">
    <w:p w14:paraId="2B511608" w14:textId="77777777" w:rsidR="00E45C85" w:rsidRDefault="00E4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5C5" w14:textId="77777777" w:rsidR="00391A47" w:rsidRDefault="00391A4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43F">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43F">
      <w:rPr>
        <w:b/>
        <w:noProof/>
        <w:color w:val="000000"/>
        <w:sz w:val="24"/>
        <w:szCs w:val="24"/>
      </w:rPr>
      <w:t>42</w:t>
    </w:r>
    <w:r>
      <w:rPr>
        <w:b/>
        <w:color w:val="000000"/>
        <w:sz w:val="24"/>
        <w:szCs w:val="24"/>
      </w:rPr>
      <w:fldChar w:fldCharType="end"/>
    </w:r>
  </w:p>
  <w:p w14:paraId="2B9779B3" w14:textId="77777777" w:rsidR="00391A47" w:rsidRDefault="00391A4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0195" w14:textId="77777777" w:rsidR="00391A47" w:rsidRDefault="00391A4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43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43F">
      <w:rPr>
        <w:b/>
        <w:noProof/>
        <w:color w:val="000000"/>
        <w:sz w:val="24"/>
        <w:szCs w:val="24"/>
      </w:rPr>
      <w:t>42</w:t>
    </w:r>
    <w:r>
      <w:rPr>
        <w:b/>
        <w:color w:val="000000"/>
        <w:sz w:val="24"/>
        <w:szCs w:val="24"/>
      </w:rPr>
      <w:fldChar w:fldCharType="end"/>
    </w:r>
  </w:p>
  <w:p w14:paraId="4347758A" w14:textId="77777777" w:rsidR="00391A47" w:rsidRDefault="00391A4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F251" w14:textId="77777777" w:rsidR="00E45C85" w:rsidRDefault="00E45C85">
      <w:pPr>
        <w:spacing w:after="0" w:line="240" w:lineRule="auto"/>
      </w:pPr>
      <w:r>
        <w:separator/>
      </w:r>
    </w:p>
  </w:footnote>
  <w:footnote w:type="continuationSeparator" w:id="0">
    <w:p w14:paraId="7BEFD89F" w14:textId="77777777" w:rsidR="00E45C85" w:rsidRDefault="00E45C85">
      <w:pPr>
        <w:spacing w:after="0" w:line="240" w:lineRule="auto"/>
      </w:pPr>
      <w:r>
        <w:continuationSeparator/>
      </w:r>
    </w:p>
  </w:footnote>
  <w:footnote w:id="1">
    <w:p w14:paraId="4B2DEBBE" w14:textId="77777777" w:rsidR="00391A47" w:rsidRDefault="00391A4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BB9B037" w14:textId="77777777" w:rsidR="00391A47" w:rsidRDefault="00391A4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DA9FFCD" w14:textId="77777777" w:rsidR="00391A47" w:rsidRDefault="00391A47" w:rsidP="00C6604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DC742CC" w14:textId="77777777" w:rsidR="00391A47" w:rsidRDefault="00391A47" w:rsidP="00C6604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DE2B" w14:textId="77777777" w:rsidR="00391A47" w:rsidRDefault="00391A4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064B1875" wp14:editId="09F5EFA3">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391A47" w14:paraId="60C4E264" w14:textId="77777777">
      <w:tc>
        <w:tcPr>
          <w:tcW w:w="2551" w:type="dxa"/>
          <w:vAlign w:val="center"/>
        </w:tcPr>
        <w:p w14:paraId="46E2CB2C"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5992FA1" w14:textId="77777777" w:rsidR="00391A47" w:rsidRDefault="00391A47" w:rsidP="00F2339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08469/INFOEM/IP/RR/2023</w:t>
          </w:r>
        </w:p>
      </w:tc>
    </w:tr>
    <w:tr w:rsidR="00391A47" w14:paraId="480EEDD7" w14:textId="77777777">
      <w:trPr>
        <w:trHeight w:val="228"/>
      </w:trPr>
      <w:tc>
        <w:tcPr>
          <w:tcW w:w="2551" w:type="dxa"/>
          <w:vAlign w:val="center"/>
        </w:tcPr>
        <w:p w14:paraId="7C2E0B4A"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D74047B"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6DC9A0E" w14:textId="77777777" w:rsidR="00391A47" w:rsidRDefault="00391A47">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F23393">
            <w:rPr>
              <w:rFonts w:ascii="Palatino Linotype" w:eastAsia="Palatino Linotype" w:hAnsi="Palatino Linotype" w:cs="Palatino Linotype"/>
              <w:b/>
              <w:color w:val="000000"/>
            </w:rPr>
            <w:t>Ayuntamiento de Huixquilucan</w:t>
          </w:r>
        </w:p>
      </w:tc>
    </w:tr>
    <w:tr w:rsidR="00391A47" w14:paraId="3521245C" w14:textId="77777777">
      <w:tc>
        <w:tcPr>
          <w:tcW w:w="2551" w:type="dxa"/>
          <w:vAlign w:val="center"/>
        </w:tcPr>
        <w:p w14:paraId="7FC73A60"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9177CF3"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37CAC19" w14:textId="77777777" w:rsidR="00391A47" w:rsidRDefault="00391A4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E0F9" w14:textId="77777777" w:rsidR="00391A47" w:rsidRDefault="00391A4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AF6FD5B" wp14:editId="30626E4A">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391A47" w14:paraId="3D9A3793" w14:textId="77777777">
      <w:tc>
        <w:tcPr>
          <w:tcW w:w="2551" w:type="dxa"/>
          <w:vAlign w:val="center"/>
        </w:tcPr>
        <w:p w14:paraId="1EA286DA"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C1C1D3B" w14:textId="77777777" w:rsidR="00391A47" w:rsidRDefault="00391A47" w:rsidP="005C69C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08469/INFOEM/IP/RR/2023</w:t>
          </w:r>
        </w:p>
      </w:tc>
    </w:tr>
    <w:tr w:rsidR="00391A47" w14:paraId="60ADC7AB" w14:textId="77777777">
      <w:tc>
        <w:tcPr>
          <w:tcW w:w="2551" w:type="dxa"/>
          <w:vAlign w:val="center"/>
        </w:tcPr>
        <w:p w14:paraId="6052E5C1"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74517C5" w14:textId="77777777" w:rsidR="00391A47" w:rsidRDefault="00391A4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391A47" w14:paraId="4A5E3DEA" w14:textId="77777777">
      <w:trPr>
        <w:trHeight w:val="228"/>
      </w:trPr>
      <w:tc>
        <w:tcPr>
          <w:tcW w:w="2551" w:type="dxa"/>
          <w:vAlign w:val="center"/>
        </w:tcPr>
        <w:p w14:paraId="05D1C291"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B21E72D"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EAE9385" w14:textId="77777777" w:rsidR="00391A47" w:rsidRDefault="00391A47">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5C69C2">
            <w:rPr>
              <w:rFonts w:ascii="Palatino Linotype" w:eastAsia="Palatino Linotype" w:hAnsi="Palatino Linotype" w:cs="Palatino Linotype"/>
              <w:b/>
              <w:bCs/>
              <w:color w:val="000000"/>
            </w:rPr>
            <w:t>Ayuntamiento de Huixquilucan</w:t>
          </w:r>
        </w:p>
      </w:tc>
    </w:tr>
    <w:tr w:rsidR="00391A47" w14:paraId="268D1F54" w14:textId="77777777">
      <w:tc>
        <w:tcPr>
          <w:tcW w:w="2551" w:type="dxa"/>
          <w:vAlign w:val="center"/>
        </w:tcPr>
        <w:p w14:paraId="1C7A29BA"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59F97BE" w14:textId="77777777" w:rsidR="00391A47" w:rsidRDefault="00391A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EF7A20D" w14:textId="77777777" w:rsidR="00391A47" w:rsidRDefault="00391A4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962"/>
    <w:multiLevelType w:val="hybridMultilevel"/>
    <w:tmpl w:val="96C22E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BD4276"/>
    <w:multiLevelType w:val="multilevel"/>
    <w:tmpl w:val="A21EF9F6"/>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8B40C1"/>
    <w:multiLevelType w:val="multilevel"/>
    <w:tmpl w:val="CC94D0D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6EEE7F5B"/>
    <w:multiLevelType w:val="hybridMultilevel"/>
    <w:tmpl w:val="FD6A6064"/>
    <w:lvl w:ilvl="0" w:tplc="8C6A571A">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11"/>
  </w:num>
  <w:num w:numId="5">
    <w:abstractNumId w:val="8"/>
  </w:num>
  <w:num w:numId="6">
    <w:abstractNumId w:val="5"/>
  </w:num>
  <w:num w:numId="7">
    <w:abstractNumId w:val="7"/>
  </w:num>
  <w:num w:numId="8">
    <w:abstractNumId w:val="2"/>
  </w:num>
  <w:num w:numId="9">
    <w:abstractNumId w:val="3"/>
  </w:num>
  <w:num w:numId="10">
    <w:abstractNumId w:val="10"/>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01903"/>
    <w:rsid w:val="00011435"/>
    <w:rsid w:val="0002779E"/>
    <w:rsid w:val="00056789"/>
    <w:rsid w:val="00071ACB"/>
    <w:rsid w:val="00090CE1"/>
    <w:rsid w:val="000C58A8"/>
    <w:rsid w:val="000F34A8"/>
    <w:rsid w:val="001654E1"/>
    <w:rsid w:val="00190515"/>
    <w:rsid w:val="001A2D98"/>
    <w:rsid w:val="001A7D71"/>
    <w:rsid w:val="001C133F"/>
    <w:rsid w:val="001C6E92"/>
    <w:rsid w:val="00201FFE"/>
    <w:rsid w:val="00215E3C"/>
    <w:rsid w:val="002447C2"/>
    <w:rsid w:val="00257849"/>
    <w:rsid w:val="002800BA"/>
    <w:rsid w:val="00286E42"/>
    <w:rsid w:val="00290589"/>
    <w:rsid w:val="00296137"/>
    <w:rsid w:val="00297F7F"/>
    <w:rsid w:val="002A5DF7"/>
    <w:rsid w:val="002B0B76"/>
    <w:rsid w:val="002B278D"/>
    <w:rsid w:val="002B3F3D"/>
    <w:rsid w:val="00323A05"/>
    <w:rsid w:val="00334190"/>
    <w:rsid w:val="00353CC9"/>
    <w:rsid w:val="003831F9"/>
    <w:rsid w:val="00391A47"/>
    <w:rsid w:val="003A1A41"/>
    <w:rsid w:val="003B78A8"/>
    <w:rsid w:val="004141E2"/>
    <w:rsid w:val="0044048E"/>
    <w:rsid w:val="00477400"/>
    <w:rsid w:val="004A5F30"/>
    <w:rsid w:val="004E0CEE"/>
    <w:rsid w:val="004F53B8"/>
    <w:rsid w:val="005175E5"/>
    <w:rsid w:val="00521704"/>
    <w:rsid w:val="00553D00"/>
    <w:rsid w:val="00553F3B"/>
    <w:rsid w:val="00572BF5"/>
    <w:rsid w:val="00573E43"/>
    <w:rsid w:val="00586F44"/>
    <w:rsid w:val="005872B9"/>
    <w:rsid w:val="00591630"/>
    <w:rsid w:val="005A7B36"/>
    <w:rsid w:val="005C69C2"/>
    <w:rsid w:val="005D25EE"/>
    <w:rsid w:val="006255B4"/>
    <w:rsid w:val="00634DF0"/>
    <w:rsid w:val="006752A2"/>
    <w:rsid w:val="006C04B1"/>
    <w:rsid w:val="006C7713"/>
    <w:rsid w:val="006C7A76"/>
    <w:rsid w:val="006D6A42"/>
    <w:rsid w:val="00733E85"/>
    <w:rsid w:val="00736057"/>
    <w:rsid w:val="00740AE0"/>
    <w:rsid w:val="007F1783"/>
    <w:rsid w:val="00820281"/>
    <w:rsid w:val="00832029"/>
    <w:rsid w:val="008555E1"/>
    <w:rsid w:val="008A7304"/>
    <w:rsid w:val="008C72E7"/>
    <w:rsid w:val="00903CB5"/>
    <w:rsid w:val="00984251"/>
    <w:rsid w:val="00984BD8"/>
    <w:rsid w:val="009A73AB"/>
    <w:rsid w:val="009C23E7"/>
    <w:rsid w:val="00A054AD"/>
    <w:rsid w:val="00A5485F"/>
    <w:rsid w:val="00A618E3"/>
    <w:rsid w:val="00A624FE"/>
    <w:rsid w:val="00A96EA0"/>
    <w:rsid w:val="00AB5695"/>
    <w:rsid w:val="00AC1401"/>
    <w:rsid w:val="00AD2849"/>
    <w:rsid w:val="00AD66AB"/>
    <w:rsid w:val="00AE1654"/>
    <w:rsid w:val="00B45E12"/>
    <w:rsid w:val="00B56352"/>
    <w:rsid w:val="00B8143F"/>
    <w:rsid w:val="00B82AB1"/>
    <w:rsid w:val="00BB5685"/>
    <w:rsid w:val="00BC10FD"/>
    <w:rsid w:val="00BE55CC"/>
    <w:rsid w:val="00BF4662"/>
    <w:rsid w:val="00C06D22"/>
    <w:rsid w:val="00C074A3"/>
    <w:rsid w:val="00C13326"/>
    <w:rsid w:val="00C6604D"/>
    <w:rsid w:val="00C84E95"/>
    <w:rsid w:val="00C85620"/>
    <w:rsid w:val="00C96A98"/>
    <w:rsid w:val="00D53A23"/>
    <w:rsid w:val="00D71AA0"/>
    <w:rsid w:val="00D96BFA"/>
    <w:rsid w:val="00DB7297"/>
    <w:rsid w:val="00DE0EAB"/>
    <w:rsid w:val="00DE7A08"/>
    <w:rsid w:val="00E068AA"/>
    <w:rsid w:val="00E14074"/>
    <w:rsid w:val="00E14806"/>
    <w:rsid w:val="00E15120"/>
    <w:rsid w:val="00E45C85"/>
    <w:rsid w:val="00E537E3"/>
    <w:rsid w:val="00EA024D"/>
    <w:rsid w:val="00EF0729"/>
    <w:rsid w:val="00F23393"/>
    <w:rsid w:val="00F4514D"/>
    <w:rsid w:val="00F817B2"/>
    <w:rsid w:val="00F8763D"/>
    <w:rsid w:val="00FA704B"/>
    <w:rsid w:val="00FC7EB5"/>
    <w:rsid w:val="00FD3DC4"/>
    <w:rsid w:val="00FE639E"/>
    <w:rsid w:val="00FF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F58DD"/>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portal.web"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ipomex.org.mx/ipo3/lgt/portal.w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9739</Words>
  <Characters>53569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INFOEM603</dc:creator>
  <cp:lastModifiedBy>Maricela Villagómez Martínez</cp:lastModifiedBy>
  <cp:revision>2</cp:revision>
  <cp:lastPrinted>2024-02-23T16:49:00Z</cp:lastPrinted>
  <dcterms:created xsi:type="dcterms:W3CDTF">2024-03-07T17:28:00Z</dcterms:created>
  <dcterms:modified xsi:type="dcterms:W3CDTF">2024-03-07T17:28:00Z</dcterms:modified>
</cp:coreProperties>
</file>