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BB42E0" w:rsidRDefault="00AE3DA7" w:rsidP="00BB42E0">
          <w:pPr>
            <w:pStyle w:val="TtulodeTDC"/>
            <w:spacing w:before="0" w:line="240" w:lineRule="auto"/>
            <w:rPr>
              <w:rFonts w:ascii="Palatino Linotype" w:hAnsi="Palatino Linotype"/>
              <w:color w:val="auto"/>
              <w:sz w:val="24"/>
              <w:szCs w:val="24"/>
              <w:lang w:val="es-ES"/>
            </w:rPr>
          </w:pPr>
          <w:r w:rsidRPr="00BB42E0">
            <w:rPr>
              <w:rFonts w:ascii="Palatino Linotype" w:hAnsi="Palatino Linotype"/>
              <w:color w:val="auto"/>
              <w:sz w:val="24"/>
              <w:szCs w:val="24"/>
              <w:lang w:val="es-ES"/>
            </w:rPr>
            <w:t>Contenido</w:t>
          </w:r>
        </w:p>
        <w:p w14:paraId="3EB312A7" w14:textId="77777777" w:rsidR="00AA6EA9" w:rsidRPr="00BB42E0" w:rsidRDefault="00AA6EA9" w:rsidP="00BB42E0">
          <w:pPr>
            <w:spacing w:line="240" w:lineRule="auto"/>
            <w:rPr>
              <w:sz w:val="16"/>
              <w:szCs w:val="16"/>
              <w:lang w:val="es-ES" w:eastAsia="es-MX"/>
            </w:rPr>
          </w:pPr>
        </w:p>
        <w:p w14:paraId="5A0501C1" w14:textId="77777777" w:rsidR="00BB42E0" w:rsidRPr="00BB42E0" w:rsidRDefault="00AE3DA7" w:rsidP="00BB42E0">
          <w:pPr>
            <w:pStyle w:val="TDC1"/>
            <w:tabs>
              <w:tab w:val="right" w:leader="dot" w:pos="9034"/>
            </w:tabs>
            <w:rPr>
              <w:rFonts w:asciiTheme="minorHAnsi" w:eastAsiaTheme="minorEastAsia" w:hAnsiTheme="minorHAnsi" w:cstheme="minorBidi"/>
              <w:noProof/>
              <w:szCs w:val="22"/>
              <w:lang w:eastAsia="es-MX"/>
            </w:rPr>
          </w:pPr>
          <w:r w:rsidRPr="00BB42E0">
            <w:rPr>
              <w:sz w:val="16"/>
              <w:szCs w:val="16"/>
            </w:rPr>
            <w:fldChar w:fldCharType="begin"/>
          </w:r>
          <w:r w:rsidRPr="00BB42E0">
            <w:rPr>
              <w:sz w:val="16"/>
              <w:szCs w:val="16"/>
            </w:rPr>
            <w:instrText xml:space="preserve"> TOC \o "1-3" \h \z \u </w:instrText>
          </w:r>
          <w:r w:rsidRPr="00BB42E0">
            <w:rPr>
              <w:sz w:val="16"/>
              <w:szCs w:val="16"/>
            </w:rPr>
            <w:fldChar w:fldCharType="separate"/>
          </w:r>
          <w:hyperlink w:anchor="_Toc181795776" w:history="1">
            <w:r w:rsidR="00BB42E0" w:rsidRPr="00BB42E0">
              <w:rPr>
                <w:rStyle w:val="Hipervnculo"/>
                <w:noProof/>
                <w:color w:val="auto"/>
              </w:rPr>
              <w:t>ANTECEDENTES</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_Toc181795776 \h </w:instrText>
            </w:r>
            <w:r w:rsidR="00BB42E0" w:rsidRPr="00BB42E0">
              <w:rPr>
                <w:noProof/>
                <w:webHidden/>
              </w:rPr>
            </w:r>
            <w:r w:rsidR="00BB42E0" w:rsidRPr="00BB42E0">
              <w:rPr>
                <w:noProof/>
                <w:webHidden/>
              </w:rPr>
              <w:fldChar w:fldCharType="separate"/>
            </w:r>
            <w:r w:rsidR="00536806">
              <w:rPr>
                <w:noProof/>
                <w:webHidden/>
              </w:rPr>
              <w:t>1</w:t>
            </w:r>
            <w:r w:rsidR="00BB42E0" w:rsidRPr="00BB42E0">
              <w:rPr>
                <w:noProof/>
                <w:webHidden/>
              </w:rPr>
              <w:fldChar w:fldCharType="end"/>
            </w:r>
          </w:hyperlink>
        </w:p>
        <w:p w14:paraId="0D21414D" w14:textId="77777777" w:rsidR="00BB42E0" w:rsidRPr="00BB42E0" w:rsidRDefault="002C318A" w:rsidP="00BB42E0">
          <w:pPr>
            <w:pStyle w:val="TDC2"/>
            <w:rPr>
              <w:rFonts w:asciiTheme="minorHAnsi" w:eastAsiaTheme="minorEastAsia" w:hAnsiTheme="minorHAnsi" w:cstheme="minorBidi"/>
              <w:noProof/>
              <w:szCs w:val="22"/>
              <w:lang w:eastAsia="es-MX"/>
            </w:rPr>
          </w:pPr>
          <w:hyperlink w:anchor="_Toc181795777" w:history="1">
            <w:r w:rsidR="00BB42E0" w:rsidRPr="00BB42E0">
              <w:rPr>
                <w:rStyle w:val="Hipervnculo"/>
                <w:noProof/>
                <w:color w:val="auto"/>
              </w:rPr>
              <w:t>DE LAS SOLICITUDES DE INFORMACIÓN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_Toc181795777 \h </w:instrText>
            </w:r>
            <w:r w:rsidR="00BB42E0" w:rsidRPr="00BB42E0">
              <w:rPr>
                <w:noProof/>
                <w:webHidden/>
              </w:rPr>
            </w:r>
            <w:r w:rsidR="00BB42E0" w:rsidRPr="00BB42E0">
              <w:rPr>
                <w:noProof/>
                <w:webHidden/>
              </w:rPr>
              <w:fldChar w:fldCharType="separate"/>
            </w:r>
            <w:r w:rsidR="00536806">
              <w:rPr>
                <w:noProof/>
                <w:webHidden/>
              </w:rPr>
              <w:t>1</w:t>
            </w:r>
            <w:r w:rsidR="00BB42E0" w:rsidRPr="00BB42E0">
              <w:rPr>
                <w:noProof/>
                <w:webHidden/>
              </w:rPr>
              <w:fldChar w:fldCharType="end"/>
            </w:r>
          </w:hyperlink>
        </w:p>
        <w:p w14:paraId="4FD2E7EF"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78" w:history="1">
            <w:r w:rsidR="00BB42E0" w:rsidRPr="00BB42E0">
              <w:rPr>
                <w:rStyle w:val="Hipervnculo"/>
                <w:noProof/>
                <w:color w:val="auto"/>
              </w:rPr>
              <w:t>a) Solicitudes de información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_Toc181795778 \h </w:instrText>
            </w:r>
            <w:r w:rsidR="00BB42E0" w:rsidRPr="00BB42E0">
              <w:rPr>
                <w:noProof/>
                <w:webHidden/>
              </w:rPr>
            </w:r>
            <w:r w:rsidR="00BB42E0" w:rsidRPr="00BB42E0">
              <w:rPr>
                <w:noProof/>
                <w:webHidden/>
              </w:rPr>
              <w:fldChar w:fldCharType="separate"/>
            </w:r>
            <w:r w:rsidR="00536806">
              <w:rPr>
                <w:noProof/>
                <w:webHidden/>
              </w:rPr>
              <w:t>1</w:t>
            </w:r>
            <w:r w:rsidR="00BB42E0" w:rsidRPr="00BB42E0">
              <w:rPr>
                <w:noProof/>
                <w:webHidden/>
              </w:rPr>
              <w:fldChar w:fldCharType="end"/>
            </w:r>
          </w:hyperlink>
        </w:p>
        <w:p w14:paraId="6918A82B"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79" w:history="1">
            <w:r w:rsidR="00BB42E0" w:rsidRPr="00BB42E0">
              <w:rPr>
                <w:rStyle w:val="Hipervnculo"/>
                <w:noProof/>
                <w:color w:val="auto"/>
              </w:rPr>
              <w:t>b) Turno de las solicitudes de información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_Toc181795779 \h </w:instrText>
            </w:r>
            <w:r w:rsidR="00BB42E0" w:rsidRPr="00BB42E0">
              <w:rPr>
                <w:noProof/>
                <w:webHidden/>
              </w:rPr>
            </w:r>
            <w:r w:rsidR="00BB42E0" w:rsidRPr="00BB42E0">
              <w:rPr>
                <w:noProof/>
                <w:webHidden/>
              </w:rPr>
              <w:fldChar w:fldCharType="separate"/>
            </w:r>
            <w:r w:rsidR="00536806">
              <w:rPr>
                <w:noProof/>
                <w:webHidden/>
              </w:rPr>
              <w:t>2</w:t>
            </w:r>
            <w:r w:rsidR="00BB42E0" w:rsidRPr="00BB42E0">
              <w:rPr>
                <w:noProof/>
                <w:webHidden/>
              </w:rPr>
              <w:fldChar w:fldCharType="end"/>
            </w:r>
          </w:hyperlink>
        </w:p>
        <w:p w14:paraId="71F86C7C"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80" w:history="1">
            <w:r w:rsidR="00BB42E0" w:rsidRPr="00BB42E0">
              <w:rPr>
                <w:rStyle w:val="Hipervnculo"/>
                <w:noProof/>
                <w:color w:val="auto"/>
              </w:rPr>
              <w:t xml:space="preserve">c) </w:t>
            </w:r>
            <w:r w:rsidR="00BB42E0" w:rsidRPr="00BB42E0">
              <w:rPr>
                <w:rStyle w:val="Hipervnculo"/>
                <w:noProof/>
                <w:color w:val="auto"/>
                <w:lang w:val="es-ES"/>
              </w:rPr>
              <w:t xml:space="preserve">Respuestas </w:t>
            </w:r>
            <w:r w:rsidR="00BB42E0" w:rsidRPr="00BB42E0">
              <w:rPr>
                <w:rStyle w:val="Hipervnculo"/>
                <w:rFonts w:eastAsia="Calibri"/>
                <w:noProof/>
                <w:color w:val="auto"/>
                <w:lang w:eastAsia="en-US"/>
              </w:rPr>
              <w:t>del Sujeto Obligado</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_Toc181795780 \h </w:instrText>
            </w:r>
            <w:r w:rsidR="00BB42E0" w:rsidRPr="00BB42E0">
              <w:rPr>
                <w:noProof/>
                <w:webHidden/>
              </w:rPr>
            </w:r>
            <w:r w:rsidR="00BB42E0" w:rsidRPr="00BB42E0">
              <w:rPr>
                <w:noProof/>
                <w:webHidden/>
              </w:rPr>
              <w:fldChar w:fldCharType="separate"/>
            </w:r>
            <w:r w:rsidR="00536806">
              <w:rPr>
                <w:noProof/>
                <w:webHidden/>
              </w:rPr>
              <w:t>2</w:t>
            </w:r>
            <w:r w:rsidR="00BB42E0" w:rsidRPr="00BB42E0">
              <w:rPr>
                <w:noProof/>
                <w:webHidden/>
              </w:rPr>
              <w:fldChar w:fldCharType="end"/>
            </w:r>
          </w:hyperlink>
        </w:p>
        <w:p w14:paraId="6266BC58" w14:textId="77777777" w:rsidR="00BB42E0" w:rsidRPr="00BB42E0" w:rsidRDefault="002C318A" w:rsidP="00BB42E0">
          <w:pPr>
            <w:pStyle w:val="TDC2"/>
            <w:rPr>
              <w:rFonts w:asciiTheme="minorHAnsi" w:eastAsiaTheme="minorEastAsia" w:hAnsiTheme="minorHAnsi" w:cstheme="minorBidi"/>
              <w:noProof/>
              <w:szCs w:val="22"/>
              <w:lang w:eastAsia="es-MX"/>
            </w:rPr>
          </w:pPr>
          <w:hyperlink w:anchor="_Toc181795781" w:history="1">
            <w:r w:rsidR="00BB42E0" w:rsidRPr="00BB42E0">
              <w:rPr>
                <w:rStyle w:val="Hipervnculo"/>
                <w:noProof/>
                <w:color w:val="auto"/>
              </w:rPr>
              <w:t>DEL RECURSO DE REVISIÓN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_Toc181795781 \h </w:instrText>
            </w:r>
            <w:r w:rsidR="00BB42E0" w:rsidRPr="00BB42E0">
              <w:rPr>
                <w:noProof/>
                <w:webHidden/>
              </w:rPr>
            </w:r>
            <w:r w:rsidR="00BB42E0" w:rsidRPr="00BB42E0">
              <w:rPr>
                <w:noProof/>
                <w:webHidden/>
              </w:rPr>
              <w:fldChar w:fldCharType="separate"/>
            </w:r>
            <w:r w:rsidR="00536806">
              <w:rPr>
                <w:noProof/>
                <w:webHidden/>
              </w:rPr>
              <w:t>4</w:t>
            </w:r>
            <w:r w:rsidR="00BB42E0" w:rsidRPr="00BB42E0">
              <w:rPr>
                <w:noProof/>
                <w:webHidden/>
              </w:rPr>
              <w:fldChar w:fldCharType="end"/>
            </w:r>
          </w:hyperlink>
        </w:p>
        <w:p w14:paraId="1A545A02"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82" w:history="1">
            <w:r w:rsidR="00BB42E0" w:rsidRPr="00BB42E0">
              <w:rPr>
                <w:rStyle w:val="Hipervnculo"/>
                <w:noProof/>
                <w:color w:val="auto"/>
              </w:rPr>
              <w:t>a) Interposición del Recurso de Revisión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_Toc181795782 \h </w:instrText>
            </w:r>
            <w:r w:rsidR="00BB42E0" w:rsidRPr="00BB42E0">
              <w:rPr>
                <w:noProof/>
                <w:webHidden/>
              </w:rPr>
            </w:r>
            <w:r w:rsidR="00BB42E0" w:rsidRPr="00BB42E0">
              <w:rPr>
                <w:noProof/>
                <w:webHidden/>
              </w:rPr>
              <w:fldChar w:fldCharType="separate"/>
            </w:r>
            <w:r w:rsidR="00536806">
              <w:rPr>
                <w:noProof/>
                <w:webHidden/>
              </w:rPr>
              <w:t>4</w:t>
            </w:r>
            <w:r w:rsidR="00BB42E0" w:rsidRPr="00BB42E0">
              <w:rPr>
                <w:noProof/>
                <w:webHidden/>
              </w:rPr>
              <w:fldChar w:fldCharType="end"/>
            </w:r>
          </w:hyperlink>
        </w:p>
        <w:p w14:paraId="310DB0A1"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83" w:history="1">
            <w:r w:rsidR="00BB42E0" w:rsidRPr="00BB42E0">
              <w:rPr>
                <w:rStyle w:val="Hipervnculo"/>
                <w:noProof/>
                <w:color w:val="auto"/>
              </w:rPr>
              <w:t>b) Turno del Recurso de Revisión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_Toc181795783 \h </w:instrText>
            </w:r>
            <w:r w:rsidR="00BB42E0" w:rsidRPr="00BB42E0">
              <w:rPr>
                <w:noProof/>
                <w:webHidden/>
              </w:rPr>
            </w:r>
            <w:r w:rsidR="00BB42E0" w:rsidRPr="00BB42E0">
              <w:rPr>
                <w:noProof/>
                <w:webHidden/>
              </w:rPr>
              <w:fldChar w:fldCharType="separate"/>
            </w:r>
            <w:r w:rsidR="00536806">
              <w:rPr>
                <w:noProof/>
                <w:webHidden/>
              </w:rPr>
              <w:t>4</w:t>
            </w:r>
            <w:r w:rsidR="00BB42E0" w:rsidRPr="00BB42E0">
              <w:rPr>
                <w:noProof/>
                <w:webHidden/>
              </w:rPr>
              <w:fldChar w:fldCharType="end"/>
            </w:r>
          </w:hyperlink>
        </w:p>
        <w:p w14:paraId="753DE946"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84" w:history="1">
            <w:r w:rsidR="00BB42E0" w:rsidRPr="00BB42E0">
              <w:rPr>
                <w:rStyle w:val="Hipervnculo"/>
                <w:noProof/>
                <w:color w:val="auto"/>
              </w:rPr>
              <w:t>c) Admisión del Recurso de Revisión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_Toc181795784 \h </w:instrText>
            </w:r>
            <w:r w:rsidR="00BB42E0" w:rsidRPr="00BB42E0">
              <w:rPr>
                <w:noProof/>
                <w:webHidden/>
              </w:rPr>
            </w:r>
            <w:r w:rsidR="00BB42E0" w:rsidRPr="00BB42E0">
              <w:rPr>
                <w:noProof/>
                <w:webHidden/>
              </w:rPr>
              <w:fldChar w:fldCharType="separate"/>
            </w:r>
            <w:r w:rsidR="00536806">
              <w:rPr>
                <w:noProof/>
                <w:webHidden/>
              </w:rPr>
              <w:t>5</w:t>
            </w:r>
            <w:r w:rsidR="00BB42E0" w:rsidRPr="00BB42E0">
              <w:rPr>
                <w:noProof/>
                <w:webHidden/>
              </w:rPr>
              <w:fldChar w:fldCharType="end"/>
            </w:r>
          </w:hyperlink>
        </w:p>
        <w:p w14:paraId="632B2BFF"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85" w:history="1">
            <w:r w:rsidR="00BB42E0" w:rsidRPr="00BB42E0">
              <w:rPr>
                <w:rStyle w:val="Hipervnculo"/>
                <w:noProof/>
                <w:color w:val="auto"/>
              </w:rPr>
              <w:t>d) Informe Justificado del Sujeto Obligado</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_Toc181795785 \h </w:instrText>
            </w:r>
            <w:r w:rsidR="00BB42E0" w:rsidRPr="00BB42E0">
              <w:rPr>
                <w:noProof/>
                <w:webHidden/>
              </w:rPr>
            </w:r>
            <w:r w:rsidR="00BB42E0" w:rsidRPr="00BB42E0">
              <w:rPr>
                <w:noProof/>
                <w:webHidden/>
              </w:rPr>
              <w:fldChar w:fldCharType="separate"/>
            </w:r>
            <w:r w:rsidR="00536806">
              <w:rPr>
                <w:noProof/>
                <w:webHidden/>
              </w:rPr>
              <w:t>5</w:t>
            </w:r>
            <w:r w:rsidR="00BB42E0" w:rsidRPr="00BB42E0">
              <w:rPr>
                <w:noProof/>
                <w:webHidden/>
              </w:rPr>
              <w:fldChar w:fldCharType="end"/>
            </w:r>
          </w:hyperlink>
        </w:p>
        <w:p w14:paraId="0A43C25C"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86" w:history="1">
            <w:r w:rsidR="00BB42E0" w:rsidRPr="00BB42E0">
              <w:rPr>
                <w:rStyle w:val="Hipervnculo"/>
                <w:rFonts w:eastAsia="Calibri"/>
                <w:bCs/>
                <w:noProof/>
                <w:color w:val="auto"/>
                <w:lang w:eastAsia="en-US"/>
              </w:rPr>
              <w:t>e)</w:t>
            </w:r>
            <w:r w:rsidR="00BB42E0" w:rsidRPr="00BB42E0">
              <w:rPr>
                <w:rStyle w:val="Hipervnculo"/>
                <w:noProof/>
                <w:color w:val="auto"/>
              </w:rPr>
              <w:t xml:space="preserve"> </w:t>
            </w:r>
            <w:r w:rsidR="00BB42E0" w:rsidRPr="00BB42E0">
              <w:rPr>
                <w:rStyle w:val="Hipervnculo"/>
                <w:noProof/>
                <w:color w:val="auto"/>
                <w:lang w:val="es-ES"/>
              </w:rPr>
              <w:t>Manifestaciones de la Parte Recurrente</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_Toc181795786 \h </w:instrText>
            </w:r>
            <w:r w:rsidR="00BB42E0" w:rsidRPr="00BB42E0">
              <w:rPr>
                <w:noProof/>
                <w:webHidden/>
              </w:rPr>
            </w:r>
            <w:r w:rsidR="00BB42E0" w:rsidRPr="00BB42E0">
              <w:rPr>
                <w:noProof/>
                <w:webHidden/>
              </w:rPr>
              <w:fldChar w:fldCharType="separate"/>
            </w:r>
            <w:r w:rsidR="00536806">
              <w:rPr>
                <w:noProof/>
                <w:webHidden/>
              </w:rPr>
              <w:t>6</w:t>
            </w:r>
            <w:r w:rsidR="00BB42E0" w:rsidRPr="00BB42E0">
              <w:rPr>
                <w:noProof/>
                <w:webHidden/>
              </w:rPr>
              <w:fldChar w:fldCharType="end"/>
            </w:r>
          </w:hyperlink>
        </w:p>
        <w:p w14:paraId="64840C66"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87" w:history="1">
            <w:r w:rsidR="00BB42E0" w:rsidRPr="00BB42E0">
              <w:rPr>
                <w:rStyle w:val="Hipervnculo"/>
                <w:rFonts w:eastAsia="Calibri"/>
                <w:noProof/>
                <w:color w:val="auto"/>
              </w:rPr>
              <w:t xml:space="preserve">f) </w:t>
            </w:r>
            <w:r w:rsidR="00BB42E0" w:rsidRPr="00BB42E0">
              <w:rPr>
                <w:rStyle w:val="Hipervnculo"/>
                <w:noProof/>
                <w:color w:val="auto"/>
              </w:rPr>
              <w:t>Cierre de instrucción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_Toc181795787 \h </w:instrText>
            </w:r>
            <w:r w:rsidR="00BB42E0" w:rsidRPr="00BB42E0">
              <w:rPr>
                <w:noProof/>
                <w:webHidden/>
              </w:rPr>
            </w:r>
            <w:r w:rsidR="00BB42E0" w:rsidRPr="00BB42E0">
              <w:rPr>
                <w:noProof/>
                <w:webHidden/>
              </w:rPr>
              <w:fldChar w:fldCharType="separate"/>
            </w:r>
            <w:r w:rsidR="00536806">
              <w:rPr>
                <w:noProof/>
                <w:webHidden/>
              </w:rPr>
              <w:t>6</w:t>
            </w:r>
            <w:r w:rsidR="00BB42E0" w:rsidRPr="00BB42E0">
              <w:rPr>
                <w:noProof/>
                <w:webHidden/>
              </w:rPr>
              <w:fldChar w:fldCharType="end"/>
            </w:r>
          </w:hyperlink>
        </w:p>
        <w:p w14:paraId="38DCA21C" w14:textId="77777777" w:rsidR="00BB42E0" w:rsidRPr="00BB42E0" w:rsidRDefault="002C318A" w:rsidP="00BB42E0">
          <w:pPr>
            <w:pStyle w:val="TDC1"/>
            <w:tabs>
              <w:tab w:val="right" w:leader="dot" w:pos="9034"/>
            </w:tabs>
            <w:rPr>
              <w:rFonts w:asciiTheme="minorHAnsi" w:eastAsiaTheme="minorEastAsia" w:hAnsiTheme="minorHAnsi" w:cstheme="minorBidi"/>
              <w:noProof/>
              <w:szCs w:val="22"/>
              <w:lang w:eastAsia="es-MX"/>
            </w:rPr>
          </w:pPr>
          <w:hyperlink w:anchor="_Toc181795788" w:history="1">
            <w:r w:rsidR="00BB42E0" w:rsidRPr="00BB42E0">
              <w:rPr>
                <w:rStyle w:val="Hipervnculo"/>
                <w:rFonts w:eastAsiaTheme="minorHAnsi"/>
                <w:noProof/>
                <w:color w:val="auto"/>
                <w:lang w:eastAsia="en-US"/>
              </w:rPr>
              <w:t>CONSIDERANDOS</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_Toc181795788 \h </w:instrText>
            </w:r>
            <w:r w:rsidR="00BB42E0" w:rsidRPr="00BB42E0">
              <w:rPr>
                <w:noProof/>
                <w:webHidden/>
              </w:rPr>
            </w:r>
            <w:r w:rsidR="00BB42E0" w:rsidRPr="00BB42E0">
              <w:rPr>
                <w:noProof/>
                <w:webHidden/>
              </w:rPr>
              <w:fldChar w:fldCharType="separate"/>
            </w:r>
            <w:r w:rsidR="00536806">
              <w:rPr>
                <w:noProof/>
                <w:webHidden/>
              </w:rPr>
              <w:t>6</w:t>
            </w:r>
            <w:r w:rsidR="00BB42E0" w:rsidRPr="00BB42E0">
              <w:rPr>
                <w:noProof/>
                <w:webHidden/>
              </w:rPr>
              <w:fldChar w:fldCharType="end"/>
            </w:r>
          </w:hyperlink>
        </w:p>
        <w:p w14:paraId="0343EC16" w14:textId="77777777" w:rsidR="00BB42E0" w:rsidRPr="00BB42E0" w:rsidRDefault="002C318A" w:rsidP="00BB42E0">
          <w:pPr>
            <w:pStyle w:val="TDC2"/>
            <w:rPr>
              <w:rFonts w:asciiTheme="minorHAnsi" w:eastAsiaTheme="minorEastAsia" w:hAnsiTheme="minorHAnsi" w:cstheme="minorBidi"/>
              <w:noProof/>
              <w:szCs w:val="22"/>
              <w:lang w:eastAsia="es-MX"/>
            </w:rPr>
          </w:pPr>
          <w:hyperlink w:anchor="_Toc181795789" w:history="1">
            <w:r w:rsidR="00BB42E0" w:rsidRPr="00BB42E0">
              <w:rPr>
                <w:rStyle w:val="Hipervnculo"/>
                <w:rFonts w:eastAsia="Batang"/>
                <w:noProof/>
                <w:color w:val="auto"/>
              </w:rPr>
              <w:t>PRIMERO. Procedibilidad</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_Toc181795789 \h </w:instrText>
            </w:r>
            <w:r w:rsidR="00BB42E0" w:rsidRPr="00BB42E0">
              <w:rPr>
                <w:noProof/>
                <w:webHidden/>
              </w:rPr>
            </w:r>
            <w:r w:rsidR="00BB42E0" w:rsidRPr="00BB42E0">
              <w:rPr>
                <w:noProof/>
                <w:webHidden/>
              </w:rPr>
              <w:fldChar w:fldCharType="separate"/>
            </w:r>
            <w:r w:rsidR="00536806">
              <w:rPr>
                <w:noProof/>
                <w:webHidden/>
              </w:rPr>
              <w:t>6</w:t>
            </w:r>
            <w:r w:rsidR="00BB42E0" w:rsidRPr="00BB42E0">
              <w:rPr>
                <w:noProof/>
                <w:webHidden/>
              </w:rPr>
              <w:fldChar w:fldCharType="end"/>
            </w:r>
          </w:hyperlink>
        </w:p>
        <w:p w14:paraId="5FC4A849"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0" w:history="1">
            <w:r w:rsidR="00BB42E0" w:rsidRPr="00BB42E0">
              <w:rPr>
                <w:rStyle w:val="Hipervnculo"/>
                <w:noProof/>
                <w:color w:val="auto"/>
              </w:rPr>
              <w:t>a) Competencia del Instituto</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_Toc181795790 \h </w:instrText>
            </w:r>
            <w:r w:rsidR="00BB42E0" w:rsidRPr="00BB42E0">
              <w:rPr>
                <w:noProof/>
                <w:webHidden/>
              </w:rPr>
            </w:r>
            <w:r w:rsidR="00BB42E0" w:rsidRPr="00BB42E0">
              <w:rPr>
                <w:noProof/>
                <w:webHidden/>
              </w:rPr>
              <w:fldChar w:fldCharType="separate"/>
            </w:r>
            <w:r w:rsidR="00536806">
              <w:rPr>
                <w:noProof/>
                <w:webHidden/>
              </w:rPr>
              <w:t>6</w:t>
            </w:r>
            <w:r w:rsidR="00BB42E0" w:rsidRPr="00BB42E0">
              <w:rPr>
                <w:noProof/>
                <w:webHidden/>
              </w:rPr>
              <w:fldChar w:fldCharType="end"/>
            </w:r>
          </w:hyperlink>
        </w:p>
        <w:p w14:paraId="1678DD61"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1" w:history="1">
            <w:r w:rsidR="00BB42E0" w:rsidRPr="00BB42E0">
              <w:rPr>
                <w:rStyle w:val="Hipervnculo"/>
                <w:noProof/>
                <w:color w:val="auto"/>
              </w:rPr>
              <w:t>b) Legitimidad de la parte recurrente</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_Toc181795791 \h </w:instrText>
            </w:r>
            <w:r w:rsidR="00BB42E0" w:rsidRPr="00BB42E0">
              <w:rPr>
                <w:noProof/>
                <w:webHidden/>
              </w:rPr>
            </w:r>
            <w:r w:rsidR="00BB42E0" w:rsidRPr="00BB42E0">
              <w:rPr>
                <w:noProof/>
                <w:webHidden/>
              </w:rPr>
              <w:fldChar w:fldCharType="separate"/>
            </w:r>
            <w:r w:rsidR="00536806">
              <w:rPr>
                <w:noProof/>
                <w:webHidden/>
              </w:rPr>
              <w:t>7</w:t>
            </w:r>
            <w:r w:rsidR="00BB42E0" w:rsidRPr="00BB42E0">
              <w:rPr>
                <w:noProof/>
                <w:webHidden/>
              </w:rPr>
              <w:fldChar w:fldCharType="end"/>
            </w:r>
          </w:hyperlink>
        </w:p>
        <w:p w14:paraId="35D18916"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2" w:history="1">
            <w:r w:rsidR="00BB42E0" w:rsidRPr="00BB42E0">
              <w:rPr>
                <w:rStyle w:val="Hipervnculo"/>
                <w:rFonts w:eastAsia="Calibri"/>
                <w:noProof/>
                <w:color w:val="auto"/>
                <w:lang w:eastAsia="es-ES_tradnl"/>
              </w:rPr>
              <w:t>c) Plazo para interponer el recurso</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_Toc181795792 \h </w:instrText>
            </w:r>
            <w:r w:rsidR="00BB42E0" w:rsidRPr="00BB42E0">
              <w:rPr>
                <w:noProof/>
                <w:webHidden/>
              </w:rPr>
            </w:r>
            <w:r w:rsidR="00BB42E0" w:rsidRPr="00BB42E0">
              <w:rPr>
                <w:noProof/>
                <w:webHidden/>
              </w:rPr>
              <w:fldChar w:fldCharType="separate"/>
            </w:r>
            <w:r w:rsidR="00536806">
              <w:rPr>
                <w:noProof/>
                <w:webHidden/>
              </w:rPr>
              <w:t>7</w:t>
            </w:r>
            <w:r w:rsidR="00BB42E0" w:rsidRPr="00BB42E0">
              <w:rPr>
                <w:noProof/>
                <w:webHidden/>
              </w:rPr>
              <w:fldChar w:fldCharType="end"/>
            </w:r>
          </w:hyperlink>
        </w:p>
        <w:p w14:paraId="4284E955"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3" w:history="1">
            <w:r w:rsidR="00BB42E0" w:rsidRPr="00BB42E0">
              <w:rPr>
                <w:rStyle w:val="Hipervnculo"/>
                <w:rFonts w:eastAsia="Calibri"/>
                <w:noProof/>
                <w:color w:val="auto"/>
                <w:lang w:eastAsia="es-ES_tradnl"/>
              </w:rPr>
              <w:t>d) Causal de procedencia</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_Toc181795793 \h </w:instrText>
            </w:r>
            <w:r w:rsidR="00BB42E0" w:rsidRPr="00BB42E0">
              <w:rPr>
                <w:noProof/>
                <w:webHidden/>
              </w:rPr>
            </w:r>
            <w:r w:rsidR="00BB42E0" w:rsidRPr="00BB42E0">
              <w:rPr>
                <w:noProof/>
                <w:webHidden/>
              </w:rPr>
              <w:fldChar w:fldCharType="separate"/>
            </w:r>
            <w:r w:rsidR="00536806">
              <w:rPr>
                <w:noProof/>
                <w:webHidden/>
              </w:rPr>
              <w:t>8</w:t>
            </w:r>
            <w:r w:rsidR="00BB42E0" w:rsidRPr="00BB42E0">
              <w:rPr>
                <w:noProof/>
                <w:webHidden/>
              </w:rPr>
              <w:fldChar w:fldCharType="end"/>
            </w:r>
          </w:hyperlink>
        </w:p>
        <w:p w14:paraId="7FF841A2"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4" w:history="1">
            <w:r w:rsidR="00BB42E0" w:rsidRPr="00BB42E0">
              <w:rPr>
                <w:rStyle w:val="Hipervnculo"/>
                <w:noProof/>
                <w:color w:val="auto"/>
              </w:rPr>
              <w:t>e) Requisitos formales para la interposición del recurso</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_Toc181795794 \h </w:instrText>
            </w:r>
            <w:r w:rsidR="00BB42E0" w:rsidRPr="00BB42E0">
              <w:rPr>
                <w:noProof/>
                <w:webHidden/>
              </w:rPr>
            </w:r>
            <w:r w:rsidR="00BB42E0" w:rsidRPr="00BB42E0">
              <w:rPr>
                <w:noProof/>
                <w:webHidden/>
              </w:rPr>
              <w:fldChar w:fldCharType="separate"/>
            </w:r>
            <w:r w:rsidR="00536806">
              <w:rPr>
                <w:noProof/>
                <w:webHidden/>
              </w:rPr>
              <w:t>8</w:t>
            </w:r>
            <w:r w:rsidR="00BB42E0" w:rsidRPr="00BB42E0">
              <w:rPr>
                <w:noProof/>
                <w:webHidden/>
              </w:rPr>
              <w:fldChar w:fldCharType="end"/>
            </w:r>
          </w:hyperlink>
        </w:p>
        <w:p w14:paraId="71FAE94C" w14:textId="77777777" w:rsidR="00BB42E0" w:rsidRPr="00BB42E0" w:rsidRDefault="002C318A" w:rsidP="00BB42E0">
          <w:pPr>
            <w:pStyle w:val="TDC2"/>
            <w:rPr>
              <w:rFonts w:asciiTheme="minorHAnsi" w:eastAsiaTheme="minorEastAsia" w:hAnsiTheme="minorHAnsi" w:cstheme="minorBidi"/>
              <w:noProof/>
              <w:szCs w:val="22"/>
              <w:lang w:eastAsia="es-MX"/>
            </w:rPr>
          </w:pPr>
          <w:hyperlink w:anchor="_Toc181795795" w:history="1">
            <w:r w:rsidR="00BB42E0" w:rsidRPr="00BB42E0">
              <w:rPr>
                <w:rStyle w:val="Hipervnculo"/>
                <w:noProof/>
                <w:color w:val="auto"/>
              </w:rPr>
              <w:t>SEGUNDO. Estudio de Fondo</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_Toc181795795 \h </w:instrText>
            </w:r>
            <w:r w:rsidR="00BB42E0" w:rsidRPr="00BB42E0">
              <w:rPr>
                <w:noProof/>
                <w:webHidden/>
              </w:rPr>
            </w:r>
            <w:r w:rsidR="00BB42E0" w:rsidRPr="00BB42E0">
              <w:rPr>
                <w:noProof/>
                <w:webHidden/>
              </w:rPr>
              <w:fldChar w:fldCharType="separate"/>
            </w:r>
            <w:r w:rsidR="00536806">
              <w:rPr>
                <w:noProof/>
                <w:webHidden/>
              </w:rPr>
              <w:t>9</w:t>
            </w:r>
            <w:r w:rsidR="00BB42E0" w:rsidRPr="00BB42E0">
              <w:rPr>
                <w:noProof/>
                <w:webHidden/>
              </w:rPr>
              <w:fldChar w:fldCharType="end"/>
            </w:r>
          </w:hyperlink>
        </w:p>
        <w:p w14:paraId="41D4F5C8"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6" w:history="1">
            <w:r w:rsidR="00BB42E0" w:rsidRPr="00BB42E0">
              <w:rPr>
                <w:rStyle w:val="Hipervnculo"/>
                <w:noProof/>
                <w:color w:val="auto"/>
              </w:rPr>
              <w:t>a) Mandato de transparencia y responsabilidad del Sujeto Obligado</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_Toc181795796 \h </w:instrText>
            </w:r>
            <w:r w:rsidR="00BB42E0" w:rsidRPr="00BB42E0">
              <w:rPr>
                <w:noProof/>
                <w:webHidden/>
              </w:rPr>
            </w:r>
            <w:r w:rsidR="00BB42E0" w:rsidRPr="00BB42E0">
              <w:rPr>
                <w:noProof/>
                <w:webHidden/>
              </w:rPr>
              <w:fldChar w:fldCharType="separate"/>
            </w:r>
            <w:r w:rsidR="00536806">
              <w:rPr>
                <w:noProof/>
                <w:webHidden/>
              </w:rPr>
              <w:t>9</w:t>
            </w:r>
            <w:r w:rsidR="00BB42E0" w:rsidRPr="00BB42E0">
              <w:rPr>
                <w:noProof/>
                <w:webHidden/>
              </w:rPr>
              <w:fldChar w:fldCharType="end"/>
            </w:r>
          </w:hyperlink>
        </w:p>
        <w:p w14:paraId="21E5C629"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7" w:history="1">
            <w:r w:rsidR="00BB42E0" w:rsidRPr="00BB42E0">
              <w:rPr>
                <w:rStyle w:val="Hipervnculo"/>
                <w:rFonts w:eastAsia="Calibri"/>
                <w:noProof/>
                <w:color w:val="auto"/>
                <w:lang w:eastAsia="es-ES_tradnl"/>
              </w:rPr>
              <w:t>b) Controversia a resolver</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_Toc181795797 \h </w:instrText>
            </w:r>
            <w:r w:rsidR="00BB42E0" w:rsidRPr="00BB42E0">
              <w:rPr>
                <w:noProof/>
                <w:webHidden/>
              </w:rPr>
            </w:r>
            <w:r w:rsidR="00BB42E0" w:rsidRPr="00BB42E0">
              <w:rPr>
                <w:noProof/>
                <w:webHidden/>
              </w:rPr>
              <w:fldChar w:fldCharType="separate"/>
            </w:r>
            <w:r w:rsidR="00536806">
              <w:rPr>
                <w:noProof/>
                <w:webHidden/>
              </w:rPr>
              <w:t>11</w:t>
            </w:r>
            <w:r w:rsidR="00BB42E0" w:rsidRPr="00BB42E0">
              <w:rPr>
                <w:noProof/>
                <w:webHidden/>
              </w:rPr>
              <w:fldChar w:fldCharType="end"/>
            </w:r>
          </w:hyperlink>
        </w:p>
        <w:p w14:paraId="06EFD7D5"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8" w:history="1">
            <w:r w:rsidR="00BB42E0" w:rsidRPr="00BB42E0">
              <w:rPr>
                <w:rStyle w:val="Hipervnculo"/>
                <w:noProof/>
                <w:color w:val="auto"/>
              </w:rPr>
              <w:t>c) Estudio de la controversia</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_Toc181795798 \h </w:instrText>
            </w:r>
            <w:r w:rsidR="00BB42E0" w:rsidRPr="00BB42E0">
              <w:rPr>
                <w:noProof/>
                <w:webHidden/>
              </w:rPr>
            </w:r>
            <w:r w:rsidR="00BB42E0" w:rsidRPr="00BB42E0">
              <w:rPr>
                <w:noProof/>
                <w:webHidden/>
              </w:rPr>
              <w:fldChar w:fldCharType="separate"/>
            </w:r>
            <w:r w:rsidR="00536806">
              <w:rPr>
                <w:noProof/>
                <w:webHidden/>
              </w:rPr>
              <w:t>12</w:t>
            </w:r>
            <w:r w:rsidR="00BB42E0" w:rsidRPr="00BB42E0">
              <w:rPr>
                <w:noProof/>
                <w:webHidden/>
              </w:rPr>
              <w:fldChar w:fldCharType="end"/>
            </w:r>
          </w:hyperlink>
        </w:p>
        <w:p w14:paraId="3A37BE0D"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799" w:history="1">
            <w:r w:rsidR="00BB42E0" w:rsidRPr="00BB42E0">
              <w:rPr>
                <w:rStyle w:val="Hipervnculo"/>
                <w:noProof/>
                <w:color w:val="auto"/>
              </w:rPr>
              <w:t>d) Versión pública</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_Toc181795799 \h </w:instrText>
            </w:r>
            <w:r w:rsidR="00BB42E0" w:rsidRPr="00BB42E0">
              <w:rPr>
                <w:noProof/>
                <w:webHidden/>
              </w:rPr>
            </w:r>
            <w:r w:rsidR="00BB42E0" w:rsidRPr="00BB42E0">
              <w:rPr>
                <w:noProof/>
                <w:webHidden/>
              </w:rPr>
              <w:fldChar w:fldCharType="separate"/>
            </w:r>
            <w:r w:rsidR="00536806">
              <w:rPr>
                <w:noProof/>
                <w:webHidden/>
              </w:rPr>
              <w:t>19</w:t>
            </w:r>
            <w:r w:rsidR="00BB42E0" w:rsidRPr="00BB42E0">
              <w:rPr>
                <w:noProof/>
                <w:webHidden/>
              </w:rPr>
              <w:fldChar w:fldCharType="end"/>
            </w:r>
          </w:hyperlink>
        </w:p>
        <w:p w14:paraId="0782D0FE" w14:textId="77777777" w:rsidR="00BB42E0" w:rsidRPr="00BB42E0" w:rsidRDefault="002C318A" w:rsidP="00BB42E0">
          <w:pPr>
            <w:pStyle w:val="TDC3"/>
            <w:rPr>
              <w:rFonts w:asciiTheme="minorHAnsi" w:eastAsiaTheme="minorEastAsia" w:hAnsiTheme="minorHAnsi" w:cstheme="minorBidi"/>
              <w:noProof/>
              <w:szCs w:val="22"/>
              <w:lang w:eastAsia="es-MX"/>
            </w:rPr>
          </w:pPr>
          <w:hyperlink w:anchor="_Toc181795800" w:history="1">
            <w:r w:rsidR="00BB42E0" w:rsidRPr="00BB42E0">
              <w:rPr>
                <w:rStyle w:val="Hipervnculo"/>
                <w:noProof/>
                <w:color w:val="auto"/>
              </w:rPr>
              <w:t>e) Conclusión</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_Toc181795800 \h </w:instrText>
            </w:r>
            <w:r w:rsidR="00BB42E0" w:rsidRPr="00BB42E0">
              <w:rPr>
                <w:noProof/>
                <w:webHidden/>
              </w:rPr>
            </w:r>
            <w:r w:rsidR="00BB42E0" w:rsidRPr="00BB42E0">
              <w:rPr>
                <w:noProof/>
                <w:webHidden/>
              </w:rPr>
              <w:fldChar w:fldCharType="separate"/>
            </w:r>
            <w:r w:rsidR="00536806">
              <w:rPr>
                <w:noProof/>
                <w:webHidden/>
              </w:rPr>
              <w:t>39</w:t>
            </w:r>
            <w:r w:rsidR="00BB42E0" w:rsidRPr="00BB42E0">
              <w:rPr>
                <w:noProof/>
                <w:webHidden/>
              </w:rPr>
              <w:fldChar w:fldCharType="end"/>
            </w:r>
          </w:hyperlink>
        </w:p>
        <w:p w14:paraId="0C82FD7A" w14:textId="3E0A17BF" w:rsidR="009B2945" w:rsidRPr="00BB42E0" w:rsidRDefault="002C318A" w:rsidP="00BB42E0">
          <w:pPr>
            <w:pStyle w:val="TDC1"/>
            <w:tabs>
              <w:tab w:val="right" w:leader="dot" w:pos="9034"/>
            </w:tabs>
            <w:rPr>
              <w:b/>
              <w:bCs/>
              <w:lang w:val="es-ES"/>
            </w:rPr>
          </w:pPr>
          <w:hyperlink w:anchor="_Toc181795801" w:history="1">
            <w:r w:rsidR="00BB42E0" w:rsidRPr="00BB42E0">
              <w:rPr>
                <w:rStyle w:val="Hipervnculo"/>
                <w:noProof/>
                <w:color w:val="auto"/>
              </w:rPr>
              <w:t>RESUELVE</w:t>
            </w:r>
            <w:r w:rsidR="00BB42E0" w:rsidRPr="00BB42E0">
              <w:rPr>
                <w:noProof/>
                <w:webHidden/>
              </w:rPr>
              <w:tab/>
            </w:r>
            <w:r w:rsidR="00BB42E0" w:rsidRPr="00BB42E0">
              <w:rPr>
                <w:noProof/>
                <w:webHidden/>
              </w:rPr>
              <w:fldChar w:fldCharType="begin"/>
            </w:r>
            <w:r w:rsidR="00BB42E0" w:rsidRPr="00BB42E0">
              <w:rPr>
                <w:noProof/>
                <w:webHidden/>
              </w:rPr>
              <w:instrText xml:space="preserve"> PAGEREF _Toc181795801 \h </w:instrText>
            </w:r>
            <w:r w:rsidR="00BB42E0" w:rsidRPr="00BB42E0">
              <w:rPr>
                <w:noProof/>
                <w:webHidden/>
              </w:rPr>
            </w:r>
            <w:r w:rsidR="00BB42E0" w:rsidRPr="00BB42E0">
              <w:rPr>
                <w:noProof/>
                <w:webHidden/>
              </w:rPr>
              <w:fldChar w:fldCharType="separate"/>
            </w:r>
            <w:r w:rsidR="00536806">
              <w:rPr>
                <w:noProof/>
                <w:webHidden/>
              </w:rPr>
              <w:t>40</w:t>
            </w:r>
            <w:r w:rsidR="00BB42E0" w:rsidRPr="00BB42E0">
              <w:rPr>
                <w:noProof/>
                <w:webHidden/>
              </w:rPr>
              <w:fldChar w:fldCharType="end"/>
            </w:r>
          </w:hyperlink>
          <w:r w:rsidR="00AE3DA7" w:rsidRPr="00BB42E0">
            <w:rPr>
              <w:b/>
              <w:bCs/>
              <w:sz w:val="16"/>
              <w:szCs w:val="16"/>
              <w:lang w:val="es-ES"/>
            </w:rPr>
            <w:fldChar w:fldCharType="end"/>
          </w:r>
        </w:p>
      </w:sdtContent>
    </w:sdt>
    <w:p w14:paraId="603A07E2" w14:textId="77777777" w:rsidR="00646436" w:rsidRPr="00BB42E0" w:rsidRDefault="00646436" w:rsidP="00BB42E0">
      <w:pPr>
        <w:rPr>
          <w:rFonts w:cs="Tahoma"/>
          <w:szCs w:val="22"/>
        </w:rPr>
        <w:sectPr w:rsidR="00646436" w:rsidRPr="00BB42E0"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A110AE" w:rsidR="00775BFC" w:rsidRPr="00BB42E0" w:rsidRDefault="00775BFC" w:rsidP="00BB42E0">
      <w:r w:rsidRPr="00BB42E0">
        <w:lastRenderedPageBreak/>
        <w:t>Resolución del Pleno del Instituto de Transparencia, Acceso a la Información Pública y Protección de Datos Personales del Estado de México y Municipios, con domicilio e</w:t>
      </w:r>
      <w:r w:rsidR="004D0573" w:rsidRPr="00BB42E0">
        <w:t xml:space="preserve">n Metepec, Estado de México, de </w:t>
      </w:r>
      <w:r w:rsidR="004B326A" w:rsidRPr="00BB42E0">
        <w:rPr>
          <w:b/>
        </w:rPr>
        <w:t xml:space="preserve">seis de noviembre </w:t>
      </w:r>
      <w:r w:rsidR="004D0573" w:rsidRPr="00BB42E0">
        <w:rPr>
          <w:b/>
        </w:rPr>
        <w:t>de dos mil veinticuatro</w:t>
      </w:r>
      <w:r w:rsidRPr="00BB42E0">
        <w:t>.</w:t>
      </w:r>
    </w:p>
    <w:p w14:paraId="0AF3AAC4" w14:textId="77777777" w:rsidR="00775BFC" w:rsidRPr="00BB42E0" w:rsidRDefault="00775BFC" w:rsidP="00BB42E0"/>
    <w:p w14:paraId="40EAE038" w14:textId="2F808065" w:rsidR="00775BFC" w:rsidRPr="00BB42E0" w:rsidRDefault="00775BFC" w:rsidP="00BB42E0">
      <w:r w:rsidRPr="00BB42E0">
        <w:rPr>
          <w:b/>
        </w:rPr>
        <w:t xml:space="preserve">VISTO </w:t>
      </w:r>
      <w:r w:rsidR="008F2666" w:rsidRPr="00BB42E0">
        <w:t>los</w:t>
      </w:r>
      <w:r w:rsidRPr="00BB42E0">
        <w:t xml:space="preserve"> expediente</w:t>
      </w:r>
      <w:r w:rsidR="008F2666" w:rsidRPr="00BB42E0">
        <w:t>s</w:t>
      </w:r>
      <w:r w:rsidRPr="00BB42E0">
        <w:t xml:space="preserve"> formado</w:t>
      </w:r>
      <w:r w:rsidR="008F2666" w:rsidRPr="00BB42E0">
        <w:t>s</w:t>
      </w:r>
      <w:r w:rsidRPr="00BB42E0">
        <w:t xml:space="preserve"> con motivo de</w:t>
      </w:r>
      <w:r w:rsidR="008F2666" w:rsidRPr="00BB42E0">
        <w:t xml:space="preserve"> los</w:t>
      </w:r>
      <w:r w:rsidRPr="00BB42E0">
        <w:t xml:space="preserve"> Recurso</w:t>
      </w:r>
      <w:r w:rsidR="008F2666" w:rsidRPr="00BB42E0">
        <w:t>s</w:t>
      </w:r>
      <w:r w:rsidRPr="00BB42E0">
        <w:t xml:space="preserve"> de Revisión </w:t>
      </w:r>
      <w:r w:rsidR="004D0573" w:rsidRPr="00BB42E0">
        <w:rPr>
          <w:rFonts w:eastAsia="Calibri"/>
          <w:b/>
          <w:lang w:eastAsia="en-US"/>
        </w:rPr>
        <w:t>0</w:t>
      </w:r>
      <w:r w:rsidR="004B326A" w:rsidRPr="00BB42E0">
        <w:rPr>
          <w:rFonts w:eastAsia="Calibri"/>
          <w:b/>
          <w:lang w:eastAsia="en-US"/>
        </w:rPr>
        <w:t>6027</w:t>
      </w:r>
      <w:r w:rsidR="004D0573" w:rsidRPr="00BB42E0">
        <w:rPr>
          <w:rFonts w:eastAsia="Calibri"/>
          <w:b/>
          <w:lang w:eastAsia="en-US"/>
        </w:rPr>
        <w:t>/</w:t>
      </w:r>
      <w:r w:rsidRPr="00BB42E0">
        <w:rPr>
          <w:rFonts w:eastAsia="Calibri"/>
          <w:b/>
          <w:lang w:eastAsia="en-US"/>
        </w:rPr>
        <w:t>INFOEM/IP/RR/</w:t>
      </w:r>
      <w:r w:rsidR="004D0573" w:rsidRPr="00BB42E0">
        <w:rPr>
          <w:rFonts w:eastAsia="Calibri"/>
          <w:b/>
          <w:lang w:eastAsia="en-US"/>
        </w:rPr>
        <w:t>2024</w:t>
      </w:r>
      <w:r w:rsidR="008F2666" w:rsidRPr="00BB42E0">
        <w:rPr>
          <w:rFonts w:eastAsia="Calibri"/>
          <w:b/>
          <w:lang w:eastAsia="en-US"/>
        </w:rPr>
        <w:t xml:space="preserve"> </w:t>
      </w:r>
      <w:r w:rsidR="008F2666" w:rsidRPr="00BB42E0">
        <w:rPr>
          <w:rFonts w:eastAsia="Calibri"/>
          <w:lang w:eastAsia="en-US"/>
        </w:rPr>
        <w:t>y</w:t>
      </w:r>
      <w:r w:rsidR="008F2666" w:rsidRPr="00BB42E0">
        <w:rPr>
          <w:rFonts w:eastAsia="Calibri"/>
          <w:b/>
          <w:lang w:eastAsia="en-US"/>
        </w:rPr>
        <w:t xml:space="preserve"> 0</w:t>
      </w:r>
      <w:r w:rsidR="004B326A" w:rsidRPr="00BB42E0">
        <w:rPr>
          <w:rFonts w:eastAsia="Calibri"/>
          <w:b/>
          <w:lang w:eastAsia="en-US"/>
        </w:rPr>
        <w:t>6038</w:t>
      </w:r>
      <w:r w:rsidR="008F2666" w:rsidRPr="00BB42E0">
        <w:rPr>
          <w:rFonts w:eastAsia="Calibri"/>
          <w:b/>
          <w:lang w:eastAsia="en-US"/>
        </w:rPr>
        <w:t>/INFOEM/IP/RR/2024</w:t>
      </w:r>
      <w:r w:rsidR="008F2666" w:rsidRPr="00BB42E0">
        <w:rPr>
          <w:rFonts w:eastAsia="Calibri"/>
          <w:lang w:eastAsia="en-US"/>
        </w:rPr>
        <w:t xml:space="preserve"> </w:t>
      </w:r>
      <w:r w:rsidRPr="00BB42E0">
        <w:t>interpuesto</w:t>
      </w:r>
      <w:r w:rsidR="008F2666" w:rsidRPr="00BB42E0">
        <w:t>s</w:t>
      </w:r>
      <w:r w:rsidRPr="00BB42E0">
        <w:t xml:space="preserve"> por </w:t>
      </w:r>
      <w:r w:rsidR="008F2666" w:rsidRPr="00BB42E0">
        <w:rPr>
          <w:rFonts w:eastAsia="Palatino Linotype" w:cs="Palatino Linotype"/>
          <w:b/>
        </w:rPr>
        <w:t>una persona de manera anónima</w:t>
      </w:r>
      <w:r w:rsidR="008F2666" w:rsidRPr="00BB42E0">
        <w:rPr>
          <w:rFonts w:eastAsia="Palatino Linotype" w:cs="Palatino Linotype"/>
        </w:rPr>
        <w:t>,</w:t>
      </w:r>
      <w:r w:rsidRPr="00BB42E0">
        <w:t xml:space="preserve"> a quien en lo subsecuente se le denominará </w:t>
      </w:r>
      <w:r w:rsidRPr="00BB42E0">
        <w:rPr>
          <w:b/>
          <w:bCs/>
        </w:rPr>
        <w:t>LA PARTE RECURRENTE</w:t>
      </w:r>
      <w:r w:rsidRPr="00BB42E0">
        <w:t>, en contra de la</w:t>
      </w:r>
      <w:r w:rsidR="008F2666" w:rsidRPr="00BB42E0">
        <w:t>s</w:t>
      </w:r>
      <w:r w:rsidRPr="00BB42E0">
        <w:t xml:space="preserve"> </w:t>
      </w:r>
      <w:r w:rsidR="00773DD6" w:rsidRPr="00BB42E0">
        <w:t>respuesta</w:t>
      </w:r>
      <w:r w:rsidR="008F2666" w:rsidRPr="00BB42E0">
        <w:t>s</w:t>
      </w:r>
      <w:r w:rsidR="00773DD6" w:rsidRPr="00BB42E0">
        <w:t xml:space="preserve"> </w:t>
      </w:r>
      <w:r w:rsidR="00BA1AB6" w:rsidRPr="00BB42E0">
        <w:t>de</w:t>
      </w:r>
      <w:r w:rsidR="00773DD6" w:rsidRPr="00BB42E0">
        <w:t xml:space="preserve">l </w:t>
      </w:r>
      <w:r w:rsidR="008F2666" w:rsidRPr="00BB42E0">
        <w:rPr>
          <w:b/>
          <w:bCs/>
        </w:rPr>
        <w:t xml:space="preserve">Ayuntamiento de </w:t>
      </w:r>
      <w:r w:rsidR="004B326A" w:rsidRPr="00BB42E0">
        <w:rPr>
          <w:b/>
          <w:bCs/>
        </w:rPr>
        <w:t>Tezoyuca</w:t>
      </w:r>
      <w:r w:rsidRPr="00BB42E0">
        <w:rPr>
          <w:b/>
          <w:bCs/>
        </w:rPr>
        <w:t>,</w:t>
      </w:r>
      <w:r w:rsidRPr="00BB42E0">
        <w:t xml:space="preserve"> en adelante </w:t>
      </w:r>
      <w:r w:rsidRPr="00BB42E0">
        <w:rPr>
          <w:b/>
          <w:bCs/>
        </w:rPr>
        <w:t>EL SUJETO OBLIGADO</w:t>
      </w:r>
      <w:r w:rsidRPr="00BB42E0">
        <w:rPr>
          <w:rFonts w:eastAsia="Calibri"/>
          <w:lang w:eastAsia="en-US"/>
        </w:rPr>
        <w:t xml:space="preserve">, </w:t>
      </w:r>
      <w:r w:rsidRPr="00BB42E0">
        <w:t>se emite la presente Resolución con base en los Antecedentes y Considerandos que se exponen a continuación:</w:t>
      </w:r>
    </w:p>
    <w:p w14:paraId="2116968C" w14:textId="77777777" w:rsidR="00775BFC" w:rsidRPr="00BB42E0" w:rsidRDefault="00775BFC" w:rsidP="00BB42E0"/>
    <w:p w14:paraId="5A444FB6" w14:textId="639D3567" w:rsidR="00664420" w:rsidRPr="00BB42E0" w:rsidRDefault="00664420" w:rsidP="00BB42E0">
      <w:pPr>
        <w:pStyle w:val="Ttulo1"/>
      </w:pPr>
      <w:bookmarkStart w:id="3" w:name="_Toc181795776"/>
      <w:r w:rsidRPr="00BB42E0">
        <w:t>ANTECEDENTES</w:t>
      </w:r>
      <w:bookmarkEnd w:id="3"/>
    </w:p>
    <w:p w14:paraId="5CB5034E" w14:textId="77777777" w:rsidR="00AC2DB8" w:rsidRPr="00BB42E0" w:rsidRDefault="00AC2DB8" w:rsidP="00BB42E0"/>
    <w:p w14:paraId="09B2D38F" w14:textId="0EBC2D68" w:rsidR="00664420" w:rsidRPr="00BB42E0" w:rsidRDefault="00E37A3F" w:rsidP="00BB42E0">
      <w:pPr>
        <w:pStyle w:val="Ttulo2"/>
      </w:pPr>
      <w:bookmarkStart w:id="4" w:name="_Toc181795777"/>
      <w:r w:rsidRPr="00BB42E0">
        <w:t>DE LA</w:t>
      </w:r>
      <w:r w:rsidR="008F2666" w:rsidRPr="00BB42E0">
        <w:t>S</w:t>
      </w:r>
      <w:r w:rsidRPr="00BB42E0">
        <w:t xml:space="preserve"> SOLICITUD</w:t>
      </w:r>
      <w:r w:rsidR="008F2666" w:rsidRPr="00BB42E0">
        <w:t>ES</w:t>
      </w:r>
      <w:r w:rsidRPr="00BB42E0">
        <w:t xml:space="preserve"> DE INFORMACIÓN</w:t>
      </w:r>
      <w:bookmarkEnd w:id="4"/>
    </w:p>
    <w:p w14:paraId="7B7535DF" w14:textId="77777777" w:rsidR="00E37A3F" w:rsidRPr="00BB42E0" w:rsidRDefault="00E37A3F" w:rsidP="00BB42E0"/>
    <w:p w14:paraId="2C6AD1A5" w14:textId="1C762CA2" w:rsidR="00664420" w:rsidRPr="00BB42E0" w:rsidRDefault="00E37A3F" w:rsidP="00BB42E0">
      <w:pPr>
        <w:pStyle w:val="Ttulo3"/>
      </w:pPr>
      <w:bookmarkStart w:id="5" w:name="_Toc181795778"/>
      <w:r w:rsidRPr="00BB42E0">
        <w:t xml:space="preserve">a) </w:t>
      </w:r>
      <w:r w:rsidR="006B10B0" w:rsidRPr="00BB42E0">
        <w:t>S</w:t>
      </w:r>
      <w:r w:rsidR="00664420" w:rsidRPr="00BB42E0">
        <w:t>olicitud</w:t>
      </w:r>
      <w:r w:rsidR="008F2666" w:rsidRPr="00BB42E0">
        <w:t>es</w:t>
      </w:r>
      <w:r w:rsidR="00664420" w:rsidRPr="00BB42E0">
        <w:t xml:space="preserve"> de </w:t>
      </w:r>
      <w:r w:rsidR="006B10B0" w:rsidRPr="00BB42E0">
        <w:t>i</w:t>
      </w:r>
      <w:r w:rsidR="00664420" w:rsidRPr="00BB42E0">
        <w:t>nformación</w:t>
      </w:r>
      <w:bookmarkEnd w:id="5"/>
    </w:p>
    <w:p w14:paraId="06DCD29D" w14:textId="55F8CB14" w:rsidR="009A2D78" w:rsidRPr="00BB42E0" w:rsidRDefault="006B10B0" w:rsidP="00BB42E0">
      <w:pPr>
        <w:pStyle w:val="Prrafodelista"/>
        <w:tabs>
          <w:tab w:val="left" w:pos="0"/>
        </w:tabs>
        <w:ind w:left="0"/>
        <w:contextualSpacing w:val="0"/>
        <w:rPr>
          <w:rFonts w:cs="Tahoma"/>
        </w:rPr>
      </w:pPr>
      <w:r w:rsidRPr="00BB42E0">
        <w:rPr>
          <w:rFonts w:cs="Tahoma"/>
        </w:rPr>
        <w:t>El</w:t>
      </w:r>
      <w:r w:rsidR="00664420" w:rsidRPr="00BB42E0">
        <w:rPr>
          <w:rFonts w:cs="Tahoma"/>
        </w:rPr>
        <w:t xml:space="preserve"> </w:t>
      </w:r>
      <w:r w:rsidR="00120950" w:rsidRPr="00BB42E0">
        <w:rPr>
          <w:rFonts w:cs="Tahoma"/>
          <w:b/>
          <w:bCs/>
        </w:rPr>
        <w:t xml:space="preserve">once de septiembre </w:t>
      </w:r>
      <w:r w:rsidR="00664420" w:rsidRPr="00BB42E0">
        <w:rPr>
          <w:rFonts w:cs="Tahoma"/>
          <w:b/>
          <w:bCs/>
        </w:rPr>
        <w:t xml:space="preserve">de dos mil </w:t>
      </w:r>
      <w:r w:rsidR="004D0573" w:rsidRPr="00BB42E0">
        <w:rPr>
          <w:rFonts w:cs="Tahoma"/>
          <w:b/>
          <w:bCs/>
        </w:rPr>
        <w:t>veinticuatro</w:t>
      </w:r>
      <w:r w:rsidR="00664420" w:rsidRPr="00BB42E0">
        <w:rPr>
          <w:rFonts w:cs="Tahoma"/>
        </w:rPr>
        <w:t xml:space="preserve">, </w:t>
      </w:r>
      <w:r w:rsidRPr="00BB42E0">
        <w:rPr>
          <w:b/>
          <w:bCs/>
        </w:rPr>
        <w:t>LA PARTE RECURRENTE</w:t>
      </w:r>
      <w:r w:rsidR="00664420" w:rsidRPr="00BB42E0">
        <w:rPr>
          <w:rFonts w:cs="Tahoma"/>
        </w:rPr>
        <w:t xml:space="preserve"> presentó </w:t>
      </w:r>
      <w:r w:rsidR="008F2666" w:rsidRPr="00BB42E0">
        <w:rPr>
          <w:rFonts w:cs="Tahoma"/>
        </w:rPr>
        <w:t>las</w:t>
      </w:r>
      <w:r w:rsidR="00664420" w:rsidRPr="00BB42E0">
        <w:rPr>
          <w:rFonts w:cs="Tahoma"/>
        </w:rPr>
        <w:t xml:space="preserve"> solicitud</w:t>
      </w:r>
      <w:r w:rsidR="008F2666" w:rsidRPr="00BB42E0">
        <w:rPr>
          <w:rFonts w:cs="Tahoma"/>
        </w:rPr>
        <w:t>es</w:t>
      </w:r>
      <w:r w:rsidR="00664420" w:rsidRPr="00BB42E0">
        <w:rPr>
          <w:rFonts w:cs="Tahoma"/>
        </w:rPr>
        <w:t xml:space="preserve"> de acceso a la información pública </w:t>
      </w:r>
      <w:r w:rsidR="001F3515" w:rsidRPr="00BB42E0">
        <w:rPr>
          <w:rFonts w:cs="Tahoma"/>
        </w:rPr>
        <w:t xml:space="preserve">ante el </w:t>
      </w:r>
      <w:r w:rsidR="001F3515" w:rsidRPr="00BB42E0">
        <w:rPr>
          <w:rFonts w:cs="Tahoma"/>
          <w:b/>
          <w:bCs/>
        </w:rPr>
        <w:t>SUJETO OBLIGADO</w:t>
      </w:r>
      <w:r w:rsidR="001F3515" w:rsidRPr="00BB42E0">
        <w:rPr>
          <w:rFonts w:cs="Tahoma"/>
        </w:rPr>
        <w:t xml:space="preserve">, </w:t>
      </w:r>
      <w:r w:rsidR="00664420" w:rsidRPr="00BB42E0">
        <w:rPr>
          <w:rFonts w:cs="Tahoma"/>
        </w:rPr>
        <w:t>a través del Sistema de Acceso a la Información Mexiquense</w:t>
      </w:r>
      <w:r w:rsidRPr="00BB42E0">
        <w:rPr>
          <w:rFonts w:cs="Tahoma"/>
        </w:rPr>
        <w:t xml:space="preserve"> </w:t>
      </w:r>
      <w:r w:rsidR="009A2D78" w:rsidRPr="00BB42E0">
        <w:rPr>
          <w:rFonts w:cs="Tahoma"/>
        </w:rPr>
        <w:t>(</w:t>
      </w:r>
      <w:r w:rsidRPr="00BB42E0">
        <w:rPr>
          <w:rFonts w:cs="Tahoma"/>
        </w:rPr>
        <w:t>SAIMEX</w:t>
      </w:r>
      <w:r w:rsidR="009A2D78" w:rsidRPr="00BB42E0">
        <w:rPr>
          <w:rFonts w:cs="Tahoma"/>
        </w:rPr>
        <w:t>). Dicha</w:t>
      </w:r>
      <w:r w:rsidR="008F2666" w:rsidRPr="00BB42E0">
        <w:rPr>
          <w:rFonts w:cs="Tahoma"/>
        </w:rPr>
        <w:t>s</w:t>
      </w:r>
      <w:r w:rsidR="009A2D78" w:rsidRPr="00BB42E0">
        <w:rPr>
          <w:rFonts w:cs="Tahoma"/>
        </w:rPr>
        <w:t xml:space="preserve"> solicitud</w:t>
      </w:r>
      <w:r w:rsidR="008F2666" w:rsidRPr="00BB42E0">
        <w:rPr>
          <w:rFonts w:cs="Tahoma"/>
        </w:rPr>
        <w:t>es</w:t>
      </w:r>
      <w:r w:rsidR="009A2D78" w:rsidRPr="00BB42E0">
        <w:rPr>
          <w:rFonts w:cs="Tahoma"/>
        </w:rPr>
        <w:t xml:space="preserve"> qued</w:t>
      </w:r>
      <w:r w:rsidR="008F2666" w:rsidRPr="00BB42E0">
        <w:rPr>
          <w:rFonts w:cs="Tahoma"/>
        </w:rPr>
        <w:t>aron</w:t>
      </w:r>
      <w:r w:rsidRPr="00BB42E0">
        <w:rPr>
          <w:rFonts w:cs="Tahoma"/>
        </w:rPr>
        <w:t xml:space="preserve"> registrada</w:t>
      </w:r>
      <w:r w:rsidR="008F2666" w:rsidRPr="00BB42E0">
        <w:rPr>
          <w:rFonts w:cs="Tahoma"/>
        </w:rPr>
        <w:t>s</w:t>
      </w:r>
      <w:r w:rsidRPr="00BB42E0">
        <w:rPr>
          <w:rFonts w:cs="Tahoma"/>
        </w:rPr>
        <w:t xml:space="preserve"> c</w:t>
      </w:r>
      <w:r w:rsidR="008F2666" w:rsidRPr="00BB42E0">
        <w:rPr>
          <w:rFonts w:cs="Tahoma"/>
        </w:rPr>
        <w:t xml:space="preserve">on </w:t>
      </w:r>
      <w:r w:rsidR="00664420" w:rsidRPr="00BB42E0">
        <w:rPr>
          <w:rFonts w:cs="Tahoma"/>
        </w:rPr>
        <w:t>l</w:t>
      </w:r>
      <w:r w:rsidR="008F2666" w:rsidRPr="00BB42E0">
        <w:rPr>
          <w:rFonts w:cs="Tahoma"/>
        </w:rPr>
        <w:t>os</w:t>
      </w:r>
      <w:r w:rsidR="00664420" w:rsidRPr="00BB42E0">
        <w:rPr>
          <w:rFonts w:cs="Tahoma"/>
        </w:rPr>
        <w:t xml:space="preserve"> número</w:t>
      </w:r>
      <w:r w:rsidR="008F2666" w:rsidRPr="00BB42E0">
        <w:rPr>
          <w:rFonts w:cs="Tahoma"/>
        </w:rPr>
        <w:t>s</w:t>
      </w:r>
      <w:r w:rsidR="00664420" w:rsidRPr="00BB42E0">
        <w:rPr>
          <w:rFonts w:cs="Tahoma"/>
        </w:rPr>
        <w:t xml:space="preserve"> de folio</w:t>
      </w:r>
      <w:r w:rsidR="00664420" w:rsidRPr="00BB42E0">
        <w:rPr>
          <w:rFonts w:cs="Tahoma"/>
          <w:b/>
          <w:bCs/>
        </w:rPr>
        <w:t xml:space="preserve"> </w:t>
      </w:r>
      <w:r w:rsidR="00120950" w:rsidRPr="00BB42E0">
        <w:rPr>
          <w:rFonts w:cs="Tahoma"/>
          <w:b/>
          <w:bCs/>
        </w:rPr>
        <w:t>00083/TEZOYUCA/IP/2024</w:t>
      </w:r>
      <w:r w:rsidR="008F2666" w:rsidRPr="00BB42E0">
        <w:rPr>
          <w:rFonts w:cs="Tahoma"/>
          <w:b/>
          <w:bCs/>
        </w:rPr>
        <w:t xml:space="preserve"> </w:t>
      </w:r>
      <w:r w:rsidR="002A3601" w:rsidRPr="00BB42E0">
        <w:rPr>
          <w:rFonts w:cs="Tahoma"/>
        </w:rPr>
        <w:t>y</w:t>
      </w:r>
      <w:r w:rsidR="008F2666" w:rsidRPr="00BB42E0">
        <w:rPr>
          <w:rFonts w:cs="Tahoma"/>
        </w:rPr>
        <w:t xml:space="preserve"> </w:t>
      </w:r>
      <w:r w:rsidR="00120950" w:rsidRPr="00BB42E0">
        <w:rPr>
          <w:rFonts w:cs="Tahoma"/>
          <w:b/>
          <w:bCs/>
        </w:rPr>
        <w:t xml:space="preserve">00098/TEZOYUCA/IP/2024 </w:t>
      </w:r>
      <w:r w:rsidR="002A3601" w:rsidRPr="00BB42E0">
        <w:rPr>
          <w:rFonts w:cs="Tahoma"/>
        </w:rPr>
        <w:t xml:space="preserve">en </w:t>
      </w:r>
      <w:r w:rsidR="008F2666" w:rsidRPr="00BB42E0">
        <w:rPr>
          <w:rFonts w:cs="Tahoma"/>
        </w:rPr>
        <w:t xml:space="preserve">las que </w:t>
      </w:r>
      <w:r w:rsidR="009A2D78" w:rsidRPr="00BB42E0">
        <w:rPr>
          <w:rFonts w:cs="Tahoma"/>
        </w:rPr>
        <w:t>se requirió la siguiente información:</w:t>
      </w:r>
    </w:p>
    <w:p w14:paraId="4493AB96" w14:textId="77777777" w:rsidR="00120950" w:rsidRPr="00BB42E0" w:rsidRDefault="00120950" w:rsidP="00BB42E0">
      <w:pPr>
        <w:tabs>
          <w:tab w:val="left" w:pos="4667"/>
        </w:tabs>
        <w:ind w:right="567"/>
        <w:rPr>
          <w:rFonts w:cs="Tahoma"/>
          <w:b/>
          <w:bCs/>
        </w:rPr>
      </w:pPr>
    </w:p>
    <w:p w14:paraId="702A73DA" w14:textId="20D7BCF0" w:rsidR="00120950" w:rsidRPr="00BB42E0" w:rsidRDefault="00120950" w:rsidP="00BB42E0">
      <w:pPr>
        <w:tabs>
          <w:tab w:val="left" w:pos="4667"/>
        </w:tabs>
        <w:ind w:right="567"/>
        <w:rPr>
          <w:rFonts w:cs="Tahoma"/>
          <w:b/>
          <w:bCs/>
        </w:rPr>
      </w:pPr>
      <w:r w:rsidRPr="00BB42E0">
        <w:rPr>
          <w:rFonts w:cs="Tahoma"/>
          <w:b/>
          <w:bCs/>
        </w:rPr>
        <w:t>Solicitud con número de folio 00083/TEZOYUCA/IP/2024</w:t>
      </w:r>
    </w:p>
    <w:p w14:paraId="0F77FB16" w14:textId="77777777" w:rsidR="00120950" w:rsidRPr="00BB42E0" w:rsidRDefault="00120950" w:rsidP="00BB42E0">
      <w:pPr>
        <w:tabs>
          <w:tab w:val="left" w:pos="4667"/>
        </w:tabs>
        <w:ind w:right="567"/>
        <w:rPr>
          <w:rFonts w:cs="Tahoma"/>
          <w:b/>
          <w:bCs/>
        </w:rPr>
      </w:pPr>
    </w:p>
    <w:p w14:paraId="230E87F6" w14:textId="157B7731" w:rsidR="00120950" w:rsidRPr="00BB42E0" w:rsidRDefault="00120950" w:rsidP="00BB42E0">
      <w:pPr>
        <w:pStyle w:val="Puesto"/>
      </w:pPr>
      <w:r w:rsidRPr="00BB42E0">
        <w:t>“</w:t>
      </w:r>
      <w:r w:rsidR="007019CA" w:rsidRPr="00BB42E0">
        <w:t xml:space="preserve">Solicito todos los recibos de nómina de todos los policías municipales administración 2022-2024, de los años 2022,2023 y 2024 a la fecha de </w:t>
      </w:r>
      <w:proofErr w:type="spellStart"/>
      <w:r w:rsidR="007019CA" w:rsidRPr="00BB42E0">
        <w:t>está</w:t>
      </w:r>
      <w:proofErr w:type="spellEnd"/>
      <w:r w:rsidR="007019CA" w:rsidRPr="00BB42E0">
        <w:t xml:space="preserve"> solicitud de información</w:t>
      </w:r>
      <w:r w:rsidRPr="00BB42E0">
        <w:t xml:space="preserve">” (sic) </w:t>
      </w:r>
    </w:p>
    <w:p w14:paraId="49AD93DE" w14:textId="2822EC24" w:rsidR="00120950" w:rsidRPr="00BB42E0" w:rsidRDefault="00120950" w:rsidP="00BB42E0">
      <w:pPr>
        <w:tabs>
          <w:tab w:val="left" w:pos="4667"/>
        </w:tabs>
        <w:ind w:right="567"/>
        <w:rPr>
          <w:rFonts w:cs="Tahoma"/>
          <w:b/>
          <w:bCs/>
        </w:rPr>
      </w:pPr>
      <w:r w:rsidRPr="00BB42E0">
        <w:rPr>
          <w:rFonts w:cs="Tahoma"/>
          <w:b/>
          <w:bCs/>
        </w:rPr>
        <w:lastRenderedPageBreak/>
        <w:t>Solicitud con número de folio 000</w:t>
      </w:r>
      <w:r w:rsidR="007019CA" w:rsidRPr="00BB42E0">
        <w:rPr>
          <w:rFonts w:cs="Tahoma"/>
          <w:b/>
          <w:bCs/>
        </w:rPr>
        <w:t>98</w:t>
      </w:r>
      <w:r w:rsidRPr="00BB42E0">
        <w:rPr>
          <w:rFonts w:cs="Tahoma"/>
          <w:b/>
          <w:bCs/>
        </w:rPr>
        <w:t>/TEZOYUCA/IP/2024</w:t>
      </w:r>
    </w:p>
    <w:p w14:paraId="26D4B842" w14:textId="77777777" w:rsidR="00120950" w:rsidRPr="00BB42E0" w:rsidRDefault="00120950" w:rsidP="00BB42E0">
      <w:pPr>
        <w:tabs>
          <w:tab w:val="left" w:pos="4667"/>
        </w:tabs>
        <w:ind w:right="567"/>
        <w:rPr>
          <w:rFonts w:cs="Tahoma"/>
          <w:b/>
          <w:bCs/>
        </w:rPr>
      </w:pPr>
    </w:p>
    <w:p w14:paraId="008FF5E4" w14:textId="77777777" w:rsidR="007019CA" w:rsidRPr="00BB42E0" w:rsidRDefault="007019CA" w:rsidP="00BB42E0">
      <w:pPr>
        <w:pStyle w:val="Puesto"/>
      </w:pPr>
      <w:r w:rsidRPr="00BB42E0">
        <w:t xml:space="preserve">“Solicito todos los recibos de nómina de todos y cada uno de los que trabajan en el DIF municipal de enero a agosto del 2024” (sic) </w:t>
      </w:r>
    </w:p>
    <w:p w14:paraId="5EC9D8D3" w14:textId="77777777" w:rsidR="007019CA" w:rsidRPr="00BB42E0" w:rsidRDefault="007019CA" w:rsidP="00BB42E0">
      <w:pPr>
        <w:tabs>
          <w:tab w:val="left" w:pos="4667"/>
        </w:tabs>
        <w:ind w:right="567"/>
        <w:rPr>
          <w:rFonts w:cs="Tahoma"/>
          <w:b/>
          <w:bCs/>
        </w:rPr>
      </w:pPr>
    </w:p>
    <w:p w14:paraId="0BD6321D" w14:textId="56D9ABBC" w:rsidR="00664420" w:rsidRPr="00BB42E0" w:rsidRDefault="009A2D78" w:rsidP="00BB42E0">
      <w:pPr>
        <w:tabs>
          <w:tab w:val="left" w:pos="4667"/>
        </w:tabs>
        <w:ind w:right="567"/>
        <w:rPr>
          <w:rFonts w:cs="Tahoma"/>
          <w:bCs/>
          <w:szCs w:val="22"/>
        </w:rPr>
      </w:pPr>
      <w:r w:rsidRPr="00BB42E0">
        <w:rPr>
          <w:rFonts w:cs="Tahoma"/>
          <w:b/>
          <w:bCs/>
          <w:szCs w:val="22"/>
        </w:rPr>
        <w:t>Modalidad de entrega</w:t>
      </w:r>
      <w:r w:rsidRPr="00BB42E0">
        <w:rPr>
          <w:rFonts w:cs="Tahoma"/>
          <w:bCs/>
          <w:szCs w:val="22"/>
        </w:rPr>
        <w:t>: a</w:t>
      </w:r>
      <w:r w:rsidR="00664420" w:rsidRPr="00BB42E0">
        <w:rPr>
          <w:rFonts w:cs="Tahoma"/>
          <w:bCs/>
          <w:i/>
          <w:szCs w:val="22"/>
        </w:rPr>
        <w:t xml:space="preserve"> través del </w:t>
      </w:r>
      <w:r w:rsidR="00664420" w:rsidRPr="00BB42E0">
        <w:rPr>
          <w:rFonts w:cs="Tahoma"/>
          <w:b/>
          <w:bCs/>
          <w:i/>
          <w:szCs w:val="22"/>
        </w:rPr>
        <w:t>SAIMEX</w:t>
      </w:r>
      <w:r w:rsidRPr="00BB42E0">
        <w:rPr>
          <w:rFonts w:cs="Tahoma"/>
          <w:bCs/>
          <w:i/>
          <w:szCs w:val="22"/>
        </w:rPr>
        <w:t>.</w:t>
      </w:r>
    </w:p>
    <w:p w14:paraId="334D2860" w14:textId="77777777" w:rsidR="00664420" w:rsidRPr="00BB42E0" w:rsidRDefault="00664420" w:rsidP="00BB42E0">
      <w:pPr>
        <w:autoSpaceDE w:val="0"/>
        <w:autoSpaceDN w:val="0"/>
        <w:adjustRightInd w:val="0"/>
        <w:ind w:right="-28"/>
        <w:rPr>
          <w:rFonts w:cs="Tahoma"/>
          <w:bCs/>
          <w:i/>
          <w:szCs w:val="22"/>
        </w:rPr>
      </w:pPr>
    </w:p>
    <w:p w14:paraId="198E7D7B" w14:textId="3AAE7453" w:rsidR="007019CA" w:rsidRPr="00BB42E0" w:rsidRDefault="004F4DD8" w:rsidP="00BB42E0">
      <w:pPr>
        <w:pStyle w:val="Ttulo3"/>
      </w:pPr>
      <w:bookmarkStart w:id="6" w:name="_Toc181795779"/>
      <w:r w:rsidRPr="00BB42E0">
        <w:t xml:space="preserve">b) </w:t>
      </w:r>
      <w:r w:rsidR="007019CA" w:rsidRPr="00BB42E0">
        <w:t>Turno de las solicitudes de información</w:t>
      </w:r>
      <w:bookmarkEnd w:id="6"/>
    </w:p>
    <w:p w14:paraId="238316D3" w14:textId="46557851" w:rsidR="007019CA" w:rsidRPr="00BB42E0" w:rsidRDefault="007019CA" w:rsidP="00BB42E0">
      <w:pPr>
        <w:rPr>
          <w:bCs/>
        </w:rPr>
      </w:pPr>
      <w:r w:rsidRPr="00BB42E0">
        <w:rPr>
          <w:rFonts w:cs="Arial"/>
        </w:rPr>
        <w:t>En cumplimiento al artículo 162 de la Ley de Transparencia y Acceso a la Información Pública del Estado de México y Municipios, el</w:t>
      </w:r>
      <w:r w:rsidRPr="00BB42E0">
        <w:rPr>
          <w:rFonts w:cs="Arial"/>
          <w:b/>
        </w:rPr>
        <w:t xml:space="preserve"> trece de septiembre de dos mil </w:t>
      </w:r>
      <w:r w:rsidRPr="00BB42E0">
        <w:rPr>
          <w:b/>
        </w:rPr>
        <w:t>veinticuatro</w:t>
      </w:r>
      <w:r w:rsidRPr="00BB42E0">
        <w:rPr>
          <w:rFonts w:cs="Arial"/>
        </w:rPr>
        <w:t xml:space="preserve">, el Titular de la Unidad de Transparencia del </w:t>
      </w:r>
      <w:r w:rsidRPr="00BB42E0">
        <w:rPr>
          <w:rFonts w:cs="Arial"/>
          <w:b/>
        </w:rPr>
        <w:t>SUJETO OBLIGADO</w:t>
      </w:r>
      <w:r w:rsidRPr="00BB42E0">
        <w:rPr>
          <w:rFonts w:cs="Arial"/>
        </w:rPr>
        <w:t xml:space="preserve">, </w:t>
      </w:r>
      <w:r w:rsidRPr="00BB42E0">
        <w:rPr>
          <w:bCs/>
        </w:rPr>
        <w:t>turnó los requerimiento de información al servidor públicos habilitado que estimo pertinente, a fin de colmar la solicitud de acceso a la información.</w:t>
      </w:r>
    </w:p>
    <w:p w14:paraId="357647CA" w14:textId="77777777" w:rsidR="007019CA" w:rsidRPr="00BB42E0" w:rsidRDefault="007019CA" w:rsidP="00BB42E0">
      <w:pPr>
        <w:autoSpaceDE w:val="0"/>
        <w:autoSpaceDN w:val="0"/>
        <w:adjustRightInd w:val="0"/>
        <w:ind w:right="-28"/>
        <w:rPr>
          <w:rFonts w:cs="Tahoma"/>
          <w:bCs/>
          <w:i/>
          <w:szCs w:val="22"/>
        </w:rPr>
      </w:pPr>
    </w:p>
    <w:p w14:paraId="3212BA4D" w14:textId="1D686B5F" w:rsidR="00664420" w:rsidRPr="00BB42E0" w:rsidRDefault="004F4DD8" w:rsidP="00BB42E0">
      <w:pPr>
        <w:pStyle w:val="Ttulo3"/>
        <w:rPr>
          <w:rFonts w:eastAsia="Calibri"/>
          <w:lang w:eastAsia="en-US"/>
        </w:rPr>
      </w:pPr>
      <w:bookmarkStart w:id="7" w:name="_Toc181795780"/>
      <w:r w:rsidRPr="00BB42E0">
        <w:t>c</w:t>
      </w:r>
      <w:r w:rsidR="00E37A3F" w:rsidRPr="00BB42E0">
        <w:t xml:space="preserve">) </w:t>
      </w:r>
      <w:r w:rsidR="00664420" w:rsidRPr="00BB42E0">
        <w:rPr>
          <w:lang w:val="es-ES"/>
        </w:rPr>
        <w:t>Respuesta</w:t>
      </w:r>
      <w:r w:rsidR="008F2666" w:rsidRPr="00BB42E0">
        <w:rPr>
          <w:lang w:val="es-ES"/>
        </w:rPr>
        <w:t>s</w:t>
      </w:r>
      <w:r w:rsidR="00664420" w:rsidRPr="00BB42E0">
        <w:rPr>
          <w:lang w:val="es-ES"/>
        </w:rPr>
        <w:t xml:space="preserve"> </w:t>
      </w:r>
      <w:r w:rsidR="00664420" w:rsidRPr="00BB42E0">
        <w:rPr>
          <w:rFonts w:eastAsia="Calibri"/>
          <w:lang w:eastAsia="en-US"/>
        </w:rPr>
        <w:t>del Sujeto Obligado</w:t>
      </w:r>
      <w:bookmarkEnd w:id="7"/>
    </w:p>
    <w:p w14:paraId="2143017E" w14:textId="5FDE7CB7" w:rsidR="00BA1AB6" w:rsidRPr="00BB42E0" w:rsidRDefault="003B0255" w:rsidP="00BB42E0">
      <w:pPr>
        <w:rPr>
          <w:lang w:val="es-ES"/>
        </w:rPr>
      </w:pPr>
      <w:r w:rsidRPr="00BB42E0">
        <w:rPr>
          <w:lang w:val="es-ES"/>
        </w:rPr>
        <w:t xml:space="preserve">El </w:t>
      </w:r>
      <w:r w:rsidR="007019CA" w:rsidRPr="00BB42E0">
        <w:rPr>
          <w:b/>
          <w:bCs/>
          <w:lang w:val="es-ES"/>
        </w:rPr>
        <w:t>tres y cuatro de octubre de</w:t>
      </w:r>
      <w:r w:rsidRPr="00BB42E0">
        <w:rPr>
          <w:b/>
          <w:bCs/>
          <w:lang w:val="es-ES"/>
        </w:rPr>
        <w:t xml:space="preserve"> dos mil veinticuatro</w:t>
      </w:r>
      <w:r w:rsidRPr="00BB42E0">
        <w:rPr>
          <w:lang w:val="es-ES"/>
        </w:rPr>
        <w:t xml:space="preserve">, el Titular de la Unidad de Transparencia del </w:t>
      </w:r>
      <w:r w:rsidRPr="00BB42E0">
        <w:rPr>
          <w:b/>
          <w:lang w:val="es-ES"/>
        </w:rPr>
        <w:t>SUJETO OBLIGADO</w:t>
      </w:r>
      <w:r w:rsidRPr="00BB42E0">
        <w:rPr>
          <w:lang w:val="es-ES"/>
        </w:rPr>
        <w:t xml:space="preserve"> notificó la</w:t>
      </w:r>
      <w:r w:rsidR="008F2666" w:rsidRPr="00BB42E0">
        <w:rPr>
          <w:lang w:val="es-ES"/>
        </w:rPr>
        <w:t>s</w:t>
      </w:r>
      <w:r w:rsidRPr="00BB42E0">
        <w:rPr>
          <w:lang w:val="es-ES"/>
        </w:rPr>
        <w:t xml:space="preserve"> siguiente</w:t>
      </w:r>
      <w:r w:rsidR="008F2666" w:rsidRPr="00BB42E0">
        <w:rPr>
          <w:lang w:val="es-ES"/>
        </w:rPr>
        <w:t>s</w:t>
      </w:r>
      <w:r w:rsidRPr="00BB42E0">
        <w:rPr>
          <w:lang w:val="es-ES"/>
        </w:rPr>
        <w:t xml:space="preserve"> respuesta</w:t>
      </w:r>
      <w:r w:rsidR="008F2666" w:rsidRPr="00BB42E0">
        <w:rPr>
          <w:lang w:val="es-ES"/>
        </w:rPr>
        <w:t>s</w:t>
      </w:r>
      <w:r w:rsidRPr="00BB42E0">
        <w:rPr>
          <w:lang w:val="es-ES"/>
        </w:rPr>
        <w:t xml:space="preserve"> a través del </w:t>
      </w:r>
      <w:r w:rsidRPr="00BB42E0">
        <w:rPr>
          <w:b/>
          <w:lang w:val="es-ES"/>
        </w:rPr>
        <w:t>SAIMEX</w:t>
      </w:r>
      <w:r w:rsidRPr="00BB42E0">
        <w:rPr>
          <w:lang w:val="es-ES"/>
        </w:rPr>
        <w:t>:</w:t>
      </w:r>
    </w:p>
    <w:p w14:paraId="64166B4B" w14:textId="77777777" w:rsidR="003B0255" w:rsidRPr="00BB42E0" w:rsidRDefault="003B0255" w:rsidP="00BB42E0"/>
    <w:p w14:paraId="464B195E" w14:textId="77777777" w:rsidR="007019CA" w:rsidRPr="00BB42E0" w:rsidRDefault="007019CA" w:rsidP="00BB42E0">
      <w:pPr>
        <w:tabs>
          <w:tab w:val="left" w:pos="4667"/>
        </w:tabs>
        <w:ind w:right="567"/>
        <w:rPr>
          <w:rFonts w:cs="Tahoma"/>
          <w:b/>
          <w:bCs/>
        </w:rPr>
      </w:pPr>
      <w:r w:rsidRPr="00BB42E0">
        <w:rPr>
          <w:rFonts w:cs="Tahoma"/>
          <w:b/>
          <w:bCs/>
        </w:rPr>
        <w:t>Solicitud con número de folio 00083/TEZOYUCA/IP/2024</w:t>
      </w:r>
    </w:p>
    <w:p w14:paraId="4A18FC98" w14:textId="77777777" w:rsidR="007019CA" w:rsidRPr="00BB42E0" w:rsidRDefault="007019CA" w:rsidP="00BB42E0">
      <w:pPr>
        <w:tabs>
          <w:tab w:val="left" w:pos="4667"/>
        </w:tabs>
        <w:ind w:right="567"/>
        <w:rPr>
          <w:rFonts w:cs="Tahoma"/>
          <w:b/>
          <w:bCs/>
        </w:rPr>
      </w:pPr>
    </w:p>
    <w:p w14:paraId="2CD28B86" w14:textId="77777777" w:rsidR="007019CA" w:rsidRPr="00BB42E0" w:rsidRDefault="007019CA" w:rsidP="00BB42E0">
      <w:pPr>
        <w:pStyle w:val="Puesto"/>
      </w:pPr>
      <w:r w:rsidRPr="00BB42E0">
        <w:t>“En respuesta a la solicitud recibida, nos permitimos hacer de su conocimiento que con fundamento en el artículo 53, Fracciones: II, V y VI de la Ley de Transparencia y Acceso a la Información Pública del Estado de México y Municipios, le contestamos que:</w:t>
      </w:r>
    </w:p>
    <w:p w14:paraId="25A42C75" w14:textId="77777777" w:rsidR="007019CA" w:rsidRPr="00BB42E0" w:rsidRDefault="007019CA" w:rsidP="00BB42E0"/>
    <w:p w14:paraId="243F61D5" w14:textId="77777777" w:rsidR="007019CA" w:rsidRPr="00BB42E0" w:rsidRDefault="007019CA" w:rsidP="00BB42E0">
      <w:pPr>
        <w:pStyle w:val="Puesto"/>
      </w:pPr>
      <w:r w:rsidRPr="00BB42E0">
        <w:t xml:space="preserve">La que suscribe, Lic. Mayra Patricia </w:t>
      </w:r>
      <w:proofErr w:type="spellStart"/>
      <w:r w:rsidRPr="00BB42E0">
        <w:t>Capistran</w:t>
      </w:r>
      <w:proofErr w:type="spellEnd"/>
      <w:r w:rsidRPr="00BB42E0">
        <w:t xml:space="preserve"> Estrada, Directora de la Unidad de Transparencia del H. Ayuntamiento de Tezoyuca, Estado de México; por medio de la presente me permito informarle que esta Unidad realizó lo pertinente para dar una debida </w:t>
      </w:r>
      <w:r w:rsidRPr="00BB42E0">
        <w:lastRenderedPageBreak/>
        <w:t>contestación en tiempo y forma, pero hasta el momento su solicitud sigue en trámite. Sin más por el momento, me despido de Usted, quedando a sus órdenes.</w:t>
      </w:r>
    </w:p>
    <w:p w14:paraId="264A386E" w14:textId="77777777" w:rsidR="007019CA" w:rsidRPr="00BB42E0" w:rsidRDefault="007019CA" w:rsidP="00BB42E0"/>
    <w:p w14:paraId="2E98ED2A" w14:textId="77777777" w:rsidR="007019CA" w:rsidRPr="00BB42E0" w:rsidRDefault="007019CA" w:rsidP="00BB42E0">
      <w:pPr>
        <w:pStyle w:val="Puesto"/>
      </w:pPr>
      <w:r w:rsidRPr="00BB42E0">
        <w:t>ATENTAMENTE</w:t>
      </w:r>
    </w:p>
    <w:p w14:paraId="0863A915" w14:textId="77777777" w:rsidR="007019CA" w:rsidRPr="00BB42E0" w:rsidRDefault="007019CA" w:rsidP="00BB42E0"/>
    <w:p w14:paraId="3B9F3E11" w14:textId="3BCF345B" w:rsidR="007019CA" w:rsidRPr="00BB42E0" w:rsidRDefault="007019CA" w:rsidP="00BB42E0">
      <w:pPr>
        <w:pStyle w:val="Puesto"/>
      </w:pPr>
      <w:r w:rsidRPr="00BB42E0">
        <w:t xml:space="preserve">Lic. Mayra Patricia </w:t>
      </w:r>
      <w:proofErr w:type="spellStart"/>
      <w:r w:rsidRPr="00BB42E0">
        <w:t>Capistran</w:t>
      </w:r>
      <w:proofErr w:type="spellEnd"/>
      <w:r w:rsidRPr="00BB42E0">
        <w:t xml:space="preserve"> Estrada” (sic) </w:t>
      </w:r>
    </w:p>
    <w:p w14:paraId="671CECC3" w14:textId="77777777" w:rsidR="007019CA" w:rsidRPr="00BB42E0" w:rsidRDefault="007019CA" w:rsidP="00BB42E0">
      <w:pPr>
        <w:tabs>
          <w:tab w:val="left" w:pos="4667"/>
        </w:tabs>
        <w:ind w:right="567"/>
        <w:rPr>
          <w:rFonts w:cs="Tahoma"/>
          <w:b/>
          <w:bCs/>
        </w:rPr>
      </w:pPr>
    </w:p>
    <w:p w14:paraId="5BB3E5D5" w14:textId="77777777" w:rsidR="007019CA" w:rsidRPr="00BB42E0" w:rsidRDefault="007019CA" w:rsidP="00BB42E0">
      <w:pPr>
        <w:tabs>
          <w:tab w:val="left" w:pos="4667"/>
        </w:tabs>
        <w:ind w:right="567"/>
        <w:rPr>
          <w:rFonts w:cs="Tahoma"/>
          <w:b/>
          <w:bCs/>
        </w:rPr>
      </w:pPr>
      <w:r w:rsidRPr="00BB42E0">
        <w:rPr>
          <w:rFonts w:cs="Tahoma"/>
          <w:b/>
          <w:bCs/>
        </w:rPr>
        <w:t>Solicitud con número de folio 00098/TEZOYUCA/IP/2024</w:t>
      </w:r>
    </w:p>
    <w:p w14:paraId="1F84F2EC" w14:textId="77777777" w:rsidR="007019CA" w:rsidRPr="00BB42E0" w:rsidRDefault="007019CA" w:rsidP="00BB42E0">
      <w:pPr>
        <w:tabs>
          <w:tab w:val="left" w:pos="4667"/>
        </w:tabs>
        <w:ind w:right="567"/>
        <w:rPr>
          <w:rFonts w:cs="Tahoma"/>
          <w:b/>
          <w:bCs/>
        </w:rPr>
      </w:pPr>
    </w:p>
    <w:p w14:paraId="6563B48D" w14:textId="77777777" w:rsidR="007019CA" w:rsidRPr="00BB42E0" w:rsidRDefault="007019CA" w:rsidP="00BB42E0">
      <w:pPr>
        <w:pStyle w:val="Puesto"/>
      </w:pPr>
      <w:r w:rsidRPr="00BB42E0">
        <w:t>“En respuesta a la solicitud recibida, nos permitimos hacer de su conocimiento que con fundamento en el artículo 53, Fracciones: II, V y VI de la Ley de Transparencia y Acceso a la Información Pública del Estado de México y Municipios, le contestamos que:</w:t>
      </w:r>
    </w:p>
    <w:p w14:paraId="628513C7" w14:textId="77777777" w:rsidR="007019CA" w:rsidRPr="00BB42E0" w:rsidRDefault="007019CA" w:rsidP="00BB42E0"/>
    <w:p w14:paraId="3D128161" w14:textId="77777777" w:rsidR="007019CA" w:rsidRPr="00BB42E0" w:rsidRDefault="007019CA" w:rsidP="00BB42E0">
      <w:pPr>
        <w:pStyle w:val="Puesto"/>
      </w:pPr>
      <w:r w:rsidRPr="00BB42E0">
        <w:t xml:space="preserve">LA que suscribe </w:t>
      </w:r>
      <w:proofErr w:type="spellStart"/>
      <w:r w:rsidRPr="00BB42E0">
        <w:t>LIc.</w:t>
      </w:r>
      <w:proofErr w:type="spellEnd"/>
      <w:r w:rsidRPr="00BB42E0">
        <w:t xml:space="preserve"> Mayra Patricia </w:t>
      </w:r>
      <w:proofErr w:type="spellStart"/>
      <w:r w:rsidRPr="00BB42E0">
        <w:t>Capistran</w:t>
      </w:r>
      <w:proofErr w:type="spellEnd"/>
      <w:r w:rsidRPr="00BB42E0">
        <w:t xml:space="preserve"> Estrada, en mi </w:t>
      </w:r>
      <w:proofErr w:type="spellStart"/>
      <w:r w:rsidRPr="00BB42E0">
        <w:t>caracter</w:t>
      </w:r>
      <w:proofErr w:type="spellEnd"/>
      <w:r w:rsidRPr="00BB42E0">
        <w:t xml:space="preserve"> de Directora de la Unidad de Transparencia, por medio de la presente le informo que a </w:t>
      </w:r>
      <w:proofErr w:type="spellStart"/>
      <w:r w:rsidRPr="00BB42E0">
        <w:t>traés</w:t>
      </w:r>
      <w:proofErr w:type="spellEnd"/>
      <w:r w:rsidRPr="00BB42E0">
        <w:t xml:space="preserve"> de archivo adjunto se ha dado contestación a su solicitud de información por el servidor público habilitado.</w:t>
      </w:r>
    </w:p>
    <w:p w14:paraId="2654A9C3" w14:textId="77777777" w:rsidR="007019CA" w:rsidRPr="00BB42E0" w:rsidRDefault="007019CA" w:rsidP="00BB42E0"/>
    <w:p w14:paraId="09FA3F42" w14:textId="77777777" w:rsidR="007019CA" w:rsidRPr="00BB42E0" w:rsidRDefault="007019CA" w:rsidP="00BB42E0">
      <w:pPr>
        <w:pStyle w:val="Puesto"/>
      </w:pPr>
      <w:r w:rsidRPr="00BB42E0">
        <w:t>ATENTAMENTE</w:t>
      </w:r>
    </w:p>
    <w:p w14:paraId="190169F8" w14:textId="77777777" w:rsidR="007019CA" w:rsidRPr="00BB42E0" w:rsidRDefault="007019CA" w:rsidP="00BB42E0"/>
    <w:p w14:paraId="4A6819B5" w14:textId="6059725C" w:rsidR="007019CA" w:rsidRPr="00BB42E0" w:rsidRDefault="007019CA" w:rsidP="00BB42E0">
      <w:pPr>
        <w:pStyle w:val="Puesto"/>
      </w:pPr>
      <w:r w:rsidRPr="00BB42E0">
        <w:t xml:space="preserve">Lic. Mayra Patricia </w:t>
      </w:r>
      <w:proofErr w:type="spellStart"/>
      <w:r w:rsidRPr="00BB42E0">
        <w:t>Capistran</w:t>
      </w:r>
      <w:proofErr w:type="spellEnd"/>
      <w:r w:rsidRPr="00BB42E0">
        <w:t xml:space="preserve"> Estrada” (sic) </w:t>
      </w:r>
    </w:p>
    <w:p w14:paraId="16AF03A8" w14:textId="77777777" w:rsidR="007019CA" w:rsidRPr="00BB42E0" w:rsidRDefault="007019CA" w:rsidP="00BB42E0">
      <w:pPr>
        <w:tabs>
          <w:tab w:val="left" w:pos="4667"/>
        </w:tabs>
        <w:ind w:right="567"/>
        <w:rPr>
          <w:rFonts w:cs="Tahoma"/>
          <w:b/>
          <w:bCs/>
        </w:rPr>
      </w:pPr>
    </w:p>
    <w:p w14:paraId="50938466" w14:textId="77777777" w:rsidR="007019CA" w:rsidRPr="00BB42E0" w:rsidRDefault="007019CA" w:rsidP="00BB42E0"/>
    <w:p w14:paraId="3E65098C" w14:textId="476E66A8" w:rsidR="009A05A8" w:rsidRPr="00BB42E0" w:rsidRDefault="003B0255" w:rsidP="00BB42E0">
      <w:pPr>
        <w:autoSpaceDE w:val="0"/>
        <w:autoSpaceDN w:val="0"/>
        <w:adjustRightInd w:val="0"/>
        <w:ind w:right="-28"/>
        <w:rPr>
          <w:rFonts w:cs="Tahoma"/>
          <w:szCs w:val="22"/>
          <w:lang w:val="es-ES"/>
        </w:rPr>
      </w:pPr>
      <w:r w:rsidRPr="00BB42E0">
        <w:rPr>
          <w:rFonts w:cs="Tahoma"/>
          <w:bCs/>
          <w:szCs w:val="22"/>
          <w:lang w:val="es-ES"/>
        </w:rPr>
        <w:t xml:space="preserve">Asimismo, </w:t>
      </w:r>
      <w:r w:rsidRPr="00BB42E0">
        <w:rPr>
          <w:rFonts w:cs="Tahoma"/>
          <w:b/>
          <w:szCs w:val="22"/>
          <w:lang w:val="es-ES"/>
        </w:rPr>
        <w:t xml:space="preserve">EL SUJETO OBLIGADO </w:t>
      </w:r>
      <w:r w:rsidRPr="00BB42E0">
        <w:rPr>
          <w:rFonts w:cs="Tahoma"/>
          <w:bCs/>
          <w:szCs w:val="22"/>
          <w:lang w:val="es-ES"/>
        </w:rPr>
        <w:t xml:space="preserve">adjuntó a su respuesta </w:t>
      </w:r>
      <w:r w:rsidR="007019CA" w:rsidRPr="00BB42E0">
        <w:rPr>
          <w:rFonts w:cs="Tahoma"/>
          <w:bCs/>
          <w:szCs w:val="22"/>
          <w:lang w:val="es-ES"/>
        </w:rPr>
        <w:t>e</w:t>
      </w:r>
      <w:r w:rsidR="009A05A8" w:rsidRPr="00BB42E0">
        <w:rPr>
          <w:rFonts w:cs="Tahoma"/>
          <w:bCs/>
          <w:szCs w:val="22"/>
          <w:lang w:val="es-ES"/>
        </w:rPr>
        <w:t>l</w:t>
      </w:r>
      <w:r w:rsidR="008F2666" w:rsidRPr="00BB42E0">
        <w:rPr>
          <w:rFonts w:cs="Tahoma"/>
          <w:bCs/>
          <w:szCs w:val="22"/>
          <w:lang w:val="es-ES"/>
        </w:rPr>
        <w:t xml:space="preserve"> archivo</w:t>
      </w:r>
      <w:r w:rsidR="007019CA" w:rsidRPr="00BB42E0">
        <w:rPr>
          <w:rFonts w:cs="Tahoma"/>
          <w:bCs/>
          <w:szCs w:val="22"/>
          <w:lang w:val="es-ES"/>
        </w:rPr>
        <w:t xml:space="preserve"> electrónico denominado </w:t>
      </w:r>
      <w:r w:rsidR="009A05A8" w:rsidRPr="00BB42E0">
        <w:rPr>
          <w:rFonts w:cs="Tahoma"/>
          <w:b/>
          <w:i/>
          <w:szCs w:val="22"/>
          <w:lang w:val="es-ES"/>
        </w:rPr>
        <w:t xml:space="preserve">DIF NOMINA 2024.pdf, </w:t>
      </w:r>
      <w:r w:rsidR="009A05A8" w:rsidRPr="00BB42E0">
        <w:rPr>
          <w:rFonts w:cs="Tahoma"/>
          <w:szCs w:val="22"/>
          <w:lang w:val="es-ES"/>
        </w:rPr>
        <w:t xml:space="preserve">el cual contiene </w:t>
      </w:r>
      <w:r w:rsidR="00276F7D" w:rsidRPr="00BB42E0">
        <w:rPr>
          <w:rFonts w:cs="Tahoma"/>
          <w:szCs w:val="22"/>
          <w:lang w:val="es-ES"/>
        </w:rPr>
        <w:t xml:space="preserve">diversos recibos de nómina de servidores públicos del Sistema Municipal para el Desarrollo Integral de la Familia, correspondientes a la primera quincena de enero a agosto de dos mil veinticuatro. </w:t>
      </w:r>
    </w:p>
    <w:p w14:paraId="5A5DAB9E" w14:textId="77777777" w:rsidR="00E37A3F" w:rsidRPr="00BB42E0" w:rsidRDefault="00E37A3F" w:rsidP="00BB42E0">
      <w:pPr>
        <w:pStyle w:val="Ttulo2"/>
        <w:jc w:val="left"/>
      </w:pPr>
      <w:bookmarkStart w:id="8" w:name="_Toc181795781"/>
      <w:r w:rsidRPr="00BB42E0">
        <w:lastRenderedPageBreak/>
        <w:t>DEL RECURSO DE REVISIÓN</w:t>
      </w:r>
      <w:bookmarkEnd w:id="8"/>
    </w:p>
    <w:p w14:paraId="2B216813" w14:textId="61ADBB2B" w:rsidR="00664420" w:rsidRPr="00BB42E0" w:rsidRDefault="006E25BC" w:rsidP="00BB42E0">
      <w:pPr>
        <w:pStyle w:val="Ttulo3"/>
      </w:pPr>
      <w:bookmarkStart w:id="9" w:name="_Toc181795782"/>
      <w:r w:rsidRPr="00BB42E0">
        <w:rPr>
          <w:szCs w:val="32"/>
        </w:rPr>
        <w:t>a)</w:t>
      </w:r>
      <w:r w:rsidRPr="00BB42E0">
        <w:t xml:space="preserve"> </w:t>
      </w:r>
      <w:r w:rsidR="00664420" w:rsidRPr="00BB42E0">
        <w:t>Interposición del Recurso de Revisión</w:t>
      </w:r>
      <w:bookmarkEnd w:id="9"/>
    </w:p>
    <w:p w14:paraId="6279C622" w14:textId="56BC6A63" w:rsidR="00664420" w:rsidRPr="00BB42E0" w:rsidRDefault="00664420" w:rsidP="00BB42E0">
      <w:pPr>
        <w:autoSpaceDE w:val="0"/>
        <w:autoSpaceDN w:val="0"/>
        <w:adjustRightInd w:val="0"/>
        <w:ind w:right="-28"/>
        <w:rPr>
          <w:rFonts w:cs="Tahoma"/>
          <w:szCs w:val="22"/>
        </w:rPr>
      </w:pPr>
      <w:r w:rsidRPr="00BB42E0">
        <w:rPr>
          <w:rFonts w:cs="Tahoma"/>
          <w:szCs w:val="22"/>
        </w:rPr>
        <w:t xml:space="preserve">El </w:t>
      </w:r>
      <w:r w:rsidR="00FE107E" w:rsidRPr="00BB42E0">
        <w:rPr>
          <w:rFonts w:cs="Tahoma"/>
          <w:b/>
          <w:bCs/>
          <w:szCs w:val="22"/>
        </w:rPr>
        <w:t>siete de octubre d</w:t>
      </w:r>
      <w:r w:rsidRPr="00BB42E0">
        <w:rPr>
          <w:rFonts w:cs="Tahoma"/>
          <w:b/>
          <w:bCs/>
          <w:szCs w:val="22"/>
        </w:rPr>
        <w:t>e dos mil</w:t>
      </w:r>
      <w:r w:rsidR="00F45902" w:rsidRPr="00BB42E0">
        <w:rPr>
          <w:rFonts w:cs="Tahoma"/>
          <w:b/>
          <w:bCs/>
          <w:szCs w:val="22"/>
        </w:rPr>
        <w:t xml:space="preserve"> veinticuatro</w:t>
      </w:r>
      <w:r w:rsidR="00FE107E" w:rsidRPr="00BB42E0">
        <w:rPr>
          <w:rStyle w:val="Refdenotaalpie"/>
          <w:rFonts w:cs="Tahoma"/>
          <w:b/>
          <w:bCs/>
          <w:szCs w:val="22"/>
        </w:rPr>
        <w:footnoteReference w:id="1"/>
      </w:r>
      <w:r w:rsidRPr="00BB42E0">
        <w:rPr>
          <w:rFonts w:cs="Tahoma"/>
          <w:szCs w:val="22"/>
        </w:rPr>
        <w:t xml:space="preserve"> </w:t>
      </w:r>
      <w:r w:rsidR="00F75D23" w:rsidRPr="00BB42E0">
        <w:rPr>
          <w:rFonts w:cs="Tahoma"/>
          <w:b/>
          <w:bCs/>
          <w:szCs w:val="22"/>
        </w:rPr>
        <w:t>LA PARTE RECURRENTE</w:t>
      </w:r>
      <w:r w:rsidR="00F75D23" w:rsidRPr="00BB42E0">
        <w:rPr>
          <w:rFonts w:cs="Tahoma"/>
          <w:szCs w:val="22"/>
        </w:rPr>
        <w:t xml:space="preserve"> interpuso </w:t>
      </w:r>
      <w:r w:rsidR="0068301E" w:rsidRPr="00BB42E0">
        <w:rPr>
          <w:rFonts w:cs="Tahoma"/>
          <w:szCs w:val="22"/>
        </w:rPr>
        <w:t>los</w:t>
      </w:r>
      <w:r w:rsidR="00F75D23" w:rsidRPr="00BB42E0">
        <w:rPr>
          <w:rFonts w:cs="Tahoma"/>
          <w:szCs w:val="22"/>
        </w:rPr>
        <w:t xml:space="preserve"> recurso</w:t>
      </w:r>
      <w:r w:rsidR="0068301E" w:rsidRPr="00BB42E0">
        <w:rPr>
          <w:rFonts w:cs="Tahoma"/>
          <w:szCs w:val="22"/>
        </w:rPr>
        <w:t>s</w:t>
      </w:r>
      <w:r w:rsidR="00F75D23" w:rsidRPr="00BB42E0">
        <w:rPr>
          <w:rFonts w:cs="Tahoma"/>
          <w:szCs w:val="22"/>
        </w:rPr>
        <w:t xml:space="preserve"> de revisión en contra de la</w:t>
      </w:r>
      <w:r w:rsidR="0068301E" w:rsidRPr="00BB42E0">
        <w:rPr>
          <w:rFonts w:cs="Tahoma"/>
          <w:szCs w:val="22"/>
        </w:rPr>
        <w:t>s</w:t>
      </w:r>
      <w:r w:rsidR="00F75D23" w:rsidRPr="00BB42E0">
        <w:rPr>
          <w:rFonts w:cs="Tahoma"/>
          <w:szCs w:val="22"/>
        </w:rPr>
        <w:t xml:space="preserve"> respuesta</w:t>
      </w:r>
      <w:r w:rsidR="0068301E" w:rsidRPr="00BB42E0">
        <w:rPr>
          <w:rFonts w:cs="Tahoma"/>
          <w:szCs w:val="22"/>
        </w:rPr>
        <w:t>s</w:t>
      </w:r>
      <w:r w:rsidR="00F75D23" w:rsidRPr="00BB42E0">
        <w:rPr>
          <w:rFonts w:cs="Tahoma"/>
          <w:szCs w:val="22"/>
        </w:rPr>
        <w:t xml:space="preserve"> emitida</w:t>
      </w:r>
      <w:r w:rsidR="0068301E" w:rsidRPr="00BB42E0">
        <w:rPr>
          <w:rFonts w:cs="Tahoma"/>
          <w:szCs w:val="22"/>
        </w:rPr>
        <w:t>s</w:t>
      </w:r>
      <w:r w:rsidR="00F75D23" w:rsidRPr="00BB42E0">
        <w:rPr>
          <w:rFonts w:cs="Tahoma"/>
          <w:szCs w:val="22"/>
        </w:rPr>
        <w:t xml:space="preserve"> por el </w:t>
      </w:r>
      <w:r w:rsidR="00F75D23" w:rsidRPr="00BB42E0">
        <w:rPr>
          <w:rFonts w:cs="Tahoma"/>
          <w:b/>
          <w:bCs/>
          <w:szCs w:val="22"/>
        </w:rPr>
        <w:t>SUJETO OBLIGADO</w:t>
      </w:r>
      <w:r w:rsidR="00953430" w:rsidRPr="00BB42E0">
        <w:rPr>
          <w:rFonts w:cs="Tahoma"/>
          <w:szCs w:val="22"/>
        </w:rPr>
        <w:t>, mismo</w:t>
      </w:r>
      <w:r w:rsidR="0068301E" w:rsidRPr="00BB42E0">
        <w:rPr>
          <w:rFonts w:cs="Tahoma"/>
          <w:szCs w:val="22"/>
        </w:rPr>
        <w:t>s</w:t>
      </w:r>
      <w:r w:rsidR="00953430" w:rsidRPr="00BB42E0">
        <w:rPr>
          <w:rFonts w:cs="Tahoma"/>
          <w:szCs w:val="22"/>
        </w:rPr>
        <w:t xml:space="preserve"> que fue</w:t>
      </w:r>
      <w:r w:rsidR="0068301E" w:rsidRPr="00BB42E0">
        <w:rPr>
          <w:rFonts w:cs="Tahoma"/>
          <w:szCs w:val="22"/>
        </w:rPr>
        <w:t>ron</w:t>
      </w:r>
      <w:r w:rsidR="00953430" w:rsidRPr="00BB42E0">
        <w:rPr>
          <w:rFonts w:cs="Tahoma"/>
          <w:szCs w:val="22"/>
        </w:rPr>
        <w:t xml:space="preserve"> registrado</w:t>
      </w:r>
      <w:r w:rsidR="0068301E" w:rsidRPr="00BB42E0">
        <w:rPr>
          <w:rFonts w:cs="Tahoma"/>
          <w:szCs w:val="22"/>
        </w:rPr>
        <w:t>s</w:t>
      </w:r>
      <w:r w:rsidR="00953430" w:rsidRPr="00BB42E0">
        <w:rPr>
          <w:rFonts w:cs="Tahoma"/>
          <w:szCs w:val="22"/>
        </w:rPr>
        <w:t xml:space="preserve"> en el </w:t>
      </w:r>
      <w:r w:rsidR="00953430" w:rsidRPr="00BB42E0">
        <w:rPr>
          <w:rFonts w:cs="Tahoma"/>
          <w:b/>
          <w:szCs w:val="22"/>
        </w:rPr>
        <w:t>SAIMEX</w:t>
      </w:r>
      <w:r w:rsidR="00953430" w:rsidRPr="00BB42E0">
        <w:rPr>
          <w:rFonts w:cs="Tahoma"/>
          <w:szCs w:val="22"/>
        </w:rPr>
        <w:t xml:space="preserve"> con </w:t>
      </w:r>
      <w:r w:rsidR="0068301E" w:rsidRPr="00BB42E0">
        <w:rPr>
          <w:rFonts w:cs="Tahoma"/>
          <w:szCs w:val="22"/>
        </w:rPr>
        <w:t>los</w:t>
      </w:r>
      <w:r w:rsidR="00953430" w:rsidRPr="00BB42E0">
        <w:rPr>
          <w:rFonts w:cs="Tahoma"/>
          <w:szCs w:val="22"/>
        </w:rPr>
        <w:t xml:space="preserve"> número</w:t>
      </w:r>
      <w:r w:rsidR="0068301E" w:rsidRPr="00BB42E0">
        <w:rPr>
          <w:rFonts w:cs="Tahoma"/>
          <w:szCs w:val="22"/>
        </w:rPr>
        <w:t>s</w:t>
      </w:r>
      <w:r w:rsidR="00953430" w:rsidRPr="00BB42E0">
        <w:rPr>
          <w:rFonts w:cs="Tahoma"/>
          <w:szCs w:val="22"/>
        </w:rPr>
        <w:t xml:space="preserve"> de expediente </w:t>
      </w:r>
      <w:r w:rsidR="0068301E" w:rsidRPr="00BB42E0">
        <w:rPr>
          <w:rFonts w:eastAsia="Calibri"/>
          <w:b/>
          <w:lang w:eastAsia="en-US"/>
        </w:rPr>
        <w:t>0</w:t>
      </w:r>
      <w:r w:rsidR="00FE107E" w:rsidRPr="00BB42E0">
        <w:rPr>
          <w:rFonts w:eastAsia="Calibri"/>
          <w:b/>
          <w:lang w:eastAsia="en-US"/>
        </w:rPr>
        <w:t>6027</w:t>
      </w:r>
      <w:r w:rsidR="0068301E" w:rsidRPr="00BB42E0">
        <w:rPr>
          <w:rFonts w:eastAsia="Calibri"/>
          <w:b/>
          <w:lang w:eastAsia="en-US"/>
        </w:rPr>
        <w:t xml:space="preserve">/INFOEM/IP/RR/2024 </w:t>
      </w:r>
      <w:r w:rsidR="0068301E" w:rsidRPr="00BB42E0">
        <w:rPr>
          <w:rFonts w:eastAsia="Calibri"/>
          <w:lang w:eastAsia="en-US"/>
        </w:rPr>
        <w:t>y</w:t>
      </w:r>
      <w:r w:rsidR="0068301E" w:rsidRPr="00BB42E0">
        <w:rPr>
          <w:rFonts w:eastAsia="Calibri"/>
          <w:b/>
          <w:lang w:eastAsia="en-US"/>
        </w:rPr>
        <w:t xml:space="preserve"> 0</w:t>
      </w:r>
      <w:r w:rsidR="00FE107E" w:rsidRPr="00BB42E0">
        <w:rPr>
          <w:rFonts w:eastAsia="Calibri"/>
          <w:b/>
          <w:lang w:eastAsia="en-US"/>
        </w:rPr>
        <w:t>6038</w:t>
      </w:r>
      <w:r w:rsidR="0068301E" w:rsidRPr="00BB42E0">
        <w:rPr>
          <w:rFonts w:eastAsia="Calibri"/>
          <w:b/>
          <w:lang w:eastAsia="en-US"/>
        </w:rPr>
        <w:t>/INFOEM/IP/RR/2024</w:t>
      </w:r>
      <w:r w:rsidR="00953430" w:rsidRPr="00BB42E0">
        <w:rPr>
          <w:rFonts w:cs="Tahoma"/>
          <w:szCs w:val="22"/>
        </w:rPr>
        <w:t>, en l</w:t>
      </w:r>
      <w:r w:rsidR="0068301E" w:rsidRPr="00BB42E0">
        <w:rPr>
          <w:rFonts w:cs="Tahoma"/>
          <w:szCs w:val="22"/>
        </w:rPr>
        <w:t>os</w:t>
      </w:r>
      <w:r w:rsidR="00953430" w:rsidRPr="00BB42E0">
        <w:rPr>
          <w:rFonts w:cs="Tahoma"/>
          <w:szCs w:val="22"/>
        </w:rPr>
        <w:t xml:space="preserve"> cual</w:t>
      </w:r>
      <w:r w:rsidR="0068301E" w:rsidRPr="00BB42E0">
        <w:rPr>
          <w:rFonts w:cs="Tahoma"/>
          <w:szCs w:val="22"/>
        </w:rPr>
        <w:t>es</w:t>
      </w:r>
      <w:r w:rsidR="00953430" w:rsidRPr="00BB42E0">
        <w:rPr>
          <w:rFonts w:cs="Tahoma"/>
          <w:szCs w:val="22"/>
        </w:rPr>
        <w:t xml:space="preserve"> manifiesta lo siguiente</w:t>
      </w:r>
      <w:r w:rsidRPr="00BB42E0">
        <w:rPr>
          <w:rFonts w:cs="Tahoma"/>
          <w:szCs w:val="22"/>
        </w:rPr>
        <w:t>:</w:t>
      </w:r>
    </w:p>
    <w:p w14:paraId="74B30008" w14:textId="77777777" w:rsidR="00664420" w:rsidRPr="00BB42E0" w:rsidRDefault="00664420" w:rsidP="00BB42E0">
      <w:pPr>
        <w:tabs>
          <w:tab w:val="left" w:pos="4667"/>
        </w:tabs>
        <w:ind w:right="539"/>
        <w:rPr>
          <w:rFonts w:cs="Tahoma"/>
          <w:szCs w:val="22"/>
        </w:rPr>
      </w:pPr>
    </w:p>
    <w:p w14:paraId="12153283" w14:textId="1227F722" w:rsidR="00664420" w:rsidRPr="00BB42E0" w:rsidRDefault="00664420" w:rsidP="00BB42E0">
      <w:pPr>
        <w:tabs>
          <w:tab w:val="left" w:pos="2637"/>
          <w:tab w:val="left" w:pos="4667"/>
        </w:tabs>
        <w:ind w:right="539"/>
        <w:rPr>
          <w:rFonts w:cs="Tahoma"/>
          <w:b/>
          <w:iCs/>
        </w:rPr>
      </w:pPr>
      <w:r w:rsidRPr="00BB42E0">
        <w:rPr>
          <w:rFonts w:cs="Tahoma"/>
          <w:b/>
          <w:iCs/>
        </w:rPr>
        <w:t>ACTO IMPUGNADO</w:t>
      </w:r>
      <w:r w:rsidR="0068301E" w:rsidRPr="00BB42E0">
        <w:rPr>
          <w:rFonts w:cs="Tahoma"/>
          <w:b/>
          <w:iCs/>
        </w:rPr>
        <w:t>; ASÍ COMO, RAZONES O MOTIVOS DE INCONFORMIDAD:</w:t>
      </w:r>
      <w:r w:rsidRPr="00BB42E0">
        <w:rPr>
          <w:rFonts w:cs="Tahoma"/>
          <w:b/>
          <w:iCs/>
        </w:rPr>
        <w:tab/>
      </w:r>
      <w:r w:rsidR="0068301E" w:rsidRPr="00BB42E0">
        <w:rPr>
          <w:rFonts w:cs="Tahoma"/>
          <w:b/>
          <w:iCs/>
        </w:rPr>
        <w:tab/>
      </w:r>
    </w:p>
    <w:p w14:paraId="177EE3D5" w14:textId="77777777" w:rsidR="00F45902" w:rsidRPr="00BB42E0" w:rsidRDefault="00F45902" w:rsidP="00BB42E0">
      <w:pPr>
        <w:pStyle w:val="Puesto"/>
      </w:pPr>
    </w:p>
    <w:p w14:paraId="523F8BF4" w14:textId="4E9C1265" w:rsidR="00664420" w:rsidRPr="00BB42E0" w:rsidRDefault="00F45902" w:rsidP="00BB42E0">
      <w:pPr>
        <w:pStyle w:val="Puesto"/>
      </w:pPr>
      <w:r w:rsidRPr="00BB42E0">
        <w:t>“</w:t>
      </w:r>
      <w:r w:rsidR="00FE107E" w:rsidRPr="00BB42E0">
        <w:t xml:space="preserve">No se hace entrega de la información tal y </w:t>
      </w:r>
      <w:proofErr w:type="spellStart"/>
      <w:r w:rsidR="00FE107E" w:rsidRPr="00BB42E0">
        <w:t>cuál.lo</w:t>
      </w:r>
      <w:proofErr w:type="spellEnd"/>
      <w:r w:rsidR="00FE107E" w:rsidRPr="00BB42E0">
        <w:t xml:space="preserve"> solicito en mi primer solicitud, ya que lo estoy solicitando vía </w:t>
      </w:r>
      <w:proofErr w:type="spellStart"/>
      <w:r w:rsidR="00FE107E" w:rsidRPr="00BB42E0">
        <w:t>saimex</w:t>
      </w:r>
      <w:proofErr w:type="spellEnd"/>
      <w:r w:rsidR="00FE107E" w:rsidRPr="00BB42E0">
        <w:t xml:space="preserve"> </w:t>
      </w:r>
      <w:proofErr w:type="spellStart"/>
      <w:r w:rsidR="00FE107E" w:rsidRPr="00BB42E0">
        <w:t>lastima</w:t>
      </w:r>
      <w:proofErr w:type="spellEnd"/>
      <w:r w:rsidR="00FE107E" w:rsidRPr="00BB42E0">
        <w:t xml:space="preserve"> que la titular de transparencia no sepa leer o evita entregar la información correctamente y asesora erróneamente al realizar un oficio que no tiene validez.</w:t>
      </w:r>
      <w:r w:rsidRPr="00BB42E0">
        <w:t>” (</w:t>
      </w:r>
      <w:proofErr w:type="gramStart"/>
      <w:r w:rsidRPr="00BB42E0">
        <w:t>sic</w:t>
      </w:r>
      <w:proofErr w:type="gramEnd"/>
      <w:r w:rsidRPr="00BB42E0">
        <w:t xml:space="preserve">) </w:t>
      </w:r>
    </w:p>
    <w:p w14:paraId="6AE8EA9A" w14:textId="77777777" w:rsidR="00664420" w:rsidRPr="00BB42E0" w:rsidRDefault="00664420" w:rsidP="00BB42E0">
      <w:pPr>
        <w:pStyle w:val="Puesto"/>
        <w:rPr>
          <w:bCs/>
        </w:rPr>
      </w:pPr>
    </w:p>
    <w:p w14:paraId="6804DEF1" w14:textId="3C4F6CB5" w:rsidR="00664420" w:rsidRPr="00BB42E0" w:rsidRDefault="006E25BC" w:rsidP="00BB42E0">
      <w:pPr>
        <w:pStyle w:val="Ttulo3"/>
      </w:pPr>
      <w:bookmarkStart w:id="10" w:name="_Toc181795783"/>
      <w:r w:rsidRPr="00BB42E0">
        <w:t>b</w:t>
      </w:r>
      <w:r w:rsidR="00664420" w:rsidRPr="00BB42E0">
        <w:t>) Turno del Recurso de Revisión</w:t>
      </w:r>
      <w:bookmarkEnd w:id="10"/>
    </w:p>
    <w:p w14:paraId="1173671B" w14:textId="6D2B312E" w:rsidR="00C72DAA" w:rsidRPr="00BB42E0" w:rsidRDefault="00C72DAA" w:rsidP="00BB42E0">
      <w:r w:rsidRPr="00BB42E0">
        <w:t>Con fundamento en el artículo 185, fracción I de la Ley de Transparencia y Acceso a la Información Pública del Estado de México y Municipios, el</w:t>
      </w:r>
      <w:r w:rsidRPr="00BB42E0">
        <w:rPr>
          <w:b/>
          <w:bCs/>
        </w:rPr>
        <w:t xml:space="preserve"> </w:t>
      </w:r>
      <w:r w:rsidR="00FE107E" w:rsidRPr="00BB42E0">
        <w:rPr>
          <w:rFonts w:eastAsia="Palatino Linotype" w:cs="Palatino Linotype"/>
          <w:b/>
        </w:rPr>
        <w:t xml:space="preserve">seis de octubre </w:t>
      </w:r>
      <w:r w:rsidRPr="00BB42E0">
        <w:rPr>
          <w:rFonts w:eastAsia="Palatino Linotype" w:cs="Palatino Linotype"/>
          <w:b/>
        </w:rPr>
        <w:t xml:space="preserve">de dos mil </w:t>
      </w:r>
      <w:r w:rsidR="00657603" w:rsidRPr="00BB42E0">
        <w:rPr>
          <w:rFonts w:eastAsia="Palatino Linotype" w:cs="Palatino Linotype"/>
          <w:b/>
        </w:rPr>
        <w:t xml:space="preserve">veinticuatro </w:t>
      </w:r>
      <w:r w:rsidRPr="00BB42E0">
        <w:t xml:space="preserve">se </w:t>
      </w:r>
      <w:r w:rsidR="00013A12" w:rsidRPr="00BB42E0">
        <w:t>tunaron a través del</w:t>
      </w:r>
      <w:r w:rsidR="00013A12" w:rsidRPr="00BB42E0">
        <w:rPr>
          <w:rFonts w:eastAsia="Arial Unicode MS"/>
        </w:rPr>
        <w:t xml:space="preserve"> </w:t>
      </w:r>
      <w:r w:rsidR="00013A12" w:rsidRPr="00BB42E0">
        <w:rPr>
          <w:rFonts w:eastAsia="Arial Unicode MS"/>
          <w:b/>
          <w:bCs/>
        </w:rPr>
        <w:t>SAIMEX</w:t>
      </w:r>
      <w:r w:rsidR="00013A12" w:rsidRPr="00BB42E0">
        <w:t xml:space="preserve"> el Recursos de Revisión </w:t>
      </w:r>
      <w:r w:rsidR="00013A12" w:rsidRPr="00BB42E0">
        <w:rPr>
          <w:rFonts w:eastAsia="Calibri"/>
          <w:b/>
          <w:lang w:eastAsia="en-US"/>
        </w:rPr>
        <w:t xml:space="preserve">06027/INFOEM/IP/RR/2024 </w:t>
      </w:r>
      <w:r w:rsidR="00013A12" w:rsidRPr="00BB42E0">
        <w:t>a la comisionada</w:t>
      </w:r>
      <w:r w:rsidR="00013A12" w:rsidRPr="00BB42E0">
        <w:rPr>
          <w:b/>
        </w:rPr>
        <w:t xml:space="preserve"> Sharon Cristina Morales Martínez</w:t>
      </w:r>
      <w:r w:rsidR="00013A12" w:rsidRPr="00BB42E0">
        <w:rPr>
          <w:rFonts w:eastAsia="Calibri"/>
          <w:b/>
          <w:lang w:eastAsia="en-US"/>
        </w:rPr>
        <w:t xml:space="preserve"> </w:t>
      </w:r>
      <w:r w:rsidR="00013A12" w:rsidRPr="00BB42E0">
        <w:rPr>
          <w:rFonts w:eastAsia="Calibri"/>
          <w:lang w:eastAsia="en-US"/>
        </w:rPr>
        <w:t>y</w:t>
      </w:r>
      <w:r w:rsidR="00013A12" w:rsidRPr="00BB42E0">
        <w:rPr>
          <w:rFonts w:eastAsia="Calibri"/>
          <w:b/>
          <w:lang w:eastAsia="en-US"/>
        </w:rPr>
        <w:t xml:space="preserve"> </w:t>
      </w:r>
      <w:r w:rsidR="00013A12" w:rsidRPr="00BB42E0">
        <w:rPr>
          <w:rFonts w:eastAsia="Calibri"/>
          <w:lang w:eastAsia="en-US"/>
        </w:rPr>
        <w:t xml:space="preserve">el Recurso de Revisión </w:t>
      </w:r>
      <w:r w:rsidR="00013A12" w:rsidRPr="00BB42E0">
        <w:rPr>
          <w:rFonts w:eastAsia="Calibri"/>
          <w:b/>
          <w:lang w:eastAsia="en-US"/>
        </w:rPr>
        <w:t xml:space="preserve">06038/INFOEM/IP/RR/2024 </w:t>
      </w:r>
      <w:r w:rsidR="00013A12" w:rsidRPr="00BB42E0">
        <w:rPr>
          <w:rFonts w:eastAsia="Calibri"/>
          <w:lang w:eastAsia="en-US"/>
        </w:rPr>
        <w:t>a la comisionada</w:t>
      </w:r>
      <w:r w:rsidR="00013A12" w:rsidRPr="00BB42E0">
        <w:rPr>
          <w:rFonts w:eastAsia="Calibri"/>
          <w:b/>
          <w:lang w:eastAsia="en-US"/>
        </w:rPr>
        <w:t xml:space="preserve"> María del Rosario Mejía Ayala</w:t>
      </w:r>
      <w:r w:rsidRPr="00BB42E0">
        <w:rPr>
          <w:bCs/>
        </w:rPr>
        <w:t xml:space="preserve">, </w:t>
      </w:r>
      <w:r w:rsidRPr="00BB42E0">
        <w:t xml:space="preserve">a efecto de decretar su admisión o </w:t>
      </w:r>
      <w:proofErr w:type="spellStart"/>
      <w:r w:rsidRPr="00BB42E0">
        <w:t>desechamiento</w:t>
      </w:r>
      <w:proofErr w:type="spellEnd"/>
      <w:r w:rsidRPr="00BB42E0">
        <w:t xml:space="preserve">. </w:t>
      </w:r>
    </w:p>
    <w:p w14:paraId="18F305CB" w14:textId="77777777" w:rsidR="00664420" w:rsidRPr="00BB42E0" w:rsidRDefault="00664420" w:rsidP="00BB42E0">
      <w:pPr>
        <w:rPr>
          <w:rFonts w:eastAsia="Batang" w:cs="Tahoma"/>
          <w:bCs/>
          <w:szCs w:val="22"/>
        </w:rPr>
      </w:pPr>
    </w:p>
    <w:p w14:paraId="0DE79692" w14:textId="77777777" w:rsidR="00E92FE7" w:rsidRPr="00BB42E0" w:rsidRDefault="00E92FE7" w:rsidP="00BB42E0">
      <w:pPr>
        <w:rPr>
          <w:rFonts w:cs="Arial"/>
          <w:b/>
          <w:bCs/>
        </w:rPr>
      </w:pPr>
      <w:r w:rsidRPr="00BB42E0">
        <w:rPr>
          <w:rFonts w:cs="Arial"/>
        </w:rPr>
        <w:t xml:space="preserve">El </w:t>
      </w:r>
      <w:r w:rsidRPr="00BB42E0">
        <w:rPr>
          <w:rFonts w:cs="Arial"/>
          <w:b/>
          <w:bCs/>
        </w:rPr>
        <w:t>treinta de abril de dos mil veinticuatro</w:t>
      </w:r>
      <w:r w:rsidRPr="00BB42E0">
        <w:rPr>
          <w:rFonts w:cs="Arial"/>
        </w:rPr>
        <w:t xml:space="preserve">, </w:t>
      </w:r>
      <w:r w:rsidRPr="00BB42E0">
        <w:t>los</w:t>
      </w:r>
      <w:r w:rsidRPr="00BB42E0">
        <w:rPr>
          <w:rFonts w:cs="Arial"/>
        </w:rPr>
        <w:t xml:space="preserve"> Recursos de Revisión </w:t>
      </w:r>
      <w:r w:rsidRPr="00BB42E0">
        <w:rPr>
          <w:rFonts w:cs="Arial"/>
          <w:lang w:val="es-ES_tradnl"/>
        </w:rPr>
        <w:t xml:space="preserve">materia del presente estudio, se enviaron electrónicamente al Instituto de </w:t>
      </w:r>
      <w:r w:rsidRPr="00BB42E0">
        <w:rPr>
          <w:rFonts w:eastAsia="Arial Unicode MS" w:cs="Arial"/>
        </w:rPr>
        <w:t>Transparencia</w:t>
      </w:r>
      <w:r w:rsidRPr="00BB42E0">
        <w:rPr>
          <w:rFonts w:cs="Arial"/>
          <w:lang w:val="es-ES_tradnl"/>
        </w:rPr>
        <w:t xml:space="preserve">, Acceso a la Información </w:t>
      </w:r>
      <w:r w:rsidRPr="00BB42E0">
        <w:rPr>
          <w:rFonts w:cs="Arial"/>
          <w:lang w:val="es-ES_tradnl"/>
        </w:rPr>
        <w:lastRenderedPageBreak/>
        <w:t xml:space="preserve">Pública y Protección de Datos Personales del Estado de México y Municipios, por lo que con fundamento en el artículo 185, fracción I de la </w:t>
      </w:r>
      <w:r w:rsidRPr="00BB42E0">
        <w:t>Ley de Transparencia y Acceso a la Información Pública del Estado de México y Municipios</w:t>
      </w:r>
      <w:r w:rsidRPr="00BB42E0">
        <w:rPr>
          <w:rFonts w:cs="Arial"/>
          <w:lang w:val="es-ES_tradnl"/>
        </w:rPr>
        <w:t>, se turnaron, a través del</w:t>
      </w:r>
      <w:r w:rsidRPr="00BB42E0">
        <w:rPr>
          <w:rFonts w:eastAsia="Arial Unicode MS" w:cs="Arial"/>
          <w:lang w:val="es-ES_tradnl"/>
        </w:rPr>
        <w:t xml:space="preserve"> </w:t>
      </w:r>
      <w:r w:rsidRPr="00BB42E0">
        <w:rPr>
          <w:rFonts w:eastAsia="Arial Unicode MS" w:cs="Arial"/>
          <w:b/>
          <w:lang w:val="es-ES_tradnl"/>
        </w:rPr>
        <w:t>SAIMEX</w:t>
      </w:r>
      <w:r w:rsidRPr="00BB42E0">
        <w:t>, el Recurso</w:t>
      </w:r>
      <w:r w:rsidRPr="00BB42E0">
        <w:rPr>
          <w:rFonts w:cs="Arial"/>
        </w:rPr>
        <w:t xml:space="preserve"> de Revisión </w:t>
      </w:r>
      <w:r w:rsidRPr="00BB42E0">
        <w:rPr>
          <w:b/>
        </w:rPr>
        <w:t>02392/INFOEM/IP/RR/2024</w:t>
      </w:r>
      <w:r w:rsidRPr="00BB42E0">
        <w:t xml:space="preserve"> a la comisionada </w:t>
      </w:r>
      <w:r w:rsidRPr="00BB42E0">
        <w:rPr>
          <w:b/>
        </w:rPr>
        <w:t xml:space="preserve">Sharon Cristina Morales Martínez </w:t>
      </w:r>
      <w:r w:rsidRPr="00BB42E0">
        <w:t>y</w:t>
      </w:r>
      <w:r w:rsidRPr="00BB42E0">
        <w:rPr>
          <w:b/>
        </w:rPr>
        <w:t xml:space="preserve"> </w:t>
      </w:r>
      <w:r w:rsidRPr="00BB42E0">
        <w:t xml:space="preserve">el Recurso de Revisión </w:t>
      </w:r>
      <w:r w:rsidRPr="00BB42E0">
        <w:rPr>
          <w:b/>
        </w:rPr>
        <w:t xml:space="preserve">02393/INFOEM/IP/RR/2024 </w:t>
      </w:r>
      <w:r w:rsidRPr="00BB42E0">
        <w:t xml:space="preserve">a la comisionada </w:t>
      </w:r>
      <w:r w:rsidRPr="00BB42E0">
        <w:rPr>
          <w:b/>
        </w:rPr>
        <w:t>María del Rosario Mejía Ayala</w:t>
      </w:r>
      <w:r w:rsidRPr="00BB42E0">
        <w:t xml:space="preserve"> a </w:t>
      </w:r>
      <w:r w:rsidRPr="00BB42E0">
        <w:rPr>
          <w:rFonts w:cs="Arial"/>
          <w:lang w:val="es-ES_tradnl"/>
        </w:rPr>
        <w:t xml:space="preserve">efecto de que decretaran su admisión o </w:t>
      </w:r>
      <w:proofErr w:type="spellStart"/>
      <w:r w:rsidRPr="00BB42E0">
        <w:rPr>
          <w:rFonts w:cs="Arial"/>
          <w:lang w:val="es-ES_tradnl"/>
        </w:rPr>
        <w:t>desechamiento</w:t>
      </w:r>
      <w:proofErr w:type="spellEnd"/>
      <w:r w:rsidRPr="00BB42E0">
        <w:rPr>
          <w:rFonts w:cs="Arial"/>
          <w:lang w:val="es-ES_tradnl"/>
        </w:rPr>
        <w:t>.</w:t>
      </w:r>
    </w:p>
    <w:p w14:paraId="546DA88A" w14:textId="77777777" w:rsidR="00E92FE7" w:rsidRPr="00BB42E0" w:rsidRDefault="00E92FE7" w:rsidP="00BB42E0">
      <w:pPr>
        <w:rPr>
          <w:rFonts w:eastAsia="Batang" w:cs="Tahoma"/>
          <w:bCs/>
          <w:szCs w:val="22"/>
        </w:rPr>
      </w:pPr>
    </w:p>
    <w:p w14:paraId="3E31EC2D" w14:textId="295256A1" w:rsidR="00664420" w:rsidRPr="00BB42E0" w:rsidRDefault="006E25BC" w:rsidP="00BB42E0">
      <w:pPr>
        <w:pStyle w:val="Ttulo3"/>
      </w:pPr>
      <w:bookmarkStart w:id="11" w:name="_Toc181795784"/>
      <w:r w:rsidRPr="00BB42E0">
        <w:t>c</w:t>
      </w:r>
      <w:r w:rsidR="00664420" w:rsidRPr="00BB42E0">
        <w:t>) Admisión del Recurso de Revisión</w:t>
      </w:r>
      <w:bookmarkEnd w:id="11"/>
    </w:p>
    <w:p w14:paraId="240447D5" w14:textId="6E22A1DD" w:rsidR="000E09C4" w:rsidRPr="00BB42E0" w:rsidRDefault="000E09C4" w:rsidP="00BB42E0">
      <w:pPr>
        <w:rPr>
          <w:rFonts w:cs="Arial"/>
        </w:rPr>
      </w:pPr>
      <w:r w:rsidRPr="00BB42E0">
        <w:rPr>
          <w:rFonts w:cs="Arial"/>
        </w:rPr>
        <w:t xml:space="preserve">El </w:t>
      </w:r>
      <w:r w:rsidR="00FE107E" w:rsidRPr="00BB42E0">
        <w:rPr>
          <w:rFonts w:eastAsia="Palatino Linotype" w:cs="Palatino Linotype"/>
          <w:b/>
        </w:rPr>
        <w:t>nueve y catorce de octubre d</w:t>
      </w:r>
      <w:r w:rsidR="00657603" w:rsidRPr="00BB42E0">
        <w:rPr>
          <w:rFonts w:eastAsia="Palatino Linotype" w:cs="Palatino Linotype"/>
          <w:b/>
        </w:rPr>
        <w:t>e dos mil veinticuatro</w:t>
      </w:r>
      <w:r w:rsidRPr="00BB42E0">
        <w:rPr>
          <w:rFonts w:cs="Arial"/>
        </w:rPr>
        <w:t xml:space="preserve"> se acordó la admisión a trámite de</w:t>
      </w:r>
      <w:r w:rsidR="0068301E" w:rsidRPr="00BB42E0">
        <w:rPr>
          <w:rFonts w:cs="Arial"/>
        </w:rPr>
        <w:t xml:space="preserve"> </w:t>
      </w:r>
      <w:r w:rsidRPr="00BB42E0">
        <w:rPr>
          <w:rFonts w:cs="Arial"/>
        </w:rPr>
        <w:t>l</w:t>
      </w:r>
      <w:r w:rsidR="0068301E" w:rsidRPr="00BB42E0">
        <w:rPr>
          <w:rFonts w:cs="Arial"/>
        </w:rPr>
        <w:t>os</w:t>
      </w:r>
      <w:r w:rsidRPr="00BB42E0">
        <w:rPr>
          <w:rFonts w:cs="Arial"/>
        </w:rPr>
        <w:t xml:space="preserve"> Recurso</w:t>
      </w:r>
      <w:r w:rsidR="0068301E" w:rsidRPr="00BB42E0">
        <w:rPr>
          <w:rFonts w:cs="Arial"/>
        </w:rPr>
        <w:t>s</w:t>
      </w:r>
      <w:r w:rsidRPr="00BB42E0">
        <w:rPr>
          <w:rFonts w:cs="Arial"/>
        </w:rPr>
        <w:t xml:space="preserve"> de Revisión y se integr</w:t>
      </w:r>
      <w:r w:rsidR="0068301E" w:rsidRPr="00BB42E0">
        <w:rPr>
          <w:rFonts w:cs="Arial"/>
        </w:rPr>
        <w:t xml:space="preserve">aron </w:t>
      </w:r>
      <w:r w:rsidRPr="00BB42E0">
        <w:rPr>
          <w:rFonts w:cs="Arial"/>
        </w:rPr>
        <w:t>l</w:t>
      </w:r>
      <w:r w:rsidR="0068301E" w:rsidRPr="00BB42E0">
        <w:rPr>
          <w:rFonts w:cs="Arial"/>
        </w:rPr>
        <w:t>os</w:t>
      </w:r>
      <w:r w:rsidRPr="00BB42E0">
        <w:rPr>
          <w:rFonts w:cs="Arial"/>
        </w:rPr>
        <w:t xml:space="preserve"> expediente</w:t>
      </w:r>
      <w:r w:rsidR="0068301E" w:rsidRPr="00BB42E0">
        <w:rPr>
          <w:rFonts w:cs="Arial"/>
        </w:rPr>
        <w:t>s</w:t>
      </w:r>
      <w:r w:rsidRPr="00BB42E0">
        <w:rPr>
          <w:rFonts w:cs="Arial"/>
        </w:rPr>
        <w:t xml:space="preserve"> respectivo</w:t>
      </w:r>
      <w:r w:rsidR="0068301E" w:rsidRPr="00BB42E0">
        <w:rPr>
          <w:rFonts w:cs="Arial"/>
        </w:rPr>
        <w:t>s</w:t>
      </w:r>
      <w:r w:rsidRPr="00BB42E0">
        <w:rPr>
          <w:rFonts w:cs="Arial"/>
        </w:rPr>
        <w:t>, mismo</w:t>
      </w:r>
      <w:r w:rsidR="0068301E" w:rsidRPr="00BB42E0">
        <w:rPr>
          <w:rFonts w:cs="Arial"/>
        </w:rPr>
        <w:t xml:space="preserve">s que se pusieron </w:t>
      </w:r>
      <w:r w:rsidRPr="00BB42E0">
        <w:rPr>
          <w:rFonts w:cs="Arial"/>
        </w:rPr>
        <w:t>a disposición de las partes para que, en un plazo de siete días hábiles, manifestaran lo que a su derecho conviniera, conforme a lo dispuesto por el artículo 185</w:t>
      </w:r>
      <w:r w:rsidR="00865CF4" w:rsidRPr="00BB42E0">
        <w:rPr>
          <w:rFonts w:cs="Arial"/>
        </w:rPr>
        <w:t>, fracción II</w:t>
      </w:r>
      <w:r w:rsidRPr="00BB42E0">
        <w:rPr>
          <w:rFonts w:cs="Arial"/>
        </w:rPr>
        <w:t xml:space="preserve"> de la Ley de Transparencia y Acceso a la Información Pública del Estado de México y Municipios.</w:t>
      </w:r>
    </w:p>
    <w:p w14:paraId="34EC3F86" w14:textId="77777777" w:rsidR="00D2790D" w:rsidRPr="00BB42E0" w:rsidRDefault="00D2790D" w:rsidP="00BB42E0">
      <w:pPr>
        <w:rPr>
          <w:rFonts w:cs="Arial"/>
        </w:rPr>
      </w:pPr>
    </w:p>
    <w:p w14:paraId="3B820F58" w14:textId="503F9071" w:rsidR="00865CF4" w:rsidRPr="00BB42E0" w:rsidRDefault="0075751F" w:rsidP="00BB42E0">
      <w:pPr>
        <w:pStyle w:val="Ttulo3"/>
      </w:pPr>
      <w:bookmarkStart w:id="12" w:name="_Toc181795785"/>
      <w:r w:rsidRPr="00BB42E0">
        <w:t>d</w:t>
      </w:r>
      <w:r w:rsidR="00664420" w:rsidRPr="00BB42E0">
        <w:t xml:space="preserve">) </w:t>
      </w:r>
      <w:r w:rsidR="00865CF4" w:rsidRPr="00BB42E0">
        <w:t>Informe Justificado del Sujeto Obligado</w:t>
      </w:r>
      <w:bookmarkEnd w:id="12"/>
    </w:p>
    <w:p w14:paraId="5B5FFC8B" w14:textId="7216A876" w:rsidR="007A7050" w:rsidRPr="00BB42E0" w:rsidRDefault="007A7050" w:rsidP="00BB42E0">
      <w:pPr>
        <w:rPr>
          <w:rFonts w:eastAsia="Calibri"/>
          <w:lang w:eastAsia="en-US"/>
        </w:rPr>
      </w:pPr>
      <w:r w:rsidRPr="00BB42E0">
        <w:rPr>
          <w:rFonts w:cs="Tahoma"/>
          <w:bCs/>
          <w:szCs w:val="24"/>
        </w:rPr>
        <w:t xml:space="preserve">El </w:t>
      </w:r>
      <w:r w:rsidRPr="00BB42E0">
        <w:rPr>
          <w:rFonts w:cs="Tahoma"/>
          <w:b/>
          <w:szCs w:val="24"/>
        </w:rPr>
        <w:t>diecisiete y dieciocho de octubre de dos mil veinticuatro EL SUJETO OBLIGADO</w:t>
      </w:r>
      <w:r w:rsidRPr="00BB42E0">
        <w:rPr>
          <w:rFonts w:cs="Tahoma"/>
          <w:bCs/>
          <w:szCs w:val="24"/>
        </w:rPr>
        <w:t xml:space="preserve"> rindió su informe justificado en el Recurso de Revisión </w:t>
      </w:r>
      <w:r w:rsidRPr="00BB42E0">
        <w:rPr>
          <w:rFonts w:eastAsia="Calibri"/>
          <w:b/>
          <w:lang w:eastAsia="en-US"/>
        </w:rPr>
        <w:t>060</w:t>
      </w:r>
      <w:r w:rsidR="005654F8" w:rsidRPr="00BB42E0">
        <w:rPr>
          <w:rFonts w:eastAsia="Calibri"/>
          <w:b/>
          <w:lang w:eastAsia="en-US"/>
        </w:rPr>
        <w:t>27</w:t>
      </w:r>
      <w:r w:rsidRPr="00BB42E0">
        <w:rPr>
          <w:rFonts w:eastAsia="Calibri"/>
          <w:b/>
          <w:lang w:eastAsia="en-US"/>
        </w:rPr>
        <w:t>/INFOEM/IP/RR/2024</w:t>
      </w:r>
      <w:r w:rsidRPr="00BB42E0">
        <w:rPr>
          <w:rFonts w:cs="Tahoma"/>
          <w:bCs/>
          <w:szCs w:val="24"/>
        </w:rPr>
        <w:t xml:space="preserve">, </w:t>
      </w:r>
      <w:bookmarkStart w:id="13" w:name="_Hlk165379932"/>
      <w:r w:rsidRPr="00BB42E0">
        <w:rPr>
          <w:rFonts w:cs="Tahoma"/>
          <w:bCs/>
          <w:szCs w:val="24"/>
        </w:rPr>
        <w:t xml:space="preserve">ajuntando para ello en cada día el archivo electrónico denominado </w:t>
      </w:r>
      <w:r w:rsidRPr="00BB42E0">
        <w:rPr>
          <w:rFonts w:eastAsia="Calibri"/>
          <w:b/>
          <w:i/>
          <w:lang w:eastAsia="en-US"/>
        </w:rPr>
        <w:t xml:space="preserve">IMG_20241017_0002.pdf, </w:t>
      </w:r>
      <w:r w:rsidRPr="00BB42E0">
        <w:rPr>
          <w:rFonts w:eastAsia="Calibri"/>
          <w:lang w:eastAsia="en-US"/>
        </w:rPr>
        <w:t>el cual contiene oficio del dieciocho de octubre de dos mil vein</w:t>
      </w:r>
      <w:r w:rsidR="005654F8" w:rsidRPr="00BB42E0">
        <w:rPr>
          <w:rFonts w:eastAsia="Calibri"/>
          <w:lang w:eastAsia="en-US"/>
        </w:rPr>
        <w:t xml:space="preserve">ticuatro, por medio del cual la Directora de la Unidad de Transparencia refiere haber cumplido con la carga de dar respuesta a la solicitud de información, atendiendo el derecho de acceso a la información del particular. </w:t>
      </w:r>
    </w:p>
    <w:p w14:paraId="0C685683" w14:textId="77777777" w:rsidR="007A7050" w:rsidRPr="00BB42E0" w:rsidRDefault="007A7050" w:rsidP="00BB42E0">
      <w:pPr>
        <w:rPr>
          <w:rFonts w:cs="Tahoma"/>
          <w:bCs/>
          <w:szCs w:val="24"/>
        </w:rPr>
      </w:pPr>
    </w:p>
    <w:bookmarkEnd w:id="13"/>
    <w:p w14:paraId="6CAA50BA" w14:textId="00D81DB3" w:rsidR="007A7050" w:rsidRPr="00BB42E0" w:rsidRDefault="007A7050" w:rsidP="00BB42E0">
      <w:pPr>
        <w:rPr>
          <w:rFonts w:cs="Tahoma"/>
          <w:bCs/>
          <w:szCs w:val="24"/>
        </w:rPr>
      </w:pPr>
      <w:r w:rsidRPr="00BB42E0">
        <w:rPr>
          <w:rFonts w:cs="Tahoma"/>
          <w:bCs/>
          <w:szCs w:val="24"/>
        </w:rPr>
        <w:t xml:space="preserve">Esta información fue puesta a la vista de </w:t>
      </w:r>
      <w:r w:rsidRPr="00BB42E0">
        <w:rPr>
          <w:rFonts w:cs="Tahoma"/>
          <w:b/>
          <w:szCs w:val="24"/>
        </w:rPr>
        <w:t xml:space="preserve">LA PARTE RECURRENTE </w:t>
      </w:r>
      <w:r w:rsidRPr="00BB42E0">
        <w:rPr>
          <w:rFonts w:cs="Tahoma"/>
          <w:bCs/>
          <w:szCs w:val="24"/>
        </w:rPr>
        <w:t xml:space="preserve">el </w:t>
      </w:r>
      <w:r w:rsidR="005654F8" w:rsidRPr="00BB42E0">
        <w:rPr>
          <w:rFonts w:cs="Tahoma"/>
          <w:b/>
          <w:szCs w:val="24"/>
        </w:rPr>
        <w:t xml:space="preserve">veintinueve </w:t>
      </w:r>
      <w:r w:rsidRPr="00BB42E0">
        <w:rPr>
          <w:rFonts w:cs="Tahoma"/>
          <w:b/>
          <w:szCs w:val="24"/>
        </w:rPr>
        <w:t>de octubre de dos mil veinticuatro</w:t>
      </w:r>
      <w:r w:rsidRPr="00BB42E0">
        <w:rPr>
          <w:rFonts w:cs="Tahoma"/>
          <w:bCs/>
          <w:szCs w:val="24"/>
        </w:rPr>
        <w:t xml:space="preserve"> para que, en un plazo de tres días hábiles, manifestara lo que </w:t>
      </w:r>
      <w:r w:rsidRPr="00BB42E0">
        <w:rPr>
          <w:rFonts w:cs="Tahoma"/>
          <w:bCs/>
          <w:szCs w:val="24"/>
        </w:rPr>
        <w:lastRenderedPageBreak/>
        <w:t xml:space="preserve">a su derecho conviniera, de conformidad con lo establecido en el </w:t>
      </w:r>
      <w:r w:rsidRPr="00BB42E0">
        <w:rPr>
          <w:rFonts w:cs="Arial"/>
        </w:rPr>
        <w:t>artículo 185, fracción III de la Ley de Transparencia y Acceso a la Información Pública del Estado de México y Municipios</w:t>
      </w:r>
      <w:r w:rsidRPr="00BB42E0">
        <w:rPr>
          <w:rFonts w:cs="Tahoma"/>
          <w:bCs/>
          <w:szCs w:val="24"/>
        </w:rPr>
        <w:t>.</w:t>
      </w:r>
    </w:p>
    <w:p w14:paraId="489853F4" w14:textId="77777777" w:rsidR="007A7050" w:rsidRPr="00BB42E0" w:rsidRDefault="007A7050" w:rsidP="00BB42E0">
      <w:pPr>
        <w:rPr>
          <w:rFonts w:cs="Tahoma"/>
          <w:b/>
          <w:szCs w:val="24"/>
        </w:rPr>
      </w:pPr>
    </w:p>
    <w:p w14:paraId="14A706BE" w14:textId="0D85ECB7" w:rsidR="00865CF4" w:rsidRPr="00BB42E0" w:rsidRDefault="007A7050" w:rsidP="00BB42E0">
      <w:pPr>
        <w:rPr>
          <w:rFonts w:eastAsia="Arial Unicode MS" w:cs="Arial"/>
        </w:rPr>
      </w:pPr>
      <w:r w:rsidRPr="00BB42E0">
        <w:rPr>
          <w:rFonts w:cs="Tahoma"/>
          <w:szCs w:val="24"/>
        </w:rPr>
        <w:t xml:space="preserve">Asimismo, no se omite comentar que por cuanto hace al Recurso de Revisión </w:t>
      </w:r>
      <w:r w:rsidRPr="00BB42E0">
        <w:rPr>
          <w:rFonts w:eastAsia="Calibri"/>
          <w:b/>
          <w:lang w:eastAsia="en-US"/>
        </w:rPr>
        <w:t xml:space="preserve">06038/INFOEM/IP/RR/2024, </w:t>
      </w:r>
      <w:r w:rsidR="00865CF4" w:rsidRPr="00BB42E0">
        <w:rPr>
          <w:rFonts w:cs="Tahoma"/>
          <w:b/>
          <w:szCs w:val="24"/>
        </w:rPr>
        <w:t xml:space="preserve">EL SUJETO OBLIGADO </w:t>
      </w:r>
      <w:r w:rsidR="00865CF4" w:rsidRPr="00BB42E0">
        <w:rPr>
          <w:rFonts w:eastAsia="Arial Unicode MS" w:cs="Arial"/>
        </w:rPr>
        <w:t>no rindió su informe justificado dentro del término legalmente concedido para tal efecto.</w:t>
      </w:r>
    </w:p>
    <w:p w14:paraId="66BA6FC7" w14:textId="77777777" w:rsidR="00865CF4" w:rsidRPr="00BB42E0" w:rsidRDefault="00865CF4" w:rsidP="00BB42E0">
      <w:pPr>
        <w:rPr>
          <w:rFonts w:cs="Tahoma"/>
          <w:bCs/>
          <w:szCs w:val="24"/>
        </w:rPr>
      </w:pPr>
    </w:p>
    <w:p w14:paraId="755B7730" w14:textId="3EA3E31D" w:rsidR="00664420" w:rsidRPr="00BB42E0" w:rsidRDefault="0075751F" w:rsidP="00BB42E0">
      <w:pPr>
        <w:pStyle w:val="Ttulo3"/>
        <w:rPr>
          <w:lang w:val="es-ES"/>
        </w:rPr>
      </w:pPr>
      <w:bookmarkStart w:id="14" w:name="_Toc181795786"/>
      <w:r w:rsidRPr="00BB42E0">
        <w:rPr>
          <w:rFonts w:eastAsia="Calibri"/>
          <w:bCs/>
          <w:lang w:eastAsia="en-US"/>
        </w:rPr>
        <w:t>e</w:t>
      </w:r>
      <w:r w:rsidR="00664420" w:rsidRPr="00BB42E0">
        <w:rPr>
          <w:rFonts w:eastAsia="Calibri"/>
          <w:bCs/>
          <w:lang w:eastAsia="en-US"/>
        </w:rPr>
        <w:t>)</w:t>
      </w:r>
      <w:r w:rsidR="00664420" w:rsidRPr="00BB42E0">
        <w:t xml:space="preserve"> </w:t>
      </w:r>
      <w:r w:rsidR="00865CF4" w:rsidRPr="00BB42E0">
        <w:rPr>
          <w:lang w:val="es-ES"/>
        </w:rPr>
        <w:t>Manifestaciones de la Parte Recurrente</w:t>
      </w:r>
      <w:bookmarkEnd w:id="14"/>
    </w:p>
    <w:p w14:paraId="4E8AF011" w14:textId="77777777" w:rsidR="00865CF4" w:rsidRPr="00BB42E0" w:rsidRDefault="00865CF4" w:rsidP="00BB42E0">
      <w:pPr>
        <w:rPr>
          <w:rFonts w:eastAsia="Arial Unicode MS" w:cs="Arial"/>
        </w:rPr>
      </w:pPr>
      <w:r w:rsidRPr="00BB42E0">
        <w:rPr>
          <w:rFonts w:cs="Tahoma"/>
          <w:b/>
          <w:szCs w:val="24"/>
        </w:rPr>
        <w:t xml:space="preserve">LA PARTE RECURRENTE </w:t>
      </w:r>
      <w:r w:rsidRPr="00BB42E0">
        <w:rPr>
          <w:rFonts w:eastAsia="Arial Unicode MS" w:cs="Arial"/>
        </w:rPr>
        <w:t>no realizó manifestación alguna dentro del término legalmente concedido para tal efecto, ni presentó pruebas o alegatos.</w:t>
      </w:r>
    </w:p>
    <w:p w14:paraId="43289D82" w14:textId="77777777" w:rsidR="00865CF4" w:rsidRPr="00BB42E0" w:rsidRDefault="00865CF4" w:rsidP="00BB42E0">
      <w:pPr>
        <w:rPr>
          <w:rFonts w:eastAsia="Arial Unicode MS" w:cs="Arial"/>
        </w:rPr>
      </w:pPr>
    </w:p>
    <w:p w14:paraId="0E651988" w14:textId="07B7DBA4" w:rsidR="00664420" w:rsidRPr="00BB42E0" w:rsidRDefault="007517BD" w:rsidP="00BB42E0">
      <w:pPr>
        <w:pStyle w:val="Ttulo3"/>
      </w:pPr>
      <w:bookmarkStart w:id="15" w:name="_Toc181795787"/>
      <w:r w:rsidRPr="00BB42E0">
        <w:rPr>
          <w:rFonts w:eastAsia="Calibri"/>
        </w:rPr>
        <w:t xml:space="preserve">f) </w:t>
      </w:r>
      <w:r w:rsidR="00664420" w:rsidRPr="00BB42E0">
        <w:t>Cierre de instrucción</w:t>
      </w:r>
      <w:bookmarkEnd w:id="15"/>
    </w:p>
    <w:p w14:paraId="79AF95DC" w14:textId="62539804" w:rsidR="00664420" w:rsidRPr="00BB42E0" w:rsidRDefault="00BF091A" w:rsidP="00BB42E0">
      <w:r w:rsidRPr="00BB42E0">
        <w:rPr>
          <w:rFonts w:cs="Tahoma"/>
          <w:szCs w:val="22"/>
        </w:rPr>
        <w:t>Al no existir diligencias pendientes por desahogar</w:t>
      </w:r>
      <w:r w:rsidRPr="00BB42E0">
        <w:rPr>
          <w:rFonts w:cs="Arial"/>
        </w:rPr>
        <w:t xml:space="preserve">, el </w:t>
      </w:r>
      <w:bookmarkStart w:id="16" w:name="_Hlk104892386"/>
      <w:r w:rsidR="007B4B4C" w:rsidRPr="00BB42E0">
        <w:rPr>
          <w:rFonts w:cs="Arial"/>
          <w:b/>
        </w:rPr>
        <w:t xml:space="preserve">cinco de noviembre </w:t>
      </w:r>
      <w:bookmarkEnd w:id="16"/>
      <w:r w:rsidRPr="00BB42E0">
        <w:rPr>
          <w:rFonts w:cs="Arial"/>
          <w:b/>
        </w:rPr>
        <w:t xml:space="preserve">de dos mil </w:t>
      </w:r>
      <w:r w:rsidR="0075751F" w:rsidRPr="00BB42E0">
        <w:rPr>
          <w:rFonts w:cs="Arial"/>
          <w:b/>
        </w:rPr>
        <w:t xml:space="preserve">veinticuatro </w:t>
      </w:r>
      <w:r w:rsidRPr="00BB42E0">
        <w:rPr>
          <w:rFonts w:cs="Arial"/>
        </w:rPr>
        <w:t xml:space="preserve">la </w:t>
      </w:r>
      <w:r w:rsidRPr="00BB42E0">
        <w:rPr>
          <w:rFonts w:cs="Arial"/>
          <w:b/>
          <w:bCs/>
        </w:rPr>
        <w:t xml:space="preserve">Comisionada </w:t>
      </w:r>
      <w:r w:rsidRPr="00BB42E0">
        <w:rPr>
          <w:b/>
        </w:rPr>
        <w:t xml:space="preserve">Sharon Cristina Morales Martínez </w:t>
      </w:r>
      <w:r w:rsidRPr="00BB42E0">
        <w:rPr>
          <w:rFonts w:cs="Arial"/>
        </w:rPr>
        <w:t>acordó el cierre de instrucción</w:t>
      </w:r>
      <w:r w:rsidR="0011350D" w:rsidRPr="00BB42E0">
        <w:rPr>
          <w:rFonts w:cs="Arial"/>
        </w:rPr>
        <w:t xml:space="preserve"> y</w:t>
      </w:r>
      <w:r w:rsidRPr="00BB42E0">
        <w:rPr>
          <w:rFonts w:cs="Arial"/>
        </w:rPr>
        <w:t xml:space="preserve"> </w:t>
      </w:r>
      <w:r w:rsidR="0011350D" w:rsidRPr="00BB42E0">
        <w:rPr>
          <w:rFonts w:cs="Arial"/>
        </w:rPr>
        <w:t xml:space="preserve">la </w:t>
      </w:r>
      <w:r w:rsidRPr="00BB42E0">
        <w:rPr>
          <w:rFonts w:cs="Arial"/>
        </w:rPr>
        <w:t>remisión de</w:t>
      </w:r>
      <w:r w:rsidR="0068301E" w:rsidRPr="00BB42E0">
        <w:rPr>
          <w:rFonts w:cs="Arial"/>
        </w:rPr>
        <w:t xml:space="preserve"> </w:t>
      </w:r>
      <w:r w:rsidRPr="00BB42E0">
        <w:rPr>
          <w:rFonts w:cs="Arial"/>
        </w:rPr>
        <w:t>l</w:t>
      </w:r>
      <w:r w:rsidR="0068301E" w:rsidRPr="00BB42E0">
        <w:rPr>
          <w:rFonts w:cs="Arial"/>
        </w:rPr>
        <w:t>os</w:t>
      </w:r>
      <w:r w:rsidRPr="00BB42E0">
        <w:rPr>
          <w:rFonts w:cs="Arial"/>
        </w:rPr>
        <w:t xml:space="preserve"> expediente</w:t>
      </w:r>
      <w:r w:rsidR="0068301E" w:rsidRPr="00BB42E0">
        <w:rPr>
          <w:rFonts w:cs="Arial"/>
        </w:rPr>
        <w:t>s</w:t>
      </w:r>
      <w:r w:rsidRPr="00BB42E0">
        <w:rPr>
          <w:rFonts w:cs="Arial"/>
        </w:rPr>
        <w:t xml:space="preserve"> a efecto de ser resuelto</w:t>
      </w:r>
      <w:r w:rsidR="0068301E" w:rsidRPr="00BB42E0">
        <w:rPr>
          <w:rFonts w:cs="Arial"/>
        </w:rPr>
        <w:t>s</w:t>
      </w:r>
      <w:r w:rsidRPr="00BB42E0">
        <w:rPr>
          <w:rFonts w:cs="Arial"/>
        </w:rPr>
        <w:t>, de conformidad con lo establecido en el artículo 185 fracciones VI y VIII de la Ley de Transparencia y Acceso a la Información Pública del Estado de México y Municipios</w:t>
      </w:r>
      <w:r w:rsidRPr="00BB42E0">
        <w:t>.</w:t>
      </w:r>
      <w:r w:rsidR="0011350D" w:rsidRPr="00BB42E0">
        <w:t xml:space="preserve"> Dicho acuerdo </w:t>
      </w:r>
      <w:r w:rsidR="00664420" w:rsidRPr="00BB42E0">
        <w:rPr>
          <w:rFonts w:cs="Tahoma"/>
          <w:szCs w:val="22"/>
        </w:rPr>
        <w:t xml:space="preserve">fue notificado a las partes el mismo día a través del </w:t>
      </w:r>
      <w:r w:rsidR="00664420" w:rsidRPr="00BB42E0">
        <w:rPr>
          <w:rFonts w:cs="Tahoma"/>
          <w:b/>
          <w:szCs w:val="22"/>
          <w:lang w:val="es-ES"/>
        </w:rPr>
        <w:t>SAIMEX</w:t>
      </w:r>
      <w:r w:rsidR="00664420" w:rsidRPr="00BB42E0">
        <w:rPr>
          <w:rFonts w:cs="Tahoma"/>
          <w:szCs w:val="22"/>
        </w:rPr>
        <w:t>.</w:t>
      </w:r>
    </w:p>
    <w:p w14:paraId="741683E3" w14:textId="77777777" w:rsidR="0011350D" w:rsidRPr="00BB42E0" w:rsidRDefault="0011350D" w:rsidP="00BB42E0">
      <w:pPr>
        <w:rPr>
          <w:rFonts w:cs="Tahoma"/>
          <w:szCs w:val="22"/>
        </w:rPr>
      </w:pPr>
    </w:p>
    <w:p w14:paraId="7A9629DE" w14:textId="77777777" w:rsidR="00664420" w:rsidRPr="00BB42E0" w:rsidRDefault="00664420" w:rsidP="00BB42E0">
      <w:pPr>
        <w:pStyle w:val="Ttulo1"/>
        <w:rPr>
          <w:rFonts w:eastAsiaTheme="minorHAnsi"/>
          <w:lang w:eastAsia="en-US"/>
        </w:rPr>
      </w:pPr>
      <w:bookmarkStart w:id="17" w:name="_Toc181795788"/>
      <w:r w:rsidRPr="00BB42E0">
        <w:rPr>
          <w:rFonts w:eastAsiaTheme="minorHAnsi"/>
          <w:lang w:eastAsia="en-US"/>
        </w:rPr>
        <w:t>CONSIDERANDOS</w:t>
      </w:r>
      <w:bookmarkEnd w:id="17"/>
    </w:p>
    <w:p w14:paraId="6DD1243B" w14:textId="77777777" w:rsidR="00664420" w:rsidRPr="00BB42E0" w:rsidRDefault="00664420" w:rsidP="00BB42E0">
      <w:pPr>
        <w:contextualSpacing/>
        <w:jc w:val="center"/>
        <w:rPr>
          <w:rFonts w:eastAsiaTheme="minorHAnsi" w:cs="Tahoma"/>
          <w:b/>
          <w:szCs w:val="22"/>
          <w:lang w:eastAsia="en-US"/>
        </w:rPr>
      </w:pPr>
    </w:p>
    <w:p w14:paraId="0B67CB92" w14:textId="2E307D3B" w:rsidR="00664420" w:rsidRPr="00BB42E0" w:rsidRDefault="00664420" w:rsidP="00BB42E0">
      <w:pPr>
        <w:pStyle w:val="Ttulo2"/>
        <w:rPr>
          <w:rFonts w:eastAsia="Batang"/>
        </w:rPr>
      </w:pPr>
      <w:bookmarkStart w:id="18" w:name="_Toc181795789"/>
      <w:r w:rsidRPr="00BB42E0">
        <w:rPr>
          <w:rFonts w:eastAsia="Batang"/>
        </w:rPr>
        <w:t xml:space="preserve">PRIMERO. </w:t>
      </w:r>
      <w:proofErr w:type="spellStart"/>
      <w:r w:rsidR="00BA55A8" w:rsidRPr="00BB42E0">
        <w:rPr>
          <w:rFonts w:eastAsia="Batang"/>
        </w:rPr>
        <w:t>Procedibilidad</w:t>
      </w:r>
      <w:bookmarkEnd w:id="18"/>
      <w:proofErr w:type="spellEnd"/>
    </w:p>
    <w:p w14:paraId="39C52BC1" w14:textId="56FCC20D" w:rsidR="00BA55A8" w:rsidRPr="00BB42E0" w:rsidRDefault="00BA55A8" w:rsidP="00BB42E0">
      <w:pPr>
        <w:pStyle w:val="Ttulo3"/>
      </w:pPr>
      <w:bookmarkStart w:id="19" w:name="_Toc181795790"/>
      <w:r w:rsidRPr="00BB42E0">
        <w:t>a) Competencia</w:t>
      </w:r>
      <w:r w:rsidR="00150C49" w:rsidRPr="00BB42E0">
        <w:t xml:space="preserve"> del Instituto</w:t>
      </w:r>
      <w:bookmarkEnd w:id="19"/>
    </w:p>
    <w:p w14:paraId="56E64942" w14:textId="6572EDF7" w:rsidR="0011350D" w:rsidRPr="00BB42E0" w:rsidRDefault="0011350D" w:rsidP="00BB42E0">
      <w:pPr>
        <w:rPr>
          <w:rFonts w:cs="Arial"/>
        </w:rPr>
      </w:pPr>
      <w:r w:rsidRPr="00BB42E0">
        <w:t xml:space="preserve">Este Instituto de Transparencia, Acceso a la Información Pública y Protección de Datos Personales del Estado de México y Municipios es competente para conocer y resolver </w:t>
      </w:r>
      <w:r w:rsidR="005F65B7" w:rsidRPr="00BB42E0">
        <w:t xml:space="preserve">el </w:t>
      </w:r>
      <w:r w:rsidRPr="00BB42E0">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BB42E0">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BB42E0" w:rsidRDefault="00DB1C09" w:rsidP="00BB42E0">
      <w:pPr>
        <w:rPr>
          <w:rFonts w:cs="Arial"/>
        </w:rPr>
      </w:pPr>
    </w:p>
    <w:p w14:paraId="517A2DD6" w14:textId="4169BE4D" w:rsidR="00664420" w:rsidRPr="00BB42E0" w:rsidRDefault="00BA55A8" w:rsidP="00BB42E0">
      <w:pPr>
        <w:pStyle w:val="Ttulo3"/>
      </w:pPr>
      <w:bookmarkStart w:id="20" w:name="_Toc181795791"/>
      <w:r w:rsidRPr="00BB42E0">
        <w:t>b)</w:t>
      </w:r>
      <w:r w:rsidR="00664420" w:rsidRPr="00BB42E0">
        <w:t xml:space="preserve"> </w:t>
      </w:r>
      <w:r w:rsidR="00D91CB4" w:rsidRPr="00BB42E0">
        <w:t>Legitimidad</w:t>
      </w:r>
      <w:r w:rsidRPr="00BB42E0">
        <w:t xml:space="preserve"> de la parte recurrente</w:t>
      </w:r>
      <w:bookmarkEnd w:id="20"/>
    </w:p>
    <w:p w14:paraId="26FEA382" w14:textId="130B122E" w:rsidR="00D91CB4" w:rsidRPr="00BB42E0" w:rsidRDefault="0068301E" w:rsidP="00BB42E0">
      <w:pPr>
        <w:rPr>
          <w:rFonts w:cs="Arial"/>
          <w:bCs/>
        </w:rPr>
      </w:pPr>
      <w:r w:rsidRPr="00BB42E0">
        <w:rPr>
          <w:rFonts w:cs="Arial"/>
          <w:bCs/>
        </w:rPr>
        <w:t>Los</w:t>
      </w:r>
      <w:r w:rsidR="00D91CB4" w:rsidRPr="00BB42E0">
        <w:rPr>
          <w:rFonts w:cs="Arial"/>
          <w:bCs/>
        </w:rPr>
        <w:t xml:space="preserve"> recurso</w:t>
      </w:r>
      <w:r w:rsidRPr="00BB42E0">
        <w:rPr>
          <w:rFonts w:cs="Arial"/>
          <w:bCs/>
        </w:rPr>
        <w:t>s</w:t>
      </w:r>
      <w:r w:rsidR="00D91CB4" w:rsidRPr="00BB42E0">
        <w:rPr>
          <w:rFonts w:cs="Arial"/>
          <w:bCs/>
        </w:rPr>
        <w:t xml:space="preserve"> de revisión fue</w:t>
      </w:r>
      <w:r w:rsidRPr="00BB42E0">
        <w:rPr>
          <w:rFonts w:cs="Arial"/>
          <w:bCs/>
        </w:rPr>
        <w:t>ron</w:t>
      </w:r>
      <w:r w:rsidR="00D91CB4" w:rsidRPr="00BB42E0">
        <w:rPr>
          <w:rFonts w:cs="Arial"/>
          <w:bCs/>
        </w:rPr>
        <w:t xml:space="preserve"> interpuesto</w:t>
      </w:r>
      <w:r w:rsidRPr="00BB42E0">
        <w:rPr>
          <w:rFonts w:cs="Arial"/>
          <w:bCs/>
        </w:rPr>
        <w:t>s</w:t>
      </w:r>
      <w:r w:rsidR="00D91CB4" w:rsidRPr="00BB42E0">
        <w:rPr>
          <w:rFonts w:cs="Arial"/>
          <w:bCs/>
        </w:rPr>
        <w:t xml:space="preserve"> por parte legítima, ya que se present</w:t>
      </w:r>
      <w:r w:rsidRPr="00BB42E0">
        <w:rPr>
          <w:rFonts w:cs="Arial"/>
          <w:bCs/>
        </w:rPr>
        <w:t>aron</w:t>
      </w:r>
      <w:r w:rsidR="00D91CB4" w:rsidRPr="00BB42E0">
        <w:rPr>
          <w:rFonts w:cs="Arial"/>
          <w:bCs/>
        </w:rPr>
        <w:t xml:space="preserve"> por la misma persona que formuló la</w:t>
      </w:r>
      <w:r w:rsidRPr="00BB42E0">
        <w:rPr>
          <w:rFonts w:cs="Arial"/>
          <w:bCs/>
        </w:rPr>
        <w:t>s</w:t>
      </w:r>
      <w:r w:rsidR="00D91CB4" w:rsidRPr="00BB42E0">
        <w:rPr>
          <w:rFonts w:cs="Arial"/>
          <w:bCs/>
        </w:rPr>
        <w:t xml:space="preserve"> solicitud</w:t>
      </w:r>
      <w:r w:rsidRPr="00BB42E0">
        <w:rPr>
          <w:rFonts w:cs="Arial"/>
          <w:bCs/>
        </w:rPr>
        <w:t>es</w:t>
      </w:r>
      <w:r w:rsidR="00D91CB4" w:rsidRPr="00BB42E0">
        <w:rPr>
          <w:rFonts w:cs="Arial"/>
          <w:bCs/>
        </w:rPr>
        <w:t xml:space="preserve"> de acceso a la Información Pública,</w:t>
      </w:r>
      <w:r w:rsidR="00D91CB4" w:rsidRPr="00BB42E0">
        <w:rPr>
          <w:rFonts w:cs="Arial"/>
          <w:b/>
          <w:bCs/>
        </w:rPr>
        <w:t xml:space="preserve"> </w:t>
      </w:r>
      <w:r w:rsidR="00D91CB4" w:rsidRPr="00BB42E0">
        <w:rPr>
          <w:rFonts w:cs="Arial"/>
        </w:rPr>
        <w:t>debido a que los datos de acceso</w:t>
      </w:r>
      <w:r w:rsidR="00D91CB4" w:rsidRPr="00BB42E0">
        <w:rPr>
          <w:rFonts w:cs="Arial"/>
          <w:b/>
          <w:bCs/>
        </w:rPr>
        <w:t xml:space="preserve"> </w:t>
      </w:r>
      <w:r w:rsidR="00D91CB4" w:rsidRPr="00BB42E0">
        <w:rPr>
          <w:rFonts w:cs="Arial"/>
          <w:b/>
        </w:rPr>
        <w:t>SAIMEX</w:t>
      </w:r>
      <w:r w:rsidR="00D91CB4" w:rsidRPr="00BB42E0">
        <w:rPr>
          <w:rFonts w:eastAsia="Calibri" w:cs="Arial"/>
          <w:lang w:eastAsia="en-US"/>
        </w:rPr>
        <w:t xml:space="preserve"> son personales e irrepetibles.</w:t>
      </w:r>
    </w:p>
    <w:p w14:paraId="2C367810" w14:textId="77777777" w:rsidR="00D91CB4" w:rsidRPr="00BB42E0" w:rsidRDefault="00D91CB4" w:rsidP="00BB42E0"/>
    <w:p w14:paraId="5C5FA5A8" w14:textId="77777777" w:rsidR="004565C2" w:rsidRPr="00BB42E0" w:rsidRDefault="004565C2" w:rsidP="00BB42E0">
      <w:pPr>
        <w:pStyle w:val="Ttulo3"/>
        <w:rPr>
          <w:rFonts w:eastAsia="Calibri"/>
          <w:lang w:eastAsia="es-ES_tradnl"/>
        </w:rPr>
      </w:pPr>
      <w:bookmarkStart w:id="21" w:name="_Toc170932820"/>
      <w:bookmarkStart w:id="22" w:name="_Toc181795792"/>
      <w:r w:rsidRPr="00BB42E0">
        <w:rPr>
          <w:rFonts w:eastAsia="Calibri"/>
          <w:lang w:eastAsia="es-ES_tradnl"/>
        </w:rPr>
        <w:t>c) Plazo para interponer el recurso</w:t>
      </w:r>
      <w:bookmarkEnd w:id="21"/>
      <w:bookmarkEnd w:id="22"/>
    </w:p>
    <w:p w14:paraId="5C63152A" w14:textId="4A2D355A" w:rsidR="004565C2" w:rsidRPr="00BB42E0" w:rsidRDefault="004565C2" w:rsidP="00BB42E0">
      <w:pPr>
        <w:rPr>
          <w:rFonts w:eastAsiaTheme="minorEastAsia" w:cs="Arial"/>
          <w:lang w:val="es-ES_tradnl"/>
        </w:rPr>
      </w:pPr>
      <w:r w:rsidRPr="00BB42E0">
        <w:rPr>
          <w:rFonts w:cs="Arial"/>
          <w:b/>
        </w:rPr>
        <w:t>EL SUJETO OBLIGADO</w:t>
      </w:r>
      <w:r w:rsidRPr="00BB42E0">
        <w:rPr>
          <w:rFonts w:cs="Arial"/>
        </w:rPr>
        <w:t xml:space="preserve"> notificó la</w:t>
      </w:r>
      <w:r w:rsidR="0068301E" w:rsidRPr="00BB42E0">
        <w:rPr>
          <w:rFonts w:cs="Arial"/>
        </w:rPr>
        <w:t>s</w:t>
      </w:r>
      <w:r w:rsidRPr="00BB42E0">
        <w:rPr>
          <w:rFonts w:cs="Arial"/>
        </w:rPr>
        <w:t xml:space="preserve"> respuesta</w:t>
      </w:r>
      <w:r w:rsidR="0068301E" w:rsidRPr="00BB42E0">
        <w:rPr>
          <w:rFonts w:cs="Arial"/>
        </w:rPr>
        <w:t>s</w:t>
      </w:r>
      <w:r w:rsidRPr="00BB42E0">
        <w:rPr>
          <w:rFonts w:cs="Arial"/>
        </w:rPr>
        <w:t xml:space="preserve"> a la</w:t>
      </w:r>
      <w:r w:rsidR="0068301E" w:rsidRPr="00BB42E0">
        <w:rPr>
          <w:rFonts w:cs="Arial"/>
        </w:rPr>
        <w:t>s</w:t>
      </w:r>
      <w:r w:rsidRPr="00BB42E0">
        <w:rPr>
          <w:rFonts w:cs="Arial"/>
        </w:rPr>
        <w:t xml:space="preserve"> solicitud</w:t>
      </w:r>
      <w:r w:rsidR="0068301E" w:rsidRPr="00BB42E0">
        <w:rPr>
          <w:rFonts w:cs="Arial"/>
        </w:rPr>
        <w:t>es</w:t>
      </w:r>
      <w:r w:rsidRPr="00BB42E0">
        <w:rPr>
          <w:rFonts w:cs="Arial"/>
        </w:rPr>
        <w:t xml:space="preserve"> de acceso a la Información Pública el </w:t>
      </w:r>
      <w:r w:rsidR="00FE107E" w:rsidRPr="00BB42E0">
        <w:rPr>
          <w:rFonts w:eastAsia="Palatino Linotype" w:cs="Palatino Linotype"/>
          <w:b/>
        </w:rPr>
        <w:t xml:space="preserve">cuatro de octubre </w:t>
      </w:r>
      <w:r w:rsidRPr="00BB42E0">
        <w:rPr>
          <w:rFonts w:eastAsia="Palatino Linotype" w:cs="Palatino Linotype"/>
          <w:b/>
        </w:rPr>
        <w:t xml:space="preserve">de dos mil veinticuatro </w:t>
      </w:r>
      <w:r w:rsidRPr="00BB42E0">
        <w:rPr>
          <w:rFonts w:cs="Arial"/>
        </w:rPr>
        <w:t>y</w:t>
      </w:r>
      <w:r w:rsidR="0068301E" w:rsidRPr="00BB42E0">
        <w:rPr>
          <w:rFonts w:cs="Arial"/>
        </w:rPr>
        <w:t xml:space="preserve"> </w:t>
      </w:r>
      <w:r w:rsidRPr="00BB42E0">
        <w:rPr>
          <w:rFonts w:cs="Arial"/>
        </w:rPr>
        <w:t>l</w:t>
      </w:r>
      <w:r w:rsidR="0068301E" w:rsidRPr="00BB42E0">
        <w:rPr>
          <w:rFonts w:cs="Arial"/>
        </w:rPr>
        <w:t>os</w:t>
      </w:r>
      <w:r w:rsidRPr="00BB42E0">
        <w:rPr>
          <w:rFonts w:cs="Arial"/>
        </w:rPr>
        <w:t xml:space="preserve"> recurso</w:t>
      </w:r>
      <w:r w:rsidR="0068301E" w:rsidRPr="00BB42E0">
        <w:rPr>
          <w:rFonts w:cs="Arial"/>
        </w:rPr>
        <w:t>s</w:t>
      </w:r>
      <w:r w:rsidRPr="00BB42E0">
        <w:rPr>
          <w:rFonts w:cs="Arial"/>
        </w:rPr>
        <w:t xml:space="preserve"> </w:t>
      </w:r>
      <w:r w:rsidRPr="00BB42E0">
        <w:rPr>
          <w:rFonts w:eastAsia="Palatino Linotype" w:cs="Palatino Linotype"/>
        </w:rPr>
        <w:t>que nos ocupa</w:t>
      </w:r>
      <w:r w:rsidR="0068301E" w:rsidRPr="00BB42E0">
        <w:rPr>
          <w:rFonts w:eastAsia="Palatino Linotype" w:cs="Palatino Linotype"/>
        </w:rPr>
        <w:t>n</w:t>
      </w:r>
      <w:r w:rsidRPr="00BB42E0">
        <w:rPr>
          <w:rFonts w:eastAsia="Palatino Linotype" w:cs="Palatino Linotype"/>
        </w:rPr>
        <w:t xml:space="preserve"> se interpus</w:t>
      </w:r>
      <w:r w:rsidR="0068301E" w:rsidRPr="00BB42E0">
        <w:rPr>
          <w:rFonts w:eastAsia="Palatino Linotype" w:cs="Palatino Linotype"/>
        </w:rPr>
        <w:t xml:space="preserve">ieron </w:t>
      </w:r>
      <w:r w:rsidRPr="00BB42E0">
        <w:rPr>
          <w:rFonts w:eastAsia="Palatino Linotype" w:cs="Palatino Linotype"/>
        </w:rPr>
        <w:t xml:space="preserve">el </w:t>
      </w:r>
      <w:r w:rsidR="00FE107E" w:rsidRPr="00BB42E0">
        <w:rPr>
          <w:rFonts w:eastAsia="Palatino Linotype" w:cs="Palatino Linotype"/>
          <w:b/>
        </w:rPr>
        <w:t xml:space="preserve">seis de octubre </w:t>
      </w:r>
      <w:r w:rsidRPr="00BB42E0">
        <w:rPr>
          <w:rFonts w:eastAsia="Palatino Linotype" w:cs="Palatino Linotype"/>
          <w:b/>
        </w:rPr>
        <w:t>de dos mil veinticuatro</w:t>
      </w:r>
      <w:r w:rsidRPr="00BB42E0">
        <w:rPr>
          <w:rFonts w:eastAsia="Palatino Linotype" w:cs="Palatino Linotype"/>
          <w:bCs/>
        </w:rPr>
        <w:t>;</w:t>
      </w:r>
      <w:r w:rsidRPr="00BB42E0">
        <w:rPr>
          <w:rFonts w:eastAsia="Palatino Linotype" w:cs="Palatino Linotype"/>
        </w:rPr>
        <w:t xml:space="preserve"> por lo tanto, éste se encuentra dentro del margen temporal previsto en el artículo 178 de la </w:t>
      </w:r>
      <w:r w:rsidRPr="00BB42E0">
        <w:rPr>
          <w:rFonts w:cs="Arial"/>
        </w:rPr>
        <w:t xml:space="preserve">Ley de Transparencia y Acceso a la Información Pública del Estado de México y Municipios, </w:t>
      </w:r>
      <w:r w:rsidRPr="00BB42E0">
        <w:rPr>
          <w:rFonts w:eastAsia="Calibri"/>
          <w:lang w:eastAsia="es-ES_tradnl"/>
        </w:rPr>
        <w:t xml:space="preserve">el cual </w:t>
      </w:r>
      <w:r w:rsidRPr="00BB42E0">
        <w:rPr>
          <w:rFonts w:cs="Arial"/>
        </w:rPr>
        <w:t xml:space="preserve">transcurrió del </w:t>
      </w:r>
      <w:r w:rsidR="00FE107E" w:rsidRPr="00BB42E0">
        <w:rPr>
          <w:rFonts w:cs="Arial"/>
          <w:b/>
        </w:rPr>
        <w:t xml:space="preserve">siete al veinticinco de octubre </w:t>
      </w:r>
      <w:r w:rsidRPr="00BB42E0">
        <w:rPr>
          <w:rFonts w:cs="Arial"/>
          <w:b/>
        </w:rPr>
        <w:t>de dos mil veinticuatro</w:t>
      </w:r>
      <w:r w:rsidRPr="00BB42E0">
        <w:rPr>
          <w:rFonts w:cs="Arial"/>
        </w:rPr>
        <w:t xml:space="preserve">, </w:t>
      </w:r>
      <w:r w:rsidRPr="00BB42E0">
        <w:rPr>
          <w:rFonts w:eastAsiaTheme="minorEastAsia" w:cs="Arial"/>
          <w:lang w:val="es-ES_tradnl"/>
        </w:rPr>
        <w:t xml:space="preserve">sin contemplar en el cómputo los días </w:t>
      </w:r>
      <w:bookmarkStart w:id="23" w:name="_Hlk62134391"/>
      <w:r w:rsidRPr="00BB42E0">
        <w:rPr>
          <w:rFonts w:eastAsiaTheme="minorEastAsia" w:cs="Arial"/>
          <w:lang w:val="es-ES_tradnl"/>
        </w:rPr>
        <w:t xml:space="preserve">sábados, domingos y aquellos considerados como días inhábiles en términos del </w:t>
      </w:r>
      <w:bookmarkEnd w:id="23"/>
      <w:r w:rsidRPr="00BB42E0">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BB42E0" w:rsidRDefault="004565C2" w:rsidP="00BB42E0"/>
    <w:p w14:paraId="46C0EB3A" w14:textId="5A92AF42" w:rsidR="00A53315" w:rsidRPr="00BB42E0" w:rsidRDefault="00BA55A8" w:rsidP="00BB42E0">
      <w:pPr>
        <w:pStyle w:val="Ttulo3"/>
        <w:rPr>
          <w:rFonts w:eastAsia="Calibri"/>
          <w:lang w:eastAsia="es-ES_tradnl"/>
        </w:rPr>
      </w:pPr>
      <w:bookmarkStart w:id="24" w:name="_Toc181795793"/>
      <w:r w:rsidRPr="00BB42E0">
        <w:rPr>
          <w:rFonts w:eastAsia="Calibri"/>
          <w:lang w:eastAsia="es-ES_tradnl"/>
        </w:rPr>
        <w:lastRenderedPageBreak/>
        <w:t>d)</w:t>
      </w:r>
      <w:r w:rsidR="00D91CB4" w:rsidRPr="00BB42E0">
        <w:rPr>
          <w:rFonts w:eastAsia="Calibri"/>
          <w:lang w:eastAsia="es-ES_tradnl"/>
        </w:rPr>
        <w:t xml:space="preserve"> </w:t>
      </w:r>
      <w:r w:rsidR="004565C2" w:rsidRPr="00BB42E0">
        <w:rPr>
          <w:rFonts w:eastAsia="Calibri"/>
          <w:lang w:eastAsia="es-ES_tradnl"/>
        </w:rPr>
        <w:t>Causal de procedencia</w:t>
      </w:r>
      <w:bookmarkEnd w:id="24"/>
    </w:p>
    <w:p w14:paraId="190404A6" w14:textId="436496B6" w:rsidR="00BA55A8" w:rsidRPr="00BB42E0" w:rsidRDefault="00BA55A8" w:rsidP="00BB42E0">
      <w:r w:rsidRPr="00BB42E0">
        <w:rPr>
          <w:rFonts w:cs="Arial"/>
        </w:rPr>
        <w:t>Resulta</w:t>
      </w:r>
      <w:r w:rsidR="0068301E" w:rsidRPr="00BB42E0">
        <w:rPr>
          <w:rFonts w:cs="Arial"/>
        </w:rPr>
        <w:t>n</w:t>
      </w:r>
      <w:r w:rsidRPr="00BB42E0">
        <w:rPr>
          <w:rFonts w:cs="Arial"/>
        </w:rPr>
        <w:t xml:space="preserve"> procedente</w:t>
      </w:r>
      <w:r w:rsidR="0068301E" w:rsidRPr="00BB42E0">
        <w:rPr>
          <w:rFonts w:cs="Arial"/>
        </w:rPr>
        <w:t>s</w:t>
      </w:r>
      <w:r w:rsidRPr="00BB42E0">
        <w:rPr>
          <w:rFonts w:cs="Arial"/>
        </w:rPr>
        <w:t xml:space="preserve"> la interposición del recurso de revisión, ya que </w:t>
      </w:r>
      <w:r w:rsidRPr="00BB42E0">
        <w:rPr>
          <w:rFonts w:eastAsia="Calibri" w:cs="Tahoma"/>
          <w:szCs w:val="22"/>
          <w:lang w:eastAsia="es-MX"/>
        </w:rPr>
        <w:t xml:space="preserve">se actualiza la causal de procedencia señalada en el artículo 179, fracción </w:t>
      </w:r>
      <w:r w:rsidR="004565C2" w:rsidRPr="00BB42E0">
        <w:rPr>
          <w:rFonts w:eastAsia="Calibri" w:cs="Tahoma"/>
          <w:szCs w:val="22"/>
          <w:lang w:eastAsia="es-MX"/>
        </w:rPr>
        <w:t>I</w:t>
      </w:r>
      <w:r w:rsidRPr="00BB42E0">
        <w:rPr>
          <w:rFonts w:cs="Arial"/>
        </w:rPr>
        <w:t xml:space="preserve"> de la </w:t>
      </w:r>
      <w:r w:rsidRPr="00BB42E0">
        <w:t>Ley de Transparencia y Acceso a la Información Pública del Estado de México y Municipios.</w:t>
      </w:r>
    </w:p>
    <w:p w14:paraId="0EFF7141" w14:textId="77777777" w:rsidR="00362A11" w:rsidRPr="00BB42E0" w:rsidRDefault="00362A11" w:rsidP="00BB42E0"/>
    <w:p w14:paraId="2284D7EB" w14:textId="3EE1D036" w:rsidR="00BA55A8" w:rsidRPr="00BB42E0" w:rsidRDefault="00362A11" w:rsidP="00BB42E0">
      <w:pPr>
        <w:pStyle w:val="Ttulo3"/>
      </w:pPr>
      <w:bookmarkStart w:id="25" w:name="_Toc181795794"/>
      <w:r w:rsidRPr="00BB42E0">
        <w:t>e) Requisitos formales para la interposición del recurso</w:t>
      </w:r>
      <w:bookmarkEnd w:id="25"/>
    </w:p>
    <w:p w14:paraId="6390674A" w14:textId="78A894DD" w:rsidR="00BA55A8" w:rsidRPr="00BB42E0" w:rsidRDefault="00BA55A8" w:rsidP="00BB42E0">
      <w:pPr>
        <w:rPr>
          <w:rFonts w:cs="Arial"/>
        </w:rPr>
      </w:pPr>
      <w:r w:rsidRPr="00BB42E0">
        <w:rPr>
          <w:rFonts w:cs="Arial"/>
          <w:b/>
          <w:bCs/>
        </w:rPr>
        <w:t xml:space="preserve">LA PARTE RECURRENTE </w:t>
      </w:r>
      <w:r w:rsidRPr="00BB42E0">
        <w:rPr>
          <w:rFonts w:cs="Arial"/>
        </w:rPr>
        <w:t>acreditó todos y cada uno de los elementos formales exigidos por el artículo 180 de la misma normatividad.</w:t>
      </w:r>
    </w:p>
    <w:p w14:paraId="20BDA7EE" w14:textId="77777777" w:rsidR="005F5301" w:rsidRPr="00BB42E0" w:rsidRDefault="005F5301" w:rsidP="00BB42E0">
      <w:pPr>
        <w:rPr>
          <w:rFonts w:cs="Arial"/>
        </w:rPr>
      </w:pPr>
    </w:p>
    <w:p w14:paraId="0A72CD10" w14:textId="1E28C742" w:rsidR="0068301E" w:rsidRPr="00BB42E0" w:rsidRDefault="0068301E" w:rsidP="00BB42E0">
      <w:pPr>
        <w:rPr>
          <w:rFonts w:cs="Arial"/>
          <w:sz w:val="24"/>
          <w:szCs w:val="24"/>
          <w:lang w:val="es-ES"/>
        </w:rPr>
      </w:pPr>
      <w:r w:rsidRPr="00BB42E0">
        <w:rPr>
          <w:sz w:val="24"/>
          <w:szCs w:val="24"/>
          <w:lang w:val="es-ES"/>
        </w:rPr>
        <w:t xml:space="preserve">Sin embargo, es importante mencionar que, de la revisión de los expedientes electrónicos del </w:t>
      </w:r>
      <w:r w:rsidRPr="00BB42E0">
        <w:rPr>
          <w:b/>
          <w:bCs/>
          <w:sz w:val="24"/>
          <w:szCs w:val="24"/>
          <w:lang w:val="es-ES"/>
        </w:rPr>
        <w:t>SAIMEX</w:t>
      </w:r>
      <w:r w:rsidRPr="00BB42E0">
        <w:rPr>
          <w:bCs/>
          <w:sz w:val="24"/>
          <w:szCs w:val="24"/>
          <w:lang w:val="es-ES"/>
        </w:rPr>
        <w:t>,</w:t>
      </w:r>
      <w:r w:rsidRPr="00BB42E0">
        <w:rPr>
          <w:sz w:val="24"/>
          <w:szCs w:val="24"/>
          <w:lang w:val="es-ES"/>
        </w:rPr>
        <w:t xml:space="preserve"> se observa que </w:t>
      </w:r>
      <w:r w:rsidRPr="00BB42E0">
        <w:rPr>
          <w:b/>
          <w:bCs/>
          <w:sz w:val="24"/>
          <w:szCs w:val="24"/>
          <w:lang w:val="es-ES"/>
        </w:rPr>
        <w:t>LA PARTE RECURRENTE</w:t>
      </w:r>
      <w:r w:rsidRPr="00BB42E0">
        <w:rPr>
          <w:sz w:val="24"/>
          <w:szCs w:val="24"/>
          <w:lang w:val="es-ES"/>
        </w:rPr>
        <w:t xml:space="preserve"> no proporcionó su nombre para ser identificado, lo que en estricto sentido provoca que </w:t>
      </w:r>
      <w:r w:rsidRPr="00BB42E0">
        <w:rPr>
          <w:rFonts w:cs="Arial"/>
          <w:sz w:val="24"/>
          <w:szCs w:val="24"/>
          <w:lang w:val="es-ES"/>
        </w:rPr>
        <w:t>no</w:t>
      </w:r>
      <w:r w:rsidRPr="00BB42E0">
        <w:rPr>
          <w:sz w:val="24"/>
          <w:szCs w:val="24"/>
          <w:lang w:val="es-ES"/>
        </w:rPr>
        <w:t xml:space="preserve"> se colmen los requisitos establecidos en el artículo 180 de la Ley de Transparencia; sin embargo, el artículo 15 de </w:t>
      </w:r>
      <w:r w:rsidRPr="00BB42E0">
        <w:rPr>
          <w:rFonts w:cs="Arial"/>
          <w:sz w:val="24"/>
          <w:szCs w:val="24"/>
          <w:lang w:val="es-ES" w:eastAsia="es-MX"/>
        </w:rPr>
        <w:t xml:space="preserve">Ley de Transparencia y Acceso a la </w:t>
      </w:r>
      <w:r w:rsidRPr="00BB42E0">
        <w:rPr>
          <w:rFonts w:cs="Arial"/>
          <w:sz w:val="24"/>
          <w:szCs w:val="24"/>
          <w:lang w:val="es-ES"/>
        </w:rPr>
        <w:t>Información</w:t>
      </w:r>
      <w:r w:rsidRPr="00BB42E0">
        <w:rPr>
          <w:rFonts w:cs="Arial"/>
          <w:sz w:val="24"/>
          <w:szCs w:val="24"/>
          <w:lang w:val="es-ES" w:eastAsia="es-MX"/>
        </w:rPr>
        <w:t xml:space="preserve"> Pública del Estado de México y Municipios </w:t>
      </w:r>
      <w:r w:rsidRPr="00BB42E0">
        <w:rPr>
          <w:rFonts w:cs="Arial"/>
          <w:iCs/>
          <w:sz w:val="24"/>
          <w:szCs w:val="24"/>
          <w:lang w:val="es-ES"/>
        </w:rPr>
        <w:t xml:space="preserve">prevé que </w:t>
      </w:r>
      <w:r w:rsidRPr="00BB42E0">
        <w:rPr>
          <w:sz w:val="24"/>
          <w:szCs w:val="24"/>
          <w:lang w:val="es-ES"/>
        </w:rPr>
        <w:t xml:space="preserve">toda persona tendrá acceso a la información </w:t>
      </w:r>
      <w:r w:rsidRPr="00BB42E0">
        <w:rPr>
          <w:rFonts w:cs="Arial"/>
          <w:sz w:val="24"/>
          <w:szCs w:val="24"/>
          <w:lang w:val="es-ES"/>
        </w:rPr>
        <w:t xml:space="preserve">sin necesidad de acreditar interés alguno o justificar su utilización, de lo que se infiere que </w:t>
      </w:r>
      <w:r w:rsidRPr="00BB42E0">
        <w:rPr>
          <w:rFonts w:cs="Arial"/>
          <w:b/>
          <w:sz w:val="24"/>
          <w:szCs w:val="24"/>
          <w:u w:val="single"/>
          <w:lang w:val="es-ES"/>
        </w:rPr>
        <w:t xml:space="preserve">el nombre no es un requisito </w:t>
      </w:r>
      <w:r w:rsidRPr="00BB42E0">
        <w:rPr>
          <w:rFonts w:cs="Arial"/>
          <w:b/>
          <w:iCs/>
          <w:sz w:val="24"/>
          <w:szCs w:val="24"/>
          <w:u w:val="single"/>
          <w:lang w:val="es-ES"/>
        </w:rPr>
        <w:t>indispensable</w:t>
      </w:r>
      <w:r w:rsidRPr="00BB42E0">
        <w:rPr>
          <w:rFonts w:cs="Arial"/>
          <w:sz w:val="24"/>
          <w:szCs w:val="24"/>
          <w:lang w:val="es-ES"/>
        </w:rPr>
        <w:t xml:space="preserve"> para que las y los ciudadanos ejerzan el derecho de acceso a la información pública. </w:t>
      </w:r>
    </w:p>
    <w:p w14:paraId="71319967" w14:textId="77777777" w:rsidR="0068301E" w:rsidRPr="00BB42E0" w:rsidRDefault="0068301E" w:rsidP="00BB42E0">
      <w:pPr>
        <w:rPr>
          <w:rFonts w:cs="Arial"/>
          <w:sz w:val="24"/>
          <w:szCs w:val="24"/>
          <w:lang w:val="es-ES"/>
        </w:rPr>
      </w:pPr>
    </w:p>
    <w:p w14:paraId="16D70646" w14:textId="77777777" w:rsidR="0068301E" w:rsidRPr="00BB42E0" w:rsidRDefault="0068301E" w:rsidP="00BB42E0">
      <w:pPr>
        <w:rPr>
          <w:sz w:val="24"/>
          <w:szCs w:val="24"/>
          <w:lang w:val="es-ES"/>
        </w:rPr>
      </w:pPr>
      <w:r w:rsidRPr="00BB42E0">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Pr="00BB42E0">
        <w:rPr>
          <w:sz w:val="24"/>
          <w:szCs w:val="24"/>
          <w:lang w:val="es-ES"/>
        </w:rPr>
        <w:t xml:space="preserve"> En adición a lo anterior, el propio artículo 180, en su último párrafo, establece que cuando el recurso de revisión se interponga de manera electrónica no será indispensable que contenga algunos requisitos, entre ellos, </w:t>
      </w:r>
      <w:r w:rsidRPr="00BB42E0">
        <w:rPr>
          <w:sz w:val="24"/>
          <w:szCs w:val="24"/>
          <w:lang w:val="es-ES"/>
        </w:rPr>
        <w:lastRenderedPageBreak/>
        <w:t xml:space="preserve">el nombre de </w:t>
      </w:r>
      <w:r w:rsidRPr="00BB42E0">
        <w:rPr>
          <w:b/>
          <w:bCs/>
          <w:sz w:val="24"/>
          <w:szCs w:val="24"/>
          <w:lang w:val="es-ES"/>
        </w:rPr>
        <w:t>LA PARTE RECURRENTE</w:t>
      </w:r>
      <w:r w:rsidRPr="00BB42E0">
        <w:rPr>
          <w:rFonts w:cs="Arial"/>
          <w:b/>
          <w:sz w:val="24"/>
          <w:szCs w:val="24"/>
          <w:lang w:val="es-ES"/>
        </w:rPr>
        <w:t>;</w:t>
      </w:r>
      <w:r w:rsidRPr="00BB42E0">
        <w:rPr>
          <w:sz w:val="24"/>
          <w:szCs w:val="24"/>
          <w:lang w:val="es-ES"/>
        </w:rPr>
        <w:t xml:space="preserve"> por lo que, en el presente caso, al haber sido presentado el recurso de revisión vía </w:t>
      </w:r>
      <w:r w:rsidRPr="00BB42E0">
        <w:rPr>
          <w:bCs/>
          <w:sz w:val="24"/>
          <w:szCs w:val="24"/>
          <w:lang w:val="es-ES"/>
        </w:rPr>
        <w:t>SAIMEX</w:t>
      </w:r>
      <w:r w:rsidRPr="00BB42E0">
        <w:rPr>
          <w:sz w:val="24"/>
          <w:szCs w:val="24"/>
          <w:lang w:val="es-ES"/>
        </w:rPr>
        <w:t>, dicho requisito resulta innecesario.</w:t>
      </w:r>
    </w:p>
    <w:p w14:paraId="521856AA" w14:textId="77777777" w:rsidR="0068301E" w:rsidRPr="00BB42E0" w:rsidRDefault="0068301E" w:rsidP="00BB42E0">
      <w:pPr>
        <w:rPr>
          <w:rFonts w:cs="Arial"/>
        </w:rPr>
      </w:pPr>
    </w:p>
    <w:p w14:paraId="457548E9" w14:textId="3F7AF03B" w:rsidR="00C71CEF" w:rsidRPr="00BB42E0" w:rsidRDefault="00C71CEF" w:rsidP="00BB42E0">
      <w:pPr>
        <w:pStyle w:val="Ttulo2"/>
      </w:pPr>
      <w:bookmarkStart w:id="26" w:name="_Toc181795795"/>
      <w:r w:rsidRPr="00BB42E0">
        <w:t>SEGUNDO. Estudio de Fondo</w:t>
      </w:r>
      <w:bookmarkEnd w:id="26"/>
    </w:p>
    <w:p w14:paraId="2A308F59" w14:textId="0FF373F0" w:rsidR="00C049E2" w:rsidRPr="00BB42E0" w:rsidRDefault="00C71CEF" w:rsidP="00BB42E0">
      <w:pPr>
        <w:pStyle w:val="Ttulo3"/>
      </w:pPr>
      <w:bookmarkStart w:id="27" w:name="_Toc181795796"/>
      <w:r w:rsidRPr="00BB42E0">
        <w:t>a</w:t>
      </w:r>
      <w:r w:rsidR="00C049E2" w:rsidRPr="00BB42E0">
        <w:t>) Mandato de transparencia y responsabilidad del Sujeto Obligado</w:t>
      </w:r>
      <w:bookmarkEnd w:id="27"/>
    </w:p>
    <w:p w14:paraId="6901A889" w14:textId="59EEDAE1" w:rsidR="00C049E2" w:rsidRPr="00BB42E0" w:rsidRDefault="00C049E2" w:rsidP="00BB42E0">
      <w:pPr>
        <w:rPr>
          <w:rFonts w:eastAsia="Palatino Linotype"/>
        </w:rPr>
      </w:pPr>
      <w:r w:rsidRPr="00BB42E0">
        <w:rPr>
          <w:rFonts w:eastAsia="Palatino Linotype"/>
        </w:rPr>
        <w:t xml:space="preserve">El </w:t>
      </w:r>
      <w:r w:rsidR="00717E59" w:rsidRPr="00BB42E0">
        <w:rPr>
          <w:rFonts w:eastAsia="Palatino Linotype"/>
        </w:rPr>
        <w:t>d</w:t>
      </w:r>
      <w:r w:rsidRPr="00BB42E0">
        <w:rPr>
          <w:rFonts w:eastAsia="Palatino Linotype"/>
        </w:rPr>
        <w:t xml:space="preserve">erecho de </w:t>
      </w:r>
      <w:r w:rsidR="00717E59" w:rsidRPr="00BB42E0">
        <w:rPr>
          <w:rFonts w:eastAsia="Palatino Linotype"/>
        </w:rPr>
        <w:t>a</w:t>
      </w:r>
      <w:r w:rsidRPr="00BB42E0">
        <w:rPr>
          <w:rFonts w:eastAsia="Palatino Linotype"/>
        </w:rPr>
        <w:t xml:space="preserve">cceso a la </w:t>
      </w:r>
      <w:r w:rsidR="00717E59" w:rsidRPr="00BB42E0">
        <w:rPr>
          <w:rFonts w:eastAsia="Palatino Linotype"/>
        </w:rPr>
        <w:t>i</w:t>
      </w:r>
      <w:r w:rsidRPr="00BB42E0">
        <w:rPr>
          <w:rFonts w:eastAsia="Palatino Linotype"/>
        </w:rPr>
        <w:t xml:space="preserve">nformación </w:t>
      </w:r>
      <w:r w:rsidR="00717E59" w:rsidRPr="00BB42E0">
        <w:rPr>
          <w:rFonts w:eastAsia="Palatino Linotype"/>
        </w:rPr>
        <w:t>p</w:t>
      </w:r>
      <w:r w:rsidRPr="00BB42E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BB42E0">
        <w:rPr>
          <w:rFonts w:eastAsia="Palatino Linotype"/>
        </w:rPr>
        <w:t>:</w:t>
      </w:r>
    </w:p>
    <w:p w14:paraId="7FAB8D32" w14:textId="77777777" w:rsidR="00C049E2" w:rsidRPr="00BB42E0" w:rsidRDefault="00C049E2" w:rsidP="00BB42E0">
      <w:pPr>
        <w:rPr>
          <w:rFonts w:eastAsia="Palatino Linotype"/>
        </w:rPr>
      </w:pPr>
    </w:p>
    <w:p w14:paraId="05320813" w14:textId="77777777" w:rsidR="00C049E2" w:rsidRPr="00BB42E0" w:rsidRDefault="00C049E2" w:rsidP="00BB42E0">
      <w:pPr>
        <w:pStyle w:val="Puesto"/>
        <w:rPr>
          <w:rFonts w:eastAsia="Palatino Linotype"/>
          <w:b/>
        </w:rPr>
      </w:pPr>
      <w:r w:rsidRPr="00BB42E0">
        <w:rPr>
          <w:rFonts w:eastAsia="Palatino Linotype"/>
          <w:b/>
        </w:rPr>
        <w:t>Constitución Política de los Estados Unidos Mexicanos</w:t>
      </w:r>
    </w:p>
    <w:p w14:paraId="6B6C67B6" w14:textId="77777777" w:rsidR="00C049E2" w:rsidRPr="00BB42E0" w:rsidRDefault="00C049E2" w:rsidP="00BB42E0">
      <w:pPr>
        <w:pStyle w:val="Puesto"/>
        <w:rPr>
          <w:rFonts w:eastAsia="Palatino Linotype"/>
          <w:b/>
        </w:rPr>
      </w:pPr>
      <w:r w:rsidRPr="00BB42E0">
        <w:rPr>
          <w:rFonts w:eastAsia="Palatino Linotype"/>
        </w:rPr>
        <w:t>“</w:t>
      </w:r>
      <w:r w:rsidRPr="00BB42E0">
        <w:rPr>
          <w:rFonts w:eastAsia="Palatino Linotype"/>
          <w:b/>
        </w:rPr>
        <w:t>Artículo 6.</w:t>
      </w:r>
    </w:p>
    <w:p w14:paraId="38D3B4C4" w14:textId="77777777" w:rsidR="00C049E2" w:rsidRPr="00BB42E0" w:rsidRDefault="00C049E2" w:rsidP="00BB42E0">
      <w:pPr>
        <w:pStyle w:val="Puesto"/>
        <w:rPr>
          <w:rFonts w:eastAsia="Palatino Linotype"/>
        </w:rPr>
      </w:pPr>
      <w:r w:rsidRPr="00BB42E0">
        <w:rPr>
          <w:rFonts w:eastAsia="Palatino Linotype"/>
        </w:rPr>
        <w:t>(…)</w:t>
      </w:r>
    </w:p>
    <w:p w14:paraId="2CCAA297" w14:textId="6602827B" w:rsidR="00C049E2" w:rsidRPr="00BB42E0" w:rsidRDefault="00C049E2" w:rsidP="00BB42E0">
      <w:pPr>
        <w:pStyle w:val="Puesto"/>
        <w:rPr>
          <w:rFonts w:eastAsia="Palatino Linotype"/>
        </w:rPr>
      </w:pPr>
      <w:r w:rsidRPr="00BB42E0">
        <w:rPr>
          <w:rFonts w:eastAsia="Palatino Linotype"/>
        </w:rPr>
        <w:t>Para efectos de lo dispuesto en el presente artículo se observará lo siguiente:</w:t>
      </w:r>
    </w:p>
    <w:p w14:paraId="74CC3718" w14:textId="77777777" w:rsidR="00C049E2" w:rsidRPr="00BB42E0" w:rsidRDefault="00C049E2" w:rsidP="00BB42E0">
      <w:pPr>
        <w:pStyle w:val="Puesto"/>
        <w:rPr>
          <w:rFonts w:eastAsia="Palatino Linotype"/>
        </w:rPr>
      </w:pPr>
      <w:r w:rsidRPr="00BB42E0">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BB42E0" w:rsidRDefault="00C049E2" w:rsidP="00BB42E0">
      <w:pPr>
        <w:pStyle w:val="Puesto"/>
        <w:rPr>
          <w:rFonts w:eastAsia="Palatino Linotype"/>
        </w:rPr>
      </w:pPr>
      <w:r w:rsidRPr="00BB42E0">
        <w:rPr>
          <w:rFonts w:eastAsia="Palatino Linotype"/>
        </w:rPr>
        <w:t xml:space="preserve">I. </w:t>
      </w:r>
      <w:r w:rsidRPr="00BB42E0">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BB42E0" w:rsidRDefault="00C049E2" w:rsidP="00BB42E0">
      <w:pPr>
        <w:pStyle w:val="Puesto"/>
        <w:rPr>
          <w:rFonts w:eastAsia="Palatino Linotype"/>
        </w:rPr>
      </w:pPr>
    </w:p>
    <w:p w14:paraId="504F12DB" w14:textId="77777777" w:rsidR="00C049E2" w:rsidRPr="00BB42E0" w:rsidRDefault="00C049E2" w:rsidP="00BB42E0">
      <w:pPr>
        <w:pStyle w:val="Puesto"/>
        <w:rPr>
          <w:rFonts w:eastAsia="Palatino Linotype"/>
          <w:b/>
        </w:rPr>
      </w:pPr>
      <w:r w:rsidRPr="00BB42E0">
        <w:rPr>
          <w:rFonts w:eastAsia="Palatino Linotype"/>
          <w:b/>
        </w:rPr>
        <w:t>Constitución Política del Estado Libre y Soberano de México</w:t>
      </w:r>
    </w:p>
    <w:p w14:paraId="04932D29" w14:textId="77777777" w:rsidR="00C049E2" w:rsidRPr="00BB42E0" w:rsidRDefault="00C049E2" w:rsidP="00BB42E0">
      <w:pPr>
        <w:pStyle w:val="Puesto"/>
        <w:rPr>
          <w:rFonts w:eastAsia="Palatino Linotype"/>
          <w:b/>
        </w:rPr>
      </w:pPr>
      <w:r w:rsidRPr="00BB42E0">
        <w:rPr>
          <w:rFonts w:eastAsia="Palatino Linotype"/>
        </w:rPr>
        <w:t>“</w:t>
      </w:r>
      <w:r w:rsidRPr="00BB42E0">
        <w:rPr>
          <w:rFonts w:eastAsia="Palatino Linotype"/>
          <w:b/>
        </w:rPr>
        <w:t xml:space="preserve">Artículo 5.- </w:t>
      </w:r>
    </w:p>
    <w:p w14:paraId="1D3829F4" w14:textId="77777777" w:rsidR="00C049E2" w:rsidRPr="00BB42E0" w:rsidRDefault="00C049E2" w:rsidP="00BB42E0">
      <w:pPr>
        <w:pStyle w:val="Puesto"/>
        <w:rPr>
          <w:rFonts w:eastAsia="Palatino Linotype"/>
        </w:rPr>
      </w:pPr>
      <w:r w:rsidRPr="00BB42E0">
        <w:rPr>
          <w:rFonts w:eastAsia="Palatino Linotype"/>
        </w:rPr>
        <w:t>(…)</w:t>
      </w:r>
    </w:p>
    <w:p w14:paraId="0EAE47FD" w14:textId="77777777" w:rsidR="00C049E2" w:rsidRPr="00BB42E0" w:rsidRDefault="00C049E2" w:rsidP="00BB42E0">
      <w:pPr>
        <w:pStyle w:val="Puesto"/>
        <w:rPr>
          <w:rFonts w:eastAsia="Palatino Linotype"/>
        </w:rPr>
      </w:pPr>
      <w:r w:rsidRPr="00BB42E0">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BB42E0" w:rsidRDefault="00C049E2" w:rsidP="00BB42E0">
      <w:pPr>
        <w:pStyle w:val="Puesto"/>
        <w:rPr>
          <w:rFonts w:eastAsia="Palatino Linotype"/>
        </w:rPr>
      </w:pPr>
      <w:r w:rsidRPr="00BB42E0">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BB42E0" w:rsidRDefault="00C049E2" w:rsidP="00BB42E0">
      <w:pPr>
        <w:pStyle w:val="Puesto"/>
        <w:rPr>
          <w:rFonts w:eastAsia="Palatino Linotype"/>
        </w:rPr>
      </w:pPr>
      <w:r w:rsidRPr="00BB42E0">
        <w:rPr>
          <w:rFonts w:eastAsia="Palatino Linotype"/>
        </w:rPr>
        <w:t>Este derecho se regirá por los principios y bases siguientes:</w:t>
      </w:r>
    </w:p>
    <w:p w14:paraId="4A3E8CBA" w14:textId="77777777" w:rsidR="00C049E2" w:rsidRPr="00BB42E0" w:rsidRDefault="00C049E2" w:rsidP="00BB42E0">
      <w:pPr>
        <w:pStyle w:val="Puesto"/>
        <w:rPr>
          <w:rFonts w:eastAsia="Palatino Linotype"/>
        </w:rPr>
      </w:pPr>
      <w:r w:rsidRPr="00BB42E0">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BB42E0" w:rsidRDefault="00C049E2" w:rsidP="00BB42E0">
      <w:pPr>
        <w:rPr>
          <w:rFonts w:eastAsia="Palatino Linotype"/>
          <w:b/>
          <w:i/>
        </w:rPr>
      </w:pPr>
    </w:p>
    <w:p w14:paraId="6FC1BB3B" w14:textId="3BF4A33D" w:rsidR="00C049E2" w:rsidRPr="00BB42E0" w:rsidRDefault="00717E59" w:rsidP="00BB42E0">
      <w:pPr>
        <w:rPr>
          <w:rFonts w:eastAsia="Palatino Linotype"/>
          <w:i/>
        </w:rPr>
      </w:pPr>
      <w:r w:rsidRPr="00BB42E0">
        <w:rPr>
          <w:rFonts w:eastAsia="Palatino Linotype"/>
        </w:rPr>
        <w:t xml:space="preserve">Asimismo, </w:t>
      </w:r>
      <w:r w:rsidR="00C049E2" w:rsidRPr="00BB42E0">
        <w:rPr>
          <w:rFonts w:eastAsia="Palatino Linotype"/>
        </w:rPr>
        <w:t>el artículo 150 de la Ley de Transparencia y Acceso a la Información Pública del Estado de México y Municipios</w:t>
      </w:r>
      <w:r w:rsidR="00057B2D" w:rsidRPr="00BB42E0">
        <w:rPr>
          <w:rFonts w:eastAsia="Palatino Linotype"/>
        </w:rPr>
        <w:t xml:space="preserve"> </w:t>
      </w:r>
      <w:r w:rsidR="00E9335C" w:rsidRPr="00BB42E0">
        <w:rPr>
          <w:rFonts w:eastAsia="Palatino Linotype"/>
        </w:rPr>
        <w:t xml:space="preserve">indica </w:t>
      </w:r>
      <w:r w:rsidR="00057B2D" w:rsidRPr="00BB42E0">
        <w:rPr>
          <w:rFonts w:eastAsia="Palatino Linotype"/>
        </w:rPr>
        <w:t>que</w:t>
      </w:r>
      <w:r w:rsidR="00C049E2" w:rsidRPr="00BB42E0">
        <w:rPr>
          <w:rFonts w:eastAsia="Palatino Linotype"/>
        </w:rPr>
        <w:t xml:space="preserve"> la solicitud es la garantía primaria del Derecho de Acceso a la Información, además, establece que se regirá </w:t>
      </w:r>
      <w:r w:rsidR="00C049E2" w:rsidRPr="00BB42E0">
        <w:rPr>
          <w:rFonts w:eastAsia="Palatino Linotype"/>
          <w:i/>
        </w:rPr>
        <w:t>por los principios de simplicidad, rapidez</w:t>
      </w:r>
      <w:r w:rsidR="005F65B7" w:rsidRPr="00BB42E0">
        <w:rPr>
          <w:rFonts w:eastAsia="Palatino Linotype"/>
          <w:i/>
        </w:rPr>
        <w:t>,</w:t>
      </w:r>
      <w:r w:rsidR="00C049E2" w:rsidRPr="00BB42E0">
        <w:rPr>
          <w:rFonts w:eastAsia="Palatino Linotype"/>
          <w:i/>
        </w:rPr>
        <w:t xml:space="preserve"> gratuidad del procedimiento, auxilio y orientación a los particulare</w:t>
      </w:r>
      <w:r w:rsidR="001A58B3" w:rsidRPr="00BB42E0">
        <w:rPr>
          <w:rFonts w:eastAsia="Palatino Linotype"/>
          <w:i/>
        </w:rPr>
        <w:t>s.</w:t>
      </w:r>
    </w:p>
    <w:p w14:paraId="033466A6" w14:textId="77777777" w:rsidR="001A58B3" w:rsidRPr="00BB42E0" w:rsidRDefault="001A58B3" w:rsidP="00BB42E0">
      <w:pPr>
        <w:rPr>
          <w:rFonts w:eastAsia="Palatino Linotype"/>
          <w:i/>
        </w:rPr>
      </w:pPr>
    </w:p>
    <w:p w14:paraId="04ADA10B" w14:textId="574A944A" w:rsidR="001A58B3" w:rsidRPr="00BB42E0" w:rsidRDefault="00233F17" w:rsidP="00BB42E0">
      <w:pPr>
        <w:rPr>
          <w:rFonts w:eastAsia="Palatino Linotype" w:cs="Palatino Linotype"/>
          <w:i/>
          <w:szCs w:val="22"/>
        </w:rPr>
      </w:pPr>
      <w:r w:rsidRPr="00BB42E0">
        <w:rPr>
          <w:rFonts w:eastAsia="Palatino Linotype" w:cs="Palatino Linotype"/>
        </w:rPr>
        <w:t xml:space="preserve">Por su parte, el artículo 4 de </w:t>
      </w:r>
      <w:r w:rsidR="001A58B3" w:rsidRPr="00BB42E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BB42E0">
        <w:rPr>
          <w:rFonts w:eastAsia="Palatino Linotype" w:cs="Palatino Linotype"/>
        </w:rPr>
        <w:t>.</w:t>
      </w:r>
    </w:p>
    <w:p w14:paraId="1407DBB8" w14:textId="77777777" w:rsidR="001A58B3" w:rsidRPr="00BB42E0" w:rsidRDefault="001A58B3" w:rsidP="00BB42E0">
      <w:pPr>
        <w:rPr>
          <w:rFonts w:eastAsia="Palatino Linotype" w:cs="Palatino Linotype"/>
        </w:rPr>
      </w:pPr>
    </w:p>
    <w:p w14:paraId="7552AA79" w14:textId="5C52E4A4" w:rsidR="001A58B3" w:rsidRPr="00BB42E0" w:rsidRDefault="001A58B3" w:rsidP="00BB42E0">
      <w:pPr>
        <w:rPr>
          <w:rFonts w:eastAsia="Palatino Linotype" w:cs="Palatino Linotype"/>
        </w:rPr>
      </w:pPr>
      <w:r w:rsidRPr="00BB42E0">
        <w:rPr>
          <w:rFonts w:eastAsia="Palatino Linotype" w:cs="Palatino Linotype"/>
        </w:rPr>
        <w:t xml:space="preserve">Esto es, que los Sujetos Obligados </w:t>
      </w:r>
      <w:r w:rsidR="00FA5957" w:rsidRPr="00BB42E0">
        <w:rPr>
          <w:rFonts w:eastAsia="Palatino Linotype" w:cs="Palatino Linotype"/>
        </w:rPr>
        <w:t>deben</w:t>
      </w:r>
      <w:r w:rsidRPr="00BB42E0">
        <w:rPr>
          <w:rFonts w:eastAsia="Palatino Linotype" w:cs="Palatino Linotype"/>
        </w:rPr>
        <w:t xml:space="preserve"> atender las solicitudes de acceso a la información pública que se les </w:t>
      </w:r>
      <w:r w:rsidR="00FA5957" w:rsidRPr="00BB42E0">
        <w:rPr>
          <w:rFonts w:eastAsia="Palatino Linotype" w:cs="Palatino Linotype"/>
        </w:rPr>
        <w:t>sean realizadas,</w:t>
      </w:r>
      <w:r w:rsidRPr="00BB42E0">
        <w:rPr>
          <w:rFonts w:eastAsia="Palatino Linotype" w:cs="Palatino Linotype"/>
        </w:rPr>
        <w:t xml:space="preserve"> y proporcionar la información pública que obre en su poder</w:t>
      </w:r>
      <w:r w:rsidR="00FA5957" w:rsidRPr="00BB42E0">
        <w:rPr>
          <w:rFonts w:eastAsia="Palatino Linotype" w:cs="Palatino Linotype"/>
        </w:rPr>
        <w:t>,</w:t>
      </w:r>
      <w:r w:rsidRPr="00BB42E0">
        <w:rPr>
          <w:rFonts w:eastAsia="Palatino Linotype" w:cs="Palatino Linotype"/>
        </w:rPr>
        <w:t xml:space="preserve"> conforme </w:t>
      </w:r>
      <w:r w:rsidR="00FA5957" w:rsidRPr="00BB42E0">
        <w:rPr>
          <w:rFonts w:eastAsia="Palatino Linotype" w:cs="Palatino Linotype"/>
        </w:rPr>
        <w:t>a</w:t>
      </w:r>
      <w:r w:rsidRPr="00BB42E0">
        <w:rPr>
          <w:rFonts w:eastAsia="Palatino Linotype" w:cs="Palatino Linotype"/>
        </w:rPr>
        <w:t xml:space="preserve">l estado </w:t>
      </w:r>
      <w:r w:rsidR="00FA5957" w:rsidRPr="00BB42E0">
        <w:rPr>
          <w:rFonts w:eastAsia="Palatino Linotype" w:cs="Palatino Linotype"/>
        </w:rPr>
        <w:t xml:space="preserve">en </w:t>
      </w:r>
      <w:r w:rsidRPr="00BB42E0">
        <w:rPr>
          <w:rFonts w:eastAsia="Palatino Linotype" w:cs="Palatino Linotype"/>
        </w:rPr>
        <w:t>que se encuentr</w:t>
      </w:r>
      <w:r w:rsidR="00FA5957" w:rsidRPr="00BB42E0">
        <w:rPr>
          <w:rFonts w:eastAsia="Palatino Linotype" w:cs="Palatino Linotype"/>
        </w:rPr>
        <w:t>e, sin que sea necesario</w:t>
      </w:r>
      <w:r w:rsidRPr="00BB42E0">
        <w:rPr>
          <w:rFonts w:eastAsia="Palatino Linotype" w:cs="Palatino Linotype"/>
        </w:rPr>
        <w:t xml:space="preserve"> </w:t>
      </w:r>
      <w:r w:rsidR="00FA5957" w:rsidRPr="00BB42E0">
        <w:rPr>
          <w:rFonts w:eastAsia="Palatino Linotype" w:cs="Palatino Linotype"/>
        </w:rPr>
        <w:t>procesar</w:t>
      </w:r>
      <w:r w:rsidRPr="00BB42E0">
        <w:rPr>
          <w:rFonts w:eastAsia="Palatino Linotype" w:cs="Palatino Linotype"/>
        </w:rPr>
        <w:t xml:space="preserve"> la misma, ni presentarla </w:t>
      </w:r>
      <w:r w:rsidRPr="00BB42E0">
        <w:rPr>
          <w:rFonts w:eastAsia="Palatino Linotype" w:cs="Palatino Linotype"/>
        </w:rPr>
        <w:lastRenderedPageBreak/>
        <w:t xml:space="preserve">conforme al interés del solicitante; </w:t>
      </w:r>
      <w:r w:rsidR="00FA5957" w:rsidRPr="00BB42E0">
        <w:rPr>
          <w:rFonts w:eastAsia="Palatino Linotype" w:cs="Palatino Linotype"/>
        </w:rPr>
        <w:t>tal y como</w:t>
      </w:r>
      <w:r w:rsidRPr="00BB42E0">
        <w:rPr>
          <w:rFonts w:eastAsia="Palatino Linotype" w:cs="Palatino Linotype"/>
        </w:rPr>
        <w:t xml:space="preserve"> lo establece el artículo 12 de la Ley de Transparencia y Acceso a la Información Pública del Estado de México y Municipios</w:t>
      </w:r>
      <w:r w:rsidR="00970EB3" w:rsidRPr="00BB42E0">
        <w:rPr>
          <w:rFonts w:eastAsia="Palatino Linotype" w:cs="Palatino Linotype"/>
        </w:rPr>
        <w:t>.</w:t>
      </w:r>
    </w:p>
    <w:p w14:paraId="73245195" w14:textId="77777777" w:rsidR="00970EB3" w:rsidRPr="00BB42E0" w:rsidRDefault="00970EB3" w:rsidP="00BB42E0">
      <w:pPr>
        <w:rPr>
          <w:rFonts w:eastAsia="Palatino Linotype" w:cs="Palatino Linotype"/>
        </w:rPr>
      </w:pPr>
    </w:p>
    <w:p w14:paraId="7F62D4DF" w14:textId="775730E1" w:rsidR="001A58B3" w:rsidRPr="00BB42E0" w:rsidRDefault="001A58B3" w:rsidP="00BB42E0">
      <w:pPr>
        <w:rPr>
          <w:rFonts w:eastAsia="Palatino Linotype" w:cs="Palatino Linotype"/>
        </w:rPr>
      </w:pPr>
      <w:r w:rsidRPr="00BB42E0">
        <w:rPr>
          <w:rFonts w:eastAsia="Palatino Linotype" w:cs="Palatino Linotype"/>
        </w:rPr>
        <w:t>Es decir, que todo sujeto obligado que genere, recopile, administre, procese, archive, posea o conserven, son responsables de la misma</w:t>
      </w:r>
      <w:r w:rsidR="00970EB3" w:rsidRPr="00BB42E0">
        <w:rPr>
          <w:rFonts w:eastAsia="Palatino Linotype" w:cs="Palatino Linotype"/>
        </w:rPr>
        <w:t>,</w:t>
      </w:r>
      <w:r w:rsidRPr="00BB42E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BB42E0">
        <w:rPr>
          <w:rFonts w:eastAsia="Palatino Linotype" w:cs="Palatino Linotype"/>
        </w:rPr>
        <w:t>o</w:t>
      </w:r>
      <w:r w:rsidRPr="00BB42E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BB42E0" w:rsidRDefault="001A58B3" w:rsidP="00BB42E0">
      <w:pPr>
        <w:rPr>
          <w:rFonts w:eastAsia="Palatino Linotype" w:cs="Palatino Linotype"/>
        </w:rPr>
      </w:pPr>
    </w:p>
    <w:p w14:paraId="04E42DFE" w14:textId="573F1198" w:rsidR="001A58B3" w:rsidRPr="00BB42E0" w:rsidRDefault="001A58B3" w:rsidP="00BB42E0">
      <w:pPr>
        <w:rPr>
          <w:rFonts w:eastAsia="Palatino Linotype" w:cs="Palatino Linotype"/>
        </w:rPr>
      </w:pPr>
      <w:r w:rsidRPr="00BB42E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BB42E0">
        <w:rPr>
          <w:rFonts w:eastAsia="Palatino Linotype" w:cs="Palatino Linotype"/>
        </w:rPr>
        <w:t>, s</w:t>
      </w:r>
      <w:r w:rsidRPr="00BB42E0">
        <w:rPr>
          <w:rFonts w:eastAsia="Palatino Linotype" w:cs="Palatino Linotype"/>
        </w:rPr>
        <w:t xml:space="preserve">iempre y cuando no se trate de información reservada o </w:t>
      </w:r>
      <w:r w:rsidR="00331F35" w:rsidRPr="00BB42E0">
        <w:rPr>
          <w:rFonts w:eastAsia="Palatino Linotype" w:cs="Palatino Linotype"/>
        </w:rPr>
        <w:t>confidencial.</w:t>
      </w:r>
    </w:p>
    <w:p w14:paraId="40C5219F" w14:textId="77777777" w:rsidR="001A58B3" w:rsidRPr="00BB42E0" w:rsidRDefault="001A58B3" w:rsidP="00BB42E0">
      <w:pPr>
        <w:rPr>
          <w:rFonts w:eastAsia="Palatino Linotype" w:cs="Palatino Linotype"/>
        </w:rPr>
      </w:pPr>
    </w:p>
    <w:p w14:paraId="2E629608" w14:textId="01727E15" w:rsidR="00C049E2" w:rsidRPr="00BB42E0" w:rsidRDefault="006067C7" w:rsidP="00BB42E0">
      <w:pPr>
        <w:rPr>
          <w:rFonts w:eastAsia="Palatino Linotype"/>
        </w:rPr>
      </w:pPr>
      <w:bookmarkStart w:id="28" w:name="_heading=h.2s8eyo1" w:colFirst="0" w:colLast="0"/>
      <w:bookmarkEnd w:id="28"/>
      <w:r w:rsidRPr="00BB42E0">
        <w:rPr>
          <w:rFonts w:eastAsia="Palatino Linotype"/>
        </w:rPr>
        <w:t>Con base en lo anterior</w:t>
      </w:r>
      <w:r w:rsidR="00B22A80" w:rsidRPr="00BB42E0">
        <w:rPr>
          <w:rFonts w:eastAsia="Palatino Linotype"/>
        </w:rPr>
        <w:t>, se considera que</w:t>
      </w:r>
      <w:r w:rsidR="00C049E2" w:rsidRPr="00BB42E0">
        <w:rPr>
          <w:rFonts w:eastAsia="Palatino Linotype"/>
        </w:rPr>
        <w:t xml:space="preserve"> </w:t>
      </w:r>
      <w:r w:rsidR="00B22A80" w:rsidRPr="00BB42E0">
        <w:rPr>
          <w:rFonts w:eastAsia="Palatino Linotype"/>
          <w:b/>
          <w:bCs/>
        </w:rPr>
        <w:t>EL</w:t>
      </w:r>
      <w:r w:rsidR="00C049E2" w:rsidRPr="00BB42E0">
        <w:rPr>
          <w:rFonts w:eastAsia="Palatino Linotype"/>
        </w:rPr>
        <w:t xml:space="preserve"> </w:t>
      </w:r>
      <w:r w:rsidR="00C049E2" w:rsidRPr="00BB42E0">
        <w:rPr>
          <w:rFonts w:eastAsia="Palatino Linotype"/>
          <w:b/>
        </w:rPr>
        <w:t>SUJETO OBLIGADO</w:t>
      </w:r>
      <w:r w:rsidR="00C049E2" w:rsidRPr="00BB42E0">
        <w:rPr>
          <w:rFonts w:eastAsia="Palatino Linotype"/>
        </w:rPr>
        <w:t xml:space="preserve"> </w:t>
      </w:r>
      <w:r w:rsidR="00B22A80" w:rsidRPr="00BB42E0">
        <w:rPr>
          <w:rFonts w:eastAsia="Palatino Linotype"/>
        </w:rPr>
        <w:t xml:space="preserve">se </w:t>
      </w:r>
      <w:r w:rsidR="00717E59" w:rsidRPr="00BB42E0">
        <w:rPr>
          <w:rFonts w:eastAsia="Palatino Linotype"/>
        </w:rPr>
        <w:t>encontraba</w:t>
      </w:r>
      <w:r w:rsidR="00B22A80" w:rsidRPr="00BB42E0">
        <w:rPr>
          <w:rFonts w:eastAsia="Palatino Linotype"/>
        </w:rPr>
        <w:t xml:space="preserve"> compelido a</w:t>
      </w:r>
      <w:r w:rsidR="00C049E2" w:rsidRPr="00BB42E0">
        <w:rPr>
          <w:rFonts w:eastAsia="Palatino Linotype"/>
        </w:rPr>
        <w:t xml:space="preserve"> atender la solicitud de acceso a la información </w:t>
      </w:r>
      <w:r w:rsidR="00B22A80" w:rsidRPr="00BB42E0">
        <w:rPr>
          <w:rFonts w:eastAsia="Palatino Linotype"/>
        </w:rPr>
        <w:t xml:space="preserve">realizada por </w:t>
      </w:r>
      <w:r w:rsidR="00B22A80" w:rsidRPr="00BB42E0">
        <w:rPr>
          <w:rFonts w:eastAsia="Palatino Linotype"/>
          <w:b/>
          <w:bCs/>
        </w:rPr>
        <w:t>LA PARTE RECURRENTE</w:t>
      </w:r>
      <w:r w:rsidR="00331F35" w:rsidRPr="00BB42E0">
        <w:rPr>
          <w:rFonts w:eastAsia="Palatino Linotype"/>
        </w:rPr>
        <w:t>.</w:t>
      </w:r>
    </w:p>
    <w:p w14:paraId="1611F147" w14:textId="77777777" w:rsidR="00BD5A7C" w:rsidRPr="00BB42E0" w:rsidRDefault="00BD5A7C" w:rsidP="00BB42E0">
      <w:pPr>
        <w:rPr>
          <w:rFonts w:eastAsia="Palatino Linotype"/>
        </w:rPr>
      </w:pPr>
    </w:p>
    <w:p w14:paraId="51A0E8B4" w14:textId="676DCA47" w:rsidR="00664420" w:rsidRPr="00BB42E0" w:rsidRDefault="00C71CEF" w:rsidP="00BB42E0">
      <w:pPr>
        <w:pStyle w:val="Ttulo3"/>
        <w:rPr>
          <w:rFonts w:eastAsia="Calibri"/>
          <w:lang w:eastAsia="es-ES_tradnl"/>
        </w:rPr>
      </w:pPr>
      <w:bookmarkStart w:id="29" w:name="_Toc181795797"/>
      <w:r w:rsidRPr="00BB42E0">
        <w:rPr>
          <w:rFonts w:eastAsia="Calibri"/>
          <w:lang w:eastAsia="es-ES_tradnl"/>
        </w:rPr>
        <w:t>b)</w:t>
      </w:r>
      <w:r w:rsidR="00A53315" w:rsidRPr="00BB42E0">
        <w:rPr>
          <w:rFonts w:eastAsia="Calibri"/>
          <w:lang w:eastAsia="es-ES_tradnl"/>
        </w:rPr>
        <w:t xml:space="preserve"> </w:t>
      </w:r>
      <w:r w:rsidR="00A21A20" w:rsidRPr="00BB42E0">
        <w:rPr>
          <w:rFonts w:eastAsia="Calibri"/>
          <w:lang w:eastAsia="es-ES_tradnl"/>
        </w:rPr>
        <w:t>Controversia a resolver</w:t>
      </w:r>
      <w:bookmarkEnd w:id="29"/>
    </w:p>
    <w:p w14:paraId="5C9194FD" w14:textId="77777777" w:rsidR="00F602E0" w:rsidRPr="00BB42E0" w:rsidRDefault="00664420" w:rsidP="00BB42E0">
      <w:pPr>
        <w:rPr>
          <w:rFonts w:eastAsia="Calibri"/>
          <w:lang w:eastAsia="es-ES_tradnl"/>
        </w:rPr>
      </w:pPr>
      <w:r w:rsidRPr="00BB42E0">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BB42E0">
        <w:rPr>
          <w:rFonts w:eastAsia="Calibri"/>
          <w:b/>
          <w:bCs/>
          <w:lang w:eastAsia="es-ES_tradnl"/>
        </w:rPr>
        <w:t>LA PARTE RECURRENTE</w:t>
      </w:r>
      <w:r w:rsidR="004565C2" w:rsidRPr="00BB42E0">
        <w:rPr>
          <w:rFonts w:eastAsia="Calibri"/>
          <w:lang w:eastAsia="es-ES_tradnl"/>
        </w:rPr>
        <w:t xml:space="preserve"> solicitó</w:t>
      </w:r>
      <w:r w:rsidR="00F602E0" w:rsidRPr="00BB42E0">
        <w:rPr>
          <w:rFonts w:eastAsia="Calibri"/>
          <w:lang w:eastAsia="es-ES_tradnl"/>
        </w:rPr>
        <w:t xml:space="preserve"> lo siguiente: </w:t>
      </w:r>
    </w:p>
    <w:p w14:paraId="1EB54D88" w14:textId="77777777" w:rsidR="00F602E0" w:rsidRPr="00BB42E0" w:rsidRDefault="00F602E0" w:rsidP="00BB42E0">
      <w:pPr>
        <w:rPr>
          <w:rFonts w:eastAsia="Calibri"/>
          <w:lang w:eastAsia="es-ES_tradnl"/>
        </w:rPr>
      </w:pPr>
    </w:p>
    <w:p w14:paraId="05DFC7F4" w14:textId="77777777" w:rsidR="00F602E0" w:rsidRPr="00BB42E0" w:rsidRDefault="00F602E0" w:rsidP="00BB42E0">
      <w:pPr>
        <w:pStyle w:val="Prrafodelista"/>
        <w:numPr>
          <w:ilvl w:val="0"/>
          <w:numId w:val="32"/>
        </w:numPr>
        <w:rPr>
          <w:rFonts w:eastAsia="Calibri"/>
          <w:lang w:eastAsia="es-ES_tradnl"/>
        </w:rPr>
      </w:pPr>
      <w:r w:rsidRPr="00BB42E0">
        <w:rPr>
          <w:rFonts w:eastAsia="Calibri"/>
          <w:lang w:eastAsia="es-ES_tradnl"/>
        </w:rPr>
        <w:lastRenderedPageBreak/>
        <w:t xml:space="preserve">Los recibos de nómina de los servidores públicos adscritos al </w:t>
      </w:r>
      <w:r w:rsidRPr="00BB42E0">
        <w:rPr>
          <w:rFonts w:cs="Tahoma"/>
          <w:szCs w:val="22"/>
          <w:lang w:val="es-ES"/>
        </w:rPr>
        <w:t xml:space="preserve">Sistema Municipal para el Desarrollo Integral de la Familia, correspondientes de enero a agosto de dos mil veinticuatro. </w:t>
      </w:r>
    </w:p>
    <w:p w14:paraId="6B2AC70B" w14:textId="08DB23BF" w:rsidR="00F602E0" w:rsidRPr="00BB42E0" w:rsidRDefault="00F602E0" w:rsidP="00BB42E0">
      <w:pPr>
        <w:pStyle w:val="Prrafodelista"/>
        <w:numPr>
          <w:ilvl w:val="0"/>
          <w:numId w:val="32"/>
        </w:numPr>
        <w:rPr>
          <w:rFonts w:eastAsia="Calibri"/>
          <w:lang w:eastAsia="es-ES_tradnl"/>
        </w:rPr>
      </w:pPr>
      <w:r w:rsidRPr="00BB42E0">
        <w:rPr>
          <w:rFonts w:cs="Tahoma"/>
          <w:szCs w:val="22"/>
          <w:lang w:val="es-ES"/>
        </w:rPr>
        <w:t xml:space="preserve">Los recibos de nómina de los policías municipales, correspondientes a los años dos mil veintidós, dos mil veintitrés y del uno de enero al treinta y uno de agosto de dos mil veinticuatro (recibos generados a la fecha de la solicitud. </w:t>
      </w:r>
      <w:r w:rsidRPr="00BB42E0">
        <w:rPr>
          <w:rFonts w:eastAsia="Calibri"/>
          <w:lang w:eastAsia="es-ES_tradnl"/>
        </w:rPr>
        <w:t xml:space="preserve"> </w:t>
      </w:r>
    </w:p>
    <w:p w14:paraId="3EEC4508" w14:textId="77777777" w:rsidR="00F602E0" w:rsidRPr="00BB42E0" w:rsidRDefault="00F602E0" w:rsidP="00BB42E0">
      <w:pPr>
        <w:rPr>
          <w:rFonts w:eastAsia="Calibri"/>
          <w:lang w:eastAsia="es-ES_tradnl"/>
        </w:rPr>
      </w:pPr>
    </w:p>
    <w:p w14:paraId="76A6A165" w14:textId="7C0EB1CF" w:rsidR="00F602E0" w:rsidRPr="00BB42E0" w:rsidRDefault="00E11AA0" w:rsidP="00BB42E0">
      <w:pPr>
        <w:tabs>
          <w:tab w:val="left" w:pos="4962"/>
        </w:tabs>
        <w:contextualSpacing/>
        <w:rPr>
          <w:bCs/>
          <w:lang w:val="es-ES"/>
        </w:rPr>
      </w:pPr>
      <w:r w:rsidRPr="00BB42E0">
        <w:rPr>
          <w:rFonts w:eastAsiaTheme="minorHAnsi" w:cs="Tahoma"/>
          <w:bCs/>
          <w:iCs/>
          <w:szCs w:val="22"/>
          <w:lang w:eastAsia="en-US"/>
        </w:rPr>
        <w:t>Al respecto</w:t>
      </w:r>
      <w:r w:rsidR="00664420" w:rsidRPr="00BB42E0">
        <w:rPr>
          <w:rFonts w:eastAsiaTheme="minorHAnsi" w:cs="Tahoma"/>
          <w:bCs/>
          <w:iCs/>
          <w:szCs w:val="22"/>
          <w:lang w:eastAsia="en-US"/>
        </w:rPr>
        <w:t xml:space="preserve"> </w:t>
      </w:r>
      <w:r w:rsidR="005D5A50" w:rsidRPr="00BB42E0">
        <w:rPr>
          <w:rFonts w:eastAsiaTheme="minorHAnsi" w:cs="Tahoma"/>
          <w:b/>
          <w:iCs/>
          <w:szCs w:val="22"/>
          <w:lang w:eastAsia="en-US"/>
        </w:rPr>
        <w:t>EL SUJETO OBLIGADO</w:t>
      </w:r>
      <w:r w:rsidRPr="00BB42E0">
        <w:rPr>
          <w:rFonts w:eastAsiaTheme="minorHAnsi" w:cs="Tahoma"/>
          <w:bCs/>
          <w:iCs/>
          <w:szCs w:val="22"/>
          <w:lang w:eastAsia="en-US"/>
        </w:rPr>
        <w:t xml:space="preserve"> </w:t>
      </w:r>
      <w:r w:rsidR="00F602E0" w:rsidRPr="00BB42E0">
        <w:rPr>
          <w:bCs/>
          <w:lang w:val="es-ES"/>
        </w:rPr>
        <w:t xml:space="preserve">remitió los recibos de nómina correspondientes a las primeras quincenas de los meses de enero a agosto de dos mil veinticuatro; asimismo, por cuanto hace a los recibos de nómina de policías refirió que la solicitud aún seguía en trámite. </w:t>
      </w:r>
    </w:p>
    <w:p w14:paraId="5AC85446" w14:textId="77777777" w:rsidR="00F602E0" w:rsidRPr="00BB42E0" w:rsidRDefault="00F602E0" w:rsidP="00BB42E0">
      <w:pPr>
        <w:tabs>
          <w:tab w:val="left" w:pos="4962"/>
        </w:tabs>
        <w:contextualSpacing/>
        <w:rPr>
          <w:bCs/>
          <w:lang w:val="es-ES"/>
        </w:rPr>
      </w:pPr>
    </w:p>
    <w:p w14:paraId="31EB74D4" w14:textId="1F628300" w:rsidR="00831728" w:rsidRPr="00BB42E0" w:rsidRDefault="00CF7586" w:rsidP="00BB42E0">
      <w:pPr>
        <w:tabs>
          <w:tab w:val="left" w:pos="4962"/>
        </w:tabs>
        <w:contextualSpacing/>
        <w:rPr>
          <w:rFonts w:eastAsiaTheme="minorHAnsi" w:cs="Tahoma"/>
          <w:bCs/>
          <w:iCs/>
          <w:szCs w:val="22"/>
          <w:lang w:eastAsia="en-US"/>
        </w:rPr>
      </w:pPr>
      <w:r w:rsidRPr="00BB42E0">
        <w:rPr>
          <w:rFonts w:eastAsiaTheme="minorHAnsi" w:cs="Tahoma"/>
          <w:bCs/>
          <w:iCs/>
          <w:szCs w:val="22"/>
          <w:lang w:eastAsia="en-US"/>
        </w:rPr>
        <w:t xml:space="preserve">Ahora bien, en la interposición del presente recurso </w:t>
      </w:r>
      <w:r w:rsidRPr="00BB42E0">
        <w:rPr>
          <w:rFonts w:eastAsiaTheme="minorHAnsi" w:cs="Tahoma"/>
          <w:b/>
          <w:iCs/>
          <w:szCs w:val="22"/>
          <w:lang w:eastAsia="en-US"/>
        </w:rPr>
        <w:t>LA PARTE RECURRENTE</w:t>
      </w:r>
      <w:r w:rsidR="00237120" w:rsidRPr="00BB42E0">
        <w:rPr>
          <w:rFonts w:eastAsiaTheme="minorHAnsi" w:cs="Tahoma"/>
          <w:bCs/>
          <w:iCs/>
          <w:szCs w:val="22"/>
          <w:lang w:eastAsia="en-US"/>
        </w:rPr>
        <w:t xml:space="preserve"> s</w:t>
      </w:r>
      <w:r w:rsidR="00E11AA0" w:rsidRPr="00BB42E0">
        <w:rPr>
          <w:rFonts w:eastAsiaTheme="minorHAnsi" w:cs="Tahoma"/>
          <w:bCs/>
          <w:iCs/>
          <w:szCs w:val="22"/>
          <w:lang w:eastAsia="en-US"/>
        </w:rPr>
        <w:t>e inconformó medularmente por</w:t>
      </w:r>
      <w:r w:rsidR="00831728" w:rsidRPr="00BB42E0">
        <w:rPr>
          <w:rFonts w:eastAsiaTheme="minorHAnsi" w:cs="Tahoma"/>
          <w:bCs/>
          <w:iCs/>
          <w:szCs w:val="22"/>
          <w:lang w:eastAsia="en-US"/>
        </w:rPr>
        <w:t xml:space="preserve">que no </w:t>
      </w:r>
      <w:r w:rsidR="00F602E0" w:rsidRPr="00BB42E0">
        <w:rPr>
          <w:rFonts w:eastAsiaTheme="minorHAnsi" w:cs="Tahoma"/>
          <w:bCs/>
          <w:iCs/>
          <w:szCs w:val="22"/>
          <w:lang w:eastAsia="en-US"/>
        </w:rPr>
        <w:t>le fue proporcionada la información solicitada.</w:t>
      </w:r>
      <w:r w:rsidR="00831728" w:rsidRPr="00BB42E0">
        <w:rPr>
          <w:rFonts w:eastAsiaTheme="minorHAnsi" w:cs="Tahoma"/>
          <w:bCs/>
          <w:iCs/>
          <w:szCs w:val="22"/>
          <w:lang w:eastAsia="en-US"/>
        </w:rPr>
        <w:t xml:space="preserve"> </w:t>
      </w:r>
    </w:p>
    <w:p w14:paraId="4523BF27" w14:textId="77777777" w:rsidR="00237120" w:rsidRPr="00BB42E0" w:rsidRDefault="00237120" w:rsidP="00BB42E0">
      <w:pPr>
        <w:tabs>
          <w:tab w:val="left" w:pos="4962"/>
        </w:tabs>
        <w:contextualSpacing/>
        <w:rPr>
          <w:rFonts w:eastAsiaTheme="minorHAnsi" w:cs="Tahoma"/>
          <w:bCs/>
          <w:iCs/>
          <w:szCs w:val="22"/>
          <w:lang w:eastAsia="en-US"/>
        </w:rPr>
      </w:pPr>
    </w:p>
    <w:p w14:paraId="6DDCE862" w14:textId="5F9C034A" w:rsidR="00831728" w:rsidRPr="00BB42E0" w:rsidRDefault="00831728" w:rsidP="00BB42E0">
      <w:pPr>
        <w:pStyle w:val="Prrafodelista"/>
        <w:widowControl w:val="0"/>
        <w:autoSpaceDE w:val="0"/>
        <w:autoSpaceDN w:val="0"/>
        <w:adjustRightInd w:val="0"/>
        <w:ind w:left="0"/>
      </w:pPr>
      <w:r w:rsidRPr="00BB42E0">
        <w:t xml:space="preserve">Asimismo, es importante señalar que </w:t>
      </w:r>
      <w:r w:rsidR="00F54F05" w:rsidRPr="00BB42E0">
        <w:rPr>
          <w:rFonts w:eastAsiaTheme="minorHAnsi" w:cs="Tahoma"/>
          <w:b/>
          <w:iCs/>
          <w:szCs w:val="22"/>
          <w:lang w:eastAsia="en-US"/>
        </w:rPr>
        <w:t>LA PARTE RECURRENTE</w:t>
      </w:r>
      <w:r w:rsidR="00F54F05" w:rsidRPr="00BB42E0">
        <w:rPr>
          <w:rFonts w:eastAsiaTheme="minorHAnsi" w:cs="Tahoma"/>
          <w:bCs/>
          <w:iCs/>
          <w:szCs w:val="22"/>
          <w:lang w:eastAsia="en-US"/>
        </w:rPr>
        <w:t xml:space="preserve"> </w:t>
      </w:r>
      <w:r w:rsidRPr="00BB42E0">
        <w:rPr>
          <w:rFonts w:cs="Arial"/>
        </w:rPr>
        <w:t xml:space="preserve">no realizó manifestaciones, alegatos o pruebas y por su parte </w:t>
      </w:r>
      <w:r w:rsidRPr="00BB42E0">
        <w:rPr>
          <w:rFonts w:cs="Arial"/>
          <w:b/>
        </w:rPr>
        <w:t xml:space="preserve">EL SUJETO OBLIGADO </w:t>
      </w:r>
      <w:r w:rsidRPr="00BB42E0">
        <w:rPr>
          <w:rFonts w:cs="Arial"/>
        </w:rPr>
        <w:t xml:space="preserve">omitió rendir su </w:t>
      </w:r>
      <w:r w:rsidRPr="00BB42E0">
        <w:t xml:space="preserve">Informe Justificado, en el término establecido en el numeral 185, fracción II de la Ley de Transparencia y Acceso a la Información Pública del Estado de México y Municipios. </w:t>
      </w:r>
    </w:p>
    <w:p w14:paraId="4ECBF0D6" w14:textId="77777777" w:rsidR="00831728" w:rsidRPr="00BB42E0" w:rsidRDefault="00831728" w:rsidP="00BB42E0"/>
    <w:p w14:paraId="1579C5C9" w14:textId="77777777" w:rsidR="00062C7C" w:rsidRPr="00BB42E0" w:rsidRDefault="00062C7C" w:rsidP="00BB42E0">
      <w:pPr>
        <w:pStyle w:val="Ttulo3"/>
      </w:pPr>
      <w:bookmarkStart w:id="30" w:name="_Toc172153599"/>
      <w:bookmarkStart w:id="31" w:name="_Toc181795798"/>
      <w:r w:rsidRPr="00BB42E0">
        <w:t>c) Estudio de la controversia</w:t>
      </w:r>
      <w:bookmarkEnd w:id="30"/>
      <w:bookmarkEnd w:id="31"/>
    </w:p>
    <w:p w14:paraId="1FC88910" w14:textId="615E421F" w:rsidR="00F602E0" w:rsidRPr="00BB42E0" w:rsidRDefault="00F602E0" w:rsidP="00BB42E0">
      <w:pPr>
        <w:rPr>
          <w:rFonts w:eastAsia="Palatino Linotype" w:cs="Palatino Linotype"/>
        </w:rPr>
      </w:pPr>
      <w:r w:rsidRPr="00BB42E0">
        <w:rPr>
          <w:rFonts w:cs="Arial"/>
        </w:rPr>
        <w:t xml:space="preserve">Primero, se considera necesario </w:t>
      </w:r>
      <w:r w:rsidRPr="00BB42E0">
        <w:rPr>
          <w:rFonts w:eastAsia="Palatino Linotype" w:cs="Palatino Linotype"/>
        </w:rPr>
        <w:t xml:space="preserve">traer a colación el contenido del artículo 147 de la Constitución Política del Estado Libre y Soberano de México, el cual establece lo siguiente: </w:t>
      </w:r>
    </w:p>
    <w:p w14:paraId="6B3EF5AA" w14:textId="77777777" w:rsidR="00F602E0" w:rsidRPr="00BB42E0" w:rsidRDefault="00F602E0" w:rsidP="00BB42E0"/>
    <w:p w14:paraId="69636634" w14:textId="77777777" w:rsidR="00F602E0" w:rsidRPr="00BB42E0" w:rsidRDefault="00F602E0" w:rsidP="00BB42E0">
      <w:pPr>
        <w:pStyle w:val="Puesto"/>
        <w:rPr>
          <w:rFonts w:eastAsia="Palatino Linotype"/>
          <w:b/>
        </w:rPr>
      </w:pPr>
      <w:r w:rsidRPr="00BB42E0">
        <w:rPr>
          <w:rFonts w:eastAsia="Palatino Linotype"/>
        </w:rPr>
        <w:t>“</w:t>
      </w:r>
      <w:r w:rsidRPr="00BB42E0">
        <w:rPr>
          <w:rFonts w:eastAsia="Palatino Linotype"/>
          <w:b/>
        </w:rPr>
        <w:t>Artículo 147.-</w:t>
      </w:r>
      <w:r w:rsidRPr="00BB42E0">
        <w:rPr>
          <w:rFonts w:eastAsia="Palatino Linotype"/>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w:t>
      </w:r>
      <w:r w:rsidRPr="00BB42E0">
        <w:rPr>
          <w:rFonts w:eastAsia="Palatino Linotype"/>
        </w:rPr>
        <w:lastRenderedPageBreak/>
        <w:t xml:space="preserve">de los organismos constitucionalmente autónomos, </w:t>
      </w:r>
      <w:r w:rsidRPr="00BB42E0">
        <w:rPr>
          <w:rFonts w:eastAsia="Palatino Linotype"/>
          <w:b/>
        </w:rPr>
        <w:t>así como los miembros de los ayuntamientos</w:t>
      </w:r>
      <w:r w:rsidRPr="00BB42E0">
        <w:rPr>
          <w:rFonts w:eastAsia="Palatino Linotype"/>
        </w:rPr>
        <w:t xml:space="preserve"> y demás servidores públicos municipales </w:t>
      </w:r>
      <w:r w:rsidRPr="00BB42E0">
        <w:rPr>
          <w:rFonts w:eastAsia="Palatino Linotype"/>
          <w:b/>
        </w:rPr>
        <w:t xml:space="preserve">recibirán una retribución adecuada e irrenunciable por el desempeño de su empleo, cargo o comisión, que será determinada en el presupuesto de egresos que corresponda. </w:t>
      </w:r>
    </w:p>
    <w:p w14:paraId="2554C504" w14:textId="77777777" w:rsidR="00F602E0" w:rsidRPr="00BB42E0" w:rsidRDefault="00F602E0" w:rsidP="00BB42E0">
      <w:pPr>
        <w:pStyle w:val="Puesto"/>
        <w:rPr>
          <w:rFonts w:eastAsia="Palatino Linotype"/>
        </w:rPr>
      </w:pPr>
      <w:r w:rsidRPr="00BB42E0">
        <w:rPr>
          <w:rFonts w:eastAsia="Palatino Linotype"/>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4016E20D" w14:textId="77777777" w:rsidR="00F602E0" w:rsidRPr="00BB42E0" w:rsidRDefault="00F602E0" w:rsidP="00BB42E0">
      <w:pPr>
        <w:pStyle w:val="Puesto"/>
        <w:rPr>
          <w:rFonts w:eastAsia="Palatino Linotype"/>
        </w:rPr>
      </w:pPr>
      <w:r w:rsidRPr="00BB42E0">
        <w:rPr>
          <w:rFonts w:eastAsia="Palatino Linotype"/>
        </w:rPr>
        <w:t>La remuneración será determinada anual y equitativamente en el Presupuesto de Egresos correspondiente bajo las bases siguientes:</w:t>
      </w:r>
    </w:p>
    <w:p w14:paraId="48EADE05" w14:textId="77777777" w:rsidR="00F602E0" w:rsidRPr="00BB42E0" w:rsidRDefault="00F602E0" w:rsidP="00BB42E0">
      <w:pPr>
        <w:pStyle w:val="Puesto"/>
        <w:rPr>
          <w:rFonts w:eastAsia="Palatino Linotype"/>
        </w:rPr>
      </w:pPr>
      <w:r w:rsidRPr="00BB42E0">
        <w:rPr>
          <w:rFonts w:eastAsia="Palatino Linotype"/>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755442B9" w14:textId="77777777" w:rsidR="00F602E0" w:rsidRPr="00BB42E0" w:rsidRDefault="00F602E0" w:rsidP="00BB42E0">
      <w:pPr>
        <w:pStyle w:val="Puesto"/>
        <w:rPr>
          <w:rFonts w:eastAsia="Palatino Linotype"/>
        </w:rPr>
      </w:pPr>
      <w:r w:rsidRPr="00BB42E0">
        <w:rPr>
          <w:rFonts w:eastAsia="Palatino Linotype"/>
        </w:rPr>
        <w:t xml:space="preserve">II. Ningún servidor público podrá recibir remuneración, en términos de la fracción anterior, por el desempeño de su función, empleo, cargo o comisión, mayor a la establecida; </w:t>
      </w:r>
    </w:p>
    <w:p w14:paraId="3C90BC67" w14:textId="77777777" w:rsidR="00F602E0" w:rsidRPr="00BB42E0" w:rsidRDefault="00F602E0" w:rsidP="00BB42E0">
      <w:pPr>
        <w:pStyle w:val="Puesto"/>
        <w:rPr>
          <w:rFonts w:eastAsia="Palatino Linotype"/>
        </w:rPr>
      </w:pPr>
      <w:r w:rsidRPr="00BB42E0">
        <w:rPr>
          <w:rFonts w:eastAsia="Palatino Linotype"/>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17988560" w14:textId="77777777" w:rsidR="00F602E0" w:rsidRPr="00BB42E0" w:rsidRDefault="00F602E0" w:rsidP="00BB42E0">
      <w:pPr>
        <w:pStyle w:val="Puesto"/>
        <w:rPr>
          <w:rFonts w:eastAsia="Palatino Linotype"/>
        </w:rPr>
      </w:pPr>
      <w:r w:rsidRPr="00BB42E0">
        <w:rPr>
          <w:rFonts w:eastAsia="Palatino Linotype"/>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51417211" w14:textId="77777777" w:rsidR="00F602E0" w:rsidRPr="00BB42E0" w:rsidRDefault="00F602E0" w:rsidP="00BB42E0">
      <w:pPr>
        <w:pStyle w:val="Puesto"/>
        <w:rPr>
          <w:rFonts w:eastAsia="Palatino Linotype"/>
        </w:rPr>
      </w:pPr>
      <w:r w:rsidRPr="00BB42E0">
        <w:rPr>
          <w:rFonts w:eastAsia="Palatino Linotype"/>
        </w:rPr>
        <w:t>V. Las remuneraciones y sus tabuladores serán públicos, y deberán especificar y diferenciar la totalidad de sus elementos fijos y variables tanto en efectivo como en especie”</w:t>
      </w:r>
    </w:p>
    <w:p w14:paraId="56C1C6DF" w14:textId="77777777" w:rsidR="00F602E0" w:rsidRPr="00BB42E0" w:rsidRDefault="00F602E0" w:rsidP="00BB42E0">
      <w:pPr>
        <w:pStyle w:val="Puesto"/>
        <w:rPr>
          <w:rFonts w:eastAsia="Palatino Linotype"/>
        </w:rPr>
      </w:pPr>
      <w:r w:rsidRPr="00BB42E0">
        <w:rPr>
          <w:rFonts w:eastAsia="Palatino Linotype"/>
        </w:rPr>
        <w:t>(Énfasis añadido)</w:t>
      </w:r>
    </w:p>
    <w:p w14:paraId="62F74AE7" w14:textId="77777777" w:rsidR="00F602E0" w:rsidRPr="00BB42E0" w:rsidRDefault="00F602E0" w:rsidP="00BB42E0">
      <w:pPr>
        <w:ind w:left="851" w:right="899"/>
        <w:rPr>
          <w:rFonts w:eastAsia="Palatino Linotype" w:cs="Palatino Linotype"/>
          <w:i/>
          <w:szCs w:val="22"/>
        </w:rPr>
      </w:pPr>
    </w:p>
    <w:p w14:paraId="44015D5B" w14:textId="77777777" w:rsidR="00F602E0" w:rsidRPr="00BB42E0" w:rsidRDefault="00F602E0" w:rsidP="00BB42E0">
      <w:pPr>
        <w:rPr>
          <w:rFonts w:eastAsia="Palatino Linotype" w:cs="Palatino Linotype"/>
        </w:rPr>
      </w:pPr>
      <w:r w:rsidRPr="00BB42E0">
        <w:rPr>
          <w:rFonts w:eastAsia="Palatino Linotype" w:cs="Palatino Linotype"/>
        </w:rPr>
        <w:t>En este orden de ideas, el artículo 3°, fracción XXXII, del Código Financiero del Estado de México y Municipios</w:t>
      </w:r>
      <w:r w:rsidRPr="00BB42E0">
        <w:rPr>
          <w:rStyle w:val="Refdenotaalpie"/>
          <w:rFonts w:eastAsia="Palatino Linotype" w:cs="Palatino Linotype"/>
        </w:rPr>
        <w:footnoteReference w:id="2"/>
      </w:r>
      <w:r w:rsidRPr="00BB42E0">
        <w:rPr>
          <w:rFonts w:eastAsia="Palatino Linotype" w:cs="Palatino Linotype"/>
        </w:rPr>
        <w:t xml:space="preserve">, establece que la remuneración consiste en los pagos hechos por </w:t>
      </w:r>
      <w:r w:rsidRPr="00BB42E0">
        <w:rPr>
          <w:rFonts w:eastAsia="Palatino Linotype" w:cs="Palatino Linotype"/>
        </w:rPr>
        <w:lastRenderedPageBreak/>
        <w:t>concepto de sueldo, compensaciones, gratificaciones, habitación, primas, comisiones, prestaciones, en especie y cualquier otra percepción o prestación que se entregue al servidor por su trabajo.</w:t>
      </w:r>
    </w:p>
    <w:p w14:paraId="036732F2" w14:textId="77777777" w:rsidR="00F602E0" w:rsidRPr="00BB42E0" w:rsidRDefault="00F602E0" w:rsidP="00BB42E0">
      <w:pPr>
        <w:rPr>
          <w:rFonts w:eastAsia="Palatino Linotype" w:cs="Palatino Linotype"/>
        </w:rPr>
      </w:pPr>
    </w:p>
    <w:p w14:paraId="291A1AF3" w14:textId="77777777" w:rsidR="00F602E0" w:rsidRPr="00BB42E0" w:rsidRDefault="00F602E0" w:rsidP="00BB42E0">
      <w:pPr>
        <w:ind w:right="49"/>
        <w:rPr>
          <w:rFonts w:eastAsia="Palatino Linotype" w:cs="Palatino Linotype"/>
        </w:rPr>
      </w:pPr>
      <w:r w:rsidRPr="00BB42E0">
        <w:rPr>
          <w:rFonts w:eastAsia="Palatino Linotype" w:cs="Palatino Linotype"/>
        </w:rPr>
        <w:t xml:space="preserve">Resulta importante señalar que por cuanto hace a las percepciones, la Ley Federal del Trabajo que en su artículo 84 establece lo siguiente: </w:t>
      </w:r>
    </w:p>
    <w:p w14:paraId="6988961F" w14:textId="77777777" w:rsidR="00F602E0" w:rsidRPr="00BB42E0" w:rsidRDefault="00F602E0" w:rsidP="00BB42E0">
      <w:pPr>
        <w:ind w:right="49"/>
        <w:rPr>
          <w:rFonts w:eastAsia="Palatino Linotype" w:cs="Palatino Linotype"/>
        </w:rPr>
      </w:pPr>
    </w:p>
    <w:p w14:paraId="37F405CB" w14:textId="77777777" w:rsidR="00F602E0" w:rsidRPr="00BB42E0" w:rsidRDefault="00F602E0" w:rsidP="00BB42E0">
      <w:pPr>
        <w:pStyle w:val="Puesto"/>
        <w:rPr>
          <w:rFonts w:eastAsia="Palatino Linotype"/>
        </w:rPr>
      </w:pPr>
      <w:bookmarkStart w:id="32" w:name="bookmark=id.gjdgxs" w:colFirst="0" w:colLast="0"/>
      <w:bookmarkEnd w:id="32"/>
      <w:r w:rsidRPr="00BB42E0">
        <w:rPr>
          <w:rFonts w:eastAsia="Palatino Linotype"/>
        </w:rPr>
        <w:t>“Artículo 84.- El salario se integra con los pagos hechos en efectivo por cuota diaria, gratificaciones, percepciones, habitación, primas, comisiones, prestaciones en especie y cualquiera otra cantidad o prestación que se entregue al trabajador por su trabajo.”</w:t>
      </w:r>
    </w:p>
    <w:p w14:paraId="278F111E" w14:textId="77777777" w:rsidR="00F602E0" w:rsidRPr="00BB42E0" w:rsidRDefault="00F602E0" w:rsidP="00BB42E0">
      <w:pPr>
        <w:ind w:left="567" w:right="900"/>
        <w:rPr>
          <w:rFonts w:eastAsia="Palatino Linotype" w:cs="Palatino Linotype"/>
          <w:i/>
          <w:szCs w:val="22"/>
        </w:rPr>
      </w:pPr>
    </w:p>
    <w:p w14:paraId="3690739B" w14:textId="26347F57" w:rsidR="00F602E0" w:rsidRPr="00BB42E0" w:rsidRDefault="00F602E0" w:rsidP="00BB42E0">
      <w:pPr>
        <w:rPr>
          <w:rFonts w:eastAsia="Palatino Linotype" w:cs="Palatino Linotype"/>
        </w:rPr>
      </w:pPr>
      <w:bookmarkStart w:id="33" w:name="_heading=h.gjdgxs" w:colFirst="0" w:colLast="0"/>
      <w:bookmarkEnd w:id="33"/>
      <w:r w:rsidRPr="00BB42E0">
        <w:rPr>
          <w:rFonts w:eastAsia="Palatino Linotype" w:cs="Palatino Linotype"/>
        </w:rPr>
        <w:t xml:space="preserve">De igual forma, la Ley del Trabajo de los Servidores Públicos del Estado y Municipios, en su artículo 220 K, establece los documentos que tiene la obligación de conservar </w:t>
      </w:r>
      <w:r w:rsidRPr="00BB42E0">
        <w:rPr>
          <w:rFonts w:eastAsia="Palatino Linotype" w:cs="Palatino Linotype"/>
          <w:b/>
        </w:rPr>
        <w:t>EL SUJETO OBLIGADO</w:t>
      </w:r>
      <w:r w:rsidRPr="00BB42E0">
        <w:rPr>
          <w:rFonts w:eastAsia="Palatino Linotype" w:cs="Palatino Linotype"/>
        </w:rPr>
        <w:t xml:space="preserve">, entre los que se encuentran los recibos de pagos: </w:t>
      </w:r>
    </w:p>
    <w:p w14:paraId="5EAFD4A1" w14:textId="77777777" w:rsidR="00F602E0" w:rsidRPr="00BB42E0" w:rsidRDefault="00F602E0" w:rsidP="00BB42E0">
      <w:pPr>
        <w:rPr>
          <w:rFonts w:eastAsia="Palatino Linotype" w:cs="Palatino Linotype"/>
          <w:szCs w:val="22"/>
        </w:rPr>
      </w:pPr>
    </w:p>
    <w:p w14:paraId="1A7CFDBB" w14:textId="77777777" w:rsidR="00F602E0" w:rsidRPr="00BB42E0" w:rsidRDefault="00F602E0" w:rsidP="00BB42E0">
      <w:pPr>
        <w:pStyle w:val="Puesto"/>
        <w:rPr>
          <w:rFonts w:eastAsia="Palatino Linotype"/>
        </w:rPr>
      </w:pPr>
      <w:r w:rsidRPr="00BB42E0">
        <w:rPr>
          <w:rFonts w:eastAsia="Palatino Linotype"/>
          <w:b/>
        </w:rPr>
        <w:t>“ARTÍCULO 220 K.-</w:t>
      </w:r>
      <w:r w:rsidRPr="00BB42E0">
        <w:rPr>
          <w:rFonts w:eastAsia="Palatino Linotype"/>
        </w:rPr>
        <w:t xml:space="preserve"> La institución o dependencia pública tiene la obligación de conservar y exhibir en el proceso los documentos que a continuación se precisan:</w:t>
      </w:r>
    </w:p>
    <w:p w14:paraId="481EAF39" w14:textId="77777777" w:rsidR="00F602E0" w:rsidRPr="00BB42E0" w:rsidRDefault="00F602E0" w:rsidP="00BB42E0">
      <w:pPr>
        <w:pStyle w:val="Puesto"/>
      </w:pPr>
      <w:r w:rsidRPr="00BB42E0">
        <w:t xml:space="preserve">I. Contratos, Nombramientos o </w:t>
      </w:r>
      <w:r w:rsidRPr="00BB42E0">
        <w:rPr>
          <w:rStyle w:val="PuestoCar"/>
          <w:i/>
        </w:rPr>
        <w:t>Formato Único de Movimientos de Personal, cuando no exista Convenio de condiciones generales de</w:t>
      </w:r>
      <w:r w:rsidRPr="00BB42E0">
        <w:t xml:space="preserve"> trabajo aplicable;</w:t>
      </w:r>
    </w:p>
    <w:p w14:paraId="5C34F1B3" w14:textId="77777777" w:rsidR="00F602E0" w:rsidRPr="00BB42E0" w:rsidRDefault="00F602E0" w:rsidP="00BB42E0">
      <w:pPr>
        <w:pStyle w:val="Puesto"/>
        <w:rPr>
          <w:rFonts w:eastAsia="Palatino Linotype"/>
          <w:b/>
        </w:rPr>
      </w:pPr>
      <w:r w:rsidRPr="00BB42E0">
        <w:rPr>
          <w:rFonts w:eastAsia="Palatino Linotype"/>
          <w:b/>
        </w:rPr>
        <w:t>II. Recibos de pagos de salarios o las constancias documentales del pago de salario cuando sea por depósito o mediante información electrónica;</w:t>
      </w:r>
    </w:p>
    <w:p w14:paraId="7629519E" w14:textId="77777777" w:rsidR="00F602E0" w:rsidRPr="00BB42E0" w:rsidRDefault="00F602E0" w:rsidP="00BB42E0">
      <w:pPr>
        <w:pStyle w:val="Puesto"/>
        <w:rPr>
          <w:rFonts w:eastAsia="Palatino Linotype"/>
        </w:rPr>
      </w:pPr>
      <w:r w:rsidRPr="00BB42E0">
        <w:rPr>
          <w:rFonts w:eastAsia="Palatino Linotype"/>
        </w:rPr>
        <w:t>III. Controles de asistencia o la información magnética o electrónica de asistencia de los servidores públicos;</w:t>
      </w:r>
    </w:p>
    <w:p w14:paraId="2A2D0253" w14:textId="77777777" w:rsidR="00F602E0" w:rsidRPr="00BB42E0" w:rsidRDefault="00F602E0" w:rsidP="00BB42E0">
      <w:pPr>
        <w:pStyle w:val="Puesto"/>
        <w:rPr>
          <w:rFonts w:eastAsia="Palatino Linotype"/>
          <w:b/>
        </w:rPr>
      </w:pPr>
      <w:r w:rsidRPr="00BB42E0">
        <w:rPr>
          <w:rFonts w:eastAsia="Palatino Linotype"/>
          <w:b/>
        </w:rPr>
        <w:t>IV. Recibos o las constancias de depósito o del medio de información magnética o electrónica que sean utilizadas para el pago de salarios, prima vacacional, aguinaldo y demás prestaciones establecidas en la presente ley; y</w:t>
      </w:r>
    </w:p>
    <w:p w14:paraId="1BBF0199" w14:textId="77777777" w:rsidR="00F602E0" w:rsidRPr="00BB42E0" w:rsidRDefault="00F602E0" w:rsidP="00BB42E0">
      <w:pPr>
        <w:pStyle w:val="Puesto"/>
        <w:rPr>
          <w:rFonts w:eastAsia="Palatino Linotype"/>
        </w:rPr>
      </w:pPr>
      <w:r w:rsidRPr="00BB42E0">
        <w:rPr>
          <w:rFonts w:eastAsia="Palatino Linotype"/>
        </w:rPr>
        <w:t>V. Los demás que señalen las leyes.</w:t>
      </w:r>
    </w:p>
    <w:p w14:paraId="09ACFD16" w14:textId="77777777" w:rsidR="00F602E0" w:rsidRPr="00BB42E0" w:rsidRDefault="00F602E0" w:rsidP="00BB42E0">
      <w:pPr>
        <w:pStyle w:val="Puesto"/>
        <w:rPr>
          <w:rFonts w:eastAsia="Palatino Linotype"/>
        </w:rPr>
      </w:pPr>
      <w:r w:rsidRPr="00BB42E0">
        <w:rPr>
          <w:rFonts w:eastAsia="Palatino Linotype"/>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w:t>
      </w:r>
      <w:r w:rsidRPr="00BB42E0">
        <w:rPr>
          <w:rFonts w:eastAsia="Palatino Linotype"/>
        </w:rPr>
        <w:lastRenderedPageBreak/>
        <w:t>descubierto por la ciencia y las constancias expedidas por el encargado del área de personal de éstas, harán prueba plena. “</w:t>
      </w:r>
    </w:p>
    <w:p w14:paraId="4C75F8CD" w14:textId="77777777" w:rsidR="00F602E0" w:rsidRPr="00BB42E0" w:rsidRDefault="00F602E0" w:rsidP="00BB42E0">
      <w:pPr>
        <w:rPr>
          <w:rFonts w:eastAsia="Palatino Linotype" w:cs="Palatino Linotype"/>
          <w:szCs w:val="22"/>
        </w:rPr>
      </w:pPr>
    </w:p>
    <w:p w14:paraId="64D6B912" w14:textId="77777777" w:rsidR="00F602E0" w:rsidRPr="00BB42E0" w:rsidRDefault="00F602E0" w:rsidP="00BB42E0">
      <w:pPr>
        <w:rPr>
          <w:rFonts w:eastAsia="Palatino Linotype" w:cs="Palatino Linotype"/>
        </w:rPr>
      </w:pPr>
      <w:r w:rsidRPr="00BB42E0">
        <w:rPr>
          <w:rFonts w:eastAsia="Palatino Linotype" w:cs="Palatino Linotype"/>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1C86D742" w14:textId="77777777" w:rsidR="00F602E0" w:rsidRPr="00BB42E0" w:rsidRDefault="00F602E0" w:rsidP="00BB42E0"/>
    <w:p w14:paraId="5932C2B3" w14:textId="77777777" w:rsidR="00FA69D4" w:rsidRPr="00BB42E0" w:rsidRDefault="00BE7BFA" w:rsidP="00BB42E0">
      <w:pPr>
        <w:rPr>
          <w:rFonts w:cs="Tahoma"/>
          <w:szCs w:val="22"/>
          <w:lang w:val="es-ES"/>
        </w:rPr>
      </w:pPr>
      <w:r w:rsidRPr="00BB42E0">
        <w:rPr>
          <w:rFonts w:cs="Arial"/>
        </w:rPr>
        <w:t xml:space="preserve">Una vez precisado lo anterior, se procede al análisis de las documentales que integran la respuesta que dio origen al recurso de revisión </w:t>
      </w:r>
      <w:r w:rsidRPr="00BB42E0">
        <w:rPr>
          <w:rFonts w:eastAsia="Palatino Linotype" w:cs="Palatino Linotype"/>
          <w:b/>
        </w:rPr>
        <w:t xml:space="preserve">06027/INFOEM/IP/RR/2024, </w:t>
      </w:r>
      <w:r w:rsidRPr="00BB42E0">
        <w:rPr>
          <w:rFonts w:eastAsia="Palatino Linotype" w:cs="Palatino Linotype"/>
        </w:rPr>
        <w:t xml:space="preserve">relacionado con los </w:t>
      </w:r>
      <w:r w:rsidRPr="00BB42E0">
        <w:rPr>
          <w:rFonts w:cs="Arial"/>
        </w:rPr>
        <w:t xml:space="preserve">recibos de nómina de los servidores públicos del </w:t>
      </w:r>
      <w:r w:rsidRPr="00BB42E0">
        <w:rPr>
          <w:rFonts w:cs="Tahoma"/>
          <w:szCs w:val="22"/>
          <w:lang w:val="es-ES"/>
        </w:rPr>
        <w:t xml:space="preserve">Sistema Municipal para el Desarrollo Integral de la Familia; al respecto, se advierte que si bien </w:t>
      </w:r>
      <w:r w:rsidRPr="00BB42E0">
        <w:rPr>
          <w:rFonts w:cs="Tahoma"/>
          <w:b/>
          <w:szCs w:val="22"/>
          <w:lang w:val="es-ES"/>
        </w:rPr>
        <w:t xml:space="preserve">EL SUJETO OBLIGADO </w:t>
      </w:r>
      <w:r w:rsidRPr="00BB42E0">
        <w:rPr>
          <w:rFonts w:cs="Tahoma"/>
          <w:szCs w:val="22"/>
          <w:lang w:val="es-ES"/>
        </w:rPr>
        <w:t>mediante respuesta proporcionó diversos recibos de nómina correspondientes a la primera quincena de los meses de enero a agosto de dos mil veinticuatro; lo cierto es que dichas documentales no colman el dere</w:t>
      </w:r>
      <w:r w:rsidR="00FA69D4" w:rsidRPr="00BB42E0">
        <w:rPr>
          <w:rFonts w:cs="Tahoma"/>
          <w:szCs w:val="22"/>
          <w:lang w:val="es-ES"/>
        </w:rPr>
        <w:t xml:space="preserve">cho de acceso a la información. </w:t>
      </w:r>
    </w:p>
    <w:p w14:paraId="1DC65238" w14:textId="77777777" w:rsidR="00FA69D4" w:rsidRPr="00BB42E0" w:rsidRDefault="00FA69D4" w:rsidP="00BB42E0">
      <w:pPr>
        <w:rPr>
          <w:rFonts w:cs="Tahoma"/>
          <w:szCs w:val="22"/>
          <w:lang w:val="es-ES"/>
        </w:rPr>
      </w:pPr>
    </w:p>
    <w:p w14:paraId="39C461CA" w14:textId="2D726DFA" w:rsidR="00491201" w:rsidRPr="00BB42E0" w:rsidRDefault="00FA69D4" w:rsidP="00BB42E0">
      <w:pPr>
        <w:rPr>
          <w:rFonts w:cs="Arial"/>
          <w:lang w:eastAsia="es-CO"/>
        </w:rPr>
      </w:pPr>
      <w:r w:rsidRPr="00BB42E0">
        <w:rPr>
          <w:rFonts w:cs="Tahoma"/>
          <w:szCs w:val="22"/>
          <w:lang w:val="es-ES"/>
        </w:rPr>
        <w:t>Lo anterior es así, pues los recibos de nómina no</w:t>
      </w:r>
      <w:r w:rsidR="00BE7BFA" w:rsidRPr="00BB42E0">
        <w:rPr>
          <w:rFonts w:cs="Arial"/>
        </w:rPr>
        <w:t xml:space="preserve"> corresponden a todo el peri</w:t>
      </w:r>
      <w:r w:rsidR="00491201" w:rsidRPr="00BB42E0">
        <w:rPr>
          <w:rFonts w:cs="Arial"/>
        </w:rPr>
        <w:t>o</w:t>
      </w:r>
      <w:r w:rsidR="00BE7BFA" w:rsidRPr="00BB42E0">
        <w:rPr>
          <w:rFonts w:cs="Arial"/>
        </w:rPr>
        <w:t>do soli</w:t>
      </w:r>
      <w:r w:rsidR="00491201" w:rsidRPr="00BB42E0">
        <w:rPr>
          <w:rFonts w:cs="Arial"/>
        </w:rPr>
        <w:t xml:space="preserve">citado, pues </w:t>
      </w:r>
      <w:r w:rsidRPr="00BB42E0">
        <w:rPr>
          <w:rFonts w:cs="Arial"/>
          <w:b/>
        </w:rPr>
        <w:t xml:space="preserve">EL SUJETO OBLIGADO </w:t>
      </w:r>
      <w:r w:rsidR="00491201" w:rsidRPr="00BB42E0">
        <w:rPr>
          <w:rFonts w:cs="Arial"/>
        </w:rPr>
        <w:t>omit</w:t>
      </w:r>
      <w:r w:rsidRPr="00BB42E0">
        <w:rPr>
          <w:rFonts w:cs="Arial"/>
        </w:rPr>
        <w:t xml:space="preserve">ió </w:t>
      </w:r>
      <w:r w:rsidR="00491201" w:rsidRPr="00BB42E0">
        <w:rPr>
          <w:rFonts w:cs="Arial"/>
        </w:rPr>
        <w:t>remitir recibos de nómina correspondiente a la segunda quincena de los meses de enero a agosto de dos mil veinticuatro</w:t>
      </w:r>
      <w:r w:rsidRPr="00BB42E0">
        <w:rPr>
          <w:rFonts w:cs="Arial"/>
        </w:rPr>
        <w:t>. Asimismo, de los recibos entregados se advierte que se</w:t>
      </w:r>
      <w:r w:rsidR="00491201" w:rsidRPr="00BB42E0">
        <w:rPr>
          <w:rFonts w:cs="Arial"/>
        </w:rPr>
        <w:t xml:space="preserve"> testó información que no es susceptible de ser clasificada como confidencial, los cuales de manera enunciativa más no limitativa son el folio fiscal</w:t>
      </w:r>
      <w:r w:rsidRPr="00BB42E0">
        <w:rPr>
          <w:rFonts w:cs="Arial"/>
        </w:rPr>
        <w:t xml:space="preserve">, </w:t>
      </w:r>
      <w:r w:rsidRPr="00BB42E0">
        <w:rPr>
          <w:b/>
          <w:noProof/>
          <w:lang w:eastAsia="es-MX"/>
        </w:rPr>
        <w:t xml:space="preserve">número de serie del certificado del emisor, sello digital CFDI, sello digital del SAT, Cadena Original del SAT, número de serie del certificado del SAT, número de trabajador </w:t>
      </w:r>
      <w:r w:rsidRPr="00BB42E0">
        <w:rPr>
          <w:noProof/>
          <w:lang w:eastAsia="es-MX"/>
        </w:rPr>
        <w:t xml:space="preserve">(estudio que se abordara en el apartado de versión pública) y, por último la </w:t>
      </w:r>
      <w:r w:rsidR="00491201" w:rsidRPr="00BB42E0">
        <w:rPr>
          <w:rFonts w:cs="Arial"/>
        </w:rPr>
        <w:t xml:space="preserve">pretendía versión pública no se encuentra </w:t>
      </w:r>
      <w:r w:rsidR="00491201" w:rsidRPr="00BB42E0">
        <w:rPr>
          <w:lang w:eastAsia="es-MX"/>
        </w:rPr>
        <w:t xml:space="preserve">soportada con </w:t>
      </w:r>
      <w:r w:rsidR="00491201" w:rsidRPr="00BB42E0">
        <w:rPr>
          <w:rFonts w:cs="Arial"/>
        </w:rPr>
        <w:t>el Acuerdo de Clasificación de Información emitido por el Comité de Transparencia en el que se haya fundado y motivado por</w:t>
      </w:r>
      <w:r w:rsidR="00491201" w:rsidRPr="00BB42E0">
        <w:rPr>
          <w:rFonts w:cs="Arial"/>
          <w:lang w:eastAsia="es-CO"/>
        </w:rPr>
        <w:t xml:space="preserve"> qué no se aprecian determinados </w:t>
      </w:r>
      <w:r w:rsidR="00491201" w:rsidRPr="00BB42E0">
        <w:rPr>
          <w:rFonts w:cs="Arial"/>
          <w:lang w:eastAsia="es-CO"/>
        </w:rPr>
        <w:lastRenderedPageBreak/>
        <w:t>datos, dejando al solicitante en estado de incertidumbre, al no conocer o comprender porque no aparecen en la documentación respectiva.</w:t>
      </w:r>
    </w:p>
    <w:p w14:paraId="51014BC3" w14:textId="77777777" w:rsidR="00491201" w:rsidRPr="00BB42E0" w:rsidRDefault="00491201" w:rsidP="00BB42E0">
      <w:pPr>
        <w:rPr>
          <w:rFonts w:cs="Arial"/>
        </w:rPr>
      </w:pPr>
    </w:p>
    <w:p w14:paraId="43201073" w14:textId="655617EC" w:rsidR="00FA69D4" w:rsidRPr="00BB42E0" w:rsidRDefault="00FA69D4" w:rsidP="00BB42E0">
      <w:pPr>
        <w:rPr>
          <w:rFonts w:cs="Tahoma"/>
          <w:szCs w:val="22"/>
          <w:lang w:val="es-ES"/>
        </w:rPr>
      </w:pPr>
      <w:r w:rsidRPr="00BB42E0">
        <w:rPr>
          <w:rFonts w:cs="Arial"/>
        </w:rPr>
        <w:t xml:space="preserve">Por lo anterior, este Órgano Garante determina ordenar la entrega </w:t>
      </w:r>
      <w:r w:rsidR="00626E9D" w:rsidRPr="00BB42E0">
        <w:rPr>
          <w:rFonts w:cs="Arial"/>
        </w:rPr>
        <w:t xml:space="preserve">en </w:t>
      </w:r>
      <w:r w:rsidR="00626E9D" w:rsidRPr="00BB42E0">
        <w:rPr>
          <w:rFonts w:cs="Arial"/>
          <w:b/>
        </w:rPr>
        <w:t xml:space="preserve">versión púbica </w:t>
      </w:r>
      <w:r w:rsidRPr="00BB42E0">
        <w:rPr>
          <w:rFonts w:cs="Arial"/>
        </w:rPr>
        <w:t xml:space="preserve">los recibos de nómina de los servidores públicos del </w:t>
      </w:r>
      <w:r w:rsidRPr="00BB42E0">
        <w:rPr>
          <w:rFonts w:cs="Tahoma"/>
          <w:szCs w:val="22"/>
          <w:lang w:val="es-ES"/>
        </w:rPr>
        <w:t xml:space="preserve">Sistema Municipal para el Desarrollo Integral de la Familia, correspondientes a la primera y segunda quincena de los meses de enero a agosto de dos mil veinticuatro. </w:t>
      </w:r>
    </w:p>
    <w:p w14:paraId="39FF0929" w14:textId="77777777" w:rsidR="00FA69D4" w:rsidRPr="00BB42E0" w:rsidRDefault="00FA69D4" w:rsidP="00BB42E0">
      <w:pPr>
        <w:rPr>
          <w:rFonts w:cs="Tahoma"/>
          <w:szCs w:val="22"/>
          <w:lang w:val="es-ES"/>
        </w:rPr>
      </w:pPr>
    </w:p>
    <w:p w14:paraId="6229E698" w14:textId="77777777" w:rsidR="00DB67C9" w:rsidRPr="00BB42E0" w:rsidRDefault="00FA69D4" w:rsidP="00BB42E0">
      <w:r w:rsidRPr="00BB42E0">
        <w:rPr>
          <w:rFonts w:cs="Arial"/>
        </w:rPr>
        <w:t xml:space="preserve">Por otro lado, </w:t>
      </w:r>
      <w:r w:rsidR="00DB67C9" w:rsidRPr="00BB42E0">
        <w:rPr>
          <w:rFonts w:cs="Arial"/>
        </w:rPr>
        <w:t xml:space="preserve">respecto a la </w:t>
      </w:r>
      <w:r w:rsidR="0042595F" w:rsidRPr="00BB42E0">
        <w:rPr>
          <w:rFonts w:cs="Arial"/>
        </w:rPr>
        <w:t xml:space="preserve">respuesta que dio origen al recurso de revisión </w:t>
      </w:r>
      <w:r w:rsidR="0042595F" w:rsidRPr="00BB42E0">
        <w:rPr>
          <w:rFonts w:eastAsia="Palatino Linotype" w:cs="Palatino Linotype"/>
          <w:b/>
        </w:rPr>
        <w:t>06038/INFOEM/IP/RR/2024</w:t>
      </w:r>
      <w:r w:rsidR="00DB67C9" w:rsidRPr="00BB42E0">
        <w:rPr>
          <w:rFonts w:eastAsia="Palatino Linotype" w:cs="Palatino Linotype"/>
          <w:b/>
        </w:rPr>
        <w:t xml:space="preserve">, </w:t>
      </w:r>
      <w:r w:rsidR="00DB67C9" w:rsidRPr="00BB42E0">
        <w:rPr>
          <w:rFonts w:eastAsia="Palatino Linotype" w:cs="Palatino Linotype"/>
        </w:rPr>
        <w:t>relacionado con los recibos de nómina de los policías municipales, correspondientes a los años dos mil veintidós, dos mil veintitrés y de enero a agosto de dos mil veinticuatro (generadas a la fecha de la solicitud), del análisis realizada a la misma,</w:t>
      </w:r>
      <w:r w:rsidR="0042595F" w:rsidRPr="00BB42E0">
        <w:rPr>
          <w:rFonts w:eastAsia="Palatino Linotype" w:cs="Palatino Linotype"/>
          <w:b/>
        </w:rPr>
        <w:t xml:space="preserve"> </w:t>
      </w:r>
      <w:r w:rsidR="0042595F" w:rsidRPr="00BB42E0">
        <w:rPr>
          <w:rFonts w:eastAsia="Palatino Linotype" w:cs="Palatino Linotype"/>
        </w:rPr>
        <w:t xml:space="preserve">se advierte que </w:t>
      </w:r>
      <w:r w:rsidR="00523E60" w:rsidRPr="00BB42E0">
        <w:rPr>
          <w:b/>
        </w:rPr>
        <w:t xml:space="preserve">EL SUJETO OBLIGADO </w:t>
      </w:r>
      <w:r w:rsidR="0042595F" w:rsidRPr="00BB42E0">
        <w:t>no atendió el derecho de acceso a la información, pues en respuesta no hizo entrega de lo</w:t>
      </w:r>
      <w:r w:rsidR="00DB67C9" w:rsidRPr="00BB42E0">
        <w:t>s</w:t>
      </w:r>
      <w:r w:rsidR="0042595F" w:rsidRPr="00BB42E0">
        <w:t xml:space="preserve"> </w:t>
      </w:r>
      <w:r w:rsidR="00DB67C9" w:rsidRPr="00BB42E0">
        <w:t xml:space="preserve">recibos </w:t>
      </w:r>
      <w:r w:rsidR="0042595F" w:rsidRPr="00BB42E0">
        <w:t>solicitado</w:t>
      </w:r>
      <w:r w:rsidR="00DB67C9" w:rsidRPr="00BB42E0">
        <w:t>s</w:t>
      </w:r>
      <w:r w:rsidR="0042595F" w:rsidRPr="00BB42E0">
        <w:t xml:space="preserve"> argumentando su negativa por encontrarse aún en trámite la solicitud.</w:t>
      </w:r>
    </w:p>
    <w:p w14:paraId="6173EC40" w14:textId="77777777" w:rsidR="00DB67C9" w:rsidRPr="00BB42E0" w:rsidRDefault="00DB67C9" w:rsidP="00BB42E0"/>
    <w:p w14:paraId="0EBFD861" w14:textId="77777777" w:rsidR="00DB67C9" w:rsidRPr="00BB42E0" w:rsidRDefault="00DB67C9" w:rsidP="00BB42E0">
      <w:pPr>
        <w:rPr>
          <w:rFonts w:eastAsia="Calibri" w:cs="Arial"/>
          <w:lang w:eastAsia="en-US"/>
        </w:rPr>
      </w:pPr>
      <w:r w:rsidRPr="00BB42E0">
        <w:rPr>
          <w:rFonts w:eastAsia="Calibri"/>
          <w:lang w:eastAsia="es-MX"/>
        </w:rPr>
        <w:t xml:space="preserve">En tal sentido, debemos mencionar que </w:t>
      </w:r>
      <w:r w:rsidRPr="00BB42E0">
        <w:rPr>
          <w:rFonts w:eastAsia="Calibri"/>
          <w:lang w:eastAsia="en-US"/>
        </w:rPr>
        <w:t xml:space="preserve">para tener por satisfecho </w:t>
      </w:r>
      <w:r w:rsidRPr="00BB42E0">
        <w:rPr>
          <w:rFonts w:eastAsia="Calibri" w:cs="Arial"/>
          <w:lang w:eastAsia="en-US"/>
        </w:rPr>
        <w:t>el derecho de acceso a la información pública implica que cualquier persona conozca la información contenida en los documentos que se encuentren en los archivos de los Sujetos Obligados.</w:t>
      </w:r>
    </w:p>
    <w:p w14:paraId="70DCC472" w14:textId="77777777" w:rsidR="00DB67C9" w:rsidRPr="00BB42E0" w:rsidRDefault="00DB67C9" w:rsidP="00BB42E0">
      <w:pPr>
        <w:rPr>
          <w:rFonts w:eastAsia="Calibri"/>
          <w:lang w:eastAsia="en-US"/>
        </w:rPr>
      </w:pPr>
    </w:p>
    <w:p w14:paraId="606946FE" w14:textId="77777777" w:rsidR="00DB67C9" w:rsidRPr="00BB42E0" w:rsidRDefault="00DB67C9" w:rsidP="00BB42E0">
      <w:pPr>
        <w:rPr>
          <w:rFonts w:eastAsia="Calibri" w:cs="Arial"/>
          <w:lang w:eastAsia="en-US"/>
        </w:rPr>
      </w:pPr>
      <w:r w:rsidRPr="00BB42E0">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BB42E0">
        <w:rPr>
          <w:rFonts w:eastAsia="Calibri" w:cs="Arial"/>
          <w:bCs/>
          <w:lang w:eastAsia="en-US"/>
        </w:rPr>
        <w:t>de la Ley de Transparencia y Acceso a la Información Pública del Estado de México y Municipios</w:t>
      </w:r>
      <w:r w:rsidRPr="00BB42E0">
        <w:rPr>
          <w:rFonts w:eastAsia="Calibri" w:cs="Arial"/>
          <w:lang w:eastAsia="en-US"/>
        </w:rPr>
        <w:t>:</w:t>
      </w:r>
    </w:p>
    <w:p w14:paraId="41D56899" w14:textId="77777777" w:rsidR="00DB67C9" w:rsidRPr="00BB42E0" w:rsidRDefault="00DB67C9" w:rsidP="00BB42E0">
      <w:pPr>
        <w:rPr>
          <w:rFonts w:eastAsia="Calibri" w:cs="Arial"/>
          <w:lang w:eastAsia="en-US"/>
        </w:rPr>
      </w:pPr>
      <w:r w:rsidRPr="00BB42E0">
        <w:rPr>
          <w:rFonts w:eastAsia="Calibri" w:cs="Arial"/>
          <w:lang w:eastAsia="en-US"/>
        </w:rPr>
        <w:tab/>
      </w:r>
    </w:p>
    <w:p w14:paraId="331A85C2" w14:textId="77777777" w:rsidR="00DB67C9" w:rsidRPr="00BB42E0" w:rsidRDefault="00DB67C9" w:rsidP="00BB42E0">
      <w:pPr>
        <w:pStyle w:val="Puesto"/>
        <w:rPr>
          <w:rFonts w:eastAsia="Calibri"/>
          <w:b/>
          <w:lang w:eastAsia="en-US"/>
        </w:rPr>
      </w:pPr>
      <w:r w:rsidRPr="00BB42E0">
        <w:rPr>
          <w:rFonts w:eastAsia="Calibri"/>
          <w:b/>
          <w:lang w:eastAsia="en-US"/>
        </w:rPr>
        <w:t>“Artículo 3. Para los efectos de la presente Ley se entenderá por:</w:t>
      </w:r>
    </w:p>
    <w:p w14:paraId="1B8A2498" w14:textId="77777777" w:rsidR="00DB67C9" w:rsidRPr="00BB42E0" w:rsidRDefault="00DB67C9" w:rsidP="00BB42E0">
      <w:pPr>
        <w:pStyle w:val="Puesto"/>
        <w:rPr>
          <w:rFonts w:eastAsia="Calibri"/>
          <w:lang w:eastAsia="en-US"/>
        </w:rPr>
      </w:pPr>
      <w:r w:rsidRPr="00BB42E0">
        <w:rPr>
          <w:rFonts w:eastAsia="Calibri"/>
          <w:lang w:eastAsia="en-US"/>
        </w:rPr>
        <w:lastRenderedPageBreak/>
        <w:t>…</w:t>
      </w:r>
    </w:p>
    <w:p w14:paraId="1DAA88C7" w14:textId="77777777" w:rsidR="00DB67C9" w:rsidRPr="00BB42E0" w:rsidRDefault="00DB67C9" w:rsidP="00BB42E0">
      <w:pPr>
        <w:pStyle w:val="Puesto"/>
        <w:rPr>
          <w:rFonts w:eastAsia="Calibri"/>
          <w:lang w:eastAsia="en-US"/>
        </w:rPr>
      </w:pPr>
      <w:r w:rsidRPr="00BB42E0">
        <w:rPr>
          <w:rFonts w:eastAsia="Calibri"/>
          <w:b/>
          <w:bCs/>
          <w:lang w:eastAsia="en-US"/>
        </w:rPr>
        <w:t xml:space="preserve">XI. Documento: </w:t>
      </w:r>
      <w:r w:rsidRPr="00BB42E0">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24DFE8E" w14:textId="77777777" w:rsidR="00DB67C9" w:rsidRPr="00BB42E0" w:rsidRDefault="00DB67C9" w:rsidP="00BB42E0">
      <w:pPr>
        <w:pStyle w:val="Puesto"/>
        <w:rPr>
          <w:rFonts w:eastAsia="Calibri"/>
          <w:lang w:eastAsia="en-US"/>
        </w:rPr>
      </w:pPr>
      <w:r w:rsidRPr="00BB42E0">
        <w:rPr>
          <w:rFonts w:eastAsia="Calibri"/>
          <w:b/>
          <w:lang w:eastAsia="en-US"/>
        </w:rPr>
        <w:t>XII. Documento electrónico:</w:t>
      </w:r>
      <w:r w:rsidRPr="00BB42E0">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752B5344" w14:textId="77777777" w:rsidR="00DB67C9" w:rsidRPr="00BB42E0" w:rsidRDefault="00DB67C9" w:rsidP="00BB42E0">
      <w:pPr>
        <w:pStyle w:val="Puesto"/>
        <w:rPr>
          <w:rFonts w:eastAsia="Calibri"/>
          <w:lang w:eastAsia="en-US"/>
        </w:rPr>
      </w:pPr>
      <w:r w:rsidRPr="00BB42E0">
        <w:rPr>
          <w:rFonts w:eastAsia="Calibri"/>
          <w:lang w:eastAsia="en-US"/>
        </w:rPr>
        <w:t>…</w:t>
      </w:r>
    </w:p>
    <w:p w14:paraId="1A265510" w14:textId="77777777" w:rsidR="00DB67C9" w:rsidRPr="00BB42E0" w:rsidRDefault="00DB67C9" w:rsidP="00BB42E0">
      <w:pPr>
        <w:pStyle w:val="Puesto"/>
        <w:rPr>
          <w:rFonts w:eastAsia="Calibri"/>
          <w:lang w:eastAsia="en-US"/>
        </w:rPr>
      </w:pPr>
      <w:r w:rsidRPr="00BB42E0">
        <w:rPr>
          <w:rFonts w:eastAsia="Calibri"/>
          <w:b/>
          <w:lang w:eastAsia="en-US"/>
        </w:rPr>
        <w:t>Artículo 4. El derecho humano de acceso a la información pública es la prerrogativa de las personas para buscar, difundir, investigar, recabar, recibir y solicitar información pública</w:t>
      </w:r>
      <w:r w:rsidRPr="00BB42E0">
        <w:rPr>
          <w:rFonts w:eastAsia="Calibri"/>
          <w:lang w:eastAsia="en-US"/>
        </w:rPr>
        <w:t>, sin necesidad de acreditar personalidad ni interés jurídico.</w:t>
      </w:r>
    </w:p>
    <w:p w14:paraId="4B99F5F1" w14:textId="77777777" w:rsidR="00DB67C9" w:rsidRPr="00BB42E0" w:rsidRDefault="00DB67C9" w:rsidP="00BB42E0">
      <w:pPr>
        <w:pStyle w:val="Puesto"/>
        <w:rPr>
          <w:rFonts w:eastAsia="Calibri"/>
          <w:lang w:eastAsia="en-US"/>
        </w:rPr>
      </w:pPr>
      <w:r w:rsidRPr="00BB42E0">
        <w:rPr>
          <w:rFonts w:eastAsia="Calibri"/>
          <w:b/>
          <w:lang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BB42E0">
        <w:rPr>
          <w:rFonts w:eastAsia="Calibri"/>
          <w:lang w:eastAsia="en-US"/>
        </w:rPr>
        <w:t>Solo podrá ser clasificada excepcionalmente como reservada temporalmente por razones de interés público, en los términos de las causas legítimas y estrictamente necesarias previstas por esta Ley.</w:t>
      </w:r>
    </w:p>
    <w:p w14:paraId="6C7D020E" w14:textId="77777777" w:rsidR="00DB67C9" w:rsidRPr="00BB42E0" w:rsidRDefault="00DB67C9" w:rsidP="00BB42E0">
      <w:pPr>
        <w:pStyle w:val="Puesto"/>
        <w:rPr>
          <w:rFonts w:eastAsia="Calibri"/>
          <w:lang w:eastAsia="en-US"/>
        </w:rPr>
      </w:pPr>
      <w:r w:rsidRPr="00BB42E0">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12C4B552" w14:textId="77777777" w:rsidR="00DB67C9" w:rsidRPr="00BB42E0" w:rsidRDefault="00DB67C9" w:rsidP="00BB42E0">
      <w:pPr>
        <w:pStyle w:val="Puesto"/>
        <w:rPr>
          <w:rFonts w:eastAsia="Calibri"/>
          <w:lang w:eastAsia="en-US"/>
        </w:rPr>
      </w:pPr>
      <w:r w:rsidRPr="00BB42E0">
        <w:rPr>
          <w:rFonts w:eastAsia="Calibri"/>
          <w:b/>
          <w:bCs/>
          <w:lang w:eastAsia="en-US"/>
        </w:rPr>
        <w:t xml:space="preserve">Artículo 12. </w:t>
      </w:r>
      <w:r w:rsidRPr="00BB42E0">
        <w:rPr>
          <w:rFonts w:eastAsia="Calibri"/>
          <w:lang w:eastAsia="en-US"/>
        </w:rPr>
        <w:t>Quienes generen, recopilen, administren, manejen, procesen, archiven o conserven información pública serán responsables de la misma en los términos de las disposiciones jurídicas aplicables.</w:t>
      </w:r>
    </w:p>
    <w:p w14:paraId="1F6CC35D" w14:textId="77777777" w:rsidR="00DB67C9" w:rsidRPr="00BB42E0" w:rsidRDefault="00DB67C9" w:rsidP="00BB42E0">
      <w:pPr>
        <w:pStyle w:val="Puesto"/>
        <w:rPr>
          <w:rFonts w:eastAsia="Calibri"/>
          <w:lang w:eastAsia="en-US"/>
        </w:rPr>
      </w:pPr>
      <w:r w:rsidRPr="00BB42E0">
        <w:rPr>
          <w:rFonts w:eastAsia="Calibri"/>
          <w:b/>
          <w:lang w:eastAsia="en-US"/>
        </w:rPr>
        <w:t>Los sujetos obligados sólo proporcionarán la información pública que se les requiera y que obre en sus archivos y en el estado en que ésta se encuentre</w:t>
      </w:r>
      <w:r w:rsidRPr="00BB42E0">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2A8F7F95" w14:textId="77777777" w:rsidR="00DB67C9" w:rsidRPr="00BB42E0" w:rsidRDefault="00DB67C9" w:rsidP="00BB42E0">
      <w:pPr>
        <w:pStyle w:val="Puesto"/>
        <w:rPr>
          <w:rFonts w:eastAsia="Calibri"/>
          <w:lang w:eastAsia="en-US"/>
        </w:rPr>
      </w:pPr>
      <w:r w:rsidRPr="00BB42E0">
        <w:rPr>
          <w:rFonts w:eastAsia="Calibri"/>
          <w:lang w:eastAsia="en-US"/>
        </w:rPr>
        <w:t>…</w:t>
      </w:r>
    </w:p>
    <w:p w14:paraId="5E1E44D4" w14:textId="77777777" w:rsidR="00DB67C9" w:rsidRPr="00BB42E0" w:rsidRDefault="00DB67C9" w:rsidP="00BB42E0">
      <w:pPr>
        <w:pStyle w:val="Puesto"/>
        <w:rPr>
          <w:rFonts w:eastAsia="Calibri"/>
          <w:b/>
          <w:lang w:eastAsia="en-US"/>
        </w:rPr>
      </w:pPr>
      <w:r w:rsidRPr="00BB42E0">
        <w:rPr>
          <w:rFonts w:eastAsia="Calibri"/>
          <w:b/>
          <w:bCs/>
          <w:lang w:eastAsia="en-US"/>
        </w:rPr>
        <w:lastRenderedPageBreak/>
        <w:t xml:space="preserve">Artículo 24. </w:t>
      </w:r>
      <w:r w:rsidRPr="00BB42E0">
        <w:rPr>
          <w:rFonts w:eastAsia="Calibri"/>
          <w:b/>
          <w:lang w:eastAsia="en-US"/>
        </w:rPr>
        <w:t>Para el cumplimiento de los objetivos de esta Ley, los sujetos obligados deberán cumplir con las siguientes obligaciones, según corresponda, de acuerdo a su naturaleza:</w:t>
      </w:r>
    </w:p>
    <w:p w14:paraId="4A4360B7" w14:textId="77777777" w:rsidR="00DB67C9" w:rsidRPr="00BB42E0" w:rsidRDefault="00DB67C9" w:rsidP="00BB42E0">
      <w:pPr>
        <w:pStyle w:val="Puesto"/>
        <w:rPr>
          <w:rFonts w:eastAsia="Calibri"/>
          <w:lang w:eastAsia="en-US"/>
        </w:rPr>
      </w:pPr>
      <w:r w:rsidRPr="00BB42E0">
        <w:rPr>
          <w:rFonts w:eastAsia="Calibri"/>
          <w:lang w:eastAsia="en-US"/>
        </w:rPr>
        <w:t>...</w:t>
      </w:r>
    </w:p>
    <w:p w14:paraId="15E2354F" w14:textId="77777777" w:rsidR="00DB67C9" w:rsidRPr="00BB42E0" w:rsidRDefault="00DB67C9" w:rsidP="00BB42E0">
      <w:pPr>
        <w:pStyle w:val="Puesto"/>
        <w:rPr>
          <w:rFonts w:eastAsia="Calibri"/>
          <w:lang w:eastAsia="en-US"/>
        </w:rPr>
      </w:pPr>
      <w:r w:rsidRPr="00BB42E0">
        <w:rPr>
          <w:rFonts w:eastAsia="Calibri"/>
          <w:b/>
          <w:lang w:eastAsia="en-US"/>
        </w:rPr>
        <w:t>IX.</w:t>
      </w:r>
      <w:r w:rsidRPr="00BB42E0">
        <w:rPr>
          <w:rFonts w:eastAsia="Calibri"/>
          <w:lang w:eastAsia="en-US"/>
        </w:rPr>
        <w:t xml:space="preserve"> Fomentar el uso de tecnologías de la información para garantizar la transparencia, el derecho de acceso a la información y la accesibilidad a éstos;</w:t>
      </w:r>
    </w:p>
    <w:p w14:paraId="2223CF99" w14:textId="77777777" w:rsidR="00DB67C9" w:rsidRPr="00BB42E0" w:rsidRDefault="00DB67C9" w:rsidP="00BB42E0">
      <w:pPr>
        <w:pStyle w:val="Puesto"/>
        <w:rPr>
          <w:rFonts w:eastAsia="Calibri"/>
          <w:lang w:eastAsia="en-US"/>
        </w:rPr>
      </w:pPr>
      <w:r w:rsidRPr="00BB42E0">
        <w:rPr>
          <w:rFonts w:eastAsia="Calibri"/>
          <w:lang w:eastAsia="en-US"/>
        </w:rPr>
        <w:t>…</w:t>
      </w:r>
    </w:p>
    <w:p w14:paraId="52DFE763" w14:textId="77777777" w:rsidR="00DB67C9" w:rsidRPr="00BB42E0" w:rsidRDefault="00DB67C9" w:rsidP="00BB42E0">
      <w:pPr>
        <w:pStyle w:val="Puesto"/>
        <w:rPr>
          <w:rFonts w:eastAsia="Calibri"/>
          <w:b/>
          <w:lang w:eastAsia="en-US"/>
        </w:rPr>
      </w:pPr>
      <w:r w:rsidRPr="00BB42E0">
        <w:rPr>
          <w:rFonts w:eastAsia="Calibri"/>
          <w:b/>
          <w:lang w:eastAsia="en-US"/>
        </w:rPr>
        <w:t>XI. Dar acceso a la información pública que le sea requerida, en los términos de la Ley General, esta Ley y demás disposiciones jurídicas aplicables;</w:t>
      </w:r>
    </w:p>
    <w:p w14:paraId="72BCB3C1" w14:textId="77777777" w:rsidR="00DB67C9" w:rsidRPr="00BB42E0" w:rsidRDefault="00DB67C9" w:rsidP="00BB42E0">
      <w:pPr>
        <w:pStyle w:val="Puesto"/>
        <w:rPr>
          <w:rFonts w:eastAsia="Calibri"/>
          <w:lang w:eastAsia="en-US"/>
        </w:rPr>
      </w:pPr>
      <w:r w:rsidRPr="00BB42E0">
        <w:rPr>
          <w:rFonts w:eastAsia="Calibri"/>
          <w:lang w:eastAsia="en-US"/>
        </w:rPr>
        <w:t>…</w:t>
      </w:r>
    </w:p>
    <w:p w14:paraId="4C48D771" w14:textId="77777777" w:rsidR="00DB67C9" w:rsidRPr="00BB42E0" w:rsidRDefault="00DB67C9" w:rsidP="00BB42E0">
      <w:pPr>
        <w:pStyle w:val="Puesto"/>
        <w:rPr>
          <w:rFonts w:eastAsia="Calibri"/>
          <w:lang w:eastAsia="en-US"/>
        </w:rPr>
      </w:pPr>
      <w:r w:rsidRPr="00BB42E0">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217DEC49" w14:textId="7658D36A" w:rsidR="00DB67C9" w:rsidRPr="00BB42E0" w:rsidRDefault="00DB67C9" w:rsidP="00BB42E0">
      <w:pPr>
        <w:pStyle w:val="Puesto"/>
        <w:rPr>
          <w:rFonts w:eastAsia="Calibri"/>
          <w:b/>
          <w:lang w:eastAsia="en-US"/>
        </w:rPr>
      </w:pPr>
      <w:r w:rsidRPr="00BB42E0">
        <w:rPr>
          <w:rFonts w:eastAsia="Calibri"/>
          <w:b/>
          <w:lang w:eastAsia="en-US"/>
        </w:rPr>
        <w:t>Los sujetos obligados solo proporcionarán la información pública que generen, administren o posean en el ejercicio de sus atribuciones.”</w:t>
      </w:r>
    </w:p>
    <w:p w14:paraId="76DE6503" w14:textId="77777777" w:rsidR="00DB67C9" w:rsidRPr="00BB42E0" w:rsidRDefault="00DB67C9" w:rsidP="00BB42E0">
      <w:pPr>
        <w:ind w:left="851" w:right="851"/>
        <w:rPr>
          <w:rFonts w:eastAsia="Calibri" w:cs="Arial"/>
          <w:i/>
          <w:szCs w:val="22"/>
          <w:lang w:eastAsia="en-US"/>
        </w:rPr>
      </w:pPr>
    </w:p>
    <w:p w14:paraId="4CD622A5" w14:textId="77777777" w:rsidR="00DB67C9" w:rsidRPr="00BB42E0" w:rsidRDefault="00DB67C9" w:rsidP="00BB42E0">
      <w:pPr>
        <w:rPr>
          <w:rFonts w:eastAsia="Calibri" w:cs="Arial"/>
          <w:lang w:eastAsia="en-US"/>
        </w:rPr>
      </w:pPr>
      <w:r w:rsidRPr="00BB42E0">
        <w:rPr>
          <w:rFonts w:eastAsia="Calibri" w:cs="Arial"/>
          <w:lang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4DFBE5D6" w14:textId="77777777" w:rsidR="00DB67C9" w:rsidRPr="00BB42E0" w:rsidRDefault="00DB67C9" w:rsidP="00BB42E0">
      <w:pPr>
        <w:rPr>
          <w:rFonts w:eastAsia="Calibri" w:cs="Arial"/>
          <w:lang w:eastAsia="en-US"/>
        </w:rPr>
      </w:pPr>
    </w:p>
    <w:p w14:paraId="53AD3109" w14:textId="77777777" w:rsidR="00DB67C9" w:rsidRPr="00BB42E0" w:rsidRDefault="00DB67C9" w:rsidP="00BB42E0">
      <w:pPr>
        <w:rPr>
          <w:rFonts w:eastAsia="Calibri" w:cs="Arial"/>
          <w:lang w:eastAsia="en-US"/>
        </w:rPr>
      </w:pPr>
      <w:r w:rsidRPr="00BB42E0">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363F0E7F" w14:textId="77777777" w:rsidR="00DB67C9" w:rsidRPr="00BB42E0" w:rsidRDefault="00DB67C9" w:rsidP="00BB42E0">
      <w:pPr>
        <w:rPr>
          <w:rFonts w:eastAsia="Calibri"/>
          <w:szCs w:val="22"/>
          <w:lang w:eastAsia="en-US"/>
        </w:rPr>
      </w:pPr>
    </w:p>
    <w:p w14:paraId="2C1BEB04" w14:textId="77777777" w:rsidR="00DB67C9" w:rsidRPr="00BB42E0" w:rsidRDefault="00DB67C9" w:rsidP="00BB42E0">
      <w:pPr>
        <w:tabs>
          <w:tab w:val="left" w:pos="709"/>
        </w:tabs>
        <w:rPr>
          <w:rFonts w:eastAsia="Calibri" w:cs="Arial"/>
          <w:lang w:eastAsia="en-US"/>
        </w:rPr>
      </w:pPr>
      <w:r w:rsidRPr="00BB42E0">
        <w:rPr>
          <w:rFonts w:eastAsia="Calibri"/>
          <w:lang w:eastAsia="en-US"/>
        </w:rPr>
        <w:t>En estricto sentido</w:t>
      </w:r>
      <w:r w:rsidRPr="00BB42E0">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BB42E0">
        <w:rPr>
          <w:rFonts w:eastAsia="Calibri" w:cs="Arial"/>
          <w:b/>
          <w:lang w:eastAsia="en-US"/>
        </w:rPr>
        <w:t xml:space="preserve"> </w:t>
      </w:r>
      <w:r w:rsidRPr="00BB42E0">
        <w:rPr>
          <w:rFonts w:eastAsia="Calibri" w:cs="Arial"/>
          <w:lang w:eastAsia="en-US"/>
        </w:rPr>
        <w:t xml:space="preserve">no tienen el deber de generar, poseer o administrar la información pública con el grado de detalle solicitado; esto es, que no tienen el deber de generar un documento </w:t>
      </w:r>
      <w:r w:rsidRPr="00BB42E0">
        <w:rPr>
          <w:rFonts w:eastAsia="Calibri" w:cs="Arial"/>
          <w:i/>
          <w:lang w:eastAsia="en-US"/>
        </w:rPr>
        <w:t>ad hoc</w:t>
      </w:r>
      <w:r w:rsidRPr="00BB42E0">
        <w:rPr>
          <w:rFonts w:eastAsia="Calibri" w:cs="Arial"/>
          <w:lang w:eastAsia="en-US"/>
        </w:rPr>
        <w:t xml:space="preserve">, para satisfacer el derecho de acceso a la información pública, como lo </w:t>
      </w:r>
      <w:r w:rsidRPr="00BB42E0">
        <w:rPr>
          <w:rFonts w:eastAsia="Calibri" w:cs="Arial"/>
          <w:lang w:eastAsia="en-US"/>
        </w:rPr>
        <w:lastRenderedPageBreak/>
        <w:t>establece el artículo 12 de la Ley de Transparencia y Acceso a la Información Pública del Estado de México y Municipios.</w:t>
      </w:r>
    </w:p>
    <w:p w14:paraId="4613B9DE" w14:textId="77777777" w:rsidR="00DB67C9" w:rsidRPr="00BB42E0" w:rsidRDefault="00DB67C9" w:rsidP="00BB42E0">
      <w:pPr>
        <w:ind w:left="567" w:right="51"/>
        <w:rPr>
          <w:rFonts w:cs="Arial"/>
        </w:rPr>
      </w:pPr>
    </w:p>
    <w:p w14:paraId="7DCE4313" w14:textId="77777777" w:rsidR="00DB67C9" w:rsidRPr="00BB42E0" w:rsidRDefault="00DB67C9" w:rsidP="00BB42E0">
      <w:pPr>
        <w:ind w:right="51"/>
        <w:rPr>
          <w:rFonts w:eastAsia="Calibri" w:cs="Arial"/>
          <w:lang w:eastAsia="en-US"/>
        </w:rPr>
      </w:pPr>
      <w:r w:rsidRPr="00BB42E0">
        <w:rPr>
          <w:rFonts w:eastAsia="Calibri" w:cs="Arial"/>
          <w:lang w:eastAsia="en-US"/>
        </w:rPr>
        <w:t xml:space="preserve">Como apoyo a lo anterior, es aplicable el Criterio 03-17, emitido por </w:t>
      </w:r>
      <w:r w:rsidRPr="00BB42E0">
        <w:rPr>
          <w:rFonts w:eastAsia="Arial Unicode MS" w:cs="Arial"/>
          <w:lang w:eastAsia="en-US"/>
        </w:rPr>
        <w:t>el Instituto Nacional de Transparencia, Acceso a la Información y Protección de Datos Personales,</w:t>
      </w:r>
      <w:r w:rsidRPr="00BB42E0">
        <w:rPr>
          <w:rFonts w:eastAsia="Calibri"/>
          <w:bCs/>
          <w:lang w:eastAsia="en-US"/>
        </w:rPr>
        <w:t xml:space="preserve"> que dice:</w:t>
      </w:r>
      <w:r w:rsidRPr="00BB42E0">
        <w:rPr>
          <w:rFonts w:eastAsia="Calibri"/>
          <w:b/>
          <w:bCs/>
          <w:lang w:eastAsia="en-US"/>
        </w:rPr>
        <w:t xml:space="preserve"> </w:t>
      </w:r>
    </w:p>
    <w:p w14:paraId="6CF03067" w14:textId="77777777" w:rsidR="00DB67C9" w:rsidRPr="00BB42E0" w:rsidRDefault="00DB67C9" w:rsidP="00BB42E0">
      <w:pPr>
        <w:ind w:left="928" w:right="850"/>
        <w:rPr>
          <w:rFonts w:cs="Arial"/>
          <w:i/>
          <w:szCs w:val="22"/>
        </w:rPr>
      </w:pPr>
    </w:p>
    <w:p w14:paraId="557DCD09" w14:textId="77777777" w:rsidR="00DB67C9" w:rsidRPr="00BB42E0" w:rsidRDefault="00DB67C9" w:rsidP="00BB42E0">
      <w:pPr>
        <w:pStyle w:val="Puesto"/>
      </w:pPr>
      <w:r w:rsidRPr="00BB42E0">
        <w:t>“</w:t>
      </w:r>
      <w:r w:rsidRPr="00BB42E0">
        <w:rPr>
          <w:b/>
        </w:rPr>
        <w:t>No existe obligación de elaborar documentos ad hoc para atender las solicitudes de acceso a la información.</w:t>
      </w:r>
      <w:r w:rsidRPr="00BB42E0">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62FC895" w14:textId="77777777" w:rsidR="00DB67C9" w:rsidRPr="00BB42E0" w:rsidRDefault="00DB67C9" w:rsidP="00BB42E0"/>
    <w:p w14:paraId="6724BCB8" w14:textId="485D5A53" w:rsidR="00DB67C9" w:rsidRPr="00BB42E0" w:rsidRDefault="0042595F" w:rsidP="00BB42E0">
      <w:pPr>
        <w:rPr>
          <w:rFonts w:eastAsia="Palatino Linotype" w:cs="Palatino Linotype"/>
        </w:rPr>
      </w:pPr>
      <w:r w:rsidRPr="00BB42E0">
        <w:t xml:space="preserve"> Es así, que derivado que </w:t>
      </w:r>
      <w:r w:rsidRPr="00BB42E0">
        <w:rPr>
          <w:b/>
        </w:rPr>
        <w:t xml:space="preserve">EL SUJETO OBLIGADO </w:t>
      </w:r>
      <w:r w:rsidR="00DB67C9" w:rsidRPr="00BB42E0">
        <w:t>omitió hacer entrega de la información, este Órgano Garante determina ordenar</w:t>
      </w:r>
      <w:r w:rsidR="00626E9D" w:rsidRPr="00BB42E0">
        <w:t xml:space="preserve"> </w:t>
      </w:r>
      <w:r w:rsidR="00DB67C9" w:rsidRPr="00BB42E0">
        <w:t xml:space="preserve">la entrega </w:t>
      </w:r>
      <w:r w:rsidR="00626E9D" w:rsidRPr="00BB42E0">
        <w:t xml:space="preserve">en </w:t>
      </w:r>
      <w:r w:rsidR="00626E9D" w:rsidRPr="00BB42E0">
        <w:rPr>
          <w:b/>
        </w:rPr>
        <w:t xml:space="preserve">versión pública </w:t>
      </w:r>
      <w:r w:rsidR="00DB67C9" w:rsidRPr="00BB42E0">
        <w:t xml:space="preserve">de los </w:t>
      </w:r>
      <w:r w:rsidR="00DB67C9" w:rsidRPr="00BB42E0">
        <w:rPr>
          <w:rFonts w:eastAsia="Palatino Linotype" w:cs="Palatino Linotype"/>
        </w:rPr>
        <w:t xml:space="preserve">recibos de nómina de los policías municipales, correspondientes a los años dos mil veintidós, dos mil veintitrés y de enero a agosto de dos mil veinticuatro. </w:t>
      </w:r>
    </w:p>
    <w:p w14:paraId="74105011" w14:textId="77777777" w:rsidR="004D3B27" w:rsidRPr="00BB42E0" w:rsidRDefault="004D3B27" w:rsidP="00BB42E0">
      <w:pPr>
        <w:pStyle w:val="Ttulo3"/>
      </w:pPr>
      <w:bookmarkStart w:id="34" w:name="_Toc165402882"/>
      <w:bookmarkStart w:id="35" w:name="_Toc174007540"/>
      <w:bookmarkStart w:id="36" w:name="_Toc181795799"/>
      <w:r w:rsidRPr="00BB42E0">
        <w:t>d) Versión pública</w:t>
      </w:r>
      <w:bookmarkEnd w:id="34"/>
      <w:bookmarkEnd w:id="35"/>
      <w:bookmarkEnd w:id="36"/>
    </w:p>
    <w:p w14:paraId="30DC80A8" w14:textId="77777777" w:rsidR="004D3B27" w:rsidRPr="00BB42E0" w:rsidRDefault="004D3B27" w:rsidP="00BB42E0">
      <w:pPr>
        <w:rPr>
          <w:bCs/>
        </w:rPr>
      </w:pPr>
      <w:r w:rsidRPr="00BB42E0">
        <w:t xml:space="preserve">Para el caso de que el o los documentos de los cuales se ordena su entrega contengan datos personales susceptibles de ser testados, deberán ser entregados en </w:t>
      </w:r>
      <w:r w:rsidRPr="00BB42E0">
        <w:rPr>
          <w:b/>
        </w:rPr>
        <w:t>versión pública</w:t>
      </w:r>
      <w:r w:rsidRPr="00BB42E0">
        <w:t>, pues el</w:t>
      </w:r>
      <w:r w:rsidRPr="00BB42E0">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w:t>
      </w:r>
      <w:r w:rsidRPr="00BB42E0">
        <w:rPr>
          <w:bCs/>
        </w:rPr>
        <w:lastRenderedPageBreak/>
        <w:t>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64076D7" w14:textId="77777777" w:rsidR="004D3B27" w:rsidRPr="00BB42E0" w:rsidRDefault="004D3B27" w:rsidP="00BB42E0">
      <w:pPr>
        <w:rPr>
          <w:rFonts w:eastAsia="Calibri"/>
          <w:bCs/>
          <w:lang w:eastAsia="en-US"/>
        </w:rPr>
      </w:pPr>
    </w:p>
    <w:p w14:paraId="421BC65C" w14:textId="77777777" w:rsidR="004D3B27" w:rsidRPr="00BB42E0" w:rsidRDefault="004D3B27" w:rsidP="00BB42E0">
      <w:pPr>
        <w:rPr>
          <w:bCs/>
        </w:rPr>
      </w:pPr>
      <w:r w:rsidRPr="00BB42E0">
        <w:rPr>
          <w:bCs/>
        </w:rPr>
        <w:t>A este respecto, los artículos 3, fracciones IX, XX, XXI y XLV; 51 y 52 de la Ley de Transparencia y Acceso a la Información Pública del Estado de México y Municipios establecen:</w:t>
      </w:r>
    </w:p>
    <w:p w14:paraId="3E95905D" w14:textId="77777777" w:rsidR="004D3B27" w:rsidRPr="00BB42E0" w:rsidRDefault="004D3B27" w:rsidP="00BB42E0"/>
    <w:p w14:paraId="0AD00A91" w14:textId="77777777" w:rsidR="004D3B27" w:rsidRPr="00BB42E0" w:rsidRDefault="004D3B27" w:rsidP="00BB42E0">
      <w:pPr>
        <w:pStyle w:val="Puesto"/>
      </w:pPr>
      <w:r w:rsidRPr="00BB42E0">
        <w:rPr>
          <w:b/>
          <w:bCs/>
          <w:noProof/>
        </w:rPr>
        <w:t>“</w:t>
      </w:r>
      <w:r w:rsidRPr="00BB42E0">
        <w:rPr>
          <w:b/>
          <w:bCs/>
        </w:rPr>
        <w:t xml:space="preserve">Artículo 3. </w:t>
      </w:r>
      <w:r w:rsidRPr="00BB42E0">
        <w:t xml:space="preserve">Para los efectos de la presente Ley se entenderá por: </w:t>
      </w:r>
    </w:p>
    <w:p w14:paraId="6A321ACA" w14:textId="77777777" w:rsidR="004D3B27" w:rsidRPr="00BB42E0" w:rsidRDefault="004D3B27" w:rsidP="00BB42E0">
      <w:pPr>
        <w:pStyle w:val="Puesto"/>
      </w:pPr>
      <w:r w:rsidRPr="00BB42E0">
        <w:rPr>
          <w:b/>
        </w:rPr>
        <w:t>IX.</w:t>
      </w:r>
      <w:r w:rsidRPr="00BB42E0">
        <w:t xml:space="preserve"> </w:t>
      </w:r>
      <w:r w:rsidRPr="00BB42E0">
        <w:rPr>
          <w:b/>
        </w:rPr>
        <w:t xml:space="preserve">Datos personales: </w:t>
      </w:r>
      <w:r w:rsidRPr="00BB42E0">
        <w:t xml:space="preserve">La información concerniente a una persona, identificada o identificable según lo dispuesto por la Ley de Protección de Datos Personales del Estado de México; </w:t>
      </w:r>
    </w:p>
    <w:p w14:paraId="1F3AA77A" w14:textId="77777777" w:rsidR="004D3B27" w:rsidRPr="00BB42E0" w:rsidRDefault="004D3B27" w:rsidP="00BB42E0"/>
    <w:p w14:paraId="2837C2F9" w14:textId="77777777" w:rsidR="004D3B27" w:rsidRPr="00BB42E0" w:rsidRDefault="004D3B27" w:rsidP="00BB42E0">
      <w:pPr>
        <w:pStyle w:val="Puesto"/>
      </w:pPr>
      <w:r w:rsidRPr="00BB42E0">
        <w:rPr>
          <w:b/>
        </w:rPr>
        <w:t>XX.</w:t>
      </w:r>
      <w:r w:rsidRPr="00BB42E0">
        <w:t xml:space="preserve"> </w:t>
      </w:r>
      <w:r w:rsidRPr="00BB42E0">
        <w:rPr>
          <w:b/>
        </w:rPr>
        <w:t>Información clasificada:</w:t>
      </w:r>
      <w:r w:rsidRPr="00BB42E0">
        <w:t xml:space="preserve"> Aquella considerada por la presente Ley como reservada o confidencial; </w:t>
      </w:r>
    </w:p>
    <w:p w14:paraId="7E3F8127" w14:textId="77777777" w:rsidR="004D3B27" w:rsidRPr="00BB42E0" w:rsidRDefault="004D3B27" w:rsidP="00BB42E0"/>
    <w:p w14:paraId="654AA5EF" w14:textId="77777777" w:rsidR="004D3B27" w:rsidRPr="00BB42E0" w:rsidRDefault="004D3B27" w:rsidP="00BB42E0">
      <w:pPr>
        <w:pStyle w:val="Puesto"/>
      </w:pPr>
      <w:r w:rsidRPr="00BB42E0">
        <w:rPr>
          <w:b/>
        </w:rPr>
        <w:t>XXI.</w:t>
      </w:r>
      <w:r w:rsidRPr="00BB42E0">
        <w:t xml:space="preserve"> </w:t>
      </w:r>
      <w:r w:rsidRPr="00BB42E0">
        <w:rPr>
          <w:b/>
        </w:rPr>
        <w:t>Información confidencial</w:t>
      </w:r>
      <w:r w:rsidRPr="00BB42E0">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BCCA9E5" w14:textId="77777777" w:rsidR="004D3B27" w:rsidRPr="00BB42E0" w:rsidRDefault="004D3B27" w:rsidP="00BB42E0"/>
    <w:p w14:paraId="759EC1DB" w14:textId="77777777" w:rsidR="004D3B27" w:rsidRPr="00BB42E0" w:rsidRDefault="004D3B27" w:rsidP="00BB42E0">
      <w:pPr>
        <w:pStyle w:val="Puesto"/>
      </w:pPr>
      <w:r w:rsidRPr="00BB42E0">
        <w:rPr>
          <w:b/>
        </w:rPr>
        <w:t>XLV. Versión pública:</w:t>
      </w:r>
      <w:r w:rsidRPr="00BB42E0">
        <w:t xml:space="preserve"> Documento en el que se elimine, suprime o borra la información clasificada como reservada o confidencial para permitir su acceso. </w:t>
      </w:r>
    </w:p>
    <w:p w14:paraId="667FDE93" w14:textId="77777777" w:rsidR="004D3B27" w:rsidRPr="00BB42E0" w:rsidRDefault="004D3B27" w:rsidP="00BB42E0"/>
    <w:p w14:paraId="528A9C85" w14:textId="77777777" w:rsidR="004D3B27" w:rsidRPr="00BB42E0" w:rsidRDefault="004D3B27" w:rsidP="00BB42E0">
      <w:pPr>
        <w:pStyle w:val="Puesto"/>
      </w:pPr>
      <w:r w:rsidRPr="00BB42E0">
        <w:rPr>
          <w:b/>
        </w:rPr>
        <w:t>Artículo 51.</w:t>
      </w:r>
      <w:r w:rsidRPr="00BB42E0">
        <w:t xml:space="preserve"> Los sujetos obligados designaran a un responsable para atender la Unidad de Transparencia, quien fungirá como enlace entre éstos y los solicitantes. Dicha Unidad será la encargada de tramitar internamente la solicitud de información </w:t>
      </w:r>
      <w:r w:rsidRPr="00BB42E0">
        <w:rPr>
          <w:b/>
        </w:rPr>
        <w:t xml:space="preserve">y tendrá la responsabilidad de verificar en cada caso que la misma no sea confidencial o reservada. </w:t>
      </w:r>
      <w:r w:rsidRPr="00BB42E0">
        <w:t>Dicha Unidad contará con las facultades internas necesarias para gestionar la atención a las solicitudes de información en los términos de la Ley General y la presente Ley.</w:t>
      </w:r>
    </w:p>
    <w:p w14:paraId="2AA38278" w14:textId="77777777" w:rsidR="004D3B27" w:rsidRPr="00BB42E0" w:rsidRDefault="004D3B27" w:rsidP="00BB42E0"/>
    <w:p w14:paraId="5DD0FB80" w14:textId="77777777" w:rsidR="004D3B27" w:rsidRPr="00BB42E0" w:rsidRDefault="004D3B27" w:rsidP="00BB42E0">
      <w:pPr>
        <w:pStyle w:val="Puesto"/>
      </w:pPr>
      <w:r w:rsidRPr="00BB42E0">
        <w:rPr>
          <w:b/>
        </w:rPr>
        <w:lastRenderedPageBreak/>
        <w:t>Artículo 52.</w:t>
      </w:r>
      <w:r w:rsidRPr="00BB42E0">
        <w:t xml:space="preserve"> Las solicitudes de acceso a la información y las respuestas que se les dé, incluyendo, en su caso, </w:t>
      </w:r>
      <w:r w:rsidRPr="00BB42E0">
        <w:rPr>
          <w:u w:val="single"/>
        </w:rPr>
        <w:t>la información entregada, así como las resoluciones a los recursos que en su caso se promuevan serán públicas, y de ser el caso que contenga datos personales que deban ser protegidos se podrá dar su acceso en su versión pública</w:t>
      </w:r>
      <w:r w:rsidRPr="00BB42E0">
        <w:t>, siempre y cuando la resolución de referencia se someta a un proceso de disociación, es decir, no haga identificable al titular de tales datos personales.</w:t>
      </w:r>
      <w:r w:rsidRPr="00BB42E0">
        <w:rPr>
          <w:bCs/>
          <w:noProof/>
        </w:rPr>
        <w:t xml:space="preserve">” </w:t>
      </w:r>
      <w:r w:rsidRPr="00BB42E0">
        <w:rPr>
          <w:i w:val="0"/>
          <w:iCs/>
          <w:szCs w:val="22"/>
        </w:rPr>
        <w:t>(Énfasis añadido)</w:t>
      </w:r>
    </w:p>
    <w:p w14:paraId="354D4966" w14:textId="77777777" w:rsidR="004D3B27" w:rsidRPr="00BB42E0" w:rsidRDefault="004D3B27" w:rsidP="00BB42E0"/>
    <w:p w14:paraId="7105971B" w14:textId="77777777" w:rsidR="004D3B27" w:rsidRPr="00BB42E0" w:rsidRDefault="004D3B27" w:rsidP="00BB42E0">
      <w:r w:rsidRPr="00BB42E0">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E82EAD4" w14:textId="77777777" w:rsidR="004D3B27" w:rsidRPr="00BB42E0" w:rsidRDefault="004D3B27" w:rsidP="00BB42E0"/>
    <w:p w14:paraId="7F77C950" w14:textId="77777777" w:rsidR="004D3B27" w:rsidRPr="00BB42E0" w:rsidRDefault="004D3B27" w:rsidP="00BB42E0">
      <w:pPr>
        <w:pStyle w:val="Puesto"/>
        <w:rPr>
          <w:rFonts w:eastAsia="Arial Unicode MS"/>
        </w:rPr>
      </w:pPr>
      <w:r w:rsidRPr="00BB42E0">
        <w:rPr>
          <w:rFonts w:eastAsia="Arial Unicode MS"/>
          <w:b/>
        </w:rPr>
        <w:t>“Artículo 22.</w:t>
      </w:r>
      <w:r w:rsidRPr="00BB42E0">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3172FD78" w14:textId="77777777" w:rsidR="004D3B27" w:rsidRPr="00BB42E0" w:rsidRDefault="004D3B27" w:rsidP="00BB42E0">
      <w:pPr>
        <w:rPr>
          <w:rFonts w:eastAsia="Arial Unicode MS"/>
        </w:rPr>
      </w:pPr>
    </w:p>
    <w:p w14:paraId="2372C4BB" w14:textId="77777777" w:rsidR="004D3B27" w:rsidRPr="00BB42E0" w:rsidRDefault="004D3B27" w:rsidP="00BB42E0">
      <w:pPr>
        <w:pStyle w:val="Puesto"/>
        <w:rPr>
          <w:rFonts w:eastAsia="Arial Unicode MS"/>
        </w:rPr>
      </w:pPr>
      <w:r w:rsidRPr="00BB42E0">
        <w:rPr>
          <w:rFonts w:eastAsia="Arial Unicode MS"/>
          <w:b/>
        </w:rPr>
        <w:t>Artículo 38.</w:t>
      </w:r>
      <w:r w:rsidRPr="00BB42E0">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BB42E0">
        <w:rPr>
          <w:rFonts w:eastAsia="Arial Unicode MS"/>
          <w:b/>
        </w:rPr>
        <w:t>”</w:t>
      </w:r>
      <w:r w:rsidRPr="00BB42E0">
        <w:rPr>
          <w:rFonts w:eastAsia="Arial Unicode MS"/>
        </w:rPr>
        <w:t xml:space="preserve"> </w:t>
      </w:r>
    </w:p>
    <w:p w14:paraId="04F1EF23" w14:textId="77777777" w:rsidR="004D3B27" w:rsidRPr="00BB42E0" w:rsidRDefault="004D3B27" w:rsidP="00BB42E0">
      <w:pPr>
        <w:rPr>
          <w:rFonts w:eastAsia="Arial Unicode MS"/>
          <w:i/>
          <w:szCs w:val="22"/>
        </w:rPr>
      </w:pPr>
    </w:p>
    <w:p w14:paraId="506FC3D7" w14:textId="77777777" w:rsidR="004D3B27" w:rsidRPr="00BB42E0" w:rsidRDefault="004D3B27" w:rsidP="00BB42E0">
      <w:r w:rsidRPr="00BB42E0">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BB42E0">
        <w:lastRenderedPageBreak/>
        <w:t xml:space="preserve">particulares toda vez que ésta tiene por objeto proteger datos personales, entendiéndose por tales, aquéllos que hacen identificable a una persona. </w:t>
      </w:r>
    </w:p>
    <w:p w14:paraId="6AB8FCCC" w14:textId="77777777" w:rsidR="004D3B27" w:rsidRPr="00BB42E0" w:rsidRDefault="004D3B27" w:rsidP="00BB42E0"/>
    <w:p w14:paraId="55C71B50" w14:textId="77777777" w:rsidR="004D3B27" w:rsidRPr="00BB42E0" w:rsidRDefault="004D3B27" w:rsidP="00BB42E0">
      <w:r w:rsidRPr="00BB42E0">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BB42E0">
        <w:rPr>
          <w:rFonts w:eastAsia="Arial Unicode MS"/>
        </w:rPr>
        <w:t xml:space="preserve"> que debe ser protegida por </w:t>
      </w:r>
      <w:r w:rsidRPr="00BB42E0">
        <w:rPr>
          <w:rFonts w:eastAsia="Arial Unicode MS"/>
          <w:b/>
        </w:rPr>
        <w:t>EL SUJETO OBLIGADO,</w:t>
      </w:r>
      <w:r w:rsidRPr="00BB42E0">
        <w:rPr>
          <w:rFonts w:eastAsia="Arial Unicode MS"/>
        </w:rPr>
        <w:t xml:space="preserve"> por lo </w:t>
      </w:r>
      <w:r w:rsidRPr="00BB42E0">
        <w:t>que, todo dato personal susceptible de clasificación debe ser protegido.</w:t>
      </w:r>
    </w:p>
    <w:p w14:paraId="526FB9E8" w14:textId="77777777" w:rsidR="004D3B27" w:rsidRPr="00BB42E0" w:rsidRDefault="004D3B27" w:rsidP="00BB42E0"/>
    <w:p w14:paraId="233BDE10" w14:textId="77777777" w:rsidR="004D3B27" w:rsidRPr="00BB42E0" w:rsidRDefault="004D3B27" w:rsidP="00BB42E0">
      <w:r w:rsidRPr="00BB42E0">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AC2CB0D" w14:textId="77777777" w:rsidR="004D3B27" w:rsidRPr="00BB42E0" w:rsidRDefault="004D3B27" w:rsidP="00BB42E0"/>
    <w:p w14:paraId="2DF49740" w14:textId="77777777" w:rsidR="004D3B27" w:rsidRPr="00BB42E0" w:rsidRDefault="004D3B27" w:rsidP="00BB42E0">
      <w:r w:rsidRPr="00BB42E0">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B5B50D0" w14:textId="77777777" w:rsidR="004D3B27" w:rsidRPr="00BB42E0" w:rsidRDefault="004D3B27" w:rsidP="00BB42E0"/>
    <w:p w14:paraId="1937F7E2" w14:textId="77777777" w:rsidR="004D3B27" w:rsidRPr="00BB42E0" w:rsidRDefault="004D3B27" w:rsidP="00BB42E0">
      <w:pPr>
        <w:pStyle w:val="Puesto"/>
        <w:jc w:val="center"/>
        <w:rPr>
          <w:b/>
        </w:rPr>
      </w:pPr>
      <w:r w:rsidRPr="00BB42E0">
        <w:rPr>
          <w:b/>
          <w:lang w:val="es-ES_tradnl"/>
        </w:rPr>
        <w:t>Ley de Transparencia y Acceso a la Información Pública del Estado de México y Municipios</w:t>
      </w:r>
    </w:p>
    <w:p w14:paraId="132D550C" w14:textId="77777777" w:rsidR="004D3B27" w:rsidRPr="00BB42E0" w:rsidRDefault="004D3B27" w:rsidP="00BB42E0"/>
    <w:p w14:paraId="4D246CD3" w14:textId="77777777" w:rsidR="004D3B27" w:rsidRPr="00BB42E0" w:rsidRDefault="004D3B27" w:rsidP="00BB42E0">
      <w:pPr>
        <w:pStyle w:val="Puesto"/>
      </w:pPr>
      <w:r w:rsidRPr="00BB42E0">
        <w:rPr>
          <w:b/>
        </w:rPr>
        <w:lastRenderedPageBreak/>
        <w:t xml:space="preserve">“Artículo 49. </w:t>
      </w:r>
      <w:r w:rsidRPr="00BB42E0">
        <w:t>Los Comités de Transparencia tendrán las siguientes atribuciones:</w:t>
      </w:r>
    </w:p>
    <w:p w14:paraId="096FAEBA" w14:textId="77777777" w:rsidR="004D3B27" w:rsidRPr="00BB42E0" w:rsidRDefault="004D3B27" w:rsidP="00BB42E0">
      <w:pPr>
        <w:pStyle w:val="Puesto"/>
      </w:pPr>
      <w:r w:rsidRPr="00BB42E0">
        <w:rPr>
          <w:b/>
        </w:rPr>
        <w:t>VIII.</w:t>
      </w:r>
      <w:r w:rsidRPr="00BB42E0">
        <w:t xml:space="preserve"> Aprobar, modificar o revocar la clasificación de la información;</w:t>
      </w:r>
    </w:p>
    <w:p w14:paraId="1C8EC168" w14:textId="77777777" w:rsidR="004D3B27" w:rsidRPr="00BB42E0" w:rsidRDefault="004D3B27" w:rsidP="00BB42E0"/>
    <w:p w14:paraId="2B9E7039" w14:textId="77777777" w:rsidR="004D3B27" w:rsidRPr="00BB42E0" w:rsidRDefault="004D3B27" w:rsidP="00BB42E0">
      <w:pPr>
        <w:pStyle w:val="Puesto"/>
      </w:pPr>
      <w:r w:rsidRPr="00BB42E0">
        <w:rPr>
          <w:b/>
        </w:rPr>
        <w:t>Artículo 132.</w:t>
      </w:r>
      <w:r w:rsidRPr="00BB42E0">
        <w:t xml:space="preserve"> La clasificación de la información se llevará a cabo en el momento en que:</w:t>
      </w:r>
    </w:p>
    <w:p w14:paraId="78441272" w14:textId="77777777" w:rsidR="004D3B27" w:rsidRPr="00BB42E0" w:rsidRDefault="004D3B27" w:rsidP="00BB42E0">
      <w:pPr>
        <w:pStyle w:val="Puesto"/>
      </w:pPr>
      <w:r w:rsidRPr="00BB42E0">
        <w:rPr>
          <w:b/>
        </w:rPr>
        <w:t>I.</w:t>
      </w:r>
      <w:r w:rsidRPr="00BB42E0">
        <w:t xml:space="preserve"> Se reciba una solicitud de acceso a la información;</w:t>
      </w:r>
    </w:p>
    <w:p w14:paraId="66849426" w14:textId="77777777" w:rsidR="004D3B27" w:rsidRPr="00BB42E0" w:rsidRDefault="004D3B27" w:rsidP="00BB42E0">
      <w:pPr>
        <w:pStyle w:val="Puesto"/>
      </w:pPr>
      <w:r w:rsidRPr="00BB42E0">
        <w:rPr>
          <w:b/>
        </w:rPr>
        <w:t>II.</w:t>
      </w:r>
      <w:r w:rsidRPr="00BB42E0">
        <w:t xml:space="preserve"> Se determine mediante resolución de autoridad competente; o</w:t>
      </w:r>
    </w:p>
    <w:p w14:paraId="07347603" w14:textId="77777777" w:rsidR="004D3B27" w:rsidRPr="00BB42E0" w:rsidRDefault="004D3B27" w:rsidP="00BB42E0">
      <w:pPr>
        <w:pStyle w:val="Puesto"/>
        <w:rPr>
          <w:b/>
        </w:rPr>
      </w:pPr>
      <w:r w:rsidRPr="00BB42E0">
        <w:rPr>
          <w:b/>
          <w:bCs/>
        </w:rPr>
        <w:t>III.</w:t>
      </w:r>
      <w:r w:rsidRPr="00BB42E0">
        <w:t xml:space="preserve"> Se generen versiones públicas para dar cumplimiento a las obligaciones de transparencia previstas en esta Ley.</w:t>
      </w:r>
      <w:r w:rsidRPr="00BB42E0">
        <w:rPr>
          <w:b/>
        </w:rPr>
        <w:t>”</w:t>
      </w:r>
    </w:p>
    <w:p w14:paraId="029FFC67" w14:textId="77777777" w:rsidR="004D3B27" w:rsidRPr="00BB42E0" w:rsidRDefault="004D3B27" w:rsidP="00BB42E0"/>
    <w:p w14:paraId="4EA2AE72" w14:textId="77777777" w:rsidR="004D3B27" w:rsidRPr="00BB42E0" w:rsidRDefault="004D3B27" w:rsidP="00BB42E0">
      <w:pPr>
        <w:pStyle w:val="Puesto"/>
      </w:pPr>
      <w:r w:rsidRPr="00BB42E0">
        <w:rPr>
          <w:b/>
        </w:rPr>
        <w:t>“Segundo. -</w:t>
      </w:r>
      <w:r w:rsidRPr="00BB42E0">
        <w:t xml:space="preserve"> Para efectos de los presentes Lineamientos Generales, se entenderá por:</w:t>
      </w:r>
    </w:p>
    <w:p w14:paraId="520B19A4" w14:textId="77777777" w:rsidR="004D3B27" w:rsidRPr="00BB42E0" w:rsidRDefault="004D3B27" w:rsidP="00BB42E0">
      <w:pPr>
        <w:pStyle w:val="Puesto"/>
      </w:pPr>
      <w:r w:rsidRPr="00BB42E0">
        <w:rPr>
          <w:b/>
        </w:rPr>
        <w:t>XVIII.</w:t>
      </w:r>
      <w:r w:rsidRPr="00BB42E0">
        <w:t xml:space="preserve">  </w:t>
      </w:r>
      <w:r w:rsidRPr="00BB42E0">
        <w:rPr>
          <w:b/>
        </w:rPr>
        <w:t>Versión pública:</w:t>
      </w:r>
      <w:r w:rsidRPr="00BB42E0">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EE38B56" w14:textId="77777777" w:rsidR="004D3B27" w:rsidRPr="00BB42E0" w:rsidRDefault="004D3B27" w:rsidP="00BB42E0">
      <w:pPr>
        <w:pStyle w:val="Puesto"/>
      </w:pPr>
    </w:p>
    <w:p w14:paraId="4A652527" w14:textId="77777777" w:rsidR="004D3B27" w:rsidRPr="00BB42E0" w:rsidRDefault="004D3B27" w:rsidP="00BB42E0">
      <w:pPr>
        <w:pStyle w:val="Puesto"/>
        <w:rPr>
          <w:b/>
          <w:lang w:val="es-ES_tradnl" w:eastAsia="es-MX"/>
        </w:rPr>
      </w:pPr>
      <w:r w:rsidRPr="00BB42E0">
        <w:rPr>
          <w:b/>
          <w:lang w:val="es-ES_tradnl" w:eastAsia="es-MX"/>
        </w:rPr>
        <w:t xml:space="preserve">Lineamientos Generales en materia de Clasificación y Desclasificación de la </w:t>
      </w:r>
      <w:r w:rsidRPr="00BB42E0">
        <w:rPr>
          <w:b/>
          <w:lang w:val="es-ES_tradnl"/>
        </w:rPr>
        <w:t>Información</w:t>
      </w:r>
    </w:p>
    <w:p w14:paraId="254F2AE0" w14:textId="77777777" w:rsidR="004D3B27" w:rsidRPr="00BB42E0" w:rsidRDefault="004D3B27" w:rsidP="00BB42E0">
      <w:pPr>
        <w:pStyle w:val="Puesto"/>
      </w:pPr>
    </w:p>
    <w:p w14:paraId="692CA7D1" w14:textId="77777777" w:rsidR="004D3B27" w:rsidRPr="00BB42E0" w:rsidRDefault="004D3B27" w:rsidP="00BB42E0">
      <w:pPr>
        <w:pStyle w:val="Puesto"/>
      </w:pPr>
      <w:r w:rsidRPr="00BB42E0">
        <w:rPr>
          <w:b/>
        </w:rPr>
        <w:t>Cuarto.</w:t>
      </w:r>
      <w:r w:rsidRPr="00BB42E0">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2EF1F6" w14:textId="77777777" w:rsidR="004D3B27" w:rsidRPr="00BB42E0" w:rsidRDefault="004D3B27" w:rsidP="00BB42E0">
      <w:pPr>
        <w:pStyle w:val="Puesto"/>
      </w:pPr>
      <w:r w:rsidRPr="00BB42E0">
        <w:t>Los sujetos obligados deberán aplicar, de manera estricta, las excepciones al derecho de acceso a la información y sólo podrán invocarlas cuando acrediten su procedencia.</w:t>
      </w:r>
    </w:p>
    <w:p w14:paraId="31055FEE" w14:textId="77777777" w:rsidR="004D3B27" w:rsidRPr="00BB42E0" w:rsidRDefault="004D3B27" w:rsidP="00BB42E0"/>
    <w:p w14:paraId="363E0727" w14:textId="77777777" w:rsidR="004D3B27" w:rsidRPr="00BB42E0" w:rsidRDefault="004D3B27" w:rsidP="00BB42E0">
      <w:pPr>
        <w:pStyle w:val="Puesto"/>
      </w:pPr>
      <w:r w:rsidRPr="00BB42E0">
        <w:rPr>
          <w:b/>
        </w:rPr>
        <w:t>Quinto.</w:t>
      </w:r>
      <w:r w:rsidRPr="00BB42E0">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4A526E8" w14:textId="77777777" w:rsidR="004D3B27" w:rsidRPr="00BB42E0" w:rsidRDefault="004D3B27" w:rsidP="00BB42E0"/>
    <w:p w14:paraId="4ED24D8D" w14:textId="77777777" w:rsidR="004D3B27" w:rsidRPr="00BB42E0" w:rsidRDefault="004D3B27" w:rsidP="00BB42E0">
      <w:pPr>
        <w:pStyle w:val="Puesto"/>
      </w:pPr>
      <w:r w:rsidRPr="00BB42E0">
        <w:rPr>
          <w:b/>
        </w:rPr>
        <w:t>Sexto.</w:t>
      </w:r>
      <w:r w:rsidRPr="00BB42E0">
        <w:t xml:space="preserve"> Se deroga.</w:t>
      </w:r>
    </w:p>
    <w:p w14:paraId="74F5E7B2" w14:textId="77777777" w:rsidR="004D3B27" w:rsidRPr="00BB42E0" w:rsidRDefault="004D3B27" w:rsidP="00BB42E0"/>
    <w:p w14:paraId="18C690D3" w14:textId="77777777" w:rsidR="004D3B27" w:rsidRPr="00BB42E0" w:rsidRDefault="004D3B27" w:rsidP="00BB42E0">
      <w:pPr>
        <w:pStyle w:val="Puesto"/>
      </w:pPr>
      <w:r w:rsidRPr="00BB42E0">
        <w:rPr>
          <w:b/>
        </w:rPr>
        <w:lastRenderedPageBreak/>
        <w:t>Séptimo.</w:t>
      </w:r>
      <w:r w:rsidRPr="00BB42E0">
        <w:t xml:space="preserve"> La clasificación de la información se llevará a cabo en el momento en que:</w:t>
      </w:r>
    </w:p>
    <w:p w14:paraId="14AEBD8E" w14:textId="77777777" w:rsidR="004D3B27" w:rsidRPr="00BB42E0" w:rsidRDefault="004D3B27" w:rsidP="00BB42E0">
      <w:pPr>
        <w:pStyle w:val="Puesto"/>
      </w:pPr>
      <w:r w:rsidRPr="00BB42E0">
        <w:rPr>
          <w:b/>
        </w:rPr>
        <w:t>I.</w:t>
      </w:r>
      <w:r w:rsidRPr="00BB42E0">
        <w:t xml:space="preserve">        Se reciba una solicitud de acceso a la información;</w:t>
      </w:r>
    </w:p>
    <w:p w14:paraId="0EAAAE55" w14:textId="77777777" w:rsidR="004D3B27" w:rsidRPr="00BB42E0" w:rsidRDefault="004D3B27" w:rsidP="00BB42E0">
      <w:pPr>
        <w:pStyle w:val="Puesto"/>
      </w:pPr>
      <w:r w:rsidRPr="00BB42E0">
        <w:rPr>
          <w:b/>
        </w:rPr>
        <w:t>II.</w:t>
      </w:r>
      <w:r w:rsidRPr="00BB42E0">
        <w:t xml:space="preserve">       Se determine mediante resolución del Comité de Transparencia, el órgano garante competente, o en cumplimiento a una sentencia del Poder Judicial; o</w:t>
      </w:r>
    </w:p>
    <w:p w14:paraId="44EE99C4" w14:textId="77777777" w:rsidR="004D3B27" w:rsidRPr="00BB42E0" w:rsidRDefault="004D3B27" w:rsidP="00BB42E0">
      <w:pPr>
        <w:pStyle w:val="Puesto"/>
      </w:pPr>
      <w:r w:rsidRPr="00BB42E0">
        <w:rPr>
          <w:b/>
        </w:rPr>
        <w:t>III.</w:t>
      </w:r>
      <w:r w:rsidRPr="00BB42E0">
        <w:t xml:space="preserve">      Se generen versiones públicas para dar cumplimiento a las obligaciones de transparencia previstas en la Ley General, la Ley Federal y las correspondientes de las entidades federativas.</w:t>
      </w:r>
    </w:p>
    <w:p w14:paraId="108DD876" w14:textId="77777777" w:rsidR="004D3B27" w:rsidRPr="00BB42E0" w:rsidRDefault="004D3B27" w:rsidP="00BB42E0">
      <w:pPr>
        <w:pStyle w:val="Puesto"/>
      </w:pPr>
      <w:r w:rsidRPr="00BB42E0">
        <w:t xml:space="preserve">Los titulares de las áreas deberán revisar la información requerida al momento de la recepción de una solicitud de acceso, para verificar, conforme a su naturaleza, si encuadra en una causal de reserva o de confidencialidad. </w:t>
      </w:r>
    </w:p>
    <w:p w14:paraId="2CB5DBB1" w14:textId="77777777" w:rsidR="004D3B27" w:rsidRPr="00BB42E0" w:rsidRDefault="004D3B27" w:rsidP="00BB42E0"/>
    <w:p w14:paraId="57B9F150" w14:textId="77777777" w:rsidR="004D3B27" w:rsidRPr="00BB42E0" w:rsidRDefault="004D3B27" w:rsidP="00BB42E0">
      <w:pPr>
        <w:pStyle w:val="Puesto"/>
      </w:pPr>
      <w:r w:rsidRPr="00BB42E0">
        <w:rPr>
          <w:b/>
        </w:rPr>
        <w:t>Octavo.</w:t>
      </w:r>
      <w:r w:rsidRPr="00BB42E0">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36B6601" w14:textId="77777777" w:rsidR="004D3B27" w:rsidRPr="00BB42E0" w:rsidRDefault="004D3B27" w:rsidP="00BB42E0">
      <w:pPr>
        <w:pStyle w:val="Puesto"/>
      </w:pPr>
      <w:r w:rsidRPr="00BB42E0">
        <w:t>Para motivar la clasificación se deberán señalar las razones o circunstancias especiales que lo llevaron a concluir que el caso particular se ajusta al supuesto previsto por la norma legal invocada como fundamento.</w:t>
      </w:r>
    </w:p>
    <w:p w14:paraId="1A34E2F9" w14:textId="77777777" w:rsidR="004D3B27" w:rsidRPr="00BB42E0" w:rsidRDefault="004D3B27" w:rsidP="00BB42E0">
      <w:pPr>
        <w:pStyle w:val="Puesto"/>
      </w:pPr>
      <w:r w:rsidRPr="00BB42E0">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9F41D2E" w14:textId="77777777" w:rsidR="004D3B27" w:rsidRPr="00BB42E0" w:rsidRDefault="004D3B27" w:rsidP="00BB42E0"/>
    <w:p w14:paraId="25106CCB" w14:textId="77777777" w:rsidR="004D3B27" w:rsidRPr="00BB42E0" w:rsidRDefault="004D3B27" w:rsidP="00BB42E0">
      <w:pPr>
        <w:pStyle w:val="Puesto"/>
      </w:pPr>
      <w:r w:rsidRPr="00BB42E0">
        <w:rPr>
          <w:b/>
        </w:rPr>
        <w:t>Noveno.</w:t>
      </w:r>
      <w:r w:rsidRPr="00BB42E0">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22A5DA0" w14:textId="77777777" w:rsidR="004D3B27" w:rsidRPr="00BB42E0" w:rsidRDefault="004D3B27" w:rsidP="00BB42E0"/>
    <w:p w14:paraId="2E56673E" w14:textId="77777777" w:rsidR="004D3B27" w:rsidRPr="00BB42E0" w:rsidRDefault="004D3B27" w:rsidP="00BB42E0">
      <w:pPr>
        <w:pStyle w:val="Puesto"/>
      </w:pPr>
      <w:r w:rsidRPr="00BB42E0">
        <w:rPr>
          <w:b/>
        </w:rPr>
        <w:t>Décimo.</w:t>
      </w:r>
      <w:r w:rsidRPr="00BB42E0">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43C37E22" w14:textId="77777777" w:rsidR="004D3B27" w:rsidRPr="00BB42E0" w:rsidRDefault="004D3B27" w:rsidP="00BB42E0">
      <w:pPr>
        <w:pStyle w:val="Puesto"/>
      </w:pPr>
      <w:r w:rsidRPr="00BB42E0">
        <w:t>En ausencia de los titulares de las áreas, la información será clasificada o desclasificada por la persona que lo supla, en términos de la normativa que rija la actuación del sujeto obligado.</w:t>
      </w:r>
    </w:p>
    <w:p w14:paraId="3DCAA935" w14:textId="77777777" w:rsidR="004D3B27" w:rsidRPr="00BB42E0" w:rsidRDefault="004D3B27" w:rsidP="00BB42E0">
      <w:pPr>
        <w:pStyle w:val="Puesto"/>
        <w:rPr>
          <w:b/>
        </w:rPr>
      </w:pPr>
      <w:r w:rsidRPr="00BB42E0">
        <w:rPr>
          <w:b/>
        </w:rPr>
        <w:lastRenderedPageBreak/>
        <w:t>Décimo primero.</w:t>
      </w:r>
      <w:r w:rsidRPr="00BB42E0">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BB42E0">
        <w:rPr>
          <w:b/>
        </w:rPr>
        <w:t>”</w:t>
      </w:r>
    </w:p>
    <w:p w14:paraId="22CA1B57" w14:textId="77777777" w:rsidR="004D3B27" w:rsidRPr="00BB42E0" w:rsidRDefault="004D3B27" w:rsidP="00BB42E0"/>
    <w:p w14:paraId="3E879E37" w14:textId="77777777" w:rsidR="004D3B27" w:rsidRPr="00BB42E0" w:rsidRDefault="004D3B27" w:rsidP="00BB42E0">
      <w:pPr>
        <w:rPr>
          <w:lang w:eastAsia="es-CO"/>
        </w:rPr>
      </w:pPr>
      <w:r w:rsidRPr="00BB42E0">
        <w:t xml:space="preserve">Consecuentemente, se destaca que la versión pública que elabore </w:t>
      </w:r>
      <w:r w:rsidRPr="00BB42E0">
        <w:rPr>
          <w:b/>
        </w:rPr>
        <w:t>EL SUJETO OBLIGADO</w:t>
      </w:r>
      <w:r w:rsidRPr="00BB42E0">
        <w:t xml:space="preserve"> debe cumplir con las formalidades exigidas en la Ley, por lo que para tal efecto emitirá el </w:t>
      </w:r>
      <w:r w:rsidRPr="00BB42E0">
        <w:rPr>
          <w:b/>
        </w:rPr>
        <w:t>Acuerdo del Comité de Transparencia</w:t>
      </w:r>
      <w:r w:rsidRPr="00BB42E0">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BB42E0">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3CD7400" w14:textId="77777777" w:rsidR="004D3B27" w:rsidRPr="00BB42E0" w:rsidRDefault="004D3B27" w:rsidP="00BB42E0">
      <w:pPr>
        <w:rPr>
          <w:lang w:eastAsia="es-CO"/>
        </w:rPr>
      </w:pPr>
    </w:p>
    <w:p w14:paraId="2BE823E7" w14:textId="77777777" w:rsidR="004D3B27" w:rsidRPr="00BB42E0" w:rsidRDefault="004D3B27" w:rsidP="00BB42E0">
      <w:pPr>
        <w:rPr>
          <w:lang w:eastAsia="es-CO"/>
        </w:rPr>
      </w:pPr>
      <w:r w:rsidRPr="00BB42E0">
        <w:rPr>
          <w:lang w:eastAsia="es-CO"/>
        </w:rPr>
        <w:t>Es importante señalar que, para el caso en concreto, se deben tomar en consideración los siguientes datos que de manera enunciativa más no limitativa se pudieran clasificar como confidenciales:</w:t>
      </w:r>
    </w:p>
    <w:p w14:paraId="03B63129" w14:textId="77777777" w:rsidR="004D3B27" w:rsidRPr="00BB42E0" w:rsidRDefault="004D3B27" w:rsidP="00BB42E0"/>
    <w:p w14:paraId="7F889602" w14:textId="77777777" w:rsidR="004D3B27" w:rsidRPr="00BB42E0" w:rsidRDefault="004D3B27" w:rsidP="00BB42E0">
      <w:pPr>
        <w:pStyle w:val="Prrafodelista"/>
        <w:numPr>
          <w:ilvl w:val="0"/>
          <w:numId w:val="34"/>
        </w:numPr>
      </w:pPr>
      <w:r w:rsidRPr="00BB42E0">
        <w:rPr>
          <w:rFonts w:cs="Arial"/>
          <w:b/>
          <w:lang w:val="es-ES_tradnl" w:eastAsia="es-MX"/>
        </w:rPr>
        <w:t>Registro Federal de Contribuyentes</w:t>
      </w:r>
      <w:r w:rsidRPr="00BB42E0">
        <w:rPr>
          <w:rFonts w:cs="Arial"/>
          <w:lang w:val="es-ES_tradnl" w:eastAsia="es-MX"/>
        </w:rPr>
        <w:t xml:space="preserve"> </w:t>
      </w:r>
      <w:r w:rsidRPr="00BB42E0">
        <w:rPr>
          <w:rFonts w:cs="Arial"/>
          <w:b/>
          <w:lang w:val="es-ES_tradnl" w:eastAsia="es-MX"/>
        </w:rPr>
        <w:t>de las personas físicas</w:t>
      </w:r>
    </w:p>
    <w:p w14:paraId="35EFB9B2" w14:textId="77777777" w:rsidR="004D3B27" w:rsidRPr="00BB42E0" w:rsidRDefault="004D3B27" w:rsidP="00BB42E0">
      <w:pPr>
        <w:pStyle w:val="Prrafodelista"/>
      </w:pPr>
    </w:p>
    <w:p w14:paraId="48B3BBF4" w14:textId="77777777" w:rsidR="004D3B27" w:rsidRPr="00BB42E0" w:rsidRDefault="004D3B27" w:rsidP="00BB42E0">
      <w:pPr>
        <w:rPr>
          <w:lang w:val="es-ES_tradnl"/>
        </w:rPr>
      </w:pPr>
      <w:r w:rsidRPr="00BB42E0">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BB42E0">
        <w:rPr>
          <w:rFonts w:cs="Arial"/>
          <w:lang w:val="es-ES_tradnl"/>
        </w:rPr>
        <w:t>del</w:t>
      </w:r>
      <w:r w:rsidRPr="00BB42E0">
        <w:rPr>
          <w:rFonts w:cs="Arial"/>
          <w:lang w:val="es-ES_tradnl" w:eastAsia="es-MX"/>
        </w:rPr>
        <w:t xml:space="preserve"> apellido paterno; seguida de la primera letra Vocal del primer </w:t>
      </w:r>
      <w:r w:rsidRPr="00BB42E0">
        <w:rPr>
          <w:rFonts w:cs="Arial"/>
          <w:lang w:val="es-ES_tradnl" w:eastAsia="es-MX"/>
        </w:rPr>
        <w:lastRenderedPageBreak/>
        <w:t xml:space="preserve">apellido; </w:t>
      </w:r>
      <w:r w:rsidRPr="00BB42E0">
        <w:rPr>
          <w:rFonts w:eastAsia="Arial Unicode MS" w:cs="Arial"/>
          <w:lang w:val="es-ES_tradnl"/>
        </w:rPr>
        <w:t>seguida</w:t>
      </w:r>
      <w:r w:rsidRPr="00BB42E0">
        <w:rPr>
          <w:rFonts w:cs="Arial"/>
          <w:lang w:val="es-ES_tradnl" w:eastAsia="es-MX"/>
        </w:rPr>
        <w:t xml:space="preserve"> de la primera letra del segundo apellido y por último la primera letra del nombre, posterior la fecha de nacimiento año/mes/día</w:t>
      </w:r>
      <w:r w:rsidRPr="00BB42E0">
        <w:rPr>
          <w:lang w:val="es-ES_tradnl"/>
        </w:rPr>
        <w:t xml:space="preserve"> y finalmente la </w:t>
      </w:r>
      <w:proofErr w:type="spellStart"/>
      <w:r w:rsidRPr="00BB42E0">
        <w:rPr>
          <w:lang w:val="es-ES_tradnl"/>
        </w:rPr>
        <w:t>homoclave</w:t>
      </w:r>
      <w:proofErr w:type="spellEnd"/>
      <w:r w:rsidRPr="00BB42E0">
        <w:rPr>
          <w:lang w:val="es-ES_tradnl"/>
        </w:rPr>
        <w:t>; la cual, para su obtención es necesario acreditar personalidad, fecha de nacimiento entre otros con documentos oficiales.</w:t>
      </w:r>
    </w:p>
    <w:p w14:paraId="323E54C3" w14:textId="77777777" w:rsidR="004D3B27" w:rsidRPr="00BB42E0" w:rsidRDefault="004D3B27" w:rsidP="00BB42E0">
      <w:pPr>
        <w:rPr>
          <w:lang w:val="es-ES_tradnl"/>
        </w:rPr>
      </w:pPr>
    </w:p>
    <w:p w14:paraId="1C467D81" w14:textId="77777777" w:rsidR="004D3B27" w:rsidRPr="00BB42E0" w:rsidRDefault="004D3B27" w:rsidP="00BB42E0">
      <w:pPr>
        <w:rPr>
          <w:b/>
          <w:bCs/>
          <w:lang w:val="es-ES_tradnl"/>
        </w:rPr>
      </w:pPr>
      <w:r w:rsidRPr="00BB42E0">
        <w:rPr>
          <w:rFonts w:cs="Arial"/>
          <w:lang w:val="es-ES_tradnl" w:eastAsia="es-MX"/>
        </w:rPr>
        <w:t xml:space="preserve">Al respecto, </w:t>
      </w:r>
      <w:r w:rsidRPr="00BB42E0">
        <w:rPr>
          <w:rFonts w:cs="Arial"/>
          <w:lang w:val="es-ES_tradnl"/>
        </w:rPr>
        <w:t xml:space="preserve">es aplicable el Criterio 19/17 de la Segunda Época, emitido por </w:t>
      </w:r>
      <w:r w:rsidRPr="00BB42E0">
        <w:rPr>
          <w:rFonts w:eastAsia="Arial Unicode MS" w:cs="Arial"/>
          <w:lang w:val="es-ES_tradnl"/>
        </w:rPr>
        <w:t xml:space="preserve">el Instituto Nacional de </w:t>
      </w:r>
      <w:r w:rsidRPr="00BB42E0">
        <w:rPr>
          <w:bCs/>
          <w:lang w:val="es-ES_tradnl"/>
        </w:rPr>
        <w:t>Transparencia</w:t>
      </w:r>
      <w:r w:rsidRPr="00BB42E0">
        <w:rPr>
          <w:rFonts w:eastAsia="Arial Unicode MS" w:cs="Arial"/>
          <w:lang w:val="es-ES_tradnl"/>
        </w:rPr>
        <w:t xml:space="preserve">, Acceso a la </w:t>
      </w:r>
      <w:r w:rsidRPr="00BB42E0">
        <w:rPr>
          <w:rFonts w:cs="Arial"/>
          <w:lang w:val="es-ES_tradnl"/>
        </w:rPr>
        <w:t>Información</w:t>
      </w:r>
      <w:r w:rsidRPr="00BB42E0">
        <w:rPr>
          <w:rFonts w:eastAsia="Arial Unicode MS" w:cs="Arial"/>
          <w:lang w:val="es-ES_tradnl"/>
        </w:rPr>
        <w:t xml:space="preserve"> y Protección de Datos Personales,</w:t>
      </w:r>
      <w:r w:rsidRPr="00BB42E0">
        <w:rPr>
          <w:bCs/>
          <w:lang w:val="es-ES_tradnl"/>
        </w:rPr>
        <w:t xml:space="preserve"> que dice:</w:t>
      </w:r>
      <w:r w:rsidRPr="00BB42E0">
        <w:rPr>
          <w:b/>
          <w:bCs/>
          <w:lang w:val="es-ES_tradnl"/>
        </w:rPr>
        <w:t xml:space="preserve"> </w:t>
      </w:r>
    </w:p>
    <w:p w14:paraId="57498E56" w14:textId="77777777" w:rsidR="004D3B27" w:rsidRPr="00BB42E0" w:rsidRDefault="004D3B27" w:rsidP="00BB42E0">
      <w:pPr>
        <w:rPr>
          <w:b/>
          <w:bCs/>
          <w:lang w:val="es-ES_tradnl"/>
        </w:rPr>
      </w:pPr>
    </w:p>
    <w:p w14:paraId="3BE6563B" w14:textId="77777777" w:rsidR="004D3B27" w:rsidRPr="00BB42E0" w:rsidRDefault="004D3B27" w:rsidP="00BB42E0">
      <w:pPr>
        <w:pStyle w:val="Puesto"/>
        <w:rPr>
          <w:lang w:val="es-ES_tradnl" w:eastAsia="en-US"/>
        </w:rPr>
      </w:pPr>
      <w:r w:rsidRPr="00BB42E0">
        <w:rPr>
          <w:lang w:val="es-ES_tradnl"/>
        </w:rPr>
        <w:t>“</w:t>
      </w:r>
      <w:r w:rsidRPr="00BB42E0">
        <w:rPr>
          <w:b/>
          <w:lang w:val="es-ES_tradnl"/>
        </w:rPr>
        <w:t>Registro Federal de Contribuyentes (RFC) de personas físicas.</w:t>
      </w:r>
      <w:r w:rsidRPr="00BB42E0">
        <w:rPr>
          <w:lang w:val="es-ES_tradnl"/>
        </w:rPr>
        <w:t xml:space="preserve"> El RFC es una clave de carácter fiscal, </w:t>
      </w:r>
      <w:proofErr w:type="gramStart"/>
      <w:r w:rsidRPr="00BB42E0">
        <w:rPr>
          <w:lang w:val="es-ES_tradnl"/>
        </w:rPr>
        <w:t>única</w:t>
      </w:r>
      <w:proofErr w:type="gramEnd"/>
      <w:r w:rsidRPr="00BB42E0">
        <w:rPr>
          <w:lang w:val="es-ES_tradnl"/>
        </w:rPr>
        <w:t xml:space="preserve"> e irrepetible, que permite identificar al titular, su edad y fecha de nacimiento, </w:t>
      </w:r>
      <w:r w:rsidRPr="00BB42E0">
        <w:rPr>
          <w:lang w:val="es-ES_tradnl" w:eastAsia="es-MX"/>
        </w:rPr>
        <w:t>por</w:t>
      </w:r>
      <w:r w:rsidRPr="00BB42E0">
        <w:rPr>
          <w:lang w:val="es-ES_tradnl"/>
        </w:rPr>
        <w:t xml:space="preserve"> lo que es un dato personal de carácter confidencial.</w:t>
      </w:r>
    </w:p>
    <w:p w14:paraId="0E86D8DF" w14:textId="77777777" w:rsidR="004D3B27" w:rsidRPr="00BB42E0" w:rsidRDefault="004D3B27" w:rsidP="00BB42E0">
      <w:pPr>
        <w:pStyle w:val="Puesto"/>
        <w:rPr>
          <w:lang w:val="es-ES_tradnl"/>
        </w:rPr>
      </w:pPr>
      <w:r w:rsidRPr="00BB42E0">
        <w:rPr>
          <w:lang w:val="es-ES_tradnl"/>
        </w:rPr>
        <w:t xml:space="preserve"> (Énfasis añadido)</w:t>
      </w:r>
    </w:p>
    <w:p w14:paraId="663AA8C5" w14:textId="77777777" w:rsidR="004D3B27" w:rsidRPr="00BB42E0" w:rsidRDefault="004D3B27" w:rsidP="00BB42E0">
      <w:pPr>
        <w:autoSpaceDE w:val="0"/>
        <w:autoSpaceDN w:val="0"/>
        <w:adjustRightInd w:val="0"/>
        <w:ind w:left="851" w:right="899"/>
        <w:rPr>
          <w:rFonts w:cs="Arial"/>
          <w:lang w:val="es-ES_tradnl"/>
        </w:rPr>
      </w:pPr>
    </w:p>
    <w:p w14:paraId="73696B86" w14:textId="77777777" w:rsidR="004D3B27" w:rsidRPr="00BB42E0" w:rsidRDefault="004D3B27" w:rsidP="00BB42E0">
      <w:pPr>
        <w:rPr>
          <w:rFonts w:cs="Arial"/>
          <w:lang w:val="es-ES_tradnl"/>
        </w:rPr>
      </w:pPr>
      <w:r w:rsidRPr="00BB42E0">
        <w:rPr>
          <w:rFonts w:cs="Arial"/>
          <w:lang w:val="es-ES_tradnl" w:eastAsia="es-MX"/>
        </w:rPr>
        <w:t xml:space="preserve">De lo anterior, se desprende que el Registro Federal de Contribuyentes se vincula al nombre de su </w:t>
      </w:r>
      <w:r w:rsidRPr="00BB42E0">
        <w:rPr>
          <w:bCs/>
          <w:lang w:val="es-ES_tradnl"/>
        </w:rPr>
        <w:t>titular</w:t>
      </w:r>
      <w:r w:rsidRPr="00BB42E0">
        <w:rPr>
          <w:rFonts w:cs="Arial"/>
          <w:lang w:val="es-ES_tradnl" w:eastAsia="es-MX"/>
        </w:rPr>
        <w:t xml:space="preserve">, permitiendo identificar la edad de la persona y fecha de nacimiento, determinando </w:t>
      </w:r>
      <w:r w:rsidRPr="00BB42E0">
        <w:rPr>
          <w:rFonts w:cs="Arial"/>
          <w:lang w:val="es-ES_tradnl"/>
        </w:rPr>
        <w:t>l</w:t>
      </w:r>
      <w:r w:rsidRPr="00BB42E0">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BB42E0">
        <w:rPr>
          <w:lang w:val="es-ES_tradnl" w:eastAsia="es-MX"/>
        </w:rPr>
        <w:t>Municipios</w:t>
      </w:r>
      <w:r w:rsidRPr="00BB42E0">
        <w:rPr>
          <w:rFonts w:cs="Arial"/>
          <w:lang w:val="es-ES_tradnl" w:eastAsia="es-MX"/>
        </w:rPr>
        <w:t xml:space="preserve"> y </w:t>
      </w:r>
      <w:r w:rsidRPr="00BB42E0">
        <w:rPr>
          <w:rFonts w:cs="Arial"/>
          <w:lang w:val="es-ES_tradnl"/>
        </w:rPr>
        <w:t>4 fracción XI</w:t>
      </w:r>
      <w:r w:rsidRPr="00BB42E0">
        <w:rPr>
          <w:rFonts w:cs="Arial"/>
          <w:lang w:val="es-ES_tradnl" w:eastAsia="es-MX"/>
        </w:rPr>
        <w:t xml:space="preserve"> </w:t>
      </w:r>
      <w:r w:rsidRPr="00BB42E0">
        <w:rPr>
          <w:rFonts w:cs="Arial"/>
          <w:lang w:val="es-ES_tradnl"/>
        </w:rPr>
        <w:t>de la Ley de Protección de Datos Personales en Posesión de Sujetos Obligados del Estado de México y Municipios.</w:t>
      </w:r>
    </w:p>
    <w:p w14:paraId="2E4EEB57" w14:textId="77777777" w:rsidR="004D3B27" w:rsidRPr="00BB42E0" w:rsidRDefault="004D3B27" w:rsidP="00BB42E0">
      <w:pPr>
        <w:rPr>
          <w:rFonts w:cs="Arial"/>
          <w:lang w:val="es-ES_tradnl" w:eastAsia="es-MX"/>
        </w:rPr>
      </w:pPr>
    </w:p>
    <w:p w14:paraId="24A74598" w14:textId="77777777" w:rsidR="004D3B27" w:rsidRPr="00BB42E0" w:rsidRDefault="004D3B27" w:rsidP="00BB42E0">
      <w:pPr>
        <w:pStyle w:val="Prrafodelista"/>
        <w:numPr>
          <w:ilvl w:val="0"/>
          <w:numId w:val="34"/>
        </w:numPr>
        <w:rPr>
          <w:rFonts w:cs="Arial"/>
          <w:lang w:val="es-ES_tradnl" w:eastAsia="es-MX"/>
        </w:rPr>
      </w:pPr>
      <w:r w:rsidRPr="00BB42E0">
        <w:rPr>
          <w:rFonts w:cs="Arial"/>
          <w:b/>
          <w:lang w:val="es-ES_tradnl"/>
        </w:rPr>
        <w:t>Clave Única de Registro de Población</w:t>
      </w:r>
    </w:p>
    <w:p w14:paraId="40259BA8" w14:textId="77777777" w:rsidR="004D3B27" w:rsidRPr="00BB42E0" w:rsidRDefault="004D3B27" w:rsidP="00BB42E0">
      <w:pPr>
        <w:pStyle w:val="Prrafodelista"/>
        <w:rPr>
          <w:rFonts w:cs="Arial"/>
          <w:lang w:val="es-ES_tradnl" w:eastAsia="es-MX"/>
        </w:rPr>
      </w:pPr>
    </w:p>
    <w:p w14:paraId="7DD141C9" w14:textId="77777777" w:rsidR="004D3B27" w:rsidRPr="00BB42E0" w:rsidRDefault="004D3B27" w:rsidP="00BB42E0">
      <w:pPr>
        <w:rPr>
          <w:rFonts w:cs="Arial"/>
          <w:lang w:val="es-ES_tradnl" w:eastAsia="es-MX"/>
        </w:rPr>
      </w:pPr>
      <w:r w:rsidRPr="00BB42E0">
        <w:rPr>
          <w:rFonts w:cs="Arial"/>
          <w:lang w:val="es-ES_tradnl" w:eastAsia="es-MX"/>
        </w:rPr>
        <w:t xml:space="preserve">Constituye un dato personal ya que </w:t>
      </w:r>
      <w:r w:rsidRPr="00BB42E0">
        <w:rPr>
          <w:lang w:val="es-ES_tradnl" w:eastAsia="es-MX"/>
        </w:rPr>
        <w:t>tiene</w:t>
      </w:r>
      <w:r w:rsidRPr="00BB42E0">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5FD5C057" w14:textId="77777777" w:rsidR="004D3B27" w:rsidRPr="00BB42E0" w:rsidRDefault="004D3B27" w:rsidP="00BB42E0">
      <w:pPr>
        <w:rPr>
          <w:rFonts w:cs="Arial"/>
          <w:lang w:val="es-ES_tradnl" w:eastAsia="es-MX"/>
        </w:rPr>
      </w:pPr>
    </w:p>
    <w:p w14:paraId="2640C16B" w14:textId="77777777" w:rsidR="004D3B27" w:rsidRPr="00BB42E0" w:rsidRDefault="004D3B27" w:rsidP="00BB42E0">
      <w:pPr>
        <w:rPr>
          <w:rFonts w:cs="Arial"/>
          <w:lang w:val="es-ES_tradnl" w:eastAsia="es-MX"/>
        </w:rPr>
      </w:pPr>
      <w:r w:rsidRPr="00BB42E0">
        <w:rPr>
          <w:rFonts w:cs="Arial"/>
          <w:lang w:val="es-ES_tradnl" w:eastAsia="es-MX"/>
        </w:rPr>
        <w:t xml:space="preserve">Lo </w:t>
      </w:r>
      <w:r w:rsidRPr="00BB42E0">
        <w:rPr>
          <w:lang w:val="es-ES_tradnl" w:eastAsia="es-MX"/>
        </w:rPr>
        <w:t>anterior</w:t>
      </w:r>
      <w:r w:rsidRPr="00BB42E0">
        <w:rPr>
          <w:rFonts w:cs="Arial"/>
          <w:lang w:val="es-ES_tradnl" w:eastAsia="es-MX"/>
        </w:rPr>
        <w:t xml:space="preserve">, </w:t>
      </w:r>
      <w:r w:rsidRPr="00BB42E0">
        <w:rPr>
          <w:rFonts w:cs="Arial"/>
          <w:lang w:val="es-ES_tradnl"/>
        </w:rPr>
        <w:t>tiene</w:t>
      </w:r>
      <w:r w:rsidRPr="00BB42E0">
        <w:rPr>
          <w:rFonts w:cs="Arial"/>
          <w:lang w:val="es-ES_tradnl" w:eastAsia="es-MX"/>
        </w:rPr>
        <w:t xml:space="preserve"> sustento en los artículos 86 y 91 de la Ley General de Población, la cual señala lo siguiente:</w:t>
      </w:r>
    </w:p>
    <w:p w14:paraId="1D48EA5C" w14:textId="77777777" w:rsidR="004D3B27" w:rsidRPr="00BB42E0" w:rsidRDefault="004D3B27" w:rsidP="00BB42E0">
      <w:pPr>
        <w:rPr>
          <w:rFonts w:cs="Arial"/>
          <w:lang w:val="es-ES_tradnl" w:eastAsia="es-MX"/>
        </w:rPr>
      </w:pPr>
    </w:p>
    <w:p w14:paraId="11537FA6" w14:textId="77777777" w:rsidR="004D3B27" w:rsidRPr="00BB42E0" w:rsidRDefault="004D3B27" w:rsidP="00BB42E0">
      <w:pPr>
        <w:pStyle w:val="Puesto"/>
        <w:rPr>
          <w:lang w:val="es-ES_tradnl" w:eastAsia="es-MX"/>
        </w:rPr>
      </w:pPr>
      <w:r w:rsidRPr="00BB42E0">
        <w:rPr>
          <w:rFonts w:cs="Arial,Bold"/>
          <w:bCs/>
          <w:lang w:val="es-ES_tradnl" w:eastAsia="es-MX"/>
        </w:rPr>
        <w:t>“</w:t>
      </w:r>
      <w:r w:rsidRPr="00BB42E0">
        <w:rPr>
          <w:rFonts w:cs="Arial,Bold"/>
          <w:b/>
          <w:bCs/>
          <w:lang w:val="es-ES_tradnl" w:eastAsia="es-MX"/>
        </w:rPr>
        <w:t xml:space="preserve">Artículo 86. </w:t>
      </w:r>
      <w:r w:rsidRPr="00BB42E0">
        <w:rPr>
          <w:lang w:val="es-ES_tradnl" w:eastAsia="es-MX"/>
        </w:rPr>
        <w:t>El Registro Nacional de Población tiene como finalidad registrar a cada una de las personas que integran la población del país, con los datos que permitan certificar y acreditar fehacientemente su identidad.</w:t>
      </w:r>
    </w:p>
    <w:p w14:paraId="4B54CDEF" w14:textId="77777777" w:rsidR="004D3B27" w:rsidRPr="00BB42E0" w:rsidRDefault="004D3B27" w:rsidP="00BB42E0">
      <w:pPr>
        <w:pStyle w:val="Puesto"/>
        <w:rPr>
          <w:lang w:val="es-ES_tradnl" w:eastAsia="es-MX"/>
        </w:rPr>
      </w:pPr>
      <w:r w:rsidRPr="00BB42E0">
        <w:rPr>
          <w:rFonts w:cs="Arial,Bold"/>
          <w:b/>
          <w:bCs/>
          <w:lang w:val="es-ES_tradnl" w:eastAsia="es-MX"/>
        </w:rPr>
        <w:t xml:space="preserve">Artículo 91. </w:t>
      </w:r>
      <w:r w:rsidRPr="00BB42E0">
        <w:rPr>
          <w:b/>
          <w:u w:val="single"/>
          <w:lang w:val="es-ES_tradnl" w:eastAsia="es-MX"/>
        </w:rPr>
        <w:t>Al incorporar a una persona en el Registro Nacional de Población</w:t>
      </w:r>
      <w:r w:rsidRPr="00BB42E0">
        <w:rPr>
          <w:lang w:val="es-ES_tradnl" w:eastAsia="es-MX"/>
        </w:rPr>
        <w:t xml:space="preserve">, se le asignará una clave </w:t>
      </w:r>
      <w:r w:rsidRPr="00BB42E0">
        <w:rPr>
          <w:b/>
          <w:u w:val="single"/>
          <w:lang w:val="es-ES_tradnl" w:eastAsia="es-MX"/>
        </w:rPr>
        <w:t>que se denominará Clave Única de Registro de Población</w:t>
      </w:r>
      <w:r w:rsidRPr="00BB42E0">
        <w:rPr>
          <w:lang w:val="es-ES_tradnl" w:eastAsia="es-MX"/>
        </w:rPr>
        <w:t xml:space="preserve">. </w:t>
      </w:r>
      <w:r w:rsidRPr="00BB42E0">
        <w:rPr>
          <w:b/>
          <w:u w:val="single"/>
          <w:lang w:val="es-ES_tradnl" w:eastAsia="es-MX"/>
        </w:rPr>
        <w:t>Esta servirá para</w:t>
      </w:r>
      <w:r w:rsidRPr="00BB42E0">
        <w:rPr>
          <w:lang w:val="es-ES_tradnl" w:eastAsia="es-MX"/>
        </w:rPr>
        <w:t xml:space="preserve"> registrarla e </w:t>
      </w:r>
      <w:r w:rsidRPr="00BB42E0">
        <w:rPr>
          <w:b/>
          <w:u w:val="single"/>
          <w:lang w:val="es-ES_tradnl" w:eastAsia="es-MX"/>
        </w:rPr>
        <w:t>identificarla en forma individual</w:t>
      </w:r>
      <w:r w:rsidRPr="00BB42E0">
        <w:rPr>
          <w:lang w:val="es-ES_tradnl" w:eastAsia="es-MX"/>
        </w:rPr>
        <w:t xml:space="preserve">.” </w:t>
      </w:r>
    </w:p>
    <w:p w14:paraId="0F6D205F" w14:textId="77777777" w:rsidR="004D3B27" w:rsidRPr="00BB42E0" w:rsidRDefault="004D3B27" w:rsidP="00BB42E0">
      <w:pPr>
        <w:pStyle w:val="Puesto"/>
        <w:rPr>
          <w:lang w:val="es-ES_tradnl" w:eastAsia="es-MX"/>
        </w:rPr>
      </w:pPr>
      <w:r w:rsidRPr="00BB42E0">
        <w:rPr>
          <w:lang w:val="es-ES_tradnl" w:eastAsia="es-MX"/>
        </w:rPr>
        <w:t>(Énfasis añadido)</w:t>
      </w:r>
    </w:p>
    <w:p w14:paraId="687F881E" w14:textId="77777777" w:rsidR="004D3B27" w:rsidRPr="00BB42E0" w:rsidRDefault="004D3B27" w:rsidP="00BB42E0">
      <w:pPr>
        <w:rPr>
          <w:lang w:val="es-ES_tradnl" w:eastAsia="es-MX"/>
        </w:rPr>
      </w:pPr>
    </w:p>
    <w:p w14:paraId="7F95DC28" w14:textId="77777777" w:rsidR="004D3B27" w:rsidRPr="00BB42E0" w:rsidRDefault="004D3B27" w:rsidP="00BB42E0">
      <w:pPr>
        <w:rPr>
          <w:lang w:val="es-ES_tradnl" w:eastAsia="es-MX"/>
        </w:rPr>
      </w:pPr>
      <w:r w:rsidRPr="00BB42E0">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BB42E0">
        <w:rPr>
          <w:bCs/>
          <w:lang w:val="es-ES_tradnl"/>
        </w:rPr>
        <w:t>identidad</w:t>
      </w:r>
      <w:r w:rsidRPr="00BB42E0">
        <w:rPr>
          <w:lang w:val="es-ES_tradnl" w:eastAsia="es-MX"/>
        </w:rPr>
        <w:t xml:space="preserve"> (acta de nacimiento, carta de naturalización o documento migratorio), la </w:t>
      </w:r>
      <w:r w:rsidRPr="00BB42E0">
        <w:rPr>
          <w:rFonts w:cs="Arial"/>
          <w:lang w:val="es-ES_tradnl"/>
        </w:rPr>
        <w:t>cual</w:t>
      </w:r>
      <w:r w:rsidRPr="00BB42E0">
        <w:rPr>
          <w:lang w:val="es-ES_tradnl" w:eastAsia="es-MX"/>
        </w:rPr>
        <w:t xml:space="preserve"> se integra de</w:t>
      </w:r>
      <w:r w:rsidRPr="00BB42E0">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BB42E0">
        <w:rPr>
          <w:lang w:val="es-ES_tradnl" w:eastAsia="es-MX"/>
        </w:rPr>
        <w:t xml:space="preserve">; sexo; Entidad Federativa de nacimiento; consonantes internas del nombre y apellidos; un diferenciador de homonimia y siglo; y un digito verificador, que garantizan la correcta integración. </w:t>
      </w:r>
    </w:p>
    <w:p w14:paraId="332BF500" w14:textId="77777777" w:rsidR="004D3B27" w:rsidRPr="00BB42E0" w:rsidRDefault="004D3B27" w:rsidP="00BB42E0">
      <w:pPr>
        <w:rPr>
          <w:lang w:val="es-ES_tradnl" w:eastAsia="es-MX"/>
        </w:rPr>
      </w:pPr>
    </w:p>
    <w:p w14:paraId="3862CE40" w14:textId="77777777" w:rsidR="004D3B27" w:rsidRPr="00BB42E0" w:rsidRDefault="004D3B27" w:rsidP="00BB42E0">
      <w:pPr>
        <w:rPr>
          <w:rFonts w:cs="Arial"/>
          <w:lang w:val="es-ES_tradnl" w:eastAsia="es-MX"/>
        </w:rPr>
      </w:pPr>
      <w:r w:rsidRPr="00BB42E0">
        <w:rPr>
          <w:rFonts w:cs="Arial"/>
          <w:lang w:val="es-ES_tradnl" w:eastAsia="es-MX"/>
        </w:rPr>
        <w:t xml:space="preserve">Al respecto, el </w:t>
      </w:r>
      <w:r w:rsidRPr="00BB42E0">
        <w:rPr>
          <w:rFonts w:eastAsia="Arial Unicode MS" w:cs="Arial"/>
          <w:lang w:val="es-ES_tradnl"/>
        </w:rPr>
        <w:t>Instituto Nacional de Transparencia, Acceso a la Información y Protección de Datos Personales (INAI),</w:t>
      </w:r>
      <w:r w:rsidRPr="00BB42E0">
        <w:rPr>
          <w:rFonts w:cs="Arial"/>
          <w:lang w:val="es-ES_tradnl" w:eastAsia="es-MX"/>
        </w:rPr>
        <w:t xml:space="preserve"> a través del Criterio 18/17 de la Segunda Época, señala literalmente lo siguiente:</w:t>
      </w:r>
    </w:p>
    <w:p w14:paraId="418F5181" w14:textId="77777777" w:rsidR="004D3B27" w:rsidRPr="00BB42E0" w:rsidRDefault="004D3B27" w:rsidP="00BB42E0">
      <w:pPr>
        <w:rPr>
          <w:rFonts w:cs="Arial"/>
          <w:lang w:val="es-ES_tradnl" w:eastAsia="es-MX"/>
        </w:rPr>
      </w:pPr>
    </w:p>
    <w:p w14:paraId="32369D0D" w14:textId="77777777" w:rsidR="004D3B27" w:rsidRPr="00BB42E0" w:rsidRDefault="004D3B27" w:rsidP="00BB42E0">
      <w:pPr>
        <w:pStyle w:val="Puesto"/>
        <w:rPr>
          <w:lang w:val="es-ES_tradnl" w:eastAsia="es-MX"/>
        </w:rPr>
      </w:pPr>
      <w:r w:rsidRPr="00BB42E0">
        <w:rPr>
          <w:lang w:val="es-ES_tradnl" w:eastAsia="es-MX"/>
        </w:rPr>
        <w:t>“</w:t>
      </w:r>
      <w:r w:rsidRPr="00BB42E0">
        <w:rPr>
          <w:b/>
          <w:lang w:val="es-ES_tradnl" w:eastAsia="es-MX"/>
        </w:rPr>
        <w:t>Clave Única de Registro de Población (CURP). La Clave Única de Registro de Población</w:t>
      </w:r>
      <w:r w:rsidRPr="00BB42E0">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w:t>
      </w:r>
      <w:r w:rsidRPr="00BB42E0">
        <w:rPr>
          <w:lang w:val="es-ES_tradnl" w:eastAsia="es-MX"/>
        </w:rPr>
        <w:lastRenderedPageBreak/>
        <w:t xml:space="preserve">resto de los habitantes del país, por lo que la CURP está considerada como información confidencial. </w:t>
      </w:r>
    </w:p>
    <w:p w14:paraId="7433D7BB" w14:textId="77777777" w:rsidR="004D3B27" w:rsidRPr="00BB42E0" w:rsidRDefault="004D3B27" w:rsidP="00BB42E0">
      <w:pPr>
        <w:pStyle w:val="Puesto"/>
        <w:rPr>
          <w:lang w:val="es-ES_tradnl" w:eastAsia="es-MX"/>
        </w:rPr>
      </w:pPr>
      <w:r w:rsidRPr="00BB42E0">
        <w:rPr>
          <w:lang w:val="es-ES_tradnl" w:eastAsia="es-MX"/>
        </w:rPr>
        <w:t xml:space="preserve"> (Énfasis añadido)</w:t>
      </w:r>
    </w:p>
    <w:p w14:paraId="03E8233D" w14:textId="77777777" w:rsidR="004D3B27" w:rsidRPr="00BB42E0" w:rsidRDefault="004D3B27" w:rsidP="00BB42E0">
      <w:pPr>
        <w:autoSpaceDE w:val="0"/>
        <w:autoSpaceDN w:val="0"/>
        <w:adjustRightInd w:val="0"/>
        <w:ind w:left="851" w:right="902"/>
        <w:rPr>
          <w:rFonts w:cs="Arial"/>
          <w:lang w:val="es-ES_tradnl"/>
        </w:rPr>
      </w:pPr>
    </w:p>
    <w:p w14:paraId="7B9C89D6" w14:textId="77777777" w:rsidR="004D3B27" w:rsidRPr="00BB42E0" w:rsidRDefault="004D3B27" w:rsidP="00BB42E0">
      <w:pPr>
        <w:rPr>
          <w:rFonts w:cs="Arial"/>
          <w:lang w:val="es-ES_tradnl" w:eastAsia="es-MX"/>
        </w:rPr>
      </w:pPr>
      <w:r w:rsidRPr="00BB42E0">
        <w:rPr>
          <w:rFonts w:cs="Arial"/>
          <w:lang w:val="es-ES_tradnl" w:eastAsia="es-MX"/>
        </w:rPr>
        <w:t xml:space="preserve">De lo anterior, se desprende que la </w:t>
      </w:r>
      <w:r w:rsidRPr="00BB42E0">
        <w:rPr>
          <w:lang w:val="es-ES_tradnl" w:eastAsia="es-MX"/>
        </w:rPr>
        <w:t xml:space="preserve">Clave Única de Registro de Población, </w:t>
      </w:r>
      <w:r w:rsidRPr="00BB42E0">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BB42E0">
        <w:rPr>
          <w:bCs/>
          <w:lang w:val="es-ES_tradnl"/>
        </w:rPr>
        <w:t>personal</w:t>
      </w:r>
      <w:r w:rsidRPr="00BB42E0">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BB42E0">
        <w:rPr>
          <w:rFonts w:cs="Arial"/>
          <w:lang w:val="es-ES_tradnl"/>
        </w:rPr>
        <w:t>4, fracción XI</w:t>
      </w:r>
      <w:r w:rsidRPr="00BB42E0">
        <w:rPr>
          <w:rFonts w:cs="Arial"/>
          <w:lang w:val="es-ES_tradnl" w:eastAsia="es-MX"/>
        </w:rPr>
        <w:t xml:space="preserve"> </w:t>
      </w:r>
      <w:r w:rsidRPr="00BB42E0">
        <w:rPr>
          <w:rFonts w:cs="Arial"/>
          <w:lang w:val="es-ES_tradnl"/>
        </w:rPr>
        <w:t>de la Ley de Protección de Datos Personales en Posesión de Sujetos Obligados del Estado de México y Municipios</w:t>
      </w:r>
      <w:r w:rsidRPr="00BB42E0">
        <w:rPr>
          <w:rFonts w:cs="Arial"/>
          <w:lang w:val="es-ES_tradnl" w:eastAsia="es-MX"/>
        </w:rPr>
        <w:t>.</w:t>
      </w:r>
    </w:p>
    <w:p w14:paraId="3F60DD2A" w14:textId="77777777" w:rsidR="004D3B27" w:rsidRPr="00BB42E0" w:rsidRDefault="004D3B27" w:rsidP="00BB42E0"/>
    <w:p w14:paraId="02116901" w14:textId="77777777" w:rsidR="004D3B27" w:rsidRPr="00BB42E0" w:rsidRDefault="004D3B27" w:rsidP="00BB42E0">
      <w:pPr>
        <w:pStyle w:val="Prrafodelista"/>
        <w:numPr>
          <w:ilvl w:val="0"/>
          <w:numId w:val="34"/>
        </w:numPr>
        <w:rPr>
          <w:rFonts w:cs="Arial"/>
          <w:b/>
        </w:rPr>
      </w:pPr>
      <w:r w:rsidRPr="00BB42E0">
        <w:rPr>
          <w:rFonts w:cs="Arial"/>
          <w:b/>
        </w:rPr>
        <w:t xml:space="preserve">Clave de cualquier tipo de </w:t>
      </w:r>
      <w:r w:rsidRPr="00BB42E0">
        <w:rPr>
          <w:b/>
        </w:rPr>
        <w:t>seguridad</w:t>
      </w:r>
      <w:r w:rsidRPr="00BB42E0">
        <w:rPr>
          <w:rFonts w:cs="Arial"/>
          <w:b/>
        </w:rPr>
        <w:t xml:space="preserve"> social</w:t>
      </w:r>
    </w:p>
    <w:p w14:paraId="70F60F8C" w14:textId="77777777" w:rsidR="004D3B27" w:rsidRPr="00BB42E0" w:rsidRDefault="004D3B27" w:rsidP="00BB42E0"/>
    <w:p w14:paraId="2ABF52F1" w14:textId="77777777" w:rsidR="004D3B27" w:rsidRPr="00BB42E0" w:rsidRDefault="004D3B27" w:rsidP="00BB42E0">
      <w:pPr>
        <w:rPr>
          <w:rFonts w:cs="Arial"/>
        </w:rPr>
      </w:pPr>
      <w:r w:rsidRPr="00BB42E0">
        <w:rPr>
          <w:rFonts w:cs="Arial"/>
        </w:rPr>
        <w:t xml:space="preserve">Por cuanto hace a la </w:t>
      </w:r>
      <w:r w:rsidRPr="00BB42E0">
        <w:rPr>
          <w:rFonts w:cs="Arial"/>
          <w:b/>
        </w:rPr>
        <w:t>Clave de cualquier tipo de seguridad social</w:t>
      </w:r>
      <w:r w:rsidRPr="00BB42E0">
        <w:rPr>
          <w:rFonts w:cs="Arial"/>
        </w:rPr>
        <w:t xml:space="preserve"> (ISSEMYM, u otros), está integrado por una </w:t>
      </w:r>
      <w:r w:rsidRPr="00BB42E0">
        <w:rPr>
          <w:rFonts w:cs="Arial"/>
          <w:bCs/>
        </w:rPr>
        <w:t xml:space="preserve">secuencia de números con los que se identifica a los trabajadores que </w:t>
      </w:r>
      <w:r w:rsidRPr="00BB42E0">
        <w:t>cubren</w:t>
      </w:r>
      <w:r w:rsidRPr="00BB42E0">
        <w:rPr>
          <w:rFonts w:cs="Arial"/>
          <w:bCs/>
        </w:rPr>
        <w:t xml:space="preserve"> las cuotas respectivas, asimismo, lo identifica con la fuente de trabajo; por lo que al ser una clave de </w:t>
      </w:r>
      <w:r w:rsidRPr="00BB42E0">
        <w:rPr>
          <w:rFonts w:cs="Arial"/>
        </w:rPr>
        <w:t>identificación</w:t>
      </w:r>
      <w:r w:rsidRPr="00BB42E0">
        <w:rPr>
          <w:rFonts w:cs="Arial"/>
          <w:bCs/>
        </w:rPr>
        <w:t xml:space="preserve"> de los trabajadores, constituye información confidencial, </w:t>
      </w:r>
      <w:r w:rsidRPr="00BB42E0">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8DDB34F" w14:textId="77777777" w:rsidR="004D3B27" w:rsidRPr="00BB42E0" w:rsidRDefault="004D3B27" w:rsidP="00BB42E0"/>
    <w:p w14:paraId="3C348350" w14:textId="77777777" w:rsidR="004D3B27" w:rsidRPr="00BB42E0" w:rsidRDefault="004D3B27" w:rsidP="00BB42E0">
      <w:pPr>
        <w:pStyle w:val="Prrafodelista"/>
        <w:numPr>
          <w:ilvl w:val="0"/>
          <w:numId w:val="34"/>
        </w:numPr>
        <w:rPr>
          <w:b/>
        </w:rPr>
      </w:pPr>
      <w:r w:rsidRPr="00BB42E0">
        <w:rPr>
          <w:b/>
        </w:rPr>
        <w:t>Número de cuenta bancaria de los particulares</w:t>
      </w:r>
    </w:p>
    <w:p w14:paraId="459E74F2" w14:textId="77777777" w:rsidR="004D3B27" w:rsidRPr="00BB42E0" w:rsidRDefault="004D3B27" w:rsidP="00BB42E0">
      <w:pPr>
        <w:pStyle w:val="Prrafodelista"/>
        <w:rPr>
          <w:b/>
        </w:rPr>
      </w:pPr>
    </w:p>
    <w:p w14:paraId="6AF93C6E" w14:textId="77777777" w:rsidR="004D3B27" w:rsidRPr="00BB42E0" w:rsidRDefault="004D3B27" w:rsidP="00BB42E0">
      <w:r w:rsidRPr="00BB42E0">
        <w:rPr>
          <w:rFonts w:cs="Arial"/>
        </w:rPr>
        <w:lastRenderedPageBreak/>
        <w:t xml:space="preserve">Por otro lado, es importante señalar que </w:t>
      </w:r>
      <w:r w:rsidRPr="00BB42E0">
        <w:t>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769043F7" w14:textId="77777777" w:rsidR="004D3B27" w:rsidRPr="00BB42E0" w:rsidRDefault="004D3B27" w:rsidP="00BB42E0">
      <w:pPr>
        <w:autoSpaceDE w:val="0"/>
        <w:autoSpaceDN w:val="0"/>
        <w:adjustRightInd w:val="0"/>
        <w:ind w:right="50"/>
      </w:pPr>
    </w:p>
    <w:p w14:paraId="178C4C40" w14:textId="77777777" w:rsidR="004D3B27" w:rsidRPr="00BB42E0" w:rsidRDefault="004D3B27" w:rsidP="00BB42E0">
      <w:pPr>
        <w:autoSpaceDE w:val="0"/>
        <w:autoSpaceDN w:val="0"/>
        <w:adjustRightInd w:val="0"/>
        <w:ind w:right="51"/>
      </w:pPr>
      <w:r w:rsidRPr="00BB42E0">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7C55EDEA" w14:textId="77777777" w:rsidR="004D3B27" w:rsidRPr="00BB42E0" w:rsidRDefault="004D3B27" w:rsidP="00BB42E0">
      <w:pPr>
        <w:autoSpaceDE w:val="0"/>
        <w:autoSpaceDN w:val="0"/>
        <w:adjustRightInd w:val="0"/>
        <w:ind w:right="51"/>
      </w:pPr>
    </w:p>
    <w:p w14:paraId="079532D5" w14:textId="77777777" w:rsidR="004D3B27" w:rsidRPr="00BB42E0" w:rsidRDefault="004D3B27" w:rsidP="00BB42E0">
      <w:pPr>
        <w:autoSpaceDE w:val="0"/>
        <w:autoSpaceDN w:val="0"/>
        <w:adjustRightInd w:val="0"/>
        <w:ind w:right="50"/>
      </w:pPr>
      <w:r w:rsidRPr="00BB42E0">
        <w:t>Lo anterior encuentra sustento en el criterio 10/17 emitido por el Instituto Nacional de Transparencia y Acceso a la Información Pública del Estado de México y Municipios, que a la letra dicen:</w:t>
      </w:r>
    </w:p>
    <w:p w14:paraId="01CBBC92" w14:textId="77777777" w:rsidR="004D3B27" w:rsidRPr="00BB42E0" w:rsidRDefault="004D3B27" w:rsidP="00BB42E0">
      <w:pPr>
        <w:autoSpaceDE w:val="0"/>
        <w:autoSpaceDN w:val="0"/>
        <w:adjustRightInd w:val="0"/>
        <w:ind w:right="50"/>
      </w:pPr>
    </w:p>
    <w:p w14:paraId="000DE072" w14:textId="77777777" w:rsidR="004D3B27" w:rsidRPr="00BB42E0" w:rsidRDefault="004D3B27" w:rsidP="00BB42E0">
      <w:pPr>
        <w:pStyle w:val="Puesto"/>
      </w:pPr>
      <w:r w:rsidRPr="00BB42E0">
        <w:rPr>
          <w:b/>
        </w:rPr>
        <w:t>“Cuentas bancarias y/o CLABE interbancaria de personas físicas y morales privadas.</w:t>
      </w:r>
      <w:r w:rsidRPr="00BB42E0">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F6819C2" w14:textId="77777777" w:rsidR="004D3B27" w:rsidRPr="00BB42E0" w:rsidRDefault="004D3B27" w:rsidP="00BB42E0">
      <w:pPr>
        <w:autoSpaceDE w:val="0"/>
        <w:autoSpaceDN w:val="0"/>
        <w:adjustRightInd w:val="0"/>
        <w:ind w:left="851" w:right="1134"/>
        <w:jc w:val="center"/>
        <w:rPr>
          <w:b/>
          <w:i/>
        </w:rPr>
      </w:pPr>
    </w:p>
    <w:p w14:paraId="47B0F59F" w14:textId="77777777" w:rsidR="004D3B27" w:rsidRPr="00BB42E0" w:rsidRDefault="004D3B27" w:rsidP="00BB42E0">
      <w:pPr>
        <w:pStyle w:val="Prrafodelista"/>
        <w:numPr>
          <w:ilvl w:val="0"/>
          <w:numId w:val="34"/>
        </w:numPr>
        <w:rPr>
          <w:rFonts w:eastAsia="Palatino Linotype" w:cs="Palatino Linotype"/>
          <w:b/>
        </w:rPr>
      </w:pPr>
      <w:r w:rsidRPr="00BB42E0">
        <w:rPr>
          <w:rFonts w:eastAsia="Palatino Linotype" w:cs="Palatino Linotype"/>
          <w:b/>
        </w:rPr>
        <w:t>Número de empleado de servidores públicos o su equivalente</w:t>
      </w:r>
    </w:p>
    <w:p w14:paraId="6ACBAEF0" w14:textId="77777777" w:rsidR="004D3B27" w:rsidRPr="00BB42E0" w:rsidRDefault="004D3B27" w:rsidP="00BB42E0"/>
    <w:p w14:paraId="23030B00" w14:textId="77777777" w:rsidR="004D3B27" w:rsidRPr="00BB42E0" w:rsidRDefault="004D3B27" w:rsidP="00BB42E0">
      <w:pPr>
        <w:rPr>
          <w:lang w:eastAsia="es-MX"/>
        </w:rPr>
      </w:pPr>
      <w:r w:rsidRPr="00BB42E0">
        <w:rPr>
          <w:rFonts w:cs="Arial"/>
        </w:rPr>
        <w:lastRenderedPageBreak/>
        <w:t xml:space="preserve">Por otro lado, </w:t>
      </w:r>
      <w:r w:rsidRPr="00BB42E0">
        <w:rPr>
          <w:rFonts w:eastAsia="Palatino Linotype" w:cs="Palatino Linotype"/>
        </w:rPr>
        <w:t xml:space="preserve">es necesario precisar que el </w:t>
      </w:r>
      <w:r w:rsidRPr="00BB42E0">
        <w:rPr>
          <w:rFonts w:eastAsia="Palatino Linotype" w:cs="Palatino Linotype"/>
          <w:b/>
        </w:rPr>
        <w:t>número de empleado de servidores públicos o su equivalente</w:t>
      </w:r>
      <w:r w:rsidRPr="00BB42E0">
        <w:rPr>
          <w:rFonts w:eastAsia="Palatino Linotype" w:cs="Palatino Linotype"/>
        </w:rPr>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46C9C25C" w14:textId="77777777" w:rsidR="004D3B27" w:rsidRPr="00BB42E0" w:rsidRDefault="004D3B27" w:rsidP="00BB42E0">
      <w:pPr>
        <w:pBdr>
          <w:top w:val="nil"/>
          <w:left w:val="nil"/>
          <w:bottom w:val="nil"/>
          <w:right w:val="nil"/>
          <w:between w:val="nil"/>
        </w:pBdr>
        <w:spacing w:before="240" w:after="240"/>
        <w:ind w:right="49"/>
        <w:rPr>
          <w:rFonts w:eastAsia="Palatino Linotype" w:cs="Palatino Linotype"/>
        </w:rPr>
      </w:pPr>
      <w:r w:rsidRPr="00BB42E0">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45322893" w14:textId="77777777" w:rsidR="004D3B27" w:rsidRPr="00BB42E0" w:rsidRDefault="004D3B27" w:rsidP="00BB42E0">
      <w:pPr>
        <w:pBdr>
          <w:top w:val="nil"/>
          <w:left w:val="nil"/>
          <w:bottom w:val="nil"/>
          <w:right w:val="nil"/>
          <w:between w:val="nil"/>
        </w:pBdr>
        <w:spacing w:before="240" w:after="240"/>
        <w:ind w:right="49"/>
        <w:rPr>
          <w:rFonts w:eastAsia="Palatino Linotype" w:cs="Palatino Linotype"/>
        </w:rPr>
      </w:pPr>
      <w:r w:rsidRPr="00BB42E0">
        <w:rPr>
          <w:rFonts w:eastAsia="Palatino Linotype" w:cs="Palatino Linotype"/>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304B717C" w14:textId="77777777" w:rsidR="004D3B27" w:rsidRPr="00BB42E0" w:rsidRDefault="004D3B27" w:rsidP="00BB42E0">
      <w:pPr>
        <w:pStyle w:val="Puesto"/>
        <w:rPr>
          <w:rFonts w:eastAsia="Palatino Linotype"/>
        </w:rPr>
      </w:pPr>
      <w:r w:rsidRPr="00BB42E0">
        <w:rPr>
          <w:rFonts w:eastAsia="Palatino Linotype"/>
        </w:rPr>
        <w:t>“</w:t>
      </w:r>
      <w:r w:rsidRPr="00BB42E0">
        <w:rPr>
          <w:rFonts w:eastAsia="Palatino Linotype"/>
          <w:b/>
        </w:rPr>
        <w:t>Número de empleado.</w:t>
      </w:r>
      <w:r w:rsidRPr="00BB42E0">
        <w:rPr>
          <w:rFonts w:eastAsia="Palatino Linotype"/>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594D72F8" w14:textId="77777777" w:rsidR="004D3B27" w:rsidRPr="00BB42E0" w:rsidRDefault="004D3B27" w:rsidP="00BB42E0">
      <w:pPr>
        <w:pBdr>
          <w:top w:val="nil"/>
          <w:left w:val="nil"/>
          <w:bottom w:val="nil"/>
          <w:right w:val="nil"/>
          <w:between w:val="nil"/>
        </w:pBdr>
        <w:spacing w:before="240" w:after="240"/>
        <w:ind w:right="49"/>
        <w:rPr>
          <w:rFonts w:eastAsia="Palatino Linotype" w:cs="Palatino Linotype"/>
        </w:rPr>
      </w:pPr>
      <w:r w:rsidRPr="00BB42E0">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0B407488" w14:textId="77777777" w:rsidR="004D3B27" w:rsidRPr="00BB42E0" w:rsidRDefault="004D3B27" w:rsidP="00BB42E0">
      <w:pPr>
        <w:pStyle w:val="Prrafodelista"/>
        <w:numPr>
          <w:ilvl w:val="0"/>
          <w:numId w:val="35"/>
        </w:numPr>
        <w:rPr>
          <w:rFonts w:eastAsia="Palatino Linotype" w:cs="Palatino Linotype"/>
          <w:b/>
        </w:rPr>
      </w:pPr>
      <w:r w:rsidRPr="00BB42E0">
        <w:rPr>
          <w:b/>
          <w:lang w:eastAsia="es-MX"/>
        </w:rPr>
        <w:lastRenderedPageBreak/>
        <w:t>Folio fiscal, número de serie del certificado del emisor, sello digital del SAT y Cadena Original del SAT</w:t>
      </w:r>
    </w:p>
    <w:p w14:paraId="42C3301E" w14:textId="77777777" w:rsidR="004D3B27" w:rsidRPr="00BB42E0" w:rsidRDefault="004D3B27" w:rsidP="00BB42E0">
      <w:pPr>
        <w:rPr>
          <w:rFonts w:cs="Arial"/>
        </w:rPr>
      </w:pPr>
    </w:p>
    <w:p w14:paraId="5519B6E7" w14:textId="77777777" w:rsidR="004D3B27" w:rsidRPr="00BB42E0" w:rsidRDefault="004D3B27" w:rsidP="00BB42E0">
      <w:pPr>
        <w:rPr>
          <w:rFonts w:cs="Tahoma"/>
          <w:bCs/>
          <w:szCs w:val="22"/>
          <w:lang w:val="es-ES"/>
        </w:rPr>
      </w:pPr>
      <w:r w:rsidRPr="00BB42E0">
        <w:rPr>
          <w:rFonts w:cs="Arial"/>
        </w:rPr>
        <w:t xml:space="preserve">Al respecto, </w:t>
      </w:r>
      <w:r w:rsidRPr="00BB42E0">
        <w:rPr>
          <w:lang w:eastAsia="es-MX"/>
        </w:rPr>
        <w:t xml:space="preserve">es necesario precisar que </w:t>
      </w:r>
      <w:r w:rsidRPr="00BB42E0">
        <w:rPr>
          <w:rFonts w:cs="Tahoma"/>
          <w:bCs/>
          <w:szCs w:val="22"/>
          <w:lang w:val="es-ES"/>
        </w:rPr>
        <w:t>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68AAB1C" w14:textId="77777777" w:rsidR="004D3B27" w:rsidRPr="00BB42E0" w:rsidRDefault="004D3B27" w:rsidP="00BB42E0">
      <w:pPr>
        <w:contextualSpacing/>
        <w:rPr>
          <w:rFonts w:cs="Tahoma"/>
          <w:bCs/>
          <w:szCs w:val="22"/>
          <w:lang w:val="es-ES"/>
        </w:rPr>
      </w:pPr>
      <w:r w:rsidRPr="00BB42E0">
        <w:rPr>
          <w:rFonts w:cs="Tahoma"/>
          <w:bCs/>
          <w:szCs w:val="22"/>
          <w:lang w:val="es-ES"/>
        </w:rPr>
        <w:t> </w:t>
      </w:r>
    </w:p>
    <w:p w14:paraId="20D3404B" w14:textId="77777777" w:rsidR="004D3B27" w:rsidRPr="00BB42E0" w:rsidRDefault="004D3B27" w:rsidP="00BB42E0">
      <w:pPr>
        <w:contextualSpacing/>
        <w:rPr>
          <w:rFonts w:cs="Tahoma"/>
          <w:bCs/>
          <w:szCs w:val="22"/>
          <w:lang w:val="es-ES"/>
        </w:rPr>
      </w:pPr>
      <w:r w:rsidRPr="00BB42E0">
        <w:rPr>
          <w:rFonts w:cs="Tahoma"/>
          <w:szCs w:val="22"/>
          <w:lang w:val="es-ES"/>
        </w:rPr>
        <w:t>Las cadenas originales y sellos que se agregan a las facturas</w:t>
      </w:r>
      <w:r w:rsidRPr="00BB42E0">
        <w:rPr>
          <w:rFonts w:cs="Tahoma"/>
          <w:bCs/>
          <w:szCs w:val="22"/>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63563F08" w14:textId="77777777" w:rsidR="004D3B27" w:rsidRPr="00BB42E0" w:rsidRDefault="004D3B27" w:rsidP="00BB42E0">
      <w:pPr>
        <w:contextualSpacing/>
        <w:rPr>
          <w:rFonts w:cs="Tahoma"/>
          <w:bCs/>
          <w:szCs w:val="22"/>
          <w:lang w:val="es-ES"/>
        </w:rPr>
      </w:pPr>
    </w:p>
    <w:p w14:paraId="7EBD022D" w14:textId="77777777" w:rsidR="004D3B27" w:rsidRPr="00BB42E0" w:rsidRDefault="004D3B27" w:rsidP="00BB42E0">
      <w:pPr>
        <w:pStyle w:val="Puesto"/>
        <w:rPr>
          <w:rFonts w:eastAsia="Calibri"/>
          <w:lang w:val="es-ES" w:eastAsia="en-US"/>
        </w:rPr>
      </w:pPr>
      <w:r w:rsidRPr="00BB42E0">
        <w:rPr>
          <w:rFonts w:eastAsia="Calibri"/>
          <w:lang w:val="es-ES" w:eastAsia="en-US"/>
        </w:rPr>
        <w:t>“…</w:t>
      </w:r>
    </w:p>
    <w:p w14:paraId="3409643F" w14:textId="77777777" w:rsidR="004D3B27" w:rsidRPr="00BB42E0" w:rsidRDefault="004D3B27" w:rsidP="00BB42E0">
      <w:pPr>
        <w:pStyle w:val="Puesto"/>
        <w:rPr>
          <w:rFonts w:eastAsia="Calibri"/>
          <w:lang w:val="es-ES" w:eastAsia="en-US"/>
        </w:rPr>
      </w:pPr>
      <w:r w:rsidRPr="00BB42E0">
        <w:rPr>
          <w:rFonts w:eastAsia="Calibri"/>
          <w:lang w:val="es-ES" w:eastAsia="en-US"/>
        </w:rPr>
        <w:t>Elementos utilizados en la generación de Sellos Digitales:</w:t>
      </w:r>
    </w:p>
    <w:p w14:paraId="67578DF1" w14:textId="77777777" w:rsidR="004D3B27" w:rsidRPr="00BB42E0" w:rsidRDefault="004D3B27" w:rsidP="00BB42E0">
      <w:pPr>
        <w:pStyle w:val="Puesto"/>
        <w:rPr>
          <w:rFonts w:eastAsia="Calibri"/>
          <w:lang w:val="es-ES" w:eastAsia="en-US"/>
        </w:rPr>
      </w:pPr>
      <w:r w:rsidRPr="00BB42E0">
        <w:rPr>
          <w:rFonts w:eastAsia="Calibri"/>
          <w:lang w:val="es-ES" w:eastAsia="en-US"/>
        </w:rPr>
        <w:t>•</w:t>
      </w:r>
      <w:r w:rsidRPr="00BB42E0">
        <w:rPr>
          <w:rFonts w:eastAsia="Calibri"/>
          <w:lang w:val="es-ES" w:eastAsia="en-US"/>
        </w:rPr>
        <w:tab/>
        <w:t>Cadena Original, el elemento a sellar, en este caso de un comprobante fiscal digital a través de Internet.</w:t>
      </w:r>
    </w:p>
    <w:p w14:paraId="24ED3437" w14:textId="77777777" w:rsidR="004D3B27" w:rsidRPr="00BB42E0" w:rsidRDefault="004D3B27" w:rsidP="00BB42E0">
      <w:pPr>
        <w:pStyle w:val="Puesto"/>
        <w:rPr>
          <w:rFonts w:eastAsia="Calibri"/>
          <w:lang w:val="es-ES" w:eastAsia="en-US"/>
        </w:rPr>
      </w:pPr>
      <w:r w:rsidRPr="00BB42E0">
        <w:rPr>
          <w:rFonts w:eastAsia="Calibri"/>
          <w:lang w:val="es-ES" w:eastAsia="en-US"/>
        </w:rPr>
        <w:t>•</w:t>
      </w:r>
      <w:r w:rsidRPr="00BB42E0">
        <w:rPr>
          <w:rFonts w:eastAsia="Calibri"/>
          <w:lang w:val="es-ES" w:eastAsia="en-US"/>
        </w:rPr>
        <w:tab/>
        <w:t>Certificado de Sello Digital y su correspondiente clave privada.</w:t>
      </w:r>
    </w:p>
    <w:p w14:paraId="3AF8D768" w14:textId="77777777" w:rsidR="004D3B27" w:rsidRPr="00BB42E0" w:rsidRDefault="004D3B27" w:rsidP="00BB42E0">
      <w:pPr>
        <w:pStyle w:val="Puesto"/>
        <w:rPr>
          <w:rFonts w:eastAsia="Calibri"/>
          <w:lang w:val="es-ES" w:eastAsia="en-US"/>
        </w:rPr>
      </w:pPr>
      <w:r w:rsidRPr="00BB42E0">
        <w:rPr>
          <w:rFonts w:eastAsia="Calibri"/>
          <w:lang w:val="es-ES" w:eastAsia="en-US"/>
        </w:rPr>
        <w:t>•</w:t>
      </w:r>
      <w:r w:rsidRPr="00BB42E0">
        <w:rPr>
          <w:rFonts w:eastAsia="Calibri"/>
          <w:lang w:val="es-ES" w:eastAsia="en-US"/>
        </w:rPr>
        <w:tab/>
        <w:t>Algoritmos de criptografía de clave pública para firma electrónica avanzada.</w:t>
      </w:r>
    </w:p>
    <w:p w14:paraId="776C77CF" w14:textId="77777777" w:rsidR="004D3B27" w:rsidRPr="00BB42E0" w:rsidRDefault="004D3B27" w:rsidP="00BB42E0">
      <w:pPr>
        <w:pStyle w:val="Puesto"/>
        <w:rPr>
          <w:rFonts w:eastAsia="Calibri"/>
          <w:lang w:val="es-ES" w:eastAsia="en-US"/>
        </w:rPr>
      </w:pPr>
      <w:r w:rsidRPr="00BB42E0">
        <w:rPr>
          <w:rFonts w:eastAsia="Calibri"/>
          <w:lang w:val="es-ES" w:eastAsia="en-US"/>
        </w:rPr>
        <w:lastRenderedPageBreak/>
        <w:t>•</w:t>
      </w:r>
      <w:r w:rsidRPr="00BB42E0">
        <w:rPr>
          <w:rFonts w:eastAsia="Calibri"/>
          <w:lang w:val="es-ES" w:eastAsia="en-US"/>
        </w:rPr>
        <w:tab/>
        <w:t>Especificaciones de conversión de la firma electrónica avanzada a Base 64.</w:t>
      </w:r>
    </w:p>
    <w:p w14:paraId="173D47E6" w14:textId="77777777" w:rsidR="004D3B27" w:rsidRPr="00BB42E0" w:rsidRDefault="004D3B27" w:rsidP="00BB42E0">
      <w:pPr>
        <w:pStyle w:val="Puesto"/>
        <w:rPr>
          <w:rFonts w:eastAsia="Calibri"/>
          <w:lang w:val="es-ES" w:eastAsia="en-US"/>
        </w:rPr>
      </w:pPr>
      <w:r w:rsidRPr="00BB42E0">
        <w:rPr>
          <w:rFonts w:eastAsia="Calibri"/>
          <w:lang w:val="es-ES" w:eastAsia="en-US"/>
        </w:rPr>
        <w:t>Para la generación de sellos digitales se utiliza criptografía de clave pública aplicada a una cadena original.</w:t>
      </w:r>
    </w:p>
    <w:p w14:paraId="24FBF43C" w14:textId="77777777" w:rsidR="004D3B27" w:rsidRPr="00BB42E0" w:rsidRDefault="004D3B27" w:rsidP="00BB42E0">
      <w:pPr>
        <w:pStyle w:val="Puesto"/>
        <w:rPr>
          <w:rFonts w:eastAsia="Calibri"/>
          <w:lang w:val="es-ES" w:eastAsia="en-US"/>
        </w:rPr>
      </w:pPr>
      <w:r w:rsidRPr="00BB42E0">
        <w:rPr>
          <w:rFonts w:eastAsia="Calibri"/>
          <w:lang w:val="es-ES" w:eastAsia="en-US"/>
        </w:rPr>
        <w:t>Criptografía de la Clave Pública</w:t>
      </w:r>
    </w:p>
    <w:p w14:paraId="70D565AE" w14:textId="77777777" w:rsidR="004D3B27" w:rsidRPr="00BB42E0" w:rsidRDefault="004D3B27" w:rsidP="00BB42E0">
      <w:pPr>
        <w:pStyle w:val="Puesto"/>
        <w:rPr>
          <w:rFonts w:eastAsia="Calibri"/>
          <w:lang w:val="es-ES" w:eastAsia="en-US"/>
        </w:rPr>
      </w:pPr>
      <w:r w:rsidRPr="00BB42E0">
        <w:rPr>
          <w:rFonts w:eastAsia="Calibri"/>
          <w:lang w:val="es-ES" w:eastAsia="en-US"/>
        </w:rPr>
        <w:t xml:space="preserve">La criptografía de Clave Pública se basa en la generación de una pareja de números muy grandes relacionados íntimamente entre sí, de tal manera que una operación de </w:t>
      </w:r>
      <w:proofErr w:type="spellStart"/>
      <w:r w:rsidRPr="00BB42E0">
        <w:rPr>
          <w:rFonts w:eastAsia="Calibri"/>
          <w:lang w:val="es-ES" w:eastAsia="en-US"/>
        </w:rPr>
        <w:t>encripción</w:t>
      </w:r>
      <w:proofErr w:type="spellEnd"/>
      <w:r w:rsidRPr="00BB42E0">
        <w:rPr>
          <w:rFonts w:eastAsia="Calibri"/>
          <w:lang w:val="es-ES" w:eastAsia="en-US"/>
        </w:rPr>
        <w:t xml:space="preserve"> sobre un mensaje tomando como clave de </w:t>
      </w:r>
      <w:proofErr w:type="spellStart"/>
      <w:r w:rsidRPr="00BB42E0">
        <w:rPr>
          <w:rFonts w:eastAsia="Calibri"/>
          <w:lang w:val="es-ES" w:eastAsia="en-US"/>
        </w:rPr>
        <w:t>encripción</w:t>
      </w:r>
      <w:proofErr w:type="spellEnd"/>
      <w:r w:rsidRPr="00BB42E0">
        <w:rPr>
          <w:rFonts w:eastAsia="Calibri"/>
          <w:lang w:val="es-ES" w:eastAsia="en-US"/>
        </w:rPr>
        <w:t xml:space="preserve"> a uno de los dos números, produce un mensaje alterado en su significado que solo puede ser devuelto a su estado original mediante la operación de </w:t>
      </w:r>
      <w:proofErr w:type="spellStart"/>
      <w:r w:rsidRPr="00BB42E0">
        <w:rPr>
          <w:rFonts w:eastAsia="Calibri"/>
          <w:lang w:val="es-ES" w:eastAsia="en-US"/>
        </w:rPr>
        <w:t>desencripción</w:t>
      </w:r>
      <w:proofErr w:type="spellEnd"/>
      <w:r w:rsidRPr="00BB42E0">
        <w:rPr>
          <w:rFonts w:eastAsia="Calibri"/>
          <w:lang w:val="es-ES" w:eastAsia="en-US"/>
        </w:rPr>
        <w:t xml:space="preserve"> correspondiente tomando como clave de </w:t>
      </w:r>
      <w:proofErr w:type="spellStart"/>
      <w:r w:rsidRPr="00BB42E0">
        <w:rPr>
          <w:rFonts w:eastAsia="Calibri"/>
          <w:lang w:val="es-ES" w:eastAsia="en-US"/>
        </w:rPr>
        <w:t>desencripción</w:t>
      </w:r>
      <w:proofErr w:type="spellEnd"/>
      <w:r w:rsidRPr="00BB42E0">
        <w:rPr>
          <w:rFonts w:eastAsia="Calibri"/>
          <w:lang w:val="es-ES" w:eastAsia="en-US"/>
        </w:rPr>
        <w:t xml:space="preserve"> al otro número de la pareja.</w:t>
      </w:r>
    </w:p>
    <w:p w14:paraId="45AAB3C7" w14:textId="77777777" w:rsidR="004D3B27" w:rsidRPr="00BB42E0" w:rsidRDefault="004D3B27" w:rsidP="00BB42E0">
      <w:pPr>
        <w:pStyle w:val="Puesto"/>
        <w:rPr>
          <w:rFonts w:eastAsia="Calibri"/>
          <w:lang w:val="es-ES" w:eastAsia="en-US"/>
        </w:rPr>
      </w:pPr>
      <w:r w:rsidRPr="00BB42E0">
        <w:rPr>
          <w:rFonts w:eastAsia="Calibri"/>
          <w:lang w:val="es-ES" w:eastAsia="en-US"/>
        </w:rPr>
        <w:t>…”</w:t>
      </w:r>
    </w:p>
    <w:p w14:paraId="40BFC4F7" w14:textId="77777777" w:rsidR="004D3B27" w:rsidRPr="00BB42E0" w:rsidRDefault="004D3B27" w:rsidP="00BB42E0">
      <w:pPr>
        <w:contextualSpacing/>
        <w:rPr>
          <w:rFonts w:cs="Tahoma"/>
          <w:bCs/>
          <w:szCs w:val="22"/>
          <w:lang w:val="es-ES"/>
        </w:rPr>
      </w:pPr>
      <w:r w:rsidRPr="00BB42E0">
        <w:rPr>
          <w:rFonts w:cs="Tahoma"/>
          <w:bCs/>
          <w:szCs w:val="22"/>
          <w:lang w:val="es-ES"/>
        </w:rPr>
        <w:t> </w:t>
      </w:r>
    </w:p>
    <w:p w14:paraId="17F4123F" w14:textId="77777777" w:rsidR="004D3B27" w:rsidRPr="00BB42E0" w:rsidRDefault="004D3B27" w:rsidP="00BB42E0">
      <w:pPr>
        <w:contextualSpacing/>
        <w:rPr>
          <w:rFonts w:cs="Tahoma"/>
          <w:bCs/>
          <w:lang w:val="es-ES"/>
        </w:rPr>
      </w:pPr>
      <w:r w:rsidRPr="00BB42E0">
        <w:rPr>
          <w:rFonts w:cs="Tahoma"/>
          <w:bCs/>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096CBE8D" w14:textId="77777777" w:rsidR="004D3B27" w:rsidRPr="00BB42E0" w:rsidRDefault="004D3B27" w:rsidP="00BB42E0">
      <w:pPr>
        <w:contextualSpacing/>
        <w:rPr>
          <w:rFonts w:cs="Tahoma"/>
          <w:bCs/>
          <w:lang w:val="es-ES"/>
        </w:rPr>
      </w:pPr>
    </w:p>
    <w:p w14:paraId="2BD6DB86" w14:textId="77777777" w:rsidR="004D3B27" w:rsidRPr="00BB42E0" w:rsidRDefault="004D3B27" w:rsidP="00BB42E0">
      <w:pPr>
        <w:contextualSpacing/>
        <w:rPr>
          <w:rFonts w:cs="Tahoma"/>
          <w:bCs/>
          <w:lang w:val="es-ES"/>
        </w:rPr>
      </w:pPr>
      <w:r w:rsidRPr="00BB42E0">
        <w:rPr>
          <w:rFonts w:cs="Tahoma"/>
          <w:bCs/>
          <w:lang w:val="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4" w:history="1">
        <w:r w:rsidRPr="00BB42E0">
          <w:rPr>
            <w:rFonts w:eastAsia="Yu Gothic Light" w:cs="Tahoma"/>
            <w:bCs/>
            <w:u w:val="single"/>
          </w:rPr>
          <w:t>https://portalanterior.ine.mx/archivos2/tutoriales/sistemas/ApoyoInstitucional/SIF/docs/candidatos/folioFiscalFactura.pdf</w:t>
        </w:r>
      </w:hyperlink>
      <w:r w:rsidRPr="00BB42E0">
        <w:rPr>
          <w:rFonts w:cs="Tahoma"/>
          <w:bCs/>
          <w:lang w:val="es-ES"/>
        </w:rPr>
        <w:t>), en la cual se advierte que únicamente se encuentra conformado por números, se muestra a continuación:</w:t>
      </w:r>
    </w:p>
    <w:p w14:paraId="6CB07546" w14:textId="77777777" w:rsidR="004D3B27" w:rsidRPr="00BB42E0" w:rsidRDefault="004D3B27" w:rsidP="00BB42E0">
      <w:pPr>
        <w:contextualSpacing/>
        <w:rPr>
          <w:rFonts w:cs="Tahoma"/>
          <w:bCs/>
        </w:rPr>
      </w:pPr>
    </w:p>
    <w:p w14:paraId="488FF737" w14:textId="77777777" w:rsidR="004D3B27" w:rsidRPr="00BB42E0" w:rsidRDefault="004D3B27" w:rsidP="00BB42E0">
      <w:pPr>
        <w:contextualSpacing/>
        <w:jc w:val="center"/>
        <w:rPr>
          <w:rFonts w:cs="Tahoma"/>
          <w:bCs/>
        </w:rPr>
      </w:pPr>
      <w:r w:rsidRPr="00BB42E0">
        <w:rPr>
          <w:rFonts w:eastAsia="Calibri"/>
          <w:noProof/>
          <w:lang w:eastAsia="es-MX"/>
        </w:rPr>
        <w:lastRenderedPageBreak/>
        <mc:AlternateContent>
          <mc:Choice Requires="wps">
            <w:drawing>
              <wp:anchor distT="0" distB="0" distL="114300" distR="114300" simplePos="0" relativeHeight="251659264" behindDoc="0" locked="0" layoutInCell="1" allowOverlap="1" wp14:anchorId="4509D6E0" wp14:editId="25852432">
                <wp:simplePos x="0" y="0"/>
                <wp:positionH relativeFrom="column">
                  <wp:posOffset>163195</wp:posOffset>
                </wp:positionH>
                <wp:positionV relativeFrom="paragraph">
                  <wp:posOffset>859155</wp:posOffset>
                </wp:positionV>
                <wp:extent cx="3648075" cy="228600"/>
                <wp:effectExtent l="19050" t="19050" r="28575" b="19050"/>
                <wp:wrapNone/>
                <wp:docPr id="1" name="Rectángulo 20"/>
                <wp:cNvGraphicFramePr/>
                <a:graphic xmlns:a="http://schemas.openxmlformats.org/drawingml/2006/main">
                  <a:graphicData uri="http://schemas.microsoft.com/office/word/2010/wordprocessingShape">
                    <wps:wsp>
                      <wps:cNvSpPr/>
                      <wps:spPr>
                        <a:xfrm>
                          <a:off x="0" y="0"/>
                          <a:ext cx="3648075" cy="228600"/>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227D47A" id="Rectángulo 20" o:spid="_x0000_s1026" style="position:absolute;margin-left:12.85pt;margin-top:67.65pt;width:28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" filled="f" strokecolor="windowText" strokeweight="2.25pt"/>
            </w:pict>
          </mc:Fallback>
        </mc:AlternateContent>
      </w:r>
      <w:r w:rsidRPr="00BB42E0">
        <w:rPr>
          <w:rFonts w:cs="Tahoma"/>
          <w:noProof/>
          <w:lang w:eastAsia="es-MX"/>
        </w:rPr>
        <w:drawing>
          <wp:inline distT="0" distB="0" distL="0" distR="0" wp14:anchorId="7FCA5D50" wp14:editId="116ACD63">
            <wp:extent cx="5753100" cy="1114425"/>
            <wp:effectExtent l="0" t="0" r="0" b="9525"/>
            <wp:docPr id="1257177318" name="Imagen 125717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114425"/>
                    </a:xfrm>
                    <a:prstGeom prst="rect">
                      <a:avLst/>
                    </a:prstGeom>
                    <a:noFill/>
                    <a:ln>
                      <a:noFill/>
                    </a:ln>
                  </pic:spPr>
                </pic:pic>
              </a:graphicData>
            </a:graphic>
          </wp:inline>
        </w:drawing>
      </w:r>
    </w:p>
    <w:p w14:paraId="560BCB53" w14:textId="77777777" w:rsidR="004D3B27" w:rsidRPr="00BB42E0" w:rsidRDefault="004D3B27" w:rsidP="00BB42E0">
      <w:pPr>
        <w:contextualSpacing/>
        <w:rPr>
          <w:rFonts w:cs="Tahoma"/>
          <w:bCs/>
          <w:lang w:val="es-ES"/>
        </w:rPr>
      </w:pPr>
    </w:p>
    <w:p w14:paraId="1D8420E5" w14:textId="77777777" w:rsidR="004D3B27" w:rsidRPr="00BB42E0" w:rsidRDefault="004D3B27" w:rsidP="00BB42E0">
      <w:pPr>
        <w:contextualSpacing/>
        <w:rPr>
          <w:rFonts w:cs="Tahoma"/>
          <w:lang w:val="es-ES"/>
        </w:rPr>
      </w:pPr>
      <w:r w:rsidRPr="00BB42E0">
        <w:rPr>
          <w:rFonts w:cs="Tahoma"/>
          <w:bCs/>
          <w:lang w:val="es-ES"/>
        </w:rPr>
        <w:t>Como se logra observar, los números de serie del certificado de sello digital no contiene datos personales y con dichos dígitos tampoco se puede obtener información de carácter confidencial,</w:t>
      </w:r>
      <w:r w:rsidRPr="00BB42E0">
        <w:rPr>
          <w:rFonts w:cs="Tahoma"/>
          <w:b/>
          <w:bCs/>
          <w:lang w:val="es-ES"/>
        </w:rPr>
        <w:t xml:space="preserve"> </w:t>
      </w:r>
      <w:r w:rsidRPr="00BB42E0">
        <w:rPr>
          <w:rFonts w:cs="Tahoma"/>
          <w:lang w:val="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70EEC0B0" w14:textId="77777777" w:rsidR="004D3B27" w:rsidRPr="00BB42E0" w:rsidRDefault="004D3B27" w:rsidP="00BB42E0">
      <w:pPr>
        <w:contextualSpacing/>
        <w:rPr>
          <w:rFonts w:cs="Tahoma"/>
          <w:bCs/>
          <w:lang w:val="es-ES"/>
        </w:rPr>
      </w:pPr>
    </w:p>
    <w:p w14:paraId="1263156E" w14:textId="77777777" w:rsidR="004D3B27" w:rsidRPr="00BB42E0" w:rsidRDefault="004D3B27" w:rsidP="00BB42E0">
      <w:pPr>
        <w:contextualSpacing/>
        <w:rPr>
          <w:rFonts w:cs="Tahoma"/>
          <w:bCs/>
          <w:lang w:val="es-ES"/>
        </w:rPr>
      </w:pPr>
      <w:r w:rsidRPr="00BB42E0">
        <w:rPr>
          <w:rFonts w:cs="Tahoma"/>
          <w:bCs/>
          <w:lang w:val="es-ES"/>
        </w:rPr>
        <w:t xml:space="preserve">Ahora bien, respecto al </w:t>
      </w:r>
      <w:r w:rsidRPr="00BB42E0">
        <w:rPr>
          <w:rFonts w:cs="Tahoma"/>
          <w:b/>
          <w:bCs/>
          <w:lang w:val="es-ES"/>
        </w:rPr>
        <w:t>Folio Fiscal</w:t>
      </w:r>
      <w:r w:rsidRPr="00BB42E0">
        <w:rPr>
          <w:rFonts w:cs="Tahoma"/>
          <w:bCs/>
          <w:lang w:val="es-ES"/>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7E39C93D" w14:textId="77777777" w:rsidR="004D3B27" w:rsidRPr="00BB42E0" w:rsidRDefault="004D3B27" w:rsidP="00BB42E0">
      <w:pPr>
        <w:contextualSpacing/>
        <w:rPr>
          <w:rFonts w:cs="Tahoma"/>
          <w:bCs/>
          <w:lang w:val="es-ES"/>
        </w:rPr>
      </w:pPr>
    </w:p>
    <w:p w14:paraId="09EA36C7" w14:textId="77777777" w:rsidR="004D3B27" w:rsidRPr="00BB42E0" w:rsidRDefault="004D3B27" w:rsidP="00BB42E0">
      <w:pPr>
        <w:contextualSpacing/>
        <w:jc w:val="center"/>
        <w:rPr>
          <w:rFonts w:cs="Tahoma"/>
          <w:bCs/>
        </w:rPr>
      </w:pPr>
      <w:r w:rsidRPr="00BB42E0">
        <w:rPr>
          <w:rFonts w:cs="Tahoma"/>
          <w:noProof/>
          <w:lang w:eastAsia="es-MX"/>
        </w:rPr>
        <w:drawing>
          <wp:inline distT="0" distB="0" distL="0" distR="0" wp14:anchorId="4956043D" wp14:editId="03ED779F">
            <wp:extent cx="5467350" cy="12287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b="47096"/>
                    <a:stretch>
                      <a:fillRect/>
                    </a:stretch>
                  </pic:blipFill>
                  <pic:spPr bwMode="auto">
                    <a:xfrm>
                      <a:off x="0" y="0"/>
                      <a:ext cx="5467350" cy="1228725"/>
                    </a:xfrm>
                    <a:prstGeom prst="rect">
                      <a:avLst/>
                    </a:prstGeom>
                    <a:noFill/>
                    <a:ln>
                      <a:noFill/>
                    </a:ln>
                  </pic:spPr>
                </pic:pic>
              </a:graphicData>
            </a:graphic>
          </wp:inline>
        </w:drawing>
      </w:r>
    </w:p>
    <w:p w14:paraId="79442F74" w14:textId="77777777" w:rsidR="004D3B27" w:rsidRPr="00BB42E0" w:rsidRDefault="004D3B27" w:rsidP="00BB42E0">
      <w:pPr>
        <w:contextualSpacing/>
        <w:jc w:val="center"/>
        <w:rPr>
          <w:rFonts w:cs="Tahoma"/>
          <w:bCs/>
        </w:rPr>
      </w:pPr>
    </w:p>
    <w:p w14:paraId="47DD7A10" w14:textId="77777777" w:rsidR="004D3B27" w:rsidRPr="00BB42E0" w:rsidRDefault="004D3B27" w:rsidP="00BB42E0">
      <w:pPr>
        <w:rPr>
          <w:rFonts w:cs="Arial"/>
          <w:lang w:val="es-ES"/>
        </w:rPr>
      </w:pPr>
      <w:r w:rsidRPr="00BB42E0">
        <w:rPr>
          <w:rFonts w:cs="Tahoma"/>
          <w:bCs/>
          <w:lang w:val="es-ES"/>
        </w:rPr>
        <w:lastRenderedPageBreak/>
        <w:t xml:space="preserve">En ese contexto, de la misma manera que en los casos previamente analizados, </w:t>
      </w:r>
      <w:r w:rsidRPr="00BB42E0">
        <w:rPr>
          <w:rFonts w:cs="Tahoma"/>
          <w:lang w:val="es-ES"/>
        </w:rPr>
        <w:t>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16A09AA5" w14:textId="77777777" w:rsidR="004D3B27" w:rsidRPr="00BB42E0" w:rsidRDefault="004D3B27" w:rsidP="00BB42E0">
      <w:pPr>
        <w:rPr>
          <w:rFonts w:cs="Arial"/>
          <w:lang w:val="es-ES"/>
        </w:rPr>
      </w:pPr>
    </w:p>
    <w:p w14:paraId="2A5975D3" w14:textId="77777777" w:rsidR="004D3B27" w:rsidRPr="00BB42E0" w:rsidRDefault="004D3B27" w:rsidP="00BB42E0">
      <w:pPr>
        <w:rPr>
          <w:rFonts w:cs="Arial"/>
          <w:lang w:val="es-ES"/>
        </w:rPr>
      </w:pPr>
      <w:r w:rsidRPr="00BB42E0">
        <w:rPr>
          <w:rFonts w:eastAsia="Calibri" w:cs="Tahoma"/>
          <w:bCs/>
          <w:iCs/>
          <w:lang w:eastAsia="en-US"/>
        </w:rPr>
        <w:t>Ahora bien, cabe señalar que, en algunos casos, las</w:t>
      </w:r>
      <w:r w:rsidRPr="00BB42E0">
        <w:rPr>
          <w:rFonts w:cs="Tahoma"/>
          <w:lang w:val="es-ES"/>
        </w:rPr>
        <w:t xml:space="preserve"> cadenas originales y sellos digitales o </w:t>
      </w:r>
      <w:r w:rsidRPr="00BB42E0">
        <w:rPr>
          <w:rFonts w:cs="Tahoma"/>
          <w:bCs/>
          <w:lang w:val="es-ES"/>
        </w:rPr>
        <w:t xml:space="preserve">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BB42E0">
        <w:rPr>
          <w:rFonts w:cs="Tahoma"/>
          <w:b/>
          <w:bCs/>
          <w:lang w:val="es-ES"/>
        </w:rPr>
        <w:t>serán públicos</w:t>
      </w:r>
      <w:r w:rsidRPr="00BB42E0">
        <w:rPr>
          <w:rFonts w:cs="Tahoma"/>
          <w:bCs/>
          <w:lang w:val="es-ES"/>
        </w:rPr>
        <w:t>.</w:t>
      </w:r>
    </w:p>
    <w:p w14:paraId="5F4EB010" w14:textId="77777777" w:rsidR="00626E9D" w:rsidRPr="00BB42E0" w:rsidRDefault="00626E9D" w:rsidP="00BB42E0"/>
    <w:p w14:paraId="7744FE95" w14:textId="652DF21E" w:rsidR="004D3B27" w:rsidRPr="00BB42E0" w:rsidRDefault="004D3B27" w:rsidP="00BB42E0">
      <w:pPr>
        <w:rPr>
          <w:rFonts w:eastAsia="Palatino Linotype" w:cs="Palatino Linotype"/>
        </w:rPr>
      </w:pPr>
      <w:r w:rsidRPr="00BB42E0">
        <w:rPr>
          <w:rFonts w:eastAsia="Palatino Linotype" w:cs="Palatino Linotype"/>
        </w:rPr>
        <w:t xml:space="preserve">Finalmente, no escapa de la óptica de este Instituto que dentro de la información que se ordena se encuentra </w:t>
      </w:r>
      <w:r w:rsidRPr="00BB42E0">
        <w:rPr>
          <w:rFonts w:eastAsia="Palatino Linotype" w:cs="Palatino Linotype"/>
          <w:b/>
        </w:rPr>
        <w:t>información relativa a los elementos operativos del cuerpo de seguridad pública,</w:t>
      </w:r>
      <w:r w:rsidRPr="00BB42E0">
        <w:rPr>
          <w:rFonts w:eastAsia="Palatino Linotype" w:cs="Palatino Linotype"/>
        </w:rPr>
        <w:t xml:space="preserve"> los cuales es criterio del pleno de este Organismo que el </w:t>
      </w:r>
      <w:r w:rsidRPr="00BB42E0">
        <w:rPr>
          <w:rFonts w:eastAsia="Palatino Linotype" w:cs="Palatino Linotype"/>
          <w:b/>
        </w:rPr>
        <w:t>nombre de estos servidores</w:t>
      </w:r>
      <w:r w:rsidRPr="00BB42E0">
        <w:rPr>
          <w:rFonts w:eastAsia="Palatino Linotype" w:cs="Palatino Linotype"/>
        </w:rPr>
        <w:t xml:space="preserve"> públicos encuadra en una excepción y por tanto debe ser objeto de un proceso de </w:t>
      </w:r>
      <w:r w:rsidRPr="00BB42E0">
        <w:rPr>
          <w:rFonts w:eastAsia="Palatino Linotype" w:cs="Palatino Linotype"/>
          <w:b/>
          <w:u w:val="single"/>
        </w:rPr>
        <w:t>reserva de la información</w:t>
      </w:r>
      <w:r w:rsidRPr="00BB42E0">
        <w:rPr>
          <w:rFonts w:eastAsia="Palatino Linotype" w:cs="Palatino Linotype"/>
        </w:rPr>
        <w:t>, para no hacer identificable al titular de tal dato personal.</w:t>
      </w:r>
    </w:p>
    <w:p w14:paraId="2CE788F3" w14:textId="77777777" w:rsidR="004D3B27" w:rsidRPr="00BB42E0" w:rsidRDefault="004D3B27" w:rsidP="00BB42E0">
      <w:pPr>
        <w:ind w:right="-93"/>
        <w:rPr>
          <w:rFonts w:cs="Arial"/>
          <w:lang w:eastAsia="es-MX"/>
        </w:rPr>
      </w:pPr>
    </w:p>
    <w:p w14:paraId="497D9EA1" w14:textId="77777777" w:rsidR="004D3B27" w:rsidRPr="00BB42E0" w:rsidRDefault="004D3B27" w:rsidP="00BB42E0">
      <w:pPr>
        <w:rPr>
          <w:rFonts w:cs="Arial"/>
        </w:rPr>
      </w:pPr>
      <w:r w:rsidRPr="00BB42E0">
        <w:rPr>
          <w:rFonts w:cs="Arial"/>
        </w:rPr>
        <w:t>Ello, conforme al propio concepto de versión pública contenido en el artículo 3, fracción XXIV, de la multicitada Ley se define como:</w:t>
      </w:r>
    </w:p>
    <w:p w14:paraId="733B63D9" w14:textId="77777777" w:rsidR="004D3B27" w:rsidRPr="00BB42E0" w:rsidRDefault="004D3B27" w:rsidP="00BB42E0">
      <w:pPr>
        <w:rPr>
          <w:rFonts w:cs="Arial"/>
        </w:rPr>
      </w:pPr>
    </w:p>
    <w:p w14:paraId="4872621C" w14:textId="77777777" w:rsidR="004D3B27" w:rsidRPr="00BB42E0" w:rsidRDefault="004D3B27" w:rsidP="00BB42E0">
      <w:pPr>
        <w:pStyle w:val="Puesto"/>
      </w:pPr>
      <w:r w:rsidRPr="00BB42E0">
        <w:t>“</w:t>
      </w:r>
      <w:r w:rsidRPr="00BB42E0">
        <w:rPr>
          <w:b/>
        </w:rPr>
        <w:t>XXIV</w:t>
      </w:r>
      <w:r w:rsidRPr="00BB42E0">
        <w:t xml:space="preserve">. </w:t>
      </w:r>
      <w:r w:rsidRPr="00BB42E0">
        <w:rPr>
          <w:b/>
        </w:rPr>
        <w:t>Información reservada:</w:t>
      </w:r>
      <w:r w:rsidRPr="00BB42E0">
        <w:t xml:space="preserve"> La clasificada con este carácter de manera temporal por las disposiciones de esta Ley, cuya divulgación puede causar daño en términos de lo establecido por esta Ley;”</w:t>
      </w:r>
    </w:p>
    <w:p w14:paraId="672AA3C3" w14:textId="77777777" w:rsidR="004D3B27" w:rsidRPr="00BB42E0" w:rsidRDefault="004D3B27" w:rsidP="00BB42E0">
      <w:pPr>
        <w:rPr>
          <w:rFonts w:cs="Arial"/>
        </w:rPr>
      </w:pPr>
    </w:p>
    <w:p w14:paraId="69D956A4" w14:textId="77777777" w:rsidR="004D3B27" w:rsidRPr="00BB42E0" w:rsidRDefault="004D3B27" w:rsidP="00BB42E0">
      <w:pPr>
        <w:rPr>
          <w:rFonts w:cs="Arial"/>
        </w:rPr>
      </w:pPr>
      <w:r w:rsidRPr="00BB42E0">
        <w:rPr>
          <w:rFonts w:cs="Arial"/>
        </w:rPr>
        <w:lastRenderedPageBreak/>
        <w:t xml:space="preserve">No obstante que si bien, por regla general 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w:t>
      </w:r>
      <w:r w:rsidRPr="00BB42E0">
        <w:rPr>
          <w:rFonts w:cs="Arial"/>
          <w:b/>
        </w:rPr>
        <w:t>elementos de seguridad pública, la elaboración de versiones públicas pudiera variar, eliminando información adicional, siempre y cuando se demuestre que pueda poner en riesgo la vida e integridad física con motivo de las funciones de servidores públicos</w:t>
      </w:r>
      <w:r w:rsidRPr="00BB42E0">
        <w:rPr>
          <w:rFonts w:cs="Arial"/>
        </w:rPr>
        <w:t>.</w:t>
      </w:r>
    </w:p>
    <w:p w14:paraId="51DDB382" w14:textId="77777777" w:rsidR="004D3B27" w:rsidRPr="00BB42E0" w:rsidRDefault="004D3B27" w:rsidP="00BB42E0">
      <w:pPr>
        <w:rPr>
          <w:rFonts w:cs="Arial"/>
        </w:rPr>
      </w:pPr>
    </w:p>
    <w:p w14:paraId="413C6B93" w14:textId="77777777" w:rsidR="004D3B27" w:rsidRPr="00BB42E0" w:rsidRDefault="004D3B27" w:rsidP="00BB42E0">
      <w:pPr>
        <w:rPr>
          <w:rFonts w:cs="Arial"/>
        </w:rPr>
      </w:pPr>
      <w:r w:rsidRPr="00BB42E0">
        <w:rPr>
          <w:rFonts w:cs="Arial"/>
        </w:rPr>
        <w:t xml:space="preserve">Esto es así, ya que el artículo 81, fracción III, de la Ley de Seguridad del Estado de México, establece lo siguiente: </w:t>
      </w:r>
    </w:p>
    <w:p w14:paraId="45F7CF14" w14:textId="77777777" w:rsidR="004D3B27" w:rsidRPr="00BB42E0" w:rsidRDefault="004D3B27" w:rsidP="00BB42E0">
      <w:pPr>
        <w:rPr>
          <w:rFonts w:cs="Arial"/>
        </w:rPr>
      </w:pPr>
    </w:p>
    <w:p w14:paraId="4ED00297" w14:textId="77777777" w:rsidR="004D3B27" w:rsidRPr="00BB42E0" w:rsidRDefault="004D3B27" w:rsidP="00BB42E0">
      <w:pPr>
        <w:pStyle w:val="Puesto"/>
      </w:pPr>
      <w:r w:rsidRPr="00BB42E0">
        <w:t>“</w:t>
      </w:r>
      <w:r w:rsidRPr="00BB42E0">
        <w:rPr>
          <w:b/>
        </w:rPr>
        <w:t>Artículo 81.-</w:t>
      </w:r>
      <w:r w:rsidRPr="00BB42E0">
        <w:t xml:space="preserve"> </w:t>
      </w:r>
      <w:r w:rsidRPr="00BB42E0">
        <w:rPr>
          <w:b/>
        </w:rPr>
        <w:t>Toda información para la seguridad pública</w:t>
      </w:r>
      <w:r w:rsidRPr="00BB42E0">
        <w:t xml:space="preserve"> generada o en poder de Instituciones de Seguridad Pública o de cualquier instancia del Sistema Estatal </w:t>
      </w:r>
      <w:r w:rsidRPr="00BB42E0">
        <w:rPr>
          <w:b/>
        </w:rPr>
        <w:t>debe</w:t>
      </w:r>
      <w:r w:rsidRPr="00BB42E0">
        <w:t xml:space="preserve"> registrarse, </w:t>
      </w:r>
      <w:r w:rsidRPr="00BB42E0">
        <w:rPr>
          <w:b/>
        </w:rPr>
        <w:t>clasificarse</w:t>
      </w:r>
      <w:r w:rsidRPr="00BB42E0">
        <w:t xml:space="preserve"> y tratarse de conformidad con las disposiciones aplicables. No obstante lo anterior, esta información se considerará reservada en los casos siguientes:</w:t>
      </w:r>
    </w:p>
    <w:p w14:paraId="1D0029E8" w14:textId="77777777" w:rsidR="004D3B27" w:rsidRPr="00BB42E0" w:rsidRDefault="004D3B27" w:rsidP="00BB42E0">
      <w:pPr>
        <w:ind w:left="567" w:right="567"/>
        <w:rPr>
          <w:rFonts w:cs="Arial"/>
          <w:i/>
        </w:rPr>
      </w:pPr>
      <w:r w:rsidRPr="00BB42E0">
        <w:rPr>
          <w:rFonts w:cs="Arial"/>
          <w:i/>
        </w:rPr>
        <w:t>(…)</w:t>
      </w:r>
    </w:p>
    <w:p w14:paraId="2A5474F6" w14:textId="77777777" w:rsidR="004D3B27" w:rsidRPr="00BB42E0" w:rsidRDefault="004D3B27" w:rsidP="00BB42E0">
      <w:pPr>
        <w:pStyle w:val="Puesto"/>
        <w:rPr>
          <w:b/>
        </w:rPr>
      </w:pPr>
      <w:r w:rsidRPr="00BB42E0">
        <w:rPr>
          <w:b/>
        </w:rPr>
        <w:t>III. La relativa a servidores públicos miembros de las instituciones de seguridad pública, cuya revelación pueda poner en riesgo su vida e integridad física con motivo de sus funciones;”</w:t>
      </w:r>
    </w:p>
    <w:p w14:paraId="0517C661" w14:textId="77777777" w:rsidR="004D3B27" w:rsidRPr="00BB42E0" w:rsidRDefault="004D3B27" w:rsidP="00BB42E0">
      <w:pPr>
        <w:rPr>
          <w:rFonts w:cs="Arial"/>
        </w:rPr>
      </w:pPr>
    </w:p>
    <w:p w14:paraId="7C2235E0" w14:textId="77777777" w:rsidR="004D3B27" w:rsidRPr="00BB42E0" w:rsidRDefault="004D3B27" w:rsidP="00BB42E0">
      <w:pPr>
        <w:rPr>
          <w:rFonts w:cs="Arial"/>
        </w:rPr>
      </w:pPr>
      <w:r w:rsidRPr="00BB42E0">
        <w:rPr>
          <w:rFonts w:cs="Arial"/>
        </w:rPr>
        <w:t xml:space="preserve">Por tanto, </w:t>
      </w:r>
      <w:r w:rsidRPr="00BB42E0">
        <w:rPr>
          <w:rFonts w:cs="Arial"/>
          <w:b/>
        </w:rPr>
        <w:t>EL SUJETO OBLIGADO</w:t>
      </w:r>
      <w:r w:rsidRPr="00BB42E0">
        <w:rPr>
          <w:rFonts w:cs="Arial"/>
        </w:rPr>
        <w:t xml:space="preserve"> deberá clasificar dicha información, justificando de manera fundada y motivada las circunstancias por las cuales se podría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materia de </w:t>
      </w:r>
      <w:r w:rsidRPr="00BB42E0">
        <w:rPr>
          <w:rFonts w:cs="Arial"/>
        </w:rPr>
        <w:lastRenderedPageBreak/>
        <w:t>clasificación y desclasificación de la información, así como para la elaboración de versiones públicas.</w:t>
      </w:r>
    </w:p>
    <w:p w14:paraId="4779CCE2" w14:textId="77777777" w:rsidR="004D3B27" w:rsidRPr="00BB42E0" w:rsidRDefault="004D3B27" w:rsidP="00BB42E0">
      <w:pPr>
        <w:rPr>
          <w:rFonts w:cs="Arial"/>
        </w:rPr>
      </w:pPr>
    </w:p>
    <w:p w14:paraId="26B5D358" w14:textId="77777777" w:rsidR="004D3B27" w:rsidRPr="00BB42E0" w:rsidRDefault="004D3B27" w:rsidP="00BB42E0">
      <w:pPr>
        <w:rPr>
          <w:rFonts w:cs="Arial"/>
        </w:rPr>
      </w:pPr>
      <w:r w:rsidRPr="00BB42E0">
        <w:rPr>
          <w:rFonts w:cs="Arial"/>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28799742" w14:textId="77777777" w:rsidR="004D3B27" w:rsidRPr="00BB42E0" w:rsidRDefault="004D3B27" w:rsidP="00BB42E0">
      <w:pPr>
        <w:rPr>
          <w:rFonts w:cs="Arial"/>
        </w:rPr>
      </w:pPr>
    </w:p>
    <w:p w14:paraId="5BAC92F8" w14:textId="77777777" w:rsidR="004D3B27" w:rsidRPr="00BB42E0" w:rsidRDefault="004D3B27" w:rsidP="00BB42E0">
      <w:pPr>
        <w:rPr>
          <w:rFonts w:cs="Arial"/>
        </w:rPr>
      </w:pPr>
      <w:r w:rsidRPr="00BB42E0">
        <w:rPr>
          <w:rFonts w:cs="Arial"/>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068F25B0" w14:textId="77777777" w:rsidR="004D3B27" w:rsidRPr="00BB42E0" w:rsidRDefault="004D3B27" w:rsidP="00BB42E0">
      <w:pPr>
        <w:rPr>
          <w:rFonts w:cs="Arial"/>
        </w:rPr>
      </w:pPr>
    </w:p>
    <w:p w14:paraId="3CA59280" w14:textId="77777777" w:rsidR="004D3B27" w:rsidRPr="00BB42E0" w:rsidRDefault="004D3B27" w:rsidP="00BB42E0">
      <w:pPr>
        <w:rPr>
          <w:rFonts w:cs="Arial"/>
        </w:rPr>
      </w:pPr>
      <w:r w:rsidRPr="00BB42E0">
        <w:rPr>
          <w:rFonts w:cs="Arial"/>
        </w:rPr>
        <w:t>Resulta alusivo por analogía el criterio 06-09 emitido por el entonces Instituto Federal de Acceso a la Información (IFAI), ahora Instituto Nacional de Transparencia, Acceso a la Información y Protección de Datos Personales (INAI) que a la letra dice:</w:t>
      </w:r>
    </w:p>
    <w:p w14:paraId="36F20FDE" w14:textId="77777777" w:rsidR="004D3B27" w:rsidRPr="00BB42E0" w:rsidRDefault="004D3B27" w:rsidP="00BB42E0">
      <w:pPr>
        <w:rPr>
          <w:rFonts w:cs="Arial"/>
        </w:rPr>
      </w:pPr>
    </w:p>
    <w:p w14:paraId="7F57898B" w14:textId="77777777" w:rsidR="004D3B27" w:rsidRPr="00BB42E0" w:rsidRDefault="004D3B27" w:rsidP="00BB42E0">
      <w:pPr>
        <w:pStyle w:val="Puesto"/>
        <w:tabs>
          <w:tab w:val="left" w:pos="8222"/>
        </w:tabs>
        <w:ind w:left="851" w:right="822"/>
      </w:pPr>
      <w:r w:rsidRPr="00BB42E0">
        <w:t>“</w:t>
      </w:r>
      <w:r w:rsidRPr="00BB42E0">
        <w:rPr>
          <w:b/>
        </w:rPr>
        <w:t>Nombres de servidores públicos dedicados a actividades en materia de seguridad, por excepción pueden considerarse información reservada</w:t>
      </w:r>
      <w:r w:rsidRPr="00BB42E0">
        <w:t xml:space="preserve">. De conformidad con el artículo 7, fracciones I y III de la Ley Federal de Transparencia y Acceso a la Información Pública Gubernamental el nombre de los servidores públicos </w:t>
      </w:r>
      <w:r w:rsidRPr="00BB42E0">
        <w:lastRenderedPageBreak/>
        <w:t>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5C4487CA" w14:textId="77777777" w:rsidR="004D3B27" w:rsidRPr="00BB42E0" w:rsidRDefault="004D3B27" w:rsidP="00BB42E0">
      <w:pPr>
        <w:ind w:right="-93"/>
        <w:rPr>
          <w:rFonts w:cs="Arial"/>
          <w:lang w:eastAsia="es-MX"/>
        </w:rPr>
      </w:pPr>
    </w:p>
    <w:p w14:paraId="4C1A389C" w14:textId="77777777" w:rsidR="004D3B27" w:rsidRPr="00BB42E0" w:rsidRDefault="004D3B27" w:rsidP="00BB42E0">
      <w:pPr>
        <w:ind w:right="-93"/>
        <w:rPr>
          <w:rFonts w:cs="Arial"/>
          <w:bCs/>
          <w:lang w:eastAsia="es-MX"/>
        </w:rPr>
      </w:pPr>
      <w:r w:rsidRPr="00BB42E0">
        <w:rPr>
          <w:rFonts w:cs="Arial"/>
          <w:bCs/>
          <w:lang w:eastAsia="es-MX"/>
        </w:rPr>
        <w:t>De dicho criterio, se desprende que existen funciones a cargo de servidores públicos, tendientes a garantizar de manera directa la seguridad pública, a través de acciones preventivas y correctivas, encaminadas a combatir a la delincuencia en sus diferentes manifestaciones; por lo que, una forma en que la delincuencia puede llegar a poner en riesgo la seguridad del País, Estado y Municipio, anulando, impidiendo u obstaculizando la actuación de los servidores públicos que realizan funciones de carácter operativo.</w:t>
      </w:r>
    </w:p>
    <w:p w14:paraId="24FA858D" w14:textId="77777777" w:rsidR="004D3B27" w:rsidRPr="00BB42E0" w:rsidRDefault="004D3B27" w:rsidP="00BB42E0">
      <w:pPr>
        <w:ind w:right="-93"/>
        <w:rPr>
          <w:rFonts w:cs="Arial"/>
          <w:bCs/>
          <w:lang w:eastAsia="es-MX"/>
        </w:rPr>
      </w:pPr>
    </w:p>
    <w:p w14:paraId="39E233A3" w14:textId="77777777" w:rsidR="004D3B27" w:rsidRPr="00BB42E0" w:rsidRDefault="004D3B27" w:rsidP="00BB42E0">
      <w:pPr>
        <w:ind w:right="-93"/>
        <w:rPr>
          <w:rFonts w:cs="Arial"/>
          <w:bCs/>
          <w:lang w:eastAsia="es-MX"/>
        </w:rPr>
      </w:pPr>
      <w:r w:rsidRPr="00BB42E0">
        <w:rPr>
          <w:rFonts w:cs="Arial"/>
          <w:bCs/>
          <w:lang w:eastAsia="es-MX"/>
        </w:rPr>
        <w:t xml:space="preserve">En ese orden de ideas, si bien por regla general los nombres de los trabajadores gubernamentales son información pública de oficio, existe una excepción relativa a </w:t>
      </w:r>
      <w:r w:rsidRPr="00BB42E0">
        <w:rPr>
          <w:rFonts w:cs="Arial"/>
          <w:b/>
          <w:bCs/>
          <w:lang w:eastAsia="es-MX"/>
        </w:rPr>
        <w:t>aquellos que realicen actividades operativas en materia de seguridad,</w:t>
      </w:r>
      <w:r w:rsidRPr="00BB42E0">
        <w:rPr>
          <w:rFonts w:cs="Arial"/>
          <w:bCs/>
          <w:lang w:eastAsia="es-MX"/>
        </w:rPr>
        <w:t xml:space="preserve"> como es el caso de los elementos operativos y la policía municipal.</w:t>
      </w:r>
    </w:p>
    <w:p w14:paraId="35E3BDA5" w14:textId="77777777" w:rsidR="004D3B27" w:rsidRPr="00BB42E0" w:rsidRDefault="004D3B27" w:rsidP="00BB42E0">
      <w:pPr>
        <w:ind w:right="-93"/>
        <w:rPr>
          <w:rFonts w:cs="Arial"/>
          <w:bCs/>
          <w:lang w:eastAsia="es-MX"/>
        </w:rPr>
      </w:pPr>
    </w:p>
    <w:p w14:paraId="7CEF3D14" w14:textId="77777777" w:rsidR="004D3B27" w:rsidRPr="00BB42E0" w:rsidRDefault="004D3B27" w:rsidP="00BB42E0">
      <w:pPr>
        <w:ind w:right="-93"/>
        <w:rPr>
          <w:rFonts w:cs="Arial"/>
          <w:bCs/>
          <w:lang w:eastAsia="es-MX"/>
        </w:rPr>
      </w:pPr>
      <w:r w:rsidRPr="00BB42E0">
        <w:rPr>
          <w:rFonts w:cs="Arial"/>
          <w:bCs/>
          <w:lang w:eastAsia="es-MX"/>
        </w:rPr>
        <w:lastRenderedPageBreak/>
        <w:t>Al respecto,  el artículo 4° de la Ley de Seguridad del Estado de México prevé que la función de seguridad pública se realizará, en los diversos ámbitos de competencia, por conducto de las Instituciones Policiales y de Procuración de Justicia, de los responsables de la prisión preventiva y ejecución de sentencias, de las autoridades competentes en materia de justicia para adolescentes, de las instancias encargadas de aplicar las infracción administrativas, y de las demás autoridades de las instancias encargadas de aplicar las infracciones administrativas.</w:t>
      </w:r>
    </w:p>
    <w:p w14:paraId="010715D1" w14:textId="77777777" w:rsidR="004D3B27" w:rsidRPr="00BB42E0" w:rsidRDefault="004D3B27" w:rsidP="00BB42E0">
      <w:pPr>
        <w:ind w:right="-93"/>
        <w:rPr>
          <w:rFonts w:cs="Arial"/>
          <w:bCs/>
          <w:sz w:val="8"/>
          <w:lang w:eastAsia="es-MX"/>
        </w:rPr>
      </w:pPr>
    </w:p>
    <w:p w14:paraId="07DC959F" w14:textId="77777777" w:rsidR="004D3B27" w:rsidRPr="00BB42E0" w:rsidRDefault="004D3B27" w:rsidP="00BB42E0">
      <w:pPr>
        <w:ind w:right="-93"/>
        <w:rPr>
          <w:rFonts w:cs="Arial"/>
          <w:bCs/>
          <w:lang w:eastAsia="es-MX"/>
        </w:rPr>
      </w:pPr>
      <w:r w:rsidRPr="00BB42E0">
        <w:rPr>
          <w:rFonts w:cs="Arial"/>
          <w:bCs/>
          <w:lang w:eastAsia="es-MX"/>
        </w:rPr>
        <w:t>En ese contexto, el artículo 6, fracciones XI y XII de dicho ordenamiento jurídico, establece los siguientes conceptos:</w:t>
      </w:r>
    </w:p>
    <w:p w14:paraId="3464AC10" w14:textId="77777777" w:rsidR="004D3B27" w:rsidRPr="00BB42E0" w:rsidRDefault="004D3B27" w:rsidP="00BB42E0">
      <w:pPr>
        <w:ind w:right="-93"/>
        <w:rPr>
          <w:rFonts w:cs="Arial"/>
          <w:bCs/>
          <w:sz w:val="8"/>
          <w:lang w:eastAsia="es-MX"/>
        </w:rPr>
      </w:pPr>
    </w:p>
    <w:p w14:paraId="1529A2BE" w14:textId="77777777" w:rsidR="004D3B27" w:rsidRPr="00BB42E0" w:rsidRDefault="004D3B27" w:rsidP="00BB42E0">
      <w:pPr>
        <w:numPr>
          <w:ilvl w:val="0"/>
          <w:numId w:val="36"/>
        </w:numPr>
        <w:ind w:right="-93"/>
        <w:rPr>
          <w:rFonts w:cs="Arial"/>
          <w:b/>
          <w:bCs/>
          <w:lang w:eastAsia="es-MX"/>
        </w:rPr>
      </w:pPr>
      <w:r w:rsidRPr="00BB42E0">
        <w:rPr>
          <w:rFonts w:cs="Arial"/>
          <w:b/>
          <w:bCs/>
          <w:lang w:eastAsia="es-MX"/>
        </w:rPr>
        <w:t xml:space="preserve">Instituciones Policiales: </w:t>
      </w:r>
      <w:r w:rsidRPr="00BB42E0">
        <w:rPr>
          <w:rFonts w:cs="Arial"/>
          <w:bCs/>
          <w:lang w:eastAsia="es-MX"/>
        </w:rPr>
        <w:t xml:space="preserve">Son los cuerpos de policía, de vigilancia y custodia de los establecimientos penitenciarios, detención preventiva, centros de arraigo y en general, </w:t>
      </w:r>
      <w:r w:rsidRPr="00BB42E0">
        <w:rPr>
          <w:rFonts w:cs="Arial"/>
          <w:b/>
          <w:bCs/>
          <w:lang w:eastAsia="es-MX"/>
        </w:rPr>
        <w:t>todas las dependencias encargadas de la seguridad pública a nivel</w:t>
      </w:r>
      <w:r w:rsidRPr="00BB42E0">
        <w:rPr>
          <w:rFonts w:cs="Arial"/>
          <w:bCs/>
          <w:lang w:eastAsia="es-MX"/>
        </w:rPr>
        <w:t xml:space="preserve"> estatal y </w:t>
      </w:r>
      <w:r w:rsidRPr="00BB42E0">
        <w:rPr>
          <w:rFonts w:cs="Arial"/>
          <w:b/>
          <w:bCs/>
          <w:lang w:eastAsia="es-MX"/>
        </w:rPr>
        <w:t>municipal.</w:t>
      </w:r>
    </w:p>
    <w:p w14:paraId="79550256" w14:textId="77777777" w:rsidR="004D3B27" w:rsidRPr="00BB42E0" w:rsidRDefault="004D3B27" w:rsidP="00BB42E0">
      <w:pPr>
        <w:numPr>
          <w:ilvl w:val="0"/>
          <w:numId w:val="36"/>
        </w:numPr>
        <w:ind w:right="-93"/>
        <w:rPr>
          <w:rFonts w:cs="Arial"/>
          <w:b/>
          <w:bCs/>
          <w:lang w:eastAsia="es-MX"/>
        </w:rPr>
      </w:pPr>
      <w:r w:rsidRPr="00BB42E0">
        <w:rPr>
          <w:rFonts w:cs="Arial"/>
          <w:b/>
          <w:bCs/>
          <w:lang w:eastAsia="es-MX"/>
        </w:rPr>
        <w:t xml:space="preserve">Instituciones de Seguridad Pública: </w:t>
      </w:r>
      <w:r w:rsidRPr="00BB42E0">
        <w:rPr>
          <w:rFonts w:cs="Arial"/>
          <w:bCs/>
          <w:lang w:eastAsia="es-MX"/>
        </w:rPr>
        <w:t xml:space="preserve">Instituciones Policiales, Procuración de Justicia, Sistema Penitenciario y </w:t>
      </w:r>
      <w:r w:rsidRPr="00BB42E0">
        <w:rPr>
          <w:rFonts w:cs="Arial"/>
          <w:b/>
          <w:bCs/>
          <w:lang w:eastAsia="es-MX"/>
        </w:rPr>
        <w:t xml:space="preserve">dependencias encargadas de la seguridad pública a nivel </w:t>
      </w:r>
      <w:r w:rsidRPr="00BB42E0">
        <w:rPr>
          <w:rFonts w:cs="Arial"/>
          <w:bCs/>
          <w:lang w:eastAsia="es-MX"/>
        </w:rPr>
        <w:t xml:space="preserve">estatal y </w:t>
      </w:r>
      <w:r w:rsidRPr="00BB42E0">
        <w:rPr>
          <w:rFonts w:cs="Arial"/>
          <w:b/>
          <w:bCs/>
          <w:lang w:eastAsia="es-MX"/>
        </w:rPr>
        <w:t>municipal.</w:t>
      </w:r>
    </w:p>
    <w:p w14:paraId="4D47A559" w14:textId="77777777" w:rsidR="004D3B27" w:rsidRPr="00BB42E0" w:rsidRDefault="004D3B27" w:rsidP="00BB42E0">
      <w:pPr>
        <w:ind w:right="-93"/>
        <w:rPr>
          <w:rFonts w:cs="Arial"/>
          <w:b/>
          <w:bCs/>
          <w:sz w:val="8"/>
          <w:lang w:eastAsia="es-MX"/>
        </w:rPr>
      </w:pPr>
    </w:p>
    <w:p w14:paraId="509F328E" w14:textId="77777777" w:rsidR="004D3B27" w:rsidRPr="00BB42E0" w:rsidRDefault="004D3B27" w:rsidP="00BB42E0">
      <w:pPr>
        <w:ind w:right="-93"/>
        <w:rPr>
          <w:rFonts w:cs="Arial"/>
          <w:bCs/>
          <w:lang w:eastAsia="es-MX"/>
        </w:rPr>
      </w:pPr>
      <w:r w:rsidRPr="00BB42E0">
        <w:rPr>
          <w:rFonts w:cs="Arial"/>
          <w:iCs/>
          <w:lang w:val="es-ES" w:eastAsia="es-MX"/>
        </w:rPr>
        <w:t>Conforme a lo anterior</w:t>
      </w:r>
      <w:r w:rsidRPr="00BB42E0">
        <w:rPr>
          <w:rFonts w:cs="Arial"/>
          <w:bCs/>
          <w:lang w:eastAsia="es-MX"/>
        </w:rPr>
        <w:t xml:space="preserve">, se puede deducir que el área </w:t>
      </w:r>
      <w:r w:rsidRPr="00BB42E0">
        <w:rPr>
          <w:rFonts w:cs="Arial"/>
          <w:bCs/>
          <w:lang w:val="es-ES_tradnl" w:eastAsia="es-MX"/>
        </w:rPr>
        <w:t>Seguridad Pública</w:t>
      </w:r>
      <w:r w:rsidRPr="00BB42E0">
        <w:rPr>
          <w:rFonts w:cs="Arial"/>
          <w:bCs/>
          <w:lang w:eastAsia="es-MX"/>
        </w:rPr>
        <w:t xml:space="preserve"> tiene como atribución principal, la prevención de delitos </w:t>
      </w:r>
      <w:r w:rsidRPr="00BB42E0">
        <w:rPr>
          <w:rFonts w:cs="Arial"/>
          <w:lang w:eastAsia="es-MX"/>
        </w:rPr>
        <w:t>y proteger a las personas, sus propiedades, posesiones y derechos</w:t>
      </w:r>
    </w:p>
    <w:p w14:paraId="066348A8" w14:textId="77777777" w:rsidR="004D3B27" w:rsidRPr="00BB42E0" w:rsidRDefault="004D3B27" w:rsidP="00BB42E0">
      <w:pPr>
        <w:ind w:right="-93"/>
        <w:rPr>
          <w:rFonts w:cs="Arial"/>
          <w:bCs/>
          <w:sz w:val="8"/>
          <w:lang w:val="es-ES" w:eastAsia="es-MX"/>
        </w:rPr>
      </w:pPr>
    </w:p>
    <w:p w14:paraId="29E70B0E" w14:textId="77777777" w:rsidR="004D3B27" w:rsidRPr="00BB42E0" w:rsidRDefault="004D3B27" w:rsidP="00BB42E0">
      <w:pPr>
        <w:ind w:right="-93"/>
        <w:rPr>
          <w:rFonts w:cs="Arial"/>
          <w:bCs/>
          <w:lang w:eastAsia="es-MX"/>
        </w:rPr>
      </w:pPr>
      <w:r w:rsidRPr="00BB42E0">
        <w:rPr>
          <w:rFonts w:cs="Arial"/>
          <w:bCs/>
          <w:lang w:val="es-ES" w:eastAsia="es-MX"/>
        </w:rPr>
        <w:t xml:space="preserve">Además, </w:t>
      </w:r>
      <w:r w:rsidRPr="00BB42E0">
        <w:rPr>
          <w:rFonts w:cs="Arial"/>
          <w:bCs/>
          <w:lang w:eastAsia="es-MX"/>
        </w:rPr>
        <w:t xml:space="preserve">el Instructivo de llenado del Formato “Personal de Seguridad Pública”, del Secretariado Ejecutivo del Sistema Nacional de Seguridad Pública (consultado el veinticinco de abril de dos mil veintidós, a las dieciséis horas, en la liga electrónica </w:t>
      </w:r>
      <w:hyperlink r:id="rId17" w:history="1">
        <w:r w:rsidRPr="00BB42E0">
          <w:rPr>
            <w:rStyle w:val="Hipervnculo"/>
            <w:rFonts w:eastAsiaTheme="majorEastAsia" w:cs="Arial"/>
            <w:bCs/>
            <w:color w:val="auto"/>
            <w:lang w:eastAsia="es-MX"/>
          </w:rPr>
          <w:t>http://secretariadoejecutivo.gob.mx/work/models/SecretariadoEjecutivo/Resource/328/1/images/instructivo_final_edo_fuerza(1).pdf</w:t>
        </w:r>
      </w:hyperlink>
      <w:r w:rsidRPr="00BB42E0">
        <w:rPr>
          <w:rFonts w:cs="Arial"/>
          <w:bCs/>
          <w:lang w:eastAsia="es-MX"/>
        </w:rPr>
        <w:t xml:space="preserve">), establece que los elementos operativos de seguridad pública, son aquellos que desempeñan funciones de campo (policiacas, especializadas o </w:t>
      </w:r>
      <w:r w:rsidRPr="00BB42E0">
        <w:rPr>
          <w:rFonts w:cs="Arial"/>
          <w:bCs/>
          <w:lang w:eastAsia="es-MX"/>
        </w:rPr>
        <w:lastRenderedPageBreak/>
        <w:t xml:space="preserve">equivalentes y que no </w:t>
      </w:r>
      <w:r w:rsidRPr="00BB42E0">
        <w:rPr>
          <w:rFonts w:cs="Arial"/>
          <w:b/>
          <w:bCs/>
          <w:lang w:eastAsia="es-MX"/>
        </w:rPr>
        <w:t>desempeña funciones de mando</w:t>
      </w:r>
      <w:r w:rsidRPr="00BB42E0">
        <w:rPr>
          <w:rFonts w:cs="Arial"/>
          <w:bCs/>
          <w:lang w:eastAsia="es-MX"/>
        </w:rPr>
        <w:t xml:space="preserve">), entre los cuales, se encuentra </w:t>
      </w:r>
      <w:r w:rsidRPr="00BB42E0">
        <w:rPr>
          <w:rFonts w:cs="Arial"/>
          <w:b/>
          <w:bCs/>
          <w:lang w:eastAsia="es-MX"/>
        </w:rPr>
        <w:t>la Policía Municipal</w:t>
      </w:r>
      <w:r w:rsidRPr="00BB42E0">
        <w:rPr>
          <w:rFonts w:cs="Arial"/>
          <w:bCs/>
          <w:lang w:eastAsia="es-MX"/>
        </w:rPr>
        <w:t>.</w:t>
      </w:r>
    </w:p>
    <w:p w14:paraId="1F9FF081" w14:textId="77777777" w:rsidR="004D3B27" w:rsidRPr="00BB42E0" w:rsidRDefault="004D3B27" w:rsidP="00BB42E0">
      <w:pPr>
        <w:ind w:right="-93"/>
        <w:rPr>
          <w:rFonts w:cs="Arial"/>
          <w:bCs/>
          <w:sz w:val="16"/>
          <w:lang w:eastAsia="es-MX"/>
        </w:rPr>
      </w:pPr>
    </w:p>
    <w:p w14:paraId="55DA453A" w14:textId="77777777" w:rsidR="004D3B27" w:rsidRPr="00BB42E0" w:rsidRDefault="004D3B27" w:rsidP="00BB42E0">
      <w:pPr>
        <w:ind w:right="-93"/>
        <w:rPr>
          <w:rFonts w:cs="Arial"/>
          <w:bCs/>
          <w:lang w:eastAsia="es-MX"/>
        </w:rPr>
      </w:pPr>
      <w:r w:rsidRPr="00BB42E0">
        <w:rPr>
          <w:rFonts w:cs="Arial"/>
          <w:bCs/>
          <w:lang w:eastAsia="es-MX"/>
        </w:rPr>
        <w:t>Además, que las Instituciones Policiales, se conforman del personal administrativo, que son los trabajadores de apoyo (chofer, personal de mantenimiento, servicios generales y área secretaria); así como, el personal de mando (alto, medio y superior), que es aquel que realiza funciones de dirección, coordinación y supervisión, por lo cual, corresponde a aquel que tenga trabajadores a su cargo.</w:t>
      </w:r>
    </w:p>
    <w:p w14:paraId="319E9D09" w14:textId="77777777" w:rsidR="004D3B27" w:rsidRPr="00BB42E0" w:rsidRDefault="004D3B27" w:rsidP="00BB42E0">
      <w:pPr>
        <w:ind w:right="-93"/>
        <w:rPr>
          <w:rFonts w:cs="Arial"/>
          <w:sz w:val="10"/>
          <w:lang w:eastAsia="es-MX"/>
        </w:rPr>
      </w:pPr>
    </w:p>
    <w:p w14:paraId="2CFB2961" w14:textId="77777777" w:rsidR="004D3B27" w:rsidRPr="00BB42E0" w:rsidRDefault="004D3B27" w:rsidP="00BB42E0">
      <w:pPr>
        <w:ind w:right="-93"/>
        <w:rPr>
          <w:rFonts w:cs="Arial"/>
          <w:bCs/>
          <w:lang w:eastAsia="es-MX"/>
        </w:rPr>
      </w:pPr>
      <w:r w:rsidRPr="00BB42E0">
        <w:rPr>
          <w:rFonts w:cs="Arial"/>
          <w:bCs/>
          <w:lang w:eastAsia="es-MX"/>
        </w:rPr>
        <w:t>Así, dar a conocer el nombre de las personas, vinculado con el hecho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0D2C4AFA" w14:textId="77777777" w:rsidR="004D3B27" w:rsidRPr="00BB42E0" w:rsidRDefault="004D3B27" w:rsidP="00BB42E0">
      <w:pPr>
        <w:rPr>
          <w:sz w:val="8"/>
        </w:rPr>
      </w:pPr>
    </w:p>
    <w:p w14:paraId="40C43F57" w14:textId="62125957" w:rsidR="0018168C" w:rsidRPr="00BB42E0" w:rsidRDefault="004F4DD8" w:rsidP="00BB42E0">
      <w:pPr>
        <w:pStyle w:val="Ttulo3"/>
      </w:pPr>
      <w:bookmarkStart w:id="37" w:name="_Toc181795800"/>
      <w:r w:rsidRPr="00BB42E0">
        <w:t>e</w:t>
      </w:r>
      <w:r w:rsidR="0018168C" w:rsidRPr="00BB42E0">
        <w:t>) Conclusión</w:t>
      </w:r>
      <w:bookmarkEnd w:id="37"/>
    </w:p>
    <w:p w14:paraId="75F19FDB" w14:textId="393E5456" w:rsidR="004D3B27" w:rsidRPr="00BB42E0" w:rsidRDefault="004D3B27" w:rsidP="00BB42E0">
      <w:pPr>
        <w:widowControl w:val="0"/>
        <w:tabs>
          <w:tab w:val="left" w:pos="1701"/>
          <w:tab w:val="left" w:pos="1843"/>
        </w:tabs>
        <w:autoSpaceDE w:val="0"/>
        <w:autoSpaceDN w:val="0"/>
        <w:adjustRightInd w:val="0"/>
        <w:rPr>
          <w:rFonts w:cs="Arial"/>
        </w:rPr>
      </w:pPr>
      <w:r w:rsidRPr="00BB42E0">
        <w:rPr>
          <w:rFonts w:cs="Arial"/>
        </w:rPr>
        <w:t xml:space="preserve">En razón de lo anteriormente expuesto, este Instituto estima que las razones o motivos de inconformidad hechos valer por </w:t>
      </w:r>
      <w:r w:rsidRPr="00BB42E0">
        <w:rPr>
          <w:rFonts w:cs="Arial"/>
          <w:b/>
        </w:rPr>
        <w:t>EL RECURRENTE</w:t>
      </w:r>
      <w:r w:rsidRPr="00BB42E0">
        <w:rPr>
          <w:rFonts w:cs="Arial"/>
        </w:rPr>
        <w:t xml:space="preserve"> devienen </w:t>
      </w:r>
      <w:r w:rsidRPr="00BB42E0">
        <w:rPr>
          <w:rFonts w:cs="Arial"/>
          <w:b/>
        </w:rPr>
        <w:t>fundadas</w:t>
      </w:r>
      <w:r w:rsidRPr="00BB42E0">
        <w:rPr>
          <w:rFonts w:cs="Arial"/>
        </w:rPr>
        <w:t xml:space="preserve"> y suficientes para </w:t>
      </w:r>
      <w:r w:rsidR="00196571" w:rsidRPr="00BB42E0">
        <w:rPr>
          <w:rFonts w:cs="Arial"/>
          <w:b/>
        </w:rPr>
        <w:t xml:space="preserve">MODIFICAR </w:t>
      </w:r>
      <w:r w:rsidR="00196571" w:rsidRPr="00BB42E0">
        <w:rPr>
          <w:rFonts w:cs="Arial"/>
        </w:rPr>
        <w:t xml:space="preserve">la respuesta que dio origen al Recurso de Revisión </w:t>
      </w:r>
      <w:r w:rsidR="00196571" w:rsidRPr="00BB42E0">
        <w:rPr>
          <w:rFonts w:eastAsia="Calibri"/>
          <w:b/>
          <w:lang w:eastAsia="en-US"/>
        </w:rPr>
        <w:t xml:space="preserve">06027/INFOEM/IP/RR/2024 </w:t>
      </w:r>
      <w:r w:rsidR="00196571" w:rsidRPr="00BB42E0">
        <w:rPr>
          <w:rFonts w:eastAsia="Calibri"/>
          <w:lang w:eastAsia="en-US"/>
        </w:rPr>
        <w:t xml:space="preserve">y </w:t>
      </w:r>
      <w:r w:rsidRPr="00BB42E0">
        <w:rPr>
          <w:rFonts w:cs="Arial"/>
          <w:b/>
        </w:rPr>
        <w:t>REVOCA</w:t>
      </w:r>
      <w:r w:rsidR="00196571" w:rsidRPr="00BB42E0">
        <w:rPr>
          <w:rFonts w:cs="Arial"/>
          <w:b/>
        </w:rPr>
        <w:t>R</w:t>
      </w:r>
      <w:r w:rsidRPr="00BB42E0">
        <w:rPr>
          <w:rFonts w:cs="Arial"/>
        </w:rPr>
        <w:t xml:space="preserve"> la</w:t>
      </w:r>
      <w:r w:rsidR="00196571" w:rsidRPr="00BB42E0">
        <w:rPr>
          <w:rFonts w:cs="Arial"/>
        </w:rPr>
        <w:t xml:space="preserve"> </w:t>
      </w:r>
      <w:r w:rsidRPr="00BB42E0">
        <w:rPr>
          <w:rFonts w:cs="Arial"/>
        </w:rPr>
        <w:t>respuesta</w:t>
      </w:r>
      <w:r w:rsidR="00196571" w:rsidRPr="00BB42E0">
        <w:rPr>
          <w:rFonts w:cs="Arial"/>
        </w:rPr>
        <w:t xml:space="preserve"> que dio origen al Recurso de </w:t>
      </w:r>
      <w:r w:rsidR="00220CD2" w:rsidRPr="00BB42E0">
        <w:rPr>
          <w:rFonts w:cs="Arial"/>
        </w:rPr>
        <w:t xml:space="preserve">Revisión </w:t>
      </w:r>
      <w:r w:rsidR="00220CD2" w:rsidRPr="00BB42E0">
        <w:rPr>
          <w:rFonts w:cs="Arial"/>
          <w:b/>
          <w:bCs/>
        </w:rPr>
        <w:t>06038</w:t>
      </w:r>
      <w:r w:rsidR="00196571" w:rsidRPr="00BB42E0">
        <w:rPr>
          <w:rFonts w:eastAsia="Calibri"/>
          <w:b/>
          <w:bCs/>
          <w:lang w:eastAsia="en-US"/>
        </w:rPr>
        <w:t>/INFOEM</w:t>
      </w:r>
      <w:r w:rsidR="00196571" w:rsidRPr="00BB42E0">
        <w:rPr>
          <w:rFonts w:eastAsia="Calibri"/>
          <w:b/>
          <w:lang w:eastAsia="en-US"/>
        </w:rPr>
        <w:t xml:space="preserve">/IP/RR/2024 </w:t>
      </w:r>
      <w:r w:rsidR="00196571" w:rsidRPr="00BB42E0">
        <w:rPr>
          <w:rFonts w:eastAsia="Calibri"/>
          <w:lang w:eastAsia="en-US"/>
        </w:rPr>
        <w:t>otorgadas por</w:t>
      </w:r>
      <w:r w:rsidR="00196571" w:rsidRPr="00BB42E0">
        <w:rPr>
          <w:rFonts w:eastAsia="Calibri"/>
          <w:b/>
          <w:lang w:eastAsia="en-US"/>
        </w:rPr>
        <w:t xml:space="preserve"> </w:t>
      </w:r>
      <w:r w:rsidR="00196571" w:rsidRPr="00BB42E0">
        <w:rPr>
          <w:rFonts w:cs="Arial"/>
          <w:b/>
        </w:rPr>
        <w:t>EL</w:t>
      </w:r>
      <w:r w:rsidR="00196571" w:rsidRPr="00BB42E0">
        <w:rPr>
          <w:rFonts w:cs="Arial"/>
        </w:rPr>
        <w:t xml:space="preserve"> </w:t>
      </w:r>
      <w:r w:rsidRPr="00BB42E0">
        <w:rPr>
          <w:rFonts w:cs="Arial"/>
          <w:b/>
        </w:rPr>
        <w:t>SUJETO OBLIGADO</w:t>
      </w:r>
      <w:r w:rsidRPr="00BB42E0">
        <w:rPr>
          <w:rFonts w:cs="Arial"/>
        </w:rPr>
        <w:t xml:space="preserve"> y ordenarle haga entrega de la información descrita en el presente Considerando.</w:t>
      </w:r>
    </w:p>
    <w:p w14:paraId="6C4C444E" w14:textId="273626B5" w:rsidR="00BD5A7C" w:rsidRPr="00BB42E0" w:rsidRDefault="00BD5A7C" w:rsidP="00BB42E0">
      <w:pPr>
        <w:ind w:right="-93"/>
        <w:rPr>
          <w:rFonts w:cs="Tahoma"/>
          <w:bCs/>
          <w:szCs w:val="22"/>
        </w:rPr>
      </w:pPr>
      <w:bookmarkStart w:id="38" w:name="_Hlk165381027"/>
      <w:r w:rsidRPr="00BB42E0">
        <w:rPr>
          <w:rFonts w:cs="Tahoma"/>
          <w:bCs/>
          <w:szCs w:val="22"/>
        </w:rPr>
        <w:lastRenderedPageBreak/>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8"/>
    <w:p w14:paraId="7C13D1A0" w14:textId="77777777" w:rsidR="00BD5A7C" w:rsidRPr="00BB42E0" w:rsidRDefault="00BD5A7C" w:rsidP="00BB42E0">
      <w:pPr>
        <w:rPr>
          <w:sz w:val="12"/>
        </w:rPr>
      </w:pPr>
    </w:p>
    <w:p w14:paraId="5C396097" w14:textId="684A0E4F" w:rsidR="00664420" w:rsidRPr="00BB42E0" w:rsidRDefault="00664420" w:rsidP="00BB42E0">
      <w:pPr>
        <w:pStyle w:val="Ttulo1"/>
      </w:pPr>
      <w:bookmarkStart w:id="39" w:name="_Toc181795801"/>
      <w:r w:rsidRPr="00BB42E0">
        <w:t>RESUELVE</w:t>
      </w:r>
      <w:bookmarkEnd w:id="39"/>
    </w:p>
    <w:p w14:paraId="203B7093" w14:textId="77777777" w:rsidR="00664420" w:rsidRPr="00BB42E0" w:rsidRDefault="00664420" w:rsidP="00BB42E0">
      <w:pPr>
        <w:ind w:right="113"/>
        <w:rPr>
          <w:rFonts w:cs="Arial"/>
          <w:b/>
          <w:sz w:val="18"/>
          <w:szCs w:val="22"/>
        </w:rPr>
      </w:pPr>
    </w:p>
    <w:p w14:paraId="682F5302" w14:textId="3F45B1A0" w:rsidR="004D3B27" w:rsidRPr="00BB42E0" w:rsidRDefault="004D3B27" w:rsidP="00BB42E0">
      <w:pPr>
        <w:widowControl w:val="0"/>
        <w:rPr>
          <w:rFonts w:eastAsia="Calibri" w:cs="Tahoma"/>
          <w:bCs/>
          <w:szCs w:val="22"/>
          <w:lang w:eastAsia="en-US"/>
        </w:rPr>
      </w:pPr>
      <w:r w:rsidRPr="00BB42E0">
        <w:rPr>
          <w:b/>
          <w:bCs/>
        </w:rPr>
        <w:t>PRIMERO.</w:t>
      </w:r>
      <w:r w:rsidRPr="00BB42E0">
        <w:t xml:space="preserve"> </w:t>
      </w:r>
      <w:r w:rsidRPr="00BB42E0">
        <w:rPr>
          <w:rFonts w:cs="Tahoma"/>
          <w:szCs w:val="22"/>
        </w:rPr>
        <w:t xml:space="preserve">Se </w:t>
      </w:r>
      <w:r w:rsidR="00196571" w:rsidRPr="00BB42E0">
        <w:rPr>
          <w:rFonts w:cs="Tahoma"/>
          <w:b/>
          <w:bCs/>
          <w:szCs w:val="22"/>
        </w:rPr>
        <w:t>MODIFICA</w:t>
      </w:r>
      <w:r w:rsidRPr="00BB42E0">
        <w:rPr>
          <w:rFonts w:cs="Tahoma"/>
          <w:b/>
          <w:bCs/>
          <w:szCs w:val="22"/>
        </w:rPr>
        <w:t xml:space="preserve"> </w:t>
      </w:r>
      <w:r w:rsidRPr="00BB42E0">
        <w:rPr>
          <w:rFonts w:cs="Tahoma"/>
          <w:szCs w:val="22"/>
        </w:rPr>
        <w:t xml:space="preserve">la respuesta entregada por </w:t>
      </w:r>
      <w:r w:rsidR="00196571" w:rsidRPr="00BB42E0">
        <w:rPr>
          <w:rFonts w:cs="Tahoma"/>
          <w:b/>
          <w:szCs w:val="22"/>
        </w:rPr>
        <w:t>EL</w:t>
      </w:r>
      <w:r w:rsidR="00196571" w:rsidRPr="00BB42E0">
        <w:rPr>
          <w:rFonts w:cs="Tahoma"/>
          <w:szCs w:val="22"/>
        </w:rPr>
        <w:t xml:space="preserve"> </w:t>
      </w:r>
      <w:r w:rsidRPr="00BB42E0">
        <w:rPr>
          <w:rFonts w:cs="Tahoma"/>
          <w:b/>
          <w:bCs/>
          <w:szCs w:val="22"/>
        </w:rPr>
        <w:t>SUJETO OBLIGADO</w:t>
      </w:r>
      <w:r w:rsidRPr="00BB42E0">
        <w:rPr>
          <w:rFonts w:cs="Tahoma"/>
          <w:szCs w:val="22"/>
        </w:rPr>
        <w:t xml:space="preserve"> en la solicitud de información </w:t>
      </w:r>
      <w:r w:rsidR="00196571" w:rsidRPr="00BB42E0">
        <w:rPr>
          <w:rFonts w:cs="Tahoma"/>
          <w:b/>
          <w:bCs/>
        </w:rPr>
        <w:t xml:space="preserve">00098/TEZOYUCA/IP/2024 </w:t>
      </w:r>
      <w:r w:rsidR="00196571" w:rsidRPr="00BB42E0">
        <w:rPr>
          <w:rFonts w:cs="Tahoma"/>
          <w:bCs/>
        </w:rPr>
        <w:t>y se</w:t>
      </w:r>
      <w:r w:rsidR="00196571" w:rsidRPr="00BB42E0">
        <w:rPr>
          <w:rFonts w:cs="Tahoma"/>
          <w:b/>
          <w:bCs/>
        </w:rPr>
        <w:t xml:space="preserve"> REVOCA </w:t>
      </w:r>
      <w:r w:rsidR="00196571" w:rsidRPr="00BB42E0">
        <w:rPr>
          <w:rFonts w:cs="Tahoma"/>
          <w:szCs w:val="22"/>
        </w:rPr>
        <w:t xml:space="preserve">la respuesta entregada en la solicitud </w:t>
      </w:r>
      <w:r w:rsidRPr="00BB42E0">
        <w:rPr>
          <w:rFonts w:cs="Tahoma"/>
          <w:b/>
          <w:bCs/>
        </w:rPr>
        <w:t>00083/TEZOYUCA/IP/2024</w:t>
      </w:r>
      <w:r w:rsidR="00196571" w:rsidRPr="00BB42E0">
        <w:rPr>
          <w:rFonts w:cs="Tahoma"/>
          <w:b/>
          <w:bCs/>
        </w:rPr>
        <w:t>,</w:t>
      </w:r>
      <w:r w:rsidRPr="00BB42E0">
        <w:rPr>
          <w:rFonts w:cs="Tahoma"/>
          <w:bCs/>
          <w:szCs w:val="22"/>
        </w:rPr>
        <w:t xml:space="preserve"> </w:t>
      </w:r>
      <w:r w:rsidRPr="00BB42E0">
        <w:rPr>
          <w:rFonts w:eastAsia="Calibri" w:cs="Tahoma"/>
          <w:bCs/>
          <w:szCs w:val="22"/>
          <w:lang w:eastAsia="en-US"/>
        </w:rPr>
        <w:t xml:space="preserve">por resultar </w:t>
      </w:r>
      <w:r w:rsidRPr="00BB42E0">
        <w:rPr>
          <w:rFonts w:eastAsia="Calibri" w:cs="Tahoma"/>
          <w:b/>
          <w:bCs/>
          <w:szCs w:val="22"/>
          <w:lang w:eastAsia="en-US"/>
        </w:rPr>
        <w:t>FUNDADAS</w:t>
      </w:r>
      <w:r w:rsidRPr="00BB42E0">
        <w:rPr>
          <w:rFonts w:eastAsia="Calibri" w:cs="Tahoma"/>
          <w:bCs/>
          <w:szCs w:val="22"/>
          <w:lang w:eastAsia="en-US"/>
        </w:rPr>
        <w:t xml:space="preserve"> las razones o motivos de inconformidad hechos valer por </w:t>
      </w:r>
      <w:r w:rsidRPr="00BB42E0">
        <w:rPr>
          <w:rFonts w:eastAsia="Calibri" w:cs="Tahoma"/>
          <w:b/>
          <w:szCs w:val="22"/>
          <w:lang w:eastAsia="en-US"/>
        </w:rPr>
        <w:t>LA PARTE RECURRENTE</w:t>
      </w:r>
      <w:r w:rsidRPr="00BB42E0">
        <w:rPr>
          <w:rFonts w:eastAsia="Calibri" w:cs="Tahoma"/>
          <w:bCs/>
          <w:szCs w:val="22"/>
          <w:lang w:eastAsia="en-US"/>
        </w:rPr>
        <w:t xml:space="preserve"> en los Recursos de Revisión </w:t>
      </w:r>
      <w:r w:rsidRPr="00BB42E0">
        <w:rPr>
          <w:rFonts w:eastAsia="Calibri"/>
          <w:b/>
          <w:lang w:eastAsia="en-US"/>
        </w:rPr>
        <w:t xml:space="preserve">06027/INFOEM/IP/RR/2024 </w:t>
      </w:r>
      <w:r w:rsidRPr="00BB42E0">
        <w:rPr>
          <w:rFonts w:eastAsia="Calibri"/>
          <w:lang w:eastAsia="en-US"/>
        </w:rPr>
        <w:t>y</w:t>
      </w:r>
      <w:r w:rsidRPr="00BB42E0">
        <w:rPr>
          <w:rFonts w:eastAsia="Calibri"/>
          <w:b/>
          <w:lang w:eastAsia="en-US"/>
        </w:rPr>
        <w:t xml:space="preserve"> 06038/INFOEM/IP/RR/2024</w:t>
      </w:r>
      <w:r w:rsidRPr="00BB42E0">
        <w:rPr>
          <w:rFonts w:eastAsiaTheme="minorHAnsi" w:cstheme="minorBidi"/>
          <w:szCs w:val="22"/>
          <w:lang w:eastAsia="en-US"/>
        </w:rPr>
        <w:t>,</w:t>
      </w:r>
      <w:r w:rsidRPr="00BB42E0">
        <w:rPr>
          <w:rFonts w:cs="Tahoma"/>
          <w:b/>
          <w:szCs w:val="22"/>
        </w:rPr>
        <w:t xml:space="preserve"> </w:t>
      </w:r>
      <w:r w:rsidRPr="00BB42E0">
        <w:rPr>
          <w:rFonts w:eastAsia="Calibri" w:cs="Tahoma"/>
          <w:bCs/>
          <w:szCs w:val="22"/>
          <w:lang w:eastAsia="en-US"/>
        </w:rPr>
        <w:t xml:space="preserve">en términos del considerando </w:t>
      </w:r>
      <w:r w:rsidRPr="00BB42E0">
        <w:rPr>
          <w:rFonts w:eastAsia="Calibri" w:cs="Tahoma"/>
          <w:b/>
          <w:szCs w:val="22"/>
          <w:lang w:eastAsia="en-US"/>
        </w:rPr>
        <w:t>SEGUNDO</w:t>
      </w:r>
      <w:r w:rsidRPr="00BB42E0">
        <w:rPr>
          <w:rFonts w:eastAsia="Calibri" w:cs="Tahoma"/>
          <w:bCs/>
          <w:szCs w:val="22"/>
          <w:lang w:eastAsia="en-US"/>
        </w:rPr>
        <w:t xml:space="preserve"> de la presente Resolución.</w:t>
      </w:r>
    </w:p>
    <w:p w14:paraId="7A90544E" w14:textId="77777777" w:rsidR="004D3B27" w:rsidRPr="00BB42E0" w:rsidRDefault="004D3B27" w:rsidP="00BB42E0">
      <w:pPr>
        <w:rPr>
          <w:rFonts w:eastAsia="Palatino Linotype"/>
          <w:b/>
          <w:sz w:val="16"/>
          <w:szCs w:val="22"/>
        </w:rPr>
      </w:pPr>
    </w:p>
    <w:p w14:paraId="0DFF39B6" w14:textId="77DC40FB" w:rsidR="004D3B27" w:rsidRPr="00BB42E0" w:rsidRDefault="004D3B27" w:rsidP="00BB42E0">
      <w:pPr>
        <w:ind w:right="-93"/>
        <w:rPr>
          <w:rFonts w:eastAsia="Calibri" w:cs="Tahoma"/>
          <w:bCs/>
          <w:szCs w:val="22"/>
          <w:lang w:eastAsia="en-US"/>
        </w:rPr>
      </w:pPr>
      <w:r w:rsidRPr="00BB42E0">
        <w:rPr>
          <w:rFonts w:eastAsia="Calibri" w:cs="Tahoma"/>
          <w:b/>
          <w:bCs/>
          <w:szCs w:val="22"/>
          <w:lang w:eastAsia="en-US"/>
        </w:rPr>
        <w:t>SEGUNDO.</w:t>
      </w:r>
      <w:r w:rsidRPr="00BB42E0">
        <w:rPr>
          <w:rFonts w:eastAsia="Calibri" w:cs="Tahoma"/>
          <w:szCs w:val="22"/>
          <w:lang w:eastAsia="es-MX"/>
        </w:rPr>
        <w:t xml:space="preserve"> Se </w:t>
      </w:r>
      <w:r w:rsidRPr="00BB42E0">
        <w:rPr>
          <w:rFonts w:eastAsia="Calibri" w:cs="Tahoma"/>
          <w:b/>
          <w:szCs w:val="22"/>
          <w:lang w:eastAsia="es-MX"/>
        </w:rPr>
        <w:t xml:space="preserve">ORDENA </w:t>
      </w:r>
      <w:r w:rsidRPr="00BB42E0">
        <w:rPr>
          <w:rFonts w:eastAsia="Calibri" w:cs="Tahoma"/>
          <w:szCs w:val="22"/>
          <w:lang w:eastAsia="es-MX"/>
        </w:rPr>
        <w:t xml:space="preserve">al </w:t>
      </w:r>
      <w:r w:rsidRPr="00BB42E0">
        <w:rPr>
          <w:rFonts w:eastAsia="Calibri" w:cs="Tahoma"/>
          <w:b/>
          <w:bCs/>
          <w:szCs w:val="22"/>
          <w:lang w:eastAsia="es-MX"/>
        </w:rPr>
        <w:t>SUJETO OBLIGADO</w:t>
      </w:r>
      <w:r w:rsidRPr="00BB42E0">
        <w:rPr>
          <w:rFonts w:eastAsia="Calibri" w:cs="Tahoma"/>
          <w:szCs w:val="22"/>
          <w:lang w:eastAsia="es-MX"/>
        </w:rPr>
        <w:t xml:space="preserve">, </w:t>
      </w:r>
      <w:r w:rsidRPr="00BB42E0">
        <w:rPr>
          <w:rFonts w:eastAsia="Calibri" w:cs="Tahoma"/>
          <w:bCs/>
          <w:szCs w:val="22"/>
          <w:lang w:eastAsia="en-US"/>
        </w:rPr>
        <w:t xml:space="preserve">a efecto de que entregue a través del </w:t>
      </w:r>
      <w:r w:rsidRPr="00BB42E0">
        <w:rPr>
          <w:rFonts w:eastAsia="Calibri" w:cs="Tahoma"/>
          <w:b/>
          <w:bCs/>
          <w:szCs w:val="22"/>
          <w:lang w:eastAsia="en-US"/>
        </w:rPr>
        <w:t>SAIMEX</w:t>
      </w:r>
      <w:r w:rsidRPr="00BB42E0">
        <w:rPr>
          <w:rFonts w:eastAsia="Calibri" w:cs="Tahoma"/>
          <w:bCs/>
          <w:szCs w:val="22"/>
          <w:lang w:eastAsia="en-US"/>
        </w:rPr>
        <w:t xml:space="preserve">, en </w:t>
      </w:r>
      <w:r w:rsidRPr="00BB42E0">
        <w:rPr>
          <w:rFonts w:eastAsia="Calibri" w:cs="Tahoma"/>
          <w:b/>
          <w:bCs/>
          <w:szCs w:val="22"/>
          <w:lang w:eastAsia="en-US"/>
        </w:rPr>
        <w:t xml:space="preserve">versión pública </w:t>
      </w:r>
      <w:r w:rsidRPr="00BB42E0">
        <w:rPr>
          <w:rFonts w:eastAsia="Calibri" w:cs="Tahoma"/>
          <w:bCs/>
          <w:szCs w:val="22"/>
          <w:lang w:eastAsia="en-US"/>
        </w:rPr>
        <w:t>lo siguiente:</w:t>
      </w:r>
    </w:p>
    <w:p w14:paraId="1355BAE2" w14:textId="77777777" w:rsidR="004D3B27" w:rsidRPr="00BB42E0" w:rsidRDefault="004D3B27" w:rsidP="00BB42E0">
      <w:pPr>
        <w:rPr>
          <w:rFonts w:eastAsia="Palatino Linotype"/>
          <w:b/>
          <w:sz w:val="18"/>
          <w:szCs w:val="22"/>
        </w:rPr>
      </w:pPr>
    </w:p>
    <w:p w14:paraId="3D921746" w14:textId="0A0254ED" w:rsidR="009C38D1" w:rsidRPr="00BB42E0" w:rsidRDefault="004D3B27" w:rsidP="00BB42E0">
      <w:pPr>
        <w:pStyle w:val="Puesto"/>
        <w:ind w:left="851" w:right="822"/>
        <w:rPr>
          <w:rFonts w:cs="Tahoma"/>
          <w:szCs w:val="22"/>
          <w:lang w:val="es-ES"/>
        </w:rPr>
      </w:pPr>
      <w:r w:rsidRPr="00BB42E0">
        <w:rPr>
          <w:rFonts w:cs="Tahoma"/>
          <w:szCs w:val="24"/>
        </w:rPr>
        <w:t xml:space="preserve">a) </w:t>
      </w:r>
      <w:r w:rsidR="009C38D1" w:rsidRPr="00BB42E0">
        <w:rPr>
          <w:rFonts w:cs="Tahoma"/>
          <w:szCs w:val="24"/>
        </w:rPr>
        <w:t xml:space="preserve">Los </w:t>
      </w:r>
      <w:r w:rsidR="009C38D1" w:rsidRPr="00BB42E0">
        <w:rPr>
          <w:rFonts w:cs="Arial"/>
        </w:rPr>
        <w:t xml:space="preserve">recibos de nómina de los servidores públicos del </w:t>
      </w:r>
      <w:r w:rsidR="009C38D1" w:rsidRPr="00BB42E0">
        <w:rPr>
          <w:rFonts w:cs="Tahoma"/>
          <w:szCs w:val="22"/>
          <w:lang w:val="es-ES"/>
        </w:rPr>
        <w:t xml:space="preserve">Sistema Municipal para el Desarrollo Integral de la Familia, correspondientes a la primera y segunda quincena de los meses de enero a agosto de 2024. </w:t>
      </w:r>
    </w:p>
    <w:p w14:paraId="1EA18938" w14:textId="77777777" w:rsidR="004D3B27" w:rsidRPr="00BB42E0" w:rsidRDefault="004D3B27" w:rsidP="00BB42E0">
      <w:pPr>
        <w:pStyle w:val="Puesto"/>
        <w:ind w:left="851" w:right="822"/>
        <w:rPr>
          <w:rFonts w:eastAsia="Palatino Linotype" w:cs="Palatino Linotype"/>
        </w:rPr>
      </w:pPr>
    </w:p>
    <w:p w14:paraId="3A425AC8" w14:textId="04538DDA" w:rsidR="004D3B27" w:rsidRPr="00BB42E0" w:rsidRDefault="004D3B27" w:rsidP="00BB42E0">
      <w:pPr>
        <w:pStyle w:val="Puesto"/>
        <w:ind w:left="851" w:right="822"/>
      </w:pPr>
      <w:r w:rsidRPr="00BB42E0">
        <w:rPr>
          <w:rFonts w:eastAsia="Palatino Linotype" w:cs="Palatino Linotype"/>
        </w:rPr>
        <w:t xml:space="preserve">b) Los recibos de nómina de los policías municipales, correspondientes a los años </w:t>
      </w:r>
      <w:r w:rsidR="009C38D1" w:rsidRPr="00BB42E0">
        <w:rPr>
          <w:rFonts w:eastAsia="Palatino Linotype" w:cs="Palatino Linotype"/>
        </w:rPr>
        <w:t xml:space="preserve">2022, 2023 y del 01 de enero al 31 </w:t>
      </w:r>
      <w:proofErr w:type="spellStart"/>
      <w:r w:rsidR="00220CD2" w:rsidRPr="00BB42E0">
        <w:rPr>
          <w:rFonts w:eastAsia="Palatino Linotype" w:cs="Palatino Linotype"/>
        </w:rPr>
        <w:t>del</w:t>
      </w:r>
      <w:proofErr w:type="spellEnd"/>
      <w:r w:rsidR="009C38D1" w:rsidRPr="00BB42E0">
        <w:rPr>
          <w:rFonts w:eastAsia="Palatino Linotype" w:cs="Palatino Linotype"/>
        </w:rPr>
        <w:t xml:space="preserve"> agosto de 2024. </w:t>
      </w:r>
    </w:p>
    <w:p w14:paraId="2684B04A" w14:textId="77777777" w:rsidR="004D3B27" w:rsidRPr="00BB42E0" w:rsidRDefault="004D3B27" w:rsidP="00BB42E0">
      <w:pPr>
        <w:spacing w:line="240" w:lineRule="auto"/>
        <w:ind w:left="851" w:right="822"/>
        <w:rPr>
          <w:i/>
        </w:rPr>
      </w:pPr>
    </w:p>
    <w:p w14:paraId="4B6BC5D2" w14:textId="356A445A" w:rsidR="004D3B27" w:rsidRPr="00BB42E0" w:rsidRDefault="009C38D1" w:rsidP="00BB42E0">
      <w:pPr>
        <w:spacing w:line="240" w:lineRule="auto"/>
        <w:ind w:left="851" w:right="822"/>
        <w:rPr>
          <w:rFonts w:eastAsia="Calibri" w:cs="Tahoma"/>
          <w:bCs/>
          <w:i/>
          <w:szCs w:val="22"/>
          <w:lang w:eastAsia="en-US"/>
        </w:rPr>
      </w:pPr>
      <w:r w:rsidRPr="00BB42E0">
        <w:rPr>
          <w:rFonts w:eastAsia="Calibri" w:cs="Tahoma"/>
          <w:bCs/>
          <w:i/>
          <w:szCs w:val="22"/>
          <w:lang w:eastAsia="en-US"/>
        </w:rPr>
        <w:t xml:space="preserve">Para </w:t>
      </w:r>
      <w:r w:rsidR="004D3B27" w:rsidRPr="00BB42E0">
        <w:rPr>
          <w:rFonts w:eastAsia="Calibri" w:cs="Tahoma"/>
          <w:bCs/>
          <w:i/>
          <w:szCs w:val="22"/>
          <w:lang w:eastAsia="en-US"/>
        </w:rPr>
        <w:t>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090F950" w14:textId="77777777" w:rsidR="004D3B27" w:rsidRPr="00BB42E0" w:rsidRDefault="004D3B27" w:rsidP="00BB42E0">
      <w:pPr>
        <w:ind w:right="-93"/>
        <w:rPr>
          <w:rFonts w:eastAsia="Calibri" w:cs="Tahoma"/>
          <w:bCs/>
          <w:szCs w:val="22"/>
          <w:lang w:eastAsia="en-US"/>
        </w:rPr>
      </w:pPr>
    </w:p>
    <w:p w14:paraId="54B91461" w14:textId="77777777" w:rsidR="004D3B27" w:rsidRPr="00BB42E0" w:rsidRDefault="004D3B27" w:rsidP="00BB42E0">
      <w:r w:rsidRPr="00BB42E0">
        <w:rPr>
          <w:b/>
          <w:bCs/>
        </w:rPr>
        <w:lastRenderedPageBreak/>
        <w:t>TERCERO.</w:t>
      </w:r>
      <w:r w:rsidRPr="00BB42E0">
        <w:t xml:space="preserve"> </w:t>
      </w:r>
      <w:r w:rsidRPr="00BB42E0">
        <w:rPr>
          <w:rFonts w:eastAsia="Palatino Linotype" w:cs="Palatino Linotype"/>
          <w:b/>
          <w:lang w:eastAsia="es-MX"/>
        </w:rPr>
        <w:t xml:space="preserve">Notifíquese </w:t>
      </w:r>
      <w:r w:rsidRPr="00BB42E0">
        <w:rPr>
          <w:szCs w:val="17"/>
          <w:lang w:eastAsia="es-ES_tradnl"/>
        </w:rPr>
        <w:t xml:space="preserve">vía </w:t>
      </w:r>
      <w:r w:rsidRPr="00BB42E0">
        <w:rPr>
          <w:rFonts w:cs="Arial"/>
        </w:rPr>
        <w:t>Sistema de Acceso a la Información Mexiquense (</w:t>
      </w:r>
      <w:r w:rsidRPr="00BB42E0">
        <w:rPr>
          <w:rFonts w:cs="Arial"/>
          <w:b/>
          <w:bCs/>
        </w:rPr>
        <w:t>SAIMEX)</w:t>
      </w:r>
      <w:r w:rsidRPr="00BB42E0">
        <w:rPr>
          <w:shd w:val="clear" w:color="auto" w:fill="FFFFFF"/>
        </w:rPr>
        <w:t xml:space="preserve"> la presente resolución al Titular de la Unidad de Transparencia del Sujeto Obligado</w:t>
      </w:r>
      <w:r w:rsidRPr="00BB42E0">
        <w:t xml:space="preserve">, para que conforme al artículo 186 último párrafo, 189 segundo párrafo y 194 de la Ley de Transparencia y Acceso a la Información Pública del Estado de México y Municipios, dé cumplimiento a lo ordenado dentro del plazo de </w:t>
      </w:r>
      <w:r w:rsidRPr="00BB42E0">
        <w:rPr>
          <w:b/>
          <w:bCs/>
        </w:rPr>
        <w:t>diez días hábiles</w:t>
      </w:r>
      <w:r w:rsidRPr="00BB42E0">
        <w:t xml:space="preserve">, e informe a este Instituto en un plazo de </w:t>
      </w:r>
      <w:r w:rsidRPr="00BB42E0">
        <w:rPr>
          <w:b/>
          <w:bCs/>
        </w:rPr>
        <w:t>tres días hábiles</w:t>
      </w:r>
      <w:r w:rsidRPr="00BB42E0">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B4FAE6C" w14:textId="77777777" w:rsidR="004D3B27" w:rsidRPr="00BB42E0" w:rsidRDefault="004D3B27" w:rsidP="00BB42E0"/>
    <w:p w14:paraId="1AE33ABB" w14:textId="77777777" w:rsidR="004D3B27" w:rsidRPr="00BB42E0" w:rsidRDefault="004D3B27" w:rsidP="00BB42E0">
      <w:r w:rsidRPr="00BB42E0">
        <w:rPr>
          <w:b/>
          <w:bCs/>
        </w:rPr>
        <w:t>CUARTO.</w:t>
      </w:r>
      <w:r w:rsidRPr="00BB42E0">
        <w:t xml:space="preserve"> Notifíquese a </w:t>
      </w:r>
      <w:r w:rsidRPr="00BB42E0">
        <w:rPr>
          <w:b/>
          <w:bCs/>
        </w:rPr>
        <w:t>LA PARTE RECURRENTE</w:t>
      </w:r>
      <w:r w:rsidRPr="00BB42E0">
        <w:t xml:space="preserve"> la presente resolución vía Sistema de Acceso a la Información Mexiquense (SAIMEX).</w:t>
      </w:r>
    </w:p>
    <w:p w14:paraId="1A50D514" w14:textId="77777777" w:rsidR="004D3B27" w:rsidRPr="00BB42E0" w:rsidRDefault="004D3B27" w:rsidP="00BB42E0"/>
    <w:p w14:paraId="2A0B1C23" w14:textId="77777777" w:rsidR="004D3B27" w:rsidRPr="00BB42E0" w:rsidRDefault="004D3B27" w:rsidP="00BB42E0">
      <w:r w:rsidRPr="00BB42E0">
        <w:rPr>
          <w:b/>
          <w:bCs/>
        </w:rPr>
        <w:t>QUINTO</w:t>
      </w:r>
      <w:r w:rsidRPr="00BB42E0">
        <w:t xml:space="preserve">. Hágase del conocimiento a </w:t>
      </w:r>
      <w:r w:rsidRPr="00BB42E0">
        <w:rPr>
          <w:b/>
          <w:bCs/>
        </w:rPr>
        <w:t>LA PARTE RECURRENTE</w:t>
      </w:r>
      <w:r w:rsidRPr="00BB42E0">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7432337" w14:textId="77777777" w:rsidR="004D3B27" w:rsidRPr="00BB42E0" w:rsidRDefault="004D3B27" w:rsidP="00BB42E0"/>
    <w:p w14:paraId="35AAA6CF" w14:textId="77777777" w:rsidR="004D3B27" w:rsidRPr="00BB42E0" w:rsidRDefault="004D3B27" w:rsidP="00BB42E0">
      <w:r w:rsidRPr="00BB42E0">
        <w:rPr>
          <w:b/>
          <w:bCs/>
        </w:rPr>
        <w:t>SEXTO.</w:t>
      </w:r>
      <w:r w:rsidRPr="00BB42E0">
        <w:t xml:space="preserve"> De conformidad con el artículo 198 de la Ley de Transparencia y Acceso a la Información Pública del Estado de México y Municipios, el </w:t>
      </w:r>
      <w:r w:rsidRPr="00BB42E0">
        <w:rPr>
          <w:b/>
          <w:bCs/>
        </w:rPr>
        <w:t>SUJETO OBLIGADO</w:t>
      </w:r>
      <w:r w:rsidRPr="00BB42E0">
        <w:t xml:space="preserve"> podrá solicitar una ampliación de plazo de manera fundada y motivada, para el cumplimiento de la presente resolución.</w:t>
      </w:r>
    </w:p>
    <w:p w14:paraId="51CB9DA0" w14:textId="77777777" w:rsidR="0018168C" w:rsidRDefault="0018168C" w:rsidP="00BB42E0">
      <w:pPr>
        <w:widowControl w:val="0"/>
        <w:rPr>
          <w:b/>
          <w:bCs/>
        </w:rPr>
      </w:pPr>
    </w:p>
    <w:p w14:paraId="55BD971C" w14:textId="77777777" w:rsidR="00BB42E0" w:rsidRPr="00BB42E0" w:rsidRDefault="00BB42E0" w:rsidP="00BB42E0">
      <w:pPr>
        <w:widowControl w:val="0"/>
        <w:rPr>
          <w:b/>
          <w:bCs/>
        </w:rPr>
      </w:pPr>
    </w:p>
    <w:p w14:paraId="756F1824" w14:textId="2BA8714D" w:rsidR="004D3B27" w:rsidRPr="00BB42E0" w:rsidRDefault="004D3B27" w:rsidP="00BB42E0">
      <w:pPr>
        <w:rPr>
          <w:rFonts w:eastAsia="Palatino Linotype" w:cs="Palatino Linotype"/>
          <w:szCs w:val="22"/>
        </w:rPr>
      </w:pPr>
      <w:r w:rsidRPr="00BB42E0">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09768A">
        <w:rPr>
          <w:rFonts w:eastAsia="Palatino Linotype" w:cs="Palatino Linotype"/>
          <w:szCs w:val="22"/>
        </w:rPr>
        <w:t xml:space="preserve">EMITIENDO VOTO PARTICULAR </w:t>
      </w:r>
      <w:r w:rsidRPr="00BB42E0">
        <w:rPr>
          <w:rFonts w:eastAsia="Palatino Linotype" w:cs="Palatino Linotype"/>
          <w:szCs w:val="22"/>
        </w:rPr>
        <w:t>Y GUADALUPE RAMÍREZ PEÑA</w:t>
      </w:r>
      <w:r w:rsidR="0009768A">
        <w:rPr>
          <w:rFonts w:eastAsia="Palatino Linotype" w:cs="Palatino Linotype"/>
          <w:szCs w:val="22"/>
        </w:rPr>
        <w:t xml:space="preserve"> EMITIENDO VOTO PARTICULAR</w:t>
      </w:r>
      <w:r w:rsidRPr="00BB42E0">
        <w:rPr>
          <w:rFonts w:eastAsia="Palatino Linotype" w:cs="Palatino Linotype"/>
          <w:szCs w:val="22"/>
        </w:rPr>
        <w:t>, EN LA TRIGÉSIMA OCTAVA SESIÓN ORDINARIA, CELEBRADA EL SEIS DE NOVIEMBRE DE DOS MIL VEINTICUATRO, ANTE EL SECRETARIO TÉCNICO DEL PLENO, ALEXIS TAPIA RAMÍREZ.</w:t>
      </w:r>
    </w:p>
    <w:p w14:paraId="5EFEA0CD" w14:textId="484F43CA" w:rsidR="00664420" w:rsidRPr="00BB42E0" w:rsidRDefault="00CE1DFB" w:rsidP="00BB42E0">
      <w:pPr>
        <w:ind w:right="-93"/>
        <w:rPr>
          <w:rFonts w:eastAsia="Calibri" w:cs="Tahoma"/>
          <w:szCs w:val="22"/>
          <w:lang w:val="es-ES"/>
        </w:rPr>
      </w:pPr>
      <w:r w:rsidRPr="00BB42E0">
        <w:rPr>
          <w:rFonts w:eastAsia="Palatino Linotype" w:cs="Palatino Linotype"/>
          <w:sz w:val="20"/>
        </w:rPr>
        <w:t>SCMM/AGZ/DEMF/RPG</w:t>
      </w:r>
    </w:p>
    <w:p w14:paraId="696BC976" w14:textId="77777777" w:rsidR="00664420" w:rsidRPr="00BB42E0" w:rsidRDefault="00664420" w:rsidP="00BB42E0">
      <w:pPr>
        <w:ind w:right="-93"/>
        <w:rPr>
          <w:rFonts w:eastAsia="Calibri" w:cs="Tahoma"/>
          <w:bCs/>
          <w:szCs w:val="22"/>
          <w:lang w:val="es-ES" w:eastAsia="en-US"/>
        </w:rPr>
      </w:pPr>
    </w:p>
    <w:p w14:paraId="671CB0C5" w14:textId="77777777" w:rsidR="00664420" w:rsidRPr="00BB42E0" w:rsidRDefault="00664420" w:rsidP="00BB42E0">
      <w:pPr>
        <w:ind w:right="-93"/>
        <w:rPr>
          <w:rFonts w:eastAsia="Calibri" w:cs="Tahoma"/>
          <w:bCs/>
          <w:szCs w:val="22"/>
          <w:lang w:val="es-ES_tradnl" w:eastAsia="en-US"/>
        </w:rPr>
      </w:pPr>
    </w:p>
    <w:p w14:paraId="52B66DE7" w14:textId="77777777" w:rsidR="00664420" w:rsidRPr="00BB42E0" w:rsidRDefault="00664420" w:rsidP="00BB42E0">
      <w:pPr>
        <w:ind w:right="-93"/>
        <w:rPr>
          <w:rFonts w:eastAsia="Calibri" w:cs="Tahoma"/>
          <w:bCs/>
          <w:szCs w:val="22"/>
          <w:lang w:val="es-ES_tradnl" w:eastAsia="en-US"/>
        </w:rPr>
      </w:pPr>
    </w:p>
    <w:p w14:paraId="3BA305D1" w14:textId="77777777" w:rsidR="00664420" w:rsidRPr="00BB42E0" w:rsidRDefault="00664420" w:rsidP="00BB42E0">
      <w:pPr>
        <w:ind w:right="-93"/>
        <w:rPr>
          <w:rFonts w:eastAsia="Calibri" w:cs="Tahoma"/>
          <w:bCs/>
          <w:szCs w:val="22"/>
          <w:lang w:val="es-ES_tradnl" w:eastAsia="en-US"/>
        </w:rPr>
      </w:pPr>
    </w:p>
    <w:p w14:paraId="78230707" w14:textId="77777777" w:rsidR="00664420" w:rsidRPr="00BB42E0" w:rsidRDefault="00664420" w:rsidP="00BB42E0">
      <w:pPr>
        <w:ind w:right="-93"/>
        <w:rPr>
          <w:rFonts w:eastAsia="Calibri" w:cs="Tahoma"/>
          <w:bCs/>
          <w:szCs w:val="22"/>
          <w:lang w:val="es-ES_tradnl" w:eastAsia="en-US"/>
        </w:rPr>
      </w:pPr>
    </w:p>
    <w:p w14:paraId="72D18B28" w14:textId="77777777" w:rsidR="00664420" w:rsidRPr="00BB42E0" w:rsidRDefault="00664420" w:rsidP="00BB42E0">
      <w:pPr>
        <w:ind w:right="-93"/>
        <w:rPr>
          <w:rFonts w:eastAsia="Calibri" w:cs="Tahoma"/>
          <w:bCs/>
          <w:szCs w:val="22"/>
          <w:lang w:val="es-ES_tradnl" w:eastAsia="en-US"/>
        </w:rPr>
      </w:pPr>
    </w:p>
    <w:p w14:paraId="6BD461DC" w14:textId="77777777" w:rsidR="00664420" w:rsidRPr="00BB42E0" w:rsidRDefault="00664420" w:rsidP="00BB42E0">
      <w:pPr>
        <w:tabs>
          <w:tab w:val="center" w:pos="4568"/>
        </w:tabs>
        <w:ind w:right="-93"/>
        <w:rPr>
          <w:rFonts w:eastAsia="Calibri" w:cs="Tahoma"/>
          <w:bCs/>
          <w:szCs w:val="22"/>
          <w:lang w:eastAsia="en-US"/>
        </w:rPr>
      </w:pPr>
    </w:p>
    <w:p w14:paraId="4DBB1727" w14:textId="77777777" w:rsidR="00664420" w:rsidRPr="00BB42E0" w:rsidRDefault="00664420" w:rsidP="00BB42E0">
      <w:pPr>
        <w:tabs>
          <w:tab w:val="center" w:pos="4568"/>
        </w:tabs>
        <w:ind w:right="-93"/>
        <w:rPr>
          <w:rFonts w:eastAsia="Calibri" w:cs="Tahoma"/>
          <w:bCs/>
          <w:szCs w:val="22"/>
          <w:lang w:eastAsia="en-US"/>
        </w:rPr>
      </w:pPr>
    </w:p>
    <w:p w14:paraId="1D74121B" w14:textId="77777777" w:rsidR="00664420" w:rsidRPr="00BB42E0" w:rsidRDefault="00664420" w:rsidP="00BB42E0">
      <w:pPr>
        <w:tabs>
          <w:tab w:val="center" w:pos="4568"/>
        </w:tabs>
        <w:ind w:right="-93"/>
        <w:rPr>
          <w:rFonts w:eastAsia="Calibri" w:cs="Tahoma"/>
          <w:bCs/>
          <w:szCs w:val="22"/>
          <w:lang w:eastAsia="en-US"/>
        </w:rPr>
      </w:pPr>
    </w:p>
    <w:p w14:paraId="08E74E9C" w14:textId="77777777" w:rsidR="00664420" w:rsidRPr="00BB42E0" w:rsidRDefault="00664420" w:rsidP="00BB42E0">
      <w:pPr>
        <w:tabs>
          <w:tab w:val="center" w:pos="4568"/>
        </w:tabs>
        <w:ind w:right="-93"/>
        <w:rPr>
          <w:rFonts w:eastAsia="Calibri" w:cs="Tahoma"/>
          <w:bCs/>
          <w:szCs w:val="22"/>
          <w:lang w:eastAsia="en-US"/>
        </w:rPr>
      </w:pPr>
    </w:p>
    <w:p w14:paraId="2CBF5E03" w14:textId="77777777" w:rsidR="00664420" w:rsidRPr="00BB42E0" w:rsidRDefault="00664420" w:rsidP="00BB42E0">
      <w:pPr>
        <w:tabs>
          <w:tab w:val="center" w:pos="4568"/>
        </w:tabs>
        <w:ind w:right="-93"/>
        <w:rPr>
          <w:rFonts w:eastAsia="Calibri" w:cs="Tahoma"/>
          <w:bCs/>
          <w:szCs w:val="22"/>
          <w:lang w:eastAsia="en-US"/>
        </w:rPr>
      </w:pPr>
    </w:p>
    <w:p w14:paraId="44865A6D" w14:textId="77777777" w:rsidR="00664420" w:rsidRPr="00BB42E0" w:rsidRDefault="00664420" w:rsidP="00BB42E0">
      <w:pPr>
        <w:tabs>
          <w:tab w:val="center" w:pos="4568"/>
        </w:tabs>
        <w:ind w:right="-93"/>
        <w:rPr>
          <w:rFonts w:eastAsia="Calibri" w:cs="Tahoma"/>
          <w:bCs/>
          <w:szCs w:val="22"/>
          <w:lang w:eastAsia="en-US"/>
        </w:rPr>
      </w:pPr>
    </w:p>
    <w:p w14:paraId="7147F06B" w14:textId="77777777" w:rsidR="00664420" w:rsidRPr="00BB42E0" w:rsidRDefault="00664420" w:rsidP="00BB42E0">
      <w:pPr>
        <w:tabs>
          <w:tab w:val="center" w:pos="4568"/>
        </w:tabs>
        <w:ind w:right="-93"/>
        <w:rPr>
          <w:rFonts w:eastAsia="Calibri" w:cs="Tahoma"/>
          <w:bCs/>
          <w:szCs w:val="22"/>
          <w:lang w:eastAsia="en-US"/>
        </w:rPr>
      </w:pPr>
    </w:p>
    <w:p w14:paraId="6FDF3D7E" w14:textId="77777777" w:rsidR="00664420" w:rsidRPr="00BB42E0" w:rsidRDefault="00664420" w:rsidP="00BB42E0">
      <w:pPr>
        <w:tabs>
          <w:tab w:val="center" w:pos="4568"/>
        </w:tabs>
        <w:ind w:right="-93"/>
        <w:rPr>
          <w:rFonts w:eastAsia="Calibri" w:cs="Tahoma"/>
          <w:bCs/>
          <w:szCs w:val="22"/>
          <w:lang w:eastAsia="en-US"/>
        </w:rPr>
      </w:pPr>
    </w:p>
    <w:p w14:paraId="6246F818" w14:textId="77777777" w:rsidR="00664420" w:rsidRPr="00BB42E0" w:rsidRDefault="00664420" w:rsidP="00BB42E0">
      <w:pPr>
        <w:tabs>
          <w:tab w:val="center" w:pos="4568"/>
        </w:tabs>
        <w:ind w:right="-93"/>
        <w:rPr>
          <w:rFonts w:eastAsia="Calibri" w:cs="Tahoma"/>
          <w:bCs/>
          <w:szCs w:val="22"/>
          <w:lang w:eastAsia="en-US"/>
        </w:rPr>
      </w:pPr>
    </w:p>
    <w:p w14:paraId="57A88B28" w14:textId="77777777" w:rsidR="00664420" w:rsidRPr="00BB42E0" w:rsidRDefault="00664420" w:rsidP="00BB42E0">
      <w:pPr>
        <w:tabs>
          <w:tab w:val="center" w:pos="4568"/>
        </w:tabs>
        <w:ind w:right="-93"/>
        <w:rPr>
          <w:rFonts w:eastAsia="Calibri" w:cs="Tahoma"/>
          <w:bCs/>
          <w:szCs w:val="22"/>
          <w:lang w:eastAsia="en-US"/>
        </w:rPr>
      </w:pPr>
    </w:p>
    <w:p w14:paraId="77EF6095" w14:textId="77777777" w:rsidR="00664420" w:rsidRPr="00BB42E0" w:rsidRDefault="00664420" w:rsidP="00BB42E0">
      <w:pPr>
        <w:tabs>
          <w:tab w:val="center" w:pos="4568"/>
        </w:tabs>
        <w:ind w:right="-93"/>
        <w:rPr>
          <w:rFonts w:eastAsia="Calibri" w:cs="Tahoma"/>
          <w:bCs/>
          <w:szCs w:val="22"/>
          <w:lang w:eastAsia="en-US"/>
        </w:rPr>
      </w:pPr>
    </w:p>
    <w:p w14:paraId="35593947" w14:textId="77777777" w:rsidR="00664420" w:rsidRPr="00BB42E0" w:rsidRDefault="00664420" w:rsidP="00BB42E0">
      <w:pPr>
        <w:tabs>
          <w:tab w:val="center" w:pos="4568"/>
        </w:tabs>
        <w:ind w:right="-93"/>
        <w:rPr>
          <w:rFonts w:eastAsia="Calibri" w:cs="Tahoma"/>
          <w:bCs/>
          <w:szCs w:val="22"/>
          <w:lang w:eastAsia="en-US"/>
        </w:rPr>
      </w:pPr>
    </w:p>
    <w:p w14:paraId="3AF72A17" w14:textId="77777777" w:rsidR="00664420" w:rsidRPr="00BB42E0" w:rsidRDefault="00664420" w:rsidP="00BB42E0">
      <w:pPr>
        <w:tabs>
          <w:tab w:val="center" w:pos="4568"/>
        </w:tabs>
        <w:ind w:right="-93"/>
        <w:rPr>
          <w:rFonts w:eastAsia="Calibri" w:cs="Tahoma"/>
          <w:bCs/>
          <w:szCs w:val="22"/>
          <w:lang w:eastAsia="en-US"/>
        </w:rPr>
      </w:pPr>
    </w:p>
    <w:p w14:paraId="37169144" w14:textId="77777777" w:rsidR="00664420" w:rsidRPr="00BB42E0" w:rsidRDefault="00664420" w:rsidP="00BB42E0">
      <w:pPr>
        <w:tabs>
          <w:tab w:val="center" w:pos="4568"/>
        </w:tabs>
        <w:ind w:right="-93"/>
        <w:rPr>
          <w:rFonts w:eastAsia="Calibri" w:cs="Tahoma"/>
          <w:bCs/>
          <w:szCs w:val="22"/>
          <w:lang w:eastAsia="en-US"/>
        </w:rPr>
      </w:pPr>
    </w:p>
    <w:p w14:paraId="77CFC088" w14:textId="77777777" w:rsidR="00664420" w:rsidRPr="00BB42E0" w:rsidRDefault="00664420" w:rsidP="00BB42E0">
      <w:pPr>
        <w:tabs>
          <w:tab w:val="center" w:pos="4568"/>
        </w:tabs>
        <w:ind w:right="-93"/>
        <w:rPr>
          <w:rFonts w:eastAsia="Calibri" w:cs="Tahoma"/>
          <w:bCs/>
          <w:szCs w:val="22"/>
          <w:lang w:eastAsia="en-US"/>
        </w:rPr>
      </w:pPr>
    </w:p>
    <w:p w14:paraId="781A11A5" w14:textId="77777777" w:rsidR="00664420" w:rsidRPr="00BB42E0" w:rsidRDefault="00664420" w:rsidP="00BB42E0">
      <w:pPr>
        <w:tabs>
          <w:tab w:val="center" w:pos="4568"/>
        </w:tabs>
        <w:ind w:right="-93"/>
        <w:rPr>
          <w:rFonts w:eastAsia="Calibri" w:cs="Tahoma"/>
          <w:bCs/>
          <w:szCs w:val="22"/>
          <w:lang w:eastAsia="en-US"/>
        </w:rPr>
      </w:pPr>
    </w:p>
    <w:p w14:paraId="5B4ADFF3" w14:textId="77777777" w:rsidR="00A131AC" w:rsidRPr="00BB42E0" w:rsidRDefault="00A131AC" w:rsidP="00BB42E0"/>
    <w:sectPr w:rsidR="00A131AC" w:rsidRPr="00BB42E0"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854A7" w14:textId="77777777" w:rsidR="002C318A" w:rsidRDefault="002C318A" w:rsidP="00664420">
      <w:pPr>
        <w:spacing w:line="240" w:lineRule="auto"/>
      </w:pPr>
      <w:r>
        <w:separator/>
      </w:r>
    </w:p>
  </w:endnote>
  <w:endnote w:type="continuationSeparator" w:id="0">
    <w:p w14:paraId="432C45BD" w14:textId="77777777" w:rsidR="002C318A" w:rsidRDefault="002C318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92FE7" w:rsidRDefault="00E92FE7">
    <w:pPr>
      <w:tabs>
        <w:tab w:val="center" w:pos="4550"/>
        <w:tab w:val="left" w:pos="5818"/>
      </w:tabs>
      <w:ind w:right="260"/>
      <w:jc w:val="right"/>
      <w:rPr>
        <w:color w:val="071320" w:themeColor="text2" w:themeShade="80"/>
        <w:sz w:val="24"/>
        <w:szCs w:val="24"/>
      </w:rPr>
    </w:pPr>
  </w:p>
  <w:p w14:paraId="1BCA7F23" w14:textId="77777777" w:rsidR="00E92FE7" w:rsidRDefault="00E92F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92FE7" w:rsidRDefault="00E92FE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36806" w:rsidRPr="00536806">
      <w:rPr>
        <w:noProof/>
        <w:color w:val="0A1D30" w:themeColor="text2" w:themeShade="BF"/>
        <w:lang w:val="es-ES"/>
      </w:rPr>
      <w:t>41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36806" w:rsidRPr="00536806">
      <w:rPr>
        <w:noProof/>
        <w:color w:val="0A1D30" w:themeColor="text2" w:themeShade="BF"/>
        <w:lang w:val="es-ES"/>
      </w:rPr>
      <w:t>44</w:t>
    </w:r>
    <w:r>
      <w:rPr>
        <w:color w:val="0A1D30" w:themeColor="text2" w:themeShade="BF"/>
        <w:sz w:val="24"/>
        <w:szCs w:val="24"/>
      </w:rPr>
      <w:fldChar w:fldCharType="end"/>
    </w:r>
  </w:p>
  <w:p w14:paraId="310E15C0" w14:textId="77777777" w:rsidR="00E92FE7" w:rsidRDefault="00E92F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B66D7" w14:textId="77777777" w:rsidR="002C318A" w:rsidRDefault="002C318A" w:rsidP="00664420">
      <w:pPr>
        <w:spacing w:line="240" w:lineRule="auto"/>
      </w:pPr>
      <w:r>
        <w:separator/>
      </w:r>
    </w:p>
  </w:footnote>
  <w:footnote w:type="continuationSeparator" w:id="0">
    <w:p w14:paraId="16EB92A4" w14:textId="77777777" w:rsidR="002C318A" w:rsidRDefault="002C318A" w:rsidP="00664420">
      <w:pPr>
        <w:spacing w:line="240" w:lineRule="auto"/>
      </w:pPr>
      <w:r>
        <w:continuationSeparator/>
      </w:r>
    </w:p>
  </w:footnote>
  <w:footnote w:id="1">
    <w:p w14:paraId="154A4E0E" w14:textId="695070BB" w:rsidR="00E92FE7" w:rsidRPr="00FE107E" w:rsidRDefault="00E92FE7">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 xml:space="preserve">seis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footnote>
  <w:footnote w:id="2">
    <w:p w14:paraId="7BFCD225" w14:textId="77777777" w:rsidR="00E92FE7" w:rsidRPr="00D4288F" w:rsidRDefault="00E92FE7" w:rsidP="00F602E0">
      <w:pPr>
        <w:pStyle w:val="Textonotapie"/>
        <w:rPr>
          <w:i/>
          <w:sz w:val="18"/>
          <w:szCs w:val="18"/>
        </w:rPr>
      </w:pPr>
      <w:r>
        <w:rPr>
          <w:rStyle w:val="Refdenotaalpie"/>
          <w:rFonts w:eastAsiaTheme="majorEastAsia"/>
        </w:rPr>
        <w:footnoteRef/>
      </w:r>
      <w:r>
        <w:t xml:space="preserve"> </w:t>
      </w:r>
      <w:r w:rsidRPr="00D4288F">
        <w:rPr>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92FE7" w:rsidRPr="00330DA7" w14:paraId="070A4B18" w14:textId="77777777" w:rsidTr="003F35FD">
      <w:trPr>
        <w:trHeight w:val="144"/>
        <w:jc w:val="right"/>
      </w:trPr>
      <w:tc>
        <w:tcPr>
          <w:tcW w:w="2727" w:type="dxa"/>
        </w:tcPr>
        <w:p w14:paraId="62B7493A" w14:textId="77777777" w:rsidR="00E92FE7" w:rsidRPr="00330DA7" w:rsidRDefault="00E92FE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491F144" w:rsidR="00E92FE7" w:rsidRPr="00A90C72" w:rsidRDefault="00E92FE7" w:rsidP="004B326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6027</w:t>
          </w:r>
          <w:r w:rsidRPr="004D0573">
            <w:rPr>
              <w:rFonts w:eastAsia="Calibri" w:cs="Tahoma"/>
              <w:szCs w:val="22"/>
              <w:lang w:eastAsia="en-US"/>
            </w:rPr>
            <w:t>/INFOEM/IP/RR/2024</w:t>
          </w:r>
          <w:r>
            <w:rPr>
              <w:rFonts w:eastAsia="Calibri" w:cs="Tahoma"/>
              <w:szCs w:val="22"/>
              <w:lang w:eastAsia="en-US"/>
            </w:rPr>
            <w:t xml:space="preserve"> y acumulado</w:t>
          </w:r>
        </w:p>
      </w:tc>
    </w:tr>
    <w:tr w:rsidR="00E92FE7" w:rsidRPr="00330DA7" w14:paraId="4521E058" w14:textId="77777777" w:rsidTr="003F35FD">
      <w:trPr>
        <w:trHeight w:val="283"/>
        <w:jc w:val="right"/>
      </w:trPr>
      <w:tc>
        <w:tcPr>
          <w:tcW w:w="2727" w:type="dxa"/>
        </w:tcPr>
        <w:p w14:paraId="0B68C086" w14:textId="77777777" w:rsidR="00E92FE7" w:rsidRPr="00330DA7" w:rsidRDefault="00E92FE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0000DD8" w:rsidR="00E92FE7" w:rsidRPr="00952DD0" w:rsidRDefault="00E92FE7" w:rsidP="00773DD6">
          <w:pPr>
            <w:tabs>
              <w:tab w:val="right" w:pos="8838"/>
            </w:tabs>
            <w:spacing w:line="240" w:lineRule="auto"/>
            <w:ind w:left="-108"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Tezoyuca</w:t>
          </w:r>
        </w:p>
      </w:tc>
    </w:tr>
    <w:tr w:rsidR="00E92FE7" w:rsidRPr="00330DA7" w14:paraId="6331D9B6" w14:textId="77777777" w:rsidTr="003F35FD">
      <w:trPr>
        <w:trHeight w:val="283"/>
        <w:jc w:val="right"/>
      </w:trPr>
      <w:tc>
        <w:tcPr>
          <w:tcW w:w="2727" w:type="dxa"/>
        </w:tcPr>
        <w:p w14:paraId="3FA86BAE" w14:textId="6568823B" w:rsidR="00E92FE7" w:rsidRPr="00330DA7" w:rsidRDefault="00E92FE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92FE7" w:rsidRPr="00EA66FC" w:rsidRDefault="00E92FE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92FE7" w:rsidRPr="00443C6B" w:rsidRDefault="00E92FE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92FE7" w:rsidRPr="00330DA7" w14:paraId="29CFF901" w14:textId="77777777" w:rsidTr="004D0573">
      <w:trPr>
        <w:trHeight w:val="1435"/>
      </w:trPr>
      <w:tc>
        <w:tcPr>
          <w:tcW w:w="283" w:type="dxa"/>
          <w:shd w:val="clear" w:color="auto" w:fill="auto"/>
        </w:tcPr>
        <w:p w14:paraId="046B9F8F" w14:textId="77777777" w:rsidR="00E92FE7" w:rsidRPr="00330DA7" w:rsidRDefault="00E92FE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92FE7" w:rsidRPr="00330DA7" w14:paraId="04F272D2" w14:textId="77777777" w:rsidTr="004D0573">
            <w:trPr>
              <w:trHeight w:val="144"/>
            </w:trPr>
            <w:tc>
              <w:tcPr>
                <w:tcW w:w="2727" w:type="dxa"/>
              </w:tcPr>
              <w:p w14:paraId="2FD4DBF6" w14:textId="5EE5C9C0" w:rsidR="00E92FE7" w:rsidRPr="00330DA7" w:rsidRDefault="00E92FE7" w:rsidP="004D0573">
                <w:pPr>
                  <w:tabs>
                    <w:tab w:val="right" w:pos="8838"/>
                  </w:tabs>
                  <w:spacing w:line="240" w:lineRule="auto"/>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415779D6" w:rsidR="00E92FE7" w:rsidRPr="004D0573" w:rsidRDefault="00E92FE7" w:rsidP="004B326A">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6027</w:t>
                </w:r>
                <w:r w:rsidRPr="004D0573">
                  <w:rPr>
                    <w:rFonts w:eastAsia="Calibri" w:cs="Tahoma"/>
                    <w:szCs w:val="22"/>
                    <w:lang w:eastAsia="en-US"/>
                  </w:rPr>
                  <w:t xml:space="preserve">/INFOEM/IP/RR/2024 </w:t>
                </w:r>
                <w:r>
                  <w:rPr>
                    <w:rFonts w:eastAsia="Calibri" w:cs="Tahoma"/>
                    <w:szCs w:val="22"/>
                    <w:lang w:eastAsia="en-US"/>
                  </w:rPr>
                  <w:t>y acumulado</w:t>
                </w:r>
              </w:p>
            </w:tc>
            <w:tc>
              <w:tcPr>
                <w:tcW w:w="3402" w:type="dxa"/>
              </w:tcPr>
              <w:p w14:paraId="71DEA1CF" w14:textId="77777777" w:rsidR="00E92FE7" w:rsidRDefault="00E92FE7" w:rsidP="004D0573">
                <w:pPr>
                  <w:tabs>
                    <w:tab w:val="right" w:pos="8838"/>
                  </w:tabs>
                  <w:spacing w:line="240" w:lineRule="auto"/>
                  <w:ind w:left="-74" w:right="-105"/>
                  <w:rPr>
                    <w:rFonts w:eastAsia="Calibri" w:cs="Tahoma"/>
                    <w:szCs w:val="22"/>
                    <w:lang w:eastAsia="en-US"/>
                  </w:rPr>
                </w:pPr>
              </w:p>
            </w:tc>
          </w:tr>
          <w:tr w:rsidR="00E92FE7" w:rsidRPr="00330DA7" w14:paraId="05C58951" w14:textId="77777777" w:rsidTr="004D0573">
            <w:trPr>
              <w:trHeight w:val="144"/>
            </w:trPr>
            <w:tc>
              <w:tcPr>
                <w:tcW w:w="2727" w:type="dxa"/>
              </w:tcPr>
              <w:p w14:paraId="642B9610" w14:textId="77777777" w:rsidR="00E92FE7" w:rsidRPr="00330DA7" w:rsidRDefault="00E92FE7" w:rsidP="004D0573">
                <w:pPr>
                  <w:tabs>
                    <w:tab w:val="right" w:pos="8838"/>
                  </w:tabs>
                  <w:spacing w:line="240" w:lineRule="auto"/>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5A22DF53" w:rsidR="00E92FE7" w:rsidRPr="004D0573" w:rsidRDefault="00E92FE7" w:rsidP="004D0573">
                <w:pPr>
                  <w:tabs>
                    <w:tab w:val="right" w:pos="8838"/>
                  </w:tabs>
                  <w:spacing w:line="240" w:lineRule="auto"/>
                  <w:ind w:left="-108" w:right="-105"/>
                  <w:rPr>
                    <w:rFonts w:eastAsia="Calibri" w:cs="Tahoma"/>
                    <w:szCs w:val="22"/>
                    <w:lang w:eastAsia="en-US"/>
                  </w:rPr>
                </w:pPr>
              </w:p>
            </w:tc>
            <w:tc>
              <w:tcPr>
                <w:tcW w:w="3402" w:type="dxa"/>
              </w:tcPr>
              <w:p w14:paraId="73F47F53" w14:textId="77777777" w:rsidR="00E92FE7" w:rsidRPr="005F19B1" w:rsidRDefault="00E92FE7" w:rsidP="004D0573">
                <w:pPr>
                  <w:tabs>
                    <w:tab w:val="left" w:pos="3122"/>
                    <w:tab w:val="right" w:pos="8838"/>
                  </w:tabs>
                  <w:spacing w:line="240" w:lineRule="auto"/>
                  <w:ind w:left="-105" w:right="-105"/>
                  <w:rPr>
                    <w:rFonts w:eastAsia="Calibri" w:cs="Tahoma"/>
                    <w:szCs w:val="22"/>
                    <w:lang w:eastAsia="en-US"/>
                  </w:rPr>
                </w:pPr>
              </w:p>
            </w:tc>
          </w:tr>
          <w:bookmarkEnd w:id="2"/>
          <w:tr w:rsidR="00E92FE7" w:rsidRPr="00330DA7" w14:paraId="00E6CDC1" w14:textId="77777777" w:rsidTr="004D0573">
            <w:trPr>
              <w:trHeight w:val="283"/>
            </w:trPr>
            <w:tc>
              <w:tcPr>
                <w:tcW w:w="2727" w:type="dxa"/>
              </w:tcPr>
              <w:p w14:paraId="0631AD24" w14:textId="77777777" w:rsidR="00E92FE7" w:rsidRPr="00330DA7" w:rsidRDefault="00E92FE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F826C85" w:rsidR="00E92FE7" w:rsidRPr="004D0573" w:rsidRDefault="00E92FE7" w:rsidP="004B326A">
                <w:pPr>
                  <w:tabs>
                    <w:tab w:val="right" w:pos="8838"/>
                  </w:tabs>
                  <w:spacing w:line="240" w:lineRule="auto"/>
                  <w:ind w:left="-74" w:right="-105"/>
                  <w:rPr>
                    <w:rFonts w:eastAsia="Calibri" w:cs="Tahoma"/>
                    <w:szCs w:val="22"/>
                    <w:lang w:eastAsia="en-US"/>
                  </w:rPr>
                </w:pPr>
                <w:r w:rsidRPr="008F2666">
                  <w:rPr>
                    <w:rFonts w:eastAsia="Calibri" w:cs="Tahoma"/>
                    <w:szCs w:val="22"/>
                    <w:lang w:eastAsia="en-US"/>
                  </w:rPr>
                  <w:t xml:space="preserve">Ayuntamiento de </w:t>
                </w:r>
                <w:r>
                  <w:rPr>
                    <w:rFonts w:eastAsia="Calibri" w:cs="Tahoma"/>
                    <w:szCs w:val="22"/>
                    <w:lang w:eastAsia="en-US"/>
                  </w:rPr>
                  <w:t xml:space="preserve">Tezoyuca </w:t>
                </w:r>
              </w:p>
            </w:tc>
            <w:tc>
              <w:tcPr>
                <w:tcW w:w="3402" w:type="dxa"/>
              </w:tcPr>
              <w:p w14:paraId="3A7DA319" w14:textId="77777777" w:rsidR="00E92FE7" w:rsidRPr="00A90C72" w:rsidRDefault="00E92FE7" w:rsidP="004D0573">
                <w:pPr>
                  <w:tabs>
                    <w:tab w:val="left" w:pos="2834"/>
                    <w:tab w:val="right" w:pos="8838"/>
                  </w:tabs>
                  <w:spacing w:line="240" w:lineRule="auto"/>
                  <w:ind w:left="-108" w:right="-105"/>
                  <w:rPr>
                    <w:rFonts w:eastAsia="Calibri" w:cs="Tahoma"/>
                    <w:szCs w:val="22"/>
                    <w:lang w:eastAsia="en-US"/>
                  </w:rPr>
                </w:pPr>
              </w:p>
            </w:tc>
          </w:tr>
          <w:tr w:rsidR="00E92FE7" w:rsidRPr="00330DA7" w14:paraId="0F6CD8D2" w14:textId="77777777" w:rsidTr="004D0573">
            <w:trPr>
              <w:trHeight w:val="283"/>
            </w:trPr>
            <w:tc>
              <w:tcPr>
                <w:tcW w:w="2727" w:type="dxa"/>
              </w:tcPr>
              <w:p w14:paraId="31700628" w14:textId="0565A62A" w:rsidR="00E92FE7" w:rsidRPr="00330DA7" w:rsidRDefault="00E92FE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92FE7" w:rsidRPr="00EA66FC" w:rsidRDefault="00E92FE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92FE7" w:rsidRPr="00330DA7" w:rsidRDefault="00E92FE7" w:rsidP="004D0573">
                <w:pPr>
                  <w:tabs>
                    <w:tab w:val="right" w:pos="8838"/>
                  </w:tabs>
                  <w:spacing w:line="240" w:lineRule="auto"/>
                  <w:ind w:left="-108" w:right="-105"/>
                  <w:rPr>
                    <w:rFonts w:eastAsia="Calibri" w:cs="Tahoma"/>
                    <w:szCs w:val="22"/>
                    <w:lang w:eastAsia="en-US"/>
                  </w:rPr>
                </w:pPr>
              </w:p>
            </w:tc>
          </w:tr>
        </w:tbl>
        <w:p w14:paraId="5DC6AC61" w14:textId="77777777" w:rsidR="00E92FE7" w:rsidRPr="00330DA7" w:rsidRDefault="00E92FE7" w:rsidP="004D0573">
          <w:pPr>
            <w:tabs>
              <w:tab w:val="right" w:pos="8838"/>
            </w:tabs>
            <w:ind w:left="-28"/>
            <w:rPr>
              <w:rFonts w:ascii="Arial" w:eastAsia="Calibri" w:hAnsi="Arial" w:cs="Arial"/>
              <w:b/>
              <w:szCs w:val="22"/>
              <w:lang w:eastAsia="en-US"/>
            </w:rPr>
          </w:pPr>
        </w:p>
      </w:tc>
    </w:tr>
  </w:tbl>
  <w:p w14:paraId="2A906731" w14:textId="77777777" w:rsidR="00E92FE7" w:rsidRPr="00765661" w:rsidRDefault="002C318A"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84E0F"/>
    <w:multiLevelType w:val="hybridMultilevel"/>
    <w:tmpl w:val="B2A26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2C6B48AA"/>
    <w:multiLevelType w:val="hybridMultilevel"/>
    <w:tmpl w:val="C7EA02E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15:restartNumberingAfterBreak="0">
    <w:nsid w:val="398C5E50"/>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6EE6D68"/>
    <w:multiLevelType w:val="hybridMultilevel"/>
    <w:tmpl w:val="EA8A4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F00085"/>
    <w:multiLevelType w:val="hybridMultilevel"/>
    <w:tmpl w:val="0F96319E"/>
    <w:lvl w:ilvl="0" w:tplc="7A64C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41053C"/>
    <w:multiLevelType w:val="hybridMultilevel"/>
    <w:tmpl w:val="FBE07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0C211C"/>
    <w:multiLevelType w:val="multilevel"/>
    <w:tmpl w:val="C616C03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1"/>
  </w:num>
  <w:num w:numId="4">
    <w:abstractNumId w:val="10"/>
  </w:num>
  <w:num w:numId="5">
    <w:abstractNumId w:val="2"/>
  </w:num>
  <w:num w:numId="6">
    <w:abstractNumId w:val="32"/>
  </w:num>
  <w:num w:numId="7">
    <w:abstractNumId w:val="19"/>
  </w:num>
  <w:num w:numId="8">
    <w:abstractNumId w:val="7"/>
  </w:num>
  <w:num w:numId="9">
    <w:abstractNumId w:val="1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0"/>
  </w:num>
  <w:num w:numId="14">
    <w:abstractNumId w:val="6"/>
  </w:num>
  <w:num w:numId="15">
    <w:abstractNumId w:val="20"/>
  </w:num>
  <w:num w:numId="16">
    <w:abstractNumId w:val="29"/>
  </w:num>
  <w:num w:numId="17">
    <w:abstractNumId w:val="27"/>
  </w:num>
  <w:num w:numId="18">
    <w:abstractNumId w:val="4"/>
  </w:num>
  <w:num w:numId="19">
    <w:abstractNumId w:val="3"/>
  </w:num>
  <w:num w:numId="20">
    <w:abstractNumId w:val="33"/>
  </w:num>
  <w:num w:numId="21">
    <w:abstractNumId w:val="5"/>
  </w:num>
  <w:num w:numId="22">
    <w:abstractNumId w:val="23"/>
  </w:num>
  <w:num w:numId="23">
    <w:abstractNumId w:val="30"/>
  </w:num>
  <w:num w:numId="24">
    <w:abstractNumId w:val="11"/>
  </w:num>
  <w:num w:numId="25">
    <w:abstractNumId w:val="9"/>
  </w:num>
  <w:num w:numId="26">
    <w:abstractNumId w:val="24"/>
  </w:num>
  <w:num w:numId="27">
    <w:abstractNumId w:val="17"/>
  </w:num>
  <w:num w:numId="28">
    <w:abstractNumId w:val="15"/>
  </w:num>
  <w:num w:numId="29">
    <w:abstractNumId w:val="8"/>
  </w:num>
  <w:num w:numId="30">
    <w:abstractNumId w:val="25"/>
  </w:num>
  <w:num w:numId="31">
    <w:abstractNumId w:val="28"/>
  </w:num>
  <w:num w:numId="32">
    <w:abstractNumId w:val="14"/>
  </w:num>
  <w:num w:numId="33">
    <w:abstractNumId w:val="1"/>
  </w:num>
  <w:num w:numId="34">
    <w:abstractNumId w:val="26"/>
  </w:num>
  <w:num w:numId="35">
    <w:abstractNumId w:val="2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A12"/>
    <w:rsid w:val="0002620C"/>
    <w:rsid w:val="000318BC"/>
    <w:rsid w:val="00057B2D"/>
    <w:rsid w:val="00062C7C"/>
    <w:rsid w:val="00065518"/>
    <w:rsid w:val="00075A17"/>
    <w:rsid w:val="000777E2"/>
    <w:rsid w:val="00080071"/>
    <w:rsid w:val="0009768A"/>
    <w:rsid w:val="000D0D67"/>
    <w:rsid w:val="000E09C4"/>
    <w:rsid w:val="000F7466"/>
    <w:rsid w:val="0011350D"/>
    <w:rsid w:val="00120950"/>
    <w:rsid w:val="00127130"/>
    <w:rsid w:val="00135056"/>
    <w:rsid w:val="00141876"/>
    <w:rsid w:val="0014207B"/>
    <w:rsid w:val="00150C49"/>
    <w:rsid w:val="0018168C"/>
    <w:rsid w:val="00191E95"/>
    <w:rsid w:val="00196571"/>
    <w:rsid w:val="001A58B3"/>
    <w:rsid w:val="001C6BE2"/>
    <w:rsid w:val="001C7688"/>
    <w:rsid w:val="001D56CC"/>
    <w:rsid w:val="001E0CFD"/>
    <w:rsid w:val="001F3515"/>
    <w:rsid w:val="002015AE"/>
    <w:rsid w:val="00220CD2"/>
    <w:rsid w:val="00233005"/>
    <w:rsid w:val="00233F17"/>
    <w:rsid w:val="00237120"/>
    <w:rsid w:val="00245D19"/>
    <w:rsid w:val="00276F7D"/>
    <w:rsid w:val="0029275B"/>
    <w:rsid w:val="002958FA"/>
    <w:rsid w:val="002961A6"/>
    <w:rsid w:val="0029641C"/>
    <w:rsid w:val="002A3601"/>
    <w:rsid w:val="002B1D44"/>
    <w:rsid w:val="002B7C6F"/>
    <w:rsid w:val="002C318A"/>
    <w:rsid w:val="002D111C"/>
    <w:rsid w:val="002D3F44"/>
    <w:rsid w:val="002F6393"/>
    <w:rsid w:val="00302476"/>
    <w:rsid w:val="00331F35"/>
    <w:rsid w:val="00335CDF"/>
    <w:rsid w:val="00362A11"/>
    <w:rsid w:val="00366439"/>
    <w:rsid w:val="00380554"/>
    <w:rsid w:val="003A40C1"/>
    <w:rsid w:val="003B0255"/>
    <w:rsid w:val="003B5D3E"/>
    <w:rsid w:val="003F35FD"/>
    <w:rsid w:val="003F52DA"/>
    <w:rsid w:val="0041385B"/>
    <w:rsid w:val="00416357"/>
    <w:rsid w:val="0042595F"/>
    <w:rsid w:val="00441BFA"/>
    <w:rsid w:val="00454FBD"/>
    <w:rsid w:val="004565C2"/>
    <w:rsid w:val="00491201"/>
    <w:rsid w:val="004B326A"/>
    <w:rsid w:val="004C43D3"/>
    <w:rsid w:val="004D0573"/>
    <w:rsid w:val="004D3B27"/>
    <w:rsid w:val="004D7CD8"/>
    <w:rsid w:val="004E5068"/>
    <w:rsid w:val="004F4DD8"/>
    <w:rsid w:val="004F7A00"/>
    <w:rsid w:val="00523E60"/>
    <w:rsid w:val="00523F48"/>
    <w:rsid w:val="005365FA"/>
    <w:rsid w:val="00536806"/>
    <w:rsid w:val="00550AB5"/>
    <w:rsid w:val="0055624C"/>
    <w:rsid w:val="005654F8"/>
    <w:rsid w:val="005723CB"/>
    <w:rsid w:val="00575400"/>
    <w:rsid w:val="00591A20"/>
    <w:rsid w:val="005B18AF"/>
    <w:rsid w:val="005D5A50"/>
    <w:rsid w:val="005F5301"/>
    <w:rsid w:val="005F65B7"/>
    <w:rsid w:val="006067C7"/>
    <w:rsid w:val="006159AD"/>
    <w:rsid w:val="00626E9D"/>
    <w:rsid w:val="006414F2"/>
    <w:rsid w:val="00645515"/>
    <w:rsid w:val="00646436"/>
    <w:rsid w:val="00657603"/>
    <w:rsid w:val="00664420"/>
    <w:rsid w:val="0068301E"/>
    <w:rsid w:val="006A646A"/>
    <w:rsid w:val="006B10B0"/>
    <w:rsid w:val="006E13CF"/>
    <w:rsid w:val="006E25BC"/>
    <w:rsid w:val="006E6BBC"/>
    <w:rsid w:val="006F7768"/>
    <w:rsid w:val="007019CA"/>
    <w:rsid w:val="00717E59"/>
    <w:rsid w:val="007517BD"/>
    <w:rsid w:val="0075751F"/>
    <w:rsid w:val="00773DD6"/>
    <w:rsid w:val="00775BFC"/>
    <w:rsid w:val="00790EB8"/>
    <w:rsid w:val="00794BA5"/>
    <w:rsid w:val="007A2B8D"/>
    <w:rsid w:val="007A3459"/>
    <w:rsid w:val="007A7050"/>
    <w:rsid w:val="007B3B86"/>
    <w:rsid w:val="007B4B4C"/>
    <w:rsid w:val="007B6074"/>
    <w:rsid w:val="007D1C55"/>
    <w:rsid w:val="007D1C84"/>
    <w:rsid w:val="007D317F"/>
    <w:rsid w:val="007E07E1"/>
    <w:rsid w:val="007F5D06"/>
    <w:rsid w:val="00805A6E"/>
    <w:rsid w:val="00811211"/>
    <w:rsid w:val="00823BA5"/>
    <w:rsid w:val="00826C28"/>
    <w:rsid w:val="00831728"/>
    <w:rsid w:val="00864CC1"/>
    <w:rsid w:val="00865CF4"/>
    <w:rsid w:val="00876DBC"/>
    <w:rsid w:val="00892F72"/>
    <w:rsid w:val="008A6003"/>
    <w:rsid w:val="008A6F88"/>
    <w:rsid w:val="008B1E16"/>
    <w:rsid w:val="008E1316"/>
    <w:rsid w:val="008E6224"/>
    <w:rsid w:val="008F2666"/>
    <w:rsid w:val="0090431B"/>
    <w:rsid w:val="00910FD2"/>
    <w:rsid w:val="00931437"/>
    <w:rsid w:val="00936B5A"/>
    <w:rsid w:val="00953430"/>
    <w:rsid w:val="00970EB3"/>
    <w:rsid w:val="00976247"/>
    <w:rsid w:val="00993ED0"/>
    <w:rsid w:val="009977C3"/>
    <w:rsid w:val="009A05A8"/>
    <w:rsid w:val="009A2D78"/>
    <w:rsid w:val="009A6920"/>
    <w:rsid w:val="009A7C10"/>
    <w:rsid w:val="009B2945"/>
    <w:rsid w:val="009C38D1"/>
    <w:rsid w:val="009D5576"/>
    <w:rsid w:val="009E2DEE"/>
    <w:rsid w:val="009F797C"/>
    <w:rsid w:val="00A131AC"/>
    <w:rsid w:val="00A16D85"/>
    <w:rsid w:val="00A21A20"/>
    <w:rsid w:val="00A35DA7"/>
    <w:rsid w:val="00A36A99"/>
    <w:rsid w:val="00A53315"/>
    <w:rsid w:val="00A63966"/>
    <w:rsid w:val="00A70EF0"/>
    <w:rsid w:val="00A76102"/>
    <w:rsid w:val="00A815EA"/>
    <w:rsid w:val="00A9208D"/>
    <w:rsid w:val="00AA6EA9"/>
    <w:rsid w:val="00AC2DB8"/>
    <w:rsid w:val="00AC3CA0"/>
    <w:rsid w:val="00AE3DA7"/>
    <w:rsid w:val="00AE5AEF"/>
    <w:rsid w:val="00AF03C4"/>
    <w:rsid w:val="00B22A80"/>
    <w:rsid w:val="00B36848"/>
    <w:rsid w:val="00B568AC"/>
    <w:rsid w:val="00B65555"/>
    <w:rsid w:val="00BA1AB6"/>
    <w:rsid w:val="00BA55A8"/>
    <w:rsid w:val="00BB2ABF"/>
    <w:rsid w:val="00BB42E0"/>
    <w:rsid w:val="00BB64F4"/>
    <w:rsid w:val="00BD2738"/>
    <w:rsid w:val="00BD3F4F"/>
    <w:rsid w:val="00BD5A7C"/>
    <w:rsid w:val="00BE7A1B"/>
    <w:rsid w:val="00BE7BFA"/>
    <w:rsid w:val="00BF0221"/>
    <w:rsid w:val="00BF091A"/>
    <w:rsid w:val="00BF4EAD"/>
    <w:rsid w:val="00C049E2"/>
    <w:rsid w:val="00C36795"/>
    <w:rsid w:val="00C43BF2"/>
    <w:rsid w:val="00C461EC"/>
    <w:rsid w:val="00C507D4"/>
    <w:rsid w:val="00C71CEF"/>
    <w:rsid w:val="00C72DAA"/>
    <w:rsid w:val="00C80B14"/>
    <w:rsid w:val="00CA50B3"/>
    <w:rsid w:val="00CB7C31"/>
    <w:rsid w:val="00CB7E9A"/>
    <w:rsid w:val="00CD0B92"/>
    <w:rsid w:val="00CD3244"/>
    <w:rsid w:val="00CE1DFB"/>
    <w:rsid w:val="00CE29D3"/>
    <w:rsid w:val="00CE2F67"/>
    <w:rsid w:val="00CF2D8B"/>
    <w:rsid w:val="00CF7586"/>
    <w:rsid w:val="00CF7F0C"/>
    <w:rsid w:val="00D036D3"/>
    <w:rsid w:val="00D07C17"/>
    <w:rsid w:val="00D2790D"/>
    <w:rsid w:val="00D44B43"/>
    <w:rsid w:val="00D51B13"/>
    <w:rsid w:val="00D51ECD"/>
    <w:rsid w:val="00D5461D"/>
    <w:rsid w:val="00D6170E"/>
    <w:rsid w:val="00D6468B"/>
    <w:rsid w:val="00D91CB4"/>
    <w:rsid w:val="00DB1C09"/>
    <w:rsid w:val="00DB67C9"/>
    <w:rsid w:val="00DE1133"/>
    <w:rsid w:val="00DF4E89"/>
    <w:rsid w:val="00E10C48"/>
    <w:rsid w:val="00E11AA0"/>
    <w:rsid w:val="00E16BF5"/>
    <w:rsid w:val="00E37A3F"/>
    <w:rsid w:val="00E37D3C"/>
    <w:rsid w:val="00E62E6A"/>
    <w:rsid w:val="00E73A29"/>
    <w:rsid w:val="00E83EF5"/>
    <w:rsid w:val="00E92FE7"/>
    <w:rsid w:val="00E9335C"/>
    <w:rsid w:val="00ED1C1E"/>
    <w:rsid w:val="00EE2AF2"/>
    <w:rsid w:val="00F07EE6"/>
    <w:rsid w:val="00F33CC8"/>
    <w:rsid w:val="00F4481C"/>
    <w:rsid w:val="00F45902"/>
    <w:rsid w:val="00F54F05"/>
    <w:rsid w:val="00F602E0"/>
    <w:rsid w:val="00F71829"/>
    <w:rsid w:val="00F75D23"/>
    <w:rsid w:val="00F82035"/>
    <w:rsid w:val="00FA5957"/>
    <w:rsid w:val="00FA69D4"/>
    <w:rsid w:val="00FC3CE0"/>
    <w:rsid w:val="00FD06A8"/>
    <w:rsid w:val="00FE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8C"/>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Citas">
    <w:name w:val="Citas"/>
    <w:basedOn w:val="Normal"/>
    <w:qFormat/>
    <w:rsid w:val="001D56CC"/>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6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9404">
      <w:bodyDiv w:val="1"/>
      <w:marLeft w:val="0"/>
      <w:marRight w:val="0"/>
      <w:marTop w:val="0"/>
      <w:marBottom w:val="0"/>
      <w:divBdr>
        <w:top w:val="none" w:sz="0" w:space="0" w:color="auto"/>
        <w:left w:val="none" w:sz="0" w:space="0" w:color="auto"/>
        <w:bottom w:val="none" w:sz="0" w:space="0" w:color="auto"/>
        <w:right w:val="none" w:sz="0" w:space="0" w:color="auto"/>
      </w:divBdr>
    </w:div>
    <w:div w:id="10481617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25731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96313882">
      <w:bodyDiv w:val="1"/>
      <w:marLeft w:val="0"/>
      <w:marRight w:val="0"/>
      <w:marTop w:val="0"/>
      <w:marBottom w:val="0"/>
      <w:divBdr>
        <w:top w:val="none" w:sz="0" w:space="0" w:color="auto"/>
        <w:left w:val="none" w:sz="0" w:space="0" w:color="auto"/>
        <w:bottom w:val="none" w:sz="0" w:space="0" w:color="auto"/>
        <w:right w:val="none" w:sz="0" w:space="0" w:color="auto"/>
      </w:divBdr>
      <w:divsChild>
        <w:div w:id="682244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retariadoejecutivo.gob.mx/work/models/SecretariadoEjecutivo/Resource/328/1/images/instructivo_final_edo_fuerza(1).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anterior.ine.mx/archivos2/tutoriales/sistemas/ApoyoInstitucional/SIF/docs/candidatos/folioFiscalFactu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B22516C-20E3-4870-BA23-5B4DF72C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12240</Words>
  <Characters>67324</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8</cp:revision>
  <cp:lastPrinted>2024-11-07T18:24:00Z</cp:lastPrinted>
  <dcterms:created xsi:type="dcterms:W3CDTF">2024-11-04T23:59:00Z</dcterms:created>
  <dcterms:modified xsi:type="dcterms:W3CDTF">2024-11-07T18:25:00Z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