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72E" w:rsidRDefault="00BE472E">
      <w:pPr>
        <w:widowControl w:val="0"/>
        <w:pBdr>
          <w:top w:val="nil"/>
          <w:left w:val="nil"/>
          <w:bottom w:val="nil"/>
          <w:right w:val="nil"/>
          <w:between w:val="nil"/>
        </w:pBdr>
        <w:spacing w:line="276" w:lineRule="auto"/>
      </w:pPr>
    </w:p>
    <w:p w:rsidR="00BE472E" w:rsidRDefault="00BE472E">
      <w:pPr>
        <w:tabs>
          <w:tab w:val="left" w:pos="3465"/>
        </w:tabs>
        <w:spacing w:line="360" w:lineRule="auto"/>
        <w:jc w:val="both"/>
        <w:rPr>
          <w:rFonts w:ascii="Palatino Linotype" w:eastAsia="Palatino Linotype" w:hAnsi="Palatino Linotype" w:cs="Palatino Linotype"/>
        </w:rPr>
      </w:pPr>
    </w:p>
    <w:p w:rsidR="00BE472E" w:rsidRDefault="00287457">
      <w:pPr>
        <w:tabs>
          <w:tab w:val="left" w:pos="3465"/>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diecinueve (19) de septiembre de dos mil veinticuatro.</w:t>
      </w:r>
    </w:p>
    <w:p w:rsidR="00BE472E" w:rsidRDefault="00BE472E">
      <w:pPr>
        <w:tabs>
          <w:tab w:val="left" w:pos="3465"/>
        </w:tabs>
        <w:spacing w:line="360" w:lineRule="auto"/>
        <w:jc w:val="both"/>
        <w:rPr>
          <w:rFonts w:ascii="Palatino Linotype" w:eastAsia="Palatino Linotype" w:hAnsi="Palatino Linotype" w:cs="Palatino Linotype"/>
        </w:rPr>
      </w:pPr>
    </w:p>
    <w:p w:rsidR="00BE472E" w:rsidRDefault="00287457">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 xml:space="preserve">02288/INFOEM/IP/RR/2024, </w:t>
      </w:r>
      <w:r>
        <w:rPr>
          <w:rFonts w:ascii="Palatino Linotype" w:eastAsia="Palatino Linotype" w:hAnsi="Palatino Linotype" w:cs="Palatino Linotype"/>
        </w:rPr>
        <w:t xml:space="preserve">promovido por una persona que no registró nombre alguno, a quien en lo sucesivo se le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del </w:t>
      </w:r>
      <w:r>
        <w:rPr>
          <w:rFonts w:ascii="Palatino Linotype" w:eastAsia="Palatino Linotype" w:hAnsi="Palatino Linotype" w:cs="Palatino Linotype"/>
          <w:b/>
        </w:rPr>
        <w:t xml:space="preserve">Ayuntamiento de </w:t>
      </w:r>
      <w:r w:rsidR="0069043F">
        <w:rPr>
          <w:rFonts w:ascii="Palatino Linotype" w:eastAsia="Palatino Linotype" w:hAnsi="Palatino Linotype" w:cs="Palatino Linotype"/>
          <w:b/>
        </w:rPr>
        <w:t>Tlalnepantla</w:t>
      </w:r>
      <w:r>
        <w:rPr>
          <w:rFonts w:ascii="Palatino Linotype" w:eastAsia="Palatino Linotype" w:hAnsi="Palatino Linotype" w:cs="Palatino Linotype"/>
          <w:b/>
        </w:rPr>
        <w:t xml:space="preserve"> De Baz</w:t>
      </w:r>
      <w:r>
        <w:rPr>
          <w:rFonts w:ascii="Palatino Linotype" w:eastAsia="Palatino Linotype" w:hAnsi="Palatino Linotype" w:cs="Palatino Linotype"/>
          <w:b/>
          <w:color w:val="000000"/>
          <w:sz w:val="22"/>
          <w:szCs w:val="22"/>
        </w:rPr>
        <w:t>,</w:t>
      </w:r>
      <w:r>
        <w:rPr>
          <w:rFonts w:ascii="Palatino Linotype" w:eastAsia="Palatino Linotype" w:hAnsi="Palatino Linotype" w:cs="Palatino Linotype"/>
          <w:b/>
        </w:rPr>
        <w:t xml:space="preserve"> </w:t>
      </w:r>
      <w:r>
        <w:rPr>
          <w:rFonts w:ascii="Palatino Linotype" w:eastAsia="Palatino Linotype" w:hAnsi="Palatino Linotype" w:cs="Palatino Linotype"/>
        </w:rPr>
        <w:t>en adelante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se procede a dictar la presente resolución, con base en los siguientes:</w:t>
      </w:r>
    </w:p>
    <w:p w:rsidR="00BE472E" w:rsidRDefault="00BE472E">
      <w:pPr>
        <w:spacing w:line="360" w:lineRule="auto"/>
        <w:jc w:val="both"/>
        <w:rPr>
          <w:rFonts w:ascii="Palatino Linotype" w:eastAsia="Palatino Linotype" w:hAnsi="Palatino Linotype" w:cs="Palatino Linotype"/>
          <w:b/>
        </w:rPr>
      </w:pPr>
    </w:p>
    <w:p w:rsidR="00BE472E" w:rsidRDefault="00287457">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ANTECEDENTES</w:t>
      </w:r>
    </w:p>
    <w:p w:rsidR="00BE472E" w:rsidRDefault="00BE472E"/>
    <w:p w:rsidR="00BE472E" w:rsidRDefault="00287457">
      <w:pPr>
        <w:numPr>
          <w:ilvl w:val="0"/>
          <w:numId w:val="6"/>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rPr>
        <w:t xml:space="preserve">El día </w:t>
      </w:r>
      <w:r>
        <w:rPr>
          <w:rFonts w:ascii="Palatino Linotype" w:eastAsia="Palatino Linotype" w:hAnsi="Palatino Linotype" w:cs="Palatino Linotype"/>
          <w:b/>
          <w:color w:val="000000"/>
        </w:rPr>
        <w:t>tres de abril de dos mil veinticuatro</w:t>
      </w:r>
      <w:r>
        <w:rPr>
          <w:rFonts w:ascii="Palatino Linotype" w:eastAsia="Palatino Linotype" w:hAnsi="Palatino Linotype" w:cs="Palatino Linotype"/>
          <w:color w:val="000000"/>
        </w:rPr>
        <w:t xml:space="preserve">, se presentó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SAIMEX, la solicitud de información pública registrada con el número  </w:t>
      </w:r>
      <w:r>
        <w:rPr>
          <w:rFonts w:ascii="Palatino Linotype" w:eastAsia="Palatino Linotype" w:hAnsi="Palatino Linotype" w:cs="Palatino Linotype"/>
          <w:b/>
          <w:color w:val="000000"/>
        </w:rPr>
        <w:t>00393/TLALNEPA/IP/2024</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en la que</w:t>
      </w:r>
      <w:r>
        <w:rPr>
          <w:rFonts w:ascii="Palatino Linotype" w:eastAsia="Palatino Linotype" w:hAnsi="Palatino Linotype" w:cs="Palatino Linotype"/>
          <w:color w:val="000000"/>
        </w:rPr>
        <w:t xml:space="preserve"> se solicitó la siguiente información:</w:t>
      </w:r>
    </w:p>
    <w:p w:rsidR="00BE472E" w:rsidRDefault="00BE472E">
      <w:pPr>
        <w:pBdr>
          <w:top w:val="nil"/>
          <w:left w:val="nil"/>
          <w:bottom w:val="nil"/>
          <w:right w:val="nil"/>
          <w:between w:val="nil"/>
        </w:pBdr>
        <w:tabs>
          <w:tab w:val="left" w:pos="0"/>
        </w:tabs>
        <w:ind w:right="49"/>
        <w:jc w:val="both"/>
        <w:rPr>
          <w:rFonts w:ascii="Palatino Linotype" w:eastAsia="Palatino Linotype" w:hAnsi="Palatino Linotype" w:cs="Palatino Linotype"/>
          <w:i/>
          <w:color w:val="000000"/>
          <w:sz w:val="22"/>
          <w:szCs w:val="22"/>
        </w:rPr>
      </w:pPr>
    </w:p>
    <w:p w:rsidR="00BE472E" w:rsidRDefault="00287457">
      <w:pPr>
        <w:pBdr>
          <w:top w:val="nil"/>
          <w:left w:val="nil"/>
          <w:bottom w:val="nil"/>
          <w:right w:val="nil"/>
          <w:between w:val="nil"/>
        </w:pBdr>
        <w:ind w:left="1134" w:right="90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“Solicito a cuánto asciende los subsidios en multas, recargos y accesorios derivados de créditos fiscales otorgados por la Tesorería Municipal en el ejercicio fiscal 2021. (Sic)</w:t>
      </w:r>
    </w:p>
    <w:p w:rsidR="00BE472E" w:rsidRDefault="00BE472E">
      <w:pPr>
        <w:pBdr>
          <w:top w:val="nil"/>
          <w:left w:val="nil"/>
          <w:bottom w:val="nil"/>
          <w:right w:val="nil"/>
          <w:between w:val="nil"/>
        </w:pBdr>
        <w:ind w:left="1134" w:right="900"/>
        <w:jc w:val="both"/>
        <w:rPr>
          <w:rFonts w:ascii="Palatino Linotype" w:eastAsia="Palatino Linotype" w:hAnsi="Palatino Linotype" w:cs="Palatino Linotype"/>
          <w:color w:val="000000"/>
        </w:rPr>
      </w:pPr>
    </w:p>
    <w:p w:rsidR="00BE472E" w:rsidRDefault="00287457">
      <w:pPr>
        <w:numPr>
          <w:ilvl w:val="0"/>
          <w:numId w:val="7"/>
        </w:numPr>
        <w:pBdr>
          <w:top w:val="nil"/>
          <w:left w:val="nil"/>
          <w:bottom w:val="nil"/>
          <w:right w:val="nil"/>
          <w:between w:val="nil"/>
        </w:pBdr>
        <w:spacing w:line="360" w:lineRule="auto"/>
        <w:ind w:left="851" w:right="47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eligió como modalidad de entrega de la información: A través del </w:t>
      </w:r>
      <w:r>
        <w:rPr>
          <w:rFonts w:ascii="Palatino Linotype" w:eastAsia="Palatino Linotype" w:hAnsi="Palatino Linotype" w:cs="Palatino Linotype"/>
          <w:b/>
          <w:color w:val="000000"/>
        </w:rPr>
        <w:t>SAIMEX.</w:t>
      </w:r>
    </w:p>
    <w:p w:rsidR="00BE472E" w:rsidRDefault="00BE472E">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rsidR="00BE472E" w:rsidRDefault="00287457">
      <w:pPr>
        <w:numPr>
          <w:ilvl w:val="0"/>
          <w:numId w:val="6"/>
        </w:num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lastRenderedPageBreak/>
        <w:t>En fecha diecisiete de abril de dos mil veinticuatro, se realizó un requerimiento al servidor público habilitado.</w:t>
      </w:r>
    </w:p>
    <w:p w:rsidR="00BE472E" w:rsidRDefault="00BE472E">
      <w:pPr>
        <w:pBdr>
          <w:top w:val="nil"/>
          <w:left w:val="nil"/>
          <w:bottom w:val="nil"/>
          <w:right w:val="nil"/>
          <w:between w:val="nil"/>
        </w:pBdr>
        <w:spacing w:line="360" w:lineRule="auto"/>
        <w:ind w:left="360"/>
        <w:jc w:val="both"/>
        <w:rPr>
          <w:rFonts w:ascii="Palatino Linotype" w:eastAsia="Palatino Linotype" w:hAnsi="Palatino Linotype" w:cs="Palatino Linotype"/>
        </w:rPr>
      </w:pPr>
    </w:p>
    <w:p w:rsidR="00BE472E" w:rsidRDefault="00287457">
      <w:pPr>
        <w:numPr>
          <w:ilvl w:val="0"/>
          <w:numId w:val="6"/>
        </w:num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En fecha diecisiete de abril de dos mil veinticuatro, el Sujeto Obligado dio respuesta a la solicitud de información, en los siguientes términos.</w:t>
      </w:r>
    </w:p>
    <w:p w:rsidR="00BE472E" w:rsidRDefault="00BE472E">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sz w:val="22"/>
          <w:szCs w:val="22"/>
        </w:rPr>
      </w:pPr>
    </w:p>
    <w:p w:rsidR="00BE472E" w:rsidRDefault="00287457">
      <w:pPr>
        <w:pBdr>
          <w:top w:val="nil"/>
          <w:left w:val="nil"/>
          <w:bottom w:val="nil"/>
          <w:right w:val="nil"/>
          <w:between w:val="nil"/>
        </w:pBdr>
        <w:spacing w:line="360" w:lineRule="auto"/>
        <w:ind w:left="36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BE472E" w:rsidRDefault="00287457">
      <w:pPr>
        <w:pBdr>
          <w:top w:val="nil"/>
          <w:left w:val="nil"/>
          <w:bottom w:val="nil"/>
          <w:right w:val="nil"/>
          <w:between w:val="nil"/>
        </w:pBdr>
        <w:spacing w:line="360" w:lineRule="auto"/>
        <w:ind w:left="36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ENVIO ARCHIVO CON RESPUESTA A LA SOLICITUD CON NUMERO DE FOLIO 00393/TLALNEPA/IP/2024</w:t>
      </w:r>
    </w:p>
    <w:p w:rsidR="00BE472E" w:rsidRDefault="00287457">
      <w:pPr>
        <w:pBdr>
          <w:top w:val="nil"/>
          <w:left w:val="nil"/>
          <w:bottom w:val="nil"/>
          <w:right w:val="nil"/>
          <w:between w:val="nil"/>
        </w:pBdr>
        <w:spacing w:line="360" w:lineRule="auto"/>
        <w:ind w:left="36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ATENTAMENTE</w:t>
      </w:r>
    </w:p>
    <w:p w:rsidR="00BE472E" w:rsidRDefault="00287457">
      <w:pPr>
        <w:pBdr>
          <w:top w:val="nil"/>
          <w:left w:val="nil"/>
          <w:bottom w:val="nil"/>
          <w:right w:val="nil"/>
          <w:between w:val="nil"/>
        </w:pBdr>
        <w:spacing w:line="360" w:lineRule="auto"/>
        <w:ind w:left="36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D.A.P. SALVADOR ALEJANDRO SALDÍVAR VÉLEZ</w:t>
      </w:r>
    </w:p>
    <w:p w:rsidR="00BE472E" w:rsidRDefault="00BE472E">
      <w:pPr>
        <w:pBdr>
          <w:top w:val="nil"/>
          <w:left w:val="nil"/>
          <w:bottom w:val="nil"/>
          <w:right w:val="nil"/>
          <w:between w:val="nil"/>
        </w:pBdr>
        <w:spacing w:line="360" w:lineRule="auto"/>
        <w:ind w:left="360"/>
        <w:jc w:val="both"/>
        <w:rPr>
          <w:rFonts w:ascii="Palatino Linotype" w:eastAsia="Palatino Linotype" w:hAnsi="Palatino Linotype" w:cs="Palatino Linotype"/>
          <w:i/>
          <w:color w:val="000000"/>
          <w:sz w:val="22"/>
          <w:szCs w:val="22"/>
        </w:rPr>
      </w:pPr>
    </w:p>
    <w:p w:rsidR="00BE472E" w:rsidRDefault="00287457">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 su respuesta adjunto el siguiente archivo electrónico.</w:t>
      </w:r>
    </w:p>
    <w:p w:rsidR="00BE472E" w:rsidRDefault="00BE472E">
      <w:pPr>
        <w:pBdr>
          <w:top w:val="nil"/>
          <w:left w:val="nil"/>
          <w:bottom w:val="nil"/>
          <w:right w:val="nil"/>
          <w:between w:val="nil"/>
        </w:pBdr>
        <w:spacing w:line="360" w:lineRule="auto"/>
        <w:ind w:left="360"/>
        <w:jc w:val="both"/>
        <w:rPr>
          <w:rFonts w:eastAsia="Calibri"/>
          <w:color w:val="000000"/>
          <w:sz w:val="22"/>
          <w:szCs w:val="22"/>
        </w:rPr>
      </w:pPr>
    </w:p>
    <w:p w:rsidR="00BE472E" w:rsidRDefault="00287457">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RESPUESTA SAIMEX 00393.zip.</w:t>
      </w:r>
    </w:p>
    <w:p w:rsidR="00BE472E" w:rsidRDefault="00287457">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Contiene 37 fojas con el  Presupuesto Basado en Resultados Municipal, Estado Comparativo Presupuestal de Egresos, correspondientes cada uno del 01 al 31 de diciembre de 2021.</w:t>
      </w:r>
    </w:p>
    <w:p w:rsidR="00BE472E" w:rsidRDefault="00287457">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Oficio suscrito por C.P RICARDO CONTRERAS VELAZQUEZ TESORERO MUNICIPAL dirigido al TITULAR DE LA UNIDAD DE TRANSPARENCIA Y ACCESO A LA INFORMACIÓN PUBLICA MUNICIPAL, mediante el cual le informa, que  envía copia simple de la respuesta proporcionada por el MTRO. ALEJANDRO MENDEZ GUTIÉRREZ en su carácter de Subtesorero de Egresos, </w:t>
      </w:r>
      <w:r>
        <w:rPr>
          <w:rFonts w:ascii="Palatino Linotype" w:eastAsia="Palatino Linotype" w:hAnsi="Palatino Linotype" w:cs="Palatino Linotype"/>
          <w:color w:val="000000"/>
          <w:sz w:val="22"/>
          <w:szCs w:val="22"/>
        </w:rPr>
        <w:lastRenderedPageBreak/>
        <w:t>dependiente de esta Tesorería, los anexos en medio electrónicos que consta del comparativo de egresos.</w:t>
      </w:r>
    </w:p>
    <w:p w:rsidR="00BE472E" w:rsidRDefault="00287457">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bookmarkStart w:id="1" w:name="_heading=h.30j0zll" w:colFirst="0" w:colLast="0"/>
      <w:bookmarkEnd w:id="1"/>
      <w:r>
        <w:rPr>
          <w:rFonts w:ascii="Palatino Linotype" w:eastAsia="Palatino Linotype" w:hAnsi="Palatino Linotype" w:cs="Palatino Linotype"/>
          <w:color w:val="000000"/>
          <w:sz w:val="22"/>
          <w:szCs w:val="22"/>
        </w:rPr>
        <w:t>Oficio suscrito por SUBTESORERO DE EGRESOS dirigido al SERVIDOR PUBLICO HABILITADO EN MATERIA DE TRANSPARENCIA DE LA TESORERIA MUNICIPAL, Mediante el cual le informa que envía en medio magnético el comparativo de egresos donde puede visualizar la información solicitada.</w:t>
      </w:r>
    </w:p>
    <w:p w:rsidR="00BE472E" w:rsidRDefault="00BE472E">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rsidR="00BE472E" w:rsidRDefault="00287457">
      <w:pPr>
        <w:numPr>
          <w:ilvl w:val="0"/>
          <w:numId w:val="6"/>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veintiséis de abril de dos mil veinticuatro</w:t>
      </w:r>
      <w:r>
        <w:rPr>
          <w:rFonts w:ascii="Palatino Linotype" w:eastAsia="Palatino Linotype" w:hAnsi="Palatino Linotype" w:cs="Palatino Linotype"/>
          <w:color w:val="000000"/>
        </w:rPr>
        <w:t>, el particular interpuso el recurso de revisión en contra de la respuesta, manifestando las siguientes razones o motivos de inconformidad:</w:t>
      </w:r>
    </w:p>
    <w:p w:rsidR="00BE472E" w:rsidRDefault="00287457">
      <w:pPr>
        <w:numPr>
          <w:ilvl w:val="0"/>
          <w:numId w:val="7"/>
        </w:numPr>
        <w:pBdr>
          <w:top w:val="nil"/>
          <w:left w:val="nil"/>
          <w:bottom w:val="nil"/>
          <w:right w:val="nil"/>
          <w:between w:val="nil"/>
        </w:pBdr>
        <w:ind w:right="629"/>
        <w:jc w:val="both"/>
        <w:rPr>
          <w:rFonts w:ascii="Palatino Linotype" w:eastAsia="Palatino Linotype" w:hAnsi="Palatino Linotype" w:cs="Palatino Linotype"/>
          <w:i/>
          <w:color w:val="000000"/>
          <w:sz w:val="22"/>
          <w:szCs w:val="22"/>
        </w:rPr>
      </w:pPr>
      <w:bookmarkStart w:id="2" w:name="_heading=h.1fob9te" w:colFirst="0" w:colLast="0"/>
      <w:bookmarkEnd w:id="2"/>
      <w:r>
        <w:rPr>
          <w:rFonts w:ascii="Palatino Linotype" w:eastAsia="Palatino Linotype" w:hAnsi="Palatino Linotype" w:cs="Palatino Linotype"/>
          <w:b/>
          <w:color w:val="000000"/>
          <w:sz w:val="22"/>
          <w:szCs w:val="22"/>
        </w:rPr>
        <w:t>Acto impugnado:</w:t>
      </w:r>
      <w:r>
        <w:rPr>
          <w:rFonts w:ascii="Palatino Linotype" w:eastAsia="Palatino Linotype" w:hAnsi="Palatino Linotype" w:cs="Palatino Linotype"/>
          <w:b/>
          <w:i/>
          <w:color w:val="000000"/>
          <w:sz w:val="22"/>
          <w:szCs w:val="22"/>
        </w:rPr>
        <w:t xml:space="preserve"> </w:t>
      </w:r>
      <w:r>
        <w:rPr>
          <w:rFonts w:ascii="Palatino Linotype" w:eastAsia="Palatino Linotype" w:hAnsi="Palatino Linotype" w:cs="Palatino Linotype"/>
          <w:i/>
          <w:color w:val="000000"/>
          <w:sz w:val="22"/>
          <w:szCs w:val="22"/>
        </w:rPr>
        <w:t xml:space="preserve">“se niega entregar conforme a lo </w:t>
      </w:r>
      <w:proofErr w:type="spellStart"/>
      <w:r>
        <w:rPr>
          <w:rFonts w:ascii="Palatino Linotype" w:eastAsia="Palatino Linotype" w:hAnsi="Palatino Linotype" w:cs="Palatino Linotype"/>
          <w:i/>
          <w:color w:val="000000"/>
          <w:sz w:val="22"/>
          <w:szCs w:val="22"/>
        </w:rPr>
        <w:t>solicitgado</w:t>
      </w:r>
      <w:proofErr w:type="spellEnd"/>
      <w:r>
        <w:rPr>
          <w:rFonts w:ascii="Palatino Linotype" w:eastAsia="Palatino Linotype" w:hAnsi="Palatino Linotype" w:cs="Palatino Linotype"/>
          <w:i/>
          <w:color w:val="000000"/>
          <w:sz w:val="22"/>
          <w:szCs w:val="22"/>
        </w:rPr>
        <w:t>.”(Sic)</w:t>
      </w:r>
    </w:p>
    <w:p w:rsidR="00BE472E" w:rsidRDefault="00287457">
      <w:pPr>
        <w:numPr>
          <w:ilvl w:val="0"/>
          <w:numId w:val="7"/>
        </w:numPr>
        <w:pBdr>
          <w:top w:val="nil"/>
          <w:left w:val="nil"/>
          <w:bottom w:val="nil"/>
          <w:right w:val="nil"/>
          <w:between w:val="nil"/>
        </w:pBdr>
        <w:ind w:right="629"/>
        <w:jc w:val="both"/>
        <w:rPr>
          <w:rFonts w:ascii="Palatino Linotype" w:eastAsia="Palatino Linotype" w:hAnsi="Palatino Linotype" w:cs="Palatino Linotype"/>
          <w:i/>
          <w:color w:val="000000"/>
          <w:sz w:val="22"/>
          <w:szCs w:val="22"/>
        </w:rPr>
      </w:pPr>
      <w:bookmarkStart w:id="3" w:name="_heading=h.3znysh7" w:colFirst="0" w:colLast="0"/>
      <w:bookmarkEnd w:id="3"/>
      <w:r>
        <w:rPr>
          <w:rFonts w:ascii="Palatino Linotype" w:eastAsia="Palatino Linotype" w:hAnsi="Palatino Linotype" w:cs="Palatino Linotype"/>
          <w:b/>
          <w:color w:val="000000"/>
          <w:sz w:val="22"/>
          <w:szCs w:val="22"/>
        </w:rPr>
        <w:t xml:space="preserve">Razones o Motivos de inconformidad: </w:t>
      </w:r>
      <w:r>
        <w:rPr>
          <w:rFonts w:ascii="Palatino Linotype" w:eastAsia="Palatino Linotype" w:hAnsi="Palatino Linotype" w:cs="Palatino Linotype"/>
          <w:i/>
          <w:color w:val="000000"/>
          <w:sz w:val="22"/>
          <w:szCs w:val="22"/>
        </w:rPr>
        <w:t xml:space="preserve">“se me niega entregar la </w:t>
      </w:r>
      <w:proofErr w:type="spellStart"/>
      <w:r>
        <w:rPr>
          <w:rFonts w:ascii="Palatino Linotype" w:eastAsia="Palatino Linotype" w:hAnsi="Palatino Linotype" w:cs="Palatino Linotype"/>
          <w:i/>
          <w:color w:val="000000"/>
          <w:sz w:val="22"/>
          <w:szCs w:val="22"/>
        </w:rPr>
        <w:t>informacion</w:t>
      </w:r>
      <w:proofErr w:type="spellEnd"/>
      <w:r>
        <w:rPr>
          <w:rFonts w:ascii="Palatino Linotype" w:eastAsia="Palatino Linotype" w:hAnsi="Palatino Linotype" w:cs="Palatino Linotype"/>
          <w:i/>
          <w:color w:val="000000"/>
          <w:sz w:val="22"/>
          <w:szCs w:val="22"/>
        </w:rPr>
        <w:t>” (Sic)</w:t>
      </w:r>
    </w:p>
    <w:p w:rsidR="00BE472E" w:rsidRDefault="00BE472E">
      <w:pPr>
        <w:pBdr>
          <w:top w:val="nil"/>
          <w:left w:val="nil"/>
          <w:bottom w:val="nil"/>
          <w:right w:val="nil"/>
          <w:between w:val="nil"/>
        </w:pBdr>
        <w:ind w:left="720"/>
        <w:rPr>
          <w:rFonts w:ascii="Palatino Linotype" w:eastAsia="Palatino Linotype" w:hAnsi="Palatino Linotype" w:cs="Palatino Linotype"/>
          <w:i/>
          <w:color w:val="000000"/>
        </w:rPr>
      </w:pPr>
    </w:p>
    <w:p w:rsidR="00BE472E" w:rsidRDefault="00BE472E">
      <w:pPr>
        <w:spacing w:line="360" w:lineRule="auto"/>
        <w:rPr>
          <w:rFonts w:ascii="Palatino Linotype" w:eastAsia="Palatino Linotype" w:hAnsi="Palatino Linotype" w:cs="Palatino Linotype"/>
          <w:i/>
          <w:color w:val="000000"/>
        </w:rPr>
      </w:pPr>
    </w:p>
    <w:p w:rsidR="00BE472E" w:rsidRDefault="00287457">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w:t>
      </w:r>
      <w:r>
        <w:rPr>
          <w:rFonts w:ascii="Palatino Linotype" w:eastAsia="Palatino Linotype" w:hAnsi="Palatino Linotype" w:cs="Palatino Linotype"/>
          <w:b/>
          <w:color w:val="000000"/>
        </w:rPr>
        <w:t>tres de mayo de dos mil veinticuatro,</w:t>
      </w:r>
      <w:r>
        <w:rPr>
          <w:rFonts w:ascii="Palatino Linotype" w:eastAsia="Palatino Linotype" w:hAnsi="Palatino Linotype" w:cs="Palatino Linotype"/>
          <w:color w:val="000000"/>
        </w:rPr>
        <w:t xml:space="preserve"> puso a disposición de las partes el expediente electrónico vía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su derecho conviniera,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 los casos concretos, y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presentará</w:t>
      </w:r>
      <w:r>
        <w:rPr>
          <w:rFonts w:ascii="Palatino Linotype" w:eastAsia="Palatino Linotype" w:hAnsi="Palatino Linotype" w:cs="Palatino Linotype"/>
          <w:color w:val="000000"/>
        </w:rPr>
        <w:t xml:space="preserve"> el Informe Justificado procedente.</w:t>
      </w:r>
    </w:p>
    <w:p w:rsidR="00BE472E" w:rsidRDefault="00BE472E">
      <w:pPr>
        <w:pBdr>
          <w:top w:val="nil"/>
          <w:left w:val="nil"/>
          <w:bottom w:val="nil"/>
          <w:right w:val="nil"/>
          <w:between w:val="nil"/>
        </w:pBdr>
        <w:spacing w:line="360" w:lineRule="auto"/>
        <w:ind w:left="360"/>
        <w:jc w:val="both"/>
        <w:rPr>
          <w:rFonts w:ascii="Palatino Linotype" w:eastAsia="Palatino Linotype" w:hAnsi="Palatino Linotype" w:cs="Palatino Linotype"/>
        </w:rPr>
      </w:pPr>
    </w:p>
    <w:p w:rsidR="00BE472E" w:rsidRDefault="00287457">
      <w:pPr>
        <w:numPr>
          <w:ilvl w:val="0"/>
          <w:numId w:val="6"/>
        </w:numPr>
        <w:spacing w:line="360" w:lineRule="auto"/>
        <w:ind w:left="0" w:firstLine="0"/>
        <w:jc w:val="both"/>
      </w:pPr>
      <w:r>
        <w:rPr>
          <w:rFonts w:ascii="Palatino Linotype" w:eastAsia="Palatino Linotype" w:hAnsi="Palatino Linotype" w:cs="Palatino Linotype"/>
        </w:rPr>
        <w:t xml:space="preserve">En fecha nueve de mayo de dos mil veinticuatro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 rindió su Informe Justificado a través del siguiente archivo electrónico.</w:t>
      </w:r>
    </w:p>
    <w:p w:rsidR="00BE472E" w:rsidRDefault="00BE472E">
      <w:pPr>
        <w:spacing w:line="360" w:lineRule="auto"/>
        <w:jc w:val="both"/>
        <w:rPr>
          <w:rFonts w:ascii="Palatino Linotype" w:eastAsia="Palatino Linotype" w:hAnsi="Palatino Linotype" w:cs="Palatino Linotype"/>
        </w:rPr>
      </w:pPr>
    </w:p>
    <w:p w:rsidR="00BE472E" w:rsidRDefault="00287457">
      <w:pPr>
        <w:pBdr>
          <w:top w:val="nil"/>
          <w:left w:val="nil"/>
          <w:bottom w:val="nil"/>
          <w:right w:val="nil"/>
          <w:between w:val="nil"/>
        </w:pBdr>
        <w:ind w:left="70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 xml:space="preserve">MANIFESTACIONES ZIP: </w:t>
      </w:r>
      <w:r>
        <w:rPr>
          <w:rFonts w:ascii="Palatino Linotype" w:eastAsia="Palatino Linotype" w:hAnsi="Palatino Linotype" w:cs="Palatino Linotype"/>
          <w:color w:val="000000"/>
          <w:sz w:val="22"/>
          <w:szCs w:val="22"/>
        </w:rPr>
        <w:t>Contiene:</w:t>
      </w:r>
    </w:p>
    <w:p w:rsidR="00BE472E" w:rsidRDefault="00BE472E">
      <w:pPr>
        <w:pBdr>
          <w:top w:val="nil"/>
          <w:left w:val="nil"/>
          <w:bottom w:val="nil"/>
          <w:right w:val="nil"/>
          <w:between w:val="nil"/>
        </w:pBdr>
        <w:ind w:left="705"/>
        <w:jc w:val="both"/>
        <w:rPr>
          <w:rFonts w:ascii="Palatino Linotype" w:eastAsia="Palatino Linotype" w:hAnsi="Palatino Linotype" w:cs="Palatino Linotype"/>
          <w:color w:val="000000"/>
          <w:sz w:val="22"/>
          <w:szCs w:val="22"/>
        </w:rPr>
      </w:pPr>
    </w:p>
    <w:p w:rsidR="00BE472E" w:rsidRDefault="00287457">
      <w:pPr>
        <w:numPr>
          <w:ilvl w:val="0"/>
          <w:numId w:val="2"/>
        </w:numPr>
        <w:pBdr>
          <w:top w:val="nil"/>
          <w:left w:val="nil"/>
          <w:bottom w:val="nil"/>
          <w:right w:val="nil"/>
          <w:between w:val="nil"/>
        </w:pBdr>
        <w:spacing w:before="240"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37 fojas con el  Presupuesto Basado en Resultados Municipal, Estado Comparativo Presupuestal de Egresos, correspondientes cada uno del 01 al 31 de diciembre de 2021.</w:t>
      </w:r>
    </w:p>
    <w:p w:rsidR="00BE472E" w:rsidRDefault="00287457">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suscrito por el Tesorero Municipal dirigido al Titular de la Unidad de Transparencia y Acceso a la Información Pública Municipal, mediante el cual RATIFICA su respuesta enviada en donde se envió el “comparativo de egresos” donde se puede visualizar la información solicitada.</w:t>
      </w:r>
    </w:p>
    <w:p w:rsidR="00BE472E" w:rsidRDefault="00287457">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suscrito por SUBTESORERO DE EGRESOS dirigido al SERVIDOR PUBLICO HABILOITADO EN MATERIA DE TRANSPARENCIA DE LA TESORERIA MUNICIPAL, Mediante el cual le informa que envía en medio magnético el comparativo de egresos donde puede visualizar la información solicitada.</w:t>
      </w:r>
    </w:p>
    <w:p w:rsidR="00BE472E" w:rsidRDefault="00287457">
      <w:pPr>
        <w:numPr>
          <w:ilvl w:val="0"/>
          <w:numId w:val="2"/>
        </w:numPr>
        <w:pBdr>
          <w:top w:val="nil"/>
          <w:left w:val="nil"/>
          <w:bottom w:val="nil"/>
          <w:right w:val="nil"/>
          <w:between w:val="nil"/>
        </w:pBdr>
        <w:spacing w:after="240"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suscrito por C.P RICARDO CONTRERAS VELAZQUEZ TESORERO MUNICIPAL dirigido al TITULAR DE LA UNIDAD DE TRANSPARENCIA Y ACCESO A LA INFORMACIÓN PUBLICA MUNICIPAL, mediante el cual le informa, que  envía copia simple de la respuesta proporcionada por el MTRO. ALEJANDRO MENDEZ GUTIÉRREZ en su carácter de Subtesorero de Egresos, dependiente de esta Tesorería, los anexos en medio electrónicos que consta del comparativo de egresos.</w:t>
      </w:r>
    </w:p>
    <w:p w:rsidR="00BE472E" w:rsidRDefault="00BE472E">
      <w:pPr>
        <w:jc w:val="both"/>
        <w:rPr>
          <w:rFonts w:ascii="Palatino Linotype" w:eastAsia="Palatino Linotype" w:hAnsi="Palatino Linotype" w:cs="Palatino Linotype"/>
        </w:rPr>
      </w:pPr>
    </w:p>
    <w:p w:rsidR="00BE472E" w:rsidRDefault="00287457">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PARTICULAR </w:t>
      </w:r>
      <w:r w:rsidR="00981895">
        <w:rPr>
          <w:rFonts w:ascii="Palatino Linotype" w:eastAsia="Palatino Linotype" w:hAnsi="Palatino Linotype" w:cs="Palatino Linotype"/>
          <w:color w:val="000000"/>
        </w:rPr>
        <w:t xml:space="preserve">dejó </w:t>
      </w:r>
      <w:r>
        <w:rPr>
          <w:rFonts w:ascii="Palatino Linotype" w:eastAsia="Palatino Linotype" w:hAnsi="Palatino Linotype" w:cs="Palatino Linotype"/>
          <w:color w:val="000000"/>
        </w:rPr>
        <w:t xml:space="preserve">de realizar manifestaciones que a su derecho conviniera y asistiera. </w:t>
      </w:r>
    </w:p>
    <w:p w:rsidR="00BE472E" w:rsidRDefault="00BE472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BE472E" w:rsidRDefault="00287457">
      <w:pPr>
        <w:numPr>
          <w:ilvl w:val="0"/>
          <w:numId w:val="6"/>
        </w:num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En fecha once de junio de dos mil veinticuatro, se amplió el término para resolver; al respecto es menester realizar las siguientes precisiones</w:t>
      </w:r>
    </w:p>
    <w:p w:rsidR="00BE472E" w:rsidRDefault="00BE472E">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rsidR="00BE472E" w:rsidRDefault="00287457">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rsidR="00BE472E" w:rsidRDefault="00BE472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BE472E" w:rsidRDefault="00287457">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BE472E" w:rsidRDefault="00BE472E">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BE472E" w:rsidRDefault="00287457">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BE472E" w:rsidRDefault="00BE472E">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BE472E" w:rsidRDefault="00287457">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BE472E" w:rsidRDefault="00BE472E">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BE472E" w:rsidRDefault="00287457">
      <w:pPr>
        <w:numPr>
          <w:ilvl w:val="0"/>
          <w:numId w:val="6"/>
        </w:num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BE472E" w:rsidRDefault="00287457">
      <w:pPr>
        <w:numPr>
          <w:ilvl w:val="0"/>
          <w:numId w:val="8"/>
        </w:numPr>
        <w:pBdr>
          <w:top w:val="nil"/>
          <w:left w:val="nil"/>
          <w:bottom w:val="nil"/>
          <w:right w:val="nil"/>
          <w:between w:val="nil"/>
        </w:pBdr>
        <w:spacing w:line="360" w:lineRule="auto"/>
        <w:ind w:right="48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BE472E" w:rsidRDefault="00287457">
      <w:pPr>
        <w:numPr>
          <w:ilvl w:val="0"/>
          <w:numId w:val="8"/>
        </w:numPr>
        <w:pBdr>
          <w:top w:val="nil"/>
          <w:left w:val="nil"/>
          <w:bottom w:val="nil"/>
          <w:right w:val="nil"/>
          <w:between w:val="nil"/>
        </w:pBdr>
        <w:spacing w:line="360" w:lineRule="auto"/>
        <w:ind w:right="48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rsidR="00BE472E" w:rsidRDefault="00287457">
      <w:pPr>
        <w:numPr>
          <w:ilvl w:val="0"/>
          <w:numId w:val="8"/>
        </w:numPr>
        <w:pBdr>
          <w:top w:val="nil"/>
          <w:left w:val="nil"/>
          <w:bottom w:val="nil"/>
          <w:right w:val="nil"/>
          <w:between w:val="nil"/>
        </w:pBdr>
        <w:spacing w:line="360" w:lineRule="auto"/>
        <w:ind w:right="48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BE472E" w:rsidRDefault="00287457">
      <w:pPr>
        <w:spacing w:line="360" w:lineRule="auto"/>
        <w:ind w:left="851" w:right="487"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rsidR="00BE472E" w:rsidRDefault="00BE472E">
      <w:pPr>
        <w:spacing w:line="360" w:lineRule="auto"/>
        <w:ind w:left="851" w:hanging="284"/>
        <w:jc w:val="both"/>
        <w:rPr>
          <w:rFonts w:ascii="Palatino Linotype" w:eastAsia="Palatino Linotype" w:hAnsi="Palatino Linotype" w:cs="Palatino Linotype"/>
        </w:rPr>
      </w:pPr>
    </w:p>
    <w:p w:rsidR="00BE472E" w:rsidRDefault="00287457">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BE472E" w:rsidRDefault="00BE472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BE472E" w:rsidRDefault="00287457">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Argumento que encuentra sustento en la jurisprudencia P</w:t>
      </w:r>
      <w:proofErr w:type="gramStart"/>
      <w:r>
        <w:rPr>
          <w:rFonts w:ascii="Palatino Linotype" w:eastAsia="Palatino Linotype" w:hAnsi="Palatino Linotype" w:cs="Palatino Linotype"/>
          <w:color w:val="000000"/>
        </w:rPr>
        <w:t>./</w:t>
      </w:r>
      <w:proofErr w:type="gramEnd"/>
      <w:r>
        <w:rPr>
          <w:rFonts w:ascii="Palatino Linotype" w:eastAsia="Palatino Linotype" w:hAnsi="Palatino Linotype" w:cs="Palatino Linotype"/>
          <w:color w:val="000000"/>
        </w:rPr>
        <w:t xml:space="preserve">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 xml:space="preserve">“TÉRMINOS PROCESALES. PARA DETERMINAR SI UN FUNCIONARIO JUDICIAL ACTUÓ </w:t>
      </w:r>
      <w:r>
        <w:rPr>
          <w:rFonts w:ascii="Palatino Linotype" w:eastAsia="Palatino Linotype" w:hAnsi="Palatino Linotype" w:cs="Palatino Linotype"/>
          <w:color w:val="000000"/>
        </w:rPr>
        <w:t>INDEBIDAMENTE</w:t>
      </w:r>
      <w:r>
        <w:rPr>
          <w:rFonts w:ascii="Palatino Linotype" w:eastAsia="Palatino Linotype" w:hAnsi="Palatino Linotype" w:cs="Palatino Linotype"/>
          <w:i/>
          <w:color w:val="000000"/>
        </w:rPr>
        <w:t xml:space="preserve"> POR NO RESPETARLOS SE DEBE ATENDER AL PRESUPUESTO QUE CONSIDERÓ EL LEGISLADOR AL FIJARLOS Y LAS </w:t>
      </w:r>
      <w:r>
        <w:rPr>
          <w:rFonts w:ascii="Palatino Linotype" w:eastAsia="Palatino Linotype" w:hAnsi="Palatino Linotype" w:cs="Palatino Linotype"/>
          <w:i/>
          <w:color w:val="000000"/>
        </w:rPr>
        <w:lastRenderedPageBreak/>
        <w:t>CARACTERÍSTICAS DEL CASO.”</w:t>
      </w:r>
      <w:r>
        <w:rPr>
          <w:rFonts w:ascii="Palatino Linotype" w:eastAsia="Palatino Linotype" w:hAnsi="Palatino Linotype" w:cs="Palatino Linotype"/>
          <w:color w:val="000000"/>
        </w:rPr>
        <w:t xml:space="preserve">,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rsidR="00BE472E" w:rsidRDefault="00BE472E">
      <w:pPr>
        <w:spacing w:line="360" w:lineRule="auto"/>
        <w:jc w:val="both"/>
        <w:rPr>
          <w:rFonts w:ascii="Palatino Linotype" w:eastAsia="Palatino Linotype" w:hAnsi="Palatino Linotype" w:cs="Palatino Linotype"/>
        </w:rPr>
      </w:pPr>
    </w:p>
    <w:p w:rsidR="00BE472E" w:rsidRDefault="00287457">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BE472E" w:rsidRDefault="00BE472E">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BE472E" w:rsidRDefault="00287457">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rsidR="00BE472E" w:rsidRDefault="00BE472E">
      <w:pPr>
        <w:spacing w:line="360" w:lineRule="auto"/>
        <w:jc w:val="both"/>
        <w:rPr>
          <w:rFonts w:ascii="Palatino Linotype" w:eastAsia="Palatino Linotype" w:hAnsi="Palatino Linotype" w:cs="Palatino Linotype"/>
        </w:rPr>
      </w:pPr>
    </w:p>
    <w:p w:rsidR="00BE472E" w:rsidRDefault="00287457">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BE472E" w:rsidRDefault="00BE472E">
      <w:pPr>
        <w:spacing w:line="360" w:lineRule="auto"/>
        <w:jc w:val="both"/>
        <w:rPr>
          <w:rFonts w:ascii="Palatino Linotype" w:eastAsia="Palatino Linotype" w:hAnsi="Palatino Linotype" w:cs="Palatino Linotype"/>
        </w:rPr>
      </w:pPr>
    </w:p>
    <w:p w:rsidR="00BE472E" w:rsidRDefault="00287457">
      <w:pPr>
        <w:spacing w:line="360" w:lineRule="auto"/>
        <w:ind w:left="425" w:right="47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“PLAZO RAZONABLE PARA RESOLVER. DIMENSIÓN Y EFECTOS DE ESTE CONCEPTO CUANDO SE ADUCE EXCESIVA CARGA DE TRABAJO.”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sz w:val="22"/>
          <w:szCs w:val="22"/>
        </w:rPr>
        <w:lastRenderedPageBreak/>
        <w:t>consultable en el Seminario Judicial de la Federación y su gaceta, con el registro digital 2002351.</w:t>
      </w:r>
    </w:p>
    <w:p w:rsidR="00BE472E" w:rsidRDefault="00BE472E">
      <w:pPr>
        <w:spacing w:line="360" w:lineRule="auto"/>
        <w:ind w:left="425" w:right="476"/>
        <w:jc w:val="both"/>
        <w:rPr>
          <w:rFonts w:ascii="Palatino Linotype" w:eastAsia="Palatino Linotype" w:hAnsi="Palatino Linotype" w:cs="Palatino Linotype"/>
          <w:b/>
          <w:sz w:val="22"/>
          <w:szCs w:val="22"/>
        </w:rPr>
      </w:pPr>
    </w:p>
    <w:p w:rsidR="00BE472E" w:rsidRDefault="00287457">
      <w:pPr>
        <w:spacing w:line="360" w:lineRule="auto"/>
        <w:ind w:left="425" w:right="47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Pr>
          <w:rFonts w:ascii="Palatino Linotype" w:eastAsia="Palatino Linotype" w:hAnsi="Palatino Linotype" w:cs="Palatino Linotype"/>
          <w:sz w:val="22"/>
          <w:szCs w:val="22"/>
        </w:rPr>
        <w:t>, visible en el Seminario Judicial de la Federación y su gaceta, con el registro digital 2002350.”</w:t>
      </w:r>
    </w:p>
    <w:p w:rsidR="00BE472E" w:rsidRDefault="00BE472E">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BE472E" w:rsidRDefault="00287457">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4" w:name="_heading=h.2et92p0" w:colFirst="0" w:colLast="0"/>
      <w:bookmarkEnd w:id="4"/>
      <w:r>
        <w:rPr>
          <w:rFonts w:ascii="Palatino Linotype" w:eastAsia="Palatino Linotype" w:hAnsi="Palatino Linotype" w:cs="Palatino Linotype"/>
          <w:color w:val="000000"/>
        </w:rPr>
        <w:t>Seguidamente, mediante acuerdo de fecha once de septiembre de dos mil veinticuatro se decretó el cierre de instrucción, por lo que no habiendo más que hacer constar, y----------------------------------------------------------------------------------</w:t>
      </w:r>
      <w:r>
        <w:rPr>
          <w:rFonts w:ascii="Palatino Linotype" w:eastAsia="Palatino Linotype" w:hAnsi="Palatino Linotype" w:cs="Palatino Linotype"/>
        </w:rPr>
        <w:t>-------</w:t>
      </w:r>
    </w:p>
    <w:p w:rsidR="00BE472E" w:rsidRDefault="00BE472E">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BE472E" w:rsidRDefault="00BE472E">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BE472E" w:rsidRDefault="00287457">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 O N S I D E R A N D O</w:t>
      </w:r>
    </w:p>
    <w:p w:rsidR="00BE472E" w:rsidRDefault="00BE472E">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BE472E" w:rsidRDefault="00287457">
      <w:pPr>
        <w:pStyle w:val="Ttulo2"/>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t>PRIMERO. De la competencia</w:t>
      </w:r>
    </w:p>
    <w:p w:rsidR="00BE472E" w:rsidRDefault="00287457">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w:t>
      </w:r>
      <w:r>
        <w:rPr>
          <w:rFonts w:ascii="Palatino Linotype" w:eastAsia="Palatino Linotype" w:hAnsi="Palatino Linotype" w:cs="Palatino Linotype"/>
          <w:color w:val="000000"/>
        </w:rPr>
        <w:lastRenderedPageBreak/>
        <w:t>Transparencia, Acceso a la Información Pública y Protección de Datos Personales del Estado de México y Municipios.</w:t>
      </w:r>
    </w:p>
    <w:p w:rsidR="00BE472E" w:rsidRDefault="00BE472E">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BE472E" w:rsidRDefault="00287457">
      <w:pPr>
        <w:pStyle w:val="Ttulo2"/>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SEGUNDO. De la oportunidad y procedencia.</w:t>
      </w:r>
    </w:p>
    <w:p w:rsidR="00BE472E" w:rsidRDefault="00287457">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El medio de impugnación fue presentado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su respuesta el diecisiete de abril de dos mil veinticuatro, de tal forma que el plazo para interponer el recurso de revisión transcurrió del día dieciocho de abril al diez de mayo de dos mil veinticuatro; en consecuencia, el ahora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presentó su inconformidad el día veintiséis de abril de  dos mil veinticuatro; por lo que se estima que la inconformidad se presentó dentro del lapso legalmente establecido para tal efecto.</w:t>
      </w:r>
    </w:p>
    <w:p w:rsidR="00BE472E" w:rsidRDefault="00BE472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BE472E" w:rsidRDefault="00287457">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BE472E" w:rsidRDefault="00BE472E">
      <w:pPr>
        <w:spacing w:line="360" w:lineRule="auto"/>
        <w:jc w:val="both"/>
        <w:rPr>
          <w:rFonts w:ascii="Palatino Linotype" w:eastAsia="Palatino Linotype" w:hAnsi="Palatino Linotype" w:cs="Palatino Linotype"/>
        </w:rPr>
      </w:pPr>
    </w:p>
    <w:p w:rsidR="00BE472E" w:rsidRDefault="00287457">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Las solicitudes anónimas</w:t>
      </w:r>
      <w:r>
        <w:rPr>
          <w:rFonts w:ascii="Palatino Linotype" w:eastAsia="Palatino Linotype" w:hAnsi="Palatino Linotype" w:cs="Palatino Linotype"/>
          <w:i/>
          <w:sz w:val="22"/>
          <w:szCs w:val="22"/>
        </w:rPr>
        <w:t xml:space="preserve">, con nombre incompleto o seudónimo </w:t>
      </w:r>
      <w:r>
        <w:rPr>
          <w:rFonts w:ascii="Palatino Linotype" w:eastAsia="Palatino Linotype" w:hAnsi="Palatino Linotype" w:cs="Palatino Linotype"/>
          <w:b/>
          <w:i/>
          <w:sz w:val="22"/>
          <w:szCs w:val="22"/>
        </w:rPr>
        <w:t xml:space="preserve">serán procedentes para su trámite por parte del sujeto obligado ante quien </w:t>
      </w:r>
      <w:r>
        <w:rPr>
          <w:rFonts w:ascii="Palatino Linotype" w:eastAsia="Palatino Linotype" w:hAnsi="Palatino Linotype" w:cs="Palatino Linotype"/>
          <w:b/>
          <w:i/>
          <w:sz w:val="22"/>
          <w:szCs w:val="22"/>
        </w:rPr>
        <w:lastRenderedPageBreak/>
        <w:t>se presente</w:t>
      </w:r>
      <w:r>
        <w:rPr>
          <w:rFonts w:ascii="Palatino Linotype" w:eastAsia="Palatino Linotype" w:hAnsi="Palatino Linotype" w:cs="Palatino Linotype"/>
          <w:i/>
          <w:sz w:val="22"/>
          <w:szCs w:val="22"/>
        </w:rPr>
        <w:t>. No podrá requerirse información adicional con motivo del nombre proporcionado por el solicitante."</w:t>
      </w:r>
    </w:p>
    <w:p w:rsidR="00BE472E" w:rsidRDefault="00BE472E">
      <w:pPr>
        <w:spacing w:line="360" w:lineRule="auto"/>
        <w:jc w:val="both"/>
        <w:rPr>
          <w:rFonts w:ascii="Palatino Linotype" w:eastAsia="Palatino Linotype" w:hAnsi="Palatino Linotype" w:cs="Palatino Linotype"/>
        </w:rPr>
      </w:pPr>
    </w:p>
    <w:p w:rsidR="00BE472E" w:rsidRDefault="00287457">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Robusteciendo lo anterior se encuentra lo dispuesto en el artículo 6, Apartado A, fracciones III de la Constitución Política de los Estados Unidos Mexicanos que establece:</w:t>
      </w:r>
    </w:p>
    <w:p w:rsidR="00BE472E" w:rsidRDefault="00287457">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6.-</w:t>
      </w:r>
      <w:r>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BE472E" w:rsidRDefault="00287457">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rsidR="00BE472E" w:rsidRDefault="00BE472E">
      <w:pPr>
        <w:ind w:left="1134" w:right="900"/>
        <w:jc w:val="both"/>
        <w:rPr>
          <w:rFonts w:ascii="Palatino Linotype" w:eastAsia="Palatino Linotype" w:hAnsi="Palatino Linotype" w:cs="Palatino Linotype"/>
          <w:i/>
          <w:sz w:val="22"/>
          <w:szCs w:val="22"/>
        </w:rPr>
      </w:pPr>
    </w:p>
    <w:p w:rsidR="00BE472E" w:rsidRDefault="00287457">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 Para el ejercicio del derecho de acceso a la información, la Federación, los Estados y el Distrito Federal, en el ámbito de sus respectivas competencias, se regirán por los siguientes principios y bases:</w:t>
      </w:r>
    </w:p>
    <w:p w:rsidR="00BE472E" w:rsidRDefault="00BE472E">
      <w:pPr>
        <w:ind w:left="1134" w:right="900"/>
        <w:jc w:val="both"/>
        <w:rPr>
          <w:rFonts w:ascii="Palatino Linotype" w:eastAsia="Palatino Linotype" w:hAnsi="Palatino Linotype" w:cs="Palatino Linotype"/>
          <w:i/>
          <w:sz w:val="22"/>
          <w:szCs w:val="22"/>
        </w:rPr>
      </w:pPr>
    </w:p>
    <w:p w:rsidR="00BE472E" w:rsidRDefault="00287457">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Toda persona, sin necesidad de acreditar interés alguno o justificar su utilización, tendrá acceso gratuito a la información pública, a sus datos personales o a la rectificación de éstos.” </w:t>
      </w:r>
      <w:r>
        <w:rPr>
          <w:rFonts w:ascii="Palatino Linotype" w:eastAsia="Palatino Linotype" w:hAnsi="Palatino Linotype" w:cs="Palatino Linotype"/>
          <w:sz w:val="22"/>
          <w:szCs w:val="22"/>
        </w:rPr>
        <w:t>(Sic)</w:t>
      </w:r>
    </w:p>
    <w:p w:rsidR="00BE472E" w:rsidRDefault="00BE472E">
      <w:pPr>
        <w:spacing w:line="360" w:lineRule="auto"/>
        <w:ind w:left="567" w:right="474"/>
        <w:jc w:val="both"/>
        <w:rPr>
          <w:rFonts w:ascii="Palatino Linotype" w:eastAsia="Palatino Linotype" w:hAnsi="Palatino Linotype" w:cs="Palatino Linotype"/>
          <w:i/>
        </w:rPr>
      </w:pPr>
    </w:p>
    <w:p w:rsidR="00BE472E" w:rsidRDefault="00287457">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Así como el artículo 5 fracción III, párrafo vigésimo noveno, trigésimo y trigésimo primero, de la Constitución Política del Estado Libre y Soberano de México, que determina lo siguiente:</w:t>
      </w:r>
    </w:p>
    <w:p w:rsidR="00BE472E" w:rsidRDefault="00287457">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BE472E" w:rsidRDefault="00287457">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BE472E" w:rsidRDefault="00287457">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Toda persona en el Estado de México, tiene derecho al libre acceso a la información plural y oportuna, así como a buscar recibir y difundir información e ideas de toda índole por cualquier medio de expresión.</w:t>
      </w:r>
    </w:p>
    <w:p w:rsidR="00BE472E" w:rsidRDefault="00287457">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BE472E" w:rsidRDefault="00287457">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derecho a la información será garantizado por el Estado. La ley establecerá las previsiones que permitan asegurar la protección, el respeto y la difusión de este derecho.</w:t>
      </w:r>
    </w:p>
    <w:p w:rsidR="00BE472E" w:rsidRDefault="00287457">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BE472E" w:rsidRDefault="00287457">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rsidR="00BE472E" w:rsidRDefault="00287457">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BE472E" w:rsidRDefault="00287457">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Pr>
          <w:rFonts w:ascii="Palatino Linotype" w:eastAsia="Palatino Linotype" w:hAnsi="Palatino Linotype" w:cs="Palatino Linotype"/>
          <w:sz w:val="22"/>
          <w:szCs w:val="22"/>
        </w:rPr>
        <w:t>(Sic)</w:t>
      </w:r>
    </w:p>
    <w:p w:rsidR="00BE472E" w:rsidRDefault="00BE472E">
      <w:pPr>
        <w:ind w:left="1134" w:right="900"/>
        <w:jc w:val="both"/>
        <w:rPr>
          <w:rFonts w:ascii="Palatino Linotype" w:eastAsia="Palatino Linotype" w:hAnsi="Palatino Linotype" w:cs="Palatino Linotype"/>
          <w:i/>
          <w:sz w:val="22"/>
          <w:szCs w:val="22"/>
        </w:rPr>
      </w:pPr>
    </w:p>
    <w:p w:rsidR="00BE472E" w:rsidRDefault="00287457">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Por otra parte, del contenido del artículo 1 de la Constitución Política de los Estados Unidos mexicanos, se destaca lo siguiente:</w:t>
      </w:r>
    </w:p>
    <w:p w:rsidR="00BE472E" w:rsidRDefault="00287457">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w:t>
      </w:r>
      <w:r>
        <w:rPr>
          <w:rFonts w:ascii="Palatino Linotype" w:eastAsia="Palatino Linotype" w:hAnsi="Palatino Linotype" w:cs="Palatino Linotype"/>
          <w:i/>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BE472E" w:rsidRDefault="00287457">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Las normas relativas a los derechos humanos se interpretarán de conformidad con esta Constitución y con los tratados internacionales de la materia favoreciendo en todo tiempo a las personas la protección más amplia.</w:t>
      </w:r>
    </w:p>
    <w:p w:rsidR="00BE472E" w:rsidRDefault="00287457">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Todas las autoridades, en el ámbito de sus competencias, tienen la obligación de promover, respetar, proteger y garantizar los derechos humanos de conformidad con los principios de universalidad, interdependencia, </w:t>
      </w:r>
      <w:r>
        <w:rPr>
          <w:rFonts w:ascii="Palatino Linotype" w:eastAsia="Palatino Linotype" w:hAnsi="Palatino Linotype" w:cs="Palatino Linotype"/>
          <w:i/>
          <w:sz w:val="22"/>
          <w:szCs w:val="22"/>
        </w:rPr>
        <w:lastRenderedPageBreak/>
        <w:t>indivisibilidad y progresividad. En consecuencia, el Estado deberá prevenir, investigar, sancionar y reparar las violaciones a los derechos humanos, en los términos que establezca la ley."(Sic)</w:t>
      </w:r>
    </w:p>
    <w:p w:rsidR="00BE472E" w:rsidRDefault="00BE472E">
      <w:pPr>
        <w:spacing w:line="360" w:lineRule="auto"/>
        <w:ind w:left="426" w:right="474"/>
        <w:jc w:val="both"/>
        <w:rPr>
          <w:rFonts w:ascii="Palatino Linotype" w:eastAsia="Palatino Linotype" w:hAnsi="Palatino Linotype" w:cs="Palatino Linotype"/>
          <w:i/>
        </w:rPr>
      </w:pPr>
    </w:p>
    <w:p w:rsidR="00BE472E" w:rsidRDefault="00287457">
      <w:pPr>
        <w:numPr>
          <w:ilvl w:val="0"/>
          <w:numId w:val="6"/>
        </w:numPr>
        <w:spacing w:line="360" w:lineRule="auto"/>
        <w:ind w:left="0" w:firstLine="0"/>
        <w:jc w:val="both"/>
      </w:pPr>
      <w:r>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Pr>
          <w:rFonts w:ascii="Palatino Linotype" w:eastAsia="Palatino Linotype" w:hAnsi="Palatino Linotype" w:cs="Palatino Linotype"/>
          <w:i/>
        </w:rPr>
        <w:t>derecho fundamental exime a quien lo ejerce</w:t>
      </w:r>
      <w:r>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BE472E" w:rsidRDefault="00BE472E">
      <w:pPr>
        <w:spacing w:line="360" w:lineRule="auto"/>
        <w:jc w:val="both"/>
        <w:rPr>
          <w:rFonts w:ascii="Palatino Linotype" w:eastAsia="Palatino Linotype" w:hAnsi="Palatino Linotype" w:cs="Palatino Linotype"/>
        </w:rPr>
      </w:pPr>
    </w:p>
    <w:p w:rsidR="00BE472E" w:rsidRDefault="00287457">
      <w:pPr>
        <w:numPr>
          <w:ilvl w:val="0"/>
          <w:numId w:val="6"/>
        </w:numPr>
        <w:spacing w:line="360" w:lineRule="auto"/>
        <w:ind w:left="0" w:firstLine="0"/>
        <w:jc w:val="both"/>
      </w:pPr>
      <w:r>
        <w:rPr>
          <w:rFonts w:ascii="Palatino Linotype" w:eastAsia="Palatino Linotype" w:hAnsi="Palatino Linotype" w:cs="Palatino Linotype"/>
        </w:rPr>
        <w:t xml:space="preserve">En consecuencia, dado lo expuesto y fundado con anterioridad, se estima que el requisito relativo al nombre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BE472E" w:rsidRDefault="00287457">
      <w:pPr>
        <w:numPr>
          <w:ilvl w:val="0"/>
          <w:numId w:val="6"/>
        </w:numPr>
        <w:spacing w:line="360" w:lineRule="auto"/>
        <w:ind w:left="0" w:firstLine="0"/>
        <w:jc w:val="both"/>
      </w:pPr>
      <w:r>
        <w:rPr>
          <w:rFonts w:ascii="Palatino Linotype" w:eastAsia="Palatino Linotype" w:hAnsi="Palatino Linotype" w:cs="Palatino Linotype"/>
        </w:rPr>
        <w:lastRenderedPageBreak/>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BE472E" w:rsidRDefault="00BE472E">
      <w:pPr>
        <w:pBdr>
          <w:top w:val="nil"/>
          <w:left w:val="nil"/>
          <w:bottom w:val="nil"/>
          <w:right w:val="nil"/>
          <w:between w:val="nil"/>
        </w:pBdr>
        <w:spacing w:line="360" w:lineRule="auto"/>
        <w:rPr>
          <w:rFonts w:ascii="Palatino Linotype" w:eastAsia="Palatino Linotype" w:hAnsi="Palatino Linotype" w:cs="Palatino Linotype"/>
          <w:color w:val="000000"/>
        </w:rPr>
      </w:pPr>
    </w:p>
    <w:p w:rsidR="00BE472E" w:rsidRDefault="00287457">
      <w:pPr>
        <w:pStyle w:val="Ttulo1"/>
        <w:spacing w:before="0" w:line="360" w:lineRule="auto"/>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b/>
          <w:color w:val="000000"/>
          <w:sz w:val="24"/>
          <w:szCs w:val="24"/>
        </w:rPr>
        <w:t xml:space="preserve">TERCERO. Del planteamiento de la </w:t>
      </w:r>
      <w:r>
        <w:rPr>
          <w:rFonts w:ascii="Palatino Linotype" w:eastAsia="Palatino Linotype" w:hAnsi="Palatino Linotype" w:cs="Palatino Linotype"/>
          <w:b/>
          <w:i/>
          <w:color w:val="000000"/>
          <w:sz w:val="24"/>
          <w:szCs w:val="24"/>
        </w:rPr>
        <w:t>Litis</w:t>
      </w:r>
      <w:r>
        <w:rPr>
          <w:rFonts w:ascii="Palatino Linotype" w:eastAsia="Palatino Linotype" w:hAnsi="Palatino Linotype" w:cs="Palatino Linotype"/>
          <w:b/>
          <w:color w:val="000000"/>
          <w:sz w:val="24"/>
          <w:szCs w:val="24"/>
        </w:rPr>
        <w:t>.</w:t>
      </w:r>
    </w:p>
    <w:p w:rsidR="00BE472E" w:rsidRDefault="00287457">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Se solicitó tener acceso, a la información que a continuación se desagrega:</w:t>
      </w:r>
    </w:p>
    <w:p w:rsidR="00BE472E" w:rsidRDefault="00287457">
      <w:pPr>
        <w:numPr>
          <w:ilvl w:val="0"/>
          <w:numId w:val="3"/>
        </w:numPr>
        <w:pBdr>
          <w:top w:val="nil"/>
          <w:left w:val="nil"/>
          <w:bottom w:val="nil"/>
          <w:right w:val="nil"/>
          <w:between w:val="nil"/>
        </w:pBdr>
        <w:spacing w:line="360" w:lineRule="auto"/>
        <w:ind w:right="3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 cuánto asciende los subsidios en multas, recargos y accesorios derivados de créditos fiscales otorgados por la Tesorería Municipal en el ejercicio fiscal 2021</w:t>
      </w:r>
    </w:p>
    <w:p w:rsidR="00BE472E" w:rsidRDefault="00BE472E">
      <w:pPr>
        <w:spacing w:line="360" w:lineRule="auto"/>
        <w:jc w:val="both"/>
        <w:rPr>
          <w:rFonts w:ascii="Palatino Linotype" w:eastAsia="Palatino Linotype" w:hAnsi="Palatino Linotype" w:cs="Palatino Linotype"/>
        </w:rPr>
      </w:pPr>
    </w:p>
    <w:p w:rsidR="00BE472E" w:rsidRDefault="00287457">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En respuesta,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remitió el comparativo de egresos correspondientes del primero al treinta y uno de diciembre de dos mil veintiuno, en el cual se puede visualizar la información solicitada.</w:t>
      </w:r>
    </w:p>
    <w:p w:rsidR="00BE472E" w:rsidRDefault="00BE472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BE472E" w:rsidRDefault="00287457">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El Recurrente se </w:t>
      </w:r>
      <w:r>
        <w:rPr>
          <w:rFonts w:ascii="Palatino Linotype" w:eastAsia="Palatino Linotype" w:hAnsi="Palatino Linotype" w:cs="Palatino Linotype"/>
        </w:rPr>
        <w:t>inconformó</w:t>
      </w:r>
      <w:r>
        <w:rPr>
          <w:rFonts w:ascii="Palatino Linotype" w:eastAsia="Palatino Linotype" w:hAnsi="Palatino Linotype" w:cs="Palatino Linotype"/>
          <w:color w:val="000000"/>
        </w:rPr>
        <w:t xml:space="preserve"> porque se me niega entregar la información.</w:t>
      </w:r>
    </w:p>
    <w:p w:rsidR="00BE472E" w:rsidRDefault="00BE472E">
      <w:pPr>
        <w:spacing w:line="360" w:lineRule="auto"/>
        <w:jc w:val="both"/>
        <w:rPr>
          <w:rFonts w:ascii="Palatino Linotype" w:eastAsia="Palatino Linotype" w:hAnsi="Palatino Linotype" w:cs="Palatino Linotype"/>
        </w:rPr>
      </w:pPr>
    </w:p>
    <w:p w:rsidR="00BE472E" w:rsidRDefault="00287457">
      <w:pPr>
        <w:numPr>
          <w:ilvl w:val="0"/>
          <w:numId w:val="6"/>
        </w:numPr>
        <w:spacing w:line="360" w:lineRule="auto"/>
        <w:ind w:left="0" w:firstLine="0"/>
        <w:jc w:val="both"/>
      </w:pPr>
      <w:r>
        <w:rPr>
          <w:rFonts w:ascii="Palatino Linotype" w:eastAsia="Palatino Linotype" w:hAnsi="Palatino Linotype" w:cs="Palatino Linotype"/>
        </w:rPr>
        <w:t xml:space="preserve">En dichas condiciones, la </w:t>
      </w:r>
      <w:r>
        <w:rPr>
          <w:rFonts w:ascii="Palatino Linotype" w:eastAsia="Palatino Linotype" w:hAnsi="Palatino Linotype" w:cs="Palatino Linotype"/>
          <w:i/>
        </w:rPr>
        <w:t>Litis</w:t>
      </w:r>
      <w:r>
        <w:rPr>
          <w:rFonts w:ascii="Palatino Linotype" w:eastAsia="Palatino Linotype" w:hAnsi="Palatino Linotype" w:cs="Palatino Linotype"/>
        </w:rPr>
        <w:t xml:space="preserve"> a resolver en este recurso se circunscribe a determinar si se actualiza la causal de procedencia prevista en el artículo 179, </w:t>
      </w:r>
      <w:r>
        <w:rPr>
          <w:rFonts w:ascii="Palatino Linotype" w:eastAsia="Palatino Linotype" w:hAnsi="Palatino Linotype" w:cs="Palatino Linotype"/>
          <w:b/>
        </w:rPr>
        <w:t xml:space="preserve">fracción I </w:t>
      </w:r>
      <w:r>
        <w:rPr>
          <w:rFonts w:ascii="Palatino Linotype" w:eastAsia="Palatino Linotype" w:hAnsi="Palatino Linotype" w:cs="Palatino Linotype"/>
        </w:rPr>
        <w:t xml:space="preserve">de la </w:t>
      </w:r>
      <w:r>
        <w:rPr>
          <w:rFonts w:ascii="Palatino Linotype" w:eastAsia="Palatino Linotype" w:hAnsi="Palatino Linotype" w:cs="Palatino Linotype"/>
          <w:b/>
        </w:rPr>
        <w:t xml:space="preserve">Ley de Transparencia y Acceso a la Información Pública del Estado de </w:t>
      </w:r>
      <w:r>
        <w:rPr>
          <w:rFonts w:ascii="Palatino Linotype" w:eastAsia="Palatino Linotype" w:hAnsi="Palatino Linotype" w:cs="Palatino Linotype"/>
        </w:rPr>
        <w:t>México</w:t>
      </w:r>
      <w:r>
        <w:rPr>
          <w:rFonts w:ascii="Palatino Linotype" w:eastAsia="Palatino Linotype" w:hAnsi="Palatino Linotype" w:cs="Palatino Linotype"/>
          <w:b/>
        </w:rPr>
        <w:t xml:space="preserve"> y </w:t>
      </w:r>
      <w:r>
        <w:rPr>
          <w:rFonts w:ascii="Palatino Linotype" w:eastAsia="Palatino Linotype" w:hAnsi="Palatino Linotype" w:cs="Palatino Linotype"/>
        </w:rPr>
        <w:t xml:space="preserve">Municipios; </w:t>
      </w:r>
      <w:r>
        <w:rPr>
          <w:rFonts w:ascii="Palatino Linotype" w:eastAsia="Palatino Linotype" w:hAnsi="Palatino Linotype" w:cs="Palatino Linotype"/>
          <w:color w:val="000000"/>
        </w:rPr>
        <w:t xml:space="preserve">fracción que determina la hipótesis jurídica relativa a la negativa a la información solicitada; </w:t>
      </w:r>
      <w:r>
        <w:rPr>
          <w:rFonts w:ascii="Palatino Linotype" w:eastAsia="Palatino Linotype" w:hAnsi="Palatino Linotype" w:cs="Palatino Linotype"/>
        </w:rPr>
        <w:t xml:space="preserve">contexto del cual se dolió </w:t>
      </w:r>
      <w:r>
        <w:rPr>
          <w:rFonts w:ascii="Palatino Linotype" w:eastAsia="Palatino Linotype" w:hAnsi="Palatino Linotype" w:cs="Palatino Linotype"/>
          <w:b/>
        </w:rPr>
        <w:t xml:space="preserve">EL RECURRENTE </w:t>
      </w:r>
      <w:r>
        <w:rPr>
          <w:rFonts w:ascii="Palatino Linotype" w:eastAsia="Palatino Linotype" w:hAnsi="Palatino Linotype" w:cs="Palatino Linotype"/>
        </w:rPr>
        <w:t>al momento de interponer su inconformidad.</w:t>
      </w:r>
      <w:r>
        <w:rPr>
          <w:rFonts w:ascii="Palatino Linotype" w:eastAsia="Palatino Linotype" w:hAnsi="Palatino Linotype" w:cs="Palatino Linotype"/>
          <w:color w:val="000000"/>
        </w:rPr>
        <w:t xml:space="preserve"> De modo tal que el presente recurso de </w:t>
      </w:r>
      <w:r>
        <w:rPr>
          <w:rFonts w:ascii="Palatino Linotype" w:eastAsia="Palatino Linotype" w:hAnsi="Palatino Linotype" w:cs="Palatino Linotype"/>
          <w:color w:val="000000"/>
        </w:rPr>
        <w:lastRenderedPageBreak/>
        <w:t xml:space="preserve">revisión se </w:t>
      </w:r>
      <w:r>
        <w:rPr>
          <w:rFonts w:ascii="Palatino Linotype" w:eastAsia="Palatino Linotype" w:hAnsi="Palatino Linotype" w:cs="Palatino Linotype"/>
        </w:rPr>
        <w:t>abocará</w:t>
      </w:r>
      <w:r>
        <w:rPr>
          <w:rFonts w:ascii="Palatino Linotype" w:eastAsia="Palatino Linotype" w:hAnsi="Palatino Linotype" w:cs="Palatino Linotype"/>
          <w:color w:val="000000"/>
        </w:rPr>
        <w:t xml:space="preserve"> en determinar si el </w:t>
      </w:r>
      <w:r>
        <w:rPr>
          <w:rFonts w:ascii="Palatino Linotype" w:eastAsia="Palatino Linotype" w:hAnsi="Palatino Linotype" w:cs="Palatino Linotype"/>
          <w:b/>
          <w:color w:val="000000"/>
        </w:rPr>
        <w:t>SUJETO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OBLIGADO</w:t>
      </w:r>
      <w:r>
        <w:rPr>
          <w:rFonts w:ascii="Palatino Linotype" w:eastAsia="Palatino Linotype" w:hAnsi="Palatino Linotype" w:cs="Palatino Linotype"/>
          <w:color w:val="000000"/>
        </w:rPr>
        <w:t xml:space="preserve">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antes señalada. </w:t>
      </w:r>
    </w:p>
    <w:p w:rsidR="00BE472E" w:rsidRDefault="00BE472E">
      <w:pPr>
        <w:spacing w:line="360" w:lineRule="auto"/>
        <w:rPr>
          <w:rFonts w:ascii="Palatino Linotype" w:eastAsia="Palatino Linotype" w:hAnsi="Palatino Linotype" w:cs="Palatino Linotype"/>
        </w:rPr>
      </w:pPr>
    </w:p>
    <w:p w:rsidR="00BE472E" w:rsidRDefault="00287457">
      <w:pPr>
        <w:pStyle w:val="Ttulo2"/>
        <w:spacing w:before="0" w:line="360" w:lineRule="auto"/>
        <w:rPr>
          <w:rFonts w:ascii="Palatino Linotype" w:eastAsia="Palatino Linotype" w:hAnsi="Palatino Linotype" w:cs="Palatino Linotype"/>
          <w:b/>
          <w:color w:val="000000"/>
          <w:sz w:val="24"/>
          <w:szCs w:val="24"/>
        </w:rPr>
      </w:pPr>
      <w:bookmarkStart w:id="8" w:name="_heading=h.4d34og8" w:colFirst="0" w:colLast="0"/>
      <w:bookmarkEnd w:id="8"/>
      <w:r>
        <w:rPr>
          <w:rFonts w:ascii="Palatino Linotype" w:eastAsia="Palatino Linotype" w:hAnsi="Palatino Linotype" w:cs="Palatino Linotype"/>
          <w:b/>
          <w:color w:val="000000"/>
          <w:sz w:val="24"/>
          <w:szCs w:val="24"/>
        </w:rPr>
        <w:t>CUARTO. Del estudio y resolución del asunto.</w:t>
      </w:r>
    </w:p>
    <w:p w:rsidR="00BE472E" w:rsidRDefault="00287457">
      <w:pPr>
        <w:numPr>
          <w:ilvl w:val="0"/>
          <w:numId w:val="6"/>
        </w:numPr>
        <w:spacing w:line="360" w:lineRule="auto"/>
        <w:ind w:left="0" w:firstLine="0"/>
        <w:jc w:val="both"/>
        <w:rPr>
          <w:rFonts w:eastAsia="Calibri"/>
          <w:color w:val="000000"/>
        </w:rPr>
      </w:pPr>
      <w:r>
        <w:rPr>
          <w:rFonts w:ascii="Palatino Linotype" w:eastAsia="Palatino Linotype" w:hAnsi="Palatino Linotype" w:cs="Palatino Linotype"/>
          <w:color w:val="000000"/>
        </w:rPr>
        <w:t xml:space="preserve">Acotada la </w:t>
      </w:r>
      <w:r>
        <w:rPr>
          <w:rFonts w:ascii="Palatino Linotype" w:eastAsia="Palatino Linotype" w:hAnsi="Palatino Linotype" w:cs="Palatino Linotype"/>
          <w:i/>
          <w:color w:val="000000"/>
        </w:rPr>
        <w:t>Litis</w:t>
      </w:r>
      <w:r>
        <w:rPr>
          <w:rFonts w:ascii="Palatino Linotype" w:eastAsia="Palatino Linotype" w:hAnsi="Palatino Linotype" w:cs="Palatino Linotype"/>
          <w:color w:val="000000"/>
        </w:rPr>
        <w:t xml:space="preserve">, se procede a analizar el contenido íntegro de las </w:t>
      </w:r>
      <w:r>
        <w:rPr>
          <w:rFonts w:ascii="Palatino Linotype" w:eastAsia="Palatino Linotype" w:hAnsi="Palatino Linotype" w:cs="Palatino Linotype"/>
        </w:rPr>
        <w:t>actuaciones</w:t>
      </w:r>
      <w:r>
        <w:rPr>
          <w:rFonts w:ascii="Palatino Linotype" w:eastAsia="Palatino Linotype" w:hAnsi="Palatino Linotype" w:cs="Palatino Linotype"/>
          <w:color w:val="000000"/>
        </w:rPr>
        <w:t xml:space="preserve">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BE472E" w:rsidRDefault="00BE472E"/>
    <w:p w:rsidR="00BE472E" w:rsidRDefault="00287457">
      <w:pPr>
        <w:numPr>
          <w:ilvl w:val="0"/>
          <w:numId w:val="6"/>
        </w:numPr>
        <w:spacing w:line="360" w:lineRule="auto"/>
        <w:ind w:left="0" w:firstLine="0"/>
        <w:jc w:val="both"/>
        <w:rPr>
          <w:rFonts w:eastAsia="Calibri"/>
          <w:color w:val="000000"/>
        </w:rPr>
      </w:pPr>
      <w:r>
        <w:rPr>
          <w:rFonts w:ascii="Palatino Linotype" w:eastAsia="Palatino Linotype" w:hAnsi="Palatino Linotype" w:cs="Palatino Linotype"/>
          <w:color w:val="000000"/>
        </w:rPr>
        <w:t xml:space="preserve">Por ello, es importante recordar que el hoy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solicitó lo siguiente</w:t>
      </w:r>
      <w:r>
        <w:rPr>
          <w:rFonts w:ascii="Palatino Linotype" w:eastAsia="Palatino Linotype" w:hAnsi="Palatino Linotype" w:cs="Palatino Linotype"/>
          <w:b/>
          <w:color w:val="000000"/>
        </w:rPr>
        <w:t xml:space="preserve">: </w:t>
      </w:r>
    </w:p>
    <w:p w:rsidR="00BE472E" w:rsidRDefault="00287457">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rPr>
        <w:t>1.</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sz w:val="22"/>
          <w:szCs w:val="22"/>
        </w:rPr>
        <w:t xml:space="preserve">A cuánto </w:t>
      </w:r>
      <w:r>
        <w:rPr>
          <w:rFonts w:ascii="Palatino Linotype" w:eastAsia="Palatino Linotype" w:hAnsi="Palatino Linotype" w:cs="Palatino Linotype"/>
          <w:sz w:val="22"/>
          <w:szCs w:val="22"/>
        </w:rPr>
        <w:t>ascienden</w:t>
      </w:r>
      <w:r>
        <w:rPr>
          <w:rFonts w:ascii="Palatino Linotype" w:eastAsia="Palatino Linotype" w:hAnsi="Palatino Linotype" w:cs="Palatino Linotype"/>
          <w:color w:val="000000"/>
          <w:sz w:val="22"/>
          <w:szCs w:val="22"/>
        </w:rPr>
        <w:t xml:space="preserve"> los subsidios en multas, recargos y accesorios derivados de créditos fiscales otorgados por la Tesorería Municipal en el ejercicio fiscal 2021.</w:t>
      </w:r>
    </w:p>
    <w:p w:rsidR="00BE472E" w:rsidRDefault="00BE472E">
      <w:pPr>
        <w:spacing w:line="360" w:lineRule="auto"/>
        <w:jc w:val="both"/>
        <w:rPr>
          <w:rFonts w:ascii="Palatino Linotype" w:eastAsia="Palatino Linotype" w:hAnsi="Palatino Linotype" w:cs="Palatino Linotype"/>
        </w:rPr>
      </w:pPr>
    </w:p>
    <w:p w:rsidR="00BE472E" w:rsidRDefault="00287457">
      <w:pPr>
        <w:numPr>
          <w:ilvl w:val="0"/>
          <w:numId w:val="6"/>
        </w:numPr>
        <w:spacing w:line="360" w:lineRule="auto"/>
        <w:ind w:left="0" w:firstLine="0"/>
        <w:jc w:val="both"/>
        <w:rPr>
          <w:rFonts w:eastAsia="Calibri"/>
          <w:color w:val="000000"/>
        </w:rPr>
      </w:pPr>
      <w:r>
        <w:rPr>
          <w:rFonts w:ascii="Palatino Linotype" w:eastAsia="Palatino Linotype" w:hAnsi="Palatino Linotype" w:cs="Palatino Linotype"/>
          <w:color w:val="000000"/>
        </w:rPr>
        <w:t xml:space="preserve">De lo anterior,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indicó que remitía</w:t>
      </w:r>
      <w:r>
        <w:rPr>
          <w:rFonts w:ascii="Palatino Linotype" w:eastAsia="Palatino Linotype" w:hAnsi="Palatino Linotype" w:cs="Palatino Linotype"/>
        </w:rPr>
        <w:t xml:space="preserve"> el comparativo de egresos correspondientes del primero al treinta y uno de diciembre de dos mil veintiuno en el cual se puede visualizar la información solicitada.</w:t>
      </w:r>
    </w:p>
    <w:p w:rsidR="00BE472E" w:rsidRDefault="00BE472E">
      <w:pPr>
        <w:spacing w:line="360" w:lineRule="auto"/>
        <w:jc w:val="both"/>
        <w:rPr>
          <w:rFonts w:ascii="Palatino Linotype" w:eastAsia="Palatino Linotype" w:hAnsi="Palatino Linotype" w:cs="Palatino Linotype"/>
        </w:rPr>
      </w:pPr>
    </w:p>
    <w:p w:rsidR="00BE472E" w:rsidRDefault="00287457">
      <w:pPr>
        <w:numPr>
          <w:ilvl w:val="0"/>
          <w:numId w:val="6"/>
        </w:numPr>
        <w:spacing w:line="360" w:lineRule="auto"/>
        <w:ind w:left="0" w:firstLine="0"/>
        <w:jc w:val="both"/>
        <w:rPr>
          <w:rFonts w:eastAsia="Calibri"/>
          <w:color w:val="000000"/>
        </w:rPr>
      </w:pPr>
      <w:r>
        <w:rPr>
          <w:rFonts w:ascii="Palatino Linotype" w:eastAsia="Palatino Linotype" w:hAnsi="Palatino Linotype" w:cs="Palatino Linotype"/>
          <w:color w:val="000000"/>
        </w:rPr>
        <w:t xml:space="preserve">Derivado de la respuesta el RECURRENTE, interpuso el recurso de revisión, manifestando el Acto Impugnado siguiente </w:t>
      </w:r>
      <w:r>
        <w:rPr>
          <w:rFonts w:ascii="Palatino Linotype" w:eastAsia="Palatino Linotype" w:hAnsi="Palatino Linotype" w:cs="Palatino Linotype"/>
        </w:rPr>
        <w:t>se me niega entregar la información.</w:t>
      </w:r>
    </w:p>
    <w:p w:rsidR="00BE472E" w:rsidRDefault="00BE472E">
      <w:pPr>
        <w:pBdr>
          <w:top w:val="nil"/>
          <w:left w:val="nil"/>
          <w:bottom w:val="nil"/>
          <w:right w:val="nil"/>
          <w:between w:val="nil"/>
        </w:pBdr>
        <w:ind w:left="720"/>
        <w:rPr>
          <w:rFonts w:eastAsia="Calibri"/>
          <w:color w:val="000000"/>
        </w:rPr>
      </w:pPr>
    </w:p>
    <w:p w:rsidR="00BE472E" w:rsidRDefault="00287457">
      <w:pPr>
        <w:numPr>
          <w:ilvl w:val="0"/>
          <w:numId w:val="6"/>
        </w:numPr>
        <w:spacing w:line="360" w:lineRule="auto"/>
        <w:ind w:left="0" w:firstLine="0"/>
        <w:jc w:val="both"/>
        <w:rPr>
          <w:color w:val="000000"/>
        </w:rPr>
      </w:pPr>
      <w:r>
        <w:rPr>
          <w:rFonts w:ascii="Palatino Linotype" w:eastAsia="Palatino Linotype" w:hAnsi="Palatino Linotype" w:cs="Palatino Linotype"/>
          <w:color w:val="000000"/>
        </w:rPr>
        <w:lastRenderedPageBreak/>
        <w:t>Derivado de la naturaleza de la información requerida, es conveniente traer a contexto la Ley Orgánica Municipal del Estado de México,  la cual en su artículo 87, 93 y 95 establece lo siguiente:</w:t>
      </w:r>
    </w:p>
    <w:p w:rsidR="00BE472E" w:rsidRDefault="00287457">
      <w:pPr>
        <w:pBdr>
          <w:top w:val="nil"/>
          <w:left w:val="nil"/>
          <w:bottom w:val="nil"/>
          <w:right w:val="nil"/>
          <w:between w:val="nil"/>
        </w:pBdr>
        <w:ind w:left="720"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87.-</w:t>
      </w:r>
      <w:r>
        <w:rPr>
          <w:rFonts w:ascii="Palatino Linotype" w:eastAsia="Palatino Linotype" w:hAnsi="Palatino Linotype" w:cs="Palatino Linotype"/>
          <w:i/>
          <w:color w:val="000000"/>
          <w:sz w:val="22"/>
          <w:szCs w:val="22"/>
        </w:rPr>
        <w:t xml:space="preserve"> Para el despacho, estudio y planeación de los diversos asuntos de la administración municipal, el ayuntamiento contará por lo menos con las siguientes Dependencias:</w:t>
      </w:r>
    </w:p>
    <w:p w:rsidR="00BE472E" w:rsidRDefault="00BE472E">
      <w:pPr>
        <w:pBdr>
          <w:top w:val="nil"/>
          <w:left w:val="nil"/>
          <w:bottom w:val="nil"/>
          <w:right w:val="nil"/>
          <w:between w:val="nil"/>
        </w:pBdr>
        <w:ind w:left="720" w:right="333"/>
        <w:jc w:val="both"/>
        <w:rPr>
          <w:rFonts w:ascii="Palatino Linotype" w:eastAsia="Palatino Linotype" w:hAnsi="Palatino Linotype" w:cs="Palatino Linotype"/>
          <w:i/>
          <w:color w:val="000000"/>
          <w:sz w:val="22"/>
          <w:szCs w:val="22"/>
        </w:rPr>
      </w:pPr>
    </w:p>
    <w:p w:rsidR="00BE472E" w:rsidRDefault="00287457">
      <w:pPr>
        <w:pBdr>
          <w:top w:val="nil"/>
          <w:left w:val="nil"/>
          <w:bottom w:val="nil"/>
          <w:right w:val="nil"/>
          <w:between w:val="nil"/>
        </w:pBdr>
        <w:ind w:left="720"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 La secretaría del ayuntamiento;</w:t>
      </w:r>
    </w:p>
    <w:p w:rsidR="00BE472E" w:rsidRDefault="00287457">
      <w:pPr>
        <w:pBdr>
          <w:top w:val="nil"/>
          <w:left w:val="nil"/>
          <w:bottom w:val="nil"/>
          <w:right w:val="nil"/>
          <w:between w:val="nil"/>
        </w:pBdr>
        <w:ind w:left="720"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II. La tesorería municipal</w:t>
      </w:r>
      <w:r>
        <w:rPr>
          <w:rFonts w:ascii="Palatino Linotype" w:eastAsia="Palatino Linotype" w:hAnsi="Palatino Linotype" w:cs="Palatino Linotype"/>
          <w:i/>
          <w:color w:val="000000"/>
          <w:sz w:val="22"/>
          <w:szCs w:val="22"/>
        </w:rPr>
        <w:t>.</w:t>
      </w:r>
    </w:p>
    <w:p w:rsidR="00BE472E" w:rsidRDefault="00287457">
      <w:pPr>
        <w:pBdr>
          <w:top w:val="nil"/>
          <w:left w:val="nil"/>
          <w:bottom w:val="nil"/>
          <w:right w:val="nil"/>
          <w:between w:val="nil"/>
        </w:pBdr>
        <w:ind w:left="720"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La Dirección de Obras Públicas o equivalente.</w:t>
      </w:r>
    </w:p>
    <w:p w:rsidR="00BE472E" w:rsidRDefault="00287457">
      <w:pPr>
        <w:pBdr>
          <w:top w:val="nil"/>
          <w:left w:val="nil"/>
          <w:bottom w:val="nil"/>
          <w:right w:val="nil"/>
          <w:between w:val="nil"/>
        </w:pBdr>
        <w:ind w:left="720"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La Dirección de Desarrollo Económico o equivalente.</w:t>
      </w:r>
    </w:p>
    <w:p w:rsidR="00BE472E" w:rsidRDefault="00287457">
      <w:pPr>
        <w:pBdr>
          <w:top w:val="nil"/>
          <w:left w:val="nil"/>
          <w:bottom w:val="nil"/>
          <w:right w:val="nil"/>
          <w:between w:val="nil"/>
        </w:pBdr>
        <w:ind w:left="720"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 La Dirección de Desarrollo Urbano o equivalente;</w:t>
      </w:r>
    </w:p>
    <w:p w:rsidR="00BE472E" w:rsidRDefault="00287457">
      <w:pPr>
        <w:pBdr>
          <w:top w:val="nil"/>
          <w:left w:val="nil"/>
          <w:bottom w:val="nil"/>
          <w:right w:val="nil"/>
          <w:between w:val="nil"/>
        </w:pBdr>
        <w:ind w:left="720"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rsidR="00BE472E" w:rsidRDefault="00BE472E">
      <w:pPr>
        <w:pBdr>
          <w:top w:val="nil"/>
          <w:left w:val="nil"/>
          <w:bottom w:val="nil"/>
          <w:right w:val="nil"/>
          <w:between w:val="nil"/>
        </w:pBdr>
        <w:ind w:left="720" w:right="333"/>
        <w:jc w:val="both"/>
        <w:rPr>
          <w:rFonts w:ascii="Palatino Linotype" w:eastAsia="Palatino Linotype" w:hAnsi="Palatino Linotype" w:cs="Palatino Linotype"/>
          <w:i/>
          <w:color w:val="000000"/>
          <w:sz w:val="22"/>
          <w:szCs w:val="22"/>
        </w:rPr>
      </w:pPr>
    </w:p>
    <w:p w:rsidR="00BE472E" w:rsidRDefault="00287457">
      <w:pPr>
        <w:pBdr>
          <w:top w:val="nil"/>
          <w:left w:val="nil"/>
          <w:bottom w:val="nil"/>
          <w:right w:val="nil"/>
          <w:between w:val="nil"/>
        </w:pBdr>
        <w:ind w:left="720"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93</w:t>
      </w:r>
      <w:r>
        <w:rPr>
          <w:rFonts w:ascii="Palatino Linotype" w:eastAsia="Palatino Linotype" w:hAnsi="Palatino Linotype" w:cs="Palatino Linotype"/>
          <w:i/>
          <w:color w:val="000000"/>
          <w:sz w:val="22"/>
          <w:szCs w:val="22"/>
        </w:rPr>
        <w:t>.- La tesorería municipal es el órgano encargado de la recaudación de los ingresos municipales y responsable de realizar las erogaciones que haga el ayuntamiento.</w:t>
      </w:r>
    </w:p>
    <w:p w:rsidR="00BE472E" w:rsidRDefault="00287457">
      <w:pPr>
        <w:pBdr>
          <w:top w:val="nil"/>
          <w:left w:val="nil"/>
          <w:bottom w:val="nil"/>
          <w:right w:val="nil"/>
          <w:between w:val="nil"/>
        </w:pBdr>
        <w:ind w:left="720"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95.-</w:t>
      </w:r>
      <w:r>
        <w:rPr>
          <w:rFonts w:ascii="Palatino Linotype" w:eastAsia="Palatino Linotype" w:hAnsi="Palatino Linotype" w:cs="Palatino Linotype"/>
          <w:i/>
          <w:color w:val="000000"/>
          <w:sz w:val="22"/>
          <w:szCs w:val="22"/>
        </w:rPr>
        <w:t xml:space="preserve"> Son atribuciones del tesorero municipal:</w:t>
      </w:r>
    </w:p>
    <w:p w:rsidR="00BE472E" w:rsidRDefault="00BE472E">
      <w:pPr>
        <w:pBdr>
          <w:top w:val="nil"/>
          <w:left w:val="nil"/>
          <w:bottom w:val="nil"/>
          <w:right w:val="nil"/>
          <w:between w:val="nil"/>
        </w:pBdr>
        <w:ind w:left="720" w:right="333"/>
        <w:jc w:val="both"/>
        <w:rPr>
          <w:rFonts w:ascii="Palatino Linotype" w:eastAsia="Palatino Linotype" w:hAnsi="Palatino Linotype" w:cs="Palatino Linotype"/>
          <w:i/>
          <w:color w:val="000000"/>
          <w:sz w:val="22"/>
          <w:szCs w:val="22"/>
        </w:rPr>
      </w:pPr>
    </w:p>
    <w:p w:rsidR="00BE472E" w:rsidRDefault="00287457">
      <w:pPr>
        <w:pBdr>
          <w:top w:val="nil"/>
          <w:left w:val="nil"/>
          <w:bottom w:val="nil"/>
          <w:right w:val="nil"/>
          <w:between w:val="nil"/>
        </w:pBdr>
        <w:ind w:left="720"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 Administrar la hacienda pública municipal, de conformidad con las disposiciones legales aplicables;</w:t>
      </w:r>
    </w:p>
    <w:p w:rsidR="00BE472E" w:rsidRDefault="00287457">
      <w:pPr>
        <w:pBdr>
          <w:top w:val="nil"/>
          <w:left w:val="nil"/>
          <w:bottom w:val="nil"/>
          <w:right w:val="nil"/>
          <w:between w:val="nil"/>
        </w:pBdr>
        <w:ind w:left="720"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Determinar, liquidar, recaudar, fiscalizar y administrar las contribuciones en los términos de los ordenamientos jurídicos aplicables y, en su caso, aplicar el procedimiento administrativo de ejecución en términos de las disposiciones aplicables;</w:t>
      </w:r>
    </w:p>
    <w:p w:rsidR="00BE472E" w:rsidRDefault="00287457">
      <w:pPr>
        <w:pBdr>
          <w:top w:val="nil"/>
          <w:left w:val="nil"/>
          <w:bottom w:val="nil"/>
          <w:right w:val="nil"/>
          <w:between w:val="nil"/>
        </w:pBdr>
        <w:ind w:left="720"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Imponer las sanciones administrativas que procedan por infracciones a las disposiciones fiscales;</w:t>
      </w:r>
    </w:p>
    <w:p w:rsidR="00BE472E" w:rsidRDefault="00287457">
      <w:pPr>
        <w:pBdr>
          <w:top w:val="nil"/>
          <w:left w:val="nil"/>
          <w:bottom w:val="nil"/>
          <w:right w:val="nil"/>
          <w:between w:val="nil"/>
        </w:pBdr>
        <w:ind w:left="720"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Llevar los registros contables, financieros y administrativos de los ingresos, egresos, e inventarios;</w:t>
      </w:r>
    </w:p>
    <w:p w:rsidR="00BE472E" w:rsidRDefault="00287457">
      <w:pPr>
        <w:pBdr>
          <w:top w:val="nil"/>
          <w:left w:val="nil"/>
          <w:bottom w:val="nil"/>
          <w:right w:val="nil"/>
          <w:between w:val="nil"/>
        </w:pBdr>
        <w:ind w:left="720"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 Proporcionar oportunamente al ayuntamiento todos los datos o informes que sean necesarios para la formulación del Presupuesto de Egresos Municipales, vigilando que se ajuste a las disposiciones de esta Ley y otros ordenamientos aplicables;</w:t>
      </w:r>
    </w:p>
    <w:p w:rsidR="00BE472E" w:rsidRDefault="00287457">
      <w:pPr>
        <w:pBdr>
          <w:top w:val="nil"/>
          <w:left w:val="nil"/>
          <w:bottom w:val="nil"/>
          <w:right w:val="nil"/>
          <w:between w:val="nil"/>
        </w:pBdr>
        <w:ind w:left="720"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 Presentar anualmente al ayuntamiento un informe de la situación contable financiera de la Tesorería Municipal;</w:t>
      </w:r>
    </w:p>
    <w:p w:rsidR="00BE472E" w:rsidRDefault="00287457">
      <w:pPr>
        <w:pBdr>
          <w:top w:val="nil"/>
          <w:left w:val="nil"/>
          <w:bottom w:val="nil"/>
          <w:right w:val="nil"/>
          <w:between w:val="nil"/>
        </w:pBdr>
        <w:ind w:left="720"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 Bis. Proporcionar para la formulación del proyecto de Presupuesto de Egresos Municipales la información financiera relativa a la solución o en su caso, el pago de los litigios laborales;</w:t>
      </w:r>
    </w:p>
    <w:p w:rsidR="00BE472E" w:rsidRDefault="00287457">
      <w:pPr>
        <w:pBdr>
          <w:top w:val="nil"/>
          <w:left w:val="nil"/>
          <w:bottom w:val="nil"/>
          <w:right w:val="nil"/>
          <w:between w:val="nil"/>
        </w:pBdr>
        <w:ind w:left="720"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 Diseñar y aprobar las formas oficiales de manifestaciones, avisos y declaraciones y demás documentos requeridos;</w:t>
      </w:r>
    </w:p>
    <w:p w:rsidR="00BE472E" w:rsidRDefault="00287457">
      <w:pPr>
        <w:pBdr>
          <w:top w:val="nil"/>
          <w:left w:val="nil"/>
          <w:bottom w:val="nil"/>
          <w:right w:val="nil"/>
          <w:between w:val="nil"/>
        </w:pBdr>
        <w:ind w:left="720"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VIII. Participar en la formulación de Convenios Fiscales y ejercer las atribuciones que le correspondan en el ámbito de su competencia;</w:t>
      </w:r>
    </w:p>
    <w:p w:rsidR="00BE472E" w:rsidRDefault="00287457">
      <w:pPr>
        <w:pBdr>
          <w:top w:val="nil"/>
          <w:left w:val="nil"/>
          <w:bottom w:val="nil"/>
          <w:right w:val="nil"/>
          <w:between w:val="nil"/>
        </w:pBdr>
        <w:ind w:left="720"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IX. Proponer al ayuntamiento la cancelación de cuentas incobrables;</w:t>
      </w:r>
    </w:p>
    <w:p w:rsidR="00BE472E" w:rsidRDefault="00287457">
      <w:pPr>
        <w:pBdr>
          <w:top w:val="nil"/>
          <w:left w:val="nil"/>
          <w:bottom w:val="nil"/>
          <w:right w:val="nil"/>
          <w:between w:val="nil"/>
        </w:pBdr>
        <w:ind w:left="720"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 Custodiar y ejercer las garantías que se otorguen en favor de la hacienda municipal;</w:t>
      </w:r>
    </w:p>
    <w:p w:rsidR="00BE472E" w:rsidRDefault="00287457">
      <w:pPr>
        <w:pBdr>
          <w:top w:val="nil"/>
          <w:left w:val="nil"/>
          <w:bottom w:val="nil"/>
          <w:right w:val="nil"/>
          <w:between w:val="nil"/>
        </w:pBdr>
        <w:ind w:left="720"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XI. Proponer la política de ingresos de la tesorería municipal;</w:t>
      </w:r>
    </w:p>
    <w:p w:rsidR="00BE472E" w:rsidRDefault="00287457">
      <w:pPr>
        <w:pBdr>
          <w:top w:val="nil"/>
          <w:left w:val="nil"/>
          <w:bottom w:val="nil"/>
          <w:right w:val="nil"/>
          <w:between w:val="nil"/>
        </w:pBdr>
        <w:ind w:left="720"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XII. Intervenir en la elaboración del programa financiero municipal;</w:t>
      </w:r>
    </w:p>
    <w:p w:rsidR="00BE472E" w:rsidRDefault="00287457">
      <w:pPr>
        <w:pBdr>
          <w:top w:val="nil"/>
          <w:left w:val="nil"/>
          <w:bottom w:val="nil"/>
          <w:right w:val="nil"/>
          <w:between w:val="nil"/>
        </w:pBdr>
        <w:ind w:left="720"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XIII. Elaborar y mantener actualizado el Padrón de Contribuyentes;</w:t>
      </w:r>
    </w:p>
    <w:p w:rsidR="00BE472E" w:rsidRDefault="00287457">
      <w:pPr>
        <w:pBdr>
          <w:top w:val="nil"/>
          <w:left w:val="nil"/>
          <w:bottom w:val="nil"/>
          <w:right w:val="nil"/>
          <w:between w:val="nil"/>
        </w:pBdr>
        <w:ind w:left="720"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XIV. Ministrar a su inmediato antecesor todos los datos oficiales que le solicitare, para contestar los pliegos de observaciones y alcances que formule y deduzca el Órgano Superior de Fiscalización del Estado de México;</w:t>
      </w:r>
    </w:p>
    <w:p w:rsidR="00BE472E" w:rsidRDefault="00287457">
      <w:pPr>
        <w:pBdr>
          <w:top w:val="nil"/>
          <w:left w:val="nil"/>
          <w:bottom w:val="nil"/>
          <w:right w:val="nil"/>
          <w:between w:val="nil"/>
        </w:pBdr>
        <w:ind w:left="720"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XV. Solicitar a las instancias competentes, la práctica de revisiones circunstanciadas, de conformidad con las normas que rigen en materia de control y evaluación gubernamental en el ámbito municipal;</w:t>
      </w:r>
    </w:p>
    <w:p w:rsidR="00BE472E" w:rsidRDefault="00287457">
      <w:pPr>
        <w:pBdr>
          <w:top w:val="nil"/>
          <w:left w:val="nil"/>
          <w:bottom w:val="nil"/>
          <w:right w:val="nil"/>
          <w:between w:val="nil"/>
        </w:pBdr>
        <w:ind w:left="720"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XVI. Glosar oportunamente las cuentas del ayuntamiento;</w:t>
      </w:r>
      <w:r>
        <w:rPr>
          <w:rFonts w:ascii="Palatino Linotype" w:eastAsia="Palatino Linotype" w:hAnsi="Palatino Linotype" w:cs="Palatino Linotype"/>
          <w:i/>
          <w:color w:val="000000"/>
          <w:sz w:val="22"/>
          <w:szCs w:val="22"/>
        </w:rPr>
        <w:br/>
      </w:r>
      <w:r>
        <w:rPr>
          <w:rFonts w:eastAsia="Calibri"/>
          <w:color w:val="000000"/>
          <w:sz w:val="22"/>
          <w:szCs w:val="22"/>
        </w:rPr>
        <w:t xml:space="preserve"> </w:t>
      </w:r>
      <w:r>
        <w:rPr>
          <w:rFonts w:ascii="Palatino Linotype" w:eastAsia="Palatino Linotype" w:hAnsi="Palatino Linotype" w:cs="Palatino Linotype"/>
          <w:i/>
          <w:color w:val="000000"/>
          <w:sz w:val="22"/>
          <w:szCs w:val="22"/>
        </w:rPr>
        <w:t>XVII. Contestar oportunamente los pliegos de observaciones y responsabilidad que haga el Órgano Superior de Fiscalización del Estado de México, así como atender en tiempo y forma las solicitudes de información que éste requiera, informando al Ayuntamiento;</w:t>
      </w:r>
    </w:p>
    <w:p w:rsidR="00BE472E" w:rsidRDefault="00287457">
      <w:pPr>
        <w:pBdr>
          <w:top w:val="nil"/>
          <w:left w:val="nil"/>
          <w:bottom w:val="nil"/>
          <w:right w:val="nil"/>
          <w:between w:val="nil"/>
        </w:pBdr>
        <w:ind w:left="720"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XVIII. Expedir copias certificadas de los documentos a su cuidado, por acuerdo expreso del Ayuntamiento y cuando se trate de documentación presentada ante el Órgano Superior de Fiscalización del Estado de México;</w:t>
      </w:r>
    </w:p>
    <w:p w:rsidR="00BE472E" w:rsidRDefault="00287457">
      <w:pPr>
        <w:pBdr>
          <w:top w:val="nil"/>
          <w:left w:val="nil"/>
          <w:bottom w:val="nil"/>
          <w:right w:val="nil"/>
          <w:between w:val="nil"/>
        </w:pBdr>
        <w:ind w:left="720"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XIX. Recaudar y administrar los ingresos que se deriven de la suscripción de convenios, acuerdos o la emisión de declaratorias de coordinación; los relativos a las transferencias otorgadas a favor del Municipio en el marco del Sistema Nacional o Estatal de Coordinación Fiscal, o los que reciba por cualquier otro concepto; así como el importe de las sanciones por infracciones impuestas por las autoridades competentes, por la inobservancia de las diversas disposiciones y ordenamientos legales, constituyendo los créditos fiscales correspondientes;</w:t>
      </w:r>
    </w:p>
    <w:p w:rsidR="00BE472E" w:rsidRDefault="00287457">
      <w:pPr>
        <w:pBdr>
          <w:top w:val="nil"/>
          <w:left w:val="nil"/>
          <w:bottom w:val="nil"/>
          <w:right w:val="nil"/>
          <w:between w:val="nil"/>
        </w:pBdr>
        <w:ind w:left="720"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XX. Dar cumplimiento a las leyes, convenios de coordinación fiscal y demás que en materia hacendaria celebre el Ayuntamiento con el Estado;</w:t>
      </w:r>
    </w:p>
    <w:p w:rsidR="00BE472E" w:rsidRDefault="00287457">
      <w:pPr>
        <w:pBdr>
          <w:top w:val="nil"/>
          <w:left w:val="nil"/>
          <w:bottom w:val="nil"/>
          <w:right w:val="nil"/>
          <w:between w:val="nil"/>
        </w:pBdr>
        <w:ind w:left="720"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XXI. Entregar oportunamente a él o los Síndicos, según sea el caso, el informe mensual que corresponda, a fin de que se revise, y de ser necesario, para que se formulen las observaciones respectivas.</w:t>
      </w:r>
    </w:p>
    <w:p w:rsidR="00BE472E" w:rsidRDefault="00287457">
      <w:pPr>
        <w:pBdr>
          <w:top w:val="nil"/>
          <w:left w:val="nil"/>
          <w:bottom w:val="nil"/>
          <w:right w:val="nil"/>
          <w:between w:val="nil"/>
        </w:pBdr>
        <w:ind w:left="720"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XXII. Las que les señalen las demás disposiciones legales y el ayuntamiento.</w:t>
      </w:r>
    </w:p>
    <w:p w:rsidR="00BE472E" w:rsidRDefault="00BE472E">
      <w:pPr>
        <w:pBdr>
          <w:top w:val="nil"/>
          <w:left w:val="nil"/>
          <w:bottom w:val="nil"/>
          <w:right w:val="nil"/>
          <w:between w:val="nil"/>
        </w:pBdr>
        <w:ind w:left="720" w:right="333"/>
        <w:jc w:val="both"/>
        <w:rPr>
          <w:rFonts w:ascii="Palatino Linotype" w:eastAsia="Palatino Linotype" w:hAnsi="Palatino Linotype" w:cs="Palatino Linotype"/>
          <w:i/>
          <w:color w:val="000000"/>
        </w:rPr>
      </w:pPr>
    </w:p>
    <w:p w:rsidR="00BE472E" w:rsidRDefault="00287457">
      <w:pPr>
        <w:numPr>
          <w:ilvl w:val="0"/>
          <w:numId w:val="6"/>
        </w:numPr>
        <w:spacing w:line="360" w:lineRule="auto"/>
        <w:ind w:left="0" w:firstLine="0"/>
        <w:jc w:val="both"/>
        <w:rPr>
          <w:color w:val="000000"/>
        </w:rPr>
      </w:pPr>
      <w:r>
        <w:rPr>
          <w:rFonts w:ascii="Palatino Linotype" w:eastAsia="Palatino Linotype" w:hAnsi="Palatino Linotype" w:cs="Palatino Linotype"/>
          <w:color w:val="000000"/>
        </w:rPr>
        <w:t xml:space="preserve">De lo anteriormente citado es de señalar que el Ley en cita señala que para para el despacho, estudio y planeación de los diversos asuntos de la administración municipal, el ayuntamiento contará por lo menos con dependencias, entre las que </w:t>
      </w:r>
      <w:r>
        <w:rPr>
          <w:rFonts w:ascii="Palatino Linotype" w:eastAsia="Palatino Linotype" w:hAnsi="Palatino Linotype" w:cs="Palatino Linotype"/>
          <w:color w:val="000000"/>
        </w:rPr>
        <w:lastRenderedPageBreak/>
        <w:t>encontramos a la Tesorería Municipal, como parte integrante del Ayuntamiento, la cual, es la encargada de la recaudación de los ingresos municipales y responsable de realizar las erogaciones que haga el ayuntamiento.</w:t>
      </w:r>
    </w:p>
    <w:p w:rsidR="00BE472E" w:rsidRDefault="00BE472E">
      <w:pPr>
        <w:spacing w:line="360" w:lineRule="auto"/>
        <w:jc w:val="both"/>
        <w:rPr>
          <w:rFonts w:ascii="Palatino Linotype" w:eastAsia="Palatino Linotype" w:hAnsi="Palatino Linotype" w:cs="Palatino Linotype"/>
          <w:color w:val="000000"/>
        </w:rPr>
      </w:pPr>
    </w:p>
    <w:p w:rsidR="00BE472E" w:rsidRDefault="00287457">
      <w:pPr>
        <w:numPr>
          <w:ilvl w:val="0"/>
          <w:numId w:val="6"/>
        </w:numPr>
        <w:spacing w:line="360" w:lineRule="auto"/>
        <w:ind w:left="0" w:firstLine="0"/>
        <w:jc w:val="both"/>
      </w:pPr>
      <w:r>
        <w:rPr>
          <w:rFonts w:ascii="Palatino Linotype" w:eastAsia="Palatino Linotype" w:hAnsi="Palatino Linotype" w:cs="Palatino Linotype"/>
        </w:rPr>
        <w:t>El Bando Municipal del Ayuntamiento de Tlalnepantla de Baz, en su artículo 33 señala lo siguiente:</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33.</w:t>
      </w:r>
      <w:r>
        <w:rPr>
          <w:rFonts w:ascii="Palatino Linotype" w:eastAsia="Palatino Linotype" w:hAnsi="Palatino Linotype" w:cs="Palatino Linotype"/>
          <w:i/>
          <w:sz w:val="22"/>
          <w:szCs w:val="22"/>
        </w:rPr>
        <w:t xml:space="preserve"> La Administración Pública Municipal Centralizada estará integrada por las siguientes dependencias administrativas:</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Presidencia Municipal;</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Secretaría del Ayuntamiento;</w:t>
      </w:r>
    </w:p>
    <w:p w:rsidR="00BE472E" w:rsidRDefault="00287457">
      <w:pPr>
        <w:spacing w:line="360" w:lineRule="auto"/>
        <w:ind w:left="567" w:right="333"/>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III. Tesorería Municipal;</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Secretaría Técnica;</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 Contraloría Interna Municipal;</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 Dirección de Administración;</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BE472E" w:rsidRDefault="00BE472E">
      <w:pPr>
        <w:spacing w:line="360" w:lineRule="auto"/>
        <w:ind w:left="567" w:right="333"/>
        <w:jc w:val="both"/>
        <w:rPr>
          <w:rFonts w:ascii="Palatino Linotype" w:eastAsia="Palatino Linotype" w:hAnsi="Palatino Linotype" w:cs="Palatino Linotype"/>
          <w:i/>
          <w:sz w:val="22"/>
          <w:szCs w:val="22"/>
        </w:rPr>
      </w:pPr>
    </w:p>
    <w:p w:rsidR="00BE472E" w:rsidRDefault="00287457">
      <w:pPr>
        <w:numPr>
          <w:ilvl w:val="0"/>
          <w:numId w:val="6"/>
        </w:numPr>
        <w:spacing w:line="360" w:lineRule="auto"/>
        <w:ind w:left="0" w:firstLine="0"/>
        <w:jc w:val="both"/>
      </w:pPr>
      <w:r>
        <w:rPr>
          <w:rFonts w:ascii="Palatino Linotype" w:eastAsia="Palatino Linotype" w:hAnsi="Palatino Linotype" w:cs="Palatino Linotype"/>
        </w:rPr>
        <w:t>Por</w:t>
      </w:r>
      <w:r w:rsidR="00097F6C">
        <w:rPr>
          <w:rFonts w:ascii="Palatino Linotype" w:eastAsia="Palatino Linotype" w:hAnsi="Palatino Linotype" w:cs="Palatino Linotype"/>
        </w:rPr>
        <w:t xml:space="preserve"> otra parte el Bando Municipal, </w:t>
      </w:r>
      <w:r>
        <w:rPr>
          <w:rFonts w:ascii="Palatino Linotype" w:eastAsia="Palatino Linotype" w:hAnsi="Palatino Linotype" w:cs="Palatino Linotype"/>
        </w:rPr>
        <w:t xml:space="preserve">de igual forma contempla a la Tesorería Municipal como parte de las dependencias administrativas del Ayuntamiento de </w:t>
      </w:r>
      <w:r w:rsidR="0069043F">
        <w:rPr>
          <w:rFonts w:ascii="Palatino Linotype" w:eastAsia="Palatino Linotype" w:hAnsi="Palatino Linotype" w:cs="Palatino Linotype"/>
        </w:rPr>
        <w:t>Tlalnepantla</w:t>
      </w:r>
      <w:r>
        <w:rPr>
          <w:rFonts w:ascii="Palatino Linotype" w:eastAsia="Palatino Linotype" w:hAnsi="Palatino Linotype" w:cs="Palatino Linotype"/>
        </w:rPr>
        <w:t xml:space="preserve"> de Baz.</w:t>
      </w:r>
    </w:p>
    <w:p w:rsidR="00BE472E" w:rsidRDefault="00BE472E">
      <w:pPr>
        <w:spacing w:line="360" w:lineRule="auto"/>
        <w:jc w:val="both"/>
        <w:rPr>
          <w:rFonts w:ascii="Palatino Linotype" w:eastAsia="Palatino Linotype" w:hAnsi="Palatino Linotype" w:cs="Palatino Linotype"/>
        </w:rPr>
      </w:pPr>
    </w:p>
    <w:p w:rsidR="00BE472E" w:rsidRDefault="00287457">
      <w:pPr>
        <w:numPr>
          <w:ilvl w:val="0"/>
          <w:numId w:val="6"/>
        </w:numPr>
        <w:spacing w:line="360" w:lineRule="auto"/>
        <w:ind w:left="0" w:firstLine="0"/>
        <w:jc w:val="both"/>
      </w:pPr>
      <w:r>
        <w:rPr>
          <w:rFonts w:ascii="Palatino Linotype" w:eastAsia="Palatino Linotype" w:hAnsi="Palatino Linotype" w:cs="Palatino Linotype"/>
        </w:rPr>
        <w:t>El Reglamento Interno de la Administración Pública Municipal de Tlalnepantla de Baz, en su artículo 131 establece lo siguiente:</w:t>
      </w:r>
    </w:p>
    <w:p w:rsidR="00BE472E" w:rsidRDefault="00BE472E">
      <w:pPr>
        <w:spacing w:line="360" w:lineRule="auto"/>
        <w:jc w:val="both"/>
        <w:rPr>
          <w:rFonts w:ascii="Palatino Linotype" w:eastAsia="Palatino Linotype" w:hAnsi="Palatino Linotype" w:cs="Palatino Linotype"/>
        </w:rPr>
      </w:pP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ARTÍCULO 131.</w:t>
      </w:r>
      <w:r>
        <w:rPr>
          <w:rFonts w:ascii="Palatino Linotype" w:eastAsia="Palatino Linotype" w:hAnsi="Palatino Linotype" w:cs="Palatino Linotype"/>
          <w:i/>
          <w:sz w:val="22"/>
          <w:szCs w:val="22"/>
        </w:rPr>
        <w:t xml:space="preserve"> La Tesorería Municipal, además de cumplir con los requisitos que establecen los Artículos 32 y 96 de la LOMEM, y las atribuciones del artículo 95 de la misma Ley, tendrá las siguientes facultades y obligaciones:</w:t>
      </w:r>
    </w:p>
    <w:p w:rsidR="00BE472E" w:rsidRDefault="00BE472E">
      <w:pPr>
        <w:spacing w:line="360" w:lineRule="auto"/>
        <w:ind w:left="567" w:right="333"/>
        <w:jc w:val="both"/>
        <w:rPr>
          <w:rFonts w:ascii="Palatino Linotype" w:eastAsia="Palatino Linotype" w:hAnsi="Palatino Linotype" w:cs="Palatino Linotype"/>
          <w:i/>
          <w:sz w:val="22"/>
          <w:szCs w:val="22"/>
        </w:rPr>
      </w:pP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Asesorar a las dependencias de la Administración Pública Municipal, en la formulación y programación de su anteproyecto de presupuesto de egresos de cada ejercicio fiscal;</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Integrar, revisar y validar conjuntamente con el Instituto Municipal de Planeación, los anteproyectos de presupuesto con base a resultados de las dependencias municipales;</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Consolidar los proyectos de presupuestos de las diferentes dependencias de la</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Administración Pública Municipal y someterlos al Ayuntamiento para su aprobación;</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Proponer al Ayuntamiento por conducto del Presidente Municipal, las políticas, estrategias y campañas para incrementar los ingresos de la Hacienda Pública Municipal;</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 Mejorar permanentemente los sistemas de recaudación para el fortalecimiento de la Hacienda Municipal;</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 Integrar y presentar al Ayuntamiento el proyecto de presupuesto de egresos municipales para su aprobación en Sesión del Ayuntamiento, en base a los ingresos presupuestados para el ejercicio que corresponda, vigilando que se ajuste a la normatividad aplicable;</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 Diseñar, aprobar y actualizar las formas oficiales de manifestaciones, avisos, declaraciones y demás documentos requeridos;</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VIII. Presentar anualmente al Ayuntamiento por conducto del Presidente Municipal, un informe de la situación contable financiera de la Tesorería;</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IX. Elaborar políticas, lineamientos y normas para la instrumentación, implementación y modernización del proceso de planeación, programación, </w:t>
      </w:r>
      <w:proofErr w:type="spellStart"/>
      <w:r>
        <w:rPr>
          <w:rFonts w:ascii="Palatino Linotype" w:eastAsia="Palatino Linotype" w:hAnsi="Palatino Linotype" w:cs="Palatino Linotype"/>
          <w:i/>
          <w:sz w:val="22"/>
          <w:szCs w:val="22"/>
        </w:rPr>
        <w:t>presupuestación</w:t>
      </w:r>
      <w:proofErr w:type="spellEnd"/>
      <w:r>
        <w:rPr>
          <w:rFonts w:ascii="Palatino Linotype" w:eastAsia="Palatino Linotype" w:hAnsi="Palatino Linotype" w:cs="Palatino Linotype"/>
          <w:i/>
          <w:sz w:val="22"/>
          <w:szCs w:val="22"/>
        </w:rPr>
        <w:t xml:space="preserve">, control y evaluación del gasto público municipal, acorde a lo establecido en el Plan de Desarrollo </w:t>
      </w:r>
      <w:r>
        <w:rPr>
          <w:rFonts w:ascii="Palatino Linotype" w:eastAsia="Palatino Linotype" w:hAnsi="Palatino Linotype" w:cs="Palatino Linotype"/>
          <w:i/>
          <w:sz w:val="22"/>
          <w:szCs w:val="22"/>
        </w:rPr>
        <w:lastRenderedPageBreak/>
        <w:t>Municipal y los programas que deriven de éste, observando la congruencia con el Plan Nacional de Desarrollo y el Plan de Desarrollo Estatal;</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 Establecer lineamientos para la instrumentación de sistemas de estadística e informática en las dependencias de la Administración Pública Municipal, en materia hacendaria y de recaudación;</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XI. Someter a consideración del Ayuntamiento las normas que sobre subsidios conceda a entidades, instituciones públicas, privadas y a los particulares, atendiendo a las disposiciones jurídicas aplicables;</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XII. Controlar y evaluar el ejercicio de la inversión y gasto público municipal, observando su congruencia con los objetivos y metas señaladas en el Plan de Desarrollo Municipal y la normatividad aplicable;</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XIII. Integrar los calendarios de gasto, ministraciones, ampliaciones y reducciones líquidas, liberaciones, retenciones, recalendarizaciones y traspasos presupuestarios de las dependencias de la Administración Pública Municipal, sobre la base de estudios y la disponibilidad financiera;</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XIV. Preparar y emitir opinión con relación a los convenios, contratos y autorizaciones que celebre el Ayuntamiento cuando se refieran a asuntos de su competencia;</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XV. Resolver y gestionar las solicitudes de devolución, compensación, prórroga, condonación, exenciones y subsidios;</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XVI. Solicitar la aprobación del Ayuntamiento para la celebración de campañas en materia de estímulos fiscales;</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XVII. Vigilar el correcto funcionamiento del sistema para la tramitación y pago del impuesto sobre adquisición de inmuebles y otras operaciones traslativas de dominio, que se realicen vía internet;</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XVIII. Firmar los certificados de pago de impuesto predial y en su caso, de aportaciones para mejoras, en forma autógrafa o a través de la firma digital emitida por la Dirección de Servicios Estatales de Informática;</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XIX. Imponer las sanciones que correspondan por infracciones a las disposiciones fiscales y, en su caso, ordenar la aplicación del procedimiento administrativo de ejecución;</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XX. Gestionar y administrar las cantidades que le correspondan al Municipio, derivadas de los convenios con la Federación y el Estado, en los términos de la Ley de Coordinación Fiscal, convenios de colaboración administrativa y demás ordenamientos legales;</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XXI. Resolver a través de la Unidad Administrativa competente, las consultas que en materia de impuestos o derechos realicen los contribuyentes;</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XXII. Emitir y firmar los nombramientos del personal que se desempeñará como notificador ejecutor;</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XXIII. Determinar, previo acuerdo del Ayuntamiento, las reducciones, diferimientos o cancelaciones de programas, proyectos y conceptos de gasto de las dependencias de la Administración Pública Municipal, cuando represente la posibilidad de obtener ahorros en función de la productividad y eficiencia de las mismas, cuando dejen de cumplir sus propósitos, o en el caso de situaciones supervenientes;</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XXIV. Dirigir las actividades del Catastro Municipal, a través de la </w:t>
      </w:r>
      <w:proofErr w:type="spellStart"/>
      <w:r>
        <w:rPr>
          <w:rFonts w:ascii="Palatino Linotype" w:eastAsia="Palatino Linotype" w:hAnsi="Palatino Linotype" w:cs="Palatino Linotype"/>
          <w:i/>
          <w:sz w:val="22"/>
          <w:szCs w:val="22"/>
        </w:rPr>
        <w:t>Subtesorería</w:t>
      </w:r>
      <w:proofErr w:type="spellEnd"/>
      <w:r>
        <w:rPr>
          <w:rFonts w:ascii="Palatino Linotype" w:eastAsia="Palatino Linotype" w:hAnsi="Palatino Linotype" w:cs="Palatino Linotype"/>
          <w:i/>
          <w:sz w:val="22"/>
          <w:szCs w:val="22"/>
        </w:rPr>
        <w:t xml:space="preserve"> de</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Ingresos;</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XXV. Proponer al Ayuntamiento a través del Presidente Municipal, la liquidación, venta, fusión, extinción de entidades de la Administración Pública Municipal;</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XXVI. Impulsar la capacitación y actualización de los funcionarios y empleados de la Tesorería;</w:t>
      </w:r>
    </w:p>
    <w:p w:rsidR="00BE472E" w:rsidRDefault="00287457">
      <w:pPr>
        <w:spacing w:line="360" w:lineRule="auto"/>
        <w:ind w:left="567" w:right="333"/>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XXVII. Otorgar subsidios en multas, recargos y accesorios derivados de créditos fiscales con la finalidad de incentivar la disminución del rezago hacendario;</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XXVIII. Rendir de manera mensual y pública el estado que guarda la Hacienda Pública Municipal; y</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XXIX. Las demás que les confieran las leyes y reglamentos en la materia.</w:t>
      </w:r>
    </w:p>
    <w:p w:rsidR="00BE472E" w:rsidRDefault="00BE472E">
      <w:pPr>
        <w:rPr>
          <w:rFonts w:ascii="Palatino Linotype" w:eastAsia="Palatino Linotype" w:hAnsi="Palatino Linotype" w:cs="Palatino Linotype"/>
        </w:rPr>
      </w:pPr>
    </w:p>
    <w:p w:rsidR="00BE472E" w:rsidRDefault="00287457">
      <w:pPr>
        <w:numPr>
          <w:ilvl w:val="0"/>
          <w:numId w:val="6"/>
        </w:numPr>
        <w:spacing w:line="360" w:lineRule="auto"/>
        <w:ind w:left="0" w:firstLine="0"/>
        <w:jc w:val="both"/>
      </w:pPr>
      <w:r>
        <w:rPr>
          <w:rFonts w:ascii="Palatino Linotype" w:eastAsia="Palatino Linotype" w:hAnsi="Palatino Linotype" w:cs="Palatino Linotype"/>
        </w:rPr>
        <w:t>Ahora bien, el Reglamento en cita señala que la Tesorería Municipal a parte de las atribuciones que le otorga la Ley Orgánica Municipal del Estado de México, tendrá l facultades y obligaciones, de la cual cabe destacar que tendrá como atribución, otorgar subsidios en multas, recargos y accesorios derivados de créditos fiscales con la finalidad de incentivar la disminución del rezago hacendario.</w:t>
      </w:r>
    </w:p>
    <w:p w:rsidR="00BE472E" w:rsidRDefault="00BE472E">
      <w:pPr>
        <w:spacing w:line="360" w:lineRule="auto"/>
        <w:jc w:val="both"/>
        <w:rPr>
          <w:rFonts w:ascii="Palatino Linotype" w:eastAsia="Palatino Linotype" w:hAnsi="Palatino Linotype" w:cs="Palatino Linotype"/>
          <w:b/>
          <w:sz w:val="22"/>
          <w:szCs w:val="22"/>
        </w:rPr>
      </w:pPr>
    </w:p>
    <w:p w:rsidR="00BE472E" w:rsidRDefault="00287457">
      <w:pPr>
        <w:numPr>
          <w:ilvl w:val="0"/>
          <w:numId w:val="6"/>
        </w:numPr>
        <w:spacing w:line="360" w:lineRule="auto"/>
        <w:ind w:left="0" w:firstLine="0"/>
        <w:jc w:val="both"/>
      </w:pPr>
      <w:r>
        <w:rPr>
          <w:rFonts w:ascii="Palatino Linotype" w:eastAsia="Palatino Linotype" w:hAnsi="Palatino Linotype" w:cs="Palatino Linotype"/>
        </w:rPr>
        <w:t xml:space="preserve">La Ley de Transparencia y Acceso a la Información Pública del Estado de México en su Capítulo II de las Obligaciones de Transparencia comunes, en su artículo 92 fracción XIV establece lo siguientes: </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92</w:t>
      </w:r>
      <w:r>
        <w:rPr>
          <w:rFonts w:ascii="Palatino Linotype" w:eastAsia="Palatino Linotype" w:hAnsi="Palatino Linotype" w:cs="Palatino Linotype"/>
          <w:i/>
          <w:sz w:val="22"/>
          <w:szCs w:val="22"/>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BE472E" w:rsidRDefault="00BE472E">
      <w:pPr>
        <w:spacing w:line="360" w:lineRule="auto"/>
        <w:ind w:left="567" w:right="333"/>
        <w:jc w:val="both"/>
        <w:rPr>
          <w:rFonts w:ascii="Palatino Linotype" w:eastAsia="Palatino Linotype" w:hAnsi="Palatino Linotype" w:cs="Palatino Linotype"/>
          <w:i/>
          <w:sz w:val="22"/>
          <w:szCs w:val="22"/>
        </w:rPr>
      </w:pP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XIV.</w:t>
      </w:r>
      <w:r>
        <w:rPr>
          <w:rFonts w:ascii="Palatino Linotype" w:eastAsia="Palatino Linotype" w:hAnsi="Palatino Linotype" w:cs="Palatino Linotype"/>
          <w:i/>
          <w:sz w:val="22"/>
          <w:szCs w:val="22"/>
        </w:rPr>
        <w:t xml:space="preserve"> La información de los programas de subsidios, estímulos y apoyos, en el que se deberá informar respecto de los programas de transferencia, de servicios, de infraestructura social y de subsidio, en los que se deberá contener lo siguiente:</w:t>
      </w:r>
    </w:p>
    <w:p w:rsidR="00BE472E" w:rsidRDefault="00BE472E">
      <w:pPr>
        <w:spacing w:line="360" w:lineRule="auto"/>
        <w:ind w:left="567" w:right="333"/>
        <w:jc w:val="both"/>
        <w:rPr>
          <w:rFonts w:ascii="Palatino Linotype" w:eastAsia="Palatino Linotype" w:hAnsi="Palatino Linotype" w:cs="Palatino Linotype"/>
          <w:i/>
          <w:sz w:val="22"/>
          <w:szCs w:val="22"/>
        </w:rPr>
      </w:pP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 Área;</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b) Denominación del programa;</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 Periodo de vigencia;</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d) Diseño, objetivos y alcances;</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 Metas físicas;</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f) Población beneficiada estimada;</w:t>
      </w:r>
    </w:p>
    <w:p w:rsidR="00BE472E" w:rsidRDefault="00287457">
      <w:pPr>
        <w:spacing w:line="360" w:lineRule="auto"/>
        <w:ind w:left="567" w:right="333"/>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g) Monto aprobado, modificado y ejercido, así como los calendarios de su programación presupuestal;</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h) Requisitos y procedimientos de acceso;</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Procedimiento de queja o inconformidad ciudadana;</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j) Mecanismos de exigibilidad;</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k) Mecanismos e informes de evaluación y seguimiento de recomendaciones;</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 Indicadores con nombre, definición, método de cálculo, unidad de medida; dimensión, frecuencia de medición, nombre de las bases de datos utilizadas para su cálculo;</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m) Formas de participación social;</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 Articulación con otros programas sociales;</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ñ) Vínculo a las reglas de operación o documento equivalente;</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o) Informes periódicos sobre la ejecución y los resultados de las evaluaciones realizadas; y</w:t>
      </w:r>
    </w:p>
    <w:p w:rsidR="00BE472E" w:rsidRDefault="00287457">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 Padrón de beneficiarios mismo que deberá contener los siguientes datos: nombre de la persona física o denominación social de las personas jurídicas colectivas beneficiadas, el monto, recurso, beneficio o apoyo otorgado para cada una de ellas, unidad territorial, en su caso, edad y sexo.</w:t>
      </w:r>
    </w:p>
    <w:p w:rsidR="00BE472E" w:rsidRDefault="00BE472E">
      <w:pPr>
        <w:spacing w:line="360" w:lineRule="auto"/>
        <w:ind w:left="567" w:right="333"/>
        <w:jc w:val="both"/>
        <w:rPr>
          <w:rFonts w:ascii="Palatino Linotype" w:eastAsia="Palatino Linotype" w:hAnsi="Palatino Linotype" w:cs="Palatino Linotype"/>
          <w:i/>
          <w:sz w:val="22"/>
          <w:szCs w:val="22"/>
        </w:rPr>
      </w:pPr>
    </w:p>
    <w:p w:rsidR="00BE472E" w:rsidRDefault="00287457">
      <w:pPr>
        <w:numPr>
          <w:ilvl w:val="0"/>
          <w:numId w:val="6"/>
        </w:numPr>
        <w:spacing w:line="360" w:lineRule="auto"/>
        <w:ind w:left="0" w:firstLine="0"/>
        <w:jc w:val="both"/>
      </w:pPr>
      <w:r>
        <w:rPr>
          <w:rFonts w:ascii="Palatino Linotype" w:eastAsia="Palatino Linotype" w:hAnsi="Palatino Linotype" w:cs="Palatino Linotype"/>
        </w:rPr>
        <w:t xml:space="preserve">Es así como el Sujeto Obligado, tiene la obligación de transparentar la </w:t>
      </w:r>
      <w:r w:rsidR="00097F6C">
        <w:rPr>
          <w:rFonts w:ascii="Palatino Linotype" w:eastAsia="Palatino Linotype" w:hAnsi="Palatino Linotype" w:cs="Palatino Linotype"/>
        </w:rPr>
        <w:t xml:space="preserve">información al público </w:t>
      </w:r>
      <w:r>
        <w:rPr>
          <w:rFonts w:ascii="Palatino Linotype" w:eastAsia="Palatino Linotype" w:hAnsi="Palatino Linotype" w:cs="Palatino Linotype"/>
        </w:rPr>
        <w:t>de manera permanente y actualizada de forma sencilla, precisa y entendible, en los respectivos medios electrónicos, de acuerdo con sus facultades, atribuciones, funciones u objeto social, según corresponda la información.</w:t>
      </w:r>
    </w:p>
    <w:p w:rsidR="00BE472E" w:rsidRPr="0069043F" w:rsidRDefault="00287457">
      <w:pPr>
        <w:numPr>
          <w:ilvl w:val="0"/>
          <w:numId w:val="6"/>
        </w:numPr>
        <w:spacing w:line="360" w:lineRule="auto"/>
        <w:ind w:left="0" w:firstLine="0"/>
        <w:jc w:val="both"/>
      </w:pPr>
      <w:r>
        <w:rPr>
          <w:rFonts w:ascii="Palatino Linotype" w:eastAsia="Palatino Linotype" w:hAnsi="Palatino Linotype" w:cs="Palatino Linotype"/>
        </w:rPr>
        <w:lastRenderedPageBreak/>
        <w:t xml:space="preserve">Ahora bien el Ayuntamiento de Tlalnepantla de Baz, tiene la obligación de otorgar subsidios en multas, recargos y accesorios derivados de créditos fiscales con la finalidad de incentivar la disminución del rezago hacendario de igual forma tiene la obligación de transparentar la información al público , toda vez que esta corresponde </w:t>
      </w:r>
      <w:r w:rsidRPr="0069043F">
        <w:rPr>
          <w:rFonts w:ascii="Palatino Linotype" w:eastAsia="Palatino Linotype" w:hAnsi="Palatino Linotype" w:cs="Palatino Linotype"/>
        </w:rPr>
        <w:t>a una obligación de transparencia común.</w:t>
      </w:r>
    </w:p>
    <w:p w:rsidR="00E77BC0" w:rsidRPr="0069043F" w:rsidRDefault="00E77BC0" w:rsidP="00E77BC0">
      <w:pPr>
        <w:spacing w:line="360" w:lineRule="auto"/>
        <w:jc w:val="both"/>
      </w:pPr>
    </w:p>
    <w:p w:rsidR="00097F6C" w:rsidRPr="0069043F" w:rsidRDefault="00097F6C">
      <w:pPr>
        <w:numPr>
          <w:ilvl w:val="0"/>
          <w:numId w:val="6"/>
        </w:numPr>
        <w:spacing w:line="360" w:lineRule="auto"/>
        <w:ind w:left="0" w:firstLine="0"/>
        <w:jc w:val="both"/>
      </w:pPr>
      <w:r w:rsidRPr="0069043F">
        <w:rPr>
          <w:rFonts w:ascii="Palatino Linotype" w:eastAsia="Palatino Linotype" w:hAnsi="Palatino Linotype" w:cs="Palatino Linotype"/>
        </w:rPr>
        <w:t>Ahora bien, de igual forma derivado de la respuesta emitida por el Sujeto Obligado, este Órgano Garante se dio a la tarea de realizar una búsqueda respecto a la información solicitada, derivado de dicha búsqueda se encontró en su página oficial del Sujeto Obligado el Comunicado 086, el  cual se inserta.</w:t>
      </w:r>
    </w:p>
    <w:p w:rsidR="00097F6C" w:rsidRPr="00E77BC0" w:rsidRDefault="00097F6C" w:rsidP="00E15C00">
      <w:pPr>
        <w:spacing w:line="360" w:lineRule="auto"/>
        <w:ind w:left="567"/>
        <w:jc w:val="both"/>
        <w:rPr>
          <w:highlight w:val="yellow"/>
        </w:rPr>
      </w:pPr>
      <w:r w:rsidRPr="0069043F">
        <w:rPr>
          <w:noProof/>
          <w:lang w:val="es-MX" w:eastAsia="es-MX"/>
        </w:rPr>
        <w:drawing>
          <wp:inline distT="0" distB="0" distL="0" distR="0" wp14:anchorId="444D24F9" wp14:editId="764EFD42">
            <wp:extent cx="4791075" cy="2794000"/>
            <wp:effectExtent l="0" t="0" r="9525"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91075" cy="2794000"/>
                    </a:xfrm>
                    <a:prstGeom prst="rect">
                      <a:avLst/>
                    </a:prstGeom>
                  </pic:spPr>
                </pic:pic>
              </a:graphicData>
            </a:graphic>
          </wp:inline>
        </w:drawing>
      </w:r>
    </w:p>
    <w:p w:rsidR="00E15C00" w:rsidRPr="0069043F" w:rsidRDefault="00E15C00" w:rsidP="00E15C00">
      <w:pPr>
        <w:spacing w:line="360" w:lineRule="auto"/>
        <w:ind w:left="567"/>
        <w:jc w:val="both"/>
      </w:pPr>
    </w:p>
    <w:p w:rsidR="00E15C00" w:rsidRPr="0069043F" w:rsidRDefault="00E15C00" w:rsidP="00E15C00">
      <w:pPr>
        <w:spacing w:line="360" w:lineRule="auto"/>
        <w:ind w:left="567"/>
        <w:jc w:val="both"/>
      </w:pPr>
      <w:r w:rsidRPr="0069043F">
        <w:rPr>
          <w:noProof/>
          <w:lang w:val="es-MX" w:eastAsia="es-MX"/>
        </w:rPr>
        <w:lastRenderedPageBreak/>
        <w:drawing>
          <wp:inline distT="0" distB="0" distL="0" distR="0" wp14:anchorId="63018AA1" wp14:editId="119D15DF">
            <wp:extent cx="5076825" cy="4723765"/>
            <wp:effectExtent l="0" t="0" r="952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76825" cy="4723765"/>
                    </a:xfrm>
                    <a:prstGeom prst="rect">
                      <a:avLst/>
                    </a:prstGeom>
                  </pic:spPr>
                </pic:pic>
              </a:graphicData>
            </a:graphic>
          </wp:inline>
        </w:drawing>
      </w:r>
    </w:p>
    <w:p w:rsidR="00E15C00" w:rsidRPr="0069043F" w:rsidRDefault="00E15C00" w:rsidP="00E15C00">
      <w:pPr>
        <w:spacing w:line="360" w:lineRule="auto"/>
        <w:jc w:val="both"/>
      </w:pPr>
    </w:p>
    <w:p w:rsidR="00BE472E" w:rsidRPr="0069043F" w:rsidRDefault="00E15C00" w:rsidP="00E15C00">
      <w:pPr>
        <w:numPr>
          <w:ilvl w:val="0"/>
          <w:numId w:val="6"/>
        </w:numPr>
        <w:spacing w:line="360" w:lineRule="auto"/>
        <w:ind w:left="0" w:firstLine="0"/>
        <w:jc w:val="both"/>
        <w:rPr>
          <w:rFonts w:ascii="Palatino Linotype" w:eastAsia="Palatino Linotype" w:hAnsi="Palatino Linotype" w:cs="Palatino Linotype"/>
          <w:sz w:val="22"/>
          <w:szCs w:val="22"/>
        </w:rPr>
      </w:pPr>
      <w:r w:rsidRPr="0069043F">
        <w:rPr>
          <w:rFonts w:ascii="Palatino Linotype" w:eastAsia="Palatino Linotype" w:hAnsi="Palatino Linotype" w:cs="Palatino Linotype"/>
          <w:sz w:val="22"/>
          <w:szCs w:val="22"/>
        </w:rPr>
        <w:t xml:space="preserve">De lo anterior se observa que el SUJETO OBLIGADO, a través del Comunicado 086, </w:t>
      </w:r>
      <w:r w:rsidR="00E77BC0" w:rsidRPr="0069043F">
        <w:rPr>
          <w:rFonts w:ascii="Palatino Linotype" w:eastAsia="Palatino Linotype" w:hAnsi="Palatino Linotype" w:cs="Palatino Linotype"/>
          <w:sz w:val="22"/>
          <w:szCs w:val="22"/>
        </w:rPr>
        <w:t>autorizó por unanimidad, el programa de estímulos fiscales, denominado “Mi casa es Tlalnepantla” a través de bonificaciones de hasta el 100%, en el monto del impuesto predial para ejercicios anteriores, a quienes se presentaran a regularizar sus adeudos, durante el ejercicio fiscal 2024 y de hasta el 100% en el monto del impuesto, multas y recargos</w:t>
      </w:r>
      <w:proofErr w:type="gramStart"/>
      <w:r w:rsidR="00E77BC0" w:rsidRPr="0069043F">
        <w:rPr>
          <w:rFonts w:ascii="Palatino Linotype" w:eastAsia="Palatino Linotype" w:hAnsi="Palatino Linotype" w:cs="Palatino Linotype"/>
          <w:sz w:val="22"/>
          <w:szCs w:val="22"/>
        </w:rPr>
        <w:t>..</w:t>
      </w:r>
      <w:proofErr w:type="gramEnd"/>
      <w:r w:rsidR="00E77BC0" w:rsidRPr="0069043F">
        <w:rPr>
          <w:rFonts w:ascii="Palatino Linotype" w:eastAsia="Palatino Linotype" w:hAnsi="Palatino Linotype" w:cs="Palatino Linotype"/>
          <w:sz w:val="22"/>
          <w:szCs w:val="22"/>
        </w:rPr>
        <w:t xml:space="preserve"> sin embargo, dicho acuerdo fue autorizado en fecha 31 de mayo de dos mil veinticuatro, por lo que no correspondería a la fecha de la solicitud presentada por el RECURRENTE, por lo </w:t>
      </w:r>
      <w:r w:rsidR="00E77BC0" w:rsidRPr="0069043F">
        <w:rPr>
          <w:rFonts w:ascii="Palatino Linotype" w:eastAsia="Palatino Linotype" w:hAnsi="Palatino Linotype" w:cs="Palatino Linotype"/>
          <w:sz w:val="22"/>
          <w:szCs w:val="22"/>
        </w:rPr>
        <w:lastRenderedPageBreak/>
        <w:t xml:space="preserve">tanto no se tiene la certeza de que la información solicitada por el particular, pueda obrar dentro de los archivos que genera, posee o administra el Sujeto Obligado. </w:t>
      </w:r>
    </w:p>
    <w:p w:rsidR="00E77BC0" w:rsidRPr="0069043F" w:rsidRDefault="00E77BC0" w:rsidP="00E77BC0">
      <w:pPr>
        <w:spacing w:line="360" w:lineRule="auto"/>
        <w:jc w:val="both"/>
        <w:rPr>
          <w:rFonts w:ascii="Palatino Linotype" w:eastAsia="Palatino Linotype" w:hAnsi="Palatino Linotype" w:cs="Palatino Linotype"/>
          <w:sz w:val="22"/>
          <w:szCs w:val="22"/>
        </w:rPr>
      </w:pPr>
    </w:p>
    <w:p w:rsidR="00BE472E" w:rsidRPr="0069043F" w:rsidRDefault="00287457" w:rsidP="00E77BC0">
      <w:pPr>
        <w:numPr>
          <w:ilvl w:val="0"/>
          <w:numId w:val="6"/>
        </w:numPr>
        <w:spacing w:line="360" w:lineRule="auto"/>
        <w:ind w:left="0" w:firstLine="0"/>
        <w:jc w:val="both"/>
        <w:rPr>
          <w:rFonts w:ascii="Palatino Linotype" w:eastAsia="Cambria" w:hAnsi="Palatino Linotype" w:cs="Times New Roman"/>
          <w:color w:val="000000"/>
        </w:rPr>
      </w:pPr>
      <w:r w:rsidRPr="0069043F">
        <w:rPr>
          <w:rFonts w:ascii="Palatino Linotype" w:eastAsia="Palatino Linotype" w:hAnsi="Palatino Linotype" w:cs="Palatino Linotype"/>
          <w:sz w:val="22"/>
          <w:szCs w:val="22"/>
        </w:rPr>
        <w:t>Es</w:t>
      </w:r>
      <w:r w:rsidRPr="0069043F">
        <w:rPr>
          <w:rFonts w:ascii="Palatino Linotype" w:eastAsia="Palatino Linotype" w:hAnsi="Palatino Linotype" w:cs="Palatino Linotype"/>
        </w:rPr>
        <w:t xml:space="preserve"> por lo anterior que este Órgano Garante determina que los agravios hechos valer por el RECURRENTE en su recurso de revisión son FUNDADOS, por lo que resulta procedente REVOCAR la respuesta del Sujeto Obligado y ORDENAR la entrega de </w:t>
      </w:r>
      <w:r w:rsidR="00097F6C" w:rsidRPr="0069043F">
        <w:rPr>
          <w:rFonts w:ascii="Palatino Linotype" w:eastAsia="Palatino Linotype" w:hAnsi="Palatino Linotype" w:cs="Palatino Linotype"/>
        </w:rPr>
        <w:t xml:space="preserve">ser el caso en versión pública </w:t>
      </w:r>
      <w:r w:rsidRPr="0069043F">
        <w:rPr>
          <w:rFonts w:ascii="Palatino Linotype" w:eastAsia="Palatino Linotype" w:hAnsi="Palatino Linotype" w:cs="Palatino Linotype"/>
        </w:rPr>
        <w:t>el documento donde conste los subsidios en multas, recargos y accesorios derivados de créditos fiscales otorgados por la Tesorería Municipal en el ejercicio fiscal 2021.</w:t>
      </w:r>
      <w:r w:rsidR="00097F6C" w:rsidRPr="0069043F">
        <w:rPr>
          <w:rFonts w:ascii="Palatino Linotype" w:eastAsia="Palatino Linotype" w:hAnsi="Palatino Linotype" w:cs="Palatino Linotype"/>
        </w:rPr>
        <w:t xml:space="preserve"> </w:t>
      </w:r>
      <w:r w:rsidR="00097F6C" w:rsidRPr="0069043F">
        <w:rPr>
          <w:rFonts w:ascii="Palatino Linotype" w:eastAsia="Cambria" w:hAnsi="Palatino Linotype" w:cs="Times New Roman"/>
          <w:color w:val="000000"/>
        </w:rPr>
        <w:t>De ser el caso que no se cuente con la información requerida</w:t>
      </w:r>
      <w:r w:rsidR="00097F6C" w:rsidRPr="0069043F">
        <w:rPr>
          <w:rFonts w:ascii="Palatino Linotype" w:hAnsi="Palatino Linotype"/>
          <w:color w:val="000000"/>
        </w:rPr>
        <w:t xml:space="preserve">, </w:t>
      </w:r>
      <w:r w:rsidR="00097F6C" w:rsidRPr="0069043F">
        <w:rPr>
          <w:rFonts w:ascii="Palatino Linotype" w:eastAsia="Cambria" w:hAnsi="Palatino Linotype" w:cs="Times New Roman"/>
          <w:color w:val="000000"/>
        </w:rPr>
        <w:t>el Sujeto Obligado deberá manifestar tal circunstancia en términos del Artículo 19 Segundo Párrafo de la Ley de Transparencia Acceso a la Información Pública del Estado de México y Municipios.</w:t>
      </w:r>
    </w:p>
    <w:p w:rsidR="00BE472E" w:rsidRDefault="00287457">
      <w:pPr>
        <w:keepNext/>
        <w:keepLines/>
        <w:spacing w:before="240"/>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QUINTO. De la versión pública.</w:t>
      </w:r>
    </w:p>
    <w:p w:rsidR="00BE472E" w:rsidRDefault="00287457">
      <w:pPr>
        <w:keepNext/>
        <w:keepLines/>
        <w:numPr>
          <w:ilvl w:val="0"/>
          <w:numId w:val="4"/>
        </w:numPr>
        <w:tabs>
          <w:tab w:val="left" w:pos="284"/>
        </w:tabs>
        <w:spacing w:line="360" w:lineRule="auto"/>
        <w:ind w:left="0" w:firstLine="0"/>
        <w:rPr>
          <w:rFonts w:ascii="Palatino Linotype" w:eastAsia="Palatino Linotype" w:hAnsi="Palatino Linotype" w:cs="Palatino Linotype"/>
          <w:b/>
          <w:color w:val="000000"/>
        </w:rPr>
      </w:pPr>
      <w:bookmarkStart w:id="9" w:name="_heading=h.2s8eyo1" w:colFirst="0" w:colLast="0"/>
      <w:bookmarkEnd w:id="9"/>
      <w:r>
        <w:rPr>
          <w:rFonts w:ascii="Palatino Linotype" w:eastAsia="Palatino Linotype" w:hAnsi="Palatino Linotype" w:cs="Palatino Linotype"/>
          <w:b/>
          <w:color w:val="000000"/>
        </w:rPr>
        <w:t xml:space="preserve">Nociones generales. </w:t>
      </w:r>
    </w:p>
    <w:p w:rsidR="00BE472E" w:rsidRDefault="00287457">
      <w:pPr>
        <w:numPr>
          <w:ilvl w:val="0"/>
          <w:numId w:val="6"/>
        </w:numPr>
        <w:spacing w:line="360" w:lineRule="auto"/>
        <w:ind w:left="0" w:firstLine="0"/>
        <w:jc w:val="both"/>
        <w:rPr>
          <w:color w:val="000000"/>
        </w:rPr>
      </w:pPr>
      <w:r>
        <w:rPr>
          <w:rFonts w:ascii="Palatino Linotype" w:eastAsia="Palatino Linotype" w:hAnsi="Palatino Linotype" w:cs="Palatino Linotype"/>
        </w:rPr>
        <w:t xml:space="preserve"> </w:t>
      </w:r>
      <w:r>
        <w:rPr>
          <w:rFonts w:ascii="Palatino Linotype" w:eastAsia="Palatino Linotype" w:hAnsi="Palatino Linotype" w:cs="Palatino Linotype"/>
          <w:sz w:val="22"/>
          <w:szCs w:val="22"/>
        </w:rPr>
        <w:t>Debe</w:t>
      </w:r>
      <w:r>
        <w:rPr>
          <w:rFonts w:ascii="Palatino Linotype" w:eastAsia="Palatino Linotype" w:hAnsi="Palatino Linotype" w:cs="Palatino Linotype"/>
          <w:color w:val="000000"/>
        </w:rPr>
        <w:t xml:space="preserve"> destacarse que, debido a la naturaleza de la información solicitada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reservada,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rsidR="00BE472E" w:rsidRDefault="00BE472E">
      <w:pPr>
        <w:spacing w:line="360" w:lineRule="auto"/>
        <w:ind w:left="360"/>
        <w:jc w:val="both"/>
        <w:rPr>
          <w:rFonts w:ascii="Palatino Linotype" w:eastAsia="Palatino Linotype" w:hAnsi="Palatino Linotype" w:cs="Palatino Linotype"/>
        </w:rPr>
      </w:pPr>
    </w:p>
    <w:p w:rsidR="00BE472E" w:rsidRDefault="00287457">
      <w:pPr>
        <w:numPr>
          <w:ilvl w:val="0"/>
          <w:numId w:val="6"/>
        </w:numPr>
        <w:spacing w:line="360" w:lineRule="auto"/>
        <w:ind w:left="0" w:firstLine="0"/>
        <w:jc w:val="both"/>
      </w:pPr>
      <w:r>
        <w:rPr>
          <w:rFonts w:ascii="Palatino Linotype" w:eastAsia="Palatino Linotype" w:hAnsi="Palatino Linotype" w:cs="Palatino Linotype"/>
          <w:b/>
        </w:rPr>
        <w:t>.</w:t>
      </w:r>
      <w:r>
        <w:rPr>
          <w:rFonts w:ascii="Palatino Linotype" w:eastAsia="Palatino Linotype" w:hAnsi="Palatino Linotype" w:cs="Palatino Linotype"/>
        </w:rPr>
        <w:t xml:space="preserve"> Resultando</w:t>
      </w:r>
      <w:r>
        <w:rPr>
          <w:rFonts w:ascii="Palatino Linotype" w:eastAsia="Palatino Linotype" w:hAnsi="Palatino Linotype" w:cs="Palatino Linotype"/>
          <w:color w:val="000000"/>
        </w:rPr>
        <w:t xml:space="preserve"> dable primeramente señalar que por lo que hace a nombre de personas o </w:t>
      </w:r>
      <w:r>
        <w:rPr>
          <w:rFonts w:ascii="Palatino Linotype" w:eastAsia="Palatino Linotype" w:hAnsi="Palatino Linotype" w:cs="Palatino Linotype"/>
          <w:i/>
          <w:color w:val="000000"/>
        </w:rPr>
        <w:t>personalidades</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sólo</w:t>
      </w:r>
      <w:r>
        <w:rPr>
          <w:rFonts w:ascii="Palatino Linotype" w:eastAsia="Palatino Linotype" w:hAnsi="Palatino Linotype" w:cs="Palatino Linotype"/>
          <w:color w:val="000000"/>
        </w:rPr>
        <w:t xml:space="preserve"> es dable dar a conocer aquellas que al momento de que eventualmente haya entregado su aportación tuvieran el carácter de servidor público, caso contrario,</w:t>
      </w:r>
      <w:r>
        <w:rPr>
          <w:rFonts w:ascii="Palatino Linotype" w:eastAsia="Palatino Linotype" w:hAnsi="Palatino Linotype" w:cs="Palatino Linotype"/>
          <w:b/>
          <w:color w:val="000000"/>
        </w:rPr>
        <w:t xml:space="preserve"> los nombres de los particulares</w:t>
      </w:r>
      <w:r>
        <w:rPr>
          <w:rFonts w:ascii="Palatino Linotype" w:eastAsia="Palatino Linotype" w:hAnsi="Palatino Linotype" w:cs="Palatino Linotype"/>
          <w:color w:val="000000"/>
        </w:rPr>
        <w:t xml:space="preserve">, son datos personales que </w:t>
      </w:r>
      <w:r>
        <w:rPr>
          <w:rFonts w:ascii="Palatino Linotype" w:eastAsia="Palatino Linotype" w:hAnsi="Palatino Linotype" w:cs="Palatino Linotype"/>
          <w:color w:val="000000"/>
        </w:rPr>
        <w:lastRenderedPageBreak/>
        <w:t>no pueden ser remitidos en respuesta, de ser el caso en el soporte documental donde consten u obren deberán ser clasificados como confidenciales.</w:t>
      </w:r>
    </w:p>
    <w:p w:rsidR="00BE472E" w:rsidRDefault="00BE472E">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rPr>
      </w:pPr>
    </w:p>
    <w:p w:rsidR="00BE472E" w:rsidRDefault="00287457">
      <w:pPr>
        <w:numPr>
          <w:ilvl w:val="0"/>
          <w:numId w:val="6"/>
        </w:numPr>
        <w:spacing w:line="360" w:lineRule="auto"/>
        <w:ind w:left="0" w:firstLine="0"/>
        <w:jc w:val="both"/>
        <w:rPr>
          <w:color w:val="000000"/>
        </w:rPr>
      </w:pPr>
      <w:r>
        <w:rPr>
          <w:rFonts w:ascii="Palatino Linotype" w:eastAsia="Palatino Linotype" w:hAnsi="Palatino Linotype" w:cs="Palatino Linotype"/>
          <w:color w:val="000000"/>
        </w:rPr>
        <w:t xml:space="preserve">No pasa desapercibido para este Órgano Garante que los </w:t>
      </w:r>
      <w:r>
        <w:rPr>
          <w:rFonts w:ascii="Palatino Linotype" w:eastAsia="Palatino Linotype" w:hAnsi="Palatino Linotype" w:cs="Palatino Linotype"/>
          <w:b/>
          <w:color w:val="000000"/>
        </w:rPr>
        <w:t xml:space="preserve">Sujetos Obligados </w:t>
      </w:r>
      <w:r>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BE472E" w:rsidRDefault="00BE472E">
      <w:pPr>
        <w:tabs>
          <w:tab w:val="left" w:pos="284"/>
        </w:tabs>
        <w:spacing w:line="360" w:lineRule="auto"/>
        <w:ind w:right="49"/>
        <w:jc w:val="both"/>
        <w:rPr>
          <w:rFonts w:ascii="Palatino Linotype" w:eastAsia="Palatino Linotype" w:hAnsi="Palatino Linotype" w:cs="Palatino Linotype"/>
          <w:color w:val="000000"/>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6990"/>
      </w:tblGrid>
      <w:tr w:rsidR="00BE472E">
        <w:tc>
          <w:tcPr>
            <w:tcW w:w="1838" w:type="dxa"/>
          </w:tcPr>
          <w:p w:rsidR="00BE472E" w:rsidRDefault="00287457">
            <w:pPr>
              <w:tabs>
                <w:tab w:val="left" w:pos="284"/>
              </w:tabs>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 Requisitos previos.</w:t>
            </w:r>
          </w:p>
        </w:tc>
        <w:tc>
          <w:tcPr>
            <w:tcW w:w="6990" w:type="dxa"/>
          </w:tcPr>
          <w:p w:rsidR="00BE472E" w:rsidRDefault="00287457">
            <w:pPr>
              <w:tabs>
                <w:tab w:val="left" w:pos="284"/>
              </w:tabs>
              <w:spacing w:line="36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BE472E" w:rsidRDefault="00287457">
            <w:pPr>
              <w:tabs>
                <w:tab w:val="left" w:pos="284"/>
              </w:tabs>
              <w:spacing w:line="36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Al hacerlo tienen que precisar de qué información se trata, señalando el supuesto de clasificación (confidencialidad o reserva).</w:t>
            </w:r>
          </w:p>
          <w:p w:rsidR="00BE472E" w:rsidRDefault="00287457">
            <w:pPr>
              <w:tabs>
                <w:tab w:val="left" w:pos="284"/>
              </w:tabs>
              <w:spacing w:line="36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Además, se debe señalar el procedimiento, de los tres que establecen los artículos 132 y 106 de la Ley Estatal y General, respectivamente.</w:t>
            </w:r>
          </w:p>
          <w:p w:rsidR="00BE472E" w:rsidRDefault="00287457">
            <w:pPr>
              <w:tabs>
                <w:tab w:val="left" w:pos="284"/>
              </w:tabs>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El último de estos requisitos previos consiste en que no se pueden emitir acuerdos de carácter general ni particular, esto es, </w:t>
            </w:r>
            <w:r>
              <w:rPr>
                <w:rFonts w:ascii="Palatino Linotype" w:eastAsia="Palatino Linotype" w:hAnsi="Palatino Linotype" w:cs="Palatino Linotype"/>
                <w:color w:val="000000"/>
                <w:sz w:val="20"/>
                <w:szCs w:val="20"/>
                <w:u w:val="single"/>
              </w:rPr>
              <w:t>no se puede hacer un acuerdo para clasificar de manera general todos los documentos de un expediente o área, sin</w:t>
            </w:r>
            <w:r>
              <w:rPr>
                <w:rFonts w:ascii="Palatino Linotype" w:eastAsia="Palatino Linotype" w:hAnsi="Palatino Linotype" w:cs="Palatino Linotype"/>
                <w:color w:val="000000"/>
                <w:sz w:val="20"/>
                <w:szCs w:val="20"/>
              </w:rPr>
              <w:t xml:space="preserve"> individualizar su análisis y tampoco se puede hacer un acuerdo por cada dato que se vaya a clasificar dentro de un documento con diez datos, por ejemplo, susceptibles de ser clasificados.</w:t>
            </w:r>
          </w:p>
        </w:tc>
      </w:tr>
      <w:tr w:rsidR="00BE472E">
        <w:tc>
          <w:tcPr>
            <w:tcW w:w="1838" w:type="dxa"/>
          </w:tcPr>
          <w:p w:rsidR="00BE472E" w:rsidRDefault="00287457">
            <w:pPr>
              <w:tabs>
                <w:tab w:val="left" w:pos="284"/>
              </w:tabs>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 Supuestos de clasificación.</w:t>
            </w:r>
          </w:p>
        </w:tc>
        <w:tc>
          <w:tcPr>
            <w:tcW w:w="6990" w:type="dxa"/>
          </w:tcPr>
          <w:p w:rsidR="00BE472E" w:rsidRDefault="00287457">
            <w:pPr>
              <w:tabs>
                <w:tab w:val="left" w:pos="284"/>
              </w:tabs>
              <w:spacing w:line="36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Las disposiciones constitucionales y legales en la materia establecen los dos supuestos generales para clasificar la información: por reserva y por confidencialidad.</w:t>
            </w:r>
          </w:p>
          <w:p w:rsidR="00BE472E" w:rsidRDefault="00287457">
            <w:pPr>
              <w:tabs>
                <w:tab w:val="left" w:pos="284"/>
              </w:tabs>
              <w:spacing w:line="36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lastRenderedPageBreak/>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BE472E" w:rsidRDefault="00287457">
            <w:pPr>
              <w:tabs>
                <w:tab w:val="left" w:pos="284"/>
              </w:tabs>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El </w:t>
            </w:r>
            <w:r>
              <w:rPr>
                <w:rFonts w:ascii="Palatino Linotype" w:eastAsia="Palatino Linotype" w:hAnsi="Palatino Linotype" w:cs="Palatino Linotype"/>
                <w:b/>
                <w:color w:val="000000"/>
                <w:sz w:val="20"/>
                <w:szCs w:val="20"/>
              </w:rPr>
              <w:t>Sujeto Obligado</w:t>
            </w:r>
            <w:r>
              <w:rPr>
                <w:rFonts w:ascii="Palatino Linotype" w:eastAsia="Palatino Linotype" w:hAnsi="Palatino Linotype" w:cs="Palatino Linotype"/>
                <w:color w:val="000000"/>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BE472E">
        <w:tc>
          <w:tcPr>
            <w:tcW w:w="1838" w:type="dxa"/>
          </w:tcPr>
          <w:p w:rsidR="00BE472E" w:rsidRDefault="00287457">
            <w:pPr>
              <w:tabs>
                <w:tab w:val="left" w:pos="284"/>
              </w:tabs>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c) Formalidades para emitir el acuerdo de clasificación.</w:t>
            </w:r>
          </w:p>
        </w:tc>
        <w:tc>
          <w:tcPr>
            <w:tcW w:w="6990" w:type="dxa"/>
          </w:tcPr>
          <w:p w:rsidR="00BE472E" w:rsidRDefault="00287457">
            <w:pPr>
              <w:tabs>
                <w:tab w:val="left" w:pos="284"/>
              </w:tabs>
              <w:spacing w:line="36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El Comité de Transparencia, según lo dispuesto en los artículos cuenta con las facultades para aprobar, modificar o revocar la clasificación de la información que haya propuesto. </w:t>
            </w:r>
          </w:p>
          <w:p w:rsidR="00BE472E" w:rsidRDefault="00287457">
            <w:pPr>
              <w:tabs>
                <w:tab w:val="left" w:pos="284"/>
              </w:tabs>
              <w:spacing w:line="36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Es necesario que </w:t>
            </w:r>
            <w:r>
              <w:rPr>
                <w:rFonts w:ascii="Palatino Linotype" w:eastAsia="Palatino Linotype" w:hAnsi="Palatino Linotype" w:cs="Palatino Linotype"/>
                <w:b/>
                <w:color w:val="000000"/>
                <w:sz w:val="20"/>
                <w:szCs w:val="20"/>
                <w:u w:val="single"/>
              </w:rPr>
              <w:t>el acto reúna con los requisitos elementales</w:t>
            </w:r>
            <w:r>
              <w:rPr>
                <w:rFonts w:ascii="Palatino Linotype" w:eastAsia="Palatino Linotype" w:hAnsi="Palatino Linotype" w:cs="Palatino Linotype"/>
                <w:color w:val="000000"/>
                <w:sz w:val="20"/>
                <w:szCs w:val="20"/>
              </w:rPr>
              <w:t>, entre ellos, que la autoridad que va a emitir el acto de autoridad sea la legalmente facultada para ello.</w:t>
            </w:r>
          </w:p>
          <w:p w:rsidR="00BE472E" w:rsidRDefault="00287457">
            <w:pPr>
              <w:tabs>
                <w:tab w:val="left" w:pos="284"/>
              </w:tabs>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BE472E">
        <w:tc>
          <w:tcPr>
            <w:tcW w:w="1838" w:type="dxa"/>
          </w:tcPr>
          <w:p w:rsidR="00BE472E" w:rsidRDefault="00BE472E">
            <w:pPr>
              <w:tabs>
                <w:tab w:val="left" w:pos="284"/>
              </w:tabs>
              <w:spacing w:line="360" w:lineRule="auto"/>
              <w:rPr>
                <w:rFonts w:ascii="Palatino Linotype" w:eastAsia="Palatino Linotype" w:hAnsi="Palatino Linotype" w:cs="Palatino Linotype"/>
                <w:sz w:val="20"/>
                <w:szCs w:val="20"/>
              </w:rPr>
            </w:pPr>
          </w:p>
          <w:p w:rsidR="00BE472E" w:rsidRDefault="00287457">
            <w:pPr>
              <w:tabs>
                <w:tab w:val="left" w:pos="284"/>
              </w:tabs>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d) Requisitos de fondo del acuerdo de clasificación. </w:t>
            </w:r>
          </w:p>
        </w:tc>
        <w:tc>
          <w:tcPr>
            <w:tcW w:w="6990" w:type="dxa"/>
          </w:tcPr>
          <w:p w:rsidR="00BE472E" w:rsidRDefault="00287457">
            <w:pPr>
              <w:tabs>
                <w:tab w:val="left" w:pos="284"/>
              </w:tabs>
              <w:spacing w:line="36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w:t>
            </w:r>
            <w:r>
              <w:rPr>
                <w:rFonts w:ascii="Palatino Linotype" w:eastAsia="Palatino Linotype" w:hAnsi="Palatino Linotype" w:cs="Palatino Linotype"/>
                <w:color w:val="000000"/>
                <w:sz w:val="20"/>
                <w:szCs w:val="20"/>
              </w:rPr>
              <w:lastRenderedPageBreak/>
              <w:t xml:space="preserve">señala que la carga de la prueba, para justificar las restricciones, corresponde a los </w:t>
            </w:r>
            <w:r>
              <w:rPr>
                <w:rFonts w:ascii="Palatino Linotype" w:eastAsia="Palatino Linotype" w:hAnsi="Palatino Linotype" w:cs="Palatino Linotype"/>
                <w:b/>
                <w:color w:val="000000"/>
                <w:sz w:val="20"/>
                <w:szCs w:val="20"/>
              </w:rPr>
              <w:t>Sujetos Obligados</w:t>
            </w:r>
            <w:r>
              <w:rPr>
                <w:rFonts w:ascii="Palatino Linotype" w:eastAsia="Palatino Linotype" w:hAnsi="Palatino Linotype" w:cs="Palatino Linotype"/>
                <w:color w:val="000000"/>
                <w:sz w:val="20"/>
                <w:szCs w:val="20"/>
              </w:rPr>
              <w:t xml:space="preserve">, por lo que deberán fundar y motivar debidamente la clasificación. </w:t>
            </w:r>
          </w:p>
          <w:p w:rsidR="00BE472E" w:rsidRDefault="00287457">
            <w:pPr>
              <w:tabs>
                <w:tab w:val="left" w:pos="284"/>
              </w:tabs>
              <w:spacing w:line="36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De lo anterior, se desprende que para una correcta </w:t>
            </w:r>
            <w:r>
              <w:rPr>
                <w:rFonts w:ascii="Palatino Linotype" w:eastAsia="Palatino Linotype" w:hAnsi="Palatino Linotype" w:cs="Palatino Linotype"/>
                <w:b/>
                <w:color w:val="000000"/>
                <w:sz w:val="20"/>
                <w:szCs w:val="20"/>
              </w:rPr>
              <w:t>clasificación total o parcial</w:t>
            </w:r>
            <w:r>
              <w:rPr>
                <w:rFonts w:ascii="Palatino Linotype" w:eastAsia="Palatino Linotype" w:hAnsi="Palatino Linotype" w:cs="Palatino Linotype"/>
                <w:color w:val="000000"/>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BE472E" w:rsidRDefault="00287457">
            <w:pPr>
              <w:tabs>
                <w:tab w:val="left" w:pos="284"/>
              </w:tabs>
              <w:spacing w:line="36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BE472E" w:rsidRDefault="00287457">
            <w:pPr>
              <w:tabs>
                <w:tab w:val="left" w:pos="284"/>
              </w:tabs>
              <w:spacing w:line="36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En ese mismo sentido, el numeral trigésimo tercero fracción V de los Lineamientos Generales, precisa que para motivar la clasificación se deben acreditar las circunstancias de tiempo, modo y lugar.</w:t>
            </w:r>
          </w:p>
          <w:p w:rsidR="00BE472E" w:rsidRDefault="00287457">
            <w:pPr>
              <w:tabs>
                <w:tab w:val="left" w:pos="284"/>
              </w:tabs>
              <w:spacing w:line="36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Ahora bien, </w:t>
            </w:r>
            <w:r>
              <w:rPr>
                <w:rFonts w:ascii="Palatino Linotype" w:eastAsia="Palatino Linotype" w:hAnsi="Palatino Linotype" w:cs="Palatino Linotype"/>
                <w:b/>
                <w:color w:val="000000"/>
                <w:sz w:val="20"/>
                <w:szCs w:val="20"/>
                <w:u w:val="single"/>
              </w:rPr>
              <w:t>para cada caso además de fundar y motivar</w:t>
            </w:r>
            <w:r>
              <w:rPr>
                <w:rFonts w:ascii="Palatino Linotype" w:eastAsia="Palatino Linotype" w:hAnsi="Palatino Linotype" w:cs="Palatino Linotype"/>
                <w:color w:val="000000"/>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BE472E">
        <w:tc>
          <w:tcPr>
            <w:tcW w:w="1838" w:type="dxa"/>
          </w:tcPr>
          <w:p w:rsidR="00BE472E" w:rsidRDefault="00287457">
            <w:pPr>
              <w:tabs>
                <w:tab w:val="left" w:pos="284"/>
              </w:tabs>
              <w:spacing w:line="360" w:lineRule="auto"/>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 Condiciones especiales de la clasificación de la información </w:t>
            </w:r>
            <w:r>
              <w:rPr>
                <w:rFonts w:ascii="Palatino Linotype" w:eastAsia="Palatino Linotype" w:hAnsi="Palatino Linotype" w:cs="Palatino Linotype"/>
                <w:sz w:val="20"/>
                <w:szCs w:val="20"/>
              </w:rPr>
              <w:lastRenderedPageBreak/>
              <w:t xml:space="preserve">como confidencial. </w:t>
            </w:r>
          </w:p>
        </w:tc>
        <w:tc>
          <w:tcPr>
            <w:tcW w:w="6990" w:type="dxa"/>
          </w:tcPr>
          <w:p w:rsidR="00BE472E" w:rsidRDefault="00287457">
            <w:pPr>
              <w:tabs>
                <w:tab w:val="left" w:pos="284"/>
              </w:tabs>
              <w:spacing w:line="36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lastRenderedPageBreak/>
              <w:t xml:space="preserve">Los artículos 148 y 120 de la Ley Estatal y de la Ley General, respectivamente, establecen que aun tratándose de datos personales, se podrán proporcionar, incluso sin solicitar el consentimiento de su titular. </w:t>
            </w:r>
          </w:p>
          <w:p w:rsidR="00BE472E" w:rsidRDefault="00287457">
            <w:pPr>
              <w:tabs>
                <w:tab w:val="left" w:pos="284"/>
              </w:tabs>
              <w:spacing w:line="36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lastRenderedPageBreak/>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BE472E" w:rsidRDefault="00287457">
            <w:pPr>
              <w:tabs>
                <w:tab w:val="left" w:pos="284"/>
              </w:tabs>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BE472E" w:rsidRDefault="00BE472E">
      <w:pPr>
        <w:pBdr>
          <w:top w:val="nil"/>
          <w:left w:val="nil"/>
          <w:bottom w:val="nil"/>
          <w:right w:val="nil"/>
          <w:between w:val="nil"/>
        </w:pBdr>
        <w:tabs>
          <w:tab w:val="left" w:pos="284"/>
        </w:tabs>
        <w:rPr>
          <w:rFonts w:ascii="Palatino Linotype" w:eastAsia="Palatino Linotype" w:hAnsi="Palatino Linotype" w:cs="Palatino Linotype"/>
          <w:color w:val="000000"/>
        </w:rPr>
      </w:pPr>
    </w:p>
    <w:p w:rsidR="00BE472E" w:rsidRDefault="00287457">
      <w:pPr>
        <w:numPr>
          <w:ilvl w:val="0"/>
          <w:numId w:val="6"/>
        </w:numPr>
        <w:spacing w:line="360" w:lineRule="auto"/>
        <w:ind w:left="0" w:firstLine="0"/>
        <w:jc w:val="both"/>
        <w:rPr>
          <w:color w:val="000000"/>
        </w:rPr>
      </w:pPr>
      <w:r>
        <w:rPr>
          <w:rFonts w:ascii="Palatino Linotype" w:eastAsia="Palatino Linotype" w:hAnsi="Palatino Linotype" w:cs="Palatino Linotype"/>
          <w:color w:val="000000"/>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BE472E" w:rsidRDefault="00BE472E">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color w:val="000000"/>
        </w:rPr>
      </w:pPr>
    </w:p>
    <w:p w:rsidR="00BE472E" w:rsidRDefault="00287457">
      <w:pPr>
        <w:numPr>
          <w:ilvl w:val="0"/>
          <w:numId w:val="6"/>
        </w:numPr>
        <w:spacing w:line="360" w:lineRule="auto"/>
        <w:ind w:left="0" w:firstLine="0"/>
        <w:jc w:val="both"/>
        <w:rPr>
          <w:color w:val="000000"/>
        </w:rPr>
      </w:pPr>
      <w:r>
        <w:rPr>
          <w:rFonts w:ascii="Palatino Linotype" w:eastAsia="Palatino Linotype" w:hAnsi="Palatino Linotype" w:cs="Palatino Linotype"/>
          <w:color w:val="222222"/>
        </w:rPr>
        <w:t xml:space="preserve">Por lo anteriormente expuesto y fundado, este </w:t>
      </w:r>
      <w:r>
        <w:rPr>
          <w:rFonts w:ascii="Palatino Linotype" w:eastAsia="Palatino Linotype" w:hAnsi="Palatino Linotype" w:cs="Palatino Linotype"/>
          <w:b/>
          <w:color w:val="222222"/>
        </w:rPr>
        <w:t>ÓRGANO GARANTE</w:t>
      </w:r>
      <w:r>
        <w:rPr>
          <w:rFonts w:ascii="Palatino Linotype" w:eastAsia="Palatino Linotype" w:hAnsi="Palatino Linotype" w:cs="Palatino Linotype"/>
          <w:color w:val="222222"/>
        </w:rPr>
        <w:t xml:space="preserve"> emite los siguientes:</w:t>
      </w:r>
    </w:p>
    <w:p w:rsidR="00BE472E" w:rsidRDefault="00BE472E">
      <w:pPr>
        <w:pBdr>
          <w:top w:val="nil"/>
          <w:left w:val="nil"/>
          <w:bottom w:val="nil"/>
          <w:right w:val="nil"/>
          <w:between w:val="nil"/>
        </w:pBdr>
        <w:ind w:left="720"/>
        <w:rPr>
          <w:rFonts w:ascii="Palatino Linotype" w:eastAsia="Palatino Linotype" w:hAnsi="Palatino Linotype" w:cs="Palatino Linotype"/>
          <w:color w:val="000000"/>
        </w:rPr>
      </w:pPr>
    </w:p>
    <w:p w:rsidR="00BE472E" w:rsidRDefault="00287457">
      <w:pPr>
        <w:spacing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 E S O L U T I V O S</w:t>
      </w:r>
    </w:p>
    <w:p w:rsidR="00BE472E" w:rsidRDefault="00BE472E">
      <w:pPr>
        <w:spacing w:line="360" w:lineRule="auto"/>
        <w:jc w:val="both"/>
        <w:rPr>
          <w:rFonts w:ascii="Palatino Linotype" w:eastAsia="Palatino Linotype" w:hAnsi="Palatino Linotype" w:cs="Palatino Linotype"/>
          <w:b/>
          <w:color w:val="000000"/>
        </w:rPr>
      </w:pPr>
    </w:p>
    <w:p w:rsidR="00BE472E" w:rsidRDefault="00287457">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PRIMERO.</w:t>
      </w:r>
      <w:r>
        <w:rPr>
          <w:rFonts w:ascii="Palatino Linotype" w:eastAsia="Palatino Linotype" w:hAnsi="Palatino Linotype" w:cs="Palatino Linotype"/>
          <w:color w:val="000000"/>
        </w:rPr>
        <w:t xml:space="preserve"> Resulta fundada las razones o motivos de inconformidad hechos valer en el Recurso de Revisión </w:t>
      </w:r>
      <w:r>
        <w:rPr>
          <w:rFonts w:ascii="Palatino Linotype" w:eastAsia="Palatino Linotype" w:hAnsi="Palatino Linotype" w:cs="Palatino Linotype"/>
          <w:b/>
          <w:color w:val="000000"/>
        </w:rPr>
        <w:t>02288/INFOEM/IP/RR/2024</w:t>
      </w:r>
      <w:r>
        <w:rPr>
          <w:rFonts w:ascii="Palatino Linotype" w:eastAsia="Palatino Linotype" w:hAnsi="Palatino Linotype" w:cs="Palatino Linotype"/>
          <w:color w:val="000000"/>
        </w:rPr>
        <w:t xml:space="preserve">, en términos del Considerando  </w:t>
      </w:r>
      <w:r>
        <w:rPr>
          <w:rFonts w:ascii="Palatino Linotype" w:eastAsia="Palatino Linotype" w:hAnsi="Palatino Linotype" w:cs="Palatino Linotype"/>
          <w:b/>
          <w:color w:val="000000"/>
        </w:rPr>
        <w:t>CUARTO Y  QUINTO</w:t>
      </w:r>
      <w:r>
        <w:rPr>
          <w:rFonts w:ascii="Palatino Linotype" w:eastAsia="Palatino Linotype" w:hAnsi="Palatino Linotype" w:cs="Palatino Linotype"/>
          <w:color w:val="000000"/>
        </w:rPr>
        <w:t xml:space="preserve"> de la presente resolución. </w:t>
      </w:r>
    </w:p>
    <w:p w:rsidR="00BE472E" w:rsidRDefault="00BE472E">
      <w:pPr>
        <w:spacing w:line="360" w:lineRule="auto"/>
        <w:jc w:val="both"/>
        <w:rPr>
          <w:rFonts w:ascii="Palatino Linotype" w:eastAsia="Palatino Linotype" w:hAnsi="Palatino Linotype" w:cs="Palatino Linotype"/>
          <w:color w:val="000000"/>
        </w:rPr>
      </w:pPr>
    </w:p>
    <w:p w:rsidR="00BE472E" w:rsidRDefault="00287457">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lastRenderedPageBreak/>
        <w:t>SEGUNDO</w:t>
      </w:r>
      <w:r>
        <w:rPr>
          <w:rFonts w:ascii="Palatino Linotype" w:eastAsia="Palatino Linotype" w:hAnsi="Palatino Linotype" w:cs="Palatino Linotype"/>
          <w:color w:val="000000"/>
        </w:rPr>
        <w:t xml:space="preserve">. Se </w:t>
      </w:r>
      <w:r>
        <w:rPr>
          <w:rFonts w:ascii="Palatino Linotype" w:eastAsia="Palatino Linotype" w:hAnsi="Palatino Linotype" w:cs="Palatino Linotype"/>
          <w:b/>
          <w:color w:val="000000"/>
        </w:rPr>
        <w:t>REVOCA</w:t>
      </w:r>
      <w:r>
        <w:rPr>
          <w:rFonts w:ascii="Palatino Linotype" w:eastAsia="Palatino Linotype" w:hAnsi="Palatino Linotype" w:cs="Palatino Linotype"/>
          <w:color w:val="000000"/>
        </w:rPr>
        <w:t xml:space="preserve"> la respuesta emitida por el Ayuntamiento de </w:t>
      </w:r>
      <w:r>
        <w:rPr>
          <w:rFonts w:ascii="Palatino Linotype" w:eastAsia="Palatino Linotype" w:hAnsi="Palatino Linotype" w:cs="Palatino Linotype"/>
        </w:rPr>
        <w:t>Tlalnepantla</w:t>
      </w:r>
      <w:r>
        <w:rPr>
          <w:rFonts w:ascii="Palatino Linotype" w:eastAsia="Palatino Linotype" w:hAnsi="Palatino Linotype" w:cs="Palatino Linotype"/>
          <w:color w:val="000000"/>
        </w:rPr>
        <w:t xml:space="preserve"> de Baz y se </w:t>
      </w:r>
      <w:r>
        <w:rPr>
          <w:rFonts w:ascii="Palatino Linotype" w:eastAsia="Palatino Linotype" w:hAnsi="Palatino Linotype" w:cs="Palatino Linotype"/>
          <w:b/>
          <w:color w:val="000000"/>
        </w:rPr>
        <w:t>ORDENA</w:t>
      </w:r>
      <w:r>
        <w:rPr>
          <w:rFonts w:ascii="Palatino Linotype" w:eastAsia="Palatino Linotype" w:hAnsi="Palatino Linotype" w:cs="Palatino Linotype"/>
          <w:color w:val="000000"/>
        </w:rPr>
        <w:t xml:space="preserve"> entregar vía Sistema de Acceso a la Información Mexiquense (SAIMEX), de ser el caso en versión pública</w:t>
      </w:r>
    </w:p>
    <w:p w:rsidR="00BE472E" w:rsidRDefault="00BE472E">
      <w:pPr>
        <w:spacing w:line="360" w:lineRule="auto"/>
        <w:jc w:val="both"/>
        <w:rPr>
          <w:rFonts w:ascii="Palatino Linotype" w:eastAsia="Palatino Linotype" w:hAnsi="Palatino Linotype" w:cs="Palatino Linotype"/>
          <w:color w:val="000000"/>
        </w:rPr>
      </w:pPr>
    </w:p>
    <w:p w:rsidR="00BE472E" w:rsidRDefault="00287457">
      <w:pPr>
        <w:numPr>
          <w:ilvl w:val="0"/>
          <w:numId w:val="5"/>
        </w:numPr>
        <w:pBdr>
          <w:top w:val="nil"/>
          <w:left w:val="nil"/>
          <w:bottom w:val="nil"/>
          <w:right w:val="nil"/>
          <w:between w:val="nil"/>
        </w:pBdr>
        <w:spacing w:line="360" w:lineRule="auto"/>
        <w:ind w:right="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Documento donde </w:t>
      </w:r>
      <w:r>
        <w:rPr>
          <w:rFonts w:ascii="Palatino Linotype" w:eastAsia="Palatino Linotype" w:hAnsi="Palatino Linotype" w:cs="Palatino Linotype"/>
        </w:rPr>
        <w:t>consten</w:t>
      </w:r>
      <w:r>
        <w:rPr>
          <w:rFonts w:ascii="Palatino Linotype" w:eastAsia="Palatino Linotype" w:hAnsi="Palatino Linotype" w:cs="Palatino Linotype"/>
          <w:color w:val="000000"/>
        </w:rPr>
        <w:t xml:space="preserve"> los subsidios en multas, recargos y accesorios derivados de créditos fiscales otorgados por la Tesorería Municipal en el ejercicio fiscal 2021.</w:t>
      </w:r>
    </w:p>
    <w:p w:rsidR="00BE472E" w:rsidRDefault="00BE472E">
      <w:pPr>
        <w:pBdr>
          <w:top w:val="nil"/>
          <w:left w:val="nil"/>
          <w:bottom w:val="nil"/>
          <w:right w:val="nil"/>
          <w:between w:val="nil"/>
        </w:pBdr>
        <w:spacing w:line="360" w:lineRule="auto"/>
        <w:ind w:left="1571" w:right="426"/>
        <w:jc w:val="both"/>
        <w:rPr>
          <w:rFonts w:ascii="Palatino Linotype" w:eastAsia="Palatino Linotype" w:hAnsi="Palatino Linotype" w:cs="Palatino Linotype"/>
          <w:color w:val="000000"/>
        </w:rPr>
      </w:pPr>
    </w:p>
    <w:p w:rsidR="00BE472E" w:rsidRPr="0069043F" w:rsidRDefault="00287457">
      <w:pPr>
        <w:pBdr>
          <w:top w:val="nil"/>
          <w:left w:val="nil"/>
          <w:bottom w:val="nil"/>
          <w:right w:val="nil"/>
          <w:between w:val="nil"/>
        </w:pBdr>
        <w:spacing w:line="360" w:lineRule="auto"/>
        <w:ind w:right="40"/>
        <w:jc w:val="both"/>
        <w:rPr>
          <w:rFonts w:ascii="Palatino Linotype" w:eastAsia="Palatino Linotype" w:hAnsi="Palatino Linotype" w:cs="Palatino Linotype"/>
        </w:rPr>
      </w:pPr>
      <w:r>
        <w:rPr>
          <w:rFonts w:ascii="Palatino Linotype" w:eastAsia="Palatino Linotype" w:hAnsi="Palatino Linotype" w:cs="Palatino Linotype"/>
        </w:rPr>
        <w:t>De ser procedente, 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de los documentos que se ordenan</w:t>
      </w:r>
      <w:r w:rsidRPr="0069043F">
        <w:rPr>
          <w:rFonts w:ascii="Palatino Linotype" w:eastAsia="Palatino Linotype" w:hAnsi="Palatino Linotype" w:cs="Palatino Linotype"/>
        </w:rPr>
        <w:t>, los que se deberán poner a disposición de la parte Recurrente.</w:t>
      </w:r>
    </w:p>
    <w:p w:rsidR="00303179" w:rsidRPr="0069043F" w:rsidRDefault="00303179">
      <w:pPr>
        <w:pBdr>
          <w:top w:val="nil"/>
          <w:left w:val="nil"/>
          <w:bottom w:val="nil"/>
          <w:right w:val="nil"/>
          <w:between w:val="nil"/>
        </w:pBdr>
        <w:spacing w:line="360" w:lineRule="auto"/>
        <w:ind w:right="40"/>
        <w:jc w:val="both"/>
        <w:rPr>
          <w:rFonts w:ascii="Palatino Linotype" w:eastAsia="Palatino Linotype" w:hAnsi="Palatino Linotype" w:cs="Palatino Linotype"/>
        </w:rPr>
      </w:pPr>
    </w:p>
    <w:p w:rsidR="00303179" w:rsidRPr="00303179" w:rsidRDefault="00303179" w:rsidP="00303179">
      <w:pPr>
        <w:pBdr>
          <w:top w:val="nil"/>
          <w:left w:val="nil"/>
          <w:bottom w:val="nil"/>
          <w:right w:val="nil"/>
          <w:between w:val="nil"/>
        </w:pBdr>
        <w:spacing w:line="360" w:lineRule="auto"/>
        <w:ind w:right="40"/>
        <w:jc w:val="both"/>
        <w:rPr>
          <w:rFonts w:ascii="Palatino Linotype" w:eastAsia="Palatino Linotype" w:hAnsi="Palatino Linotype" w:cs="Palatino Linotype"/>
          <w:lang w:val="es-MX"/>
        </w:rPr>
      </w:pPr>
      <w:r w:rsidRPr="0069043F">
        <w:rPr>
          <w:rFonts w:ascii="Palatino Linotype" w:eastAsia="Palatino Linotype" w:hAnsi="Palatino Linotype" w:cs="Palatino Linotype"/>
          <w:lang w:val="es-MX"/>
        </w:rPr>
        <w:t>De ser el caso que no se cuente con la in</w:t>
      </w:r>
      <w:r w:rsidR="00097F6C" w:rsidRPr="0069043F">
        <w:rPr>
          <w:rFonts w:ascii="Palatino Linotype" w:eastAsia="Palatino Linotype" w:hAnsi="Palatino Linotype" w:cs="Palatino Linotype"/>
          <w:lang w:val="es-MX"/>
        </w:rPr>
        <w:t>formación requerida</w:t>
      </w:r>
      <w:r w:rsidRPr="0069043F">
        <w:rPr>
          <w:rFonts w:ascii="Palatino Linotype" w:eastAsia="Palatino Linotype" w:hAnsi="Palatino Linotype" w:cs="Palatino Linotype"/>
          <w:lang w:val="es-MX"/>
        </w:rPr>
        <w:t>, el Sujeto Obligado deberá manifestar tal circunstancia en términos del Artículo 19 Segundo Párrafo de la Ley de Transparencia Acceso a la Información Pública del Estado de México y Municipios.</w:t>
      </w:r>
      <w:bookmarkStart w:id="10" w:name="_GoBack"/>
      <w:bookmarkEnd w:id="10"/>
    </w:p>
    <w:p w:rsidR="00303179" w:rsidRDefault="00303179">
      <w:pPr>
        <w:pBdr>
          <w:top w:val="nil"/>
          <w:left w:val="nil"/>
          <w:bottom w:val="nil"/>
          <w:right w:val="nil"/>
          <w:between w:val="nil"/>
        </w:pBdr>
        <w:spacing w:line="360" w:lineRule="auto"/>
        <w:ind w:right="40"/>
        <w:jc w:val="both"/>
        <w:rPr>
          <w:rFonts w:ascii="Palatino Linotype" w:eastAsia="Palatino Linotype" w:hAnsi="Palatino Linotype" w:cs="Palatino Linotype"/>
        </w:rPr>
      </w:pPr>
    </w:p>
    <w:p w:rsidR="00BE472E" w:rsidRDefault="00BE472E">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p>
    <w:p w:rsidR="00BE472E" w:rsidRDefault="00287457">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TERCERO. NOTIFÍQUESE</w:t>
      </w:r>
      <w:r>
        <w:rPr>
          <w:rFonts w:ascii="Palatino Linotype" w:eastAsia="Palatino Linotype" w:hAnsi="Palatino Linotype" w:cs="Palatino Linotype"/>
          <w:color w:val="000000"/>
        </w:rPr>
        <w:t>, la presente resolución al Titular de la Unidad de Transparencia del Sujeto Obligado vía SAIMEX, para que conforme al artículo 186 último párrafo, 189 segundo párrafo y 194 de la Ley de Transparencia y Acceso a la Información Pública del Estado de México y Municipios;</w:t>
      </w:r>
      <w:r>
        <w:rPr>
          <w:rFonts w:ascii="Palatino Linotype" w:eastAsia="Palatino Linotype" w:hAnsi="Palatino Linotype" w:cs="Palatino Linotype"/>
          <w:b/>
          <w:color w:val="000000"/>
        </w:rPr>
        <w:t xml:space="preserve"> dé cumplimiento a lo </w:t>
      </w:r>
      <w:r>
        <w:rPr>
          <w:rFonts w:ascii="Palatino Linotype" w:eastAsia="Palatino Linotype" w:hAnsi="Palatino Linotype" w:cs="Palatino Linotype"/>
          <w:b/>
          <w:color w:val="000000"/>
        </w:rPr>
        <w:lastRenderedPageBreak/>
        <w:t>ordenado dentro del plazo de diez días hábiles,</w:t>
      </w:r>
      <w:r>
        <w:rPr>
          <w:rFonts w:ascii="Palatino Linotype" w:eastAsia="Palatino Linotype" w:hAnsi="Palatino Linotype" w:cs="Palatino Linotype"/>
          <w:color w:val="000000"/>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BE472E" w:rsidRDefault="00BE472E">
      <w:pPr>
        <w:spacing w:line="360" w:lineRule="auto"/>
        <w:jc w:val="both"/>
        <w:rPr>
          <w:rFonts w:ascii="Palatino Linotype" w:eastAsia="Palatino Linotype" w:hAnsi="Palatino Linotype" w:cs="Palatino Linotype"/>
          <w:color w:val="000000"/>
        </w:rPr>
      </w:pPr>
    </w:p>
    <w:p w:rsidR="00BE472E" w:rsidRDefault="00287457">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CUARTO. </w:t>
      </w:r>
      <w:r>
        <w:rPr>
          <w:rFonts w:ascii="Palatino Linotype" w:eastAsia="Palatino Linotype" w:hAnsi="Palatino Linotype" w:cs="Palatino Linotype"/>
          <w:color w:val="000000"/>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 manera fundada y motivada, podrá solicitar una ampliación de plazo para el cumplimiento de la presente resolución.</w:t>
      </w:r>
    </w:p>
    <w:p w:rsidR="00BE472E" w:rsidRDefault="00BE472E">
      <w:pPr>
        <w:spacing w:line="360" w:lineRule="auto"/>
        <w:jc w:val="both"/>
        <w:rPr>
          <w:rFonts w:ascii="Palatino Linotype" w:eastAsia="Palatino Linotype" w:hAnsi="Palatino Linotype" w:cs="Palatino Linotype"/>
          <w:color w:val="000000"/>
        </w:rPr>
      </w:pPr>
    </w:p>
    <w:p w:rsidR="00BE472E" w:rsidRDefault="00287457">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QUINTO.</w:t>
      </w:r>
      <w:r>
        <w:rPr>
          <w:rFonts w:ascii="Palatino Linotype" w:eastAsia="Palatino Linotype" w:hAnsi="Palatino Linotype" w:cs="Palatino Linotype"/>
          <w:color w:val="000000"/>
        </w:rPr>
        <w:t xml:space="preserve"> Notifíquese a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la presente resolución, vía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y correo electrónico.</w:t>
      </w:r>
    </w:p>
    <w:p w:rsidR="00BE472E" w:rsidRDefault="00BE472E">
      <w:pPr>
        <w:spacing w:line="360" w:lineRule="auto"/>
        <w:jc w:val="both"/>
        <w:rPr>
          <w:rFonts w:ascii="Palatino Linotype" w:eastAsia="Palatino Linotype" w:hAnsi="Palatino Linotype" w:cs="Palatino Linotype"/>
          <w:color w:val="000000"/>
        </w:rPr>
      </w:pPr>
    </w:p>
    <w:p w:rsidR="00BE472E" w:rsidRDefault="00287457">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SEXTO.</w:t>
      </w:r>
      <w:r>
        <w:rPr>
          <w:rFonts w:ascii="Palatino Linotype" w:eastAsia="Palatino Linotype" w:hAnsi="Palatino Linotype" w:cs="Palatino Linotype"/>
          <w:color w:val="000000"/>
        </w:rPr>
        <w:t xml:space="preserve"> Se hace del conocimiento de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que, de conformidad con lo establecido en el artículo 196 de la Ley de Transparencia y Acceso a la Información Pública del Estado de México y Municipios, en caso de que considere que la resolución le cause algún perjuicio podrá </w:t>
      </w:r>
      <w:r>
        <w:rPr>
          <w:rFonts w:ascii="Palatino Linotype" w:eastAsia="Palatino Linotype" w:hAnsi="Palatino Linotype" w:cs="Palatino Linotype"/>
        </w:rPr>
        <w:t>impugnar vía</w:t>
      </w:r>
      <w:r>
        <w:rPr>
          <w:rFonts w:ascii="Palatino Linotype" w:eastAsia="Palatino Linotype" w:hAnsi="Palatino Linotype" w:cs="Palatino Linotype"/>
          <w:color w:val="000000"/>
        </w:rPr>
        <w:t xml:space="preserve"> juicio de amparo en los términos de las leyes aplicables.</w:t>
      </w:r>
    </w:p>
    <w:p w:rsidR="00BE472E" w:rsidRDefault="00BE472E">
      <w:pPr>
        <w:spacing w:line="360" w:lineRule="auto"/>
        <w:jc w:val="both"/>
        <w:rPr>
          <w:rFonts w:ascii="Palatino Linotype" w:eastAsia="Palatino Linotype" w:hAnsi="Palatino Linotype" w:cs="Palatino Linotype"/>
        </w:rPr>
      </w:pPr>
    </w:p>
    <w:p w:rsidR="004848D3" w:rsidRPr="003C7186" w:rsidRDefault="004848D3" w:rsidP="004848D3">
      <w:pPr>
        <w:spacing w:line="360" w:lineRule="auto"/>
        <w:ind w:firstLine="1"/>
        <w:jc w:val="both"/>
        <w:rPr>
          <w:rFonts w:ascii="Palatino Linotype" w:hAnsi="Palatino Linotype"/>
        </w:rPr>
      </w:pPr>
      <w:r w:rsidRPr="003C7186">
        <w:rPr>
          <w:rFonts w:ascii="Palatino Linotype" w:hAnsi="Palatino Linotype"/>
        </w:rPr>
        <w:t xml:space="preserve">ASÍ LO RESUELVE, POR UNANIMIDAD DE VOTOS, EL PLENO DEL INSTITUTO DE TRANSPARENCIA, ACCESO A LA INFORMACIÓN PÚBLICA Y PROTECCIÓN DE DATOS PERSONALES DEL ESTADO DE MÉXICO Y </w:t>
      </w:r>
      <w:r w:rsidRPr="003C7186">
        <w:rPr>
          <w:rFonts w:ascii="Palatino Linotype" w:hAnsi="Palatino Linotype"/>
        </w:rPr>
        <w:lastRenderedPageBreak/>
        <w:t>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w:t>
      </w:r>
      <w:r>
        <w:rPr>
          <w:rFonts w:ascii="Palatino Linotype" w:hAnsi="Palatino Linotype"/>
        </w:rPr>
        <w:t xml:space="preserve">(AUSENCIA JUSTIFICADA)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TERCERA </w:t>
      </w:r>
      <w:r w:rsidRPr="003C7186">
        <w:rPr>
          <w:rFonts w:ascii="Palatino Linotype" w:hAnsi="Palatino Linotype"/>
        </w:rPr>
        <w:t xml:space="preserve">SESIÓN ORDINARIA CELEBRADA EL </w:t>
      </w:r>
      <w:r>
        <w:rPr>
          <w:rFonts w:ascii="Palatino Linotype" w:hAnsi="Palatino Linotype"/>
        </w:rPr>
        <w:t>DIECINUEVE</w:t>
      </w:r>
      <w:r w:rsidRPr="003C7186">
        <w:rPr>
          <w:rFonts w:ascii="Palatino Linotype" w:hAnsi="Palatino Linotype"/>
        </w:rPr>
        <w:t xml:space="preserve"> </w:t>
      </w:r>
      <w:r>
        <w:rPr>
          <w:rFonts w:ascii="Palatino Linotype" w:hAnsi="Palatino Linotype"/>
        </w:rPr>
        <w:t>(19) DE SEPTIEMBRE</w:t>
      </w:r>
      <w:r w:rsidRPr="003C7186">
        <w:rPr>
          <w:rFonts w:ascii="Palatino Linotype" w:hAnsi="Palatino Linotype"/>
        </w:rPr>
        <w:t xml:space="preserve"> DE DOS MIL VEINTICUATRO, ANTE EL SECRETARIO TÉCNICO DEL PLENO ALEXIS TAPIA RAMÍREZ. </w:t>
      </w:r>
    </w:p>
    <w:p w:rsidR="00BE472E" w:rsidRDefault="00BE472E">
      <w:pPr>
        <w:spacing w:line="360" w:lineRule="auto"/>
        <w:jc w:val="both"/>
        <w:rPr>
          <w:rFonts w:ascii="Palatino Linotype" w:eastAsia="Palatino Linotype" w:hAnsi="Palatino Linotype" w:cs="Palatino Linotype"/>
        </w:rPr>
      </w:pPr>
    </w:p>
    <w:p w:rsidR="00BE472E" w:rsidRDefault="00BE472E">
      <w:pPr>
        <w:spacing w:line="360" w:lineRule="auto"/>
        <w:jc w:val="both"/>
        <w:rPr>
          <w:rFonts w:ascii="Palatino Linotype" w:eastAsia="Palatino Linotype" w:hAnsi="Palatino Linotype" w:cs="Palatino Linotype"/>
        </w:rPr>
      </w:pPr>
    </w:p>
    <w:p w:rsidR="00BE472E" w:rsidRDefault="00BE472E">
      <w:pPr>
        <w:spacing w:line="360" w:lineRule="auto"/>
        <w:jc w:val="both"/>
        <w:rPr>
          <w:rFonts w:ascii="Palatino Linotype" w:eastAsia="Palatino Linotype" w:hAnsi="Palatino Linotype" w:cs="Palatino Linotype"/>
        </w:rPr>
      </w:pPr>
    </w:p>
    <w:p w:rsidR="00BE472E" w:rsidRDefault="00BE472E">
      <w:pPr>
        <w:spacing w:line="360" w:lineRule="auto"/>
        <w:rPr>
          <w:rFonts w:ascii="Palatino Linotype" w:eastAsia="Palatino Linotype" w:hAnsi="Palatino Linotype" w:cs="Palatino Linotype"/>
        </w:rPr>
      </w:pPr>
    </w:p>
    <w:p w:rsidR="00BE472E" w:rsidRDefault="00BE472E">
      <w:pPr>
        <w:spacing w:line="360" w:lineRule="auto"/>
        <w:rPr>
          <w:rFonts w:ascii="Palatino Linotype" w:eastAsia="Palatino Linotype" w:hAnsi="Palatino Linotype" w:cs="Palatino Linotype"/>
        </w:rPr>
      </w:pPr>
    </w:p>
    <w:p w:rsidR="00BE472E" w:rsidRDefault="00BE472E">
      <w:pPr>
        <w:spacing w:line="360" w:lineRule="auto"/>
        <w:rPr>
          <w:rFonts w:ascii="Palatino Linotype" w:eastAsia="Palatino Linotype" w:hAnsi="Palatino Linotype" w:cs="Palatino Linotype"/>
        </w:rPr>
      </w:pPr>
    </w:p>
    <w:p w:rsidR="00BE472E" w:rsidRDefault="00BE472E">
      <w:pPr>
        <w:spacing w:line="360" w:lineRule="auto"/>
        <w:rPr>
          <w:rFonts w:ascii="Palatino Linotype" w:eastAsia="Palatino Linotype" w:hAnsi="Palatino Linotype" w:cs="Palatino Linotype"/>
        </w:rPr>
      </w:pPr>
    </w:p>
    <w:p w:rsidR="00BE472E" w:rsidRDefault="00BE472E">
      <w:pPr>
        <w:spacing w:line="360" w:lineRule="auto"/>
        <w:rPr>
          <w:rFonts w:ascii="Palatino Linotype" w:eastAsia="Palatino Linotype" w:hAnsi="Palatino Linotype" w:cs="Palatino Linotype"/>
        </w:rPr>
      </w:pPr>
    </w:p>
    <w:p w:rsidR="00BE472E" w:rsidRDefault="00BE472E">
      <w:pPr>
        <w:spacing w:line="360" w:lineRule="auto"/>
        <w:rPr>
          <w:rFonts w:ascii="Palatino Linotype" w:eastAsia="Palatino Linotype" w:hAnsi="Palatino Linotype" w:cs="Palatino Linotype"/>
        </w:rPr>
      </w:pPr>
    </w:p>
    <w:p w:rsidR="00BE472E" w:rsidRDefault="00BE472E">
      <w:pPr>
        <w:spacing w:line="360" w:lineRule="auto"/>
        <w:rPr>
          <w:rFonts w:ascii="Palatino Linotype" w:eastAsia="Palatino Linotype" w:hAnsi="Palatino Linotype" w:cs="Palatino Linotype"/>
        </w:rPr>
      </w:pPr>
    </w:p>
    <w:p w:rsidR="00BE472E" w:rsidRDefault="00287457">
      <w:pPr>
        <w:tabs>
          <w:tab w:val="left" w:pos="3374"/>
        </w:tabs>
        <w:spacing w:line="360" w:lineRule="auto"/>
        <w:rPr>
          <w:rFonts w:ascii="Palatino Linotype" w:eastAsia="Palatino Linotype" w:hAnsi="Palatino Linotype" w:cs="Palatino Linotype"/>
        </w:rPr>
      </w:pPr>
      <w:r>
        <w:rPr>
          <w:rFonts w:ascii="Palatino Linotype" w:eastAsia="Palatino Linotype" w:hAnsi="Palatino Linotype" w:cs="Palatino Linotype"/>
        </w:rPr>
        <w:tab/>
      </w:r>
    </w:p>
    <w:p w:rsidR="00BE472E" w:rsidRDefault="00BE472E">
      <w:pPr>
        <w:tabs>
          <w:tab w:val="left" w:pos="3374"/>
        </w:tabs>
        <w:spacing w:line="360" w:lineRule="auto"/>
        <w:rPr>
          <w:rFonts w:ascii="Palatino Linotype" w:eastAsia="Palatino Linotype" w:hAnsi="Palatino Linotype" w:cs="Palatino Linotype"/>
        </w:rPr>
      </w:pPr>
    </w:p>
    <w:p w:rsidR="00BE472E" w:rsidRDefault="00BE472E">
      <w:pPr>
        <w:tabs>
          <w:tab w:val="left" w:pos="3374"/>
        </w:tabs>
        <w:spacing w:line="360" w:lineRule="auto"/>
        <w:rPr>
          <w:rFonts w:ascii="Palatino Linotype" w:eastAsia="Palatino Linotype" w:hAnsi="Palatino Linotype" w:cs="Palatino Linotype"/>
        </w:rPr>
      </w:pPr>
    </w:p>
    <w:p w:rsidR="00BE472E" w:rsidRDefault="00BE472E">
      <w:pPr>
        <w:tabs>
          <w:tab w:val="left" w:pos="3374"/>
        </w:tabs>
        <w:spacing w:line="360" w:lineRule="auto"/>
        <w:rPr>
          <w:rFonts w:ascii="Palatino Linotype" w:eastAsia="Palatino Linotype" w:hAnsi="Palatino Linotype" w:cs="Palatino Linotype"/>
        </w:rPr>
      </w:pPr>
    </w:p>
    <w:p w:rsidR="00BE472E" w:rsidRDefault="00BE472E">
      <w:pPr>
        <w:tabs>
          <w:tab w:val="left" w:pos="3374"/>
        </w:tabs>
        <w:spacing w:line="360" w:lineRule="auto"/>
        <w:rPr>
          <w:rFonts w:ascii="Palatino Linotype" w:eastAsia="Palatino Linotype" w:hAnsi="Palatino Linotype" w:cs="Palatino Linotype"/>
        </w:rPr>
      </w:pPr>
    </w:p>
    <w:p w:rsidR="00BE472E" w:rsidRDefault="00BE472E">
      <w:pPr>
        <w:tabs>
          <w:tab w:val="left" w:pos="3374"/>
        </w:tabs>
        <w:spacing w:line="360" w:lineRule="auto"/>
        <w:rPr>
          <w:rFonts w:ascii="Palatino Linotype" w:eastAsia="Palatino Linotype" w:hAnsi="Palatino Linotype" w:cs="Palatino Linotype"/>
        </w:rPr>
      </w:pPr>
    </w:p>
    <w:p w:rsidR="00BE472E" w:rsidRDefault="00BE472E">
      <w:pPr>
        <w:tabs>
          <w:tab w:val="left" w:pos="3374"/>
        </w:tabs>
        <w:spacing w:line="360" w:lineRule="auto"/>
        <w:rPr>
          <w:rFonts w:ascii="Palatino Linotype" w:eastAsia="Palatino Linotype" w:hAnsi="Palatino Linotype" w:cs="Palatino Linotype"/>
        </w:rPr>
      </w:pPr>
    </w:p>
    <w:p w:rsidR="00BE472E" w:rsidRDefault="00BE472E">
      <w:pPr>
        <w:tabs>
          <w:tab w:val="left" w:pos="3374"/>
        </w:tabs>
        <w:spacing w:line="360" w:lineRule="auto"/>
        <w:rPr>
          <w:rFonts w:ascii="Palatino Linotype" w:eastAsia="Palatino Linotype" w:hAnsi="Palatino Linotype" w:cs="Palatino Linotype"/>
        </w:rPr>
      </w:pPr>
    </w:p>
    <w:p w:rsidR="00BE472E" w:rsidRDefault="00BE472E">
      <w:pPr>
        <w:tabs>
          <w:tab w:val="left" w:pos="3374"/>
        </w:tabs>
        <w:spacing w:line="360" w:lineRule="auto"/>
        <w:rPr>
          <w:rFonts w:ascii="Palatino Linotype" w:eastAsia="Palatino Linotype" w:hAnsi="Palatino Linotype" w:cs="Palatino Linotype"/>
        </w:rPr>
      </w:pPr>
    </w:p>
    <w:p w:rsidR="00BE472E" w:rsidRDefault="00BE472E">
      <w:pPr>
        <w:tabs>
          <w:tab w:val="left" w:pos="3374"/>
        </w:tabs>
        <w:spacing w:line="360" w:lineRule="auto"/>
        <w:rPr>
          <w:rFonts w:ascii="Palatino Linotype" w:eastAsia="Palatino Linotype" w:hAnsi="Palatino Linotype" w:cs="Palatino Linotype"/>
        </w:rPr>
      </w:pPr>
    </w:p>
    <w:p w:rsidR="00BE472E" w:rsidRDefault="00BE472E">
      <w:pPr>
        <w:tabs>
          <w:tab w:val="left" w:pos="3374"/>
        </w:tabs>
        <w:spacing w:line="360" w:lineRule="auto"/>
        <w:rPr>
          <w:rFonts w:ascii="Palatino Linotype" w:eastAsia="Palatino Linotype" w:hAnsi="Palatino Linotype" w:cs="Palatino Linotype"/>
        </w:rPr>
      </w:pPr>
    </w:p>
    <w:p w:rsidR="00BE472E" w:rsidRDefault="00BE472E">
      <w:pPr>
        <w:tabs>
          <w:tab w:val="left" w:pos="3374"/>
        </w:tabs>
        <w:spacing w:line="360" w:lineRule="auto"/>
        <w:rPr>
          <w:rFonts w:ascii="Palatino Linotype" w:eastAsia="Palatino Linotype" w:hAnsi="Palatino Linotype" w:cs="Palatino Linotype"/>
        </w:rPr>
      </w:pPr>
    </w:p>
    <w:p w:rsidR="00BE472E" w:rsidRDefault="00BE472E">
      <w:pPr>
        <w:tabs>
          <w:tab w:val="left" w:pos="3374"/>
        </w:tabs>
        <w:spacing w:line="360" w:lineRule="auto"/>
        <w:rPr>
          <w:rFonts w:ascii="Palatino Linotype" w:eastAsia="Palatino Linotype" w:hAnsi="Palatino Linotype" w:cs="Palatino Linotype"/>
        </w:rPr>
      </w:pPr>
    </w:p>
    <w:p w:rsidR="00BE472E" w:rsidRDefault="00BE472E">
      <w:pPr>
        <w:tabs>
          <w:tab w:val="left" w:pos="3374"/>
        </w:tabs>
        <w:spacing w:line="360" w:lineRule="auto"/>
        <w:rPr>
          <w:rFonts w:ascii="Palatino Linotype" w:eastAsia="Palatino Linotype" w:hAnsi="Palatino Linotype" w:cs="Palatino Linotype"/>
        </w:rPr>
      </w:pPr>
    </w:p>
    <w:p w:rsidR="00BE472E" w:rsidRDefault="00BE472E">
      <w:pPr>
        <w:tabs>
          <w:tab w:val="left" w:pos="3374"/>
        </w:tabs>
        <w:spacing w:line="360" w:lineRule="auto"/>
        <w:rPr>
          <w:rFonts w:ascii="Palatino Linotype" w:eastAsia="Palatino Linotype" w:hAnsi="Palatino Linotype" w:cs="Palatino Linotype"/>
        </w:rPr>
      </w:pPr>
    </w:p>
    <w:p w:rsidR="00BE472E" w:rsidRDefault="00BE472E">
      <w:pPr>
        <w:tabs>
          <w:tab w:val="left" w:pos="3374"/>
        </w:tabs>
        <w:spacing w:line="360" w:lineRule="auto"/>
        <w:rPr>
          <w:rFonts w:ascii="Palatino Linotype" w:eastAsia="Palatino Linotype" w:hAnsi="Palatino Linotype" w:cs="Palatino Linotype"/>
        </w:rPr>
      </w:pPr>
    </w:p>
    <w:p w:rsidR="00BE472E" w:rsidRDefault="00BE472E">
      <w:pPr>
        <w:tabs>
          <w:tab w:val="left" w:pos="3374"/>
        </w:tabs>
        <w:spacing w:line="360" w:lineRule="auto"/>
        <w:rPr>
          <w:rFonts w:ascii="Palatino Linotype" w:eastAsia="Palatino Linotype" w:hAnsi="Palatino Linotype" w:cs="Palatino Linotype"/>
        </w:rPr>
      </w:pPr>
    </w:p>
    <w:p w:rsidR="00BE472E" w:rsidRDefault="00BE472E">
      <w:pPr>
        <w:tabs>
          <w:tab w:val="left" w:pos="3374"/>
        </w:tabs>
        <w:spacing w:line="360" w:lineRule="auto"/>
        <w:rPr>
          <w:rFonts w:ascii="Palatino Linotype" w:eastAsia="Palatino Linotype" w:hAnsi="Palatino Linotype" w:cs="Palatino Linotype"/>
        </w:rPr>
      </w:pPr>
    </w:p>
    <w:p w:rsidR="00BE472E" w:rsidRDefault="00BE472E">
      <w:pPr>
        <w:tabs>
          <w:tab w:val="left" w:pos="3374"/>
        </w:tabs>
        <w:spacing w:line="360" w:lineRule="auto"/>
        <w:rPr>
          <w:rFonts w:ascii="Palatino Linotype" w:eastAsia="Palatino Linotype" w:hAnsi="Palatino Linotype" w:cs="Palatino Linotype"/>
        </w:rPr>
      </w:pPr>
    </w:p>
    <w:p w:rsidR="00BE472E" w:rsidRDefault="00BE472E">
      <w:pPr>
        <w:tabs>
          <w:tab w:val="left" w:pos="3374"/>
        </w:tabs>
        <w:spacing w:line="360" w:lineRule="auto"/>
        <w:rPr>
          <w:rFonts w:ascii="Palatino Linotype" w:eastAsia="Palatino Linotype" w:hAnsi="Palatino Linotype" w:cs="Palatino Linotype"/>
        </w:rPr>
      </w:pPr>
    </w:p>
    <w:p w:rsidR="00BE472E" w:rsidRDefault="00BE472E"/>
    <w:sectPr w:rsidR="00BE472E">
      <w:headerReference w:type="even" r:id="rId10"/>
      <w:headerReference w:type="default" r:id="rId11"/>
      <w:footerReference w:type="default" r:id="rId12"/>
      <w:headerReference w:type="first" r:id="rId13"/>
      <w:footerReference w:type="first" r:id="rId14"/>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3C1" w:rsidRDefault="00D153C1">
      <w:r>
        <w:separator/>
      </w:r>
    </w:p>
  </w:endnote>
  <w:endnote w:type="continuationSeparator" w:id="0">
    <w:p w:rsidR="00D153C1" w:rsidRDefault="00D15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72E" w:rsidRDefault="00287457">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69043F">
      <w:rPr>
        <w:rFonts w:ascii="Palatino Linotype" w:eastAsia="Palatino Linotype" w:hAnsi="Palatino Linotype" w:cs="Palatino Linotype"/>
        <w:noProof/>
        <w:color w:val="000000"/>
        <w:sz w:val="20"/>
        <w:szCs w:val="20"/>
      </w:rPr>
      <w:t>31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69043F">
      <w:rPr>
        <w:rFonts w:ascii="Palatino Linotype" w:eastAsia="Palatino Linotype" w:hAnsi="Palatino Linotype" w:cs="Palatino Linotype"/>
        <w:noProof/>
        <w:color w:val="000000"/>
        <w:sz w:val="20"/>
        <w:szCs w:val="20"/>
      </w:rPr>
      <w:t>33</w:t>
    </w:r>
    <w:r>
      <w:rPr>
        <w:rFonts w:ascii="Palatino Linotype" w:eastAsia="Palatino Linotype" w:hAnsi="Palatino Linotype" w:cs="Palatino Linotype"/>
        <w:color w:val="000000"/>
        <w:sz w:val="20"/>
        <w:szCs w:val="20"/>
      </w:rPr>
      <w:fldChar w:fldCharType="end"/>
    </w:r>
  </w:p>
  <w:p w:rsidR="00BE472E" w:rsidRDefault="00BE472E">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72E" w:rsidRDefault="00287457">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69043F">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69043F">
      <w:rPr>
        <w:rFonts w:ascii="Palatino Linotype" w:eastAsia="Palatino Linotype" w:hAnsi="Palatino Linotype" w:cs="Palatino Linotype"/>
        <w:noProof/>
        <w:color w:val="000000"/>
        <w:sz w:val="20"/>
        <w:szCs w:val="20"/>
      </w:rPr>
      <w:t>33</w:t>
    </w:r>
    <w:r>
      <w:rPr>
        <w:rFonts w:ascii="Palatino Linotype" w:eastAsia="Palatino Linotype" w:hAnsi="Palatino Linotype" w:cs="Palatino Linotype"/>
        <w:color w:val="000000"/>
        <w:sz w:val="20"/>
        <w:szCs w:val="20"/>
      </w:rPr>
      <w:fldChar w:fldCharType="end"/>
    </w:r>
  </w:p>
  <w:p w:rsidR="00BE472E" w:rsidRDefault="00BE472E">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3C1" w:rsidRDefault="00D153C1">
      <w:r>
        <w:separator/>
      </w:r>
    </w:p>
  </w:footnote>
  <w:footnote w:type="continuationSeparator" w:id="0">
    <w:p w:rsidR="00D153C1" w:rsidRDefault="00D15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72E" w:rsidRDefault="00D153C1">
    <w:pPr>
      <w:pBdr>
        <w:top w:val="nil"/>
        <w:left w:val="nil"/>
        <w:bottom w:val="nil"/>
        <w:right w:val="nil"/>
        <w:between w:val="nil"/>
      </w:pBdr>
      <w:tabs>
        <w:tab w:val="center" w:pos="4419"/>
        <w:tab w:val="right" w:pos="8838"/>
      </w:tabs>
      <w:rPr>
        <w:rFonts w:eastAsia="Calibri"/>
        <w:color w:val="000000"/>
      </w:rPr>
    </w:pPr>
    <w:r>
      <w:rPr>
        <w:rFonts w:eastAsia="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72E" w:rsidRDefault="00BE472E">
    <w:pPr>
      <w:widowControl w:val="0"/>
      <w:pBdr>
        <w:top w:val="nil"/>
        <w:left w:val="nil"/>
        <w:bottom w:val="nil"/>
        <w:right w:val="nil"/>
        <w:between w:val="nil"/>
      </w:pBdr>
      <w:spacing w:line="276" w:lineRule="auto"/>
      <w:rPr>
        <w:rFonts w:eastAsia="Calibri"/>
        <w:color w:val="000000"/>
      </w:rPr>
    </w:pPr>
  </w:p>
  <w:tbl>
    <w:tblPr>
      <w:tblStyle w:val="a0"/>
      <w:tblW w:w="7035" w:type="dxa"/>
      <w:tblInd w:w="2694" w:type="dxa"/>
      <w:tblLayout w:type="fixed"/>
      <w:tblLook w:val="0400" w:firstRow="0" w:lastRow="0" w:firstColumn="0" w:lastColumn="0" w:noHBand="0" w:noVBand="1"/>
    </w:tblPr>
    <w:tblGrid>
      <w:gridCol w:w="2970"/>
      <w:gridCol w:w="4065"/>
    </w:tblGrid>
    <w:tr w:rsidR="00BE472E">
      <w:trPr>
        <w:trHeight w:val="227"/>
      </w:trPr>
      <w:tc>
        <w:tcPr>
          <w:tcW w:w="2970" w:type="dxa"/>
          <w:vAlign w:val="center"/>
        </w:tcPr>
        <w:p w:rsidR="00BE472E" w:rsidRDefault="00287457">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65" w:type="dxa"/>
          <w:vAlign w:val="center"/>
        </w:tcPr>
        <w:p w:rsidR="00BE472E" w:rsidRDefault="00981895">
          <w:pPr>
            <w:pBdr>
              <w:top w:val="nil"/>
              <w:left w:val="nil"/>
              <w:bottom w:val="nil"/>
              <w:right w:val="nil"/>
              <w:between w:val="nil"/>
            </w:pBdr>
            <w:tabs>
              <w:tab w:val="center" w:pos="4419"/>
              <w:tab w:val="right" w:pos="8838"/>
            </w:tabs>
            <w:ind w:right="-578"/>
            <w:rPr>
              <w:rFonts w:ascii="Palatino Linotype" w:eastAsia="Palatino Linotype" w:hAnsi="Palatino Linotype" w:cs="Palatino Linotype"/>
              <w:color w:val="000000"/>
              <w:sz w:val="22"/>
              <w:szCs w:val="22"/>
            </w:rPr>
          </w:pPr>
          <w:r w:rsidRPr="0069043F">
            <w:rPr>
              <w:rFonts w:ascii="Palatino Linotype" w:eastAsia="Palatino Linotype" w:hAnsi="Palatino Linotype" w:cs="Palatino Linotype"/>
              <w:color w:val="000000"/>
              <w:sz w:val="22"/>
              <w:szCs w:val="22"/>
            </w:rPr>
            <w:t>0228</w:t>
          </w:r>
          <w:r w:rsidR="00287457" w:rsidRPr="0069043F">
            <w:rPr>
              <w:rFonts w:ascii="Palatino Linotype" w:eastAsia="Palatino Linotype" w:hAnsi="Palatino Linotype" w:cs="Palatino Linotype"/>
              <w:color w:val="000000"/>
              <w:sz w:val="22"/>
              <w:szCs w:val="22"/>
            </w:rPr>
            <w:t>8</w:t>
          </w:r>
          <w:r w:rsidR="00287457">
            <w:rPr>
              <w:rFonts w:ascii="Palatino Linotype" w:eastAsia="Palatino Linotype" w:hAnsi="Palatino Linotype" w:cs="Palatino Linotype"/>
              <w:color w:val="000000"/>
              <w:sz w:val="22"/>
              <w:szCs w:val="22"/>
            </w:rPr>
            <w:t>/INFOEM/IP/RR/2024</w:t>
          </w:r>
        </w:p>
      </w:tc>
    </w:tr>
    <w:tr w:rsidR="00BE472E">
      <w:trPr>
        <w:trHeight w:val="242"/>
      </w:trPr>
      <w:tc>
        <w:tcPr>
          <w:tcW w:w="2970" w:type="dxa"/>
          <w:vAlign w:val="center"/>
        </w:tcPr>
        <w:p w:rsidR="00BE472E" w:rsidRDefault="00287457">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65" w:type="dxa"/>
          <w:vAlign w:val="center"/>
        </w:tcPr>
        <w:p w:rsidR="00BE472E" w:rsidRDefault="00287457">
          <w:pPr>
            <w:pBdr>
              <w:top w:val="nil"/>
              <w:left w:val="nil"/>
              <w:bottom w:val="nil"/>
              <w:right w:val="nil"/>
              <w:between w:val="nil"/>
            </w:pBdr>
            <w:tabs>
              <w:tab w:val="center" w:pos="4419"/>
              <w:tab w:val="right" w:pos="8838"/>
            </w:tabs>
            <w:ind w:right="-578"/>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Tlalnepantla de Baz</w:t>
          </w:r>
        </w:p>
      </w:tc>
    </w:tr>
    <w:tr w:rsidR="00BE472E">
      <w:trPr>
        <w:trHeight w:val="342"/>
      </w:trPr>
      <w:tc>
        <w:tcPr>
          <w:tcW w:w="2970" w:type="dxa"/>
          <w:vAlign w:val="center"/>
        </w:tcPr>
        <w:p w:rsidR="00BE472E" w:rsidRDefault="00287457">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65" w:type="dxa"/>
          <w:vAlign w:val="center"/>
        </w:tcPr>
        <w:p w:rsidR="00BE472E" w:rsidRDefault="00287457">
          <w:pPr>
            <w:pBdr>
              <w:top w:val="nil"/>
              <w:left w:val="nil"/>
              <w:bottom w:val="nil"/>
              <w:right w:val="nil"/>
              <w:between w:val="nil"/>
            </w:pBdr>
            <w:tabs>
              <w:tab w:val="center" w:pos="4419"/>
              <w:tab w:val="right" w:pos="8838"/>
            </w:tabs>
            <w:ind w:right="-578"/>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BE472E" w:rsidRDefault="00D153C1">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72E" w:rsidRDefault="00BE472E">
    <w:pPr>
      <w:widowControl w:val="0"/>
      <w:pBdr>
        <w:top w:val="nil"/>
        <w:left w:val="nil"/>
        <w:bottom w:val="nil"/>
        <w:right w:val="nil"/>
        <w:between w:val="nil"/>
      </w:pBdr>
      <w:spacing w:line="276" w:lineRule="auto"/>
      <w:rPr>
        <w:rFonts w:eastAsia="Calibri"/>
        <w:color w:val="000000"/>
        <w:sz w:val="14"/>
        <w:szCs w:val="14"/>
      </w:rPr>
    </w:pPr>
  </w:p>
  <w:tbl>
    <w:tblPr>
      <w:tblStyle w:val="a1"/>
      <w:tblW w:w="7155" w:type="dxa"/>
      <w:tblInd w:w="2552" w:type="dxa"/>
      <w:tblLayout w:type="fixed"/>
      <w:tblLook w:val="0400" w:firstRow="0" w:lastRow="0" w:firstColumn="0" w:lastColumn="0" w:noHBand="0" w:noVBand="1"/>
    </w:tblPr>
    <w:tblGrid>
      <w:gridCol w:w="2970"/>
      <w:gridCol w:w="4185"/>
    </w:tblGrid>
    <w:tr w:rsidR="00BE472E">
      <w:trPr>
        <w:trHeight w:val="227"/>
      </w:trPr>
      <w:tc>
        <w:tcPr>
          <w:tcW w:w="2970" w:type="dxa"/>
          <w:vAlign w:val="center"/>
        </w:tcPr>
        <w:p w:rsidR="00BE472E" w:rsidRDefault="0028745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85" w:type="dxa"/>
          <w:vAlign w:val="center"/>
        </w:tcPr>
        <w:p w:rsidR="00BE472E" w:rsidRDefault="00287457">
          <w:pPr>
            <w:pBdr>
              <w:top w:val="nil"/>
              <w:left w:val="nil"/>
              <w:bottom w:val="nil"/>
              <w:right w:val="nil"/>
              <w:between w:val="nil"/>
            </w:pBdr>
            <w:tabs>
              <w:tab w:val="center" w:pos="4419"/>
              <w:tab w:val="right" w:pos="8838"/>
            </w:tabs>
            <w:ind w:right="-570"/>
            <w:rPr>
              <w:rFonts w:ascii="Palatino Linotype" w:eastAsia="Palatino Linotype" w:hAnsi="Palatino Linotype" w:cs="Palatino Linotype"/>
              <w:color w:val="000000"/>
              <w:sz w:val="22"/>
              <w:szCs w:val="22"/>
              <w:highlight w:val="green"/>
            </w:rPr>
          </w:pPr>
          <w:r w:rsidRPr="0069043F">
            <w:rPr>
              <w:rFonts w:ascii="Palatino Linotype" w:eastAsia="Palatino Linotype" w:hAnsi="Palatino Linotype" w:cs="Palatino Linotype"/>
              <w:color w:val="000000"/>
              <w:sz w:val="22"/>
              <w:szCs w:val="22"/>
            </w:rPr>
            <w:t>02288/INFOEM/IP/RR/2024</w:t>
          </w:r>
        </w:p>
      </w:tc>
    </w:tr>
    <w:tr w:rsidR="00BE472E">
      <w:trPr>
        <w:trHeight w:val="242"/>
      </w:trPr>
      <w:tc>
        <w:tcPr>
          <w:tcW w:w="2970" w:type="dxa"/>
          <w:vAlign w:val="center"/>
        </w:tcPr>
        <w:p w:rsidR="00BE472E" w:rsidRDefault="0028745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85" w:type="dxa"/>
        </w:tcPr>
        <w:p w:rsidR="00BE472E" w:rsidRDefault="00BE472E">
          <w:pPr>
            <w:pBdr>
              <w:top w:val="nil"/>
              <w:left w:val="nil"/>
              <w:bottom w:val="nil"/>
              <w:right w:val="nil"/>
              <w:between w:val="nil"/>
            </w:pBdr>
            <w:tabs>
              <w:tab w:val="center" w:pos="4419"/>
              <w:tab w:val="right" w:pos="8838"/>
              <w:tab w:val="left" w:pos="521"/>
            </w:tabs>
            <w:ind w:right="-570"/>
            <w:rPr>
              <w:rFonts w:ascii="Palatino Linotype" w:eastAsia="Palatino Linotype" w:hAnsi="Palatino Linotype" w:cs="Palatino Linotype"/>
              <w:color w:val="FF0000"/>
              <w:sz w:val="22"/>
              <w:szCs w:val="22"/>
            </w:rPr>
          </w:pPr>
        </w:p>
      </w:tc>
    </w:tr>
    <w:tr w:rsidR="00BE472E">
      <w:trPr>
        <w:trHeight w:val="342"/>
      </w:trPr>
      <w:tc>
        <w:tcPr>
          <w:tcW w:w="2970" w:type="dxa"/>
          <w:vAlign w:val="center"/>
        </w:tcPr>
        <w:p w:rsidR="00BE472E" w:rsidRDefault="0028745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85" w:type="dxa"/>
          <w:vAlign w:val="center"/>
        </w:tcPr>
        <w:p w:rsidR="00BE472E" w:rsidRDefault="00287457">
          <w:pPr>
            <w:ind w:right="-57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Tla</w:t>
          </w:r>
          <w:r w:rsidR="0069043F">
            <w:rPr>
              <w:rFonts w:ascii="Palatino Linotype" w:eastAsia="Palatino Linotype" w:hAnsi="Palatino Linotype" w:cs="Palatino Linotype"/>
              <w:sz w:val="22"/>
              <w:szCs w:val="22"/>
            </w:rPr>
            <w:t>l</w:t>
          </w:r>
          <w:r>
            <w:rPr>
              <w:rFonts w:ascii="Palatino Linotype" w:eastAsia="Palatino Linotype" w:hAnsi="Palatino Linotype" w:cs="Palatino Linotype"/>
              <w:sz w:val="22"/>
              <w:szCs w:val="22"/>
            </w:rPr>
            <w:t>nepantla de Baz</w:t>
          </w:r>
        </w:p>
      </w:tc>
    </w:tr>
    <w:tr w:rsidR="00BE472E">
      <w:trPr>
        <w:trHeight w:val="342"/>
      </w:trPr>
      <w:tc>
        <w:tcPr>
          <w:tcW w:w="2970" w:type="dxa"/>
          <w:vAlign w:val="center"/>
        </w:tcPr>
        <w:p w:rsidR="00BE472E" w:rsidRDefault="0028745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85" w:type="dxa"/>
          <w:vAlign w:val="center"/>
        </w:tcPr>
        <w:p w:rsidR="00BE472E" w:rsidRDefault="00287457">
          <w:pPr>
            <w:pBdr>
              <w:top w:val="nil"/>
              <w:left w:val="nil"/>
              <w:bottom w:val="nil"/>
              <w:right w:val="nil"/>
              <w:between w:val="nil"/>
            </w:pBdr>
            <w:tabs>
              <w:tab w:val="center" w:pos="4419"/>
              <w:tab w:val="right" w:pos="8838"/>
            </w:tabs>
            <w:ind w:right="-57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BE472E" w:rsidRDefault="00D153C1">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780A"/>
    <w:multiLevelType w:val="multilevel"/>
    <w:tmpl w:val="E58CAE8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6160FF9"/>
    <w:multiLevelType w:val="multilevel"/>
    <w:tmpl w:val="FF5646FE"/>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2">
    <w:nsid w:val="18494F1C"/>
    <w:multiLevelType w:val="multilevel"/>
    <w:tmpl w:val="4AF029E8"/>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AE049E9"/>
    <w:multiLevelType w:val="multilevel"/>
    <w:tmpl w:val="4C70EEC2"/>
    <w:lvl w:ilvl="0">
      <w:start w:val="1"/>
      <w:numFmt w:val="bullet"/>
      <w:lvlText w:val="⮚"/>
      <w:lvlJc w:val="left"/>
      <w:pPr>
        <w:ind w:left="1425" w:hanging="360"/>
      </w:pPr>
      <w:rPr>
        <w:rFonts w:ascii="Noto Sans Symbols" w:eastAsia="Noto Sans Symbols" w:hAnsi="Noto Sans Symbols" w:cs="Noto Sans Symbols"/>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4">
    <w:nsid w:val="29C7001B"/>
    <w:multiLevelType w:val="multilevel"/>
    <w:tmpl w:val="8E9A35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3B226A5"/>
    <w:multiLevelType w:val="multilevel"/>
    <w:tmpl w:val="6D08234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64957BA2"/>
    <w:multiLevelType w:val="multilevel"/>
    <w:tmpl w:val="ACCA6CA0"/>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7">
    <w:nsid w:val="7A305521"/>
    <w:multiLevelType w:val="multilevel"/>
    <w:tmpl w:val="17EC189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2"/>
  </w:num>
  <w:num w:numId="4">
    <w:abstractNumId w:val="7"/>
  </w:num>
  <w:num w:numId="5">
    <w:abstractNumId w:val="1"/>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72E"/>
    <w:rsid w:val="00097F6C"/>
    <w:rsid w:val="00287457"/>
    <w:rsid w:val="00303179"/>
    <w:rsid w:val="004463ED"/>
    <w:rsid w:val="004848D3"/>
    <w:rsid w:val="0052678B"/>
    <w:rsid w:val="00575DEB"/>
    <w:rsid w:val="00680A5B"/>
    <w:rsid w:val="0069043F"/>
    <w:rsid w:val="00981895"/>
    <w:rsid w:val="00BE472E"/>
    <w:rsid w:val="00D153C1"/>
    <w:rsid w:val="00E15C00"/>
    <w:rsid w:val="00E77B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4093663-AEEE-4B26-8B07-7D3018CB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08D"/>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30DF4"/>
    <w:rPr>
      <w:rFonts w:eastAsiaTheme="minorEastAsia"/>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Bs78LKPO7cuxRUM0TUNa6lthDg==">CgMxLjAyCGguZ2pkZ3hzMgloLjMwajB6bGwyCWguMWZvYjl0ZTIJaC4zem55c2g3MgloLjJldDkycDAyCGgudHlqY3d0MgloLjNkeTZ2a20yCWguMXQzaDVzZjIJaC40ZDM0b2c4MgloLjJzOGV5bzE4AHIhMVlCcXh0bzhSX1c5cTJxRGFVSzRGVGJOYWFYTGNFNGtW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33</Pages>
  <Words>7354</Words>
  <Characters>40449</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USUARIO</cp:lastModifiedBy>
  <cp:revision>4</cp:revision>
  <dcterms:created xsi:type="dcterms:W3CDTF">2024-09-18T23:53:00Z</dcterms:created>
  <dcterms:modified xsi:type="dcterms:W3CDTF">2024-09-23T19:17:00Z</dcterms:modified>
</cp:coreProperties>
</file>