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580AACFA" w:rsidR="00E93FC1" w:rsidRPr="006D65C9" w:rsidRDefault="00E93FC1" w:rsidP="00730D0C">
      <w:pPr>
        <w:tabs>
          <w:tab w:val="left" w:pos="0"/>
        </w:tabs>
        <w:spacing w:before="240" w:after="240" w:line="360" w:lineRule="auto"/>
        <w:jc w:val="both"/>
        <w:rPr>
          <w:rFonts w:ascii="Palatino Linotype" w:hAnsi="Palatino Linotype"/>
          <w:sz w:val="22"/>
          <w:szCs w:val="22"/>
        </w:rPr>
      </w:pPr>
      <w:r w:rsidRPr="006D65C9">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00A460B8" w:rsidRPr="006D65C9">
        <w:rPr>
          <w:rFonts w:ascii="Palatino Linotype" w:hAnsi="Palatino Linotype"/>
          <w:sz w:val="22"/>
          <w:szCs w:val="22"/>
        </w:rPr>
        <w:t xml:space="preserve">de fecha </w:t>
      </w:r>
      <w:r w:rsidR="00FA524A">
        <w:rPr>
          <w:rFonts w:ascii="Palatino Linotype" w:hAnsi="Palatino Linotype"/>
          <w:sz w:val="22"/>
          <w:szCs w:val="22"/>
        </w:rPr>
        <w:t>seis (06)</w:t>
      </w:r>
      <w:r w:rsidR="002D3977" w:rsidRPr="006D65C9">
        <w:rPr>
          <w:rFonts w:ascii="Palatino Linotype" w:hAnsi="Palatino Linotype"/>
          <w:sz w:val="22"/>
          <w:szCs w:val="22"/>
        </w:rPr>
        <w:t xml:space="preserve"> de </w:t>
      </w:r>
      <w:r w:rsidR="00FA524A">
        <w:rPr>
          <w:rFonts w:ascii="Palatino Linotype" w:hAnsi="Palatino Linotype"/>
          <w:sz w:val="22"/>
          <w:szCs w:val="22"/>
        </w:rPr>
        <w:t>noviembre</w:t>
      </w:r>
      <w:r w:rsidR="00A460B8" w:rsidRPr="006D65C9">
        <w:rPr>
          <w:rFonts w:ascii="Palatino Linotype" w:hAnsi="Palatino Linotype"/>
          <w:sz w:val="22"/>
          <w:szCs w:val="22"/>
        </w:rPr>
        <w:t xml:space="preserve"> de dos mil veinticuatro.</w:t>
      </w:r>
      <w:r w:rsidR="004F050E" w:rsidRPr="006D65C9">
        <w:rPr>
          <w:rFonts w:ascii="Palatino Linotype" w:hAnsi="Palatino Linotype"/>
          <w:sz w:val="22"/>
          <w:szCs w:val="22"/>
        </w:rPr>
        <w:t xml:space="preserve"> </w:t>
      </w:r>
    </w:p>
    <w:p w14:paraId="2157DA54" w14:textId="481B679E" w:rsidR="00E93FC1" w:rsidRPr="006D65C9" w:rsidRDefault="00E93FC1" w:rsidP="00730D0C">
      <w:pPr>
        <w:spacing w:before="240" w:after="240" w:line="360" w:lineRule="auto"/>
        <w:jc w:val="both"/>
        <w:rPr>
          <w:rFonts w:ascii="Palatino Linotype" w:hAnsi="Palatino Linotype" w:cs="Arial"/>
          <w:b/>
          <w:bCs/>
          <w:sz w:val="22"/>
          <w:szCs w:val="22"/>
        </w:rPr>
      </w:pPr>
      <w:r w:rsidRPr="006D65C9">
        <w:rPr>
          <w:rFonts w:ascii="Palatino Linotype" w:hAnsi="Palatino Linotype"/>
          <w:b/>
          <w:sz w:val="22"/>
          <w:szCs w:val="22"/>
        </w:rPr>
        <w:t>VISTO</w:t>
      </w:r>
      <w:r w:rsidRPr="006D65C9">
        <w:rPr>
          <w:rFonts w:ascii="Palatino Linotype" w:hAnsi="Palatino Linotype"/>
          <w:sz w:val="22"/>
          <w:szCs w:val="22"/>
        </w:rPr>
        <w:t xml:space="preserve"> </w:t>
      </w:r>
      <w:r w:rsidR="00686B08" w:rsidRPr="006D65C9">
        <w:rPr>
          <w:rFonts w:ascii="Palatino Linotype" w:hAnsi="Palatino Linotype"/>
          <w:sz w:val="22"/>
          <w:szCs w:val="22"/>
        </w:rPr>
        <w:t>el</w:t>
      </w:r>
      <w:r w:rsidRPr="006D65C9">
        <w:rPr>
          <w:rFonts w:ascii="Palatino Linotype" w:hAnsi="Palatino Linotype"/>
          <w:sz w:val="22"/>
          <w:szCs w:val="22"/>
        </w:rPr>
        <w:t xml:space="preserve"> expediente electrónico formado con motivo de</w:t>
      </w:r>
      <w:r w:rsidR="00686B08" w:rsidRPr="006D65C9">
        <w:rPr>
          <w:rFonts w:ascii="Palatino Linotype" w:hAnsi="Palatino Linotype"/>
          <w:sz w:val="22"/>
          <w:szCs w:val="22"/>
        </w:rPr>
        <w:t>l</w:t>
      </w:r>
      <w:r w:rsidR="00A87D1F" w:rsidRPr="006D65C9">
        <w:rPr>
          <w:rFonts w:ascii="Palatino Linotype" w:hAnsi="Palatino Linotype"/>
          <w:sz w:val="22"/>
          <w:szCs w:val="22"/>
        </w:rPr>
        <w:t xml:space="preserve"> recurso de revisión </w:t>
      </w:r>
      <w:r w:rsidR="002D3977" w:rsidRPr="006D65C9">
        <w:rPr>
          <w:rFonts w:ascii="Palatino Linotype" w:hAnsi="Palatino Linotype" w:cs="Arial"/>
          <w:b/>
          <w:bCs/>
          <w:sz w:val="22"/>
          <w:szCs w:val="22"/>
        </w:rPr>
        <w:t>06288</w:t>
      </w:r>
      <w:r w:rsidRPr="006D65C9">
        <w:rPr>
          <w:rFonts w:ascii="Palatino Linotype" w:hAnsi="Palatino Linotype" w:cs="Arial"/>
          <w:b/>
          <w:bCs/>
          <w:sz w:val="22"/>
          <w:szCs w:val="22"/>
        </w:rPr>
        <w:t>/INFOEM/IP/RR/202</w:t>
      </w:r>
      <w:r w:rsidR="002D3977" w:rsidRPr="006D65C9">
        <w:rPr>
          <w:rFonts w:ascii="Palatino Linotype" w:hAnsi="Palatino Linotype" w:cs="Arial"/>
          <w:b/>
          <w:bCs/>
          <w:sz w:val="22"/>
          <w:szCs w:val="22"/>
        </w:rPr>
        <w:t>4</w:t>
      </w:r>
      <w:r w:rsidR="00686B08" w:rsidRPr="006D65C9">
        <w:rPr>
          <w:rFonts w:ascii="Palatino Linotype" w:hAnsi="Palatino Linotype" w:cs="Arial"/>
          <w:b/>
          <w:bCs/>
          <w:sz w:val="22"/>
          <w:szCs w:val="22"/>
        </w:rPr>
        <w:t xml:space="preserve"> </w:t>
      </w:r>
      <w:r w:rsidRPr="006D65C9">
        <w:rPr>
          <w:rFonts w:ascii="Palatino Linotype" w:hAnsi="Palatino Linotype"/>
          <w:sz w:val="22"/>
          <w:szCs w:val="22"/>
        </w:rPr>
        <w:t>promovido</w:t>
      </w:r>
      <w:r w:rsidR="00686B08" w:rsidRPr="006D65C9">
        <w:rPr>
          <w:rFonts w:ascii="Palatino Linotype" w:hAnsi="Palatino Linotype"/>
          <w:sz w:val="22"/>
          <w:szCs w:val="22"/>
        </w:rPr>
        <w:t xml:space="preserve"> </w:t>
      </w:r>
      <w:r w:rsidR="00ED613E" w:rsidRPr="006D65C9">
        <w:rPr>
          <w:rFonts w:ascii="Palatino Linotype" w:hAnsi="Palatino Linotype"/>
          <w:sz w:val="22"/>
          <w:szCs w:val="22"/>
        </w:rPr>
        <w:t>por</w:t>
      </w:r>
      <w:r w:rsidR="00ED613E" w:rsidRPr="006D65C9">
        <w:rPr>
          <w:rFonts w:ascii="Palatino Linotype" w:hAnsi="Palatino Linotype"/>
          <w:b/>
          <w:bCs/>
          <w:sz w:val="22"/>
          <w:szCs w:val="22"/>
        </w:rPr>
        <w:t xml:space="preserve"> </w:t>
      </w:r>
      <w:r w:rsidR="00BA3737">
        <w:rPr>
          <w:rFonts w:ascii="Palatino Linotype" w:eastAsia="Calibri" w:hAnsi="Palatino Linotype" w:cs="Tahoma"/>
          <w:b/>
          <w:bCs/>
          <w:sz w:val="22"/>
          <w:szCs w:val="22"/>
          <w:lang w:val="es-ES" w:eastAsia="en-US"/>
        </w:rPr>
        <w:t xml:space="preserve">XXX </w:t>
      </w:r>
      <w:proofErr w:type="spellStart"/>
      <w:r w:rsidR="00BA3737">
        <w:rPr>
          <w:rFonts w:ascii="Palatino Linotype" w:eastAsia="Calibri" w:hAnsi="Palatino Linotype" w:cs="Tahoma"/>
          <w:b/>
          <w:bCs/>
          <w:sz w:val="22"/>
          <w:szCs w:val="22"/>
          <w:lang w:val="es-ES" w:eastAsia="en-US"/>
        </w:rPr>
        <w:t>XXX</w:t>
      </w:r>
      <w:proofErr w:type="spellEnd"/>
      <w:r w:rsidR="00ED613E" w:rsidRPr="006D65C9">
        <w:rPr>
          <w:rFonts w:ascii="Palatino Linotype" w:hAnsi="Palatino Linotype"/>
          <w:b/>
          <w:bCs/>
          <w:sz w:val="22"/>
          <w:szCs w:val="22"/>
        </w:rPr>
        <w:t xml:space="preserve">, </w:t>
      </w:r>
      <w:r w:rsidR="00ED613E" w:rsidRPr="006D65C9">
        <w:rPr>
          <w:rFonts w:ascii="Palatino Linotype" w:hAnsi="Palatino Linotype"/>
          <w:sz w:val="22"/>
          <w:szCs w:val="22"/>
        </w:rPr>
        <w:t>en lo sucesivo la</w:t>
      </w:r>
      <w:r w:rsidR="00FB7BDC" w:rsidRPr="006D65C9">
        <w:rPr>
          <w:rFonts w:ascii="Palatino Linotype" w:hAnsi="Palatino Linotype"/>
          <w:sz w:val="22"/>
          <w:szCs w:val="22"/>
        </w:rPr>
        <w:t xml:space="preserve"> </w:t>
      </w:r>
      <w:r w:rsidRPr="006D65C9">
        <w:rPr>
          <w:rFonts w:ascii="Palatino Linotype" w:hAnsi="Palatino Linotype"/>
          <w:b/>
          <w:sz w:val="22"/>
          <w:szCs w:val="22"/>
        </w:rPr>
        <w:t>RECURRENTE</w:t>
      </w:r>
      <w:r w:rsidRPr="006D65C9">
        <w:rPr>
          <w:rFonts w:ascii="Palatino Linotype" w:hAnsi="Palatino Linotype"/>
          <w:sz w:val="22"/>
          <w:szCs w:val="22"/>
        </w:rPr>
        <w:t>, en contra de</w:t>
      </w:r>
      <w:r w:rsidR="00686B08" w:rsidRPr="006D65C9">
        <w:rPr>
          <w:rFonts w:ascii="Palatino Linotype" w:hAnsi="Palatino Linotype"/>
          <w:sz w:val="22"/>
          <w:szCs w:val="22"/>
        </w:rPr>
        <w:t xml:space="preserve"> la</w:t>
      </w:r>
      <w:r w:rsidRPr="006D65C9">
        <w:rPr>
          <w:rFonts w:ascii="Palatino Linotype" w:hAnsi="Palatino Linotype" w:cs="Arial"/>
          <w:sz w:val="22"/>
          <w:szCs w:val="22"/>
        </w:rPr>
        <w:t xml:space="preserve"> respuesta de</w:t>
      </w:r>
      <w:r w:rsidR="00A460B8" w:rsidRPr="006D65C9">
        <w:rPr>
          <w:rFonts w:ascii="Palatino Linotype" w:hAnsi="Palatino Linotype" w:cs="Arial"/>
          <w:sz w:val="22"/>
          <w:szCs w:val="22"/>
        </w:rPr>
        <w:t xml:space="preserve">l </w:t>
      </w:r>
      <w:r w:rsidR="002D3977" w:rsidRPr="006D65C9">
        <w:rPr>
          <w:rFonts w:ascii="Palatino Linotype" w:eastAsia="Calibri" w:hAnsi="Palatino Linotype" w:cs="Tahoma"/>
          <w:b/>
          <w:sz w:val="22"/>
          <w:szCs w:val="22"/>
          <w:lang w:eastAsia="en-US"/>
        </w:rPr>
        <w:t>Ayuntamiento de Tlalnepantla de Baz</w:t>
      </w:r>
      <w:r w:rsidRPr="006D65C9">
        <w:rPr>
          <w:rFonts w:ascii="Palatino Linotype" w:hAnsi="Palatino Linotype" w:cs="Arial"/>
          <w:b/>
          <w:sz w:val="22"/>
          <w:szCs w:val="22"/>
        </w:rPr>
        <w:t xml:space="preserve">, </w:t>
      </w:r>
      <w:r w:rsidRPr="006D65C9">
        <w:rPr>
          <w:rFonts w:ascii="Palatino Linotype" w:hAnsi="Palatino Linotype"/>
          <w:sz w:val="22"/>
          <w:szCs w:val="22"/>
        </w:rPr>
        <w:t>en lo sucesivo el</w:t>
      </w:r>
      <w:r w:rsidRPr="006D65C9">
        <w:rPr>
          <w:rFonts w:ascii="Palatino Linotype" w:hAnsi="Palatino Linotype"/>
          <w:b/>
          <w:sz w:val="22"/>
          <w:szCs w:val="22"/>
        </w:rPr>
        <w:t xml:space="preserve"> SUJETO OBLIGADO, </w:t>
      </w:r>
      <w:r w:rsidRPr="006D65C9">
        <w:rPr>
          <w:rFonts w:ascii="Palatino Linotype" w:hAnsi="Palatino Linotype"/>
          <w:sz w:val="22"/>
          <w:szCs w:val="22"/>
        </w:rPr>
        <w:t>se procede a dictar la presente resolució</w:t>
      </w:r>
      <w:r w:rsidR="004F050E" w:rsidRPr="006D65C9">
        <w:rPr>
          <w:rFonts w:ascii="Palatino Linotype" w:hAnsi="Palatino Linotype"/>
          <w:sz w:val="22"/>
          <w:szCs w:val="22"/>
        </w:rPr>
        <w:t>n, con base en los siguientes:</w:t>
      </w:r>
    </w:p>
    <w:p w14:paraId="425F8129" w14:textId="77777777" w:rsidR="00E93FC1" w:rsidRPr="006D65C9" w:rsidRDefault="00E93FC1" w:rsidP="004F050E">
      <w:pPr>
        <w:keepNext/>
        <w:keepLines/>
        <w:tabs>
          <w:tab w:val="left" w:pos="0"/>
        </w:tabs>
        <w:spacing w:before="240" w:after="240" w:line="360" w:lineRule="auto"/>
        <w:jc w:val="center"/>
        <w:outlineLvl w:val="0"/>
        <w:rPr>
          <w:rFonts w:ascii="Palatino Linotype" w:hAnsi="Palatino Linotype"/>
          <w:b/>
          <w:sz w:val="22"/>
          <w:szCs w:val="22"/>
          <w:lang w:eastAsia="en-US"/>
        </w:rPr>
      </w:pPr>
      <w:bookmarkStart w:id="0" w:name="_Toc496274633"/>
      <w:bookmarkStart w:id="1" w:name="_Toc490060616"/>
      <w:bookmarkStart w:id="2" w:name="_Toc499727165"/>
      <w:bookmarkStart w:id="3" w:name="_Toc94119610"/>
      <w:r w:rsidRPr="006D65C9">
        <w:rPr>
          <w:rFonts w:ascii="Palatino Linotype" w:hAnsi="Palatino Linotype"/>
          <w:b/>
          <w:sz w:val="22"/>
          <w:szCs w:val="22"/>
          <w:lang w:eastAsia="en-US"/>
        </w:rPr>
        <w:t>ANTECEDENTES</w:t>
      </w:r>
      <w:bookmarkEnd w:id="0"/>
      <w:bookmarkEnd w:id="1"/>
      <w:bookmarkEnd w:id="2"/>
      <w:bookmarkEnd w:id="3"/>
    </w:p>
    <w:p w14:paraId="64EAE805" w14:textId="1BC20C10" w:rsidR="00E93FC1" w:rsidRPr="006D65C9"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sz w:val="22"/>
          <w:szCs w:val="22"/>
          <w:lang w:val="es-ES"/>
        </w:rPr>
      </w:pPr>
      <w:r w:rsidRPr="006D65C9">
        <w:rPr>
          <w:rFonts w:ascii="Palatino Linotype" w:eastAsia="Calibri" w:hAnsi="Palatino Linotype" w:cs="Arial"/>
          <w:sz w:val="22"/>
          <w:szCs w:val="22"/>
          <w:lang w:val="es-ES"/>
        </w:rPr>
        <w:t xml:space="preserve">El </w:t>
      </w:r>
      <w:r w:rsidR="002D3977" w:rsidRPr="006D65C9">
        <w:rPr>
          <w:rFonts w:ascii="Palatino Linotype" w:eastAsia="Calibri" w:hAnsi="Palatino Linotype" w:cs="Arial"/>
          <w:sz w:val="22"/>
          <w:szCs w:val="22"/>
          <w:lang w:val="es-ES"/>
        </w:rPr>
        <w:t>nueve de octubre</w:t>
      </w:r>
      <w:r w:rsidR="002F0945" w:rsidRPr="006D65C9">
        <w:rPr>
          <w:rFonts w:ascii="Palatino Linotype" w:eastAsia="Calibri" w:hAnsi="Palatino Linotype" w:cs="Arial"/>
          <w:sz w:val="22"/>
          <w:szCs w:val="22"/>
          <w:lang w:val="es-ES"/>
        </w:rPr>
        <w:t xml:space="preserve"> de dos mil v</w:t>
      </w:r>
      <w:r w:rsidR="002D3977" w:rsidRPr="006D65C9">
        <w:rPr>
          <w:rFonts w:ascii="Palatino Linotype" w:eastAsia="Calibri" w:hAnsi="Palatino Linotype" w:cs="Arial"/>
          <w:sz w:val="22"/>
          <w:szCs w:val="22"/>
          <w:lang w:val="es-ES"/>
        </w:rPr>
        <w:t>einticuatro</w:t>
      </w:r>
      <w:r w:rsidR="00E93FC1" w:rsidRPr="006D65C9">
        <w:rPr>
          <w:rFonts w:ascii="Palatino Linotype" w:eastAsia="Calibri" w:hAnsi="Palatino Linotype" w:cs="Arial"/>
          <w:sz w:val="22"/>
          <w:szCs w:val="22"/>
          <w:lang w:val="es-ES"/>
        </w:rPr>
        <w:t>,</w:t>
      </w:r>
      <w:r w:rsidR="00E93FC1" w:rsidRPr="006D65C9">
        <w:rPr>
          <w:rFonts w:ascii="Palatino Linotype" w:eastAsia="Calibri" w:hAnsi="Palatino Linotype"/>
          <w:sz w:val="22"/>
          <w:szCs w:val="22"/>
          <w:lang w:val="es-ES"/>
        </w:rPr>
        <w:t xml:space="preserve"> </w:t>
      </w:r>
      <w:r w:rsidR="00E93FC1" w:rsidRPr="006D65C9">
        <w:rPr>
          <w:rFonts w:ascii="Palatino Linotype" w:hAnsi="Palatino Linotype"/>
          <w:sz w:val="22"/>
          <w:szCs w:val="22"/>
        </w:rPr>
        <w:t>el</w:t>
      </w:r>
      <w:r w:rsidR="00E93FC1" w:rsidRPr="006D65C9">
        <w:rPr>
          <w:rFonts w:ascii="Palatino Linotype" w:hAnsi="Palatino Linotype"/>
          <w:b/>
          <w:sz w:val="22"/>
          <w:szCs w:val="22"/>
        </w:rPr>
        <w:t xml:space="preserve"> </w:t>
      </w:r>
      <w:r w:rsidR="00D11F51" w:rsidRPr="006D65C9">
        <w:rPr>
          <w:rFonts w:ascii="Palatino Linotype" w:hAnsi="Palatino Linotype"/>
          <w:b/>
          <w:bCs/>
          <w:sz w:val="22"/>
          <w:szCs w:val="22"/>
        </w:rPr>
        <w:t>RECURRENTE</w:t>
      </w:r>
      <w:r w:rsidR="00E93FC1" w:rsidRPr="006D65C9">
        <w:rPr>
          <w:rFonts w:ascii="Palatino Linotype" w:hAnsi="Palatino Linotype"/>
          <w:b/>
          <w:bCs/>
          <w:sz w:val="22"/>
          <w:szCs w:val="22"/>
        </w:rPr>
        <w:t xml:space="preserve"> </w:t>
      </w:r>
      <w:r w:rsidR="00E93FC1" w:rsidRPr="006D65C9">
        <w:rPr>
          <w:rFonts w:ascii="Palatino Linotype" w:hAnsi="Palatino Linotype"/>
          <w:sz w:val="22"/>
          <w:szCs w:val="22"/>
        </w:rPr>
        <w:t>presentó</w:t>
      </w:r>
      <w:r w:rsidR="00E93FC1" w:rsidRPr="006D65C9">
        <w:rPr>
          <w:rFonts w:ascii="Palatino Linotype" w:hAnsi="Palatino Linotype"/>
          <w:b/>
          <w:sz w:val="22"/>
          <w:szCs w:val="22"/>
        </w:rPr>
        <w:t xml:space="preserve"> </w:t>
      </w:r>
      <w:r w:rsidR="00E93FC1" w:rsidRPr="006D65C9">
        <w:rPr>
          <w:rFonts w:ascii="Palatino Linotype" w:eastAsia="Calibri" w:hAnsi="Palatino Linotype" w:cs="Arial"/>
          <w:sz w:val="22"/>
          <w:szCs w:val="22"/>
          <w:lang w:val="es-ES"/>
        </w:rPr>
        <w:t xml:space="preserve">ante el </w:t>
      </w:r>
      <w:r w:rsidR="00E93FC1" w:rsidRPr="006D65C9">
        <w:rPr>
          <w:rFonts w:ascii="Palatino Linotype" w:eastAsia="Calibri" w:hAnsi="Palatino Linotype" w:cs="Arial"/>
          <w:b/>
          <w:sz w:val="22"/>
          <w:szCs w:val="22"/>
          <w:lang w:val="es-ES"/>
        </w:rPr>
        <w:t>SUJETO OBLIGADO,</w:t>
      </w:r>
      <w:r w:rsidR="00E93FC1" w:rsidRPr="006D65C9">
        <w:rPr>
          <w:rFonts w:ascii="Palatino Linotype" w:eastAsia="Calibri" w:hAnsi="Palatino Linotype" w:cs="Arial"/>
          <w:sz w:val="22"/>
          <w:szCs w:val="22"/>
        </w:rPr>
        <w:t xml:space="preserve"> </w:t>
      </w:r>
      <w:r w:rsidR="00CF19C3" w:rsidRPr="006D65C9">
        <w:rPr>
          <w:rFonts w:ascii="Palatino Linotype" w:eastAsia="Calibri" w:hAnsi="Palatino Linotype" w:cs="Arial"/>
          <w:sz w:val="22"/>
          <w:szCs w:val="22"/>
        </w:rPr>
        <w:t xml:space="preserve">a través del Sistema de Acceso a la Información Mexiquense </w:t>
      </w:r>
      <w:r w:rsidR="00CF19C3" w:rsidRPr="006D65C9">
        <w:rPr>
          <w:rFonts w:ascii="Palatino Linotype" w:eastAsia="Calibri" w:hAnsi="Palatino Linotype" w:cs="Arial"/>
          <w:b/>
          <w:sz w:val="22"/>
          <w:szCs w:val="22"/>
        </w:rPr>
        <w:t>(SAIMEX)</w:t>
      </w:r>
      <w:r w:rsidR="007A3D32" w:rsidRPr="006D65C9">
        <w:rPr>
          <w:rFonts w:ascii="Palatino Linotype" w:eastAsia="Calibri" w:hAnsi="Palatino Linotype" w:cs="Arial"/>
          <w:b/>
          <w:sz w:val="22"/>
          <w:szCs w:val="22"/>
        </w:rPr>
        <w:t>,</w:t>
      </w:r>
      <w:r w:rsidR="00E93FC1" w:rsidRPr="006D65C9">
        <w:rPr>
          <w:rFonts w:ascii="Palatino Linotype" w:eastAsia="Calibri" w:hAnsi="Palatino Linotype" w:cs="Arial"/>
          <w:sz w:val="22"/>
          <w:szCs w:val="22"/>
          <w:lang w:val="es-ES"/>
        </w:rPr>
        <w:t xml:space="preserve"> la solicitud de información pública registrad</w:t>
      </w:r>
      <w:r w:rsidR="00686B08" w:rsidRPr="006D65C9">
        <w:rPr>
          <w:rFonts w:ascii="Palatino Linotype" w:eastAsia="Calibri" w:hAnsi="Palatino Linotype" w:cs="Arial"/>
          <w:sz w:val="22"/>
          <w:szCs w:val="22"/>
          <w:lang w:val="es-ES"/>
        </w:rPr>
        <w:t>a</w:t>
      </w:r>
      <w:r w:rsidR="00E93FC1" w:rsidRPr="006D65C9">
        <w:rPr>
          <w:rFonts w:ascii="Palatino Linotype" w:eastAsia="Calibri" w:hAnsi="Palatino Linotype" w:cs="Arial"/>
          <w:sz w:val="22"/>
          <w:szCs w:val="22"/>
          <w:lang w:val="es-ES"/>
        </w:rPr>
        <w:t xml:space="preserve"> con </w:t>
      </w:r>
      <w:r w:rsidR="00686B08" w:rsidRPr="006D65C9">
        <w:rPr>
          <w:rFonts w:ascii="Palatino Linotype" w:eastAsia="Calibri" w:hAnsi="Palatino Linotype" w:cs="Arial"/>
          <w:sz w:val="22"/>
          <w:szCs w:val="22"/>
          <w:lang w:val="es-ES"/>
        </w:rPr>
        <w:t>el</w:t>
      </w:r>
      <w:r w:rsidR="00E93FC1" w:rsidRPr="006D65C9">
        <w:rPr>
          <w:rFonts w:ascii="Palatino Linotype" w:eastAsia="Calibri" w:hAnsi="Palatino Linotype" w:cs="Arial"/>
          <w:sz w:val="22"/>
          <w:szCs w:val="22"/>
          <w:lang w:val="es-ES"/>
        </w:rPr>
        <w:t xml:space="preserve"> número </w:t>
      </w:r>
      <w:r w:rsidR="002D3977" w:rsidRPr="006D65C9">
        <w:rPr>
          <w:rFonts w:ascii="Palatino Linotype" w:hAnsi="Palatino Linotype"/>
          <w:b/>
          <w:bCs/>
          <w:sz w:val="22"/>
          <w:szCs w:val="22"/>
        </w:rPr>
        <w:t>00991</w:t>
      </w:r>
      <w:r w:rsidR="001846CB" w:rsidRPr="006D65C9">
        <w:rPr>
          <w:rFonts w:ascii="Palatino Linotype" w:hAnsi="Palatino Linotype"/>
          <w:b/>
          <w:bCs/>
          <w:sz w:val="22"/>
          <w:szCs w:val="22"/>
        </w:rPr>
        <w:t>/</w:t>
      </w:r>
      <w:r w:rsidR="002D3977" w:rsidRPr="006D65C9">
        <w:rPr>
          <w:rFonts w:ascii="Palatino Linotype" w:hAnsi="Palatino Linotype"/>
          <w:b/>
          <w:bCs/>
          <w:sz w:val="22"/>
          <w:szCs w:val="22"/>
        </w:rPr>
        <w:t>TLALNEPA</w:t>
      </w:r>
      <w:r w:rsidR="001846CB" w:rsidRPr="006D65C9">
        <w:rPr>
          <w:rFonts w:ascii="Palatino Linotype" w:hAnsi="Palatino Linotype"/>
          <w:b/>
          <w:bCs/>
          <w:sz w:val="22"/>
          <w:szCs w:val="22"/>
        </w:rPr>
        <w:t>/IP/202</w:t>
      </w:r>
      <w:r w:rsidR="002D3977" w:rsidRPr="006D65C9">
        <w:rPr>
          <w:rFonts w:ascii="Palatino Linotype" w:hAnsi="Palatino Linotype"/>
          <w:b/>
          <w:bCs/>
          <w:sz w:val="22"/>
          <w:szCs w:val="22"/>
        </w:rPr>
        <w:t>4</w:t>
      </w:r>
      <w:r w:rsidR="00731106" w:rsidRPr="006D65C9">
        <w:rPr>
          <w:rFonts w:ascii="Palatino Linotype" w:hAnsi="Palatino Linotype"/>
          <w:b/>
          <w:bCs/>
          <w:sz w:val="22"/>
          <w:szCs w:val="22"/>
        </w:rPr>
        <w:t>,</w:t>
      </w:r>
      <w:r w:rsidR="00686B08" w:rsidRPr="006D65C9">
        <w:rPr>
          <w:rFonts w:ascii="Palatino Linotype" w:eastAsia="Calibri" w:hAnsi="Palatino Linotype" w:cs="Arial"/>
          <w:sz w:val="22"/>
          <w:szCs w:val="22"/>
          <w:lang w:val="es-ES"/>
        </w:rPr>
        <w:t xml:space="preserve"> </w:t>
      </w:r>
      <w:r w:rsidR="00E93FC1" w:rsidRPr="006D65C9">
        <w:rPr>
          <w:rFonts w:ascii="Palatino Linotype" w:eastAsia="Calibri" w:hAnsi="Palatino Linotype" w:cs="Arial"/>
          <w:sz w:val="22"/>
          <w:szCs w:val="22"/>
          <w:lang w:val="es-ES"/>
        </w:rPr>
        <w:t>mediante la cual se solicitó:</w:t>
      </w:r>
    </w:p>
    <w:p w14:paraId="45234F90" w14:textId="77777777" w:rsidR="001846CB" w:rsidRPr="006D65C9" w:rsidRDefault="001846CB" w:rsidP="0047361F">
      <w:pPr>
        <w:ind w:right="539"/>
        <w:jc w:val="both"/>
        <w:rPr>
          <w:rFonts w:ascii="Palatino Linotype" w:eastAsia="Calibri" w:hAnsi="Palatino Linotype" w:cs="Arial"/>
          <w:sz w:val="22"/>
          <w:szCs w:val="22"/>
        </w:rPr>
      </w:pPr>
    </w:p>
    <w:p w14:paraId="50328B31" w14:textId="7BC1C8A2" w:rsidR="000E3DDC" w:rsidRPr="006D65C9" w:rsidRDefault="00686B08" w:rsidP="002D3977">
      <w:pPr>
        <w:ind w:left="567" w:right="539"/>
        <w:jc w:val="both"/>
        <w:rPr>
          <w:rFonts w:ascii="Palatino Linotype" w:hAnsi="Palatino Linotype"/>
          <w:i/>
          <w:iCs/>
          <w:color w:val="000000"/>
          <w:sz w:val="22"/>
          <w:szCs w:val="22"/>
        </w:rPr>
      </w:pPr>
      <w:r w:rsidRPr="006D65C9">
        <w:rPr>
          <w:rFonts w:ascii="Palatino Linotype" w:hAnsi="Palatino Linotype"/>
          <w:i/>
          <w:iCs/>
          <w:color w:val="000000"/>
          <w:sz w:val="22"/>
          <w:szCs w:val="22"/>
        </w:rPr>
        <w:t>“</w:t>
      </w:r>
      <w:r w:rsidR="002D3977" w:rsidRPr="006D65C9">
        <w:rPr>
          <w:rFonts w:ascii="Palatino Linotype" w:hAnsi="Palatino Linotype"/>
          <w:i/>
          <w:color w:val="000000"/>
          <w:sz w:val="22"/>
          <w:szCs w:val="22"/>
        </w:rPr>
        <w:t>Solicito se me informe el Adeudo en bloque de agua, y el histórico por años desde el 2018 a 2023 y el adeudo a la fecha de presentación de la solicitud de información. Con claridad, requiero el histórico de pagos y de ser el caso el histórico de adeudo qué tiene el Municipio de Tlalnepantla de Baz, y su Organismo de Agua OPDM. Esto en relación a la Comisión Nacional del Agua.</w:t>
      </w:r>
      <w:r w:rsidRPr="006D65C9">
        <w:rPr>
          <w:rFonts w:ascii="Palatino Linotype" w:hAnsi="Palatino Linotype"/>
          <w:i/>
          <w:iCs/>
          <w:color w:val="000000"/>
          <w:sz w:val="22"/>
          <w:szCs w:val="22"/>
        </w:rPr>
        <w:t>” (Sic)</w:t>
      </w:r>
    </w:p>
    <w:p w14:paraId="287A8F47" w14:textId="77777777" w:rsidR="000E3DDC" w:rsidRPr="006D65C9" w:rsidRDefault="000E3DDC" w:rsidP="00686B08">
      <w:pPr>
        <w:ind w:right="539"/>
        <w:jc w:val="both"/>
        <w:rPr>
          <w:rFonts w:ascii="Palatino Linotype" w:hAnsi="Palatino Linotype"/>
          <w:sz w:val="22"/>
          <w:szCs w:val="22"/>
        </w:rPr>
      </w:pPr>
    </w:p>
    <w:p w14:paraId="19C3618A" w14:textId="77777777" w:rsidR="002F551E" w:rsidRPr="006D65C9" w:rsidRDefault="00E93FC1" w:rsidP="002F551E">
      <w:pPr>
        <w:pStyle w:val="Prrafodelista"/>
        <w:numPr>
          <w:ilvl w:val="0"/>
          <w:numId w:val="1"/>
        </w:numPr>
        <w:spacing w:before="240" w:after="240" w:line="360" w:lineRule="auto"/>
        <w:ind w:left="0" w:firstLine="0"/>
        <w:jc w:val="both"/>
        <w:rPr>
          <w:rFonts w:ascii="Palatino Linotype" w:hAnsi="Palatino Linotype" w:cs="Arial"/>
          <w:i/>
          <w:szCs w:val="22"/>
        </w:rPr>
      </w:pPr>
      <w:r w:rsidRPr="006D65C9">
        <w:rPr>
          <w:rFonts w:ascii="Palatino Linotype" w:hAnsi="Palatino Linotype" w:cs="Arial"/>
          <w:szCs w:val="22"/>
        </w:rPr>
        <w:t xml:space="preserve">Se hace constar que se señaló como modalidad de entrega de la información a través </w:t>
      </w:r>
      <w:r w:rsidR="00E919FF" w:rsidRPr="006D65C9">
        <w:rPr>
          <w:rFonts w:ascii="Palatino Linotype" w:hAnsi="Palatino Linotype" w:cs="Arial"/>
          <w:szCs w:val="22"/>
        </w:rPr>
        <w:t xml:space="preserve">del Sistema de Acceso a la Información Mexiquense </w:t>
      </w:r>
      <w:r w:rsidR="00E919FF" w:rsidRPr="006D65C9">
        <w:rPr>
          <w:rFonts w:ascii="Palatino Linotype" w:hAnsi="Palatino Linotype" w:cs="Arial"/>
          <w:b/>
          <w:bCs/>
          <w:szCs w:val="22"/>
        </w:rPr>
        <w:t>(SAIMEX).</w:t>
      </w:r>
    </w:p>
    <w:p w14:paraId="432A32C8" w14:textId="77777777" w:rsidR="002F551E" w:rsidRPr="006D65C9" w:rsidRDefault="002F551E" w:rsidP="002F551E">
      <w:pPr>
        <w:pStyle w:val="Prrafodelista"/>
        <w:spacing w:before="240" w:after="240" w:line="360" w:lineRule="auto"/>
        <w:ind w:left="0"/>
        <w:jc w:val="both"/>
        <w:rPr>
          <w:rFonts w:ascii="Palatino Linotype" w:hAnsi="Palatino Linotype" w:cs="Arial"/>
          <w:i/>
          <w:szCs w:val="22"/>
        </w:rPr>
      </w:pPr>
    </w:p>
    <w:p w14:paraId="0CC96115" w14:textId="4F221D36" w:rsidR="00EC4E5E" w:rsidRPr="006D65C9" w:rsidRDefault="00E93FC1" w:rsidP="00EC4E5E">
      <w:pPr>
        <w:pStyle w:val="Prrafodelista"/>
        <w:numPr>
          <w:ilvl w:val="0"/>
          <w:numId w:val="1"/>
        </w:numPr>
        <w:spacing w:before="240" w:after="240" w:line="360" w:lineRule="auto"/>
        <w:ind w:left="0" w:firstLine="0"/>
        <w:jc w:val="both"/>
        <w:rPr>
          <w:rFonts w:ascii="Palatino Linotype" w:hAnsi="Palatino Linotype" w:cs="Arial"/>
          <w:i/>
          <w:szCs w:val="22"/>
        </w:rPr>
      </w:pPr>
      <w:r w:rsidRPr="006D65C9">
        <w:rPr>
          <w:rFonts w:ascii="Palatino Linotype" w:eastAsia="Calibri" w:hAnsi="Palatino Linotype" w:cs="Arial"/>
          <w:szCs w:val="22"/>
          <w:lang w:val="es-AR"/>
        </w:rPr>
        <w:t>El</w:t>
      </w:r>
      <w:r w:rsidR="00E50E5B" w:rsidRPr="006D65C9">
        <w:rPr>
          <w:rFonts w:ascii="Palatino Linotype" w:hAnsi="Palatino Linotype" w:cs="Arial"/>
          <w:szCs w:val="22"/>
          <w:lang w:val="es-ES"/>
        </w:rPr>
        <w:t xml:space="preserve"> </w:t>
      </w:r>
      <w:r w:rsidR="002D3977" w:rsidRPr="006D65C9">
        <w:rPr>
          <w:rFonts w:ascii="Palatino Linotype" w:hAnsi="Palatino Linotype" w:cs="Arial"/>
          <w:szCs w:val="22"/>
          <w:lang w:val="es-ES"/>
        </w:rPr>
        <w:t>once de octubre de dos mil veinticuatro</w:t>
      </w:r>
      <w:r w:rsidRPr="006D65C9">
        <w:rPr>
          <w:rFonts w:ascii="Palatino Linotype" w:hAnsi="Palatino Linotype" w:cs="Arial"/>
          <w:szCs w:val="22"/>
          <w:lang w:val="es-ES"/>
        </w:rPr>
        <w:t xml:space="preserve">, el </w:t>
      </w:r>
      <w:r w:rsidRPr="006D65C9">
        <w:rPr>
          <w:rFonts w:ascii="Palatino Linotype" w:hAnsi="Palatino Linotype" w:cs="Arial"/>
          <w:b/>
          <w:szCs w:val="22"/>
          <w:lang w:val="es-ES"/>
        </w:rPr>
        <w:t xml:space="preserve">SUJETO OBLIGADO </w:t>
      </w:r>
      <w:bookmarkStart w:id="4" w:name="_Toc472500652"/>
      <w:bookmarkStart w:id="5" w:name="_Toc472427085"/>
      <w:bookmarkStart w:id="6" w:name="_Toc462307683"/>
      <w:r w:rsidR="00EC4E5E" w:rsidRPr="006D65C9">
        <w:rPr>
          <w:rFonts w:ascii="Palatino Linotype" w:hAnsi="Palatino Linotype" w:cs="Arial"/>
          <w:szCs w:val="22"/>
          <w:lang w:val="es-ES"/>
        </w:rPr>
        <w:t>informó la incompetencia para atender la solicitud de información, en los siguientes términos:</w:t>
      </w:r>
    </w:p>
    <w:p w14:paraId="4D8FED6E" w14:textId="7354B6C3" w:rsidR="00686B08" w:rsidRPr="006D65C9" w:rsidRDefault="00052206" w:rsidP="002D3977">
      <w:pPr>
        <w:ind w:left="567" w:right="539"/>
        <w:jc w:val="both"/>
        <w:rPr>
          <w:rFonts w:ascii="Palatino Linotype" w:hAnsi="Palatino Linotype"/>
          <w:i/>
          <w:iCs/>
          <w:color w:val="000000"/>
          <w:sz w:val="22"/>
          <w:szCs w:val="22"/>
        </w:rPr>
      </w:pPr>
      <w:r w:rsidRPr="006D65C9">
        <w:rPr>
          <w:rFonts w:ascii="Palatino Linotype" w:hAnsi="Palatino Linotype"/>
          <w:i/>
          <w:iCs/>
          <w:color w:val="000000"/>
          <w:sz w:val="22"/>
          <w:szCs w:val="22"/>
        </w:rPr>
        <w:t>“</w:t>
      </w:r>
      <w:r w:rsidR="00D11F51" w:rsidRPr="006D65C9">
        <w:rPr>
          <w:rFonts w:ascii="Palatino Linotype" w:hAnsi="Palatino Linotype"/>
          <w:i/>
          <w:iCs/>
          <w:color w:val="000000"/>
          <w:sz w:val="22"/>
          <w:szCs w:val="22"/>
        </w:rPr>
        <w:t>…</w:t>
      </w:r>
      <w:r w:rsidR="002D3977" w:rsidRPr="006D65C9">
        <w:rPr>
          <w:rFonts w:ascii="Palatino Linotype" w:hAnsi="Palatino Linotype"/>
          <w:i/>
          <w:color w:val="000000"/>
          <w:sz w:val="22"/>
          <w:szCs w:val="22"/>
        </w:rPr>
        <w:t>SE ANEXA OFICIO DE RESPUESTA</w:t>
      </w:r>
      <w:r w:rsidR="00924470" w:rsidRPr="006D65C9">
        <w:rPr>
          <w:rFonts w:ascii="Palatino Linotype" w:hAnsi="Palatino Linotype"/>
          <w:i/>
          <w:iCs/>
          <w:color w:val="000000"/>
          <w:sz w:val="22"/>
          <w:szCs w:val="22"/>
        </w:rPr>
        <w:t>.</w:t>
      </w:r>
      <w:r w:rsidR="00FB7BDC" w:rsidRPr="006D65C9">
        <w:rPr>
          <w:rFonts w:ascii="Palatino Linotype" w:hAnsi="Palatino Linotype"/>
          <w:i/>
          <w:iCs/>
          <w:color w:val="000000"/>
          <w:sz w:val="22"/>
          <w:szCs w:val="22"/>
        </w:rPr>
        <w:t>.</w:t>
      </w:r>
      <w:r w:rsidR="00D11F51" w:rsidRPr="006D65C9">
        <w:rPr>
          <w:rFonts w:ascii="Palatino Linotype" w:hAnsi="Palatino Linotype"/>
          <w:i/>
          <w:iCs/>
          <w:color w:val="000000"/>
          <w:sz w:val="22"/>
          <w:szCs w:val="22"/>
        </w:rPr>
        <w:t>.</w:t>
      </w:r>
      <w:r w:rsidR="00686B08" w:rsidRPr="006D65C9">
        <w:rPr>
          <w:rFonts w:ascii="Palatino Linotype" w:hAnsi="Palatino Linotype"/>
          <w:i/>
          <w:iCs/>
          <w:color w:val="000000"/>
          <w:sz w:val="22"/>
          <w:szCs w:val="22"/>
        </w:rPr>
        <w:t>” (Sic)</w:t>
      </w:r>
    </w:p>
    <w:p w14:paraId="41853906" w14:textId="77777777" w:rsidR="008F582A" w:rsidRPr="006D65C9" w:rsidRDefault="008F582A" w:rsidP="008F582A">
      <w:pPr>
        <w:ind w:right="539"/>
        <w:jc w:val="both"/>
        <w:rPr>
          <w:rFonts w:ascii="Palatino Linotype" w:hAnsi="Palatino Linotype"/>
          <w:i/>
          <w:iCs/>
          <w:color w:val="000000"/>
          <w:sz w:val="22"/>
          <w:szCs w:val="22"/>
        </w:rPr>
      </w:pPr>
    </w:p>
    <w:p w14:paraId="4522F9B1" w14:textId="5B0453FF" w:rsidR="00FB7BDC" w:rsidRPr="006D65C9" w:rsidRDefault="00FB7BDC" w:rsidP="00D11F51">
      <w:pPr>
        <w:ind w:right="-28"/>
        <w:jc w:val="both"/>
        <w:rPr>
          <w:rFonts w:ascii="Palatino Linotype" w:hAnsi="Palatino Linotype"/>
          <w:color w:val="000000" w:themeColor="text1"/>
          <w:sz w:val="22"/>
          <w:szCs w:val="22"/>
        </w:rPr>
      </w:pPr>
      <w:r w:rsidRPr="006D65C9">
        <w:rPr>
          <w:rFonts w:ascii="Palatino Linotype" w:hAnsi="Palatino Linotype"/>
          <w:color w:val="000000" w:themeColor="text1"/>
          <w:sz w:val="22"/>
          <w:szCs w:val="22"/>
        </w:rPr>
        <w:t>Ar</w:t>
      </w:r>
      <w:r w:rsidR="004C7C60" w:rsidRPr="006D65C9">
        <w:rPr>
          <w:rFonts w:ascii="Palatino Linotype" w:hAnsi="Palatino Linotype"/>
          <w:color w:val="000000" w:themeColor="text1"/>
          <w:sz w:val="22"/>
          <w:szCs w:val="22"/>
        </w:rPr>
        <w:t>c</w:t>
      </w:r>
      <w:r w:rsidRPr="006D65C9">
        <w:rPr>
          <w:rFonts w:ascii="Palatino Linotype" w:hAnsi="Palatino Linotype"/>
          <w:color w:val="000000" w:themeColor="text1"/>
          <w:sz w:val="22"/>
          <w:szCs w:val="22"/>
        </w:rPr>
        <w:t>hivos electrónicos adjuntos:</w:t>
      </w:r>
    </w:p>
    <w:p w14:paraId="57CC1EC8" w14:textId="77777777" w:rsidR="00CF19C3" w:rsidRPr="006D65C9" w:rsidRDefault="00CF19C3" w:rsidP="00D11F51">
      <w:pPr>
        <w:ind w:right="-28"/>
        <w:jc w:val="both"/>
        <w:rPr>
          <w:rFonts w:ascii="Palatino Linotype" w:hAnsi="Palatino Linotype"/>
          <w:color w:val="000000" w:themeColor="text1"/>
          <w:sz w:val="22"/>
          <w:szCs w:val="22"/>
        </w:rPr>
      </w:pPr>
    </w:p>
    <w:p w14:paraId="537134CD" w14:textId="05F8076B" w:rsidR="00623B94" w:rsidRPr="006D65C9" w:rsidRDefault="004664A1" w:rsidP="002D3977">
      <w:pPr>
        <w:ind w:left="567" w:right="539"/>
        <w:jc w:val="both"/>
        <w:rPr>
          <w:rFonts w:ascii="Palatino Linotype" w:hAnsi="Palatino Linotype"/>
          <w:sz w:val="22"/>
          <w:szCs w:val="22"/>
        </w:rPr>
      </w:pPr>
      <w:hyperlink r:id="rId8" w:tgtFrame="_blank" w:history="1">
        <w:r w:rsidR="002D3977" w:rsidRPr="006D65C9">
          <w:rPr>
            <w:rStyle w:val="Hipervnculo"/>
            <w:rFonts w:ascii="Palatino Linotype" w:eastAsiaTheme="majorEastAsia" w:hAnsi="Palatino Linotype" w:cs="Arial"/>
            <w:b/>
            <w:bCs/>
            <w:color w:val="auto"/>
            <w:sz w:val="22"/>
            <w:szCs w:val="22"/>
            <w:u w:val="none"/>
          </w:rPr>
          <w:t>RESPUESTA.pdf</w:t>
        </w:r>
      </w:hyperlink>
      <w:r w:rsidR="002D3977" w:rsidRPr="006D65C9">
        <w:rPr>
          <w:rFonts w:ascii="Palatino Linotype" w:hAnsi="Palatino Linotype"/>
          <w:sz w:val="22"/>
          <w:szCs w:val="22"/>
        </w:rPr>
        <w:t>: Oficio suscrito por el Titular de la Unidad de Transparencia, por medio del cual, informó que</w:t>
      </w:r>
      <w:r w:rsidR="008F582A" w:rsidRPr="006D65C9">
        <w:rPr>
          <w:rFonts w:ascii="Palatino Linotype" w:hAnsi="Palatino Linotype"/>
          <w:sz w:val="22"/>
          <w:szCs w:val="22"/>
        </w:rPr>
        <w:t xml:space="preserve"> el</w:t>
      </w:r>
      <w:r w:rsidR="002D3977" w:rsidRPr="006D65C9">
        <w:rPr>
          <w:rFonts w:ascii="Palatino Linotype" w:hAnsi="Palatino Linotype"/>
          <w:sz w:val="22"/>
          <w:szCs w:val="22"/>
        </w:rPr>
        <w:t xml:space="preserve"> </w:t>
      </w:r>
      <w:r w:rsidR="008F582A" w:rsidRPr="006D65C9">
        <w:rPr>
          <w:rFonts w:ascii="Palatino Linotype" w:eastAsia="Calibri" w:hAnsi="Palatino Linotype" w:cs="Tahoma"/>
          <w:sz w:val="22"/>
          <w:szCs w:val="22"/>
          <w:lang w:eastAsia="en-US"/>
        </w:rPr>
        <w:t>Ayuntamiento de Tlalnepantla de Baz</w:t>
      </w:r>
      <w:r w:rsidR="008F582A" w:rsidRPr="006D65C9">
        <w:rPr>
          <w:rFonts w:ascii="Palatino Linotype" w:hAnsi="Palatino Linotype"/>
          <w:sz w:val="22"/>
          <w:szCs w:val="22"/>
        </w:rPr>
        <w:t xml:space="preserve"> </w:t>
      </w:r>
      <w:r w:rsidR="002D3977" w:rsidRPr="006D65C9">
        <w:rPr>
          <w:rFonts w:ascii="Palatino Linotype" w:hAnsi="Palatino Linotype"/>
          <w:sz w:val="22"/>
          <w:szCs w:val="22"/>
        </w:rPr>
        <w:t>no es competente para atender la solicitud de información pública, toda vez que, es evidente que el solicitante requiere información de un Sujeto Obliga</w:t>
      </w:r>
      <w:r w:rsidR="008F582A" w:rsidRPr="006D65C9">
        <w:rPr>
          <w:rFonts w:ascii="Palatino Linotype" w:hAnsi="Palatino Linotype"/>
          <w:sz w:val="22"/>
          <w:szCs w:val="22"/>
        </w:rPr>
        <w:t xml:space="preserve">do diverso, en el caso concreto, </w:t>
      </w:r>
      <w:r w:rsidR="002D3977" w:rsidRPr="006D65C9">
        <w:rPr>
          <w:rFonts w:ascii="Palatino Linotype" w:hAnsi="Palatino Linotype"/>
          <w:sz w:val="22"/>
          <w:szCs w:val="22"/>
        </w:rPr>
        <w:t>el Organismo Público descentralizado para la Prestación de los Servicios de Agua Potable, Alcantarillado y Saneamiento del Municipio de Tlalnepantla de Baz.</w:t>
      </w:r>
    </w:p>
    <w:p w14:paraId="6CC6D250" w14:textId="77777777" w:rsidR="002D3977" w:rsidRPr="006D65C9" w:rsidRDefault="002D3977" w:rsidP="00623B94">
      <w:pPr>
        <w:ind w:right="539"/>
        <w:jc w:val="both"/>
        <w:rPr>
          <w:rFonts w:ascii="Palatino Linotype" w:hAnsi="Palatino Linotype"/>
          <w:sz w:val="22"/>
          <w:szCs w:val="22"/>
        </w:rPr>
      </w:pPr>
    </w:p>
    <w:p w14:paraId="61B6C78E" w14:textId="115B470B" w:rsidR="00E93FC1" w:rsidRPr="006D65C9"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Cs w:val="22"/>
        </w:rPr>
      </w:pPr>
      <w:r w:rsidRPr="006D65C9">
        <w:rPr>
          <w:rFonts w:ascii="Palatino Linotype" w:hAnsi="Palatino Linotype" w:cs="Arial"/>
          <w:szCs w:val="22"/>
          <w:lang w:val="es-ES"/>
        </w:rPr>
        <w:t>E</w:t>
      </w:r>
      <w:r w:rsidR="00D11F51" w:rsidRPr="006D65C9">
        <w:rPr>
          <w:rFonts w:ascii="Palatino Linotype" w:hAnsi="Palatino Linotype" w:cs="Arial"/>
          <w:szCs w:val="22"/>
          <w:lang w:val="es-ES"/>
        </w:rPr>
        <w:t xml:space="preserve">l </w:t>
      </w:r>
      <w:r w:rsidR="008F582A" w:rsidRPr="006D65C9">
        <w:rPr>
          <w:rFonts w:ascii="Palatino Linotype" w:hAnsi="Palatino Linotype" w:cs="Arial"/>
          <w:szCs w:val="22"/>
          <w:lang w:val="es-ES"/>
        </w:rPr>
        <w:t>once de octubre de dos mil veinticuatro</w:t>
      </w:r>
      <w:r w:rsidR="00E93FC1" w:rsidRPr="006D65C9">
        <w:rPr>
          <w:rFonts w:ascii="Palatino Linotype" w:hAnsi="Palatino Linotype" w:cs="Arial"/>
          <w:b/>
          <w:szCs w:val="22"/>
          <w:lang w:val="es-ES"/>
        </w:rPr>
        <w:t>,</w:t>
      </w:r>
      <w:r w:rsidR="00E93FC1" w:rsidRPr="006D65C9">
        <w:rPr>
          <w:rFonts w:ascii="Palatino Linotype" w:hAnsi="Palatino Linotype" w:cs="Arial"/>
          <w:szCs w:val="22"/>
          <w:lang w:val="es-ES"/>
        </w:rPr>
        <w:t xml:space="preserve"> el </w:t>
      </w:r>
      <w:r w:rsidR="003C3850" w:rsidRPr="006D65C9">
        <w:rPr>
          <w:rFonts w:ascii="Palatino Linotype" w:hAnsi="Palatino Linotype" w:cs="Arial"/>
          <w:b/>
          <w:bCs/>
          <w:szCs w:val="22"/>
          <w:lang w:val="es-ES"/>
        </w:rPr>
        <w:t xml:space="preserve">RECURRENTE </w:t>
      </w:r>
      <w:r w:rsidR="00E93FC1" w:rsidRPr="006D65C9">
        <w:rPr>
          <w:rFonts w:ascii="Palatino Linotype" w:hAnsi="Palatino Linotype" w:cs="Arial"/>
          <w:szCs w:val="22"/>
          <w:lang w:val="es-ES"/>
        </w:rPr>
        <w:t xml:space="preserve">interpuso </w:t>
      </w:r>
      <w:r w:rsidR="00686B08" w:rsidRPr="006D65C9">
        <w:rPr>
          <w:rFonts w:ascii="Palatino Linotype" w:hAnsi="Palatino Linotype" w:cs="Arial"/>
          <w:szCs w:val="22"/>
          <w:lang w:val="es-ES"/>
        </w:rPr>
        <w:t xml:space="preserve">el </w:t>
      </w:r>
      <w:r w:rsidR="00E93FC1" w:rsidRPr="006D65C9">
        <w:rPr>
          <w:rFonts w:ascii="Palatino Linotype" w:hAnsi="Palatino Linotype" w:cs="Arial"/>
          <w:szCs w:val="22"/>
          <w:lang w:val="es-ES"/>
        </w:rPr>
        <w:t>recurso de revisión, señalando como:</w:t>
      </w:r>
    </w:p>
    <w:bookmarkEnd w:id="4"/>
    <w:bookmarkEnd w:id="5"/>
    <w:bookmarkEnd w:id="6"/>
    <w:p w14:paraId="2CA641AB" w14:textId="77777777" w:rsidR="00623B94" w:rsidRPr="006D65C9" w:rsidRDefault="00E93FC1" w:rsidP="00ED613E">
      <w:pPr>
        <w:ind w:left="567" w:right="539"/>
        <w:jc w:val="both"/>
        <w:rPr>
          <w:rFonts w:ascii="Palatino Linotype" w:eastAsia="Calibri" w:hAnsi="Palatino Linotype" w:cs="Arial"/>
          <w:i/>
          <w:sz w:val="22"/>
          <w:szCs w:val="22"/>
          <w:lang w:val="es-ES"/>
        </w:rPr>
      </w:pPr>
      <w:r w:rsidRPr="006D65C9">
        <w:rPr>
          <w:rFonts w:ascii="Palatino Linotype" w:eastAsia="Calibri" w:hAnsi="Palatino Linotype" w:cs="Arial"/>
          <w:b/>
          <w:sz w:val="22"/>
          <w:szCs w:val="22"/>
          <w:lang w:val="es-ES"/>
        </w:rPr>
        <w:t>Acto impugnado:</w:t>
      </w:r>
      <w:r w:rsidRPr="006D65C9">
        <w:rPr>
          <w:rFonts w:ascii="Palatino Linotype" w:eastAsia="Calibri" w:hAnsi="Palatino Linotype" w:cs="Arial"/>
          <w:i/>
          <w:sz w:val="22"/>
          <w:szCs w:val="22"/>
          <w:lang w:val="es-ES"/>
        </w:rPr>
        <w:t xml:space="preserve"> </w:t>
      </w:r>
    </w:p>
    <w:p w14:paraId="14C55AA6" w14:textId="5BCE3AE5" w:rsidR="00E93FC1" w:rsidRPr="006D65C9" w:rsidRDefault="00E93FC1" w:rsidP="008F582A">
      <w:pPr>
        <w:ind w:left="567" w:right="539"/>
        <w:jc w:val="both"/>
        <w:rPr>
          <w:rFonts w:ascii="Palatino Linotype" w:hAnsi="Palatino Linotype"/>
          <w:i/>
          <w:sz w:val="22"/>
          <w:szCs w:val="22"/>
        </w:rPr>
      </w:pPr>
      <w:r w:rsidRPr="006D65C9">
        <w:rPr>
          <w:rFonts w:ascii="Palatino Linotype" w:eastAsia="Calibri" w:hAnsi="Palatino Linotype" w:cs="Arial"/>
          <w:i/>
          <w:iCs/>
          <w:sz w:val="22"/>
          <w:szCs w:val="22"/>
          <w:lang w:val="es-ES"/>
        </w:rPr>
        <w:t>“</w:t>
      </w:r>
      <w:r w:rsidR="008F582A" w:rsidRPr="006D65C9">
        <w:rPr>
          <w:rFonts w:ascii="Palatino Linotype" w:hAnsi="Palatino Linotype"/>
          <w:i/>
          <w:color w:val="000000"/>
          <w:sz w:val="22"/>
          <w:szCs w:val="22"/>
        </w:rPr>
        <w:t>Acuerdo UTAIM/2802/2024 de fecha 10 de octubre de 2024, mediante el cual la Unidad de Transparencia del Municipio de Tlalnepantla de Baz, se declara incompetente para entregar la información solicitada mediante el SAIMEX folio 00991/TLALNEPA/IP/2024.</w:t>
      </w:r>
      <w:r w:rsidR="00A95951" w:rsidRPr="006D65C9">
        <w:rPr>
          <w:rFonts w:ascii="Palatino Linotype" w:hAnsi="Palatino Linotype"/>
          <w:i/>
          <w:iCs/>
          <w:color w:val="000000"/>
          <w:sz w:val="22"/>
          <w:szCs w:val="22"/>
        </w:rPr>
        <w:t>” (Sic)</w:t>
      </w:r>
    </w:p>
    <w:p w14:paraId="6F27AF4B" w14:textId="77777777" w:rsidR="00A95951" w:rsidRPr="006D65C9" w:rsidRDefault="00A95951" w:rsidP="00ED613E">
      <w:pPr>
        <w:ind w:left="567" w:right="539"/>
        <w:jc w:val="both"/>
        <w:rPr>
          <w:rFonts w:ascii="Palatino Linotype" w:hAnsi="Palatino Linotype"/>
          <w:i/>
          <w:sz w:val="22"/>
          <w:szCs w:val="22"/>
        </w:rPr>
      </w:pPr>
    </w:p>
    <w:p w14:paraId="366CE518" w14:textId="77777777" w:rsidR="00826820" w:rsidRPr="006D65C9" w:rsidRDefault="00E93FC1" w:rsidP="00ED613E">
      <w:pPr>
        <w:ind w:left="567" w:right="539"/>
        <w:jc w:val="both"/>
        <w:rPr>
          <w:rFonts w:ascii="Palatino Linotype" w:eastAsia="MS Mincho" w:hAnsi="Palatino Linotype"/>
          <w:i/>
          <w:sz w:val="22"/>
          <w:szCs w:val="22"/>
        </w:rPr>
      </w:pPr>
      <w:r w:rsidRPr="006D65C9">
        <w:rPr>
          <w:rFonts w:ascii="Palatino Linotype" w:eastAsia="MS Gothic" w:hAnsi="Palatino Linotype"/>
          <w:b/>
          <w:sz w:val="22"/>
          <w:szCs w:val="22"/>
          <w:lang w:val="es-ES"/>
        </w:rPr>
        <w:t>Razones o Motivos de inconformidad</w:t>
      </w:r>
      <w:r w:rsidRPr="006D65C9">
        <w:rPr>
          <w:rFonts w:ascii="Palatino Linotype" w:eastAsia="MS Mincho" w:hAnsi="Palatino Linotype"/>
          <w:i/>
          <w:sz w:val="22"/>
          <w:szCs w:val="22"/>
        </w:rPr>
        <w:t xml:space="preserve">: </w:t>
      </w:r>
    </w:p>
    <w:p w14:paraId="4FC94033" w14:textId="2EE9723F" w:rsidR="00734B74" w:rsidRPr="006D65C9" w:rsidRDefault="00DA116F" w:rsidP="008F582A">
      <w:pPr>
        <w:ind w:left="567" w:right="539"/>
        <w:jc w:val="both"/>
        <w:rPr>
          <w:rFonts w:ascii="Palatino Linotype" w:hAnsi="Palatino Linotype"/>
          <w:i/>
          <w:sz w:val="22"/>
          <w:szCs w:val="22"/>
        </w:rPr>
      </w:pPr>
      <w:r w:rsidRPr="006D65C9">
        <w:rPr>
          <w:rFonts w:ascii="Palatino Linotype" w:eastAsia="MS Mincho" w:hAnsi="Palatino Linotype"/>
          <w:i/>
          <w:sz w:val="22"/>
          <w:szCs w:val="22"/>
        </w:rPr>
        <w:t>“</w:t>
      </w:r>
      <w:r w:rsidR="008F582A" w:rsidRPr="006D65C9">
        <w:rPr>
          <w:rFonts w:ascii="Palatino Linotype" w:hAnsi="Palatino Linotype"/>
          <w:i/>
          <w:color w:val="000000"/>
          <w:sz w:val="22"/>
          <w:szCs w:val="22"/>
        </w:rPr>
        <w:t xml:space="preserve">Sin bien es cierto, tal como lo señala el Acuerdo de Incompetencia ya invocado, que el OPDM es el Sujeto Obligado para la respuesta a la solicitud de raíz, también lo es, que el Ayuntamiento de Tlalnepantla de Baz, es indubitablemente competente de saber y solicitar esta información al OPDM, al ser el Presidente Municipal el Presidente del Consejo Directivo del OPDM, de conformidad con el </w:t>
      </w:r>
      <w:proofErr w:type="spellStart"/>
      <w:r w:rsidR="008F582A" w:rsidRPr="006D65C9">
        <w:rPr>
          <w:rFonts w:ascii="Palatino Linotype" w:hAnsi="Palatino Linotype"/>
          <w:i/>
          <w:color w:val="000000"/>
          <w:sz w:val="22"/>
          <w:szCs w:val="22"/>
        </w:rPr>
        <w:t>Articulo</w:t>
      </w:r>
      <w:proofErr w:type="spellEnd"/>
      <w:r w:rsidR="008F582A" w:rsidRPr="006D65C9">
        <w:rPr>
          <w:rFonts w:ascii="Palatino Linotype" w:hAnsi="Palatino Linotype"/>
          <w:i/>
          <w:color w:val="000000"/>
          <w:sz w:val="22"/>
          <w:szCs w:val="22"/>
        </w:rPr>
        <w:t xml:space="preserve"> 6 fracción I del REGLAMENTO INTERIOR DEL ORGANISMO PÚBLICO DESCENTRALIZADO PARA LA PRESTACIÓN DE LOS SERVICIOS DE AGUA POTABLE, ALCANTARILLADO Y SANEAMIENTO DEL MUNICIPIO DE TLALNEPANTLA, MÉXICO; </w:t>
      </w:r>
      <w:proofErr w:type="spellStart"/>
      <w:r w:rsidR="008F582A" w:rsidRPr="006D65C9">
        <w:rPr>
          <w:rFonts w:ascii="Palatino Linotype" w:hAnsi="Palatino Linotype"/>
          <w:i/>
          <w:color w:val="000000"/>
          <w:sz w:val="22"/>
          <w:szCs w:val="22"/>
        </w:rPr>
        <w:t>asi</w:t>
      </w:r>
      <w:proofErr w:type="spellEnd"/>
      <w:r w:rsidR="008F582A" w:rsidRPr="006D65C9">
        <w:rPr>
          <w:rFonts w:ascii="Palatino Linotype" w:hAnsi="Palatino Linotype"/>
          <w:i/>
          <w:color w:val="000000"/>
          <w:sz w:val="22"/>
          <w:szCs w:val="22"/>
        </w:rPr>
        <w:t xml:space="preserve"> mismo, al ser un Organismo perteneciente a la Administración Pública Municipal. A todas luces, esa Unidad de Transparencia vulneró mi derecho al Acceso a la información Pública, toda vez que para declarar incompetente o en su caso la inexistencia de la información debió de haber sesionado el Comité de Transparencia para su clasificación, y la respuesta recibida debió haber venido acompañada del Acta que así lo acredité, en armonía con la fracción XIII del Artículo 49 de la Ley en la Materia. Mas aún, que se trata de cargas financieras que se egresan a favor de la Federación. Es menester que la respuesta recibida por parte de esa Unidad de Transparencia, carece de sustento Jurídico, ya que la incompetencia la fundamenta en los artículos 20, 23 y 167 de la Ley en la materia, sin embargo estos mismos numerales no son bastantes ni suficientes para declararse incompetente. Fundo mi Recurso en términos del </w:t>
      </w:r>
      <w:proofErr w:type="spellStart"/>
      <w:r w:rsidR="008F582A" w:rsidRPr="006D65C9">
        <w:rPr>
          <w:rFonts w:ascii="Palatino Linotype" w:hAnsi="Palatino Linotype"/>
          <w:i/>
          <w:color w:val="000000"/>
          <w:sz w:val="22"/>
          <w:szCs w:val="22"/>
        </w:rPr>
        <w:t>Articulo</w:t>
      </w:r>
      <w:proofErr w:type="spellEnd"/>
      <w:r w:rsidR="008F582A" w:rsidRPr="006D65C9">
        <w:rPr>
          <w:rFonts w:ascii="Palatino Linotype" w:hAnsi="Palatino Linotype"/>
          <w:i/>
          <w:color w:val="000000"/>
          <w:sz w:val="22"/>
          <w:szCs w:val="22"/>
        </w:rPr>
        <w:t xml:space="preserve"> 8 de la CPEUM y el Articulo 13 de la Ley en la Materia.</w:t>
      </w:r>
      <w:r w:rsidRPr="006D65C9">
        <w:rPr>
          <w:rFonts w:ascii="Palatino Linotype" w:hAnsi="Palatino Linotype"/>
          <w:i/>
          <w:color w:val="000000"/>
          <w:sz w:val="22"/>
          <w:szCs w:val="22"/>
        </w:rPr>
        <w:t>” (Sic)</w:t>
      </w:r>
    </w:p>
    <w:p w14:paraId="0AE0A3E7" w14:textId="52A62388" w:rsidR="00DA116F" w:rsidRPr="006D65C9" w:rsidRDefault="00734B74" w:rsidP="00DA116F">
      <w:pPr>
        <w:numPr>
          <w:ilvl w:val="0"/>
          <w:numId w:val="1"/>
        </w:numPr>
        <w:spacing w:before="240" w:after="240" w:line="360" w:lineRule="auto"/>
        <w:ind w:left="0" w:firstLine="0"/>
        <w:contextualSpacing/>
        <w:jc w:val="both"/>
        <w:rPr>
          <w:rFonts w:ascii="Palatino Linotype" w:eastAsia="MS Mincho" w:hAnsi="Palatino Linotype"/>
          <w:i/>
          <w:color w:val="000000"/>
          <w:sz w:val="22"/>
          <w:szCs w:val="22"/>
        </w:rPr>
      </w:pPr>
      <w:r w:rsidRPr="006D65C9">
        <w:rPr>
          <w:rFonts w:ascii="Palatino Linotype" w:eastAsia="MS Mincho" w:hAnsi="Palatino Linotype"/>
          <w:iCs/>
          <w:color w:val="000000"/>
          <w:sz w:val="22"/>
          <w:szCs w:val="22"/>
        </w:rPr>
        <w:lastRenderedPageBreak/>
        <w:t xml:space="preserve">La </w:t>
      </w:r>
      <w:r w:rsidRPr="006D65C9">
        <w:rPr>
          <w:rFonts w:ascii="Palatino Linotype" w:eastAsia="Calibri" w:hAnsi="Palatino Linotype" w:cs="Arial"/>
          <w:iCs/>
          <w:sz w:val="22"/>
          <w:szCs w:val="22"/>
          <w:lang w:val="es-ES"/>
        </w:rPr>
        <w:t>Comisionada</w:t>
      </w:r>
      <w:r w:rsidRPr="006D65C9">
        <w:rPr>
          <w:rFonts w:ascii="Palatino Linotype" w:eastAsia="Calibri" w:hAnsi="Palatino Linotype" w:cs="Arial"/>
          <w:sz w:val="22"/>
          <w:szCs w:val="22"/>
          <w:lang w:val="es-ES"/>
        </w:rPr>
        <w:t xml:space="preserve"> Ponente, con fundamento en lo dispuesto por el artículo 185 fracción II de la ley de la materia, a través de</w:t>
      </w:r>
      <w:r w:rsidR="00686B08" w:rsidRPr="006D65C9">
        <w:rPr>
          <w:rFonts w:ascii="Palatino Linotype" w:eastAsia="Calibri" w:hAnsi="Palatino Linotype" w:cs="Arial"/>
          <w:sz w:val="22"/>
          <w:szCs w:val="22"/>
          <w:lang w:val="es-ES"/>
        </w:rPr>
        <w:t>l</w:t>
      </w:r>
      <w:r w:rsidRPr="006D65C9">
        <w:rPr>
          <w:rFonts w:ascii="Palatino Linotype" w:eastAsia="Calibri" w:hAnsi="Palatino Linotype" w:cs="Arial"/>
          <w:sz w:val="22"/>
          <w:szCs w:val="22"/>
          <w:lang w:val="es-ES"/>
        </w:rPr>
        <w:t xml:space="preserve"> acuerdo</w:t>
      </w:r>
      <w:r w:rsidR="00686B08" w:rsidRPr="006D65C9">
        <w:rPr>
          <w:rFonts w:ascii="Palatino Linotype" w:eastAsia="Calibri" w:hAnsi="Palatino Linotype" w:cs="Arial"/>
          <w:sz w:val="22"/>
          <w:szCs w:val="22"/>
          <w:lang w:val="es-ES"/>
        </w:rPr>
        <w:t xml:space="preserve"> </w:t>
      </w:r>
      <w:r w:rsidRPr="006D65C9">
        <w:rPr>
          <w:rFonts w:ascii="Palatino Linotype" w:eastAsia="Calibri" w:hAnsi="Palatino Linotype" w:cs="Arial"/>
          <w:sz w:val="22"/>
          <w:szCs w:val="22"/>
          <w:lang w:val="es-ES"/>
        </w:rPr>
        <w:t xml:space="preserve">de admisión del </w:t>
      </w:r>
      <w:r w:rsidR="008F582A" w:rsidRPr="006D65C9">
        <w:rPr>
          <w:rFonts w:ascii="Palatino Linotype" w:eastAsia="Calibri" w:hAnsi="Palatino Linotype" w:cs="Arial"/>
          <w:sz w:val="22"/>
          <w:szCs w:val="22"/>
          <w:lang w:val="es-ES"/>
        </w:rPr>
        <w:t>quince de octubre de dos mil veinticuatro</w:t>
      </w:r>
      <w:r w:rsidRPr="006D65C9">
        <w:rPr>
          <w:rFonts w:ascii="Palatino Linotype" w:eastAsia="Calibri" w:hAnsi="Palatino Linotype" w:cs="Arial"/>
          <w:sz w:val="22"/>
          <w:szCs w:val="22"/>
          <w:lang w:val="es-ES"/>
        </w:rPr>
        <w:t xml:space="preserve">, puso a disposición de las partes </w:t>
      </w:r>
      <w:r w:rsidR="008F582A" w:rsidRPr="006D65C9">
        <w:rPr>
          <w:rFonts w:ascii="Palatino Linotype" w:eastAsia="Calibri" w:hAnsi="Palatino Linotype" w:cs="Arial"/>
          <w:sz w:val="22"/>
          <w:szCs w:val="22"/>
          <w:lang w:val="es-ES"/>
        </w:rPr>
        <w:t>el</w:t>
      </w:r>
      <w:r w:rsidRPr="006D65C9">
        <w:rPr>
          <w:rFonts w:ascii="Palatino Linotype" w:eastAsia="Calibri" w:hAnsi="Palatino Linotype" w:cs="Arial"/>
          <w:sz w:val="22"/>
          <w:szCs w:val="22"/>
          <w:lang w:val="es-ES"/>
        </w:rPr>
        <w:t xml:space="preserve"> expediente</w:t>
      </w:r>
      <w:r w:rsidR="00686B08" w:rsidRPr="006D65C9">
        <w:rPr>
          <w:rFonts w:ascii="Palatino Linotype" w:eastAsia="Calibri" w:hAnsi="Palatino Linotype" w:cs="Arial"/>
          <w:sz w:val="22"/>
          <w:szCs w:val="22"/>
          <w:lang w:val="es-ES"/>
        </w:rPr>
        <w:t xml:space="preserve"> </w:t>
      </w:r>
      <w:r w:rsidRPr="006D65C9">
        <w:rPr>
          <w:rFonts w:ascii="Palatino Linotype" w:eastAsia="Calibri" w:hAnsi="Palatino Linotype" w:cs="Arial"/>
          <w:sz w:val="22"/>
          <w:szCs w:val="22"/>
          <w:lang w:val="es-ES"/>
        </w:rPr>
        <w:t xml:space="preserve">electrónicos </w:t>
      </w:r>
      <w:r w:rsidRPr="006D65C9">
        <w:rPr>
          <w:rFonts w:ascii="Palatino Linotype" w:eastAsia="Calibri" w:hAnsi="Palatino Linotype" w:cs="Arial"/>
          <w:sz w:val="22"/>
          <w:szCs w:val="22"/>
        </w:rPr>
        <w:t xml:space="preserve">vía </w:t>
      </w:r>
      <w:r w:rsidRPr="006D65C9">
        <w:rPr>
          <w:rFonts w:ascii="Palatino Linotype" w:eastAsia="Calibri" w:hAnsi="Palatino Linotype" w:cs="Arial"/>
          <w:sz w:val="22"/>
          <w:szCs w:val="22"/>
          <w:lang w:val="es-ES"/>
        </w:rPr>
        <w:t xml:space="preserve">Sistema de Acceso a la Información Mexiquense </w:t>
      </w:r>
      <w:r w:rsidRPr="006D65C9">
        <w:rPr>
          <w:rFonts w:ascii="Palatino Linotype" w:eastAsia="Calibri" w:hAnsi="Palatino Linotype" w:cs="Arial"/>
          <w:b/>
          <w:sz w:val="22"/>
          <w:szCs w:val="22"/>
          <w:lang w:val="es-ES"/>
        </w:rPr>
        <w:t xml:space="preserve">SAIMEX </w:t>
      </w:r>
      <w:r w:rsidRPr="006D65C9">
        <w:rPr>
          <w:rFonts w:ascii="Palatino Linotype" w:eastAsia="Calibri" w:hAnsi="Palatino Linotype" w:cs="Arial"/>
          <w:sz w:val="22"/>
          <w:szCs w:val="22"/>
          <w:lang w:val="es-ES"/>
        </w:rPr>
        <w:t xml:space="preserve">a efecto de que en un plazo máximo de siete días manifestaran lo que a su derecho conviniera, ofrecieran pruebas y alegatos según correspondiera a los casos concretos, de esta forma para que el </w:t>
      </w:r>
      <w:r w:rsidRPr="006D65C9">
        <w:rPr>
          <w:rFonts w:ascii="Palatino Linotype" w:eastAsia="Calibri" w:hAnsi="Palatino Linotype" w:cs="Arial"/>
          <w:b/>
          <w:sz w:val="22"/>
          <w:szCs w:val="22"/>
          <w:lang w:val="es-ES"/>
        </w:rPr>
        <w:t>SUJETO OBLIGADO</w:t>
      </w:r>
      <w:r w:rsidRPr="006D65C9">
        <w:rPr>
          <w:rFonts w:ascii="Palatino Linotype" w:eastAsia="Calibri" w:hAnsi="Palatino Linotype" w:cs="Arial"/>
          <w:sz w:val="22"/>
          <w:szCs w:val="22"/>
          <w:lang w:val="es-ES"/>
        </w:rPr>
        <w:t xml:space="preserve"> presentara </w:t>
      </w:r>
      <w:r w:rsidR="00686B08" w:rsidRPr="006D65C9">
        <w:rPr>
          <w:rFonts w:ascii="Palatino Linotype" w:eastAsia="Calibri" w:hAnsi="Palatino Linotype" w:cs="Arial"/>
          <w:sz w:val="22"/>
          <w:szCs w:val="22"/>
          <w:lang w:val="es-ES"/>
        </w:rPr>
        <w:t>el</w:t>
      </w:r>
      <w:r w:rsidRPr="006D65C9">
        <w:rPr>
          <w:rFonts w:ascii="Palatino Linotype" w:eastAsia="Calibri" w:hAnsi="Palatino Linotype" w:cs="Arial"/>
          <w:sz w:val="22"/>
          <w:szCs w:val="22"/>
          <w:lang w:val="es-ES"/>
        </w:rPr>
        <w:t xml:space="preserve"> Informe Justificado</w:t>
      </w:r>
      <w:r w:rsidR="00686B08" w:rsidRPr="006D65C9">
        <w:rPr>
          <w:rFonts w:ascii="Palatino Linotype" w:eastAsia="Calibri" w:hAnsi="Palatino Linotype" w:cs="Arial"/>
          <w:sz w:val="22"/>
          <w:szCs w:val="22"/>
          <w:lang w:val="es-ES"/>
        </w:rPr>
        <w:t xml:space="preserve"> </w:t>
      </w:r>
      <w:r w:rsidRPr="006D65C9">
        <w:rPr>
          <w:rFonts w:ascii="Palatino Linotype" w:eastAsia="Calibri" w:hAnsi="Palatino Linotype" w:cs="Arial"/>
          <w:sz w:val="22"/>
          <w:szCs w:val="22"/>
          <w:lang w:val="es-ES"/>
        </w:rPr>
        <w:t>procedente</w:t>
      </w:r>
      <w:r w:rsidR="00686B08" w:rsidRPr="006D65C9">
        <w:rPr>
          <w:rFonts w:ascii="Palatino Linotype" w:eastAsia="Calibri" w:hAnsi="Palatino Linotype" w:cs="Arial"/>
          <w:sz w:val="22"/>
          <w:szCs w:val="22"/>
          <w:lang w:val="es-ES"/>
        </w:rPr>
        <w:t>.</w:t>
      </w:r>
    </w:p>
    <w:p w14:paraId="7E925FE8" w14:textId="77777777" w:rsidR="00623B94" w:rsidRPr="006D65C9" w:rsidRDefault="00623B94" w:rsidP="00623B94">
      <w:pPr>
        <w:spacing w:before="240" w:after="240" w:line="360" w:lineRule="auto"/>
        <w:contextualSpacing/>
        <w:jc w:val="both"/>
        <w:rPr>
          <w:rFonts w:ascii="Palatino Linotype" w:eastAsia="MS Mincho" w:hAnsi="Palatino Linotype"/>
          <w:i/>
          <w:color w:val="000000"/>
          <w:sz w:val="22"/>
          <w:szCs w:val="22"/>
        </w:rPr>
      </w:pPr>
    </w:p>
    <w:p w14:paraId="3765E1D6" w14:textId="5B14A150" w:rsidR="008F582A" w:rsidRPr="006D65C9" w:rsidRDefault="001532BF" w:rsidP="008F582A">
      <w:pPr>
        <w:numPr>
          <w:ilvl w:val="0"/>
          <w:numId w:val="1"/>
        </w:numPr>
        <w:spacing w:before="240" w:after="240" w:line="360" w:lineRule="auto"/>
        <w:ind w:left="0" w:firstLine="0"/>
        <w:contextualSpacing/>
        <w:jc w:val="both"/>
        <w:rPr>
          <w:rFonts w:ascii="Palatino Linotype" w:eastAsia="MS Mincho" w:hAnsi="Palatino Linotype"/>
          <w:i/>
          <w:color w:val="000000"/>
          <w:sz w:val="22"/>
          <w:szCs w:val="22"/>
        </w:rPr>
      </w:pPr>
      <w:r w:rsidRPr="006D65C9">
        <w:rPr>
          <w:rFonts w:ascii="Palatino Linotype" w:eastAsia="MS Mincho" w:hAnsi="Palatino Linotype"/>
          <w:iCs/>
          <w:color w:val="000000"/>
          <w:sz w:val="22"/>
          <w:szCs w:val="22"/>
        </w:rPr>
        <w:t>El</w:t>
      </w:r>
      <w:r w:rsidR="008F582A" w:rsidRPr="006D65C9">
        <w:rPr>
          <w:rFonts w:ascii="Palatino Linotype" w:eastAsia="MS Mincho" w:hAnsi="Palatino Linotype"/>
          <w:iCs/>
          <w:color w:val="000000"/>
          <w:sz w:val="22"/>
          <w:szCs w:val="22"/>
        </w:rPr>
        <w:t xml:space="preserve"> veintiuno de octubre de dos mil veinticuatro, el</w:t>
      </w:r>
      <w:r w:rsidR="00826820" w:rsidRPr="006D65C9">
        <w:rPr>
          <w:rFonts w:ascii="Palatino Linotype" w:eastAsia="MS Mincho" w:hAnsi="Palatino Linotype"/>
          <w:iCs/>
          <w:color w:val="000000"/>
          <w:sz w:val="22"/>
          <w:szCs w:val="22"/>
        </w:rPr>
        <w:t xml:space="preserve"> </w:t>
      </w:r>
      <w:r w:rsidRPr="006D65C9">
        <w:rPr>
          <w:rFonts w:ascii="Palatino Linotype" w:eastAsiaTheme="minorEastAsia" w:hAnsi="Palatino Linotype"/>
          <w:b/>
          <w:bCs/>
          <w:iCs/>
          <w:sz w:val="22"/>
          <w:szCs w:val="22"/>
          <w:lang w:val="es-ES_tradnl" w:eastAsia="es-ES"/>
        </w:rPr>
        <w:t>SUJETO OBLIGADO</w:t>
      </w:r>
      <w:r w:rsidR="008F582A" w:rsidRPr="006D65C9">
        <w:rPr>
          <w:rFonts w:ascii="Palatino Linotype" w:eastAsiaTheme="minorEastAsia" w:hAnsi="Palatino Linotype"/>
          <w:b/>
          <w:bCs/>
          <w:iCs/>
          <w:sz w:val="22"/>
          <w:szCs w:val="22"/>
          <w:lang w:val="es-ES_tradnl" w:eastAsia="es-ES"/>
        </w:rPr>
        <w:t xml:space="preserve"> </w:t>
      </w:r>
      <w:r w:rsidR="008F582A" w:rsidRPr="006D65C9">
        <w:rPr>
          <w:rFonts w:ascii="Palatino Linotype" w:eastAsiaTheme="minorEastAsia" w:hAnsi="Palatino Linotype"/>
          <w:bCs/>
          <w:iCs/>
          <w:sz w:val="22"/>
          <w:szCs w:val="22"/>
          <w:lang w:val="es-ES_tradnl" w:eastAsia="es-ES"/>
        </w:rPr>
        <w:t>rindió</w:t>
      </w:r>
      <w:r w:rsidRPr="006D65C9">
        <w:rPr>
          <w:rFonts w:ascii="Palatino Linotype" w:eastAsiaTheme="minorEastAsia" w:hAnsi="Palatino Linotype"/>
          <w:iCs/>
          <w:sz w:val="22"/>
          <w:szCs w:val="22"/>
          <w:lang w:val="es-ES_tradnl" w:eastAsia="es-ES"/>
        </w:rPr>
        <w:t xml:space="preserve"> </w:t>
      </w:r>
      <w:r w:rsidR="00C82FE5" w:rsidRPr="006D65C9">
        <w:rPr>
          <w:rFonts w:ascii="Palatino Linotype" w:eastAsiaTheme="minorEastAsia" w:hAnsi="Palatino Linotype"/>
          <w:iCs/>
          <w:sz w:val="22"/>
          <w:szCs w:val="22"/>
          <w:lang w:val="es-ES_tradnl" w:eastAsia="es-ES"/>
        </w:rPr>
        <w:t>el</w:t>
      </w:r>
      <w:r w:rsidR="00D92924" w:rsidRPr="006D65C9">
        <w:rPr>
          <w:rFonts w:ascii="Palatino Linotype" w:eastAsiaTheme="minorEastAsia" w:hAnsi="Palatino Linotype"/>
          <w:iCs/>
          <w:sz w:val="22"/>
          <w:szCs w:val="22"/>
          <w:lang w:val="es-ES_tradnl" w:eastAsia="es-ES"/>
        </w:rPr>
        <w:t xml:space="preserve"> </w:t>
      </w:r>
      <w:r w:rsidRPr="006D65C9">
        <w:rPr>
          <w:rFonts w:ascii="Palatino Linotype" w:eastAsiaTheme="minorEastAsia" w:hAnsi="Palatino Linotype"/>
          <w:iCs/>
          <w:sz w:val="22"/>
          <w:szCs w:val="22"/>
          <w:lang w:val="es-ES_tradnl" w:eastAsia="es-ES"/>
        </w:rPr>
        <w:t>informe justificado</w:t>
      </w:r>
      <w:r w:rsidR="00C82FE5" w:rsidRPr="006D65C9">
        <w:rPr>
          <w:rFonts w:ascii="Palatino Linotype" w:eastAsiaTheme="minorEastAsia" w:hAnsi="Palatino Linotype"/>
          <w:iCs/>
          <w:sz w:val="22"/>
          <w:szCs w:val="22"/>
          <w:lang w:val="es-ES_tradnl" w:eastAsia="es-ES"/>
        </w:rPr>
        <w:t xml:space="preserve"> </w:t>
      </w:r>
      <w:r w:rsidR="00623B94" w:rsidRPr="006D65C9">
        <w:rPr>
          <w:rFonts w:ascii="Palatino Linotype" w:eastAsiaTheme="minorEastAsia" w:hAnsi="Palatino Linotype"/>
          <w:iCs/>
          <w:sz w:val="22"/>
          <w:szCs w:val="22"/>
          <w:lang w:val="es-ES_tradnl" w:eastAsia="es-ES"/>
        </w:rPr>
        <w:t>correspondiente</w:t>
      </w:r>
      <w:r w:rsidR="008F582A" w:rsidRPr="006D65C9">
        <w:rPr>
          <w:rFonts w:ascii="Palatino Linotype" w:eastAsiaTheme="minorEastAsia" w:hAnsi="Palatino Linotype"/>
          <w:iCs/>
          <w:sz w:val="22"/>
          <w:szCs w:val="22"/>
          <w:lang w:val="es-ES_tradnl" w:eastAsia="es-ES"/>
        </w:rPr>
        <w:t xml:space="preserve"> por medio del archivo electrónico denominado </w:t>
      </w:r>
      <w:r w:rsidR="008F582A" w:rsidRPr="006D65C9">
        <w:rPr>
          <w:rFonts w:ascii="Palatino Linotype" w:eastAsiaTheme="minorEastAsia" w:hAnsi="Palatino Linotype"/>
          <w:b/>
          <w:iCs/>
          <w:sz w:val="22"/>
          <w:szCs w:val="22"/>
          <w:lang w:val="es-ES_tradnl" w:eastAsia="es-ES"/>
        </w:rPr>
        <w:t>RESPUESTA.pdf</w:t>
      </w:r>
      <w:r w:rsidR="008F582A" w:rsidRPr="006D65C9">
        <w:rPr>
          <w:rFonts w:ascii="Palatino Linotype" w:eastAsiaTheme="minorEastAsia" w:hAnsi="Palatino Linotype"/>
          <w:iCs/>
          <w:sz w:val="22"/>
          <w:szCs w:val="22"/>
          <w:lang w:val="es-ES_tradnl" w:eastAsia="es-ES"/>
        </w:rPr>
        <w:t>, oficio suscrito por el Titular de la Unidad de Transparencia por medio del cual,</w:t>
      </w:r>
      <w:r w:rsidR="008F582A" w:rsidRPr="006D65C9">
        <w:rPr>
          <w:rFonts w:ascii="Palatino Linotype" w:eastAsiaTheme="minorEastAsia" w:hAnsi="Palatino Linotype"/>
          <w:b/>
          <w:iCs/>
          <w:sz w:val="22"/>
          <w:szCs w:val="22"/>
          <w:lang w:val="es-ES_tradnl" w:eastAsia="es-ES"/>
        </w:rPr>
        <w:t xml:space="preserve"> ratificó la respuesta.</w:t>
      </w:r>
    </w:p>
    <w:p w14:paraId="198FC1E8" w14:textId="77777777" w:rsidR="008F582A" w:rsidRPr="006D65C9" w:rsidRDefault="008F582A" w:rsidP="008F582A">
      <w:pPr>
        <w:spacing w:before="240" w:after="240" w:line="360" w:lineRule="auto"/>
        <w:contextualSpacing/>
        <w:jc w:val="both"/>
        <w:rPr>
          <w:rFonts w:ascii="Palatino Linotype" w:eastAsia="MS Mincho" w:hAnsi="Palatino Linotype"/>
          <w:i/>
          <w:color w:val="000000"/>
          <w:sz w:val="22"/>
          <w:szCs w:val="22"/>
        </w:rPr>
      </w:pPr>
    </w:p>
    <w:p w14:paraId="0C5F99B2" w14:textId="575DCF69" w:rsidR="00A76CD6" w:rsidRPr="006D65C9" w:rsidRDefault="008F582A" w:rsidP="008F582A">
      <w:pPr>
        <w:numPr>
          <w:ilvl w:val="0"/>
          <w:numId w:val="1"/>
        </w:numPr>
        <w:spacing w:before="240" w:after="240" w:line="360" w:lineRule="auto"/>
        <w:ind w:left="0" w:firstLine="0"/>
        <w:contextualSpacing/>
        <w:jc w:val="both"/>
        <w:rPr>
          <w:rFonts w:ascii="Palatino Linotype" w:eastAsia="MS Mincho" w:hAnsi="Palatino Linotype"/>
          <w:i/>
          <w:color w:val="000000"/>
          <w:sz w:val="22"/>
          <w:szCs w:val="22"/>
        </w:rPr>
      </w:pPr>
      <w:r w:rsidRPr="006D65C9">
        <w:rPr>
          <w:rFonts w:ascii="Palatino Linotype" w:eastAsiaTheme="minorEastAsia" w:hAnsi="Palatino Linotype"/>
          <w:iCs/>
          <w:sz w:val="22"/>
          <w:szCs w:val="22"/>
          <w:lang w:val="es-ES_tradnl" w:eastAsia="es-ES"/>
        </w:rPr>
        <w:t>P</w:t>
      </w:r>
      <w:r w:rsidR="001532BF" w:rsidRPr="006D65C9">
        <w:rPr>
          <w:rFonts w:ascii="Palatino Linotype" w:eastAsiaTheme="minorEastAsia" w:hAnsi="Palatino Linotype"/>
          <w:iCs/>
          <w:sz w:val="22"/>
          <w:szCs w:val="22"/>
          <w:lang w:val="es-ES_tradnl" w:eastAsia="es-ES"/>
        </w:rPr>
        <w:t>or su parte</w:t>
      </w:r>
      <w:r w:rsidR="00D11F51" w:rsidRPr="006D65C9">
        <w:rPr>
          <w:rFonts w:ascii="Palatino Linotype" w:eastAsiaTheme="minorEastAsia" w:hAnsi="Palatino Linotype"/>
          <w:iCs/>
          <w:sz w:val="22"/>
          <w:szCs w:val="22"/>
          <w:lang w:val="es-ES_tradnl" w:eastAsia="es-ES"/>
        </w:rPr>
        <w:t>,</w:t>
      </w:r>
      <w:r w:rsidR="001532BF" w:rsidRPr="006D65C9">
        <w:rPr>
          <w:rFonts w:ascii="Palatino Linotype" w:eastAsiaTheme="minorEastAsia" w:hAnsi="Palatino Linotype"/>
          <w:iCs/>
          <w:sz w:val="22"/>
          <w:szCs w:val="22"/>
          <w:lang w:val="es-ES_tradnl" w:eastAsia="es-ES"/>
        </w:rPr>
        <w:t xml:space="preserve"> </w:t>
      </w:r>
      <w:r w:rsidR="00D11F51" w:rsidRPr="006D65C9">
        <w:rPr>
          <w:rFonts w:ascii="Palatino Linotype" w:eastAsiaTheme="minorEastAsia" w:hAnsi="Palatino Linotype"/>
          <w:iCs/>
          <w:sz w:val="22"/>
          <w:szCs w:val="22"/>
          <w:lang w:val="es-ES_tradnl" w:eastAsia="es-ES"/>
        </w:rPr>
        <w:t>el</w:t>
      </w:r>
      <w:r w:rsidR="001532BF" w:rsidRPr="006D65C9">
        <w:rPr>
          <w:rFonts w:ascii="Palatino Linotype" w:eastAsiaTheme="minorEastAsia" w:hAnsi="Palatino Linotype"/>
          <w:iCs/>
          <w:sz w:val="22"/>
          <w:szCs w:val="22"/>
          <w:lang w:val="es-ES_tradnl" w:eastAsia="es-ES"/>
        </w:rPr>
        <w:t xml:space="preserve"> </w:t>
      </w:r>
      <w:r w:rsidR="001532BF" w:rsidRPr="006D65C9">
        <w:rPr>
          <w:rFonts w:ascii="Palatino Linotype" w:eastAsiaTheme="minorEastAsia" w:hAnsi="Palatino Linotype"/>
          <w:b/>
          <w:iCs/>
          <w:sz w:val="22"/>
          <w:szCs w:val="22"/>
          <w:lang w:val="es-ES_tradnl" w:eastAsia="es-ES"/>
        </w:rPr>
        <w:t xml:space="preserve">RECURRENTE </w:t>
      </w:r>
      <w:r w:rsidR="001532BF" w:rsidRPr="006D65C9">
        <w:rPr>
          <w:rFonts w:ascii="Palatino Linotype" w:eastAsiaTheme="minorEastAsia" w:hAnsi="Palatino Linotype"/>
          <w:iCs/>
          <w:sz w:val="22"/>
          <w:szCs w:val="22"/>
          <w:lang w:val="es-ES_tradnl" w:eastAsia="es-ES"/>
        </w:rPr>
        <w:t>no presentó alegatos ni ofreció medios de prueba</w:t>
      </w:r>
      <w:r w:rsidR="001532BF" w:rsidRPr="006D65C9">
        <w:rPr>
          <w:rFonts w:ascii="Palatino Linotype" w:eastAsiaTheme="minorEastAsia" w:hAnsi="Palatino Linotype"/>
          <w:sz w:val="22"/>
          <w:szCs w:val="22"/>
          <w:lang w:val="es-ES_tradnl" w:eastAsia="es-ES"/>
        </w:rPr>
        <w:t xml:space="preserve">, según constancias del Sistema de Acceso a la Información Mexiquense </w:t>
      </w:r>
      <w:r w:rsidR="001532BF" w:rsidRPr="006D65C9">
        <w:rPr>
          <w:rFonts w:ascii="Palatino Linotype" w:eastAsiaTheme="minorEastAsia" w:hAnsi="Palatino Linotype"/>
          <w:b/>
          <w:sz w:val="22"/>
          <w:szCs w:val="22"/>
          <w:lang w:val="es-ES_tradnl" w:eastAsia="es-ES"/>
        </w:rPr>
        <w:t>SAIMEX.</w:t>
      </w:r>
    </w:p>
    <w:p w14:paraId="315786F1" w14:textId="77777777" w:rsidR="00A76CD6" w:rsidRPr="006D65C9" w:rsidRDefault="00A76CD6" w:rsidP="00A76CD6">
      <w:pPr>
        <w:spacing w:before="240" w:after="240" w:line="360" w:lineRule="auto"/>
        <w:contextualSpacing/>
        <w:jc w:val="both"/>
        <w:rPr>
          <w:rFonts w:ascii="Palatino Linotype" w:eastAsia="MS Mincho" w:hAnsi="Palatino Linotype"/>
          <w:b/>
          <w:sz w:val="22"/>
          <w:szCs w:val="22"/>
        </w:rPr>
      </w:pPr>
    </w:p>
    <w:p w14:paraId="264397B1" w14:textId="3DE7EC5B" w:rsidR="004D76D8" w:rsidRPr="006D65C9" w:rsidRDefault="00E93FC1" w:rsidP="004D76D8">
      <w:pPr>
        <w:numPr>
          <w:ilvl w:val="0"/>
          <w:numId w:val="1"/>
        </w:numPr>
        <w:spacing w:before="240" w:after="240" w:line="360" w:lineRule="auto"/>
        <w:ind w:left="0" w:firstLine="0"/>
        <w:contextualSpacing/>
        <w:jc w:val="both"/>
        <w:rPr>
          <w:rFonts w:ascii="Palatino Linotype" w:eastAsia="MS Mincho" w:hAnsi="Palatino Linotype"/>
          <w:b/>
          <w:sz w:val="22"/>
          <w:szCs w:val="22"/>
        </w:rPr>
      </w:pPr>
      <w:r w:rsidRPr="006D65C9">
        <w:rPr>
          <w:rFonts w:ascii="Palatino Linotype" w:eastAsia="MS Mincho" w:hAnsi="Palatino Linotype"/>
          <w:sz w:val="22"/>
          <w:szCs w:val="22"/>
        </w:rPr>
        <w:t>La Comisionada Ponente decretó e</w:t>
      </w:r>
      <w:r w:rsidR="007B0BCA" w:rsidRPr="006D65C9">
        <w:rPr>
          <w:rFonts w:ascii="Palatino Linotype" w:eastAsia="MS Mincho" w:hAnsi="Palatino Linotype"/>
          <w:sz w:val="22"/>
          <w:szCs w:val="22"/>
        </w:rPr>
        <w:t xml:space="preserve">l </w:t>
      </w:r>
      <w:r w:rsidRPr="006D65C9">
        <w:rPr>
          <w:rFonts w:ascii="Palatino Linotype" w:eastAsia="MS Mincho" w:hAnsi="Palatino Linotype"/>
          <w:sz w:val="22"/>
          <w:szCs w:val="22"/>
        </w:rPr>
        <w:t>cierre de instrucción</w:t>
      </w:r>
      <w:r w:rsidRPr="006D65C9">
        <w:rPr>
          <w:rFonts w:ascii="Palatino Linotype" w:eastAsia="MS Mincho" w:hAnsi="Palatino Linotype" w:cs="Arial"/>
          <w:sz w:val="22"/>
          <w:szCs w:val="22"/>
        </w:rPr>
        <w:t xml:space="preserve"> </w:t>
      </w:r>
      <w:r w:rsidRPr="006D65C9">
        <w:rPr>
          <w:rFonts w:ascii="Palatino Linotype" w:eastAsia="MS Mincho" w:hAnsi="Palatino Linotype"/>
          <w:sz w:val="22"/>
          <w:szCs w:val="22"/>
        </w:rPr>
        <w:t xml:space="preserve">mediante acuerdo del </w:t>
      </w:r>
      <w:r w:rsidR="008F582A" w:rsidRPr="006D65C9">
        <w:rPr>
          <w:rFonts w:ascii="Palatino Linotype" w:eastAsia="MS Mincho" w:hAnsi="Palatino Linotype"/>
          <w:sz w:val="22"/>
          <w:szCs w:val="22"/>
        </w:rPr>
        <w:t xml:space="preserve">treinta de octubre </w:t>
      </w:r>
      <w:r w:rsidR="00A76CD6" w:rsidRPr="006D65C9">
        <w:rPr>
          <w:rFonts w:ascii="Palatino Linotype" w:eastAsia="MS Mincho" w:hAnsi="Palatino Linotype"/>
          <w:sz w:val="22"/>
          <w:szCs w:val="22"/>
        </w:rPr>
        <w:t>de dos mil veinticuatro</w:t>
      </w:r>
      <w:r w:rsidRPr="006D65C9">
        <w:rPr>
          <w:rFonts w:ascii="Palatino Linotype" w:eastAsia="MS Mincho" w:hAnsi="Palatino Linotype"/>
          <w:sz w:val="22"/>
          <w:szCs w:val="22"/>
        </w:rPr>
        <w:t>,</w:t>
      </w:r>
      <w:r w:rsidR="007353A8" w:rsidRPr="006D65C9">
        <w:rPr>
          <w:rFonts w:ascii="Palatino Linotype" w:eastAsia="MS Mincho" w:hAnsi="Palatino Linotype"/>
          <w:sz w:val="22"/>
          <w:szCs w:val="22"/>
        </w:rPr>
        <w:t xml:space="preserve"> </w:t>
      </w:r>
      <w:r w:rsidR="00D92924" w:rsidRPr="006D65C9">
        <w:rPr>
          <w:rFonts w:ascii="Palatino Linotype" w:eastAsia="MS Mincho" w:hAnsi="Palatino Linotype"/>
          <w:sz w:val="22"/>
          <w:szCs w:val="22"/>
        </w:rPr>
        <w:t xml:space="preserve">por lo que, ordenó turnar el </w:t>
      </w:r>
      <w:r w:rsidRPr="006D65C9">
        <w:rPr>
          <w:rFonts w:ascii="Palatino Linotype" w:eastAsia="MS Mincho" w:hAnsi="Palatino Linotype" w:cs="Arial"/>
          <w:sz w:val="22"/>
          <w:szCs w:val="22"/>
        </w:rPr>
        <w:t>expediente a resolución, misma que a continuación se pronuncia.</w:t>
      </w:r>
      <w:r w:rsidR="003630BC" w:rsidRPr="006D65C9">
        <w:rPr>
          <w:rFonts w:ascii="Palatino Linotype" w:eastAsia="MS Mincho" w:hAnsi="Palatino Linotype" w:cs="Arial"/>
          <w:sz w:val="22"/>
          <w:szCs w:val="22"/>
        </w:rPr>
        <w:t>------------------------------------------</w:t>
      </w:r>
      <w:r w:rsidR="004D76D8" w:rsidRPr="006D65C9">
        <w:rPr>
          <w:rFonts w:ascii="Palatino Linotype" w:eastAsia="MS Mincho" w:hAnsi="Palatino Linotype" w:cs="Arial"/>
          <w:sz w:val="22"/>
          <w:szCs w:val="22"/>
        </w:rPr>
        <w:t>--</w:t>
      </w:r>
      <w:r w:rsidR="008F582A" w:rsidRPr="006D65C9">
        <w:rPr>
          <w:rFonts w:ascii="Palatino Linotype" w:eastAsia="MS Mincho" w:hAnsi="Palatino Linotype" w:cs="Arial"/>
          <w:sz w:val="22"/>
          <w:szCs w:val="22"/>
        </w:rPr>
        <w:t>--------------------------</w:t>
      </w:r>
    </w:p>
    <w:p w14:paraId="6707F578" w14:textId="77777777" w:rsidR="004D76D8" w:rsidRPr="006D65C9" w:rsidRDefault="004D76D8" w:rsidP="004D76D8">
      <w:pPr>
        <w:rPr>
          <w:rFonts w:ascii="Palatino Linotype" w:eastAsia="Calibri" w:hAnsi="Palatino Linotype"/>
          <w:sz w:val="22"/>
          <w:szCs w:val="22"/>
          <w:lang w:val="es-ES"/>
        </w:rPr>
      </w:pPr>
    </w:p>
    <w:p w14:paraId="6435D9FA" w14:textId="77777777" w:rsidR="004D76D8" w:rsidRPr="006D65C9" w:rsidRDefault="004D76D8" w:rsidP="004D76D8">
      <w:pPr>
        <w:keepNext/>
        <w:keepLines/>
        <w:spacing w:before="240" w:after="240" w:line="360" w:lineRule="auto"/>
        <w:jc w:val="center"/>
        <w:outlineLvl w:val="0"/>
        <w:rPr>
          <w:rFonts w:ascii="Palatino Linotype" w:eastAsia="MS Gothic" w:hAnsi="Palatino Linotype"/>
          <w:b/>
          <w:sz w:val="22"/>
          <w:szCs w:val="22"/>
          <w:lang w:eastAsia="en-US"/>
        </w:rPr>
      </w:pPr>
      <w:bookmarkStart w:id="7" w:name="_Toc491791302"/>
      <w:bookmarkStart w:id="8" w:name="_Toc528153788"/>
      <w:bookmarkStart w:id="9" w:name="_Toc94119611"/>
      <w:r w:rsidRPr="006D65C9">
        <w:rPr>
          <w:rFonts w:ascii="Palatino Linotype" w:eastAsia="MS Gothic" w:hAnsi="Palatino Linotype"/>
          <w:b/>
          <w:sz w:val="22"/>
          <w:szCs w:val="22"/>
          <w:lang w:eastAsia="en-US"/>
        </w:rPr>
        <w:t>CONSIDERANDO</w:t>
      </w:r>
      <w:bookmarkEnd w:id="7"/>
      <w:bookmarkEnd w:id="8"/>
      <w:bookmarkEnd w:id="9"/>
    </w:p>
    <w:p w14:paraId="73321AAA" w14:textId="461040A2" w:rsidR="004D76D8" w:rsidRPr="006D65C9" w:rsidRDefault="004D76D8" w:rsidP="004D76D8">
      <w:pPr>
        <w:keepNext/>
        <w:keepLines/>
        <w:spacing w:before="240" w:after="240" w:line="360" w:lineRule="auto"/>
        <w:outlineLvl w:val="1"/>
        <w:rPr>
          <w:rFonts w:ascii="Palatino Linotype" w:eastAsia="MS Gothic" w:hAnsi="Palatino Linotype"/>
          <w:b/>
          <w:sz w:val="22"/>
          <w:szCs w:val="22"/>
          <w:lang w:eastAsia="en-US"/>
        </w:rPr>
      </w:pPr>
      <w:bookmarkStart w:id="10" w:name="_Toc491791303"/>
      <w:bookmarkStart w:id="11" w:name="_Toc528153789"/>
      <w:bookmarkStart w:id="12" w:name="_Toc94119612"/>
      <w:r w:rsidRPr="006D65C9">
        <w:rPr>
          <w:rFonts w:ascii="Palatino Linotype" w:eastAsia="MS Gothic" w:hAnsi="Palatino Linotype"/>
          <w:b/>
          <w:sz w:val="22"/>
          <w:szCs w:val="22"/>
          <w:lang w:eastAsia="en-US"/>
        </w:rPr>
        <w:t>PRIMERO. De la competencia</w:t>
      </w:r>
      <w:bookmarkEnd w:id="10"/>
      <w:bookmarkEnd w:id="11"/>
      <w:r w:rsidRPr="006D65C9">
        <w:rPr>
          <w:rFonts w:ascii="Palatino Linotype" w:eastAsia="MS Gothic" w:hAnsi="Palatino Linotype"/>
          <w:b/>
          <w:sz w:val="22"/>
          <w:szCs w:val="22"/>
          <w:lang w:eastAsia="en-US"/>
        </w:rPr>
        <w:t>.</w:t>
      </w:r>
      <w:bookmarkEnd w:id="12"/>
    </w:p>
    <w:p w14:paraId="5F22FAC6" w14:textId="0A1F1F7F" w:rsidR="002F551E" w:rsidRPr="006D65C9" w:rsidRDefault="00E93FC1" w:rsidP="004D76D8">
      <w:pPr>
        <w:numPr>
          <w:ilvl w:val="0"/>
          <w:numId w:val="1"/>
        </w:numPr>
        <w:spacing w:before="240" w:after="240" w:line="360" w:lineRule="auto"/>
        <w:ind w:left="0" w:firstLine="0"/>
        <w:contextualSpacing/>
        <w:jc w:val="both"/>
        <w:rPr>
          <w:rFonts w:ascii="Palatino Linotype" w:eastAsia="MS Mincho" w:hAnsi="Palatino Linotype"/>
          <w:b/>
          <w:sz w:val="22"/>
          <w:szCs w:val="22"/>
        </w:rPr>
      </w:pPr>
      <w:r w:rsidRPr="006D65C9">
        <w:rPr>
          <w:rFonts w:ascii="Palatino Linotype" w:eastAsia="Calibri" w:hAnsi="Palatino Linotype"/>
          <w:sz w:val="22"/>
          <w:szCs w:val="22"/>
          <w:lang w:val="es-ES"/>
        </w:rPr>
        <w:t xml:space="preserve">Este </w:t>
      </w:r>
      <w:bookmarkStart w:id="13" w:name="_Toc491791304"/>
      <w:bookmarkStart w:id="14" w:name="_Toc528153790"/>
      <w:bookmarkStart w:id="15" w:name="_Toc94119613"/>
      <w:r w:rsidR="003630BC" w:rsidRPr="006D65C9">
        <w:rPr>
          <w:rFonts w:ascii="Palatino Linotype" w:hAnsi="Palatino Linotype" w:cs="Arial"/>
          <w:color w:val="222222"/>
          <w:sz w:val="22"/>
          <w:szCs w:val="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w:t>
      </w:r>
      <w:r w:rsidR="003630BC" w:rsidRPr="006D65C9">
        <w:rPr>
          <w:rFonts w:ascii="Palatino Linotype" w:hAnsi="Palatino Linotype" w:cs="Arial"/>
          <w:color w:val="222222"/>
          <w:sz w:val="22"/>
          <w:szCs w:val="22"/>
          <w:shd w:val="clear" w:color="auto" w:fill="FFFFFF"/>
        </w:rPr>
        <w:lastRenderedPageBreak/>
        <w:t>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FAAAF09" w14:textId="77777777" w:rsidR="004D76D8" w:rsidRPr="006D65C9" w:rsidRDefault="004D76D8" w:rsidP="004D76D8">
      <w:pPr>
        <w:spacing w:before="240" w:after="240" w:line="360" w:lineRule="auto"/>
        <w:contextualSpacing/>
        <w:jc w:val="both"/>
        <w:rPr>
          <w:rFonts w:ascii="Palatino Linotype" w:eastAsia="MS Mincho" w:hAnsi="Palatino Linotype"/>
          <w:b/>
          <w:sz w:val="22"/>
          <w:szCs w:val="22"/>
        </w:rPr>
      </w:pPr>
    </w:p>
    <w:p w14:paraId="6CCB6BDD" w14:textId="2530DFAD" w:rsidR="00E93FC1" w:rsidRPr="006D65C9" w:rsidRDefault="00E93FC1" w:rsidP="003630BC">
      <w:pPr>
        <w:keepNext/>
        <w:keepLines/>
        <w:spacing w:before="240" w:after="240" w:line="360" w:lineRule="auto"/>
        <w:jc w:val="both"/>
        <w:outlineLvl w:val="1"/>
        <w:rPr>
          <w:rFonts w:ascii="Palatino Linotype" w:eastAsia="MS Gothic" w:hAnsi="Palatino Linotype"/>
          <w:b/>
          <w:sz w:val="22"/>
          <w:szCs w:val="22"/>
          <w:lang w:eastAsia="en-US"/>
        </w:rPr>
      </w:pPr>
      <w:r w:rsidRPr="006D65C9">
        <w:rPr>
          <w:rFonts w:ascii="Palatino Linotype" w:eastAsia="MS Gothic" w:hAnsi="Palatino Linotype"/>
          <w:b/>
          <w:sz w:val="22"/>
          <w:szCs w:val="22"/>
          <w:lang w:eastAsia="en-US"/>
        </w:rPr>
        <w:t>SEGUNDO. De la oportunidad y procedencia.</w:t>
      </w:r>
      <w:bookmarkEnd w:id="13"/>
      <w:bookmarkEnd w:id="14"/>
      <w:bookmarkEnd w:id="15"/>
    </w:p>
    <w:p w14:paraId="19131B48" w14:textId="719CE531" w:rsidR="00080A89" w:rsidRPr="006D65C9"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sz w:val="22"/>
          <w:szCs w:val="22"/>
          <w:lang w:val="es-ES_tradnl" w:eastAsia="es-ES"/>
        </w:rPr>
      </w:pPr>
      <w:r w:rsidRPr="006D65C9">
        <w:rPr>
          <w:rFonts w:ascii="Palatino Linotype" w:eastAsia="Calibri" w:hAnsi="Palatino Linotype" w:cs="Arial"/>
          <w:sz w:val="22"/>
          <w:szCs w:val="22"/>
          <w:lang w:val="es-ES_tradnl" w:eastAsia="es-ES"/>
        </w:rPr>
        <w:t xml:space="preserve">El medio de impugnación fue presentado a través del </w:t>
      </w:r>
      <w:r w:rsidRPr="006D65C9">
        <w:rPr>
          <w:rFonts w:ascii="Palatino Linotype" w:eastAsia="Calibri" w:hAnsi="Palatino Linotype" w:cs="Arial"/>
          <w:b/>
          <w:sz w:val="22"/>
          <w:szCs w:val="22"/>
          <w:lang w:val="es-ES_tradnl" w:eastAsia="es-ES"/>
        </w:rPr>
        <w:t>SAIMEX,</w:t>
      </w:r>
      <w:r w:rsidRPr="006D65C9">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6D65C9">
        <w:rPr>
          <w:rFonts w:ascii="Palatino Linotype" w:eastAsia="Calibri" w:hAnsi="Palatino Linotype" w:cs="Arial"/>
          <w:b/>
          <w:sz w:val="22"/>
          <w:szCs w:val="22"/>
          <w:lang w:val="es-ES_tradnl" w:eastAsia="es-ES"/>
        </w:rPr>
        <w:t>SUJETO OBLIGADO</w:t>
      </w:r>
      <w:r w:rsidRPr="006D65C9">
        <w:rPr>
          <w:rFonts w:ascii="Palatino Linotype" w:eastAsia="Calibri" w:hAnsi="Palatino Linotype" w:cs="Arial"/>
          <w:sz w:val="22"/>
          <w:szCs w:val="22"/>
          <w:lang w:val="es-ES_tradnl" w:eastAsia="es-ES"/>
        </w:rPr>
        <w:t xml:space="preserve"> entregó respuesta</w:t>
      </w:r>
      <w:r w:rsidR="007B0BCA" w:rsidRPr="006D65C9">
        <w:rPr>
          <w:rFonts w:ascii="Palatino Linotype" w:eastAsia="Calibri" w:hAnsi="Palatino Linotype" w:cs="Arial"/>
          <w:sz w:val="22"/>
          <w:szCs w:val="22"/>
          <w:lang w:val="es-ES_tradnl" w:eastAsia="es-ES"/>
        </w:rPr>
        <w:t>s</w:t>
      </w:r>
      <w:r w:rsidRPr="006D65C9">
        <w:rPr>
          <w:rFonts w:ascii="Palatino Linotype" w:eastAsia="Calibri" w:hAnsi="Palatino Linotype" w:cs="Arial"/>
          <w:sz w:val="22"/>
          <w:szCs w:val="22"/>
          <w:lang w:val="es-ES_tradnl" w:eastAsia="es-ES"/>
        </w:rPr>
        <w:t xml:space="preserve"> el </w:t>
      </w:r>
      <w:r w:rsidR="008F582A" w:rsidRPr="006D65C9">
        <w:rPr>
          <w:rFonts w:ascii="Palatino Linotype" w:eastAsia="Calibri" w:hAnsi="Palatino Linotype" w:cs="Arial"/>
          <w:sz w:val="22"/>
          <w:szCs w:val="22"/>
          <w:lang w:val="es-ES_tradnl" w:eastAsia="es-ES"/>
        </w:rPr>
        <w:t>once de octubre de dos mil veinticuatro</w:t>
      </w:r>
      <w:r w:rsidRPr="006D65C9">
        <w:rPr>
          <w:rFonts w:ascii="Palatino Linotype" w:eastAsia="Calibri" w:hAnsi="Palatino Linotype" w:cs="Arial"/>
          <w:sz w:val="22"/>
          <w:szCs w:val="22"/>
          <w:lang w:val="es-ES_tradnl" w:eastAsia="es-ES"/>
        </w:rPr>
        <w:t xml:space="preserve">, </w:t>
      </w:r>
      <w:r w:rsidRPr="006D65C9">
        <w:rPr>
          <w:rFonts w:ascii="Palatino Linotype" w:eastAsiaTheme="minorEastAsia" w:hAnsi="Palatino Linotype" w:cs="Arial"/>
          <w:sz w:val="22"/>
          <w:szCs w:val="22"/>
          <w:lang w:val="es-ES_tradnl" w:eastAsia="es-ES"/>
        </w:rPr>
        <w:t>de tal forma que el plazo para interponer el recurso transcurrió del</w:t>
      </w:r>
      <w:r w:rsidR="000F14F6" w:rsidRPr="006D65C9">
        <w:rPr>
          <w:rFonts w:ascii="Palatino Linotype" w:eastAsiaTheme="minorEastAsia" w:hAnsi="Palatino Linotype" w:cs="Arial"/>
          <w:sz w:val="22"/>
          <w:szCs w:val="22"/>
          <w:lang w:val="es-ES_tradnl" w:eastAsia="es-ES"/>
        </w:rPr>
        <w:t xml:space="preserve"> </w:t>
      </w:r>
      <w:r w:rsidR="008F582A" w:rsidRPr="006D65C9">
        <w:rPr>
          <w:rFonts w:ascii="Palatino Linotype" w:eastAsiaTheme="minorEastAsia" w:hAnsi="Palatino Linotype" w:cs="Arial"/>
          <w:sz w:val="22"/>
          <w:szCs w:val="22"/>
          <w:lang w:val="es-ES_tradnl" w:eastAsia="es-ES"/>
        </w:rPr>
        <w:t>catorce de octubre</w:t>
      </w:r>
      <w:r w:rsidR="00CC65AB" w:rsidRPr="006D65C9">
        <w:rPr>
          <w:rFonts w:ascii="Palatino Linotype" w:eastAsiaTheme="minorEastAsia" w:hAnsi="Palatino Linotype" w:cs="Arial"/>
          <w:sz w:val="22"/>
          <w:szCs w:val="22"/>
          <w:lang w:val="es-ES_tradnl" w:eastAsia="es-ES"/>
        </w:rPr>
        <w:t xml:space="preserve"> al </w:t>
      </w:r>
      <w:r w:rsidR="008F582A" w:rsidRPr="006D65C9">
        <w:rPr>
          <w:rFonts w:ascii="Palatino Linotype" w:eastAsiaTheme="minorEastAsia" w:hAnsi="Palatino Linotype" w:cs="Arial"/>
          <w:sz w:val="22"/>
          <w:szCs w:val="22"/>
          <w:lang w:val="es-ES_tradnl" w:eastAsia="es-ES"/>
        </w:rPr>
        <w:t>cuatro de noviembre de dos mil veinticuatro</w:t>
      </w:r>
      <w:r w:rsidRPr="006D65C9">
        <w:rPr>
          <w:rFonts w:ascii="Palatino Linotype" w:eastAsiaTheme="minorEastAsia" w:hAnsi="Palatino Linotype" w:cs="Arial"/>
          <w:sz w:val="22"/>
          <w:szCs w:val="22"/>
          <w:lang w:val="es-ES_tradnl" w:eastAsia="es-ES"/>
        </w:rPr>
        <w:t xml:space="preserve">; en consecuencia, si el </w:t>
      </w:r>
      <w:r w:rsidR="00D11F51" w:rsidRPr="006D65C9">
        <w:rPr>
          <w:rFonts w:ascii="Palatino Linotype" w:eastAsiaTheme="minorEastAsia" w:hAnsi="Palatino Linotype" w:cs="Arial"/>
          <w:b/>
          <w:bCs/>
          <w:sz w:val="22"/>
          <w:szCs w:val="22"/>
          <w:lang w:val="es-ES_tradnl" w:eastAsia="es-ES"/>
        </w:rPr>
        <w:t>RECURRENTE</w:t>
      </w:r>
      <w:r w:rsidRPr="006D65C9">
        <w:rPr>
          <w:rFonts w:ascii="Palatino Linotype" w:eastAsiaTheme="minorEastAsia" w:hAnsi="Palatino Linotype" w:cs="Arial"/>
          <w:sz w:val="22"/>
          <w:szCs w:val="22"/>
          <w:lang w:val="es-ES_tradnl" w:eastAsia="es-ES"/>
        </w:rPr>
        <w:t xml:space="preserve"> presentó su inconformidad el </w:t>
      </w:r>
      <w:r w:rsidR="008F582A" w:rsidRPr="006D65C9">
        <w:rPr>
          <w:rFonts w:ascii="Palatino Linotype" w:eastAsiaTheme="minorEastAsia" w:hAnsi="Palatino Linotype" w:cs="Arial"/>
          <w:sz w:val="22"/>
          <w:szCs w:val="22"/>
          <w:lang w:val="es-ES_tradnl" w:eastAsia="es-ES"/>
        </w:rPr>
        <w:t>once de octubre de dos mil veinticuatro</w:t>
      </w:r>
      <w:r w:rsidRPr="006D65C9">
        <w:rPr>
          <w:rFonts w:ascii="Palatino Linotype" w:eastAsiaTheme="minorEastAsia" w:hAnsi="Palatino Linotype" w:cs="Arial"/>
          <w:sz w:val="22"/>
          <w:szCs w:val="22"/>
          <w:lang w:val="es-ES_tradnl" w:eastAsia="es-ES"/>
        </w:rPr>
        <w:t xml:space="preserve">, se encuentra dentro de los márgenes temporales previstos en el artículo 178 de la </w:t>
      </w:r>
      <w:r w:rsidRPr="006D65C9">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00CC65AB" w:rsidRPr="006D65C9">
        <w:rPr>
          <w:rFonts w:ascii="Palatino Linotype" w:eastAsiaTheme="minorEastAsia" w:hAnsi="Palatino Linotype" w:cs="Arial"/>
          <w:sz w:val="22"/>
          <w:szCs w:val="22"/>
          <w:lang w:val="es-ES_tradnl" w:eastAsia="es-ES"/>
        </w:rPr>
        <w:t>vigente.</w:t>
      </w:r>
    </w:p>
    <w:p w14:paraId="4D303C2D" w14:textId="77777777" w:rsidR="00CC65AB" w:rsidRPr="006D65C9" w:rsidRDefault="00CC65AB" w:rsidP="00CC65AB">
      <w:pPr>
        <w:spacing w:before="240" w:after="240" w:line="360" w:lineRule="auto"/>
        <w:ind w:right="48"/>
        <w:contextualSpacing/>
        <w:jc w:val="both"/>
        <w:rPr>
          <w:rFonts w:ascii="Palatino Linotype" w:eastAsiaTheme="minorEastAsia" w:hAnsi="Palatino Linotype"/>
          <w:sz w:val="22"/>
          <w:szCs w:val="22"/>
          <w:lang w:val="es-ES_tradnl" w:eastAsia="es-ES"/>
        </w:rPr>
      </w:pPr>
    </w:p>
    <w:p w14:paraId="35B02788" w14:textId="25D28A5F" w:rsidR="00E93FC1" w:rsidRPr="006D65C9"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sz w:val="22"/>
          <w:szCs w:val="22"/>
        </w:rPr>
      </w:pPr>
      <w:r w:rsidRPr="006D65C9">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6D65C9" w:rsidRDefault="00897584" w:rsidP="00897584">
      <w:pPr>
        <w:spacing w:before="240" w:after="240" w:line="360" w:lineRule="auto"/>
        <w:ind w:right="49"/>
        <w:contextualSpacing/>
        <w:jc w:val="both"/>
        <w:rPr>
          <w:rFonts w:ascii="Palatino Linotype" w:eastAsia="Calibri" w:hAnsi="Palatino Linotype" w:cs="Arial"/>
          <w:b/>
          <w:sz w:val="22"/>
          <w:szCs w:val="22"/>
        </w:rPr>
      </w:pPr>
    </w:p>
    <w:p w14:paraId="2E699A13" w14:textId="77777777" w:rsidR="00E93FC1" w:rsidRPr="006D65C9" w:rsidRDefault="00E93FC1" w:rsidP="009C09D4">
      <w:pPr>
        <w:keepNext/>
        <w:keepLines/>
        <w:spacing w:before="240" w:after="240" w:line="360" w:lineRule="auto"/>
        <w:ind w:right="48"/>
        <w:outlineLvl w:val="0"/>
        <w:rPr>
          <w:rFonts w:ascii="Palatino Linotype" w:eastAsia="MS Gothic" w:hAnsi="Palatino Linotype"/>
          <w:b/>
          <w:sz w:val="22"/>
          <w:szCs w:val="22"/>
        </w:rPr>
      </w:pPr>
      <w:bookmarkStart w:id="16" w:name="_Toc65713731"/>
      <w:bookmarkStart w:id="17" w:name="_Toc94119614"/>
      <w:r w:rsidRPr="006D65C9">
        <w:rPr>
          <w:rFonts w:ascii="Palatino Linotype" w:eastAsia="MS Mincho" w:hAnsi="Palatino Linotype" w:cstheme="majorBidi"/>
          <w:b/>
          <w:sz w:val="22"/>
          <w:szCs w:val="22"/>
          <w:lang w:val="es-ES_tradnl" w:eastAsia="es-ES"/>
        </w:rPr>
        <w:lastRenderedPageBreak/>
        <w:t>TERCERO. Planteamiento de la Litis</w:t>
      </w:r>
      <w:r w:rsidRPr="006D65C9">
        <w:rPr>
          <w:rFonts w:ascii="Palatino Linotype" w:eastAsia="MS Gothic" w:hAnsi="Palatino Linotype"/>
          <w:b/>
          <w:sz w:val="22"/>
          <w:szCs w:val="22"/>
        </w:rPr>
        <w:t>.</w:t>
      </w:r>
      <w:bookmarkEnd w:id="16"/>
      <w:bookmarkEnd w:id="17"/>
    </w:p>
    <w:p w14:paraId="1B9B5B1D" w14:textId="60752528" w:rsidR="005725CA" w:rsidRPr="006D65C9" w:rsidRDefault="009C09D4" w:rsidP="005725CA">
      <w:pPr>
        <w:pStyle w:val="Prrafodelista"/>
        <w:numPr>
          <w:ilvl w:val="0"/>
          <w:numId w:val="1"/>
        </w:numPr>
        <w:spacing w:before="240" w:after="240" w:line="360" w:lineRule="auto"/>
        <w:ind w:left="0" w:right="48" w:firstLine="0"/>
        <w:jc w:val="both"/>
        <w:rPr>
          <w:rFonts w:ascii="Palatino Linotype" w:eastAsia="MS Mincho" w:hAnsi="Palatino Linotype" w:cs="Arial"/>
          <w:iCs/>
          <w:szCs w:val="22"/>
          <w:lang w:val="es-ES_tradnl" w:eastAsia="es-ES"/>
        </w:rPr>
      </w:pPr>
      <w:r w:rsidRPr="006D65C9">
        <w:rPr>
          <w:rFonts w:ascii="Palatino Linotype" w:hAnsi="Palatino Linotype" w:cs="Arial"/>
          <w:color w:val="000000" w:themeColor="text1"/>
          <w:szCs w:val="22"/>
        </w:rPr>
        <w:t xml:space="preserve">El </w:t>
      </w:r>
      <w:r w:rsidR="00D11F51" w:rsidRPr="006D65C9">
        <w:rPr>
          <w:rFonts w:ascii="Palatino Linotype" w:hAnsi="Palatino Linotype" w:cs="Arial"/>
          <w:b/>
          <w:bCs/>
          <w:color w:val="000000" w:themeColor="text1"/>
          <w:szCs w:val="22"/>
        </w:rPr>
        <w:t>RECURRENTE</w:t>
      </w:r>
      <w:r w:rsidR="004D76D8" w:rsidRPr="006D65C9">
        <w:rPr>
          <w:rFonts w:ascii="Palatino Linotype" w:hAnsi="Palatino Linotype" w:cs="Arial"/>
          <w:color w:val="000000" w:themeColor="text1"/>
          <w:szCs w:val="22"/>
        </w:rPr>
        <w:t xml:space="preserve"> solicitó</w:t>
      </w:r>
      <w:r w:rsidR="005725CA" w:rsidRPr="006D65C9">
        <w:rPr>
          <w:rFonts w:ascii="Palatino Linotype" w:eastAsia="MS Mincho" w:hAnsi="Palatino Linotype" w:cs="Arial"/>
          <w:iCs/>
          <w:szCs w:val="22"/>
          <w:lang w:val="es-ES_tradnl" w:eastAsia="es-ES"/>
        </w:rPr>
        <w:t xml:space="preserve"> </w:t>
      </w:r>
      <w:r w:rsidR="005725CA" w:rsidRPr="006D65C9">
        <w:rPr>
          <w:rFonts w:ascii="Palatino Linotype" w:hAnsi="Palatino Linotype"/>
          <w:b/>
          <w:color w:val="000000"/>
          <w:szCs w:val="22"/>
        </w:rPr>
        <w:t>el adeudo histórico de pagos que tiene el Municipio de Tlalnepantla de Baz y su Organismo de Agua con relación a la Comisión Nacional del Agua de 2018 al 9 de octubre de 2024.</w:t>
      </w:r>
    </w:p>
    <w:p w14:paraId="1C3CB320" w14:textId="77777777" w:rsidR="00254082" w:rsidRPr="006D65C9" w:rsidRDefault="00254082" w:rsidP="00254082">
      <w:pPr>
        <w:pStyle w:val="Prrafodelista"/>
        <w:spacing w:before="240" w:after="240" w:line="360" w:lineRule="auto"/>
        <w:ind w:left="0" w:right="48"/>
        <w:jc w:val="both"/>
        <w:rPr>
          <w:rFonts w:ascii="Palatino Linotype" w:eastAsia="MS Mincho" w:hAnsi="Palatino Linotype" w:cs="Arial"/>
          <w:iCs/>
          <w:szCs w:val="22"/>
          <w:lang w:val="es-ES_tradnl" w:eastAsia="es-ES"/>
        </w:rPr>
      </w:pPr>
    </w:p>
    <w:p w14:paraId="2EF393AC" w14:textId="2B4A7409" w:rsidR="005725CA" w:rsidRPr="006D65C9" w:rsidRDefault="00E93FC1" w:rsidP="005725CA">
      <w:pPr>
        <w:pStyle w:val="Prrafodelista"/>
        <w:numPr>
          <w:ilvl w:val="0"/>
          <w:numId w:val="1"/>
        </w:numPr>
        <w:spacing w:before="240" w:after="240" w:line="360" w:lineRule="auto"/>
        <w:ind w:left="0" w:right="48" w:firstLine="0"/>
        <w:jc w:val="both"/>
        <w:rPr>
          <w:rFonts w:ascii="Palatino Linotype" w:eastAsia="MS Mincho" w:hAnsi="Palatino Linotype" w:cs="Arial"/>
          <w:b/>
          <w:iCs/>
          <w:szCs w:val="22"/>
          <w:lang w:val="es-ES_tradnl" w:eastAsia="es-ES"/>
        </w:rPr>
      </w:pPr>
      <w:r w:rsidRPr="006D65C9">
        <w:rPr>
          <w:rFonts w:ascii="Palatino Linotype" w:hAnsi="Palatino Linotype"/>
          <w:iCs/>
          <w:color w:val="000000"/>
          <w:szCs w:val="22"/>
        </w:rPr>
        <w:t>En respuest</w:t>
      </w:r>
      <w:r w:rsidR="00655E90" w:rsidRPr="006D65C9">
        <w:rPr>
          <w:rFonts w:ascii="Palatino Linotype" w:hAnsi="Palatino Linotype"/>
          <w:iCs/>
          <w:color w:val="000000"/>
          <w:szCs w:val="22"/>
        </w:rPr>
        <w:t xml:space="preserve">a, el </w:t>
      </w:r>
      <w:r w:rsidR="00254082" w:rsidRPr="006D65C9">
        <w:rPr>
          <w:rFonts w:ascii="Palatino Linotype" w:hAnsi="Palatino Linotype"/>
          <w:szCs w:val="22"/>
        </w:rPr>
        <w:t xml:space="preserve">Titular de la </w:t>
      </w:r>
      <w:r w:rsidR="005725CA" w:rsidRPr="006D65C9">
        <w:rPr>
          <w:rFonts w:ascii="Palatino Linotype" w:hAnsi="Palatino Linotype"/>
          <w:szCs w:val="22"/>
        </w:rPr>
        <w:t xml:space="preserve">Unidad de Transparencia, informó que </w:t>
      </w:r>
      <w:r w:rsidR="005725CA" w:rsidRPr="006D65C9">
        <w:rPr>
          <w:rFonts w:ascii="Palatino Linotype" w:hAnsi="Palatino Linotype"/>
          <w:b/>
          <w:szCs w:val="22"/>
        </w:rPr>
        <w:t xml:space="preserve">el </w:t>
      </w:r>
      <w:r w:rsidR="005725CA" w:rsidRPr="006D65C9">
        <w:rPr>
          <w:rFonts w:ascii="Palatino Linotype" w:eastAsia="Calibri" w:hAnsi="Palatino Linotype" w:cs="Tahoma"/>
          <w:b/>
          <w:szCs w:val="22"/>
          <w:lang w:eastAsia="en-US"/>
        </w:rPr>
        <w:t>Ayuntamiento de Tlalnepantla de Baz</w:t>
      </w:r>
      <w:r w:rsidR="005725CA" w:rsidRPr="006D65C9">
        <w:rPr>
          <w:rFonts w:ascii="Palatino Linotype" w:hAnsi="Palatino Linotype"/>
          <w:b/>
          <w:szCs w:val="22"/>
        </w:rPr>
        <w:t xml:space="preserve"> no es competente para atender la solicitud de información pública, toda vez que, es evidente que el solicitante requiere información de un Sujeto Obligado diverso, en el caso concreto, el Organismo Público descentralizado para la Prestación de los Servicios de Agua Potable, Alcantarillado y Saneamiento del Municipio de Tlalnepantla de Baz.</w:t>
      </w:r>
    </w:p>
    <w:p w14:paraId="11AF201A" w14:textId="77777777" w:rsidR="008866EB" w:rsidRPr="006D65C9" w:rsidRDefault="008866EB" w:rsidP="008866EB">
      <w:pPr>
        <w:pStyle w:val="Prrafodelista"/>
        <w:spacing w:before="240" w:after="240" w:line="360" w:lineRule="auto"/>
        <w:ind w:left="0" w:right="48"/>
        <w:jc w:val="both"/>
        <w:rPr>
          <w:rFonts w:ascii="Palatino Linotype" w:eastAsia="MS Mincho" w:hAnsi="Palatino Linotype" w:cs="Arial"/>
          <w:szCs w:val="22"/>
          <w:lang w:val="es-ES_tradnl" w:eastAsia="es-ES"/>
        </w:rPr>
      </w:pPr>
    </w:p>
    <w:p w14:paraId="6CB378E3" w14:textId="05A85079" w:rsidR="00A567BA" w:rsidRPr="006D65C9" w:rsidRDefault="004D76D8" w:rsidP="004D76D8">
      <w:pPr>
        <w:pStyle w:val="Prrafodelista"/>
        <w:numPr>
          <w:ilvl w:val="0"/>
          <w:numId w:val="1"/>
        </w:numPr>
        <w:spacing w:before="240" w:after="240" w:line="360" w:lineRule="auto"/>
        <w:ind w:left="0" w:right="48" w:firstLine="0"/>
        <w:jc w:val="both"/>
        <w:rPr>
          <w:rFonts w:ascii="Palatino Linotype" w:eastAsia="MS Mincho" w:hAnsi="Palatino Linotype" w:cs="Arial"/>
          <w:b/>
          <w:szCs w:val="22"/>
          <w:lang w:val="es-ES_tradnl" w:eastAsia="es-ES"/>
        </w:rPr>
      </w:pPr>
      <w:r w:rsidRPr="006D65C9">
        <w:rPr>
          <w:rFonts w:ascii="Palatino Linotype" w:hAnsi="Palatino Linotype"/>
          <w:szCs w:val="22"/>
        </w:rPr>
        <w:t>No obstante</w:t>
      </w:r>
      <w:r w:rsidR="00E93FC1" w:rsidRPr="006D65C9">
        <w:rPr>
          <w:rFonts w:ascii="Palatino Linotype" w:hAnsi="Palatino Linotype"/>
          <w:szCs w:val="22"/>
        </w:rPr>
        <w:t xml:space="preserve">, el </w:t>
      </w:r>
      <w:r w:rsidR="00D11F51" w:rsidRPr="006D65C9">
        <w:rPr>
          <w:rFonts w:ascii="Palatino Linotype" w:hAnsi="Palatino Linotype"/>
          <w:b/>
          <w:bCs/>
          <w:szCs w:val="22"/>
        </w:rPr>
        <w:t xml:space="preserve">RECURRENTE </w:t>
      </w:r>
      <w:r w:rsidR="00254082" w:rsidRPr="006D65C9">
        <w:rPr>
          <w:rFonts w:ascii="Palatino Linotype" w:hAnsi="Palatino Linotype"/>
          <w:bCs/>
          <w:szCs w:val="22"/>
        </w:rPr>
        <w:t>interpuso el</w:t>
      </w:r>
      <w:r w:rsidR="00D217C3" w:rsidRPr="006D65C9">
        <w:rPr>
          <w:rFonts w:ascii="Palatino Linotype" w:hAnsi="Palatino Linotype"/>
          <w:b/>
          <w:bCs/>
          <w:szCs w:val="22"/>
        </w:rPr>
        <w:t xml:space="preserve"> </w:t>
      </w:r>
      <w:r w:rsidR="00E93FC1" w:rsidRPr="006D65C9">
        <w:rPr>
          <w:rFonts w:ascii="Palatino Linotype" w:hAnsi="Palatino Linotype"/>
          <w:szCs w:val="22"/>
        </w:rPr>
        <w:t>recurso de revisión</w:t>
      </w:r>
      <w:r w:rsidR="00254082" w:rsidRPr="006D65C9">
        <w:rPr>
          <w:rFonts w:ascii="Palatino Linotype" w:hAnsi="Palatino Linotype"/>
          <w:szCs w:val="22"/>
        </w:rPr>
        <w:t xml:space="preserve"> número </w:t>
      </w:r>
      <w:r w:rsidR="005725CA" w:rsidRPr="006D65C9">
        <w:rPr>
          <w:rFonts w:ascii="Palatino Linotype" w:eastAsia="Calibri" w:hAnsi="Palatino Linotype" w:cs="Tahoma"/>
          <w:b/>
          <w:bCs/>
          <w:szCs w:val="22"/>
          <w:lang w:eastAsia="en-US"/>
        </w:rPr>
        <w:t>6288/INFOEM/IP/RR/2024</w:t>
      </w:r>
      <w:r w:rsidR="00254082" w:rsidRPr="006D65C9">
        <w:rPr>
          <w:rFonts w:ascii="Palatino Linotype" w:eastAsia="Calibri" w:hAnsi="Palatino Linotype" w:cs="Tahoma"/>
          <w:bCs/>
          <w:szCs w:val="22"/>
          <w:lang w:eastAsia="en-US"/>
        </w:rPr>
        <w:t>,</w:t>
      </w:r>
      <w:r w:rsidR="00D5736F" w:rsidRPr="006D65C9">
        <w:rPr>
          <w:rFonts w:ascii="Palatino Linotype" w:hAnsi="Palatino Linotype"/>
          <w:szCs w:val="22"/>
        </w:rPr>
        <w:t xml:space="preserve"> </w:t>
      </w:r>
      <w:r w:rsidR="00D217C3" w:rsidRPr="006D65C9">
        <w:rPr>
          <w:rFonts w:ascii="Palatino Linotype" w:hAnsi="Palatino Linotype"/>
          <w:szCs w:val="22"/>
        </w:rPr>
        <w:t>donde</w:t>
      </w:r>
      <w:r w:rsidR="00E93FC1" w:rsidRPr="006D65C9">
        <w:rPr>
          <w:rFonts w:ascii="Palatino Linotype" w:hAnsi="Palatino Linotype"/>
          <w:szCs w:val="22"/>
        </w:rPr>
        <w:t xml:space="preserve"> </w:t>
      </w:r>
      <w:r w:rsidR="00D12AD2" w:rsidRPr="006D65C9">
        <w:rPr>
          <w:rFonts w:ascii="Palatino Linotype" w:hAnsi="Palatino Linotype"/>
          <w:szCs w:val="22"/>
        </w:rPr>
        <w:t>manifestó como</w:t>
      </w:r>
      <w:r w:rsidR="00E93FC1" w:rsidRPr="006D65C9">
        <w:rPr>
          <w:rFonts w:ascii="Palatino Linotype" w:hAnsi="Palatino Linotype"/>
          <w:szCs w:val="22"/>
        </w:rPr>
        <w:t xml:space="preserve"> motivos de inconformidad</w:t>
      </w:r>
      <w:r w:rsidR="000B547D" w:rsidRPr="006D65C9">
        <w:rPr>
          <w:rFonts w:ascii="Palatino Linotype" w:hAnsi="Palatino Linotype"/>
          <w:szCs w:val="22"/>
        </w:rPr>
        <w:t xml:space="preserve">, </w:t>
      </w:r>
      <w:r w:rsidR="000B547D" w:rsidRPr="006D65C9">
        <w:rPr>
          <w:rFonts w:ascii="Palatino Linotype" w:hAnsi="Palatino Linotype"/>
          <w:b/>
          <w:szCs w:val="22"/>
        </w:rPr>
        <w:t>la declaración de incompetencia por el SUJETO OBLIGADO.</w:t>
      </w:r>
    </w:p>
    <w:p w14:paraId="53967208" w14:textId="77777777" w:rsidR="004D76D8" w:rsidRPr="006D65C9" w:rsidRDefault="004D76D8" w:rsidP="004D76D8">
      <w:pPr>
        <w:pStyle w:val="Prrafodelista"/>
        <w:spacing w:before="240" w:after="240" w:line="360" w:lineRule="auto"/>
        <w:ind w:left="0" w:right="48"/>
        <w:jc w:val="both"/>
        <w:rPr>
          <w:rFonts w:ascii="Palatino Linotype" w:eastAsia="MS Mincho" w:hAnsi="Palatino Linotype" w:cs="Arial"/>
          <w:szCs w:val="22"/>
          <w:lang w:val="es-ES_tradnl" w:eastAsia="es-ES"/>
        </w:rPr>
      </w:pPr>
    </w:p>
    <w:p w14:paraId="7F2CCDB2" w14:textId="558F3275" w:rsidR="00F9515A" w:rsidRPr="006D65C9"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Cs w:val="22"/>
        </w:rPr>
      </w:pPr>
      <w:r w:rsidRPr="006D65C9">
        <w:rPr>
          <w:rFonts w:ascii="Palatino Linotype" w:eastAsia="MS Gothic" w:hAnsi="Palatino Linotype"/>
          <w:szCs w:val="22"/>
        </w:rPr>
        <w:t xml:space="preserve">En consecuencia, la Litis a resolver en este recurso, se circunscribe a determinar </w:t>
      </w:r>
      <w:r w:rsidR="009678C8" w:rsidRPr="006D65C9">
        <w:rPr>
          <w:rFonts w:ascii="Palatino Linotype" w:eastAsia="MS Gothic" w:hAnsi="Palatino Linotype"/>
          <w:szCs w:val="22"/>
        </w:rPr>
        <w:t xml:space="preserve">si la respuesta colma con lo solicitado o </w:t>
      </w:r>
      <w:r w:rsidRPr="006D65C9">
        <w:rPr>
          <w:rFonts w:ascii="Palatino Linotype" w:eastAsia="MS Gothic" w:hAnsi="Palatino Linotype"/>
          <w:szCs w:val="22"/>
        </w:rPr>
        <w:t xml:space="preserve">si se actualizan las causales de procedencia previstas </w:t>
      </w:r>
      <w:r w:rsidRPr="006D65C9">
        <w:rPr>
          <w:rFonts w:ascii="Palatino Linotype" w:hAnsi="Palatino Linotype"/>
          <w:szCs w:val="22"/>
        </w:rPr>
        <w:t>e</w:t>
      </w:r>
      <w:r w:rsidR="009678C8" w:rsidRPr="006D65C9">
        <w:rPr>
          <w:rFonts w:ascii="Palatino Linotype" w:hAnsi="Palatino Linotype"/>
          <w:szCs w:val="22"/>
        </w:rPr>
        <w:t>n</w:t>
      </w:r>
      <w:r w:rsidR="009C09D4" w:rsidRPr="006D65C9">
        <w:rPr>
          <w:rFonts w:ascii="Palatino Linotype" w:hAnsi="Palatino Linotype"/>
          <w:szCs w:val="22"/>
        </w:rPr>
        <w:t xml:space="preserve"> el artículo 179, fracción </w:t>
      </w:r>
      <w:r w:rsidR="005E26C5" w:rsidRPr="006D65C9">
        <w:rPr>
          <w:rFonts w:ascii="Palatino Linotype" w:hAnsi="Palatino Linotype"/>
          <w:szCs w:val="22"/>
        </w:rPr>
        <w:t>I</w:t>
      </w:r>
      <w:r w:rsidR="005725CA" w:rsidRPr="006D65C9">
        <w:rPr>
          <w:rFonts w:ascii="Palatino Linotype" w:hAnsi="Palatino Linotype"/>
          <w:szCs w:val="22"/>
        </w:rPr>
        <w:t>V</w:t>
      </w:r>
      <w:r w:rsidR="00805834" w:rsidRPr="006D65C9">
        <w:rPr>
          <w:rFonts w:ascii="Palatino Linotype" w:hAnsi="Palatino Linotype"/>
          <w:szCs w:val="22"/>
        </w:rPr>
        <w:t xml:space="preserve"> </w:t>
      </w:r>
      <w:r w:rsidRPr="006D65C9">
        <w:rPr>
          <w:rFonts w:ascii="Palatino Linotype" w:hAnsi="Palatino Linotype"/>
          <w:szCs w:val="22"/>
        </w:rPr>
        <w:t xml:space="preserve">de la Ley de Transparencia y Acceso a la Información Pública del Estado de México y Municipios; </w:t>
      </w:r>
      <w:r w:rsidR="009678C8" w:rsidRPr="006D65C9">
        <w:rPr>
          <w:rFonts w:ascii="Palatino Linotype" w:hAnsi="Palatino Linotype"/>
          <w:szCs w:val="22"/>
        </w:rPr>
        <w:t xml:space="preserve">que establece </w:t>
      </w:r>
      <w:r w:rsidR="009678C8" w:rsidRPr="006D65C9">
        <w:rPr>
          <w:rFonts w:ascii="Palatino Linotype" w:hAnsi="Palatino Linotype"/>
          <w:b/>
          <w:szCs w:val="22"/>
        </w:rPr>
        <w:t xml:space="preserve">la </w:t>
      </w:r>
      <w:r w:rsidR="000B547D" w:rsidRPr="006D65C9">
        <w:rPr>
          <w:rFonts w:ascii="Palatino Linotype" w:hAnsi="Palatino Linotype"/>
          <w:b/>
          <w:szCs w:val="22"/>
        </w:rPr>
        <w:t>declaración de incompetencia por el sujeto obligado.</w:t>
      </w:r>
    </w:p>
    <w:p w14:paraId="0EE207FA" w14:textId="77777777" w:rsidR="00F9515A" w:rsidRPr="006D65C9" w:rsidRDefault="00F9515A" w:rsidP="00F9515A">
      <w:pPr>
        <w:pStyle w:val="Ttulo1"/>
        <w:spacing w:before="0" w:after="240" w:line="360" w:lineRule="auto"/>
        <w:rPr>
          <w:rFonts w:ascii="Palatino Linotype" w:eastAsia="MS Gothic" w:hAnsi="Palatino Linotype"/>
          <w:b/>
          <w:color w:val="auto"/>
          <w:sz w:val="22"/>
          <w:szCs w:val="22"/>
          <w:lang w:val="es-ES_tradnl"/>
        </w:rPr>
      </w:pPr>
      <w:bookmarkStart w:id="18" w:name="_Toc65713733"/>
      <w:bookmarkStart w:id="19" w:name="_Toc94119615"/>
      <w:r w:rsidRPr="006D65C9">
        <w:rPr>
          <w:rFonts w:ascii="Palatino Linotype" w:eastAsia="MS Gothic" w:hAnsi="Palatino Linotype"/>
          <w:b/>
          <w:color w:val="auto"/>
          <w:sz w:val="22"/>
          <w:szCs w:val="22"/>
          <w:lang w:val="es-ES_tradnl"/>
        </w:rPr>
        <w:lastRenderedPageBreak/>
        <w:t>CUARTO. Del estudio y resolución del recurso de revisión.</w:t>
      </w:r>
      <w:bookmarkEnd w:id="18"/>
      <w:bookmarkEnd w:id="19"/>
    </w:p>
    <w:p w14:paraId="750A3BA8" w14:textId="001105BD" w:rsidR="00703FF1" w:rsidRPr="006D65C9" w:rsidRDefault="00F9515A" w:rsidP="00703FF1">
      <w:pPr>
        <w:pStyle w:val="Ttulo1"/>
        <w:numPr>
          <w:ilvl w:val="0"/>
          <w:numId w:val="31"/>
        </w:numPr>
        <w:spacing w:before="0" w:after="240" w:line="360" w:lineRule="auto"/>
        <w:rPr>
          <w:rFonts w:ascii="Palatino Linotype" w:eastAsia="MS Gothic" w:hAnsi="Palatino Linotype"/>
          <w:b/>
          <w:color w:val="auto"/>
          <w:sz w:val="22"/>
          <w:szCs w:val="22"/>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6D65C9">
        <w:rPr>
          <w:rFonts w:ascii="Palatino Linotype" w:eastAsia="MS Gothic" w:hAnsi="Palatino Linotype"/>
          <w:b/>
          <w:color w:val="auto"/>
          <w:sz w:val="22"/>
          <w:szCs w:val="22"/>
          <w:lang w:val="es-ES_tradnl" w:eastAsia="es-ES"/>
        </w:rPr>
        <w:t>De</w:t>
      </w:r>
      <w:bookmarkEnd w:id="20"/>
      <w:bookmarkEnd w:id="21"/>
      <w:bookmarkEnd w:id="22"/>
      <w:bookmarkEnd w:id="23"/>
      <w:bookmarkEnd w:id="24"/>
      <w:bookmarkEnd w:id="25"/>
      <w:r w:rsidR="00703FF1" w:rsidRPr="006D65C9">
        <w:rPr>
          <w:rFonts w:ascii="Palatino Linotype" w:eastAsia="MS Gothic" w:hAnsi="Palatino Linotype"/>
          <w:b/>
          <w:color w:val="auto"/>
          <w:sz w:val="22"/>
          <w:szCs w:val="22"/>
          <w:lang w:val="es-ES_tradnl" w:eastAsia="es-ES"/>
        </w:rPr>
        <w:t xml:space="preserve"> la incompetencia.</w:t>
      </w:r>
    </w:p>
    <w:p w14:paraId="67729C54" w14:textId="236D83F4" w:rsidR="00703FF1" w:rsidRPr="006D65C9" w:rsidRDefault="00703FF1" w:rsidP="00F9515A">
      <w:pPr>
        <w:pStyle w:val="Prrafodelista"/>
        <w:numPr>
          <w:ilvl w:val="0"/>
          <w:numId w:val="1"/>
        </w:numPr>
        <w:spacing w:before="240" w:after="240" w:line="360" w:lineRule="auto"/>
        <w:ind w:left="0" w:right="48" w:firstLine="0"/>
        <w:jc w:val="both"/>
        <w:rPr>
          <w:rFonts w:ascii="Palatino Linotype" w:eastAsia="MS Gothic" w:hAnsi="Palatino Linotype"/>
          <w:szCs w:val="22"/>
        </w:rPr>
      </w:pPr>
      <w:r w:rsidRPr="006D65C9">
        <w:rPr>
          <w:rFonts w:ascii="Palatino Linotype" w:eastAsia="MS Gothic" w:hAnsi="Palatino Linotype"/>
          <w:szCs w:val="22"/>
        </w:rPr>
        <w:t xml:space="preserve">Es importante partir del hecho de que el </w:t>
      </w:r>
      <w:r w:rsidRPr="006D65C9">
        <w:rPr>
          <w:rFonts w:ascii="Palatino Linotype" w:eastAsia="MS Gothic" w:hAnsi="Palatino Linotype"/>
          <w:b/>
          <w:bCs/>
          <w:szCs w:val="22"/>
        </w:rPr>
        <w:t>SUJETO OBLIGADO</w:t>
      </w:r>
      <w:r w:rsidRPr="006D65C9">
        <w:rPr>
          <w:rFonts w:ascii="Palatino Linotype" w:eastAsia="MS Gothic" w:hAnsi="Palatino Linotype"/>
          <w:szCs w:val="22"/>
        </w:rPr>
        <w:t xml:space="preserve"> declinó la competencia de la información solicitada al día siguiente que fue notificada la solicitud, en cumplimiento de lo establecido en el artículo 167 primer párrafo de la Ley de Transparencia y Acceso a la Información Pública del Estado de México y Municipios, el cual establece lo siguiente:</w:t>
      </w:r>
    </w:p>
    <w:p w14:paraId="3B6BE010" w14:textId="347F9709" w:rsidR="00703FF1" w:rsidRPr="006D65C9" w:rsidRDefault="00703FF1" w:rsidP="001C6021">
      <w:pPr>
        <w:pStyle w:val="Prrafodelista"/>
        <w:spacing w:before="240" w:after="240"/>
        <w:ind w:left="0" w:right="48"/>
        <w:jc w:val="both"/>
        <w:rPr>
          <w:rFonts w:ascii="Palatino Linotype" w:eastAsia="MS Gothic" w:hAnsi="Palatino Linotype"/>
          <w:szCs w:val="22"/>
        </w:rPr>
      </w:pPr>
    </w:p>
    <w:p w14:paraId="02E1DDA7" w14:textId="77777777" w:rsidR="00A87D1F" w:rsidRPr="006D65C9" w:rsidRDefault="00A87D1F" w:rsidP="00A87D1F">
      <w:pPr>
        <w:pStyle w:val="Prrafodelista"/>
        <w:spacing w:before="240" w:after="240"/>
        <w:ind w:left="567" w:right="539"/>
        <w:jc w:val="both"/>
        <w:rPr>
          <w:rFonts w:ascii="Palatino Linotype" w:hAnsi="Palatino Linotype"/>
          <w:i/>
          <w:szCs w:val="22"/>
        </w:rPr>
      </w:pPr>
      <w:r w:rsidRPr="006D65C9">
        <w:rPr>
          <w:rFonts w:ascii="Palatino Linotype" w:hAnsi="Palatino Linotype"/>
          <w:b/>
          <w:i/>
          <w:szCs w:val="22"/>
        </w:rPr>
        <w:t>“Artículo 167.</w:t>
      </w:r>
      <w:r w:rsidRPr="006D65C9">
        <w:rPr>
          <w:rFonts w:ascii="Palatino Linotype" w:hAnsi="Palatino Linotype"/>
          <w:i/>
          <w:szCs w:val="22"/>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77051E12" w14:textId="77777777" w:rsidR="00A87D1F" w:rsidRPr="006D65C9" w:rsidRDefault="00A87D1F" w:rsidP="00A87D1F">
      <w:pPr>
        <w:pStyle w:val="Prrafodelista"/>
        <w:spacing w:before="240" w:after="240"/>
        <w:ind w:left="567" w:right="539"/>
        <w:jc w:val="both"/>
        <w:rPr>
          <w:rFonts w:ascii="Palatino Linotype" w:hAnsi="Palatino Linotype"/>
          <w:i/>
          <w:szCs w:val="22"/>
        </w:rPr>
      </w:pPr>
    </w:p>
    <w:p w14:paraId="1A5F9359" w14:textId="77777777" w:rsidR="00A87D1F" w:rsidRPr="006D65C9" w:rsidRDefault="00A87D1F" w:rsidP="00A87D1F">
      <w:pPr>
        <w:pStyle w:val="Prrafodelista"/>
        <w:spacing w:before="240" w:after="240"/>
        <w:ind w:left="567" w:right="539"/>
        <w:jc w:val="both"/>
        <w:rPr>
          <w:rFonts w:ascii="Palatino Linotype" w:hAnsi="Palatino Linotype"/>
          <w:i/>
          <w:szCs w:val="22"/>
        </w:rPr>
      </w:pPr>
      <w:r w:rsidRPr="006D65C9">
        <w:rPr>
          <w:rFonts w:ascii="Palatino Linotype" w:hAnsi="Palatino Linotype"/>
          <w:i/>
          <w:szCs w:val="22"/>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69ED7CC" w14:textId="77777777" w:rsidR="00A87D1F" w:rsidRPr="006D65C9" w:rsidRDefault="00A87D1F" w:rsidP="00A87D1F">
      <w:pPr>
        <w:pStyle w:val="Prrafodelista"/>
        <w:spacing w:before="240" w:after="240"/>
        <w:ind w:left="567" w:right="539"/>
        <w:jc w:val="both"/>
        <w:rPr>
          <w:rFonts w:ascii="Palatino Linotype" w:hAnsi="Palatino Linotype"/>
          <w:i/>
          <w:szCs w:val="22"/>
        </w:rPr>
      </w:pPr>
    </w:p>
    <w:p w14:paraId="7684E52E" w14:textId="5FA48C14" w:rsidR="00703FF1" w:rsidRPr="006D65C9" w:rsidRDefault="00A87D1F" w:rsidP="00A87D1F">
      <w:pPr>
        <w:pStyle w:val="Prrafodelista"/>
        <w:spacing w:before="240" w:after="240"/>
        <w:ind w:left="567" w:right="539"/>
        <w:jc w:val="both"/>
        <w:rPr>
          <w:rFonts w:ascii="Palatino Linotype" w:hAnsi="Palatino Linotype"/>
          <w:i/>
          <w:szCs w:val="22"/>
        </w:rPr>
      </w:pPr>
      <w:r w:rsidRPr="006D65C9">
        <w:rPr>
          <w:rFonts w:ascii="Palatino Linotype" w:hAnsi="Palatino Linotype"/>
          <w:i/>
          <w:szCs w:val="22"/>
        </w:rPr>
        <w:t>Si transcurrido el plazo señalado en el primer párrafo de este artículo, el sujeto obligado no declina la competencia en los términos establecidos, podrá canalizar la solicitud ante el sujeto obligado competente.”</w:t>
      </w:r>
    </w:p>
    <w:p w14:paraId="577954F5" w14:textId="77777777" w:rsidR="00A87D1F" w:rsidRPr="006D65C9" w:rsidRDefault="00A87D1F" w:rsidP="00EC4230">
      <w:pPr>
        <w:pStyle w:val="Prrafodelista"/>
        <w:spacing w:before="240" w:after="240" w:line="360" w:lineRule="auto"/>
        <w:ind w:left="0" w:right="48"/>
        <w:jc w:val="both"/>
        <w:rPr>
          <w:rFonts w:ascii="Palatino Linotype" w:eastAsia="MS Gothic" w:hAnsi="Palatino Linotype"/>
          <w:b/>
          <w:bCs/>
          <w:szCs w:val="22"/>
        </w:rPr>
      </w:pPr>
    </w:p>
    <w:p w14:paraId="381F539D" w14:textId="5503C1B8" w:rsidR="003D18E0" w:rsidRPr="006D65C9" w:rsidRDefault="009A1B54" w:rsidP="000B547D">
      <w:pPr>
        <w:pStyle w:val="Prrafodelista"/>
        <w:numPr>
          <w:ilvl w:val="0"/>
          <w:numId w:val="1"/>
        </w:numPr>
        <w:spacing w:before="240" w:after="240" w:line="360" w:lineRule="auto"/>
        <w:ind w:left="0" w:right="48" w:firstLine="0"/>
        <w:jc w:val="both"/>
        <w:rPr>
          <w:rFonts w:ascii="Palatino Linotype" w:eastAsia="MS Mincho" w:hAnsi="Palatino Linotype" w:cs="Arial"/>
          <w:iCs/>
          <w:szCs w:val="22"/>
          <w:lang w:val="es-ES_tradnl" w:eastAsia="es-ES"/>
        </w:rPr>
      </w:pPr>
      <w:r w:rsidRPr="006D65C9">
        <w:rPr>
          <w:rFonts w:ascii="Palatino Linotype" w:eastAsia="MS Gothic" w:hAnsi="Palatino Linotype"/>
          <w:szCs w:val="22"/>
        </w:rPr>
        <w:t>Aunado a lo anterior</w:t>
      </w:r>
      <w:r w:rsidR="00703FF1" w:rsidRPr="006D65C9">
        <w:rPr>
          <w:rFonts w:ascii="Palatino Linotype" w:eastAsia="MS Gothic" w:hAnsi="Palatino Linotype"/>
          <w:szCs w:val="22"/>
        </w:rPr>
        <w:t>, el</w:t>
      </w:r>
      <w:r w:rsidR="00703FF1" w:rsidRPr="006D65C9">
        <w:rPr>
          <w:rFonts w:ascii="Palatino Linotype" w:eastAsia="MS Gothic" w:hAnsi="Palatino Linotype"/>
          <w:b/>
          <w:bCs/>
          <w:szCs w:val="22"/>
        </w:rPr>
        <w:t xml:space="preserve"> SUJETO OBLIGADO</w:t>
      </w:r>
      <w:r w:rsidR="00703FF1" w:rsidRPr="006D65C9">
        <w:rPr>
          <w:rFonts w:ascii="Palatino Linotype" w:eastAsia="MS Gothic" w:hAnsi="Palatino Linotype"/>
          <w:szCs w:val="22"/>
        </w:rPr>
        <w:t xml:space="preserve"> en su respuesta orientó al </w:t>
      </w:r>
      <w:r w:rsidR="00703FF1" w:rsidRPr="006D65C9">
        <w:rPr>
          <w:rFonts w:ascii="Palatino Linotype" w:eastAsia="MS Gothic" w:hAnsi="Palatino Linotype"/>
          <w:b/>
          <w:bCs/>
          <w:szCs w:val="22"/>
        </w:rPr>
        <w:t>RECURRENTE</w:t>
      </w:r>
      <w:r w:rsidR="00A87D1F" w:rsidRPr="006D65C9">
        <w:rPr>
          <w:rFonts w:ascii="Palatino Linotype" w:eastAsia="MS Gothic" w:hAnsi="Palatino Linotype"/>
          <w:szCs w:val="22"/>
        </w:rPr>
        <w:t xml:space="preserve"> a dirig</w:t>
      </w:r>
      <w:r w:rsidRPr="006D65C9">
        <w:rPr>
          <w:rFonts w:ascii="Palatino Linotype" w:eastAsia="MS Gothic" w:hAnsi="Palatino Linotype"/>
          <w:szCs w:val="22"/>
        </w:rPr>
        <w:t xml:space="preserve">ir </w:t>
      </w:r>
      <w:r w:rsidR="00703FF1" w:rsidRPr="006D65C9">
        <w:rPr>
          <w:rFonts w:ascii="Palatino Linotype" w:eastAsia="MS Gothic" w:hAnsi="Palatino Linotype"/>
          <w:szCs w:val="22"/>
        </w:rPr>
        <w:t xml:space="preserve">su solicitud al </w:t>
      </w:r>
      <w:r w:rsidR="000B547D" w:rsidRPr="006D65C9">
        <w:rPr>
          <w:rFonts w:ascii="Palatino Linotype" w:hAnsi="Palatino Linotype"/>
          <w:b/>
          <w:szCs w:val="22"/>
        </w:rPr>
        <w:t>Organismo Público descentralizado para la Prestación de los Servicios de Agua Potable, Alcantarillado y Saneamiento del Municipio de Tlalnepantla de Baz</w:t>
      </w:r>
      <w:r w:rsidR="00703FF1" w:rsidRPr="006D65C9">
        <w:rPr>
          <w:rFonts w:ascii="Palatino Linotype" w:hAnsi="Palatino Linotype"/>
          <w:b/>
          <w:color w:val="000000"/>
          <w:szCs w:val="22"/>
        </w:rPr>
        <w:t>,</w:t>
      </w:r>
      <w:r w:rsidR="00703FF1" w:rsidRPr="006D65C9">
        <w:rPr>
          <w:rFonts w:ascii="Palatino Linotype" w:hAnsi="Palatino Linotype"/>
          <w:color w:val="000000"/>
          <w:szCs w:val="22"/>
        </w:rPr>
        <w:t xml:space="preserve"> </w:t>
      </w:r>
      <w:r w:rsidRPr="006D65C9">
        <w:rPr>
          <w:rFonts w:ascii="Palatino Linotype" w:hAnsi="Palatino Linotype"/>
          <w:color w:val="000000"/>
          <w:szCs w:val="22"/>
        </w:rPr>
        <w:t xml:space="preserve">toda vez que corresponde a un Sujeto Obligado diverso, como lo refiere el </w:t>
      </w:r>
      <w:r w:rsidR="00A87D1F" w:rsidRPr="006D65C9">
        <w:rPr>
          <w:rFonts w:ascii="Palatino Linotype" w:hAnsi="Palatino Linotype"/>
          <w:szCs w:val="22"/>
        </w:rPr>
        <w:t xml:space="preserve">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(Consulta: </w:t>
      </w:r>
      <w:hyperlink r:id="rId9" w:history="1">
        <w:r w:rsidR="00A87D1F" w:rsidRPr="006D65C9">
          <w:rPr>
            <w:rStyle w:val="Hipervnculo"/>
            <w:rFonts w:ascii="Palatino Linotype" w:hAnsi="Palatino Linotype"/>
            <w:szCs w:val="22"/>
          </w:rPr>
          <w:t>https://www.infoem.org.mx/doc/docPleno/ACUERDOS/Acuerdo_padron_SO.pdf</w:t>
        </w:r>
      </w:hyperlink>
      <w:r w:rsidR="00A87D1F" w:rsidRPr="006D65C9">
        <w:rPr>
          <w:rFonts w:ascii="Palatino Linotype" w:hAnsi="Palatino Linotype"/>
          <w:szCs w:val="22"/>
        </w:rPr>
        <w:t xml:space="preserve"> ). </w:t>
      </w:r>
    </w:p>
    <w:p w14:paraId="6F5F9257" w14:textId="4DEDAA95" w:rsidR="000B547D" w:rsidRPr="006D65C9" w:rsidRDefault="000B547D" w:rsidP="000B547D">
      <w:pPr>
        <w:spacing w:before="240" w:after="240" w:line="360" w:lineRule="auto"/>
        <w:ind w:right="48"/>
        <w:jc w:val="center"/>
        <w:rPr>
          <w:rFonts w:ascii="Palatino Linotype" w:eastAsia="MS Mincho" w:hAnsi="Palatino Linotype" w:cs="Arial"/>
          <w:b/>
          <w:iCs/>
          <w:sz w:val="22"/>
          <w:szCs w:val="22"/>
          <w:lang w:val="es-ES_tradnl" w:eastAsia="es-ES"/>
        </w:rPr>
      </w:pPr>
      <w:r w:rsidRPr="006D65C9">
        <w:rPr>
          <w:rFonts w:ascii="Palatino Linotype" w:eastAsia="MS Gothic" w:hAnsi="Palatino Linotype"/>
          <w:noProof/>
          <w:sz w:val="22"/>
          <w:szCs w:val="22"/>
        </w:rPr>
        <mc:AlternateContent>
          <mc:Choice Requires="wps">
            <w:drawing>
              <wp:anchor distT="0" distB="0" distL="114300" distR="114300" simplePos="0" relativeHeight="251664384" behindDoc="0" locked="0" layoutInCell="1" allowOverlap="1" wp14:anchorId="31B5FC42" wp14:editId="188FDBF5">
                <wp:simplePos x="0" y="0"/>
                <wp:positionH relativeFrom="margin">
                  <wp:posOffset>1216205</wp:posOffset>
                </wp:positionH>
                <wp:positionV relativeFrom="paragraph">
                  <wp:posOffset>1623411</wp:posOffset>
                </wp:positionV>
                <wp:extent cx="4496938" cy="163773"/>
                <wp:effectExtent l="19050" t="19050" r="18415" b="27305"/>
                <wp:wrapNone/>
                <wp:docPr id="8" name="Rectángulo 8"/>
                <wp:cNvGraphicFramePr/>
                <a:graphic xmlns:a="http://schemas.openxmlformats.org/drawingml/2006/main">
                  <a:graphicData uri="http://schemas.microsoft.com/office/word/2010/wordprocessingShape">
                    <wps:wsp>
                      <wps:cNvSpPr/>
                      <wps:spPr>
                        <a:xfrm>
                          <a:off x="0" y="0"/>
                          <a:ext cx="4496938" cy="163773"/>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9DF334" id="Rectángulo 8" o:spid="_x0000_s1026" style="position:absolute;margin-left:95.75pt;margin-top:127.85pt;width:354.1pt;height:12.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" filled="f" strokecolor="#c00000" strokeweight="2.25pt">
                <w10:wrap anchorx="margin"/>
              </v:rect>
            </w:pict>
          </mc:Fallback>
        </mc:AlternateContent>
      </w:r>
      <w:r w:rsidRPr="006D65C9">
        <w:rPr>
          <w:rFonts w:ascii="Palatino Linotype" w:eastAsia="MS Mincho" w:hAnsi="Palatino Linotype" w:cs="Arial"/>
          <w:b/>
          <w:iCs/>
          <w:noProof/>
          <w:sz w:val="22"/>
          <w:szCs w:val="22"/>
        </w:rPr>
        <w:drawing>
          <wp:inline distT="0" distB="0" distL="0" distR="0" wp14:anchorId="11EB2C85" wp14:editId="2392AEB1">
            <wp:extent cx="5742940" cy="2097405"/>
            <wp:effectExtent l="19050" t="19050" r="10160" b="171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2097405"/>
                    </a:xfrm>
                    <a:prstGeom prst="rect">
                      <a:avLst/>
                    </a:prstGeom>
                    <a:ln>
                      <a:solidFill>
                        <a:schemeClr val="tx1"/>
                      </a:solidFill>
                    </a:ln>
                  </pic:spPr>
                </pic:pic>
              </a:graphicData>
            </a:graphic>
          </wp:inline>
        </w:drawing>
      </w:r>
      <w:r w:rsidRPr="006D65C9">
        <w:rPr>
          <w:rFonts w:ascii="Palatino Linotype" w:eastAsia="MS Mincho" w:hAnsi="Palatino Linotype" w:cs="Arial"/>
          <w:b/>
          <w:iCs/>
          <w:sz w:val="22"/>
          <w:szCs w:val="22"/>
          <w:lang w:val="es-ES_tradnl" w:eastAsia="es-ES"/>
        </w:rPr>
        <w:t>(…)</w:t>
      </w:r>
    </w:p>
    <w:p w14:paraId="2A671012" w14:textId="2B405604" w:rsidR="00703FF1" w:rsidRPr="006D65C9" w:rsidRDefault="000B547D" w:rsidP="000B547D">
      <w:pPr>
        <w:spacing w:before="240" w:after="240" w:line="360" w:lineRule="auto"/>
        <w:ind w:right="48"/>
        <w:jc w:val="center"/>
        <w:rPr>
          <w:rFonts w:ascii="Palatino Linotype" w:eastAsia="MS Gothic" w:hAnsi="Palatino Linotype"/>
          <w:b/>
          <w:sz w:val="22"/>
          <w:szCs w:val="22"/>
        </w:rPr>
      </w:pPr>
      <w:r w:rsidRPr="006D65C9">
        <w:rPr>
          <w:rFonts w:ascii="Palatino Linotype" w:eastAsia="MS Gothic" w:hAnsi="Palatino Linotype"/>
          <w:noProof/>
          <w:sz w:val="22"/>
          <w:szCs w:val="22"/>
        </w:rPr>
        <mc:AlternateContent>
          <mc:Choice Requires="wps">
            <w:drawing>
              <wp:anchor distT="0" distB="0" distL="114300" distR="114300" simplePos="0" relativeHeight="251661312" behindDoc="0" locked="0" layoutInCell="1" allowOverlap="1" wp14:anchorId="32A4833D" wp14:editId="42430C83">
                <wp:simplePos x="0" y="0"/>
                <wp:positionH relativeFrom="margin">
                  <wp:posOffset>1195734</wp:posOffset>
                </wp:positionH>
                <wp:positionV relativeFrom="paragraph">
                  <wp:posOffset>686662</wp:posOffset>
                </wp:positionV>
                <wp:extent cx="4496938" cy="498144"/>
                <wp:effectExtent l="19050" t="19050" r="18415" b="16510"/>
                <wp:wrapNone/>
                <wp:docPr id="3" name="Rectángulo 3"/>
                <wp:cNvGraphicFramePr/>
                <a:graphic xmlns:a="http://schemas.openxmlformats.org/drawingml/2006/main">
                  <a:graphicData uri="http://schemas.microsoft.com/office/word/2010/wordprocessingShape">
                    <wps:wsp>
                      <wps:cNvSpPr/>
                      <wps:spPr>
                        <a:xfrm>
                          <a:off x="0" y="0"/>
                          <a:ext cx="4496938" cy="498144"/>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F9DE04" id="Rectángulo 3" o:spid="_x0000_s1026" style="position:absolute;margin-left:94.15pt;margin-top:54.05pt;width:354.1pt;height:3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" filled="f" strokecolor="#c00000" strokeweight="2.25pt">
                <w10:wrap anchorx="margin"/>
              </v:rect>
            </w:pict>
          </mc:Fallback>
        </mc:AlternateContent>
      </w:r>
      <w:r w:rsidRPr="006D65C9">
        <w:rPr>
          <w:rFonts w:ascii="Palatino Linotype" w:eastAsia="MS Mincho" w:hAnsi="Palatino Linotype" w:cs="Arial"/>
          <w:iCs/>
          <w:noProof/>
          <w:sz w:val="22"/>
          <w:szCs w:val="22"/>
        </w:rPr>
        <w:drawing>
          <wp:inline distT="0" distB="0" distL="0" distR="0" wp14:anchorId="1A2064EC" wp14:editId="26ED0EDA">
            <wp:extent cx="5742940" cy="1480782"/>
            <wp:effectExtent l="19050" t="19050" r="10160" b="2476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8202"/>
                    <a:stretch/>
                  </pic:blipFill>
                  <pic:spPr bwMode="auto">
                    <a:xfrm>
                      <a:off x="0" y="0"/>
                      <a:ext cx="5742940" cy="14807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3D18E0" w:rsidRPr="006D65C9">
        <w:rPr>
          <w:rFonts w:ascii="Palatino Linotype" w:eastAsia="MS Gothic" w:hAnsi="Palatino Linotype"/>
          <w:b/>
          <w:sz w:val="22"/>
          <w:szCs w:val="22"/>
        </w:rPr>
        <w:t>(…)</w:t>
      </w:r>
    </w:p>
    <w:p w14:paraId="6F3D822B" w14:textId="2D049AD0" w:rsidR="009A1B54" w:rsidRPr="006D65C9" w:rsidRDefault="009A1B54" w:rsidP="009A1B54">
      <w:pPr>
        <w:pStyle w:val="Prrafodelista"/>
        <w:numPr>
          <w:ilvl w:val="0"/>
          <w:numId w:val="1"/>
        </w:numPr>
        <w:spacing w:before="240" w:after="240" w:line="360" w:lineRule="auto"/>
        <w:ind w:left="0" w:right="48" w:firstLine="0"/>
        <w:jc w:val="both"/>
        <w:rPr>
          <w:rFonts w:ascii="Palatino Linotype" w:eastAsia="MS Gothic" w:hAnsi="Palatino Linotype"/>
          <w:szCs w:val="22"/>
        </w:rPr>
      </w:pPr>
      <w:r w:rsidRPr="006D65C9">
        <w:rPr>
          <w:rFonts w:ascii="Palatino Linotype" w:eastAsia="MS Gothic" w:hAnsi="Palatino Linotype"/>
          <w:szCs w:val="22"/>
        </w:rPr>
        <w:t xml:space="preserve">En este sentido, se advierte </w:t>
      </w:r>
      <w:r w:rsidR="003D18E0" w:rsidRPr="006D65C9">
        <w:rPr>
          <w:rFonts w:ascii="Palatino Linotype" w:eastAsia="MS Gothic" w:hAnsi="Palatino Linotype"/>
          <w:szCs w:val="22"/>
        </w:rPr>
        <w:t>que,</w:t>
      </w:r>
      <w:r w:rsidRPr="006D65C9">
        <w:rPr>
          <w:rFonts w:ascii="Palatino Linotype" w:eastAsia="MS Gothic" w:hAnsi="Palatino Linotype"/>
          <w:szCs w:val="22"/>
        </w:rPr>
        <w:t xml:space="preserve"> tanto el acto impugnado como los motivos de </w:t>
      </w:r>
      <w:proofErr w:type="spellStart"/>
      <w:r w:rsidRPr="006D65C9">
        <w:rPr>
          <w:rFonts w:ascii="Palatino Linotype" w:eastAsia="MS Gothic" w:hAnsi="Palatino Linotype"/>
          <w:szCs w:val="22"/>
        </w:rPr>
        <w:t>inconformaidad</w:t>
      </w:r>
      <w:proofErr w:type="spellEnd"/>
      <w:r w:rsidRPr="006D65C9">
        <w:rPr>
          <w:rFonts w:ascii="Palatino Linotype" w:eastAsia="MS Gothic" w:hAnsi="Palatino Linotype"/>
          <w:szCs w:val="22"/>
        </w:rPr>
        <w:t xml:space="preserve"> hechos valer por el </w:t>
      </w:r>
      <w:r w:rsidRPr="006D65C9">
        <w:rPr>
          <w:rFonts w:ascii="Palatino Linotype" w:eastAsia="MS Gothic" w:hAnsi="Palatino Linotype"/>
          <w:b/>
          <w:bCs/>
          <w:szCs w:val="22"/>
        </w:rPr>
        <w:t>RECURRENTE</w:t>
      </w:r>
      <w:r w:rsidRPr="006D65C9">
        <w:rPr>
          <w:rFonts w:ascii="Palatino Linotype" w:eastAsia="MS Gothic" w:hAnsi="Palatino Linotype"/>
          <w:szCs w:val="22"/>
        </w:rPr>
        <w:t xml:space="preserve"> son </w:t>
      </w:r>
      <w:r w:rsidR="003D18E0" w:rsidRPr="006D65C9">
        <w:rPr>
          <w:rFonts w:ascii="Palatino Linotype" w:eastAsia="MS Gothic" w:hAnsi="Palatino Linotype"/>
          <w:szCs w:val="22"/>
        </w:rPr>
        <w:t xml:space="preserve">improcedentes, </w:t>
      </w:r>
      <w:r w:rsidR="003D18E0" w:rsidRPr="006D65C9">
        <w:rPr>
          <w:rFonts w:ascii="Palatino Linotype" w:eastAsia="MS Gothic" w:hAnsi="Palatino Linotype"/>
          <w:b/>
          <w:bCs/>
          <w:szCs w:val="22"/>
        </w:rPr>
        <w:t>pues</w:t>
      </w:r>
      <w:r w:rsidRPr="006D65C9">
        <w:rPr>
          <w:rFonts w:ascii="Palatino Linotype" w:eastAsia="MS Gothic" w:hAnsi="Palatino Linotype"/>
          <w:b/>
          <w:bCs/>
          <w:szCs w:val="22"/>
        </w:rPr>
        <w:t>to que la información que solicitó es competencia de un Sujeto Obligado distinto al</w:t>
      </w:r>
      <w:r w:rsidR="003D18E0" w:rsidRPr="006D65C9">
        <w:rPr>
          <w:rFonts w:ascii="Palatino Linotype" w:eastAsia="MS Gothic" w:hAnsi="Palatino Linotype"/>
          <w:b/>
          <w:bCs/>
          <w:szCs w:val="22"/>
        </w:rPr>
        <w:t xml:space="preserve"> que se le formuló la solicitud</w:t>
      </w:r>
      <w:r w:rsidRPr="006D65C9">
        <w:rPr>
          <w:rFonts w:ascii="Palatino Linotype" w:eastAsia="MS Gothic" w:hAnsi="Palatino Linotype"/>
          <w:b/>
          <w:bCs/>
          <w:szCs w:val="22"/>
        </w:rPr>
        <w:t xml:space="preserve">. </w:t>
      </w:r>
      <w:r w:rsidRPr="006D65C9">
        <w:rPr>
          <w:rFonts w:ascii="Palatino Linotype" w:eastAsia="MS Gothic" w:hAnsi="Palatino Linotype"/>
          <w:szCs w:val="22"/>
        </w:rPr>
        <w:t>Entonces, al ser dos entes distintos en materia de transparencia, resulta en obviedad que uno no puede atender las solicitudes de información de otro, puesto que es información que cada Sujeto Obligado posee, genera y administra.</w:t>
      </w:r>
    </w:p>
    <w:p w14:paraId="24B3E1AD" w14:textId="77777777" w:rsidR="00AE2C57" w:rsidRPr="006D65C9" w:rsidRDefault="00AE2C57" w:rsidP="00AE2C57">
      <w:pPr>
        <w:pStyle w:val="Prrafodelista"/>
        <w:spacing w:before="240" w:after="240" w:line="360" w:lineRule="auto"/>
        <w:ind w:left="0" w:right="48"/>
        <w:jc w:val="both"/>
        <w:rPr>
          <w:rFonts w:ascii="Palatino Linotype" w:eastAsia="MS Gothic" w:hAnsi="Palatino Linotype"/>
          <w:szCs w:val="22"/>
        </w:rPr>
      </w:pPr>
    </w:p>
    <w:p w14:paraId="51ED92CD" w14:textId="318ED9AD" w:rsidR="001C6021" w:rsidRPr="006D65C9" w:rsidRDefault="003D18E0" w:rsidP="001C6021">
      <w:pPr>
        <w:pStyle w:val="Prrafodelista"/>
        <w:numPr>
          <w:ilvl w:val="0"/>
          <w:numId w:val="1"/>
        </w:numPr>
        <w:spacing w:before="240" w:after="240" w:line="360" w:lineRule="auto"/>
        <w:ind w:left="0" w:right="48" w:firstLine="0"/>
        <w:jc w:val="both"/>
        <w:rPr>
          <w:rFonts w:ascii="Palatino Linotype" w:eastAsia="MS Gothic" w:hAnsi="Palatino Linotype"/>
          <w:szCs w:val="22"/>
        </w:rPr>
      </w:pPr>
      <w:r w:rsidRPr="006D65C9">
        <w:rPr>
          <w:rFonts w:ascii="Palatino Linotype" w:eastAsia="MS Gothic" w:hAnsi="Palatino Linotype"/>
          <w:szCs w:val="22"/>
        </w:rPr>
        <w:lastRenderedPageBreak/>
        <w:t xml:space="preserve">Ahora bien, este Órgano Garante estima que el actuar del </w:t>
      </w:r>
      <w:r w:rsidRPr="006D65C9">
        <w:rPr>
          <w:rFonts w:ascii="Palatino Linotype" w:eastAsia="MS Gothic" w:hAnsi="Palatino Linotype"/>
          <w:b/>
          <w:szCs w:val="22"/>
        </w:rPr>
        <w:t>SUJETO OBLIGADO</w:t>
      </w:r>
      <w:r w:rsidRPr="006D65C9">
        <w:rPr>
          <w:rFonts w:ascii="Palatino Linotype" w:eastAsia="MS Gothic" w:hAnsi="Palatino Linotype"/>
          <w:szCs w:val="22"/>
        </w:rPr>
        <w:t xml:space="preserve"> encuadra en lo preceptuado por la Ley de la materia, por lo que es necesario señalar los siguientes preceptos legales:</w:t>
      </w:r>
    </w:p>
    <w:p w14:paraId="10215D1B" w14:textId="720E1AB3" w:rsidR="003D18E0" w:rsidRPr="006D65C9" w:rsidRDefault="003D18E0" w:rsidP="003D18E0">
      <w:pPr>
        <w:ind w:left="567" w:right="539"/>
        <w:jc w:val="both"/>
        <w:rPr>
          <w:rFonts w:ascii="Palatino Linotype" w:hAnsi="Palatino Linotype"/>
          <w:i/>
          <w:sz w:val="22"/>
          <w:szCs w:val="22"/>
        </w:rPr>
      </w:pPr>
      <w:r w:rsidRPr="006D65C9">
        <w:rPr>
          <w:rFonts w:ascii="Palatino Linotype" w:hAnsi="Palatino Linotype"/>
          <w:b/>
          <w:i/>
          <w:sz w:val="22"/>
          <w:szCs w:val="22"/>
        </w:rPr>
        <w:t>“Artículo 53</w:t>
      </w:r>
      <w:r w:rsidRPr="006D65C9">
        <w:rPr>
          <w:rFonts w:ascii="Palatino Linotype" w:hAnsi="Palatino Linotype"/>
          <w:i/>
          <w:sz w:val="22"/>
          <w:szCs w:val="22"/>
        </w:rPr>
        <w:t xml:space="preserve">. Las Unidades de Transparencia tendrán las siguientes funciones: </w:t>
      </w:r>
    </w:p>
    <w:p w14:paraId="29F407D2" w14:textId="6253668C" w:rsidR="003D18E0" w:rsidRPr="006D65C9" w:rsidRDefault="003D18E0" w:rsidP="003D18E0">
      <w:pPr>
        <w:ind w:left="567" w:right="539"/>
        <w:jc w:val="both"/>
        <w:rPr>
          <w:rFonts w:ascii="Palatino Linotype" w:hAnsi="Palatino Linotype"/>
          <w:i/>
          <w:sz w:val="22"/>
          <w:szCs w:val="22"/>
        </w:rPr>
      </w:pPr>
      <w:r w:rsidRPr="006D65C9">
        <w:rPr>
          <w:rFonts w:ascii="Palatino Linotype" w:hAnsi="Palatino Linotype"/>
          <w:i/>
          <w:sz w:val="22"/>
          <w:szCs w:val="22"/>
        </w:rPr>
        <w:t>(…)</w:t>
      </w:r>
    </w:p>
    <w:p w14:paraId="11DCD3D7" w14:textId="36B91ADF" w:rsidR="003D18E0" w:rsidRPr="006D65C9" w:rsidRDefault="003D18E0" w:rsidP="00392D0E">
      <w:pPr>
        <w:ind w:left="567" w:right="539"/>
        <w:jc w:val="both"/>
        <w:rPr>
          <w:rFonts w:ascii="Palatino Linotype" w:hAnsi="Palatino Linotype"/>
          <w:b/>
          <w:i/>
          <w:sz w:val="22"/>
          <w:szCs w:val="22"/>
        </w:rPr>
      </w:pPr>
      <w:r w:rsidRPr="006D65C9">
        <w:rPr>
          <w:rFonts w:ascii="Palatino Linotype" w:hAnsi="Palatino Linotype"/>
          <w:b/>
          <w:i/>
          <w:sz w:val="22"/>
          <w:szCs w:val="22"/>
        </w:rPr>
        <w:t>III. Auxiliar a los particulares en la elaboración de solicitudes de acceso a la información y, en su caso, orientarlos sobre los sujetos obligados competentes conforme a la normatividad aplicable;</w:t>
      </w:r>
    </w:p>
    <w:p w14:paraId="4A675417" w14:textId="320C4233" w:rsidR="003D18E0" w:rsidRPr="006D65C9" w:rsidRDefault="003D18E0" w:rsidP="00392D0E">
      <w:pPr>
        <w:ind w:left="567" w:right="539"/>
        <w:jc w:val="both"/>
        <w:rPr>
          <w:rFonts w:ascii="Palatino Linotype" w:eastAsia="MS Gothic" w:hAnsi="Palatino Linotype"/>
          <w:i/>
          <w:sz w:val="22"/>
          <w:szCs w:val="22"/>
        </w:rPr>
      </w:pPr>
      <w:r w:rsidRPr="006D65C9">
        <w:rPr>
          <w:rFonts w:ascii="Palatino Linotype" w:eastAsia="MS Gothic" w:hAnsi="Palatino Linotype"/>
          <w:i/>
          <w:sz w:val="22"/>
          <w:szCs w:val="22"/>
        </w:rPr>
        <w:t>(…)”</w:t>
      </w:r>
    </w:p>
    <w:p w14:paraId="34B5907F" w14:textId="57DCD5AF" w:rsidR="00392D0E" w:rsidRPr="006D65C9" w:rsidRDefault="00392D0E" w:rsidP="00392D0E">
      <w:pPr>
        <w:pStyle w:val="Prrafodelista"/>
        <w:spacing w:before="240" w:after="240"/>
        <w:ind w:left="567" w:right="539"/>
        <w:jc w:val="center"/>
        <w:rPr>
          <w:rFonts w:ascii="Palatino Linotype" w:hAnsi="Palatino Linotype"/>
          <w:b/>
          <w:i/>
          <w:szCs w:val="22"/>
        </w:rPr>
      </w:pPr>
      <w:r w:rsidRPr="006D65C9">
        <w:rPr>
          <w:rFonts w:ascii="Palatino Linotype" w:hAnsi="Palatino Linotype"/>
          <w:b/>
          <w:i/>
          <w:szCs w:val="22"/>
        </w:rPr>
        <w:t>Capítulo I</w:t>
      </w:r>
    </w:p>
    <w:p w14:paraId="0F0DF55E" w14:textId="4DFE892B" w:rsidR="00392D0E" w:rsidRPr="006D65C9" w:rsidRDefault="00392D0E" w:rsidP="00392D0E">
      <w:pPr>
        <w:pStyle w:val="Prrafodelista"/>
        <w:spacing w:before="240" w:after="240"/>
        <w:ind w:left="567" w:right="539"/>
        <w:jc w:val="center"/>
        <w:rPr>
          <w:rFonts w:ascii="Palatino Linotype" w:hAnsi="Palatino Linotype"/>
          <w:b/>
          <w:i/>
          <w:szCs w:val="22"/>
        </w:rPr>
      </w:pPr>
      <w:r w:rsidRPr="006D65C9">
        <w:rPr>
          <w:rFonts w:ascii="Palatino Linotype" w:hAnsi="Palatino Linotype"/>
          <w:b/>
          <w:i/>
          <w:szCs w:val="22"/>
        </w:rPr>
        <w:t>Del Procedimiento de Acceso a la Información Pública</w:t>
      </w:r>
    </w:p>
    <w:p w14:paraId="1B547659" w14:textId="77777777" w:rsidR="00392D0E" w:rsidRPr="006D65C9" w:rsidRDefault="00392D0E" w:rsidP="00392D0E">
      <w:pPr>
        <w:pStyle w:val="Prrafodelista"/>
        <w:spacing w:before="240" w:after="240"/>
        <w:ind w:left="567" w:right="539"/>
        <w:jc w:val="center"/>
        <w:rPr>
          <w:rFonts w:ascii="Palatino Linotype" w:hAnsi="Palatino Linotype"/>
          <w:b/>
          <w:i/>
          <w:szCs w:val="22"/>
        </w:rPr>
      </w:pPr>
    </w:p>
    <w:p w14:paraId="315FEF2A" w14:textId="6E84E541" w:rsidR="00392D0E" w:rsidRPr="006D65C9" w:rsidRDefault="00392D0E" w:rsidP="00392D0E">
      <w:pPr>
        <w:pStyle w:val="Prrafodelista"/>
        <w:spacing w:before="240" w:after="240"/>
        <w:ind w:left="567" w:right="539"/>
        <w:jc w:val="both"/>
        <w:rPr>
          <w:rFonts w:ascii="Palatino Linotype" w:eastAsia="MS Gothic" w:hAnsi="Palatino Linotype"/>
          <w:i/>
          <w:szCs w:val="22"/>
        </w:rPr>
      </w:pPr>
      <w:r w:rsidRPr="006D65C9">
        <w:rPr>
          <w:rFonts w:ascii="Palatino Linotype" w:hAnsi="Palatino Linotype"/>
          <w:b/>
          <w:i/>
          <w:szCs w:val="22"/>
        </w:rPr>
        <w:t>“Artículo 150.</w:t>
      </w:r>
      <w:r w:rsidRPr="006D65C9">
        <w:rPr>
          <w:rFonts w:ascii="Palatino Linotype" w:hAnsi="Palatino Linotype"/>
          <w:i/>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6D585933" w14:textId="77777777" w:rsidR="00703FF1" w:rsidRPr="006D65C9" w:rsidRDefault="00703FF1" w:rsidP="003D18E0">
      <w:pPr>
        <w:pStyle w:val="Prrafodelista"/>
        <w:spacing w:before="240" w:after="240" w:line="360" w:lineRule="auto"/>
        <w:ind w:left="0" w:right="48"/>
        <w:jc w:val="both"/>
        <w:rPr>
          <w:rFonts w:ascii="Palatino Linotype" w:eastAsia="MS Gothic" w:hAnsi="Palatino Linotype"/>
          <w:szCs w:val="22"/>
        </w:rPr>
      </w:pPr>
    </w:p>
    <w:p w14:paraId="29BFAC2A" w14:textId="77777777" w:rsidR="00392D0E" w:rsidRPr="006D65C9" w:rsidRDefault="00392D0E" w:rsidP="00392D0E">
      <w:pPr>
        <w:pStyle w:val="Prrafodelista"/>
        <w:numPr>
          <w:ilvl w:val="0"/>
          <w:numId w:val="1"/>
        </w:numPr>
        <w:spacing w:before="240" w:after="240" w:line="360" w:lineRule="auto"/>
        <w:ind w:left="0" w:right="48" w:firstLine="0"/>
        <w:jc w:val="both"/>
        <w:rPr>
          <w:rFonts w:ascii="Palatino Linotype" w:eastAsia="MS Gothic" w:hAnsi="Palatino Linotype"/>
          <w:szCs w:val="22"/>
        </w:rPr>
      </w:pPr>
      <w:r w:rsidRPr="006D65C9">
        <w:rPr>
          <w:rFonts w:ascii="Palatino Linotype" w:eastAsia="MS Gothic" w:hAnsi="Palatino Linotype"/>
          <w:szCs w:val="22"/>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6D65C9">
        <w:rPr>
          <w:rFonts w:ascii="Palatino Linotype" w:eastAsia="MS Gothic" w:hAnsi="Palatino Linotype"/>
          <w:b/>
          <w:bCs/>
          <w:szCs w:val="22"/>
        </w:rPr>
        <w:t>tres días hábiles</w:t>
      </w:r>
      <w:r w:rsidRPr="006D65C9">
        <w:rPr>
          <w:rFonts w:ascii="Palatino Linotype" w:eastAsia="MS Gothic" w:hAnsi="Palatino Linotype"/>
          <w:szCs w:val="22"/>
        </w:rPr>
        <w:t xml:space="preserve"> posteriores a la recepción de la solicitud; en caso de no hacerlo en dicho plazo, podrá canalizar la solicitud al Sujeto Obligado competente.</w:t>
      </w:r>
    </w:p>
    <w:p w14:paraId="793CD9CD" w14:textId="393C9868" w:rsidR="00392D0E" w:rsidRPr="006D65C9" w:rsidRDefault="00392D0E" w:rsidP="00392D0E">
      <w:pPr>
        <w:pStyle w:val="Prrafodelista"/>
        <w:spacing w:before="240" w:after="240" w:line="360" w:lineRule="auto"/>
        <w:ind w:left="0" w:right="48"/>
        <w:jc w:val="both"/>
        <w:rPr>
          <w:rFonts w:ascii="Palatino Linotype" w:eastAsia="MS Gothic" w:hAnsi="Palatino Linotype"/>
          <w:szCs w:val="22"/>
        </w:rPr>
      </w:pPr>
      <w:r w:rsidRPr="006D65C9">
        <w:rPr>
          <w:rFonts w:ascii="Palatino Linotype" w:eastAsia="MS Gothic" w:hAnsi="Palatino Linotype"/>
          <w:szCs w:val="22"/>
        </w:rPr>
        <w:t xml:space="preserve"> </w:t>
      </w:r>
    </w:p>
    <w:p w14:paraId="01AE73B5" w14:textId="2CB25007" w:rsidR="001C6021" w:rsidRPr="006D65C9" w:rsidRDefault="00392D0E" w:rsidP="001C6021">
      <w:pPr>
        <w:pStyle w:val="Prrafodelista"/>
        <w:numPr>
          <w:ilvl w:val="0"/>
          <w:numId w:val="1"/>
        </w:numPr>
        <w:spacing w:before="240" w:after="240" w:line="360" w:lineRule="auto"/>
        <w:ind w:left="0" w:right="48" w:firstLine="0"/>
        <w:jc w:val="both"/>
        <w:rPr>
          <w:rFonts w:ascii="Palatino Linotype" w:eastAsia="MS Mincho" w:hAnsi="Palatino Linotype" w:cs="Arial"/>
          <w:bCs/>
          <w:szCs w:val="22"/>
          <w:lang w:val="es-ES_tradnl" w:eastAsia="es-ES"/>
        </w:rPr>
      </w:pPr>
      <w:bookmarkStart w:id="26" w:name="_Toc70625058"/>
      <w:bookmarkStart w:id="27" w:name="_Toc94119618"/>
      <w:r w:rsidRPr="006D65C9">
        <w:rPr>
          <w:rFonts w:ascii="Palatino Linotype" w:eastAsia="MS Mincho" w:hAnsi="Palatino Linotype" w:cs="Arial"/>
          <w:bCs/>
          <w:szCs w:val="22"/>
          <w:lang w:val="es-ES_tradnl" w:eastAsia="es-ES"/>
        </w:rPr>
        <w:t xml:space="preserve">En el caso particular, se aprecia que el </w:t>
      </w:r>
      <w:r w:rsidRPr="006D65C9">
        <w:rPr>
          <w:rFonts w:ascii="Palatino Linotype" w:eastAsia="MS Mincho" w:hAnsi="Palatino Linotype" w:cs="Arial"/>
          <w:b/>
          <w:bCs/>
          <w:szCs w:val="22"/>
          <w:lang w:val="es-ES_tradnl" w:eastAsia="es-ES"/>
        </w:rPr>
        <w:t>SUJETO OBLIGADO</w:t>
      </w:r>
      <w:r w:rsidRPr="006D65C9">
        <w:rPr>
          <w:rFonts w:ascii="Palatino Linotype" w:eastAsia="MS Mincho" w:hAnsi="Palatino Linotype" w:cs="Arial"/>
          <w:bCs/>
          <w:szCs w:val="22"/>
          <w:lang w:val="es-ES_tradnl" w:eastAsia="es-ES"/>
        </w:rPr>
        <w:t xml:space="preserve"> determinó su incompetencia para atender la solicitud </w:t>
      </w:r>
      <w:r w:rsidR="000B547D" w:rsidRPr="006D65C9">
        <w:rPr>
          <w:rFonts w:ascii="Palatino Linotype" w:eastAsia="MS Mincho" w:hAnsi="Palatino Linotype" w:cs="Arial"/>
          <w:bCs/>
          <w:szCs w:val="22"/>
          <w:lang w:val="es-ES_tradnl" w:eastAsia="es-ES"/>
        </w:rPr>
        <w:t xml:space="preserve">al segundo día de presentada la solicitud de información, </w:t>
      </w:r>
      <w:r w:rsidRPr="006D65C9">
        <w:rPr>
          <w:rFonts w:ascii="Palatino Linotype" w:eastAsia="MS Mincho" w:hAnsi="Palatino Linotype" w:cs="Arial"/>
          <w:bCs/>
          <w:szCs w:val="22"/>
          <w:lang w:val="es-ES_tradnl" w:eastAsia="es-ES"/>
        </w:rPr>
        <w:t xml:space="preserve">por no corresponderle la información materia del requerimiento, y respondió en la medida de sus posibilidades al declararse incompetente al </w:t>
      </w:r>
      <w:r w:rsidRPr="006D65C9">
        <w:rPr>
          <w:rFonts w:ascii="Palatino Linotype" w:eastAsia="MS Mincho" w:hAnsi="Palatino Linotype" w:cs="Arial"/>
          <w:b/>
          <w:bCs/>
          <w:szCs w:val="22"/>
          <w:lang w:val="es-ES_tradnl" w:eastAsia="es-ES"/>
        </w:rPr>
        <w:t>RECURRENTE</w:t>
      </w:r>
      <w:r w:rsidRPr="006D65C9">
        <w:rPr>
          <w:rFonts w:ascii="Palatino Linotype" w:eastAsia="MS Mincho" w:hAnsi="Palatino Linotype" w:cs="Arial"/>
          <w:bCs/>
          <w:szCs w:val="22"/>
          <w:lang w:val="es-ES_tradnl" w:eastAsia="es-ES"/>
        </w:rPr>
        <w:t xml:space="preserve">, en el plazo </w:t>
      </w:r>
      <w:r w:rsidRPr="006D65C9">
        <w:rPr>
          <w:rFonts w:ascii="Palatino Linotype" w:eastAsia="MS Mincho" w:hAnsi="Palatino Linotype" w:cs="Arial"/>
          <w:bCs/>
          <w:szCs w:val="22"/>
          <w:lang w:val="es-ES_tradnl" w:eastAsia="es-ES"/>
        </w:rPr>
        <w:lastRenderedPageBreak/>
        <w:t>señalado en el artículo 167 de</w:t>
      </w:r>
      <w:r w:rsidR="000B547D" w:rsidRPr="006D65C9">
        <w:rPr>
          <w:rFonts w:ascii="Palatino Linotype" w:eastAsia="MS Mincho" w:hAnsi="Palatino Linotype" w:cs="Arial"/>
          <w:bCs/>
          <w:szCs w:val="22"/>
          <w:lang w:val="es-ES_tradnl" w:eastAsia="es-ES"/>
        </w:rPr>
        <w:t xml:space="preserve"> la Ley de Transparencia Local y </w:t>
      </w:r>
      <w:r w:rsidR="005262A0" w:rsidRPr="006D65C9">
        <w:rPr>
          <w:rFonts w:ascii="Palatino Linotype" w:eastAsia="MS Mincho" w:hAnsi="Palatino Linotype" w:cs="Arial"/>
          <w:bCs/>
          <w:szCs w:val="22"/>
          <w:lang w:val="es-ES_tradnl" w:eastAsia="es-ES"/>
        </w:rPr>
        <w:t>oriento sobre el Sujeto Obligado al que se debe dirigir la solicitud de información.</w:t>
      </w:r>
    </w:p>
    <w:p w14:paraId="4FB4DBEF" w14:textId="77777777" w:rsidR="00EC4230" w:rsidRPr="006D65C9" w:rsidRDefault="00EC4230" w:rsidP="00EC4230">
      <w:pPr>
        <w:pStyle w:val="Prrafodelista"/>
        <w:spacing w:before="240" w:after="240" w:line="360" w:lineRule="auto"/>
        <w:ind w:left="0" w:right="48"/>
        <w:jc w:val="both"/>
        <w:rPr>
          <w:rFonts w:ascii="Palatino Linotype" w:eastAsia="MS Mincho" w:hAnsi="Palatino Linotype" w:cs="Arial"/>
          <w:bCs/>
          <w:szCs w:val="22"/>
          <w:lang w:val="es-ES_tradnl" w:eastAsia="es-ES"/>
        </w:rPr>
      </w:pPr>
    </w:p>
    <w:p w14:paraId="7EF9A141" w14:textId="4243A44A" w:rsidR="00392D0E" w:rsidRPr="006D65C9" w:rsidRDefault="005262A0" w:rsidP="00AA14A4">
      <w:pPr>
        <w:pStyle w:val="Prrafodelista"/>
        <w:numPr>
          <w:ilvl w:val="0"/>
          <w:numId w:val="1"/>
        </w:numPr>
        <w:spacing w:before="240" w:after="240" w:line="360" w:lineRule="auto"/>
        <w:ind w:left="0" w:right="48" w:firstLine="0"/>
        <w:jc w:val="both"/>
        <w:rPr>
          <w:rFonts w:ascii="Palatino Linotype" w:eastAsia="MS Mincho" w:hAnsi="Palatino Linotype" w:cs="Arial"/>
          <w:bCs/>
          <w:szCs w:val="22"/>
          <w:lang w:val="es-ES_tradnl" w:eastAsia="es-ES"/>
        </w:rPr>
      </w:pPr>
      <w:r w:rsidRPr="006D65C9">
        <w:rPr>
          <w:rFonts w:ascii="Palatino Linotype" w:eastAsia="MS Mincho" w:hAnsi="Palatino Linotype" w:cs="Arial"/>
          <w:bCs/>
          <w:szCs w:val="22"/>
          <w:lang w:val="es-ES_tradnl" w:eastAsia="es-ES"/>
        </w:rPr>
        <w:t>En estas condiciones, este Órgano Garante confirma la respu</w:t>
      </w:r>
      <w:r w:rsidR="000B547D" w:rsidRPr="006D65C9">
        <w:rPr>
          <w:rFonts w:ascii="Palatino Linotype" w:eastAsia="MS Mincho" w:hAnsi="Palatino Linotype" w:cs="Arial"/>
          <w:bCs/>
          <w:szCs w:val="22"/>
          <w:lang w:val="es-ES_tradnl" w:eastAsia="es-ES"/>
        </w:rPr>
        <w:t xml:space="preserve">esta, pues considera que es el </w:t>
      </w:r>
      <w:r w:rsidR="000B547D" w:rsidRPr="006D65C9">
        <w:rPr>
          <w:rFonts w:ascii="Palatino Linotype" w:hAnsi="Palatino Linotype"/>
          <w:b/>
          <w:szCs w:val="22"/>
        </w:rPr>
        <w:t>Organismo Público descentralizado para la Prestación de los Servicios de Agua Potable, Alcantarillado y Saneamiento del Municipio de Tlalnepantla de Baz</w:t>
      </w:r>
      <w:r w:rsidR="000B547D" w:rsidRPr="006D65C9">
        <w:rPr>
          <w:rFonts w:ascii="Palatino Linotype" w:eastAsia="MS Mincho" w:hAnsi="Palatino Linotype" w:cs="Arial"/>
          <w:bCs/>
          <w:szCs w:val="22"/>
          <w:lang w:val="es-ES_tradnl" w:eastAsia="es-ES"/>
        </w:rPr>
        <w:t xml:space="preserve"> </w:t>
      </w:r>
      <w:r w:rsidRPr="006D65C9">
        <w:rPr>
          <w:rFonts w:ascii="Palatino Linotype" w:eastAsia="MS Mincho" w:hAnsi="Palatino Linotype" w:cs="Arial"/>
          <w:bCs/>
          <w:szCs w:val="22"/>
          <w:lang w:val="es-ES_tradnl" w:eastAsia="es-ES"/>
        </w:rPr>
        <w:t>quien cuenta con la información requerida, como se precisó en la solicitud de información; ello de acuerdo con las facultades que le competen. Sirve de apoyo a lo anterior, el Criterio 15/13 emitido por el Instituto Nacional de Transparencia, Acceso a la Información y Protección de Datos Personales.</w:t>
      </w:r>
    </w:p>
    <w:p w14:paraId="19DA0E49" w14:textId="77777777" w:rsidR="005262A0" w:rsidRPr="006D65C9" w:rsidRDefault="005262A0" w:rsidP="005262A0">
      <w:pPr>
        <w:pStyle w:val="Prrafodelista"/>
        <w:rPr>
          <w:rFonts w:ascii="Palatino Linotype" w:eastAsia="MS Mincho" w:hAnsi="Palatino Linotype" w:cs="Arial"/>
          <w:bCs/>
          <w:szCs w:val="22"/>
          <w:lang w:val="es-ES_tradnl" w:eastAsia="es-ES"/>
        </w:rPr>
      </w:pPr>
    </w:p>
    <w:p w14:paraId="31889324" w14:textId="380E13B5" w:rsidR="001C6021" w:rsidRPr="006D65C9" w:rsidRDefault="005262A0" w:rsidP="001C6021">
      <w:pPr>
        <w:pStyle w:val="Prrafodelista"/>
        <w:spacing w:before="240" w:after="240"/>
        <w:ind w:left="567" w:right="539"/>
        <w:jc w:val="both"/>
        <w:rPr>
          <w:rFonts w:ascii="Palatino Linotype" w:eastAsia="MS Mincho" w:hAnsi="Palatino Linotype" w:cs="Arial"/>
          <w:bCs/>
          <w:i/>
          <w:szCs w:val="22"/>
          <w:lang w:val="es-ES_tradnl" w:eastAsia="es-ES"/>
        </w:rPr>
      </w:pPr>
      <w:r w:rsidRPr="006D65C9">
        <w:rPr>
          <w:rFonts w:ascii="Palatino Linotype" w:eastAsia="MS Mincho" w:hAnsi="Palatino Linotype" w:cs="Arial"/>
          <w:bCs/>
          <w:i/>
          <w:szCs w:val="22"/>
          <w:lang w:val="es-ES_tradnl" w:eastAsia="es-ES"/>
        </w:rPr>
        <w:t>Competencia concurrente. Los sujetos obligados deberán proporcionar la información con la que cuenten y orientar al particular a las otras autoridades competentes. 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w:t>
      </w:r>
      <w:r w:rsidR="001C6021" w:rsidRPr="006D65C9">
        <w:rPr>
          <w:rFonts w:ascii="Palatino Linotype" w:eastAsia="MS Mincho" w:hAnsi="Palatino Linotype" w:cs="Arial"/>
          <w:bCs/>
          <w:i/>
          <w:szCs w:val="22"/>
          <w:lang w:val="es-ES_tradnl" w:eastAsia="es-ES"/>
        </w:rPr>
        <w:t xml:space="preserve"> </w:t>
      </w:r>
      <w:r w:rsidRPr="006D65C9">
        <w:rPr>
          <w:rFonts w:ascii="Palatino Linotype" w:eastAsia="MS Mincho" w:hAnsi="Palatino Linotype" w:cs="Arial"/>
          <w:bCs/>
          <w:i/>
          <w:szCs w:val="22"/>
          <w:lang w:val="es-ES_tradnl" w:eastAsia="es-ES"/>
        </w:rPr>
        <w:t>particular para que presente una nueva solicitud de acceso ante la Unidad de Enlace de</w:t>
      </w:r>
      <w:r w:rsidR="001C6021" w:rsidRPr="006D65C9">
        <w:rPr>
          <w:rFonts w:ascii="Palatino Linotype" w:eastAsia="MS Mincho" w:hAnsi="Palatino Linotype" w:cs="Arial"/>
          <w:bCs/>
          <w:i/>
          <w:szCs w:val="22"/>
          <w:lang w:val="es-ES_tradnl" w:eastAsia="es-ES"/>
        </w:rPr>
        <w:t xml:space="preserve"> </w:t>
      </w:r>
      <w:r w:rsidRPr="006D65C9">
        <w:rPr>
          <w:rFonts w:ascii="Palatino Linotype" w:eastAsia="MS Mincho" w:hAnsi="Palatino Linotype" w:cs="Arial"/>
          <w:bCs/>
          <w:i/>
          <w:szCs w:val="22"/>
          <w:lang w:val="es-ES_tradnl" w:eastAsia="es-ES"/>
        </w:rPr>
        <w:t>la autoridad competente para conocer de la información. Ahora bien, cuando sobre una</w:t>
      </w:r>
      <w:r w:rsidR="001C6021" w:rsidRPr="006D65C9">
        <w:rPr>
          <w:rFonts w:ascii="Palatino Linotype" w:eastAsia="MS Mincho" w:hAnsi="Palatino Linotype" w:cs="Arial"/>
          <w:bCs/>
          <w:i/>
          <w:szCs w:val="22"/>
          <w:lang w:val="es-ES_tradnl" w:eastAsia="es-ES"/>
        </w:rPr>
        <w:t xml:space="preserve"> materia, el sujeto obligado tenga una competencia concurrente con otra u otras autoridades, deberá agotar el procedimiento de búsqueda de la información y proporcionar aquélla con la que cuente o, de no contar con ésta, deberá declarar formalmente la inexistencia y, en su caso, orientar al particular para que, de así considerarlo, presente su solicitud ante la dependencia o entidad que también tengan competencia para conocer de la información.</w:t>
      </w:r>
    </w:p>
    <w:p w14:paraId="0F16CFAA" w14:textId="77777777" w:rsidR="001C6021" w:rsidRPr="006D65C9" w:rsidRDefault="001C6021" w:rsidP="001C6021">
      <w:pPr>
        <w:pStyle w:val="Prrafodelista"/>
        <w:spacing w:before="240" w:after="240"/>
        <w:ind w:left="567" w:right="539"/>
        <w:jc w:val="both"/>
        <w:rPr>
          <w:rFonts w:ascii="Palatino Linotype" w:eastAsia="MS Mincho" w:hAnsi="Palatino Linotype" w:cs="Arial"/>
          <w:bCs/>
          <w:i/>
          <w:szCs w:val="22"/>
          <w:lang w:val="es-ES_tradnl" w:eastAsia="es-ES"/>
        </w:rPr>
      </w:pPr>
    </w:p>
    <w:p w14:paraId="0B374083" w14:textId="657D2475" w:rsidR="001C6021" w:rsidRPr="006D65C9" w:rsidRDefault="001C6021" w:rsidP="001C6021">
      <w:pPr>
        <w:pStyle w:val="Prrafodelista"/>
        <w:spacing w:before="240" w:after="240"/>
        <w:ind w:left="567" w:right="539"/>
        <w:jc w:val="both"/>
        <w:rPr>
          <w:rFonts w:ascii="Palatino Linotype" w:eastAsia="MS Mincho" w:hAnsi="Palatino Linotype" w:cs="Arial"/>
          <w:bCs/>
          <w:i/>
          <w:szCs w:val="22"/>
          <w:lang w:val="es-ES_tradnl" w:eastAsia="es-ES"/>
        </w:rPr>
      </w:pPr>
      <w:r w:rsidRPr="006D65C9">
        <w:rPr>
          <w:rFonts w:ascii="Palatino Linotype" w:eastAsia="MS Mincho" w:hAnsi="Palatino Linotype" w:cs="Arial"/>
          <w:bCs/>
          <w:i/>
          <w:szCs w:val="22"/>
          <w:lang w:val="es-ES_tradnl" w:eastAsia="es-ES"/>
        </w:rPr>
        <w:t>Resoluciones</w:t>
      </w:r>
    </w:p>
    <w:p w14:paraId="1D1E670E" w14:textId="7A39C8EF" w:rsidR="001C6021" w:rsidRPr="006D65C9" w:rsidRDefault="001C6021" w:rsidP="001C6021">
      <w:pPr>
        <w:pStyle w:val="Prrafodelista"/>
        <w:spacing w:before="240" w:after="240"/>
        <w:ind w:left="567" w:right="539"/>
        <w:jc w:val="both"/>
        <w:rPr>
          <w:rFonts w:ascii="Palatino Linotype" w:eastAsia="MS Mincho" w:hAnsi="Palatino Linotype" w:cs="Arial"/>
          <w:bCs/>
          <w:i/>
          <w:szCs w:val="22"/>
          <w:lang w:val="es-ES_tradnl" w:eastAsia="es-ES"/>
        </w:rPr>
      </w:pPr>
      <w:r w:rsidRPr="006D65C9">
        <w:rPr>
          <w:rFonts w:ascii="Palatino Linotype" w:eastAsia="MS Mincho" w:hAnsi="Palatino Linotype" w:cs="Arial"/>
          <w:bCs/>
          <w:i/>
          <w:szCs w:val="22"/>
          <w:lang w:val="es-ES_tradnl" w:eastAsia="es-ES"/>
        </w:rPr>
        <w:t>• RDA 3813/12. Interpuesto en contra de Petróleos Mexicanos. Comisionado Ponente Ángel Trinidad Zaldívar.</w:t>
      </w:r>
    </w:p>
    <w:p w14:paraId="4AFC123E" w14:textId="6A1E0422" w:rsidR="001C6021" w:rsidRPr="006D65C9" w:rsidRDefault="001C6021" w:rsidP="001C6021">
      <w:pPr>
        <w:pStyle w:val="Prrafodelista"/>
        <w:spacing w:before="240" w:after="240"/>
        <w:ind w:left="567" w:right="539"/>
        <w:jc w:val="both"/>
        <w:rPr>
          <w:rFonts w:ascii="Palatino Linotype" w:eastAsia="MS Mincho" w:hAnsi="Palatino Linotype" w:cs="Arial"/>
          <w:bCs/>
          <w:i/>
          <w:szCs w:val="22"/>
          <w:lang w:val="es-ES_tradnl" w:eastAsia="es-ES"/>
        </w:rPr>
      </w:pPr>
      <w:r w:rsidRPr="006D65C9">
        <w:rPr>
          <w:rFonts w:ascii="Palatino Linotype" w:eastAsia="MS Mincho" w:hAnsi="Palatino Linotype" w:cs="Arial"/>
          <w:bCs/>
          <w:i/>
          <w:szCs w:val="22"/>
          <w:lang w:val="es-ES_tradnl" w:eastAsia="es-ES"/>
        </w:rPr>
        <w:t>• RDA 3553/12. Interpuesto en contra de la Secretaría de Medio Ambiente y Recursos Naturales. Comisionado Ponente Ángel Trinidad Zaldívar.</w:t>
      </w:r>
    </w:p>
    <w:p w14:paraId="1E332F98" w14:textId="1DA4F8DE" w:rsidR="00EC4230" w:rsidRPr="006D65C9" w:rsidRDefault="001C6021" w:rsidP="006D65C9">
      <w:pPr>
        <w:pStyle w:val="Prrafodelista"/>
        <w:spacing w:before="240" w:after="240"/>
        <w:ind w:left="567" w:right="539"/>
        <w:jc w:val="both"/>
        <w:rPr>
          <w:rFonts w:ascii="Palatino Linotype" w:eastAsia="MS Mincho" w:hAnsi="Palatino Linotype" w:cs="Arial"/>
          <w:bCs/>
          <w:i/>
          <w:szCs w:val="22"/>
          <w:lang w:val="es-ES_tradnl" w:eastAsia="es-ES"/>
        </w:rPr>
      </w:pPr>
      <w:r w:rsidRPr="006D65C9">
        <w:rPr>
          <w:rFonts w:ascii="Palatino Linotype" w:eastAsia="MS Mincho" w:hAnsi="Palatino Linotype" w:cs="Arial"/>
          <w:bCs/>
          <w:i/>
          <w:szCs w:val="22"/>
          <w:lang w:val="es-ES_tradnl" w:eastAsia="es-ES"/>
        </w:rPr>
        <w:t>• RDA 0367/12. Interpuesto en contra del Instituto Nacional de Pesca. Comisionada Ponent</w:t>
      </w:r>
      <w:r w:rsidR="006D65C9" w:rsidRPr="006D65C9">
        <w:rPr>
          <w:rFonts w:ascii="Palatino Linotype" w:eastAsia="MS Mincho" w:hAnsi="Palatino Linotype" w:cs="Arial"/>
          <w:bCs/>
          <w:i/>
          <w:szCs w:val="22"/>
          <w:lang w:val="es-ES_tradnl" w:eastAsia="es-ES"/>
        </w:rPr>
        <w:t xml:space="preserve">e Jacqueline </w:t>
      </w:r>
      <w:proofErr w:type="spellStart"/>
      <w:r w:rsidR="006D65C9" w:rsidRPr="006D65C9">
        <w:rPr>
          <w:rFonts w:ascii="Palatino Linotype" w:eastAsia="MS Mincho" w:hAnsi="Palatino Linotype" w:cs="Arial"/>
          <w:bCs/>
          <w:i/>
          <w:szCs w:val="22"/>
          <w:lang w:val="es-ES_tradnl" w:eastAsia="es-ES"/>
        </w:rPr>
        <w:t>Peschard</w:t>
      </w:r>
      <w:proofErr w:type="spellEnd"/>
      <w:r w:rsidR="006D65C9" w:rsidRPr="006D65C9">
        <w:rPr>
          <w:rFonts w:ascii="Palatino Linotype" w:eastAsia="MS Mincho" w:hAnsi="Palatino Linotype" w:cs="Arial"/>
          <w:bCs/>
          <w:i/>
          <w:szCs w:val="22"/>
          <w:lang w:val="es-ES_tradnl" w:eastAsia="es-ES"/>
        </w:rPr>
        <w:t xml:space="preserve"> Mariscal.</w:t>
      </w:r>
    </w:p>
    <w:p w14:paraId="1E1DA3DE" w14:textId="77777777" w:rsidR="00EC4230" w:rsidRPr="006D65C9" w:rsidRDefault="00EC4230" w:rsidP="00EC4230">
      <w:pPr>
        <w:pStyle w:val="Prrafodelista"/>
        <w:spacing w:before="240" w:after="240" w:line="360" w:lineRule="auto"/>
        <w:ind w:left="0" w:right="48"/>
        <w:jc w:val="both"/>
        <w:rPr>
          <w:rFonts w:ascii="Palatino Linotype" w:eastAsia="MS Mincho" w:hAnsi="Palatino Linotype" w:cs="Arial"/>
          <w:bCs/>
          <w:szCs w:val="22"/>
          <w:lang w:val="es-ES_tradnl" w:eastAsia="es-ES"/>
        </w:rPr>
      </w:pPr>
    </w:p>
    <w:p w14:paraId="53903670" w14:textId="77777777" w:rsidR="00EC4230" w:rsidRPr="006D65C9" w:rsidRDefault="00EC4230" w:rsidP="00EC4230">
      <w:pPr>
        <w:pStyle w:val="Prrafodelista"/>
        <w:numPr>
          <w:ilvl w:val="0"/>
          <w:numId w:val="1"/>
        </w:numPr>
        <w:spacing w:before="240" w:after="240" w:line="360" w:lineRule="auto"/>
        <w:ind w:left="0" w:right="48" w:firstLine="0"/>
        <w:jc w:val="both"/>
        <w:rPr>
          <w:rFonts w:ascii="Palatino Linotype" w:eastAsia="MS Mincho" w:hAnsi="Palatino Linotype" w:cs="Arial"/>
          <w:szCs w:val="22"/>
          <w:lang w:val="es-ES_tradnl" w:eastAsia="es-ES"/>
        </w:rPr>
      </w:pPr>
      <w:r w:rsidRPr="006D65C9">
        <w:rPr>
          <w:rFonts w:ascii="Palatino Linotype" w:eastAsia="MS Mincho" w:hAnsi="Palatino Linotype" w:cs="Arial"/>
          <w:szCs w:val="22"/>
          <w:lang w:val="es-ES_tradnl" w:eastAsia="es-ES"/>
        </w:rPr>
        <w:lastRenderedPageBreak/>
        <w:t>Así, de conformidad con lo establecido en el artículo 12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 por ende, las razones o motivos de inconformidad al respecto devienen infundados.</w:t>
      </w:r>
    </w:p>
    <w:p w14:paraId="2000A394" w14:textId="77777777" w:rsidR="00EC4230" w:rsidRPr="006D65C9" w:rsidRDefault="00EC4230" w:rsidP="00EC4230">
      <w:pPr>
        <w:pStyle w:val="Prrafodelista"/>
        <w:spacing w:before="240" w:after="240" w:line="360" w:lineRule="auto"/>
        <w:ind w:left="0" w:right="48"/>
        <w:jc w:val="both"/>
        <w:rPr>
          <w:rFonts w:ascii="Palatino Linotype" w:eastAsia="MS Mincho" w:hAnsi="Palatino Linotype" w:cs="Arial"/>
          <w:bCs/>
          <w:szCs w:val="22"/>
          <w:lang w:val="es-ES_tradnl" w:eastAsia="es-ES"/>
        </w:rPr>
      </w:pPr>
    </w:p>
    <w:p w14:paraId="1AA6ACC9" w14:textId="0259D521" w:rsidR="006D65C9" w:rsidRPr="006D65C9" w:rsidRDefault="006D65C9" w:rsidP="00EC4230">
      <w:pPr>
        <w:pStyle w:val="Prrafodelista"/>
        <w:numPr>
          <w:ilvl w:val="0"/>
          <w:numId w:val="1"/>
        </w:numPr>
        <w:spacing w:before="240" w:after="240" w:line="360" w:lineRule="auto"/>
        <w:ind w:left="0" w:right="48" w:firstLine="0"/>
        <w:jc w:val="both"/>
        <w:rPr>
          <w:rFonts w:ascii="Palatino Linotype" w:eastAsia="MS Mincho" w:hAnsi="Palatino Linotype" w:cs="Arial"/>
          <w:bCs/>
          <w:szCs w:val="22"/>
          <w:lang w:val="es-ES_tradnl" w:eastAsia="es-ES"/>
        </w:rPr>
      </w:pPr>
      <w:r w:rsidRPr="006D65C9">
        <w:rPr>
          <w:rFonts w:ascii="Palatino Linotype" w:hAnsi="Palatino Linotype" w:cs="Arial"/>
          <w:lang w:val="es-ES"/>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6D65C9">
        <w:rPr>
          <w:rFonts w:ascii="Palatino Linotype" w:hAnsi="Palatino Linotype" w:cs="Arial"/>
          <w:b/>
          <w:lang w:val="es-ES"/>
        </w:rPr>
        <w:t>RECURRENTE</w:t>
      </w:r>
      <w:r w:rsidRPr="006D65C9">
        <w:rPr>
          <w:rFonts w:ascii="Palatino Linotype" w:hAnsi="Palatino Linotype" w:cs="Arial"/>
          <w:lang w:val="es-ES"/>
        </w:rPr>
        <w:t xml:space="preserve"> para que pueda realizar la solicitud de información ante el Sujeto Obligado correspondiente.</w:t>
      </w:r>
    </w:p>
    <w:p w14:paraId="073F4E59" w14:textId="77777777" w:rsidR="006D65C9" w:rsidRPr="006D65C9" w:rsidRDefault="006D65C9" w:rsidP="00EC4230">
      <w:pPr>
        <w:pStyle w:val="Prrafodelista"/>
        <w:spacing w:before="240" w:after="240" w:line="360" w:lineRule="auto"/>
        <w:ind w:left="0" w:right="48"/>
        <w:jc w:val="both"/>
        <w:rPr>
          <w:rFonts w:ascii="Palatino Linotype" w:eastAsia="MS Mincho" w:hAnsi="Palatino Linotype" w:cs="Arial"/>
          <w:bCs/>
          <w:szCs w:val="22"/>
          <w:lang w:val="es-ES_tradnl" w:eastAsia="es-ES"/>
        </w:rPr>
      </w:pPr>
    </w:p>
    <w:p w14:paraId="4157EE2E" w14:textId="197B37F9" w:rsidR="001C6021" w:rsidRPr="006D65C9" w:rsidRDefault="00EC4230" w:rsidP="00EC4230">
      <w:pPr>
        <w:pStyle w:val="Prrafodelista"/>
        <w:numPr>
          <w:ilvl w:val="0"/>
          <w:numId w:val="1"/>
        </w:numPr>
        <w:spacing w:before="240" w:after="240" w:line="360" w:lineRule="auto"/>
        <w:ind w:left="0" w:right="48" w:firstLine="0"/>
        <w:jc w:val="both"/>
        <w:rPr>
          <w:rFonts w:ascii="Palatino Linotype" w:eastAsia="MS Mincho" w:hAnsi="Palatino Linotype" w:cs="Arial"/>
          <w:bCs/>
          <w:szCs w:val="22"/>
          <w:lang w:val="es-ES_tradnl" w:eastAsia="es-ES"/>
        </w:rPr>
      </w:pPr>
      <w:r w:rsidRPr="006D65C9">
        <w:rPr>
          <w:rFonts w:ascii="Palatino Linotype" w:hAnsi="Palatino Linotype" w:cs="Arial"/>
          <w:bCs/>
          <w:szCs w:val="22"/>
          <w:lang w:val="es-ES"/>
        </w:rPr>
        <w:t xml:space="preserve">Finalmente, es importante señalar que este Instituto considera que al haber existido un pronunciamiento por parte del </w:t>
      </w:r>
      <w:r w:rsidRPr="006D65C9">
        <w:rPr>
          <w:rFonts w:ascii="Palatino Linotype" w:hAnsi="Palatino Linotype" w:cs="Arial"/>
          <w:b/>
          <w:bCs/>
          <w:szCs w:val="22"/>
          <w:lang w:val="es-ES"/>
        </w:rPr>
        <w:t>SUJETO OBLIGADO</w:t>
      </w:r>
      <w:r w:rsidRPr="006D65C9">
        <w:rPr>
          <w:rFonts w:ascii="Palatino Linotype" w:hAnsi="Palatino Linotype" w:cs="Arial"/>
          <w:bCs/>
          <w:szCs w:val="22"/>
          <w:lang w:val="es-ES"/>
        </w:rPr>
        <w:t xml:space="preserve">, </w:t>
      </w:r>
      <w:r w:rsidRPr="006D65C9">
        <w:rPr>
          <w:rFonts w:ascii="Palatino Linotype" w:hAnsi="Palatino Linotype"/>
        </w:rPr>
        <w:t>a fin de dar respuesta a la solicitud planteada,</w:t>
      </w:r>
      <w:r w:rsidRPr="006D65C9">
        <w:rPr>
          <w:rFonts w:ascii="Palatino Linotype" w:hAnsi="Palatino Linotype" w:cs="Arial"/>
          <w:bCs/>
          <w:szCs w:val="22"/>
          <w:lang w:val="es-ES"/>
        </w:rPr>
        <w:t xml:space="preserve"> no está facultado para manifestarse sobre la veracidad de la misma, pues no existe precepto legal alguno en la Ley de la materia que lo faculte para que vía Recurso de Revisión pueda pronunciarse al respecto.</w:t>
      </w:r>
    </w:p>
    <w:p w14:paraId="271F1557" w14:textId="77777777" w:rsidR="006D65C9" w:rsidRPr="006D65C9" w:rsidRDefault="006D65C9" w:rsidP="006D65C9">
      <w:pPr>
        <w:pStyle w:val="Prrafodelista"/>
        <w:spacing w:before="240" w:after="240" w:line="360" w:lineRule="auto"/>
        <w:ind w:left="0" w:right="48"/>
        <w:jc w:val="both"/>
        <w:rPr>
          <w:rFonts w:ascii="Palatino Linotype" w:eastAsia="MS Mincho" w:hAnsi="Palatino Linotype" w:cs="Arial"/>
          <w:bCs/>
          <w:szCs w:val="22"/>
          <w:lang w:val="es-ES_tradnl" w:eastAsia="es-ES"/>
        </w:rPr>
      </w:pPr>
    </w:p>
    <w:p w14:paraId="0DC7B8A2" w14:textId="23E56199" w:rsidR="001C6021" w:rsidRPr="006D65C9" w:rsidRDefault="001C6021" w:rsidP="001C6021">
      <w:pPr>
        <w:pStyle w:val="Prrafodelista"/>
        <w:numPr>
          <w:ilvl w:val="0"/>
          <w:numId w:val="1"/>
        </w:numPr>
        <w:spacing w:before="240" w:after="240" w:line="360" w:lineRule="auto"/>
        <w:ind w:left="0" w:right="48" w:firstLine="0"/>
        <w:jc w:val="both"/>
        <w:rPr>
          <w:rFonts w:ascii="Palatino Linotype" w:eastAsia="MS Mincho" w:hAnsi="Palatino Linotype" w:cs="Arial"/>
          <w:szCs w:val="22"/>
          <w:lang w:val="es-ES_tradnl" w:eastAsia="es-ES"/>
        </w:rPr>
      </w:pPr>
      <w:r w:rsidRPr="006D65C9">
        <w:rPr>
          <w:rFonts w:ascii="Palatino Linotype" w:eastAsia="MS Mincho" w:hAnsi="Palatino Linotype" w:cs="Arial"/>
          <w:szCs w:val="22"/>
          <w:lang w:val="es-ES_tradnl" w:eastAsia="es-ES"/>
        </w:rPr>
        <w:t xml:space="preserve">En este sentido, resultan </w:t>
      </w:r>
      <w:r w:rsidRPr="006D65C9">
        <w:rPr>
          <w:rFonts w:ascii="Palatino Linotype" w:eastAsia="MS Mincho" w:hAnsi="Palatino Linotype" w:cs="Arial"/>
          <w:b/>
          <w:szCs w:val="22"/>
          <w:lang w:val="es-ES_tradnl" w:eastAsia="es-ES"/>
        </w:rPr>
        <w:t>INFUNDADAS</w:t>
      </w:r>
      <w:r w:rsidRPr="006D65C9">
        <w:rPr>
          <w:rFonts w:ascii="Palatino Linotype" w:eastAsia="MS Mincho" w:hAnsi="Palatino Linotype" w:cs="Arial"/>
          <w:szCs w:val="22"/>
          <w:lang w:val="es-ES_tradnl" w:eastAsia="es-ES"/>
        </w:rPr>
        <w:t xml:space="preserve"> las razones o motivos de inconformidad hechos valer por el </w:t>
      </w:r>
      <w:r w:rsidRPr="006D65C9">
        <w:rPr>
          <w:rFonts w:ascii="Palatino Linotype" w:eastAsia="MS Mincho" w:hAnsi="Palatino Linotype" w:cs="Arial"/>
          <w:b/>
          <w:szCs w:val="22"/>
          <w:lang w:val="es-ES_tradnl" w:eastAsia="es-ES"/>
        </w:rPr>
        <w:t>RECURRENTE,</w:t>
      </w:r>
      <w:r w:rsidRPr="006D65C9">
        <w:rPr>
          <w:rFonts w:ascii="Palatino Linotype" w:eastAsia="MS Mincho" w:hAnsi="Palatino Linotype" w:cs="Arial"/>
          <w:szCs w:val="22"/>
          <w:lang w:val="es-ES_tradnl" w:eastAsia="es-ES"/>
        </w:rPr>
        <w:t xml:space="preserve"> toda vez que no se actualizan las hipótesis de procedencia contenidas en el artículo 179 de la Ley de Transparencia y Acceso a la Información Pública del Estado de México y Municipios, de tal manera que se </w:t>
      </w:r>
      <w:r w:rsidRPr="006D65C9">
        <w:rPr>
          <w:rFonts w:ascii="Palatino Linotype" w:eastAsia="MS Mincho" w:hAnsi="Palatino Linotype" w:cs="Arial"/>
          <w:b/>
          <w:szCs w:val="22"/>
          <w:lang w:val="es-ES_tradnl" w:eastAsia="es-ES"/>
        </w:rPr>
        <w:t>CONFIRMA</w:t>
      </w:r>
      <w:r w:rsidRPr="006D65C9">
        <w:rPr>
          <w:rFonts w:ascii="Palatino Linotype" w:eastAsia="MS Mincho" w:hAnsi="Palatino Linotype" w:cs="Arial"/>
          <w:szCs w:val="22"/>
          <w:lang w:val="es-ES_tradnl" w:eastAsia="es-ES"/>
        </w:rPr>
        <w:t xml:space="preserve"> la respuesta del </w:t>
      </w:r>
      <w:r w:rsidRPr="006D65C9">
        <w:rPr>
          <w:rFonts w:ascii="Palatino Linotype" w:eastAsia="MS Mincho" w:hAnsi="Palatino Linotype" w:cs="Arial"/>
          <w:b/>
          <w:szCs w:val="22"/>
          <w:lang w:val="es-ES_tradnl" w:eastAsia="es-ES"/>
        </w:rPr>
        <w:t>SUJETO OBLIGADO.</w:t>
      </w:r>
    </w:p>
    <w:p w14:paraId="31DDE374" w14:textId="77777777" w:rsidR="00AE2C57" w:rsidRPr="006D65C9" w:rsidRDefault="00AE2C57" w:rsidP="00AE2C57">
      <w:pPr>
        <w:pStyle w:val="Prrafodelista"/>
        <w:spacing w:before="240" w:after="240" w:line="360" w:lineRule="auto"/>
        <w:ind w:left="0" w:right="48"/>
        <w:jc w:val="both"/>
        <w:rPr>
          <w:rFonts w:ascii="Palatino Linotype" w:eastAsia="MS Mincho" w:hAnsi="Palatino Linotype" w:cs="Arial"/>
          <w:szCs w:val="22"/>
          <w:lang w:val="es-ES_tradnl" w:eastAsia="es-ES"/>
        </w:rPr>
      </w:pPr>
    </w:p>
    <w:p w14:paraId="1348C247" w14:textId="2C911EA4" w:rsidR="006D65C9" w:rsidRPr="006D65C9" w:rsidRDefault="00C67969" w:rsidP="006D65C9">
      <w:pPr>
        <w:pStyle w:val="Prrafodelista"/>
        <w:numPr>
          <w:ilvl w:val="0"/>
          <w:numId w:val="1"/>
        </w:numPr>
        <w:spacing w:before="240" w:after="240" w:line="360" w:lineRule="auto"/>
        <w:ind w:left="0" w:right="48" w:firstLine="0"/>
        <w:jc w:val="both"/>
        <w:rPr>
          <w:rFonts w:ascii="Palatino Linotype" w:eastAsia="MS Mincho" w:hAnsi="Palatino Linotype" w:cs="Arial"/>
          <w:szCs w:val="22"/>
          <w:lang w:val="es-ES_tradnl" w:eastAsia="es-ES"/>
        </w:rPr>
      </w:pPr>
      <w:r w:rsidRPr="006D65C9">
        <w:rPr>
          <w:rFonts w:ascii="Palatino Linotype" w:hAnsi="Palatino Linotype" w:cs="Arial"/>
          <w:color w:val="000000"/>
          <w:szCs w:val="22"/>
        </w:rPr>
        <w:lastRenderedPageBreak/>
        <w:t xml:space="preserve">Por </w:t>
      </w:r>
      <w:r w:rsidRPr="006D65C9">
        <w:rPr>
          <w:rFonts w:ascii="Palatino Linotype" w:eastAsiaTheme="minorEastAsia" w:hAnsi="Palatino Linotype"/>
          <w:color w:val="000000"/>
          <w:szCs w:val="22"/>
          <w:lang w:val="es-ES"/>
        </w:rPr>
        <w:t xml:space="preserve">lo anteriormente expuesto y fundado, este </w:t>
      </w:r>
      <w:r w:rsidRPr="006D65C9">
        <w:rPr>
          <w:rFonts w:ascii="Palatino Linotype" w:eastAsiaTheme="minorEastAsia" w:hAnsi="Palatino Linotype"/>
          <w:b/>
          <w:bCs/>
          <w:color w:val="000000"/>
          <w:szCs w:val="22"/>
          <w:lang w:val="es-ES"/>
        </w:rPr>
        <w:t>ÓRGANO GARANTE</w:t>
      </w:r>
      <w:r w:rsidRPr="006D65C9">
        <w:rPr>
          <w:rFonts w:ascii="Palatino Linotype" w:eastAsiaTheme="minorEastAsia" w:hAnsi="Palatino Linotype"/>
          <w:color w:val="000000"/>
          <w:szCs w:val="22"/>
          <w:lang w:val="es-ES"/>
        </w:rPr>
        <w:t xml:space="preserve"> emite los siguientes: </w:t>
      </w:r>
      <w:bookmarkEnd w:id="26"/>
      <w:bookmarkEnd w:id="27"/>
    </w:p>
    <w:p w14:paraId="1A34E69E" w14:textId="459446DC" w:rsidR="00E93FC1" w:rsidRPr="00EC4230" w:rsidRDefault="00E93FC1" w:rsidP="00C67969">
      <w:pPr>
        <w:keepNext/>
        <w:keepLines/>
        <w:spacing w:before="240" w:after="240" w:line="360" w:lineRule="auto"/>
        <w:jc w:val="center"/>
        <w:outlineLvl w:val="0"/>
        <w:rPr>
          <w:rFonts w:ascii="Palatino Linotype" w:eastAsiaTheme="majorEastAsia" w:hAnsi="Palatino Linotype" w:cstheme="majorBidi"/>
          <w:b/>
          <w:color w:val="000000" w:themeColor="text1"/>
          <w:sz w:val="22"/>
          <w:szCs w:val="22"/>
          <w:lang w:eastAsia="en-US"/>
        </w:rPr>
      </w:pPr>
      <w:bookmarkStart w:id="28" w:name="_Toc528153792"/>
      <w:bookmarkStart w:id="29" w:name="_Toc94119621"/>
      <w:r w:rsidRPr="00EC4230">
        <w:rPr>
          <w:rFonts w:ascii="Palatino Linotype" w:eastAsiaTheme="majorEastAsia" w:hAnsi="Palatino Linotype" w:cstheme="majorBidi"/>
          <w:b/>
          <w:color w:val="000000" w:themeColor="text1"/>
          <w:sz w:val="22"/>
          <w:szCs w:val="22"/>
          <w:lang w:eastAsia="en-US"/>
        </w:rPr>
        <w:t>R E S O L U T I V O S</w:t>
      </w:r>
      <w:bookmarkEnd w:id="28"/>
      <w:bookmarkEnd w:id="29"/>
    </w:p>
    <w:p w14:paraId="76D62D42" w14:textId="77DC942D" w:rsidR="00C67969" w:rsidRPr="00EC4230" w:rsidRDefault="00C67969" w:rsidP="00C67969">
      <w:pPr>
        <w:spacing w:line="360" w:lineRule="auto"/>
        <w:jc w:val="both"/>
        <w:rPr>
          <w:rFonts w:ascii="Palatino Linotype" w:eastAsiaTheme="minorEastAsia" w:hAnsi="Palatino Linotype" w:cs="Arial"/>
          <w:bCs/>
          <w:sz w:val="22"/>
          <w:szCs w:val="22"/>
          <w:lang w:val="es-ES_tradnl" w:eastAsia="es-ES"/>
        </w:rPr>
      </w:pPr>
      <w:r w:rsidRPr="00EC4230">
        <w:rPr>
          <w:rFonts w:ascii="Palatino Linotype" w:hAnsi="Palatino Linotype" w:cs="Arial"/>
          <w:b/>
          <w:sz w:val="22"/>
          <w:szCs w:val="22"/>
          <w:lang w:val="es-ES_tradnl" w:eastAsia="es-ES"/>
        </w:rPr>
        <w:t xml:space="preserve">PRIMERO. </w:t>
      </w:r>
      <w:r w:rsidRPr="00EC4230">
        <w:rPr>
          <w:rFonts w:ascii="Palatino Linotype" w:hAnsi="Palatino Linotype" w:cs="Arial"/>
          <w:sz w:val="22"/>
          <w:szCs w:val="22"/>
          <w:lang w:val="es-ES_tradnl" w:eastAsia="es-ES"/>
        </w:rPr>
        <w:t>Resultan infundadas las</w:t>
      </w:r>
      <w:r w:rsidRPr="00EC4230">
        <w:rPr>
          <w:rFonts w:ascii="Palatino Linotype" w:hAnsi="Palatino Linotype" w:cs="Arial"/>
          <w:b/>
          <w:sz w:val="22"/>
          <w:szCs w:val="22"/>
          <w:lang w:val="es-ES_tradnl" w:eastAsia="es-ES"/>
        </w:rPr>
        <w:t xml:space="preserve"> </w:t>
      </w:r>
      <w:r w:rsidRPr="00EC4230">
        <w:rPr>
          <w:rFonts w:ascii="Palatino Linotype" w:hAnsi="Palatino Linotype" w:cs="Arial"/>
          <w:sz w:val="22"/>
          <w:szCs w:val="22"/>
          <w:lang w:val="es-ES" w:eastAsia="es-ES"/>
        </w:rPr>
        <w:t xml:space="preserve">razones o motivos de inconformidad hechos valer </w:t>
      </w:r>
      <w:r w:rsidRPr="00EC4230">
        <w:rPr>
          <w:rFonts w:ascii="Palatino Linotype" w:eastAsia="Calibri" w:hAnsi="Palatino Linotype" w:cs="Arial"/>
          <w:sz w:val="22"/>
          <w:szCs w:val="22"/>
          <w:lang w:val="es-ES" w:eastAsia="es-ES"/>
        </w:rPr>
        <w:t>en el recurso de revisión</w:t>
      </w:r>
      <w:r w:rsidR="00EC4230" w:rsidRPr="00EC4230">
        <w:rPr>
          <w:rFonts w:ascii="Palatino Linotype" w:eastAsiaTheme="minorEastAsia" w:hAnsi="Palatino Linotype" w:cs="Arial"/>
          <w:b/>
          <w:bCs/>
          <w:sz w:val="22"/>
          <w:szCs w:val="22"/>
          <w:lang w:val="es-ES" w:eastAsia="es-ES"/>
        </w:rPr>
        <w:t xml:space="preserve"> 6288</w:t>
      </w:r>
      <w:r w:rsidRPr="00EC4230">
        <w:rPr>
          <w:rFonts w:ascii="Palatino Linotype" w:eastAsiaTheme="minorEastAsia" w:hAnsi="Palatino Linotype" w:cs="Arial"/>
          <w:b/>
          <w:bCs/>
          <w:sz w:val="22"/>
          <w:szCs w:val="22"/>
          <w:lang w:val="es-ES_tradnl" w:eastAsia="es-ES"/>
        </w:rPr>
        <w:t>/INFOEM/IP/RR/202</w:t>
      </w:r>
      <w:r w:rsidR="00EC4230" w:rsidRPr="00EC4230">
        <w:rPr>
          <w:rFonts w:ascii="Palatino Linotype" w:eastAsiaTheme="minorEastAsia" w:hAnsi="Palatino Linotype" w:cs="Arial"/>
          <w:b/>
          <w:bCs/>
          <w:sz w:val="22"/>
          <w:szCs w:val="22"/>
          <w:lang w:val="es-ES_tradnl" w:eastAsia="es-ES"/>
        </w:rPr>
        <w:t>4</w:t>
      </w:r>
      <w:r w:rsidRPr="00EC4230">
        <w:rPr>
          <w:rFonts w:ascii="Palatino Linotype" w:eastAsiaTheme="minorEastAsia" w:hAnsi="Palatino Linotype" w:cs="Arial"/>
          <w:b/>
          <w:bCs/>
          <w:sz w:val="22"/>
          <w:szCs w:val="22"/>
          <w:lang w:val="es-ES_tradnl" w:eastAsia="es-ES"/>
        </w:rPr>
        <w:t xml:space="preserve">, </w:t>
      </w:r>
      <w:r w:rsidRPr="00EC4230">
        <w:rPr>
          <w:rFonts w:ascii="Palatino Linotype" w:eastAsiaTheme="minorEastAsia" w:hAnsi="Palatino Linotype" w:cs="Arial"/>
          <w:bCs/>
          <w:sz w:val="22"/>
          <w:szCs w:val="22"/>
          <w:lang w:val="es-ES_tradnl" w:eastAsia="es-ES"/>
        </w:rPr>
        <w:t xml:space="preserve">en términos del </w:t>
      </w:r>
      <w:r w:rsidRPr="00EC4230">
        <w:rPr>
          <w:rFonts w:ascii="Palatino Linotype" w:eastAsiaTheme="minorEastAsia" w:hAnsi="Palatino Linotype" w:cs="Arial"/>
          <w:b/>
          <w:bCs/>
          <w:sz w:val="22"/>
          <w:szCs w:val="22"/>
          <w:lang w:val="es-ES_tradnl" w:eastAsia="es-ES"/>
        </w:rPr>
        <w:t>Considerando</w:t>
      </w:r>
      <w:r w:rsidRPr="00EC4230">
        <w:rPr>
          <w:rFonts w:ascii="Palatino Linotype" w:eastAsiaTheme="minorEastAsia" w:hAnsi="Palatino Linotype" w:cs="Arial"/>
          <w:bCs/>
          <w:sz w:val="22"/>
          <w:szCs w:val="22"/>
          <w:lang w:val="es-ES_tradnl" w:eastAsia="es-ES"/>
        </w:rPr>
        <w:t xml:space="preserve"> </w:t>
      </w:r>
      <w:r w:rsidRPr="00EC4230">
        <w:rPr>
          <w:rFonts w:ascii="Palatino Linotype" w:eastAsiaTheme="minorEastAsia" w:hAnsi="Palatino Linotype" w:cs="Arial"/>
          <w:b/>
          <w:bCs/>
          <w:sz w:val="22"/>
          <w:szCs w:val="22"/>
          <w:lang w:val="es-ES_tradnl" w:eastAsia="es-ES"/>
        </w:rPr>
        <w:t>CUARTO</w:t>
      </w:r>
      <w:r w:rsidRPr="00EC4230">
        <w:rPr>
          <w:rFonts w:ascii="Palatino Linotype" w:eastAsiaTheme="minorEastAsia" w:hAnsi="Palatino Linotype" w:cs="Arial"/>
          <w:bCs/>
          <w:sz w:val="22"/>
          <w:szCs w:val="22"/>
          <w:lang w:val="es-ES_tradnl" w:eastAsia="es-ES"/>
        </w:rPr>
        <w:t xml:space="preserve"> de la presente resolución.</w:t>
      </w:r>
    </w:p>
    <w:p w14:paraId="11932C40" w14:textId="77777777" w:rsidR="00C67969" w:rsidRPr="00EC4230" w:rsidRDefault="00C67969" w:rsidP="00C67969">
      <w:pPr>
        <w:spacing w:line="360" w:lineRule="auto"/>
        <w:jc w:val="both"/>
        <w:rPr>
          <w:rFonts w:ascii="Palatino Linotype" w:hAnsi="Palatino Linotype"/>
          <w:sz w:val="22"/>
          <w:szCs w:val="22"/>
          <w:lang w:val="es-ES_tradnl" w:eastAsia="es-ES"/>
        </w:rPr>
      </w:pPr>
    </w:p>
    <w:p w14:paraId="4EE3E7A2" w14:textId="183A0972" w:rsidR="006D65C9" w:rsidRDefault="00C67969" w:rsidP="00C67969">
      <w:pPr>
        <w:spacing w:line="360" w:lineRule="auto"/>
        <w:jc w:val="both"/>
        <w:rPr>
          <w:rFonts w:ascii="Palatino Linotype" w:hAnsi="Palatino Linotype"/>
          <w:b/>
          <w:bCs/>
          <w:sz w:val="22"/>
          <w:szCs w:val="22"/>
        </w:rPr>
      </w:pPr>
      <w:r w:rsidRPr="00EC4230">
        <w:rPr>
          <w:rFonts w:ascii="Palatino Linotype" w:eastAsiaTheme="minorEastAsia" w:hAnsi="Palatino Linotype"/>
          <w:b/>
          <w:sz w:val="22"/>
          <w:szCs w:val="22"/>
          <w:lang w:val="es-ES_tradnl" w:eastAsia="es-ES"/>
        </w:rPr>
        <w:t>SEGUNDO.</w:t>
      </w:r>
      <w:r w:rsidRPr="00EC4230">
        <w:rPr>
          <w:rFonts w:ascii="Palatino Linotype" w:eastAsiaTheme="majorEastAsia" w:hAnsi="Palatino Linotype" w:cstheme="majorBidi"/>
          <w:b/>
          <w:color w:val="2E74B5" w:themeColor="accent1" w:themeShade="BF"/>
          <w:sz w:val="22"/>
          <w:szCs w:val="22"/>
          <w:lang w:val="es-ES_tradnl" w:eastAsia="es-ES"/>
        </w:rPr>
        <w:t xml:space="preserve"> </w:t>
      </w:r>
      <w:r w:rsidRPr="00EC4230">
        <w:rPr>
          <w:rFonts w:ascii="Palatino Linotype" w:eastAsia="Calibri" w:hAnsi="Palatino Linotype" w:cs="Arial"/>
          <w:sz w:val="22"/>
          <w:szCs w:val="22"/>
          <w:lang w:val="es-ES" w:eastAsia="es-ES"/>
        </w:rPr>
        <w:t>Se</w:t>
      </w:r>
      <w:r w:rsidRPr="00EC4230">
        <w:rPr>
          <w:rFonts w:ascii="Palatino Linotype" w:eastAsia="Calibri" w:hAnsi="Palatino Linotype" w:cs="Arial"/>
          <w:b/>
          <w:sz w:val="22"/>
          <w:szCs w:val="22"/>
          <w:lang w:val="es-ES" w:eastAsia="es-ES"/>
        </w:rPr>
        <w:t xml:space="preserve"> CONFIRMA </w:t>
      </w:r>
      <w:r w:rsidRPr="00EC4230">
        <w:rPr>
          <w:rFonts w:ascii="Palatino Linotype" w:eastAsia="Calibri" w:hAnsi="Palatino Linotype" w:cs="Arial"/>
          <w:sz w:val="22"/>
          <w:szCs w:val="22"/>
          <w:lang w:val="es-ES" w:eastAsia="es-ES"/>
        </w:rPr>
        <w:t xml:space="preserve">la respuesta emitida por el </w:t>
      </w:r>
      <w:r w:rsidR="00EC4230" w:rsidRPr="00EC4230">
        <w:rPr>
          <w:rFonts w:ascii="Palatino Linotype" w:eastAsia="Calibri" w:hAnsi="Palatino Linotype" w:cs="Tahoma"/>
          <w:b/>
          <w:sz w:val="22"/>
          <w:szCs w:val="22"/>
          <w:lang w:eastAsia="en-US"/>
        </w:rPr>
        <w:t>Ayuntamiento de Tlalnepantla de Baz</w:t>
      </w:r>
      <w:r w:rsidR="00EC4230" w:rsidRPr="00EC4230">
        <w:rPr>
          <w:rFonts w:ascii="Palatino Linotype" w:eastAsia="Calibri" w:hAnsi="Palatino Linotype" w:cs="Arial"/>
          <w:sz w:val="22"/>
          <w:szCs w:val="22"/>
          <w:lang w:val="es-ES" w:eastAsia="es-ES"/>
        </w:rPr>
        <w:t xml:space="preserve"> </w:t>
      </w:r>
      <w:r w:rsidRPr="00EC4230">
        <w:rPr>
          <w:rFonts w:ascii="Palatino Linotype" w:eastAsia="Calibri" w:hAnsi="Palatino Linotype" w:cs="Arial"/>
          <w:sz w:val="22"/>
          <w:szCs w:val="22"/>
          <w:lang w:val="es-ES" w:eastAsia="es-ES"/>
        </w:rPr>
        <w:t xml:space="preserve">a la solicitud </w:t>
      </w:r>
      <w:r w:rsidR="00AA14A4" w:rsidRPr="00EC4230">
        <w:rPr>
          <w:rFonts w:ascii="Palatino Linotype" w:hAnsi="Palatino Linotype"/>
          <w:b/>
          <w:bCs/>
          <w:sz w:val="22"/>
          <w:szCs w:val="22"/>
        </w:rPr>
        <w:t>00</w:t>
      </w:r>
      <w:r w:rsidR="00EC4230" w:rsidRPr="00EC4230">
        <w:rPr>
          <w:rFonts w:ascii="Palatino Linotype" w:hAnsi="Palatino Linotype"/>
          <w:b/>
          <w:bCs/>
          <w:sz w:val="22"/>
          <w:szCs w:val="22"/>
        </w:rPr>
        <w:t>99</w:t>
      </w:r>
      <w:r w:rsidR="009A1B54" w:rsidRPr="00EC4230">
        <w:rPr>
          <w:rFonts w:ascii="Palatino Linotype" w:hAnsi="Palatino Linotype"/>
          <w:b/>
          <w:bCs/>
          <w:sz w:val="22"/>
          <w:szCs w:val="22"/>
        </w:rPr>
        <w:t>1</w:t>
      </w:r>
      <w:r w:rsidRPr="00EC4230">
        <w:rPr>
          <w:rFonts w:ascii="Palatino Linotype" w:hAnsi="Palatino Linotype"/>
          <w:b/>
          <w:bCs/>
          <w:sz w:val="22"/>
          <w:szCs w:val="22"/>
        </w:rPr>
        <w:t>/</w:t>
      </w:r>
      <w:r w:rsidR="00EC4230" w:rsidRPr="00EC4230">
        <w:rPr>
          <w:rFonts w:ascii="Palatino Linotype" w:hAnsi="Palatino Linotype"/>
          <w:b/>
          <w:bCs/>
          <w:sz w:val="22"/>
          <w:szCs w:val="22"/>
        </w:rPr>
        <w:t>TLALNEPA/IP/2024</w:t>
      </w:r>
      <w:r w:rsidRPr="00EC4230">
        <w:rPr>
          <w:rFonts w:ascii="Palatino Linotype" w:hAnsi="Palatino Linotype"/>
          <w:b/>
          <w:bCs/>
          <w:sz w:val="22"/>
          <w:szCs w:val="22"/>
        </w:rPr>
        <w:t>.</w:t>
      </w:r>
    </w:p>
    <w:p w14:paraId="05891ADB" w14:textId="77777777" w:rsidR="006D65C9" w:rsidRPr="006D65C9" w:rsidRDefault="006D65C9" w:rsidP="006D65C9">
      <w:pPr>
        <w:spacing w:line="360" w:lineRule="auto"/>
        <w:jc w:val="both"/>
        <w:rPr>
          <w:rFonts w:ascii="Palatino Linotype" w:hAnsi="Palatino Linotype"/>
          <w:b/>
          <w:bCs/>
          <w:sz w:val="22"/>
          <w:szCs w:val="22"/>
        </w:rPr>
      </w:pPr>
    </w:p>
    <w:p w14:paraId="4FAAF990" w14:textId="623892DC" w:rsidR="00C67969" w:rsidRPr="00EC4230" w:rsidRDefault="00C67969" w:rsidP="006D65C9">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r w:rsidRPr="00EC4230">
        <w:rPr>
          <w:rFonts w:ascii="Palatino Linotype" w:eastAsia="Palatino Linotype" w:hAnsi="Palatino Linotype" w:cs="Palatino Linotype"/>
          <w:b/>
          <w:sz w:val="22"/>
          <w:szCs w:val="22"/>
          <w:lang w:val="es-ES_tradnl" w:eastAsia="es-ES"/>
        </w:rPr>
        <w:t xml:space="preserve">TERCERO. REMÍTASE, </w:t>
      </w:r>
      <w:r w:rsidRPr="00EC4230">
        <w:rPr>
          <w:rFonts w:ascii="Palatino Linotype" w:eastAsia="Palatino Linotype" w:hAnsi="Palatino Linotype" w:cs="Palatino Linotype"/>
          <w:sz w:val="22"/>
          <w:szCs w:val="22"/>
          <w:lang w:val="es-ES_tradnl" w:eastAsia="es-ES"/>
        </w:rPr>
        <w:t xml:space="preserve">vía Sistema de Acceso a la Información Mexiquense (SAIMEX), la presente resolución al Titular de la Unidad de Transparencia del </w:t>
      </w:r>
      <w:r w:rsidRPr="00EC4230">
        <w:rPr>
          <w:rFonts w:ascii="Palatino Linotype" w:eastAsia="Palatino Linotype" w:hAnsi="Palatino Linotype" w:cs="Palatino Linotype"/>
          <w:b/>
          <w:sz w:val="22"/>
          <w:szCs w:val="22"/>
          <w:lang w:val="es-ES_tradnl" w:eastAsia="es-ES"/>
        </w:rPr>
        <w:t>SUJETO OBLIGADO.</w:t>
      </w:r>
    </w:p>
    <w:p w14:paraId="6D34F20F" w14:textId="77777777" w:rsidR="00C67969" w:rsidRPr="00EC4230" w:rsidRDefault="00C67969" w:rsidP="006D65C9">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p>
    <w:p w14:paraId="15E401D1" w14:textId="7FF07789" w:rsidR="00C67969" w:rsidRPr="00AE3DCA" w:rsidRDefault="00C67969" w:rsidP="006D65C9">
      <w:pPr>
        <w:shd w:val="clear" w:color="auto" w:fill="FFFFFF"/>
        <w:spacing w:line="360" w:lineRule="auto"/>
        <w:jc w:val="both"/>
        <w:rPr>
          <w:rFonts w:ascii="Palatino Linotype" w:eastAsiaTheme="minorEastAsia" w:hAnsi="Palatino Linotype"/>
          <w:sz w:val="22"/>
          <w:szCs w:val="22"/>
          <w:lang w:val="es-ES_tradnl" w:eastAsia="es-ES"/>
        </w:rPr>
      </w:pPr>
      <w:r w:rsidRPr="00AE3DCA">
        <w:rPr>
          <w:rFonts w:ascii="Palatino Linotype" w:hAnsi="Palatino Linotype" w:cs="Arial"/>
          <w:b/>
          <w:sz w:val="22"/>
          <w:szCs w:val="22"/>
          <w:lang w:val="es-ES_tradnl" w:eastAsia="es-ES"/>
        </w:rPr>
        <w:t xml:space="preserve">CUARTO. </w:t>
      </w:r>
      <w:r w:rsidRPr="00AE3DCA">
        <w:rPr>
          <w:rFonts w:ascii="Palatino Linotype" w:hAnsi="Palatino Linotype"/>
          <w:b/>
          <w:bCs/>
          <w:color w:val="222222"/>
          <w:sz w:val="22"/>
          <w:szCs w:val="22"/>
          <w:lang w:val="es-ES" w:eastAsia="es-ES"/>
        </w:rPr>
        <w:t>Notifíquese al RECURRENTE</w:t>
      </w:r>
      <w:r w:rsidRPr="00AE3DCA">
        <w:rPr>
          <w:rFonts w:ascii="Palatino Linotype" w:eastAsiaTheme="minorEastAsia" w:hAnsi="Palatino Linotype"/>
          <w:b/>
          <w:sz w:val="22"/>
          <w:szCs w:val="22"/>
          <w:lang w:val="es-ES_tradnl" w:eastAsia="es-ES"/>
        </w:rPr>
        <w:t xml:space="preserve"> </w:t>
      </w:r>
      <w:r w:rsidRPr="00AE3DCA">
        <w:rPr>
          <w:rFonts w:ascii="Palatino Linotype" w:eastAsiaTheme="minorEastAsia" w:hAnsi="Palatino Linotype"/>
          <w:sz w:val="22"/>
          <w:szCs w:val="22"/>
          <w:lang w:val="es-ES_tradnl" w:eastAsia="es-ES"/>
        </w:rPr>
        <w:t xml:space="preserve">la presente resolución a través del </w:t>
      </w:r>
      <w:r w:rsidRPr="00AE3DCA">
        <w:rPr>
          <w:rFonts w:ascii="Palatino Linotype" w:eastAsiaTheme="minorEastAsia" w:hAnsi="Palatino Linotype"/>
          <w:b/>
          <w:bCs/>
          <w:sz w:val="22"/>
          <w:szCs w:val="22"/>
          <w:lang w:val="es-ES_tradnl" w:eastAsia="es-ES"/>
        </w:rPr>
        <w:t>SAIMEX</w:t>
      </w:r>
      <w:r w:rsidR="002670BE" w:rsidRPr="00AE3DCA">
        <w:rPr>
          <w:rFonts w:ascii="Palatino Linotype" w:eastAsiaTheme="minorEastAsia" w:hAnsi="Palatino Linotype"/>
          <w:b/>
          <w:bCs/>
          <w:sz w:val="22"/>
          <w:szCs w:val="22"/>
          <w:lang w:val="es-ES_tradnl" w:eastAsia="es-ES"/>
        </w:rPr>
        <w:t xml:space="preserve"> y correo electrónico</w:t>
      </w:r>
      <w:r w:rsidRPr="00AE3DCA">
        <w:rPr>
          <w:rFonts w:ascii="Palatino Linotype" w:eastAsiaTheme="minorEastAsia" w:hAnsi="Palatino Linotype"/>
          <w:b/>
          <w:bCs/>
          <w:sz w:val="22"/>
          <w:szCs w:val="22"/>
          <w:lang w:val="es-ES_tradnl" w:eastAsia="es-ES"/>
        </w:rPr>
        <w:t>.</w:t>
      </w:r>
    </w:p>
    <w:p w14:paraId="7969DBA4" w14:textId="10BDD41F" w:rsidR="00FA524A" w:rsidRPr="00AE3DCA" w:rsidRDefault="00C67969" w:rsidP="006D65C9">
      <w:pPr>
        <w:spacing w:before="240" w:after="240" w:line="360" w:lineRule="auto"/>
        <w:ind w:right="48"/>
        <w:jc w:val="both"/>
        <w:rPr>
          <w:rFonts w:ascii="Palatino Linotype" w:eastAsia="MS Mincho" w:hAnsi="Palatino Linotype"/>
          <w:sz w:val="22"/>
          <w:szCs w:val="22"/>
          <w:lang w:val="es-ES" w:eastAsia="es-ES"/>
        </w:rPr>
      </w:pPr>
      <w:r w:rsidRPr="00AE3DCA">
        <w:rPr>
          <w:rFonts w:ascii="Palatino Linotype" w:eastAsia="MS Mincho" w:hAnsi="Palatino Linotype"/>
          <w:b/>
          <w:sz w:val="22"/>
          <w:szCs w:val="22"/>
          <w:lang w:eastAsia="es-ES"/>
        </w:rPr>
        <w:t>QUINTO.</w:t>
      </w:r>
      <w:r w:rsidRPr="00AE3DCA">
        <w:rPr>
          <w:rFonts w:ascii="Palatino Linotype" w:eastAsia="MS Mincho" w:hAnsi="Palatino Linotype"/>
          <w:sz w:val="22"/>
          <w:szCs w:val="22"/>
          <w:lang w:eastAsia="es-ES"/>
        </w:rPr>
        <w:t xml:space="preserve"> </w:t>
      </w:r>
      <w:r w:rsidRPr="00AE3DCA">
        <w:rPr>
          <w:rFonts w:ascii="Palatino Linotype" w:eastAsia="MS Mincho" w:hAnsi="Palatino Linotype"/>
          <w:sz w:val="22"/>
          <w:szCs w:val="22"/>
          <w:lang w:val="es-ES" w:eastAsia="es-ES"/>
        </w:rPr>
        <w:t>Se hace del conocimiento</w:t>
      </w:r>
      <w:r w:rsidRPr="00EC4230">
        <w:rPr>
          <w:rFonts w:ascii="Palatino Linotype" w:eastAsia="MS Mincho" w:hAnsi="Palatino Linotype"/>
          <w:sz w:val="22"/>
          <w:szCs w:val="22"/>
          <w:lang w:val="es-ES" w:eastAsia="es-ES"/>
        </w:rPr>
        <w:t xml:space="preserve"> del </w:t>
      </w:r>
      <w:r w:rsidRPr="00EC4230">
        <w:rPr>
          <w:rFonts w:ascii="Palatino Linotype" w:hAnsi="Palatino Linotype"/>
          <w:b/>
          <w:bCs/>
          <w:color w:val="222222"/>
          <w:sz w:val="22"/>
          <w:szCs w:val="22"/>
          <w:lang w:val="es-ES" w:eastAsia="es-ES"/>
        </w:rPr>
        <w:t>RECURRENTE</w:t>
      </w:r>
      <w:r w:rsidRPr="00EC4230">
        <w:rPr>
          <w:rFonts w:ascii="Palatino Linotype" w:eastAsiaTheme="minorEastAsia" w:hAnsi="Palatino Linotype"/>
          <w:b/>
          <w:sz w:val="22"/>
          <w:szCs w:val="22"/>
          <w:lang w:val="es-ES_tradnl" w:eastAsia="es-ES"/>
        </w:rPr>
        <w:t xml:space="preserve"> </w:t>
      </w:r>
      <w:r w:rsidRPr="00EC4230">
        <w:rPr>
          <w:rFonts w:ascii="Palatino Linotype" w:eastAsia="MS Mincho" w:hAnsi="Palatino Linotype"/>
          <w:sz w:val="22"/>
          <w:szCs w:val="22"/>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EC4230">
        <w:rPr>
          <w:rFonts w:ascii="Palatino Linotype" w:eastAsia="MS Mincho" w:hAnsi="Palatino Linotype"/>
          <w:bCs/>
          <w:sz w:val="22"/>
          <w:szCs w:val="22"/>
          <w:lang w:val="es-ES" w:eastAsia="es-ES"/>
        </w:rPr>
        <w:t>vía juicio de amparo</w:t>
      </w:r>
      <w:r w:rsidRPr="00EC4230">
        <w:rPr>
          <w:rFonts w:ascii="Palatino Linotype" w:eastAsia="MS Mincho" w:hAnsi="Palatino Linotype"/>
          <w:sz w:val="22"/>
          <w:szCs w:val="22"/>
          <w:lang w:val="es-ES" w:eastAsia="es-ES"/>
        </w:rPr>
        <w:t> en los términos de las leyes aplicables.</w:t>
      </w:r>
    </w:p>
    <w:p w14:paraId="7D8740D2" w14:textId="77777777" w:rsidR="00FA524A" w:rsidRPr="003C7186" w:rsidRDefault="00FA524A" w:rsidP="00AE3DCA">
      <w:pPr>
        <w:spacing w:line="312" w:lineRule="auto"/>
        <w:ind w:left="-142" w:right="-232"/>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w:t>
      </w:r>
      <w:r w:rsidRPr="003C7186">
        <w:rPr>
          <w:rFonts w:ascii="Palatino Linotype" w:hAnsi="Palatino Linotype"/>
        </w:rPr>
        <w:lastRenderedPageBreak/>
        <w:t xml:space="preserve">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48CEB724" w14:textId="77777777" w:rsidR="00FA524A" w:rsidRPr="00902BA4" w:rsidRDefault="00FA524A" w:rsidP="00FA524A">
      <w:pPr>
        <w:widowControl w:val="0"/>
        <w:autoSpaceDE w:val="0"/>
        <w:autoSpaceDN w:val="0"/>
        <w:adjustRightInd w:val="0"/>
        <w:spacing w:after="200" w:line="276" w:lineRule="auto"/>
        <w:ind w:left="-142" w:right="-234"/>
        <w:rPr>
          <w:rFonts w:ascii="Calibri" w:hAnsi="Calibri" w:cs="Calibri"/>
        </w:rPr>
      </w:pPr>
    </w:p>
    <w:p w14:paraId="3D54CDD9" w14:textId="77777777" w:rsidR="00FA524A" w:rsidRDefault="00FA524A" w:rsidP="00FA524A">
      <w:pPr>
        <w:spacing w:before="240" w:after="240" w:line="360" w:lineRule="auto"/>
        <w:ind w:firstLine="1"/>
        <w:jc w:val="both"/>
        <w:rPr>
          <w:rFonts w:ascii="Palatino Linotype" w:hAnsi="Palatino Linotype"/>
        </w:rPr>
      </w:pPr>
      <w:bookmarkStart w:id="30" w:name="_Hlk96506827"/>
    </w:p>
    <w:bookmarkEnd w:id="30"/>
    <w:p w14:paraId="37856827" w14:textId="77777777" w:rsidR="00E93FC1" w:rsidRPr="00EC4230" w:rsidRDefault="00E93FC1" w:rsidP="00730D0C">
      <w:pPr>
        <w:spacing w:before="240" w:after="240" w:line="360" w:lineRule="auto"/>
        <w:rPr>
          <w:rFonts w:ascii="Palatino Linotype" w:hAnsi="Palatino Linotype"/>
          <w:sz w:val="22"/>
          <w:szCs w:val="22"/>
        </w:rPr>
      </w:pPr>
    </w:p>
    <w:p w14:paraId="13F95FC9" w14:textId="77777777" w:rsidR="00E93FC1" w:rsidRPr="00EC4230" w:rsidRDefault="00E93FC1" w:rsidP="00730D0C">
      <w:pPr>
        <w:spacing w:before="240" w:after="240" w:line="360" w:lineRule="auto"/>
        <w:rPr>
          <w:rFonts w:ascii="Palatino Linotype" w:hAnsi="Palatino Linotype"/>
          <w:sz w:val="22"/>
          <w:szCs w:val="22"/>
        </w:rPr>
      </w:pPr>
    </w:p>
    <w:p w14:paraId="60DC5DA9" w14:textId="2A25FE02" w:rsidR="00E93FC1" w:rsidRPr="00EC4230" w:rsidRDefault="00E93FC1" w:rsidP="00730D0C">
      <w:pPr>
        <w:spacing w:before="240" w:after="240" w:line="360" w:lineRule="auto"/>
        <w:rPr>
          <w:rFonts w:ascii="Palatino Linotype" w:hAnsi="Palatino Linotype"/>
          <w:sz w:val="22"/>
          <w:szCs w:val="22"/>
        </w:rPr>
      </w:pPr>
    </w:p>
    <w:p w14:paraId="0E8E69CC" w14:textId="087D6D23" w:rsidR="008B49A6" w:rsidRPr="00EC4230" w:rsidRDefault="008B49A6" w:rsidP="00730D0C">
      <w:pPr>
        <w:spacing w:before="240" w:after="240" w:line="360" w:lineRule="auto"/>
        <w:rPr>
          <w:rFonts w:ascii="Palatino Linotype" w:hAnsi="Palatino Linotype"/>
          <w:sz w:val="22"/>
          <w:szCs w:val="22"/>
        </w:rPr>
      </w:pPr>
    </w:p>
    <w:p w14:paraId="4ED089C4" w14:textId="31420AEE" w:rsidR="008B49A6" w:rsidRPr="00EC4230" w:rsidRDefault="008B49A6" w:rsidP="00730D0C">
      <w:pPr>
        <w:spacing w:before="240" w:after="240" w:line="360" w:lineRule="auto"/>
        <w:rPr>
          <w:rFonts w:ascii="Palatino Linotype" w:hAnsi="Palatino Linotype"/>
          <w:sz w:val="22"/>
          <w:szCs w:val="22"/>
        </w:rPr>
      </w:pPr>
    </w:p>
    <w:p w14:paraId="4DAA276C" w14:textId="13B747B5" w:rsidR="008B49A6" w:rsidRPr="00EC4230" w:rsidRDefault="008B49A6" w:rsidP="00730D0C">
      <w:pPr>
        <w:spacing w:before="240" w:after="240" w:line="360" w:lineRule="auto"/>
        <w:rPr>
          <w:rFonts w:ascii="Palatino Linotype" w:hAnsi="Palatino Linotype"/>
          <w:sz w:val="22"/>
          <w:szCs w:val="22"/>
        </w:rPr>
      </w:pPr>
    </w:p>
    <w:p w14:paraId="7946ACB0" w14:textId="275BD626" w:rsidR="008B49A6" w:rsidRPr="00EC4230" w:rsidRDefault="008B49A6" w:rsidP="00730D0C">
      <w:pPr>
        <w:spacing w:before="240" w:after="240" w:line="360" w:lineRule="auto"/>
        <w:rPr>
          <w:rFonts w:ascii="Palatino Linotype" w:hAnsi="Palatino Linotype"/>
          <w:sz w:val="22"/>
          <w:szCs w:val="22"/>
        </w:rPr>
      </w:pPr>
    </w:p>
    <w:p w14:paraId="46AE86AC" w14:textId="77777777" w:rsidR="00E93FC1" w:rsidRPr="00EC4230" w:rsidRDefault="00E93FC1" w:rsidP="00730D0C">
      <w:pPr>
        <w:spacing w:before="240" w:after="240" w:line="360" w:lineRule="auto"/>
        <w:rPr>
          <w:rFonts w:ascii="Palatino Linotype" w:hAnsi="Palatino Linotype"/>
          <w:sz w:val="22"/>
          <w:szCs w:val="22"/>
        </w:rPr>
      </w:pPr>
    </w:p>
    <w:sectPr w:rsidR="00E93FC1" w:rsidRPr="00EC4230" w:rsidSect="00E93FC1">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5F71" w14:textId="77777777" w:rsidR="004664A1" w:rsidRDefault="004664A1" w:rsidP="00E93FC1">
      <w:r>
        <w:separator/>
      </w:r>
    </w:p>
  </w:endnote>
  <w:endnote w:type="continuationSeparator" w:id="0">
    <w:p w14:paraId="2687D0C5" w14:textId="77777777" w:rsidR="004664A1" w:rsidRDefault="004664A1"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2D3977" w:rsidRDefault="002D3977">
    <w:pPr>
      <w:pStyle w:val="Piedepgina"/>
      <w:jc w:val="right"/>
    </w:pPr>
    <w:r>
      <w:rPr>
        <w:lang w:val="es-ES"/>
      </w:rPr>
      <w:t xml:space="preserve">Página </w:t>
    </w:r>
    <w:r>
      <w:rPr>
        <w:b/>
        <w:bCs/>
      </w:rPr>
      <w:fldChar w:fldCharType="begin"/>
    </w:r>
    <w:r>
      <w:rPr>
        <w:b/>
        <w:bCs/>
      </w:rPr>
      <w:instrText>PAGE</w:instrText>
    </w:r>
    <w:r>
      <w:rPr>
        <w:b/>
        <w:bCs/>
      </w:rPr>
      <w:fldChar w:fldCharType="separate"/>
    </w:r>
    <w:r w:rsidR="006A6A0D">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A6A0D">
      <w:rPr>
        <w:b/>
        <w:bCs/>
        <w:noProof/>
      </w:rPr>
      <w:t>12</w:t>
    </w:r>
    <w:r>
      <w:rPr>
        <w:b/>
        <w:bCs/>
      </w:rPr>
      <w:fldChar w:fldCharType="end"/>
    </w:r>
  </w:p>
  <w:p w14:paraId="101ED849" w14:textId="77777777" w:rsidR="002D3977" w:rsidRDefault="002D3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2D3977" w:rsidRDefault="002D3977">
    <w:pPr>
      <w:pStyle w:val="Piedepgina"/>
      <w:jc w:val="right"/>
    </w:pPr>
    <w:r>
      <w:rPr>
        <w:lang w:val="es-ES"/>
      </w:rPr>
      <w:t xml:space="preserve">Página </w:t>
    </w:r>
    <w:r>
      <w:rPr>
        <w:b/>
        <w:bCs/>
      </w:rPr>
      <w:fldChar w:fldCharType="begin"/>
    </w:r>
    <w:r>
      <w:rPr>
        <w:b/>
        <w:bCs/>
      </w:rPr>
      <w:instrText>PAGE</w:instrText>
    </w:r>
    <w:r>
      <w:rPr>
        <w:b/>
        <w:bCs/>
      </w:rPr>
      <w:fldChar w:fldCharType="separate"/>
    </w:r>
    <w:r w:rsidR="006A6A0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A6A0D">
      <w:rPr>
        <w:b/>
        <w:bCs/>
        <w:noProof/>
      </w:rPr>
      <w:t>12</w:t>
    </w:r>
    <w:r>
      <w:rPr>
        <w:b/>
        <w:bCs/>
      </w:rPr>
      <w:fldChar w:fldCharType="end"/>
    </w:r>
  </w:p>
  <w:p w14:paraId="52503304" w14:textId="77777777" w:rsidR="002D3977" w:rsidRDefault="002D3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0EDD" w14:textId="77777777" w:rsidR="004664A1" w:rsidRDefault="004664A1" w:rsidP="00E93FC1">
      <w:r>
        <w:separator/>
      </w:r>
    </w:p>
  </w:footnote>
  <w:footnote w:type="continuationSeparator" w:id="0">
    <w:p w14:paraId="2AA6B675" w14:textId="77777777" w:rsidR="004664A1" w:rsidRDefault="004664A1" w:rsidP="00E9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2D3977" w:rsidRDefault="004664A1">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D3977" w:rsidRPr="005C106F" w14:paraId="3D9D5830" w14:textId="77777777" w:rsidTr="00E93FC1">
      <w:trPr>
        <w:trHeight w:val="1435"/>
      </w:trPr>
      <w:tc>
        <w:tcPr>
          <w:tcW w:w="2268" w:type="dxa"/>
          <w:shd w:val="clear" w:color="auto" w:fill="auto"/>
        </w:tcPr>
        <w:p w14:paraId="7C838A1D" w14:textId="77777777" w:rsidR="002D3977" w:rsidRPr="005C106F" w:rsidRDefault="002D3977" w:rsidP="00E93FC1">
          <w:pPr>
            <w:tabs>
              <w:tab w:val="right" w:pos="4273"/>
            </w:tabs>
            <w:rPr>
              <w:rFonts w:ascii="Garamond" w:eastAsia="Calibri" w:hAnsi="Garamond"/>
              <w:sz w:val="16"/>
              <w:szCs w:val="16"/>
              <w:lang w:eastAsia="en-US"/>
            </w:rPr>
          </w:pPr>
        </w:p>
      </w:tc>
      <w:tc>
        <w:tcPr>
          <w:tcW w:w="6946" w:type="dxa"/>
          <w:shd w:val="clear" w:color="auto" w:fill="auto"/>
        </w:tcPr>
        <w:p w14:paraId="5D566335" w14:textId="77777777" w:rsidR="002D3977" w:rsidRDefault="002D3977" w:rsidP="00E93FC1"/>
        <w:tbl>
          <w:tblPr>
            <w:tblW w:w="6662" w:type="dxa"/>
            <w:tblInd w:w="40" w:type="dxa"/>
            <w:tblLayout w:type="fixed"/>
            <w:tblLook w:val="0420" w:firstRow="1" w:lastRow="0" w:firstColumn="0" w:lastColumn="0" w:noHBand="0" w:noVBand="1"/>
          </w:tblPr>
          <w:tblGrid>
            <w:gridCol w:w="2551"/>
            <w:gridCol w:w="4111"/>
          </w:tblGrid>
          <w:tr w:rsidR="002D3977" w14:paraId="21345384" w14:textId="77777777" w:rsidTr="00E93FC1">
            <w:trPr>
              <w:trHeight w:val="150"/>
            </w:trPr>
            <w:tc>
              <w:tcPr>
                <w:tcW w:w="2551" w:type="dxa"/>
                <w:shd w:val="clear" w:color="auto" w:fill="auto"/>
              </w:tcPr>
              <w:p w14:paraId="5628DF04" w14:textId="77777777" w:rsidR="002D3977" w:rsidRPr="00020E73" w:rsidRDefault="002D3977"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9007278" w14:textId="3A2BB4E5" w:rsidR="002D3977" w:rsidRPr="00020E73" w:rsidRDefault="002D3977"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06288/INFOEM/IP/RR/2024</w:t>
                </w:r>
              </w:p>
            </w:tc>
          </w:tr>
          <w:tr w:rsidR="002D3977" w14:paraId="2C689127" w14:textId="77777777" w:rsidTr="00E93FC1">
            <w:trPr>
              <w:trHeight w:val="295"/>
            </w:trPr>
            <w:tc>
              <w:tcPr>
                <w:tcW w:w="2551" w:type="dxa"/>
                <w:shd w:val="clear" w:color="auto" w:fill="auto"/>
              </w:tcPr>
              <w:p w14:paraId="6F74B469" w14:textId="77777777" w:rsidR="002D3977" w:rsidRPr="00020E73" w:rsidRDefault="002D3977"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B3A0898" w14:textId="741277FB" w:rsidR="002D3977" w:rsidRPr="00020E73" w:rsidRDefault="002D3977" w:rsidP="002D3977">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Tlalnepantla de Baz</w:t>
                </w:r>
              </w:p>
            </w:tc>
          </w:tr>
          <w:tr w:rsidR="002D3977" w14:paraId="51586913" w14:textId="77777777" w:rsidTr="00E93FC1">
            <w:trPr>
              <w:trHeight w:val="295"/>
            </w:trPr>
            <w:tc>
              <w:tcPr>
                <w:tcW w:w="2551" w:type="dxa"/>
                <w:shd w:val="clear" w:color="auto" w:fill="auto"/>
              </w:tcPr>
              <w:p w14:paraId="4295483B" w14:textId="77777777" w:rsidR="002D3977" w:rsidRPr="00020E73" w:rsidRDefault="002D3977"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400C8B6" w14:textId="77777777" w:rsidR="002D3977" w:rsidRPr="00020E73" w:rsidRDefault="002D3977"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2D3977" w:rsidRPr="00020E73" w:rsidRDefault="002D3977"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2D3977" w:rsidRPr="005C106F" w:rsidRDefault="002D3977" w:rsidP="00E93FC1">
          <w:pPr>
            <w:tabs>
              <w:tab w:val="right" w:pos="8838"/>
            </w:tabs>
            <w:ind w:left="-28"/>
            <w:jc w:val="both"/>
            <w:rPr>
              <w:rFonts w:ascii="Arial" w:eastAsia="Calibri" w:hAnsi="Arial" w:cs="Arial"/>
              <w:b/>
              <w:sz w:val="22"/>
              <w:szCs w:val="22"/>
              <w:lang w:eastAsia="en-US"/>
            </w:rPr>
          </w:pPr>
        </w:p>
      </w:tc>
    </w:tr>
  </w:tbl>
  <w:p w14:paraId="584D10B0" w14:textId="77777777" w:rsidR="002D3977" w:rsidRPr="00443C6B" w:rsidRDefault="004664A1"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D3977" w:rsidRPr="00330DA7" w14:paraId="02FF7FE9" w14:textId="77777777" w:rsidTr="00E93FC1">
      <w:trPr>
        <w:trHeight w:val="1435"/>
      </w:trPr>
      <w:tc>
        <w:tcPr>
          <w:tcW w:w="2268" w:type="dxa"/>
          <w:shd w:val="clear" w:color="auto" w:fill="auto"/>
        </w:tcPr>
        <w:p w14:paraId="0BD5C9DD" w14:textId="77777777" w:rsidR="002D3977" w:rsidRPr="00330DA7" w:rsidRDefault="002D3977" w:rsidP="00E93FC1">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D3977" w:rsidRPr="00330DA7" w14:paraId="3D824142" w14:textId="77777777" w:rsidTr="00E93FC1">
            <w:trPr>
              <w:trHeight w:val="144"/>
            </w:trPr>
            <w:tc>
              <w:tcPr>
                <w:tcW w:w="2444" w:type="dxa"/>
                <w:shd w:val="clear" w:color="auto" w:fill="auto"/>
              </w:tcPr>
              <w:p w14:paraId="23ADCFB8" w14:textId="77777777" w:rsidR="002D3977" w:rsidRPr="00020E73" w:rsidRDefault="002D3977"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E0694AB" w14:textId="6AF026BB" w:rsidR="002D3977" w:rsidRPr="00020E73" w:rsidRDefault="002D3977"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06288/INFOEM/IP/RR/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4</w:t>
                </w:r>
              </w:p>
            </w:tc>
          </w:tr>
          <w:tr w:rsidR="002D3977" w:rsidRPr="00330DA7" w14:paraId="75006A53" w14:textId="77777777" w:rsidTr="00E93FC1">
            <w:trPr>
              <w:trHeight w:val="144"/>
            </w:trPr>
            <w:tc>
              <w:tcPr>
                <w:tcW w:w="2444" w:type="dxa"/>
                <w:shd w:val="clear" w:color="auto" w:fill="auto"/>
              </w:tcPr>
              <w:p w14:paraId="490E5259" w14:textId="77777777" w:rsidR="002D3977" w:rsidRPr="00020E73" w:rsidRDefault="002D3977"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457A0436" w14:textId="7D354505" w:rsidR="002D3977" w:rsidRPr="00020E73" w:rsidRDefault="00BA3737" w:rsidP="00EC4E5E">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p>
            </w:tc>
          </w:tr>
          <w:tr w:rsidR="002D3977" w:rsidRPr="00330DA7" w14:paraId="6044DBEF" w14:textId="77777777" w:rsidTr="00E93FC1">
            <w:trPr>
              <w:trHeight w:val="283"/>
            </w:trPr>
            <w:tc>
              <w:tcPr>
                <w:tcW w:w="2444" w:type="dxa"/>
                <w:shd w:val="clear" w:color="auto" w:fill="auto"/>
              </w:tcPr>
              <w:p w14:paraId="2BFBE2C5" w14:textId="77777777" w:rsidR="002D3977" w:rsidRPr="00020E73" w:rsidRDefault="002D3977"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793779B4" w14:textId="3F66C873" w:rsidR="002D3977" w:rsidRPr="009E7B0A" w:rsidRDefault="002D3977" w:rsidP="002D3977">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Tlalnepantla de Baz</w:t>
                </w:r>
              </w:p>
            </w:tc>
          </w:tr>
          <w:tr w:rsidR="002D3977" w:rsidRPr="00330DA7" w14:paraId="67C16651" w14:textId="77777777" w:rsidTr="00E93FC1">
            <w:trPr>
              <w:trHeight w:val="283"/>
            </w:trPr>
            <w:tc>
              <w:tcPr>
                <w:tcW w:w="2444" w:type="dxa"/>
                <w:shd w:val="clear" w:color="auto" w:fill="auto"/>
              </w:tcPr>
              <w:p w14:paraId="4CB64F3E" w14:textId="77777777" w:rsidR="002D3977" w:rsidRPr="00020E73" w:rsidRDefault="002D3977"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090ADB30" w14:textId="77777777" w:rsidR="002D3977" w:rsidRPr="00020E73" w:rsidRDefault="002D3977"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2D3977" w:rsidRPr="00020E73" w:rsidRDefault="002D3977"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2D3977" w:rsidRPr="00330DA7" w:rsidRDefault="002D3977" w:rsidP="00E93FC1">
          <w:pPr>
            <w:tabs>
              <w:tab w:val="right" w:pos="8838"/>
            </w:tabs>
            <w:ind w:left="-28"/>
            <w:jc w:val="both"/>
            <w:rPr>
              <w:rFonts w:ascii="Arial" w:eastAsia="Calibri" w:hAnsi="Arial" w:cs="Arial"/>
              <w:b/>
              <w:sz w:val="22"/>
              <w:szCs w:val="22"/>
              <w:lang w:eastAsia="en-US"/>
            </w:rPr>
          </w:pPr>
        </w:p>
      </w:tc>
    </w:tr>
  </w:tbl>
  <w:p w14:paraId="1EDAC28C" w14:textId="77777777" w:rsidR="002D3977" w:rsidRPr="00827FA0" w:rsidRDefault="004664A1"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51A"/>
    <w:multiLevelType w:val="hybridMultilevel"/>
    <w:tmpl w:val="DB2A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532E4"/>
    <w:multiLevelType w:val="hybridMultilevel"/>
    <w:tmpl w:val="062C3B56"/>
    <w:lvl w:ilvl="0" w:tplc="080A0003">
      <w:start w:val="1"/>
      <w:numFmt w:val="bullet"/>
      <w:lvlText w:val="o"/>
      <w:lvlJc w:val="left"/>
      <w:pPr>
        <w:ind w:left="1080" w:hanging="360"/>
      </w:pPr>
      <w:rPr>
        <w:rFonts w:ascii="Courier New" w:hAnsi="Courier New" w:cs="Courier New"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3F03BDC"/>
    <w:multiLevelType w:val="hybridMultilevel"/>
    <w:tmpl w:val="02249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E75BDE"/>
    <w:multiLevelType w:val="hybridMultilevel"/>
    <w:tmpl w:val="CE006464"/>
    <w:lvl w:ilvl="0" w:tplc="3D6490BA">
      <w:numFmt w:val="bullet"/>
      <w:lvlText w:val="-"/>
      <w:lvlJc w:val="left"/>
      <w:pPr>
        <w:ind w:left="1080" w:hanging="360"/>
      </w:pPr>
      <w:rPr>
        <w:rFonts w:ascii="Palatino Linotype" w:eastAsiaTheme="majorEastAsia" w:hAnsi="Palatino Linotype" w:cs="Arial"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4D269D"/>
    <w:multiLevelType w:val="hybridMultilevel"/>
    <w:tmpl w:val="253E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AE337C"/>
    <w:multiLevelType w:val="hybridMultilevel"/>
    <w:tmpl w:val="989ADA9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5"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127747">
    <w:abstractNumId w:val="34"/>
  </w:num>
  <w:num w:numId="2" w16cid:durableId="2062243773">
    <w:abstractNumId w:val="36"/>
  </w:num>
  <w:num w:numId="3" w16cid:durableId="379210998">
    <w:abstractNumId w:val="26"/>
  </w:num>
  <w:num w:numId="4" w16cid:durableId="1063408726">
    <w:abstractNumId w:val="6"/>
  </w:num>
  <w:num w:numId="5" w16cid:durableId="200553383">
    <w:abstractNumId w:val="17"/>
  </w:num>
  <w:num w:numId="6" w16cid:durableId="2039232761">
    <w:abstractNumId w:val="25"/>
  </w:num>
  <w:num w:numId="7" w16cid:durableId="1892842589">
    <w:abstractNumId w:val="21"/>
  </w:num>
  <w:num w:numId="8" w16cid:durableId="1513689316">
    <w:abstractNumId w:val="12"/>
  </w:num>
  <w:num w:numId="9" w16cid:durableId="687952127">
    <w:abstractNumId w:val="11"/>
  </w:num>
  <w:num w:numId="10" w16cid:durableId="1804155009">
    <w:abstractNumId w:val="41"/>
  </w:num>
  <w:num w:numId="11" w16cid:durableId="542063013">
    <w:abstractNumId w:val="49"/>
  </w:num>
  <w:num w:numId="12" w16cid:durableId="7634701">
    <w:abstractNumId w:val="19"/>
  </w:num>
  <w:num w:numId="13" w16cid:durableId="977958805">
    <w:abstractNumId w:val="38"/>
  </w:num>
  <w:num w:numId="14" w16cid:durableId="1281647197">
    <w:abstractNumId w:val="16"/>
  </w:num>
  <w:num w:numId="15" w16cid:durableId="68188136">
    <w:abstractNumId w:val="45"/>
  </w:num>
  <w:num w:numId="16" w16cid:durableId="560217952">
    <w:abstractNumId w:val="30"/>
  </w:num>
  <w:num w:numId="17" w16cid:durableId="1509759434">
    <w:abstractNumId w:val="15"/>
  </w:num>
  <w:num w:numId="18" w16cid:durableId="1735659817">
    <w:abstractNumId w:val="20"/>
  </w:num>
  <w:num w:numId="19" w16cid:durableId="430665577">
    <w:abstractNumId w:val="27"/>
  </w:num>
  <w:num w:numId="20" w16cid:durableId="1348361948">
    <w:abstractNumId w:val="29"/>
  </w:num>
  <w:num w:numId="21" w16cid:durableId="2048985156">
    <w:abstractNumId w:val="42"/>
  </w:num>
  <w:num w:numId="22" w16cid:durableId="1394237559">
    <w:abstractNumId w:val="8"/>
  </w:num>
  <w:num w:numId="23" w16cid:durableId="921643139">
    <w:abstractNumId w:val="47"/>
  </w:num>
  <w:num w:numId="24" w16cid:durableId="825632255">
    <w:abstractNumId w:val="31"/>
  </w:num>
  <w:num w:numId="25" w16cid:durableId="1671329037">
    <w:abstractNumId w:val="28"/>
  </w:num>
  <w:num w:numId="26" w16cid:durableId="1081373400">
    <w:abstractNumId w:val="40"/>
  </w:num>
  <w:num w:numId="27" w16cid:durableId="1444037916">
    <w:abstractNumId w:val="24"/>
  </w:num>
  <w:num w:numId="28" w16cid:durableId="19670092">
    <w:abstractNumId w:val="13"/>
  </w:num>
  <w:num w:numId="29" w16cid:durableId="1443109911">
    <w:abstractNumId w:val="2"/>
  </w:num>
  <w:num w:numId="30" w16cid:durableId="1473136787">
    <w:abstractNumId w:val="1"/>
  </w:num>
  <w:num w:numId="31" w16cid:durableId="1957175635">
    <w:abstractNumId w:val="4"/>
  </w:num>
  <w:num w:numId="32" w16cid:durableId="1045299317">
    <w:abstractNumId w:val="18"/>
  </w:num>
  <w:num w:numId="33" w16cid:durableId="1565408844">
    <w:abstractNumId w:val="10"/>
  </w:num>
  <w:num w:numId="34" w16cid:durableId="643044651">
    <w:abstractNumId w:val="5"/>
  </w:num>
  <w:num w:numId="35" w16cid:durableId="1121992942">
    <w:abstractNumId w:val="22"/>
  </w:num>
  <w:num w:numId="36" w16cid:durableId="586154428">
    <w:abstractNumId w:val="46"/>
  </w:num>
  <w:num w:numId="37" w16cid:durableId="1024866900">
    <w:abstractNumId w:val="7"/>
  </w:num>
  <w:num w:numId="38" w16cid:durableId="536043489">
    <w:abstractNumId w:val="32"/>
  </w:num>
  <w:num w:numId="39" w16cid:durableId="1982955076">
    <w:abstractNumId w:val="3"/>
  </w:num>
  <w:num w:numId="40" w16cid:durableId="1964116691">
    <w:abstractNumId w:val="48"/>
  </w:num>
  <w:num w:numId="41" w16cid:durableId="84308723">
    <w:abstractNumId w:val="14"/>
  </w:num>
  <w:num w:numId="42" w16cid:durableId="2146923112">
    <w:abstractNumId w:val="0"/>
  </w:num>
  <w:num w:numId="43" w16cid:durableId="1849561791">
    <w:abstractNumId w:val="44"/>
  </w:num>
  <w:num w:numId="44" w16cid:durableId="1313483499">
    <w:abstractNumId w:val="43"/>
  </w:num>
  <w:num w:numId="45" w16cid:durableId="2138450836">
    <w:abstractNumId w:val="39"/>
  </w:num>
  <w:num w:numId="46" w16cid:durableId="1405571541">
    <w:abstractNumId w:val="9"/>
  </w:num>
  <w:num w:numId="47" w16cid:durableId="1292325410">
    <w:abstractNumId w:val="37"/>
  </w:num>
  <w:num w:numId="48" w16cid:durableId="1970554479">
    <w:abstractNumId w:val="33"/>
  </w:num>
  <w:num w:numId="49" w16cid:durableId="489519268">
    <w:abstractNumId w:val="35"/>
  </w:num>
  <w:num w:numId="50" w16cid:durableId="4362887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55AC"/>
    <w:rsid w:val="00007A3C"/>
    <w:rsid w:val="0002650D"/>
    <w:rsid w:val="0003726A"/>
    <w:rsid w:val="0004169F"/>
    <w:rsid w:val="00050A7E"/>
    <w:rsid w:val="00051689"/>
    <w:rsid w:val="00052206"/>
    <w:rsid w:val="0005455E"/>
    <w:rsid w:val="00054A59"/>
    <w:rsid w:val="00057193"/>
    <w:rsid w:val="00062939"/>
    <w:rsid w:val="000637E2"/>
    <w:rsid w:val="00071489"/>
    <w:rsid w:val="00073F20"/>
    <w:rsid w:val="00080A89"/>
    <w:rsid w:val="00080B95"/>
    <w:rsid w:val="0008252C"/>
    <w:rsid w:val="00093055"/>
    <w:rsid w:val="00093EB1"/>
    <w:rsid w:val="000A4088"/>
    <w:rsid w:val="000A68FE"/>
    <w:rsid w:val="000A77D0"/>
    <w:rsid w:val="000B547D"/>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749F"/>
    <w:rsid w:val="00171A1F"/>
    <w:rsid w:val="00174C1C"/>
    <w:rsid w:val="001766CD"/>
    <w:rsid w:val="00183438"/>
    <w:rsid w:val="001846CB"/>
    <w:rsid w:val="0019424D"/>
    <w:rsid w:val="00196156"/>
    <w:rsid w:val="001A2C62"/>
    <w:rsid w:val="001A6191"/>
    <w:rsid w:val="001A6FE8"/>
    <w:rsid w:val="001A7BE8"/>
    <w:rsid w:val="001C45E4"/>
    <w:rsid w:val="001C6021"/>
    <w:rsid w:val="001D1BE5"/>
    <w:rsid w:val="001D3551"/>
    <w:rsid w:val="001D497D"/>
    <w:rsid w:val="001D67DC"/>
    <w:rsid w:val="001F499E"/>
    <w:rsid w:val="001F4FD9"/>
    <w:rsid w:val="002032DD"/>
    <w:rsid w:val="002105D0"/>
    <w:rsid w:val="00212244"/>
    <w:rsid w:val="00214EBE"/>
    <w:rsid w:val="00225AFF"/>
    <w:rsid w:val="00236611"/>
    <w:rsid w:val="00242FE5"/>
    <w:rsid w:val="00243EAB"/>
    <w:rsid w:val="002442EA"/>
    <w:rsid w:val="00254082"/>
    <w:rsid w:val="0025591C"/>
    <w:rsid w:val="002569C0"/>
    <w:rsid w:val="0026064D"/>
    <w:rsid w:val="00264EC3"/>
    <w:rsid w:val="00266686"/>
    <w:rsid w:val="002670BE"/>
    <w:rsid w:val="00277C9B"/>
    <w:rsid w:val="00280FA3"/>
    <w:rsid w:val="00285561"/>
    <w:rsid w:val="002A40CA"/>
    <w:rsid w:val="002A433E"/>
    <w:rsid w:val="002B0FFD"/>
    <w:rsid w:val="002D0C60"/>
    <w:rsid w:val="002D3977"/>
    <w:rsid w:val="002D5507"/>
    <w:rsid w:val="002D793B"/>
    <w:rsid w:val="002E0E0A"/>
    <w:rsid w:val="002E2F2E"/>
    <w:rsid w:val="002F0945"/>
    <w:rsid w:val="002F44D2"/>
    <w:rsid w:val="002F551E"/>
    <w:rsid w:val="002F7D51"/>
    <w:rsid w:val="0030122B"/>
    <w:rsid w:val="00311503"/>
    <w:rsid w:val="00315443"/>
    <w:rsid w:val="00330DF2"/>
    <w:rsid w:val="00333D2A"/>
    <w:rsid w:val="003478E3"/>
    <w:rsid w:val="00351095"/>
    <w:rsid w:val="00360EB7"/>
    <w:rsid w:val="00361B7A"/>
    <w:rsid w:val="003630BC"/>
    <w:rsid w:val="00382517"/>
    <w:rsid w:val="00385CDE"/>
    <w:rsid w:val="00392D0E"/>
    <w:rsid w:val="003A14CB"/>
    <w:rsid w:val="003A2355"/>
    <w:rsid w:val="003A25EC"/>
    <w:rsid w:val="003B2EE3"/>
    <w:rsid w:val="003B3A2B"/>
    <w:rsid w:val="003B68D3"/>
    <w:rsid w:val="003C2CE3"/>
    <w:rsid w:val="003C3850"/>
    <w:rsid w:val="003C4F22"/>
    <w:rsid w:val="003D0510"/>
    <w:rsid w:val="003D0D6A"/>
    <w:rsid w:val="003D18E0"/>
    <w:rsid w:val="003D3274"/>
    <w:rsid w:val="003D4473"/>
    <w:rsid w:val="003D473B"/>
    <w:rsid w:val="003D5085"/>
    <w:rsid w:val="003D5317"/>
    <w:rsid w:val="003D572E"/>
    <w:rsid w:val="003F2E3B"/>
    <w:rsid w:val="003F312C"/>
    <w:rsid w:val="003F681A"/>
    <w:rsid w:val="003F6B12"/>
    <w:rsid w:val="003F7BD4"/>
    <w:rsid w:val="00402467"/>
    <w:rsid w:val="004069CB"/>
    <w:rsid w:val="00412181"/>
    <w:rsid w:val="004127ED"/>
    <w:rsid w:val="00417DC5"/>
    <w:rsid w:val="00424043"/>
    <w:rsid w:val="00426749"/>
    <w:rsid w:val="004454D5"/>
    <w:rsid w:val="0045302C"/>
    <w:rsid w:val="00465E0E"/>
    <w:rsid w:val="004664A1"/>
    <w:rsid w:val="004733AF"/>
    <w:rsid w:val="0047361F"/>
    <w:rsid w:val="00491494"/>
    <w:rsid w:val="00491E2D"/>
    <w:rsid w:val="00495062"/>
    <w:rsid w:val="00496DC3"/>
    <w:rsid w:val="004A2ECD"/>
    <w:rsid w:val="004A4A48"/>
    <w:rsid w:val="004A599B"/>
    <w:rsid w:val="004B413C"/>
    <w:rsid w:val="004C1D29"/>
    <w:rsid w:val="004C7C60"/>
    <w:rsid w:val="004D007C"/>
    <w:rsid w:val="004D6B27"/>
    <w:rsid w:val="004D76D8"/>
    <w:rsid w:val="004F050E"/>
    <w:rsid w:val="004F2B9D"/>
    <w:rsid w:val="004F334F"/>
    <w:rsid w:val="004F340A"/>
    <w:rsid w:val="004F64B9"/>
    <w:rsid w:val="00504FB4"/>
    <w:rsid w:val="00521500"/>
    <w:rsid w:val="00522917"/>
    <w:rsid w:val="005262A0"/>
    <w:rsid w:val="00534479"/>
    <w:rsid w:val="0055631C"/>
    <w:rsid w:val="00556ABA"/>
    <w:rsid w:val="00564644"/>
    <w:rsid w:val="00564720"/>
    <w:rsid w:val="005725CA"/>
    <w:rsid w:val="00580A0F"/>
    <w:rsid w:val="00581AD5"/>
    <w:rsid w:val="005B21EF"/>
    <w:rsid w:val="005B4960"/>
    <w:rsid w:val="005C049D"/>
    <w:rsid w:val="005E26C5"/>
    <w:rsid w:val="005E614C"/>
    <w:rsid w:val="005F1134"/>
    <w:rsid w:val="005F2A25"/>
    <w:rsid w:val="005F3A62"/>
    <w:rsid w:val="005F48AF"/>
    <w:rsid w:val="00605C31"/>
    <w:rsid w:val="0060605C"/>
    <w:rsid w:val="006118C5"/>
    <w:rsid w:val="00623B94"/>
    <w:rsid w:val="00623CCB"/>
    <w:rsid w:val="006248A0"/>
    <w:rsid w:val="006255C9"/>
    <w:rsid w:val="00626F20"/>
    <w:rsid w:val="00635262"/>
    <w:rsid w:val="00641C4F"/>
    <w:rsid w:val="006437FA"/>
    <w:rsid w:val="0065064E"/>
    <w:rsid w:val="00652405"/>
    <w:rsid w:val="00655E90"/>
    <w:rsid w:val="00657493"/>
    <w:rsid w:val="0065765B"/>
    <w:rsid w:val="00663824"/>
    <w:rsid w:val="00663F31"/>
    <w:rsid w:val="0066736C"/>
    <w:rsid w:val="0067200B"/>
    <w:rsid w:val="00672D87"/>
    <w:rsid w:val="00681B03"/>
    <w:rsid w:val="00686B08"/>
    <w:rsid w:val="00696E65"/>
    <w:rsid w:val="006A192D"/>
    <w:rsid w:val="006A6A0D"/>
    <w:rsid w:val="006B79D4"/>
    <w:rsid w:val="006D45C9"/>
    <w:rsid w:val="006D65C9"/>
    <w:rsid w:val="006E1937"/>
    <w:rsid w:val="006E3492"/>
    <w:rsid w:val="006F0638"/>
    <w:rsid w:val="00703FF1"/>
    <w:rsid w:val="00707A05"/>
    <w:rsid w:val="00723516"/>
    <w:rsid w:val="00726ABE"/>
    <w:rsid w:val="00730D0C"/>
    <w:rsid w:val="00731106"/>
    <w:rsid w:val="00734B74"/>
    <w:rsid w:val="007353A8"/>
    <w:rsid w:val="0074360B"/>
    <w:rsid w:val="0075374F"/>
    <w:rsid w:val="0076643E"/>
    <w:rsid w:val="00767D1D"/>
    <w:rsid w:val="007711B6"/>
    <w:rsid w:val="007762EF"/>
    <w:rsid w:val="00783159"/>
    <w:rsid w:val="0078361B"/>
    <w:rsid w:val="00786AD1"/>
    <w:rsid w:val="007872B8"/>
    <w:rsid w:val="00787C2A"/>
    <w:rsid w:val="00791991"/>
    <w:rsid w:val="007A3D32"/>
    <w:rsid w:val="007B0BCA"/>
    <w:rsid w:val="007B3EBB"/>
    <w:rsid w:val="007C37A0"/>
    <w:rsid w:val="007D537F"/>
    <w:rsid w:val="007D567D"/>
    <w:rsid w:val="007E0C10"/>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6181A"/>
    <w:rsid w:val="00861C66"/>
    <w:rsid w:val="008644FC"/>
    <w:rsid w:val="00866297"/>
    <w:rsid w:val="0087756D"/>
    <w:rsid w:val="008866EB"/>
    <w:rsid w:val="008922B1"/>
    <w:rsid w:val="00897584"/>
    <w:rsid w:val="008A1C98"/>
    <w:rsid w:val="008A5501"/>
    <w:rsid w:val="008A6846"/>
    <w:rsid w:val="008B49A6"/>
    <w:rsid w:val="008C574D"/>
    <w:rsid w:val="008D6504"/>
    <w:rsid w:val="008E0A5F"/>
    <w:rsid w:val="008E5D90"/>
    <w:rsid w:val="008E79B9"/>
    <w:rsid w:val="008F4FA9"/>
    <w:rsid w:val="008F582A"/>
    <w:rsid w:val="0090514D"/>
    <w:rsid w:val="00907EAA"/>
    <w:rsid w:val="00911A44"/>
    <w:rsid w:val="00915C07"/>
    <w:rsid w:val="009161C7"/>
    <w:rsid w:val="0092049E"/>
    <w:rsid w:val="00924470"/>
    <w:rsid w:val="009252E3"/>
    <w:rsid w:val="009254B2"/>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3CA5"/>
    <w:rsid w:val="00996153"/>
    <w:rsid w:val="009A1B54"/>
    <w:rsid w:val="009A66E4"/>
    <w:rsid w:val="009C09D4"/>
    <w:rsid w:val="009C0E8F"/>
    <w:rsid w:val="009C4F8B"/>
    <w:rsid w:val="009C53EB"/>
    <w:rsid w:val="009E638C"/>
    <w:rsid w:val="009F0099"/>
    <w:rsid w:val="00A05C1C"/>
    <w:rsid w:val="00A16BDD"/>
    <w:rsid w:val="00A17D87"/>
    <w:rsid w:val="00A2002E"/>
    <w:rsid w:val="00A234A5"/>
    <w:rsid w:val="00A3271E"/>
    <w:rsid w:val="00A331FD"/>
    <w:rsid w:val="00A379F0"/>
    <w:rsid w:val="00A4435D"/>
    <w:rsid w:val="00A460B8"/>
    <w:rsid w:val="00A4775A"/>
    <w:rsid w:val="00A53673"/>
    <w:rsid w:val="00A54073"/>
    <w:rsid w:val="00A567BA"/>
    <w:rsid w:val="00A659F4"/>
    <w:rsid w:val="00A7471C"/>
    <w:rsid w:val="00A76CD6"/>
    <w:rsid w:val="00A87430"/>
    <w:rsid w:val="00A87D1F"/>
    <w:rsid w:val="00A93DD3"/>
    <w:rsid w:val="00A95951"/>
    <w:rsid w:val="00AA1064"/>
    <w:rsid w:val="00AA14A4"/>
    <w:rsid w:val="00AB0906"/>
    <w:rsid w:val="00AC0561"/>
    <w:rsid w:val="00AC3086"/>
    <w:rsid w:val="00AC574B"/>
    <w:rsid w:val="00AE026F"/>
    <w:rsid w:val="00AE2C57"/>
    <w:rsid w:val="00AE3DCA"/>
    <w:rsid w:val="00AE563E"/>
    <w:rsid w:val="00AE7FC3"/>
    <w:rsid w:val="00AF0429"/>
    <w:rsid w:val="00AF7B28"/>
    <w:rsid w:val="00B15FFC"/>
    <w:rsid w:val="00B375DC"/>
    <w:rsid w:val="00B44969"/>
    <w:rsid w:val="00B6662C"/>
    <w:rsid w:val="00B73C19"/>
    <w:rsid w:val="00B81DCB"/>
    <w:rsid w:val="00B822CD"/>
    <w:rsid w:val="00B864DD"/>
    <w:rsid w:val="00B910C0"/>
    <w:rsid w:val="00BA3737"/>
    <w:rsid w:val="00BB2437"/>
    <w:rsid w:val="00BB32AA"/>
    <w:rsid w:val="00BC4D8E"/>
    <w:rsid w:val="00BC6690"/>
    <w:rsid w:val="00BD738A"/>
    <w:rsid w:val="00BE0AEC"/>
    <w:rsid w:val="00BE2309"/>
    <w:rsid w:val="00BF37C5"/>
    <w:rsid w:val="00BF49D7"/>
    <w:rsid w:val="00BF4D16"/>
    <w:rsid w:val="00C0732F"/>
    <w:rsid w:val="00C2564D"/>
    <w:rsid w:val="00C41761"/>
    <w:rsid w:val="00C51590"/>
    <w:rsid w:val="00C5684D"/>
    <w:rsid w:val="00C635EF"/>
    <w:rsid w:val="00C67969"/>
    <w:rsid w:val="00C82D41"/>
    <w:rsid w:val="00C82FE5"/>
    <w:rsid w:val="00C8485D"/>
    <w:rsid w:val="00CA2E6C"/>
    <w:rsid w:val="00CA3BB7"/>
    <w:rsid w:val="00CA55BA"/>
    <w:rsid w:val="00CB62F7"/>
    <w:rsid w:val="00CB7E79"/>
    <w:rsid w:val="00CC064D"/>
    <w:rsid w:val="00CC0C20"/>
    <w:rsid w:val="00CC241A"/>
    <w:rsid w:val="00CC44AB"/>
    <w:rsid w:val="00CC65AB"/>
    <w:rsid w:val="00CD0D2C"/>
    <w:rsid w:val="00CD1847"/>
    <w:rsid w:val="00CD7112"/>
    <w:rsid w:val="00CF19C3"/>
    <w:rsid w:val="00CF2C45"/>
    <w:rsid w:val="00D11F51"/>
    <w:rsid w:val="00D12AD2"/>
    <w:rsid w:val="00D15142"/>
    <w:rsid w:val="00D16F2C"/>
    <w:rsid w:val="00D217C3"/>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116F"/>
    <w:rsid w:val="00DA6D69"/>
    <w:rsid w:val="00DB32B3"/>
    <w:rsid w:val="00DB7B2C"/>
    <w:rsid w:val="00DC63C8"/>
    <w:rsid w:val="00DC73DA"/>
    <w:rsid w:val="00DD2BC2"/>
    <w:rsid w:val="00DD7CEF"/>
    <w:rsid w:val="00DE4CAB"/>
    <w:rsid w:val="00DF5791"/>
    <w:rsid w:val="00DF63EA"/>
    <w:rsid w:val="00E142F5"/>
    <w:rsid w:val="00E22B88"/>
    <w:rsid w:val="00E3522C"/>
    <w:rsid w:val="00E400B2"/>
    <w:rsid w:val="00E420D7"/>
    <w:rsid w:val="00E42703"/>
    <w:rsid w:val="00E4479F"/>
    <w:rsid w:val="00E44E07"/>
    <w:rsid w:val="00E45420"/>
    <w:rsid w:val="00E454D1"/>
    <w:rsid w:val="00E50E5B"/>
    <w:rsid w:val="00E618B1"/>
    <w:rsid w:val="00E722DD"/>
    <w:rsid w:val="00E82F4B"/>
    <w:rsid w:val="00E83211"/>
    <w:rsid w:val="00E86619"/>
    <w:rsid w:val="00E919FF"/>
    <w:rsid w:val="00E93FC1"/>
    <w:rsid w:val="00E95B3E"/>
    <w:rsid w:val="00EA0C88"/>
    <w:rsid w:val="00EA692A"/>
    <w:rsid w:val="00EB2E50"/>
    <w:rsid w:val="00EB70AD"/>
    <w:rsid w:val="00EC4230"/>
    <w:rsid w:val="00EC4E5E"/>
    <w:rsid w:val="00EC61FB"/>
    <w:rsid w:val="00EC6CAA"/>
    <w:rsid w:val="00ED44F5"/>
    <w:rsid w:val="00ED5AAE"/>
    <w:rsid w:val="00ED613E"/>
    <w:rsid w:val="00EE4D83"/>
    <w:rsid w:val="00EE743E"/>
    <w:rsid w:val="00EF4A66"/>
    <w:rsid w:val="00F00C14"/>
    <w:rsid w:val="00F26DE8"/>
    <w:rsid w:val="00F3013B"/>
    <w:rsid w:val="00F33AC0"/>
    <w:rsid w:val="00F34AC5"/>
    <w:rsid w:val="00F365CD"/>
    <w:rsid w:val="00F476D7"/>
    <w:rsid w:val="00F61CD3"/>
    <w:rsid w:val="00F63E66"/>
    <w:rsid w:val="00F67C84"/>
    <w:rsid w:val="00F80211"/>
    <w:rsid w:val="00F8287E"/>
    <w:rsid w:val="00F83172"/>
    <w:rsid w:val="00F90D37"/>
    <w:rsid w:val="00F91816"/>
    <w:rsid w:val="00F9373C"/>
    <w:rsid w:val="00F9515A"/>
    <w:rsid w:val="00FA2E49"/>
    <w:rsid w:val="00FA524A"/>
    <w:rsid w:val="00FA6752"/>
    <w:rsid w:val="00FB7BDC"/>
    <w:rsid w:val="00FD2EE9"/>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6">
    <w:name w:val="heading 6"/>
    <w:basedOn w:val="Normal"/>
    <w:next w:val="Normal"/>
    <w:link w:val="Ttulo6Car"/>
    <w:uiPriority w:val="9"/>
    <w:semiHidden/>
    <w:unhideWhenUsed/>
    <w:qFormat/>
    <w:rsid w:val="00EC423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
    <w:name w:val="Título 6 Car"/>
    <w:basedOn w:val="Fuentedeprrafopredeter"/>
    <w:link w:val="Ttulo6"/>
    <w:uiPriority w:val="9"/>
    <w:rsid w:val="00EC4230"/>
    <w:rPr>
      <w:rFonts w:asciiTheme="majorHAnsi" w:eastAsiaTheme="majorEastAsia" w:hAnsiTheme="majorHAnsi" w:cstheme="majorBidi"/>
      <w:color w:val="1F4D78" w:themeColor="accent1" w:themeShade="7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4303954">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 w:id="21422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46409.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nfoem.org.mx/doc/docPleno/ACUERDOS/Acuerdo_padron_S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61C6-AD05-4C3D-8DF9-66254B15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7</cp:revision>
  <cp:lastPrinted>2024-11-07T18:28:00Z</cp:lastPrinted>
  <dcterms:created xsi:type="dcterms:W3CDTF">2024-10-24T20:06:00Z</dcterms:created>
  <dcterms:modified xsi:type="dcterms:W3CDTF">2024-11-20T19:34:00Z</dcterms:modified>
</cp:coreProperties>
</file>