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w:t>
      </w:r>
      <w:bookmarkStart w:id="0" w:name="_GoBack"/>
      <w:bookmarkEnd w:id="0"/>
      <w:r>
        <w:rPr>
          <w:rFonts w:ascii="Palatino Linotype" w:eastAsia="Palatino Linotype" w:hAnsi="Palatino Linotype" w:cs="Palatino Linotype"/>
          <w:color w:val="000000"/>
        </w:rPr>
        <w:t xml:space="preserve">formación Pública y Protección de Datos Personales del Estado de México y Municipios, con domicilio en Metepec, Estado de México, a </w:t>
      </w:r>
      <w:r>
        <w:rPr>
          <w:rFonts w:ascii="Palatino Linotype" w:eastAsia="Palatino Linotype" w:hAnsi="Palatino Linotype" w:cs="Palatino Linotype"/>
        </w:rPr>
        <w:t>seis de noviembre</w:t>
      </w:r>
      <w:r>
        <w:rPr>
          <w:rFonts w:ascii="Palatino Linotype" w:eastAsia="Palatino Linotype" w:hAnsi="Palatino Linotype" w:cs="Palatino Linotype"/>
          <w:color w:val="000000"/>
        </w:rPr>
        <w:t xml:space="preserve"> de dos mil veinticuatro.</w:t>
      </w: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número </w:t>
      </w:r>
      <w:r>
        <w:rPr>
          <w:rFonts w:ascii="Palatino Linotype" w:eastAsia="Palatino Linotype" w:hAnsi="Palatino Linotype" w:cs="Palatino Linotype"/>
          <w:b/>
          <w:color w:val="000000"/>
        </w:rPr>
        <w:t>05715/INFOEM/IP/RR/2024</w:t>
      </w:r>
      <w:r>
        <w:rPr>
          <w:rFonts w:ascii="Palatino Linotype" w:eastAsia="Palatino Linotype" w:hAnsi="Palatino Linotype" w:cs="Palatino Linotype"/>
          <w:color w:val="000000"/>
        </w:rPr>
        <w:t>, interpuesto por</w:t>
      </w:r>
      <w:r>
        <w:rPr>
          <w:rFonts w:ascii="Palatino Linotype" w:eastAsia="Palatino Linotype" w:hAnsi="Palatino Linotype" w:cs="Palatino Linotype"/>
          <w:b/>
        </w:rPr>
        <w:t xml:space="preserve"> “</w:t>
      </w:r>
      <w:r w:rsidR="006C2289">
        <w:rPr>
          <w:rFonts w:ascii="Palatino Linotype" w:eastAsia="Palatino Linotype" w:hAnsi="Palatino Linotype" w:cs="Palatino Linotype"/>
          <w:b/>
        </w:rPr>
        <w:t>XXXXXXX</w:t>
      </w:r>
      <w:r>
        <w:rPr>
          <w:rFonts w:ascii="Palatino Linotype" w:eastAsia="Palatino Linotype" w:hAnsi="Palatino Linotype" w:cs="Palatino Linotype"/>
          <w:b/>
        </w:rPr>
        <w:t>”</w:t>
      </w:r>
      <w:r>
        <w:rPr>
          <w:rFonts w:ascii="Palatino Linotype" w:eastAsia="Palatino Linotype" w:hAnsi="Palatino Linotype" w:cs="Palatino Linotype"/>
          <w:color w:val="000000"/>
        </w:rPr>
        <w:t xml:space="preserve">, en lo sucesivo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en contra de la respuesta del</w:t>
      </w:r>
      <w:r>
        <w:rPr>
          <w:rFonts w:ascii="Palatino Linotype" w:eastAsia="Palatino Linotype" w:hAnsi="Palatino Linotype" w:cs="Palatino Linotype"/>
          <w:b/>
          <w:color w:val="000000"/>
        </w:rPr>
        <w:t xml:space="preserve"> Ayuntamiento de Chapultepec</w:t>
      </w:r>
      <w:r>
        <w:rPr>
          <w:rFonts w:ascii="Palatino Linotype" w:eastAsia="Palatino Linotype" w:hAnsi="Palatino Linotype" w:cs="Palatino Linotype"/>
          <w:color w:val="000000"/>
        </w:rPr>
        <w:t>, en lo subsecuente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se procede a dictar la presente resolución.</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keepNext/>
        <w:keepLines/>
        <w:spacing w:line="360" w:lineRule="auto"/>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A N T E C E D E N T E S</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PRIMERO. De la Solicitud de Información.</w:t>
      </w: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fecha veintisiete de agosto de dos mil veinticuatro, el Recurrente presentó mediante el Sistema de Acceso a la Información Mexiquense (SAIMEX), solicitud de información registrada con el número de </w:t>
      </w:r>
      <w:r>
        <w:rPr>
          <w:rFonts w:ascii="Palatino Linotype" w:eastAsia="Palatino Linotype" w:hAnsi="Palatino Linotype" w:cs="Palatino Linotype"/>
        </w:rPr>
        <w:t>expediente</w:t>
      </w:r>
      <w:r>
        <w:rPr>
          <w:rFonts w:ascii="Verdana" w:eastAsia="Verdana" w:hAnsi="Verdana" w:cs="Verdana"/>
          <w:b/>
          <w:color w:val="FF0000"/>
        </w:rPr>
        <w:t xml:space="preserve"> </w:t>
      </w:r>
      <w:r>
        <w:rPr>
          <w:rFonts w:ascii="Palatino Linotype" w:eastAsia="Palatino Linotype" w:hAnsi="Palatino Linotype" w:cs="Palatino Linotype"/>
          <w:b/>
        </w:rPr>
        <w:t>00075/CHAPULTE/IP/2024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mediante la cual solicitó información en el tenor siguiente:</w:t>
      </w:r>
    </w:p>
    <w:p w:rsidR="00A4765A" w:rsidRDefault="00A4765A">
      <w:pPr>
        <w:spacing w:line="360" w:lineRule="auto"/>
        <w:jc w:val="both"/>
        <w:rPr>
          <w:rFonts w:ascii="Palatino Linotype" w:eastAsia="Palatino Linotype" w:hAnsi="Palatino Linotype" w:cs="Palatino Linotype"/>
          <w:i/>
          <w:color w:val="000000"/>
        </w:rPr>
      </w:pPr>
    </w:p>
    <w:p w:rsidR="00A4765A" w:rsidRDefault="00935F32">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w:t>
      </w:r>
      <w:r>
        <w:rPr>
          <w:rFonts w:ascii="Palatino Linotype" w:eastAsia="Palatino Linotype" w:hAnsi="Palatino Linotype" w:cs="Palatino Linotype"/>
          <w:i/>
          <w:color w:val="000000"/>
        </w:rPr>
        <w:t>Solicito lista nominal actual de los servidores públicos del del Ayuntamiento de Chapultepec, incluyendo a síndicos y regidores, la lista debe incluir los sueldos, antiguedad y area de adscripcion de cada servidor pùblico” (Sic)</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Modalidad de entrega: </w:t>
      </w:r>
      <w:r>
        <w:rPr>
          <w:rFonts w:ascii="Palatino Linotype" w:eastAsia="Palatino Linotype" w:hAnsi="Palatino Linotype" w:cs="Palatino Linotype"/>
          <w:b/>
          <w:color w:val="000000"/>
        </w:rPr>
        <w:t>A través del SAIMEX</w:t>
      </w:r>
      <w:r>
        <w:rPr>
          <w:rFonts w:ascii="Palatino Linotype" w:eastAsia="Palatino Linotype" w:hAnsi="Palatino Linotype" w:cs="Palatino Linotype"/>
          <w:color w:val="000000"/>
        </w:rPr>
        <w:t>.</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SEGUNDO. De la Respuesta del Sujeto Obligado.</w:t>
      </w:r>
    </w:p>
    <w:p w:rsidR="00A4765A" w:rsidRDefault="00935F32">
      <w:pPr>
        <w:spacing w:line="360" w:lineRule="auto"/>
        <w:jc w:val="both"/>
        <w:rPr>
          <w:rFonts w:ascii="Palatino Linotype" w:eastAsia="Palatino Linotype" w:hAnsi="Palatino Linotype" w:cs="Palatino Linotype"/>
          <w:b/>
          <w:i/>
          <w:color w:val="333333"/>
        </w:rPr>
      </w:pPr>
      <w:r>
        <w:rPr>
          <w:rFonts w:ascii="Palatino Linotype" w:eastAsia="Palatino Linotype" w:hAnsi="Palatino Linotype" w:cs="Palatino Linotype"/>
          <w:color w:val="000000"/>
        </w:rPr>
        <w:t xml:space="preserve">De las constancias que obran en el expediente electrónico, se observa que el diecisiete de septiembre de dos mil veinticuatro, el Sujeto Obligado dio respuesta a la solicitud de información, adjuntando a su respuesta el documento denominado </w:t>
      </w:r>
      <w:r>
        <w:rPr>
          <w:rFonts w:ascii="Palatino Linotype" w:eastAsia="Palatino Linotype" w:hAnsi="Palatino Linotype" w:cs="Palatino Linotype"/>
          <w:i/>
          <w:color w:val="000000"/>
        </w:rPr>
        <w:t>“</w:t>
      </w:r>
      <w:r>
        <w:rPr>
          <w:rFonts w:ascii="Palatino Linotype" w:eastAsia="Palatino Linotype" w:hAnsi="Palatino Linotype" w:cs="Palatino Linotype"/>
          <w:b/>
        </w:rPr>
        <w:t>lista nominal.xls.pdf</w:t>
      </w:r>
      <w:r>
        <w:rPr>
          <w:rFonts w:ascii="Palatino Linotype" w:eastAsia="Palatino Linotype" w:hAnsi="Palatino Linotype" w:cs="Palatino Linotype"/>
          <w:i/>
        </w:rPr>
        <w:t>”,</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el cual no se reproduce por ser del conocimiento de las partes; no obstante, su contenido será motivo de análisis en el estudio correspondiente.</w:t>
      </w:r>
    </w:p>
    <w:p w:rsidR="00A4765A" w:rsidRDefault="00A4765A">
      <w:pPr>
        <w:spacing w:line="360" w:lineRule="auto"/>
        <w:jc w:val="both"/>
        <w:rPr>
          <w:rFonts w:ascii="Palatino Linotype" w:eastAsia="Palatino Linotype" w:hAnsi="Palatino Linotype" w:cs="Palatino Linotype"/>
        </w:rPr>
      </w:pPr>
    </w:p>
    <w:p w:rsidR="00A4765A" w:rsidRDefault="00935F32">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TERCERO. Del recurso de revisión.</w:t>
      </w: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Inconforme con la respuesta emitida por el Sujeto Obligado, el Recurrente interpuso el presente recurso de revisión el día </w:t>
      </w:r>
      <w:r>
        <w:rPr>
          <w:rFonts w:ascii="Palatino Linotype" w:eastAsia="Palatino Linotype" w:hAnsi="Palatino Linotype" w:cs="Palatino Linotype"/>
          <w:b/>
          <w:color w:val="000000"/>
        </w:rPr>
        <w:t>dieciocho de septiembre de dos mil veinticuatro</w:t>
      </w:r>
      <w:r>
        <w:rPr>
          <w:rFonts w:ascii="Palatino Linotype" w:eastAsia="Palatino Linotype" w:hAnsi="Palatino Linotype" w:cs="Palatino Linotype"/>
          <w:color w:val="000000"/>
        </w:rPr>
        <w:t xml:space="preserve">, el cual se registró con el expediente número </w:t>
      </w:r>
      <w:r>
        <w:rPr>
          <w:rFonts w:ascii="Palatino Linotype" w:eastAsia="Palatino Linotype" w:hAnsi="Palatino Linotype" w:cs="Palatino Linotype"/>
          <w:b/>
          <w:color w:val="000000"/>
        </w:rPr>
        <w:t>05715/INFOEM/IP/RR/2024</w:t>
      </w:r>
      <w:r>
        <w:rPr>
          <w:rFonts w:ascii="Palatino Linotype" w:eastAsia="Palatino Linotype" w:hAnsi="Palatino Linotype" w:cs="Palatino Linotype"/>
          <w:color w:val="000000"/>
        </w:rPr>
        <w:t>, manifestando lo siguiente:</w:t>
      </w:r>
    </w:p>
    <w:p w:rsidR="00A4765A" w:rsidRDefault="00935F32">
      <w:pPr>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 xml:space="preserve">Acto Impugnado </w:t>
      </w:r>
    </w:p>
    <w:p w:rsidR="00A4765A" w:rsidRDefault="00935F32">
      <w:pPr>
        <w:ind w:left="567"/>
        <w:jc w:val="both"/>
      </w:pPr>
      <w:r>
        <w:rPr>
          <w:rFonts w:ascii="Palatino Linotype" w:eastAsia="Palatino Linotype" w:hAnsi="Palatino Linotype" w:cs="Palatino Linotype"/>
          <w:i/>
          <w:color w:val="000000"/>
        </w:rPr>
        <w:t>“el listado que entrega no se aprecian los cargos por lo que no entregan lo solicitado.”(Sic)</w:t>
      </w:r>
    </w:p>
    <w:p w:rsidR="00A4765A" w:rsidRDefault="00A4765A">
      <w:pPr>
        <w:ind w:left="567" w:right="567"/>
        <w:jc w:val="both"/>
        <w:rPr>
          <w:rFonts w:ascii="Palatino Linotype" w:eastAsia="Palatino Linotype" w:hAnsi="Palatino Linotype" w:cs="Palatino Linotype"/>
          <w:b/>
        </w:rPr>
      </w:pPr>
    </w:p>
    <w:p w:rsidR="00A4765A" w:rsidRDefault="00935F32">
      <w:pPr>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Razones o Motivos de Inconformidad</w:t>
      </w:r>
    </w:p>
    <w:p w:rsidR="00A4765A" w:rsidRDefault="00A4765A">
      <w:pPr>
        <w:ind w:left="567" w:right="567"/>
        <w:jc w:val="both"/>
        <w:rPr>
          <w:rFonts w:ascii="Palatino Linotype" w:eastAsia="Palatino Linotype" w:hAnsi="Palatino Linotype" w:cs="Palatino Linotype"/>
          <w:b/>
        </w:rPr>
      </w:pPr>
    </w:p>
    <w:p w:rsidR="00A4765A" w:rsidRDefault="00935F32">
      <w:pPr>
        <w:ind w:left="567" w:right="567"/>
        <w:jc w:val="both"/>
        <w:rPr>
          <w:rFonts w:ascii="Palatino Linotype" w:eastAsia="Palatino Linotype" w:hAnsi="Palatino Linotype" w:cs="Palatino Linotype"/>
          <w:b/>
        </w:rPr>
      </w:pPr>
      <w:r>
        <w:rPr>
          <w:rFonts w:ascii="Palatino Linotype" w:eastAsia="Palatino Linotype" w:hAnsi="Palatino Linotype" w:cs="Palatino Linotype"/>
          <w:i/>
          <w:color w:val="000000"/>
        </w:rPr>
        <w:t>“incompleta”  (Sic)</w:t>
      </w:r>
      <w:r>
        <w:rPr>
          <w:rFonts w:ascii="Palatino Linotype" w:eastAsia="Palatino Linotype" w:hAnsi="Palatino Linotype" w:cs="Palatino Linotype"/>
          <w:b/>
        </w:rPr>
        <w:t xml:space="preserve"> </w:t>
      </w:r>
    </w:p>
    <w:p w:rsidR="00A4765A" w:rsidRDefault="00A4765A">
      <w:pPr>
        <w:ind w:right="567"/>
        <w:jc w:val="both"/>
        <w:rPr>
          <w:rFonts w:ascii="Palatino Linotype" w:eastAsia="Palatino Linotype" w:hAnsi="Palatino Linotype" w:cs="Palatino Linotype"/>
          <w:b/>
          <w:i/>
          <w:color w:val="000000"/>
        </w:rPr>
      </w:pPr>
    </w:p>
    <w:p w:rsidR="00A4765A" w:rsidRDefault="00935F32">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CUARTO. Del turno y admisión del recurso de revisión.</w:t>
      </w: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Medio de impugnación que le fue turnado al </w:t>
      </w:r>
      <w:r>
        <w:rPr>
          <w:rFonts w:ascii="Palatino Linotype" w:eastAsia="Palatino Linotype" w:hAnsi="Palatino Linotype" w:cs="Palatino Linotype"/>
          <w:b/>
          <w:color w:val="000000"/>
        </w:rPr>
        <w:t>Comisionado Presidente José Martínez Vilchis</w:t>
      </w:r>
      <w:r>
        <w:rPr>
          <w:rFonts w:ascii="Palatino Linotype" w:eastAsia="Palatino Linotype" w:hAnsi="Palatino Linotype" w:cs="Palatino Linotype"/>
          <w:color w:val="000000"/>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Palatino Linotype" w:hAnsi="Palatino Linotype" w:cs="Palatino Linotype"/>
          <w:b/>
          <w:color w:val="000000"/>
        </w:rPr>
        <w:t xml:space="preserve"> veinticuatro de septiembre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otorgándose</w:t>
      </w:r>
      <w:r>
        <w:rPr>
          <w:rFonts w:ascii="Palatino Linotype" w:eastAsia="Palatino Linotype" w:hAnsi="Palatino Linotype" w:cs="Palatino Linotype"/>
          <w:color w:val="000000"/>
        </w:rPr>
        <w:t xml:space="preserve"> en él un plazo de siete días para que las partes manifestaran lo que a su derecho corresponda en términos del numeral ya citado.</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QUINTO. De la etapa de instrucción.</w:t>
      </w:r>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Una vez abierta la etapa de instrucción, el Sujeto Obligado </w:t>
      </w:r>
      <w:r>
        <w:rPr>
          <w:rFonts w:ascii="Palatino Linotype" w:eastAsia="Palatino Linotype" w:hAnsi="Palatino Linotype" w:cs="Palatino Linotype"/>
          <w:b/>
          <w:color w:val="000000"/>
        </w:rPr>
        <w:t xml:space="preserve">fue omiso en rendir </w:t>
      </w:r>
      <w:r>
        <w:rPr>
          <w:rFonts w:ascii="Palatino Linotype" w:eastAsia="Palatino Linotype" w:hAnsi="Palatino Linotype" w:cs="Palatino Linotype"/>
          <w:color w:val="000000"/>
        </w:rPr>
        <w:t xml:space="preserve">su informe justificado. Por su parte, el Recurrente no realizó manifestaciones, vertió alegatos ni presentó pruebas que a su derecho convinieran. </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SEXTO. Del cierre de instrucción.</w:t>
      </w: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una vez transcurrido el término legal, se decretó el cierre de instrucción en fecha</w:t>
      </w:r>
      <w:r>
        <w:rPr>
          <w:rFonts w:ascii="Palatino Linotype" w:eastAsia="Palatino Linotype" w:hAnsi="Palatino Linotype" w:cs="Palatino Linotype"/>
          <w:b/>
          <w:color w:val="000000"/>
        </w:rPr>
        <w:t xml:space="preserve"> catorce de octubre de dos mil veinticuatro</w:t>
      </w:r>
      <w:r>
        <w:rPr>
          <w:rFonts w:ascii="Palatino Linotype" w:eastAsia="Palatino Linotype" w:hAnsi="Palatino Linotype" w:cs="Palatino Linotype"/>
          <w:color w:val="000000"/>
        </w:rPr>
        <w:t>, en términos del artículo 185 fracción VI de la Ley de Transparencia y Acceso a la Información Pública del Estado de México y Municipios, iniciando el término legal para dictar resolución definitiva del asunto.</w:t>
      </w:r>
    </w:p>
    <w:p w:rsidR="00A4765A" w:rsidRDefault="00A4765A">
      <w:pPr>
        <w:spacing w:line="360" w:lineRule="auto"/>
        <w:jc w:val="both"/>
        <w:rPr>
          <w:rFonts w:ascii="Palatino Linotype" w:eastAsia="Palatino Linotype" w:hAnsi="Palatino Linotype" w:cs="Palatino Linotype"/>
        </w:rPr>
      </w:pPr>
    </w:p>
    <w:p w:rsidR="00A4765A" w:rsidRDefault="00935F32">
      <w:pPr>
        <w:keepNext/>
        <w:keepLines/>
        <w:spacing w:line="360" w:lineRule="auto"/>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C O N S I D E R A N D O</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PRIMERO. De la competencia.</w:t>
      </w: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Pr>
          <w:rFonts w:ascii="Palatino Linotype" w:eastAsia="Palatino Linotype" w:hAnsi="Palatino Linotype" w:cs="Palatino Linotype"/>
          <w:color w:val="000000"/>
        </w:rPr>
        <w:lastRenderedPageBreak/>
        <w:t>XXIII, y 11 del Reglamento Interior del Instituto de Transparencia, Acceso a la Información Pública y Protección de Datos Personales del Estado de México y Municipios.</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 xml:space="preserve">SEGUNDO. Sobre los alcances del recurso de revisión. </w:t>
      </w:r>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A4765A" w:rsidRDefault="00A4765A">
      <w:pPr>
        <w:spacing w:line="360" w:lineRule="auto"/>
        <w:jc w:val="both"/>
        <w:rPr>
          <w:rFonts w:ascii="Palatino Linotype" w:eastAsia="Palatino Linotype" w:hAnsi="Palatino Linotype" w:cs="Palatino Linotype"/>
        </w:rPr>
      </w:pPr>
    </w:p>
    <w:p w:rsidR="00A4765A" w:rsidRDefault="00935F32">
      <w:pPr>
        <w:spacing w:before="240"/>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TERCERO. De las causas de improcedencia</w:t>
      </w: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w:t>
      </w:r>
      <w:r>
        <w:rPr>
          <w:rFonts w:ascii="Palatino Linotype" w:eastAsia="Palatino Linotype" w:hAnsi="Palatino Linotype" w:cs="Palatino Linotype"/>
          <w:color w:val="000000"/>
        </w:rPr>
        <w:lastRenderedPageBreak/>
        <w:t>trámite de un proceso que dotan de seguridad jurídica las resoluciones, máxime que es una figura procesal adoptada en la ley de la materia</w:t>
      </w:r>
      <w:r>
        <w:rPr>
          <w:rFonts w:ascii="Palatino Linotype" w:eastAsia="Palatino Linotype" w:hAnsi="Palatino Linotype" w:cs="Palatino Linotype"/>
          <w:color w:val="000000"/>
          <w:vertAlign w:val="superscript"/>
        </w:rPr>
        <w:footnoteReference w:id="1"/>
      </w:r>
      <w:r>
        <w:rPr>
          <w:rFonts w:ascii="Palatino Linotype" w:eastAsia="Palatino Linotype" w:hAnsi="Palatino Linotype" w:cs="Palatino Linotype"/>
          <w:color w:val="000000"/>
        </w:rPr>
        <w:t>, la cual permite dilucidar alguna causal que impida el estudio y resolución, cuando una vez admitido el recurso de revisión se advierta una causa de improcedencia que permita sobreseerlo, sin estudiar el fondo del asunto.</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A4765A" w:rsidRDefault="00A4765A">
      <w:pPr>
        <w:spacing w:line="360" w:lineRule="auto"/>
        <w:jc w:val="both"/>
        <w:rPr>
          <w:rFonts w:ascii="Palatino Linotype" w:eastAsia="Palatino Linotype" w:hAnsi="Palatino Linotype" w:cs="Palatino Linotype"/>
        </w:rPr>
      </w:pPr>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w:t>
      </w:r>
      <w:r>
        <w:rPr>
          <w:rFonts w:ascii="Palatino Linotype" w:eastAsia="Palatino Linotype" w:hAnsi="Palatino Linotype" w:cs="Palatino Linotype"/>
          <w:b/>
          <w:color w:val="000000"/>
          <w:sz w:val="28"/>
          <w:szCs w:val="28"/>
        </w:rPr>
        <w:t>TO. Estudio y resolución del asunto</w:t>
      </w: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tanto, es conveniente recordar que el hoy Recurrente requirió del Sujeto Obligado, de la actual administración, lo siguiente:</w:t>
      </w:r>
    </w:p>
    <w:p w:rsidR="00A4765A" w:rsidRDefault="00935F3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Listado nominal de la administración, con el sueldo, antigüedad y área de adscripción del personal adscrito al ayuntamiento. </w:t>
      </w:r>
    </w:p>
    <w:p w:rsidR="00A4765A" w:rsidRDefault="00A4765A">
      <w:pPr>
        <w:pBdr>
          <w:top w:val="nil"/>
          <w:left w:val="nil"/>
          <w:bottom w:val="nil"/>
          <w:right w:val="nil"/>
          <w:between w:val="nil"/>
        </w:pBdr>
        <w:spacing w:line="360" w:lineRule="auto"/>
        <w:ind w:left="1429"/>
        <w:jc w:val="both"/>
        <w:rPr>
          <w:rFonts w:ascii="Palatino Linotype" w:eastAsia="Palatino Linotype" w:hAnsi="Palatino Linotype" w:cs="Palatino Linotype"/>
          <w:color w:val="000000"/>
        </w:rPr>
      </w:pP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que atento a la solicitud de información el Sujeto Obligado hizo entrega del siguiente archivo electrónico:</w:t>
      </w:r>
    </w:p>
    <w:p w:rsidR="00A4765A" w:rsidRDefault="00A4765A">
      <w:pPr>
        <w:rPr>
          <w:b/>
          <w:i/>
          <w:color w:val="333333"/>
        </w:rPr>
      </w:pPr>
    </w:p>
    <w:p w:rsidR="00A4765A" w:rsidRDefault="00935F32">
      <w:pPr>
        <w:numPr>
          <w:ilvl w:val="0"/>
          <w:numId w:val="5"/>
        </w:numPr>
        <w:pBdr>
          <w:top w:val="nil"/>
          <w:left w:val="nil"/>
          <w:bottom w:val="nil"/>
          <w:right w:val="nil"/>
          <w:between w:val="nil"/>
        </w:pBdr>
        <w:spacing w:line="360" w:lineRule="auto"/>
        <w:jc w:val="both"/>
        <w:rPr>
          <w:i/>
          <w:color w:val="000000"/>
        </w:rPr>
      </w:pPr>
      <w:r>
        <w:rPr>
          <w:rFonts w:ascii="Palatino Linotype" w:eastAsia="Palatino Linotype" w:hAnsi="Palatino Linotype" w:cs="Palatino Linotype"/>
          <w:b/>
          <w:i/>
          <w:color w:val="000000"/>
        </w:rPr>
        <w:t xml:space="preserve">lista nominal.xls.pdf: </w:t>
      </w:r>
      <w:r>
        <w:rPr>
          <w:rFonts w:ascii="Palatino Linotype" w:eastAsia="Palatino Linotype" w:hAnsi="Palatino Linotype" w:cs="Palatino Linotype"/>
          <w:color w:val="000000"/>
        </w:rPr>
        <w:t xml:space="preserve">Documento que consta de cuatro fojas en formato PDF en el que se advierte un cuadro ad hoc que contiene la fecha de ingreso, el apellido paterno, apellido materno, nombre y sueldo neto de los trabajadores adscritos al ayuntamiento. </w:t>
      </w:r>
    </w:p>
    <w:p w:rsidR="00A4765A" w:rsidRDefault="00A4765A">
      <w:pPr>
        <w:pBdr>
          <w:top w:val="nil"/>
          <w:left w:val="nil"/>
          <w:bottom w:val="nil"/>
          <w:right w:val="nil"/>
          <w:between w:val="nil"/>
        </w:pBdr>
        <w:spacing w:line="360" w:lineRule="auto"/>
        <w:jc w:val="both"/>
        <w:rPr>
          <w:rFonts w:ascii="Palatino Linotype" w:eastAsia="Palatino Linotype" w:hAnsi="Palatino Linotype" w:cs="Palatino Linotype"/>
        </w:rPr>
      </w:pPr>
    </w:p>
    <w:p w:rsidR="00A4765A" w:rsidRDefault="00935F32">
      <w:pP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Ante la respuesta emitida por el Sujeto Obligado, el Recurrente consideró que su derecho a la información pública había sido conculcado, por lo que interpuso el recurso de </w:t>
      </w:r>
      <w:r>
        <w:rPr>
          <w:rFonts w:ascii="Palatino Linotype" w:eastAsia="Palatino Linotype" w:hAnsi="Palatino Linotype" w:cs="Palatino Linotype"/>
          <w:color w:val="000000"/>
        </w:rPr>
        <w:lastRenderedPageBreak/>
        <w:t xml:space="preserve">revisión al rubro citado, señalando como acto impugnado </w:t>
      </w: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 xml:space="preserve">el listado que entrega </w:t>
      </w:r>
      <w:r>
        <w:rPr>
          <w:rFonts w:ascii="Palatino Linotype" w:eastAsia="Palatino Linotype" w:hAnsi="Palatino Linotype" w:cs="Palatino Linotype"/>
          <w:i/>
          <w:color w:val="000000"/>
          <w:u w:val="single"/>
        </w:rPr>
        <w:t>no se aprecian los cargos</w:t>
      </w:r>
      <w:r>
        <w:rPr>
          <w:rFonts w:ascii="Palatino Linotype" w:eastAsia="Palatino Linotype" w:hAnsi="Palatino Linotype" w:cs="Palatino Linotype"/>
          <w:i/>
          <w:color w:val="000000"/>
        </w:rPr>
        <w:t xml:space="preserve"> por lo que no entregan lo solicitado</w:t>
      </w:r>
      <w:r>
        <w:rPr>
          <w:rFonts w:ascii="Palatino Linotype" w:eastAsia="Palatino Linotype" w:hAnsi="Palatino Linotype" w:cs="Palatino Linotype"/>
          <w:b/>
          <w:i/>
          <w:color w:val="000000"/>
        </w:rPr>
        <w:t>”</w:t>
      </w:r>
      <w:r>
        <w:rPr>
          <w:rFonts w:ascii="Palatino Linotype" w:eastAsia="Palatino Linotype" w:hAnsi="Palatino Linotype" w:cs="Palatino Linotype"/>
          <w:color w:val="000000"/>
        </w:rPr>
        <w:t xml:space="preserve"> y motivos de inconformidad “</w:t>
      </w:r>
      <w:r>
        <w:rPr>
          <w:rFonts w:ascii="Palatino Linotype" w:eastAsia="Palatino Linotype" w:hAnsi="Palatino Linotype" w:cs="Palatino Linotype"/>
          <w:i/>
          <w:color w:val="000000"/>
        </w:rPr>
        <w:t>incompleta”,</w:t>
      </w:r>
      <w:r>
        <w:rPr>
          <w:rFonts w:ascii="Palatino Linotype" w:eastAsia="Palatino Linotype" w:hAnsi="Palatino Linotype" w:cs="Palatino Linotype"/>
          <w:color w:val="000000"/>
        </w:rPr>
        <w:t xml:space="preserve"> en este sentido el Recurrente considero que el Ayuntamiento de Chapultepec no le dio cuenta del cargo de los servidores públicos adscritos al ayuntamiento. </w:t>
      </w:r>
    </w:p>
    <w:p w:rsidR="00A4765A" w:rsidRDefault="00A4765A">
      <w:pPr>
        <w:spacing w:line="360" w:lineRule="auto"/>
        <w:jc w:val="both"/>
        <w:rPr>
          <w:rFonts w:ascii="Palatino Linotype" w:eastAsia="Palatino Linotype" w:hAnsi="Palatino Linotype" w:cs="Palatino Linotype"/>
        </w:rPr>
      </w:pP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 lo anterior, se debe establecer que el Recurrente en el ejercicio de su derecho al derecho al acceso a la información inconforme con la respuesta proporcionada por el Sujeto Obligado a la interposición del presente recurso de revisión  </w:t>
      </w:r>
      <w:r>
        <w:rPr>
          <w:rFonts w:ascii="Palatino Linotype" w:eastAsia="Palatino Linotype" w:hAnsi="Palatino Linotype" w:cs="Palatino Linotype"/>
          <w:u w:val="single"/>
        </w:rPr>
        <w:t>únicamente expresó inconformidad respecto a la negativa de los cargos de los servidores públicos adscritos al ayuntamiento</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por lo que al no haber manifestado inconformidad respecto a la lista de nómina en la que consta la </w:t>
      </w:r>
      <w:r>
        <w:rPr>
          <w:rFonts w:ascii="Palatino Linotype" w:eastAsia="Palatino Linotype" w:hAnsi="Palatino Linotype" w:cs="Palatino Linotype"/>
        </w:rPr>
        <w:t>fecha de ingreso, el apellido paterno, apellido materno, nombre y sueldo neto de los trabajadores adscritos al ayuntamiento</w:t>
      </w:r>
      <w:r>
        <w:t xml:space="preserve"> </w:t>
      </w:r>
      <w:r>
        <w:rPr>
          <w:rFonts w:ascii="Palatino Linotype" w:eastAsia="Palatino Linotype" w:hAnsi="Palatino Linotype" w:cs="Palatino Linotype"/>
          <w:color w:val="000000"/>
        </w:rPr>
        <w:t xml:space="preserve">enviada por el Sujeto Obligado no pueden producirse efectos jurídicos que permitan </w:t>
      </w:r>
      <w:r>
        <w:rPr>
          <w:rFonts w:ascii="Palatino Linotype" w:eastAsia="Palatino Linotype" w:hAnsi="Palatino Linotype" w:cs="Palatino Linotype"/>
        </w:rPr>
        <w:t>revocar, confirmar o modificar el acto reclamado</w:t>
      </w:r>
      <w:r>
        <w:rPr>
          <w:rFonts w:ascii="Palatino Linotype" w:eastAsia="Palatino Linotype" w:hAnsi="Palatino Linotype" w:cs="Palatino Linotype"/>
          <w:color w:val="000000"/>
        </w:rPr>
        <w:t>.</w:t>
      </w:r>
    </w:p>
    <w:p w:rsidR="00A4765A" w:rsidRDefault="00A4765A">
      <w:pPr>
        <w:spacing w:line="360" w:lineRule="auto"/>
        <w:ind w:right="539"/>
        <w:jc w:val="both"/>
        <w:rPr>
          <w:rFonts w:ascii="Palatino Linotype" w:eastAsia="Palatino Linotype" w:hAnsi="Palatino Linotype" w:cs="Palatino Linotype"/>
          <w:color w:val="000000"/>
        </w:rPr>
      </w:pPr>
    </w:p>
    <w:p w:rsidR="00A4765A" w:rsidRDefault="00935F32">
      <w:pPr>
        <w:spacing w:line="360" w:lineRule="auto"/>
        <w:ind w:right="-2"/>
        <w:jc w:val="both"/>
        <w:rPr>
          <w:rFonts w:ascii="Palatino Linotype" w:eastAsia="Palatino Linotype" w:hAnsi="Palatino Linotype" w:cs="Palatino Linotype"/>
          <w:i/>
        </w:rPr>
      </w:pPr>
      <w:r>
        <w:rPr>
          <w:rFonts w:ascii="Palatino Linotype" w:eastAsia="Palatino Linotype" w:hAnsi="Palatino Linotype" w:cs="Palatino Linotype"/>
        </w:rPr>
        <w:t>En consecuencia,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rsidR="00A4765A" w:rsidRDefault="00935F32">
      <w:pPr>
        <w:spacing w:before="240" w:after="360"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“REVISIÓN EN AMPARO. LOS RESOLUTIVOS NO COMBATIDOS DEBEN DECLARARSE FIRMES. </w:t>
      </w:r>
      <w:r>
        <w:rPr>
          <w:rFonts w:ascii="Palatino Linotype" w:eastAsia="Palatino Linotype" w:hAnsi="Palatino Linotype" w:cs="Palatino Linotype"/>
          <w:i/>
          <w:sz w:val="22"/>
          <w:szCs w:val="22"/>
        </w:rPr>
        <w:t xml:space="preserve">Cuando algún resolutivo de la sentencia impugnada afecta a la recurrente, y ésta no expresa agravio en contra de las consideraciones que le sirven </w:t>
      </w:r>
      <w:r>
        <w:rPr>
          <w:rFonts w:ascii="Palatino Linotype" w:eastAsia="Palatino Linotype" w:hAnsi="Palatino Linotype" w:cs="Palatino Linotype"/>
          <w:i/>
          <w:sz w:val="22"/>
          <w:szCs w:val="22"/>
        </w:rPr>
        <w:lastRenderedPageBreak/>
        <w:t>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A4765A" w:rsidRDefault="00935F32">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w:t>
      </w:r>
    </w:p>
    <w:p w:rsidR="00A4765A" w:rsidRDefault="00935F32">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Sirve de sustento a lo anterior por analogía la tesis jurisprudencial número VI.3o.C. J/60, publicada en el Semanario Judicial de la Federación y su Gaceta bajo el número de registro 176,608 que a la letra dice:</w:t>
      </w:r>
    </w:p>
    <w:p w:rsidR="00A4765A" w:rsidRDefault="00935F32">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smallCaps/>
          <w:color w:val="000000"/>
          <w:sz w:val="22"/>
          <w:szCs w:val="22"/>
        </w:rPr>
        <w:t xml:space="preserve">“ACTOS CONSENTIDOS. SON LOS QUE NO SE IMPUGNAN MEDIANTE EL RECURSO IDÓNEO. </w:t>
      </w:r>
      <w:r>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A4765A" w:rsidRDefault="00A4765A">
      <w:pPr>
        <w:spacing w:line="360" w:lineRule="auto"/>
        <w:jc w:val="both"/>
        <w:rPr>
          <w:rFonts w:ascii="Palatino Linotype" w:eastAsia="Palatino Linotype" w:hAnsi="Palatino Linotype" w:cs="Palatino Linotype"/>
        </w:rPr>
      </w:pPr>
    </w:p>
    <w:p w:rsidR="00A4765A" w:rsidRDefault="00935F32">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debe señalar que el artículo 4, párrafo segundo de la Ley de Transparencia y Acceso a la Información Pública del Estado de México y Municipios, dispone:</w:t>
      </w:r>
    </w:p>
    <w:p w:rsidR="00A4765A" w:rsidRDefault="00935F32">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 xml:space="preserve">… </w:t>
      </w:r>
    </w:p>
    <w:p w:rsidR="00A4765A" w:rsidRDefault="00935F32">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A4765A" w:rsidRDefault="00A4765A">
      <w:pPr>
        <w:tabs>
          <w:tab w:val="left" w:pos="709"/>
        </w:tabs>
        <w:spacing w:line="360" w:lineRule="auto"/>
        <w:jc w:val="both"/>
        <w:rPr>
          <w:rFonts w:ascii="Palatino Linotype" w:eastAsia="Palatino Linotype" w:hAnsi="Palatino Linotype" w:cs="Palatino Linotype"/>
        </w:rPr>
      </w:pPr>
    </w:p>
    <w:p w:rsidR="00A4765A" w:rsidRDefault="00935F32">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rsidR="00A4765A" w:rsidRDefault="00A4765A">
      <w:pPr>
        <w:tabs>
          <w:tab w:val="left" w:pos="709"/>
        </w:tabs>
        <w:spacing w:line="360" w:lineRule="auto"/>
        <w:jc w:val="both"/>
        <w:rPr>
          <w:rFonts w:ascii="Palatino Linotype" w:eastAsia="Palatino Linotype" w:hAnsi="Palatino Linotype" w:cs="Palatino Linotype"/>
        </w:rPr>
      </w:pPr>
    </w:p>
    <w:p w:rsidR="00A4765A" w:rsidRDefault="00935F32">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esta misma tesitura, el derecho de acceso a la información pública, consiste en que la información solicitada conste en un soporte documental en cualquiera de sus formas, a saber: </w:t>
      </w:r>
      <w:r>
        <w:rPr>
          <w:rFonts w:ascii="Palatino Linotype" w:eastAsia="Palatino Linotype" w:hAnsi="Palatino Linotype" w:cs="Palatino Linotype"/>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Pr>
          <w:rFonts w:ascii="Palatino Linotype" w:eastAsia="Palatino Linotype" w:hAnsi="Palatino Linotype" w:cs="Palatino Linotype"/>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A4765A" w:rsidRDefault="00A4765A"/>
    <w:p w:rsidR="00A4765A" w:rsidRDefault="00935F32">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rsidR="00A4765A" w:rsidRDefault="00935F32">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rsidR="00A4765A" w:rsidRDefault="00935F32">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w:t>
      </w:r>
      <w:r>
        <w:rPr>
          <w:rFonts w:ascii="Palatino Linotype" w:eastAsia="Palatino Linotype" w:hAnsi="Palatino Linotype" w:cs="Palatino Linotype"/>
          <w:b/>
          <w:i/>
          <w:sz w:val="22"/>
          <w:szCs w:val="22"/>
          <w:u w:val="single"/>
        </w:rPr>
        <w:t>registro que documente el ejercicio de las facultades, funciones y competencias de los sujetos obligados</w:t>
      </w:r>
      <w:r>
        <w:rPr>
          <w:rFonts w:ascii="Palatino Linotype" w:eastAsia="Palatino Linotype" w:hAnsi="Palatino Linotype" w:cs="Palatino Linotype"/>
          <w:i/>
          <w:sz w:val="22"/>
          <w:szCs w:val="22"/>
          <w:u w:val="single"/>
        </w:rPr>
        <w:t>,</w:t>
      </w:r>
      <w:r>
        <w:rPr>
          <w:rFonts w:ascii="Palatino Linotype" w:eastAsia="Palatino Linotype" w:hAnsi="Palatino Linotype" w:cs="Palatino Linotype"/>
          <w:i/>
          <w:sz w:val="22"/>
          <w:szCs w:val="22"/>
        </w:rPr>
        <w:t xml:space="preserve"> sus servidores públicos e integrantes, </w:t>
      </w:r>
      <w:r>
        <w:rPr>
          <w:rFonts w:ascii="Palatino Linotype" w:eastAsia="Palatino Linotype" w:hAnsi="Palatino Linotype" w:cs="Palatino Linotype"/>
          <w:b/>
          <w:i/>
          <w:sz w:val="22"/>
          <w:szCs w:val="22"/>
          <w:u w:val="single"/>
        </w:rPr>
        <w:t>sin importar su fuente o fecha de elaboración.</w:t>
      </w:r>
      <w:r>
        <w:rPr>
          <w:rFonts w:ascii="Palatino Linotype" w:eastAsia="Palatino Linotype" w:hAnsi="Palatino Linotype" w:cs="Palatino Linotype"/>
          <w:i/>
          <w:sz w:val="22"/>
          <w:szCs w:val="22"/>
        </w:rPr>
        <w:t xml:space="preserve"> Los documentos podrán estar en cualquier medio, sea escrito, impreso, sonoro, visual, electrónico, informático u holográfico;</w:t>
      </w:r>
    </w:p>
    <w:p w:rsidR="00A4765A" w:rsidRDefault="00935F32">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A4765A" w:rsidRDefault="00A4765A">
      <w:pPr>
        <w:spacing w:line="360" w:lineRule="auto"/>
        <w:ind w:left="567" w:right="616"/>
        <w:jc w:val="both"/>
        <w:rPr>
          <w:rFonts w:ascii="Palatino Linotype" w:eastAsia="Palatino Linotype" w:hAnsi="Palatino Linotype" w:cs="Palatino Linotype"/>
          <w:i/>
        </w:rPr>
      </w:pPr>
    </w:p>
    <w:p w:rsidR="00A4765A" w:rsidRDefault="00935F3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A4765A" w:rsidRDefault="00A4765A">
      <w:pPr>
        <w:spacing w:line="360" w:lineRule="auto"/>
        <w:ind w:right="49"/>
        <w:jc w:val="both"/>
        <w:rPr>
          <w:rFonts w:ascii="Palatino Linotype" w:eastAsia="Palatino Linotype" w:hAnsi="Palatino Linotype" w:cs="Palatino Linotype"/>
        </w:rPr>
      </w:pPr>
    </w:p>
    <w:p w:rsidR="00A4765A" w:rsidRDefault="00935F3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 la misma forma, de acuerdo con el contenido del artículo 160, de la Ley General de Transparencia y Acceso a la Información Pública que a la letra dispone:</w:t>
      </w:r>
    </w:p>
    <w:p w:rsidR="00A4765A" w:rsidRDefault="00935F32">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160</w:t>
      </w:r>
      <w:r>
        <w:rPr>
          <w:rFonts w:ascii="Palatino Linotype" w:eastAsia="Palatino Linotype" w:hAnsi="Palatino Linotype" w:cs="Palatino Linotype"/>
          <w:i/>
          <w:sz w:val="22"/>
          <w:szCs w:val="22"/>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A4765A" w:rsidRDefault="00A4765A">
      <w:pPr>
        <w:spacing w:line="360" w:lineRule="auto"/>
        <w:jc w:val="both"/>
        <w:rPr>
          <w:rFonts w:ascii="Palatino Linotype" w:eastAsia="Palatino Linotype" w:hAnsi="Palatino Linotype" w:cs="Palatino Linotype"/>
        </w:rPr>
      </w:pPr>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Además, a Ley de Transparencia y Acceso a la Información Pública del Estado de México y Municipios, prevé en su artículo 23, fracción IV, que son Sujetos Obligados a Transparentar y permitir el acceso a su información y proteger los datos que obren en su poder:</w:t>
      </w:r>
    </w:p>
    <w:p w:rsidR="00A4765A" w:rsidRDefault="00935F32">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w:t>
      </w:r>
      <w:r>
        <w:rPr>
          <w:rFonts w:ascii="Palatino Linotype" w:eastAsia="Palatino Linotype" w:hAnsi="Palatino Linotype" w:cs="Palatino Linotype"/>
          <w:i/>
          <w:sz w:val="22"/>
          <w:szCs w:val="22"/>
        </w:rPr>
        <w:t xml:space="preserve"> Son sujetos obligados a transparentar y permitir el acceso a su información y proteger los datos personales que obren en su poder:</w:t>
      </w:r>
    </w:p>
    <w:p w:rsidR="00A4765A" w:rsidRDefault="00A4765A">
      <w:pPr>
        <w:spacing w:line="360" w:lineRule="auto"/>
        <w:ind w:left="567" w:right="616"/>
        <w:jc w:val="both"/>
        <w:rPr>
          <w:rFonts w:ascii="Palatino Linotype" w:eastAsia="Palatino Linotype" w:hAnsi="Palatino Linotype" w:cs="Palatino Linotype"/>
          <w:b/>
          <w:i/>
          <w:sz w:val="22"/>
          <w:szCs w:val="22"/>
        </w:rPr>
      </w:pPr>
    </w:p>
    <w:p w:rsidR="00A4765A" w:rsidRDefault="00935F32">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Los ayuntamientos y las dependencias, organismos, órganos y entidades de la administración municipal;</w:t>
      </w:r>
    </w:p>
    <w:p w:rsidR="00A4765A" w:rsidRDefault="00A4765A">
      <w:pPr>
        <w:spacing w:line="360" w:lineRule="auto"/>
        <w:jc w:val="both"/>
        <w:rPr>
          <w:rFonts w:ascii="Palatino Linotype" w:eastAsia="Palatino Linotype" w:hAnsi="Palatino Linotype" w:cs="Palatino Linotype"/>
        </w:rPr>
      </w:pPr>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resulta imprescindible establecer que la información solicitada corresponde al personal adscrito al ayuntamiento a la fecha de la solicitud por lo que conforme los artículos 35  y 38  del bando municipal del Sujeto Obligado cuenta con unidades administrativas de carácter centralizadas y descentralizadas en los términos siguientes: </w:t>
      </w:r>
    </w:p>
    <w:p w:rsidR="00A4765A" w:rsidRDefault="00935F32">
      <w:pPr>
        <w:spacing w:line="360"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35.-</w:t>
      </w:r>
      <w:r>
        <w:rPr>
          <w:rFonts w:ascii="Palatino Linotype" w:eastAsia="Palatino Linotype" w:hAnsi="Palatino Linotype" w:cs="Palatino Linotype"/>
          <w:i/>
          <w:sz w:val="22"/>
          <w:szCs w:val="22"/>
        </w:rPr>
        <w:t xml:space="preserve"> La Administración Pública Centralizada es una forma de organización de la Administración Pública del Municipio, cuyos órganos auxilian al Ayuntamiento en el despacho de los asuntos municipales y están subordinados a la Presidencia Municipal. La Administración Pública Centralizada se integra por: </w:t>
      </w:r>
    </w:p>
    <w:p w:rsidR="00A4765A" w:rsidRDefault="00935F32">
      <w:pPr>
        <w:spacing w:line="360" w:lineRule="auto"/>
        <w:ind w:left="70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I. Secretaría del Ayuntamiento: </w:t>
      </w:r>
    </w:p>
    <w:p w:rsidR="00A4765A" w:rsidRDefault="00935F32">
      <w:pPr>
        <w:spacing w:line="360" w:lineRule="auto"/>
        <w:ind w:left="70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 Sistema de Control de Recursos para Entidades Gubernamentales; y </w:t>
      </w:r>
    </w:p>
    <w:p w:rsidR="00A4765A" w:rsidRDefault="00935F32">
      <w:pPr>
        <w:spacing w:line="360" w:lineRule="auto"/>
        <w:ind w:left="70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b) Archivo Municipal; </w:t>
      </w:r>
    </w:p>
    <w:p w:rsidR="00A4765A" w:rsidRDefault="00935F32">
      <w:pPr>
        <w:spacing w:line="360" w:lineRule="auto"/>
        <w:ind w:left="70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Tesorería: </w:t>
      </w:r>
    </w:p>
    <w:p w:rsidR="00A4765A" w:rsidRDefault="00935F32">
      <w:pPr>
        <w:spacing w:line="360" w:lineRule="auto"/>
        <w:ind w:left="70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Catastro Municipal;</w:t>
      </w:r>
    </w:p>
    <w:p w:rsidR="00A4765A" w:rsidRDefault="00935F32">
      <w:pPr>
        <w:spacing w:line="360" w:lineRule="auto"/>
        <w:ind w:left="70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III. Contraloría;</w:t>
      </w:r>
    </w:p>
    <w:p w:rsidR="00A4765A" w:rsidRDefault="00935F32">
      <w:pPr>
        <w:spacing w:line="360" w:lineRule="auto"/>
        <w:ind w:left="70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IV. Direcciones de: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 Agua Potable, Alcantarillado y Saneamiento;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Desarrollo Económico y Turismo:</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b.1. Coordinación Agropecuaria;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 Desarrollo Social y Participación Ciudadana: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c.1. Coordinación de Salud; y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c.2. Coordinación de Atención a la Juventud;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 Desarrollo Urbano; e) Obras Públicas;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f) Educación y Cultura; g) Seguridad Pública Municipal;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g.1. Coordinación del Centro de Mando C2;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h) Servicios Públicos; h.1. Coordinación del Panteón Municipal;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Ecología;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j) Gobernación; y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k) Las demás que determine crear el Ayuntamiento, a propuesta de la Presidenta Municipal</w:t>
      </w:r>
    </w:p>
    <w:p w:rsidR="00A4765A" w:rsidRDefault="00A4765A">
      <w:pPr>
        <w:spacing w:line="360" w:lineRule="auto"/>
        <w:jc w:val="both"/>
        <w:rPr>
          <w:rFonts w:ascii="Palatino Linotype" w:eastAsia="Palatino Linotype" w:hAnsi="Palatino Linotype" w:cs="Palatino Linotype"/>
          <w:i/>
          <w:sz w:val="22"/>
          <w:szCs w:val="22"/>
        </w:rPr>
      </w:pPr>
    </w:p>
    <w:p w:rsidR="00A4765A" w:rsidRDefault="00935F32">
      <w:pPr>
        <w:spacing w:line="360" w:lineRule="auto"/>
        <w:ind w:left="70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38.-</w:t>
      </w:r>
      <w:r>
        <w:rPr>
          <w:rFonts w:ascii="Palatino Linotype" w:eastAsia="Palatino Linotype" w:hAnsi="Palatino Linotype" w:cs="Palatino Linotype"/>
          <w:i/>
          <w:sz w:val="22"/>
          <w:szCs w:val="22"/>
        </w:rPr>
        <w:t xml:space="preserve"> La Administración Pública Descentralizada es una de las formas de organización de la Administración Pública Municipal, integrada por Organismos Auxiliares y en su caso por Fideicomisos, con personalidad y patrimonio propios. La Administración Pública Descentralizada se integra por:</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Organismos descentralizados:</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a) Sistema Municipal para el Desarrollo Integral de la Familia de Chapultepec;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b) Instituto Municipal de Cultura Física y Deporte de Chapultepec, y </w:t>
      </w:r>
    </w:p>
    <w:p w:rsidR="00A4765A" w:rsidRDefault="00935F32">
      <w:pPr>
        <w:spacing w:line="360" w:lineRule="auto"/>
        <w:ind w:left="14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Los demás que determine crear el Ayuntamiento por acuerdo de la Presidencia Municipal.</w:t>
      </w:r>
    </w:p>
    <w:p w:rsidR="00A4765A" w:rsidRDefault="00A4765A">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A4765A" w:rsidRDefault="00935F32">
      <w:pPr>
        <w:pBdr>
          <w:top w:val="nil"/>
          <w:left w:val="nil"/>
          <w:bottom w:val="nil"/>
          <w:right w:val="nil"/>
          <w:between w:val="nil"/>
        </w:pBdr>
        <w:spacing w:line="360" w:lineRule="auto"/>
        <w:ind w:right="62"/>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de acuerdo con la información solicitada por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tiene que precisar que se encuentra dentro de las obligaciones de transparencia común, misma que se encuentra regulada en el artículo 92 fracción VII de la Ley de Transparencia y Acceso a la Información Pública del Estado de México y Municipios pues conforme la fracción citada el directorio es el soporte documental que puede dar cuenta de lo solicitado por el Recurrente toda vez que en esté se observa </w:t>
      </w:r>
      <w:r>
        <w:rPr>
          <w:rFonts w:ascii="Palatino Linotype" w:eastAsia="Palatino Linotype" w:hAnsi="Palatino Linotype" w:cs="Palatino Linotype"/>
          <w:b/>
        </w:rPr>
        <w:t>el nombre y</w:t>
      </w:r>
      <w:r>
        <w:rPr>
          <w:rFonts w:ascii="Palatino Linotype" w:eastAsia="Palatino Linotype" w:hAnsi="Palatino Linotype" w:cs="Palatino Linotype"/>
        </w:rPr>
        <w:t xml:space="preserve"> </w:t>
      </w:r>
      <w:r>
        <w:rPr>
          <w:rFonts w:ascii="Palatino Linotype" w:eastAsia="Palatino Linotype" w:hAnsi="Palatino Linotype" w:cs="Palatino Linotype"/>
          <w:b/>
        </w:rPr>
        <w:t>el cargo</w:t>
      </w:r>
      <w:r>
        <w:rPr>
          <w:rFonts w:ascii="Palatino Linotype" w:eastAsia="Palatino Linotype" w:hAnsi="Palatino Linotype" w:cs="Palatino Linotype"/>
        </w:rPr>
        <w:t xml:space="preserve"> así como el nivel de puesto en la estructura orgánica, que a letra dice. </w:t>
      </w:r>
    </w:p>
    <w:p w:rsidR="00A4765A" w:rsidRDefault="00A4765A">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A4765A" w:rsidRDefault="00935F32">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92.</w:t>
      </w:r>
      <w:r>
        <w:rPr>
          <w:rFonts w:ascii="Palatino Linotype" w:eastAsia="Palatino Linotype" w:hAnsi="Palatino Linotype" w:cs="Palatino Linotype"/>
          <w:i/>
          <w:color w:val="000000"/>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(I-VI)</w:t>
      </w:r>
    </w:p>
    <w:p w:rsidR="00A4765A" w:rsidRDefault="00A4765A">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p>
    <w:p w:rsidR="00A4765A" w:rsidRDefault="00935F32">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rsidR="00A4765A" w:rsidRDefault="00A4765A">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p>
    <w:p w:rsidR="00A4765A" w:rsidRDefault="00935F32">
      <w:pPr>
        <w:pBdr>
          <w:top w:val="nil"/>
          <w:left w:val="nil"/>
          <w:bottom w:val="nil"/>
          <w:right w:val="nil"/>
          <w:between w:val="nil"/>
        </w:pBdr>
        <w:ind w:left="1134" w:right="85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rsidR="00A4765A" w:rsidRDefault="00935F32">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(LII)</w:t>
      </w:r>
    </w:p>
    <w:p w:rsidR="00A4765A" w:rsidRDefault="00935F32">
      <w:pPr>
        <w:pBdr>
          <w:top w:val="nil"/>
          <w:left w:val="nil"/>
          <w:bottom w:val="nil"/>
          <w:right w:val="nil"/>
          <w:between w:val="nil"/>
        </w:pBdr>
        <w:spacing w:line="360" w:lineRule="auto"/>
        <w:ind w:right="62"/>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Sirve de reforzamiento a lo anterior lo regulado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los que se contempla lo siguiente.  </w:t>
      </w:r>
    </w:p>
    <w:p w:rsidR="00A4765A" w:rsidRDefault="00A4765A">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A4765A" w:rsidRDefault="00935F3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ANEXO I. OBLIGACIONES DE TRANSPARENCIA COMUNES TODOS LOS SUJETOS OBLIGADOS</w:t>
      </w:r>
    </w:p>
    <w:p w:rsidR="00A4765A" w:rsidRDefault="00935F3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Criterios para las obligaciones de transparencia comunes </w:t>
      </w:r>
    </w:p>
    <w:p w:rsidR="00A4765A" w:rsidRDefault="00935F3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catálogo de la información que todos los sujetos obligados deben poner a disposición de las personas en sus portales de Internet y en la Plataforma Nacional está detallado en el Título Quinto, Capítulo II de la Ley General, en el artículo 70, fracciones I a la XLVIII. </w:t>
      </w:r>
    </w:p>
    <w:p w:rsidR="00A4765A" w:rsidRDefault="00935F3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 El artículo 70 dice a la letra: </w:t>
      </w:r>
    </w:p>
    <w:p w:rsidR="00A4765A" w:rsidRDefault="00935F3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A4765A" w:rsidRDefault="00935F3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 </w:t>
      </w:r>
    </w:p>
    <w:p w:rsidR="00A4765A" w:rsidRDefault="00935F3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el cumplimiento de la presente fracción los sujetos obligados deberán integrar el directorio con los datos básicos para establecer contacto con sus servidores(as) </w:t>
      </w:r>
      <w:r>
        <w:rPr>
          <w:rFonts w:ascii="Palatino Linotype" w:eastAsia="Palatino Linotype" w:hAnsi="Palatino Linotype" w:cs="Palatino Linotype"/>
          <w:i/>
          <w:sz w:val="22"/>
          <w:szCs w:val="22"/>
        </w:rPr>
        <w:lastRenderedPageBreak/>
        <w:t xml:space="preserve">públicos(as), integrantes y/o miembros, así como toda persona que desempeñe un empleo, cargo o comisión y/o ejerza actos de autoridad en los mismos. </w:t>
      </w:r>
    </w:p>
    <w:p w:rsidR="00A4765A" w:rsidRDefault="00935F3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w:t>
      </w:r>
    </w:p>
    <w:p w:rsidR="00A4765A" w:rsidRDefault="00935F3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Respecto de los prestadores de servicios profesionales reportados se incluirá una nota que especifique que éstos no forman parte de la estructura orgánica del sujeto obligado toda vez que fungen como apoyo para el desarrollo de las actividades de los puestos que sí conforman la estructura.</w:t>
      </w:r>
    </w:p>
    <w:p w:rsidR="00A4765A" w:rsidRDefault="00A4765A">
      <w:pPr>
        <w:pBdr>
          <w:top w:val="nil"/>
          <w:left w:val="nil"/>
          <w:bottom w:val="nil"/>
          <w:right w:val="nil"/>
          <w:between w:val="nil"/>
        </w:pBdr>
        <w:spacing w:line="360" w:lineRule="auto"/>
        <w:ind w:right="62"/>
        <w:jc w:val="both"/>
        <w:rPr>
          <w:rFonts w:ascii="Palatino Linotype" w:eastAsia="Palatino Linotype" w:hAnsi="Palatino Linotype" w:cs="Palatino Linotype"/>
          <w:i/>
        </w:rPr>
      </w:pPr>
    </w:p>
    <w:p w:rsidR="00A4765A" w:rsidRDefault="00935F32">
      <w:pPr>
        <w:pBdr>
          <w:top w:val="nil"/>
          <w:left w:val="nil"/>
          <w:bottom w:val="nil"/>
          <w:right w:val="nil"/>
          <w:between w:val="nil"/>
        </w:pBdr>
        <w:spacing w:line="360" w:lineRule="auto"/>
        <w:ind w:right="62"/>
        <w:jc w:val="both"/>
        <w:rPr>
          <w:rFonts w:ascii="Palatino Linotype" w:eastAsia="Palatino Linotype" w:hAnsi="Palatino Linotype" w:cs="Palatino Linotype"/>
        </w:rPr>
      </w:pPr>
      <w:r>
        <w:rPr>
          <w:rFonts w:ascii="Palatino Linotype" w:eastAsia="Palatino Linotype" w:hAnsi="Palatino Linotype" w:cs="Palatino Linotype"/>
        </w:rPr>
        <w:t>De lo anterior, se observa los sujetos deben hacer público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 </w:t>
      </w:r>
    </w:p>
    <w:p w:rsidR="00A4765A" w:rsidRDefault="00A4765A">
      <w:pPr>
        <w:pBdr>
          <w:top w:val="nil"/>
          <w:left w:val="nil"/>
          <w:bottom w:val="nil"/>
          <w:right w:val="nil"/>
          <w:between w:val="nil"/>
        </w:pBdr>
        <w:spacing w:line="360" w:lineRule="auto"/>
        <w:ind w:right="62"/>
        <w:jc w:val="both"/>
        <w:rPr>
          <w:rFonts w:ascii="Palatino Linotype" w:eastAsia="Palatino Linotype" w:hAnsi="Palatino Linotype" w:cs="Palatino Linotype"/>
        </w:rPr>
      </w:pPr>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Atento a lo anterior, se advierte que la información requerida puede darse un sentido documental pues el Directorio seria aquel documento que satisfacerla el derecho al acceso a la información pública hecho valer por el Recurrente, resultando procedente traer a colación el criterio 016/2017 emitido por el Máximo Órgano Garante en los términos siguientes; </w:t>
      </w:r>
    </w:p>
    <w:p w:rsidR="00A4765A" w:rsidRDefault="00A4765A">
      <w:pPr>
        <w:spacing w:line="360" w:lineRule="auto"/>
        <w:jc w:val="both"/>
        <w:rPr>
          <w:rFonts w:ascii="Palatino Linotype" w:eastAsia="Palatino Linotype" w:hAnsi="Palatino Linotype" w:cs="Palatino Linotype"/>
          <w:i/>
          <w:sz w:val="22"/>
          <w:szCs w:val="22"/>
        </w:rPr>
      </w:pPr>
    </w:p>
    <w:p w:rsidR="00A4765A" w:rsidRDefault="00935F32">
      <w:pPr>
        <w:ind w:left="70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Expresión documental. </w:t>
      </w:r>
      <w:r>
        <w:rPr>
          <w:rFonts w:ascii="Palatino Linotype" w:eastAsia="Palatino Linotype" w:hAnsi="Palatino Linotype" w:cs="Palatino Linotype"/>
          <w:i/>
          <w:sz w:val="22"/>
          <w:szCs w:val="22"/>
        </w:rPr>
        <w:t>Cuando</w:t>
      </w:r>
      <w:r>
        <w:rPr>
          <w:rFonts w:ascii="Palatino Linotype" w:eastAsia="Palatino Linotype" w:hAnsi="Palatino Linotype" w:cs="Palatino Linotype"/>
          <w:i/>
          <w:color w:val="000000"/>
          <w:sz w:val="22"/>
          <w:szCs w:val="22"/>
        </w:rPr>
        <w:t xml:space="preserve"> los particulares presenten solicitudes de acceso a la información sin identificar de forma precisa la documentación que pudiera contener la información de su interés, </w:t>
      </w:r>
      <w:r>
        <w:rPr>
          <w:rFonts w:ascii="Palatino Linotype" w:eastAsia="Palatino Linotype" w:hAnsi="Palatino Linotype" w:cs="Palatino Linotype"/>
          <w:i/>
          <w:sz w:val="22"/>
          <w:szCs w:val="22"/>
        </w:rPr>
        <w:t>o bien, la solicitud constituya una consulta,</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u w:val="single"/>
        </w:rPr>
        <w:t>pero la respuesta pudiera obrar en algún documento en poder de los sujetos obligados, éstos deben dar a dichas solicitudes una interpretación que les otorgue una expresión documental.</w:t>
      </w:r>
      <w:r>
        <w:rPr>
          <w:rFonts w:ascii="Palatino Linotype" w:eastAsia="Palatino Linotype" w:hAnsi="Palatino Linotype" w:cs="Palatino Linotype"/>
          <w:i/>
          <w:color w:val="000000"/>
          <w:sz w:val="22"/>
          <w:szCs w:val="22"/>
        </w:rPr>
        <w:t xml:space="preserve"> </w:t>
      </w:r>
    </w:p>
    <w:p w:rsidR="00A4765A" w:rsidRDefault="00A4765A">
      <w:pPr>
        <w:jc w:val="both"/>
        <w:rPr>
          <w:rFonts w:ascii="Palatino Linotype" w:eastAsia="Palatino Linotype" w:hAnsi="Palatino Linotype" w:cs="Palatino Linotype"/>
          <w:i/>
          <w:color w:val="000000"/>
          <w:sz w:val="22"/>
          <w:szCs w:val="22"/>
        </w:rPr>
      </w:pPr>
    </w:p>
    <w:p w:rsidR="00A4765A" w:rsidRDefault="00935F32">
      <w:pPr>
        <w:ind w:left="360" w:firstLine="708"/>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Precedentes:</w:t>
      </w:r>
    </w:p>
    <w:p w:rsidR="00A4765A" w:rsidRDefault="00935F32">
      <w:pPr>
        <w:numPr>
          <w:ilvl w:val="0"/>
          <w:numId w:val="4"/>
        </w:numPr>
        <w:pBdr>
          <w:top w:val="nil"/>
          <w:left w:val="nil"/>
          <w:bottom w:val="nil"/>
          <w:right w:val="nil"/>
          <w:between w:val="nil"/>
        </w:pBdr>
        <w:jc w:val="both"/>
        <w:rPr>
          <w:i/>
          <w:color w:val="000000"/>
          <w:sz w:val="20"/>
          <w:szCs w:val="20"/>
        </w:rPr>
      </w:pPr>
      <w:r>
        <w:rPr>
          <w:rFonts w:ascii="Palatino Linotype" w:eastAsia="Palatino Linotype" w:hAnsi="Palatino Linotype" w:cs="Palatino Linotype"/>
          <w:i/>
          <w:color w:val="000000"/>
          <w:sz w:val="20"/>
          <w:szCs w:val="20"/>
        </w:rPr>
        <w:lastRenderedPageBreak/>
        <w:t>Acceso a la información pública. RRA 0774/16. Sesión del 31 de agosto de 2016. Votación por unanimidad. Sin votos disidentes o particulares. Secretaría de Salud. Comisionada Ponente María Patricia Kurczyn Villalobos.</w:t>
      </w:r>
    </w:p>
    <w:p w:rsidR="00A4765A" w:rsidRDefault="00935F32">
      <w:pPr>
        <w:numPr>
          <w:ilvl w:val="0"/>
          <w:numId w:val="4"/>
        </w:numPr>
        <w:pBdr>
          <w:top w:val="nil"/>
          <w:left w:val="nil"/>
          <w:bottom w:val="nil"/>
          <w:right w:val="nil"/>
          <w:between w:val="nil"/>
        </w:pBdr>
        <w:jc w:val="both"/>
        <w:rPr>
          <w:i/>
          <w:color w:val="000000"/>
          <w:sz w:val="20"/>
          <w:szCs w:val="20"/>
        </w:rPr>
      </w:pPr>
      <w:r>
        <w:rPr>
          <w:rFonts w:ascii="Palatino Linotype" w:eastAsia="Palatino Linotype" w:hAnsi="Palatino Linotype" w:cs="Palatino Linotype"/>
          <w:i/>
          <w:color w:val="000000"/>
          <w:sz w:val="20"/>
          <w:szCs w:val="20"/>
        </w:rPr>
        <w:t xml:space="preserve">Acceso a la información pública. RRA 0143/17. Sesión del 22 de febrero de 2017. Votación por unanimidad. Sin votos disidentes o particulares. Universidad Autónoma Agraria Antonio Narro. Comisionado Ponente Oscar Mauricio Guerra Ford. </w:t>
      </w:r>
    </w:p>
    <w:p w:rsidR="00A4765A" w:rsidRDefault="00935F32">
      <w:pPr>
        <w:numPr>
          <w:ilvl w:val="0"/>
          <w:numId w:val="4"/>
        </w:numPr>
        <w:pBdr>
          <w:top w:val="nil"/>
          <w:left w:val="nil"/>
          <w:bottom w:val="nil"/>
          <w:right w:val="nil"/>
          <w:between w:val="nil"/>
        </w:pBdr>
        <w:jc w:val="both"/>
        <w:rPr>
          <w:i/>
          <w:color w:val="000000"/>
          <w:sz w:val="20"/>
          <w:szCs w:val="20"/>
        </w:rPr>
      </w:pPr>
      <w:r>
        <w:rPr>
          <w:rFonts w:ascii="Palatino Linotype" w:eastAsia="Palatino Linotype" w:hAnsi="Palatino Linotype" w:cs="Palatino Linotype"/>
          <w:i/>
          <w:color w:val="000000"/>
          <w:sz w:val="20"/>
          <w:szCs w:val="20"/>
        </w:rPr>
        <w:t xml:space="preserve">Acceso a la información pública. RRA 0540/17. Sesión del 08 de marzo del 2017. Votación por unanimidad. Sin votos disidentes o particulares. Secretaría de Economía. Comisionado Ponente Francisco Javier Acuña Llamas. </w:t>
      </w:r>
    </w:p>
    <w:p w:rsidR="00A4765A" w:rsidRDefault="00A4765A">
      <w:pPr>
        <w:pBdr>
          <w:top w:val="nil"/>
          <w:left w:val="nil"/>
          <w:bottom w:val="nil"/>
          <w:right w:val="nil"/>
          <w:between w:val="nil"/>
        </w:pBdr>
        <w:spacing w:line="360" w:lineRule="auto"/>
        <w:ind w:left="709"/>
        <w:jc w:val="both"/>
        <w:rPr>
          <w:rFonts w:ascii="Arial" w:eastAsia="Arial" w:hAnsi="Arial" w:cs="Arial"/>
          <w:color w:val="000000"/>
        </w:rPr>
      </w:pPr>
    </w:p>
    <w:p w:rsidR="00A4765A" w:rsidRDefault="00935F3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Entonces se encuentra dentro de los archivos del </w:t>
      </w:r>
      <w:r>
        <w:rPr>
          <w:rFonts w:ascii="Palatino Linotype" w:eastAsia="Palatino Linotype" w:hAnsi="Palatino Linotype" w:cs="Palatino Linotype"/>
          <w:b/>
        </w:rPr>
        <w:t>SUJETO OBLIGADO</w:t>
      </w:r>
      <w:r>
        <w:rPr>
          <w:rFonts w:ascii="Palatino Linotype" w:eastAsia="Palatino Linotype" w:hAnsi="Palatino Linotype" w:cs="Palatino Linotype"/>
        </w:rPr>
        <w:t>. Por lo que debe de realizar una búsqueda exhaustiva y razonable dentro de sus archivos para recabar la información, sin la necesidad de generar</w:t>
      </w:r>
      <w:r>
        <w:rPr>
          <w:rFonts w:ascii="Palatino Linotype" w:eastAsia="Palatino Linotype" w:hAnsi="Palatino Linotype" w:cs="Palatino Linotype"/>
          <w:color w:val="000000"/>
        </w:rPr>
        <w:t xml:space="preserve"> un documento a </w:t>
      </w:r>
      <w:r>
        <w:rPr>
          <w:rFonts w:ascii="Palatino Linotype" w:eastAsia="Palatino Linotype" w:hAnsi="Palatino Linotype" w:cs="Palatino Linotype"/>
        </w:rPr>
        <w:t>modo (</w:t>
      </w:r>
      <w:r>
        <w:rPr>
          <w:rFonts w:ascii="Palatino Linotype" w:eastAsia="Palatino Linotype" w:hAnsi="Palatino Linotype" w:cs="Palatino Linotype"/>
          <w:i/>
        </w:rPr>
        <w:t>Ad hoc</w:t>
      </w:r>
      <w:r>
        <w:rPr>
          <w:rFonts w:ascii="Palatino Linotype" w:eastAsia="Palatino Linotype" w:hAnsi="Palatino Linotype" w:cs="Palatino Linotype"/>
          <w:vertAlign w:val="superscript"/>
        </w:rPr>
        <w:footnoteReference w:id="2"/>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para satisfacer el derecho de acceso a la información pública, como lo establece el artículo 12 de la Ley de Transparencia y Acceso a la Información Pública del Estado de México y Municipios.</w:t>
      </w:r>
    </w:p>
    <w:p w:rsidR="00A4765A" w:rsidRDefault="00A4765A">
      <w:pPr>
        <w:spacing w:line="360" w:lineRule="auto"/>
        <w:jc w:val="both"/>
        <w:rPr>
          <w:rFonts w:ascii="Palatino Linotype" w:eastAsia="Palatino Linotype" w:hAnsi="Palatino Linotype" w:cs="Palatino Linotype"/>
          <w:color w:val="000000"/>
        </w:rPr>
      </w:pPr>
    </w:p>
    <w:p w:rsidR="00A4765A" w:rsidRDefault="00935F32">
      <w:pPr>
        <w:spacing w:line="360" w:lineRule="auto"/>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Como apoyo a lo anterior, es aplicable el Criterio 03-17, emitido por el Instituto Nacional de Transparencia, Acceso a la Información y Protección de Datos Personales, que dice:</w:t>
      </w:r>
      <w:r>
        <w:rPr>
          <w:rFonts w:ascii="Palatino Linotype" w:eastAsia="Palatino Linotype" w:hAnsi="Palatino Linotype" w:cs="Palatino Linotype"/>
          <w:b/>
          <w:color w:val="000000"/>
        </w:rPr>
        <w:t xml:space="preserve"> </w:t>
      </w:r>
    </w:p>
    <w:p w:rsidR="00A4765A" w:rsidRDefault="00A4765A">
      <w:pPr>
        <w:ind w:right="51"/>
        <w:jc w:val="both"/>
        <w:rPr>
          <w:rFonts w:ascii="Palatino Linotype" w:eastAsia="Palatino Linotype" w:hAnsi="Palatino Linotype" w:cs="Palatino Linotype"/>
          <w:color w:val="000000"/>
        </w:rPr>
      </w:pPr>
    </w:p>
    <w:p w:rsidR="00A4765A" w:rsidRDefault="00935F32">
      <w:pPr>
        <w:ind w:left="928"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r>
        <w:rPr>
          <w:rFonts w:ascii="Palatino Linotype" w:eastAsia="Palatino Linotype" w:hAnsi="Palatino Linotype" w:cs="Palatino Linotype"/>
          <w:sz w:val="22"/>
          <w:szCs w:val="22"/>
        </w:rPr>
        <w:t>(Énfasis añadido)</w:t>
      </w:r>
    </w:p>
    <w:p w:rsidR="00A4765A" w:rsidRDefault="00A4765A">
      <w:pPr>
        <w:ind w:left="851" w:right="901"/>
        <w:jc w:val="right"/>
        <w:rPr>
          <w:rFonts w:ascii="Palatino Linotype" w:eastAsia="Palatino Linotype" w:hAnsi="Palatino Linotype" w:cs="Palatino Linotype"/>
          <w:sz w:val="22"/>
          <w:szCs w:val="22"/>
        </w:rPr>
      </w:pPr>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Expuesto lo anterior, es procedente ordenar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haga entrega,  del soporte documental en el que se advierta el cargo del personal adscrito al veintisiete de agosto de dos mil veinticuatro. </w:t>
      </w:r>
    </w:p>
    <w:p w:rsidR="00A4765A" w:rsidRDefault="00A4765A">
      <w:pPr>
        <w:spacing w:line="360" w:lineRule="auto"/>
        <w:jc w:val="both"/>
        <w:rPr>
          <w:rFonts w:ascii="Palatino Linotype" w:eastAsia="Palatino Linotype" w:hAnsi="Palatino Linotype" w:cs="Palatino Linotype"/>
        </w:rPr>
      </w:pPr>
    </w:p>
    <w:p w:rsidR="00A4765A" w:rsidRPr="005F3F5D" w:rsidRDefault="00935F32">
      <w:pPr>
        <w:pBdr>
          <w:top w:val="nil"/>
          <w:left w:val="nil"/>
          <w:bottom w:val="nil"/>
          <w:right w:val="nil"/>
          <w:between w:val="nil"/>
        </w:pBdr>
        <w:spacing w:line="360" w:lineRule="auto"/>
        <w:jc w:val="both"/>
        <w:rPr>
          <w:rFonts w:ascii="Palatino Linotype" w:eastAsia="Palatino Linotype" w:hAnsi="Palatino Linotype" w:cs="Palatino Linotype"/>
        </w:rPr>
      </w:pPr>
      <w:r w:rsidRPr="005F3F5D">
        <w:rPr>
          <w:rFonts w:ascii="Palatino Linotype" w:eastAsia="Palatino Linotype" w:hAnsi="Palatino Linotype" w:cs="Palatino Linotype"/>
        </w:rPr>
        <w:t xml:space="preserve">Por otro lado, derivado de la información que se ordena entregar pudiera existir información de la </w:t>
      </w:r>
      <w:r w:rsidRPr="005F3F5D">
        <w:rPr>
          <w:rFonts w:ascii="Palatino Linotype" w:eastAsia="Palatino Linotype" w:hAnsi="Palatino Linotype" w:cs="Palatino Linotype"/>
          <w:b/>
        </w:rPr>
        <w:t>Dirección de Seguridad Pública del Ayuntamiento o su equivalente,</w:t>
      </w:r>
      <w:r w:rsidRPr="005F3F5D">
        <w:rPr>
          <w:rFonts w:ascii="Palatino Linotype" w:eastAsia="Palatino Linotype" w:hAnsi="Palatino Linotype" w:cs="Palatino Linotype"/>
        </w:rPr>
        <w:t xml:space="preserv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w:t>
      </w:r>
      <w:r w:rsidRPr="005F3F5D">
        <w:rPr>
          <w:rFonts w:ascii="Palatino Linotype" w:eastAsia="Palatino Linotype" w:hAnsi="Palatino Linotype" w:cs="Palatino Linotype"/>
          <w:b/>
        </w:rPr>
        <w:t>sólo por cuanto hace al nombre</w:t>
      </w:r>
      <w:r w:rsidRPr="005F3F5D">
        <w:rPr>
          <w:rFonts w:ascii="Palatino Linotype" w:eastAsia="Palatino Linotype" w:hAnsi="Palatino Linotype" w:cs="Palatino Linotype"/>
        </w:rPr>
        <w:t xml:space="preserve"> </w:t>
      </w:r>
      <w:r w:rsidRPr="005F3F5D">
        <w:rPr>
          <w:rFonts w:ascii="Palatino Linotype" w:eastAsia="Palatino Linotype" w:hAnsi="Palatino Linotype" w:cs="Palatino Linotype"/>
          <w:b/>
        </w:rPr>
        <w:t>dejando intocable el rubro del cargo</w:t>
      </w:r>
      <w:r w:rsidRPr="005F3F5D">
        <w:rPr>
          <w:rFonts w:ascii="Palatino Linotype" w:eastAsia="Palatino Linotype" w:hAnsi="Palatino Linotype" w:cs="Palatino Linotype"/>
        </w:rPr>
        <w:t xml:space="preserve">;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5F3F5D">
        <w:rPr>
          <w:rFonts w:ascii="Palatino Linotype" w:eastAsia="Palatino Linotype" w:hAnsi="Palatino Linotype" w:cs="Palatino Linotype"/>
          <w:b/>
        </w:rPr>
        <w:t>que desempeñen funciones operativas</w:t>
      </w:r>
      <w:r w:rsidRPr="005F3F5D">
        <w:rPr>
          <w:rFonts w:ascii="Palatino Linotype" w:eastAsia="Palatino Linotype" w:hAnsi="Palatino Linotype" w:cs="Palatino Linotype"/>
        </w:rPr>
        <w:t>.</w:t>
      </w:r>
    </w:p>
    <w:p w:rsidR="00A4765A" w:rsidRDefault="00A4765A">
      <w:pPr>
        <w:pBdr>
          <w:top w:val="nil"/>
          <w:left w:val="nil"/>
          <w:bottom w:val="nil"/>
          <w:right w:val="nil"/>
          <w:between w:val="nil"/>
        </w:pBdr>
        <w:spacing w:line="360" w:lineRule="auto"/>
        <w:jc w:val="both"/>
        <w:rPr>
          <w:rFonts w:ascii="Palatino Linotype" w:eastAsia="Palatino Linotype" w:hAnsi="Palatino Linotype" w:cs="Palatino Linotype"/>
          <w:highlight w:val="yellow"/>
        </w:rPr>
      </w:pPr>
    </w:p>
    <w:p w:rsidR="00A4765A" w:rsidRDefault="00A4765A">
      <w:pPr>
        <w:pBdr>
          <w:top w:val="nil"/>
          <w:left w:val="nil"/>
          <w:bottom w:val="nil"/>
          <w:right w:val="nil"/>
          <w:between w:val="nil"/>
        </w:pBdr>
        <w:spacing w:line="360" w:lineRule="auto"/>
        <w:jc w:val="both"/>
        <w:rPr>
          <w:rFonts w:ascii="Palatino Linotype" w:eastAsia="Palatino Linotype" w:hAnsi="Palatino Linotype" w:cs="Palatino Linotype"/>
          <w:highlight w:val="yellow"/>
        </w:rPr>
      </w:pPr>
    </w:p>
    <w:p w:rsidR="00A4765A" w:rsidRPr="005F3F5D" w:rsidRDefault="00935F32">
      <w:pPr>
        <w:spacing w:line="360" w:lineRule="auto"/>
        <w:jc w:val="both"/>
        <w:rPr>
          <w:rFonts w:ascii="Palatino Linotype" w:eastAsia="Palatino Linotype" w:hAnsi="Palatino Linotype" w:cs="Palatino Linotype"/>
        </w:rPr>
      </w:pPr>
      <w:r w:rsidRPr="005F3F5D">
        <w:rPr>
          <w:rFonts w:ascii="Palatino Linotype" w:eastAsia="Palatino Linotype" w:hAnsi="Palatino Linotype" w:cs="Palatino Linotype"/>
        </w:rPr>
        <w:t xml:space="preserve">Al respecto, la información </w:t>
      </w:r>
      <w:r w:rsidRPr="005F3F5D">
        <w:rPr>
          <w:rFonts w:ascii="Palatino Linotype" w:eastAsia="Palatino Linotype" w:hAnsi="Palatino Linotype" w:cs="Palatino Linotype"/>
          <w:b/>
        </w:rPr>
        <w:t>de los elementos que realizan funciones operativas, entre ellos su nombre debe ser protegido</w:t>
      </w:r>
      <w:r w:rsidRPr="005F3F5D">
        <w:rPr>
          <w:rFonts w:ascii="Palatino Linotype" w:eastAsia="Palatino Linotype" w:hAnsi="Palatino Linotype" w:cs="Palatino Linotype"/>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w:t>
      </w:r>
      <w:r w:rsidRPr="005F3F5D">
        <w:rPr>
          <w:rFonts w:ascii="Palatino Linotype" w:eastAsia="Palatino Linotype" w:hAnsi="Palatino Linotype" w:cs="Palatino Linotype"/>
        </w:rPr>
        <w:lastRenderedPageBreak/>
        <w:t>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rsidR="00A4765A" w:rsidRPr="005F3F5D" w:rsidRDefault="00A4765A">
      <w:pPr>
        <w:spacing w:line="360" w:lineRule="auto"/>
        <w:jc w:val="both"/>
        <w:rPr>
          <w:rFonts w:ascii="Palatino Linotype" w:eastAsia="Palatino Linotype" w:hAnsi="Palatino Linotype" w:cs="Palatino Linotype"/>
        </w:rPr>
      </w:pPr>
    </w:p>
    <w:p w:rsidR="00A4765A" w:rsidRPr="005F3F5D" w:rsidRDefault="00935F32">
      <w:pPr>
        <w:spacing w:line="360" w:lineRule="auto"/>
        <w:jc w:val="both"/>
        <w:rPr>
          <w:rFonts w:ascii="Palatino Linotype" w:eastAsia="Palatino Linotype" w:hAnsi="Palatino Linotype" w:cs="Palatino Linotype"/>
        </w:rPr>
      </w:pPr>
      <w:r w:rsidRPr="005F3F5D">
        <w:rPr>
          <w:rFonts w:ascii="Palatino Linotype" w:eastAsia="Palatino Linotype" w:hAnsi="Palatino Linotype" w:cs="Palatino Linotype"/>
        </w:rPr>
        <w:t xml:space="preserve">Robustece lo anterior el Criterio Reiterado 09/2024 emitido por este órgano Garante, el cual establece la clasificación del nombre del personal operativo de seguridad como información reservada; </w:t>
      </w:r>
    </w:p>
    <w:p w:rsidR="00A4765A" w:rsidRPr="005F3F5D" w:rsidRDefault="00935F32">
      <w:pPr>
        <w:ind w:left="708"/>
        <w:jc w:val="both"/>
        <w:rPr>
          <w:rFonts w:ascii="Palatino Linotype" w:eastAsia="Palatino Linotype" w:hAnsi="Palatino Linotype" w:cs="Palatino Linotype"/>
          <w:i/>
          <w:sz w:val="22"/>
          <w:szCs w:val="22"/>
        </w:rPr>
      </w:pPr>
      <w:r w:rsidRPr="005F3F5D">
        <w:rPr>
          <w:rFonts w:ascii="Palatino Linotype" w:eastAsia="Palatino Linotype" w:hAnsi="Palatino Linotype" w:cs="Palatino Linotype"/>
          <w:b/>
          <w:i/>
          <w:sz w:val="22"/>
          <w:szCs w:val="22"/>
        </w:rPr>
        <w:t xml:space="preserve">NOMBRE DE PERSONAL OPERATIVO DE  SEGURIDAD PÚBLICA. PROCEDE SU CLASIFICACIÓN COMO INFORMACIÓN RESERVADA. </w:t>
      </w:r>
      <w:r w:rsidRPr="005F3F5D">
        <w:rPr>
          <w:rFonts w:ascii="Palatino Linotype" w:eastAsia="Palatino Linotype" w:hAnsi="Palatino Linotype" w:cs="Palatino Linotype"/>
          <w:i/>
          <w:sz w:val="22"/>
          <w:szCs w:val="22"/>
        </w:rPr>
        <w:t>El nombre del personal operativo de seguridad pública debe clasificarse como información reservada previa acreditación de la prueba de daño, ya que su publicidad podría entorpecer las tareas de seguridad pública y poner en riesgo la vida, la seguridad o la salud del servidor público, ya que los vuelve plenamente identificables ante grupos delictivos. Sin embargo, esta causal de reserva por regla general no puede aplicar al personal administrativo y de mando medio y superior, al no realizar funciones operativas de seguridad pública.</w:t>
      </w:r>
    </w:p>
    <w:p w:rsidR="00A4765A" w:rsidRPr="005F3F5D" w:rsidRDefault="00A4765A">
      <w:pPr>
        <w:spacing w:line="276" w:lineRule="auto"/>
        <w:jc w:val="both"/>
        <w:rPr>
          <w:rFonts w:ascii="Palatino Linotype" w:eastAsia="Palatino Linotype" w:hAnsi="Palatino Linotype" w:cs="Palatino Linotype"/>
          <w:i/>
          <w:sz w:val="23"/>
          <w:szCs w:val="23"/>
        </w:rPr>
      </w:pPr>
    </w:p>
    <w:p w:rsidR="00A4765A" w:rsidRPr="005F3F5D" w:rsidRDefault="00935F32">
      <w:pPr>
        <w:spacing w:line="276" w:lineRule="auto"/>
        <w:ind w:firstLine="708"/>
        <w:jc w:val="both"/>
        <w:rPr>
          <w:rFonts w:ascii="Palatino Linotype" w:eastAsia="Palatino Linotype" w:hAnsi="Palatino Linotype" w:cs="Palatino Linotype"/>
          <w:b/>
          <w:i/>
          <w:sz w:val="23"/>
          <w:szCs w:val="23"/>
        </w:rPr>
      </w:pPr>
      <w:r w:rsidRPr="005F3F5D">
        <w:rPr>
          <w:rFonts w:ascii="Palatino Linotype" w:eastAsia="Palatino Linotype" w:hAnsi="Palatino Linotype" w:cs="Palatino Linotype"/>
          <w:b/>
          <w:i/>
          <w:sz w:val="23"/>
          <w:szCs w:val="23"/>
        </w:rPr>
        <w:t>Precedentes:</w:t>
      </w:r>
    </w:p>
    <w:p w:rsidR="00A4765A" w:rsidRPr="005F3F5D" w:rsidRDefault="00935F32">
      <w:pPr>
        <w:numPr>
          <w:ilvl w:val="0"/>
          <w:numId w:val="2"/>
        </w:numPr>
        <w:pBdr>
          <w:top w:val="nil"/>
          <w:left w:val="nil"/>
          <w:bottom w:val="nil"/>
          <w:right w:val="nil"/>
          <w:between w:val="nil"/>
        </w:pBdr>
        <w:ind w:left="360"/>
        <w:jc w:val="both"/>
        <w:rPr>
          <w:i/>
          <w:color w:val="000000"/>
          <w:sz w:val="20"/>
          <w:szCs w:val="20"/>
        </w:rPr>
      </w:pPr>
      <w:r w:rsidRPr="005F3F5D">
        <w:rPr>
          <w:rFonts w:ascii="Palatino Linotype" w:eastAsia="Palatino Linotype" w:hAnsi="Palatino Linotype" w:cs="Palatino Linotype"/>
          <w:i/>
          <w:color w:val="000000"/>
          <w:sz w:val="20"/>
          <w:szCs w:val="20"/>
        </w:rPr>
        <w:t>En materia de acceso a la información pública. 03148/INFOEM/IP/RR/2023 y Acumulados. Aprobada por unanimidad de votos emitiendo voto particular los Comisionados Luis Gustavo Parra Noriega y Guadalupe Ramírez Peña. Ayuntamiento de Tlalmanalco. Comisionada ponente María del Rosario Mejía Ayala. Sesión 04-2024.</w:t>
      </w:r>
    </w:p>
    <w:p w:rsidR="00A4765A" w:rsidRPr="005F3F5D" w:rsidRDefault="00935F32">
      <w:pPr>
        <w:numPr>
          <w:ilvl w:val="0"/>
          <w:numId w:val="2"/>
        </w:numPr>
        <w:pBdr>
          <w:top w:val="nil"/>
          <w:left w:val="nil"/>
          <w:bottom w:val="nil"/>
          <w:right w:val="nil"/>
          <w:between w:val="nil"/>
        </w:pBdr>
        <w:ind w:left="360"/>
        <w:jc w:val="both"/>
        <w:rPr>
          <w:i/>
          <w:color w:val="000000"/>
        </w:rPr>
      </w:pPr>
      <w:r w:rsidRPr="005F3F5D">
        <w:rPr>
          <w:rFonts w:ascii="Palatino Linotype" w:eastAsia="Palatino Linotype" w:hAnsi="Palatino Linotype" w:cs="Palatino Linotype"/>
          <w:i/>
          <w:color w:val="000000"/>
          <w:sz w:val="20"/>
          <w:szCs w:val="20"/>
        </w:rPr>
        <w:t>En materia de acceso a la información pública. 06111/INFOEM/IP/RR/2023. Aprobada por unanimidad de votos emitiendo voto particular los Comisionados José Martínez Vilchis, María del Rosario Mejía Ayala, Sharon Cristina Morales Martínez, Luis Gustavo Parra Noriega y Guadalupe Ramírez Peña. Ayuntamiento de Nicolás Romero. Comisionada ponente Sharon Cristina Morales Martínez. Sesión 07-2024.</w:t>
      </w:r>
    </w:p>
    <w:p w:rsidR="00A4765A" w:rsidRPr="005F3F5D" w:rsidRDefault="00935F32">
      <w:pPr>
        <w:numPr>
          <w:ilvl w:val="0"/>
          <w:numId w:val="2"/>
        </w:numPr>
        <w:pBdr>
          <w:top w:val="nil"/>
          <w:left w:val="nil"/>
          <w:bottom w:val="nil"/>
          <w:right w:val="nil"/>
          <w:between w:val="nil"/>
        </w:pBdr>
        <w:ind w:left="360"/>
        <w:jc w:val="both"/>
        <w:rPr>
          <w:i/>
          <w:color w:val="000000"/>
        </w:rPr>
      </w:pPr>
      <w:r w:rsidRPr="005F3F5D">
        <w:rPr>
          <w:rFonts w:ascii="Palatino Linotype" w:eastAsia="Palatino Linotype" w:hAnsi="Palatino Linotype" w:cs="Palatino Linotype"/>
          <w:i/>
          <w:color w:val="000000"/>
          <w:sz w:val="20"/>
          <w:szCs w:val="20"/>
        </w:rPr>
        <w:t>En materia de acceso a la información pública. 04497/INFOEM/IP/RR/2023. Aprobada por unanimidad de votos emitiendo voto particular los Comisionados Luis Gustavo Parra Noriega y Guadalupe Ramírez Peña. Ayuntamiento de Tezoyuca. Comisionada ponente Sharon Cristina Morales Martínez. Sesión 07-2024.</w:t>
      </w:r>
    </w:p>
    <w:p w:rsidR="00A4765A" w:rsidRPr="005F3F5D" w:rsidRDefault="00A4765A">
      <w:pPr>
        <w:spacing w:line="360" w:lineRule="auto"/>
        <w:jc w:val="both"/>
        <w:rPr>
          <w:rFonts w:ascii="Palatino Linotype" w:eastAsia="Palatino Linotype" w:hAnsi="Palatino Linotype" w:cs="Palatino Linotype"/>
          <w:i/>
        </w:rPr>
      </w:pPr>
    </w:p>
    <w:p w:rsidR="00A4765A" w:rsidRPr="005F3F5D" w:rsidRDefault="00A4765A">
      <w:pPr>
        <w:spacing w:line="360" w:lineRule="auto"/>
        <w:jc w:val="both"/>
        <w:rPr>
          <w:rFonts w:ascii="Palatino Linotype" w:eastAsia="Palatino Linotype" w:hAnsi="Palatino Linotype" w:cs="Palatino Linotype"/>
        </w:rPr>
      </w:pPr>
    </w:p>
    <w:p w:rsidR="00A4765A" w:rsidRPr="005F3F5D" w:rsidRDefault="00935F32">
      <w:pPr>
        <w:pBdr>
          <w:top w:val="nil"/>
          <w:left w:val="nil"/>
          <w:bottom w:val="nil"/>
          <w:right w:val="nil"/>
          <w:between w:val="nil"/>
        </w:pBdr>
        <w:spacing w:line="360" w:lineRule="auto"/>
        <w:jc w:val="both"/>
      </w:pPr>
      <w:r w:rsidRPr="005F3F5D">
        <w:rPr>
          <w:rFonts w:ascii="Palatino Linotype" w:eastAsia="Palatino Linotype" w:hAnsi="Palatino Linotype" w:cs="Palatino Linotype"/>
        </w:rPr>
        <w:lastRenderedPageBreak/>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rsidR="00A4765A" w:rsidRPr="005F3F5D" w:rsidRDefault="00A4765A">
      <w:pPr>
        <w:spacing w:line="360" w:lineRule="auto"/>
      </w:pPr>
    </w:p>
    <w:p w:rsidR="00A4765A" w:rsidRPr="005F3F5D" w:rsidRDefault="00935F32">
      <w:pPr>
        <w:pBdr>
          <w:top w:val="nil"/>
          <w:left w:val="nil"/>
          <w:bottom w:val="nil"/>
          <w:right w:val="nil"/>
          <w:between w:val="nil"/>
        </w:pBdr>
        <w:spacing w:line="360" w:lineRule="auto"/>
        <w:jc w:val="both"/>
      </w:pPr>
      <w:r w:rsidRPr="005F3F5D">
        <w:rPr>
          <w:rFonts w:ascii="Palatino Linotype" w:eastAsia="Palatino Linotype" w:hAnsi="Palatino Linotype" w:cs="Palatino Linotype"/>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rsidR="00A4765A" w:rsidRPr="005F3F5D" w:rsidRDefault="00A4765A">
      <w:pPr>
        <w:spacing w:line="360" w:lineRule="auto"/>
      </w:pPr>
    </w:p>
    <w:p w:rsidR="00A4765A" w:rsidRPr="005F3F5D" w:rsidRDefault="00935F32">
      <w:pPr>
        <w:pBdr>
          <w:top w:val="nil"/>
          <w:left w:val="nil"/>
          <w:bottom w:val="nil"/>
          <w:right w:val="nil"/>
          <w:between w:val="nil"/>
        </w:pBdr>
        <w:spacing w:line="360" w:lineRule="auto"/>
        <w:jc w:val="both"/>
      </w:pPr>
      <w:r w:rsidRPr="005F3F5D">
        <w:rPr>
          <w:rFonts w:ascii="Palatino Linotype" w:eastAsia="Palatino Linotype" w:hAnsi="Palatino Linotype" w:cs="Palatino Linotype"/>
        </w:rPr>
        <w:t>En ese entendido, la leyenda de clasificación que se genere, deberá establecer ambos supuestos de clasificación: reserva y confidencialidad, en congruencia con los requisitos establecidos en los lineamientos citados.</w:t>
      </w:r>
    </w:p>
    <w:p w:rsidR="00A4765A" w:rsidRPr="005F3F5D" w:rsidRDefault="00A4765A">
      <w:pPr>
        <w:spacing w:line="360" w:lineRule="auto"/>
      </w:pPr>
    </w:p>
    <w:p w:rsidR="00A4765A" w:rsidRPr="005F3F5D" w:rsidRDefault="00935F32">
      <w:pPr>
        <w:pBdr>
          <w:top w:val="nil"/>
          <w:left w:val="nil"/>
          <w:bottom w:val="nil"/>
          <w:right w:val="nil"/>
          <w:between w:val="nil"/>
        </w:pBdr>
        <w:spacing w:line="360" w:lineRule="auto"/>
        <w:jc w:val="both"/>
      </w:pPr>
      <w:r w:rsidRPr="005F3F5D">
        <w:rPr>
          <w:rFonts w:ascii="Palatino Linotype" w:eastAsia="Palatino Linotype" w:hAnsi="Palatino Linotype" w:cs="Palatino Linotype"/>
        </w:rPr>
        <w:t xml:space="preserve">En este marco, cabe señalar que, si bien es cierto este Instituto de Transparencia, Acceso a la Información Pública y Protección de Datos Personales del Estado de México y Municipios tiene la misión de garantizar el derecho de acceso a la información pública de </w:t>
      </w:r>
      <w:r w:rsidRPr="005F3F5D">
        <w:rPr>
          <w:rFonts w:ascii="Palatino Linotype" w:eastAsia="Palatino Linotype" w:hAnsi="Palatino Linotype" w:cs="Palatino Linotype"/>
        </w:rPr>
        <w:lastRenderedPageBreak/>
        <w:t>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rsidR="00A4765A" w:rsidRPr="005F3F5D" w:rsidRDefault="00A4765A"/>
    <w:p w:rsidR="00A4765A" w:rsidRPr="005F3F5D" w:rsidRDefault="00935F32">
      <w:pPr>
        <w:pBdr>
          <w:top w:val="nil"/>
          <w:left w:val="nil"/>
          <w:bottom w:val="nil"/>
          <w:right w:val="nil"/>
          <w:between w:val="nil"/>
        </w:pBdr>
        <w:ind w:left="864" w:right="864"/>
        <w:jc w:val="both"/>
      </w:pPr>
      <w:r w:rsidRPr="005F3F5D">
        <w:rPr>
          <w:rFonts w:ascii="Palatino Linotype" w:eastAsia="Palatino Linotype" w:hAnsi="Palatino Linotype" w:cs="Palatino Linotype"/>
          <w:b/>
          <w:i/>
        </w:rPr>
        <w:t>Nombres de servidores públicos dedicados a actividades en materia de seguridad, por excepción pueden considerarse información reservada.</w:t>
      </w:r>
      <w:r w:rsidRPr="005F3F5D">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A4765A" w:rsidRPr="005F3F5D" w:rsidRDefault="00A4765A"/>
    <w:p w:rsidR="00A4765A" w:rsidRPr="005F3F5D" w:rsidRDefault="00935F32">
      <w:pPr>
        <w:pBdr>
          <w:top w:val="nil"/>
          <w:left w:val="nil"/>
          <w:bottom w:val="nil"/>
          <w:right w:val="nil"/>
          <w:between w:val="nil"/>
        </w:pBdr>
        <w:spacing w:line="360" w:lineRule="auto"/>
        <w:jc w:val="both"/>
      </w:pPr>
      <w:r w:rsidRPr="005F3F5D">
        <w:rPr>
          <w:rFonts w:ascii="Palatino Linotype" w:eastAsia="Palatino Linotype" w:hAnsi="Palatino Linotype" w:cs="Palatino Linotype"/>
        </w:rPr>
        <w:lastRenderedPageBreak/>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5F3F5D">
        <w:rPr>
          <w:rFonts w:ascii="Palatino Linotype" w:eastAsia="Palatino Linotype" w:hAnsi="Palatino Linotype" w:cs="Palatino Linotype"/>
          <w:b/>
        </w:rPr>
        <w:t>funciones de carácter operativo.</w:t>
      </w:r>
    </w:p>
    <w:p w:rsidR="00A4765A" w:rsidRPr="005F3F5D" w:rsidRDefault="00A4765A">
      <w:pPr>
        <w:spacing w:line="360" w:lineRule="auto"/>
      </w:pPr>
    </w:p>
    <w:p w:rsidR="00A4765A" w:rsidRPr="005F3F5D" w:rsidRDefault="00935F32">
      <w:pPr>
        <w:pBdr>
          <w:top w:val="nil"/>
          <w:left w:val="nil"/>
          <w:bottom w:val="nil"/>
          <w:right w:val="nil"/>
          <w:between w:val="nil"/>
        </w:pBdr>
        <w:spacing w:line="360" w:lineRule="auto"/>
        <w:jc w:val="both"/>
      </w:pPr>
      <w:r w:rsidRPr="005F3F5D">
        <w:rPr>
          <w:rFonts w:ascii="Palatino Linotype" w:eastAsia="Palatino Linotype" w:hAnsi="Palatino Linotype" w:cs="Palatino Linotype"/>
        </w:rPr>
        <w:t>Sirven de sustento a lo anterior las tesis jurisprudenciales emitidas por la Suprema corte de Justicia de la Nación, que son del literal siguiente:</w:t>
      </w:r>
    </w:p>
    <w:p w:rsidR="00A4765A" w:rsidRPr="005F3F5D" w:rsidRDefault="00A4765A">
      <w:pPr>
        <w:spacing w:line="360" w:lineRule="auto"/>
      </w:pPr>
    </w:p>
    <w:p w:rsidR="00A4765A" w:rsidRPr="005F3F5D" w:rsidRDefault="00935F32">
      <w:pPr>
        <w:pBdr>
          <w:top w:val="nil"/>
          <w:left w:val="nil"/>
          <w:bottom w:val="nil"/>
          <w:right w:val="nil"/>
          <w:between w:val="nil"/>
        </w:pBdr>
        <w:ind w:left="864" w:right="864"/>
        <w:jc w:val="both"/>
      </w:pPr>
      <w:r w:rsidRPr="005F3F5D">
        <w:rPr>
          <w:rFonts w:ascii="Palatino Linotype" w:eastAsia="Palatino Linotype" w:hAnsi="Palatino Linotype" w:cs="Palatino Linotype"/>
          <w:b/>
          <w:i/>
        </w:rPr>
        <w:t xml:space="preserve">DERECHO A LA INFORMACIÓN. SU EJERCICIO SE ENCUENTRA LIMITADO TANTO POR LOS INTERESES NACIONALES Y DE LA SOCIEDAD, COMO POR LOS DERECHOS DE TERCEROS. </w:t>
      </w:r>
      <w:r w:rsidRPr="005F3F5D">
        <w:rPr>
          <w:rFonts w:ascii="Palatino Linotype" w:eastAsia="Palatino Linotype" w:hAnsi="Palatino Linotype" w:cs="Palatino Linotype"/>
          <w:i/>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5F3F5D">
        <w:rPr>
          <w:rFonts w:ascii="Palatino Linotype" w:eastAsia="Palatino Linotype" w:hAnsi="Palatino Linotype" w:cs="Palatino Linotype"/>
          <w:b/>
          <w:i/>
        </w:rPr>
        <w:t>restringen el acceso a la información en esta materia, en razón de que su conocimiento público puede generar daños a los intereses nacionales y, por el otro, sancionan la inobservancia de esa reserva;</w:t>
      </w:r>
      <w:r w:rsidRPr="005F3F5D">
        <w:rPr>
          <w:rFonts w:ascii="Palatino Linotype" w:eastAsia="Palatino Linotype" w:hAnsi="Palatino Linotype" w:cs="Palatino Linotype"/>
          <w:i/>
        </w:rPr>
        <w:t xml:space="preserve"> por lo que hace al interés social, se cuenta con normas que tienden a proteger la averiguación de los delitos, la salud y la moral públicas, </w:t>
      </w:r>
      <w:r w:rsidRPr="005F3F5D">
        <w:rPr>
          <w:rFonts w:ascii="Palatino Linotype" w:eastAsia="Palatino Linotype" w:hAnsi="Palatino Linotype" w:cs="Palatino Linotype"/>
          <w:b/>
          <w:i/>
        </w:rPr>
        <w:t xml:space="preserve">mientras que por lo que respecta a la protección de la </w:t>
      </w:r>
      <w:r w:rsidRPr="005F3F5D">
        <w:rPr>
          <w:rFonts w:ascii="Palatino Linotype" w:eastAsia="Palatino Linotype" w:hAnsi="Palatino Linotype" w:cs="Palatino Linotype"/>
          <w:b/>
          <w:i/>
        </w:rPr>
        <w:lastRenderedPageBreak/>
        <w:t>persona existen normas que protegen el derecho a la vida o a la privacidad de los gobernados.</w:t>
      </w:r>
    </w:p>
    <w:p w:rsidR="00A4765A" w:rsidRPr="005F3F5D" w:rsidRDefault="00A4765A"/>
    <w:p w:rsidR="00A4765A" w:rsidRPr="005F3F5D" w:rsidRDefault="00935F32">
      <w:pPr>
        <w:pBdr>
          <w:top w:val="nil"/>
          <w:left w:val="nil"/>
          <w:bottom w:val="nil"/>
          <w:right w:val="nil"/>
          <w:between w:val="nil"/>
        </w:pBdr>
        <w:ind w:left="864" w:right="864"/>
        <w:jc w:val="both"/>
      </w:pPr>
      <w:r w:rsidRPr="005F3F5D">
        <w:rPr>
          <w:rFonts w:ascii="Palatino Linotype" w:eastAsia="Palatino Linotype" w:hAnsi="Palatino Linotype" w:cs="Palatino Linotype"/>
          <w:b/>
          <w:i/>
        </w:rPr>
        <w:t>TRANSPARENCIA Y ACCESO A LA INFORMACIÓN PÚBLICA GUBERNAMENTAL. EL ARTÍCULO 14, FRACCIÓN I, DE LA LEY FEDERAL RELATIVA, NO VIOLA LA GARANTÍA DE ACCESO A LA INFORMACIÓN.</w:t>
      </w:r>
      <w:r w:rsidRPr="005F3F5D">
        <w:rPr>
          <w:rFonts w:ascii="Palatino Linotype" w:eastAsia="Palatino Linotype" w:hAnsi="Palatino Linotype" w:cs="Palatino Linotype"/>
          <w:i/>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5F3F5D">
        <w:rPr>
          <w:rFonts w:ascii="Palatino Linotype" w:eastAsia="Palatino Linotype" w:hAnsi="Palatino Linotype" w:cs="Palatino Linotype"/>
          <w:b/>
          <w:i/>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5F3F5D">
        <w:rPr>
          <w:rFonts w:ascii="Palatino Linotype" w:eastAsia="Palatino Linotype" w:hAnsi="Palatino Linotype" w:cs="Palatino Linotype"/>
          <w:i/>
        </w:rPr>
        <w:t>, la cual debe ser adecuada y necesaria para alcanzar el fin perseguido, de manera que las ventajas obtenidas con la reserva compensen el sacrificio que ésta implique para los titulares de la garantía individual mencionada o para la sociedad en general.</w:t>
      </w:r>
    </w:p>
    <w:p w:rsidR="00A4765A" w:rsidRPr="005F3F5D" w:rsidRDefault="00A4765A"/>
    <w:p w:rsidR="00A4765A" w:rsidRDefault="00935F32">
      <w:pPr>
        <w:pBdr>
          <w:top w:val="nil"/>
          <w:left w:val="nil"/>
          <w:bottom w:val="nil"/>
          <w:right w:val="nil"/>
          <w:between w:val="nil"/>
        </w:pBdr>
        <w:spacing w:line="360" w:lineRule="auto"/>
        <w:jc w:val="both"/>
      </w:pPr>
      <w:r w:rsidRPr="005F3F5D">
        <w:rPr>
          <w:rFonts w:ascii="Palatino Linotype" w:eastAsia="Palatino Linotype" w:hAnsi="Palatino Linotype" w:cs="Palatino Linotype"/>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w:t>
      </w:r>
      <w:r w:rsidRPr="005F3F5D">
        <w:rPr>
          <w:rFonts w:ascii="Palatino Linotype" w:eastAsia="Palatino Linotype" w:hAnsi="Palatino Linotype" w:cs="Palatino Linotype"/>
        </w:rPr>
        <w:lastRenderedPageBreak/>
        <w:t xml:space="preserve">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5F3F5D">
        <w:rPr>
          <w:rFonts w:ascii="Palatino Linotype" w:eastAsia="Palatino Linotype" w:hAnsi="Palatino Linotype" w:cs="Palatino Linotype"/>
          <w:b/>
          <w:u w:val="single"/>
        </w:rPr>
        <w:t>razones, motivos o circunstancias especiales</w:t>
      </w:r>
      <w:r w:rsidRPr="005F3F5D">
        <w:rPr>
          <w:rFonts w:ascii="Palatino Linotype" w:eastAsia="Palatino Linotype" w:hAnsi="Palatino Linotype" w:cs="Palatino Linotype"/>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rsidR="00A4765A" w:rsidRDefault="00A4765A">
      <w:pPr>
        <w:spacing w:line="360" w:lineRule="auto"/>
        <w:jc w:val="both"/>
        <w:rPr>
          <w:rFonts w:ascii="Palatino Linotype" w:eastAsia="Palatino Linotype" w:hAnsi="Palatino Linotype" w:cs="Palatino Linotype"/>
        </w:rPr>
      </w:pPr>
    </w:p>
    <w:p w:rsidR="00A4765A" w:rsidRDefault="00935F32">
      <w:pPr>
        <w:tabs>
          <w:tab w:val="left" w:pos="709"/>
        </w:tabs>
        <w:spacing w:before="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mérito de lo expuesto en líneas anteriores, resultan parcialmente fundados los motivos de inconformidad vertidos por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 xml:space="preserve">por ello con fundamento en el artículo 186 fracción III de la Ley de Transparencia y Acceso a la Información Pública del Estado de México y Municipios, se </w:t>
      </w:r>
      <w:r>
        <w:rPr>
          <w:rFonts w:ascii="Palatino Linotype" w:eastAsia="Palatino Linotype" w:hAnsi="Palatino Linotype" w:cs="Palatino Linotype"/>
          <w:b/>
        </w:rPr>
        <w:t xml:space="preserve">MODIFICA </w:t>
      </w:r>
      <w:r>
        <w:rPr>
          <w:rFonts w:ascii="Palatino Linotype" w:eastAsia="Palatino Linotype" w:hAnsi="Palatino Linotype" w:cs="Palatino Linotype"/>
        </w:rPr>
        <w:t>l</w:t>
      </w:r>
      <w:r>
        <w:t>a</w:t>
      </w:r>
      <w:r>
        <w:rPr>
          <w:rFonts w:ascii="Palatino Linotype" w:eastAsia="Palatino Linotype" w:hAnsi="Palatino Linotype" w:cs="Palatino Linotype"/>
        </w:rPr>
        <w:t xml:space="preserve"> respuesta a la solicitud de información </w:t>
      </w:r>
      <w:r>
        <w:rPr>
          <w:rFonts w:ascii="Palatino Linotype" w:eastAsia="Palatino Linotype" w:hAnsi="Palatino Linotype" w:cs="Palatino Linotype"/>
          <w:b/>
        </w:rPr>
        <w:t xml:space="preserve">00075/CHAPULTE/IP/2024, </w:t>
      </w:r>
      <w:r>
        <w:rPr>
          <w:rFonts w:ascii="Palatino Linotype" w:eastAsia="Palatino Linotype" w:hAnsi="Palatino Linotype" w:cs="Palatino Linotype"/>
        </w:rPr>
        <w:t xml:space="preserve">que ha sido materia del presente fallo. </w:t>
      </w:r>
    </w:p>
    <w:p w:rsidR="005F3F5D" w:rsidRDefault="00935F32">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antes expuesto y fundado es de resolverse y, </w:t>
      </w:r>
    </w:p>
    <w:p w:rsidR="005F3F5D" w:rsidRDefault="005F3F5D">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p>
    <w:p w:rsidR="00A4765A" w:rsidRDefault="00935F32">
      <w:pPr>
        <w:spacing w:before="24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SE    RESUELVE</w:t>
      </w:r>
    </w:p>
    <w:p w:rsidR="00A4765A" w:rsidRDefault="00935F32">
      <w:pPr>
        <w:spacing w:before="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Se </w:t>
      </w:r>
      <w:r>
        <w:rPr>
          <w:rFonts w:ascii="Palatino Linotype" w:eastAsia="Palatino Linotype" w:hAnsi="Palatino Linotype" w:cs="Palatino Linotype"/>
          <w:b/>
        </w:rPr>
        <w:t>MODIFICA</w:t>
      </w:r>
      <w:r>
        <w:rPr>
          <w:b/>
        </w:rPr>
        <w:t xml:space="preserve"> </w:t>
      </w:r>
      <w:r>
        <w:rPr>
          <w:rFonts w:ascii="Palatino Linotype" w:eastAsia="Palatino Linotype" w:hAnsi="Palatino Linotype" w:cs="Palatino Linotype"/>
        </w:rPr>
        <w:t xml:space="preserve">la respuesta entregada por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a la solicitud de información</w:t>
      </w:r>
      <w:r>
        <w:t xml:space="preserve"> con</w:t>
      </w:r>
      <w:r>
        <w:rPr>
          <w:rFonts w:ascii="Palatino Linotype" w:eastAsia="Palatino Linotype" w:hAnsi="Palatino Linotype" w:cs="Palatino Linotype"/>
        </w:rPr>
        <w:t xml:space="preserve"> número </w:t>
      </w:r>
      <w:r>
        <w:rPr>
          <w:rFonts w:ascii="Palatino Linotype" w:eastAsia="Palatino Linotype" w:hAnsi="Palatino Linotype" w:cs="Palatino Linotype"/>
          <w:b/>
        </w:rPr>
        <w:t>00075/CHAPULTE/IP/2024</w:t>
      </w:r>
      <w:r>
        <w:rPr>
          <w:rFonts w:ascii="Verdana" w:eastAsia="Verdana" w:hAnsi="Verdana" w:cs="Verdana"/>
          <w:b/>
        </w:rPr>
        <w:t xml:space="preserve"> </w:t>
      </w:r>
      <w:r>
        <w:rPr>
          <w:rFonts w:ascii="Palatino Linotype" w:eastAsia="Palatino Linotype" w:hAnsi="Palatino Linotype" w:cs="Palatino Linotype"/>
          <w:b/>
        </w:rPr>
        <w:t xml:space="preserve">por </w:t>
      </w:r>
      <w:r>
        <w:rPr>
          <w:rFonts w:ascii="Palatino Linotype" w:eastAsia="Palatino Linotype" w:hAnsi="Palatino Linotype" w:cs="Palatino Linotype"/>
        </w:rPr>
        <w:t xml:space="preserve">resultar parcialmente fundados los motivos de inconformidad que arguye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 xml:space="preserve">Considerando CUARTO </w:t>
      </w:r>
      <w:r>
        <w:rPr>
          <w:rFonts w:ascii="Palatino Linotype" w:eastAsia="Palatino Linotype" w:hAnsi="Palatino Linotype" w:cs="Palatino Linotype"/>
        </w:rPr>
        <w:t xml:space="preserve">de la presente resolución. </w:t>
      </w:r>
    </w:p>
    <w:p w:rsidR="00A4765A" w:rsidRDefault="00935F32">
      <w:pPr>
        <w:spacing w:before="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rPr>
        <w:t xml:space="preserve">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haga entrega al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 xml:space="preserve">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de esta resolución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través del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de lo siguiente: </w:t>
      </w:r>
    </w:p>
    <w:p w:rsidR="00A4765A" w:rsidRDefault="00A4765A"/>
    <w:p w:rsidR="00A4765A" w:rsidRDefault="00A4765A"/>
    <w:p w:rsidR="00A4765A" w:rsidRDefault="00935F3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Documento en el que conste el cargo de los servidores públicos adscritos </w:t>
      </w:r>
      <w:r w:rsidRPr="005F3F5D">
        <w:rPr>
          <w:rFonts w:ascii="Palatino Linotype" w:eastAsia="Palatino Linotype" w:hAnsi="Palatino Linotype" w:cs="Palatino Linotype"/>
          <w:color w:val="000000"/>
        </w:rPr>
        <w:t>al Sujeto Obligado al veintisiete de agosto de dos mil veinticuatro.</w:t>
      </w:r>
      <w:r>
        <w:rPr>
          <w:rFonts w:ascii="Palatino Linotype" w:eastAsia="Palatino Linotype" w:hAnsi="Palatino Linotype" w:cs="Palatino Linotype"/>
          <w:color w:val="000000"/>
        </w:rPr>
        <w:t xml:space="preserve"> </w:t>
      </w:r>
    </w:p>
    <w:p w:rsidR="00A4765A" w:rsidRDefault="00A4765A">
      <w:pPr>
        <w:spacing w:before="240"/>
        <w:rPr>
          <w:i/>
        </w:rPr>
      </w:pPr>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b/>
        </w:rPr>
        <w:t>.</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la presente resolución al Titular de la Unidad de Transparencia del Sujeto Obligado, </w:t>
      </w:r>
      <w:r>
        <w:rPr>
          <w:rFonts w:ascii="Palatino Linotype" w:eastAsia="Palatino Linotype" w:hAnsi="Palatino Linotype" w:cs="Palatino Linotype"/>
          <w:b/>
        </w:rPr>
        <w:t xml:space="preserve">vía </w:t>
      </w:r>
      <w:r>
        <w:rPr>
          <w:rFonts w:ascii="Palatino Linotype" w:eastAsia="Palatino Linotype" w:hAnsi="Palatino Linotype" w:cs="Palatino Linotype"/>
        </w:rPr>
        <w:t xml:space="preserve">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A4765A" w:rsidRDefault="00A4765A">
      <w:pPr>
        <w:spacing w:line="360" w:lineRule="auto"/>
        <w:jc w:val="both"/>
        <w:rPr>
          <w:rFonts w:ascii="Palatino Linotype" w:eastAsia="Palatino Linotype" w:hAnsi="Palatino Linotype" w:cs="Palatino Linotype"/>
        </w:rPr>
      </w:pPr>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6"/>
          <w:szCs w:val="26"/>
        </w:rPr>
        <w:t>CUARTO.</w:t>
      </w:r>
      <w:r>
        <w:rPr>
          <w:rFonts w:ascii="Palatino Linotype" w:eastAsia="Palatino Linotype" w:hAnsi="Palatino Linotype" w:cs="Palatino Linotype"/>
          <w:b/>
        </w:rPr>
        <w:t xml:space="preserve">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A4765A" w:rsidRDefault="00A4765A">
      <w:pPr>
        <w:spacing w:line="360" w:lineRule="auto"/>
        <w:jc w:val="both"/>
        <w:rPr>
          <w:rFonts w:ascii="Palatino Linotype" w:eastAsia="Palatino Linotype" w:hAnsi="Palatino Linotype" w:cs="Palatino Linotype"/>
        </w:rPr>
      </w:pPr>
      <w:bookmarkStart w:id="1" w:name="_gjdgxs" w:colFirst="0" w:colLast="0"/>
      <w:bookmarkEnd w:id="1"/>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 xml:space="preserve">QUINTO. </w:t>
      </w:r>
      <w:r>
        <w:rPr>
          <w:rFonts w:ascii="Palatino Linotype" w:eastAsia="Palatino Linotype" w:hAnsi="Palatino Linotype" w:cs="Palatino Linotype"/>
          <w:b/>
        </w:rPr>
        <w:t xml:space="preserve">NOTIFÍQUESE </w:t>
      </w:r>
      <w:r>
        <w:rPr>
          <w:rFonts w:ascii="Palatino Linotype" w:eastAsia="Palatino Linotype" w:hAnsi="Palatino Linotype" w:cs="Palatino Linotype"/>
        </w:rPr>
        <w:t xml:space="preserve">la presente resolución al </w:t>
      </w:r>
      <w:r>
        <w:rPr>
          <w:rFonts w:ascii="Palatino Linotype" w:eastAsia="Palatino Linotype" w:hAnsi="Palatino Linotype" w:cs="Palatino Linotype"/>
          <w:b/>
        </w:rPr>
        <w:t xml:space="preserve">RECURRENTE vía </w:t>
      </w:r>
      <w:r>
        <w:rPr>
          <w:rFonts w:ascii="Palatino Linotype" w:eastAsia="Palatino Linotype" w:hAnsi="Palatino Linotype" w:cs="Palatino Linotype"/>
        </w:rPr>
        <w:t xml:space="preserve">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y hágase de su conocimiento que, </w:t>
      </w:r>
      <w:r>
        <w:rPr>
          <w:rFonts w:ascii="Palatino Linotype" w:eastAsia="Palatino Linotype" w:hAnsi="Palatino Linotype" w:cs="Palatino Linotype"/>
          <w:color w:val="222222"/>
          <w:highlight w:val="white"/>
        </w:rPr>
        <w:t xml:space="preserve">de conformidad con lo </w:t>
      </w:r>
      <w:r>
        <w:rPr>
          <w:rFonts w:ascii="Palatino Linotype" w:eastAsia="Palatino Linotype" w:hAnsi="Palatino Linotype" w:cs="Palatino Linotype"/>
          <w:color w:val="222222"/>
        </w:rPr>
        <w:t xml:space="preserve">establecido en el artículo 196, de la Ley de Transparencia y Acceso a la Información Pública del Estado de México y Municipios, podrá promover el Juicio de Amparo en los términos de las </w:t>
      </w:r>
      <w:r>
        <w:rPr>
          <w:rFonts w:ascii="Palatino Linotype" w:eastAsia="Palatino Linotype" w:hAnsi="Palatino Linotype" w:cs="Palatino Linotype"/>
          <w:color w:val="222222"/>
          <w:highlight w:val="white"/>
        </w:rPr>
        <w:t>leyes aplicables.</w:t>
      </w:r>
    </w:p>
    <w:p w:rsidR="00A4765A" w:rsidRDefault="00A4765A">
      <w:pPr>
        <w:spacing w:line="360" w:lineRule="auto"/>
        <w:jc w:val="both"/>
        <w:rPr>
          <w:rFonts w:ascii="Palatino Linotype" w:eastAsia="Palatino Linotype" w:hAnsi="Palatino Linotype" w:cs="Palatino Linotype"/>
          <w:color w:val="222222"/>
          <w:highlight w:val="white"/>
        </w:rPr>
      </w:pPr>
    </w:p>
    <w:p w:rsidR="00A4765A" w:rsidRDefault="00935F3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w:t>
      </w:r>
      <w:r>
        <w:rPr>
          <w:rFonts w:ascii="Palatino Linotype" w:eastAsia="Palatino Linotype" w:hAnsi="Palatino Linotype" w:cs="Palatino Linotype"/>
          <w:b/>
        </w:rPr>
        <w:t>UNANIMIDAD DE VOTOS</w:t>
      </w:r>
      <w:r>
        <w:rPr>
          <w:rFonts w:ascii="Palatino Linotype" w:eastAsia="Palatino Linotype" w:hAnsi="Palatino Linotype" w:cs="Palatino Linotype"/>
        </w:rPr>
        <w:t xml:space="preserve">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D22180">
        <w:rPr>
          <w:rFonts w:ascii="Palatino Linotype" w:eastAsia="Palatino Linotype" w:hAnsi="Palatino Linotype" w:cs="Palatino Linotype"/>
        </w:rPr>
        <w:t xml:space="preserve"> (EMITIENDO VOTO PARTICULAR)</w:t>
      </w:r>
      <w:r>
        <w:rPr>
          <w:rFonts w:ascii="Palatino Linotype" w:eastAsia="Palatino Linotype" w:hAnsi="Palatino Linotype" w:cs="Palatino Linotype"/>
        </w:rPr>
        <w:t xml:space="preserve"> Y GUADALUPE RAMÍREZ PEÑA</w:t>
      </w:r>
      <w:r w:rsidR="00D22180">
        <w:rPr>
          <w:rFonts w:ascii="Palatino Linotype" w:eastAsia="Palatino Linotype" w:hAnsi="Palatino Linotype" w:cs="Palatino Linotype"/>
        </w:rPr>
        <w:t xml:space="preserve"> (EMITIENDO VOTO PARTICULAR)</w:t>
      </w:r>
      <w:r>
        <w:rPr>
          <w:rFonts w:ascii="Palatino Linotype" w:eastAsia="Palatino Linotype" w:hAnsi="Palatino Linotype" w:cs="Palatino Linotype"/>
        </w:rPr>
        <w:t xml:space="preserve">, EN LA </w:t>
      </w:r>
      <w:r>
        <w:rPr>
          <w:rFonts w:ascii="Palatino Linotype" w:eastAsia="Palatino Linotype" w:hAnsi="Palatino Linotype" w:cs="Palatino Linotype"/>
          <w:b/>
        </w:rPr>
        <w:t>TRIGÉSIMA OCTAVA</w:t>
      </w:r>
      <w:r>
        <w:rPr>
          <w:rFonts w:ascii="Palatino Linotype" w:eastAsia="Palatino Linotype" w:hAnsi="Palatino Linotype" w:cs="Palatino Linotype"/>
        </w:rPr>
        <w:t xml:space="preserve"> SESIÓN ORDINARIA CELEBRADA EL </w:t>
      </w:r>
      <w:r>
        <w:rPr>
          <w:rFonts w:ascii="Palatino Linotype" w:eastAsia="Palatino Linotype" w:hAnsi="Palatino Linotype" w:cs="Palatino Linotype"/>
          <w:b/>
        </w:rPr>
        <w:t xml:space="preserve">SEIS DE NOVIEMBRE DE DOS MIL VEINTICUATRO, </w:t>
      </w:r>
      <w:r>
        <w:rPr>
          <w:rFonts w:ascii="Palatino Linotype" w:eastAsia="Palatino Linotype" w:hAnsi="Palatino Linotype" w:cs="Palatino Linotype"/>
        </w:rPr>
        <w:t>ANTE EL SECRETARIO TÉCNICO DEL PLENO, ALEXIS TAPIA RAMÍREZ. -----------------------------------------------------------------------------------------------------------------------------------------------------------------------------------------------------</w:t>
      </w:r>
      <w:r w:rsidR="005F3F5D">
        <w:rPr>
          <w:rFonts w:ascii="Palatino Linotype" w:eastAsia="Palatino Linotype" w:hAnsi="Palatino Linotype" w:cs="Palatino Linotype"/>
        </w:rPr>
        <w:t>---------------------</w:t>
      </w:r>
    </w:p>
    <w:p w:rsidR="00A4765A" w:rsidRDefault="00935F32">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JMV/CCR/NJMB</w:t>
      </w:r>
    </w:p>
    <w:p w:rsidR="00A4765A" w:rsidRDefault="00A4765A">
      <w:pPr>
        <w:spacing w:line="360" w:lineRule="auto"/>
        <w:jc w:val="both"/>
        <w:rPr>
          <w:rFonts w:ascii="Palatino Linotype" w:eastAsia="Palatino Linotype" w:hAnsi="Palatino Linotype" w:cs="Palatino Linotype"/>
          <w:sz w:val="20"/>
          <w:szCs w:val="20"/>
        </w:rPr>
      </w:pPr>
    </w:p>
    <w:p w:rsidR="00A4765A" w:rsidRDefault="00A4765A">
      <w:pPr>
        <w:spacing w:line="360" w:lineRule="auto"/>
        <w:jc w:val="both"/>
        <w:rPr>
          <w:rFonts w:ascii="Palatino Linotype" w:eastAsia="Palatino Linotype" w:hAnsi="Palatino Linotype" w:cs="Palatino Linotype"/>
          <w:sz w:val="20"/>
          <w:szCs w:val="20"/>
        </w:rPr>
      </w:pPr>
    </w:p>
    <w:p w:rsidR="00A4765A" w:rsidRDefault="00A4765A">
      <w:pPr>
        <w:spacing w:line="360" w:lineRule="auto"/>
        <w:jc w:val="both"/>
        <w:rPr>
          <w:rFonts w:ascii="Palatino Linotype" w:eastAsia="Palatino Linotype" w:hAnsi="Palatino Linotype" w:cs="Palatino Linotype"/>
          <w:color w:val="000000"/>
          <w:sz w:val="20"/>
          <w:szCs w:val="20"/>
        </w:rPr>
      </w:pPr>
    </w:p>
    <w:p w:rsidR="00A4765A" w:rsidRDefault="00A4765A">
      <w:pPr>
        <w:spacing w:line="360" w:lineRule="auto"/>
        <w:jc w:val="both"/>
        <w:rPr>
          <w:rFonts w:ascii="Palatino Linotype" w:eastAsia="Palatino Linotype" w:hAnsi="Palatino Linotype" w:cs="Palatino Linotype"/>
          <w:color w:val="000000"/>
          <w:sz w:val="20"/>
          <w:szCs w:val="20"/>
        </w:rPr>
      </w:pPr>
    </w:p>
    <w:p w:rsidR="00A4765A" w:rsidRDefault="00A4765A">
      <w:pPr>
        <w:spacing w:line="360" w:lineRule="auto"/>
        <w:jc w:val="both"/>
        <w:rPr>
          <w:rFonts w:ascii="Palatino Linotype" w:eastAsia="Palatino Linotype" w:hAnsi="Palatino Linotype" w:cs="Palatino Linotype"/>
          <w:color w:val="000000"/>
          <w:sz w:val="20"/>
          <w:szCs w:val="20"/>
        </w:rPr>
      </w:pPr>
    </w:p>
    <w:p w:rsidR="00A4765A" w:rsidRDefault="00A4765A">
      <w:pPr>
        <w:spacing w:line="360" w:lineRule="auto"/>
        <w:jc w:val="both"/>
        <w:rPr>
          <w:rFonts w:ascii="Palatino Linotype" w:eastAsia="Palatino Linotype" w:hAnsi="Palatino Linotype" w:cs="Palatino Linotype"/>
          <w:color w:val="000000"/>
          <w:sz w:val="20"/>
          <w:szCs w:val="20"/>
        </w:rPr>
      </w:pPr>
    </w:p>
    <w:p w:rsidR="00A4765A" w:rsidRDefault="00A4765A">
      <w:pPr>
        <w:spacing w:line="360" w:lineRule="auto"/>
        <w:jc w:val="both"/>
        <w:rPr>
          <w:rFonts w:ascii="Palatino Linotype" w:eastAsia="Palatino Linotype" w:hAnsi="Palatino Linotype" w:cs="Palatino Linotype"/>
          <w:color w:val="000000"/>
          <w:sz w:val="20"/>
          <w:szCs w:val="20"/>
        </w:rPr>
      </w:pPr>
    </w:p>
    <w:p w:rsidR="00A4765A" w:rsidRDefault="00A4765A">
      <w:pPr>
        <w:spacing w:line="360" w:lineRule="auto"/>
        <w:jc w:val="both"/>
        <w:rPr>
          <w:rFonts w:ascii="Palatino Linotype" w:eastAsia="Palatino Linotype" w:hAnsi="Palatino Linotype" w:cs="Palatino Linotype"/>
          <w:color w:val="000000"/>
          <w:sz w:val="20"/>
          <w:szCs w:val="20"/>
        </w:rPr>
      </w:pPr>
    </w:p>
    <w:p w:rsidR="00A4765A" w:rsidRDefault="00A4765A">
      <w:pPr>
        <w:spacing w:line="360" w:lineRule="auto"/>
        <w:jc w:val="both"/>
        <w:rPr>
          <w:rFonts w:ascii="Palatino Linotype" w:eastAsia="Palatino Linotype" w:hAnsi="Palatino Linotype" w:cs="Palatino Linotype"/>
          <w:color w:val="000000"/>
          <w:sz w:val="20"/>
          <w:szCs w:val="20"/>
        </w:rPr>
      </w:pPr>
    </w:p>
    <w:p w:rsidR="00A4765A" w:rsidRDefault="00A4765A">
      <w:pPr>
        <w:spacing w:line="360" w:lineRule="auto"/>
        <w:jc w:val="both"/>
        <w:rPr>
          <w:rFonts w:ascii="Palatino Linotype" w:eastAsia="Palatino Linotype" w:hAnsi="Palatino Linotype" w:cs="Palatino Linotype"/>
          <w:color w:val="000000"/>
          <w:sz w:val="20"/>
          <w:szCs w:val="20"/>
        </w:rPr>
      </w:pPr>
    </w:p>
    <w:p w:rsidR="00A4765A" w:rsidRDefault="00A4765A">
      <w:pPr>
        <w:spacing w:line="360" w:lineRule="auto"/>
        <w:jc w:val="both"/>
        <w:rPr>
          <w:rFonts w:ascii="Palatino Linotype" w:eastAsia="Palatino Linotype" w:hAnsi="Palatino Linotype" w:cs="Palatino Linotype"/>
          <w:color w:val="000000"/>
          <w:sz w:val="20"/>
          <w:szCs w:val="20"/>
        </w:rPr>
      </w:pPr>
    </w:p>
    <w:p w:rsidR="00A4765A" w:rsidRDefault="00A4765A">
      <w:pPr>
        <w:spacing w:line="360" w:lineRule="auto"/>
        <w:jc w:val="both"/>
        <w:rPr>
          <w:rFonts w:ascii="Palatino Linotype" w:eastAsia="Palatino Linotype" w:hAnsi="Palatino Linotype" w:cs="Palatino Linotype"/>
        </w:rPr>
      </w:pPr>
    </w:p>
    <w:p w:rsidR="00A4765A" w:rsidRDefault="00A4765A">
      <w:pPr>
        <w:spacing w:line="360" w:lineRule="auto"/>
        <w:jc w:val="both"/>
        <w:rPr>
          <w:rFonts w:ascii="Palatino Linotype" w:eastAsia="Palatino Linotype" w:hAnsi="Palatino Linotype" w:cs="Palatino Linotype"/>
        </w:rPr>
      </w:pPr>
    </w:p>
    <w:p w:rsidR="00A4765A" w:rsidRDefault="00A4765A">
      <w:pPr>
        <w:spacing w:line="360" w:lineRule="auto"/>
        <w:jc w:val="both"/>
        <w:rPr>
          <w:rFonts w:ascii="Palatino Linotype" w:eastAsia="Palatino Linotype" w:hAnsi="Palatino Linotype" w:cs="Palatino Linotype"/>
        </w:rPr>
      </w:pPr>
    </w:p>
    <w:p w:rsidR="00A4765A" w:rsidRDefault="00A4765A">
      <w:pPr>
        <w:spacing w:line="360" w:lineRule="auto"/>
        <w:jc w:val="both"/>
        <w:rPr>
          <w:rFonts w:ascii="Palatino Linotype" w:eastAsia="Palatino Linotype" w:hAnsi="Palatino Linotype" w:cs="Palatino Linotype"/>
        </w:rPr>
      </w:pPr>
    </w:p>
    <w:p w:rsidR="00A4765A" w:rsidRDefault="00A4765A"/>
    <w:p w:rsidR="00A4765A" w:rsidRDefault="00A4765A"/>
    <w:p w:rsidR="00A4765A" w:rsidRDefault="00A4765A"/>
    <w:p w:rsidR="00A4765A" w:rsidRDefault="00A4765A"/>
    <w:p w:rsidR="00A4765A" w:rsidRDefault="00A4765A">
      <w:pPr>
        <w:spacing w:line="360" w:lineRule="auto"/>
        <w:ind w:right="49"/>
        <w:jc w:val="both"/>
        <w:rPr>
          <w:rFonts w:ascii="Palatino Linotype" w:eastAsia="Palatino Linotype" w:hAnsi="Palatino Linotype" w:cs="Palatino Linotype"/>
        </w:rPr>
      </w:pPr>
    </w:p>
    <w:p w:rsidR="00A4765A" w:rsidRDefault="00A4765A"/>
    <w:sectPr w:rsidR="00A4765A">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36" w:rsidRDefault="00997136">
      <w:r>
        <w:separator/>
      </w:r>
    </w:p>
  </w:endnote>
  <w:endnote w:type="continuationSeparator" w:id="0">
    <w:p w:rsidR="00997136" w:rsidRDefault="0099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5A" w:rsidRDefault="00935F3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C2289">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C2289">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5A" w:rsidRDefault="00935F3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C228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C2289">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36" w:rsidRDefault="00997136">
      <w:r>
        <w:separator/>
      </w:r>
    </w:p>
  </w:footnote>
  <w:footnote w:type="continuationSeparator" w:id="0">
    <w:p w:rsidR="00997136" w:rsidRDefault="00997136">
      <w:r>
        <w:continuationSeparator/>
      </w:r>
    </w:p>
  </w:footnote>
  <w:footnote w:id="1">
    <w:p w:rsidR="00A4765A" w:rsidRDefault="00935F32">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A4765A" w:rsidRDefault="00A4765A">
      <w:pPr>
        <w:rPr>
          <w:color w:val="000000"/>
          <w:sz w:val="20"/>
          <w:szCs w:val="20"/>
        </w:rPr>
      </w:pPr>
    </w:p>
    <w:p w:rsidR="00A4765A" w:rsidRDefault="00935F32">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A4765A" w:rsidRDefault="00935F32">
      <w:pPr>
        <w:jc w:val="both"/>
        <w:rPr>
          <w:i/>
          <w:sz w:val="20"/>
          <w:szCs w:val="20"/>
        </w:rPr>
      </w:pPr>
      <w:r>
        <w:rPr>
          <w:i/>
          <w:sz w:val="20"/>
          <w:szCs w:val="20"/>
        </w:rPr>
        <w:t xml:space="preserve">Del examen de compatibilidad de los artículos </w:t>
      </w:r>
      <w:hyperlink r:id="rId1">
        <w:r>
          <w:rPr>
            <w:i/>
            <w:color w:val="000000"/>
            <w:sz w:val="20"/>
            <w:szCs w:val="20"/>
            <w:u w:val="single"/>
          </w:rPr>
          <w:t>73 y 74 de la Ley de Amparo</w:t>
        </w:r>
      </w:hyperlink>
      <w:r>
        <w:rPr>
          <w:i/>
          <w:sz w:val="20"/>
          <w:szCs w:val="20"/>
        </w:rPr>
        <w:t xml:space="preserve"> con el artículo </w:t>
      </w:r>
      <w:hyperlink r:id="rId2">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A4765A" w:rsidRDefault="00935F32">
      <w:pPr>
        <w:rPr>
          <w:rFonts w:ascii="Palatino Linotype" w:eastAsia="Palatino Linotype" w:hAnsi="Palatino Linotype" w:cs="Palatino Linotype"/>
          <w:i/>
          <w:color w:val="000000"/>
          <w:sz w:val="20"/>
          <w:szCs w:val="20"/>
        </w:rPr>
      </w:pPr>
      <w:r>
        <w:rPr>
          <w:vertAlign w:val="superscript"/>
        </w:rPr>
        <w:footnoteRef/>
      </w:r>
      <w:r>
        <w:rPr>
          <w:rFonts w:ascii="Palatino Linotype" w:eastAsia="Palatino Linotype" w:hAnsi="Palatino Linotype" w:cs="Palatino Linotype"/>
          <w:i/>
          <w:color w:val="000000"/>
          <w:sz w:val="20"/>
          <w:szCs w:val="20"/>
        </w:rPr>
        <w:t xml:space="preserve"> Real academia española </w:t>
      </w:r>
      <w:r>
        <w:rPr>
          <w:rFonts w:ascii="Palatino Linotype" w:eastAsia="Palatino Linotype" w:hAnsi="Palatino Linotype" w:cs="Palatino Linotype"/>
          <w:b/>
          <w:i/>
          <w:color w:val="000000"/>
          <w:sz w:val="20"/>
          <w:szCs w:val="20"/>
        </w:rPr>
        <w:t>ad hoc</w:t>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b/>
          <w:i/>
          <w:color w:val="000000"/>
          <w:sz w:val="20"/>
          <w:szCs w:val="20"/>
        </w:rPr>
        <w:t>2. </w:t>
      </w:r>
      <w:r>
        <w:rPr>
          <w:rFonts w:ascii="Palatino Linotype" w:eastAsia="Palatino Linotype" w:hAnsi="Palatino Linotype" w:cs="Palatino Linotype"/>
          <w:i/>
          <w:color w:val="000000"/>
          <w:sz w:val="20"/>
          <w:szCs w:val="20"/>
        </w:rPr>
        <w:t xml:space="preserve">loc. dj. Adecuado, apropiado, dispuesto especialmente para un fin. </w:t>
      </w:r>
      <w:hyperlink r:id="rId3">
        <w:r>
          <w:rPr>
            <w:rFonts w:ascii="Palatino Linotype" w:eastAsia="Palatino Linotype" w:hAnsi="Palatino Linotype" w:cs="Palatino Linotype"/>
            <w:i/>
            <w:color w:val="0563C1"/>
            <w:u w:val="single"/>
          </w:rPr>
          <w:t>https://dle.rae.es/ad%20hoc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5A" w:rsidRDefault="006C2289">
    <w:pPr>
      <w:pBdr>
        <w:top w:val="nil"/>
        <w:left w:val="nil"/>
        <w:bottom w:val="nil"/>
        <w:right w:val="nil"/>
        <w:between w:val="nil"/>
      </w:pBdr>
      <w:tabs>
        <w:tab w:val="center" w:pos="4419"/>
        <w:tab w:val="right" w:pos="8838"/>
      </w:tabs>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5A" w:rsidRDefault="00A4765A">
    <w:pPr>
      <w:widowControl w:val="0"/>
      <w:pBdr>
        <w:top w:val="nil"/>
        <w:left w:val="nil"/>
        <w:bottom w:val="nil"/>
        <w:right w:val="nil"/>
        <w:between w:val="nil"/>
      </w:pBdr>
      <w:spacing w:line="276" w:lineRule="auto"/>
      <w:rPr>
        <w:color w:val="000000"/>
      </w:rPr>
    </w:pPr>
  </w:p>
  <w:tbl>
    <w:tblPr>
      <w:tblStyle w:val="a"/>
      <w:tblW w:w="9498" w:type="dxa"/>
      <w:tblInd w:w="0" w:type="dxa"/>
      <w:tblLayout w:type="fixed"/>
      <w:tblLook w:val="0400" w:firstRow="0" w:lastRow="0" w:firstColumn="0" w:lastColumn="0" w:noHBand="0" w:noVBand="1"/>
    </w:tblPr>
    <w:tblGrid>
      <w:gridCol w:w="5103"/>
      <w:gridCol w:w="4395"/>
    </w:tblGrid>
    <w:tr w:rsidR="00A4765A">
      <w:trPr>
        <w:trHeight w:val="227"/>
      </w:trPr>
      <w:tc>
        <w:tcPr>
          <w:tcW w:w="5103" w:type="dxa"/>
        </w:tcPr>
        <w:p w:rsidR="00A4765A" w:rsidRDefault="00935F32">
          <w:pPr>
            <w:spacing w:after="120"/>
            <w:ind w:right="69"/>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395" w:type="dxa"/>
        </w:tcPr>
        <w:p w:rsidR="00A4765A" w:rsidRDefault="00935F32">
          <w:pPr>
            <w:spacing w:after="120"/>
            <w:ind w:right="71"/>
            <w:jc w:val="right"/>
            <w:rPr>
              <w:rFonts w:ascii="Palatino Linotype" w:eastAsia="Palatino Linotype" w:hAnsi="Palatino Linotype" w:cs="Palatino Linotype"/>
              <w:b/>
            </w:rPr>
          </w:pPr>
          <w:r>
            <w:rPr>
              <w:rFonts w:ascii="Palatino Linotype" w:eastAsia="Palatino Linotype" w:hAnsi="Palatino Linotype" w:cs="Palatino Linotype"/>
              <w:b/>
            </w:rPr>
            <w:t>05715/INFOEM/IP/RR/2024</w:t>
          </w:r>
        </w:p>
      </w:tc>
    </w:tr>
    <w:tr w:rsidR="00A4765A">
      <w:trPr>
        <w:trHeight w:val="242"/>
      </w:trPr>
      <w:tc>
        <w:tcPr>
          <w:tcW w:w="5103" w:type="dxa"/>
        </w:tcPr>
        <w:p w:rsidR="00A4765A" w:rsidRDefault="00935F32">
          <w:pPr>
            <w:spacing w:after="120"/>
            <w:ind w:right="69"/>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395" w:type="dxa"/>
        </w:tcPr>
        <w:p w:rsidR="00A4765A" w:rsidRDefault="00935F32">
          <w:pPr>
            <w:spacing w:after="120"/>
            <w:ind w:left="-81" w:right="71"/>
            <w:jc w:val="right"/>
            <w:rPr>
              <w:rFonts w:ascii="Palatino Linotype" w:eastAsia="Palatino Linotype" w:hAnsi="Palatino Linotype" w:cs="Palatino Linotype"/>
            </w:rPr>
          </w:pPr>
          <w:r>
            <w:rPr>
              <w:rFonts w:ascii="Palatino Linotype" w:eastAsia="Palatino Linotype" w:hAnsi="Palatino Linotype" w:cs="Palatino Linotype"/>
            </w:rPr>
            <w:t>Ayuntamiento de Chapultepec</w:t>
          </w:r>
        </w:p>
      </w:tc>
    </w:tr>
    <w:tr w:rsidR="00A4765A">
      <w:trPr>
        <w:trHeight w:val="342"/>
      </w:trPr>
      <w:tc>
        <w:tcPr>
          <w:tcW w:w="5103" w:type="dxa"/>
        </w:tcPr>
        <w:p w:rsidR="00A4765A" w:rsidRDefault="00935F32">
          <w:pPr>
            <w:tabs>
              <w:tab w:val="left" w:pos="4892"/>
            </w:tabs>
            <w:spacing w:after="120"/>
            <w:ind w:right="69"/>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4395" w:type="dxa"/>
        </w:tcPr>
        <w:p w:rsidR="00A4765A" w:rsidRDefault="00935F32">
          <w:pPr>
            <w:spacing w:after="120"/>
            <w:ind w:left="-486" w:right="71" w:firstLine="567"/>
            <w:jc w:val="right"/>
            <w:rPr>
              <w:rFonts w:ascii="Palatino Linotype" w:eastAsia="Palatino Linotype" w:hAnsi="Palatino Linotype" w:cs="Palatino Linotype"/>
            </w:rPr>
          </w:pPr>
          <w:r>
            <w:rPr>
              <w:rFonts w:ascii="Palatino Linotype" w:eastAsia="Palatino Linotype" w:hAnsi="Palatino Linotype" w:cs="Palatino Linotype"/>
            </w:rPr>
            <w:t>José Martínez Vilchis</w:t>
          </w:r>
        </w:p>
        <w:p w:rsidR="00A4765A" w:rsidRDefault="00A4765A">
          <w:pPr>
            <w:spacing w:after="120"/>
            <w:ind w:left="-486" w:right="71" w:firstLine="567"/>
            <w:jc w:val="right"/>
            <w:rPr>
              <w:rFonts w:ascii="Palatino Linotype" w:eastAsia="Palatino Linotype" w:hAnsi="Palatino Linotype" w:cs="Palatino Linotype"/>
            </w:rPr>
          </w:pPr>
        </w:p>
      </w:tc>
    </w:tr>
  </w:tbl>
  <w:p w:rsidR="00A4765A" w:rsidRDefault="006C2289">
    <w:pPr>
      <w:pBdr>
        <w:top w:val="nil"/>
        <w:left w:val="nil"/>
        <w:bottom w:val="nil"/>
        <w:right w:val="nil"/>
        <w:between w:val="nil"/>
      </w:pBdr>
      <w:tabs>
        <w:tab w:val="center" w:pos="4419"/>
        <w:tab w:val="right" w:pos="8838"/>
      </w:tabs>
      <w:jc w:val="both"/>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81.55pt;margin-top:-142.95pt;width:609.4pt;height:793.75pt;z-index:-251658752;mso-position-horizontal:absolute;mso-position-horizontal-relative:margin;mso-position-vertical:absolute;mso-position-vertical-relative:margin">
          <v:imagedata r:id="rId1" o:title="image2"/>
          <w10:wrap anchorx="margin" anchory="margin"/>
        </v:shape>
      </w:pict>
    </w:r>
    <w:r w:rsidR="00935F32">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5A" w:rsidRDefault="00A4765A">
    <w:pPr>
      <w:widowControl w:val="0"/>
      <w:pBdr>
        <w:top w:val="nil"/>
        <w:left w:val="nil"/>
        <w:bottom w:val="nil"/>
        <w:right w:val="nil"/>
        <w:between w:val="nil"/>
      </w:pBdr>
      <w:spacing w:line="276" w:lineRule="auto"/>
      <w:rPr>
        <w:color w:val="000000"/>
        <w:sz w:val="2"/>
        <w:szCs w:val="2"/>
      </w:rPr>
    </w:pPr>
  </w:p>
  <w:tbl>
    <w:tblPr>
      <w:tblStyle w:val="a0"/>
      <w:tblW w:w="9498" w:type="dxa"/>
      <w:tblInd w:w="0" w:type="dxa"/>
      <w:tblLayout w:type="fixed"/>
      <w:tblLook w:val="0400" w:firstRow="0" w:lastRow="0" w:firstColumn="0" w:lastColumn="0" w:noHBand="0" w:noVBand="1"/>
    </w:tblPr>
    <w:tblGrid>
      <w:gridCol w:w="5103"/>
      <w:gridCol w:w="4395"/>
    </w:tblGrid>
    <w:tr w:rsidR="00A4765A">
      <w:trPr>
        <w:trHeight w:val="227"/>
      </w:trPr>
      <w:tc>
        <w:tcPr>
          <w:tcW w:w="5103" w:type="dxa"/>
        </w:tcPr>
        <w:p w:rsidR="00A4765A" w:rsidRDefault="00935F32">
          <w:pPr>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395" w:type="dxa"/>
        </w:tcPr>
        <w:p w:rsidR="00A4765A" w:rsidRDefault="00935F32">
          <w:pPr>
            <w:spacing w:after="120"/>
            <w:ind w:left="-486" w:right="68" w:firstLine="558"/>
            <w:jc w:val="right"/>
            <w:rPr>
              <w:rFonts w:ascii="Palatino Linotype" w:eastAsia="Palatino Linotype" w:hAnsi="Palatino Linotype" w:cs="Palatino Linotype"/>
              <w:b/>
            </w:rPr>
          </w:pPr>
          <w:r>
            <w:rPr>
              <w:rFonts w:ascii="Palatino Linotype" w:eastAsia="Palatino Linotype" w:hAnsi="Palatino Linotype" w:cs="Palatino Linotype"/>
              <w:b/>
            </w:rPr>
            <w:t>05715/INFOEM/IP/RR/2024</w:t>
          </w:r>
        </w:p>
      </w:tc>
    </w:tr>
    <w:tr w:rsidR="00A4765A">
      <w:trPr>
        <w:trHeight w:val="227"/>
      </w:trPr>
      <w:tc>
        <w:tcPr>
          <w:tcW w:w="5103" w:type="dxa"/>
        </w:tcPr>
        <w:p w:rsidR="00A4765A" w:rsidRDefault="00935F32">
          <w:pPr>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 xml:space="preserve">Recurrente:     </w:t>
          </w:r>
        </w:p>
      </w:tc>
      <w:tc>
        <w:tcPr>
          <w:tcW w:w="4395" w:type="dxa"/>
        </w:tcPr>
        <w:p w:rsidR="00A4765A" w:rsidRDefault="006C2289">
          <w:pPr>
            <w:spacing w:after="120"/>
            <w:ind w:left="-486" w:right="68" w:firstLine="558"/>
            <w:jc w:val="right"/>
            <w:rPr>
              <w:rFonts w:ascii="Palatino Linotype" w:eastAsia="Palatino Linotype" w:hAnsi="Palatino Linotype" w:cs="Palatino Linotype"/>
              <w:b/>
            </w:rPr>
          </w:pPr>
          <w:r>
            <w:rPr>
              <w:rFonts w:ascii="Palatino Linotype" w:eastAsia="Palatino Linotype" w:hAnsi="Palatino Linotype" w:cs="Palatino Linotype"/>
              <w:b/>
            </w:rPr>
            <w:t>XXXXXXXXXXX</w:t>
          </w:r>
        </w:p>
      </w:tc>
    </w:tr>
    <w:tr w:rsidR="00A4765A">
      <w:trPr>
        <w:trHeight w:val="242"/>
      </w:trPr>
      <w:tc>
        <w:tcPr>
          <w:tcW w:w="5103" w:type="dxa"/>
        </w:tcPr>
        <w:p w:rsidR="00A4765A" w:rsidRDefault="00935F32">
          <w:pPr>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395" w:type="dxa"/>
        </w:tcPr>
        <w:p w:rsidR="00A4765A" w:rsidRDefault="00935F32">
          <w:pPr>
            <w:spacing w:after="120"/>
            <w:ind w:left="-70" w:right="68"/>
            <w:jc w:val="right"/>
            <w:rPr>
              <w:rFonts w:ascii="Palatino Linotype" w:eastAsia="Palatino Linotype" w:hAnsi="Palatino Linotype" w:cs="Palatino Linotype"/>
            </w:rPr>
          </w:pPr>
          <w:r>
            <w:rPr>
              <w:rFonts w:ascii="Palatino Linotype" w:eastAsia="Palatino Linotype" w:hAnsi="Palatino Linotype" w:cs="Palatino Linotype"/>
            </w:rPr>
            <w:t>Ayuntamiento de Chapultepec</w:t>
          </w:r>
        </w:p>
      </w:tc>
    </w:tr>
    <w:tr w:rsidR="00A4765A">
      <w:trPr>
        <w:trHeight w:val="342"/>
      </w:trPr>
      <w:tc>
        <w:tcPr>
          <w:tcW w:w="5103" w:type="dxa"/>
        </w:tcPr>
        <w:p w:rsidR="00A4765A" w:rsidRDefault="00935F32">
          <w:pPr>
            <w:tabs>
              <w:tab w:val="left" w:pos="4892"/>
            </w:tabs>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4395" w:type="dxa"/>
        </w:tcPr>
        <w:p w:rsidR="00A4765A" w:rsidRDefault="00935F32">
          <w:pPr>
            <w:spacing w:after="120"/>
            <w:ind w:left="-486" w:right="68" w:firstLine="567"/>
            <w:jc w:val="right"/>
            <w:rPr>
              <w:rFonts w:ascii="Palatino Linotype" w:eastAsia="Palatino Linotype" w:hAnsi="Palatino Linotype" w:cs="Palatino Linotype"/>
            </w:rPr>
          </w:pPr>
          <w:r>
            <w:rPr>
              <w:rFonts w:ascii="Palatino Linotype" w:eastAsia="Palatino Linotype" w:hAnsi="Palatino Linotype" w:cs="Palatino Linotype"/>
            </w:rPr>
            <w:t>José Martínez Vilchis</w:t>
          </w:r>
        </w:p>
      </w:tc>
    </w:tr>
  </w:tbl>
  <w:p w:rsidR="00A4765A" w:rsidRDefault="00935F32">
    <w:pPr>
      <w:pBdr>
        <w:top w:val="nil"/>
        <w:left w:val="nil"/>
        <w:bottom w:val="nil"/>
        <w:right w:val="nil"/>
        <w:between w:val="nil"/>
      </w:pBdr>
      <w:tabs>
        <w:tab w:val="center" w:pos="4419"/>
        <w:tab w:val="right" w:pos="8838"/>
      </w:tabs>
      <w:jc w:val="both"/>
      <w:rPr>
        <w:color w:val="000000"/>
        <w:sz w:val="2"/>
        <w:szCs w:val="2"/>
      </w:rPr>
    </w:pPr>
    <w:r>
      <w:rPr>
        <w:noProof/>
        <w:color w:val="000000"/>
      </w:rPr>
      <w:drawing>
        <wp:anchor distT="0" distB="0" distL="0" distR="0" simplePos="0" relativeHeight="251656704" behindDoc="1" locked="0" layoutInCell="1" hidden="0" allowOverlap="1">
          <wp:simplePos x="0" y="0"/>
          <wp:positionH relativeFrom="margin">
            <wp:posOffset>-1029968</wp:posOffset>
          </wp:positionH>
          <wp:positionV relativeFrom="margin">
            <wp:posOffset>-1807844</wp:posOffset>
          </wp:positionV>
          <wp:extent cx="7739380" cy="10080625"/>
          <wp:effectExtent l="0" t="0" r="0" b="0"/>
          <wp:wrapNone/>
          <wp:docPr id="1" name="image1.png" descr="infoem"/>
          <wp:cNvGraphicFramePr/>
          <a:graphic xmlns:a="http://schemas.openxmlformats.org/drawingml/2006/main">
            <a:graphicData uri="http://schemas.openxmlformats.org/drawingml/2006/picture">
              <pic:pic xmlns:pic="http://schemas.openxmlformats.org/drawingml/2006/picture">
                <pic:nvPicPr>
                  <pic:cNvPr id="0" name="image1.png" descr="infoem"/>
                  <pic:cNvPicPr preferRelativeResize="0"/>
                </pic:nvPicPr>
                <pic:blipFill>
                  <a:blip r:embed="rId1"/>
                  <a:srcRect/>
                  <a:stretch>
                    <a:fillRect/>
                  </a:stretch>
                </pic:blipFill>
                <pic:spPr>
                  <a:xfrm>
                    <a:off x="0" y="0"/>
                    <a:ext cx="7739380" cy="10080625"/>
                  </a:xfrm>
                  <a:prstGeom prst="rect">
                    <a:avLst/>
                  </a:prstGeom>
                  <a:ln/>
                </pic:spPr>
              </pic:pic>
            </a:graphicData>
          </a:graphic>
        </wp:anchor>
      </w:drawing>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B4D50"/>
    <w:multiLevelType w:val="multilevel"/>
    <w:tmpl w:val="8FAC2D2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259D3AE2"/>
    <w:multiLevelType w:val="multilevel"/>
    <w:tmpl w:val="5BECE488"/>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C02402"/>
    <w:multiLevelType w:val="multilevel"/>
    <w:tmpl w:val="4F284568"/>
    <w:lvl w:ilvl="0">
      <w:start w:val="1"/>
      <w:numFmt w:val="decimal"/>
      <w:lvlText w:val="%1."/>
      <w:lvlJc w:val="left"/>
      <w:pPr>
        <w:ind w:left="1429" w:hanging="360"/>
      </w:pPr>
      <w:rPr>
        <w:i/>
      </w:rPr>
    </w:lvl>
    <w:lvl w:ilvl="1">
      <w:numFmt w:val="bullet"/>
      <w:lvlText w:val="-"/>
      <w:lvlJc w:val="left"/>
      <w:pPr>
        <w:ind w:left="2149" w:hanging="360"/>
      </w:pPr>
      <w:rPr>
        <w:rFonts w:ascii="Palatino Linotype" w:eastAsia="Palatino Linotype" w:hAnsi="Palatino Linotype" w:cs="Palatino Linotype"/>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5BE24350"/>
    <w:multiLevelType w:val="multilevel"/>
    <w:tmpl w:val="51C09432"/>
    <w:lvl w:ilvl="0">
      <w:start w:val="1"/>
      <w:numFmt w:val="bullet"/>
      <w:lvlText w:val="●"/>
      <w:lvlJc w:val="left"/>
      <w:pPr>
        <w:ind w:left="2508" w:hanging="360"/>
      </w:pPr>
      <w:rPr>
        <w:rFonts w:ascii="Noto Sans Symbols" w:eastAsia="Noto Sans Symbols" w:hAnsi="Noto Sans Symbols" w:cs="Noto Sans Symbols"/>
      </w:rPr>
    </w:lvl>
    <w:lvl w:ilvl="1">
      <w:start w:val="1"/>
      <w:numFmt w:val="bullet"/>
      <w:lvlText w:val="o"/>
      <w:lvlJc w:val="left"/>
      <w:pPr>
        <w:ind w:left="3228" w:hanging="360"/>
      </w:pPr>
      <w:rPr>
        <w:rFonts w:ascii="Courier New" w:eastAsia="Courier New" w:hAnsi="Courier New" w:cs="Courier New"/>
      </w:rPr>
    </w:lvl>
    <w:lvl w:ilvl="2">
      <w:start w:val="1"/>
      <w:numFmt w:val="bullet"/>
      <w:lvlText w:val="▪"/>
      <w:lvlJc w:val="left"/>
      <w:pPr>
        <w:ind w:left="3948" w:hanging="360"/>
      </w:pPr>
      <w:rPr>
        <w:rFonts w:ascii="Noto Sans Symbols" w:eastAsia="Noto Sans Symbols" w:hAnsi="Noto Sans Symbols" w:cs="Noto Sans Symbols"/>
      </w:rPr>
    </w:lvl>
    <w:lvl w:ilvl="3">
      <w:start w:val="1"/>
      <w:numFmt w:val="bullet"/>
      <w:lvlText w:val="●"/>
      <w:lvlJc w:val="left"/>
      <w:pPr>
        <w:ind w:left="4668" w:hanging="360"/>
      </w:pPr>
      <w:rPr>
        <w:rFonts w:ascii="Noto Sans Symbols" w:eastAsia="Noto Sans Symbols" w:hAnsi="Noto Sans Symbols" w:cs="Noto Sans Symbols"/>
      </w:rPr>
    </w:lvl>
    <w:lvl w:ilvl="4">
      <w:start w:val="1"/>
      <w:numFmt w:val="bullet"/>
      <w:lvlText w:val="o"/>
      <w:lvlJc w:val="left"/>
      <w:pPr>
        <w:ind w:left="5388" w:hanging="360"/>
      </w:pPr>
      <w:rPr>
        <w:rFonts w:ascii="Courier New" w:eastAsia="Courier New" w:hAnsi="Courier New" w:cs="Courier New"/>
      </w:rPr>
    </w:lvl>
    <w:lvl w:ilvl="5">
      <w:start w:val="1"/>
      <w:numFmt w:val="bullet"/>
      <w:lvlText w:val="▪"/>
      <w:lvlJc w:val="left"/>
      <w:pPr>
        <w:ind w:left="6108" w:hanging="360"/>
      </w:pPr>
      <w:rPr>
        <w:rFonts w:ascii="Noto Sans Symbols" w:eastAsia="Noto Sans Symbols" w:hAnsi="Noto Sans Symbols" w:cs="Noto Sans Symbols"/>
      </w:rPr>
    </w:lvl>
    <w:lvl w:ilvl="6">
      <w:start w:val="1"/>
      <w:numFmt w:val="bullet"/>
      <w:lvlText w:val="●"/>
      <w:lvlJc w:val="left"/>
      <w:pPr>
        <w:ind w:left="6828" w:hanging="360"/>
      </w:pPr>
      <w:rPr>
        <w:rFonts w:ascii="Noto Sans Symbols" w:eastAsia="Noto Sans Symbols" w:hAnsi="Noto Sans Symbols" w:cs="Noto Sans Symbols"/>
      </w:rPr>
    </w:lvl>
    <w:lvl w:ilvl="7">
      <w:start w:val="1"/>
      <w:numFmt w:val="bullet"/>
      <w:lvlText w:val="o"/>
      <w:lvlJc w:val="left"/>
      <w:pPr>
        <w:ind w:left="7548" w:hanging="360"/>
      </w:pPr>
      <w:rPr>
        <w:rFonts w:ascii="Courier New" w:eastAsia="Courier New" w:hAnsi="Courier New" w:cs="Courier New"/>
      </w:rPr>
    </w:lvl>
    <w:lvl w:ilvl="8">
      <w:start w:val="1"/>
      <w:numFmt w:val="bullet"/>
      <w:lvlText w:val="▪"/>
      <w:lvlJc w:val="left"/>
      <w:pPr>
        <w:ind w:left="8268" w:hanging="360"/>
      </w:pPr>
      <w:rPr>
        <w:rFonts w:ascii="Noto Sans Symbols" w:eastAsia="Noto Sans Symbols" w:hAnsi="Noto Sans Symbols" w:cs="Noto Sans Symbols"/>
      </w:rPr>
    </w:lvl>
  </w:abstractNum>
  <w:abstractNum w:abstractNumId="4" w15:restartNumberingAfterBreak="0">
    <w:nsid w:val="66046F4E"/>
    <w:multiLevelType w:val="multilevel"/>
    <w:tmpl w:val="A2867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5A"/>
    <w:rsid w:val="001B7B1E"/>
    <w:rsid w:val="005F3F5D"/>
    <w:rsid w:val="006C2289"/>
    <w:rsid w:val="00935F32"/>
    <w:rsid w:val="00997136"/>
    <w:rsid w:val="00A4765A"/>
    <w:rsid w:val="00D22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60EC8F1-3447-4798-91E1-508440E8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Piedepgina">
    <w:name w:val="footer"/>
    <w:basedOn w:val="Normal"/>
    <w:link w:val="PiedepginaCar"/>
    <w:uiPriority w:val="99"/>
    <w:unhideWhenUsed/>
    <w:rsid w:val="006C2289"/>
    <w:pPr>
      <w:tabs>
        <w:tab w:val="center" w:pos="4419"/>
        <w:tab w:val="right" w:pos="8838"/>
      </w:tabs>
    </w:pPr>
  </w:style>
  <w:style w:type="character" w:customStyle="1" w:styleId="PiedepginaCar">
    <w:name w:val="Pie de página Car"/>
    <w:basedOn w:val="Fuentedeprrafopredeter"/>
    <w:link w:val="Piedepgina"/>
    <w:uiPriority w:val="99"/>
    <w:rsid w:val="006C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le.rae.es/ad%20hoc"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6567</Words>
  <Characters>36121</Characters>
  <Application>Microsoft Office Word</Application>
  <DocSecurity>0</DocSecurity>
  <Lines>301</Lines>
  <Paragraphs>85</Paragraphs>
  <ScaleCrop>false</ScaleCrop>
  <Company>HP Inc.</Company>
  <LinksUpToDate>false</LinksUpToDate>
  <CharactersWithSpaces>42603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INFOEM557</cp:lastModifiedBy>
  <cp:revision>5</cp:revision>
  <dcterms:created xsi:type="dcterms:W3CDTF">2024-11-04T15:08:00Z</dcterms:created>
  <dcterms:modified xsi:type="dcterms:W3CDTF">2024-11-26T15:34:00Z</dcterms:modified>
</cp:coreProperties>
</file>