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67F7" w14:textId="77777777" w:rsidR="00BB409D" w:rsidRPr="00873383" w:rsidRDefault="006946B9">
      <w:pPr>
        <w:spacing w:before="240" w:after="240" w:line="360" w:lineRule="auto"/>
        <w:jc w:val="both"/>
        <w:rPr>
          <w:rFonts w:ascii="Palatino Linotype" w:eastAsia="Palatino Linotype" w:hAnsi="Palatino Linotype" w:cs="Palatino Linotype"/>
        </w:rPr>
      </w:pPr>
      <w:bookmarkStart w:id="0" w:name="_heading=h.35nkun2" w:colFirst="0" w:colLast="0"/>
      <w:bookmarkEnd w:id="0"/>
      <w:r w:rsidRPr="00873383">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ocho de febrero de dos mil veinticuatro. </w:t>
      </w:r>
    </w:p>
    <w:p w14:paraId="0BE734DE" w14:textId="5D6FA936"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b/>
        </w:rPr>
        <w:t>VISTO</w:t>
      </w:r>
      <w:r w:rsidRPr="00873383">
        <w:rPr>
          <w:rFonts w:ascii="Palatino Linotype" w:eastAsia="Palatino Linotype" w:hAnsi="Palatino Linotype" w:cs="Palatino Linotype"/>
        </w:rPr>
        <w:t xml:space="preserve"> el expediente formado con motivo del recurso de revisión </w:t>
      </w:r>
      <w:r w:rsidRPr="00873383">
        <w:rPr>
          <w:rFonts w:ascii="Palatino Linotype" w:eastAsia="Palatino Linotype" w:hAnsi="Palatino Linotype" w:cs="Palatino Linotype"/>
          <w:b/>
        </w:rPr>
        <w:t>08209/INFOEM/IP/RR/2023</w:t>
      </w:r>
      <w:r w:rsidRPr="00873383">
        <w:rPr>
          <w:rFonts w:ascii="Palatino Linotype" w:eastAsia="Palatino Linotype" w:hAnsi="Palatino Linotype" w:cs="Palatino Linotype"/>
        </w:rPr>
        <w:t>, interpuesto por</w:t>
      </w:r>
      <w:r w:rsidRPr="00873383">
        <w:rPr>
          <w:rFonts w:ascii="Palatino Linotype" w:eastAsia="Palatino Linotype" w:hAnsi="Palatino Linotype" w:cs="Palatino Linotype"/>
          <w:b/>
        </w:rPr>
        <w:t xml:space="preserve"> </w:t>
      </w:r>
      <w:r w:rsidR="00D5087C">
        <w:rPr>
          <w:rFonts w:ascii="Palatino Linotype" w:eastAsia="Palatino Linotype" w:hAnsi="Palatino Linotype" w:cs="Palatino Linotype"/>
          <w:b/>
        </w:rPr>
        <w:t>XXXXXXX</w:t>
      </w:r>
      <w:r w:rsidRPr="00873383">
        <w:rPr>
          <w:rFonts w:ascii="Palatino Linotype" w:eastAsia="Palatino Linotype" w:hAnsi="Palatino Linotype" w:cs="Palatino Linotype"/>
          <w:b/>
        </w:rPr>
        <w:t>,</w:t>
      </w:r>
      <w:r w:rsidRPr="00873383">
        <w:rPr>
          <w:rFonts w:ascii="Palatino Linotype" w:eastAsia="Palatino Linotype" w:hAnsi="Palatino Linotype" w:cs="Palatino Linotype"/>
        </w:rPr>
        <w:t xml:space="preserve"> en lo sucesivo</w:t>
      </w:r>
      <w:r w:rsidRPr="00873383">
        <w:rPr>
          <w:rFonts w:ascii="Palatino Linotype" w:eastAsia="Palatino Linotype" w:hAnsi="Palatino Linotype" w:cs="Palatino Linotype"/>
          <w:b/>
        </w:rPr>
        <w:t xml:space="preserve"> </w:t>
      </w:r>
      <w:r w:rsidRPr="00873383">
        <w:rPr>
          <w:rFonts w:ascii="Palatino Linotype" w:eastAsia="Palatino Linotype" w:hAnsi="Palatino Linotype" w:cs="Palatino Linotype"/>
        </w:rPr>
        <w:t xml:space="preserve">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en contra de la respuesta a su solicitud por parte de la</w:t>
      </w:r>
      <w:r w:rsidRPr="00873383">
        <w:rPr>
          <w:rFonts w:ascii="Palatino Linotype" w:eastAsia="Palatino Linotype" w:hAnsi="Palatino Linotype" w:cs="Palatino Linotype"/>
          <w:b/>
        </w:rPr>
        <w:t xml:space="preserve"> Secretaría General de Gobierno, </w:t>
      </w:r>
      <w:r w:rsidRPr="00873383">
        <w:rPr>
          <w:rFonts w:ascii="Palatino Linotype" w:eastAsia="Palatino Linotype" w:hAnsi="Palatino Linotype" w:cs="Palatino Linotype"/>
        </w:rPr>
        <w:t xml:space="preserve">en lo sucesivo 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 xml:space="preserve">se procede a dictar la presente resolución con base en los siguientes: </w:t>
      </w:r>
    </w:p>
    <w:p w14:paraId="3FE3DCB9" w14:textId="77777777" w:rsidR="00BB409D" w:rsidRPr="00873383" w:rsidRDefault="006946B9">
      <w:pPr>
        <w:spacing w:before="240" w:after="240" w:line="360" w:lineRule="auto"/>
        <w:jc w:val="center"/>
        <w:rPr>
          <w:rFonts w:ascii="Palatino Linotype" w:eastAsia="Palatino Linotype" w:hAnsi="Palatino Linotype" w:cs="Palatino Linotype"/>
          <w:b/>
        </w:rPr>
      </w:pPr>
      <w:r w:rsidRPr="00873383">
        <w:rPr>
          <w:rFonts w:ascii="Palatino Linotype" w:eastAsia="Palatino Linotype" w:hAnsi="Palatino Linotype" w:cs="Palatino Linotype"/>
          <w:b/>
        </w:rPr>
        <w:t>I. A N T E C E D E N T E S</w:t>
      </w:r>
    </w:p>
    <w:p w14:paraId="23978844"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b/>
        </w:rPr>
        <w:t>1. Solicitud de acceso a la información.</w:t>
      </w:r>
      <w:r w:rsidRPr="00873383">
        <w:rPr>
          <w:rFonts w:ascii="Palatino Linotype" w:eastAsia="Palatino Linotype" w:hAnsi="Palatino Linotype" w:cs="Palatino Linotype"/>
        </w:rPr>
        <w:t xml:space="preserve"> Con fecha </w:t>
      </w:r>
      <w:r w:rsidRPr="00873383">
        <w:rPr>
          <w:rFonts w:ascii="Palatino Linotype" w:eastAsia="Palatino Linotype" w:hAnsi="Palatino Linotype" w:cs="Palatino Linotype"/>
          <w:b/>
        </w:rPr>
        <w:t>catorce de noviembre de</w:t>
      </w:r>
      <w:r w:rsidRPr="00873383">
        <w:rPr>
          <w:rFonts w:ascii="Palatino Linotype" w:eastAsia="Palatino Linotype" w:hAnsi="Palatino Linotype" w:cs="Palatino Linotype"/>
        </w:rPr>
        <w:t xml:space="preserve"> </w:t>
      </w:r>
      <w:r w:rsidRPr="00873383">
        <w:rPr>
          <w:rFonts w:ascii="Palatino Linotype" w:eastAsia="Palatino Linotype" w:hAnsi="Palatino Linotype" w:cs="Palatino Linotype"/>
          <w:b/>
        </w:rPr>
        <w:t>dos mil veintitrés,</w:t>
      </w:r>
      <w:r w:rsidRPr="00873383">
        <w:rPr>
          <w:rFonts w:ascii="Palatino Linotype" w:eastAsia="Palatino Linotype" w:hAnsi="Palatino Linotype" w:cs="Palatino Linotype"/>
        </w:rPr>
        <w:t xml:space="preserve"> la parte </w:t>
      </w:r>
      <w:r w:rsidRPr="00873383">
        <w:rPr>
          <w:rFonts w:ascii="Palatino Linotype" w:eastAsia="Palatino Linotype" w:hAnsi="Palatino Linotype" w:cs="Palatino Linotype"/>
          <w:b/>
        </w:rPr>
        <w:t xml:space="preserve">Recurrente </w:t>
      </w:r>
      <w:r w:rsidRPr="00873383">
        <w:rPr>
          <w:rFonts w:ascii="Palatino Linotype" w:eastAsia="Palatino Linotype" w:hAnsi="Palatino Linotype" w:cs="Palatino Linotype"/>
        </w:rPr>
        <w:t xml:space="preserve">presentó, a través de la Plataforma Nacional de Transparencia, vinculada al Sistema de Acceso a la Información Mexiquense, en lo subsecuente el </w:t>
      </w:r>
      <w:r w:rsidRPr="00873383">
        <w:rPr>
          <w:rFonts w:ascii="Palatino Linotype" w:eastAsia="Palatino Linotype" w:hAnsi="Palatino Linotype" w:cs="Palatino Linotype"/>
          <w:b/>
        </w:rPr>
        <w:t>SAIMEX,</w:t>
      </w:r>
      <w:r w:rsidRPr="00873383">
        <w:rPr>
          <w:rFonts w:ascii="Palatino Linotype" w:eastAsia="Palatino Linotype" w:hAnsi="Palatino Linotype" w:cs="Palatino Linotype"/>
        </w:rPr>
        <w:t xml:space="preserve"> ante 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la solicitud de acceso a la información pública, a la que se le asignó el número</w:t>
      </w:r>
      <w:r w:rsidRPr="00873383">
        <w:rPr>
          <w:rFonts w:ascii="Palatino Linotype" w:eastAsia="Palatino Linotype" w:hAnsi="Palatino Linotype" w:cs="Palatino Linotype"/>
          <w:b/>
        </w:rPr>
        <w:t xml:space="preserve"> 00534/SEGEGOB/IP/2023, </w:t>
      </w:r>
      <w:r w:rsidRPr="00873383">
        <w:rPr>
          <w:rFonts w:ascii="Palatino Linotype" w:eastAsia="Palatino Linotype" w:hAnsi="Palatino Linotype" w:cs="Palatino Linotype"/>
        </w:rPr>
        <w:t xml:space="preserve">mediante la cual requirió la información siguiente: </w:t>
      </w:r>
    </w:p>
    <w:p w14:paraId="07535121" w14:textId="77777777" w:rsidR="00BB409D" w:rsidRPr="00873383" w:rsidRDefault="006946B9">
      <w:pPr>
        <w:spacing w:before="240" w:after="24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873383">
        <w:rPr>
          <w:rFonts w:ascii="Palatino Linotype" w:eastAsia="Palatino Linotype" w:hAnsi="Palatino Linotype" w:cs="Palatino Linotype"/>
          <w:i/>
          <w:sz w:val="22"/>
          <w:szCs w:val="22"/>
        </w:rPr>
        <w:t xml:space="preserve">“1. ¿Cuántos tipos de testamentos existen? 2. ¿En cuáles testamentos interviene el notario? 3. En los testamentos en los que interviene el notario, ¿es necesario la comparecencia de testigos? 4. ¿Existe algún requisito especial para que las personas de edad avanzada puedan testar ante notario público? 5. ¿Es necesario que una autoridad valide la forma y contenido del testamento otorgado ante notario para su ejecución? 6. ¿Existe un registro estatal de testamentos? En caso afirmativo: 6.1. ¿A cargo de quien está la operación de dicho registro? 6.2. ¿Qué datos se incluyen en el registro estatal de testamentos? 6.3. ¿Quién puede </w:t>
      </w:r>
      <w:r w:rsidRPr="00873383">
        <w:rPr>
          <w:rFonts w:ascii="Palatino Linotype" w:eastAsia="Palatino Linotype" w:hAnsi="Palatino Linotype" w:cs="Palatino Linotype"/>
          <w:i/>
          <w:sz w:val="22"/>
          <w:szCs w:val="22"/>
        </w:rPr>
        <w:lastRenderedPageBreak/>
        <w:t xml:space="preserve">consultar el registro? 6.4. ¿Qué se requiere para solicitar una constancia de existencia de testamento? 7. Favor de informar el número de testamentos registrados por tipo y año (del 2018 a la fecha). Ejemplo: Año Testamento Público Abierto Ológrafo 2019 30 2” (sic) </w:t>
      </w:r>
    </w:p>
    <w:p w14:paraId="225C09D9" w14:textId="77777777" w:rsidR="00BB409D" w:rsidRPr="00873383" w:rsidRDefault="006946B9">
      <w:pPr>
        <w:spacing w:before="240" w:after="240"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no adjuntó archivos.</w:t>
      </w:r>
    </w:p>
    <w:p w14:paraId="3FF29FC6" w14:textId="77777777" w:rsidR="00BB409D" w:rsidRPr="00873383" w:rsidRDefault="006946B9">
      <w:pPr>
        <w:spacing w:before="240" w:after="240" w:line="360" w:lineRule="auto"/>
        <w:jc w:val="both"/>
        <w:rPr>
          <w:rFonts w:ascii="Palatino Linotype" w:eastAsia="Palatino Linotype" w:hAnsi="Palatino Linotype" w:cs="Palatino Linotype"/>
        </w:rPr>
      </w:pPr>
      <w:bookmarkStart w:id="2" w:name="_heading=h.3dy6vkm" w:colFirst="0" w:colLast="0"/>
      <w:bookmarkEnd w:id="2"/>
      <w:r w:rsidRPr="00873383">
        <w:rPr>
          <w:rFonts w:ascii="Palatino Linotype" w:eastAsia="Palatino Linotype" w:hAnsi="Palatino Linotype" w:cs="Palatino Linotype"/>
          <w:b/>
        </w:rPr>
        <w:t>Modalidad de Entrega:</w:t>
      </w:r>
      <w:r w:rsidRPr="00873383">
        <w:rPr>
          <w:rFonts w:ascii="Palatino Linotype" w:eastAsia="Palatino Linotype" w:hAnsi="Palatino Linotype" w:cs="Palatino Linotype"/>
        </w:rPr>
        <w:t xml:space="preserve"> Electrónico, a través del sistema de solicitudes de acceso, que, para efectos del presente asunto, se entenderá a través del Sistema de Acceso a la Información Mexiquense (SAIMEX), así como correo electrónico, como se advierte a continuación:</w:t>
      </w:r>
    </w:p>
    <w:p w14:paraId="59E855E1" w14:textId="77777777" w:rsidR="00BB409D" w:rsidRPr="00873383" w:rsidRDefault="006946B9">
      <w:pPr>
        <w:spacing w:before="240" w:after="240" w:line="360" w:lineRule="auto"/>
        <w:jc w:val="both"/>
        <w:rPr>
          <w:rFonts w:ascii="Palatino Linotype" w:eastAsia="Palatino Linotype" w:hAnsi="Palatino Linotype" w:cs="Palatino Linotype"/>
          <w:b/>
        </w:rPr>
      </w:pPr>
      <w:r w:rsidRPr="00873383">
        <w:rPr>
          <w:noProof/>
        </w:rPr>
        <w:drawing>
          <wp:inline distT="0" distB="0" distL="0" distR="0" wp14:anchorId="0378693E" wp14:editId="31F37FD6">
            <wp:extent cx="5612130" cy="600075"/>
            <wp:effectExtent l="0" t="0" r="7620" b="9525"/>
            <wp:docPr id="30071227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8"/>
                    <a:srcRect b="2676"/>
                    <a:stretch/>
                  </pic:blipFill>
                  <pic:spPr bwMode="auto">
                    <a:xfrm>
                      <a:off x="0" y="0"/>
                      <a:ext cx="5612130" cy="600075"/>
                    </a:xfrm>
                    <a:prstGeom prst="rect">
                      <a:avLst/>
                    </a:prstGeom>
                    <a:ln>
                      <a:noFill/>
                    </a:ln>
                    <a:extLst>
                      <a:ext uri="{53640926-AAD7-44D8-BBD7-CCE9431645EC}">
                        <a14:shadowObscured xmlns:a14="http://schemas.microsoft.com/office/drawing/2010/main"/>
                      </a:ext>
                    </a:extLst>
                  </pic:spPr>
                </pic:pic>
              </a:graphicData>
            </a:graphic>
          </wp:inline>
        </w:drawing>
      </w:r>
    </w:p>
    <w:p w14:paraId="4133889B" w14:textId="77777777" w:rsidR="00BB409D" w:rsidRPr="00873383" w:rsidRDefault="006946B9">
      <w:pPr>
        <w:spacing w:before="240" w:after="240" w:line="360" w:lineRule="auto"/>
        <w:jc w:val="both"/>
        <w:rPr>
          <w:rFonts w:ascii="Palatino Linotype" w:eastAsia="Palatino Linotype" w:hAnsi="Palatino Linotype" w:cs="Palatino Linotype"/>
          <w:b/>
        </w:rPr>
      </w:pPr>
      <w:bookmarkStart w:id="3" w:name="_Hlk158243670"/>
      <w:r w:rsidRPr="00873383">
        <w:rPr>
          <w:rFonts w:ascii="Palatino Linotype" w:eastAsia="Palatino Linotype" w:hAnsi="Palatino Linotype" w:cs="Palatino Linotype"/>
          <w:b/>
        </w:rPr>
        <w:t xml:space="preserve">2. Respuesta. </w:t>
      </w:r>
      <w:r w:rsidRPr="00873383">
        <w:rPr>
          <w:rFonts w:ascii="Palatino Linotype" w:eastAsia="Palatino Linotype" w:hAnsi="Palatino Linotype" w:cs="Palatino Linotype"/>
        </w:rPr>
        <w:t>Con fecha</w:t>
      </w:r>
      <w:r w:rsidRPr="00873383">
        <w:rPr>
          <w:rFonts w:ascii="Palatino Linotype" w:eastAsia="Palatino Linotype" w:hAnsi="Palatino Linotype" w:cs="Palatino Linotype"/>
          <w:b/>
        </w:rPr>
        <w:t xml:space="preserve"> quince de noviembre de dos mil veintitrés</w:t>
      </w:r>
      <w:r w:rsidRPr="00873383">
        <w:rPr>
          <w:rFonts w:ascii="Palatino Linotype" w:eastAsia="Palatino Linotype" w:hAnsi="Palatino Linotype" w:cs="Palatino Linotype"/>
        </w:rPr>
        <w:t xml:space="preserve">, 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710C836A" w14:textId="77777777" w:rsidR="00BB409D" w:rsidRPr="00873383" w:rsidRDefault="006946B9">
      <w:pPr>
        <w:spacing w:before="240" w:after="240"/>
        <w:ind w:left="851" w:right="902"/>
        <w:jc w:val="both"/>
        <w:rPr>
          <w:rFonts w:ascii="Palatino Linotype" w:eastAsia="Palatino Linotype" w:hAnsi="Palatino Linotype" w:cs="Palatino Linotype"/>
          <w:b/>
          <w:i/>
          <w:sz w:val="22"/>
          <w:szCs w:val="22"/>
        </w:rPr>
      </w:pPr>
      <w:r w:rsidRPr="00873383">
        <w:rPr>
          <w:rFonts w:ascii="Palatino Linotype" w:eastAsia="Palatino Linotype" w:hAnsi="Palatino Linotype" w:cs="Palatino Linotype"/>
          <w:i/>
          <w:sz w:val="22"/>
          <w:szCs w:val="22"/>
        </w:rPr>
        <w:t>“…SE ANEXA RESPUESTA EN UN ARCHIVO...” (sic)</w:t>
      </w:r>
    </w:p>
    <w:p w14:paraId="081A62F0" w14:textId="77777777" w:rsidR="00BB409D" w:rsidRPr="00873383" w:rsidRDefault="006946B9">
      <w:pPr>
        <w:spacing w:before="240" w:after="240"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adjuntó lo siguiente:</w:t>
      </w:r>
    </w:p>
    <w:p w14:paraId="7752342D" w14:textId="77777777" w:rsidR="00BB409D" w:rsidRPr="00873383" w:rsidRDefault="006946B9">
      <w:pPr>
        <w:spacing w:before="240" w:after="240"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 Escrito de fecha catorce de noviembre de dos mil veintitrés, signado por el Titular de la Unidad de Transparencia, mediante el cual, de conformidad con los ordenamientos normativos que regulan el actuar de la Secretaría General de Gobierno, informa a la persona solicitante, que no se encuentra ninguna relacionada con la descripción de su solicitud de información, como se puede advertir en los </w:t>
      </w:r>
      <w:r w:rsidRPr="00873383">
        <w:rPr>
          <w:rFonts w:ascii="Palatino Linotype" w:eastAsia="Palatino Linotype" w:hAnsi="Palatino Linotype" w:cs="Palatino Linotype"/>
        </w:rPr>
        <w:lastRenderedPageBreak/>
        <w:t>artículos 24 y 25 de la Ley Orgánica de la Administración Pública del Estado de México, por lo que carece de facultades legales para dar una respuesta favorable a la petición. Asimismo, refiere que la instancia gubernamental que pudiera contar con la información es la Consejería Jurídica, antes Secretaría de Justicia y Derechos Humanos, del Estado de México.</w:t>
      </w:r>
    </w:p>
    <w:p w14:paraId="27A89BE2" w14:textId="77777777" w:rsidR="00BB409D" w:rsidRPr="00873383" w:rsidRDefault="006946B9">
      <w:pPr>
        <w:spacing w:before="240" w:after="240"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rPr>
        <w:t>En este sentido, con fundamento en lo dispuesto por los artículos 136 de la Ley General de Transporte y Acceso a la Información Pública y 167 de la Ley de Transparencia y Acceso a la Información Pública del Estado de México y Municipios, sugiere a la persona solicitante presentar su solicitud ante la Consejería Jurídica, antes Secretaría de Justicia y Derechos Humanos, del Estado de México;  o bien, dirigir los cuestionamientos de manera directa en la Unidad de Transparencia de la Consejería Jurídica, antes Secretaría de Justicia y Derechos Humanos, del Estado de México, con domicilio en el Instituto Literario no. 510, colonia Centro.</w:t>
      </w:r>
    </w:p>
    <w:p w14:paraId="0A70F88F" w14:textId="77777777" w:rsidR="00BB409D" w:rsidRPr="00873383" w:rsidRDefault="006946B9">
      <w:pPr>
        <w:spacing w:before="240" w:after="240" w:line="360" w:lineRule="auto"/>
        <w:ind w:right="49"/>
        <w:jc w:val="both"/>
        <w:rPr>
          <w:rFonts w:ascii="Palatino Linotype" w:eastAsia="Palatino Linotype" w:hAnsi="Palatino Linotype" w:cs="Palatino Linotype"/>
          <w:b/>
        </w:rPr>
      </w:pPr>
      <w:r w:rsidRPr="00873383">
        <w:rPr>
          <w:rFonts w:ascii="Palatino Linotype" w:eastAsia="Palatino Linotype" w:hAnsi="Palatino Linotype" w:cs="Palatino Linotype"/>
          <w:b/>
        </w:rPr>
        <w:t xml:space="preserve">3. Interposición del recurso de revisión. </w:t>
      </w:r>
      <w:r w:rsidRPr="00873383">
        <w:rPr>
          <w:rFonts w:ascii="Palatino Linotype" w:eastAsia="Palatino Linotype" w:hAnsi="Palatino Linotype" w:cs="Palatino Linotype"/>
        </w:rPr>
        <w:t xml:space="preserve">Inconforme con los términos de la respuesta emitida por parte del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el</w:t>
      </w:r>
      <w:r w:rsidRPr="00873383">
        <w:rPr>
          <w:rFonts w:ascii="Palatino Linotype" w:eastAsia="Palatino Linotype" w:hAnsi="Palatino Linotype" w:cs="Palatino Linotype"/>
          <w:b/>
        </w:rPr>
        <w:t xml:space="preserve"> veintinueve de noviembre de dos mil veintitrés,</w:t>
      </w:r>
      <w:r w:rsidRPr="00873383">
        <w:rPr>
          <w:rFonts w:ascii="Palatino Linotype" w:eastAsia="Palatino Linotype" w:hAnsi="Palatino Linotype" w:cs="Palatino Linotype"/>
        </w:rPr>
        <w:t xml:space="preserve"> 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interpuso el recurso de revisión a través de </w:t>
      </w:r>
      <w:r w:rsidRPr="00873383">
        <w:rPr>
          <w:rFonts w:ascii="Palatino Linotype" w:eastAsia="Palatino Linotype" w:hAnsi="Palatino Linotype" w:cs="Palatino Linotype"/>
          <w:b/>
        </w:rPr>
        <w:t xml:space="preserve">SAIMEX, </w:t>
      </w:r>
      <w:r w:rsidRPr="00873383">
        <w:rPr>
          <w:rFonts w:ascii="Palatino Linotype" w:eastAsia="Palatino Linotype" w:hAnsi="Palatino Linotype" w:cs="Palatino Linotype"/>
        </w:rPr>
        <w:t>en donde se manifestó de la siguiente manera:</w:t>
      </w:r>
    </w:p>
    <w:p w14:paraId="2AFC360E" w14:textId="77777777" w:rsidR="00BB409D" w:rsidRPr="00873383" w:rsidRDefault="006946B9">
      <w:pPr>
        <w:tabs>
          <w:tab w:val="left" w:pos="2745"/>
        </w:tabs>
        <w:spacing w:before="240" w:after="240" w:line="360" w:lineRule="auto"/>
        <w:jc w:val="both"/>
        <w:rPr>
          <w:rFonts w:ascii="Palatino Linotype" w:eastAsia="Palatino Linotype" w:hAnsi="Palatino Linotype" w:cs="Palatino Linotype"/>
          <w:b/>
        </w:rPr>
      </w:pPr>
      <w:r w:rsidRPr="00873383">
        <w:rPr>
          <w:rFonts w:ascii="Palatino Linotype" w:eastAsia="Palatino Linotype" w:hAnsi="Palatino Linotype" w:cs="Palatino Linotype"/>
          <w:b/>
        </w:rPr>
        <w:t xml:space="preserve">Acto impugnado: </w:t>
      </w:r>
    </w:p>
    <w:p w14:paraId="28B28217" w14:textId="77777777" w:rsidR="00BB409D" w:rsidRPr="00873383" w:rsidRDefault="006946B9">
      <w:pPr>
        <w:tabs>
          <w:tab w:val="left" w:pos="2745"/>
        </w:tabs>
        <w:spacing w:before="240" w:after="240"/>
        <w:ind w:left="851" w:right="900"/>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“Me remite a la consejería del estado como unidad que tiene la información, sin embargo no es una institución dada de alta en la </w:t>
      </w:r>
      <w:proofErr w:type="spellStart"/>
      <w:r w:rsidRPr="00873383">
        <w:rPr>
          <w:rFonts w:ascii="Palatino Linotype" w:eastAsia="Palatino Linotype" w:hAnsi="Palatino Linotype" w:cs="Palatino Linotype"/>
          <w:i/>
          <w:sz w:val="22"/>
          <w:szCs w:val="22"/>
        </w:rPr>
        <w:t>Platforma</w:t>
      </w:r>
      <w:proofErr w:type="spellEnd"/>
      <w:r w:rsidRPr="00873383">
        <w:rPr>
          <w:rFonts w:ascii="Palatino Linotype" w:eastAsia="Palatino Linotype" w:hAnsi="Palatino Linotype" w:cs="Palatino Linotype"/>
          <w:i/>
          <w:sz w:val="22"/>
          <w:szCs w:val="22"/>
        </w:rPr>
        <w:t xml:space="preserve"> Nacional de Transparencia.”</w:t>
      </w:r>
    </w:p>
    <w:p w14:paraId="63357F60" w14:textId="77777777" w:rsidR="00BB409D" w:rsidRPr="00873383" w:rsidRDefault="006946B9">
      <w:pPr>
        <w:spacing w:line="360" w:lineRule="auto"/>
        <w:jc w:val="both"/>
        <w:rPr>
          <w:rFonts w:ascii="Palatino Linotype" w:eastAsia="Palatino Linotype" w:hAnsi="Palatino Linotype" w:cs="Palatino Linotype"/>
        </w:rPr>
      </w:pPr>
      <w:bookmarkStart w:id="4" w:name="_heading=h.30j0zll" w:colFirst="0" w:colLast="0"/>
      <w:bookmarkEnd w:id="4"/>
      <w:r w:rsidRPr="00873383">
        <w:rPr>
          <w:rFonts w:ascii="Palatino Linotype" w:eastAsia="Palatino Linotype" w:hAnsi="Palatino Linotype" w:cs="Palatino Linotype"/>
          <w:b/>
        </w:rPr>
        <w:lastRenderedPageBreak/>
        <w:t>Y Razones o motivos de inconformidad</w:t>
      </w:r>
      <w:r w:rsidRPr="00873383">
        <w:rPr>
          <w:rFonts w:ascii="Palatino Linotype" w:eastAsia="Palatino Linotype" w:hAnsi="Palatino Linotype" w:cs="Palatino Linotype"/>
        </w:rPr>
        <w:t xml:space="preserve">: </w:t>
      </w:r>
    </w:p>
    <w:p w14:paraId="1664699B" w14:textId="77777777" w:rsidR="00BB409D" w:rsidRPr="00873383" w:rsidRDefault="006946B9">
      <w:pPr>
        <w:spacing w:line="360" w:lineRule="auto"/>
        <w:jc w:val="both"/>
        <w:rPr>
          <w:rFonts w:ascii="Palatino Linotype" w:eastAsia="Palatino Linotype" w:hAnsi="Palatino Linotype" w:cs="Palatino Linotype"/>
          <w:b/>
        </w:rPr>
      </w:pPr>
      <w:r w:rsidRPr="00873383">
        <w:rPr>
          <w:rFonts w:ascii="Palatino Linotype" w:eastAsia="Palatino Linotype" w:hAnsi="Palatino Linotype" w:cs="Palatino Linotype"/>
        </w:rPr>
        <w:t xml:space="preserve">No se advierten manifestaciones de la parte </w:t>
      </w:r>
      <w:r w:rsidRPr="00873383">
        <w:rPr>
          <w:rFonts w:ascii="Palatino Linotype" w:eastAsia="Palatino Linotype" w:hAnsi="Palatino Linotype" w:cs="Palatino Linotype"/>
          <w:b/>
        </w:rPr>
        <w:t>Recurrente.</w:t>
      </w:r>
    </w:p>
    <w:p w14:paraId="25343015" w14:textId="77777777" w:rsidR="00BB409D" w:rsidRPr="00873383" w:rsidRDefault="006946B9">
      <w:pPr>
        <w:spacing w:before="240" w:after="240"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b/>
        </w:rPr>
        <w:t xml:space="preserve">Anexos: </w:t>
      </w:r>
      <w:r w:rsidRPr="00873383">
        <w:rPr>
          <w:rFonts w:ascii="Palatino Linotype" w:eastAsia="Palatino Linotype" w:hAnsi="Palatino Linotype" w:cs="Palatino Linotype"/>
        </w:rPr>
        <w:t xml:space="preserve">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adjuntó el archivo “Archivo1701271310443null” documento al que no es posible acceder.</w:t>
      </w:r>
    </w:p>
    <w:p w14:paraId="5E256820" w14:textId="77777777" w:rsidR="00BB409D" w:rsidRPr="00873383" w:rsidRDefault="006946B9">
      <w:pP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b/>
        </w:rPr>
        <w:t xml:space="preserve">4. Turno. </w:t>
      </w:r>
      <w:r w:rsidRPr="00873383">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73383">
        <w:rPr>
          <w:rFonts w:ascii="Palatino Linotype" w:eastAsia="Palatino Linotype" w:hAnsi="Palatino Linotype" w:cs="Palatino Linotype"/>
          <w:b/>
        </w:rPr>
        <w:t xml:space="preserve">Guadalupe Ramírez Peña, </w:t>
      </w:r>
      <w:r w:rsidRPr="00873383">
        <w:rPr>
          <w:rFonts w:ascii="Palatino Linotype" w:eastAsia="Palatino Linotype" w:hAnsi="Palatino Linotype" w:cs="Palatino Linotype"/>
        </w:rPr>
        <w:t xml:space="preserve">a efecto de que analizara sobre su admisión o su </w:t>
      </w:r>
      <w:proofErr w:type="spellStart"/>
      <w:r w:rsidRPr="00873383">
        <w:rPr>
          <w:rFonts w:ascii="Palatino Linotype" w:eastAsia="Palatino Linotype" w:hAnsi="Palatino Linotype" w:cs="Palatino Linotype"/>
        </w:rPr>
        <w:t>desechamiento</w:t>
      </w:r>
      <w:proofErr w:type="spellEnd"/>
      <w:r w:rsidRPr="00873383">
        <w:rPr>
          <w:rFonts w:ascii="Palatino Linotype" w:eastAsia="Palatino Linotype" w:hAnsi="Palatino Linotype" w:cs="Palatino Linotype"/>
        </w:rPr>
        <w:t>.</w:t>
      </w:r>
    </w:p>
    <w:p w14:paraId="5C186CF0"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b/>
        </w:rPr>
        <w:t>5. Admisión del Recurso de revisión.</w:t>
      </w:r>
      <w:r w:rsidRPr="00873383">
        <w:rPr>
          <w:rFonts w:ascii="Palatino Linotype" w:eastAsia="Palatino Linotype" w:hAnsi="Palatino Linotype" w:cs="Palatino Linotype"/>
        </w:rPr>
        <w:t xml:space="preserve"> Con fecha</w:t>
      </w:r>
      <w:r w:rsidRPr="00873383">
        <w:rPr>
          <w:rFonts w:ascii="Palatino Linotype" w:eastAsia="Palatino Linotype" w:hAnsi="Palatino Linotype" w:cs="Palatino Linotype"/>
          <w:b/>
        </w:rPr>
        <w:t xml:space="preserve"> cuatro de diciembre de dos mil veintitrés, </w:t>
      </w:r>
      <w:r w:rsidRPr="00873383">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presentara su informe justificado.</w:t>
      </w:r>
    </w:p>
    <w:p w14:paraId="301820CF" w14:textId="4FF923C6" w:rsidR="00BB409D" w:rsidRPr="00873383" w:rsidRDefault="006946B9">
      <w:pPr>
        <w:spacing w:before="240" w:after="240" w:line="360" w:lineRule="auto"/>
        <w:ind w:right="49"/>
        <w:jc w:val="both"/>
        <w:rPr>
          <w:rFonts w:ascii="Palatino Linotype" w:eastAsia="Palatino Linotype" w:hAnsi="Palatino Linotype" w:cs="Palatino Linotype"/>
        </w:rPr>
      </w:pPr>
      <w:bookmarkStart w:id="5" w:name="_heading=h.2s8eyo1" w:colFirst="0" w:colLast="0"/>
      <w:bookmarkEnd w:id="5"/>
      <w:r w:rsidRPr="00873383">
        <w:rPr>
          <w:rFonts w:ascii="Palatino Linotype" w:eastAsia="Palatino Linotype" w:hAnsi="Palatino Linotype" w:cs="Palatino Linotype"/>
          <w:b/>
        </w:rPr>
        <w:t>6. Manifestaciones</w:t>
      </w:r>
      <w:r w:rsidRPr="00873383">
        <w:rPr>
          <w:rFonts w:ascii="Palatino Linotype" w:eastAsia="Palatino Linotype" w:hAnsi="Palatino Linotype" w:cs="Palatino Linotype"/>
        </w:rPr>
        <w:t xml:space="preserve">. En fecha </w:t>
      </w:r>
      <w:bookmarkEnd w:id="3"/>
      <w:r w:rsidRPr="00873383">
        <w:rPr>
          <w:rFonts w:ascii="Palatino Linotype" w:eastAsia="Palatino Linotype" w:hAnsi="Palatino Linotype" w:cs="Palatino Linotype"/>
          <w:b/>
        </w:rPr>
        <w:t xml:space="preserve">ocho de diciembre de dos mil veintitrés, </w:t>
      </w:r>
      <w:r w:rsidRPr="00873383">
        <w:rPr>
          <w:rFonts w:ascii="Palatino Linotype" w:eastAsia="Palatino Linotype" w:hAnsi="Palatino Linotype" w:cs="Palatino Linotype"/>
        </w:rPr>
        <w:t xml:space="preserve">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 xml:space="preserve">remitió su informe justificado a través de SAIMEX, mediante el cual ratifica en lo medular la respuesta emitida en primera instancia, al señalar que ninguna unidad administrativa de la Secretaría General de Gobierno, tiene </w:t>
      </w:r>
      <w:r w:rsidRPr="00873383">
        <w:rPr>
          <w:rFonts w:ascii="Palatino Linotype" w:eastAsia="Palatino Linotype" w:hAnsi="Palatino Linotype" w:cs="Palatino Linotype"/>
        </w:rPr>
        <w:lastRenderedPageBreak/>
        <w:t>atribuciones que le permitan brindar la información solicitada, lo cual puede constatarse con el marco normativo de actuación del Sujeto Obligado, como son los artículos 1, 23, 24 y 25 de la Ley Orgánica de la Administración Pública del Estado de México; 1, 2, 6 y 7 del Reglamento Interior de la Secretaría General de Gobierno, y lo que establece el objetivo y funciones la Secretaría General de Gobierno dispuesto en su Manual General de Organización, y solicita en el acto, se confirme la respuesta proporcionada.</w:t>
      </w:r>
    </w:p>
    <w:p w14:paraId="28AF7513" w14:textId="77777777" w:rsidR="00BB409D" w:rsidRPr="00873383" w:rsidRDefault="006946B9">
      <w:pPr>
        <w:spacing w:after="240" w:line="360" w:lineRule="auto"/>
        <w:jc w:val="both"/>
        <w:rPr>
          <w:rFonts w:ascii="Palatino Linotype" w:eastAsia="Palatino Linotype" w:hAnsi="Palatino Linotype" w:cs="Palatino Linotype"/>
          <w:b/>
        </w:rPr>
      </w:pPr>
      <w:r w:rsidRPr="00873383">
        <w:rPr>
          <w:rFonts w:ascii="Palatino Linotype" w:eastAsia="Palatino Linotype" w:hAnsi="Palatino Linotype" w:cs="Palatino Linotype"/>
          <w:b/>
        </w:rPr>
        <w:t>7. Ampliación del término para resolver</w:t>
      </w:r>
      <w:r w:rsidRPr="00873383">
        <w:rPr>
          <w:rFonts w:ascii="Palatino Linotype" w:eastAsia="Palatino Linotype" w:hAnsi="Palatino Linotype" w:cs="Palatino Linotype"/>
        </w:rPr>
        <w:t xml:space="preserve">. En fecha </w:t>
      </w:r>
      <w:r w:rsidRPr="00873383">
        <w:rPr>
          <w:rFonts w:ascii="Palatino Linotype" w:eastAsia="Palatino Linotype" w:hAnsi="Palatino Linotype" w:cs="Palatino Linotype"/>
          <w:b/>
        </w:rPr>
        <w:t>s</w:t>
      </w:r>
      <w:r w:rsidR="00BF49EC" w:rsidRPr="00873383">
        <w:rPr>
          <w:rFonts w:ascii="Palatino Linotype" w:eastAsia="Palatino Linotype" w:hAnsi="Palatino Linotype" w:cs="Palatino Linotype"/>
          <w:b/>
        </w:rPr>
        <w:t xml:space="preserve">iete </w:t>
      </w:r>
      <w:r w:rsidRPr="00873383">
        <w:rPr>
          <w:rFonts w:ascii="Palatino Linotype" w:eastAsia="Palatino Linotype" w:hAnsi="Palatino Linotype" w:cs="Palatino Linotype"/>
          <w:b/>
        </w:rPr>
        <w:t>de febrero</w:t>
      </w:r>
      <w:r w:rsidRPr="00873383">
        <w:rPr>
          <w:rFonts w:ascii="Palatino Linotype" w:eastAsia="Palatino Linotype" w:hAnsi="Palatino Linotype" w:cs="Palatino Linotype"/>
        </w:rPr>
        <w:t xml:space="preserve"> </w:t>
      </w:r>
      <w:r w:rsidRPr="00873383">
        <w:rPr>
          <w:rFonts w:ascii="Palatino Linotype" w:eastAsia="Palatino Linotype" w:hAnsi="Palatino Linotype" w:cs="Palatino Linotype"/>
          <w:b/>
        </w:rPr>
        <w:t>de dos mil veinticuatro</w:t>
      </w:r>
      <w:r w:rsidRPr="00873383">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E2B2581"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b/>
        </w:rPr>
        <w:t xml:space="preserve">8. Cierre de instrucción. </w:t>
      </w:r>
      <w:r w:rsidRPr="00873383">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873383">
        <w:rPr>
          <w:rFonts w:ascii="Palatino Linotype" w:eastAsia="Palatino Linotype" w:hAnsi="Palatino Linotype" w:cs="Palatino Linotype"/>
          <w:b/>
        </w:rPr>
        <w:t>siete de febrero de dos mil veinticuatro</w:t>
      </w:r>
      <w:r w:rsidR="00BF49EC" w:rsidRPr="00873383">
        <w:rPr>
          <w:rFonts w:ascii="Palatino Linotype" w:eastAsia="Palatino Linotype" w:hAnsi="Palatino Linotype" w:cs="Palatino Linotype"/>
          <w:b/>
        </w:rPr>
        <w:t>.</w:t>
      </w:r>
      <w:r w:rsidRPr="00873383">
        <w:rPr>
          <w:rFonts w:ascii="Palatino Linotype" w:eastAsia="Palatino Linotype" w:hAnsi="Palatino Linotype" w:cs="Palatino Linotype"/>
        </w:rPr>
        <w:t xml:space="preserve"> la Comisionada Ponente determinó el cierre de instrucción en términos de la fracción VI del artículo 185 de la Ley de Transparencia y Acceso a la Información Pública del Estado de México y Municipios</w:t>
      </w:r>
    </w:p>
    <w:p w14:paraId="084AAA45"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372DBD4" w14:textId="77777777" w:rsidR="00BF49EC" w:rsidRPr="00873383" w:rsidRDefault="00BF49EC">
      <w:pPr>
        <w:spacing w:before="240" w:after="240" w:line="360" w:lineRule="auto"/>
        <w:jc w:val="both"/>
        <w:rPr>
          <w:rFonts w:ascii="Palatino Linotype" w:eastAsia="Palatino Linotype" w:hAnsi="Palatino Linotype" w:cs="Palatino Linotype"/>
        </w:rPr>
      </w:pPr>
    </w:p>
    <w:p w14:paraId="586827C9" w14:textId="77777777" w:rsidR="00BB409D" w:rsidRPr="00873383" w:rsidRDefault="006946B9">
      <w:pPr>
        <w:widowControl w:val="0"/>
        <w:spacing w:before="240" w:after="240" w:line="360" w:lineRule="auto"/>
        <w:jc w:val="center"/>
        <w:rPr>
          <w:rFonts w:ascii="Palatino Linotype" w:eastAsia="Palatino Linotype" w:hAnsi="Palatino Linotype" w:cs="Palatino Linotype"/>
          <w:b/>
        </w:rPr>
      </w:pPr>
      <w:r w:rsidRPr="00873383">
        <w:rPr>
          <w:rFonts w:ascii="Palatino Linotype" w:eastAsia="Palatino Linotype" w:hAnsi="Palatino Linotype" w:cs="Palatino Linotype"/>
          <w:b/>
        </w:rPr>
        <w:lastRenderedPageBreak/>
        <w:t>II. C O N S I D E R A N D O S</w:t>
      </w:r>
    </w:p>
    <w:p w14:paraId="2ECB26B5"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b/>
        </w:rPr>
        <w:t>Primero. Competencia.</w:t>
      </w:r>
      <w:r w:rsidRPr="00873383">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298BBAE" w14:textId="77777777" w:rsidR="00BB409D" w:rsidRPr="00873383" w:rsidRDefault="006946B9">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873383">
        <w:rPr>
          <w:rFonts w:ascii="Palatino Linotype" w:eastAsia="Palatino Linotype" w:hAnsi="Palatino Linotype" w:cs="Palatino Linotype"/>
          <w:b/>
        </w:rPr>
        <w:t>Segundo. Oportunidad y Procedibilidad del Recurso de Revisión</w:t>
      </w:r>
      <w:r w:rsidRPr="00873383">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864D873"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 xml:space="preserve">remitió la respuesta a la solicitud de información el </w:t>
      </w:r>
      <w:r w:rsidRPr="00873383">
        <w:rPr>
          <w:rFonts w:ascii="Palatino Linotype" w:eastAsia="Palatino Linotype" w:hAnsi="Palatino Linotype" w:cs="Palatino Linotype"/>
          <w:b/>
        </w:rPr>
        <w:t xml:space="preserve">quince de noviembre de dos mil </w:t>
      </w:r>
      <w:r w:rsidRPr="00873383">
        <w:rPr>
          <w:rFonts w:ascii="Palatino Linotype" w:eastAsia="Palatino Linotype" w:hAnsi="Palatino Linotype" w:cs="Palatino Linotype"/>
          <w:b/>
        </w:rPr>
        <w:lastRenderedPageBreak/>
        <w:t xml:space="preserve">veintitrés, </w:t>
      </w:r>
      <w:r w:rsidRPr="00873383">
        <w:rPr>
          <w:rFonts w:ascii="Palatino Linotype" w:eastAsia="Palatino Linotype" w:hAnsi="Palatino Linotype" w:cs="Palatino Linotype"/>
        </w:rPr>
        <w:t xml:space="preserve">mientras que el recurso de revisión interpuesto por 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se tuvo por presentado el día </w:t>
      </w:r>
      <w:r w:rsidRPr="00873383">
        <w:rPr>
          <w:rFonts w:ascii="Palatino Linotype" w:eastAsia="Palatino Linotype" w:hAnsi="Palatino Linotype" w:cs="Palatino Linotype"/>
          <w:b/>
        </w:rPr>
        <w:t xml:space="preserve">veintinueve de noviembre de dos mil veintitrés, </w:t>
      </w:r>
      <w:r w:rsidRPr="00873383">
        <w:rPr>
          <w:rFonts w:ascii="Palatino Linotype" w:eastAsia="Palatino Linotype" w:hAnsi="Palatino Linotype" w:cs="Palatino Linotype"/>
        </w:rPr>
        <w:t>esto es, al noveno día hábil posterior en que tuvo conocimiento de la respuesta impugnada. En este sentido, se concluye que el presente recurso de revisión se encuentra dentro de los márgenes temporales previstos en las disposiciones legales referidas.</w:t>
      </w:r>
    </w:p>
    <w:p w14:paraId="4FD0B69A" w14:textId="77777777" w:rsidR="00BB409D" w:rsidRPr="00873383" w:rsidRDefault="006946B9">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873383">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4FA117B"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 efecto de sustentar lo anterior, es de suma importancia mencionar que si bien la persona solicitante </w:t>
      </w:r>
      <w:r w:rsidRPr="00873383">
        <w:rPr>
          <w:rFonts w:ascii="Palatino Linotype" w:eastAsia="Palatino Linotype" w:hAnsi="Palatino Linotype" w:cs="Palatino Linotype"/>
          <w:b/>
        </w:rPr>
        <w:t>no proporcionó nombre o seudónimo</w:t>
      </w:r>
      <w:r w:rsidRPr="00873383">
        <w:rPr>
          <w:rFonts w:ascii="Palatino Linotype" w:eastAsia="Palatino Linotype" w:hAnsi="Palatino Linotype" w:cs="Palatino Linotype"/>
        </w:rPr>
        <w:t>,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87D65DD" w14:textId="77777777" w:rsidR="00BB409D" w:rsidRPr="00873383" w:rsidRDefault="006946B9">
      <w:pPr>
        <w:spacing w:before="120" w:after="120"/>
        <w:ind w:left="851" w:right="902"/>
        <w:jc w:val="both"/>
        <w:rPr>
          <w:rFonts w:ascii="Palatino Linotype" w:eastAsia="Palatino Linotype" w:hAnsi="Palatino Linotype" w:cs="Palatino Linotype"/>
          <w:sz w:val="22"/>
          <w:szCs w:val="22"/>
        </w:rPr>
      </w:pPr>
      <w:r w:rsidRPr="00873383">
        <w:rPr>
          <w:rFonts w:ascii="Palatino Linotype" w:eastAsia="Palatino Linotype" w:hAnsi="Palatino Linotype" w:cs="Palatino Linotype"/>
          <w:i/>
          <w:sz w:val="22"/>
          <w:szCs w:val="22"/>
        </w:rPr>
        <w:t>"</w:t>
      </w:r>
      <w:r w:rsidRPr="00873383">
        <w:rPr>
          <w:rFonts w:ascii="Palatino Linotype" w:eastAsia="Palatino Linotype" w:hAnsi="Palatino Linotype" w:cs="Palatino Linotype"/>
          <w:b/>
          <w:i/>
          <w:sz w:val="22"/>
          <w:szCs w:val="22"/>
        </w:rPr>
        <w:t>Las solicitudes anónimas</w:t>
      </w:r>
      <w:r w:rsidRPr="00873383">
        <w:rPr>
          <w:rFonts w:ascii="Palatino Linotype" w:eastAsia="Palatino Linotype" w:hAnsi="Palatino Linotype" w:cs="Palatino Linotype"/>
          <w:i/>
          <w:sz w:val="22"/>
          <w:szCs w:val="22"/>
        </w:rPr>
        <w:t xml:space="preserve">, con nombre incompleto o seudónimo </w:t>
      </w:r>
      <w:r w:rsidRPr="00873383">
        <w:rPr>
          <w:rFonts w:ascii="Palatino Linotype" w:eastAsia="Palatino Linotype" w:hAnsi="Palatino Linotype" w:cs="Palatino Linotype"/>
          <w:b/>
          <w:i/>
          <w:sz w:val="22"/>
          <w:szCs w:val="22"/>
        </w:rPr>
        <w:t xml:space="preserve">serán procedentes para su trámite por parte del sujeto obligado ante quien se </w:t>
      </w:r>
      <w:r w:rsidRPr="00873383">
        <w:rPr>
          <w:rFonts w:ascii="Palatino Linotype" w:eastAsia="Palatino Linotype" w:hAnsi="Palatino Linotype" w:cs="Palatino Linotype"/>
          <w:b/>
          <w:i/>
          <w:sz w:val="22"/>
          <w:szCs w:val="22"/>
        </w:rPr>
        <w:lastRenderedPageBreak/>
        <w:t>presente</w:t>
      </w:r>
      <w:r w:rsidRPr="00873383">
        <w:rPr>
          <w:rFonts w:ascii="Palatino Linotype" w:eastAsia="Palatino Linotype" w:hAnsi="Palatino Linotype" w:cs="Palatino Linotype"/>
          <w:i/>
          <w:sz w:val="22"/>
          <w:szCs w:val="22"/>
        </w:rPr>
        <w:t>. N o podrá requerirse información adicional con motivo del nombre proporcionado por el solicitante."</w:t>
      </w:r>
    </w:p>
    <w:p w14:paraId="5DB9A261"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el mismo tenor, el propio artículo 180 de la Ley de Transparencia local citado, en su último párrafo establece que cuando el recurso se interponga de manera electrónica, no será indispensable que contenga determinados requisitos, entre ellos, el nombre de 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por lo que, en el presente caso, al haber sido presentado el recurso de revisión vía SAIMEX, dicho requisito resulta innecesario.</w:t>
      </w:r>
    </w:p>
    <w:p w14:paraId="35974DF0"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Finalmente, se advierte que resulta procedente la interposición del recurso, según lo manifestado por 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en sus motivos de inconformidad, de acuerdo al artículo 179, fracción IV del ordenamiento legal citado, que a la letra dice: </w:t>
      </w:r>
    </w:p>
    <w:p w14:paraId="0895BCD8"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w:t>
      </w:r>
      <w:r w:rsidRPr="00873383">
        <w:rPr>
          <w:rFonts w:ascii="Palatino Linotype" w:eastAsia="Palatino Linotype" w:hAnsi="Palatino Linotype" w:cs="Palatino Linotype"/>
          <w:b/>
          <w:i/>
          <w:sz w:val="22"/>
          <w:szCs w:val="22"/>
        </w:rPr>
        <w:t>Artículo 179.</w:t>
      </w:r>
      <w:r w:rsidRPr="0087338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37A56F9" w14:textId="77777777" w:rsidR="00BB409D" w:rsidRPr="00873383" w:rsidRDefault="006946B9">
      <w:pPr>
        <w:spacing w:before="120" w:after="120"/>
        <w:ind w:left="1134"/>
        <w:rPr>
          <w:rFonts w:ascii="Palatino Linotype" w:eastAsia="Palatino Linotype" w:hAnsi="Palatino Linotype" w:cs="Palatino Linotype"/>
          <w:b/>
          <w:i/>
          <w:sz w:val="22"/>
          <w:szCs w:val="22"/>
        </w:rPr>
      </w:pPr>
      <w:r w:rsidRPr="00873383">
        <w:rPr>
          <w:rFonts w:ascii="Palatino Linotype" w:eastAsia="Palatino Linotype" w:hAnsi="Palatino Linotype" w:cs="Palatino Linotype"/>
          <w:b/>
          <w:i/>
          <w:sz w:val="22"/>
          <w:szCs w:val="22"/>
        </w:rPr>
        <w:t>...</w:t>
      </w:r>
    </w:p>
    <w:p w14:paraId="37678A9D" w14:textId="77777777" w:rsidR="00BB409D" w:rsidRPr="00873383" w:rsidRDefault="006946B9">
      <w:pPr>
        <w:spacing w:before="120" w:after="120"/>
        <w:ind w:left="1134"/>
        <w:rPr>
          <w:rFonts w:ascii="Palatino Linotype" w:eastAsia="Palatino Linotype" w:hAnsi="Palatino Linotype" w:cs="Palatino Linotype"/>
          <w:b/>
          <w:i/>
          <w:sz w:val="22"/>
          <w:szCs w:val="22"/>
        </w:rPr>
      </w:pPr>
      <w:r w:rsidRPr="00873383">
        <w:rPr>
          <w:rFonts w:ascii="Palatino Linotype" w:eastAsia="Palatino Linotype" w:hAnsi="Palatino Linotype" w:cs="Palatino Linotype"/>
          <w:b/>
          <w:i/>
          <w:sz w:val="22"/>
          <w:szCs w:val="22"/>
        </w:rPr>
        <w:t xml:space="preserve">IV. </w:t>
      </w:r>
      <w:r w:rsidRPr="00873383">
        <w:rPr>
          <w:rFonts w:ascii="Palatino Linotype" w:eastAsia="Palatino Linotype" w:hAnsi="Palatino Linotype" w:cs="Palatino Linotype"/>
          <w:i/>
          <w:sz w:val="22"/>
          <w:szCs w:val="22"/>
        </w:rPr>
        <w:t>La declaración de incompetencia por el sujeto obligado</w:t>
      </w:r>
      <w:r w:rsidRPr="00873383">
        <w:rPr>
          <w:rFonts w:ascii="Palatino Linotype" w:eastAsia="Palatino Linotype" w:hAnsi="Palatino Linotype" w:cs="Palatino Linotype"/>
          <w:b/>
          <w:i/>
          <w:sz w:val="22"/>
          <w:szCs w:val="22"/>
        </w:rPr>
        <w:t>;</w:t>
      </w:r>
    </w:p>
    <w:p w14:paraId="1A3D8221"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b/>
        </w:rPr>
        <w:t xml:space="preserve">Tercero. Materia de la revisión. </w:t>
      </w:r>
      <w:r w:rsidRPr="00873383">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873383">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873383">
        <w:rPr>
          <w:rFonts w:ascii="Palatino Linotype" w:eastAsia="Palatino Linotype" w:hAnsi="Palatino Linotype" w:cs="Palatino Linotype"/>
        </w:rPr>
        <w:t xml:space="preserve">de 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o en su defecto, en caso de ser procedente, ordenar la entrega de información.</w:t>
      </w:r>
    </w:p>
    <w:p w14:paraId="44B5DE57" w14:textId="77777777" w:rsidR="00BB409D" w:rsidRPr="00873383" w:rsidRDefault="006946B9">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873383">
        <w:rPr>
          <w:rFonts w:ascii="Palatino Linotype" w:eastAsia="Palatino Linotype" w:hAnsi="Palatino Linotype" w:cs="Palatino Linotype"/>
          <w:b/>
        </w:rPr>
        <w:lastRenderedPageBreak/>
        <w:t xml:space="preserve">Cuarto. Estudio del asunto. </w:t>
      </w:r>
      <w:r w:rsidRPr="00873383">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01F8BD8"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w:t>
      </w:r>
      <w:r w:rsidRPr="00873383">
        <w:rPr>
          <w:rFonts w:ascii="Palatino Linotype" w:eastAsia="Palatino Linotype" w:hAnsi="Palatino Linotype" w:cs="Palatino Linotype"/>
          <w:b/>
          <w:i/>
          <w:sz w:val="22"/>
          <w:szCs w:val="22"/>
        </w:rPr>
        <w:t>Artículo 4</w:t>
      </w:r>
      <w:r w:rsidRPr="0087338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544A7F3"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7338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55EBDDE2"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73383">
        <w:rPr>
          <w:rFonts w:ascii="Palatino Linotype" w:eastAsia="Palatino Linotype" w:hAnsi="Palatino Linotype" w:cs="Palatino Linotype"/>
          <w:i/>
          <w:sz w:val="22"/>
          <w:szCs w:val="22"/>
        </w:rPr>
        <w:t>.”(Sic)</w:t>
      </w:r>
    </w:p>
    <w:p w14:paraId="54AC0150"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w:t>
      </w:r>
      <w:r w:rsidRPr="00873383">
        <w:rPr>
          <w:rFonts w:ascii="Palatino Linotype" w:eastAsia="Palatino Linotype" w:hAnsi="Palatino Linotype" w:cs="Palatino Linotype"/>
        </w:rPr>
        <w:lastRenderedPageBreak/>
        <w:t>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5BB4E93"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“Artículo 12.-</w:t>
      </w:r>
      <w:r w:rsidRPr="0087338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DC2488C"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73383">
        <w:rPr>
          <w:rFonts w:ascii="Palatino Linotype" w:eastAsia="Palatino Linotype" w:hAnsi="Palatino Linotype" w:cs="Palatino Linotype"/>
          <w:i/>
          <w:sz w:val="22"/>
          <w:szCs w:val="22"/>
        </w:rPr>
        <w:t xml:space="preserve">. </w:t>
      </w:r>
      <w:r w:rsidRPr="00873383">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 (Sic)</w:t>
      </w:r>
    </w:p>
    <w:p w14:paraId="01661953" w14:textId="77777777" w:rsidR="00BB409D" w:rsidRPr="00873383" w:rsidRDefault="006946B9">
      <w:pPr>
        <w:spacing w:before="240" w:after="240" w:line="360" w:lineRule="auto"/>
        <w:ind w:right="-93"/>
        <w:jc w:val="both"/>
        <w:rPr>
          <w:rFonts w:ascii="Palatino Linotype" w:eastAsia="Palatino Linotype" w:hAnsi="Palatino Linotype" w:cs="Palatino Linotype"/>
        </w:rPr>
      </w:pPr>
      <w:r w:rsidRPr="00873383">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44E63F4C"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Sirve de apoyo a lo anterior Criterio de interpretación, con clave de control SO/003/2017, emitido por el Pleno del Instituto Nacional de Transparencia, Acceso a la Información y Protección de Datos Personales, INAI, que dice:</w:t>
      </w:r>
      <w:r w:rsidRPr="00873383">
        <w:rPr>
          <w:rFonts w:ascii="Palatino Linotype" w:eastAsia="Palatino Linotype" w:hAnsi="Palatino Linotype" w:cs="Palatino Linotype"/>
          <w:b/>
        </w:rPr>
        <w:t> </w:t>
      </w:r>
    </w:p>
    <w:p w14:paraId="50171EA7"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lastRenderedPageBreak/>
        <w:t xml:space="preserve"> “</w:t>
      </w:r>
      <w:r w:rsidRPr="00873383">
        <w:rPr>
          <w:rFonts w:ascii="Palatino Linotype" w:eastAsia="Palatino Linotype" w:hAnsi="Palatino Linotype" w:cs="Palatino Linotype"/>
          <w:b/>
          <w:i/>
          <w:sz w:val="22"/>
          <w:szCs w:val="22"/>
        </w:rPr>
        <w:t>No existe obligación de elaborar documentos ad hoc para atender las solicitudes de acceso a la información.</w:t>
      </w:r>
      <w:r w:rsidRPr="0087338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información.”(Sic)</w:t>
      </w:r>
    </w:p>
    <w:p w14:paraId="21FFBC05"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6ADCCD00" w14:textId="77777777" w:rsidR="00BB409D" w:rsidRPr="00873383" w:rsidRDefault="006946B9">
      <w:pPr>
        <w:spacing w:before="120" w:after="12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w:t>
      </w:r>
      <w:r w:rsidRPr="00873383">
        <w:rPr>
          <w:rFonts w:ascii="Palatino Linotype" w:eastAsia="Palatino Linotype" w:hAnsi="Palatino Linotype" w:cs="Palatino Linotype"/>
        </w:rPr>
        <w:lastRenderedPageBreak/>
        <w:t xml:space="preserve">informático u holográfico de conformidad con el artículo 3, fracción XI de la Ley de la materia, el cual señala lo siguiente: </w:t>
      </w:r>
    </w:p>
    <w:p w14:paraId="33B17A41"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w:t>
      </w:r>
      <w:r w:rsidRPr="00873383">
        <w:rPr>
          <w:rFonts w:ascii="Palatino Linotype" w:eastAsia="Palatino Linotype" w:hAnsi="Palatino Linotype" w:cs="Palatino Linotype"/>
          <w:b/>
          <w:i/>
          <w:sz w:val="22"/>
          <w:szCs w:val="22"/>
        </w:rPr>
        <w:t xml:space="preserve">Artículo 3. </w:t>
      </w:r>
      <w:r w:rsidRPr="00873383">
        <w:rPr>
          <w:rFonts w:ascii="Palatino Linotype" w:eastAsia="Palatino Linotype" w:hAnsi="Palatino Linotype" w:cs="Palatino Linotype"/>
          <w:i/>
          <w:sz w:val="22"/>
          <w:szCs w:val="22"/>
        </w:rPr>
        <w:t>Para los efectos de la presente Ley se entenderá por:</w:t>
      </w:r>
    </w:p>
    <w:p w14:paraId="3AABCFD4"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w:t>
      </w:r>
    </w:p>
    <w:p w14:paraId="6C50C50A"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XI. Documento:</w:t>
      </w:r>
      <w:r w:rsidRPr="00873383">
        <w:rPr>
          <w:rFonts w:ascii="Palatino Linotype" w:eastAsia="Palatino Linotype" w:hAnsi="Palatino Linotype" w:cs="Palatino Linotype"/>
          <w:i/>
          <w:sz w:val="22"/>
          <w:szCs w:val="22"/>
        </w:rPr>
        <w:t xml:space="preserve"> Los expedientes, reportes, estudios, actas</w:t>
      </w:r>
      <w:r w:rsidRPr="00873383">
        <w:rPr>
          <w:rFonts w:ascii="Palatino Linotype" w:eastAsia="Palatino Linotype" w:hAnsi="Palatino Linotype" w:cs="Palatino Linotype"/>
          <w:b/>
          <w:i/>
          <w:sz w:val="22"/>
          <w:szCs w:val="22"/>
        </w:rPr>
        <w:t>,</w:t>
      </w:r>
      <w:r w:rsidRPr="0087338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1A40658"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3C944598"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sz w:val="22"/>
          <w:szCs w:val="22"/>
        </w:rPr>
        <w:t>“</w:t>
      </w:r>
      <w:r w:rsidRPr="00873383">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87338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F3EBA27"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4782D27"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lastRenderedPageBreak/>
        <w:t>1) Que se trate de información registrada en cualquier soporte documental, que en ejercicio de las atribuciones conferidas, sea generada por los Sujetos Obligados;</w:t>
      </w:r>
    </w:p>
    <w:p w14:paraId="516919D8"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481143CB"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 (Sic)</w:t>
      </w:r>
    </w:p>
    <w:p w14:paraId="596291CB" w14:textId="77777777" w:rsidR="00BB409D" w:rsidRPr="00873383" w:rsidRDefault="006946B9">
      <w:pP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5800ACA"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w:t>
      </w:r>
      <w:r w:rsidRPr="00873383">
        <w:rPr>
          <w:rFonts w:ascii="Palatino Linotype" w:eastAsia="Palatino Linotype" w:hAnsi="Palatino Linotype" w:cs="Palatino Linotype"/>
        </w:rPr>
        <w:lastRenderedPageBreak/>
        <w:t>realice actos de autoridad en el ámbito estatal y municipal, es pública y sólo podrá ser reservada temporalmente por las razones previstas en la Constitución Federal por interés público y seguridad, en los términos que fijen las leyes de la materia.</w:t>
      </w:r>
    </w:p>
    <w:p w14:paraId="0C2AAC65" w14:textId="77777777" w:rsidR="00BB409D" w:rsidRPr="00873383" w:rsidRDefault="006946B9">
      <w:pP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requirió al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le proporcione, información consistente en lo siguiente:</w:t>
      </w:r>
    </w:p>
    <w:p w14:paraId="5C245D54" w14:textId="77777777" w:rsidR="00BB409D" w:rsidRPr="00873383" w:rsidRDefault="006946B9">
      <w:pPr>
        <w:spacing w:before="240" w:after="240" w:line="360" w:lineRule="auto"/>
        <w:ind w:left="426"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1. ¿Cuántos tipos de testamentos existen? </w:t>
      </w:r>
    </w:p>
    <w:p w14:paraId="7A1D5A05" w14:textId="77777777" w:rsidR="00BB409D" w:rsidRPr="00873383" w:rsidRDefault="006946B9">
      <w:pPr>
        <w:spacing w:before="240" w:after="240" w:line="360" w:lineRule="auto"/>
        <w:ind w:left="426"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2. ¿En cuáles testamentos interviene el notario? </w:t>
      </w:r>
    </w:p>
    <w:p w14:paraId="53137158" w14:textId="77777777" w:rsidR="00BB409D" w:rsidRPr="00873383" w:rsidRDefault="006946B9">
      <w:pPr>
        <w:spacing w:before="240" w:after="240" w:line="360" w:lineRule="auto"/>
        <w:ind w:left="426"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3. En los testamentos en los que interviene el notario, ¿es necesario la comparecencia de testigos? </w:t>
      </w:r>
    </w:p>
    <w:p w14:paraId="2BF01CCE" w14:textId="77777777" w:rsidR="00BB409D" w:rsidRPr="00873383" w:rsidRDefault="006946B9">
      <w:pPr>
        <w:spacing w:before="240" w:after="240" w:line="360" w:lineRule="auto"/>
        <w:ind w:left="426"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4. ¿Existe algún requisito especial para que las personas de edad avanzada puedan testar ante notario público? </w:t>
      </w:r>
    </w:p>
    <w:p w14:paraId="358DCA87" w14:textId="77777777" w:rsidR="00BB409D" w:rsidRPr="00873383" w:rsidRDefault="006946B9">
      <w:pPr>
        <w:spacing w:before="240" w:after="240" w:line="360" w:lineRule="auto"/>
        <w:ind w:left="426"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5. ¿Es necesario que una autoridad valide la forma y contenido del testamento otorgado ante notario para su ejecución? </w:t>
      </w:r>
    </w:p>
    <w:p w14:paraId="1B9F5FA8" w14:textId="77777777" w:rsidR="00BB409D" w:rsidRPr="00873383" w:rsidRDefault="006946B9">
      <w:pPr>
        <w:spacing w:before="240" w:after="240" w:line="360" w:lineRule="auto"/>
        <w:ind w:left="426"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6. ¿Existe un registro estatal de testamentos? En caso afirmativo: </w:t>
      </w:r>
    </w:p>
    <w:p w14:paraId="4C2575DD" w14:textId="77777777" w:rsidR="00BB409D" w:rsidRPr="00873383" w:rsidRDefault="006946B9">
      <w:pPr>
        <w:spacing w:before="240" w:after="240" w:line="360" w:lineRule="auto"/>
        <w:ind w:left="850"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6.1. ¿A cargo de quien está la operación de dicho registro? </w:t>
      </w:r>
    </w:p>
    <w:p w14:paraId="54278436" w14:textId="77777777" w:rsidR="00BB409D" w:rsidRPr="00873383" w:rsidRDefault="006946B9">
      <w:pPr>
        <w:spacing w:before="240" w:after="240" w:line="360" w:lineRule="auto"/>
        <w:ind w:left="850" w:right="51"/>
        <w:jc w:val="both"/>
        <w:rPr>
          <w:rFonts w:ascii="Palatino Linotype" w:eastAsia="Palatino Linotype" w:hAnsi="Palatino Linotype" w:cs="Palatino Linotype"/>
        </w:rPr>
      </w:pPr>
      <w:r w:rsidRPr="00873383">
        <w:rPr>
          <w:rFonts w:ascii="Palatino Linotype" w:eastAsia="Palatino Linotype" w:hAnsi="Palatino Linotype" w:cs="Palatino Linotype"/>
        </w:rPr>
        <w:t>6.2. ¿Qué datos se incluyen en el registro estatal de testamentos?</w:t>
      </w:r>
    </w:p>
    <w:p w14:paraId="0B07FF29" w14:textId="77777777" w:rsidR="00BB409D" w:rsidRPr="00873383" w:rsidRDefault="006946B9">
      <w:pPr>
        <w:spacing w:before="240" w:after="240" w:line="360" w:lineRule="auto"/>
        <w:ind w:left="850"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6.3. ¿Quién puede consultar el registro? </w:t>
      </w:r>
    </w:p>
    <w:p w14:paraId="4CD47ED1" w14:textId="77777777" w:rsidR="00BB409D" w:rsidRPr="00873383" w:rsidRDefault="006946B9">
      <w:pPr>
        <w:spacing w:before="240" w:after="240" w:line="360" w:lineRule="auto"/>
        <w:ind w:left="850" w:right="51"/>
        <w:jc w:val="both"/>
        <w:rPr>
          <w:rFonts w:ascii="Palatino Linotype" w:eastAsia="Palatino Linotype" w:hAnsi="Palatino Linotype" w:cs="Palatino Linotype"/>
        </w:rPr>
      </w:pPr>
      <w:r w:rsidRPr="00873383">
        <w:rPr>
          <w:rFonts w:ascii="Palatino Linotype" w:eastAsia="Palatino Linotype" w:hAnsi="Palatino Linotype" w:cs="Palatino Linotype"/>
        </w:rPr>
        <w:lastRenderedPageBreak/>
        <w:t>6.4. ¿Qué se requiere para solicitar una constancia de existencia de testamento?</w:t>
      </w:r>
    </w:p>
    <w:p w14:paraId="0F11F73D" w14:textId="77777777" w:rsidR="00BB409D" w:rsidRPr="00873383" w:rsidRDefault="006946B9">
      <w:pPr>
        <w:spacing w:before="240" w:after="240" w:line="360" w:lineRule="auto"/>
        <w:ind w:left="426" w:right="51"/>
        <w:jc w:val="both"/>
        <w:rPr>
          <w:rFonts w:ascii="Palatino Linotype" w:eastAsia="Palatino Linotype" w:hAnsi="Palatino Linotype" w:cs="Palatino Linotype"/>
        </w:rPr>
      </w:pPr>
      <w:r w:rsidRPr="00873383">
        <w:rPr>
          <w:rFonts w:ascii="Palatino Linotype" w:eastAsia="Palatino Linotype" w:hAnsi="Palatino Linotype" w:cs="Palatino Linotype"/>
        </w:rPr>
        <w:t>7. Favor de informar el número de testamentos registrados por tipo y año (del 2018 a la fecha). Ejemplo: Año Testamento Público Abierto Ológrafo 2019 30 2</w:t>
      </w:r>
    </w:p>
    <w:p w14:paraId="3F46946F" w14:textId="77777777" w:rsidR="00BB409D" w:rsidRPr="00873383" w:rsidRDefault="006946B9">
      <w:pP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respuesta, el Titular de la Unidad de Transparencia hizo del conocimiento de la persona solicitante que 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carece de facultades legales para dar una respuesta favorable a la petición, toda vez que de los ordenamientos normativos que regulan el actuar de la Secretaría General de Gobierno no se encuentra ninguna relacionada con la descripción de la solicitud de información.</w:t>
      </w:r>
    </w:p>
    <w:p w14:paraId="11B945C9" w14:textId="77777777" w:rsidR="00BB409D" w:rsidRPr="00873383" w:rsidRDefault="006946B9">
      <w:pPr>
        <w:spacing w:before="240" w:after="240"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rPr>
        <w:t>Asimismo, informó a la persona solicitante que la instancia gubernamental que pudiera contar con la información es la Consejería Jurídica, antes Secretaría de Justicia y Derechos Humanos, del Estado de México.</w:t>
      </w:r>
    </w:p>
    <w:p w14:paraId="0BB6F33C"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Al no estar conforme con los términos de la respuesta emitida, la parte </w:t>
      </w:r>
      <w:r w:rsidRPr="00873383">
        <w:rPr>
          <w:rFonts w:ascii="Palatino Linotype" w:eastAsia="Palatino Linotype" w:hAnsi="Palatino Linotype" w:cs="Palatino Linotype"/>
          <w:b/>
        </w:rPr>
        <w:t xml:space="preserve">Recurrente </w:t>
      </w:r>
      <w:r w:rsidRPr="00873383">
        <w:rPr>
          <w:rFonts w:ascii="Palatino Linotype" w:eastAsia="Palatino Linotype" w:hAnsi="Palatino Linotype" w:cs="Palatino Linotype"/>
        </w:rPr>
        <w:t>interpuso el recurso de revisión que nos ocupa, donde señaló como motivo de inconformidad, que fue remitido a la Consejería del Estado, sin embargo, refiere que dicha dependencia no está dada de alta en la Plataforma Nacional de Transparencia.</w:t>
      </w:r>
    </w:p>
    <w:p w14:paraId="049DF5A7" w14:textId="77777777" w:rsidR="00BB409D" w:rsidRPr="00873383" w:rsidRDefault="006946B9">
      <w:pPr>
        <w:spacing w:before="240" w:after="240"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rPr>
        <w:t>En la etapa de manifestaciones, el Titular de la Unidad de Transparencia</w:t>
      </w:r>
      <w:r w:rsidRPr="00873383">
        <w:rPr>
          <w:rFonts w:ascii="Palatino Linotype" w:eastAsia="Palatino Linotype" w:hAnsi="Palatino Linotype" w:cs="Palatino Linotype"/>
          <w:b/>
        </w:rPr>
        <w:t xml:space="preserve"> </w:t>
      </w:r>
      <w:r w:rsidRPr="00873383">
        <w:rPr>
          <w:rFonts w:ascii="Palatino Linotype" w:eastAsia="Palatino Linotype" w:hAnsi="Palatino Linotype" w:cs="Palatino Linotype"/>
        </w:rPr>
        <w:t xml:space="preserve">reiteró que ninguna unidad administrativa de la Secretaría General de Gobierno, tiene atribuciones que le permitan brindar la información solicitada, como puede constatarse con el marco normativo de actuación del Sujeto Obligado, como son los </w:t>
      </w:r>
      <w:r w:rsidRPr="00873383">
        <w:rPr>
          <w:rFonts w:ascii="Palatino Linotype" w:eastAsia="Palatino Linotype" w:hAnsi="Palatino Linotype" w:cs="Palatino Linotype"/>
        </w:rPr>
        <w:lastRenderedPageBreak/>
        <w:t>artículos 1, 23, 24 y 25 de la Ley Orgánica de la Administración Pública del Estado de México; 1, 2, 6 y 7 del Reglamento Interior de la Secretaría General de Gobierno, y lo que establece el objetivo y funciones la Secretaría General de Gobierno dispuesto en su Manual General de Organización.</w:t>
      </w:r>
    </w:p>
    <w:p w14:paraId="3AE5CBA1" w14:textId="77777777" w:rsidR="00BB409D" w:rsidRPr="00873383" w:rsidRDefault="006946B9">
      <w:pPr>
        <w:numPr>
          <w:ilvl w:val="0"/>
          <w:numId w:val="1"/>
        </w:numPr>
        <w:pBdr>
          <w:top w:val="nil"/>
          <w:left w:val="nil"/>
          <w:bottom w:val="nil"/>
          <w:right w:val="nil"/>
          <w:between w:val="nil"/>
        </w:pBdr>
        <w:spacing w:before="240" w:after="240" w:line="360" w:lineRule="auto"/>
        <w:jc w:val="both"/>
        <w:rPr>
          <w:rFonts w:ascii="Palatino Linotype" w:eastAsia="Palatino Linotype" w:hAnsi="Palatino Linotype" w:cs="Palatino Linotype"/>
          <w:b/>
        </w:rPr>
      </w:pPr>
      <w:r w:rsidRPr="00873383">
        <w:rPr>
          <w:rFonts w:ascii="Palatino Linotype" w:eastAsia="Palatino Linotype" w:hAnsi="Palatino Linotype" w:cs="Palatino Linotype"/>
          <w:b/>
          <w:u w:val="single"/>
        </w:rPr>
        <w:t>De las atribuciones del Sujeto Obligado</w:t>
      </w:r>
    </w:p>
    <w:p w14:paraId="1CC1AFAA"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Ahora bien, tomando en consideración el pronunciamiento emitido por 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en respuesta a la solicitud, es oportuno partir de las atribuciones que la normativa le confiere, para lo cual es necesario traer a colación, en primer lugar, el contenido de la Ley Orgánica de la Administración Pública del Estado de México.</w:t>
      </w:r>
    </w:p>
    <w:p w14:paraId="4D7CCDDF"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En este sentido, el artículo 24 del referido ordenamiento legal dispone que la Secretaría General de Gobierno es el Órgano encargado de conducir, por delegación de la persona titular del Poder Ejecutivo del Estado, la política interior del Estado y la coordinación y supervisión del despacho de los asuntos encomendados a las demás dependencias que auxilian a la persona titular del Poder Ejecutivo del Estado, en el estudio, planeación y despacho de los asuntos en los diversos ramos de la administración pública.</w:t>
      </w:r>
    </w:p>
    <w:p w14:paraId="47F2B7EE"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Para el cumplimiento de su objeto, se le confieren las siguientes atribuciones, de conformidad con el artículo 25 de la Ley Orgánica:</w:t>
      </w:r>
    </w:p>
    <w:p w14:paraId="45871015" w14:textId="77777777" w:rsidR="00BB409D" w:rsidRPr="00873383" w:rsidRDefault="006946B9">
      <w:pPr>
        <w:spacing w:before="120" w:after="12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w:t>
      </w:r>
      <w:r w:rsidRPr="00873383">
        <w:rPr>
          <w:rFonts w:ascii="Palatino Linotype" w:eastAsia="Palatino Linotype" w:hAnsi="Palatino Linotype" w:cs="Palatino Linotype"/>
          <w:b/>
          <w:i/>
          <w:sz w:val="22"/>
          <w:szCs w:val="22"/>
        </w:rPr>
        <w:t>Artículo 25</w:t>
      </w:r>
      <w:r w:rsidRPr="00873383">
        <w:rPr>
          <w:rFonts w:ascii="Palatino Linotype" w:eastAsia="Palatino Linotype" w:hAnsi="Palatino Linotype" w:cs="Palatino Linotype"/>
          <w:i/>
          <w:sz w:val="22"/>
          <w:szCs w:val="22"/>
        </w:rPr>
        <w:t xml:space="preserve">. La Secretaría General de Gobierno contará con las siguientes atribuciones: </w:t>
      </w:r>
    </w:p>
    <w:p w14:paraId="6980E1AC"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lastRenderedPageBreak/>
        <w:t xml:space="preserve">I. Presidir los gabinetes legal y ampliado, en las ausencias de la persona titular del Poder Ejecutivo del Estado; </w:t>
      </w:r>
    </w:p>
    <w:p w14:paraId="105E80D8"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II. Suplir las ausencias temporales de la persona titular del Poder Ejecutivo del Estado de conformidad con lo dispuesto en la Constitución;</w:t>
      </w:r>
    </w:p>
    <w:p w14:paraId="14818D87"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III. Conducir por delegación de la persona titular del Poder Ejecutivo del Estado los asuntos de orden político interno del Estado; </w:t>
      </w:r>
    </w:p>
    <w:p w14:paraId="491F2A37"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IV. Conducir las relaciones del Poder Ejecutivo con los demás poderes, así como con los ayuntamientos del Estado, autoridades de otras Entidades Federativas, los órganos constitucionales autónomos, partidos y/o agrupaciones políticas nacionales o estatales, así como con las organizaciones sociales; </w:t>
      </w:r>
    </w:p>
    <w:p w14:paraId="4BA36655"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V. Coadyuvar, en el ámbito de su competencia, con los poderes Legislativo y Judicial y con los ayuntamientos del Estado, en el cumplimiento de sus atribuciones; </w:t>
      </w:r>
    </w:p>
    <w:p w14:paraId="5699A95D"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VI. Fortalecer y promover las acciones para preservar la integridad, estabilidad y permanencia de las instituciones del Estado; </w:t>
      </w:r>
    </w:p>
    <w:p w14:paraId="6003307F"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VII. Cumplir y hacer cumplir las políticas, los acuerdos, las órdenes, las circulares y demás disposiciones del Poder Ejecutivo del Estado; </w:t>
      </w:r>
    </w:p>
    <w:p w14:paraId="75685E90"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VIII. Analizar los problemas y conflictos sociales que surjan en el Estado para inducir la conciliación y mejorar la gobernanza democrática que de sustento a la legitimidad política y la unidad social en el Estado de México; </w:t>
      </w:r>
    </w:p>
    <w:p w14:paraId="40009FC4"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IX. Refrendar obligatoriamente para su validez y observancia, la promulgación de las leyes o decretos expedidos por la Legislatura y demás instrumentos jurídicos en términos de lo previsto en el artículo 7 de esta Ley;</w:t>
      </w:r>
    </w:p>
    <w:p w14:paraId="72FDF9F1"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 Ser el conducto, previo acuerdo con la persona titular del Poder Ejecutivo del Estado, para entregar a la Legislatura el Informe acerca del estado que guarda la Administración Pública a que hace referencia la Constitución; </w:t>
      </w:r>
    </w:p>
    <w:p w14:paraId="146A874B"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XI. Formular, conducir y evaluar las políticas estatales en materia de desarrollo municipal en coordinación con los municipios que correspondan; </w:t>
      </w:r>
    </w:p>
    <w:p w14:paraId="55D4FBB9"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XII. Proponer políticas y estrategias, así como acciones de coordinación entre las dependencias encargadas de la seguridad pública estatal y nacional, en materia de prevención social del delito; </w:t>
      </w:r>
    </w:p>
    <w:p w14:paraId="66C9B9E0"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lastRenderedPageBreak/>
        <w:t xml:space="preserve">XIII. Coordinar con las dependencias del Ejecutivo Estatal, los municipios y las autoridades federales, las acciones de gestión en la prevención, disminución y atención de riesgos, siniestro o desastre, y para que se ejecuten las acciones y programas públicos tendentes al restablecimiento de la normalidad tomando en cuenta a las personas y sus bienes, así como el hábitat; </w:t>
      </w:r>
    </w:p>
    <w:p w14:paraId="63ECC620"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XIV. Instrumentar por si o a través de organismos y dependencias, entidades públicas o privadas especializadas, la operación de redes de detección, monitoreo, pronóstico y medición de riesgos en coordinación con las dependencias responsables; </w:t>
      </w:r>
    </w:p>
    <w:p w14:paraId="0D79AE38"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XV. Coordinar y supervisar las acciones en materia de gestión integral de riesgos y protección civil, así como administrar, en el ámbito de su competencia, la aplicación de recursos destinados a la atención de desastres y siniestros ambientales o antropogénicos; </w:t>
      </w:r>
    </w:p>
    <w:p w14:paraId="101D3FBC"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XVI. Coordinar con el Instituto Mexiquense de la Pirotecnia todas las acciones relacionadas con la materia, en el ámbito de su competencia; </w:t>
      </w:r>
    </w:p>
    <w:p w14:paraId="4D22DB46"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XVII. Formular y coordinar las políticas estatales en materia de población y migración con la autoridad que corresponda; </w:t>
      </w:r>
    </w:p>
    <w:p w14:paraId="4D42ED50"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XVIII. Fortalecer el desarrollo político en el Estado y promover la activa participación de la ciudadanía; </w:t>
      </w:r>
    </w:p>
    <w:p w14:paraId="1B96EA96"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XIX. Promover las acciones de fomento a la cultura cívica del Gobierno del Estado de México; </w:t>
      </w:r>
    </w:p>
    <w:p w14:paraId="07B22BC7"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XX. Intervenir, en el ámbito de su competencia, en auxilio o en coordinación con las autoridades federales, en materia de loterías, rifas, concursos y juegos permitidos con cruce de apuestas; </w:t>
      </w:r>
    </w:p>
    <w:p w14:paraId="59461602"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XXI. Expedir, previo acuerdo con la persona titular del Poder Ejecutivo del Estado, las licencias, autorizaciones, concesiones y permisos cuyo otorgamiento no esté atribuido a otras dependencias del Ejecutivo; </w:t>
      </w:r>
    </w:p>
    <w:p w14:paraId="70C724B6"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XXII. Coordinar y supervisar las acciones en materia de eventos públicos en términos de la legislación respectiva; </w:t>
      </w:r>
    </w:p>
    <w:p w14:paraId="22D86017"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XXIII. Intervenir en el auxilio o en coordinación con las autoridades federales, en términos de las leyes en materia de cultos religiosos;</w:t>
      </w:r>
    </w:p>
    <w:p w14:paraId="61EB2380"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lastRenderedPageBreak/>
        <w:t xml:space="preserve"> XXIV. Ejecutar, en coordinación con la Consejería Jurídica, los decretos de expropiación de conformidad con la legislación aplicable; </w:t>
      </w:r>
    </w:p>
    <w:p w14:paraId="14BDDAD7"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XXV. Declarar la Alerta de Violencia de Género contra las mujeres en los términos previstos en la legislación aplicable;</w:t>
      </w:r>
    </w:p>
    <w:p w14:paraId="52812ED0"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XXVI. Implementar, desarrollar y fomentar, en coordinación con la Oficialía Mayor, la política de Gobierno Digital y el uso estratégico de tecnologías de la información en el ejercicio de la gestión pública dentro de la Entidad; </w:t>
      </w:r>
    </w:p>
    <w:p w14:paraId="40EDD10E"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XXVII. Emitir, en conjunto con la Secretaría de Finanzas, los lineamientos técnicos en materia de Gobierno Digital conforme a lo establecido en los ordenamientos jurídicos aplicables; </w:t>
      </w:r>
    </w:p>
    <w:p w14:paraId="7E79EAB6" w14:textId="77777777" w:rsidR="00BB409D" w:rsidRPr="00873383" w:rsidRDefault="006946B9">
      <w:pPr>
        <w:spacing w:before="120" w:after="120"/>
        <w:ind w:left="1134"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XXVIII. Coordinarse con la Secretaría de Finanzas y con el Consejo Estatal de Gobierno Digital, para la implementación y administración del Registro Único de Personas Acreditadas en el Estado; y </w:t>
      </w:r>
    </w:p>
    <w:p w14:paraId="262E4626" w14:textId="77777777" w:rsidR="00BB409D" w:rsidRPr="00873383" w:rsidRDefault="006946B9">
      <w:pPr>
        <w:spacing w:before="120" w:after="120"/>
        <w:ind w:left="1134" w:right="902"/>
        <w:jc w:val="both"/>
        <w:rPr>
          <w:rFonts w:ascii="Palatino Linotype" w:eastAsia="Palatino Linotype" w:hAnsi="Palatino Linotype" w:cs="Palatino Linotype"/>
        </w:rPr>
      </w:pPr>
      <w:r w:rsidRPr="00873383">
        <w:rPr>
          <w:rFonts w:ascii="Palatino Linotype" w:eastAsia="Palatino Linotype" w:hAnsi="Palatino Linotype" w:cs="Palatino Linotype"/>
          <w:i/>
          <w:sz w:val="22"/>
          <w:szCs w:val="22"/>
        </w:rPr>
        <w:t>XXIX. Las demás que le señalen otras leyes, reglamentos y disposiciones jurídicas aplicables, así como las que le encomiende la persona titular del Poder Ejecutivo del Estado.”</w:t>
      </w:r>
      <w:r w:rsidRPr="00873383">
        <w:t xml:space="preserve"> </w:t>
      </w:r>
    </w:p>
    <w:p w14:paraId="5845E75C"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Por otro lado, el artículo 4 del Reglamento Interior de la Secretaría General de Gobierno, dispone que la persona Titular de la Secretaría, se auxiliará de las siguientes unidades administrativas para el estudio, planeación y atención de los asuntos de su competencia:</w:t>
      </w:r>
    </w:p>
    <w:p w14:paraId="0CC9A02C"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I. Subsecretaría General de Gobierno: </w:t>
      </w:r>
    </w:p>
    <w:p w14:paraId="2E12731B"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 Coordinación de Gobierno Zona Poniente; </w:t>
      </w:r>
    </w:p>
    <w:p w14:paraId="14D6925A"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b. Coordinación de Gobierno Zona Oriente; </w:t>
      </w:r>
    </w:p>
    <w:p w14:paraId="06B93B60"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c. Coordinación de Seguimiento, Evaluación y Apoyo Técnico;</w:t>
      </w:r>
    </w:p>
    <w:p w14:paraId="0B277997"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d. Coordinación de Políticas Transversales de Gobernabilidad; </w:t>
      </w:r>
    </w:p>
    <w:p w14:paraId="047053AD"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lastRenderedPageBreak/>
        <w:t xml:space="preserve">e. Coordinación de Concertación, y </w:t>
      </w:r>
    </w:p>
    <w:p w14:paraId="6446C1B4"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f. Dirección General de Información Sociopolítica; </w:t>
      </w:r>
    </w:p>
    <w:p w14:paraId="0981F687"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II. Subsecretaría de Desarrollo Municipal: </w:t>
      </w:r>
    </w:p>
    <w:p w14:paraId="59DB4E3E"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a. Dirección General de Políticas Públicas Municipales;</w:t>
      </w:r>
    </w:p>
    <w:p w14:paraId="4D557903"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b. Dirección General de Apoyo Regional y Municipal, y </w:t>
      </w:r>
    </w:p>
    <w:p w14:paraId="631055C8"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c. Unidad de Consulta Popular; </w:t>
      </w:r>
    </w:p>
    <w:p w14:paraId="04B7D6DE"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III. Coordinación General de Protección Civil y Gestión Integral del Riesgo: </w:t>
      </w:r>
    </w:p>
    <w:p w14:paraId="1BBAA3C5"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 Dirección General de Protección Civil, y </w:t>
      </w:r>
    </w:p>
    <w:p w14:paraId="62297AFB"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b. Dirección General de Gestión de Riesgos; </w:t>
      </w:r>
    </w:p>
    <w:p w14:paraId="6C5FD4C9"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IV. Coordinación Técnica del Gabinete; </w:t>
      </w:r>
    </w:p>
    <w:p w14:paraId="3373088C"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V. Coordinación General de Comunicación Social; </w:t>
      </w:r>
    </w:p>
    <w:p w14:paraId="5F1BC17E"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VI. Unidad de Proyectos Estratégicos: </w:t>
      </w:r>
    </w:p>
    <w:p w14:paraId="46DAE86C"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a. Coordinación de Proyectos Estratégicos;</w:t>
      </w:r>
    </w:p>
    <w:p w14:paraId="5713556B"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 b. Coordinación de Innovación Gubernamental y Agenda Digital;</w:t>
      </w:r>
    </w:p>
    <w:p w14:paraId="1BC0D013" w14:textId="77777777" w:rsidR="00BB409D" w:rsidRPr="00873383" w:rsidRDefault="006946B9">
      <w:pPr>
        <w:pBdr>
          <w:top w:val="nil"/>
          <w:left w:val="nil"/>
          <w:bottom w:val="nil"/>
          <w:right w:val="nil"/>
          <w:between w:val="nil"/>
        </w:pBdr>
        <w:spacing w:before="240" w:after="240" w:line="276" w:lineRule="auto"/>
        <w:ind w:left="709"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c. Representación del Gobierno del Estado de México en la Ciudad de México; </w:t>
      </w:r>
    </w:p>
    <w:p w14:paraId="4EFB3973"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VII. Coordinación de Atención Ciudadana; </w:t>
      </w:r>
    </w:p>
    <w:p w14:paraId="16D7D4BC"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VIII. Coordinación de Acción Cívica y Eventos Especiales; </w:t>
      </w:r>
    </w:p>
    <w:p w14:paraId="7108EF9C"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lastRenderedPageBreak/>
        <w:t xml:space="preserve">IX. Unidad de Asuntos Religiosos; </w:t>
      </w:r>
    </w:p>
    <w:p w14:paraId="7EDD202A"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X. Coordinación Jurídica, y de Igualdad de Género y Erradicación de la Violencia, y </w:t>
      </w:r>
    </w:p>
    <w:p w14:paraId="0427EC10" w14:textId="77777777" w:rsidR="00BB409D" w:rsidRPr="00873383" w:rsidRDefault="006946B9">
      <w:pPr>
        <w:pBdr>
          <w:top w:val="nil"/>
          <w:left w:val="nil"/>
          <w:bottom w:val="nil"/>
          <w:right w:val="nil"/>
          <w:between w:val="nil"/>
        </w:pBdr>
        <w:spacing w:before="240" w:after="240" w:line="276" w:lineRule="auto"/>
        <w:ind w:left="425" w:right="51"/>
        <w:jc w:val="both"/>
        <w:rPr>
          <w:rFonts w:ascii="Palatino Linotype" w:eastAsia="Palatino Linotype" w:hAnsi="Palatino Linotype" w:cs="Palatino Linotype"/>
        </w:rPr>
      </w:pPr>
      <w:r w:rsidRPr="00873383">
        <w:rPr>
          <w:rFonts w:ascii="Palatino Linotype" w:eastAsia="Palatino Linotype" w:hAnsi="Palatino Linotype" w:cs="Palatino Linotype"/>
        </w:rPr>
        <w:t>XI. Coordinación Administrativa.</w:t>
      </w:r>
    </w:p>
    <w:p w14:paraId="0A97DE95"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b/>
        </w:rPr>
      </w:pPr>
      <w:r w:rsidRPr="00873383">
        <w:rPr>
          <w:rFonts w:ascii="Palatino Linotype" w:eastAsia="Palatino Linotype" w:hAnsi="Palatino Linotype" w:cs="Palatino Linotype"/>
        </w:rPr>
        <w:t>Como se advierte, el objetivo de la Secretaría General de Gobierno se encuentra estrechamente relacionado con la planeación, dirección y evaluación de todos aquellos asuntos encaminados al desarrollo de la política interior del Estado, así como de las relaciones del Poder Ejecutivo con los otros poderes, entidades federativas y los ayuntamientos de la entidad, así como desarrollar e instrumentar acciones que aseguren la incorporación de la perspectiva de género en los programas, proyectos y políticas públicas competencia de la dependencia e impulsar una cultura de respeto entre hombres y mujeres.</w:t>
      </w:r>
    </w:p>
    <w:p w14:paraId="7F42B984"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este tenor, se colige que existe una evidente incompetencia por parte de la </w:t>
      </w:r>
      <w:r w:rsidRPr="00873383">
        <w:rPr>
          <w:rFonts w:ascii="Palatino Linotype" w:eastAsia="Palatino Linotype" w:hAnsi="Palatino Linotype" w:cs="Palatino Linotype"/>
          <w:b/>
        </w:rPr>
        <w:t xml:space="preserve">Secretaría General de Gobierno, </w:t>
      </w:r>
      <w:r w:rsidRPr="00873383">
        <w:rPr>
          <w:rFonts w:ascii="Palatino Linotype" w:eastAsia="Palatino Linotype" w:hAnsi="Palatino Linotype" w:cs="Palatino Linotype"/>
        </w:rPr>
        <w:t xml:space="preserve">como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xml:space="preserve"> para satisfacer lo solicitado, lo anterior es así, toda vez que en el caso particular, no se observa que cuente con alguna atribución de la cual pudiera desprenderse la información relacionada con testamentos o su otorgamiento, pues la normatividad aplicable no le confiere alguna función que relacione con dicha información, así como tampoco cuenta con un área que pudiera generar, administrar o poseer la misma.</w:t>
      </w:r>
    </w:p>
    <w:p w14:paraId="3DD3F06B" w14:textId="77777777" w:rsidR="00BB409D" w:rsidRPr="00873383" w:rsidRDefault="006946B9">
      <w:pPr>
        <w:spacing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lastRenderedPageBreak/>
        <w:t>En este sentido, resulta aplicable el criterio 13/17 emitido por el Pleno del Instituto Nacional de Transparencia, Acceso a la Información y Protección de Datos Personales, el cual, para pronta referencia se reproduce a continuación:</w:t>
      </w:r>
    </w:p>
    <w:p w14:paraId="06BB0F44" w14:textId="77777777" w:rsidR="00BB409D" w:rsidRPr="00873383" w:rsidRDefault="006946B9">
      <w:pPr>
        <w:spacing w:before="120" w:after="120"/>
        <w:ind w:left="851" w:right="851"/>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“Incompetencia. La incompetencia implica la ausencia de atribuciones del sujeto obligado para poseer la información solicitada</w:t>
      </w:r>
      <w:r w:rsidRPr="00873383">
        <w:rPr>
          <w:rFonts w:ascii="Palatino Linotype" w:eastAsia="Palatino Linotype" w:hAnsi="Palatino Linotype" w:cs="Palatino Linotype"/>
          <w:i/>
          <w:sz w:val="22"/>
          <w:szCs w:val="22"/>
        </w:rPr>
        <w:t xml:space="preserve">; es decir, se trata de una cuestión de derecho, </w:t>
      </w:r>
      <w:r w:rsidRPr="00873383">
        <w:rPr>
          <w:rFonts w:ascii="Palatino Linotype" w:eastAsia="Palatino Linotype" w:hAnsi="Palatino Linotype" w:cs="Palatino Linotype"/>
          <w:b/>
          <w:i/>
          <w:sz w:val="22"/>
          <w:szCs w:val="22"/>
        </w:rPr>
        <w:t>en tanto que no existan facultades para contar con lo requerido</w:t>
      </w:r>
      <w:r w:rsidRPr="00873383">
        <w:rPr>
          <w:rFonts w:ascii="Palatino Linotype" w:eastAsia="Palatino Linotype" w:hAnsi="Palatino Linotype" w:cs="Palatino Linotype"/>
          <w:i/>
          <w:sz w:val="22"/>
          <w:szCs w:val="22"/>
        </w:rPr>
        <w:t>; por lo que la incompetencia es una cualidad atribuida al sujeto obligado que la declara.”</w:t>
      </w:r>
    </w:p>
    <w:p w14:paraId="514567BD" w14:textId="77777777" w:rsidR="00BB409D" w:rsidRPr="00873383" w:rsidRDefault="00BB409D">
      <w:pPr>
        <w:spacing w:before="120" w:after="120"/>
        <w:ind w:left="851" w:right="851"/>
        <w:jc w:val="both"/>
        <w:rPr>
          <w:rFonts w:ascii="Palatino Linotype" w:eastAsia="Palatino Linotype" w:hAnsi="Palatino Linotype" w:cs="Palatino Linotype"/>
          <w:i/>
          <w:sz w:val="22"/>
          <w:szCs w:val="22"/>
        </w:rPr>
      </w:pPr>
    </w:p>
    <w:p w14:paraId="6EA994CD" w14:textId="77777777" w:rsidR="00BB409D" w:rsidRPr="00873383" w:rsidRDefault="006946B9">
      <w:pPr>
        <w:numPr>
          <w:ilvl w:val="0"/>
          <w:numId w:val="2"/>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b/>
        </w:rPr>
      </w:pPr>
      <w:r w:rsidRPr="00873383">
        <w:rPr>
          <w:rFonts w:ascii="Palatino Linotype" w:eastAsia="Palatino Linotype" w:hAnsi="Palatino Linotype" w:cs="Palatino Linotype"/>
          <w:b/>
          <w:u w:val="single"/>
        </w:rPr>
        <w:t>Delimitación del ámbito competencial relativo a información solicitada</w:t>
      </w:r>
    </w:p>
    <w:p w14:paraId="7ABE5FD3"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Al respecto, es oportuno mencionar que el testamento es un acto personalísimo, revocable, libre y solemne, por el cual una persona dispone de sus bienes y derechos, y declara o cumple deberes para después de su muerte, en términos del artículo 6.12 del Código Civil del Estado de México.</w:t>
      </w:r>
    </w:p>
    <w:p w14:paraId="746F1C75"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De conformidad con los artículos 6.119, 6.120 y 6.121 del Código Civil del Estado de México, en cuanto a su forma, los testamentos pueden ser ordinarios o especiales; los primeros son los públicos abiertos o públicos simplificados, y los segundos, el militar, marítimo o el hecho en país extranjero.</w:t>
      </w:r>
    </w:p>
    <w:p w14:paraId="65A3A99D"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Los testamentos públicos abiertos o simplificados </w:t>
      </w:r>
      <w:r w:rsidRPr="00873383">
        <w:rPr>
          <w:rFonts w:ascii="Palatino Linotype" w:eastAsia="Palatino Linotype" w:hAnsi="Palatino Linotype" w:cs="Palatino Linotype"/>
          <w:b/>
        </w:rPr>
        <w:t>deben otorgarse ante Notario público</w:t>
      </w:r>
      <w:r w:rsidRPr="00873383">
        <w:rPr>
          <w:rFonts w:ascii="Palatino Linotype" w:eastAsia="Palatino Linotype" w:hAnsi="Palatino Linotype" w:cs="Palatino Linotype"/>
        </w:rPr>
        <w:t xml:space="preserve">, según lo disponen los artículos 6.126 y 6.136 del Código Civil del Estado de México, mientras que los testamentos especiales, al otorgados por el testador en tiempos o lugares que la situación en que se realiza es inusual o extraordinaria, es </w:t>
      </w:r>
      <w:r w:rsidRPr="00873383">
        <w:rPr>
          <w:rFonts w:ascii="Palatino Linotype" w:eastAsia="Palatino Linotype" w:hAnsi="Palatino Linotype" w:cs="Palatino Linotype"/>
        </w:rPr>
        <w:lastRenderedPageBreak/>
        <w:t>necesario que se ajusten al Código Civil Federal y disposiciones relativas para que en la Entidad se reconozca su existencia, en términos del artículo 6.141 del Código Civil.</w:t>
      </w:r>
    </w:p>
    <w:p w14:paraId="52AEE8A4"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En este orden de ideas, de conformidad con el artículo 56 de la Ley Orgánica de la Administración Pública del Estado de México, la Consejería Jurídica, antes Secretaría de Justicia y Derechos Humanos, es la dependencia encargada de planear, programar, dirigir, resolver, controlar y evaluar las funciones del registro civil y del notariado, entre otras.</w:t>
      </w:r>
    </w:p>
    <w:p w14:paraId="1B1FB80B"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Asimismo, el artículo 57, fracción XVI de la Ley Orgánica dispone que le corresponde a la Consejería Jurídica </w:t>
      </w:r>
      <w:r w:rsidRPr="00873383">
        <w:rPr>
          <w:rFonts w:ascii="Palatino Linotype" w:eastAsia="Palatino Linotype" w:hAnsi="Palatino Linotype" w:cs="Palatino Linotype"/>
          <w:b/>
          <w:u w:val="single"/>
        </w:rPr>
        <w:t>establecer los lineamientos y criterios técnico-jurídicos para la aplicación y supervisión del cumplimiento de las disposiciones jurídicas en materia notarial,</w:t>
      </w:r>
      <w:r w:rsidRPr="00873383">
        <w:rPr>
          <w:rFonts w:ascii="Palatino Linotype" w:eastAsia="Palatino Linotype" w:hAnsi="Palatino Linotype" w:cs="Palatino Linotype"/>
        </w:rPr>
        <w:t xml:space="preserve"> así como recibir, tramitar, substanciar, resolver quejas, implementar e imponer sanciones en contra de los notarios.</w:t>
      </w:r>
    </w:p>
    <w:p w14:paraId="2AE43705"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Por otro lado, es oportuno traer a colación el contenido del artículo 95 de la Ley del Notariado del Estado de México, a saber:</w:t>
      </w:r>
    </w:p>
    <w:p w14:paraId="101F7710" w14:textId="77777777" w:rsidR="00BB409D" w:rsidRPr="00873383" w:rsidRDefault="006946B9">
      <w:pPr>
        <w:pBdr>
          <w:top w:val="nil"/>
          <w:left w:val="nil"/>
          <w:bottom w:val="nil"/>
          <w:right w:val="nil"/>
          <w:between w:val="nil"/>
        </w:pBdr>
        <w:spacing w:before="240" w:after="240"/>
        <w:ind w:left="851" w:right="900"/>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w:t>
      </w:r>
      <w:r w:rsidRPr="00873383">
        <w:rPr>
          <w:rFonts w:ascii="Palatino Linotype" w:eastAsia="Palatino Linotype" w:hAnsi="Palatino Linotype" w:cs="Palatino Linotype"/>
          <w:b/>
          <w:i/>
          <w:sz w:val="22"/>
          <w:szCs w:val="22"/>
        </w:rPr>
        <w:t>Artículo 95</w:t>
      </w:r>
      <w:r w:rsidRPr="00873383">
        <w:rPr>
          <w:rFonts w:ascii="Palatino Linotype" w:eastAsia="Palatino Linotype" w:hAnsi="Palatino Linotype" w:cs="Palatino Linotype"/>
          <w:i/>
          <w:sz w:val="22"/>
          <w:szCs w:val="22"/>
        </w:rPr>
        <w:t xml:space="preserve">.- El notario ante quien se otorgue un testamento público abierto o simplificado dará aviso al Archivo dentro de los diez días hábiles siguientes al de su otorgamiento, expresando la fecha del testamento, nombre y generales del testador; cuando el testador exprese el nombre de sus padres, se incluirá este dato en el aviso. Los notarios serán responsables de los daños y perjuicios que ocasione la dilación u omisión de dicho informe. </w:t>
      </w:r>
    </w:p>
    <w:p w14:paraId="222755CA" w14:textId="77777777" w:rsidR="00BB409D" w:rsidRPr="00873383" w:rsidRDefault="006946B9">
      <w:pPr>
        <w:pBdr>
          <w:top w:val="nil"/>
          <w:left w:val="nil"/>
          <w:bottom w:val="nil"/>
          <w:right w:val="nil"/>
          <w:between w:val="nil"/>
        </w:pBdr>
        <w:spacing w:before="240" w:after="240"/>
        <w:ind w:left="851" w:right="900"/>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Los jueces o los notarios ante quienes se tramite una sucesión, </w:t>
      </w:r>
      <w:r w:rsidRPr="00873383">
        <w:rPr>
          <w:rFonts w:ascii="Palatino Linotype" w:eastAsia="Palatino Linotype" w:hAnsi="Palatino Linotype" w:cs="Palatino Linotype"/>
          <w:b/>
          <w:i/>
          <w:sz w:val="22"/>
          <w:szCs w:val="22"/>
        </w:rPr>
        <w:t xml:space="preserve">recabarán del Archivo, del Registro Público de la Propiedad, del Archivo Judicial y del </w:t>
      </w:r>
      <w:r w:rsidRPr="00873383">
        <w:rPr>
          <w:rFonts w:ascii="Palatino Linotype" w:eastAsia="Palatino Linotype" w:hAnsi="Palatino Linotype" w:cs="Palatino Linotype"/>
          <w:b/>
          <w:i/>
          <w:sz w:val="22"/>
          <w:szCs w:val="22"/>
        </w:rPr>
        <w:lastRenderedPageBreak/>
        <w:t>Registro Nacional de Avisos de Testamento, la información de</w:t>
      </w:r>
      <w:r w:rsidRPr="00873383">
        <w:rPr>
          <w:rFonts w:ascii="Palatino Linotype" w:eastAsia="Palatino Linotype" w:hAnsi="Palatino Linotype" w:cs="Palatino Linotype"/>
          <w:b/>
          <w:i/>
          <w:sz w:val="22"/>
          <w:szCs w:val="22"/>
          <w:u w:val="single"/>
        </w:rPr>
        <w:t xml:space="preserve"> si en ellos se encuentra registrado testamento</w:t>
      </w:r>
      <w:r w:rsidRPr="00873383">
        <w:rPr>
          <w:rFonts w:ascii="Palatino Linotype" w:eastAsia="Palatino Linotype" w:hAnsi="Palatino Linotype" w:cs="Palatino Linotype"/>
          <w:b/>
          <w:i/>
          <w:sz w:val="22"/>
          <w:szCs w:val="22"/>
        </w:rPr>
        <w:t xml:space="preserve"> otorgado por la persona de cuya sucesión se trata</w:t>
      </w:r>
      <w:r w:rsidRPr="00873383">
        <w:rPr>
          <w:rFonts w:ascii="Palatino Linotype" w:eastAsia="Palatino Linotype" w:hAnsi="Palatino Linotype" w:cs="Palatino Linotype"/>
          <w:i/>
          <w:sz w:val="22"/>
          <w:szCs w:val="22"/>
        </w:rPr>
        <w:t xml:space="preserve">. La omisión de este requisito los hará responsables de los daños y perjuicios que ocasionen. </w:t>
      </w:r>
    </w:p>
    <w:p w14:paraId="5A12E9F8" w14:textId="77777777" w:rsidR="00BB409D" w:rsidRPr="00873383" w:rsidRDefault="006946B9">
      <w:pPr>
        <w:pBdr>
          <w:top w:val="nil"/>
          <w:left w:val="nil"/>
          <w:bottom w:val="nil"/>
          <w:right w:val="nil"/>
          <w:between w:val="nil"/>
        </w:pBdr>
        <w:spacing w:before="240" w:after="240"/>
        <w:ind w:left="851" w:right="900"/>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 xml:space="preserve">El formato de aviso de otorgamiento de testamento se llevará a cabo en términos de las disposiciones aplicables que para tal efecto se expidan. </w:t>
      </w:r>
    </w:p>
    <w:p w14:paraId="22A6A2CA" w14:textId="77777777" w:rsidR="00BB409D" w:rsidRPr="00873383" w:rsidRDefault="006946B9">
      <w:pPr>
        <w:pBdr>
          <w:top w:val="nil"/>
          <w:left w:val="nil"/>
          <w:bottom w:val="nil"/>
          <w:right w:val="nil"/>
          <w:between w:val="nil"/>
        </w:pBdr>
        <w:spacing w:before="240" w:after="240"/>
        <w:ind w:left="851" w:right="900"/>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El Archivo, al recibir un aviso de testamento deberá darlo de alta por medios electrónicos en el sistema local y en el Registro Nacional de Avisos de Testamento</w:t>
      </w:r>
      <w:r w:rsidRPr="00873383">
        <w:rPr>
          <w:rFonts w:ascii="Palatino Linotype" w:eastAsia="Palatino Linotype" w:hAnsi="Palatino Linotype" w:cs="Palatino Linotype"/>
          <w:i/>
          <w:sz w:val="22"/>
          <w:szCs w:val="22"/>
        </w:rPr>
        <w:t xml:space="preserve"> a más tardar dentro de los diez días hábiles siguientes a la fecha de su recepción, el resultado de la búsqueda en el sistema local y en la base nacional, se deberá anexar al informe que se rinda sobre la existencia o inexistencia de testamentos.”</w:t>
      </w:r>
    </w:p>
    <w:p w14:paraId="6DBFF519"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Del precepto anterior se desprende que los Notarios deben dar aviso de los testamentos que sean otorgados ante su fe, al Archivo General de Notarías, a efectos de que sean dados de alta en el sistema local y en el Registro Nacional de Avisos de Testamento.</w:t>
      </w:r>
    </w:p>
    <w:p w14:paraId="782AB87D"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Cabe señalar que el Archivo General de Notarías, es administrado por el Instituto de la Función Registral del Estado de México, y que este último es un organismo público descentralizado con personalidad jurídica y patrimonio propio, sectorizado a la Consejería Jurídica, que tiene por objeto realizar la función registral en la entidad en términos de la Ley Registral, su Reglamento, el Código Civil, todos del Estado de México y los demás ordenamientos legales aplicables.</w:t>
      </w:r>
    </w:p>
    <w:p w14:paraId="19F48FB8"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Atento a lo anterior, se colige que la Consejería Jurídica y el Instituto Registral del Estado de México son las instancias competentes para generar, administrar o poseer la información que es del interés de la persona solicitante, al ser responsable la </w:t>
      </w:r>
      <w:r w:rsidRPr="00873383">
        <w:rPr>
          <w:rFonts w:ascii="Palatino Linotype" w:eastAsia="Palatino Linotype" w:hAnsi="Palatino Linotype" w:cs="Palatino Linotype"/>
        </w:rPr>
        <w:lastRenderedPageBreak/>
        <w:t>primera de supervisar y vigilar la función notarial en el Estado de México, así como coordinar y vigilar la función registral del Estado de México, y el Archivo General de Notarías, mientras que el segundo tiene a su cargo, la administración y organización del Archivo General de Notarías, e integrar y mantener actualizado el índice general de los testamentos que se otorguen ante notario público, a través del Departamento de Testamentos.</w:t>
      </w:r>
    </w:p>
    <w:p w14:paraId="563A4681" w14:textId="77777777"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Conviene subrayar además, que tanto la Consejería Jurídica y el Instituto Registral del Estado de México son reconocidos como Sujetos Obligados en materia de transparencia y acceso a la información pública, de conformidad con el Padrón de Sujetos Obligados aprobado por el Pleno de este Organismo Garante, como se ilustra a continuación para mejor referencia:</w:t>
      </w:r>
    </w:p>
    <w:p w14:paraId="5F7654AB" w14:textId="77777777" w:rsidR="00AE2EE2"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noProof/>
        </w:rPr>
        <w:drawing>
          <wp:inline distT="0" distB="0" distL="0" distR="0" wp14:anchorId="292FC6CE" wp14:editId="28EAA75A">
            <wp:extent cx="5612130" cy="455295"/>
            <wp:effectExtent l="0" t="0" r="0" b="0"/>
            <wp:docPr id="3007122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2130" cy="455295"/>
                    </a:xfrm>
                    <a:prstGeom prst="rect">
                      <a:avLst/>
                    </a:prstGeom>
                    <a:ln/>
                  </pic:spPr>
                </pic:pic>
              </a:graphicData>
            </a:graphic>
          </wp:inline>
        </w:drawing>
      </w:r>
      <w:r w:rsidRPr="00873383">
        <w:rPr>
          <w:rFonts w:ascii="Palatino Linotype" w:eastAsia="Palatino Linotype" w:hAnsi="Palatino Linotype" w:cs="Palatino Linotype"/>
          <w:noProof/>
        </w:rPr>
        <w:drawing>
          <wp:inline distT="0" distB="0" distL="0" distR="0" wp14:anchorId="4D22EB5B" wp14:editId="4FABDCB9">
            <wp:extent cx="5612130" cy="574675"/>
            <wp:effectExtent l="0" t="0" r="0" b="0"/>
            <wp:docPr id="3007122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574675"/>
                    </a:xfrm>
                    <a:prstGeom prst="rect">
                      <a:avLst/>
                    </a:prstGeom>
                    <a:ln/>
                  </pic:spPr>
                </pic:pic>
              </a:graphicData>
            </a:graphic>
          </wp:inline>
        </w:drawing>
      </w:r>
      <w:r w:rsidRPr="00873383">
        <w:rPr>
          <w:rFonts w:ascii="Palatino Linotype" w:eastAsia="Palatino Linotype" w:hAnsi="Palatino Linotype" w:cs="Palatino Linotype"/>
          <w:noProof/>
        </w:rPr>
        <w:drawing>
          <wp:inline distT="0" distB="0" distL="0" distR="0" wp14:anchorId="0F3F76CF" wp14:editId="10BD8F43">
            <wp:extent cx="5612130" cy="321945"/>
            <wp:effectExtent l="0" t="0" r="0" b="0"/>
            <wp:docPr id="30071227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12130" cy="321945"/>
                    </a:xfrm>
                    <a:prstGeom prst="rect">
                      <a:avLst/>
                    </a:prstGeom>
                    <a:ln/>
                  </pic:spPr>
                </pic:pic>
              </a:graphicData>
            </a:graphic>
          </wp:inline>
        </w:drawing>
      </w:r>
    </w:p>
    <w:p w14:paraId="5D258DE3" w14:textId="599B169C" w:rsidR="00BB409D" w:rsidRPr="00873383" w:rsidRDefault="006946B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noProof/>
        </w:rPr>
        <w:drawing>
          <wp:inline distT="0" distB="0" distL="0" distR="0" wp14:anchorId="532DA952" wp14:editId="19C5A088">
            <wp:extent cx="5612130" cy="614680"/>
            <wp:effectExtent l="0" t="0" r="0" b="0"/>
            <wp:docPr id="3007122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2130" cy="614680"/>
                    </a:xfrm>
                    <a:prstGeom prst="rect">
                      <a:avLst/>
                    </a:prstGeom>
                    <a:ln/>
                  </pic:spPr>
                </pic:pic>
              </a:graphicData>
            </a:graphic>
          </wp:inline>
        </w:drawing>
      </w:r>
      <w:r w:rsidRPr="00873383">
        <w:rPr>
          <w:rFonts w:ascii="Palatino Linotype" w:eastAsia="Palatino Linotype" w:hAnsi="Palatino Linotype" w:cs="Palatino Linotype"/>
          <w:noProof/>
        </w:rPr>
        <w:drawing>
          <wp:inline distT="0" distB="0" distL="0" distR="0" wp14:anchorId="4DAC50E8" wp14:editId="66A8A367">
            <wp:extent cx="5612130" cy="650875"/>
            <wp:effectExtent l="0" t="0" r="0" b="0"/>
            <wp:docPr id="3007122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650875"/>
                    </a:xfrm>
                    <a:prstGeom prst="rect">
                      <a:avLst/>
                    </a:prstGeom>
                    <a:ln/>
                  </pic:spPr>
                </pic:pic>
              </a:graphicData>
            </a:graphic>
          </wp:inline>
        </w:drawing>
      </w:r>
    </w:p>
    <w:p w14:paraId="04C12997"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lastRenderedPageBreak/>
        <w:t>En consecuencia, no es procedente la entrega de información alguna para atender la solicitud de información, bajo la premisa de que los Sujetos Obligados sólo deben proporcionar aquella información que hubieran generado en el ejercicio de sus atribuciones y que obre en sus archivos, de conformidad con lo establecido en el artículo 12 de la Ley de Transparencia y Acceso a la Información Pública del Estado de México y Municipios, lo que a</w:t>
      </w:r>
      <w:r w:rsidRPr="00873383">
        <w:rPr>
          <w:rFonts w:ascii="Palatino Linotype" w:eastAsia="Palatino Linotype" w:hAnsi="Palatino Linotype" w:cs="Palatino Linotype"/>
          <w:i/>
        </w:rPr>
        <w:t xml:space="preserve"> contrario sensu</w:t>
      </w:r>
      <w:r w:rsidRPr="00873383">
        <w:rPr>
          <w:rFonts w:ascii="Palatino Linotype" w:eastAsia="Palatino Linotype" w:hAnsi="Palatino Linotype" w:cs="Palatino Linotype"/>
        </w:rPr>
        <w:t xml:space="preserve"> significa que no se está obligado a proporcionar lo que no obre en sus archivos, en consecuencia,  el pronunciamiento vertido por la Unidad de Transparencia, es suficiente para tener por atendidos los requerimientos de información. </w:t>
      </w:r>
    </w:p>
    <w:p w14:paraId="01653D75" w14:textId="77777777" w:rsidR="00BB409D" w:rsidRPr="00873383" w:rsidRDefault="006946B9">
      <w:pPr>
        <w:spacing w:line="360" w:lineRule="auto"/>
        <w:ind w:right="49"/>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Dicho lo anterior, es de recordar, respecto a la Declaración de Incompetencia la Ley de Transparencia y Acceso a la Información Pública del Estado de México, establece, en los artículos 49, fracción II y 167, lo siguiente: </w:t>
      </w:r>
    </w:p>
    <w:p w14:paraId="23F35C71" w14:textId="77777777" w:rsidR="00BB409D" w:rsidRPr="00873383" w:rsidRDefault="00BB409D">
      <w:pPr>
        <w:tabs>
          <w:tab w:val="left" w:pos="1134"/>
        </w:tabs>
        <w:spacing w:line="360" w:lineRule="auto"/>
        <w:ind w:left="567" w:right="902"/>
        <w:jc w:val="both"/>
        <w:rPr>
          <w:rFonts w:ascii="Palatino Linotype" w:eastAsia="Palatino Linotype" w:hAnsi="Palatino Linotype" w:cs="Palatino Linotype"/>
          <w:i/>
          <w:sz w:val="22"/>
          <w:szCs w:val="22"/>
        </w:rPr>
      </w:pPr>
    </w:p>
    <w:p w14:paraId="4A2E1199" w14:textId="77777777" w:rsidR="00BB409D" w:rsidRPr="00873383" w:rsidRDefault="006946B9">
      <w:pPr>
        <w:tabs>
          <w:tab w:val="left" w:pos="1134"/>
          <w:tab w:val="left" w:pos="1276"/>
        </w:tabs>
        <w:spacing w:line="276" w:lineRule="auto"/>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i/>
          <w:sz w:val="22"/>
          <w:szCs w:val="22"/>
        </w:rPr>
        <w:t>“</w:t>
      </w:r>
      <w:r w:rsidRPr="00873383">
        <w:rPr>
          <w:rFonts w:ascii="Palatino Linotype" w:eastAsia="Palatino Linotype" w:hAnsi="Palatino Linotype" w:cs="Palatino Linotype"/>
          <w:b/>
          <w:i/>
          <w:sz w:val="22"/>
          <w:szCs w:val="22"/>
        </w:rPr>
        <w:t>Artículo 49.</w:t>
      </w:r>
      <w:r w:rsidRPr="00873383">
        <w:rPr>
          <w:rFonts w:ascii="Palatino Linotype" w:eastAsia="Palatino Linotype" w:hAnsi="Palatino Linotype" w:cs="Palatino Linotype"/>
          <w:i/>
          <w:sz w:val="22"/>
          <w:szCs w:val="22"/>
        </w:rPr>
        <w:t xml:space="preserve"> </w:t>
      </w:r>
      <w:r w:rsidRPr="00873383">
        <w:rPr>
          <w:rFonts w:ascii="Palatino Linotype" w:eastAsia="Palatino Linotype" w:hAnsi="Palatino Linotype" w:cs="Palatino Linotype"/>
          <w:b/>
          <w:i/>
          <w:sz w:val="22"/>
          <w:szCs w:val="22"/>
        </w:rPr>
        <w:t>Los Comités de Transparencia</w:t>
      </w:r>
      <w:r w:rsidRPr="00873383">
        <w:rPr>
          <w:rFonts w:ascii="Palatino Linotype" w:eastAsia="Palatino Linotype" w:hAnsi="Palatino Linotype" w:cs="Palatino Linotype"/>
          <w:i/>
          <w:sz w:val="22"/>
          <w:szCs w:val="22"/>
        </w:rPr>
        <w:t xml:space="preserve"> tendrán las siguientes atribuciones:</w:t>
      </w:r>
    </w:p>
    <w:p w14:paraId="646608E9" w14:textId="77777777" w:rsidR="00BB409D" w:rsidRPr="00873383" w:rsidRDefault="006946B9">
      <w:pPr>
        <w:tabs>
          <w:tab w:val="left" w:pos="1134"/>
        </w:tabs>
        <w:spacing w:line="276" w:lineRule="auto"/>
        <w:ind w:left="1134" w:right="902"/>
        <w:jc w:val="both"/>
        <w:rPr>
          <w:rFonts w:ascii="Palatino Linotype" w:eastAsia="Palatino Linotype" w:hAnsi="Palatino Linotype" w:cs="Palatino Linotype"/>
          <w:b/>
          <w:i/>
          <w:sz w:val="22"/>
          <w:szCs w:val="22"/>
        </w:rPr>
      </w:pPr>
      <w:r w:rsidRPr="00873383">
        <w:rPr>
          <w:rFonts w:ascii="Palatino Linotype" w:eastAsia="Palatino Linotype" w:hAnsi="Palatino Linotype" w:cs="Palatino Linotype"/>
          <w:b/>
          <w:i/>
          <w:sz w:val="22"/>
          <w:szCs w:val="22"/>
        </w:rPr>
        <w:t>...</w:t>
      </w:r>
    </w:p>
    <w:p w14:paraId="3970D193" w14:textId="77777777" w:rsidR="00BB409D" w:rsidRPr="00873383" w:rsidRDefault="006946B9">
      <w:pPr>
        <w:tabs>
          <w:tab w:val="left" w:pos="1134"/>
        </w:tabs>
        <w:spacing w:line="276" w:lineRule="auto"/>
        <w:ind w:left="1134" w:right="902"/>
        <w:jc w:val="both"/>
        <w:rPr>
          <w:rFonts w:ascii="Palatino Linotype" w:eastAsia="Palatino Linotype" w:hAnsi="Palatino Linotype" w:cs="Palatino Linotype"/>
          <w:b/>
          <w:i/>
          <w:sz w:val="22"/>
          <w:szCs w:val="22"/>
          <w:u w:val="single"/>
        </w:rPr>
      </w:pPr>
      <w:r w:rsidRPr="00873383">
        <w:rPr>
          <w:rFonts w:ascii="Palatino Linotype" w:eastAsia="Palatino Linotype" w:hAnsi="Palatino Linotype" w:cs="Palatino Linotype"/>
          <w:b/>
          <w:i/>
          <w:sz w:val="22"/>
          <w:szCs w:val="22"/>
        </w:rPr>
        <w:t>II.</w:t>
      </w:r>
      <w:r w:rsidRPr="00873383">
        <w:rPr>
          <w:rFonts w:ascii="Calibri" w:eastAsia="Calibri" w:hAnsi="Calibri" w:cs="Calibri"/>
          <w:sz w:val="22"/>
          <w:szCs w:val="22"/>
        </w:rPr>
        <w:t xml:space="preserve"> </w:t>
      </w:r>
      <w:r w:rsidRPr="00873383">
        <w:rPr>
          <w:rFonts w:ascii="Palatino Linotype" w:eastAsia="Palatino Linotype" w:hAnsi="Palatino Linotype" w:cs="Palatino Linotype"/>
          <w:b/>
          <w:i/>
          <w:sz w:val="22"/>
          <w:szCs w:val="22"/>
        </w:rPr>
        <w:t>Confirmar, modificar o revocar</w:t>
      </w:r>
      <w:r w:rsidRPr="00873383">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873383">
        <w:rPr>
          <w:rFonts w:ascii="Palatino Linotype" w:eastAsia="Palatino Linotype" w:hAnsi="Palatino Linotype" w:cs="Palatino Linotype"/>
          <w:b/>
          <w:i/>
          <w:sz w:val="22"/>
          <w:szCs w:val="22"/>
        </w:rPr>
        <w:t>y declaración</w:t>
      </w:r>
      <w:r w:rsidRPr="00873383">
        <w:rPr>
          <w:rFonts w:ascii="Palatino Linotype" w:eastAsia="Palatino Linotype" w:hAnsi="Palatino Linotype" w:cs="Palatino Linotype"/>
          <w:i/>
          <w:sz w:val="22"/>
          <w:szCs w:val="22"/>
        </w:rPr>
        <w:t xml:space="preserve"> de inexistencia o </w:t>
      </w:r>
      <w:r w:rsidRPr="00873383">
        <w:rPr>
          <w:rFonts w:ascii="Palatino Linotype" w:eastAsia="Palatino Linotype" w:hAnsi="Palatino Linotype" w:cs="Palatino Linotype"/>
          <w:b/>
          <w:i/>
          <w:sz w:val="22"/>
          <w:szCs w:val="22"/>
        </w:rPr>
        <w:t>de incompetencia realicen los titulares de las áreas de los sujetos obligados;</w:t>
      </w:r>
    </w:p>
    <w:p w14:paraId="3824C2B4" w14:textId="77777777" w:rsidR="00BB409D" w:rsidRPr="00873383" w:rsidRDefault="006946B9">
      <w:pPr>
        <w:tabs>
          <w:tab w:val="left" w:pos="1134"/>
        </w:tabs>
        <w:spacing w:line="276" w:lineRule="auto"/>
        <w:ind w:left="851" w:right="902"/>
        <w:jc w:val="both"/>
        <w:rPr>
          <w:rFonts w:ascii="Palatino Linotype" w:eastAsia="Palatino Linotype" w:hAnsi="Palatino Linotype" w:cs="Palatino Linotype"/>
          <w:b/>
          <w:i/>
          <w:sz w:val="22"/>
          <w:szCs w:val="22"/>
        </w:rPr>
      </w:pPr>
      <w:r w:rsidRPr="00873383">
        <w:rPr>
          <w:rFonts w:ascii="Palatino Linotype" w:eastAsia="Palatino Linotype" w:hAnsi="Palatino Linotype" w:cs="Palatino Linotype"/>
          <w:b/>
          <w:i/>
          <w:sz w:val="22"/>
          <w:szCs w:val="22"/>
        </w:rPr>
        <w:t>...</w:t>
      </w:r>
    </w:p>
    <w:p w14:paraId="754E461C" w14:textId="77777777" w:rsidR="00BB409D" w:rsidRPr="00873383" w:rsidRDefault="006946B9">
      <w:pPr>
        <w:tabs>
          <w:tab w:val="left" w:pos="1134"/>
        </w:tabs>
        <w:spacing w:line="276" w:lineRule="auto"/>
        <w:ind w:left="851" w:right="902"/>
        <w:jc w:val="both"/>
        <w:rPr>
          <w:rFonts w:ascii="Palatino Linotype" w:eastAsia="Palatino Linotype" w:hAnsi="Palatino Linotype" w:cs="Palatino Linotype"/>
          <w:b/>
          <w:i/>
          <w:sz w:val="22"/>
          <w:szCs w:val="22"/>
        </w:rPr>
      </w:pPr>
      <w:r w:rsidRPr="00873383">
        <w:rPr>
          <w:rFonts w:ascii="Palatino Linotype" w:eastAsia="Palatino Linotype" w:hAnsi="Palatino Linotype" w:cs="Palatino Linotype"/>
          <w:b/>
          <w:i/>
          <w:sz w:val="22"/>
          <w:szCs w:val="22"/>
        </w:rPr>
        <w:t>Artículo 167</w:t>
      </w:r>
      <w:r w:rsidRPr="00873383">
        <w:rPr>
          <w:rFonts w:ascii="Palatino Linotype" w:eastAsia="Palatino Linotype" w:hAnsi="Palatino Linotype" w:cs="Palatino Linotype"/>
          <w:i/>
          <w:sz w:val="22"/>
          <w:szCs w:val="22"/>
        </w:rPr>
        <w:t xml:space="preserve">. </w:t>
      </w:r>
      <w:r w:rsidRPr="00873383">
        <w:rPr>
          <w:rFonts w:ascii="Palatino Linotype" w:eastAsia="Palatino Linotype" w:hAnsi="Palatino Linotype" w:cs="Palatino Linotype"/>
          <w:b/>
          <w:i/>
          <w:sz w:val="22"/>
          <w:szCs w:val="22"/>
        </w:rPr>
        <w:t>Cuando las unidades de transparencia determinen la notoria incompetencia</w:t>
      </w:r>
      <w:r w:rsidRPr="00873383">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873383">
        <w:rPr>
          <w:rFonts w:ascii="Palatino Linotype" w:eastAsia="Palatino Linotype" w:hAnsi="Palatino Linotype" w:cs="Palatino Linotype"/>
          <w:b/>
          <w:i/>
          <w:sz w:val="22"/>
          <w:szCs w:val="22"/>
        </w:rPr>
        <w:t xml:space="preserve">deberán comunicarlo al solicitante, dentro de los tres días hábiles posteriores a la </w:t>
      </w:r>
      <w:r w:rsidRPr="00873383">
        <w:rPr>
          <w:rFonts w:ascii="Palatino Linotype" w:eastAsia="Palatino Linotype" w:hAnsi="Palatino Linotype" w:cs="Palatino Linotype"/>
          <w:b/>
          <w:i/>
          <w:sz w:val="22"/>
          <w:szCs w:val="22"/>
        </w:rPr>
        <w:lastRenderedPageBreak/>
        <w:t>recepción de la solicitud</w:t>
      </w:r>
      <w:r w:rsidRPr="00873383">
        <w:rPr>
          <w:rFonts w:ascii="Palatino Linotype" w:eastAsia="Palatino Linotype" w:hAnsi="Palatino Linotype" w:cs="Palatino Linotype"/>
          <w:i/>
          <w:sz w:val="22"/>
          <w:szCs w:val="22"/>
        </w:rPr>
        <w:t xml:space="preserve"> y, </w:t>
      </w:r>
      <w:r w:rsidRPr="00873383">
        <w:rPr>
          <w:rFonts w:ascii="Palatino Linotype" w:eastAsia="Palatino Linotype" w:hAnsi="Palatino Linotype" w:cs="Palatino Linotype"/>
          <w:b/>
          <w:i/>
          <w:sz w:val="22"/>
          <w:szCs w:val="22"/>
        </w:rPr>
        <w:t>en su caso orientar al solicitante, el o los sujetos obligados competentes.” (Sic)</w:t>
      </w:r>
    </w:p>
    <w:p w14:paraId="56E48E64" w14:textId="77777777" w:rsidR="00BB409D" w:rsidRPr="00873383" w:rsidRDefault="006946B9">
      <w:pPr>
        <w:tabs>
          <w:tab w:val="left" w:pos="142"/>
          <w:tab w:val="left" w:pos="284"/>
        </w:tabs>
        <w:spacing w:before="240" w:after="240" w:line="360" w:lineRule="auto"/>
        <w:jc w:val="both"/>
        <w:rPr>
          <w:rFonts w:ascii="Palatino Linotype" w:eastAsia="Palatino Linotype" w:hAnsi="Palatino Linotype" w:cs="Palatino Linotype"/>
          <w:b/>
        </w:rPr>
      </w:pPr>
      <w:r w:rsidRPr="00873383">
        <w:rPr>
          <w:rFonts w:ascii="Palatino Linotype" w:eastAsia="Palatino Linotype" w:hAnsi="Palatino Linotype" w:cs="Palatino Linotype"/>
        </w:rPr>
        <w:t>De los preceptos citados se desprende que es atribución del Comité de Transparencia confirmar, modificar o revocar, en su caso, la declaración de incompetencia,</w:t>
      </w:r>
      <w:r w:rsidRPr="00873383">
        <w:rPr>
          <w:rFonts w:ascii="Palatino Linotype" w:eastAsia="Palatino Linotype" w:hAnsi="Palatino Linotype" w:cs="Palatino Linotype"/>
          <w:b/>
        </w:rPr>
        <w:t xml:space="preserve"> en aquellos casos en los que no se trate de una notoria incompetencia. </w:t>
      </w:r>
    </w:p>
    <w:p w14:paraId="193773AA" w14:textId="77777777" w:rsidR="00BB409D" w:rsidRPr="00873383" w:rsidRDefault="006946B9">
      <w:pPr>
        <w:tabs>
          <w:tab w:val="left" w:pos="142"/>
          <w:tab w:val="left" w:pos="284"/>
        </w:tabs>
        <w:spacing w:before="240" w:after="240" w:line="360" w:lineRule="auto"/>
        <w:jc w:val="both"/>
        <w:rPr>
          <w:rFonts w:ascii="Palatino Linotype" w:eastAsia="Palatino Linotype" w:hAnsi="Palatino Linotype" w:cs="Palatino Linotype"/>
          <w:u w:val="single"/>
        </w:rPr>
      </w:pPr>
      <w:r w:rsidRPr="00873383">
        <w:rPr>
          <w:rFonts w:ascii="Palatino Linotype" w:eastAsia="Palatino Linotype" w:hAnsi="Palatino Linotype" w:cs="Palatino Linotype"/>
        </w:rPr>
        <w:t xml:space="preserve">Puesto que la Ley también prevé que dicho acuerdo no es necesario cuando la Unidad de Transparencia determine que la incompetencia es notoria dando un plazo de tres días hábiles para hacerlo del conocimiento de la persona solicitante. En otras palabras, la Ley de la Materia confiere a las Unidades de Transparencia la posibilidad de notificar la incompetencia cuando esta sea notoria, siendo innecesario que dicha circunstancia sea sometida a consideración de los integrantes del Comité de Transparencia </w:t>
      </w:r>
      <w:r w:rsidRPr="00873383">
        <w:rPr>
          <w:rFonts w:ascii="Palatino Linotype" w:eastAsia="Palatino Linotype" w:hAnsi="Palatino Linotype" w:cs="Palatino Linotype"/>
          <w:u w:val="single"/>
        </w:rPr>
        <w:t xml:space="preserve">para su aprobación. </w:t>
      </w:r>
    </w:p>
    <w:p w14:paraId="7F5CF25B" w14:textId="77777777" w:rsidR="00BB409D" w:rsidRPr="00873383" w:rsidRDefault="006946B9">
      <w:pPr>
        <w:tabs>
          <w:tab w:val="left" w:pos="142"/>
          <w:tab w:val="left" w:pos="284"/>
        </w:tabs>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Como sustento de lo anterior, resulta aplicable el Criterio 20/20, emitido por el Instituto Nacional de Transparencia, Acceso a la Información, y Protección de Datos Personales, INAI, que lleva por rubro y texto los siguientes:  </w:t>
      </w:r>
    </w:p>
    <w:p w14:paraId="2BCA96B4" w14:textId="77777777" w:rsidR="00BB409D" w:rsidRPr="00873383" w:rsidRDefault="006946B9">
      <w:pPr>
        <w:pBdr>
          <w:top w:val="nil"/>
          <w:left w:val="nil"/>
          <w:bottom w:val="nil"/>
          <w:right w:val="nil"/>
          <w:between w:val="nil"/>
        </w:pBdr>
        <w:spacing w:before="240" w:after="240"/>
        <w:ind w:left="851"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“Declaración de incompetencia por parte del Comité, cuando no sea notoria o manifiesta.</w:t>
      </w:r>
      <w:r w:rsidRPr="00873383">
        <w:rPr>
          <w:rFonts w:ascii="Palatino Linotype" w:eastAsia="Palatino Linotype" w:hAnsi="Palatino Linotype" w:cs="Palatino Linotype"/>
          <w:i/>
          <w:sz w:val="22"/>
          <w:szCs w:val="22"/>
        </w:rPr>
        <w:t xml:space="preserve"> Cuando la normatividad que prevé las atribuciones del sujeto obligado no sea clara en delimitar su competencia respecto a lo requerido por la persona solicitante y resulte necesario efectuar un análisis mayor para determinar la incompetencia, ésta debe ser declarada por el Comité de Transparencia.”</w:t>
      </w:r>
    </w:p>
    <w:p w14:paraId="160444CB" w14:textId="77777777" w:rsidR="00BB409D" w:rsidRPr="00873383" w:rsidRDefault="006946B9">
      <w:pPr>
        <w:tabs>
          <w:tab w:val="left" w:pos="142"/>
          <w:tab w:val="left" w:pos="284"/>
        </w:tabs>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lastRenderedPageBreak/>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873383">
        <w:rPr>
          <w:rFonts w:ascii="Palatino Linotype" w:eastAsia="Palatino Linotype" w:hAnsi="Palatino Linotype" w:cs="Palatino Linotype"/>
          <w:b/>
        </w:rPr>
        <w:t xml:space="preserve"> </w:t>
      </w:r>
      <w:r w:rsidRPr="00873383">
        <w:rPr>
          <w:rFonts w:ascii="Palatino Linotype" w:eastAsia="Palatino Linotype" w:hAnsi="Palatino Linotype" w:cs="Palatino Linotype"/>
          <w:b/>
          <w:u w:val="single"/>
        </w:rPr>
        <w:t>duda razonable sobre la administración del documento materia de la solicitud de información</w:t>
      </w:r>
      <w:r w:rsidRPr="00873383">
        <w:rPr>
          <w:rFonts w:ascii="Palatino Linotype" w:eastAsia="Palatino Linotype" w:hAnsi="Palatino Linotype" w:cs="Palatino Linotype"/>
        </w:rPr>
        <w:t>, como se lee enseguida:</w:t>
      </w:r>
    </w:p>
    <w:p w14:paraId="3CCFEB93" w14:textId="77777777" w:rsidR="00BB409D" w:rsidRPr="00873383" w:rsidRDefault="006946B9">
      <w:pPr>
        <w:tabs>
          <w:tab w:val="left" w:pos="1418"/>
        </w:tabs>
        <w:spacing w:before="120" w:after="120"/>
        <w:ind w:left="567" w:right="902"/>
        <w:jc w:val="both"/>
        <w:rPr>
          <w:rFonts w:ascii="Palatino Linotype" w:eastAsia="Palatino Linotype" w:hAnsi="Palatino Linotype" w:cs="Palatino Linotype"/>
          <w:i/>
          <w:sz w:val="22"/>
          <w:szCs w:val="22"/>
        </w:rPr>
      </w:pPr>
      <w:r w:rsidRPr="00873383">
        <w:rPr>
          <w:rFonts w:ascii="Palatino Linotype" w:eastAsia="Palatino Linotype" w:hAnsi="Palatino Linotype" w:cs="Palatino Linotype"/>
          <w:b/>
          <w:i/>
          <w:sz w:val="22"/>
          <w:szCs w:val="22"/>
        </w:rPr>
        <w:t xml:space="preserve">“DECLARATORIA DE INCOMPETENCIA DEL SUJETO OBLIGADO. SUPUESTO PARA CONFIRMARLA POR ACUERDO DEL COMITÉ DE TRANSPARENCIA. </w:t>
      </w:r>
      <w:r w:rsidRPr="00873383">
        <w:rPr>
          <w:rFonts w:ascii="Palatino Linotype" w:eastAsia="Palatino Linotype" w:hAnsi="Palatino Linotype" w:cs="Palatino Linotype"/>
          <w:i/>
          <w:sz w:val="22"/>
          <w:szCs w:val="22"/>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873383">
        <w:rPr>
          <w:rFonts w:ascii="Palatino Linotype" w:eastAsia="Palatino Linotype" w:hAnsi="Palatino Linotype" w:cs="Palatino Linotype"/>
          <w:b/>
          <w:i/>
          <w:sz w:val="22"/>
          <w:szCs w:val="22"/>
        </w:rPr>
        <w:t xml:space="preserve">al ejercer el derecho de acceso a la información pública cabe la posibilidad de que existan atribuciones concurrentes entre dos o más Sujetos Obligados que </w:t>
      </w:r>
      <w:r w:rsidRPr="00873383">
        <w:rPr>
          <w:rFonts w:ascii="Palatino Linotype" w:eastAsia="Palatino Linotype" w:hAnsi="Palatino Linotype" w:cs="Palatino Linotype"/>
          <w:b/>
          <w:i/>
          <w:sz w:val="22"/>
          <w:szCs w:val="22"/>
          <w:u w:val="single"/>
        </w:rPr>
        <w:t>impiden determinar dentro del término legal de tres días hábiles</w:t>
      </w:r>
      <w:r w:rsidRPr="00873383">
        <w:rPr>
          <w:rFonts w:ascii="Palatino Linotype" w:eastAsia="Palatino Linotype" w:hAnsi="Palatino Linotype" w:cs="Palatino Linotype"/>
          <w:b/>
          <w:i/>
          <w:sz w:val="22"/>
          <w:szCs w:val="22"/>
        </w:rPr>
        <w:t>, si se posee o no la información por el Sujeto Obligado requerid</w:t>
      </w:r>
      <w:r w:rsidRPr="00873383">
        <w:rPr>
          <w:rFonts w:ascii="Palatino Linotype" w:eastAsia="Palatino Linotype" w:hAnsi="Palatino Linotype" w:cs="Palatino Linotype"/>
          <w:i/>
          <w:sz w:val="22"/>
          <w:szCs w:val="22"/>
        </w:rPr>
        <w:t>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0F8D395A" w14:textId="77777777" w:rsidR="00BB409D" w:rsidRPr="00873383" w:rsidRDefault="006946B9">
      <w:pPr>
        <w:tabs>
          <w:tab w:val="left" w:pos="142"/>
          <w:tab w:val="left" w:pos="284"/>
        </w:tabs>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lastRenderedPageBreak/>
        <w:t>En el caso particular, de los registros que obran en el Sistema de Acceso a la Información Mexiquense, SAIMEX, se tiene que la parte</w:t>
      </w:r>
      <w:r w:rsidRPr="00873383">
        <w:rPr>
          <w:rFonts w:ascii="Palatino Linotype" w:eastAsia="Palatino Linotype" w:hAnsi="Palatino Linotype" w:cs="Palatino Linotype"/>
          <w:b/>
        </w:rPr>
        <w:t xml:space="preserve"> Recurrente</w:t>
      </w:r>
      <w:r w:rsidRPr="00873383">
        <w:rPr>
          <w:rFonts w:ascii="Palatino Linotype" w:eastAsia="Palatino Linotype" w:hAnsi="Palatino Linotype" w:cs="Palatino Linotype"/>
        </w:rPr>
        <w:t xml:space="preserve"> realizó su solicitud de información en fecha </w:t>
      </w:r>
      <w:r w:rsidRPr="00873383">
        <w:rPr>
          <w:rFonts w:ascii="Palatino Linotype" w:eastAsia="Palatino Linotype" w:hAnsi="Palatino Linotype" w:cs="Palatino Linotype"/>
          <w:b/>
        </w:rPr>
        <w:t>catorce de noviembre de</w:t>
      </w:r>
      <w:r w:rsidRPr="00873383">
        <w:rPr>
          <w:rFonts w:ascii="Palatino Linotype" w:eastAsia="Palatino Linotype" w:hAnsi="Palatino Linotype" w:cs="Palatino Linotype"/>
        </w:rPr>
        <w:t xml:space="preserve"> </w:t>
      </w:r>
      <w:r w:rsidRPr="00873383">
        <w:rPr>
          <w:rFonts w:ascii="Palatino Linotype" w:eastAsia="Palatino Linotype" w:hAnsi="Palatino Linotype" w:cs="Palatino Linotype"/>
          <w:b/>
        </w:rPr>
        <w:t>dos mil veintitrés</w:t>
      </w:r>
      <w:r w:rsidRPr="00873383">
        <w:rPr>
          <w:rFonts w:ascii="Palatino Linotype" w:eastAsia="Palatino Linotype" w:hAnsi="Palatino Linotype" w:cs="Palatino Linotype"/>
        </w:rPr>
        <w:t xml:space="preserve"> y, 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xml:space="preserve"> declinó la competencia en fecha </w:t>
      </w:r>
      <w:r w:rsidRPr="00873383">
        <w:rPr>
          <w:rFonts w:ascii="Palatino Linotype" w:eastAsia="Palatino Linotype" w:hAnsi="Palatino Linotype" w:cs="Palatino Linotype"/>
          <w:b/>
        </w:rPr>
        <w:t>quince de noviembre de dos mil veintitrés</w:t>
      </w:r>
      <w:r w:rsidRPr="00873383">
        <w:rPr>
          <w:rFonts w:ascii="Palatino Linotype" w:eastAsia="Palatino Linotype" w:hAnsi="Palatino Linotype" w:cs="Palatino Linotype"/>
        </w:rPr>
        <w:t xml:space="preserve">, esto es </w:t>
      </w:r>
      <w:r w:rsidRPr="00873383">
        <w:rPr>
          <w:rFonts w:ascii="Palatino Linotype" w:eastAsia="Palatino Linotype" w:hAnsi="Palatino Linotype" w:cs="Palatino Linotype"/>
          <w:b/>
        </w:rPr>
        <w:t xml:space="preserve">al siguiente día hábil </w:t>
      </w:r>
      <w:r w:rsidRPr="00873383">
        <w:rPr>
          <w:rFonts w:ascii="Palatino Linotype" w:eastAsia="Palatino Linotype" w:hAnsi="Palatino Linotype" w:cs="Palatino Linotype"/>
        </w:rPr>
        <w:t xml:space="preserve">posterior en que se tuvo por registrada la solicitud de información.  </w:t>
      </w:r>
    </w:p>
    <w:p w14:paraId="37DDE818"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Asimismo, 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xml:space="preserve"> orientó en su respuesta a la persona solicitante, refiriendo  que esta podía estar en posesión de la Consejería Jurídica, mientras que en la etapa de manifestaciones, le indicó el procedimiento para presentar su solicitud, a través del Sistema de Acceso a la Información Mexiquense, </w:t>
      </w:r>
      <w:r w:rsidRPr="00873383">
        <w:rPr>
          <w:rFonts w:ascii="Palatino Linotype" w:eastAsia="Palatino Linotype" w:hAnsi="Palatino Linotype" w:cs="Palatino Linotype"/>
          <w:b/>
        </w:rPr>
        <w:t xml:space="preserve">SAIMEX, </w:t>
      </w:r>
      <w:r w:rsidRPr="00873383">
        <w:rPr>
          <w:rFonts w:ascii="Palatino Linotype" w:eastAsia="Palatino Linotype" w:hAnsi="Palatino Linotype" w:cs="Palatino Linotype"/>
        </w:rPr>
        <w:t>ante dicho Sujeto Obligado</w:t>
      </w:r>
      <w:r w:rsidRPr="00873383">
        <w:rPr>
          <w:rFonts w:ascii="Palatino Linotype" w:eastAsia="Palatino Linotype" w:hAnsi="Palatino Linotype" w:cs="Palatino Linotype"/>
          <w:b/>
        </w:rPr>
        <w:t xml:space="preserve">, </w:t>
      </w:r>
      <w:r w:rsidRPr="00873383">
        <w:rPr>
          <w:rFonts w:ascii="Palatino Linotype" w:eastAsia="Palatino Linotype" w:hAnsi="Palatino Linotype" w:cs="Palatino Linotype"/>
        </w:rPr>
        <w:t>aún sin tener obligación de ello.</w:t>
      </w:r>
    </w:p>
    <w:p w14:paraId="571DB59D" w14:textId="77777777" w:rsidR="00BB409D" w:rsidRPr="00873383" w:rsidRDefault="006946B9">
      <w:pPr>
        <w:spacing w:before="240" w:after="240"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mérito de lo anterior, es de vital importancia señalar que la facultad de orientación a las personas solicitantes para que formule su solicitud ante el Sujeto Obligado competente es potestativa. </w:t>
      </w:r>
    </w:p>
    <w:p w14:paraId="29CD1A29" w14:textId="77777777" w:rsidR="00BB409D" w:rsidRPr="00873383" w:rsidRDefault="006946B9">
      <w:pP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 xml:space="preserve">En tales circunstancias, dado que 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xml:space="preserve"> informó la notoria incompetencia para atender favorablemente la solicitud, al día siguiente de haberse presentado, cobra relevancia artículo 167, párrafo primero de la Ley de Transparencia y Acceso a la Información Pública del Estado de México y Municipios, citado con antelación, toda vez que la declaración de incompetencia del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 xml:space="preserve">se encontró </w:t>
      </w:r>
      <w:r w:rsidRPr="00873383">
        <w:rPr>
          <w:rFonts w:ascii="Palatino Linotype" w:eastAsia="Palatino Linotype" w:hAnsi="Palatino Linotype" w:cs="Palatino Linotype"/>
          <w:b/>
          <w:u w:val="single"/>
        </w:rPr>
        <w:t>dentro de los tres días siguientes a la presentación de la solicitud</w:t>
      </w:r>
      <w:r w:rsidRPr="00873383">
        <w:rPr>
          <w:rFonts w:ascii="Palatino Linotype" w:eastAsia="Palatino Linotype" w:hAnsi="Palatino Linotype" w:cs="Palatino Linotype"/>
          <w:b/>
        </w:rPr>
        <w:t xml:space="preserve"> </w:t>
      </w:r>
      <w:r w:rsidRPr="00873383">
        <w:rPr>
          <w:rFonts w:ascii="Palatino Linotype" w:eastAsia="Palatino Linotype" w:hAnsi="Palatino Linotype" w:cs="Palatino Linotype"/>
        </w:rPr>
        <w:t xml:space="preserve">de conformidad con el párrafo primero del precepto legal en cita, se </w:t>
      </w:r>
      <w:r w:rsidRPr="00873383">
        <w:rPr>
          <w:rFonts w:ascii="Palatino Linotype" w:eastAsia="Palatino Linotype" w:hAnsi="Palatino Linotype" w:cs="Palatino Linotype"/>
        </w:rPr>
        <w:lastRenderedPageBreak/>
        <w:t xml:space="preserve">concluye que motivos de inconformidad de la parte </w:t>
      </w:r>
      <w:r w:rsidRPr="00873383">
        <w:rPr>
          <w:rFonts w:ascii="Palatino Linotype" w:eastAsia="Palatino Linotype" w:hAnsi="Palatino Linotype" w:cs="Palatino Linotype"/>
          <w:b/>
        </w:rPr>
        <w:t xml:space="preserve">Recurrente </w:t>
      </w:r>
      <w:r w:rsidRPr="00873383">
        <w:rPr>
          <w:rFonts w:ascii="Palatino Linotype" w:eastAsia="Palatino Linotype" w:hAnsi="Palatino Linotype" w:cs="Palatino Linotype"/>
        </w:rPr>
        <w:t xml:space="preserve">son infundados, por lo que resulta procedente </w:t>
      </w:r>
      <w:r w:rsidRPr="00873383">
        <w:rPr>
          <w:rFonts w:ascii="Palatino Linotype" w:eastAsia="Palatino Linotype" w:hAnsi="Palatino Linotype" w:cs="Palatino Linotype"/>
          <w:i/>
        </w:rPr>
        <w:t xml:space="preserve">confirmar </w:t>
      </w:r>
      <w:r w:rsidRPr="00873383">
        <w:rPr>
          <w:rFonts w:ascii="Palatino Linotype" w:eastAsia="Palatino Linotype" w:hAnsi="Palatino Linotype" w:cs="Palatino Linotype"/>
        </w:rPr>
        <w:t xml:space="preserve">la respuesta proporcionada por el </w:t>
      </w:r>
      <w:r w:rsidRPr="00873383">
        <w:rPr>
          <w:rFonts w:ascii="Palatino Linotype" w:eastAsia="Palatino Linotype" w:hAnsi="Palatino Linotype" w:cs="Palatino Linotype"/>
          <w:b/>
        </w:rPr>
        <w:t xml:space="preserve">Sujeto Obligado </w:t>
      </w:r>
      <w:r w:rsidRPr="00873383">
        <w:rPr>
          <w:rFonts w:ascii="Palatino Linotype" w:eastAsia="Palatino Linotype" w:hAnsi="Palatino Linotype" w:cs="Palatino Linotype"/>
        </w:rPr>
        <w:t>en términos del artículo 186 fracción II de la Ley de Transparencia y Acceso a la Información Pública del Estado de México y Municipios.</w:t>
      </w:r>
    </w:p>
    <w:p w14:paraId="3C714D5E" w14:textId="77777777" w:rsidR="006946B9" w:rsidRPr="00873383" w:rsidRDefault="006946B9" w:rsidP="003F51A1">
      <w:pP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No obstante, se dejan a salvo los derechos de la persona solicitante para que, en caso de así considerarlo conveniente a sus intereses, pueda formular una solicitud ante los Sujetos Obligados competentes, es decir, Consejería Jurídica y el Instituto de la Función Registral del Estado de México.</w:t>
      </w:r>
    </w:p>
    <w:p w14:paraId="61B1EB02" w14:textId="77777777" w:rsidR="003F51A1" w:rsidRPr="00873383" w:rsidRDefault="006946B9" w:rsidP="003F51A1">
      <w:pPr>
        <w:spacing w:before="240" w:after="240" w:line="360" w:lineRule="auto"/>
        <w:ind w:right="51"/>
        <w:jc w:val="both"/>
        <w:rPr>
          <w:rFonts w:ascii="Palatino Linotype" w:eastAsia="Palatino Linotype" w:hAnsi="Palatino Linotype" w:cs="Palatino Linotype"/>
        </w:rPr>
      </w:pPr>
      <w:r w:rsidRPr="00873383">
        <w:rPr>
          <w:rFonts w:ascii="Palatino Linotype" w:eastAsia="Palatino Linotype" w:hAnsi="Palatino Linotype" w:cs="Palatino Linotype"/>
        </w:rPr>
        <w:t>Para efectos de lo anterior</w:t>
      </w:r>
      <w:r w:rsidR="003F51A1" w:rsidRPr="00873383">
        <w:rPr>
          <w:rFonts w:ascii="Palatino Linotype" w:eastAsia="Palatino Linotype" w:hAnsi="Palatino Linotype" w:cs="Palatino Linotype"/>
        </w:rPr>
        <w:t>, se le invita a consultar el videoclip “</w:t>
      </w:r>
      <w:r w:rsidR="003F51A1" w:rsidRPr="00873383">
        <w:rPr>
          <w:rFonts w:ascii="Palatino Linotype" w:eastAsia="Palatino Linotype" w:hAnsi="Palatino Linotype" w:cs="Palatino Linotype"/>
          <w:i/>
        </w:rPr>
        <w:t xml:space="preserve">Registro en </w:t>
      </w:r>
      <w:proofErr w:type="spellStart"/>
      <w:r w:rsidR="003F51A1" w:rsidRPr="00873383">
        <w:rPr>
          <w:rFonts w:ascii="Palatino Linotype" w:eastAsia="Palatino Linotype" w:hAnsi="Palatino Linotype" w:cs="Palatino Linotype"/>
          <w:i/>
        </w:rPr>
        <w:t>Saimex</w:t>
      </w:r>
      <w:proofErr w:type="spellEnd"/>
      <w:r w:rsidR="003F51A1" w:rsidRPr="00873383">
        <w:rPr>
          <w:rFonts w:ascii="Palatino Linotype" w:eastAsia="Palatino Linotype" w:hAnsi="Palatino Linotype" w:cs="Palatino Linotype"/>
          <w:i/>
        </w:rPr>
        <w:t xml:space="preserve"> y realización de solicitud</w:t>
      </w:r>
      <w:r w:rsidR="003F51A1" w:rsidRPr="00873383">
        <w:rPr>
          <w:rFonts w:ascii="Palatino Linotype" w:eastAsia="Palatino Linotype" w:hAnsi="Palatino Linotype" w:cs="Palatino Linotype"/>
        </w:rPr>
        <w:t xml:space="preserve">”, publicado en el canal de YouTube oficial de este Organismo Garante, en la dirección electrónica: </w:t>
      </w:r>
      <w:hyperlink r:id="rId14" w:history="1">
        <w:r w:rsidRPr="00873383">
          <w:rPr>
            <w:rStyle w:val="Hipervnculo"/>
            <w:rFonts w:ascii="Palatino Linotype" w:eastAsia="Palatino Linotype" w:hAnsi="Palatino Linotype" w:cs="Palatino Linotype"/>
            <w:color w:val="auto"/>
          </w:rPr>
          <w:t>https://www.youtube.com/watch?v=hdU3fKY6994</w:t>
        </w:r>
      </w:hyperlink>
      <w:r w:rsidR="003F51A1" w:rsidRPr="00873383">
        <w:rPr>
          <w:rFonts w:ascii="Palatino Linotype" w:eastAsia="Palatino Linotype" w:hAnsi="Palatino Linotype" w:cs="Palatino Linotype"/>
        </w:rPr>
        <w:t xml:space="preserve">, </w:t>
      </w:r>
      <w:r w:rsidRPr="00873383">
        <w:rPr>
          <w:rFonts w:ascii="Palatino Linotype" w:eastAsia="Palatino Linotype" w:hAnsi="Palatino Linotype" w:cs="Palatino Linotype"/>
        </w:rPr>
        <w:t>el cual explica cómo</w:t>
      </w:r>
      <w:r w:rsidR="003F51A1" w:rsidRPr="00873383">
        <w:rPr>
          <w:rFonts w:ascii="Palatino Linotype" w:eastAsia="Palatino Linotype" w:hAnsi="Palatino Linotype" w:cs="Palatino Linotype"/>
        </w:rPr>
        <w:t xml:space="preserve"> r</w:t>
      </w:r>
      <w:r w:rsidR="003F51A1" w:rsidRPr="00873383">
        <w:rPr>
          <w:rStyle w:val="yt-core-attributed-string--link-inherit-color"/>
          <w:rFonts w:ascii="Palatino Linotype" w:hAnsi="Palatino Linotype"/>
          <w:bdr w:val="none" w:sz="0" w:space="0" w:color="auto" w:frame="1"/>
        </w:rPr>
        <w:t>ealizar el registro de ciudadanos en el sistema SAIMEX</w:t>
      </w:r>
      <w:r w:rsidRPr="00873383">
        <w:rPr>
          <w:rStyle w:val="yt-core-attributed-string--link-inherit-color"/>
          <w:rFonts w:ascii="Palatino Linotype" w:hAnsi="Palatino Linotype"/>
          <w:bdr w:val="none" w:sz="0" w:space="0" w:color="auto" w:frame="1"/>
        </w:rPr>
        <w:t>, y có</w:t>
      </w:r>
      <w:r w:rsidR="003F51A1" w:rsidRPr="00873383">
        <w:rPr>
          <w:rStyle w:val="yt-core-attributed-string--link-inherit-color"/>
          <w:rFonts w:ascii="Palatino Linotype" w:hAnsi="Palatino Linotype"/>
          <w:bdr w:val="none" w:sz="0" w:space="0" w:color="auto" w:frame="1"/>
        </w:rPr>
        <w:t>mo realizar una solicitud a los Sujetos Obligados</w:t>
      </w:r>
      <w:r w:rsidR="003F51A1" w:rsidRPr="00873383">
        <w:rPr>
          <w:rStyle w:val="yt-core-attributed-string--link-inherit-color"/>
          <w:rFonts w:ascii="Palatino Linotype" w:hAnsi="Palatino Linotype"/>
          <w:b/>
          <w:bdr w:val="none" w:sz="0" w:space="0" w:color="auto" w:frame="1"/>
        </w:rPr>
        <w:t xml:space="preserve"> </w:t>
      </w:r>
      <w:r w:rsidR="003F51A1" w:rsidRPr="00873383">
        <w:rPr>
          <w:rStyle w:val="yt-core-attributed-string--link-inherit-color"/>
          <w:rFonts w:ascii="Palatino Linotype" w:hAnsi="Palatino Linotype"/>
          <w:bdr w:val="none" w:sz="0" w:space="0" w:color="auto" w:frame="1"/>
        </w:rPr>
        <w:t>del Estado de México.</w:t>
      </w:r>
    </w:p>
    <w:p w14:paraId="0191A018" w14:textId="77777777" w:rsidR="00BB409D" w:rsidRPr="00873383" w:rsidRDefault="006946B9">
      <w:pPr>
        <w:spacing w:before="240" w:after="240" w:line="360" w:lineRule="auto"/>
        <w:ind w:right="51"/>
        <w:jc w:val="both"/>
        <w:rPr>
          <w:rFonts w:ascii="Palatino Linotype" w:eastAsia="Palatino Linotype" w:hAnsi="Palatino Linotype" w:cs="Palatino Linotype"/>
        </w:rPr>
      </w:pPr>
      <w:bookmarkStart w:id="9" w:name="_heading=h.lnxbz9" w:colFirst="0" w:colLast="0"/>
      <w:bookmarkEnd w:id="9"/>
      <w:r w:rsidRPr="00873383">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4755993" w14:textId="77777777" w:rsidR="00B30EA6" w:rsidRPr="00873383" w:rsidRDefault="00B30EA6">
      <w:pPr>
        <w:spacing w:before="240" w:after="240" w:line="360" w:lineRule="auto"/>
        <w:ind w:right="51"/>
        <w:jc w:val="both"/>
        <w:rPr>
          <w:rFonts w:ascii="Palatino Linotype" w:eastAsia="Palatino Linotype" w:hAnsi="Palatino Linotype" w:cs="Palatino Linotype"/>
        </w:rPr>
      </w:pPr>
    </w:p>
    <w:p w14:paraId="4AB76F91" w14:textId="77777777" w:rsidR="00BB409D" w:rsidRPr="00873383" w:rsidRDefault="006946B9">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873383">
        <w:rPr>
          <w:rFonts w:ascii="Palatino Linotype" w:eastAsia="Palatino Linotype" w:hAnsi="Palatino Linotype" w:cs="Palatino Linotype"/>
          <w:b/>
        </w:rPr>
        <w:lastRenderedPageBreak/>
        <w:t>III. R E S U E L V E</w:t>
      </w:r>
    </w:p>
    <w:p w14:paraId="7A3FE604" w14:textId="77777777" w:rsidR="00BB409D" w:rsidRPr="00873383" w:rsidRDefault="006946B9">
      <w:pPr>
        <w:spacing w:before="240" w:after="240" w:line="360" w:lineRule="auto"/>
        <w:jc w:val="both"/>
        <w:rPr>
          <w:rFonts w:ascii="Palatino Linotype" w:eastAsia="Palatino Linotype" w:hAnsi="Palatino Linotype" w:cs="Palatino Linotype"/>
        </w:rPr>
      </w:pPr>
      <w:bookmarkStart w:id="10" w:name="_heading=h.26in1rg" w:colFirst="0" w:colLast="0"/>
      <w:bookmarkEnd w:id="10"/>
      <w:r w:rsidRPr="00873383">
        <w:rPr>
          <w:rFonts w:ascii="Palatino Linotype" w:eastAsia="Palatino Linotype" w:hAnsi="Palatino Linotype" w:cs="Palatino Linotype"/>
          <w:b/>
        </w:rPr>
        <w:t xml:space="preserve">Primero. </w:t>
      </w:r>
      <w:r w:rsidRPr="00873383">
        <w:rPr>
          <w:rFonts w:ascii="Palatino Linotype" w:eastAsia="Palatino Linotype" w:hAnsi="Palatino Linotype" w:cs="Palatino Linotype"/>
        </w:rPr>
        <w:t xml:space="preserve">Son </w:t>
      </w:r>
      <w:r w:rsidRPr="00873383">
        <w:rPr>
          <w:rFonts w:ascii="Palatino Linotype" w:eastAsia="Palatino Linotype" w:hAnsi="Palatino Linotype" w:cs="Palatino Linotype"/>
          <w:b/>
        </w:rPr>
        <w:t>infundadas</w:t>
      </w:r>
      <w:r w:rsidRPr="00873383">
        <w:rPr>
          <w:rFonts w:ascii="Palatino Linotype" w:eastAsia="Palatino Linotype" w:hAnsi="Palatino Linotype" w:cs="Palatino Linotype"/>
        </w:rPr>
        <w:t xml:space="preserve"> las razones o motivos de inconformidad hechos valer por 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en el recurso de revisión </w:t>
      </w:r>
      <w:r w:rsidRPr="00873383">
        <w:rPr>
          <w:rFonts w:ascii="Palatino Linotype" w:eastAsia="Palatino Linotype" w:hAnsi="Palatino Linotype" w:cs="Palatino Linotype"/>
          <w:b/>
        </w:rPr>
        <w:t>08209/INFOEM/IP/RR/2023</w:t>
      </w:r>
      <w:r w:rsidRPr="00873383">
        <w:rPr>
          <w:rFonts w:ascii="Palatino Linotype" w:eastAsia="Palatino Linotype" w:hAnsi="Palatino Linotype" w:cs="Palatino Linotype"/>
        </w:rPr>
        <w:t xml:space="preserve">, por lo que, en términos de los argumentos de derecho señalados en el considerando </w:t>
      </w:r>
      <w:r w:rsidRPr="00873383">
        <w:rPr>
          <w:rFonts w:ascii="Palatino Linotype" w:eastAsia="Palatino Linotype" w:hAnsi="Palatino Linotype" w:cs="Palatino Linotype"/>
          <w:b/>
        </w:rPr>
        <w:t>Cuarto</w:t>
      </w:r>
      <w:r w:rsidRPr="00873383">
        <w:rPr>
          <w:rFonts w:ascii="Palatino Linotype" w:eastAsia="Palatino Linotype" w:hAnsi="Palatino Linotype" w:cs="Palatino Linotype"/>
        </w:rPr>
        <w:t>, se</w:t>
      </w:r>
      <w:r w:rsidRPr="00873383">
        <w:rPr>
          <w:rFonts w:ascii="Palatino Linotype" w:eastAsia="Palatino Linotype" w:hAnsi="Palatino Linotype" w:cs="Palatino Linotype"/>
          <w:b/>
        </w:rPr>
        <w:t xml:space="preserve"> Confirma </w:t>
      </w:r>
      <w:r w:rsidRPr="00873383">
        <w:rPr>
          <w:rFonts w:ascii="Palatino Linotype" w:eastAsia="Palatino Linotype" w:hAnsi="Palatino Linotype" w:cs="Palatino Linotype"/>
        </w:rPr>
        <w:t xml:space="preserve">la respuesta del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w:t>
      </w:r>
    </w:p>
    <w:p w14:paraId="006812AE" w14:textId="77777777" w:rsidR="00BB409D" w:rsidRPr="00873383" w:rsidRDefault="006946B9">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bookmarkStart w:id="11" w:name="_heading=h.4d34og8" w:colFirst="0" w:colLast="0"/>
      <w:bookmarkEnd w:id="11"/>
      <w:r w:rsidRPr="00873383">
        <w:rPr>
          <w:rFonts w:ascii="Palatino Linotype" w:eastAsia="Palatino Linotype" w:hAnsi="Palatino Linotype" w:cs="Palatino Linotype"/>
          <w:b/>
        </w:rPr>
        <w:t xml:space="preserve">Segundo. Notifíquese, </w:t>
      </w:r>
      <w:r w:rsidRPr="00873383">
        <w:rPr>
          <w:rFonts w:ascii="Palatino Linotype" w:eastAsia="Palatino Linotype" w:hAnsi="Palatino Linotype" w:cs="Palatino Linotype"/>
        </w:rPr>
        <w:t>vía</w:t>
      </w:r>
      <w:r w:rsidRPr="00873383">
        <w:rPr>
          <w:rFonts w:ascii="Palatino Linotype" w:eastAsia="Palatino Linotype" w:hAnsi="Palatino Linotype" w:cs="Palatino Linotype"/>
          <w:b/>
        </w:rPr>
        <w:t xml:space="preserve"> SAIMEX,</w:t>
      </w:r>
      <w:r w:rsidRPr="00873383">
        <w:rPr>
          <w:rFonts w:ascii="Palatino Linotype" w:eastAsia="Palatino Linotype" w:hAnsi="Palatino Linotype" w:cs="Palatino Linotype"/>
        </w:rPr>
        <w:t xml:space="preserve"> al Responsable de la Unidad de Transparencia del </w:t>
      </w:r>
      <w:r w:rsidRPr="00873383">
        <w:rPr>
          <w:rFonts w:ascii="Palatino Linotype" w:eastAsia="Palatino Linotype" w:hAnsi="Palatino Linotype" w:cs="Palatino Linotype"/>
          <w:b/>
        </w:rPr>
        <w:t>Sujeto Obligado</w:t>
      </w:r>
      <w:r w:rsidRPr="00873383">
        <w:rPr>
          <w:rFonts w:ascii="Palatino Linotype" w:eastAsia="Palatino Linotype" w:hAnsi="Palatino Linotype" w:cs="Palatino Linotype"/>
        </w:rPr>
        <w:t xml:space="preserve"> la presente resolución, para su conocimiento.</w:t>
      </w:r>
    </w:p>
    <w:p w14:paraId="33A14DFE" w14:textId="77777777" w:rsidR="00BB409D" w:rsidRPr="00873383" w:rsidRDefault="006946B9">
      <w:pPr>
        <w:spacing w:before="240" w:after="240" w:line="360" w:lineRule="auto"/>
        <w:jc w:val="both"/>
        <w:rPr>
          <w:rFonts w:ascii="Palatino Linotype" w:eastAsia="Palatino Linotype" w:hAnsi="Palatino Linotype" w:cs="Palatino Linotype"/>
        </w:rPr>
      </w:pPr>
      <w:bookmarkStart w:id="12" w:name="_heading=h.1fob9te" w:colFirst="0" w:colLast="0"/>
      <w:bookmarkEnd w:id="12"/>
      <w:r w:rsidRPr="00873383">
        <w:rPr>
          <w:rFonts w:ascii="Palatino Linotype" w:eastAsia="Palatino Linotype" w:hAnsi="Palatino Linotype" w:cs="Palatino Linotype"/>
          <w:b/>
        </w:rPr>
        <w:t xml:space="preserve">Tercero.  Notifíquese, </w:t>
      </w:r>
      <w:r w:rsidRPr="00873383">
        <w:rPr>
          <w:rFonts w:ascii="Palatino Linotype" w:eastAsia="Palatino Linotype" w:hAnsi="Palatino Linotype" w:cs="Palatino Linotype"/>
        </w:rPr>
        <w:t>vía</w:t>
      </w:r>
      <w:r w:rsidRPr="00873383">
        <w:rPr>
          <w:rFonts w:ascii="Palatino Linotype" w:eastAsia="Palatino Linotype" w:hAnsi="Palatino Linotype" w:cs="Palatino Linotype"/>
          <w:b/>
        </w:rPr>
        <w:t xml:space="preserve"> SAIMEX </w:t>
      </w:r>
      <w:r w:rsidRPr="00873383">
        <w:rPr>
          <w:rFonts w:ascii="Palatino Linotype" w:eastAsia="Palatino Linotype" w:hAnsi="Palatino Linotype" w:cs="Palatino Linotype"/>
        </w:rPr>
        <w:t>y por</w:t>
      </w:r>
      <w:r w:rsidRPr="00873383">
        <w:rPr>
          <w:rFonts w:ascii="Palatino Linotype" w:eastAsia="Palatino Linotype" w:hAnsi="Palatino Linotype" w:cs="Palatino Linotype"/>
          <w:b/>
        </w:rPr>
        <w:t xml:space="preserve"> correo electrónico</w:t>
      </w:r>
      <w:r w:rsidRPr="00873383">
        <w:rPr>
          <w:rFonts w:ascii="Palatino Linotype" w:eastAsia="Palatino Linotype" w:hAnsi="Palatino Linotype" w:cs="Palatino Linotype"/>
        </w:rPr>
        <w:t>, a</w:t>
      </w:r>
      <w:r w:rsidRPr="00873383">
        <w:rPr>
          <w:rFonts w:ascii="Palatino Linotype" w:eastAsia="Palatino Linotype" w:hAnsi="Palatino Linotype" w:cs="Palatino Linotype"/>
          <w:b/>
        </w:rPr>
        <w:t xml:space="preserve"> </w:t>
      </w:r>
      <w:r w:rsidRPr="00873383">
        <w:rPr>
          <w:rFonts w:ascii="Palatino Linotype" w:eastAsia="Palatino Linotype" w:hAnsi="Palatino Linotype" w:cs="Palatino Linotype"/>
        </w:rPr>
        <w:t xml:space="preserve">la parte </w:t>
      </w:r>
      <w:r w:rsidRPr="00873383">
        <w:rPr>
          <w:rFonts w:ascii="Palatino Linotype" w:eastAsia="Palatino Linotype" w:hAnsi="Palatino Linotype" w:cs="Palatino Linotype"/>
          <w:b/>
        </w:rPr>
        <w:t>Recurrente</w:t>
      </w:r>
      <w:r w:rsidRPr="00873383">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19780163" w14:textId="1A833EFF" w:rsidR="00BB409D" w:rsidRPr="00873383" w:rsidRDefault="006946B9">
      <w:pPr>
        <w:spacing w:line="360" w:lineRule="auto"/>
        <w:jc w:val="both"/>
        <w:rPr>
          <w:rFonts w:ascii="Palatino Linotype" w:eastAsia="Palatino Linotype" w:hAnsi="Palatino Linotype" w:cs="Palatino Linotype"/>
        </w:rPr>
      </w:pPr>
      <w:r w:rsidRPr="00873383">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OCHO DE FEBRERO DE DOS MIL VEINTICUATRO, ANTE EL SECRETARIO TÉCNICO DEL PLENO ALEXIS TAPIA RAMÍREZ.</w:t>
      </w:r>
    </w:p>
    <w:p w14:paraId="2BD9EEE9" w14:textId="77777777" w:rsidR="00BB409D" w:rsidRPr="00873383" w:rsidRDefault="00BB409D">
      <w:pPr>
        <w:rPr>
          <w:rFonts w:ascii="Palatino Linotype" w:eastAsia="Palatino Linotype" w:hAnsi="Palatino Linotype" w:cs="Palatino Linotype"/>
        </w:rPr>
      </w:pPr>
    </w:p>
    <w:p w14:paraId="62AF201B" w14:textId="77777777" w:rsidR="00BB409D" w:rsidRPr="00873383" w:rsidRDefault="00BB409D">
      <w:pPr>
        <w:rPr>
          <w:rFonts w:ascii="Palatino Linotype" w:eastAsia="Palatino Linotype" w:hAnsi="Palatino Linotype" w:cs="Palatino Linotype"/>
        </w:rPr>
      </w:pPr>
    </w:p>
    <w:p w14:paraId="736FA63D" w14:textId="77777777" w:rsidR="00BB409D" w:rsidRPr="00873383" w:rsidRDefault="00BB409D">
      <w:pPr>
        <w:rPr>
          <w:rFonts w:ascii="Palatino Linotype" w:eastAsia="Palatino Linotype" w:hAnsi="Palatino Linotype" w:cs="Palatino Linotype"/>
        </w:rPr>
      </w:pPr>
    </w:p>
    <w:p w14:paraId="1D496AB9" w14:textId="77777777" w:rsidR="00BB409D" w:rsidRPr="00873383" w:rsidRDefault="00BB409D">
      <w:pPr>
        <w:rPr>
          <w:rFonts w:ascii="Palatino Linotype" w:eastAsia="Palatino Linotype" w:hAnsi="Palatino Linotype" w:cs="Palatino Linotype"/>
        </w:rPr>
      </w:pPr>
    </w:p>
    <w:p w14:paraId="248FF8BA" w14:textId="77777777" w:rsidR="00BB409D" w:rsidRPr="00873383" w:rsidRDefault="00BB409D">
      <w:pPr>
        <w:rPr>
          <w:rFonts w:ascii="Palatino Linotype" w:eastAsia="Palatino Linotype" w:hAnsi="Palatino Linotype" w:cs="Palatino Linotype"/>
        </w:rPr>
      </w:pPr>
    </w:p>
    <w:p w14:paraId="4245AFEB" w14:textId="77777777" w:rsidR="00BB409D" w:rsidRPr="00873383" w:rsidRDefault="00BB409D">
      <w:pPr>
        <w:rPr>
          <w:rFonts w:ascii="Palatino Linotype" w:eastAsia="Palatino Linotype" w:hAnsi="Palatino Linotype" w:cs="Palatino Linotype"/>
        </w:rPr>
      </w:pPr>
    </w:p>
    <w:p w14:paraId="067A94A1" w14:textId="77777777" w:rsidR="00BB409D" w:rsidRPr="00873383" w:rsidRDefault="00BB409D">
      <w:pPr>
        <w:rPr>
          <w:rFonts w:ascii="Palatino Linotype" w:eastAsia="Palatino Linotype" w:hAnsi="Palatino Linotype" w:cs="Palatino Linotype"/>
        </w:rPr>
      </w:pPr>
    </w:p>
    <w:p w14:paraId="27A49831" w14:textId="77777777" w:rsidR="00BB409D" w:rsidRPr="00873383" w:rsidRDefault="00BB409D">
      <w:pPr>
        <w:rPr>
          <w:rFonts w:ascii="Palatino Linotype" w:eastAsia="Palatino Linotype" w:hAnsi="Palatino Linotype" w:cs="Palatino Linotype"/>
        </w:rPr>
      </w:pPr>
    </w:p>
    <w:p w14:paraId="706F5003" w14:textId="77777777" w:rsidR="00BB409D" w:rsidRPr="00873383" w:rsidRDefault="00BB409D">
      <w:pPr>
        <w:rPr>
          <w:rFonts w:ascii="Palatino Linotype" w:eastAsia="Palatino Linotype" w:hAnsi="Palatino Linotype" w:cs="Palatino Linotype"/>
        </w:rPr>
      </w:pPr>
    </w:p>
    <w:p w14:paraId="795D767A" w14:textId="77777777" w:rsidR="00BB409D" w:rsidRPr="00873383" w:rsidRDefault="00BB409D">
      <w:pPr>
        <w:rPr>
          <w:rFonts w:ascii="Palatino Linotype" w:eastAsia="Palatino Linotype" w:hAnsi="Palatino Linotype" w:cs="Palatino Linotype"/>
        </w:rPr>
      </w:pPr>
    </w:p>
    <w:p w14:paraId="11971C09" w14:textId="77777777" w:rsidR="00BB409D" w:rsidRPr="00873383" w:rsidRDefault="00BB409D">
      <w:pPr>
        <w:rPr>
          <w:rFonts w:ascii="Palatino Linotype" w:eastAsia="Palatino Linotype" w:hAnsi="Palatino Linotype" w:cs="Palatino Linotype"/>
        </w:rPr>
      </w:pPr>
    </w:p>
    <w:p w14:paraId="6D1B4688" w14:textId="77777777" w:rsidR="00BB409D" w:rsidRPr="00873383" w:rsidRDefault="00BB409D">
      <w:pPr>
        <w:spacing w:line="360" w:lineRule="auto"/>
        <w:jc w:val="both"/>
        <w:rPr>
          <w:rFonts w:ascii="Palatino Linotype" w:eastAsia="Palatino Linotype" w:hAnsi="Palatino Linotype" w:cs="Palatino Linotype"/>
        </w:rPr>
      </w:pPr>
      <w:bookmarkStart w:id="13" w:name="_heading=h.3rdcrjn" w:colFirst="0" w:colLast="0"/>
      <w:bookmarkEnd w:id="13"/>
    </w:p>
    <w:p w14:paraId="4A6DB143" w14:textId="77777777" w:rsidR="00BB409D" w:rsidRPr="00873383" w:rsidRDefault="00BB409D">
      <w:pPr>
        <w:spacing w:line="360" w:lineRule="auto"/>
        <w:jc w:val="both"/>
        <w:rPr>
          <w:rFonts w:ascii="Palatino Linotype" w:eastAsia="Palatino Linotype" w:hAnsi="Palatino Linotype" w:cs="Palatino Linotype"/>
        </w:rPr>
      </w:pPr>
    </w:p>
    <w:p w14:paraId="6D3639DE" w14:textId="77777777" w:rsidR="00BB409D" w:rsidRPr="00873383" w:rsidRDefault="00BB409D">
      <w:pPr>
        <w:spacing w:line="360" w:lineRule="auto"/>
        <w:jc w:val="both"/>
        <w:rPr>
          <w:rFonts w:ascii="Palatino Linotype" w:eastAsia="Palatino Linotype" w:hAnsi="Palatino Linotype" w:cs="Palatino Linotype"/>
        </w:rPr>
      </w:pPr>
    </w:p>
    <w:p w14:paraId="5456F461" w14:textId="77777777" w:rsidR="00BB409D" w:rsidRPr="00873383" w:rsidRDefault="00BB409D">
      <w:pPr>
        <w:spacing w:line="360" w:lineRule="auto"/>
        <w:jc w:val="both"/>
        <w:rPr>
          <w:rFonts w:ascii="Palatino Linotype" w:eastAsia="Palatino Linotype" w:hAnsi="Palatino Linotype" w:cs="Palatino Linotype"/>
        </w:rPr>
      </w:pPr>
      <w:bookmarkStart w:id="14" w:name="_heading=h.1t3h5sf" w:colFirst="0" w:colLast="0"/>
      <w:bookmarkEnd w:id="14"/>
    </w:p>
    <w:p w14:paraId="26EA1B76" w14:textId="77777777" w:rsidR="00BB409D" w:rsidRPr="00873383" w:rsidRDefault="00BB409D">
      <w:pPr>
        <w:spacing w:line="360" w:lineRule="auto"/>
        <w:jc w:val="both"/>
        <w:rPr>
          <w:rFonts w:ascii="Palatino Linotype" w:eastAsia="Palatino Linotype" w:hAnsi="Palatino Linotype" w:cs="Palatino Linotype"/>
        </w:rPr>
      </w:pPr>
    </w:p>
    <w:p w14:paraId="7E2C38C2" w14:textId="77777777" w:rsidR="00BB409D" w:rsidRPr="00873383" w:rsidRDefault="00BB409D">
      <w:pPr>
        <w:spacing w:line="360" w:lineRule="auto"/>
        <w:jc w:val="both"/>
        <w:rPr>
          <w:rFonts w:ascii="Palatino Linotype" w:eastAsia="Palatino Linotype" w:hAnsi="Palatino Linotype" w:cs="Palatino Linotype"/>
        </w:rPr>
      </w:pPr>
    </w:p>
    <w:p w14:paraId="018A61D7" w14:textId="77777777" w:rsidR="00BB409D" w:rsidRPr="00873383" w:rsidRDefault="00BB409D">
      <w:pPr>
        <w:spacing w:line="360" w:lineRule="auto"/>
        <w:jc w:val="both"/>
        <w:rPr>
          <w:rFonts w:ascii="Palatino Linotype" w:eastAsia="Palatino Linotype" w:hAnsi="Palatino Linotype" w:cs="Palatino Linotype"/>
        </w:rPr>
      </w:pPr>
    </w:p>
    <w:p w14:paraId="34D83638" w14:textId="77777777" w:rsidR="00BB409D" w:rsidRPr="00873383" w:rsidRDefault="00BB409D">
      <w:pPr>
        <w:spacing w:line="360" w:lineRule="auto"/>
        <w:jc w:val="both"/>
        <w:rPr>
          <w:rFonts w:ascii="Palatino Linotype" w:eastAsia="Palatino Linotype" w:hAnsi="Palatino Linotype" w:cs="Palatino Linotype"/>
        </w:rPr>
      </w:pPr>
    </w:p>
    <w:p w14:paraId="65A4D643" w14:textId="77777777" w:rsidR="00BB409D" w:rsidRPr="00873383" w:rsidRDefault="00BB409D">
      <w:pPr>
        <w:spacing w:line="360" w:lineRule="auto"/>
        <w:jc w:val="both"/>
        <w:rPr>
          <w:rFonts w:ascii="Palatino Linotype" w:eastAsia="Palatino Linotype" w:hAnsi="Palatino Linotype" w:cs="Palatino Linotype"/>
        </w:rPr>
      </w:pPr>
    </w:p>
    <w:p w14:paraId="7FBCBE76" w14:textId="77777777" w:rsidR="00BB409D" w:rsidRPr="00873383" w:rsidRDefault="00BB409D">
      <w:pPr>
        <w:spacing w:line="360" w:lineRule="auto"/>
        <w:jc w:val="both"/>
        <w:rPr>
          <w:rFonts w:ascii="Palatino Linotype" w:eastAsia="Palatino Linotype" w:hAnsi="Palatino Linotype" w:cs="Palatino Linotype"/>
        </w:rPr>
      </w:pPr>
    </w:p>
    <w:p w14:paraId="06E3AF9B" w14:textId="77777777" w:rsidR="00BB409D" w:rsidRPr="00873383" w:rsidRDefault="00BB409D">
      <w:pPr>
        <w:spacing w:line="360" w:lineRule="auto"/>
        <w:jc w:val="both"/>
        <w:rPr>
          <w:rFonts w:ascii="Palatino Linotype" w:eastAsia="Palatino Linotype" w:hAnsi="Palatino Linotype" w:cs="Palatino Linotype"/>
        </w:rPr>
      </w:pPr>
    </w:p>
    <w:p w14:paraId="67D46ECD" w14:textId="77777777" w:rsidR="00BB409D" w:rsidRPr="00873383" w:rsidRDefault="00BB409D">
      <w:pPr>
        <w:spacing w:line="360" w:lineRule="auto"/>
        <w:jc w:val="both"/>
        <w:rPr>
          <w:rFonts w:ascii="Palatino Linotype" w:eastAsia="Palatino Linotype" w:hAnsi="Palatino Linotype" w:cs="Palatino Linotype"/>
        </w:rPr>
      </w:pPr>
    </w:p>
    <w:p w14:paraId="5BAB8FBA" w14:textId="77777777" w:rsidR="00BB409D" w:rsidRPr="00873383" w:rsidRDefault="00BB409D">
      <w:pPr>
        <w:spacing w:line="360" w:lineRule="auto"/>
        <w:jc w:val="both"/>
        <w:rPr>
          <w:rFonts w:ascii="Palatino Linotype" w:eastAsia="Palatino Linotype" w:hAnsi="Palatino Linotype" w:cs="Palatino Linotype"/>
        </w:rPr>
      </w:pPr>
    </w:p>
    <w:p w14:paraId="5FB5C9EE" w14:textId="77777777" w:rsidR="00BB409D" w:rsidRPr="00873383" w:rsidRDefault="00BB409D">
      <w:pPr>
        <w:spacing w:line="360" w:lineRule="auto"/>
        <w:jc w:val="both"/>
        <w:rPr>
          <w:rFonts w:ascii="Palatino Linotype" w:eastAsia="Palatino Linotype" w:hAnsi="Palatino Linotype" w:cs="Palatino Linotype"/>
        </w:rPr>
      </w:pPr>
    </w:p>
    <w:p w14:paraId="5C1096DC" w14:textId="77777777" w:rsidR="00BB409D" w:rsidRPr="00873383" w:rsidRDefault="00BB409D">
      <w:pPr>
        <w:spacing w:line="360" w:lineRule="auto"/>
        <w:jc w:val="both"/>
        <w:rPr>
          <w:rFonts w:ascii="Palatino Linotype" w:eastAsia="Palatino Linotype" w:hAnsi="Palatino Linotype" w:cs="Palatino Linotype"/>
        </w:rPr>
      </w:pPr>
    </w:p>
    <w:sectPr w:rsidR="00BB409D" w:rsidRPr="00873383">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1C95" w14:textId="77777777" w:rsidR="007C1312" w:rsidRDefault="007C1312">
      <w:r>
        <w:separator/>
      </w:r>
    </w:p>
  </w:endnote>
  <w:endnote w:type="continuationSeparator" w:id="0">
    <w:p w14:paraId="6D35E616" w14:textId="77777777" w:rsidR="007C1312" w:rsidRDefault="007C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4638" w14:textId="77777777" w:rsidR="00BB409D" w:rsidRDefault="006946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0481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0481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375E91F5" w14:textId="77777777" w:rsidR="00BB409D" w:rsidRDefault="00BB409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2623" w14:textId="77777777" w:rsidR="00BB409D" w:rsidRDefault="006946B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0481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04810">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6C05CD27" w14:textId="77777777" w:rsidR="00BB409D" w:rsidRDefault="00BB409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C06C" w14:textId="77777777" w:rsidR="007C1312" w:rsidRDefault="007C1312">
      <w:r>
        <w:separator/>
      </w:r>
    </w:p>
  </w:footnote>
  <w:footnote w:type="continuationSeparator" w:id="0">
    <w:p w14:paraId="24A6C98E" w14:textId="77777777" w:rsidR="007C1312" w:rsidRDefault="007C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8443" w14:textId="77777777" w:rsidR="00BB409D" w:rsidRDefault="006946B9">
    <w:pPr>
      <w:spacing w:before="240" w:after="240" w:line="360" w:lineRule="auto"/>
      <w:jc w:val="both"/>
      <w:rPr>
        <w:rFonts w:ascii="Cambria" w:eastAsia="Cambria" w:hAnsi="Cambria" w:cs="Cambria"/>
        <w:color w:val="000000"/>
      </w:rPr>
    </w:pPr>
    <w:r>
      <w:rPr>
        <w:noProof/>
      </w:rPr>
      <w:drawing>
        <wp:anchor distT="0" distB="0" distL="0" distR="0" simplePos="0" relativeHeight="251658240" behindDoc="1" locked="0" layoutInCell="1" hidden="0" allowOverlap="1" wp14:anchorId="61903EAD" wp14:editId="75C14D6F">
          <wp:simplePos x="0" y="0"/>
          <wp:positionH relativeFrom="column">
            <wp:posOffset>-1080118</wp:posOffset>
          </wp:positionH>
          <wp:positionV relativeFrom="paragraph">
            <wp:posOffset>-488296</wp:posOffset>
          </wp:positionV>
          <wp:extent cx="7809865" cy="10165715"/>
          <wp:effectExtent l="0" t="0" r="0" b="0"/>
          <wp:wrapNone/>
          <wp:docPr id="3007122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0"/>
      <w:tblW w:w="5953" w:type="dxa"/>
      <w:tblInd w:w="3261" w:type="dxa"/>
      <w:tblLayout w:type="fixed"/>
      <w:tblLook w:val="0400" w:firstRow="0" w:lastRow="0" w:firstColumn="0" w:lastColumn="0" w:noHBand="0" w:noVBand="1"/>
    </w:tblPr>
    <w:tblGrid>
      <w:gridCol w:w="2489"/>
      <w:gridCol w:w="3464"/>
    </w:tblGrid>
    <w:tr w:rsidR="00BB409D" w14:paraId="3B9B2A15" w14:textId="77777777">
      <w:tc>
        <w:tcPr>
          <w:tcW w:w="2489" w:type="dxa"/>
          <w:shd w:val="clear" w:color="auto" w:fill="auto"/>
        </w:tcPr>
        <w:p w14:paraId="68F6CDD6" w14:textId="77777777" w:rsidR="00BB409D" w:rsidRDefault="006946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F43803A" w14:textId="77777777" w:rsidR="00BB409D" w:rsidRDefault="006946B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08209/INFOEM/IP/RR/2023</w:t>
          </w:r>
        </w:p>
      </w:tc>
    </w:tr>
    <w:tr w:rsidR="00BB409D" w14:paraId="66C7CE80" w14:textId="77777777">
      <w:trPr>
        <w:trHeight w:val="228"/>
      </w:trPr>
      <w:tc>
        <w:tcPr>
          <w:tcW w:w="2489" w:type="dxa"/>
          <w:shd w:val="clear" w:color="auto" w:fill="auto"/>
          <w:vAlign w:val="center"/>
        </w:tcPr>
        <w:p w14:paraId="4AAA2884" w14:textId="77777777" w:rsidR="00BB409D" w:rsidRDefault="006946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7CE13554" w14:textId="77777777" w:rsidR="00BB409D" w:rsidRDefault="006946B9">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General de Gobierno</w:t>
          </w:r>
        </w:p>
      </w:tc>
    </w:tr>
    <w:tr w:rsidR="00BB409D" w14:paraId="4F99A941" w14:textId="77777777">
      <w:tc>
        <w:tcPr>
          <w:tcW w:w="2489" w:type="dxa"/>
          <w:shd w:val="clear" w:color="auto" w:fill="auto"/>
          <w:vAlign w:val="center"/>
        </w:tcPr>
        <w:p w14:paraId="1A49EF6D" w14:textId="77777777" w:rsidR="00BB409D" w:rsidRDefault="006946B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2172E3CB" w14:textId="77777777" w:rsidR="00BB409D" w:rsidRDefault="006946B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4FEF987" w14:textId="77777777" w:rsidR="00BB409D" w:rsidRDefault="006946B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AB0B" w14:textId="77777777" w:rsidR="00BB409D" w:rsidRDefault="006946B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3C48C52" wp14:editId="7647D5F7">
          <wp:simplePos x="0" y="0"/>
          <wp:positionH relativeFrom="column">
            <wp:posOffset>-1079496</wp:posOffset>
          </wp:positionH>
          <wp:positionV relativeFrom="paragraph">
            <wp:posOffset>-328926</wp:posOffset>
          </wp:positionV>
          <wp:extent cx="7809865" cy="10165715"/>
          <wp:effectExtent l="0" t="0" r="0" b="0"/>
          <wp:wrapNone/>
          <wp:docPr id="3007122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
      <w:tblW w:w="5670" w:type="dxa"/>
      <w:tblInd w:w="3261" w:type="dxa"/>
      <w:tblLayout w:type="fixed"/>
      <w:tblLook w:val="0400" w:firstRow="0" w:lastRow="0" w:firstColumn="0" w:lastColumn="0" w:noHBand="0" w:noVBand="1"/>
    </w:tblPr>
    <w:tblGrid>
      <w:gridCol w:w="2551"/>
      <w:gridCol w:w="3119"/>
    </w:tblGrid>
    <w:tr w:rsidR="00BB409D" w14:paraId="21966757" w14:textId="77777777">
      <w:tc>
        <w:tcPr>
          <w:tcW w:w="2551" w:type="dxa"/>
          <w:shd w:val="clear" w:color="auto" w:fill="auto"/>
          <w:vAlign w:val="center"/>
        </w:tcPr>
        <w:p w14:paraId="7DF2A98C" w14:textId="77777777" w:rsidR="00BB409D" w:rsidRDefault="006946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615F56EB" w14:textId="77777777" w:rsidR="00BB409D" w:rsidRDefault="006946B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08209/INFOEM/IP/RR/2023</w:t>
          </w:r>
        </w:p>
      </w:tc>
    </w:tr>
    <w:tr w:rsidR="00BB409D" w14:paraId="637DD8F2" w14:textId="77777777">
      <w:trPr>
        <w:trHeight w:val="130"/>
      </w:trPr>
      <w:tc>
        <w:tcPr>
          <w:tcW w:w="2551" w:type="dxa"/>
          <w:shd w:val="clear" w:color="auto" w:fill="auto"/>
          <w:vAlign w:val="center"/>
        </w:tcPr>
        <w:p w14:paraId="220732A6" w14:textId="77777777" w:rsidR="00BB409D" w:rsidRDefault="006946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092ECD12" w14:textId="5A8D3CB3" w:rsidR="00BB409D" w:rsidRDefault="00D5087C">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w:t>
          </w:r>
        </w:p>
      </w:tc>
    </w:tr>
    <w:tr w:rsidR="00BB409D" w14:paraId="13045642" w14:textId="77777777">
      <w:trPr>
        <w:trHeight w:val="228"/>
      </w:trPr>
      <w:tc>
        <w:tcPr>
          <w:tcW w:w="2551" w:type="dxa"/>
          <w:shd w:val="clear" w:color="auto" w:fill="auto"/>
          <w:vAlign w:val="center"/>
        </w:tcPr>
        <w:p w14:paraId="6DF89899" w14:textId="77777777" w:rsidR="00BB409D" w:rsidRDefault="006946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50319DE" w14:textId="77777777" w:rsidR="00BB409D" w:rsidRDefault="006946B9">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General de Gobierno</w:t>
          </w:r>
        </w:p>
      </w:tc>
    </w:tr>
    <w:tr w:rsidR="00BB409D" w14:paraId="321AAD04" w14:textId="77777777">
      <w:tc>
        <w:tcPr>
          <w:tcW w:w="2551" w:type="dxa"/>
          <w:shd w:val="clear" w:color="auto" w:fill="auto"/>
          <w:vAlign w:val="center"/>
        </w:tcPr>
        <w:p w14:paraId="286DD827" w14:textId="77777777" w:rsidR="00BB409D" w:rsidRDefault="006946B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90A1029" w14:textId="77777777" w:rsidR="00BB409D" w:rsidRDefault="006946B9">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6C4E2A" w14:textId="77777777" w:rsidR="00BB409D" w:rsidRDefault="00BB409D">
    <w:pPr>
      <w:pBdr>
        <w:top w:val="nil"/>
        <w:left w:val="nil"/>
        <w:bottom w:val="nil"/>
        <w:right w:val="nil"/>
        <w:between w:val="nil"/>
      </w:pBdr>
      <w:tabs>
        <w:tab w:val="center" w:pos="4252"/>
        <w:tab w:val="right" w:pos="8504"/>
      </w:tabs>
      <w:rPr>
        <w:rFonts w:ascii="Cambria" w:eastAsia="Cambria" w:hAnsi="Cambria" w:cs="Cambria"/>
        <w:color w:val="000000"/>
      </w:rPr>
    </w:pPr>
  </w:p>
  <w:p w14:paraId="09FF87B0" w14:textId="77777777" w:rsidR="00BB409D" w:rsidRDefault="00BB40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530D"/>
    <w:multiLevelType w:val="multilevel"/>
    <w:tmpl w:val="BD224B2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CA724A"/>
    <w:multiLevelType w:val="multilevel"/>
    <w:tmpl w:val="C79AF6DE"/>
    <w:lvl w:ilvl="0">
      <w:numFmt w:val="bullet"/>
      <w:lvlText w:val="-"/>
      <w:lvlJc w:val="left"/>
      <w:pPr>
        <w:ind w:left="720" w:hanging="360"/>
      </w:pPr>
      <w:rPr>
        <w:rFonts w:ascii="Palatino Linotype" w:eastAsia="Palatino Linotype" w:hAnsi="Palatino Linotype" w:cs="Palatino Linotype"/>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AA2541"/>
    <w:multiLevelType w:val="multilevel"/>
    <w:tmpl w:val="D76AB7AE"/>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9D"/>
    <w:rsid w:val="00082CB6"/>
    <w:rsid w:val="000F22D4"/>
    <w:rsid w:val="001A4A9C"/>
    <w:rsid w:val="003033F3"/>
    <w:rsid w:val="003F51A1"/>
    <w:rsid w:val="00504810"/>
    <w:rsid w:val="00510FD6"/>
    <w:rsid w:val="006946B9"/>
    <w:rsid w:val="0070727F"/>
    <w:rsid w:val="007C1312"/>
    <w:rsid w:val="00873383"/>
    <w:rsid w:val="00875A59"/>
    <w:rsid w:val="00890428"/>
    <w:rsid w:val="00970E5D"/>
    <w:rsid w:val="009B3194"/>
    <w:rsid w:val="00A64E61"/>
    <w:rsid w:val="00AE2EE2"/>
    <w:rsid w:val="00B30EA6"/>
    <w:rsid w:val="00BB409D"/>
    <w:rsid w:val="00BF49EC"/>
    <w:rsid w:val="00D33F7B"/>
    <w:rsid w:val="00D470DC"/>
    <w:rsid w:val="00D5087C"/>
    <w:rsid w:val="00E13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243A"/>
  <w15:docId w15:val="{498DBB5D-4676-4FC5-BB66-B17B3D4E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0">
    <w:name w:val="Table Normal6"/>
    <w:tblPr>
      <w:tblCellMar>
        <w:top w:w="0" w:type="dxa"/>
        <w:left w:w="0" w:type="dxa"/>
        <w:bottom w:w="0" w:type="dxa"/>
        <w:right w:w="0" w:type="dxa"/>
      </w:tblCellMar>
    </w:tblPr>
  </w:style>
  <w:style w:type="table" w:customStyle="1" w:styleId="TableNormal50">
    <w:name w:val="Table Normal5"/>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0"/>
    <w:tblPr>
      <w:tblStyleRowBandSize w:val="1"/>
      <w:tblStyleColBandSize w:val="1"/>
      <w:tblCellMar>
        <w:left w:w="115" w:type="dxa"/>
        <w:right w:w="115" w:type="dxa"/>
      </w:tblCellMar>
    </w:tblPr>
  </w:style>
  <w:style w:type="table" w:customStyle="1" w:styleId="3">
    <w:name w:val="3"/>
    <w:basedOn w:val="TableNormal10"/>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0"/>
    <w:tblPr>
      <w:tblStyleRowBandSize w:val="1"/>
      <w:tblStyleColBandSize w:val="1"/>
      <w:tblCellMar>
        <w:left w:w="115" w:type="dxa"/>
        <w:right w:w="115" w:type="dxa"/>
      </w:tblCellMar>
    </w:tblPr>
  </w:style>
  <w:style w:type="table" w:customStyle="1" w:styleId="1">
    <w:name w:val="1"/>
    <w:basedOn w:val="TableNormal10"/>
    <w:tblPr>
      <w:tblStyleRowBandSize w:val="1"/>
      <w:tblStyleColBandSize w:val="1"/>
      <w:tblCellMar>
        <w:left w:w="115" w:type="dxa"/>
        <w:right w:w="115" w:type="dxa"/>
      </w:tblCellMar>
    </w:tblPr>
  </w:style>
  <w:style w:type="table" w:customStyle="1" w:styleId="9">
    <w:name w:val="9"/>
    <w:basedOn w:val="TableNormal20"/>
    <w:tblPr>
      <w:tblStyleRowBandSize w:val="1"/>
      <w:tblStyleColBandSize w:val="1"/>
      <w:tblCellMar>
        <w:left w:w="115" w:type="dxa"/>
        <w:right w:w="115" w:type="dxa"/>
      </w:tblCellMar>
    </w:tblPr>
  </w:style>
  <w:style w:type="table" w:customStyle="1" w:styleId="8">
    <w:name w:val="8"/>
    <w:basedOn w:val="TableNormal20"/>
    <w:tblPr>
      <w:tblStyleRowBandSize w:val="1"/>
      <w:tblStyleColBandSize w:val="1"/>
      <w:tblCellMar>
        <w:left w:w="115" w:type="dxa"/>
        <w:right w:w="115" w:type="dxa"/>
      </w:tblCellMar>
    </w:tblPr>
  </w:style>
  <w:style w:type="table" w:customStyle="1" w:styleId="7">
    <w:name w:val="7"/>
    <w:basedOn w:val="TableNormal30"/>
    <w:tblPr>
      <w:tblStyleRowBandSize w:val="1"/>
      <w:tblStyleColBandSize w:val="1"/>
      <w:tblCellMar>
        <w:left w:w="115" w:type="dxa"/>
        <w:right w:w="115" w:type="dxa"/>
      </w:tblCellMar>
    </w:tblPr>
  </w:style>
  <w:style w:type="table" w:customStyle="1" w:styleId="6">
    <w:name w:val="6"/>
    <w:basedOn w:val="TableNormal30"/>
    <w:tblPr>
      <w:tblStyleRowBandSize w:val="1"/>
      <w:tblStyleColBandSize w:val="1"/>
      <w:tblCellMar>
        <w:left w:w="115" w:type="dxa"/>
        <w:right w:w="115" w:type="dxa"/>
      </w:tblCellMar>
    </w:tblPr>
  </w:style>
  <w:style w:type="table" w:customStyle="1" w:styleId="20">
    <w:name w:val="20"/>
    <w:basedOn w:val="TableNormal40"/>
    <w:tblPr>
      <w:tblStyleRowBandSize w:val="1"/>
      <w:tblStyleColBandSize w:val="1"/>
      <w:tblCellMar>
        <w:left w:w="115" w:type="dxa"/>
        <w:right w:w="115" w:type="dxa"/>
      </w:tblCellMar>
    </w:tblPr>
  </w:style>
  <w:style w:type="table" w:customStyle="1" w:styleId="19">
    <w:name w:val="19"/>
    <w:basedOn w:val="TableNormal40"/>
    <w:tblPr>
      <w:tblStyleRowBandSize w:val="1"/>
      <w:tblStyleColBandSize w:val="1"/>
      <w:tblCellMar>
        <w:left w:w="115" w:type="dxa"/>
        <w:right w:w="115" w:type="dxa"/>
      </w:tblCellMar>
    </w:tblPr>
  </w:style>
  <w:style w:type="table" w:customStyle="1" w:styleId="18">
    <w:name w:val="18"/>
    <w:basedOn w:val="TableNormal50"/>
    <w:tblPr>
      <w:tblStyleRowBandSize w:val="1"/>
      <w:tblStyleColBandSize w:val="1"/>
      <w:tblCellMar>
        <w:left w:w="115" w:type="dxa"/>
        <w:right w:w="115" w:type="dxa"/>
      </w:tblCellMar>
    </w:tblPr>
  </w:style>
  <w:style w:type="table" w:customStyle="1" w:styleId="17">
    <w:name w:val="17"/>
    <w:basedOn w:val="TableNormal50"/>
    <w:tblPr>
      <w:tblStyleRowBandSize w:val="1"/>
      <w:tblStyleColBandSize w:val="1"/>
      <w:tblCellMar>
        <w:left w:w="115" w:type="dxa"/>
        <w:right w:w="115" w:type="dxa"/>
      </w:tblCellMar>
    </w:tblPr>
  </w:style>
  <w:style w:type="table" w:customStyle="1" w:styleId="16">
    <w:name w:val="16"/>
    <w:basedOn w:val="TableNormal60"/>
    <w:tblPr>
      <w:tblStyleRowBandSize w:val="1"/>
      <w:tblStyleColBandSize w:val="1"/>
      <w:tblCellMar>
        <w:left w:w="115" w:type="dxa"/>
        <w:right w:w="115" w:type="dxa"/>
      </w:tblCellMar>
    </w:tblPr>
  </w:style>
  <w:style w:type="table" w:customStyle="1" w:styleId="15">
    <w:name w:val="15"/>
    <w:basedOn w:val="TableNormal60"/>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a">
    <w:basedOn w:val="TableNormal6"/>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6"/>
    <w:tblPr>
      <w:tblStyleRowBandSize w:val="1"/>
      <w:tblStyleColBandSize w:val="1"/>
      <w:tblCellMar>
        <w:left w:w="115" w:type="dxa"/>
        <w:right w:w="115" w:type="dxa"/>
      </w:tblCellMar>
    </w:tblPr>
  </w:style>
  <w:style w:type="table" w:customStyle="1" w:styleId="a2">
    <w:basedOn w:val="TableNormal6"/>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paragraph" w:styleId="Listaconvietas">
    <w:name w:val="List Bullet"/>
    <w:basedOn w:val="Normal"/>
    <w:uiPriority w:val="99"/>
    <w:unhideWhenUsed/>
    <w:rsid w:val="002F33A5"/>
    <w:pPr>
      <w:numPr>
        <w:numId w:val="3"/>
      </w:numPr>
      <w:contextualSpacing/>
    </w:pPr>
    <w:rPr>
      <w:lang w:eastAsia="es-ES"/>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character" w:customStyle="1" w:styleId="yt-core-attributed-string--link-inherit-color">
    <w:name w:val="yt-core-attributed-string--link-inherit-color"/>
    <w:basedOn w:val="Fuentedeprrafopredeter"/>
    <w:rsid w:val="003F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55230">
      <w:bodyDiv w:val="1"/>
      <w:marLeft w:val="0"/>
      <w:marRight w:val="0"/>
      <w:marTop w:val="0"/>
      <w:marBottom w:val="0"/>
      <w:divBdr>
        <w:top w:val="none" w:sz="0" w:space="0" w:color="auto"/>
        <w:left w:val="none" w:sz="0" w:space="0" w:color="auto"/>
        <w:bottom w:val="none" w:sz="0" w:space="0" w:color="auto"/>
        <w:right w:val="none" w:sz="0" w:space="0" w:color="auto"/>
      </w:divBdr>
    </w:div>
    <w:div w:id="123053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hdU3fKY69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CKyFRSGnudSadTYUO86Tcd8/Q==">CgMxLjAyCWguMzVua3VuMjIIaC5namRneHMyCWguM2R5NnZrbTIJaC4zMGowemxsMgloLjJzOGV5bzEyCGgudHlqY3d0MgloLjN6bnlzaDcyCWguMmV0OTJwMDIIaC5sbnhiejkyCWguMjZpbjFyZzIJaC40ZDM0b2c4MgloLjFmb2I5dGUyCWguM3JkY3JqbjIJaC4xdDNoNXNmOAByITEzNXFNQWxPS0RjNVNtTXpKS3NmNHM5THNKT1lJVGh0eQ==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7492</Words>
  <Characters>41211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2024-02-09T15:49:00Z</cp:lastPrinted>
  <dcterms:created xsi:type="dcterms:W3CDTF">2024-02-19T22:52:00Z</dcterms:created>
  <dcterms:modified xsi:type="dcterms:W3CDTF">2024-02-19T22:52:00Z</dcterms:modified>
</cp:coreProperties>
</file>