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0DAF4" w14:textId="77777777" w:rsidR="008C61AB" w:rsidRDefault="00380AFA">
      <w:pPr>
        <w:spacing w:before="240" w:after="240" w:line="360" w:lineRule="auto"/>
        <w:jc w:val="both"/>
        <w:rPr>
          <w:rFonts w:ascii="Palatino Linotype" w:eastAsia="Palatino Linotype" w:hAnsi="Palatino Linotype" w:cs="Palatino Linotype"/>
        </w:rPr>
      </w:pPr>
      <w:bookmarkStart w:id="0" w:name="_heading=h.1fob9te"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6B5C56">
        <w:rPr>
          <w:rFonts w:ascii="Palatino Linotype" w:eastAsia="Palatino Linotype" w:hAnsi="Palatino Linotype" w:cs="Palatino Linotype"/>
          <w:b/>
        </w:rPr>
        <w:t>tres de abril</w:t>
      </w:r>
      <w:r>
        <w:rPr>
          <w:rFonts w:ascii="Palatino Linotype" w:eastAsia="Palatino Linotype" w:hAnsi="Palatino Linotype" w:cs="Palatino Linotype"/>
          <w:b/>
        </w:rPr>
        <w:t xml:space="preserve"> de dos mil veinticuatro</w:t>
      </w:r>
      <w:r>
        <w:rPr>
          <w:rFonts w:ascii="Palatino Linotype" w:eastAsia="Palatino Linotype" w:hAnsi="Palatino Linotype" w:cs="Palatino Linotype"/>
        </w:rPr>
        <w:t xml:space="preserve">. </w:t>
      </w:r>
    </w:p>
    <w:p w14:paraId="7D7CB7D3" w14:textId="4EF3BBED"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04034/INFOEM/IP/RR/2023</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8472F4">
        <w:rPr>
          <w:rFonts w:ascii="Palatino Linotype" w:eastAsia="Palatino Linotype" w:hAnsi="Palatino Linotype" w:cs="Palatino Linotype"/>
          <w:b/>
        </w:rPr>
        <w:t>XXXXXX XXXXX XXXXXX</w:t>
      </w:r>
      <w:r>
        <w:rPr>
          <w:rFonts w:ascii="Palatino Linotype" w:eastAsia="Palatino Linotype" w:hAnsi="Palatino Linotype" w:cs="Palatino Linotype"/>
          <w:b/>
        </w:rPr>
        <w:t>,</w:t>
      </w:r>
      <w:r>
        <w:rPr>
          <w:rFonts w:ascii="Palatino Linotype" w:eastAsia="Palatino Linotype" w:hAnsi="Palatino Linotype" w:cs="Palatino Linotype"/>
        </w:rPr>
        <w:t xml:space="preserve">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w:t>
      </w:r>
      <w:r>
        <w:rPr>
          <w:rFonts w:ascii="Palatino Linotype" w:eastAsia="Palatino Linotype" w:hAnsi="Palatino Linotype" w:cs="Palatino Linotype"/>
          <w:b/>
        </w:rPr>
        <w:t xml:space="preserve"> Ayuntamiento de Atlacomulco,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34A51D27" w14:textId="77777777" w:rsidR="008C61AB" w:rsidRDefault="00380AFA">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3D5C329E"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catorce de junio de</w:t>
      </w:r>
      <w:r>
        <w:rPr>
          <w:rFonts w:ascii="Palatino Linotype" w:eastAsia="Palatino Linotype" w:hAnsi="Palatino Linotype" w:cs="Palatino Linotype"/>
        </w:rPr>
        <w:t xml:space="preserve"> </w:t>
      </w:r>
      <w:r>
        <w:rPr>
          <w:rFonts w:ascii="Palatino Linotype" w:eastAsia="Palatino Linotype" w:hAnsi="Palatino Linotype" w:cs="Palatino Linotype"/>
          <w:b/>
        </w:rPr>
        <w:t>dos mil veintitrés,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00189/ATLACOM/IP/2023, </w:t>
      </w:r>
      <w:r>
        <w:rPr>
          <w:rFonts w:ascii="Palatino Linotype" w:eastAsia="Palatino Linotype" w:hAnsi="Palatino Linotype" w:cs="Palatino Linotype"/>
        </w:rPr>
        <w:t xml:space="preserve">mediante la cual requirió la información siguiente: </w:t>
      </w:r>
    </w:p>
    <w:p w14:paraId="150E9BE3" w14:textId="77777777" w:rsidR="008C61AB" w:rsidRDefault="00380AFA">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Pr>
          <w:rFonts w:ascii="Palatino Linotype" w:eastAsia="Palatino Linotype" w:hAnsi="Palatino Linotype" w:cs="Palatino Linotype"/>
          <w:i/>
          <w:sz w:val="22"/>
          <w:szCs w:val="22"/>
        </w:rPr>
        <w:t xml:space="preserve">“SOLICITO LOS RECIBOS DE NOMINA TIMBRADOS DE TODO EL PERSONAL DEL AYUNTAMIENTO DEL 15 AL 31 DE MAYO DE 2023 DE TODO EL PERSONAL DEL AYUNTAMIENTO, DESDE INTEGRANTES DEL CABILDO, DIRECTORES, COORDINADORES, EMPLEADOS BASE, SINDICALIZADOS, CONFIANZA, CONTRATOS, EVENTUALES, POR HONORARIOS, PROTEGIENDO LOS DATOS PERSONALES DE LOS TRABAJADORES.” (Sic) </w:t>
      </w:r>
    </w:p>
    <w:p w14:paraId="6C7F07B0"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w:t>
      </w:r>
      <w:r>
        <w:rPr>
          <w:rFonts w:ascii="Palatino Linotype" w:eastAsia="Palatino Linotype" w:hAnsi="Palatino Linotype" w:cs="Palatino Linotype"/>
          <w:b/>
        </w:rPr>
        <w:t>de SAIMEX</w:t>
      </w:r>
    </w:p>
    <w:p w14:paraId="6056DBED" w14:textId="77777777" w:rsidR="008C61AB" w:rsidRDefault="00380AFA">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El </w:t>
      </w:r>
      <w:r>
        <w:rPr>
          <w:rFonts w:ascii="Palatino Linotype" w:eastAsia="Palatino Linotype" w:hAnsi="Palatino Linotype" w:cs="Palatino Linotype"/>
          <w:b/>
        </w:rPr>
        <w:t>cinco de julio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F401000" w14:textId="77777777" w:rsidR="008C61AB" w:rsidRDefault="00380AFA">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B2C855" w14:textId="77777777" w:rsidR="008C61AB" w:rsidRDefault="00380AFA">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anexa respuesta</w:t>
      </w:r>
    </w:p>
    <w:p w14:paraId="00BC5A4C" w14:textId="77777777" w:rsidR="008C61AB" w:rsidRDefault="00380AFA">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54E0BAEC" w14:textId="77777777" w:rsidR="008C61AB" w:rsidRDefault="00380AFA">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L.A.I KARLA KARINA TÉLLEZ LARA” (sic)</w:t>
      </w:r>
    </w:p>
    <w:p w14:paraId="4C6FDB1B" w14:textId="77777777" w:rsidR="008C61AB" w:rsidRDefault="00380AFA">
      <w:pPr>
        <w:spacing w:before="240" w:after="240"/>
        <w:ind w:left="567" w:right="9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14:paraId="7A358B46" w14:textId="77777777" w:rsidR="008C61AB" w:rsidRDefault="00380AFA">
      <w:pPr>
        <w:spacing w:before="240" w:after="24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 xml:space="preserve">“189_RSOL_TM_2023_RECNOM_CD.pdf”: </w:t>
      </w:r>
      <w:r>
        <w:rPr>
          <w:rFonts w:ascii="Palatino Linotype" w:eastAsia="Palatino Linotype" w:hAnsi="Palatino Linotype" w:cs="Palatino Linotype"/>
          <w:sz w:val="22"/>
          <w:szCs w:val="22"/>
        </w:rPr>
        <w:t xml:space="preserve">Oficio TMA/STE/574/07/2023, suscrita por la Tesorera Municipal, quien señala que se solicitó el cambio de modalidad a consulta directa por el número de hojas que se derivan de la respuesta a la solicitud, es de precisar que dicha modalidad fue aprobada en la Trigésimo Cuarta Sesión Extraordinaria del Comité de Transparencia, llevada a cabo el 3 de julio de 2023, en el acuerdo número ACT/ATLACOMULCO/EXT/COMT/34ª/ACU-SEXTO/2023. </w:t>
      </w:r>
    </w:p>
    <w:p w14:paraId="732CEEEB" w14:textId="77777777" w:rsidR="008C61AB" w:rsidRDefault="00380AFA">
      <w:pPr>
        <w:spacing w:before="240" w:after="240" w:line="276"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 xml:space="preserve">“oficio 430_RES _0189_2023.pdf”: </w:t>
      </w:r>
      <w:r>
        <w:rPr>
          <w:rFonts w:ascii="Palatino Linotype" w:eastAsia="Palatino Linotype" w:hAnsi="Palatino Linotype" w:cs="Palatino Linotype"/>
          <w:sz w:val="22"/>
          <w:szCs w:val="22"/>
        </w:rPr>
        <w:t>Documento de seis hojas, mediante el cual, la Titular de la Unidad de Transparencia, remite la respuesta a la persona solicitante en el sentido de que se en la Trigésimo Cuarta Sesión Extraordinaria del Comité de Transparencia, llevada a cabo el 3 de julio de 2023, se aprobó el cambio de modalidad a consulta directa en el acuerdo número ACT/ATLACOMULCO/EXT/COMT/34ª/ACU-SEXTO/2023.</w:t>
      </w:r>
      <w:r>
        <w:rPr>
          <w:rFonts w:ascii="Palatino Linotype" w:eastAsia="Palatino Linotype" w:hAnsi="Palatino Linotype" w:cs="Palatino Linotype"/>
        </w:rPr>
        <w:t xml:space="preserve"> </w:t>
      </w:r>
    </w:p>
    <w:p w14:paraId="1DD69C31" w14:textId="77777777" w:rsidR="008C61AB" w:rsidRDefault="00380AFA">
      <w:pPr>
        <w:spacing w:before="240" w:after="240" w:line="276"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 “034_ACTEXT_CT_0307_2023.pdf”: </w:t>
      </w:r>
      <w:r>
        <w:rPr>
          <w:rFonts w:ascii="Palatino Linotype" w:eastAsia="Palatino Linotype" w:hAnsi="Palatino Linotype" w:cs="Palatino Linotype"/>
          <w:sz w:val="22"/>
          <w:szCs w:val="22"/>
        </w:rPr>
        <w:t>Acta de la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Trigésimo Cuarta Sesión Extraordinaria del Comité de Transparencia, llevada a cabo el 3 de julio de 2023, en la que se aprobó el cambio de modalidad a consulta directa en el acuerdo número ACT/ATLACOMULCO/EXT/COMT/34ª/ACU-SEXTO/2023 de las solicitudes 00176/ATLACOM/IP/2023 y acumuladas.</w:t>
      </w:r>
    </w:p>
    <w:p w14:paraId="4D32D027" w14:textId="77777777" w:rsidR="008C61AB" w:rsidRDefault="00380AFA">
      <w:pPr>
        <w:spacing w:before="240" w:after="240" w:line="276"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“189ROf609_CambioModalidadATLACOM2023.pdf”:</w:t>
      </w:r>
      <w:r>
        <w:rPr>
          <w:rFonts w:ascii="Palatino Linotype" w:eastAsia="Palatino Linotype" w:hAnsi="Palatino Linotype" w:cs="Palatino Linotype"/>
        </w:rPr>
        <w:t xml:space="preserve"> </w:t>
      </w:r>
      <w:r>
        <w:rPr>
          <w:rFonts w:ascii="Palatino Linotype" w:eastAsia="Palatino Linotype" w:hAnsi="Palatino Linotype" w:cs="Palatino Linotype"/>
          <w:sz w:val="22"/>
          <w:szCs w:val="22"/>
        </w:rPr>
        <w:t>Oficio No. INFOEM/DGI/609/2023, suscrito por el director general de Informática, quien señala que la incidencia técnica para atender la solicitud de información pública 00189/ATLACOM/IP/2023, ha quedado registrada en la bitácora de incidencias, toda vez que trata de subir 8,500 fojas, lo cual sobrepasa las capacidades técnicas del sistema SAIMEX.</w:t>
      </w:r>
    </w:p>
    <w:p w14:paraId="31684588" w14:textId="77777777" w:rsidR="008C61AB" w:rsidRDefault="00380AFA">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el</w:t>
      </w:r>
      <w:r>
        <w:rPr>
          <w:rFonts w:ascii="Palatino Linotype" w:eastAsia="Palatino Linotype" w:hAnsi="Palatino Linotype" w:cs="Palatino Linotype"/>
          <w:b/>
        </w:rPr>
        <w:t xml:space="preserve"> once de julio de dos mil veintitrés,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08403253" w14:textId="77777777" w:rsidR="008C61AB" w:rsidRDefault="00380AFA">
      <w:pPr>
        <w:tabs>
          <w:tab w:val="left" w:pos="2745"/>
        </w:tabs>
        <w:spacing w:before="240" w:after="240" w:line="360" w:lineRule="auto"/>
        <w:ind w:left="567"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a) Acto impugnado: </w:t>
      </w:r>
    </w:p>
    <w:p w14:paraId="21D74B4F" w14:textId="77777777" w:rsidR="008C61AB" w:rsidRDefault="00380AFA">
      <w:pPr>
        <w:tabs>
          <w:tab w:val="left" w:pos="2745"/>
        </w:tabs>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CAMBIO DE MODALIDAD EN LA SOLICITUD DE INFORMACIÓN” (Sic)</w:t>
      </w:r>
    </w:p>
    <w:p w14:paraId="5B70CF2B" w14:textId="77777777" w:rsidR="008C61AB" w:rsidRDefault="00380AFA">
      <w:pPr>
        <w:spacing w:line="360" w:lineRule="auto"/>
        <w:ind w:left="567" w:right="900"/>
        <w:jc w:val="both"/>
        <w:rPr>
          <w:rFonts w:ascii="Palatino Linotype" w:eastAsia="Palatino Linotype" w:hAnsi="Palatino Linotype" w:cs="Palatino Linotype"/>
        </w:rPr>
      </w:pPr>
      <w:bookmarkStart w:id="3" w:name="_heading=h.30j0zll" w:colFirst="0" w:colLast="0"/>
      <w:bookmarkEnd w:id="3"/>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14:paraId="11C88AAD" w14:textId="77777777" w:rsidR="008C61AB" w:rsidRDefault="00380AFA">
      <w:pPr>
        <w:tabs>
          <w:tab w:val="left" w:pos="2745"/>
        </w:tabs>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“SOLICITE SOLAMENTE RECIBOS DE 15 DÍAS, LOS CUALES PUEDEN SER ESCANEADOS SIN NINGUN PROBLEMA, AL NO SER YO DEL MUNICIPIO DE ATLACOMULCO, ME ES COMPLICADO ACUDIR, ADEMÁS YO LOS NECESITO DE MANERA DIGITAL, NO CUENTO CON EL TIEMPO DE IR A HACER CONSULTAS.” (Sic)</w:t>
      </w:r>
    </w:p>
    <w:p w14:paraId="557CD175" w14:textId="77777777" w:rsidR="008C61AB" w:rsidRDefault="00380AFA">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307C61B4"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5. Admisión del Recurso de revisión.</w:t>
      </w:r>
      <w:r>
        <w:rPr>
          <w:rFonts w:ascii="Palatino Linotype" w:eastAsia="Palatino Linotype" w:hAnsi="Palatino Linotype" w:cs="Palatino Linotype"/>
        </w:rPr>
        <w:t xml:space="preserve"> El</w:t>
      </w:r>
      <w:r>
        <w:rPr>
          <w:rFonts w:ascii="Palatino Linotype" w:eastAsia="Palatino Linotype" w:hAnsi="Palatino Linotype" w:cs="Palatino Linotype"/>
          <w:b/>
        </w:rPr>
        <w:t xml:space="preserve"> dieciséis de julio de dos mil veintitrés,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2EBCF4F5" w14:textId="77777777" w:rsidR="008C61AB" w:rsidRDefault="00380AF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rPr>
      </w:pPr>
      <w:bookmarkStart w:id="4" w:name="_heading=h.2s8eyo1" w:colFirst="0" w:colLast="0"/>
      <w:bookmarkEnd w:id="4"/>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De las constancias que integran el expediente en que se actúa se advierte que durante el periodo de manifestaciones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remitió los archivos electrónicos informe justificado “</w:t>
      </w:r>
      <w:r>
        <w:rPr>
          <w:rFonts w:ascii="Palatino Linotype" w:eastAsia="Palatino Linotype" w:hAnsi="Palatino Linotype" w:cs="Palatino Linotype"/>
          <w:b/>
          <w:i/>
          <w:color w:val="000000"/>
        </w:rPr>
        <w:t xml:space="preserve">SOL_0189_RR_04034_2023.pdf” y  “ACTAS DE HECHOS 189_2023.pdf”, </w:t>
      </w:r>
      <w:r>
        <w:rPr>
          <w:rFonts w:ascii="Palatino Linotype" w:eastAsia="Palatino Linotype" w:hAnsi="Palatino Linotype" w:cs="Palatino Linotype"/>
          <w:color w:val="000000"/>
        </w:rPr>
        <w:t>mismos que se describen a continuación:</w:t>
      </w:r>
    </w:p>
    <w:p w14:paraId="220E282F" w14:textId="77777777" w:rsidR="008C61AB" w:rsidRDefault="008C61A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rPr>
      </w:pPr>
    </w:p>
    <w:p w14:paraId="14284A00" w14:textId="77777777" w:rsidR="008C61AB" w:rsidRDefault="00380AFA">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b/>
          <w:i/>
          <w:color w:val="000000"/>
        </w:rPr>
        <w:t>informe justificado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i/>
          <w:color w:val="000000"/>
        </w:rPr>
        <w:t xml:space="preserve">SOL_0189_RR_04034_2023.pdf”: </w:t>
      </w:r>
      <w:r>
        <w:rPr>
          <w:rFonts w:ascii="Palatino Linotype" w:eastAsia="Palatino Linotype" w:hAnsi="Palatino Linotype" w:cs="Palatino Linotype"/>
          <w:color w:val="000000"/>
        </w:rPr>
        <w:t>Documento de cuatro fojas, signado por la Titular de la Unidad de Transparencia, en el que medularmente se ratifica la respuesta proporcionada por el Tesorero Municipal, es decir, del cambio de modalidad a consulta directa.</w:t>
      </w:r>
    </w:p>
    <w:p w14:paraId="68AB9AF1" w14:textId="77777777" w:rsidR="008C61AB" w:rsidRDefault="008C61AB">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color w:val="000000"/>
        </w:rPr>
      </w:pPr>
    </w:p>
    <w:p w14:paraId="1A64118E" w14:textId="77777777" w:rsidR="008C61AB" w:rsidRDefault="00380AFA">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 “ACTAS DE HECHOS 189_2023.pdf”:</w:t>
      </w:r>
      <w:r>
        <w:rPr>
          <w:rFonts w:ascii="Palatino Linotype" w:eastAsia="Palatino Linotype" w:hAnsi="Palatino Linotype" w:cs="Palatino Linotype"/>
          <w:color w:val="000000"/>
        </w:rPr>
        <w:t xml:space="preserve"> Actas de hechos suscritas los días 7 y 10 de julio de 2023, en las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asienta que la persona solicitante no acudió a consultar la información que se puso a su disposición.</w:t>
      </w:r>
    </w:p>
    <w:p w14:paraId="0C022DAF" w14:textId="77777777" w:rsidR="008C61AB" w:rsidRDefault="008C61A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color w:val="000000"/>
        </w:rPr>
      </w:pPr>
    </w:p>
    <w:p w14:paraId="4A9F55C9" w14:textId="77777777" w:rsidR="008C61AB" w:rsidRDefault="00380AF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Es de precisar que,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una vez analizada esta documentación, se determinó ponerla a disposición de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mediante acuerdo signado por la Comisionada Ponente el </w:t>
      </w:r>
      <w:r>
        <w:rPr>
          <w:rFonts w:ascii="Palatino Linotype" w:eastAsia="Palatino Linotype" w:hAnsi="Palatino Linotype" w:cs="Palatino Linotype"/>
          <w:b/>
          <w:color w:val="000000"/>
        </w:rPr>
        <w:t>once de marzo de dos mil veintitrés</w:t>
      </w:r>
      <w:r>
        <w:rPr>
          <w:rFonts w:ascii="Palatino Linotype" w:eastAsia="Palatino Linotype" w:hAnsi="Palatino Linotype" w:cs="Palatino Linotype"/>
          <w:color w:val="000000"/>
        </w:rPr>
        <w:t xml:space="preserve">, obteniendo así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fue omisa en hacer valer manifestaciones que a su derecho resultaran convenientes como se muestra a continuación:</w:t>
      </w:r>
    </w:p>
    <w:p w14:paraId="5DAAD73C"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2AD1EFC7" wp14:editId="52E87325">
            <wp:extent cx="5612130" cy="229679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2296795"/>
                    </a:xfrm>
                    <a:prstGeom prst="rect">
                      <a:avLst/>
                    </a:prstGeom>
                    <a:ln/>
                  </pic:spPr>
                </pic:pic>
              </a:graphicData>
            </a:graphic>
          </wp:inline>
        </w:drawing>
      </w:r>
    </w:p>
    <w:p w14:paraId="7E10031E" w14:textId="77777777" w:rsidR="008C61AB" w:rsidRDefault="00380AF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término para resolver</w:t>
      </w:r>
      <w:r>
        <w:rPr>
          <w:rFonts w:ascii="Palatino Linotype" w:eastAsia="Palatino Linotype" w:hAnsi="Palatino Linotype" w:cs="Palatino Linotype"/>
        </w:rPr>
        <w:t xml:space="preserve">. El </w:t>
      </w:r>
      <w:r>
        <w:rPr>
          <w:rFonts w:ascii="Palatino Linotype" w:eastAsia="Palatino Linotype" w:hAnsi="Palatino Linotype" w:cs="Palatino Linotype"/>
          <w:b/>
        </w:rPr>
        <w:t>once de marzo de dos mil veinticuatro</w:t>
      </w:r>
      <w:r>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47548C6F"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19C65F4"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ello, es menester precisar que si bien se ha excedido el plazo para resolver el presente medio de impugnación, de conformidad con la ley de la materia, el plazo para emitir la resolución se encuentra </w:t>
      </w:r>
      <w:r>
        <w:rPr>
          <w:rFonts w:ascii="Palatino Linotype" w:eastAsia="Palatino Linotype" w:hAnsi="Palatino Linotype" w:cs="Palatino Linotype"/>
          <w:sz w:val="22"/>
          <w:szCs w:val="22"/>
        </w:rPr>
        <w:t>ju</w:t>
      </w:r>
      <w:r>
        <w:rPr>
          <w:rFonts w:ascii="Palatino Linotype" w:eastAsia="Palatino Linotype" w:hAnsi="Palatino Linotype" w:cs="Palatino Linotype"/>
        </w:rPr>
        <w:t xml:space="preserve"> en los elementos para medir la razonabilidad de asuntos conforme a los parámetros establecidos por diversos órganos jurisdiccionales federales, aplicables también en procedimientos análogos, como el que nos ocupa.</w:t>
      </w:r>
    </w:p>
    <w:p w14:paraId="37FFFD22"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29EE3BB"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49369BB" w14:textId="77777777" w:rsidR="008C61AB" w:rsidRDefault="00380AFA">
      <w:pPr>
        <w:spacing w:before="240" w:after="240" w:line="360" w:lineRule="auto"/>
        <w:jc w:val="both"/>
        <w:rPr>
          <w:rFonts w:ascii="Palatino Linotype" w:eastAsia="Palatino Linotype" w:hAnsi="Palatino Linotype" w:cs="Palatino Linotype"/>
          <w:strik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64BFAE2" w14:textId="77777777" w:rsidR="008C61AB" w:rsidRDefault="00380AFA">
      <w:pPr>
        <w:numPr>
          <w:ilvl w:val="0"/>
          <w:numId w:val="5"/>
        </w:numPr>
        <w:tabs>
          <w:tab w:val="left" w:pos="993"/>
        </w:tabs>
        <w:spacing w:before="240" w:after="24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b/>
        </w:rPr>
        <w:t>Complejidad del Asunto:</w:t>
      </w:r>
      <w:r>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1BE482AD" w14:textId="77777777" w:rsidR="008C61AB" w:rsidRDefault="00380AFA">
      <w:pPr>
        <w:numPr>
          <w:ilvl w:val="0"/>
          <w:numId w:val="5"/>
        </w:numPr>
        <w:tabs>
          <w:tab w:val="left" w:pos="993"/>
        </w:tabs>
        <w:spacing w:before="240" w:after="24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b/>
        </w:rPr>
        <w:t>Actividad Procesal del interesado</w:t>
      </w:r>
      <w:r>
        <w:rPr>
          <w:rFonts w:ascii="Palatino Linotype" w:eastAsia="Palatino Linotype" w:hAnsi="Palatino Linotype" w:cs="Palatino Linotype"/>
        </w:rPr>
        <w:t>. Acciones u omisiones del interesado.</w:t>
      </w:r>
    </w:p>
    <w:p w14:paraId="2875E0C5" w14:textId="77777777" w:rsidR="008C61AB" w:rsidRDefault="00380AFA">
      <w:pPr>
        <w:numPr>
          <w:ilvl w:val="0"/>
          <w:numId w:val="5"/>
        </w:numPr>
        <w:tabs>
          <w:tab w:val="left" w:pos="993"/>
        </w:tabs>
        <w:spacing w:before="240" w:after="24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b/>
        </w:rPr>
        <w:lastRenderedPageBreak/>
        <w:t>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14:paraId="4D3CA8B4" w14:textId="77777777" w:rsidR="008C61AB" w:rsidRDefault="00380AFA">
      <w:pPr>
        <w:numPr>
          <w:ilvl w:val="0"/>
          <w:numId w:val="5"/>
        </w:numPr>
        <w:tabs>
          <w:tab w:val="left" w:pos="993"/>
        </w:tabs>
        <w:spacing w:before="240" w:after="24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La afectación generada en la situación jurídica de la persona involucrada en el proceso: Violación a sus derechos humanos.</w:t>
      </w:r>
    </w:p>
    <w:p w14:paraId="2B20D1A4"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51748A9" w14:textId="77777777" w:rsidR="008C61AB" w:rsidRDefault="00380AF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094B4B32"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289081CD"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AD057A2" w14:textId="77777777" w:rsidR="008C61AB" w:rsidRDefault="00380AFA">
      <w:pPr>
        <w:spacing w:before="240" w:after="240" w:line="360"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i/>
          <w:sz w:val="22"/>
          <w:szCs w:val="22"/>
        </w:rPr>
        <w:t>“PLAZO RAZONABLE PARA RESOLVER. DIMENSIÓN Y EFECTOS DE ESTE CONCEPTO CUANDO SE ADUCE EXCESIVA CARGA DE TRABAJO</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35BECA9A" w14:textId="77777777" w:rsidR="008C61AB" w:rsidRDefault="00380AFA">
      <w:pPr>
        <w:spacing w:before="240" w:after="240" w:line="360"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Pr>
          <w:rFonts w:ascii="Palatino Linotype" w:eastAsia="Palatino Linotype" w:hAnsi="Palatino Linotype" w:cs="Palatino Linotype"/>
          <w:sz w:val="22"/>
          <w:szCs w:val="22"/>
        </w:rPr>
        <w:t>, visible en el Seminario Judicial de la Federación y su gaceta, con el registro digital 2002350.</w:t>
      </w:r>
    </w:p>
    <w:p w14:paraId="736F4D3C"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FF2E817"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quince de marzo de dos mil veinticuatro</w:t>
      </w:r>
      <w:r>
        <w:rPr>
          <w:rFonts w:ascii="Palatino Linotype" w:eastAsia="Palatino Linotype" w:hAnsi="Palatino Linotype" w:cs="Palatino Linotype"/>
        </w:rPr>
        <w:t xml:space="preserve"> la Comisionada Ponente determinó el </w:t>
      </w:r>
      <w:r>
        <w:rPr>
          <w:rFonts w:ascii="Palatino Linotype" w:eastAsia="Palatino Linotype" w:hAnsi="Palatino Linotype" w:cs="Palatino Linotype"/>
        </w:rPr>
        <w:lastRenderedPageBreak/>
        <w:t>cierre de instrucción en términos de la fracción VI del artículo 185 de la Ley de Transparencia y Acceso a la Información Pública del Estado de México y Municipios.</w:t>
      </w:r>
    </w:p>
    <w:p w14:paraId="74BE8668"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C372BA2" w14:textId="77777777" w:rsidR="008C61AB" w:rsidRDefault="00380AFA">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7B91B665"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00F4B03" w14:textId="77777777" w:rsidR="008C61AB" w:rsidRDefault="00380AFA">
      <w:pPr>
        <w:spacing w:before="240" w:after="240" w:line="360" w:lineRule="auto"/>
        <w:jc w:val="both"/>
        <w:rPr>
          <w:rFonts w:ascii="Palatino Linotype" w:eastAsia="Palatino Linotype" w:hAnsi="Palatino Linotype" w:cs="Palatino Linotype"/>
        </w:rPr>
      </w:pPr>
      <w:bookmarkStart w:id="5" w:name="_heading=h.tyjcwt" w:colFirst="0" w:colLast="0"/>
      <w:bookmarkEnd w:id="5"/>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5BD718F"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w:t>
      </w:r>
      <w:r>
        <w:rPr>
          <w:rFonts w:ascii="Palatino Linotype" w:eastAsia="Palatino Linotype" w:hAnsi="Palatino Linotype" w:cs="Palatino Linotype"/>
          <w:b/>
        </w:rPr>
        <w:t>cinco de julio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de dos mil veintitrés, </w:t>
      </w:r>
      <w:r>
        <w:rPr>
          <w:rFonts w:ascii="Palatino Linotype" w:eastAsia="Palatino Linotype" w:hAnsi="Palatino Linotype" w:cs="Palatino Linotype"/>
        </w:rPr>
        <w:t xml:space="preserve">mientras que el recurso de revisión interpuesto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once de julio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de dos mil veintitrés, </w:t>
      </w:r>
      <w:r>
        <w:rPr>
          <w:rFonts w:ascii="Palatino Linotype" w:eastAsia="Palatino Linotype" w:hAnsi="Palatino Linotype" w:cs="Palatino Linotype"/>
        </w:rPr>
        <w:t xml:space="preserve">esto es, al </w:t>
      </w:r>
      <w:r>
        <w:rPr>
          <w:rFonts w:ascii="Palatino Linotype" w:eastAsia="Palatino Linotype" w:hAnsi="Palatino Linotype" w:cs="Palatino Linotype"/>
          <w:b/>
        </w:rPr>
        <w:t>cuarto día hábil</w:t>
      </w:r>
      <w:r>
        <w:rPr>
          <w:rFonts w:ascii="Palatino Linotype" w:eastAsia="Palatino Linotype" w:hAnsi="Palatino Linotype" w:cs="Palatino Linotype"/>
        </w:rPr>
        <w:t xml:space="preserve"> siguiente al que tuvo conocimiento de la respuesta impugnada. En este sentido, se concluye que el presente recurso de revisión se encuentra dentro de los márgenes temporales previstos en las disposiciones legales referidas.</w:t>
      </w:r>
    </w:p>
    <w:p w14:paraId="4FBA28A8" w14:textId="77777777" w:rsidR="008C61AB" w:rsidRDefault="00380AFA">
      <w:pPr>
        <w:tabs>
          <w:tab w:val="left" w:pos="7938"/>
        </w:tabs>
        <w:spacing w:before="240" w:after="240" w:line="360" w:lineRule="auto"/>
        <w:jc w:val="both"/>
        <w:rPr>
          <w:rFonts w:ascii="Palatino Linotype" w:eastAsia="Palatino Linotype" w:hAnsi="Palatino Linotype" w:cs="Palatino Linotype"/>
        </w:rPr>
      </w:pPr>
      <w:bookmarkStart w:id="6" w:name="_heading=h.3znysh7" w:colFirst="0" w:colLast="0"/>
      <w:bookmarkEnd w:id="6"/>
      <w:r>
        <w:rPr>
          <w:rFonts w:ascii="Palatino Linotype" w:eastAsia="Palatino Linotype" w:hAnsi="Palatino Linotype" w:cs="Palatino Linotype"/>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3B6873B"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VIII del ordenamiento legal citado, que a la letra dice: </w:t>
      </w:r>
    </w:p>
    <w:p w14:paraId="7C6E9FDF" w14:textId="77777777" w:rsidR="008C61AB" w:rsidRDefault="00380AFA">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AF82C1E" w14:textId="77777777" w:rsidR="008C61AB" w:rsidRDefault="00380AFA">
      <w:pPr>
        <w:spacing w:before="120" w:after="120"/>
        <w:ind w:left="567"/>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DC14959" w14:textId="77777777" w:rsidR="008C61AB" w:rsidRDefault="00380AFA">
      <w:pPr>
        <w:spacing w:before="120" w:after="120"/>
        <w:ind w:left="567"/>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VIII. La notificación, entrega o puesta a disposición de información en una modalidad o formato distinto al solicitado;”</w:t>
      </w:r>
    </w:p>
    <w:p w14:paraId="5B27BBFD"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e informe justificado otorgados por el Sujeto Obligado son adecuados y suficientes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1E63BEE4" w14:textId="77777777" w:rsidR="008C61AB" w:rsidRDefault="00380AFA">
      <w:pPr>
        <w:spacing w:before="240" w:after="240" w:line="360" w:lineRule="auto"/>
        <w:jc w:val="both"/>
        <w:rPr>
          <w:rFonts w:ascii="Palatino Linotype" w:eastAsia="Palatino Linotype" w:hAnsi="Palatino Linotype" w:cs="Palatino Linotype"/>
        </w:rPr>
      </w:pPr>
      <w:bookmarkStart w:id="7" w:name="_heading=h.2et92p0" w:colFirst="0" w:colLast="0"/>
      <w:bookmarkEnd w:id="7"/>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39EEC78" w14:textId="77777777" w:rsidR="008C61AB" w:rsidRDefault="00380AF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2E2A7EA" w14:textId="77777777" w:rsidR="008C61AB" w:rsidRDefault="00380AF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C507A46" w14:textId="77777777" w:rsidR="008C61AB" w:rsidRDefault="00380AF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766FA718"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46A317D" w14:textId="77777777" w:rsidR="008C61AB" w:rsidRDefault="00380AF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8F9664B" w14:textId="77777777" w:rsidR="008C61AB" w:rsidRDefault="00380AF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42D63BF0" w14:textId="77777777" w:rsidR="008C61AB" w:rsidRDefault="00380AFA">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2FC64739" w14:textId="77777777" w:rsidR="008C61AB" w:rsidRDefault="00380AF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Sirve de apoyo a lo anterior, el criterio 03/17, emitido por el Instituto Nacional de Transparencia, Acceso a la Información y Protección de Datos Personales, que por rubro y texto, dispone lo siguiente:</w:t>
      </w:r>
      <w:r>
        <w:rPr>
          <w:rFonts w:ascii="Palatino Linotype" w:eastAsia="Palatino Linotype" w:hAnsi="Palatino Linotype" w:cs="Palatino Linotype"/>
          <w:b/>
        </w:rPr>
        <w:t xml:space="preserve"> </w:t>
      </w:r>
    </w:p>
    <w:p w14:paraId="64A711CC" w14:textId="77777777" w:rsidR="008C61AB" w:rsidRDefault="00380AFA">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862B2DF" w14:textId="77777777" w:rsidR="008C61AB" w:rsidRDefault="00380AFA">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D750733" w14:textId="77777777" w:rsidR="008C61AB" w:rsidRDefault="00380AFA">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0DA228D7" w14:textId="77777777" w:rsidR="008C61AB" w:rsidRDefault="00380AF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21057695" w14:textId="77777777" w:rsidR="008C61AB" w:rsidRDefault="00380AFA">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9A2E7A0" w14:textId="77777777" w:rsidR="008C61AB" w:rsidRDefault="00380AFA">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99CD97E"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1506DA0" w14:textId="77777777" w:rsidR="008C61AB" w:rsidRDefault="00380AFA" w:rsidP="006B5C5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58A451B" w14:textId="77777777" w:rsidR="008C61AB" w:rsidRDefault="00380AFA" w:rsidP="006B5C5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489D635" w14:textId="77777777" w:rsidR="008C61AB" w:rsidRDefault="00380AFA" w:rsidP="006B5C5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6EB7378" w14:textId="77777777" w:rsidR="008C61AB" w:rsidRDefault="00380AFA">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2) Que se trate de información registrada en cualquier soporte documental, que en ejercicio de las atribuciones conferidas, sea administrada por los Sujetos Obligados, y</w:t>
      </w:r>
    </w:p>
    <w:p w14:paraId="21B9B6B3" w14:textId="77777777" w:rsidR="008C61AB" w:rsidRDefault="00380AFA">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6CA2A2A1" w14:textId="77777777" w:rsidR="008C61AB" w:rsidRDefault="00380AFA">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645DDC5"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1599BF8"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le proporcione, información consistente en lo siguiente:</w:t>
      </w:r>
    </w:p>
    <w:p w14:paraId="55C144EC" w14:textId="77777777" w:rsidR="008C61AB" w:rsidRDefault="00380AFA">
      <w:pPr>
        <w:spacing w:before="240" w:after="240" w:line="360" w:lineRule="auto"/>
        <w:ind w:left="567"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1. Los recibos de nómina timbrados de todo el personal del ayuntamiento del 15 al 31 de mayo de 2023, desde integrantes del cabildo, directores, coordinadores, empleados base, sindicalizados, confianza, contratos, eventuales y por honorarios.  </w:t>
      </w:r>
    </w:p>
    <w:p w14:paraId="727DE4AD" w14:textId="77777777" w:rsidR="008C61AB" w:rsidRDefault="00380AF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conducto de la Tesorera Municipal solicitó el cambio de modalidad a consulta directa por el número de hojas que se derivan de la respuesta a la solicitud, es de precisar que dicha modalidad fue aprobada en la Trigésimo Cuarta Sesión Extraordinaria del Comité de Transparencia, llevada a cabo el 3 de julio de 2023, en el acuerdo número ACT/ATLACOMULCO/EXT/COMT/34ª/ACU-SEXTO/2023; es de mencionar que a su respuesta adjuntó el </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Oficio No. INFOEM/DGI/609/2023, suscrito por el Director General de Informática, quien señala que la incidencia técnica para atender la solicitud de información pública 00189/ATLACOM/IP/2023, ha quedado registrada en la bitácora de incidencias, toda vez que trata de subir </w:t>
      </w:r>
      <w:r>
        <w:rPr>
          <w:rFonts w:ascii="Palatino Linotype" w:eastAsia="Palatino Linotype" w:hAnsi="Palatino Linotype" w:cs="Palatino Linotype"/>
          <w:b/>
        </w:rPr>
        <w:t>8,500 fojas</w:t>
      </w:r>
      <w:r>
        <w:rPr>
          <w:rFonts w:ascii="Palatino Linotype" w:eastAsia="Palatino Linotype" w:hAnsi="Palatino Linotype" w:cs="Palatino Linotype"/>
        </w:rPr>
        <w:t>, lo cual sobrepasa las capacidades técnicas del sistema SAIMEX.</w:t>
      </w:r>
    </w:p>
    <w:p w14:paraId="62BAC3F8" w14:textId="77777777" w:rsidR="008C61AB" w:rsidRDefault="00380AF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Conocida la respuesta por la persona solicitante, al no estar conforme con los términos de la misma, interpuso el recurso de revisión que nos ocupa, mediante el cual se inconformó medularmente por el cambio de modalidad a consulta directa, resaltando el hecho de que sólo se requirieron recibos de una quincena.</w:t>
      </w:r>
    </w:p>
    <w:p w14:paraId="31FCFC80" w14:textId="77777777" w:rsidR="008C61AB" w:rsidRDefault="00380AF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Admitido el presente recurso de revisión, en términos del artículo 185 fracción II</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ratificó los términos de la respuesta inicial y adjuntó un acta de hechos en la que se dejó constancia </w:t>
      </w:r>
      <w:r>
        <w:rPr>
          <w:rFonts w:ascii="Palatino Linotype" w:eastAsia="Palatino Linotype" w:hAnsi="Palatino Linotype" w:cs="Palatino Linotype"/>
          <w:color w:val="000000"/>
        </w:rPr>
        <w:t xml:space="preserve">que la persona solicitante no acudió los días 7 y 10 de julio a consultar la información en las oficinas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p>
    <w:p w14:paraId="516F9A8F"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expuestas las posturas de las partes, conviene señalar que quien se pronunció desde la etapa de la respuesta es la Tesorería Municipal, ello en virtud de que el Manual de Organización de la Tesorería Municipal de Atlacomulco cuenta con un área denominada Auxiliar de Nómina, la cual cuenta con las siguientes atribuciones:</w:t>
      </w:r>
    </w:p>
    <w:p w14:paraId="4189348B" w14:textId="77777777" w:rsidR="008C61AB" w:rsidRDefault="00380AFA">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“Puesto: Auxiliar de nómina</w:t>
      </w:r>
    </w:p>
    <w:p w14:paraId="47B1951B" w14:textId="77777777" w:rsidR="008C61AB" w:rsidRDefault="00380AFA">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2B21A22" w14:textId="77777777" w:rsidR="008C61AB" w:rsidRDefault="00380AFA">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Descripción Genérica </w:t>
      </w:r>
    </w:p>
    <w:p w14:paraId="05A13E5B" w14:textId="77777777" w:rsidR="008C61AB" w:rsidRDefault="00380AFA">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Elaboración de la nómina quincenal del personal administrativo, operativo, mandos medios y superiores del Ayuntamiento. </w:t>
      </w:r>
    </w:p>
    <w:p w14:paraId="15E1DECA" w14:textId="77777777" w:rsidR="008C61AB" w:rsidRDefault="00380AFA">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Descripción Específica </w:t>
      </w:r>
    </w:p>
    <w:p w14:paraId="152C988F" w14:textId="77777777" w:rsidR="008C61AB" w:rsidRDefault="00380AFA">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AE55E7B" w14:textId="77777777" w:rsidR="008C61AB" w:rsidRDefault="00380AFA">
      <w:pPr>
        <w:spacing w:before="240" w:after="240" w:line="276" w:lineRule="auto"/>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lastRenderedPageBreak/>
        <w:t xml:space="preserve"> </w:t>
      </w:r>
      <w:r>
        <w:rPr>
          <w:rFonts w:ascii="Palatino Linotype" w:eastAsia="Palatino Linotype" w:hAnsi="Palatino Linotype" w:cs="Palatino Linotype"/>
          <w:b/>
          <w:i/>
          <w:sz w:val="22"/>
          <w:szCs w:val="22"/>
          <w:u w:val="single"/>
        </w:rPr>
        <w:t xml:space="preserve">Aplicar las percepciones: sueldos, gratificaciones, compensaciones, quinquenios, aguinaldo, prima vacacional, prima dominical, retroactivos,  becas, otros derivados del SUTEYM de los trabajadores y trabajadoras del Ayuntamiento; </w:t>
      </w:r>
    </w:p>
    <w:p w14:paraId="7C668389" w14:textId="77777777" w:rsidR="008C61AB" w:rsidRDefault="00380AFA">
      <w:pPr>
        <w:spacing w:before="240" w:after="240" w:line="276" w:lineRule="auto"/>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 Aplicar deducciones fiscales, seguridad social, SUTEYM, pensión alimenticia, descuentos por financieras, descuentos por ISSEMYM; </w:t>
      </w:r>
    </w:p>
    <w:p w14:paraId="03D1281E" w14:textId="77777777" w:rsidR="008C61AB" w:rsidRDefault="00380AFA">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Elaborar la nómina de los trabajadores y trabajadoras del Ayuntamiento por medio de los oficios que envía el área de administración como altas, bajas y/o cambios de los mismos;</w:t>
      </w:r>
      <w:r>
        <w:rPr>
          <w:rFonts w:ascii="Palatino Linotype" w:eastAsia="Palatino Linotype" w:hAnsi="Palatino Linotype" w:cs="Palatino Linotype"/>
          <w:i/>
          <w:sz w:val="22"/>
          <w:szCs w:val="22"/>
        </w:rPr>
        <w:t xml:space="preserve"> </w:t>
      </w:r>
    </w:p>
    <w:p w14:paraId="09FCB86E" w14:textId="77777777" w:rsidR="008C61AB" w:rsidRDefault="00380AFA">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F3C09E9" w14:textId="77777777" w:rsidR="008C61AB" w:rsidRDefault="00380AFA">
      <w:pPr>
        <w:spacing w:before="240" w:after="240" w:line="276" w:lineRule="auto"/>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Realizar el timbrado de nómina, así como el envío de sus recibos de pago a sus correos electrónicos de los trabajadores;</w:t>
      </w:r>
    </w:p>
    <w:p w14:paraId="7D550117" w14:textId="77777777" w:rsidR="008C61AB" w:rsidRDefault="00380AFA">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Imprimir los recibos de nómina para la firma de las y los trabajadores;</w:t>
      </w:r>
      <w:r>
        <w:rPr>
          <w:rFonts w:ascii="Palatino Linotype" w:eastAsia="Palatino Linotype" w:hAnsi="Palatino Linotype" w:cs="Palatino Linotype"/>
          <w:i/>
          <w:sz w:val="22"/>
          <w:szCs w:val="22"/>
        </w:rPr>
        <w:t xml:space="preserve"> </w:t>
      </w:r>
    </w:p>
    <w:p w14:paraId="4117BA34" w14:textId="77777777" w:rsidR="008C61AB" w:rsidRDefault="00380AFA">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4F37A1" w14:textId="77777777" w:rsidR="008C61AB" w:rsidRDefault="00380AFA">
      <w:pPr>
        <w:spacing w:line="360" w:lineRule="auto"/>
        <w:ind w:right="49"/>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De tal suerte que como se desprende de lo anteriormente citado, la </w:t>
      </w:r>
      <w:r>
        <w:rPr>
          <w:rFonts w:ascii="Palatino Linotype" w:eastAsia="Palatino Linotype" w:hAnsi="Palatino Linotype" w:cs="Palatino Linotype"/>
          <w:b/>
          <w:color w:val="222222"/>
        </w:rPr>
        <w:t xml:space="preserve">Tesorería Municipal </w:t>
      </w:r>
      <w:r>
        <w:rPr>
          <w:rFonts w:ascii="Palatino Linotype" w:eastAsia="Palatino Linotype" w:hAnsi="Palatino Linotype" w:cs="Palatino Linotype"/>
          <w:color w:val="222222"/>
        </w:rPr>
        <w:t>es la unidad administrativa encargada del pago de la nómina, así como de la impresión de los recibos de nómina, ello por conducto del área Auxiliar de Nómina, por ende, se determina que la respuesta fue proporcionada por la unidad administrativa competente</w:t>
      </w:r>
      <w:r>
        <w:rPr>
          <w:rFonts w:ascii="Palatino Linotype" w:eastAsia="Palatino Linotype" w:hAnsi="Palatino Linotype" w:cs="Palatino Linotype"/>
          <w:color w:val="000000"/>
        </w:rPr>
        <w:t>,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6815F40D" w14:textId="77777777" w:rsidR="008C61AB" w:rsidRDefault="008C61AB"/>
    <w:p w14:paraId="2D408B63" w14:textId="77777777" w:rsidR="008C61AB" w:rsidRDefault="00380AFA">
      <w:pPr>
        <w:ind w:left="864" w:right="864"/>
        <w:jc w:val="both"/>
      </w:pPr>
      <w:r>
        <w:rPr>
          <w:rFonts w:ascii="Palatino Linotype" w:eastAsia="Palatino Linotype" w:hAnsi="Palatino Linotype" w:cs="Palatino Linotype"/>
          <w:i/>
          <w:color w:val="000000"/>
          <w:sz w:val="22"/>
          <w:szCs w:val="22"/>
        </w:rPr>
        <w:t xml:space="preserve">XXXIX. Servidor público habilitado: Persona encargada dentro de las diversas unidades administrativas o áreas del sujeto obligado, de apoyar, gestionar y </w:t>
      </w:r>
      <w:r>
        <w:rPr>
          <w:rFonts w:ascii="Palatino Linotype" w:eastAsia="Palatino Linotype" w:hAnsi="Palatino Linotype" w:cs="Palatino Linotype"/>
          <w:i/>
          <w:color w:val="000000"/>
          <w:sz w:val="22"/>
          <w:szCs w:val="22"/>
        </w:rPr>
        <w:lastRenderedPageBreak/>
        <w:t>entregar la información o datos personales que se ubiquen en la misma, a sus respectivas unidades de transparencia; respecto de las solicitudes presentadas y aportar en primera instancia el fundamento y motivación de la clasificación de la información. </w:t>
      </w:r>
    </w:p>
    <w:p w14:paraId="203027B0" w14:textId="77777777" w:rsidR="008C61AB" w:rsidRDefault="008C61AB"/>
    <w:p w14:paraId="726F52CA" w14:textId="77777777" w:rsidR="008C61AB" w:rsidRDefault="00380AFA">
      <w:pPr>
        <w:shd w:val="clear" w:color="auto" w:fill="FFFFFF"/>
        <w:spacing w:line="360" w:lineRule="auto"/>
        <w:jc w:val="both"/>
      </w:pPr>
      <w:r>
        <w:rPr>
          <w:rFonts w:ascii="Palatino Linotype" w:eastAsia="Palatino Linotype" w:hAnsi="Palatino Linotype" w:cs="Palatino Linotype"/>
          <w:color w:val="000000"/>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3C81701" w14:textId="77777777" w:rsidR="008C61AB" w:rsidRDefault="008C61AB"/>
    <w:p w14:paraId="1E275283" w14:textId="77777777" w:rsidR="008C61AB" w:rsidRDefault="00380AFA">
      <w:pPr>
        <w:ind w:left="864" w:right="864"/>
        <w:jc w:val="both"/>
      </w:pPr>
      <w:r>
        <w:rPr>
          <w:rFonts w:ascii="Palatino Linotype" w:eastAsia="Palatino Linotype" w:hAnsi="Palatino Linotype" w:cs="Palatino Linotype"/>
          <w:i/>
          <w:color w:val="000000"/>
          <w:sz w:val="22"/>
          <w:szCs w:val="22"/>
        </w:rPr>
        <w:t xml:space="preserve">“Artículo 162. Las unidades de transparencia deberán garantizar que las solicitudes </w:t>
      </w:r>
      <w:r>
        <w:rPr>
          <w:rFonts w:ascii="Palatino Linotype" w:eastAsia="Palatino Linotype" w:hAnsi="Palatino Linotype" w:cs="Palatino Linotype"/>
          <w:b/>
          <w:i/>
          <w:color w:val="000000"/>
          <w:sz w:val="22"/>
          <w:szCs w:val="22"/>
        </w:rPr>
        <w:t xml:space="preserve">se turnen a todas las Áreas competentes </w:t>
      </w:r>
      <w:r>
        <w:rPr>
          <w:rFonts w:ascii="Palatino Linotype" w:eastAsia="Palatino Linotype" w:hAnsi="Palatino Linotype" w:cs="Palatino Linotype"/>
          <w:i/>
          <w:color w:val="000000"/>
          <w:sz w:val="22"/>
          <w:szCs w:val="22"/>
        </w:rPr>
        <w:t>que cuenten con la información o deban tenerla de acuerdo a sus facultades, competencias y funciones, con el objeto de que realicen una búsqueda exhaustiva y razonable de la información solicitada.”</w:t>
      </w:r>
    </w:p>
    <w:p w14:paraId="65953A90" w14:textId="77777777" w:rsidR="008C61AB" w:rsidRDefault="008C61AB">
      <w:pPr>
        <w:spacing w:line="360" w:lineRule="auto"/>
        <w:jc w:val="both"/>
        <w:rPr>
          <w:rFonts w:ascii="Palatino Linotype" w:eastAsia="Palatino Linotype" w:hAnsi="Palatino Linotype" w:cs="Palatino Linotype"/>
        </w:rPr>
      </w:pPr>
    </w:p>
    <w:p w14:paraId="28F49163" w14:textId="77777777" w:rsidR="008C61AB" w:rsidRDefault="00380AFA">
      <w:pPr>
        <w:spacing w:line="360" w:lineRule="auto"/>
        <w:jc w:val="both"/>
      </w:pPr>
      <w:r>
        <w:rPr>
          <w:rFonts w:ascii="Palatino Linotype" w:eastAsia="Palatino Linotype" w:hAnsi="Palatino Linotype" w:cs="Palatino Linotype"/>
          <w:color w:val="000000"/>
        </w:rPr>
        <w:t>Acotado lo anterior, se procede al análisis de la naturaleza de la información solicitada, para lo cual conviene precisar que si bien el término “</w:t>
      </w:r>
      <w:r>
        <w:rPr>
          <w:rFonts w:ascii="Palatino Linotype" w:eastAsia="Palatino Linotype" w:hAnsi="Palatino Linotype" w:cs="Palatino Linotype"/>
          <w:i/>
          <w:color w:val="000000"/>
        </w:rPr>
        <w:t xml:space="preserve">nómina” </w:t>
      </w:r>
      <w:r>
        <w:rPr>
          <w:rFonts w:ascii="Palatino Linotype" w:eastAsia="Palatino Linotype" w:hAnsi="Palatino Linotype" w:cs="Palatino Linotype"/>
          <w:color w:val="000000"/>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Pr>
          <w:rFonts w:ascii="Palatino Linotype" w:eastAsia="Palatino Linotype" w:hAnsi="Palatino Linotype" w:cs="Palatino Linotype"/>
          <w:i/>
          <w:color w:val="000000"/>
        </w:rPr>
        <w:t>listado general de los trabajadores de una institución, en</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i/>
          <w:color w:val="000000"/>
        </w:rPr>
        <w:t xml:space="preserve">el cual se </w:t>
      </w:r>
      <w:r>
        <w:rPr>
          <w:rFonts w:ascii="Palatino Linotype" w:eastAsia="Palatino Linotype" w:hAnsi="Palatino Linotype" w:cs="Palatino Linotype"/>
          <w:b/>
          <w:i/>
          <w:color w:val="000000"/>
        </w:rPr>
        <w:t xml:space="preserve">asientan las </w:t>
      </w:r>
      <w:r>
        <w:rPr>
          <w:rFonts w:ascii="Palatino Linotype" w:eastAsia="Palatino Linotype" w:hAnsi="Palatino Linotype" w:cs="Palatino Linotype"/>
          <w:b/>
          <w:i/>
          <w:color w:val="000000"/>
          <w:u w:val="single"/>
        </w:rPr>
        <w:t>percepciones brutas, deducciones y alcance neto de las mismas</w:t>
      </w:r>
      <w:r>
        <w:rPr>
          <w:rFonts w:ascii="Palatino Linotype" w:eastAsia="Palatino Linotype" w:hAnsi="Palatino Linotype" w:cs="Palatino Linotype"/>
          <w:i/>
          <w:color w:val="000000"/>
        </w:rPr>
        <w:t>; la nómina es utilizada para</w:t>
      </w:r>
      <w:r>
        <w:rPr>
          <w:rFonts w:ascii="Palatino Linotype" w:eastAsia="Palatino Linotype" w:hAnsi="Palatino Linotype" w:cs="Palatino Linotype"/>
          <w:b/>
          <w:i/>
          <w:color w:val="000000"/>
        </w:rPr>
        <w:t xml:space="preserve"> efectuar los pagos periódicos</w:t>
      </w:r>
      <w:r>
        <w:rPr>
          <w:rFonts w:ascii="Palatino Linotype" w:eastAsia="Palatino Linotype" w:hAnsi="Palatino Linotype" w:cs="Palatino Linotype"/>
          <w:i/>
          <w:color w:val="000000"/>
        </w:rPr>
        <w:t xml:space="preserve"> (semanales, quincenales o</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i/>
          <w:color w:val="000000"/>
        </w:rPr>
        <w:t xml:space="preserve">mensuales) a los trabajadores por concepto de </w:t>
      </w:r>
      <w:r>
        <w:rPr>
          <w:rFonts w:ascii="Palatino Linotype" w:eastAsia="Palatino Linotype" w:hAnsi="Palatino Linotype" w:cs="Palatino Linotype"/>
          <w:b/>
          <w:i/>
          <w:color w:val="000000"/>
        </w:rPr>
        <w:t>sueldos y salarios</w:t>
      </w:r>
      <w:r>
        <w:rPr>
          <w:rFonts w:ascii="Palatino Linotype" w:eastAsia="Palatino Linotype" w:hAnsi="Palatino Linotype" w:cs="Palatino Linotype"/>
          <w:i/>
          <w:color w:val="000000"/>
        </w:rPr>
        <w:t>.</w:t>
      </w:r>
    </w:p>
    <w:p w14:paraId="497A4C18" w14:textId="77777777" w:rsidR="008C61AB" w:rsidRDefault="008C61AB">
      <w:pPr>
        <w:spacing w:line="360" w:lineRule="auto"/>
      </w:pPr>
    </w:p>
    <w:p w14:paraId="73C61958" w14:textId="77777777" w:rsidR="008C61AB" w:rsidRDefault="00380AFA">
      <w:pPr>
        <w:spacing w:line="360" w:lineRule="auto"/>
        <w:jc w:val="both"/>
      </w:pPr>
      <w:r>
        <w:rPr>
          <w:rFonts w:ascii="Palatino Linotype" w:eastAsia="Palatino Linotype" w:hAnsi="Palatino Linotype" w:cs="Palatino Linotype"/>
          <w:color w:val="000000"/>
        </w:rPr>
        <w:lastRenderedPageBreak/>
        <w:t xml:space="preserve">Documento o término que ha sido mencionado en diferentes ordenamientos legales, tal es el caso, de la </w:t>
      </w:r>
      <w:r>
        <w:rPr>
          <w:rFonts w:ascii="Palatino Linotype" w:eastAsia="Palatino Linotype" w:hAnsi="Palatino Linotype" w:cs="Palatino Linotype"/>
          <w:i/>
          <w:color w:val="000000"/>
        </w:rPr>
        <w:t>Ley Federal del Trabajo</w:t>
      </w:r>
      <w:r>
        <w:rPr>
          <w:rFonts w:ascii="Palatino Linotype" w:eastAsia="Palatino Linotype" w:hAnsi="Palatino Linotype" w:cs="Palatino Linotype"/>
          <w:color w:val="000000"/>
        </w:rPr>
        <w:t xml:space="preserve"> en el artículo 804 fracción II, que además reconoce los recibos de pagos de salarios, por lo que resulta indispensable citar el artículo de referencia.</w:t>
      </w:r>
    </w:p>
    <w:p w14:paraId="11C74300" w14:textId="77777777" w:rsidR="008C61AB" w:rsidRDefault="008C61AB"/>
    <w:p w14:paraId="24621E8F" w14:textId="77777777" w:rsidR="008C61AB" w:rsidRDefault="00380AFA">
      <w:pPr>
        <w:spacing w:after="120" w:line="276" w:lineRule="auto"/>
        <w:ind w:left="567" w:right="902"/>
        <w:jc w:val="both"/>
      </w:pPr>
      <w:r>
        <w:rPr>
          <w:rFonts w:ascii="Palatino Linotype" w:eastAsia="Palatino Linotype" w:hAnsi="Palatino Linotype" w:cs="Palatino Linotype"/>
          <w:b/>
          <w:i/>
          <w:color w:val="000000"/>
          <w:sz w:val="22"/>
          <w:szCs w:val="22"/>
        </w:rPr>
        <w:t>“Artículo 804.-</w:t>
      </w:r>
      <w:r>
        <w:rPr>
          <w:rFonts w:ascii="Palatino Linotype" w:eastAsia="Palatino Linotype" w:hAnsi="Palatino Linotype" w:cs="Palatino Linotype"/>
          <w:i/>
          <w:color w:val="000000"/>
          <w:sz w:val="22"/>
          <w:szCs w:val="22"/>
        </w:rPr>
        <w:t xml:space="preserve"> El patrón tiene obligación de conservar y exhibir en juicio los documentos que a continuación se precisan:</w:t>
      </w:r>
    </w:p>
    <w:p w14:paraId="633B1955" w14:textId="77777777" w:rsidR="008C61AB" w:rsidRDefault="00380AFA">
      <w:pPr>
        <w:spacing w:after="120" w:line="276" w:lineRule="auto"/>
        <w:ind w:left="567" w:right="902"/>
        <w:jc w:val="both"/>
      </w:pPr>
      <w:r>
        <w:rPr>
          <w:rFonts w:ascii="Palatino Linotype" w:eastAsia="Palatino Linotype" w:hAnsi="Palatino Linotype" w:cs="Palatino Linotype"/>
          <w:b/>
          <w:i/>
          <w:color w:val="000000"/>
          <w:sz w:val="22"/>
          <w:szCs w:val="22"/>
        </w:rPr>
        <w:t>…</w:t>
      </w:r>
    </w:p>
    <w:p w14:paraId="6D47B35C" w14:textId="77777777" w:rsidR="008C61AB" w:rsidRDefault="00380AFA">
      <w:pPr>
        <w:spacing w:after="120" w:line="276" w:lineRule="auto"/>
        <w:ind w:left="567" w:right="902"/>
        <w:jc w:val="both"/>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Listas de raya o nómina de personal</w:t>
      </w:r>
      <w:r>
        <w:rPr>
          <w:rFonts w:ascii="Palatino Linotype" w:eastAsia="Palatino Linotype" w:hAnsi="Palatino Linotype" w:cs="Palatino Linotype"/>
          <w:i/>
          <w:color w:val="000000"/>
          <w:sz w:val="22"/>
          <w:szCs w:val="22"/>
        </w:rPr>
        <w:t xml:space="preserve">, cuando se lleven en el centro de trabajo; </w:t>
      </w:r>
      <w:r>
        <w:rPr>
          <w:rFonts w:ascii="Palatino Linotype" w:eastAsia="Palatino Linotype" w:hAnsi="Palatino Linotype" w:cs="Palatino Linotype"/>
          <w:b/>
          <w:i/>
          <w:color w:val="000000"/>
          <w:sz w:val="22"/>
          <w:szCs w:val="22"/>
        </w:rPr>
        <w:t>o recibos de pagos de salarios;</w:t>
      </w:r>
    </w:p>
    <w:p w14:paraId="72B8B652" w14:textId="77777777" w:rsidR="008C61AB" w:rsidRDefault="00380AFA">
      <w:pPr>
        <w:spacing w:after="120" w:line="276" w:lineRule="auto"/>
        <w:ind w:left="567" w:right="902"/>
        <w:jc w:val="both"/>
      </w:pPr>
      <w:r>
        <w:rPr>
          <w:rFonts w:ascii="Palatino Linotype" w:eastAsia="Palatino Linotype" w:hAnsi="Palatino Linotype" w:cs="Palatino Linotype"/>
          <w:i/>
          <w:color w:val="000000"/>
          <w:sz w:val="22"/>
          <w:szCs w:val="22"/>
        </w:rPr>
        <w:t>…</w:t>
      </w:r>
    </w:p>
    <w:p w14:paraId="33376931" w14:textId="77777777" w:rsidR="008C61AB" w:rsidRDefault="00380AFA">
      <w:pPr>
        <w:spacing w:after="120" w:line="276" w:lineRule="auto"/>
        <w:ind w:left="567" w:right="902"/>
        <w:jc w:val="both"/>
      </w:pPr>
      <w:r>
        <w:rPr>
          <w:rFonts w:ascii="Palatino Linotype" w:eastAsia="Palatino Linotype" w:hAnsi="Palatino Linotype" w:cs="Palatino Linotype"/>
          <w:i/>
          <w:color w:val="000000"/>
          <w:sz w:val="22"/>
          <w:szCs w:val="22"/>
        </w:rPr>
        <w:t xml:space="preserve">Los documentos señalados en la fracción I deberán conservarse mientras dure la relación laboral y hasta un año después; los señalados en las fracciones </w:t>
      </w: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III y IV, durante el último año y un año después de que se extinga la relación laboral; y los mencionados en la fracción V, conforme lo señalen las Leyes que los rijan.”</w:t>
      </w:r>
    </w:p>
    <w:p w14:paraId="6FCB4AF3" w14:textId="77777777" w:rsidR="008C61AB" w:rsidRDefault="00380AFA">
      <w:pPr>
        <w:spacing w:before="240" w:after="360" w:line="360" w:lineRule="auto"/>
        <w:jc w:val="both"/>
      </w:pPr>
      <w:r>
        <w:rPr>
          <w:rFonts w:ascii="Palatino Linotype" w:eastAsia="Palatino Linotype" w:hAnsi="Palatino Linotype" w:cs="Palatino Linotype"/>
          <w:color w:val="000000"/>
        </w:rPr>
        <w:t xml:space="preserve">De lo anteriormente citado, se puede llegar a la conclusión de que la nómina, es el documento que contiene el registro de los trabajadores a los cuales se va a remunerar por los </w:t>
      </w:r>
      <w:hyperlink r:id="rId9">
        <w:r>
          <w:rPr>
            <w:rFonts w:ascii="Palatino Linotype" w:eastAsia="Palatino Linotype" w:hAnsi="Palatino Linotype" w:cs="Palatino Linotype"/>
            <w:color w:val="000000"/>
          </w:rPr>
          <w:t>servicios</w:t>
        </w:r>
      </w:hyperlink>
      <w:r>
        <w:rPr>
          <w:rFonts w:ascii="Palatino Linotype" w:eastAsia="Palatino Linotype" w:hAnsi="Palatino Linotype" w:cs="Palatino Linotype"/>
          <w:color w:val="000000"/>
        </w:rPr>
        <w:t xml:space="preserve"> que éstos le prestan al patrón, en el cual </w:t>
      </w:r>
      <w:r>
        <w:rPr>
          <w:rFonts w:ascii="Palatino Linotype" w:eastAsia="Palatino Linotype" w:hAnsi="Palatino Linotype" w:cs="Palatino Linotype"/>
          <w:b/>
          <w:color w:val="000000"/>
        </w:rPr>
        <w:t>se asientan las percepciones brutas, deducciones y el neto</w:t>
      </w:r>
      <w:r>
        <w:rPr>
          <w:rFonts w:ascii="Palatino Linotype" w:eastAsia="Palatino Linotype" w:hAnsi="Palatino Linotype" w:cs="Palatino Linotype"/>
          <w:color w:val="000000"/>
        </w:rPr>
        <w:t xml:space="preserve"> a recibir de dichos trabajadores.</w:t>
      </w:r>
    </w:p>
    <w:p w14:paraId="6507376C" w14:textId="77777777" w:rsidR="008C61AB" w:rsidRDefault="00380AFA">
      <w:pPr>
        <w:spacing w:line="360" w:lineRule="auto"/>
        <w:jc w:val="both"/>
      </w:pPr>
      <w:r>
        <w:rPr>
          <w:rFonts w:ascii="Palatino Linotype" w:eastAsia="Palatino Linotype" w:hAnsi="Palatino Linotype" w:cs="Palatino Linotype"/>
          <w:color w:val="000000"/>
        </w:rPr>
        <w:t xml:space="preserve">Ahora bien, relativo a los </w:t>
      </w:r>
      <w:r>
        <w:rPr>
          <w:rFonts w:ascii="Palatino Linotype" w:eastAsia="Palatino Linotype" w:hAnsi="Palatino Linotype" w:cs="Palatino Linotype"/>
          <w:b/>
          <w:color w:val="000000"/>
        </w:rPr>
        <w:t>recibos de nómina</w:t>
      </w:r>
      <w:r>
        <w:rPr>
          <w:rFonts w:ascii="Palatino Linotype" w:eastAsia="Palatino Linotype" w:hAnsi="Palatino Linotype" w:cs="Palatino Linotype"/>
          <w:color w:val="000000"/>
        </w:rPr>
        <w:t xml:space="preserve">,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"recibos o comprobantes de pago", los cuales constituyen un instrumento mediante el cual el sujeto obligado acredita las remuneraciones al </w:t>
      </w:r>
      <w:r>
        <w:rPr>
          <w:rFonts w:ascii="Palatino Linotype" w:eastAsia="Palatino Linotype" w:hAnsi="Palatino Linotype" w:cs="Palatino Linotype"/>
          <w:color w:val="000000"/>
        </w:rPr>
        <w:lastRenderedPageBreak/>
        <w:t>personal y, que de acuerdo al uso implantado en la colectividad se denominan "recibos de nómina".</w:t>
      </w:r>
    </w:p>
    <w:p w14:paraId="60E620D8" w14:textId="77777777" w:rsidR="008C61AB" w:rsidRDefault="008C61AB">
      <w:pPr>
        <w:spacing w:line="360" w:lineRule="auto"/>
      </w:pPr>
    </w:p>
    <w:p w14:paraId="7786ECE9" w14:textId="77777777" w:rsidR="008C61AB" w:rsidRDefault="00380AFA">
      <w:pPr>
        <w:spacing w:line="360" w:lineRule="auto"/>
        <w:jc w:val="both"/>
      </w:pPr>
      <w:r>
        <w:rPr>
          <w:rFonts w:ascii="Palatino Linotype" w:eastAsia="Palatino Linotype" w:hAnsi="Palatino Linotype" w:cs="Palatino Linotype"/>
          <w:color w:val="000000"/>
        </w:rPr>
        <w:t xml:space="preserve">A efecto de robustecer lo anterior, es preciso hacer alusión, en primera instancia, a lo establecido en las normas de carácter general del </w:t>
      </w:r>
      <w:r>
        <w:rPr>
          <w:rFonts w:ascii="Palatino Linotype" w:eastAsia="Palatino Linotype" w:hAnsi="Palatino Linotype" w:cs="Palatino Linotype"/>
          <w:b/>
          <w:color w:val="000000"/>
        </w:rPr>
        <w:t>Manual Único de Contabilidad Gubernamental para las Dependencias y Entidades Públicas del Gobierno y Municipios del Estado de México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en donde se señala que el Régimen Fiscal para las entidades públicas es el correspondiente a </w:t>
      </w:r>
      <w:r>
        <w:rPr>
          <w:rFonts w:ascii="Palatino Linotype" w:eastAsia="Palatino Linotype" w:hAnsi="Palatino Linotype" w:cs="Palatino Linotype"/>
          <w:i/>
          <w:color w:val="000000"/>
        </w:rPr>
        <w:t xml:space="preserve">personas morales con fines no lucrativos, </w:t>
      </w:r>
      <w:r>
        <w:rPr>
          <w:rFonts w:ascii="Palatino Linotype" w:eastAsia="Palatino Linotype" w:hAnsi="Palatino Linotype" w:cs="Palatino Linotype"/>
          <w:color w:val="000000"/>
        </w:rPr>
        <w:t xml:space="preserve">y en segundo lugar remitirnos al párrafo séptimo del artículo 86 del Título III del Régimen de las Personas Morales con fines no lucrativos, de la </w:t>
      </w:r>
      <w:r>
        <w:rPr>
          <w:rFonts w:ascii="Palatino Linotype" w:eastAsia="Palatino Linotype" w:hAnsi="Palatino Linotype" w:cs="Palatino Linotype"/>
          <w:b/>
          <w:color w:val="000000"/>
        </w:rPr>
        <w:t>Ley del Impuesto Sobre la Renta</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que a la letra señala lo siguiente:</w:t>
      </w:r>
    </w:p>
    <w:p w14:paraId="0E3B9CCF" w14:textId="77777777" w:rsidR="008C61AB" w:rsidRDefault="00380AFA">
      <w:pPr>
        <w:spacing w:before="240" w:after="240" w:line="276" w:lineRule="auto"/>
        <w:ind w:left="567" w:right="539"/>
        <w:jc w:val="both"/>
      </w:pPr>
      <w:r>
        <w:rPr>
          <w:rFonts w:ascii="Palatino Linotype" w:eastAsia="Palatino Linotype" w:hAnsi="Palatino Linotype" w:cs="Palatino Linotype"/>
          <w:b/>
          <w:i/>
          <w:color w:val="000000"/>
          <w:sz w:val="22"/>
          <w:szCs w:val="22"/>
        </w:rPr>
        <w:t>“Artículo.- 86 </w:t>
      </w:r>
    </w:p>
    <w:p w14:paraId="1FFB75E9" w14:textId="77777777" w:rsidR="008C61AB" w:rsidRDefault="00380AFA">
      <w:pPr>
        <w:spacing w:before="240" w:after="240" w:line="276" w:lineRule="auto"/>
        <w:ind w:left="567" w:right="539"/>
        <w:jc w:val="both"/>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14:paraId="0CE734C7" w14:textId="77777777" w:rsidR="008C61AB" w:rsidRDefault="00380AFA">
      <w:pPr>
        <w:spacing w:before="240" w:line="276" w:lineRule="auto"/>
        <w:ind w:left="567" w:right="539"/>
        <w:jc w:val="both"/>
      </w:pPr>
      <w:r>
        <w:rPr>
          <w:rFonts w:ascii="Palatino Linotype" w:eastAsia="Palatino Linotype" w:hAnsi="Palatino Linotype" w:cs="Palatino Linotype"/>
          <w:i/>
          <w:color w:val="000000"/>
          <w:sz w:val="22"/>
          <w:szCs w:val="22"/>
        </w:rPr>
        <w:t xml:space="preserve">Los partidos y asociaciones políticas, legalmente reconocidos, la Federación, las entidades federativas, </w:t>
      </w:r>
      <w:r>
        <w:rPr>
          <w:rFonts w:ascii="Palatino Linotype" w:eastAsia="Palatino Linotype" w:hAnsi="Palatino Linotype" w:cs="Palatino Linotype"/>
          <w:b/>
          <w:i/>
          <w:color w:val="000000"/>
          <w:sz w:val="22"/>
          <w:szCs w:val="22"/>
        </w:rPr>
        <w:t>los municipios</w:t>
      </w:r>
      <w:r>
        <w:rPr>
          <w:rFonts w:ascii="Palatino Linotype" w:eastAsia="Palatino Linotype" w:hAnsi="Palatino Linotype" w:cs="Palatino Linotype"/>
          <w:i/>
          <w:color w:val="000000"/>
          <w:sz w:val="22"/>
          <w:szCs w:val="22"/>
        </w:rPr>
        <w:t xml:space="preserve"> y las instituciones que por Ley estén obligadas a entregar al Gobierno Federal el importe íntegro de su remanente de operación y los organismos descentralizados que no tributen conforme al Título II de esta Ley </w:t>
      </w:r>
      <w:r>
        <w:rPr>
          <w:rFonts w:ascii="Palatino Linotype" w:eastAsia="Palatino Linotype" w:hAnsi="Palatino Linotype" w:cs="Palatino Linotype"/>
          <w:b/>
          <w:i/>
          <w:color w:val="000000"/>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Pr>
          <w:rFonts w:ascii="Palatino Linotype" w:eastAsia="Palatino Linotype" w:hAnsi="Palatino Linotype" w:cs="Palatino Linotype"/>
          <w:i/>
          <w:color w:val="000000"/>
          <w:sz w:val="22"/>
          <w:szCs w:val="22"/>
        </w:rPr>
        <w:t xml:space="preserve"> para efectos de la legislación laboral a que se refieren los artículos 132 fracciones VII y VIII, y 804 primer párrafo fracciones II y IV de la Ley Federal del Trabajo…</w:t>
      </w:r>
      <w:r>
        <w:rPr>
          <w:rFonts w:ascii="Palatino Linotype" w:eastAsia="Palatino Linotype" w:hAnsi="Palatino Linotype" w:cs="Palatino Linotype"/>
          <w:color w:val="000000"/>
          <w:sz w:val="22"/>
          <w:szCs w:val="22"/>
        </w:rPr>
        <w:t>” </w:t>
      </w:r>
    </w:p>
    <w:p w14:paraId="1CE07490" w14:textId="77777777" w:rsidR="008C61AB" w:rsidRDefault="008C61AB"/>
    <w:p w14:paraId="69E4699D" w14:textId="77777777" w:rsidR="008C61AB" w:rsidRDefault="00380AFA">
      <w:pPr>
        <w:spacing w:line="360" w:lineRule="auto"/>
        <w:jc w:val="both"/>
      </w:pPr>
      <w:r>
        <w:rPr>
          <w:rFonts w:ascii="Palatino Linotype" w:eastAsia="Palatino Linotype" w:hAnsi="Palatino Linotype" w:cs="Palatino Linotype"/>
          <w:color w:val="000000"/>
        </w:rPr>
        <w:t xml:space="preserve">Del precepto citado, se advierte que los municipios al ser entes públicos se encuentran constreñidos a expedir y entregar los </w:t>
      </w:r>
      <w:r>
        <w:rPr>
          <w:rFonts w:ascii="Palatino Linotype" w:eastAsia="Palatino Linotype" w:hAnsi="Palatino Linotype" w:cs="Palatino Linotype"/>
          <w:b/>
          <w:color w:val="000000"/>
        </w:rPr>
        <w:t xml:space="preserve">comprobantes fiscales correspondientes a las personas que reciban pagos por conceptos de salarios, </w:t>
      </w:r>
      <w:r>
        <w:rPr>
          <w:rFonts w:ascii="Palatino Linotype" w:eastAsia="Palatino Linotype" w:hAnsi="Palatino Linotype" w:cs="Palatino Linotype"/>
          <w:color w:val="000000"/>
        </w:rPr>
        <w:lastRenderedPageBreak/>
        <w:t xml:space="preserve">mismos que pueden ser utilizados como </w:t>
      </w:r>
      <w:r>
        <w:rPr>
          <w:rFonts w:ascii="Palatino Linotype" w:eastAsia="Palatino Linotype" w:hAnsi="Palatino Linotype" w:cs="Palatino Linotype"/>
          <w:b/>
          <w:color w:val="000000"/>
        </w:rPr>
        <w:t>constancia 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recibo de pago</w:t>
      </w:r>
      <w:r>
        <w:rPr>
          <w:rFonts w:ascii="Palatino Linotype" w:eastAsia="Palatino Linotype" w:hAnsi="Palatino Linotype" w:cs="Palatino Linotype"/>
          <w:color w:val="000000"/>
        </w:rPr>
        <w:t xml:space="preserve">, de conformidad con los artículos 132 fracciones VII y VIII de la </w:t>
      </w:r>
      <w:r>
        <w:rPr>
          <w:rFonts w:ascii="Palatino Linotype" w:eastAsia="Palatino Linotype" w:hAnsi="Palatino Linotype" w:cs="Palatino Linotype"/>
          <w:b/>
          <w:color w:val="000000"/>
        </w:rPr>
        <w:t>Ley Federal del Trabajo</w:t>
      </w:r>
      <w:r>
        <w:rPr>
          <w:rFonts w:ascii="Palatino Linotype" w:eastAsia="Palatino Linotype" w:hAnsi="Palatino Linotype" w:cs="Palatino Linotype"/>
          <w:color w:val="000000"/>
        </w:rPr>
        <w:t>, que a la letra señalan lo siguiente:</w:t>
      </w:r>
    </w:p>
    <w:p w14:paraId="7AB499CD" w14:textId="77777777" w:rsidR="008C61AB" w:rsidRDefault="00380AFA">
      <w:pPr>
        <w:spacing w:before="120" w:after="120" w:line="276" w:lineRule="auto"/>
        <w:ind w:left="567" w:right="539"/>
        <w:jc w:val="both"/>
      </w:pPr>
      <w:r>
        <w:rPr>
          <w:rFonts w:ascii="Palatino Linotype" w:eastAsia="Palatino Linotype" w:hAnsi="Palatino Linotype" w:cs="Palatino Linotype"/>
          <w:b/>
          <w:i/>
          <w:color w:val="000000"/>
          <w:sz w:val="22"/>
          <w:szCs w:val="22"/>
        </w:rPr>
        <w:t>“Artículo 132</w:t>
      </w:r>
      <w:r>
        <w:rPr>
          <w:rFonts w:ascii="Palatino Linotype" w:eastAsia="Palatino Linotype" w:hAnsi="Palatino Linotype" w:cs="Palatino Linotype"/>
          <w:i/>
          <w:color w:val="000000"/>
          <w:sz w:val="22"/>
          <w:szCs w:val="22"/>
        </w:rPr>
        <w:t xml:space="preserve">.- Son </w:t>
      </w:r>
      <w:r>
        <w:rPr>
          <w:rFonts w:ascii="Palatino Linotype" w:eastAsia="Palatino Linotype" w:hAnsi="Palatino Linotype" w:cs="Palatino Linotype"/>
          <w:b/>
          <w:i/>
          <w:color w:val="000000"/>
          <w:sz w:val="22"/>
          <w:szCs w:val="22"/>
        </w:rPr>
        <w:t>obligaciones de los patrones</w:t>
      </w:r>
      <w:r>
        <w:rPr>
          <w:rFonts w:ascii="Palatino Linotype" w:eastAsia="Palatino Linotype" w:hAnsi="Palatino Linotype" w:cs="Palatino Linotype"/>
          <w:i/>
          <w:color w:val="000000"/>
          <w:sz w:val="22"/>
          <w:szCs w:val="22"/>
        </w:rPr>
        <w:t>:</w:t>
      </w:r>
    </w:p>
    <w:p w14:paraId="7D7D51A5" w14:textId="77777777" w:rsidR="008C61AB" w:rsidRDefault="00380AFA">
      <w:pPr>
        <w:spacing w:before="120" w:after="120" w:line="276" w:lineRule="auto"/>
        <w:ind w:left="567" w:right="539"/>
        <w:jc w:val="both"/>
      </w:pPr>
      <w:r>
        <w:rPr>
          <w:rFonts w:ascii="Palatino Linotype" w:eastAsia="Palatino Linotype" w:hAnsi="Palatino Linotype" w:cs="Palatino Linotype"/>
          <w:i/>
          <w:color w:val="000000"/>
          <w:sz w:val="22"/>
          <w:szCs w:val="22"/>
        </w:rPr>
        <w:t>(…)</w:t>
      </w:r>
    </w:p>
    <w:p w14:paraId="4BB210AA" w14:textId="77777777" w:rsidR="008C61AB" w:rsidRDefault="00380AFA">
      <w:pPr>
        <w:spacing w:before="120" w:after="120" w:line="276" w:lineRule="auto"/>
        <w:ind w:left="567" w:right="539"/>
        <w:jc w:val="both"/>
      </w:pPr>
      <w:r>
        <w:rPr>
          <w:rFonts w:ascii="Palatino Linotype" w:eastAsia="Palatino Linotype" w:hAnsi="Palatino Linotype" w:cs="Palatino Linotype"/>
          <w:i/>
          <w:color w:val="000000"/>
          <w:sz w:val="22"/>
          <w:szCs w:val="22"/>
        </w:rPr>
        <w:t xml:space="preserve">VII.- </w:t>
      </w:r>
      <w:r>
        <w:rPr>
          <w:rFonts w:ascii="Palatino Linotype" w:eastAsia="Palatino Linotype" w:hAnsi="Palatino Linotype" w:cs="Palatino Linotype"/>
          <w:b/>
          <w:i/>
          <w:color w:val="000000"/>
          <w:sz w:val="22"/>
          <w:szCs w:val="22"/>
        </w:rPr>
        <w:t>Expedir</w:t>
      </w:r>
      <w:r>
        <w:rPr>
          <w:rFonts w:ascii="Palatino Linotype" w:eastAsia="Palatino Linotype" w:hAnsi="Palatino Linotype" w:cs="Palatino Linotype"/>
          <w:i/>
          <w:color w:val="000000"/>
          <w:sz w:val="22"/>
          <w:szCs w:val="22"/>
        </w:rPr>
        <w:t xml:space="preserve"> cada quince días, a solicitud de los trabajadores, una </w:t>
      </w:r>
      <w:r>
        <w:rPr>
          <w:rFonts w:ascii="Palatino Linotype" w:eastAsia="Palatino Linotype" w:hAnsi="Palatino Linotype" w:cs="Palatino Linotype"/>
          <w:b/>
          <w:i/>
          <w:color w:val="000000"/>
          <w:sz w:val="22"/>
          <w:szCs w:val="22"/>
        </w:rPr>
        <w:t>constancia</w:t>
      </w:r>
      <w:r>
        <w:rPr>
          <w:rFonts w:ascii="Palatino Linotype" w:eastAsia="Palatino Linotype" w:hAnsi="Palatino Linotype" w:cs="Palatino Linotype"/>
          <w:i/>
          <w:color w:val="000000"/>
          <w:sz w:val="22"/>
          <w:szCs w:val="22"/>
        </w:rPr>
        <w:t xml:space="preserve"> escrita del número de días trabajados y </w:t>
      </w:r>
      <w:r>
        <w:rPr>
          <w:rFonts w:ascii="Palatino Linotype" w:eastAsia="Palatino Linotype" w:hAnsi="Palatino Linotype" w:cs="Palatino Linotype"/>
          <w:b/>
          <w:i/>
          <w:color w:val="000000"/>
          <w:sz w:val="22"/>
          <w:szCs w:val="22"/>
        </w:rPr>
        <w:t>del salario percibido</w:t>
      </w:r>
      <w:r>
        <w:rPr>
          <w:rFonts w:ascii="Palatino Linotype" w:eastAsia="Palatino Linotype" w:hAnsi="Palatino Linotype" w:cs="Palatino Linotype"/>
          <w:i/>
          <w:color w:val="000000"/>
          <w:sz w:val="22"/>
          <w:szCs w:val="22"/>
        </w:rPr>
        <w:t>; </w:t>
      </w:r>
    </w:p>
    <w:p w14:paraId="09362EFD" w14:textId="77777777" w:rsidR="008C61AB" w:rsidRDefault="00380AFA">
      <w:pPr>
        <w:spacing w:before="120" w:after="120" w:line="276" w:lineRule="auto"/>
        <w:ind w:left="567" w:right="539"/>
        <w:jc w:val="both"/>
      </w:pPr>
      <w:r>
        <w:rPr>
          <w:rFonts w:ascii="Palatino Linotype" w:eastAsia="Palatino Linotype" w:hAnsi="Palatino Linotype" w:cs="Palatino Linotype"/>
          <w:i/>
          <w:color w:val="000000"/>
          <w:sz w:val="22"/>
          <w:szCs w:val="22"/>
        </w:rPr>
        <w:t>VIII.- Expedir al trabajador que lo solicite o se separe de la empresa, dentro del término de tres días, una constancia escrita relativa a sus servicios;</w:t>
      </w:r>
    </w:p>
    <w:p w14:paraId="7EB56298" w14:textId="77777777" w:rsidR="008C61AB" w:rsidRDefault="00380AFA">
      <w:pPr>
        <w:ind w:left="567" w:right="539"/>
        <w:jc w:val="both"/>
      </w:pPr>
      <w:r>
        <w:rPr>
          <w:rFonts w:ascii="Palatino Linotype" w:eastAsia="Palatino Linotype" w:hAnsi="Palatino Linotype" w:cs="Palatino Linotype"/>
          <w:i/>
          <w:color w:val="000000"/>
          <w:sz w:val="22"/>
          <w:szCs w:val="22"/>
        </w:rPr>
        <w:t>…”</w:t>
      </w:r>
    </w:p>
    <w:p w14:paraId="0F945463" w14:textId="77777777" w:rsidR="008C61AB" w:rsidRDefault="00380AFA">
      <w:pPr>
        <w:spacing w:before="240" w:after="360" w:line="360" w:lineRule="auto"/>
        <w:jc w:val="both"/>
      </w:pPr>
      <w:r>
        <w:rPr>
          <w:rFonts w:ascii="Palatino Linotype" w:eastAsia="Palatino Linotype" w:hAnsi="Palatino Linotype" w:cs="Palatino Linotype"/>
          <w:color w:val="000000"/>
        </w:rPr>
        <w:t>Por su parte la Ley del Trabajo de los Servidores Públicos del Estado y Municipios, en su artículo 220-K fracciones II y IV y último párrafo, establecen lo siguiente:</w:t>
      </w:r>
    </w:p>
    <w:p w14:paraId="4876147C" w14:textId="77777777" w:rsidR="008C61AB" w:rsidRDefault="00380AFA">
      <w:pPr>
        <w:spacing w:after="160" w:line="276" w:lineRule="auto"/>
        <w:ind w:left="567" w:right="902"/>
        <w:jc w:val="both"/>
      </w:pPr>
      <w:r>
        <w:rPr>
          <w:rFonts w:ascii="Palatino Linotype" w:eastAsia="Palatino Linotype" w:hAnsi="Palatino Linotype" w:cs="Palatino Linotype"/>
          <w:b/>
          <w:i/>
          <w:color w:val="000000"/>
          <w:sz w:val="22"/>
          <w:szCs w:val="22"/>
        </w:rPr>
        <w:t>“ARTÍCULO 220 K.-</w:t>
      </w:r>
      <w:r>
        <w:rPr>
          <w:rFonts w:ascii="Palatino Linotype" w:eastAsia="Palatino Linotype" w:hAnsi="Palatino Linotype" w:cs="Palatino Linotype"/>
          <w:i/>
          <w:color w:val="000000"/>
          <w:sz w:val="22"/>
          <w:szCs w:val="22"/>
        </w:rPr>
        <w:t xml:space="preserve"> La institución o dependencia pública tiene la obligación de conservar y exhibir en el proceso los documentos que a continuación se precisan:</w:t>
      </w:r>
    </w:p>
    <w:p w14:paraId="74FCAD90" w14:textId="77777777" w:rsidR="008C61AB" w:rsidRDefault="00380AFA">
      <w:pPr>
        <w:spacing w:after="160" w:line="276" w:lineRule="auto"/>
        <w:ind w:left="567" w:right="902"/>
        <w:jc w:val="both"/>
      </w:pPr>
      <w:r>
        <w:rPr>
          <w:rFonts w:ascii="Palatino Linotype" w:eastAsia="Palatino Linotype" w:hAnsi="Palatino Linotype" w:cs="Palatino Linotype"/>
          <w:i/>
          <w:color w:val="000000"/>
          <w:sz w:val="22"/>
          <w:szCs w:val="22"/>
        </w:rPr>
        <w:t>(…)</w:t>
      </w:r>
    </w:p>
    <w:p w14:paraId="1C9B6952" w14:textId="77777777" w:rsidR="008C61AB" w:rsidRDefault="00380AFA">
      <w:pPr>
        <w:spacing w:after="160" w:line="276" w:lineRule="auto"/>
        <w:ind w:left="567" w:right="902"/>
        <w:jc w:val="both"/>
      </w:pPr>
      <w:r>
        <w:rPr>
          <w:rFonts w:ascii="Palatino Linotype" w:eastAsia="Palatino Linotype" w:hAnsi="Palatino Linotype" w:cs="Palatino Linotype"/>
          <w:i/>
          <w:color w:val="000000"/>
          <w:sz w:val="22"/>
          <w:szCs w:val="22"/>
        </w:rPr>
        <w:t xml:space="preserve">II. </w:t>
      </w:r>
      <w:r>
        <w:rPr>
          <w:rFonts w:ascii="Palatino Linotype" w:eastAsia="Palatino Linotype" w:hAnsi="Palatino Linotype" w:cs="Palatino Linotype"/>
          <w:b/>
          <w:i/>
          <w:color w:val="000000"/>
          <w:sz w:val="22"/>
          <w:szCs w:val="22"/>
        </w:rPr>
        <w:t>Recibos de pagos de salarios</w:t>
      </w:r>
      <w:r>
        <w:rPr>
          <w:rFonts w:ascii="Palatino Linotype" w:eastAsia="Palatino Linotype" w:hAnsi="Palatino Linotype" w:cs="Palatino Linotype"/>
          <w:i/>
          <w:color w:val="000000"/>
          <w:sz w:val="22"/>
          <w:szCs w:val="22"/>
        </w:rPr>
        <w:t xml:space="preserve"> o las constancias documentales del pago de salario cuando sea por depósito o mediante información electrónica;</w:t>
      </w:r>
    </w:p>
    <w:p w14:paraId="112439F2" w14:textId="77777777" w:rsidR="008C61AB" w:rsidRDefault="00380AFA">
      <w:pPr>
        <w:spacing w:after="160" w:line="276" w:lineRule="auto"/>
        <w:ind w:left="567" w:right="902"/>
        <w:jc w:val="both"/>
      </w:pPr>
      <w:r>
        <w:rPr>
          <w:rFonts w:ascii="Palatino Linotype" w:eastAsia="Palatino Linotype" w:hAnsi="Palatino Linotype" w:cs="Palatino Linotype"/>
          <w:i/>
          <w:color w:val="000000"/>
          <w:sz w:val="22"/>
          <w:szCs w:val="22"/>
        </w:rPr>
        <w:t>(…)</w:t>
      </w:r>
    </w:p>
    <w:p w14:paraId="35CFB382" w14:textId="77777777" w:rsidR="008C61AB" w:rsidRDefault="008C61AB">
      <w:pPr>
        <w:spacing w:line="276" w:lineRule="auto"/>
      </w:pPr>
    </w:p>
    <w:p w14:paraId="7C265DB6" w14:textId="77777777" w:rsidR="008C61AB" w:rsidRDefault="00380AFA">
      <w:pPr>
        <w:spacing w:after="160" w:line="276" w:lineRule="auto"/>
        <w:ind w:left="567" w:right="902"/>
        <w:jc w:val="both"/>
      </w:pPr>
      <w:r>
        <w:rPr>
          <w:rFonts w:ascii="Palatino Linotype" w:eastAsia="Palatino Linotype" w:hAnsi="Palatino Linotype" w:cs="Palatino Linotype"/>
          <w:i/>
          <w:color w:val="000000"/>
          <w:sz w:val="22"/>
          <w:szCs w:val="22"/>
        </w:rPr>
        <w:t>IV. Recibos o las constancias de depósito o del medio de información magnética o electrónica que sean utilizadas para el pago de salarios, prima vacacional, aguinaldo y demás prestaciones establecidas en la presente ley; y…</w:t>
      </w:r>
    </w:p>
    <w:p w14:paraId="66E60700" w14:textId="77777777" w:rsidR="008C61AB" w:rsidRDefault="00380AFA">
      <w:pPr>
        <w:spacing w:after="160" w:line="276" w:lineRule="auto"/>
        <w:ind w:left="567" w:right="902"/>
        <w:jc w:val="both"/>
      </w:pPr>
      <w:r>
        <w:rPr>
          <w:rFonts w:ascii="Palatino Linotype" w:eastAsia="Palatino Linotype" w:hAnsi="Palatino Linotype" w:cs="Palatino Linotype"/>
          <w:i/>
          <w:color w:val="000000"/>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1A77CD1" w14:textId="77777777" w:rsidR="008C61AB" w:rsidRDefault="00380AFA">
      <w:pPr>
        <w:spacing w:after="160" w:line="276" w:lineRule="auto"/>
        <w:ind w:left="567" w:right="902"/>
        <w:jc w:val="both"/>
      </w:pPr>
      <w:r>
        <w:rPr>
          <w:rFonts w:ascii="Palatino Linotype" w:eastAsia="Palatino Linotype" w:hAnsi="Palatino Linotype" w:cs="Palatino Linotype"/>
          <w:i/>
          <w:color w:val="000000"/>
          <w:sz w:val="22"/>
          <w:szCs w:val="22"/>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316C3465" w14:textId="77777777" w:rsidR="008C61AB" w:rsidRDefault="00380AFA">
      <w:pPr>
        <w:spacing w:after="160" w:line="276" w:lineRule="auto"/>
        <w:ind w:left="567" w:right="902"/>
        <w:jc w:val="both"/>
      </w:pPr>
      <w:r>
        <w:rPr>
          <w:rFonts w:ascii="Palatino Linotype" w:eastAsia="Palatino Linotype" w:hAnsi="Palatino Linotype" w:cs="Palatino Linotype"/>
          <w:i/>
          <w:color w:val="000000"/>
          <w:sz w:val="22"/>
          <w:szCs w:val="22"/>
        </w:rPr>
        <w:t>El incumplimiento por lo dispuesto por este artículo, establecerá la presunción de ser ciertos los hechos que el actor exprese en su demanda, en relación con tales documentos, salvo prueba en contrario.”</w:t>
      </w:r>
    </w:p>
    <w:p w14:paraId="1F22D1B2" w14:textId="77777777" w:rsidR="008C61AB" w:rsidRDefault="00380AFA">
      <w:pPr>
        <w:spacing w:before="120" w:line="360" w:lineRule="auto"/>
        <w:jc w:val="both"/>
      </w:pPr>
      <w:r>
        <w:rPr>
          <w:rFonts w:ascii="Palatino Linotype" w:eastAsia="Palatino Linotype" w:hAnsi="Palatino Linotype" w:cs="Palatino Linotype"/>
          <w:color w:val="000000"/>
        </w:rPr>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15D36CB0" w14:textId="77777777" w:rsidR="008C61AB" w:rsidRDefault="008C61AB">
      <w:pPr>
        <w:spacing w:line="360" w:lineRule="auto"/>
      </w:pPr>
    </w:p>
    <w:p w14:paraId="6AFD594D" w14:textId="77777777" w:rsidR="008C61AB" w:rsidRDefault="00380AFA">
      <w:pPr>
        <w:spacing w:line="360" w:lineRule="auto"/>
        <w:jc w:val="both"/>
      </w:pPr>
      <w:r>
        <w:rPr>
          <w:rFonts w:ascii="Palatino Linotype" w:eastAsia="Palatino Linotype" w:hAnsi="Palatino Linotype" w:cs="Palatino Linotype"/>
          <w:color w:val="000000"/>
        </w:rPr>
        <w:t xml:space="preserve">En estas condiciones, resulta claro que la información de mérito es generada en ejercicio de las atribuciones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1457D61D" w14:textId="77777777" w:rsidR="008C61AB" w:rsidRDefault="008C61AB">
      <w:pPr>
        <w:spacing w:line="360" w:lineRule="auto"/>
      </w:pPr>
    </w:p>
    <w:p w14:paraId="08BDC2D2" w14:textId="77777777" w:rsidR="008C61AB" w:rsidRDefault="00380AFA">
      <w:pPr>
        <w:spacing w:line="360" w:lineRule="auto"/>
        <w:jc w:val="both"/>
      </w:pPr>
      <w:r>
        <w:rPr>
          <w:rFonts w:ascii="Palatino Linotype" w:eastAsia="Palatino Linotype" w:hAnsi="Palatino Linotype" w:cs="Palatino Linotype"/>
          <w:color w:val="000000"/>
        </w:rPr>
        <w:t xml:space="preserve">Además, de que la información que se ordena, es de interés general y de alcance público, puesto que la ciudadanía tiene derecho a saber cuál es el gasto ejercido para </w:t>
      </w:r>
      <w:r>
        <w:rPr>
          <w:rFonts w:ascii="Palatino Linotype" w:eastAsia="Palatino Linotype" w:hAnsi="Palatino Linotype" w:cs="Palatino Linotype"/>
          <w:color w:val="000000"/>
        </w:rPr>
        <w:lastRenderedPageBreak/>
        <w:t>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2E7B32D" w14:textId="77777777" w:rsidR="008C61AB" w:rsidRDefault="008C61AB"/>
    <w:p w14:paraId="3DD1AABA" w14:textId="77777777" w:rsidR="008C61AB" w:rsidRDefault="00380AFA">
      <w:pPr>
        <w:spacing w:after="160" w:line="276" w:lineRule="auto"/>
        <w:ind w:left="851" w:right="851"/>
        <w:jc w:val="both"/>
      </w:pPr>
      <w:r>
        <w:rPr>
          <w:rFonts w:ascii="Palatino Linotype" w:eastAsia="Palatino Linotype" w:hAnsi="Palatino Linotype" w:cs="Palatino Linotype"/>
          <w:b/>
          <w:i/>
          <w:color w:val="000000"/>
          <w:sz w:val="22"/>
          <w:szCs w:val="22"/>
          <w:u w:val="single"/>
        </w:rPr>
        <w:t>“Artículo 7. El Estado de México garantizará el efectivo acceso de toda persona a la información en posesión de cualquier entidad,</w:t>
      </w:r>
      <w:r>
        <w:rPr>
          <w:rFonts w:ascii="Palatino Linotype" w:eastAsia="Palatino Linotype" w:hAnsi="Palatino Linotype" w:cs="Palatino Linotype"/>
          <w:i/>
          <w:color w:val="000000"/>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color w:val="000000"/>
          <w:sz w:val="22"/>
          <w:szCs w:val="22"/>
          <w:u w:val="single"/>
        </w:rPr>
        <w:t>que reciba y ejerza recursos públicos</w:t>
      </w:r>
      <w:r>
        <w:rPr>
          <w:rFonts w:ascii="Palatino Linotype" w:eastAsia="Palatino Linotype" w:hAnsi="Palatino Linotype" w:cs="Palatino Linotype"/>
          <w:i/>
          <w:color w:val="000000"/>
          <w:sz w:val="22"/>
          <w:szCs w:val="22"/>
        </w:rPr>
        <w:t xml:space="preserve"> o realice actos de autoridad </w:t>
      </w:r>
      <w:r>
        <w:rPr>
          <w:rFonts w:ascii="Palatino Linotype" w:eastAsia="Palatino Linotype" w:hAnsi="Palatino Linotype" w:cs="Palatino Linotype"/>
          <w:b/>
          <w:i/>
          <w:color w:val="000000"/>
          <w:sz w:val="22"/>
          <w:szCs w:val="22"/>
          <w:u w:val="single"/>
        </w:rPr>
        <w:t>en el ámbito de competencia del Estado de México y sus municipios</w:t>
      </w:r>
      <w:r>
        <w:rPr>
          <w:rFonts w:ascii="Palatino Linotype" w:eastAsia="Palatino Linotype" w:hAnsi="Palatino Linotype" w:cs="Palatino Linotype"/>
          <w:i/>
          <w:color w:val="000000"/>
          <w:sz w:val="22"/>
          <w:szCs w:val="22"/>
          <w:u w:val="single"/>
        </w:rPr>
        <w:t>.</w:t>
      </w:r>
    </w:p>
    <w:p w14:paraId="2F8F7245" w14:textId="77777777" w:rsidR="008C61AB" w:rsidRDefault="00380AFA">
      <w:pPr>
        <w:spacing w:after="160" w:line="276" w:lineRule="auto"/>
        <w:ind w:left="851" w:right="851"/>
        <w:jc w:val="both"/>
      </w:pPr>
      <w:r>
        <w:rPr>
          <w:rFonts w:ascii="Palatino Linotype" w:eastAsia="Palatino Linotype" w:hAnsi="Palatino Linotype" w:cs="Palatino Linotype"/>
          <w:i/>
          <w:color w:val="000000"/>
          <w:sz w:val="22"/>
          <w:szCs w:val="22"/>
        </w:rPr>
        <w:t>Artículo 23. Son sujetos obligados a transparentar y permitir el acceso a su información y proteger los datos personales que obren en su poder:</w:t>
      </w:r>
    </w:p>
    <w:p w14:paraId="2D1F8C98" w14:textId="77777777" w:rsidR="008C61AB" w:rsidRDefault="00380AFA">
      <w:pPr>
        <w:spacing w:after="160" w:line="276" w:lineRule="auto"/>
        <w:ind w:left="851" w:right="851"/>
        <w:jc w:val="both"/>
      </w:pPr>
      <w:r>
        <w:rPr>
          <w:rFonts w:ascii="Palatino Linotype" w:eastAsia="Palatino Linotype" w:hAnsi="Palatino Linotype" w:cs="Palatino Linotype"/>
          <w:i/>
          <w:color w:val="000000"/>
          <w:sz w:val="22"/>
          <w:szCs w:val="22"/>
        </w:rPr>
        <w:t>(…)</w:t>
      </w:r>
    </w:p>
    <w:p w14:paraId="2E6180A8" w14:textId="77777777" w:rsidR="008C61AB" w:rsidRDefault="00380AFA">
      <w:pPr>
        <w:spacing w:after="160" w:line="276" w:lineRule="auto"/>
        <w:ind w:left="851" w:right="851"/>
        <w:jc w:val="both"/>
      </w:pPr>
      <w:r>
        <w:rPr>
          <w:rFonts w:ascii="Palatino Linotype" w:eastAsia="Palatino Linotype" w:hAnsi="Palatino Linotype" w:cs="Palatino Linotype"/>
          <w:b/>
          <w:i/>
          <w:color w:val="000000"/>
          <w:sz w:val="22"/>
          <w:szCs w:val="22"/>
          <w:u w:val="single"/>
        </w:rPr>
        <w:t>IV. Los ayuntamientos y las dependencias, organismos, órganos y entidades de la administración municipal;</w:t>
      </w:r>
    </w:p>
    <w:p w14:paraId="6D9173E9" w14:textId="77777777" w:rsidR="008C61AB" w:rsidRDefault="00380AFA">
      <w:pPr>
        <w:spacing w:after="160" w:line="276" w:lineRule="auto"/>
        <w:ind w:left="851" w:right="851"/>
        <w:jc w:val="both"/>
      </w:pPr>
      <w:r>
        <w:rPr>
          <w:rFonts w:ascii="Palatino Linotype" w:eastAsia="Palatino Linotype" w:hAnsi="Palatino Linotype" w:cs="Palatino Linotype"/>
          <w:i/>
          <w:color w:val="000000"/>
          <w:sz w:val="22"/>
          <w:szCs w:val="22"/>
        </w:rPr>
        <w:t>(…)</w:t>
      </w:r>
    </w:p>
    <w:p w14:paraId="0018AB68" w14:textId="77777777" w:rsidR="008C61AB" w:rsidRDefault="00380AFA">
      <w:pPr>
        <w:spacing w:after="160" w:line="276" w:lineRule="auto"/>
        <w:ind w:left="851" w:right="851"/>
        <w:jc w:val="both"/>
      </w:pPr>
      <w:r>
        <w:rPr>
          <w:rFonts w:ascii="Palatino Linotype" w:eastAsia="Palatino Linotype" w:hAnsi="Palatino Linotype" w:cs="Palatino Linotype"/>
          <w:b/>
          <w:i/>
          <w:color w:val="000000"/>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D746EB3" w14:textId="77777777" w:rsidR="008C61AB" w:rsidRDefault="00380AFA">
      <w:pPr>
        <w:spacing w:after="160" w:line="276" w:lineRule="auto"/>
        <w:ind w:left="851" w:right="851"/>
        <w:jc w:val="both"/>
      </w:pPr>
      <w:r>
        <w:rPr>
          <w:rFonts w:ascii="Palatino Linotype" w:eastAsia="Palatino Linotype" w:hAnsi="Palatino Linotype" w:cs="Palatino Linotype"/>
          <w:i/>
          <w:color w:val="000000"/>
          <w:sz w:val="22"/>
          <w:szCs w:val="22"/>
        </w:rPr>
        <w:lastRenderedPageBreak/>
        <w:t>Los servidores públicos deberán transparentar sus acciones así como garantizar y respetar el derecho de acceso a la información pública.”</w:t>
      </w:r>
      <w:r>
        <w:rPr>
          <w:rFonts w:ascii="Palatino Linotype" w:eastAsia="Palatino Linotype" w:hAnsi="Palatino Linotype" w:cs="Palatino Linotype"/>
          <w:b/>
          <w:i/>
          <w:color w:val="000000"/>
          <w:sz w:val="22"/>
          <w:szCs w:val="22"/>
        </w:rPr>
        <w:t xml:space="preserve"> </w:t>
      </w:r>
    </w:p>
    <w:p w14:paraId="06C7B288" w14:textId="77777777" w:rsidR="008C61AB" w:rsidRDefault="008C61AB"/>
    <w:p w14:paraId="3618C2EE" w14:textId="77777777" w:rsidR="008C61AB" w:rsidRDefault="00380AFA">
      <w:pPr>
        <w:spacing w:after="160" w:line="360" w:lineRule="auto"/>
        <w:jc w:val="both"/>
      </w:pPr>
      <w:r>
        <w:rPr>
          <w:rFonts w:ascii="Palatino Linotype" w:eastAsia="Palatino Linotype" w:hAnsi="Palatino Linotype" w:cs="Palatino Linotype"/>
          <w:color w:val="000000"/>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color w:val="000000"/>
        </w:rPr>
        <w:t>01/2003</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rPr>
        <w:t>02/2003</w:t>
      </w:r>
      <w:r>
        <w:rPr>
          <w:rFonts w:ascii="Palatino Linotype" w:eastAsia="Palatino Linotype" w:hAnsi="Palatino Linotype" w:cs="Palatino Linotype"/>
          <w:color w:val="000000"/>
        </w:rPr>
        <w:t xml:space="preserve"> emitidos por el Comité de Acceso a la Información Pública y Protección de Datos Personales de la Suprema Corte de Justicia de la Nación que a continuación se citan: </w:t>
      </w:r>
    </w:p>
    <w:p w14:paraId="6EFAEECA" w14:textId="77777777" w:rsidR="008C61AB" w:rsidRDefault="00380AFA">
      <w:pPr>
        <w:spacing w:after="160" w:line="276" w:lineRule="auto"/>
        <w:ind w:left="851" w:right="851"/>
      </w:pPr>
      <w:r>
        <w:rPr>
          <w:rFonts w:ascii="Palatino Linotype" w:eastAsia="Palatino Linotype" w:hAnsi="Palatino Linotype" w:cs="Palatino Linotype"/>
          <w:b/>
          <w:i/>
          <w:color w:val="000000"/>
          <w:sz w:val="22"/>
          <w:szCs w:val="22"/>
        </w:rPr>
        <w:t>“Criterio 01/2003.</w:t>
      </w:r>
    </w:p>
    <w:p w14:paraId="2BA79C6B" w14:textId="77777777" w:rsidR="008C61AB" w:rsidRDefault="00380AFA">
      <w:pPr>
        <w:spacing w:after="160" w:line="276" w:lineRule="auto"/>
        <w:ind w:left="851" w:right="851"/>
        <w:jc w:val="both"/>
      </w:pPr>
      <w:r>
        <w:rPr>
          <w:rFonts w:ascii="Palatino Linotype" w:eastAsia="Palatino Linotype" w:hAnsi="Palatino Linotype" w:cs="Palatino Linotype"/>
          <w:b/>
          <w:i/>
          <w:color w:val="000000"/>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color w:val="000000"/>
          <w:sz w:val="22"/>
          <w:szCs w:val="22"/>
        </w:rPr>
        <w:t> </w:t>
      </w:r>
    </w:p>
    <w:p w14:paraId="5828710A" w14:textId="77777777" w:rsidR="008C61AB" w:rsidRDefault="00380AFA">
      <w:pPr>
        <w:spacing w:after="160" w:line="276" w:lineRule="auto"/>
        <w:ind w:left="851" w:right="851"/>
        <w:jc w:val="both"/>
      </w:pPr>
      <w:r>
        <w:rPr>
          <w:rFonts w:ascii="Palatino Linotype" w:eastAsia="Palatino Linotype" w:hAnsi="Palatino Linotype" w:cs="Palatino Linotype"/>
          <w:i/>
          <w:color w:val="000000"/>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color w:val="000000"/>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color w:val="000000"/>
          <w:sz w:val="22"/>
          <w:szCs w:val="22"/>
          <w:u w:val="single"/>
        </w:rPr>
        <w:t>…”</w:t>
      </w:r>
    </w:p>
    <w:p w14:paraId="22856101" w14:textId="77777777" w:rsidR="008C61AB" w:rsidRDefault="008C61AB">
      <w:pPr>
        <w:spacing w:line="276" w:lineRule="auto"/>
      </w:pPr>
    </w:p>
    <w:p w14:paraId="71E72B11" w14:textId="77777777" w:rsidR="008C61AB" w:rsidRDefault="00380AFA">
      <w:pPr>
        <w:spacing w:after="160" w:line="276" w:lineRule="auto"/>
        <w:ind w:left="851" w:right="851"/>
      </w:pPr>
      <w:r>
        <w:rPr>
          <w:rFonts w:ascii="Palatino Linotype" w:eastAsia="Palatino Linotype" w:hAnsi="Palatino Linotype" w:cs="Palatino Linotype"/>
          <w:b/>
          <w:i/>
          <w:color w:val="000000"/>
          <w:sz w:val="22"/>
          <w:szCs w:val="22"/>
        </w:rPr>
        <w:t>“Criterio 02/2003.</w:t>
      </w:r>
    </w:p>
    <w:p w14:paraId="4C6C24DC" w14:textId="77777777" w:rsidR="008C61AB" w:rsidRDefault="00380AFA">
      <w:pPr>
        <w:spacing w:after="160" w:line="276" w:lineRule="auto"/>
        <w:ind w:left="851" w:right="851"/>
        <w:jc w:val="both"/>
      </w:pPr>
      <w:r>
        <w:rPr>
          <w:rFonts w:ascii="Palatino Linotype" w:eastAsia="Palatino Linotype" w:hAnsi="Palatino Linotype" w:cs="Palatino Linotype"/>
          <w:b/>
          <w:i/>
          <w:color w:val="000000"/>
          <w:sz w:val="22"/>
          <w:szCs w:val="22"/>
        </w:rPr>
        <w:lastRenderedPageBreak/>
        <w:t>INGRESOS DE LOS SERVIDORES PÚBLICOS, SON INFORMACIÓN PÚBLICA AÚN Y CUANDO CONSTITUYEN DATOS PERSONALES QUE SE REFIEREN AL PATRIMONIO DE AQUÉLLOS.</w:t>
      </w:r>
      <w:r>
        <w:rPr>
          <w:rFonts w:ascii="Palatino Linotype" w:eastAsia="Palatino Linotype" w:hAnsi="Palatino Linotype" w:cs="Palatino Linotype"/>
          <w:i/>
          <w:color w:val="000000"/>
          <w:sz w:val="22"/>
          <w:szCs w:val="22"/>
        </w:rPr>
        <w:t> </w:t>
      </w:r>
    </w:p>
    <w:p w14:paraId="6BCEE529" w14:textId="77777777" w:rsidR="008C61AB" w:rsidRDefault="00380AFA">
      <w:pPr>
        <w:spacing w:line="276" w:lineRule="auto"/>
        <w:ind w:left="851" w:right="851"/>
        <w:jc w:val="both"/>
      </w:pPr>
      <w:r>
        <w:rPr>
          <w:rFonts w:ascii="Palatino Linotype" w:eastAsia="Palatino Linotype" w:hAnsi="Palatino Linotype" w:cs="Palatino Linotype"/>
          <w:i/>
          <w:color w:val="000000"/>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color w:val="000000"/>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color w:val="000000"/>
          <w:sz w:val="22"/>
          <w:szCs w:val="22"/>
        </w:rPr>
        <w:t xml:space="preserve"> el sistema de compensación…”</w:t>
      </w:r>
    </w:p>
    <w:p w14:paraId="7B3A3C8B" w14:textId="77777777" w:rsidR="008C61AB" w:rsidRDefault="008C61AB"/>
    <w:p w14:paraId="04319B02" w14:textId="77777777" w:rsidR="008C61AB" w:rsidRDefault="00380AFA">
      <w:pPr>
        <w:spacing w:line="360" w:lineRule="auto"/>
        <w:jc w:val="both"/>
      </w:pPr>
      <w:r>
        <w:rPr>
          <w:rFonts w:ascii="Palatino Linotype" w:eastAsia="Palatino Linotype" w:hAnsi="Palatino Linotype" w:cs="Palatino Linotype"/>
          <w:color w:val="000000"/>
        </w:rPr>
        <w:t>Ahora bien, el artículo 70 de la Ley General de Transparencia y Acceso a la Información Pública dispone lo siguiente: </w:t>
      </w:r>
    </w:p>
    <w:p w14:paraId="7E144E99" w14:textId="77777777" w:rsidR="008C61AB" w:rsidRDefault="008C61AB"/>
    <w:p w14:paraId="6C185098" w14:textId="77777777" w:rsidR="008C61AB" w:rsidRDefault="00380AFA">
      <w:pPr>
        <w:spacing w:line="276" w:lineRule="auto"/>
        <w:ind w:left="851" w:right="900"/>
        <w:jc w:val="both"/>
      </w:pPr>
      <w:r>
        <w:rPr>
          <w:rFonts w:ascii="Palatino Linotype" w:eastAsia="Palatino Linotype" w:hAnsi="Palatino Linotype" w:cs="Palatino Linotype"/>
          <w:i/>
          <w:color w:val="000000"/>
          <w:sz w:val="22"/>
          <w:szCs w:val="22"/>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7BD8D1B9" w14:textId="77777777" w:rsidR="008C61AB" w:rsidRDefault="00380AFA">
      <w:pPr>
        <w:spacing w:line="276" w:lineRule="auto"/>
        <w:ind w:left="851" w:right="900"/>
        <w:jc w:val="both"/>
      </w:pPr>
      <w:r>
        <w:rPr>
          <w:rFonts w:ascii="Palatino Linotype" w:eastAsia="Palatino Linotype" w:hAnsi="Palatino Linotype" w:cs="Palatino Linotype"/>
          <w:i/>
          <w:color w:val="000000"/>
          <w:sz w:val="22"/>
          <w:szCs w:val="22"/>
        </w:rPr>
        <w:t>… </w:t>
      </w:r>
    </w:p>
    <w:p w14:paraId="47F2A5CF" w14:textId="77777777" w:rsidR="008C61AB" w:rsidRDefault="00380AFA">
      <w:pPr>
        <w:spacing w:line="276" w:lineRule="auto"/>
        <w:ind w:left="851" w:right="900"/>
        <w:jc w:val="both"/>
      </w:pPr>
      <w:r>
        <w:rPr>
          <w:rFonts w:ascii="Palatino Linotype" w:eastAsia="Palatino Linotype" w:hAnsi="Palatino Linotype" w:cs="Palatino Linotype"/>
          <w:i/>
          <w:color w:val="000000"/>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42CFDCED" w14:textId="77777777" w:rsidR="008C61AB" w:rsidRDefault="008C61AB"/>
    <w:p w14:paraId="3B5B4B10" w14:textId="77777777" w:rsidR="008C61AB" w:rsidRDefault="00380AFA">
      <w:pPr>
        <w:spacing w:line="360" w:lineRule="auto"/>
        <w:ind w:right="49"/>
        <w:jc w:val="both"/>
      </w:pPr>
      <w:r>
        <w:rPr>
          <w:rFonts w:ascii="Palatino Linotype" w:eastAsia="Palatino Linotype" w:hAnsi="Palatino Linotype" w:cs="Palatino Linotype"/>
          <w:color w:val="000000"/>
        </w:rPr>
        <w:t>Robustece lo anterior, el artículo 92, fracción VIII de la Ley de Transparencia y Acceso a la Información Pública del Estado de México y Municipios, señala: </w:t>
      </w:r>
    </w:p>
    <w:p w14:paraId="385B6BEC" w14:textId="77777777" w:rsidR="008C61AB" w:rsidRDefault="008C61AB"/>
    <w:p w14:paraId="2647FEAC" w14:textId="77777777" w:rsidR="008C61AB" w:rsidRDefault="00380AFA">
      <w:pPr>
        <w:spacing w:line="276" w:lineRule="auto"/>
        <w:ind w:left="851" w:right="900"/>
        <w:jc w:val="both"/>
      </w:pPr>
      <w:r>
        <w:rPr>
          <w:rFonts w:ascii="Palatino Linotype" w:eastAsia="Palatino Linotype" w:hAnsi="Palatino Linotype" w:cs="Palatino Linotype"/>
          <w:i/>
          <w:color w:val="000000"/>
          <w:sz w:val="22"/>
          <w:szCs w:val="22"/>
        </w:rPr>
        <w:t xml:space="preserve">“Artículo 92. Los sujetos obligados deberán poner a disposición del público de manera permanente y actualizada de forma sencilla, precisa y entendible, en los </w:t>
      </w:r>
      <w:r>
        <w:rPr>
          <w:rFonts w:ascii="Palatino Linotype" w:eastAsia="Palatino Linotype" w:hAnsi="Palatino Linotype" w:cs="Palatino Linotype"/>
          <w:i/>
          <w:color w:val="000000"/>
          <w:sz w:val="22"/>
          <w:szCs w:val="22"/>
        </w:rPr>
        <w:lastRenderedPageBreak/>
        <w:t>respectivos medios electrónicos, de acuerdo con sus facultades, atribuciones, funciones u objeto social, según corresponda, la información, por lo menos, de los temas, documentos y políticas que a continuación se señalan: </w:t>
      </w:r>
    </w:p>
    <w:p w14:paraId="3301E055" w14:textId="77777777" w:rsidR="008C61AB" w:rsidRDefault="00380AFA">
      <w:pPr>
        <w:spacing w:line="276" w:lineRule="auto"/>
        <w:ind w:left="851" w:right="900"/>
        <w:jc w:val="both"/>
      </w:pPr>
      <w:r>
        <w:rPr>
          <w:rFonts w:ascii="Palatino Linotype" w:eastAsia="Palatino Linotype" w:hAnsi="Palatino Linotype" w:cs="Palatino Linotype"/>
          <w:i/>
          <w:color w:val="000000"/>
          <w:sz w:val="22"/>
          <w:szCs w:val="22"/>
        </w:rPr>
        <w:t>(…)</w:t>
      </w:r>
    </w:p>
    <w:p w14:paraId="6A07DA2B" w14:textId="77777777" w:rsidR="008C61AB" w:rsidRDefault="00380AFA">
      <w:pPr>
        <w:spacing w:line="276" w:lineRule="auto"/>
        <w:ind w:left="851" w:right="900"/>
        <w:jc w:val="both"/>
      </w:pPr>
      <w:r>
        <w:rPr>
          <w:rFonts w:ascii="Palatino Linotype" w:eastAsia="Palatino Linotype" w:hAnsi="Palatino Linotype" w:cs="Palatino Linotype"/>
          <w:i/>
          <w:color w:val="000000"/>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A4993CA" w14:textId="77777777" w:rsidR="008C61AB" w:rsidRDefault="008C61AB"/>
    <w:p w14:paraId="03B78301" w14:textId="77777777" w:rsidR="008C61AB" w:rsidRDefault="00380AFA">
      <w:pPr>
        <w:spacing w:line="360" w:lineRule="auto"/>
        <w:jc w:val="both"/>
        <w:rPr>
          <w:rFonts w:ascii="Palatino Linotype" w:eastAsia="Palatino Linotype" w:hAnsi="Palatino Linotype" w:cs="Palatino Linotype"/>
        </w:rPr>
      </w:pPr>
      <w:r w:rsidRPr="00285FF9">
        <w:rPr>
          <w:rFonts w:ascii="Palatino Linotype" w:eastAsia="Palatino Linotype" w:hAnsi="Palatino Linotype" w:cs="Palatino Linotype"/>
        </w:rPr>
        <w:t>Ahora bien, respecto al personal eventual, este pudiera obrar en la lista de raya</w:t>
      </w:r>
      <w:r w:rsidR="006B5C56" w:rsidRPr="00285FF9">
        <w:rPr>
          <w:rFonts w:ascii="Palatino Linotype" w:eastAsia="Palatino Linotype" w:hAnsi="Palatino Linotype" w:cs="Palatino Linotype"/>
        </w:rPr>
        <w:t xml:space="preserve">; ello en virtud de que como lo contempla </w:t>
      </w:r>
      <w:r w:rsidRPr="00285FF9">
        <w:rPr>
          <w:rFonts w:ascii="Palatino Linotype" w:eastAsia="Palatino Linotype" w:hAnsi="Palatino Linotype" w:cs="Palatino Linotype"/>
        </w:rPr>
        <w:t xml:space="preserve">el Glosario de Términos Administrativos, de la Coordinación General de Estudios Administrativos del Instituto Nacional </w:t>
      </w:r>
      <w:r w:rsidR="006B5C56" w:rsidRPr="00285FF9">
        <w:rPr>
          <w:rFonts w:ascii="Palatino Linotype" w:eastAsia="Palatino Linotype" w:hAnsi="Palatino Linotype" w:cs="Palatino Linotype"/>
        </w:rPr>
        <w:t xml:space="preserve">de Administración Pública, A. C, el concepto de personal de </w:t>
      </w:r>
      <w:r w:rsidRPr="00285FF9">
        <w:rPr>
          <w:rFonts w:ascii="Palatino Linotype" w:eastAsia="Palatino Linotype" w:hAnsi="Palatino Linotype" w:cs="Palatino Linotype"/>
        </w:rPr>
        <w:t xml:space="preserve">“lista de raya”, </w:t>
      </w:r>
      <w:r w:rsidR="006B5C56" w:rsidRPr="00285FF9">
        <w:rPr>
          <w:rFonts w:ascii="Palatino Linotype" w:eastAsia="Palatino Linotype" w:hAnsi="Palatino Linotype" w:cs="Palatino Linotype"/>
        </w:rPr>
        <w:t>resulta aplicable para trabajadores temporales,</w:t>
      </w:r>
      <w:r w:rsidR="006B5C56">
        <w:rPr>
          <w:rFonts w:ascii="Palatino Linotype" w:eastAsia="Palatino Linotype" w:hAnsi="Palatino Linotype" w:cs="Palatino Linotype"/>
        </w:rPr>
        <w:t xml:space="preserve"> tal como </w:t>
      </w:r>
      <w:r>
        <w:rPr>
          <w:rFonts w:ascii="Palatino Linotype" w:eastAsia="Palatino Linotype" w:hAnsi="Palatino Linotype" w:cs="Palatino Linotype"/>
        </w:rPr>
        <w:t xml:space="preserve">se infiere el término que </w:t>
      </w:r>
      <w:r w:rsidR="006B5C56">
        <w:rPr>
          <w:rFonts w:ascii="Palatino Linotype" w:eastAsia="Palatino Linotype" w:hAnsi="Palatino Linotype" w:cs="Palatino Linotype"/>
        </w:rPr>
        <w:t>se cita a continuación:</w:t>
      </w:r>
    </w:p>
    <w:p w14:paraId="32296FF1" w14:textId="77777777" w:rsidR="008C61AB" w:rsidRDefault="008C61AB">
      <w:pPr>
        <w:spacing w:line="360" w:lineRule="auto"/>
        <w:jc w:val="both"/>
        <w:rPr>
          <w:rFonts w:ascii="Palatino Linotype" w:eastAsia="Palatino Linotype" w:hAnsi="Palatino Linotype" w:cs="Palatino Linotype"/>
        </w:rPr>
      </w:pPr>
    </w:p>
    <w:p w14:paraId="7AB83B53" w14:textId="77777777" w:rsidR="008C61AB" w:rsidRDefault="00380AFA">
      <w:pPr>
        <w:spacing w:line="276" w:lineRule="auto"/>
        <w:ind w:left="566" w:right="91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“PERSONAL A LISTA DE RAYA. Lo integran los trabajadores temporales cuya relación laboral se formaliza por su inclusión en nómina o documentos denominados "Lista de Raya" y que, por lo tanto, carecen de nombramiento.” </w:t>
      </w:r>
      <w:r w:rsidRPr="006B5C56">
        <w:rPr>
          <w:rFonts w:ascii="Palatino Linotype" w:eastAsia="Palatino Linotype" w:hAnsi="Palatino Linotype" w:cs="Palatino Linotype"/>
          <w:i/>
          <w:sz w:val="22"/>
          <w:szCs w:val="22"/>
        </w:rPr>
        <w:t xml:space="preserve">(Énfasis añadido) </w:t>
      </w:r>
    </w:p>
    <w:p w14:paraId="08C8EA00" w14:textId="77777777" w:rsidR="008C61AB" w:rsidRDefault="008C61AB">
      <w:pPr>
        <w:spacing w:line="360" w:lineRule="auto"/>
        <w:jc w:val="both"/>
        <w:rPr>
          <w:rFonts w:ascii="Palatino Linotype" w:eastAsia="Palatino Linotype" w:hAnsi="Palatino Linotype" w:cs="Palatino Linotype"/>
        </w:rPr>
      </w:pPr>
    </w:p>
    <w:p w14:paraId="1EC5A572" w14:textId="77777777"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como se apuntó, si bien nuestra legislación no establece la definición de “lista de raya” o “nómina de personal”, estos términos son mencionados en diferentes ordenamientos legales; por ejemplo, en el artículo 804 en su fracción II de la Ley Federal de Trabajo señala: </w:t>
      </w:r>
    </w:p>
    <w:p w14:paraId="1F68B6AC" w14:textId="77777777" w:rsidR="008C61AB" w:rsidRDefault="008C61AB">
      <w:pPr>
        <w:spacing w:line="360" w:lineRule="auto"/>
        <w:jc w:val="both"/>
        <w:rPr>
          <w:rFonts w:ascii="Palatino Linotype" w:eastAsia="Palatino Linotype" w:hAnsi="Palatino Linotype" w:cs="Palatino Linotype"/>
        </w:rPr>
      </w:pPr>
    </w:p>
    <w:p w14:paraId="0F349710" w14:textId="77777777" w:rsidR="008C61AB" w:rsidRDefault="00380AFA">
      <w:pPr>
        <w:spacing w:line="276" w:lineRule="auto"/>
        <w:ind w:left="566" w:right="91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804.- El patrón tiene obligación de conservar y exhibir en juicio los documentos que a continuación se precisan: </w:t>
      </w:r>
    </w:p>
    <w:p w14:paraId="6F940B97" w14:textId="77777777" w:rsidR="008C61AB" w:rsidRDefault="00380AFA">
      <w:pPr>
        <w:spacing w:line="276" w:lineRule="auto"/>
        <w:ind w:left="566" w:right="91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1D8D8456" w14:textId="77777777" w:rsidR="008C61AB" w:rsidRDefault="00380AFA">
      <w:pPr>
        <w:spacing w:line="276" w:lineRule="auto"/>
        <w:ind w:left="566" w:right="91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lastRenderedPageBreak/>
        <w:t>II. Listas de raya</w:t>
      </w:r>
      <w:r>
        <w:rPr>
          <w:rFonts w:ascii="Palatino Linotype" w:eastAsia="Palatino Linotype" w:hAnsi="Palatino Linotype" w:cs="Palatino Linotype"/>
          <w:i/>
          <w:sz w:val="22"/>
          <w:szCs w:val="22"/>
        </w:rPr>
        <w:t xml:space="preserve"> o nómina de personal, cuando se lleven en el centro de trabajo; o recibos de pagos de salarios; </w:t>
      </w:r>
    </w:p>
    <w:p w14:paraId="591AA10C" w14:textId="77777777" w:rsidR="008C61AB" w:rsidRDefault="00380AFA">
      <w:pPr>
        <w:spacing w:line="276" w:lineRule="auto"/>
        <w:ind w:left="566" w:right="91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6DA11FF9" w14:textId="77777777" w:rsidR="008C61AB" w:rsidRDefault="00380AFA">
      <w:pPr>
        <w:spacing w:line="276" w:lineRule="auto"/>
        <w:ind w:left="566" w:right="91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(Énfasis añadido)</w:t>
      </w:r>
    </w:p>
    <w:p w14:paraId="595492C2" w14:textId="77777777" w:rsidR="008C61AB" w:rsidRDefault="008C61AB">
      <w:pPr>
        <w:spacing w:line="360" w:lineRule="auto"/>
        <w:jc w:val="both"/>
        <w:rPr>
          <w:rFonts w:ascii="Palatino Linotype" w:eastAsia="Palatino Linotype" w:hAnsi="Palatino Linotype" w:cs="Palatino Linotype"/>
        </w:rPr>
      </w:pPr>
    </w:p>
    <w:p w14:paraId="1C8F0DB2" w14:textId="77777777"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establecido en dicho precepto legal, se advierte que la lista de raya consiste en registros conformados por el conjunto de trabajadores a los cuales se les va a remunerar por los servicios que éstos le prestan al patrón, en el cual se asientan las percepciones brutas, deducciones y el neto a recibir de dichos trabajadores, con la única especificación de que la lista de raya refiere únicamente a los trabajadores temporales.</w:t>
      </w:r>
    </w:p>
    <w:p w14:paraId="370D2AC0" w14:textId="77777777" w:rsidR="008C61AB" w:rsidRDefault="008C61AB">
      <w:pPr>
        <w:spacing w:line="360" w:lineRule="auto"/>
        <w:jc w:val="both"/>
        <w:rPr>
          <w:rFonts w:ascii="Palatino Linotype" w:eastAsia="Palatino Linotype" w:hAnsi="Palatino Linotype" w:cs="Palatino Linotype"/>
        </w:rPr>
      </w:pPr>
    </w:p>
    <w:p w14:paraId="0F2DCD5D" w14:textId="77777777"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relación a ello, el artículo 50 de la Ley del Trabajo de los Servidores Públicos del Estado y Municipios, señala: </w:t>
      </w:r>
    </w:p>
    <w:p w14:paraId="6B2C1271" w14:textId="77777777" w:rsidR="008C61AB" w:rsidRDefault="008C61AB">
      <w:pPr>
        <w:spacing w:line="360" w:lineRule="auto"/>
        <w:jc w:val="both"/>
        <w:rPr>
          <w:rFonts w:ascii="Palatino Linotype" w:eastAsia="Palatino Linotype" w:hAnsi="Palatino Linotype" w:cs="Palatino Linotype"/>
        </w:rPr>
      </w:pPr>
    </w:p>
    <w:p w14:paraId="14CC78F5" w14:textId="77777777" w:rsidR="008C61AB" w:rsidRDefault="00380AFA">
      <w:pPr>
        <w:spacing w:line="276" w:lineRule="auto"/>
        <w:ind w:left="566" w:right="91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50.- El nombramiento, contrato o formato único de Movimientos de Personal aceptado obliga al servidor público a cumplir con los deberes inherentes al puesto especificado en el mismo y a las consecuencias que sean conforme a la ley, al uso y a la buena fe. </w:t>
      </w:r>
    </w:p>
    <w:p w14:paraId="034904E2" w14:textId="77777777" w:rsidR="008C61AB" w:rsidRDefault="00380AFA">
      <w:pPr>
        <w:spacing w:line="276" w:lineRule="auto"/>
        <w:ind w:left="566" w:right="91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w:t>
      </w:r>
      <w:r>
        <w:rPr>
          <w:rFonts w:ascii="Palatino Linotype" w:eastAsia="Palatino Linotype" w:hAnsi="Palatino Linotype" w:cs="Palatino Linotype"/>
          <w:b/>
          <w:i/>
          <w:sz w:val="22"/>
          <w:szCs w:val="22"/>
          <w:u w:val="single"/>
        </w:rPr>
        <w:t>guales consecuencias se generarán para todos los servidores públicos, cuando la relación de trabajo se formalice mediante un contrato o por encontrarse en lista de raya</w:t>
      </w:r>
      <w:r>
        <w:rPr>
          <w:rFonts w:ascii="Palatino Linotype" w:eastAsia="Palatino Linotype" w:hAnsi="Palatino Linotype" w:cs="Palatino Linotype"/>
          <w:i/>
          <w:sz w:val="22"/>
          <w:szCs w:val="22"/>
        </w:rPr>
        <w:t xml:space="preserve">.” </w:t>
      </w:r>
    </w:p>
    <w:p w14:paraId="234CF638" w14:textId="77777777" w:rsidR="008C61AB" w:rsidRDefault="00380AFA">
      <w:pPr>
        <w:spacing w:line="276" w:lineRule="auto"/>
        <w:ind w:left="566" w:right="91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(Énfasis añadido) </w:t>
      </w:r>
    </w:p>
    <w:p w14:paraId="5A8E8AF3" w14:textId="77777777" w:rsidR="008C61AB" w:rsidRDefault="008C61AB">
      <w:pPr>
        <w:spacing w:line="360" w:lineRule="auto"/>
        <w:jc w:val="both"/>
        <w:rPr>
          <w:rFonts w:ascii="Palatino Linotype" w:eastAsia="Palatino Linotype" w:hAnsi="Palatino Linotype" w:cs="Palatino Linotype"/>
        </w:rPr>
      </w:pPr>
    </w:p>
    <w:p w14:paraId="29757D7F" w14:textId="77777777"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anterior, se advierte que la relación de trabajo de un servidor público se formaliza mediante nombramiento, contrato, formato único de movimientos de personal y lo referente a la lista de raya es por cuanto a la forma de pago del personal por contrato. Una vez puntualizado lo anterior, se colige que la lista de raya contiene la información relativa a las remuneraciones de los servidores públicos temporales. </w:t>
      </w:r>
    </w:p>
    <w:p w14:paraId="1B5C3639" w14:textId="77777777" w:rsidR="00380AFA" w:rsidRDefault="00380AFA">
      <w:pPr>
        <w:spacing w:line="360" w:lineRule="auto"/>
        <w:jc w:val="both"/>
        <w:rPr>
          <w:rFonts w:ascii="Palatino Linotype" w:eastAsia="Palatino Linotype" w:hAnsi="Palatino Linotype" w:cs="Palatino Linotype"/>
        </w:rPr>
      </w:pPr>
    </w:p>
    <w:p w14:paraId="3B98EE51" w14:textId="0C0790AE" w:rsidR="00380AFA" w:rsidRDefault="00380AFA" w:rsidP="00380AFA">
      <w:pPr>
        <w:pStyle w:val="NormalWeb"/>
        <w:spacing w:before="0" w:beforeAutospacing="0" w:after="0" w:afterAutospacing="0" w:line="360" w:lineRule="auto"/>
        <w:ind w:right="-91"/>
        <w:jc w:val="both"/>
      </w:pPr>
      <w:r>
        <w:rPr>
          <w:rFonts w:ascii="Palatino Linotype" w:hAnsi="Palatino Linotype"/>
          <w:color w:val="000000"/>
        </w:rPr>
        <w:t xml:space="preserve">Sin embargo, </w:t>
      </w:r>
      <w:r w:rsidRPr="00285FF9">
        <w:rPr>
          <w:rFonts w:ascii="Palatino Linotype" w:hAnsi="Palatino Linotype"/>
          <w:color w:val="000000"/>
        </w:rPr>
        <w:t xml:space="preserve">toda vez que la normatividad aplicable al caso concreto no establece de manera precisa como una obligación el contar con personal eventual para la generación de listas de raya, </w:t>
      </w:r>
      <w:r w:rsidR="006B5C56" w:rsidRPr="00285FF9">
        <w:rPr>
          <w:rFonts w:ascii="Palatino Linotype" w:hAnsi="Palatino Linotype"/>
          <w:color w:val="000000"/>
        </w:rPr>
        <w:t xml:space="preserve">en </w:t>
      </w:r>
      <w:r w:rsidRPr="00285FF9">
        <w:rPr>
          <w:rFonts w:ascii="Palatino Linotype" w:hAnsi="Palatino Linotype"/>
          <w:color w:val="000000"/>
        </w:rPr>
        <w:t xml:space="preserve">el caso de que no se llegara a localizar información por </w:t>
      </w:r>
      <w:r w:rsidR="0049443F" w:rsidRPr="00285FF9">
        <w:rPr>
          <w:rFonts w:ascii="Palatino Linotype" w:hAnsi="Palatino Linotype"/>
          <w:color w:val="000000"/>
        </w:rPr>
        <w:t>no actualizarse el supuesto</w:t>
      </w:r>
      <w:r w:rsidRPr="00285FF9">
        <w:rPr>
          <w:rFonts w:ascii="Palatino Linotype" w:hAnsi="Palatino Linotype"/>
          <w:color w:val="000000"/>
        </w:rPr>
        <w:t>, bastará con que así se haga del conocimiento de la persona solicitante para</w:t>
      </w:r>
      <w:r>
        <w:rPr>
          <w:rFonts w:ascii="Palatino Linotype" w:hAnsi="Palatino Linotype"/>
          <w:color w:val="000000"/>
        </w:rPr>
        <w:t xml:space="preserve"> tener por colmado su derecho de acceso a la información, en términos de lo dispuesto por el artículo 19, párrafo segundo de la Ley de Transparencia y Acceso a la Información Pública del Estado de México y Municipios, a saber:</w:t>
      </w:r>
    </w:p>
    <w:p w14:paraId="74FB6972" w14:textId="77777777" w:rsidR="00380AFA" w:rsidRDefault="00380AFA" w:rsidP="00380AFA"/>
    <w:p w14:paraId="6C093A50" w14:textId="77777777" w:rsidR="00380AFA" w:rsidRDefault="00380AFA" w:rsidP="00380AFA">
      <w:pPr>
        <w:pStyle w:val="NormalWeb"/>
        <w:spacing w:before="0" w:beforeAutospacing="0" w:after="0" w:afterAutospacing="0"/>
        <w:ind w:left="851" w:right="616"/>
        <w:jc w:val="both"/>
      </w:pPr>
      <w:r>
        <w:rPr>
          <w:rFonts w:ascii="Palatino Linotype" w:hAnsi="Palatino Linotype"/>
          <w:i/>
          <w:iCs/>
          <w:color w:val="000000"/>
        </w:rPr>
        <w:t>“Artículo 19…</w:t>
      </w:r>
    </w:p>
    <w:p w14:paraId="390F11AA" w14:textId="77777777" w:rsidR="00380AFA" w:rsidRDefault="00380AFA" w:rsidP="00380AFA">
      <w:pPr>
        <w:pStyle w:val="NormalWeb"/>
        <w:spacing w:before="0" w:beforeAutospacing="0" w:after="0" w:afterAutospacing="0"/>
        <w:ind w:left="851" w:right="616"/>
        <w:jc w:val="both"/>
      </w:pPr>
      <w:r>
        <w:rPr>
          <w:rFonts w:ascii="Palatino Linotype" w:hAnsi="Palatino Linotype"/>
          <w:i/>
          <w:iCs/>
          <w:color w:val="000000"/>
        </w:rPr>
        <w:t>En los casos en que ciertas facultades, competencias o funciones no se hayan ejercido, se debe motivar la respuesta en función de las causas que motiven tal circunstancia.”</w:t>
      </w:r>
    </w:p>
    <w:p w14:paraId="12257151" w14:textId="77777777" w:rsidR="00380AFA" w:rsidRDefault="00380AFA" w:rsidP="00380AFA"/>
    <w:p w14:paraId="4178D9A3" w14:textId="77777777" w:rsidR="00380AFA" w:rsidRDefault="00380AFA" w:rsidP="00380AFA">
      <w:pPr>
        <w:pStyle w:val="NormalWeb"/>
        <w:spacing w:before="0" w:beforeAutospacing="0" w:after="0" w:afterAutospacing="0" w:line="360" w:lineRule="auto"/>
        <w:ind w:right="-91"/>
        <w:jc w:val="both"/>
      </w:pPr>
      <w:r>
        <w:rPr>
          <w:rFonts w:ascii="Palatino Linotype" w:hAnsi="Palatino Linotype"/>
          <w:color w:val="000000"/>
        </w:rPr>
        <w:t xml:space="preserve">Siendo improcedente, en tal supuesto, la entrega de documento alguno, o en su caso, el Acuerdo de Inexistencia, toda vez que el pronunciamiento del </w:t>
      </w:r>
      <w:r w:rsidRPr="00380AFA">
        <w:rPr>
          <w:rFonts w:ascii="Palatino Linotype" w:hAnsi="Palatino Linotype"/>
          <w:b/>
          <w:color w:val="000000"/>
        </w:rPr>
        <w:t xml:space="preserve">Sujeto Obligado </w:t>
      </w:r>
      <w:r>
        <w:rPr>
          <w:rFonts w:ascii="Palatino Linotype" w:hAnsi="Palatino Linotype"/>
          <w:color w:val="000000"/>
        </w:rPr>
        <w:t>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5442184E" w14:textId="77777777" w:rsidR="008C61AB" w:rsidRDefault="008C61AB">
      <w:pPr>
        <w:spacing w:line="360" w:lineRule="auto"/>
        <w:jc w:val="both"/>
        <w:rPr>
          <w:rFonts w:ascii="Palatino Linotype" w:eastAsia="Palatino Linotype" w:hAnsi="Palatino Linotype" w:cs="Palatino Linotype"/>
        </w:rPr>
      </w:pPr>
    </w:p>
    <w:p w14:paraId="06AB5D3A" w14:textId="77777777"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otro orden de ideas, sobre los honorarios, es de referir que de las reformas constitucionales en materia anticorrupción publicadas en el Diario Oficial de la Federación (DOF) el veintisiete de mayo de dos mil quince </w:t>
      </w:r>
      <w:r>
        <w:rPr>
          <w:rFonts w:ascii="Palatino Linotype" w:eastAsia="Palatino Linotype" w:hAnsi="Palatino Linotype" w:cs="Palatino Linotype"/>
          <w:sz w:val="22"/>
          <w:szCs w:val="22"/>
        </w:rPr>
        <w:t xml:space="preserve">(consultado en </w:t>
      </w:r>
      <w:hyperlink r:id="rId10">
        <w:r>
          <w:rPr>
            <w:rFonts w:ascii="Palatino Linotype" w:eastAsia="Palatino Linotype" w:hAnsi="Palatino Linotype" w:cs="Palatino Linotype"/>
            <w:color w:val="0563C1"/>
            <w:sz w:val="22"/>
            <w:szCs w:val="22"/>
            <w:u w:val="single"/>
          </w:rPr>
          <w:t>http://www.diputados.gob.mx/LeyesBiblio/proceso/docleg/62/223_DOF_27may15.pdf</w:t>
        </w:r>
      </w:hyperlink>
      <w:r>
        <w:rPr>
          <w:rFonts w:ascii="Palatino Linotype" w:eastAsia="Palatino Linotype" w:hAnsi="Palatino Linotype" w:cs="Palatino Linotype"/>
          <w:sz w:val="22"/>
          <w:szCs w:val="22"/>
        </w:rPr>
        <w:t>),</w:t>
      </w:r>
      <w:r>
        <w:rPr>
          <w:rFonts w:ascii="Palatino Linotype" w:eastAsia="Palatino Linotype" w:hAnsi="Palatino Linotype" w:cs="Palatino Linotype"/>
        </w:rPr>
        <w:t xml:space="preserve">  se establecieron las bases de coordinación entre la Federación, las entidades federativas, los municipios y las alcaldías de la Ciudad de México, para el funcionamiento del indicado Sistema, el cual tiene por objeto establecer principios, bases generales, políticas públicas y procedimientos de coordinación para que las instancias prevengan, investiguen y sancionen faltas administrativas y hechos de corrupción.</w:t>
      </w:r>
    </w:p>
    <w:p w14:paraId="77243B54" w14:textId="77777777" w:rsidR="008C61AB" w:rsidRDefault="008C61AB">
      <w:pPr>
        <w:spacing w:line="360" w:lineRule="auto"/>
        <w:jc w:val="both"/>
        <w:rPr>
          <w:rFonts w:ascii="Palatino Linotype" w:eastAsia="Palatino Linotype" w:hAnsi="Palatino Linotype" w:cs="Palatino Linotype"/>
        </w:rPr>
      </w:pPr>
    </w:p>
    <w:p w14:paraId="44050DBC" w14:textId="19462A05"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en el ámbito local, la Constitución Política del Estado Libre y Soberano de México, en su artículo 130 bis, determina la existencia del Sistema Estatal Anticorrupción, al que se define como la </w:t>
      </w:r>
      <w:r>
        <w:rPr>
          <w:rFonts w:ascii="Palatino Linotype" w:eastAsia="Palatino Linotype" w:hAnsi="Palatino Linotype" w:cs="Palatino Linotype"/>
          <w:i/>
        </w:rPr>
        <w:t>“instancia de coordinación entre las autoridades de los órdenes de gobierno competentes en la prevención, detección y sanción de responsabilidades administrativas, actos y hechos de corrupción, así como en la fiscalización y control de recursos públicos”</w:t>
      </w:r>
      <w:r>
        <w:rPr>
          <w:rFonts w:ascii="Palatino Linotype" w:eastAsia="Palatino Linotype" w:hAnsi="Palatino Linotype" w:cs="Palatino Linotype"/>
        </w:rPr>
        <w:t xml:space="preserve">, y se conformará como se señala a continuación: </w:t>
      </w:r>
    </w:p>
    <w:p w14:paraId="33C6CE3F" w14:textId="77777777" w:rsidR="0049443F" w:rsidRDefault="0049443F">
      <w:pPr>
        <w:spacing w:line="360" w:lineRule="auto"/>
        <w:jc w:val="both"/>
        <w:rPr>
          <w:rFonts w:ascii="Palatino Linotype" w:eastAsia="Palatino Linotype" w:hAnsi="Palatino Linotype" w:cs="Palatino Linotype"/>
        </w:rPr>
      </w:pPr>
    </w:p>
    <w:p w14:paraId="10ECC7D5" w14:textId="77777777" w:rsidR="008C61AB" w:rsidRDefault="00380AF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130 bis.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El Sistema Estatal Anticorrupción</w:t>
      </w:r>
      <w:r>
        <w:rPr>
          <w:rFonts w:ascii="Palatino Linotype" w:eastAsia="Palatino Linotype" w:hAnsi="Palatino Linotype" w:cs="Palatino Linotype"/>
          <w:i/>
          <w:sz w:val="22"/>
          <w:szCs w:val="22"/>
        </w:rPr>
        <w:t xml:space="preserve"> es la instancia de coordinación entre las autoridades de los órdenes de gobierno competentes en la prevención, detección y sanción de responsabilidades administrativas, actos y hechos de corrupción, así como en la fiscalización y control de recursos públicos. Para el cumplimiento de su objeto se sujetará a las siguientes bases mínimas y conforme a la ley respectiva: </w:t>
      </w:r>
    </w:p>
    <w:p w14:paraId="66BAE462" w14:textId="77777777" w:rsidR="008C61AB" w:rsidRDefault="008C61AB">
      <w:pPr>
        <w:spacing w:line="276" w:lineRule="auto"/>
        <w:ind w:left="567" w:right="567"/>
        <w:jc w:val="both"/>
        <w:rPr>
          <w:rFonts w:ascii="Palatino Linotype" w:eastAsia="Palatino Linotype" w:hAnsi="Palatino Linotype" w:cs="Palatino Linotype"/>
          <w:i/>
          <w:sz w:val="22"/>
          <w:szCs w:val="22"/>
        </w:rPr>
      </w:pPr>
    </w:p>
    <w:p w14:paraId="2AD871AC" w14:textId="77777777" w:rsidR="008C61AB" w:rsidRDefault="00380AF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El Sistema </w:t>
      </w:r>
      <w:r>
        <w:rPr>
          <w:rFonts w:ascii="Palatino Linotype" w:eastAsia="Palatino Linotype" w:hAnsi="Palatino Linotype" w:cs="Palatino Linotype"/>
          <w:b/>
          <w:i/>
          <w:sz w:val="22"/>
          <w:szCs w:val="22"/>
          <w:u w:val="single"/>
        </w:rPr>
        <w:t>contará con un Comité Coordinador</w:t>
      </w:r>
      <w:r>
        <w:rPr>
          <w:rFonts w:ascii="Palatino Linotype" w:eastAsia="Palatino Linotype" w:hAnsi="Palatino Linotype" w:cs="Palatino Linotype"/>
          <w:i/>
          <w:sz w:val="22"/>
          <w:szCs w:val="22"/>
        </w:rPr>
        <w:t xml:space="preserve"> que estará integrado por el titular de la Secretaría de la Contraloría del Poder Ejecutivo, el titular del Órgano Superior de Fiscalización del Estado de México, el titular de la Fiscalía Especializada en Combate a </w:t>
      </w:r>
      <w:r>
        <w:rPr>
          <w:rFonts w:ascii="Palatino Linotype" w:eastAsia="Palatino Linotype" w:hAnsi="Palatino Linotype" w:cs="Palatino Linotype"/>
          <w:i/>
          <w:sz w:val="22"/>
          <w:szCs w:val="22"/>
        </w:rPr>
        <w:lastRenderedPageBreak/>
        <w:t>la Corrupción, el Presidente del Tribunal de Justicia Administrativa del Estado de México, el titular del Instituto de Transparencia, Acceso a la Información Pública y Protección de Datos Personales del Estado de México y Municipios, así como un representante del Consejo de la Judicatura Estatal y otro del Comité de Participación Ciudadana, quien lo presidirá. El Sistema tendrá la organización y funcionamiento que determine la Ley.</w:t>
      </w:r>
    </w:p>
    <w:p w14:paraId="4C8DA6CE" w14:textId="77777777" w:rsidR="008C61AB" w:rsidRDefault="00380AF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II. </w:t>
      </w:r>
      <w:r>
        <w:rPr>
          <w:rFonts w:ascii="Palatino Linotype" w:eastAsia="Palatino Linotype" w:hAnsi="Palatino Linotype" w:cs="Palatino Linotype"/>
          <w:b/>
          <w:i/>
          <w:sz w:val="22"/>
          <w:szCs w:val="22"/>
          <w:u w:val="single"/>
        </w:rPr>
        <w:t>El Comité de Participación Ciudadana</w:t>
      </w:r>
      <w:r>
        <w:rPr>
          <w:rFonts w:ascii="Palatino Linotype" w:eastAsia="Palatino Linotype" w:hAnsi="Palatino Linotype" w:cs="Palatino Linotype"/>
          <w:i/>
          <w:sz w:val="22"/>
          <w:szCs w:val="22"/>
        </w:rPr>
        <w:t xml:space="preserve"> del Sistema deberá integrarse por cinco ciudadanos que se hayan destacado por su contribución a la transparencia, rendición de cuentas o combate a la corrupción y serán designados en los términos que establezca la ley. </w:t>
      </w:r>
    </w:p>
    <w:p w14:paraId="71450613" w14:textId="77777777" w:rsidR="008C61AB" w:rsidRDefault="008C61AB">
      <w:pPr>
        <w:spacing w:line="360" w:lineRule="auto"/>
        <w:jc w:val="both"/>
        <w:rPr>
          <w:rFonts w:ascii="Palatino Linotype" w:eastAsia="Palatino Linotype" w:hAnsi="Palatino Linotype" w:cs="Palatino Linotype"/>
        </w:rPr>
      </w:pPr>
    </w:p>
    <w:p w14:paraId="0006ED8F" w14:textId="77777777"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mismo orden de ideas, el artículo referido precisa que, para el ámbito municipal, los municipios se sujetarán a lo siguiente: </w:t>
      </w:r>
    </w:p>
    <w:p w14:paraId="24D434BB" w14:textId="77777777" w:rsidR="008C61AB" w:rsidRDefault="008C61AB">
      <w:pPr>
        <w:spacing w:line="276" w:lineRule="auto"/>
        <w:jc w:val="both"/>
        <w:rPr>
          <w:rFonts w:ascii="Palatino Linotype" w:eastAsia="Palatino Linotype" w:hAnsi="Palatino Linotype" w:cs="Palatino Linotype"/>
          <w:sz w:val="22"/>
          <w:szCs w:val="22"/>
        </w:rPr>
      </w:pPr>
    </w:p>
    <w:p w14:paraId="7BF7C319" w14:textId="77777777" w:rsidR="008C61AB" w:rsidRDefault="00380AF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130 Bis</w:t>
      </w:r>
      <w:r>
        <w:rPr>
          <w:rFonts w:ascii="Palatino Linotype" w:eastAsia="Palatino Linotype" w:hAnsi="Palatino Linotype" w:cs="Palatino Linotype"/>
          <w:i/>
          <w:sz w:val="22"/>
          <w:szCs w:val="22"/>
        </w:rPr>
        <w:t>…</w:t>
      </w:r>
    </w:p>
    <w:p w14:paraId="6B048366" w14:textId="77777777" w:rsidR="008C61AB" w:rsidRDefault="008C61AB">
      <w:pPr>
        <w:spacing w:line="276" w:lineRule="auto"/>
        <w:ind w:left="567" w:right="567"/>
        <w:jc w:val="both"/>
        <w:rPr>
          <w:rFonts w:ascii="Palatino Linotype" w:eastAsia="Palatino Linotype" w:hAnsi="Palatino Linotype" w:cs="Palatino Linotype"/>
          <w:i/>
          <w:sz w:val="22"/>
          <w:szCs w:val="22"/>
        </w:rPr>
      </w:pPr>
    </w:p>
    <w:p w14:paraId="2731E0DC" w14:textId="77777777" w:rsidR="008C61AB" w:rsidRDefault="00380AF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en congruencia con los Sistemas Federal y Estatal. </w:t>
      </w:r>
    </w:p>
    <w:p w14:paraId="3F8C14B0" w14:textId="77777777" w:rsidR="008C61AB" w:rsidRDefault="00380AF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Para su funcionamiento se sujetará</w:t>
      </w:r>
      <w:r>
        <w:rPr>
          <w:rFonts w:ascii="Palatino Linotype" w:eastAsia="Palatino Linotype" w:hAnsi="Palatino Linotype" w:cs="Palatino Linotype"/>
          <w:i/>
          <w:sz w:val="22"/>
          <w:szCs w:val="22"/>
        </w:rPr>
        <w:t xml:space="preserve"> a las siguientes bases mínimas y conforme a la ley respectiva:</w:t>
      </w:r>
    </w:p>
    <w:p w14:paraId="7C0289B0" w14:textId="77777777" w:rsidR="008C61AB" w:rsidRDefault="00380AF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 I. El Sistema contará con un Comité Coordinador</w:t>
      </w:r>
      <w:r>
        <w:rPr>
          <w:rFonts w:ascii="Palatino Linotype" w:eastAsia="Palatino Linotype" w:hAnsi="Palatino Linotype" w:cs="Palatino Linotype"/>
          <w:i/>
          <w:sz w:val="22"/>
          <w:szCs w:val="22"/>
        </w:rPr>
        <w:t xml:space="preserve"> que estará integrado por el titular de la Contraloría Municipal, el de la Unidad de Transparencia y Acceso a la Información, así como un representante del Comité de Participación Ciudadana, quien lo presidirá. </w:t>
      </w:r>
    </w:p>
    <w:p w14:paraId="08691868" w14:textId="77777777" w:rsidR="008C61AB" w:rsidRDefault="00380AF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El Comité de Participación Ciudadana </w:t>
      </w:r>
      <w:r>
        <w:rPr>
          <w:rFonts w:ascii="Palatino Linotype" w:eastAsia="Palatino Linotype" w:hAnsi="Palatino Linotype" w:cs="Palatino Linotype"/>
          <w:i/>
          <w:sz w:val="22"/>
          <w:szCs w:val="22"/>
        </w:rPr>
        <w:t>del Sistema deberá integrarse por tres ciudadanos que se hayan destacado por su contribución al combate a la corrupción, de notoria buena conducta y honorabilidad manifiesta, los cuales serán designados en los términos que establezca la ley…”</w:t>
      </w:r>
    </w:p>
    <w:p w14:paraId="42D9FDCF" w14:textId="77777777" w:rsidR="008C61AB" w:rsidRDefault="008C61AB">
      <w:pPr>
        <w:spacing w:line="360" w:lineRule="auto"/>
        <w:jc w:val="both"/>
        <w:rPr>
          <w:rFonts w:ascii="Palatino Linotype" w:eastAsia="Palatino Linotype" w:hAnsi="Palatino Linotype" w:cs="Palatino Linotype"/>
        </w:rPr>
      </w:pPr>
    </w:p>
    <w:p w14:paraId="3FEAD899" w14:textId="77777777"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hasta aquí se advierte que tanto el Sistema Estatal Anticorrupción, como el Sistema Municipal Anticorrupción, se integrarán por un </w:t>
      </w:r>
      <w:r>
        <w:rPr>
          <w:rFonts w:ascii="Palatino Linotype" w:eastAsia="Palatino Linotype" w:hAnsi="Palatino Linotype" w:cs="Palatino Linotype"/>
          <w:b/>
          <w:u w:val="single"/>
        </w:rPr>
        <w:t>Comité Coordinador y un Comité de Participación Ciudadana</w:t>
      </w:r>
      <w:r>
        <w:rPr>
          <w:rFonts w:ascii="Palatino Linotype" w:eastAsia="Palatino Linotype" w:hAnsi="Palatino Linotype" w:cs="Palatino Linotype"/>
        </w:rPr>
        <w:t xml:space="preserve">, siendo que para el caso que ahora nos ocupa, los distintos comités municipales se integrarán por:  </w:t>
      </w:r>
    </w:p>
    <w:p w14:paraId="2F843CBA" w14:textId="77777777" w:rsidR="008C61AB" w:rsidRDefault="008C61AB">
      <w:pPr>
        <w:spacing w:line="360" w:lineRule="auto"/>
        <w:jc w:val="both"/>
        <w:rPr>
          <w:rFonts w:ascii="Palatino Linotype" w:eastAsia="Palatino Linotype" w:hAnsi="Palatino Linotype" w:cs="Palatino Linotype"/>
        </w:rPr>
      </w:pPr>
    </w:p>
    <w:p w14:paraId="7F1A688F" w14:textId="77777777" w:rsidR="008C61AB" w:rsidRDefault="00380AFA">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Comité Coordinador Municipal por el Titular de la Contraloría Municipal, el Titular de la Unidad de Transparencia y Acceso a la Información y un representante del Comité de Participación Ciudadana;</w:t>
      </w:r>
    </w:p>
    <w:p w14:paraId="332A309C" w14:textId="77777777" w:rsidR="008C61AB" w:rsidRDefault="00380AFA">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 Comité de Participación Ciudadana por tres ciudadanos que hayan destacado por su contribución al combate a la corrupción, de notoria buena conducta y honorabilidad manifiesta. </w:t>
      </w:r>
    </w:p>
    <w:p w14:paraId="7497917B" w14:textId="77777777" w:rsidR="008C61AB" w:rsidRDefault="008C61AB">
      <w:pPr>
        <w:spacing w:line="360" w:lineRule="auto"/>
        <w:jc w:val="both"/>
        <w:rPr>
          <w:rFonts w:ascii="Palatino Linotype" w:eastAsia="Palatino Linotype" w:hAnsi="Palatino Linotype" w:cs="Palatino Linotype"/>
        </w:rPr>
      </w:pPr>
    </w:p>
    <w:p w14:paraId="75B52074" w14:textId="77777777"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esto, resulta conveniente traer a colación lo que establece el artículo 71 de la Ley del Sistema Anticorrupción del Estado de México y Municipios respecto a los miembros del Comité de Participación Ciudadana Municipal, lo cual versa en lo siguiente: </w:t>
      </w:r>
    </w:p>
    <w:p w14:paraId="40AAFD40" w14:textId="77777777" w:rsidR="008C61AB" w:rsidRDefault="008C61AB">
      <w:pPr>
        <w:spacing w:line="360" w:lineRule="auto"/>
        <w:jc w:val="both"/>
        <w:rPr>
          <w:rFonts w:ascii="Palatino Linotype" w:eastAsia="Palatino Linotype" w:hAnsi="Palatino Linotype" w:cs="Palatino Linotype"/>
        </w:rPr>
      </w:pPr>
    </w:p>
    <w:p w14:paraId="7AC24482" w14:textId="77777777" w:rsidR="008C61AB" w:rsidRDefault="00380AF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miembros del Comité de Participación Ciudadana 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no tendrán relación laboral alguna por virtud de su encargo en el Comité Coordinador Municipal</w:t>
      </w:r>
      <w:r>
        <w:rPr>
          <w:rFonts w:ascii="Palatino Linotype" w:eastAsia="Palatino Linotype" w:hAnsi="Palatino Linotype" w:cs="Palatino Linotype"/>
          <w:i/>
          <w:sz w:val="22"/>
          <w:szCs w:val="22"/>
        </w:rPr>
        <w:t xml:space="preserve">, sin embargo, </w:t>
      </w:r>
      <w:r>
        <w:rPr>
          <w:rFonts w:ascii="Palatino Linotype" w:eastAsia="Palatino Linotype" w:hAnsi="Palatino Linotype" w:cs="Palatino Linotype"/>
          <w:b/>
          <w:i/>
          <w:sz w:val="22"/>
          <w:szCs w:val="22"/>
          <w:u w:val="single"/>
        </w:rPr>
        <w:t xml:space="preserve">su contraprestación se determinará a través de contratos de prestación de servicios por honorarios, en términos de lo que establezca el Comité Coordinador Municipal, por lo que no gozarán de prestaciones, garantizando así la objetividad en sus aportaciones. </w:t>
      </w:r>
    </w:p>
    <w:p w14:paraId="09CB1B47" w14:textId="77777777" w:rsidR="008C61AB" w:rsidRDefault="00380AF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FE22392" w14:textId="77777777" w:rsidR="008C61AB" w:rsidRDefault="008C61AB">
      <w:pPr>
        <w:spacing w:line="276" w:lineRule="auto"/>
        <w:ind w:left="567" w:right="567"/>
        <w:jc w:val="both"/>
        <w:rPr>
          <w:rFonts w:ascii="Palatino Linotype" w:eastAsia="Palatino Linotype" w:hAnsi="Palatino Linotype" w:cs="Palatino Linotype"/>
          <w:i/>
          <w:sz w:val="22"/>
          <w:szCs w:val="22"/>
        </w:rPr>
      </w:pPr>
    </w:p>
    <w:p w14:paraId="317B7B65" w14:textId="77777777"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se tiene que, para el caso de los miembros del Comité de Participación Ciudadana, la Ley establece que recibirán una contraprestación por sus servicios en concepto de honorarios, la cual será fijada en términos de lo que establezca el Comité Coordinador Municipal; </w:t>
      </w:r>
      <w:r>
        <w:rPr>
          <w:rFonts w:ascii="Palatino Linotype" w:eastAsia="Palatino Linotype" w:hAnsi="Palatino Linotype" w:cs="Palatino Linotype"/>
          <w:u w:val="single"/>
        </w:rPr>
        <w:t xml:space="preserve">es decir, el Comité Coordinador Municipal determinará a través de contratos de prestación de servicios por honorarios la contraprestación que recibirán los miembros del Comité de Participación Ciudadana por el desempeño de sus funciones. </w:t>
      </w:r>
    </w:p>
    <w:p w14:paraId="6939A5FC" w14:textId="77777777" w:rsidR="008C61AB" w:rsidRDefault="008C61AB">
      <w:pPr>
        <w:spacing w:line="360" w:lineRule="auto"/>
        <w:jc w:val="both"/>
        <w:rPr>
          <w:rFonts w:ascii="Palatino Linotype" w:eastAsia="Palatino Linotype" w:hAnsi="Palatino Linotype" w:cs="Palatino Linotype"/>
        </w:rPr>
      </w:pPr>
    </w:p>
    <w:p w14:paraId="42154069" w14:textId="6CE125D3" w:rsidR="0049443F"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todo lo anterior, toda vez que la Ley del Sistema Anticorrupción del Estado de México establece que los </w:t>
      </w:r>
      <w:r w:rsidRPr="00285FF9">
        <w:rPr>
          <w:rFonts w:ascii="Palatino Linotype" w:eastAsia="Palatino Linotype" w:hAnsi="Palatino Linotype" w:cs="Palatino Linotype"/>
        </w:rPr>
        <w:t xml:space="preserve">integrantes del Sistema Anticorrupción Municipal, específicamente, aquellos que integran el Comité de Participación Ciudadana reciben una contraprestación en concepto de honorarios por la prestación de sus servicios, </w:t>
      </w:r>
      <w:r w:rsidR="0049443F" w:rsidRPr="00285FF9">
        <w:rPr>
          <w:rFonts w:ascii="Palatino Linotype" w:eastAsia="Palatino Linotype" w:hAnsi="Palatino Linotype" w:cs="Palatino Linotype"/>
        </w:rPr>
        <w:t xml:space="preserve">en el caso particular se pudo constatar que el Sujeto Obligado a la fecha de la solicitud tiene instalado su Sistema </w:t>
      </w:r>
      <w:proofErr w:type="spellStart"/>
      <w:r w:rsidR="0049443F" w:rsidRPr="00285FF9">
        <w:rPr>
          <w:rFonts w:ascii="Palatino Linotype" w:eastAsia="Palatino Linotype" w:hAnsi="Palatino Linotype" w:cs="Palatino Linotype"/>
        </w:rPr>
        <w:t>Anticurrupción</w:t>
      </w:r>
      <w:proofErr w:type="spellEnd"/>
      <w:r w:rsidR="0049443F" w:rsidRPr="00285FF9">
        <w:rPr>
          <w:rFonts w:ascii="Palatino Linotype" w:eastAsia="Palatino Linotype" w:hAnsi="Palatino Linotype" w:cs="Palatino Linotype"/>
        </w:rPr>
        <w:t xml:space="preserve"> Municipal, como se advierte a continuación:</w:t>
      </w:r>
      <w:r w:rsidR="0049443F" w:rsidRPr="0049443F">
        <w:rPr>
          <w:rFonts w:ascii="Palatino Linotype" w:eastAsia="Palatino Linotype" w:hAnsi="Palatino Linotype" w:cs="Palatino Linotype"/>
        </w:rPr>
        <w:t xml:space="preserve">  </w:t>
      </w:r>
    </w:p>
    <w:p w14:paraId="04B08116" w14:textId="60149019" w:rsidR="0049443F" w:rsidRDefault="0049443F">
      <w:pPr>
        <w:spacing w:line="360" w:lineRule="auto"/>
        <w:jc w:val="both"/>
        <w:rPr>
          <w:rFonts w:ascii="Palatino Linotype" w:eastAsia="Palatino Linotype" w:hAnsi="Palatino Linotype" w:cs="Palatino Linotype"/>
        </w:rPr>
      </w:pPr>
    </w:p>
    <w:p w14:paraId="0FE8F0DE" w14:textId="60F5CA53" w:rsidR="0049443F" w:rsidRDefault="0049443F">
      <w:pPr>
        <w:spacing w:line="360" w:lineRule="auto"/>
        <w:jc w:val="both"/>
        <w:rPr>
          <w:rFonts w:ascii="Palatino Linotype" w:eastAsia="Palatino Linotype" w:hAnsi="Palatino Linotype" w:cs="Palatino Linotype"/>
        </w:rPr>
      </w:pPr>
      <w:r w:rsidRPr="0049443F">
        <w:rPr>
          <w:rFonts w:ascii="Palatino Linotype" w:eastAsia="Palatino Linotype" w:hAnsi="Palatino Linotype" w:cs="Palatino Linotype"/>
          <w:noProof/>
        </w:rPr>
        <w:lastRenderedPageBreak/>
        <w:drawing>
          <wp:inline distT="0" distB="0" distL="0" distR="0" wp14:anchorId="505FB176" wp14:editId="6F406C01">
            <wp:extent cx="5612130" cy="49428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942840"/>
                    </a:xfrm>
                    <a:prstGeom prst="rect">
                      <a:avLst/>
                    </a:prstGeom>
                  </pic:spPr>
                </pic:pic>
              </a:graphicData>
            </a:graphic>
          </wp:inline>
        </w:drawing>
      </w:r>
    </w:p>
    <w:p w14:paraId="63A19BA5" w14:textId="682A8E10" w:rsidR="008C61AB" w:rsidRDefault="0049443F">
      <w:pPr>
        <w:spacing w:line="360" w:lineRule="auto"/>
        <w:jc w:val="both"/>
        <w:rPr>
          <w:rFonts w:ascii="Palatino Linotype" w:eastAsia="Palatino Linotype" w:hAnsi="Palatino Linotype" w:cs="Palatino Linotype"/>
        </w:rPr>
      </w:pPr>
      <w:r w:rsidRPr="00285FF9">
        <w:rPr>
          <w:rFonts w:ascii="Palatino Linotype" w:eastAsia="Palatino Linotype" w:hAnsi="Palatino Linotype" w:cs="Palatino Linotype"/>
        </w:rPr>
        <w:t>Por lo que,</w:t>
      </w:r>
      <w:r w:rsidR="00380AFA" w:rsidRPr="00285FF9">
        <w:rPr>
          <w:rFonts w:ascii="Palatino Linotype" w:eastAsia="Palatino Linotype" w:hAnsi="Palatino Linotype" w:cs="Palatino Linotype"/>
        </w:rPr>
        <w:t xml:space="preserve"> para el caso de que el </w:t>
      </w:r>
      <w:r w:rsidR="00380AFA" w:rsidRPr="00285FF9">
        <w:rPr>
          <w:rFonts w:ascii="Palatino Linotype" w:eastAsia="Palatino Linotype" w:hAnsi="Palatino Linotype" w:cs="Palatino Linotype"/>
          <w:b/>
        </w:rPr>
        <w:t>Sujeto Obligado</w:t>
      </w:r>
      <w:r w:rsidR="00380AFA" w:rsidRPr="00285FF9">
        <w:rPr>
          <w:rFonts w:ascii="Palatino Linotype" w:eastAsia="Palatino Linotype" w:hAnsi="Palatino Linotype" w:cs="Palatino Linotype"/>
        </w:rPr>
        <w:t xml:space="preserve"> no cuente con la información que se ordena, deberá proporcionar</w:t>
      </w:r>
      <w:r w:rsidR="00380AFA">
        <w:rPr>
          <w:rFonts w:ascii="Palatino Linotype" w:eastAsia="Palatino Linotype" w:hAnsi="Palatino Linotype" w:cs="Palatino Linotype"/>
        </w:rPr>
        <w:t xml:space="preserve"> el Acuerdo del Comité de Transparencia donde confirme la inexistencia de la información, esto de acuerdo con lo establecido en el artículo 19, párrafo tercero, 169 y 170 de la Ley de Transparencia y Acceso a la Información Pública del Estado de México y Municipios.</w:t>
      </w:r>
    </w:p>
    <w:p w14:paraId="49DD06BF" w14:textId="77777777" w:rsidR="008C61AB" w:rsidRDefault="008C61AB">
      <w:pPr>
        <w:spacing w:line="360" w:lineRule="auto"/>
        <w:jc w:val="both"/>
        <w:rPr>
          <w:rFonts w:ascii="Palatino Linotype" w:eastAsia="Palatino Linotype" w:hAnsi="Palatino Linotype" w:cs="Palatino Linotype"/>
        </w:rPr>
      </w:pPr>
    </w:p>
    <w:p w14:paraId="3F58A641" w14:textId="77777777" w:rsidR="008C61AB" w:rsidRDefault="00380AFA">
      <w:pPr>
        <w:numPr>
          <w:ilvl w:val="0"/>
          <w:numId w:val="6"/>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De la inexistencia de la información solicitada. </w:t>
      </w:r>
    </w:p>
    <w:p w14:paraId="46EECF6C" w14:textId="77777777" w:rsidR="008C61AB" w:rsidRDefault="008C61AB">
      <w:pPr>
        <w:spacing w:line="360" w:lineRule="auto"/>
        <w:ind w:left="720"/>
        <w:jc w:val="both"/>
        <w:rPr>
          <w:rFonts w:ascii="Palatino Linotype" w:eastAsia="Palatino Linotype" w:hAnsi="Palatino Linotype" w:cs="Palatino Linotype"/>
        </w:rPr>
      </w:pPr>
    </w:p>
    <w:p w14:paraId="52984AD5" w14:textId="77777777"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Como se precisó anteriormente, la información solicitada por el Particular es información que el Sujeto </w:t>
      </w:r>
      <w:r w:rsidRPr="00285FF9">
        <w:rPr>
          <w:rFonts w:ascii="Palatino Linotype" w:eastAsia="Palatino Linotype" w:hAnsi="Palatino Linotype" w:cs="Palatino Linotype"/>
        </w:rPr>
        <w:t>Obligado debió haber generado, por lo que, de ser el caso que derivado de la búsqueda efectuada por el Ayuntamiento de Atlacomulco no se localice la información requerida, este deberá emitir la declaratoria de inexistencia en términos de lo establecido en el artículo 19, párrafo tercero, 169 y 170 de la Ley de Transparencia y Acceso a la Información Pública del Estado de México y Municipios.</w:t>
      </w:r>
      <w:r>
        <w:rPr>
          <w:rFonts w:ascii="Palatino Linotype" w:eastAsia="Palatino Linotype" w:hAnsi="Palatino Linotype" w:cs="Palatino Linotype"/>
        </w:rPr>
        <w:t xml:space="preserve"> </w:t>
      </w:r>
    </w:p>
    <w:p w14:paraId="377BBD19" w14:textId="77777777" w:rsidR="008C61AB" w:rsidRDefault="008C61AB">
      <w:pPr>
        <w:spacing w:line="360" w:lineRule="auto"/>
        <w:jc w:val="both"/>
        <w:rPr>
          <w:rFonts w:ascii="Palatino Linotype" w:eastAsia="Palatino Linotype" w:hAnsi="Palatino Linotype" w:cs="Palatino Linotype"/>
        </w:rPr>
      </w:pPr>
    </w:p>
    <w:p w14:paraId="21123B41" w14:textId="77777777"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no está por demás señalar que de acuerdo con el Criterio 14/17, emitido por el Instituto Nacional de Transparencia, Acceso a la Información Pública y Protección de Datos Personales en el Estado de México y Municipios, la inexistencia de la información se refiere a lo siguiente: </w:t>
      </w:r>
    </w:p>
    <w:p w14:paraId="5377F7EA" w14:textId="77777777" w:rsidR="008C61AB" w:rsidRDefault="008C61AB">
      <w:pPr>
        <w:spacing w:line="360" w:lineRule="auto"/>
        <w:jc w:val="both"/>
        <w:rPr>
          <w:rFonts w:ascii="Palatino Linotype" w:eastAsia="Palatino Linotype" w:hAnsi="Palatino Linotype" w:cs="Palatino Linotype"/>
        </w:rPr>
      </w:pPr>
    </w:p>
    <w:p w14:paraId="3C6EBAE7" w14:textId="77777777" w:rsidR="008C61AB" w:rsidRDefault="00380AFA">
      <w:pPr>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Inexistencia.</w:t>
      </w:r>
      <w:r>
        <w:rPr>
          <w:rFonts w:ascii="Palatino Linotype" w:eastAsia="Palatino Linotype" w:hAnsi="Palatino Linotype" w:cs="Palatino Linotype"/>
          <w:i/>
          <w:sz w:val="22"/>
          <w:szCs w:val="22"/>
        </w:rPr>
        <w:t xml:space="preserve"> La inexistencia es una cuestión de hecho que se atribuye a la información solicitada e implica que ésta no se encuentra en los archivos del sujeto obligado, no obstante que cuenta con facultades para poseerla.” </w:t>
      </w:r>
    </w:p>
    <w:p w14:paraId="7F050329" w14:textId="77777777" w:rsidR="008C61AB" w:rsidRDefault="008C61AB">
      <w:pPr>
        <w:spacing w:line="360" w:lineRule="auto"/>
        <w:jc w:val="both"/>
        <w:rPr>
          <w:rFonts w:ascii="Palatino Linotype" w:eastAsia="Palatino Linotype" w:hAnsi="Palatino Linotype" w:cs="Palatino Linotype"/>
        </w:rPr>
      </w:pPr>
    </w:p>
    <w:p w14:paraId="7E573487" w14:textId="77777777"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citado criterio, se desprende que la inexistencia de la información es una cuestión de hecho que se le atribuye a la misma, cuando esta no se encuentra en los archivos del sujeto obligado. En ese sentido, se concluye que la inexistencia presupone la competencia del sujeto obligado para conocer de la información, pero por alguna circunstancia, la documentación solicitada no obra en sus archivos. </w:t>
      </w:r>
    </w:p>
    <w:p w14:paraId="728709F6" w14:textId="77777777" w:rsidR="008C61AB" w:rsidRDefault="008C61AB">
      <w:pPr>
        <w:spacing w:line="360" w:lineRule="auto"/>
        <w:jc w:val="both"/>
        <w:rPr>
          <w:rFonts w:ascii="Palatino Linotype" w:eastAsia="Palatino Linotype" w:hAnsi="Palatino Linotype" w:cs="Palatino Linotype"/>
        </w:rPr>
      </w:pPr>
    </w:p>
    <w:p w14:paraId="41962A5D" w14:textId="77777777"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cual, retoma el artículo 19, párrafo tercero de la Ley de Transparencia y Acceso a la Información Pública del Estado de México y Municipios, que establece que </w:t>
      </w:r>
      <w:r>
        <w:rPr>
          <w:rFonts w:ascii="Palatino Linotype" w:eastAsia="Palatino Linotype" w:hAnsi="Palatino Linotype" w:cs="Palatino Linotype"/>
        </w:rPr>
        <w:lastRenderedPageBreak/>
        <w:t>cuando los sujetos obligados, en el ejercicio de sus atribuciones, debía generar, poseer, administrar la información, pero esta no se encuentra, el Comité de Transparencia, deberá emitir el acuerdo de inexistencia.</w:t>
      </w:r>
    </w:p>
    <w:p w14:paraId="38E3FF56" w14:textId="77777777" w:rsidR="008C61AB" w:rsidRDefault="008C61AB">
      <w:pPr>
        <w:spacing w:line="360" w:lineRule="auto"/>
        <w:jc w:val="both"/>
        <w:rPr>
          <w:rFonts w:ascii="Palatino Linotype" w:eastAsia="Palatino Linotype" w:hAnsi="Palatino Linotype" w:cs="Palatino Linotype"/>
        </w:rPr>
      </w:pPr>
    </w:p>
    <w:p w14:paraId="1DC76002" w14:textId="77777777"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misma manera, el Criterio 14/19 emitido por el Instituto de Transparencia, Acceso a la Información y Protección de Datos Personales, establece lo siguiente: </w:t>
      </w:r>
    </w:p>
    <w:p w14:paraId="04BAF76F" w14:textId="77777777" w:rsidR="008C61AB" w:rsidRDefault="008C61AB">
      <w:pPr>
        <w:spacing w:line="360" w:lineRule="auto"/>
        <w:jc w:val="both"/>
        <w:rPr>
          <w:rFonts w:ascii="Palatino Linotype" w:eastAsia="Palatino Linotype" w:hAnsi="Palatino Linotype" w:cs="Palatino Linotype"/>
        </w:rPr>
      </w:pPr>
    </w:p>
    <w:p w14:paraId="13B31479" w14:textId="77777777" w:rsidR="008C61AB" w:rsidRDefault="00380AFA">
      <w:pPr>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Propósito de la declaración formal de inexistencia.</w:t>
      </w:r>
      <w:r>
        <w:rPr>
          <w:rFonts w:ascii="Palatino Linotype" w:eastAsia="Palatino Linotype" w:hAnsi="Palatino Linotype" w:cs="Palatino Linotype"/>
          <w:i/>
          <w:sz w:val="22"/>
          <w:szCs w:val="22"/>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14:paraId="582533CE" w14:textId="77777777" w:rsidR="008C61AB" w:rsidRDefault="008C61AB">
      <w:pPr>
        <w:spacing w:line="360" w:lineRule="auto"/>
        <w:jc w:val="both"/>
        <w:rPr>
          <w:rFonts w:ascii="Palatino Linotype" w:eastAsia="Palatino Linotype" w:hAnsi="Palatino Linotype" w:cs="Palatino Linotype"/>
        </w:rPr>
      </w:pPr>
    </w:p>
    <w:p w14:paraId="26415B7A" w14:textId="77777777"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anterior, se puede advertir que las declaraciones de inexistencia de los Comités de Transparencia, deben contener los elementos suficientes para generar en los solicitantes la certeza del carácter exhaustivo de la búsqueda de la información, esto es, que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 </w:t>
      </w:r>
    </w:p>
    <w:p w14:paraId="345F118A" w14:textId="77777777" w:rsidR="008C61AB" w:rsidRDefault="008C61AB">
      <w:pPr>
        <w:spacing w:line="360" w:lineRule="auto"/>
        <w:jc w:val="both"/>
        <w:rPr>
          <w:rFonts w:ascii="Palatino Linotype" w:eastAsia="Palatino Linotype" w:hAnsi="Palatino Linotype" w:cs="Palatino Linotype"/>
        </w:rPr>
      </w:pPr>
    </w:p>
    <w:p w14:paraId="3E30BA24" w14:textId="77777777"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Conforme a lo anterior, en el presente caso, se considera que en el caso de que la información solicitada por el Recurrente no obre en los archivos del Sujeto Obligado, es necesario que declare por medio de su Comité de Transparencia su inexistencia.</w:t>
      </w:r>
    </w:p>
    <w:p w14:paraId="6E61DD34" w14:textId="77777777" w:rsidR="008C61AB" w:rsidRDefault="008C61AB">
      <w:pPr>
        <w:spacing w:line="360" w:lineRule="auto"/>
        <w:jc w:val="both"/>
        <w:rPr>
          <w:rFonts w:ascii="Palatino Linotype" w:eastAsia="Palatino Linotype" w:hAnsi="Palatino Linotype" w:cs="Palatino Linotype"/>
        </w:rPr>
      </w:pPr>
    </w:p>
    <w:p w14:paraId="3B7003D6" w14:textId="77777777" w:rsidR="008C61AB" w:rsidRDefault="00380AF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otro lado, sobre el timbrado, debemos tener en cuenta que este se concibe como un proceso que se realiza para asegurar a la Secretaría de Hacienda y Crédito Público  que la nómina ha sido emitida correctamente y que se realizó el pago de impuestos correspondientes, se le conoce como timbrado de nómina, en razón de que este archivo debe contener una firma electrónica que avale su autenticidad ante las autoridades fiscales.</w:t>
      </w:r>
    </w:p>
    <w:p w14:paraId="534FEA9A" w14:textId="77777777" w:rsidR="008C61AB" w:rsidRDefault="008C61A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BE80930" w14:textId="77777777" w:rsidR="008C61AB" w:rsidRDefault="00380AF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sobre el tema, la Ley del Impuesto Sobre la Renta en sus artículos 94 y 99, fracción III señalan lo siguiente: </w:t>
      </w:r>
    </w:p>
    <w:p w14:paraId="4FB537D9" w14:textId="77777777" w:rsidR="008C61AB" w:rsidRDefault="008C61A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62C6F9F"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u w:val="single"/>
        </w:rPr>
        <w:t>Artículo 94. Se consideran ingresos por la prestación de un servicio personal subordinado, los salarios y demás prestaciones que deriven de una relación laboral</w:t>
      </w:r>
      <w:r>
        <w:rPr>
          <w:rFonts w:ascii="Palatino Linotype" w:eastAsia="Palatino Linotype" w:hAnsi="Palatino Linotype" w:cs="Palatino Linotype"/>
          <w:i/>
          <w:color w:val="000000"/>
          <w:sz w:val="22"/>
          <w:szCs w:val="22"/>
        </w:rPr>
        <w:t>, incluyendo la participación de los trabajadores en las utilidades de las empresas y las prestaciones percibidas como consecuencia de la terminación de la relación laboral. Para los efectos de este impuesto, se asimilan a estos ingresos los siguientes:</w:t>
      </w:r>
    </w:p>
    <w:p w14:paraId="21C32744"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w:t>
      </w:r>
      <w:r>
        <w:rPr>
          <w:rFonts w:ascii="Palatino Linotype" w:eastAsia="Palatino Linotype" w:hAnsi="Palatino Linotype" w:cs="Palatino Linotype"/>
          <w:b/>
          <w:i/>
          <w:color w:val="000000"/>
          <w:sz w:val="22"/>
          <w:szCs w:val="22"/>
          <w:u w:val="single"/>
        </w:rPr>
        <w:t>Las remuneraciones y demás prestaciones, obtenidas por los funcionarios y trabajadores</w:t>
      </w:r>
      <w:r>
        <w:rPr>
          <w:rFonts w:ascii="Palatino Linotype" w:eastAsia="Palatino Linotype" w:hAnsi="Palatino Linotype" w:cs="Palatino Linotype"/>
          <w:i/>
          <w:color w:val="000000"/>
          <w:sz w:val="22"/>
          <w:szCs w:val="22"/>
        </w:rPr>
        <w:t xml:space="preserve"> de la Federación, de las entidades federativas y </w:t>
      </w:r>
      <w:r>
        <w:rPr>
          <w:rFonts w:ascii="Palatino Linotype" w:eastAsia="Palatino Linotype" w:hAnsi="Palatino Linotype" w:cs="Palatino Linotype"/>
          <w:b/>
          <w:i/>
          <w:color w:val="000000"/>
          <w:sz w:val="22"/>
          <w:szCs w:val="22"/>
          <w:u w:val="single"/>
        </w:rPr>
        <w:t>de los municipios</w:t>
      </w:r>
      <w:r>
        <w:rPr>
          <w:rFonts w:ascii="Palatino Linotype" w:eastAsia="Palatino Linotype" w:hAnsi="Palatino Linotype" w:cs="Palatino Linotype"/>
          <w:i/>
          <w:color w:val="000000"/>
          <w:sz w:val="22"/>
          <w:szCs w:val="22"/>
        </w:rPr>
        <w:t>, aun cuando sean por concepto de gastos no sujetos a comprobación, así como los obtenidos por los miembros de las fuerzas armadas.</w:t>
      </w:r>
    </w:p>
    <w:p w14:paraId="56C622F5"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A38073F"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Artículo 99. Quienes hagan pagos por los conceptos a que se refiere este Capítulo, tendrán las siguientes obligaciones:</w:t>
      </w:r>
    </w:p>
    <w:p w14:paraId="227AA121"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5842D07"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lastRenderedPageBreak/>
        <w:t>III.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r>
        <w:rPr>
          <w:rFonts w:ascii="Palatino Linotype" w:eastAsia="Palatino Linotype" w:hAnsi="Palatino Linotype" w:cs="Palatino Linotype"/>
          <w:i/>
          <w:color w:val="000000"/>
          <w:sz w:val="22"/>
          <w:szCs w:val="22"/>
        </w:rPr>
        <w:t>”</w:t>
      </w:r>
    </w:p>
    <w:p w14:paraId="4AC04EAB" w14:textId="77777777" w:rsidR="008C61AB" w:rsidRDefault="008C61A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E96C9E4" w14:textId="77777777" w:rsidR="008C61AB" w:rsidRDefault="00380AF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Dichos comprobantes fiscales deberán expedirse conforme a lo establecido en las siguientes porciones normativas del Código Fiscal de la Federación: </w:t>
      </w:r>
    </w:p>
    <w:p w14:paraId="09CC0C85" w14:textId="77777777" w:rsidR="008C61AB" w:rsidRDefault="008C61A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408F1E0"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rPr>
        <w:t xml:space="preserve"> “</w:t>
      </w:r>
      <w:r>
        <w:rPr>
          <w:rFonts w:ascii="Palatino Linotype" w:eastAsia="Palatino Linotype" w:hAnsi="Palatino Linotype" w:cs="Palatino Linotype"/>
          <w:b/>
          <w:i/>
          <w:color w:val="000000"/>
          <w:sz w:val="22"/>
          <w:szCs w:val="22"/>
        </w:rPr>
        <w:t>Artículo 29. Cuando las leyes fiscales establezcan la obligación de expedir comprobantes fiscales</w:t>
      </w:r>
      <w:r>
        <w:rPr>
          <w:rFonts w:ascii="Palatino Linotype" w:eastAsia="Palatino Linotype" w:hAnsi="Palatino Linotype" w:cs="Palatino Linotype"/>
          <w:i/>
          <w:color w:val="000000"/>
          <w:sz w:val="22"/>
          <w:szCs w:val="22"/>
        </w:rPr>
        <w:t xml:space="preserve"> por los actos o actividades que realicen, </w:t>
      </w:r>
      <w:r>
        <w:rPr>
          <w:rFonts w:ascii="Palatino Linotype" w:eastAsia="Palatino Linotype" w:hAnsi="Palatino Linotype" w:cs="Palatino Linotype"/>
          <w:b/>
          <w:i/>
          <w:color w:val="000000"/>
          <w:sz w:val="22"/>
          <w:szCs w:val="22"/>
        </w:rPr>
        <w:t>por los ingresos que se perciban o por las retenciones de contribuciones que efectúen, los contribuyentes deberán emitirlos mediante documentos digitales a través de la página de Internet del Servicio de Administración Tributaria</w:t>
      </w:r>
      <w:r>
        <w:rPr>
          <w:rFonts w:ascii="Palatino Linotype" w:eastAsia="Palatino Linotype" w:hAnsi="Palatino Linotype" w:cs="Palatino Linotype"/>
          <w:i/>
          <w:color w:val="000000"/>
          <w:sz w:val="22"/>
          <w:szCs w:val="22"/>
        </w:rPr>
        <w:t>. Las personas que adquieran bienes,</w:t>
      </w:r>
      <w:r>
        <w:rPr>
          <w:i/>
          <w:sz w:val="22"/>
          <w:szCs w:val="22"/>
        </w:rPr>
        <w:t xml:space="preserve"> </w:t>
      </w:r>
      <w:r>
        <w:rPr>
          <w:rFonts w:ascii="Palatino Linotype" w:eastAsia="Palatino Linotype" w:hAnsi="Palatino Linotype" w:cs="Palatino Linotype"/>
          <w:i/>
          <w:color w:val="000000"/>
          <w:sz w:val="22"/>
          <w:szCs w:val="22"/>
        </w:rPr>
        <w:t>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16341AFC"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Los contribuyentes a que se refiere el párrafo anterior deberán cumplir con las obligaciones siguientes: </w:t>
      </w:r>
    </w:p>
    <w:p w14:paraId="67FBEBB8" w14:textId="77777777" w:rsidR="008C61AB" w:rsidRDefault="00380AFA">
      <w:pPr>
        <w:numPr>
          <w:ilvl w:val="0"/>
          <w:numId w:val="2"/>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Contar con un certificado de firma electrónica avanzada vigente, tener obligaciones fiscales en el Registro Federal de Contribuyentes y cumplir</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b/>
          <w:i/>
          <w:color w:val="000000"/>
          <w:sz w:val="22"/>
          <w:szCs w:val="22"/>
        </w:rPr>
        <w:t xml:space="preserve">con los requisitos que determine el Servicio de Administración Tributaria mediante las reglas de carácter general. </w:t>
      </w:r>
    </w:p>
    <w:p w14:paraId="468ED832" w14:textId="77777777" w:rsidR="008C61AB" w:rsidRDefault="00380AFA">
      <w:pPr>
        <w:numPr>
          <w:ilvl w:val="0"/>
          <w:numId w:val="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Tramitar ante el Servicio de Administración Tributaria el certificado para el uso de los sellos digitales. </w:t>
      </w:r>
    </w:p>
    <w:p w14:paraId="7108D4A5"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Los contribuyentes podrán optar por el uso de uno o más certificados de sellos digitales que se utilizarán exclusivamente para la expedición de los comprobantes fiscales mediante documentos digitales.</w:t>
      </w:r>
    </w:p>
    <w:p w14:paraId="7AD2C003"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El sello digital permitirá acreditar la autoría de los comprobantes fiscales digitales por Internet que expidan las personas físicas y morales, el cual queda sujeto a la regulación aplicable al uso de la firma electrónica avanzada. 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 </w:t>
      </w:r>
    </w:p>
    <w:p w14:paraId="021D3FE2" w14:textId="77777777" w:rsidR="008C61AB" w:rsidRDefault="008C61AB">
      <w:pPr>
        <w:pBdr>
          <w:top w:val="nil"/>
          <w:left w:val="nil"/>
          <w:bottom w:val="nil"/>
          <w:right w:val="nil"/>
          <w:between w:val="nil"/>
        </w:pBdr>
        <w:spacing w:line="276" w:lineRule="auto"/>
        <w:ind w:left="567"/>
        <w:jc w:val="both"/>
        <w:rPr>
          <w:rFonts w:ascii="Palatino Linotype" w:eastAsia="Palatino Linotype" w:hAnsi="Palatino Linotype" w:cs="Palatino Linotype"/>
          <w:b/>
          <w:i/>
          <w:color w:val="000000"/>
          <w:sz w:val="22"/>
          <w:szCs w:val="22"/>
        </w:rPr>
      </w:pPr>
    </w:p>
    <w:p w14:paraId="37288044"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La tramitación de un certificado de sello digital sólo podrá efectuarse mediante formato electrónico que cuente con la firma electrónica avanzada de la persona solicitante. </w:t>
      </w:r>
    </w:p>
    <w:p w14:paraId="27CD8F44" w14:textId="77777777" w:rsidR="008C61AB" w:rsidRDefault="00380AFA">
      <w:pPr>
        <w:numPr>
          <w:ilvl w:val="0"/>
          <w:numId w:val="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13FDF707" w14:textId="77777777" w:rsidR="008C61AB" w:rsidRDefault="008C61AB">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10FA7A6C" w14:textId="77777777" w:rsidR="008C61AB" w:rsidRDefault="00380AFA">
      <w:pPr>
        <w:numPr>
          <w:ilvl w:val="0"/>
          <w:numId w:val="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 </w:t>
      </w:r>
    </w:p>
    <w:p w14:paraId="74374185" w14:textId="77777777" w:rsidR="008C61AB" w:rsidRDefault="008C61AB">
      <w:pPr>
        <w:pBdr>
          <w:top w:val="nil"/>
          <w:left w:val="nil"/>
          <w:bottom w:val="nil"/>
          <w:right w:val="nil"/>
          <w:between w:val="nil"/>
        </w:pBdr>
        <w:spacing w:line="276" w:lineRule="auto"/>
        <w:ind w:left="567" w:right="900"/>
        <w:rPr>
          <w:rFonts w:ascii="Palatino Linotype" w:eastAsia="Palatino Linotype" w:hAnsi="Palatino Linotype" w:cs="Palatino Linotype"/>
          <w:b/>
          <w:i/>
          <w:color w:val="000000"/>
          <w:sz w:val="22"/>
          <w:szCs w:val="22"/>
        </w:rPr>
      </w:pPr>
    </w:p>
    <w:p w14:paraId="06D985AE" w14:textId="77777777" w:rsidR="008C61AB" w:rsidRDefault="00380AFA">
      <w:pPr>
        <w:numPr>
          <w:ilvl w:val="0"/>
          <w:numId w:val="3"/>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61EA0926" w14:textId="77777777" w:rsidR="008C61AB" w:rsidRDefault="00380AFA">
      <w:pPr>
        <w:numPr>
          <w:ilvl w:val="0"/>
          <w:numId w:val="3"/>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Asignar el folio del comprobante fiscal digital. </w:t>
      </w:r>
    </w:p>
    <w:p w14:paraId="6A6DE5B2" w14:textId="77777777" w:rsidR="008C61AB" w:rsidRDefault="00380AFA">
      <w:pPr>
        <w:numPr>
          <w:ilvl w:val="0"/>
          <w:numId w:val="3"/>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Incorporar el sello digital del Servicio de Administración Tributaria.</w:t>
      </w:r>
    </w:p>
    <w:p w14:paraId="1511D747" w14:textId="77777777" w:rsidR="008C61AB" w:rsidRDefault="00380AFA">
      <w:pPr>
        <w:numPr>
          <w:ilvl w:val="0"/>
          <w:numId w:val="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w:t>
      </w:r>
      <w:r>
        <w:rPr>
          <w:rFonts w:ascii="Palatino Linotype" w:eastAsia="Palatino Linotype" w:hAnsi="Palatino Linotype" w:cs="Palatino Linotype"/>
          <w:b/>
          <w:i/>
          <w:color w:val="000000"/>
          <w:sz w:val="22"/>
          <w:szCs w:val="22"/>
        </w:rPr>
        <w:lastRenderedPageBreak/>
        <w:t>general, el archivo electrónico del comprobante fiscal digital por Internet de que se trate y, cuando les sea solicitada por el cliente, su representación impresa, la cual únicamente presume la existencia de dicho comprobante fiscal</w:t>
      </w:r>
      <w:r>
        <w:rPr>
          <w:rFonts w:ascii="Palatino Linotype" w:eastAsia="Palatino Linotype" w:hAnsi="Palatino Linotype" w:cs="Palatino Linotype"/>
          <w:i/>
          <w:color w:val="000000"/>
          <w:sz w:val="22"/>
          <w:szCs w:val="22"/>
        </w:rPr>
        <w:t>.” (Énfasis añadido)</w:t>
      </w:r>
    </w:p>
    <w:p w14:paraId="687C6AB3" w14:textId="77777777" w:rsidR="008C61AB" w:rsidRDefault="008C61A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8163FCE" w14:textId="77777777" w:rsidR="008C61AB" w:rsidRDefault="00380AF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la Miscelánea Fiscal 2023, establece los parámetros para la emisión de los Comprobantes Fiscales Digitales por Internet por concepto de nómina (CDFI): </w:t>
      </w:r>
    </w:p>
    <w:p w14:paraId="589A6F17" w14:textId="77777777" w:rsidR="008C61AB" w:rsidRDefault="008C61A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7A4BA78"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Sección 2.7.5. De la expedición de CFDI por concepto de nómina y otras retenciones </w:t>
      </w:r>
    </w:p>
    <w:p w14:paraId="459263C3"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Fecha de expedición y entrega del CFDI de las remuneraciones cubiertas a los trabajadores</w:t>
      </w:r>
      <w:r>
        <w:rPr>
          <w:rFonts w:ascii="Palatino Linotype" w:eastAsia="Palatino Linotype" w:hAnsi="Palatino Linotype" w:cs="Palatino Linotype"/>
          <w:i/>
          <w:color w:val="000000"/>
          <w:sz w:val="22"/>
          <w:szCs w:val="22"/>
        </w:rPr>
        <w:t xml:space="preserve"> </w:t>
      </w:r>
    </w:p>
    <w:p w14:paraId="1C0A0556"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2.7.5.1. Para los efectos de los artículos 29, segundo párrafo, fracción IV del CFF, 27, fracciones V, segundo párrafo y XVIII, así como 99, fracción III de la Ley del ISR, en relación con los artículos 29 y 39 del Reglamento del CFF, </w:t>
      </w:r>
      <w:r>
        <w:rPr>
          <w:rFonts w:ascii="Palatino Linotype" w:eastAsia="Palatino Linotype" w:hAnsi="Palatino Linotype" w:cs="Palatino Linotype"/>
          <w:b/>
          <w:i/>
          <w:color w:val="000000"/>
          <w:sz w:val="22"/>
          <w:szCs w:val="22"/>
          <w:u w:val="single"/>
        </w:rPr>
        <w:t>los contribuyentes podrán expedir los CFDI por las remuneraciones que cubran a sus trabajadores o a contribuyentes asimilados a salarios, antes de la realización de los pagos correspondientes</w:t>
      </w:r>
      <w:r>
        <w:rPr>
          <w:rFonts w:ascii="Palatino Linotype" w:eastAsia="Palatino Linotype" w:hAnsi="Palatino Linotype" w:cs="Palatino Linotype"/>
          <w:i/>
          <w:color w:val="000000"/>
          <w:sz w:val="22"/>
          <w:szCs w:val="22"/>
        </w:rPr>
        <w:t>, o dentro del plazo señalado en función al número de sus trabajadores o asimilados a salarios, posteriores a la realización efectiva de dichos pagos, conforme a lo siguiente:</w:t>
      </w:r>
    </w:p>
    <w:p w14:paraId="477B7162" w14:textId="77777777" w:rsidR="008C61AB" w:rsidRDefault="008C61AB">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p>
    <w:p w14:paraId="65B99ED5" w14:textId="77777777" w:rsidR="008C61AB" w:rsidRDefault="00380AFA">
      <w:pPr>
        <w:pBdr>
          <w:top w:val="nil"/>
          <w:left w:val="nil"/>
          <w:bottom w:val="nil"/>
          <w:right w:val="nil"/>
          <w:between w:val="nil"/>
        </w:pBdr>
        <w:spacing w:line="360" w:lineRule="auto"/>
        <w:ind w:right="51"/>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3A9621B7" wp14:editId="2C984A11">
            <wp:extent cx="4569799" cy="1393746"/>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569799" cy="1393746"/>
                    </a:xfrm>
                    <a:prstGeom prst="rect">
                      <a:avLst/>
                    </a:prstGeom>
                    <a:ln/>
                  </pic:spPr>
                </pic:pic>
              </a:graphicData>
            </a:graphic>
          </wp:inline>
        </w:drawing>
      </w:r>
    </w:p>
    <w:p w14:paraId="1D0F303E"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cuyo caso, considerarán como fecha de expedición y entrega de tales comprobantes fiscales la fecha en que efectivamente se realizó el pago de dichas remuneraciones. Los contribuyentes que realicen pagos por remuneraciones a sus trabajadores o a contribuyentes asimilados a salarios, correspondientes a periodos menores a un mes, podrán emitir a cada trabajador o a cada contribuyente asimilado un solo CFDI </w:t>
      </w:r>
      <w:r>
        <w:rPr>
          <w:rFonts w:ascii="Palatino Linotype" w:eastAsia="Palatino Linotype" w:hAnsi="Palatino Linotype" w:cs="Palatino Linotype"/>
          <w:i/>
          <w:color w:val="000000"/>
          <w:sz w:val="22"/>
          <w:szCs w:val="22"/>
        </w:rPr>
        <w:lastRenderedPageBreak/>
        <w:t xml:space="preserve">mensual, dentro del plazo señalado en el primer párrafo de esta regla posterior al último día del mes laborado y efectivamente pagado, en cuyo caso se considerará como fecha de expedición y entrega de tal comprobante fiscal la fecha en que se realizó efectivamente el pago correspondiente al último día o periodo laborado dentro del mes por el que se emita el CFDI. Los contribuyentes que opten por emitir el CFDI mensual a que se refiere el párrafo anterior, deberán incorporar al mismo el complemento de nómina, por cada uno de los pagos realizados durante el mes, debidamente requisitados. </w:t>
      </w:r>
    </w:p>
    <w:p w14:paraId="6ABA6C59"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CFDI mensual deberá incorporar tantos complementos como número de pagos que se hayan realizado durante el mes de que se trate.</w:t>
      </w:r>
    </w:p>
    <w:p w14:paraId="0CDB8A85"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D5DD147"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2.7.5.2. Para los efectos de los artículos 29, segundo párrafo, fracción V del CFF y 99, fracción III de la Ley del ISR, </w:t>
      </w:r>
      <w:r>
        <w:rPr>
          <w:rFonts w:ascii="Palatino Linotype" w:eastAsia="Palatino Linotype" w:hAnsi="Palatino Linotype" w:cs="Palatino Linotype"/>
          <w:b/>
          <w:i/>
          <w:color w:val="000000"/>
          <w:sz w:val="22"/>
          <w:szCs w:val="22"/>
        </w:rPr>
        <w:t xml:space="preserve">los contribuyentes entregarán o enviarán a sus trabajadores el CFDI en un archivo con el formato electrónico XML de las remuneraciones cubiertas. </w:t>
      </w:r>
    </w:p>
    <w:p w14:paraId="73327D23"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Los contribuyentes que se encuentren imposibilitados para cumplir con lo establecido en el párrafo anterior, podrán entregar una representación impresa del CFDI. </w:t>
      </w:r>
    </w:p>
    <w:p w14:paraId="72F79A94"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Dicha representación deberá contener al menos los siguientes datos: </w:t>
      </w:r>
    </w:p>
    <w:p w14:paraId="1FF20B24"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roofErr w:type="spellStart"/>
      <w:r>
        <w:rPr>
          <w:rFonts w:ascii="Palatino Linotype" w:eastAsia="Palatino Linotype" w:hAnsi="Palatino Linotype" w:cs="Palatino Linotype"/>
          <w:b/>
          <w:i/>
          <w:color w:val="000000"/>
          <w:sz w:val="22"/>
          <w:szCs w:val="22"/>
        </w:rPr>
        <w:t>I.El</w:t>
      </w:r>
      <w:proofErr w:type="spellEnd"/>
      <w:r>
        <w:rPr>
          <w:rFonts w:ascii="Palatino Linotype" w:eastAsia="Palatino Linotype" w:hAnsi="Palatino Linotype" w:cs="Palatino Linotype"/>
          <w:b/>
          <w:i/>
          <w:color w:val="000000"/>
          <w:sz w:val="22"/>
          <w:szCs w:val="22"/>
        </w:rPr>
        <w:t xml:space="preserve"> folio fiscal. </w:t>
      </w:r>
    </w:p>
    <w:p w14:paraId="23A222CC"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roofErr w:type="spellStart"/>
      <w:r>
        <w:rPr>
          <w:rFonts w:ascii="Palatino Linotype" w:eastAsia="Palatino Linotype" w:hAnsi="Palatino Linotype" w:cs="Palatino Linotype"/>
          <w:b/>
          <w:i/>
          <w:color w:val="000000"/>
          <w:sz w:val="22"/>
          <w:szCs w:val="22"/>
        </w:rPr>
        <w:t>II.La</w:t>
      </w:r>
      <w:proofErr w:type="spellEnd"/>
      <w:r>
        <w:rPr>
          <w:rFonts w:ascii="Palatino Linotype" w:eastAsia="Palatino Linotype" w:hAnsi="Palatino Linotype" w:cs="Palatino Linotype"/>
          <w:b/>
          <w:i/>
          <w:color w:val="000000"/>
          <w:sz w:val="22"/>
          <w:szCs w:val="22"/>
        </w:rPr>
        <w:t xml:space="preserve"> clave en el RFC del empleador. </w:t>
      </w:r>
    </w:p>
    <w:p w14:paraId="1E1DA0DC"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III. La clave en el RFC del empleado. </w:t>
      </w:r>
    </w:p>
    <w:p w14:paraId="71B0ECF6"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contribuyentes que pongan a disposición de sus trabajadores una página o dirección electrónica que les permita obtener la representación impresa del CFDI, tendrán por cumplida la entrega de los mismos.</w:t>
      </w:r>
    </w:p>
    <w:p w14:paraId="2B7F9FCA"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Los empleadores que no puedan realizar lo señalado en el párrafo que antecede, podrán entregar a sus trabajadores las representaciones impresas del CFDI de forma semestral, dentro del mes inmediato posterior al término de cada semestre. </w:t>
      </w:r>
    </w:p>
    <w:p w14:paraId="5A21DD20" w14:textId="77777777" w:rsidR="008C61AB" w:rsidRDefault="00380AFA">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facilidad prevista en la presente regla será aplicable siempre que al efecto se hayan emitido los CFDI correspondientes dentro de los plazos establecidos para tales efectos.”</w:t>
      </w:r>
    </w:p>
    <w:p w14:paraId="602CFF2C" w14:textId="77777777" w:rsidR="008C61AB" w:rsidRDefault="008C61AB">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14:paraId="39462010" w14:textId="77777777" w:rsidR="008C61AB" w:rsidRDefault="00380AFA">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resumen, los Comprobantes Fiscales Digitales por Internet por concepto de nómina (CDFI), son los documentos que se encuentran constreñidos a expedir  </w:t>
      </w:r>
      <w:r>
        <w:rPr>
          <w:rFonts w:ascii="Palatino Linotype" w:eastAsia="Palatino Linotype" w:hAnsi="Palatino Linotype" w:cs="Palatino Linotype"/>
          <w:color w:val="000000"/>
        </w:rPr>
        <w:lastRenderedPageBreak/>
        <w:t xml:space="preserve">quienes realicen pagos por concepto de las remuneraciones de los servidores públicos, es de resaltar que para su expedición es necesario contar con un certificado de firma electrónica avanzada vigente, tramitar ante el Servicio de Administración Tributaria, el certificado para el uso de los sellos digitales. </w:t>
      </w:r>
    </w:p>
    <w:p w14:paraId="5248E0ED" w14:textId="77777777" w:rsidR="008C61AB" w:rsidRDefault="008C61AB">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p>
    <w:p w14:paraId="50E9B924" w14:textId="77777777" w:rsidR="008C61AB" w:rsidRDefault="00380AFA">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En observancia a los preceptos citados, se determina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expedir los Comprobantes Fiscales Digitales por Internet por concepto de nómina (CDFI); de manera quincenal y una vez que son validados por el Servicio de Administración Tributaria, estos son remitidos a los trabajadores en formato electrónico XML. </w:t>
      </w:r>
    </w:p>
    <w:p w14:paraId="31707A23" w14:textId="77777777" w:rsidR="008C61AB" w:rsidRDefault="008C61AB">
      <w:pPr>
        <w:pBdr>
          <w:top w:val="nil"/>
          <w:left w:val="nil"/>
          <w:bottom w:val="nil"/>
          <w:right w:val="nil"/>
          <w:between w:val="nil"/>
        </w:pBdr>
        <w:spacing w:line="360" w:lineRule="auto"/>
        <w:ind w:right="51"/>
        <w:jc w:val="both"/>
        <w:rPr>
          <w:color w:val="000000"/>
        </w:rPr>
      </w:pPr>
    </w:p>
    <w:p w14:paraId="430A654F" w14:textId="77777777" w:rsidR="008C61AB" w:rsidRDefault="00380AF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sobre el cambio de modalidad es de recordar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al momento de presentar la solicitud de información que dio origen al Recurso de Revisión que nos ocupa, eligió como modalidad de entrega </w:t>
      </w:r>
      <w:r>
        <w:rPr>
          <w:rFonts w:ascii="Palatino Linotype" w:eastAsia="Palatino Linotype" w:hAnsi="Palatino Linotype" w:cs="Palatino Linotype"/>
          <w:i/>
          <w:color w:val="000000"/>
        </w:rPr>
        <w:t>“Sistema de Acceso a la Información Pública Mexiquense”</w:t>
      </w:r>
      <w:r>
        <w:rPr>
          <w:rFonts w:ascii="Palatino Linotype" w:eastAsia="Palatino Linotype" w:hAnsi="Palatino Linotype" w:cs="Palatino Linotype"/>
          <w:color w:val="000000"/>
        </w:rPr>
        <w:t>, tal como se aprecia a continuación:</w:t>
      </w:r>
    </w:p>
    <w:p w14:paraId="00DD6451" w14:textId="77777777" w:rsidR="008C61AB" w:rsidRDefault="008C61A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85E1805" w14:textId="77777777" w:rsidR="008C61AB" w:rsidRDefault="00380AF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695E26D2" wp14:editId="5C042C6A">
            <wp:extent cx="5706230" cy="2004089"/>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706230" cy="2004089"/>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2728CE74" wp14:editId="6384F9DA">
                <wp:simplePos x="0" y="0"/>
                <wp:positionH relativeFrom="column">
                  <wp:posOffset>1</wp:posOffset>
                </wp:positionH>
                <wp:positionV relativeFrom="paragraph">
                  <wp:posOffset>1295400</wp:posOffset>
                </wp:positionV>
                <wp:extent cx="1401074" cy="383156"/>
                <wp:effectExtent l="0" t="0" r="0" b="0"/>
                <wp:wrapNone/>
                <wp:docPr id="16" name="Rectángulo 16"/>
                <wp:cNvGraphicFramePr/>
                <a:graphic xmlns:a="http://schemas.openxmlformats.org/drawingml/2006/main">
                  <a:graphicData uri="http://schemas.microsoft.com/office/word/2010/wordprocessingShape">
                    <wps:wsp>
                      <wps:cNvSpPr/>
                      <wps:spPr>
                        <a:xfrm>
                          <a:off x="4664513" y="3607472"/>
                          <a:ext cx="1362974" cy="345056"/>
                        </a:xfrm>
                        <a:prstGeom prst="rect">
                          <a:avLst/>
                        </a:prstGeom>
                        <a:noFill/>
                        <a:ln w="38100" cap="flat" cmpd="sng">
                          <a:solidFill>
                            <a:srgbClr val="FFC000"/>
                          </a:solidFill>
                          <a:prstDash val="solid"/>
                          <a:round/>
                          <a:headEnd type="none" w="sm" len="sm"/>
                          <a:tailEnd type="none" w="sm" len="sm"/>
                        </a:ln>
                      </wps:spPr>
                      <wps:txbx>
                        <w:txbxContent>
                          <w:p w14:paraId="15CF7524" w14:textId="77777777" w:rsidR="006B5C56" w:rsidRDefault="006B5C56">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id="_x0000_s1026" style="position:absolute;left:0;text-align:left;margin-left:0;margin-top:102pt;width:110.3pt;height:30.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" filled="f" strokecolor="#ffc000" strokeweight="3pt">
                <v:stroke startarrowwidth="narrow" startarrowlength="short" endarrowwidth="narrow" endarrowlength="short" joinstyle="round"/>
                <v:textbox inset="2.53958mm,2.53958mm,2.53958mm,2.53958mm">
                  <w:txbxContent>
                    <w:p w:rsidR="006B5C56" w:rsidRDefault="006B5C56">
                      <w:pPr>
                        <w:textDirection w:val="btLr"/>
                      </w:pPr>
                    </w:p>
                  </w:txbxContent>
                </v:textbox>
              </v:rect>
            </w:pict>
          </mc:Fallback>
        </mc:AlternateContent>
      </w:r>
    </w:p>
    <w:p w14:paraId="5CCC522E" w14:textId="77777777" w:rsidR="008C61AB" w:rsidRDefault="00380AFA">
      <w:p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5799644" w14:textId="77777777" w:rsidR="008C61AB" w:rsidRDefault="00380AFA">
      <w:pPr>
        <w:spacing w:after="16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De tal forma,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14:paraId="4486633A" w14:textId="77777777" w:rsidR="008C61AB" w:rsidRDefault="00380AFA">
      <w:pPr>
        <w:spacing w:after="16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155.</w:t>
      </w:r>
      <w:r>
        <w:rPr>
          <w:rFonts w:ascii="Palatino Linotype" w:eastAsia="Palatino Linotype" w:hAnsi="Palatino Linotype" w:cs="Palatino Linotype"/>
          <w:i/>
          <w:sz w:val="22"/>
          <w:szCs w:val="22"/>
        </w:rPr>
        <w:t xml:space="preserve"> Para presentar una solicitud por escrito, no se podrán exigir mayores requisitos que los siguientes:</w:t>
      </w:r>
    </w:p>
    <w:p w14:paraId="72998E92" w14:textId="77777777" w:rsidR="008C61AB" w:rsidRDefault="00380AFA">
      <w:pPr>
        <w:spacing w:after="16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7FF6377" w14:textId="77777777" w:rsidR="008C61AB" w:rsidRDefault="00380AFA">
      <w:pPr>
        <w:spacing w:after="16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6B977969" w14:textId="77777777" w:rsidR="008C61AB" w:rsidRDefault="00380AFA">
      <w:pPr>
        <w:spacing w:after="16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D199F4A" w14:textId="77777777" w:rsidR="008C61AB" w:rsidRDefault="00380AFA">
      <w:pPr>
        <w:spacing w:line="360" w:lineRule="auto"/>
        <w:ind w:right="-28"/>
        <w:jc w:val="both"/>
        <w:rPr>
          <w:rFonts w:ascii="Palatino Linotype" w:eastAsia="Palatino Linotype" w:hAnsi="Palatino Linotype" w:cs="Palatino Linotype"/>
          <w:b/>
        </w:rPr>
      </w:pPr>
      <w:r>
        <w:rPr>
          <w:rFonts w:ascii="Palatino Linotype" w:eastAsia="Palatino Linotype" w:hAnsi="Palatino Linotype" w:cs="Palatino Linotype"/>
        </w:rPr>
        <w:t xml:space="preserve">El artículo 158, dispone que, de manera excepcional, cuando de manera fundada y motivada lo determine el Sujeto Obligado, </w:t>
      </w:r>
      <w:r>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4B00B452" w14:textId="77777777" w:rsidR="008C61AB" w:rsidRDefault="008C61AB">
      <w:pPr>
        <w:spacing w:after="160" w:line="360" w:lineRule="auto"/>
        <w:ind w:right="49"/>
        <w:jc w:val="both"/>
        <w:rPr>
          <w:rFonts w:ascii="Palatino Linotype" w:eastAsia="Palatino Linotype" w:hAnsi="Palatino Linotype" w:cs="Palatino Linotype"/>
        </w:rPr>
      </w:pPr>
    </w:p>
    <w:p w14:paraId="751290D7" w14:textId="77777777" w:rsidR="008C61AB" w:rsidRDefault="00380AFA">
      <w:pPr>
        <w:spacing w:after="16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Pr>
          <w:rFonts w:ascii="Palatino Linotype" w:eastAsia="Palatino Linotype" w:hAnsi="Palatino Linotype" w:cs="Palatino Linotype"/>
          <w:b/>
        </w:rPr>
        <w:t>se deberá fundar y motivar dicha necesidad</w:t>
      </w:r>
      <w:r>
        <w:rPr>
          <w:rFonts w:ascii="Palatino Linotype" w:eastAsia="Palatino Linotype" w:hAnsi="Palatino Linotype" w:cs="Palatino Linotype"/>
        </w:rPr>
        <w:t xml:space="preserve">, como se advierte a continuación: </w:t>
      </w:r>
    </w:p>
    <w:p w14:paraId="644B8D40" w14:textId="77777777" w:rsidR="008C61AB" w:rsidRDefault="008C61AB">
      <w:pPr>
        <w:spacing w:line="360" w:lineRule="auto"/>
        <w:ind w:right="49"/>
        <w:jc w:val="both"/>
        <w:rPr>
          <w:rFonts w:ascii="Palatino Linotype" w:eastAsia="Palatino Linotype" w:hAnsi="Palatino Linotype" w:cs="Palatino Linotype"/>
        </w:rPr>
      </w:pPr>
    </w:p>
    <w:p w14:paraId="4176C7E9" w14:textId="77777777" w:rsidR="008C61AB" w:rsidRDefault="00380AF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164.</w:t>
      </w:r>
      <w:r>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04E0128F" w14:textId="77777777" w:rsidR="008C61AB" w:rsidRDefault="00380AFA">
      <w:pPr>
        <w:spacing w:after="16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cualquier caso, se deberá fundar y motivar la necesidad de ofrecer otras modalidades.”</w:t>
      </w:r>
    </w:p>
    <w:p w14:paraId="2334B46B" w14:textId="77777777" w:rsidR="008C61AB" w:rsidRDefault="008C61AB">
      <w:pPr>
        <w:spacing w:after="160" w:line="276" w:lineRule="auto"/>
        <w:ind w:left="567" w:right="567"/>
        <w:jc w:val="both"/>
        <w:rPr>
          <w:rFonts w:ascii="Palatino Linotype" w:eastAsia="Palatino Linotype" w:hAnsi="Palatino Linotype" w:cs="Palatino Linotype"/>
          <w:i/>
          <w:sz w:val="22"/>
          <w:szCs w:val="22"/>
        </w:rPr>
      </w:pPr>
    </w:p>
    <w:p w14:paraId="37FA36C0" w14:textId="77777777" w:rsidR="008C61AB" w:rsidRDefault="00380AF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14:paraId="15134157" w14:textId="77777777" w:rsidR="008C61AB" w:rsidRDefault="008C61AB">
      <w:pPr>
        <w:spacing w:line="360" w:lineRule="auto"/>
        <w:ind w:right="49"/>
        <w:jc w:val="both"/>
        <w:rPr>
          <w:rFonts w:ascii="Palatino Linotype" w:eastAsia="Palatino Linotype" w:hAnsi="Palatino Linotype" w:cs="Palatino Linotype"/>
        </w:rPr>
      </w:pPr>
    </w:p>
    <w:p w14:paraId="1EBE5510" w14:textId="77777777" w:rsidR="008C61AB" w:rsidRDefault="00380AFA">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Pr>
          <w:rFonts w:ascii="Palatino Linotype" w:eastAsia="Palatino Linotype" w:hAnsi="Palatino Linotype" w:cs="Palatino Linotype"/>
          <w:b/>
        </w:rPr>
        <w:t xml:space="preserve">se acredite la imposibilidad de atenderla. </w:t>
      </w:r>
    </w:p>
    <w:p w14:paraId="06D211F8" w14:textId="77777777" w:rsidR="008C61AB" w:rsidRDefault="00380AF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14:paraId="440811B0" w14:textId="77777777" w:rsidR="008C61AB" w:rsidRDefault="008C61AB">
      <w:pPr>
        <w:spacing w:line="360" w:lineRule="auto"/>
        <w:ind w:right="49"/>
        <w:jc w:val="both"/>
        <w:rPr>
          <w:rFonts w:ascii="Palatino Linotype" w:eastAsia="Palatino Linotype" w:hAnsi="Palatino Linotype" w:cs="Palatino Linotype"/>
        </w:rPr>
      </w:pPr>
    </w:p>
    <w:p w14:paraId="049B686E" w14:textId="77777777" w:rsidR="008C61AB" w:rsidRDefault="00380AFA">
      <w:pPr>
        <w:spacing w:after="160" w:line="276" w:lineRule="auto"/>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w:t>
      </w:r>
      <w:r>
        <w:rPr>
          <w:rFonts w:ascii="Palatino Linotype" w:eastAsia="Palatino Linotype" w:hAnsi="Palatino Linotype" w:cs="Palatino Linotype"/>
          <w:i/>
          <w:sz w:val="22"/>
          <w:szCs w:val="22"/>
        </w:rPr>
        <w:lastRenderedPageBreak/>
        <w:t xml:space="preserve">atender la modalidad elegida, la obligación de acceso a la información se tendrá por cumplida cuando el sujeto obligado: </w:t>
      </w:r>
      <w:r>
        <w:rPr>
          <w:rFonts w:ascii="Palatino Linotype" w:eastAsia="Palatino Linotype" w:hAnsi="Palatino Linotype" w:cs="Palatino Linotype"/>
          <w:b/>
          <w:i/>
          <w:sz w:val="22"/>
          <w:szCs w:val="22"/>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5901EF1E" w14:textId="77777777" w:rsidR="008C61AB" w:rsidRDefault="008C61AB">
      <w:pPr>
        <w:spacing w:after="160" w:line="276" w:lineRule="auto"/>
        <w:ind w:left="567" w:right="567"/>
        <w:jc w:val="both"/>
        <w:rPr>
          <w:rFonts w:ascii="Palatino Linotype" w:eastAsia="Palatino Linotype" w:hAnsi="Palatino Linotype" w:cs="Palatino Linotype"/>
          <w:i/>
          <w:sz w:val="22"/>
          <w:szCs w:val="22"/>
        </w:rPr>
      </w:pPr>
    </w:p>
    <w:p w14:paraId="3A3F43B7" w14:textId="77777777" w:rsidR="008C61AB" w:rsidRDefault="00380AF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se desprende que, cuando no sea posible atender la modalidad elegida por los solicitantes,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justificar el impedimento para atender esta y notificar al particular la puesta a disposición de la información en todas las modalidades que lo permitan, procurando reducir los costos de entrega.</w:t>
      </w:r>
    </w:p>
    <w:p w14:paraId="281599F3" w14:textId="77777777" w:rsidR="008C61AB" w:rsidRDefault="008C61AB">
      <w:pPr>
        <w:spacing w:line="360" w:lineRule="auto"/>
        <w:jc w:val="both"/>
        <w:rPr>
          <w:rFonts w:ascii="Palatino Linotype" w:eastAsia="Palatino Linotype" w:hAnsi="Palatino Linotype" w:cs="Palatino Linotype"/>
        </w:rPr>
      </w:pPr>
    </w:p>
    <w:p w14:paraId="5FBFCA47" w14:textId="77777777" w:rsidR="008C61AB" w:rsidRDefault="00380AFA">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BBFFF2D" w14:textId="77777777" w:rsidR="008C61AB" w:rsidRDefault="008C61AB">
      <w:pPr>
        <w:widowControl w:val="0"/>
        <w:spacing w:line="360" w:lineRule="auto"/>
        <w:jc w:val="both"/>
        <w:rPr>
          <w:rFonts w:ascii="Palatino Linotype" w:eastAsia="Palatino Linotype" w:hAnsi="Palatino Linotype" w:cs="Palatino Linotype"/>
        </w:rPr>
      </w:pPr>
    </w:p>
    <w:p w14:paraId="6FAD4513" w14:textId="77777777" w:rsidR="008C61AB" w:rsidRDefault="00380AFA">
      <w:pPr>
        <w:numPr>
          <w:ilvl w:val="0"/>
          <w:numId w:val="1"/>
        </w:numPr>
        <w:spacing w:after="160" w:line="276" w:lineRule="auto"/>
        <w:ind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razones por las cuales la información implicaba un análisis, estudio o procesamiento de datos;</w:t>
      </w:r>
    </w:p>
    <w:p w14:paraId="653FE109" w14:textId="77777777" w:rsidR="008C61AB" w:rsidRDefault="00380AFA">
      <w:pPr>
        <w:numPr>
          <w:ilvl w:val="0"/>
          <w:numId w:val="1"/>
        </w:numPr>
        <w:spacing w:after="160" w:line="276" w:lineRule="auto"/>
        <w:ind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qué motivo el tiempo, que se le otorga al Sujeto Obligado para dar respuesta, en la modalidad elegida a la solicitud de información, no le es suficiente, y</w:t>
      </w:r>
    </w:p>
    <w:p w14:paraId="5EA90F47" w14:textId="77777777" w:rsidR="008C61AB" w:rsidRDefault="00380AFA">
      <w:pPr>
        <w:numPr>
          <w:ilvl w:val="0"/>
          <w:numId w:val="1"/>
        </w:numPr>
        <w:spacing w:after="160" w:line="276" w:lineRule="auto"/>
        <w:ind w:right="900"/>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sz w:val="22"/>
          <w:szCs w:val="22"/>
        </w:rPr>
        <w:t>La cantidad de recursos humanos y materiales con los que cuenta el Sujeto Obligado son insuficientes</w:t>
      </w:r>
      <w:r>
        <w:rPr>
          <w:rFonts w:ascii="Palatino Linotype" w:eastAsia="Palatino Linotype" w:hAnsi="Palatino Linotype" w:cs="Palatino Linotype"/>
          <w:b/>
          <w:sz w:val="22"/>
          <w:szCs w:val="22"/>
          <w:u w:val="single"/>
        </w:rPr>
        <w:t>.</w:t>
      </w:r>
    </w:p>
    <w:p w14:paraId="16BBFE0C" w14:textId="77777777" w:rsidR="008C61AB" w:rsidRDefault="008C61AB">
      <w:pPr>
        <w:spacing w:line="360" w:lineRule="auto"/>
        <w:ind w:right="49"/>
        <w:jc w:val="both"/>
        <w:rPr>
          <w:rFonts w:ascii="Palatino Linotype" w:eastAsia="Palatino Linotype" w:hAnsi="Palatino Linotype" w:cs="Palatino Linotype"/>
        </w:rPr>
      </w:pPr>
    </w:p>
    <w:p w14:paraId="450DD160" w14:textId="77777777" w:rsidR="008C61AB" w:rsidRDefault="00380AFA">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En esta consecución de ideas, en el caso que ahora nos ocupa, se visualizó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aprobó el cambio de modalidad a consulta directa mediante el Acta de la Trigésimo Cuarta Sesión Extraordinaria del Comité de Transparencia, llevada a cabo el 3 de julio de 2023, ello mediante el acuerdo número ACT/ATLACOMULCO/EXT/COMT/34ª/ACU-SEXTO/2023, sin embargo, del análisis a este documento, este Organismo Garante advirtió que en el punto que se aprueba dicho cambio de modalidad,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hace referencia a la solicitud 00189/ATLACOM/IP/2023</w:t>
      </w:r>
      <w:r>
        <w:rPr>
          <w:rFonts w:ascii="Palatino Linotype" w:eastAsia="Palatino Linotype" w:hAnsi="Palatino Linotype" w:cs="Palatino Linotype"/>
          <w:b/>
        </w:rPr>
        <w:t xml:space="preserve"> </w:t>
      </w:r>
      <w:r>
        <w:rPr>
          <w:rFonts w:ascii="Palatino Linotype" w:eastAsia="Palatino Linotype" w:hAnsi="Palatino Linotype" w:cs="Palatino Linotype"/>
        </w:rPr>
        <w:t>que es la correspondiente al recurso de revisión citado al rubro pero además dentro de este punto acumula las solicitudes 00176/ATLACOM/IP/2023 y 00188/ATLACOM/IP/2023 y señala que la información de las solicitudes es de 8,500 fojas, tal como se visualiza a continuación:</w:t>
      </w:r>
    </w:p>
    <w:p w14:paraId="3E262080" w14:textId="77777777" w:rsidR="008C61AB" w:rsidRDefault="008C61AB">
      <w:pPr>
        <w:spacing w:line="360" w:lineRule="auto"/>
        <w:ind w:right="49"/>
        <w:jc w:val="both"/>
        <w:rPr>
          <w:rFonts w:ascii="Palatino Linotype" w:eastAsia="Palatino Linotype" w:hAnsi="Palatino Linotype" w:cs="Palatino Linotype"/>
        </w:rPr>
      </w:pPr>
    </w:p>
    <w:p w14:paraId="57B9930F" w14:textId="77777777" w:rsidR="008C61AB" w:rsidRDefault="008C61AB">
      <w:pPr>
        <w:spacing w:line="360" w:lineRule="auto"/>
        <w:ind w:right="49"/>
        <w:jc w:val="both"/>
        <w:rPr>
          <w:rFonts w:ascii="Palatino Linotype" w:eastAsia="Palatino Linotype" w:hAnsi="Palatino Linotype" w:cs="Palatino Linotype"/>
        </w:rPr>
      </w:pPr>
    </w:p>
    <w:p w14:paraId="054B8802" w14:textId="77777777" w:rsidR="008C61AB" w:rsidRDefault="00380AF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7F72057F" wp14:editId="5449C927">
            <wp:extent cx="5572903" cy="6516009"/>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572903" cy="6516009"/>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2DB6CC4A" wp14:editId="58C7F4AB">
                <wp:simplePos x="0" y="0"/>
                <wp:positionH relativeFrom="column">
                  <wp:posOffset>76201</wp:posOffset>
                </wp:positionH>
                <wp:positionV relativeFrom="paragraph">
                  <wp:posOffset>2133600</wp:posOffset>
                </wp:positionV>
                <wp:extent cx="5488101" cy="4366764"/>
                <wp:effectExtent l="0" t="0" r="0" b="0"/>
                <wp:wrapNone/>
                <wp:docPr id="17" name="Rectángulo 17"/>
                <wp:cNvGraphicFramePr/>
                <a:graphic xmlns:a="http://schemas.openxmlformats.org/drawingml/2006/main">
                  <a:graphicData uri="http://schemas.microsoft.com/office/word/2010/wordprocessingShape">
                    <wps:wsp>
                      <wps:cNvSpPr/>
                      <wps:spPr>
                        <a:xfrm>
                          <a:off x="2611475" y="1606143"/>
                          <a:ext cx="5469051" cy="4347714"/>
                        </a:xfrm>
                        <a:prstGeom prst="rect">
                          <a:avLst/>
                        </a:prstGeom>
                        <a:noFill/>
                        <a:ln w="19050" cap="flat" cmpd="sng">
                          <a:solidFill>
                            <a:srgbClr val="FFC000"/>
                          </a:solidFill>
                          <a:prstDash val="solid"/>
                          <a:round/>
                          <a:headEnd type="none" w="sm" len="sm"/>
                          <a:tailEnd type="none" w="sm" len="sm"/>
                        </a:ln>
                      </wps:spPr>
                      <wps:txbx>
                        <w:txbxContent>
                          <w:p w14:paraId="371DD084" w14:textId="77777777" w:rsidR="006B5C56" w:rsidRDefault="006B5C56">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id="_x0000_s1027" style="position:absolute;left:0;text-align:left;margin-left:6pt;margin-top:168pt;width:432.15pt;height:343.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" filled="f" strokecolor="#ffc000" strokeweight="1.5pt">
                <v:stroke startarrowwidth="narrow" startarrowlength="short" endarrowwidth="narrow" endarrowlength="short" joinstyle="round"/>
                <v:textbox inset="2.53958mm,2.53958mm,2.53958mm,2.53958mm">
                  <w:txbxContent>
                    <w:p w:rsidR="006B5C56" w:rsidRDefault="006B5C56">
                      <w:pPr>
                        <w:textDirection w:val="btLr"/>
                      </w:pPr>
                    </w:p>
                  </w:txbxContent>
                </v:textbox>
              </v:rect>
            </w:pict>
          </mc:Fallback>
        </mc:AlternateContent>
      </w:r>
    </w:p>
    <w:p w14:paraId="3DAD7B3C" w14:textId="77777777" w:rsidR="008C61AB" w:rsidRDefault="00380AF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0A023065" wp14:editId="1107583A">
            <wp:extent cx="5506218" cy="1895740"/>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506218" cy="1895740"/>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61D07220" wp14:editId="14B7134A">
                <wp:simplePos x="0" y="0"/>
                <wp:positionH relativeFrom="column">
                  <wp:posOffset>127000</wp:posOffset>
                </wp:positionH>
                <wp:positionV relativeFrom="paragraph">
                  <wp:posOffset>406400</wp:posOffset>
                </wp:positionV>
                <wp:extent cx="5393906" cy="993727"/>
                <wp:effectExtent l="0" t="0" r="0" b="0"/>
                <wp:wrapNone/>
                <wp:docPr id="18" name="Rectángulo 18"/>
                <wp:cNvGraphicFramePr/>
                <a:graphic xmlns:a="http://schemas.openxmlformats.org/drawingml/2006/main">
                  <a:graphicData uri="http://schemas.microsoft.com/office/word/2010/wordprocessingShape">
                    <wps:wsp>
                      <wps:cNvSpPr/>
                      <wps:spPr>
                        <a:xfrm>
                          <a:off x="2663335" y="3297424"/>
                          <a:ext cx="5365331" cy="965152"/>
                        </a:xfrm>
                        <a:prstGeom prst="rect">
                          <a:avLst/>
                        </a:prstGeom>
                        <a:noFill/>
                        <a:ln w="28575" cap="flat" cmpd="sng">
                          <a:solidFill>
                            <a:srgbClr val="FFC000"/>
                          </a:solidFill>
                          <a:prstDash val="solid"/>
                          <a:round/>
                          <a:headEnd type="none" w="sm" len="sm"/>
                          <a:tailEnd type="none" w="sm" len="sm"/>
                        </a:ln>
                      </wps:spPr>
                      <wps:txbx>
                        <w:txbxContent>
                          <w:p w14:paraId="42C23A03" w14:textId="77777777" w:rsidR="006B5C56" w:rsidRDefault="006B5C56">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id="_x0000_s1028" style="position:absolute;left:0;text-align:left;margin-left:10pt;margin-top:32pt;width:424.7pt;height:7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" filled="f" strokecolor="#ffc000" strokeweight="2.25pt">
                <v:stroke startarrowwidth="narrow" startarrowlength="short" endarrowwidth="narrow" endarrowlength="short" joinstyle="round"/>
                <v:textbox inset="2.53958mm,2.53958mm,2.53958mm,2.53958mm">
                  <w:txbxContent>
                    <w:p w:rsidR="006B5C56" w:rsidRDefault="006B5C56">
                      <w:pPr>
                        <w:textDirection w:val="btLr"/>
                      </w:pPr>
                    </w:p>
                  </w:txbxContent>
                </v:textbox>
              </v:rect>
            </w:pict>
          </mc:Fallback>
        </mc:AlternateContent>
      </w:r>
    </w:p>
    <w:p w14:paraId="435D83B7" w14:textId="77777777" w:rsidR="008C61AB" w:rsidRDefault="00380AF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visualizado con antelación, es necesario resaltar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señaló que las 8,500 fojas corresponden a la información de las tres solicitudes y no de manera particular sobre la solicitud de información que nos ocupa que es la 00189/ATLACOM/IP/2023. </w:t>
      </w:r>
    </w:p>
    <w:p w14:paraId="7592D1ED" w14:textId="77777777" w:rsidR="008C61AB" w:rsidRDefault="008C61AB">
      <w:pPr>
        <w:spacing w:line="360" w:lineRule="auto"/>
        <w:ind w:right="49"/>
        <w:jc w:val="both"/>
        <w:rPr>
          <w:rFonts w:ascii="Palatino Linotype" w:eastAsia="Palatino Linotype" w:hAnsi="Palatino Linotype" w:cs="Palatino Linotype"/>
        </w:rPr>
      </w:pPr>
    </w:p>
    <w:p w14:paraId="1C8C781F" w14:textId="77777777" w:rsidR="008C61AB" w:rsidRDefault="00380AF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Correlativo a lo anterior, este Instituto no quiere dejar de mencionar que en la resolución del recurso de revisión </w:t>
      </w:r>
      <w:r>
        <w:rPr>
          <w:rFonts w:ascii="Palatino Linotype" w:eastAsia="Palatino Linotype" w:hAnsi="Palatino Linotype" w:cs="Palatino Linotype"/>
          <w:b/>
        </w:rPr>
        <w:t>00231/INFOEM/IP/RR/2023</w:t>
      </w:r>
      <w:r>
        <w:rPr>
          <w:rFonts w:ascii="Palatino Linotype" w:eastAsia="Palatino Linotype" w:hAnsi="Palatino Linotype" w:cs="Palatino Linotype"/>
        </w:rPr>
        <w:t xml:space="preserve"> en la que se determinó ordenar la entrega de la nómina de todo el personal del Ayuntamiento de Atlacomulco de la primera y segunda quincena de noviembre de 2022, se advirtió que en el cumplimiento a la resolución,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la  conciliación de nómina en la que obran </w:t>
      </w:r>
      <w:r>
        <w:rPr>
          <w:rFonts w:ascii="Palatino Linotype" w:eastAsia="Palatino Linotype" w:hAnsi="Palatino Linotype" w:cs="Palatino Linotype"/>
          <w:b/>
        </w:rPr>
        <w:t>859 registros de servidores públicos</w:t>
      </w:r>
      <w:r>
        <w:rPr>
          <w:rFonts w:ascii="Palatino Linotype" w:eastAsia="Palatino Linotype" w:hAnsi="Palatino Linotype" w:cs="Palatino Linotype"/>
        </w:rPr>
        <w:t>:</w:t>
      </w:r>
    </w:p>
    <w:p w14:paraId="53E8FD06" w14:textId="77777777" w:rsidR="008C61AB" w:rsidRDefault="00380AFA">
      <w:pPr>
        <w:spacing w:line="360" w:lineRule="auto"/>
        <w:ind w:right="49"/>
        <w:jc w:val="right"/>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4E6BB34E" wp14:editId="14CAA4BC">
            <wp:extent cx="5612130" cy="1609725"/>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612130" cy="1609725"/>
                    </a:xfrm>
                    <a:prstGeom prst="rect">
                      <a:avLst/>
                    </a:prstGeom>
                    <a:ln/>
                  </pic:spPr>
                </pic:pic>
              </a:graphicData>
            </a:graphic>
          </wp:inline>
        </w:drawing>
      </w:r>
    </w:p>
    <w:p w14:paraId="2C3FBF20" w14:textId="77777777" w:rsidR="008C61AB" w:rsidRDefault="00380AF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en la resolución del recurso de revisión </w:t>
      </w:r>
      <w:r>
        <w:rPr>
          <w:rFonts w:ascii="Palatino Linotype" w:eastAsia="Palatino Linotype" w:hAnsi="Palatino Linotype" w:cs="Palatino Linotype"/>
          <w:b/>
        </w:rPr>
        <w:t xml:space="preserve">01041/INFOEM/IP/RR/2022 y acumulado, </w:t>
      </w:r>
      <w:r>
        <w:rPr>
          <w:rFonts w:ascii="Palatino Linotype" w:eastAsia="Palatino Linotype" w:hAnsi="Palatino Linotype" w:cs="Palatino Linotype"/>
        </w:rPr>
        <w:t xml:space="preserve">se solicitaron los recibos de nómina de todos los servidores públicos del Ayuntamiento de Atlacomulco, del periodo 01 de enero al 15 de enero del año 2022, los cuales fueron proporcionados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respuesta, a través del SAIMEX mediante un documento que se compone de </w:t>
      </w:r>
      <w:r>
        <w:rPr>
          <w:rFonts w:ascii="Palatino Linotype" w:eastAsia="Palatino Linotype" w:hAnsi="Palatino Linotype" w:cs="Palatino Linotype"/>
          <w:b/>
        </w:rPr>
        <w:t>770 recibos de nómina</w:t>
      </w:r>
      <w:r>
        <w:rPr>
          <w:rFonts w:ascii="Palatino Linotype" w:eastAsia="Palatino Linotype" w:hAnsi="Palatino Linotype" w:cs="Palatino Linotype"/>
        </w:rPr>
        <w:t xml:space="preserve">. </w:t>
      </w:r>
    </w:p>
    <w:p w14:paraId="2493F057" w14:textId="77777777" w:rsidR="008C61AB" w:rsidRDefault="00380AFA">
      <w:pPr>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3D1E7B44" wp14:editId="556BB7AB">
            <wp:extent cx="4855733" cy="3252539"/>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855733" cy="3252539"/>
                    </a:xfrm>
                    <a:prstGeom prst="rect">
                      <a:avLst/>
                    </a:prstGeom>
                    <a:ln/>
                  </pic:spPr>
                </pic:pic>
              </a:graphicData>
            </a:graphic>
          </wp:inline>
        </w:drawing>
      </w:r>
    </w:p>
    <w:p w14:paraId="5A77F88B" w14:textId="77777777" w:rsidR="008C61AB" w:rsidRDefault="008C61AB">
      <w:pPr>
        <w:spacing w:line="360" w:lineRule="auto"/>
        <w:ind w:right="49"/>
        <w:jc w:val="both"/>
        <w:rPr>
          <w:rFonts w:ascii="Palatino Linotype" w:eastAsia="Palatino Linotype" w:hAnsi="Palatino Linotype" w:cs="Palatino Linotype"/>
        </w:rPr>
      </w:pPr>
    </w:p>
    <w:p w14:paraId="4786DC84" w14:textId="77777777" w:rsidR="008C61AB" w:rsidRDefault="00380AFA">
      <w:pPr>
        <w:spacing w:line="360" w:lineRule="auto"/>
        <w:ind w:right="49"/>
        <w:jc w:val="both"/>
        <w:rPr>
          <w:rFonts w:ascii="Palatino Linotype" w:eastAsia="Palatino Linotype" w:hAnsi="Palatino Linotype" w:cs="Palatino Linotype"/>
        </w:rPr>
      </w:pPr>
      <w:bookmarkStart w:id="8" w:name="_heading=h.4d34og8" w:colFirst="0" w:colLast="0"/>
      <w:bookmarkEnd w:id="8"/>
      <w:r>
        <w:rPr>
          <w:rFonts w:ascii="Palatino Linotype" w:eastAsia="Palatino Linotype" w:hAnsi="Palatino Linotype" w:cs="Palatino Linotype"/>
        </w:rPr>
        <w:t xml:space="preserve">A mayor abundamiento es de resaltar que de conformidad con lo reportado por la Dirección General de Informática de este Instituto, el peso máximo de archivos que soporta el SAIMEX para adjuntar como respuesta a las solicitudes de información es de aproximadamente 500Mb o un equivalente de hasta 8,000 hojas, por consiguiente con estos antecedentes de resoluciones emitidos por este Pleno queda de manifiesto que es posible proporcionarse la información, pues el sistema SAIMEX soporta un peso aproximado de 8,000 fojas y para dar cumplimiento a la </w:t>
      </w:r>
      <w:r>
        <w:rPr>
          <w:rFonts w:ascii="Palatino Linotype" w:eastAsia="Palatino Linotype" w:hAnsi="Palatino Linotype" w:cs="Palatino Linotype"/>
        </w:rPr>
        <w:lastRenderedPageBreak/>
        <w:t xml:space="preserve">presente resolución se contempla que se adjunten aproximadamente 770 – 850 recibos de nómina. </w:t>
      </w:r>
    </w:p>
    <w:p w14:paraId="1BC67CA3" w14:textId="77777777" w:rsidR="008C61AB" w:rsidRDefault="008C61AB">
      <w:pPr>
        <w:spacing w:line="360" w:lineRule="auto"/>
        <w:jc w:val="both"/>
        <w:rPr>
          <w:rFonts w:ascii="Palatino Linotype" w:eastAsia="Palatino Linotype" w:hAnsi="Palatino Linotype" w:cs="Palatino Linotype"/>
        </w:rPr>
      </w:pPr>
    </w:p>
    <w:p w14:paraId="28A83409" w14:textId="77777777" w:rsidR="008C61AB" w:rsidRDefault="00380AFA">
      <w:pPr>
        <w:spacing w:line="360" w:lineRule="auto"/>
        <w:jc w:val="both"/>
        <w:rPr>
          <w:color w:val="000000"/>
        </w:rPr>
      </w:pPr>
      <w:r>
        <w:rPr>
          <w:rFonts w:ascii="Palatino Linotype" w:eastAsia="Palatino Linotype" w:hAnsi="Palatino Linotype" w:cs="Palatino Linotype"/>
        </w:rPr>
        <w:t xml:space="preserve">Es por ello que para este Instituto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acreditó la imposibilidad técnica a la que hace alusión, establecida en el artículo 158 de la Ley de Transparencia y Acceso a la Información Pública del Estado de México y Municipios, para validar el cambio de modalidad a consulta directa, por lo que, los agravios resultan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y es por ello que este Organismo Garante </w:t>
      </w:r>
      <w:r>
        <w:rPr>
          <w:rFonts w:ascii="Palatino Linotype" w:eastAsia="Palatino Linotype" w:hAnsi="Palatino Linotype" w:cs="Palatino Linotype"/>
          <w:color w:val="000000"/>
        </w:rPr>
        <w:t xml:space="preserve">determina </w:t>
      </w:r>
      <w:r>
        <w:rPr>
          <w:rFonts w:ascii="Palatino Linotype" w:eastAsia="Palatino Linotype" w:hAnsi="Palatino Linotype" w:cs="Palatino Linotype"/>
          <w:b/>
          <w:color w:val="000000"/>
        </w:rPr>
        <w:t xml:space="preserve">REVOCAR </w:t>
      </w:r>
      <w:r>
        <w:rPr>
          <w:rFonts w:ascii="Palatino Linotype" w:eastAsia="Palatino Linotype" w:hAnsi="Palatino Linotype" w:cs="Palatino Linotype"/>
          <w:color w:val="000000"/>
        </w:rPr>
        <w:t xml:space="preserve">la respuesta del recurso de revisión </w:t>
      </w:r>
      <w:r>
        <w:rPr>
          <w:rFonts w:ascii="Palatino Linotype" w:eastAsia="Palatino Linotype" w:hAnsi="Palatino Linotype" w:cs="Palatino Linotype"/>
          <w:b/>
          <w:color w:val="000000"/>
        </w:rPr>
        <w:t>04034/INFOEM/IP/RR/2023</w:t>
      </w:r>
      <w:r>
        <w:rPr>
          <w:rFonts w:ascii="Palatino Linotype" w:eastAsia="Palatino Linotype" w:hAnsi="Palatino Linotype" w:cs="Palatino Linotype"/>
          <w:color w:val="000000"/>
        </w:rPr>
        <w:t>, para ordenar la entrega de los Comprobantes Fiscales Digitales por Internet por concepto de nómina (CDFI)</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de todo el personal adscrito al ayuntamiento de Atlacomulco, de la segunda quincena de mayo de 2023, en versión pública conforme al considerando quinto.</w:t>
      </w:r>
    </w:p>
    <w:p w14:paraId="57E1074C" w14:textId="77777777" w:rsidR="008C61AB" w:rsidRDefault="00380AFA">
      <w:pPr>
        <w:pBdr>
          <w:top w:val="nil"/>
          <w:left w:val="nil"/>
          <w:bottom w:val="nil"/>
          <w:right w:val="nil"/>
          <w:between w:val="nil"/>
        </w:pBdr>
        <w:spacing w:before="240" w:after="240" w:line="360" w:lineRule="auto"/>
        <w:ind w:right="51"/>
        <w:jc w:val="both"/>
        <w:rPr>
          <w:color w:val="000000"/>
        </w:rPr>
      </w:pPr>
      <w:r>
        <w:rPr>
          <w:rFonts w:ascii="Palatino Linotype" w:eastAsia="Palatino Linotype" w:hAnsi="Palatino Linotype" w:cs="Palatino Linotype"/>
          <w:b/>
          <w:color w:val="000000"/>
        </w:rPr>
        <w:t xml:space="preserve">Quinto. Versión Pública. </w:t>
      </w:r>
      <w:r>
        <w:rPr>
          <w:rFonts w:ascii="Palatino Linotype" w:eastAsia="Palatino Linotype" w:hAnsi="Palatino Linotype" w:cs="Palatino Linotype"/>
          <w:color w:val="000000"/>
        </w:rPr>
        <w:t>Como fue debidamente apuntado,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6EE1DA21" w14:textId="77777777" w:rsidR="008C61AB" w:rsidRDefault="00380AFA">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 xml:space="preserve">El derecho de acceso a la información pública tiene como limitante el respeto a la intimidad y a la vida privada de las personas, es por ello que este Instituto debe cuidar que los datos personales que obren en poder de los Sujetos Obligados sean </w:t>
      </w:r>
      <w:r>
        <w:rPr>
          <w:rFonts w:ascii="Palatino Linotype" w:eastAsia="Palatino Linotype" w:hAnsi="Palatino Linotype" w:cs="Palatino Linotype"/>
          <w:color w:val="000000"/>
        </w:rPr>
        <w:lastRenderedPageBreak/>
        <w:t>protegidos y únicamente se den a conocer aquéllos que garanticen la rendición de cuentas y la transparencia en el ejercicio de las atribuciones que tienen conferidas.</w:t>
      </w:r>
    </w:p>
    <w:p w14:paraId="697A16ED" w14:textId="77777777" w:rsidR="008C61AB" w:rsidRDefault="00380AFA">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BCE7484" w14:textId="77777777" w:rsidR="008C61AB" w:rsidRDefault="00380AFA">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Al respecto, los artículos 3, fracciones IX, XX, XXI, XXXII, XLV; 6, 91, 137, 143 fracción I, de la Ley de Transparencia y Acceso a la Información Pública del Estado de México y Municipios vigente establecen:</w:t>
      </w:r>
    </w:p>
    <w:p w14:paraId="0A58AD72" w14:textId="77777777" w:rsidR="008C61AB" w:rsidRDefault="00380AFA" w:rsidP="00165647">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color w:val="000000"/>
        </w:rPr>
        <w:t> </w:t>
      </w:r>
      <w:r>
        <w:rPr>
          <w:rFonts w:ascii="Palatino Linotype" w:eastAsia="Palatino Linotype" w:hAnsi="Palatino Linotype" w:cs="Palatino Linotype"/>
          <w:i/>
          <w:color w:val="000000"/>
          <w:sz w:val="21"/>
          <w:szCs w:val="21"/>
        </w:rPr>
        <w:t>“</w:t>
      </w:r>
      <w:r>
        <w:rPr>
          <w:rFonts w:ascii="Palatino Linotype" w:eastAsia="Palatino Linotype" w:hAnsi="Palatino Linotype" w:cs="Palatino Linotype"/>
          <w:b/>
          <w:i/>
          <w:color w:val="000000"/>
          <w:sz w:val="21"/>
          <w:szCs w:val="21"/>
        </w:rPr>
        <w:t>Artículo 3.</w:t>
      </w:r>
      <w:r>
        <w:rPr>
          <w:rFonts w:ascii="Palatino Linotype" w:eastAsia="Palatino Linotype" w:hAnsi="Palatino Linotype" w:cs="Palatino Linotype"/>
          <w:i/>
          <w:color w:val="000000"/>
          <w:sz w:val="21"/>
          <w:szCs w:val="21"/>
        </w:rPr>
        <w:t xml:space="preserve"> Para los efectos de la presente Ley se entenderá por:</w:t>
      </w:r>
    </w:p>
    <w:p w14:paraId="07029874" w14:textId="77777777" w:rsidR="008C61AB" w:rsidRDefault="00380AFA" w:rsidP="00165647">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i/>
          <w:color w:val="000000"/>
          <w:sz w:val="21"/>
          <w:szCs w:val="21"/>
        </w:rPr>
        <w:t>(…)</w:t>
      </w:r>
    </w:p>
    <w:p w14:paraId="099F49CC" w14:textId="77777777" w:rsidR="008C61AB" w:rsidRDefault="00380AFA" w:rsidP="00165647">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b/>
          <w:i/>
          <w:color w:val="000000"/>
          <w:sz w:val="21"/>
          <w:szCs w:val="21"/>
        </w:rPr>
        <w:t>IX. Datos personales</w:t>
      </w:r>
      <w:r>
        <w:rPr>
          <w:rFonts w:ascii="Palatino Linotype" w:eastAsia="Palatino Linotype" w:hAnsi="Palatino Linotype" w:cs="Palatino Linotype"/>
          <w:i/>
          <w:color w:val="000000"/>
          <w:sz w:val="21"/>
          <w:szCs w:val="21"/>
        </w:rPr>
        <w:t>: La información concerniente a una persona, identificada o identificable según lo dispuesto por la Ley de Protección de Datos Personales del Estado de México;</w:t>
      </w:r>
    </w:p>
    <w:p w14:paraId="3EDEDEAB" w14:textId="77777777" w:rsidR="008C61AB" w:rsidRDefault="00380AFA">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i/>
          <w:color w:val="000000"/>
          <w:sz w:val="21"/>
          <w:szCs w:val="21"/>
        </w:rPr>
        <w:t>(…)</w:t>
      </w:r>
    </w:p>
    <w:p w14:paraId="07110B82" w14:textId="77777777" w:rsidR="008C61AB" w:rsidRDefault="00380AFA">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b/>
          <w:i/>
          <w:color w:val="000000"/>
          <w:sz w:val="21"/>
          <w:szCs w:val="21"/>
        </w:rPr>
        <w:t>XX. Información clasificada</w:t>
      </w:r>
      <w:r>
        <w:rPr>
          <w:rFonts w:ascii="Palatino Linotype" w:eastAsia="Palatino Linotype" w:hAnsi="Palatino Linotype" w:cs="Palatino Linotype"/>
          <w:i/>
          <w:color w:val="000000"/>
          <w:sz w:val="21"/>
          <w:szCs w:val="21"/>
        </w:rPr>
        <w:t>: Aquella considerada por la presente Ley como reservada o confidencial;</w:t>
      </w:r>
    </w:p>
    <w:p w14:paraId="33F33559" w14:textId="77777777" w:rsidR="008C61AB" w:rsidRDefault="00380AFA">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b/>
          <w:i/>
          <w:color w:val="000000"/>
          <w:sz w:val="21"/>
          <w:szCs w:val="21"/>
        </w:rPr>
        <w:t>XXI. Información confidencial</w:t>
      </w:r>
      <w:r>
        <w:rPr>
          <w:rFonts w:ascii="Palatino Linotype" w:eastAsia="Palatino Linotype" w:hAnsi="Palatino Linotype" w:cs="Palatino Linotype"/>
          <w:i/>
          <w:color w:val="000000"/>
          <w:sz w:val="21"/>
          <w:szCs w:val="21"/>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45256E0" w14:textId="77777777" w:rsidR="008C61AB" w:rsidRDefault="00380AFA">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i/>
          <w:color w:val="000000"/>
          <w:sz w:val="21"/>
          <w:szCs w:val="21"/>
        </w:rPr>
        <w:t>(…)</w:t>
      </w:r>
    </w:p>
    <w:p w14:paraId="35DB840D" w14:textId="77777777" w:rsidR="008C61AB" w:rsidRDefault="00380AFA">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b/>
          <w:i/>
          <w:color w:val="000000"/>
          <w:sz w:val="21"/>
          <w:szCs w:val="21"/>
        </w:rPr>
        <w:t>XXXII. Protección de Datos Personales</w:t>
      </w:r>
      <w:r>
        <w:rPr>
          <w:rFonts w:ascii="Palatino Linotype" w:eastAsia="Palatino Linotype" w:hAnsi="Palatino Linotype" w:cs="Palatino Linotype"/>
          <w:i/>
          <w:color w:val="000000"/>
          <w:sz w:val="21"/>
          <w:szCs w:val="21"/>
        </w:rPr>
        <w:t>: Derecho humano que tutela la privacidad de datos personales en poder de los sujetos obligados y sujetos particulares;</w:t>
      </w:r>
    </w:p>
    <w:p w14:paraId="4165B4CC" w14:textId="77777777" w:rsidR="008C61AB" w:rsidRDefault="00380AFA">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i/>
          <w:color w:val="000000"/>
          <w:sz w:val="21"/>
          <w:szCs w:val="21"/>
        </w:rPr>
        <w:t>(…)</w:t>
      </w:r>
    </w:p>
    <w:p w14:paraId="75D5DA49" w14:textId="77777777" w:rsidR="008C61AB" w:rsidRDefault="00380AFA">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b/>
          <w:i/>
          <w:color w:val="000000"/>
          <w:sz w:val="21"/>
          <w:szCs w:val="21"/>
        </w:rPr>
        <w:t>XLV. Versión pública</w:t>
      </w:r>
      <w:r>
        <w:rPr>
          <w:rFonts w:ascii="Palatino Linotype" w:eastAsia="Palatino Linotype" w:hAnsi="Palatino Linotype" w:cs="Palatino Linotype"/>
          <w:i/>
          <w:color w:val="000000"/>
          <w:sz w:val="21"/>
          <w:szCs w:val="21"/>
        </w:rPr>
        <w:t>: Documento en el que se elimine, suprime o borra la información clasificada como reservada o confidencial para permitir su acceso.</w:t>
      </w:r>
    </w:p>
    <w:p w14:paraId="28241D1B" w14:textId="77777777" w:rsidR="008C61AB" w:rsidRDefault="00380AFA">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b/>
          <w:i/>
          <w:color w:val="000000"/>
          <w:sz w:val="21"/>
          <w:szCs w:val="21"/>
        </w:rPr>
        <w:lastRenderedPageBreak/>
        <w:t> Artículo 6</w:t>
      </w:r>
      <w:r>
        <w:rPr>
          <w:rFonts w:ascii="Palatino Linotype" w:eastAsia="Palatino Linotype" w:hAnsi="Palatino Linotype" w:cs="Palatino Linotype"/>
          <w:i/>
          <w:color w:val="000000"/>
          <w:sz w:val="21"/>
          <w:szCs w:val="21"/>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C7D4E95" w14:textId="77777777" w:rsidR="008C61AB" w:rsidRDefault="00380AFA">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i/>
          <w:color w:val="000000"/>
          <w:sz w:val="21"/>
          <w:szCs w:val="21"/>
        </w:rPr>
        <w:t> (…)</w:t>
      </w:r>
    </w:p>
    <w:p w14:paraId="3E3C5F54" w14:textId="77777777" w:rsidR="008C61AB" w:rsidRDefault="00380AFA">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b/>
          <w:i/>
          <w:color w:val="000000"/>
          <w:sz w:val="21"/>
          <w:szCs w:val="21"/>
        </w:rPr>
        <w:t>Artículo 91.</w:t>
      </w:r>
      <w:r>
        <w:rPr>
          <w:rFonts w:ascii="Palatino Linotype" w:eastAsia="Palatino Linotype" w:hAnsi="Palatino Linotype" w:cs="Palatino Linotype"/>
          <w:i/>
          <w:color w:val="000000"/>
          <w:sz w:val="21"/>
          <w:szCs w:val="21"/>
        </w:rPr>
        <w:t xml:space="preserve"> El acceso a la información pública será restringido excepcionalmente, cuando ésta sea clasificada como reservada o confidencial.</w:t>
      </w:r>
    </w:p>
    <w:p w14:paraId="2D21F202" w14:textId="77777777" w:rsidR="008C61AB" w:rsidRDefault="00380AFA">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i/>
          <w:color w:val="000000"/>
          <w:sz w:val="21"/>
          <w:szCs w:val="21"/>
        </w:rPr>
        <w:t>(…)</w:t>
      </w:r>
    </w:p>
    <w:p w14:paraId="0A4DFE10" w14:textId="77777777" w:rsidR="008C61AB" w:rsidRDefault="00380AFA">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b/>
          <w:i/>
          <w:color w:val="000000"/>
          <w:sz w:val="21"/>
          <w:szCs w:val="21"/>
        </w:rPr>
        <w:t>Artículo 137.</w:t>
      </w:r>
      <w:r>
        <w:rPr>
          <w:rFonts w:ascii="Palatino Linotype" w:eastAsia="Palatino Linotype" w:hAnsi="Palatino Linotype" w:cs="Palatino Linotype"/>
          <w:i/>
          <w:color w:val="000000"/>
          <w:sz w:val="21"/>
          <w:szCs w:val="21"/>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D185C4A" w14:textId="77777777" w:rsidR="008C61AB" w:rsidRDefault="00380AFA">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b/>
          <w:i/>
          <w:color w:val="000000"/>
          <w:sz w:val="21"/>
          <w:szCs w:val="21"/>
        </w:rPr>
        <w:t> Artículo 143.</w:t>
      </w:r>
      <w:r>
        <w:rPr>
          <w:rFonts w:ascii="Palatino Linotype" w:eastAsia="Palatino Linotype" w:hAnsi="Palatino Linotype" w:cs="Palatino Linotype"/>
          <w:i/>
          <w:color w:val="000000"/>
          <w:sz w:val="21"/>
          <w:szCs w:val="21"/>
        </w:rPr>
        <w:t xml:space="preserve"> Para los efectos de esta Ley se considera información confidencial, la clasificada como tal, de manera permanente, por su naturaleza, cuando:</w:t>
      </w:r>
    </w:p>
    <w:p w14:paraId="5A9970BA" w14:textId="77777777" w:rsidR="008C61AB" w:rsidRDefault="00380AFA">
      <w:pPr>
        <w:pBdr>
          <w:top w:val="nil"/>
          <w:left w:val="nil"/>
          <w:bottom w:val="nil"/>
          <w:right w:val="nil"/>
          <w:between w:val="nil"/>
        </w:pBdr>
        <w:spacing w:before="120" w:after="120"/>
        <w:ind w:left="567" w:right="902"/>
        <w:jc w:val="both"/>
        <w:rPr>
          <w:color w:val="000000"/>
        </w:rPr>
      </w:pPr>
      <w:r>
        <w:rPr>
          <w:rFonts w:ascii="Palatino Linotype" w:eastAsia="Palatino Linotype" w:hAnsi="Palatino Linotype" w:cs="Palatino Linotype"/>
          <w:b/>
          <w:i/>
          <w:color w:val="000000"/>
          <w:sz w:val="21"/>
          <w:szCs w:val="21"/>
        </w:rPr>
        <w:t>I.</w:t>
      </w:r>
      <w:r>
        <w:rPr>
          <w:rFonts w:ascii="Palatino Linotype" w:eastAsia="Palatino Linotype" w:hAnsi="Palatino Linotype" w:cs="Palatino Linotype"/>
          <w:i/>
          <w:color w:val="000000"/>
          <w:sz w:val="21"/>
          <w:szCs w:val="21"/>
        </w:rPr>
        <w:t xml:space="preserve"> Se refiera a la información privada y los datos personales concernientes a una persona física o jurídico colectiva identificada o identificable...”</w:t>
      </w:r>
    </w:p>
    <w:p w14:paraId="4B867480" w14:textId="77777777" w:rsidR="008C61AB" w:rsidRDefault="00380AFA">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w:t>
      </w:r>
      <w:r>
        <w:rPr>
          <w:rFonts w:ascii="Palatino Linotype" w:eastAsia="Palatino Linotype" w:hAnsi="Palatino Linotype" w:cs="Palatino Linotype"/>
          <w:color w:val="000000"/>
        </w:rPr>
        <w:lastRenderedPageBreak/>
        <w:t>acuerdo a los que señala la fracción XII del artículo 4 de la Ley de Protección de Datos Personales en posesión de Sujeto Obligados del Estado de México.</w:t>
      </w:r>
    </w:p>
    <w:p w14:paraId="00301FAE" w14:textId="77777777" w:rsidR="008C61AB" w:rsidRDefault="00380AFA">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13C0D22"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En el caso específico, dada la naturaleza de la información que se ordena, si bien tiene el carácter información pública en razón de que se trata de documentos que se encuentran en posesión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color w:val="000000"/>
        </w:rPr>
        <w:t>Registro Federal de Contribuyentes</w:t>
      </w:r>
      <w:r>
        <w:rPr>
          <w:rFonts w:ascii="Palatino Linotype" w:eastAsia="Palatino Linotype" w:hAnsi="Palatino Linotype" w:cs="Palatino Linotype"/>
          <w:color w:val="000000"/>
        </w:rPr>
        <w:t xml:space="preserve"> (RFC), la </w:t>
      </w:r>
      <w:r>
        <w:rPr>
          <w:rFonts w:ascii="Palatino Linotype" w:eastAsia="Palatino Linotype" w:hAnsi="Palatino Linotype" w:cs="Palatino Linotype"/>
          <w:b/>
          <w:color w:val="000000"/>
        </w:rPr>
        <w:t>Clave Única de Registro de Población</w:t>
      </w:r>
      <w:r>
        <w:rPr>
          <w:rFonts w:ascii="Palatino Linotype" w:eastAsia="Palatino Linotype" w:hAnsi="Palatino Linotype" w:cs="Palatino Linotype"/>
          <w:color w:val="000000"/>
        </w:rPr>
        <w:t xml:space="preserve"> (CURP), la </w:t>
      </w:r>
      <w:r>
        <w:rPr>
          <w:rFonts w:ascii="Palatino Linotype" w:eastAsia="Palatino Linotype" w:hAnsi="Palatino Linotype" w:cs="Palatino Linotype"/>
          <w:b/>
          <w:color w:val="000000"/>
        </w:rPr>
        <w:t>Clave de cualquier tipo de seguridad social</w:t>
      </w:r>
      <w:r>
        <w:rPr>
          <w:rFonts w:ascii="Palatino Linotype" w:eastAsia="Palatino Linotype" w:hAnsi="Palatino Linotype" w:cs="Palatino Linotype"/>
          <w:color w:val="000000"/>
        </w:rPr>
        <w:t xml:space="preserve"> (ISSEMYM, u otros), los </w:t>
      </w:r>
      <w:r>
        <w:rPr>
          <w:rFonts w:ascii="Palatino Linotype" w:eastAsia="Palatino Linotype" w:hAnsi="Palatino Linotype" w:cs="Palatino Linotype"/>
          <w:b/>
          <w:color w:val="000000"/>
        </w:rPr>
        <w:t>números de cuentas bancarias</w:t>
      </w:r>
      <w:r>
        <w:rPr>
          <w:rFonts w:ascii="Palatino Linotype" w:eastAsia="Palatino Linotype" w:hAnsi="Palatino Linotype" w:cs="Palatino Linotype"/>
          <w:color w:val="000000"/>
        </w:rPr>
        <w:t xml:space="preserve">, claves estandarizadas – interbancarias - (CLABES) y de tarjetas, los </w:t>
      </w:r>
      <w:r>
        <w:rPr>
          <w:rFonts w:ascii="Palatino Linotype" w:eastAsia="Palatino Linotype" w:hAnsi="Palatino Linotype" w:cs="Palatino Linotype"/>
          <w:b/>
          <w:color w:val="000000"/>
        </w:rPr>
        <w:t>préstamos o descuentos</w:t>
      </w:r>
      <w:r>
        <w:rPr>
          <w:rFonts w:ascii="Palatino Linotype" w:eastAsia="Palatino Linotype" w:hAnsi="Palatino Linotype" w:cs="Palatino Linotype"/>
          <w:color w:val="000000"/>
        </w:rPr>
        <w:t xml:space="preserve"> que se le hagan a la persona y que no tengan relación con los impuestos o la cuota por seguridad social, el</w:t>
      </w:r>
      <w:r>
        <w:rPr>
          <w:rFonts w:ascii="Palatino Linotype" w:eastAsia="Palatino Linotype" w:hAnsi="Palatino Linotype" w:cs="Palatino Linotype"/>
          <w:b/>
          <w:color w:val="000000"/>
        </w:rPr>
        <w:t xml:space="preserve"> número de empleado</w:t>
      </w:r>
      <w:r>
        <w:rPr>
          <w:rFonts w:ascii="Palatino Linotype" w:eastAsia="Palatino Linotype" w:hAnsi="Palatino Linotype" w:cs="Palatino Linotype"/>
          <w:color w:val="000000"/>
        </w:rPr>
        <w:t xml:space="preserve">, así como de ser el caso, el </w:t>
      </w:r>
      <w:r>
        <w:rPr>
          <w:rFonts w:ascii="Palatino Linotype" w:eastAsia="Palatino Linotype" w:hAnsi="Palatino Linotype" w:cs="Palatino Linotype"/>
          <w:b/>
          <w:color w:val="000000"/>
        </w:rPr>
        <w:t>folio fiscal</w:t>
      </w:r>
      <w:r>
        <w:rPr>
          <w:rFonts w:ascii="Palatino Linotype" w:eastAsia="Palatino Linotype" w:hAnsi="Palatino Linotype" w:cs="Palatino Linotype"/>
          <w:color w:val="000000"/>
        </w:rPr>
        <w:t xml:space="preserve">, la  </w:t>
      </w:r>
      <w:r>
        <w:rPr>
          <w:rFonts w:ascii="Palatino Linotype" w:eastAsia="Palatino Linotype" w:hAnsi="Palatino Linotype" w:cs="Palatino Linotype"/>
          <w:b/>
          <w:color w:val="000000"/>
        </w:rPr>
        <w:t xml:space="preserve">cadena original, </w:t>
      </w:r>
      <w:r>
        <w:rPr>
          <w:rFonts w:ascii="Palatino Linotype" w:eastAsia="Palatino Linotype" w:hAnsi="Palatino Linotype" w:cs="Palatino Linotype"/>
          <w:color w:val="000000"/>
        </w:rPr>
        <w:t>los</w:t>
      </w:r>
      <w:r>
        <w:rPr>
          <w:rFonts w:ascii="Palatino Linotype" w:eastAsia="Palatino Linotype" w:hAnsi="Palatino Linotype" w:cs="Palatino Linotype"/>
          <w:b/>
          <w:color w:val="000000"/>
        </w:rPr>
        <w:t xml:space="preserve"> códigos bidimensionales o códigos QR,</w:t>
      </w:r>
      <w:r>
        <w:rPr>
          <w:rFonts w:ascii="Palatino Linotype" w:eastAsia="Palatino Linotype" w:hAnsi="Palatino Linotype" w:cs="Palatino Linotype"/>
          <w:color w:val="000000"/>
        </w:rPr>
        <w:t xml:space="preserve"> y cualquier información de carácter fiscal, bajo las siguientes consideraciones. </w:t>
      </w:r>
    </w:p>
    <w:p w14:paraId="07D0B0AA" w14:textId="77777777" w:rsidR="008C61AB" w:rsidRDefault="00380AFA">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C162D6A"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cuanto hace al </w:t>
      </w:r>
      <w:r>
        <w:rPr>
          <w:rFonts w:ascii="Palatino Linotype" w:eastAsia="Palatino Linotype" w:hAnsi="Palatino Linotype" w:cs="Palatino Linotype"/>
          <w:b/>
          <w:color w:val="000000"/>
        </w:rPr>
        <w:t>Registro Federal de Contribuyentes, RFC</w:t>
      </w:r>
      <w:r>
        <w:rPr>
          <w:rFonts w:ascii="Palatino Linotype" w:eastAsia="Palatino Linotype" w:hAnsi="Palatino Linotype" w:cs="Palatino Linotype"/>
          <w:color w:val="000000"/>
        </w:rPr>
        <w:t xml:space="preserve"> de las personas físicas, constituye un dato personal, pues se genera con caracteres alfanuméricos a partir del nombre y la fecha de nacimiento de cada persona, y finalmente la </w:t>
      </w:r>
      <w:proofErr w:type="spellStart"/>
      <w:r>
        <w:rPr>
          <w:rFonts w:ascii="Palatino Linotype" w:eastAsia="Palatino Linotype" w:hAnsi="Palatino Linotype" w:cs="Palatino Linotype"/>
          <w:color w:val="000000"/>
        </w:rPr>
        <w:t>homoclave</w:t>
      </w:r>
      <w:proofErr w:type="spellEnd"/>
      <w:r>
        <w:rPr>
          <w:rFonts w:ascii="Palatino Linotype" w:eastAsia="Palatino Linotype" w:hAnsi="Palatino Linotype" w:cs="Palatino Linotype"/>
          <w:color w:val="000000"/>
        </w:rPr>
        <w:t>, por lo que para su obtención es necesario acreditar ante la autoridad fiscal previamente la identidad de la persona, su fecha de nacimiento, entre otros aspectos.</w:t>
      </w:r>
    </w:p>
    <w:p w14:paraId="29D93C89"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DF42585"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Lo anterior es compartido por el Instituto Nacional de Transparencia, Acceso a la Información y Protección de Datos Personales, INAI, a través del Criterio 19/17, el cual es del tenor literal siguiente:</w:t>
      </w:r>
    </w:p>
    <w:p w14:paraId="6A50194F" w14:textId="77777777" w:rsidR="008C61AB" w:rsidRDefault="00380AFA">
      <w:pPr>
        <w:pBdr>
          <w:top w:val="nil"/>
          <w:left w:val="nil"/>
          <w:bottom w:val="nil"/>
          <w:right w:val="nil"/>
          <w:between w:val="nil"/>
        </w:pBdr>
        <w:ind w:left="851" w:right="900"/>
        <w:jc w:val="both"/>
        <w:rPr>
          <w:color w:val="000000"/>
        </w:rPr>
      </w:pPr>
      <w:r>
        <w:rPr>
          <w:rFonts w:ascii="Palatino Linotype" w:eastAsia="Palatino Linotype" w:hAnsi="Palatino Linotype" w:cs="Palatino Linotype"/>
          <w:b/>
          <w:i/>
          <w:color w:val="000000"/>
          <w:sz w:val="21"/>
          <w:szCs w:val="21"/>
        </w:rPr>
        <w:t> “Registro Federal de Contribuyentes (RFC) de personas físicas</w:t>
      </w:r>
      <w:r>
        <w:rPr>
          <w:rFonts w:ascii="Palatino Linotype" w:eastAsia="Palatino Linotype" w:hAnsi="Palatino Linotype" w:cs="Palatino Linotype"/>
          <w:i/>
          <w:color w:val="000000"/>
          <w:sz w:val="21"/>
          <w:szCs w:val="21"/>
        </w:rPr>
        <w:t>. El RFC es una clave de carácter fiscal, única e irrepetible, que permite identificar al titular, su edad y fecha de nacimiento, por lo que es un dato personal de carácter confidencial.”</w:t>
      </w:r>
    </w:p>
    <w:p w14:paraId="1DE7DC2B"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Así, el Registro Federal de Contribuyentes, RFC, se vincula al nombre de su titular y permite identificar la edad de la persona, su fecha de nacimiento, así como su </w:t>
      </w:r>
      <w:proofErr w:type="spellStart"/>
      <w:r>
        <w:rPr>
          <w:rFonts w:ascii="Palatino Linotype" w:eastAsia="Palatino Linotype" w:hAnsi="Palatino Linotype" w:cs="Palatino Linotype"/>
          <w:color w:val="000000"/>
        </w:rPr>
        <w:t>homoclave</w:t>
      </w:r>
      <w:proofErr w:type="spellEnd"/>
      <w:r>
        <w:rPr>
          <w:rFonts w:ascii="Palatino Linotype" w:eastAsia="Palatino Linotype" w:hAnsi="Palatino Linotype" w:cs="Palatino Linotype"/>
          <w:color w:val="000000"/>
        </w:rPr>
        <w:t xml:space="preserve">, la cual es única e irrepetible y determina la identificación de dicha persona para efectos fiscales, por lo que constituye un dato personal que concierne </w:t>
      </w:r>
      <w:r>
        <w:rPr>
          <w:rFonts w:ascii="Palatino Linotype" w:eastAsia="Palatino Linotype" w:hAnsi="Palatino Linotype" w:cs="Palatino Linotype"/>
          <w:color w:val="000000"/>
        </w:rPr>
        <w:lastRenderedPageBreak/>
        <w:t>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2F629BF"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18AC7335"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Argumento que es compartido por el Instituto Nacional de Transparencia, Acceso a la Información y Protección de Datos Personales, INAI, conforme al criterio 18/17, el cual refiere:</w:t>
      </w:r>
    </w:p>
    <w:p w14:paraId="2ACC8488" w14:textId="77777777" w:rsidR="008C61AB" w:rsidRDefault="00380AFA">
      <w:pPr>
        <w:pBdr>
          <w:top w:val="nil"/>
          <w:left w:val="nil"/>
          <w:bottom w:val="nil"/>
          <w:right w:val="nil"/>
          <w:between w:val="nil"/>
        </w:pBdr>
        <w:ind w:left="851" w:right="851"/>
        <w:jc w:val="both"/>
        <w:rPr>
          <w:color w:val="000000"/>
        </w:rPr>
      </w:pPr>
      <w:r>
        <w:rPr>
          <w:rFonts w:ascii="Palatino Linotype" w:eastAsia="Palatino Linotype" w:hAnsi="Palatino Linotype" w:cs="Palatino Linotype"/>
          <w:b/>
          <w:i/>
          <w:color w:val="000000"/>
          <w:sz w:val="21"/>
          <w:szCs w:val="21"/>
        </w:rPr>
        <w:t xml:space="preserve"> “Clave Única de Registro de Población (CURP). </w:t>
      </w:r>
      <w:r>
        <w:rPr>
          <w:rFonts w:ascii="Palatino Linotype" w:eastAsia="Palatino Linotype" w:hAnsi="Palatino Linotype" w:cs="Palatino Linotype"/>
          <w:i/>
          <w:color w:val="000000"/>
          <w:sz w:val="21"/>
          <w:szCs w:val="2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3052BCD"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786E1B81"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3322215F"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F670D82"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6F7DFF74"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esa virtud, este Pleno determina que dicha información no puede ser del dominio público, toda vez que se podría dar un uso inadecuado a la misma o cometer algún ilícito o fraude como ya ha sido expuesto. </w:t>
      </w:r>
    </w:p>
    <w:p w14:paraId="4FBDED11"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Lo anterior no es así tratándose de las cuentas bancarias o claves interbancarias de los Sujetos Obligados ya que su publicidad cede a la rendición de cuentas al transparentar la forma en que son administrados los recursos públicos.</w:t>
      </w:r>
    </w:p>
    <w:p w14:paraId="443C7C9E"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Lo argumentado encuentra sustento en los criterios 10/17 y 11/17 emitidos por el Instituto Nacional de Transparencia, Acceso a la Información y Protección de Datos Personales, INAI, que llevan por rubro y texto los siguientes:</w:t>
      </w:r>
    </w:p>
    <w:p w14:paraId="5F859243" w14:textId="77777777" w:rsidR="008C61AB" w:rsidRDefault="00380AFA">
      <w:pPr>
        <w:pBdr>
          <w:top w:val="nil"/>
          <w:left w:val="nil"/>
          <w:bottom w:val="nil"/>
          <w:right w:val="nil"/>
          <w:between w:val="nil"/>
        </w:pBdr>
        <w:spacing w:before="240" w:after="240"/>
        <w:ind w:left="851" w:right="900"/>
        <w:jc w:val="both"/>
        <w:rPr>
          <w:color w:val="000000"/>
        </w:rPr>
      </w:pPr>
      <w:r>
        <w:rPr>
          <w:rFonts w:ascii="Palatino Linotype" w:eastAsia="Palatino Linotype" w:hAnsi="Palatino Linotype" w:cs="Palatino Linotype"/>
          <w:i/>
          <w:color w:val="000000"/>
          <w:sz w:val="21"/>
          <w:szCs w:val="21"/>
        </w:rPr>
        <w:lastRenderedPageBreak/>
        <w:t>“</w:t>
      </w:r>
      <w:r>
        <w:rPr>
          <w:rFonts w:ascii="Palatino Linotype" w:eastAsia="Palatino Linotype" w:hAnsi="Palatino Linotype" w:cs="Palatino Linotype"/>
          <w:b/>
          <w:i/>
          <w:color w:val="000000"/>
          <w:sz w:val="21"/>
          <w:szCs w:val="21"/>
        </w:rPr>
        <w:t>Cuentas bancarias y/o CLABE interbancaria de personas físicas y morales privadas.</w:t>
      </w:r>
      <w:r>
        <w:rPr>
          <w:rFonts w:ascii="Palatino Linotype" w:eastAsia="Palatino Linotype" w:hAnsi="Palatino Linotype" w:cs="Palatino Linotype"/>
          <w:i/>
          <w:color w:val="000000"/>
          <w:sz w:val="21"/>
          <w:szCs w:val="21"/>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248FE84" w14:textId="77777777" w:rsidR="008C61AB" w:rsidRDefault="00380AFA">
      <w:pPr>
        <w:pBdr>
          <w:top w:val="nil"/>
          <w:left w:val="nil"/>
          <w:bottom w:val="nil"/>
          <w:right w:val="nil"/>
          <w:between w:val="nil"/>
        </w:pBdr>
        <w:spacing w:before="240" w:after="240"/>
        <w:ind w:left="851" w:right="900"/>
        <w:jc w:val="both"/>
        <w:rPr>
          <w:color w:val="000000"/>
        </w:rPr>
      </w:pPr>
      <w:r>
        <w:rPr>
          <w:rFonts w:ascii="Palatino Linotype" w:eastAsia="Palatino Linotype" w:hAnsi="Palatino Linotype" w:cs="Palatino Linotype"/>
          <w:b/>
          <w:i/>
          <w:color w:val="000000"/>
          <w:sz w:val="21"/>
          <w:szCs w:val="21"/>
        </w:rPr>
        <w:t>Cuentas bancarias y/o CLABE interbancaria de sujetos obligados que reciben y/o transfieren recursos públicos, son información pública.</w:t>
      </w:r>
      <w:r>
        <w:rPr>
          <w:rFonts w:ascii="Palatino Linotype" w:eastAsia="Palatino Linotype" w:hAnsi="Palatino Linotype" w:cs="Palatino Linotype"/>
          <w:i/>
          <w:color w:val="000000"/>
          <w:sz w:val="21"/>
          <w:szCs w:val="21"/>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6558D030"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cuanto hace a los </w:t>
      </w:r>
      <w:r>
        <w:rPr>
          <w:rFonts w:ascii="Palatino Linotype" w:eastAsia="Palatino Linotype" w:hAnsi="Palatino Linotype" w:cs="Palatino Linotype"/>
          <w:b/>
          <w:color w:val="000000"/>
        </w:rPr>
        <w:t>préstamos o descuentos de carácter personal</w:t>
      </w:r>
      <w:r>
        <w:rPr>
          <w:rFonts w:ascii="Palatino Linotype" w:eastAsia="Palatino Linotype" w:hAnsi="Palatino Linotype" w:cs="Palatino Linotype"/>
          <w:color w:val="000000"/>
        </w:rPr>
        <w:t>, en virtud de no tener relación con la prestación del servicio y al no involucrar instituciones públicas, se consideran datos confidenciales.</w:t>
      </w:r>
    </w:p>
    <w:p w14:paraId="1B37B128"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Para entender los límites y alcances de esta restricción, es oportuno recurrir al artículo 84 de la Ley del Trabajo de los Servidores Públicos del Estado y Municipios:</w:t>
      </w:r>
    </w:p>
    <w:p w14:paraId="42941EB4" w14:textId="77777777" w:rsidR="008C61AB" w:rsidRDefault="00380AFA" w:rsidP="006B5C56">
      <w:pPr>
        <w:pBdr>
          <w:top w:val="nil"/>
          <w:left w:val="nil"/>
          <w:bottom w:val="nil"/>
          <w:right w:val="nil"/>
          <w:between w:val="nil"/>
        </w:pBdr>
        <w:spacing w:before="240" w:after="240"/>
        <w:ind w:left="567" w:right="900"/>
        <w:jc w:val="both"/>
        <w:rPr>
          <w:color w:val="000000"/>
        </w:rPr>
      </w:pPr>
      <w:r>
        <w:rPr>
          <w:rFonts w:ascii="Palatino Linotype" w:eastAsia="Palatino Linotype" w:hAnsi="Palatino Linotype" w:cs="Palatino Linotype"/>
          <w:b/>
          <w:i/>
          <w:color w:val="000000"/>
          <w:sz w:val="21"/>
          <w:szCs w:val="21"/>
        </w:rPr>
        <w:t xml:space="preserve">“ARTÍCULO 84. </w:t>
      </w:r>
      <w:r>
        <w:rPr>
          <w:rFonts w:ascii="Palatino Linotype" w:eastAsia="Palatino Linotype" w:hAnsi="Palatino Linotype" w:cs="Palatino Linotype"/>
          <w:i/>
          <w:color w:val="000000"/>
          <w:sz w:val="21"/>
          <w:szCs w:val="21"/>
        </w:rPr>
        <w:t>Sólo podrán hacerse retenciones, descuentos o deducciones al sueldo de los servidores públicos por concepto de:</w:t>
      </w:r>
    </w:p>
    <w:p w14:paraId="476AAAB2" w14:textId="77777777" w:rsidR="008C61AB" w:rsidRDefault="00380AFA" w:rsidP="006B5C56">
      <w:pPr>
        <w:pBdr>
          <w:top w:val="nil"/>
          <w:left w:val="nil"/>
          <w:bottom w:val="nil"/>
          <w:right w:val="nil"/>
          <w:between w:val="nil"/>
        </w:pBdr>
        <w:ind w:left="567" w:right="902"/>
        <w:jc w:val="both"/>
        <w:rPr>
          <w:color w:val="000000"/>
        </w:rPr>
      </w:pPr>
      <w:r>
        <w:rPr>
          <w:rFonts w:ascii="Palatino Linotype" w:eastAsia="Palatino Linotype" w:hAnsi="Palatino Linotype" w:cs="Palatino Linotype"/>
          <w:i/>
          <w:color w:val="000000"/>
          <w:sz w:val="21"/>
          <w:szCs w:val="21"/>
        </w:rPr>
        <w:t>I. Gravámenes fiscales relacionados con el sueldo;</w:t>
      </w:r>
    </w:p>
    <w:p w14:paraId="62233731" w14:textId="77777777" w:rsidR="008C61AB" w:rsidRDefault="00380AFA">
      <w:pPr>
        <w:pBdr>
          <w:top w:val="nil"/>
          <w:left w:val="nil"/>
          <w:bottom w:val="nil"/>
          <w:right w:val="nil"/>
          <w:between w:val="nil"/>
        </w:pBdr>
        <w:ind w:left="567" w:right="902"/>
        <w:jc w:val="both"/>
        <w:rPr>
          <w:color w:val="000000"/>
        </w:rPr>
      </w:pPr>
      <w:r>
        <w:rPr>
          <w:rFonts w:ascii="Palatino Linotype" w:eastAsia="Palatino Linotype" w:hAnsi="Palatino Linotype" w:cs="Palatino Linotype"/>
          <w:i/>
          <w:color w:val="000000"/>
          <w:sz w:val="21"/>
          <w:szCs w:val="21"/>
        </w:rPr>
        <w:t>II. Deudas contraídas con las instituciones públicas o dependencias por concepto de anticipos de sueldo, pagos hechos con exceso, errores o pérdidas debidamente comprobados;</w:t>
      </w:r>
    </w:p>
    <w:p w14:paraId="7C094C68" w14:textId="77777777" w:rsidR="008C61AB" w:rsidRDefault="00380AFA">
      <w:pPr>
        <w:pBdr>
          <w:top w:val="nil"/>
          <w:left w:val="nil"/>
          <w:bottom w:val="nil"/>
          <w:right w:val="nil"/>
          <w:between w:val="nil"/>
        </w:pBdr>
        <w:ind w:left="567" w:right="902"/>
        <w:jc w:val="both"/>
        <w:rPr>
          <w:color w:val="000000"/>
        </w:rPr>
      </w:pPr>
      <w:r>
        <w:rPr>
          <w:rFonts w:ascii="Palatino Linotype" w:eastAsia="Palatino Linotype" w:hAnsi="Palatino Linotype" w:cs="Palatino Linotype"/>
          <w:i/>
          <w:color w:val="000000"/>
          <w:sz w:val="21"/>
          <w:szCs w:val="21"/>
        </w:rPr>
        <w:t>III. Cuotas sindicales;</w:t>
      </w:r>
    </w:p>
    <w:p w14:paraId="0BC52A6B" w14:textId="77777777" w:rsidR="008C61AB" w:rsidRDefault="00380AFA">
      <w:pPr>
        <w:pBdr>
          <w:top w:val="nil"/>
          <w:left w:val="nil"/>
          <w:bottom w:val="nil"/>
          <w:right w:val="nil"/>
          <w:between w:val="nil"/>
        </w:pBdr>
        <w:ind w:left="567" w:right="902"/>
        <w:jc w:val="both"/>
        <w:rPr>
          <w:color w:val="000000"/>
        </w:rPr>
      </w:pPr>
      <w:r>
        <w:rPr>
          <w:rFonts w:ascii="Palatino Linotype" w:eastAsia="Palatino Linotype" w:hAnsi="Palatino Linotype" w:cs="Palatino Linotype"/>
          <w:i/>
          <w:color w:val="000000"/>
          <w:sz w:val="21"/>
          <w:szCs w:val="21"/>
        </w:rPr>
        <w:t>IV. Cuotas de aportación a fondos para la constitución de cooperativas y de cajas de ahorro, siempre que el servidor público hubiese manifestado previamente, de manera expresa, su conformidad;</w:t>
      </w:r>
    </w:p>
    <w:p w14:paraId="25F90F6F" w14:textId="77777777" w:rsidR="008C61AB" w:rsidRDefault="00380AFA">
      <w:pPr>
        <w:pBdr>
          <w:top w:val="nil"/>
          <w:left w:val="nil"/>
          <w:bottom w:val="nil"/>
          <w:right w:val="nil"/>
          <w:between w:val="nil"/>
        </w:pBdr>
        <w:ind w:left="567" w:right="902"/>
        <w:jc w:val="both"/>
        <w:rPr>
          <w:color w:val="000000"/>
        </w:rPr>
      </w:pPr>
      <w:r>
        <w:rPr>
          <w:rFonts w:ascii="Palatino Linotype" w:eastAsia="Palatino Linotype" w:hAnsi="Palatino Linotype" w:cs="Palatino Linotype"/>
          <w:i/>
          <w:color w:val="000000"/>
          <w:sz w:val="21"/>
          <w:szCs w:val="21"/>
        </w:rPr>
        <w:t>V. Descuentos ordenados por el Instituto de Seguridad Social del Estado de México y Municipios, con motivo de cuotas y obligaciones contraídas con éste por los servidores públicos;</w:t>
      </w:r>
    </w:p>
    <w:p w14:paraId="5ED1D084" w14:textId="77777777" w:rsidR="008C61AB" w:rsidRDefault="00380AFA">
      <w:pPr>
        <w:pBdr>
          <w:top w:val="nil"/>
          <w:left w:val="nil"/>
          <w:bottom w:val="nil"/>
          <w:right w:val="nil"/>
          <w:between w:val="nil"/>
        </w:pBdr>
        <w:ind w:left="567" w:right="902"/>
        <w:jc w:val="both"/>
        <w:rPr>
          <w:color w:val="000000"/>
        </w:rPr>
      </w:pPr>
      <w:r>
        <w:rPr>
          <w:rFonts w:ascii="Palatino Linotype" w:eastAsia="Palatino Linotype" w:hAnsi="Palatino Linotype" w:cs="Palatino Linotype"/>
          <w:i/>
          <w:color w:val="000000"/>
          <w:sz w:val="21"/>
          <w:szCs w:val="21"/>
        </w:rPr>
        <w:t>VI. Obligaciones a cargo del servidor público con las que haya consentido, derivadas de la adquisición o del uso de habitaciones consideradas como de interés social;</w:t>
      </w:r>
    </w:p>
    <w:p w14:paraId="323944D3" w14:textId="77777777" w:rsidR="008C61AB" w:rsidRDefault="00380AFA">
      <w:pPr>
        <w:pBdr>
          <w:top w:val="nil"/>
          <w:left w:val="nil"/>
          <w:bottom w:val="nil"/>
          <w:right w:val="nil"/>
          <w:between w:val="nil"/>
        </w:pBdr>
        <w:ind w:left="567" w:right="902"/>
        <w:jc w:val="both"/>
        <w:rPr>
          <w:color w:val="000000"/>
        </w:rPr>
      </w:pPr>
      <w:r>
        <w:rPr>
          <w:rFonts w:ascii="Palatino Linotype" w:eastAsia="Palatino Linotype" w:hAnsi="Palatino Linotype" w:cs="Palatino Linotype"/>
          <w:i/>
          <w:color w:val="000000"/>
          <w:sz w:val="21"/>
          <w:szCs w:val="21"/>
        </w:rPr>
        <w:lastRenderedPageBreak/>
        <w:t>VII. Faltas de puntualidad o de asistencia injustificadas;</w:t>
      </w:r>
    </w:p>
    <w:p w14:paraId="5A122991" w14:textId="77777777" w:rsidR="008C61AB" w:rsidRDefault="00380AFA">
      <w:pPr>
        <w:pBdr>
          <w:top w:val="nil"/>
          <w:left w:val="nil"/>
          <w:bottom w:val="nil"/>
          <w:right w:val="nil"/>
          <w:between w:val="nil"/>
        </w:pBdr>
        <w:ind w:left="567" w:right="902"/>
        <w:jc w:val="both"/>
        <w:rPr>
          <w:color w:val="000000"/>
        </w:rPr>
      </w:pPr>
      <w:r>
        <w:rPr>
          <w:rFonts w:ascii="Palatino Linotype" w:eastAsia="Palatino Linotype" w:hAnsi="Palatino Linotype" w:cs="Palatino Linotype"/>
          <w:b/>
          <w:i/>
          <w:color w:val="000000"/>
          <w:sz w:val="21"/>
          <w:szCs w:val="21"/>
        </w:rPr>
        <w:t>VIII. Pensiones alimenticias ordenadas por la autoridad judicial;</w:t>
      </w:r>
      <w:r>
        <w:rPr>
          <w:rFonts w:ascii="Palatino Linotype" w:eastAsia="Palatino Linotype" w:hAnsi="Palatino Linotype" w:cs="Palatino Linotype"/>
          <w:i/>
          <w:color w:val="000000"/>
          <w:sz w:val="21"/>
          <w:szCs w:val="21"/>
        </w:rPr>
        <w:t xml:space="preserve"> o</w:t>
      </w:r>
    </w:p>
    <w:p w14:paraId="05D1947E" w14:textId="77777777" w:rsidR="008C61AB" w:rsidRDefault="00380AFA">
      <w:pPr>
        <w:pBdr>
          <w:top w:val="nil"/>
          <w:left w:val="nil"/>
          <w:bottom w:val="nil"/>
          <w:right w:val="nil"/>
          <w:between w:val="nil"/>
        </w:pBdr>
        <w:ind w:left="567" w:right="902"/>
        <w:jc w:val="both"/>
        <w:rPr>
          <w:color w:val="000000"/>
        </w:rPr>
      </w:pPr>
      <w:r>
        <w:rPr>
          <w:rFonts w:ascii="Palatino Linotype" w:eastAsia="Palatino Linotype" w:hAnsi="Palatino Linotype" w:cs="Palatino Linotype"/>
          <w:b/>
          <w:i/>
          <w:color w:val="000000"/>
          <w:sz w:val="21"/>
          <w:szCs w:val="21"/>
        </w:rPr>
        <w:t>IX. Cualquier otro convenido con instituciones de servicios y aceptado por el servidor público.</w:t>
      </w:r>
    </w:p>
    <w:p w14:paraId="543A6011" w14:textId="77777777" w:rsidR="008C61AB" w:rsidRDefault="00380AFA">
      <w:pPr>
        <w:pBdr>
          <w:top w:val="nil"/>
          <w:left w:val="nil"/>
          <w:bottom w:val="nil"/>
          <w:right w:val="nil"/>
          <w:between w:val="nil"/>
        </w:pBdr>
        <w:spacing w:before="240" w:after="240"/>
        <w:ind w:left="567" w:right="900"/>
        <w:jc w:val="both"/>
        <w:rPr>
          <w:color w:val="000000"/>
        </w:rPr>
      </w:pPr>
      <w:r>
        <w:rPr>
          <w:rFonts w:ascii="Palatino Linotype" w:eastAsia="Palatino Linotype" w:hAnsi="Palatino Linotype" w:cs="Palatino Linotype"/>
          <w:i/>
          <w:color w:val="000000"/>
          <w:sz w:val="21"/>
          <w:szCs w:val="2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E845227"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1550842D"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Con relación al </w:t>
      </w:r>
      <w:r>
        <w:rPr>
          <w:rFonts w:ascii="Palatino Linotype" w:eastAsia="Palatino Linotype" w:hAnsi="Palatino Linotype" w:cs="Palatino Linotype"/>
          <w:b/>
          <w:color w:val="000000"/>
        </w:rPr>
        <w:t>número de empleado</w:t>
      </w:r>
      <w:r>
        <w:rPr>
          <w:rFonts w:ascii="Palatino Linotype" w:eastAsia="Palatino Linotype" w:hAnsi="Palatino Linotype" w:cs="Palatino Linotype"/>
          <w:color w:val="000000"/>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4CEB7C4D"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010C7A88" w14:textId="77777777" w:rsidR="008C61AB" w:rsidRDefault="00380AFA">
      <w:pPr>
        <w:pBdr>
          <w:top w:val="nil"/>
          <w:left w:val="nil"/>
          <w:bottom w:val="nil"/>
          <w:right w:val="nil"/>
          <w:between w:val="nil"/>
        </w:pBdr>
        <w:spacing w:before="240" w:after="240"/>
        <w:ind w:left="993" w:right="992"/>
        <w:jc w:val="both"/>
        <w:rPr>
          <w:color w:val="000000"/>
        </w:rPr>
      </w:pPr>
      <w:r>
        <w:rPr>
          <w:rFonts w:ascii="Palatino Linotype" w:eastAsia="Palatino Linotype" w:hAnsi="Palatino Linotype" w:cs="Palatino Linotype"/>
          <w:b/>
          <w:i/>
          <w:color w:val="000000"/>
          <w:sz w:val="21"/>
          <w:szCs w:val="21"/>
        </w:rPr>
        <w:lastRenderedPageBreak/>
        <w:t xml:space="preserve">“Número de empleado. </w:t>
      </w:r>
      <w:r>
        <w:rPr>
          <w:rFonts w:ascii="Palatino Linotype" w:eastAsia="Palatino Linotype" w:hAnsi="Palatino Linotype" w:cs="Palatino Linotype"/>
          <w:i/>
          <w:color w:val="000000"/>
          <w:sz w:val="21"/>
          <w:szCs w:val="21"/>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6C55DBD"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6CAA0D8D" w14:textId="77777777" w:rsidR="008C61AB" w:rsidRDefault="00380AFA">
      <w:pPr>
        <w:pBdr>
          <w:top w:val="nil"/>
          <w:left w:val="nil"/>
          <w:bottom w:val="nil"/>
          <w:right w:val="nil"/>
          <w:between w:val="nil"/>
        </w:pBdr>
        <w:spacing w:before="240" w:after="240"/>
        <w:jc w:val="both"/>
        <w:rPr>
          <w:color w:val="000000"/>
        </w:rPr>
      </w:pPr>
      <w:r>
        <w:rPr>
          <w:rFonts w:ascii="Palatino Linotype" w:eastAsia="Palatino Linotype" w:hAnsi="Palatino Linotype" w:cs="Palatino Linotype"/>
          <w:b/>
          <w:color w:val="000000"/>
        </w:rPr>
        <w:t>De la información fiscal</w:t>
      </w:r>
      <w:r>
        <w:rPr>
          <w:rFonts w:ascii="Palatino Linotype" w:eastAsia="Palatino Linotype" w:hAnsi="Palatino Linotype" w:cs="Palatino Linotype"/>
          <w:color w:val="000000"/>
        </w:rPr>
        <w:t>: </w:t>
      </w:r>
    </w:p>
    <w:p w14:paraId="52D6C31F"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La </w:t>
      </w:r>
      <w:r>
        <w:rPr>
          <w:rFonts w:ascii="Palatino Linotype" w:eastAsia="Palatino Linotype" w:hAnsi="Palatino Linotype" w:cs="Palatino Linotype"/>
          <w:b/>
          <w:color w:val="000000"/>
        </w:rPr>
        <w:t>Cadena Original</w:t>
      </w:r>
      <w:r>
        <w:rPr>
          <w:rFonts w:ascii="Palatino Linotype" w:eastAsia="Palatino Linotype" w:hAnsi="Palatino Linotype" w:cs="Palatino Linotype"/>
          <w:color w:val="000000"/>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analizar dicha circunstancia con la finalidad de proteger, de ser el caso, la información a través de su clasificación por actualizarse el supuesto de confidencialidad.</w:t>
      </w:r>
    </w:p>
    <w:p w14:paraId="1408617E"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 xml:space="preserve">Los </w:t>
      </w:r>
      <w:r>
        <w:rPr>
          <w:rFonts w:ascii="Palatino Linotype" w:eastAsia="Palatino Linotype" w:hAnsi="Palatino Linotype" w:cs="Palatino Linotype"/>
          <w:b/>
          <w:color w:val="000000"/>
        </w:rPr>
        <w:t>códigos bidimensionales</w:t>
      </w:r>
      <w:r>
        <w:rPr>
          <w:rFonts w:ascii="Palatino Linotype" w:eastAsia="Palatino Linotype" w:hAnsi="Palatino Linotype" w:cs="Palatino Linotype"/>
          <w:color w:val="000000"/>
        </w:rPr>
        <w:t xml:space="preserve"> o </w:t>
      </w:r>
      <w:r>
        <w:rPr>
          <w:rFonts w:ascii="Palatino Linotype" w:eastAsia="Palatino Linotype" w:hAnsi="Palatino Linotype" w:cs="Palatino Linotype"/>
          <w:b/>
          <w:color w:val="000000"/>
        </w:rPr>
        <w:t xml:space="preserve">códigos QR, </w:t>
      </w:r>
      <w:r>
        <w:rPr>
          <w:rFonts w:ascii="Palatino Linotype" w:eastAsia="Palatino Linotype" w:hAnsi="Palatino Linotype" w:cs="Palatino Linotype"/>
          <w:color w:val="000000"/>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analizar dicha circunstancia con la finalidad de determinar si se actualiza algún supuesto de confidencialidad.</w:t>
      </w:r>
    </w:p>
    <w:p w14:paraId="2090E176"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En tal sentido, si derivado del análisis efectuado por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712638AA"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Pr>
          <w:rFonts w:ascii="Palatino Linotype" w:eastAsia="Palatino Linotype" w:hAnsi="Palatino Linotype" w:cs="Palatino Linotype"/>
          <w:b/>
          <w:color w:val="000000"/>
          <w:u w:val="single"/>
        </w:rPr>
        <w:t>sólo por cuanto hace al nombre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dejando </w:t>
      </w:r>
      <w:r>
        <w:rPr>
          <w:rFonts w:ascii="Palatino Linotype" w:eastAsia="Palatino Linotype" w:hAnsi="Palatino Linotype" w:cs="Palatino Linotype"/>
          <w:color w:val="000000"/>
        </w:rPr>
        <w:lastRenderedPageBreak/>
        <w:t xml:space="preserve">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Pr>
          <w:rFonts w:ascii="Palatino Linotype" w:eastAsia="Palatino Linotype" w:hAnsi="Palatino Linotype" w:cs="Palatino Linotype"/>
          <w:b/>
          <w:color w:val="000000"/>
        </w:rPr>
        <w:t>que desempeñen funciones operativas</w:t>
      </w:r>
      <w:r>
        <w:rPr>
          <w:rFonts w:ascii="Palatino Linotype" w:eastAsia="Palatino Linotype" w:hAnsi="Palatino Linotype" w:cs="Palatino Linotype"/>
          <w:color w:val="000000"/>
        </w:rPr>
        <w:t>.</w:t>
      </w:r>
    </w:p>
    <w:p w14:paraId="6258D8ED"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Al respecto, la información </w:t>
      </w:r>
      <w:r>
        <w:rPr>
          <w:rFonts w:ascii="Palatino Linotype" w:eastAsia="Palatino Linotype" w:hAnsi="Palatino Linotype" w:cs="Palatino Linotype"/>
          <w:b/>
          <w:color w:val="000000"/>
        </w:rPr>
        <w:t>de los elementos que realizan funciones operativas, entre ellos su nombre, deben ser protegidos</w:t>
      </w:r>
      <w:r>
        <w:rPr>
          <w:rFonts w:ascii="Palatino Linotype" w:eastAsia="Palatino Linotype" w:hAnsi="Palatino Linotype" w:cs="Palatino Linotype"/>
          <w:color w:val="000000"/>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0586F004"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w:t>
      </w:r>
      <w:r>
        <w:rPr>
          <w:rFonts w:ascii="Palatino Linotype" w:eastAsia="Palatino Linotype" w:hAnsi="Palatino Linotype" w:cs="Palatino Linotype"/>
          <w:color w:val="000000"/>
        </w:rPr>
        <w:lastRenderedPageBreak/>
        <w:t>generales en materia de clasificación y desclasificación de la información, así como para la elaboración de versiones públicas, al aplicar la prueba de daño correspondiente.</w:t>
      </w:r>
    </w:p>
    <w:p w14:paraId="24B27CDB"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6E6CA842"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ese entendido, la leyenda de clasificación que se genere, deberá establecer ambos supuestos de clasificación: reserva y confidencialidad, en congruencia con los requisitos establecidos en los lineamientos citados.</w:t>
      </w:r>
    </w:p>
    <w:p w14:paraId="597FEFD9" w14:textId="77777777" w:rsidR="008C61AB" w:rsidRDefault="00380AFA">
      <w:pPr>
        <w:pBdr>
          <w:top w:val="nil"/>
          <w:left w:val="nil"/>
          <w:bottom w:val="nil"/>
          <w:right w:val="nil"/>
          <w:between w:val="nil"/>
        </w:pBdr>
        <w:spacing w:before="120" w:after="120" w:line="360" w:lineRule="auto"/>
        <w:jc w:val="both"/>
        <w:rPr>
          <w:color w:val="000000"/>
        </w:rPr>
      </w:pPr>
      <w:r>
        <w:rPr>
          <w:rFonts w:ascii="Palatino Linotype" w:eastAsia="Palatino Linotype" w:hAnsi="Palatino Linotype" w:cs="Palatino Linotype"/>
          <w:color w:val="000000"/>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w:t>
      </w:r>
      <w:r>
        <w:rPr>
          <w:rFonts w:ascii="Palatino Linotype" w:eastAsia="Palatino Linotype" w:hAnsi="Palatino Linotype" w:cs="Palatino Linotype"/>
          <w:color w:val="000000"/>
        </w:rPr>
        <w:lastRenderedPageBreak/>
        <w:t>Acceso a la Información y Protección de Datos Personales, INAI, que establece lo siguiente:</w:t>
      </w:r>
    </w:p>
    <w:p w14:paraId="1C214C0C" w14:textId="77777777" w:rsidR="008C61AB" w:rsidRDefault="00380AFA">
      <w:pPr>
        <w:pBdr>
          <w:top w:val="nil"/>
          <w:left w:val="nil"/>
          <w:bottom w:val="nil"/>
          <w:right w:val="nil"/>
          <w:between w:val="nil"/>
        </w:pBdr>
        <w:spacing w:before="120" w:after="120"/>
        <w:ind w:left="851" w:right="902"/>
        <w:jc w:val="both"/>
        <w:rPr>
          <w:color w:val="000000"/>
        </w:rPr>
      </w:pPr>
      <w:r>
        <w:rPr>
          <w:rFonts w:ascii="Palatino Linotype" w:eastAsia="Palatino Linotype" w:hAnsi="Palatino Linotype" w:cs="Palatino Linotype"/>
          <w:b/>
          <w:i/>
          <w:color w:val="000000"/>
          <w:sz w:val="21"/>
          <w:szCs w:val="21"/>
        </w:rPr>
        <w:t>“Nombres de servidores públicos dedicados a actividades en materia de seguridad, por excepción pueden considerarse información reservada.</w:t>
      </w:r>
      <w:r>
        <w:rPr>
          <w:rFonts w:ascii="Palatino Linotype" w:eastAsia="Palatino Linotype" w:hAnsi="Palatino Linotype" w:cs="Palatino Linotype"/>
          <w:i/>
          <w:color w:val="000000"/>
          <w:sz w:val="21"/>
          <w:szCs w:val="21"/>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446F37A2"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Pr>
          <w:rFonts w:ascii="Palatino Linotype" w:eastAsia="Palatino Linotype" w:hAnsi="Palatino Linotype" w:cs="Palatino Linotype"/>
          <w:b/>
          <w:color w:val="000000"/>
        </w:rPr>
        <w:t>funciones de carácter operativo.</w:t>
      </w:r>
    </w:p>
    <w:p w14:paraId="79B6226E" w14:textId="77777777" w:rsidR="008C61AB" w:rsidRDefault="00380AFA">
      <w:pPr>
        <w:pBdr>
          <w:top w:val="nil"/>
          <w:left w:val="nil"/>
          <w:bottom w:val="nil"/>
          <w:right w:val="nil"/>
          <w:between w:val="nil"/>
        </w:pBdr>
        <w:spacing w:before="240" w:after="360" w:line="360" w:lineRule="auto"/>
        <w:jc w:val="both"/>
        <w:rPr>
          <w:color w:val="000000"/>
        </w:rPr>
      </w:pPr>
      <w:r>
        <w:rPr>
          <w:rFonts w:ascii="Palatino Linotype" w:eastAsia="Palatino Linotype" w:hAnsi="Palatino Linotype" w:cs="Palatino Linotype"/>
          <w:color w:val="000000"/>
        </w:rPr>
        <w:lastRenderedPageBreak/>
        <w:t>Sirven de sustento a lo anterior las tesis jurisprudenciales emitidas por la Suprema corte de Justicia de la Nación, que son del literal siguiente:</w:t>
      </w:r>
    </w:p>
    <w:p w14:paraId="5B53DB55" w14:textId="77777777" w:rsidR="008C61AB" w:rsidRDefault="00380AFA">
      <w:pPr>
        <w:pBdr>
          <w:top w:val="nil"/>
          <w:left w:val="nil"/>
          <w:bottom w:val="nil"/>
          <w:right w:val="nil"/>
          <w:between w:val="nil"/>
        </w:pBdr>
        <w:spacing w:before="120" w:after="120"/>
        <w:ind w:left="851" w:right="760"/>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b/>
          <w:i/>
          <w:color w:val="000000"/>
          <w:sz w:val="21"/>
          <w:szCs w:val="21"/>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color w:val="000000"/>
          <w:sz w:val="21"/>
          <w:szCs w:val="2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color w:val="000000"/>
          <w:sz w:val="21"/>
          <w:szCs w:val="21"/>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color w:val="000000"/>
          <w:sz w:val="21"/>
          <w:szCs w:val="21"/>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color w:val="000000"/>
          <w:sz w:val="21"/>
          <w:szCs w:val="21"/>
        </w:rPr>
        <w:t>mientras que por lo que respecta a la protección de la persona existen normas que protegen el derecho a la vida o a la privacidad de los gobernados.</w:t>
      </w:r>
      <w:r>
        <w:rPr>
          <w:rFonts w:ascii="Palatino Linotype" w:eastAsia="Palatino Linotype" w:hAnsi="Palatino Linotype" w:cs="Palatino Linotype"/>
          <w:i/>
          <w:color w:val="000000"/>
          <w:sz w:val="21"/>
          <w:szCs w:val="21"/>
        </w:rPr>
        <w:t>”</w:t>
      </w:r>
    </w:p>
    <w:p w14:paraId="3B123202" w14:textId="77777777" w:rsidR="008C61AB" w:rsidRDefault="008C61AB">
      <w:pPr>
        <w:pBdr>
          <w:top w:val="nil"/>
          <w:left w:val="nil"/>
          <w:bottom w:val="nil"/>
          <w:right w:val="nil"/>
          <w:between w:val="nil"/>
        </w:pBdr>
        <w:spacing w:before="120" w:after="120"/>
        <w:ind w:left="851" w:right="760"/>
        <w:jc w:val="both"/>
        <w:rPr>
          <w:color w:val="000000"/>
        </w:rPr>
      </w:pPr>
    </w:p>
    <w:p w14:paraId="4415404E" w14:textId="77777777" w:rsidR="008C61AB" w:rsidRDefault="00380AFA">
      <w:pPr>
        <w:pBdr>
          <w:top w:val="nil"/>
          <w:left w:val="nil"/>
          <w:bottom w:val="nil"/>
          <w:right w:val="nil"/>
          <w:between w:val="nil"/>
        </w:pBdr>
        <w:spacing w:before="120" w:after="120"/>
        <w:ind w:left="851" w:right="760"/>
        <w:jc w:val="both"/>
        <w:rPr>
          <w:color w:val="000000"/>
        </w:rPr>
      </w:pPr>
      <w:r>
        <w:rPr>
          <w:rFonts w:ascii="Palatino Linotype" w:eastAsia="Palatino Linotype" w:hAnsi="Palatino Linotype" w:cs="Palatino Linotype"/>
          <w:b/>
          <w:i/>
          <w:color w:val="000000"/>
          <w:sz w:val="21"/>
          <w:szCs w:val="21"/>
        </w:rPr>
        <w:t>“TRANSPARENCIA Y ACCESO A LA INFORMACIÓN PÚBLICA GUBERNAMENTAL. EL ARTÍCULO 14, FRACCIÓN I, DE LA LEY FEDERAL RELATIVA, NO VIOLA LA GARANTÍA DE ACCESO A LA INFORMACIÓN.</w:t>
      </w:r>
      <w:r>
        <w:rPr>
          <w:rFonts w:ascii="Palatino Linotype" w:eastAsia="Palatino Linotype" w:hAnsi="Palatino Linotype" w:cs="Palatino Linotype"/>
          <w:i/>
          <w:color w:val="000000"/>
          <w:sz w:val="21"/>
          <w:szCs w:val="21"/>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w:t>
      </w:r>
      <w:r>
        <w:rPr>
          <w:rFonts w:ascii="Palatino Linotype" w:eastAsia="Palatino Linotype" w:hAnsi="Palatino Linotype" w:cs="Palatino Linotype"/>
          <w:i/>
          <w:color w:val="000000"/>
          <w:sz w:val="21"/>
          <w:szCs w:val="21"/>
        </w:rPr>
        <w:lastRenderedPageBreak/>
        <w:t xml:space="preserve">los Estados Unidos Mexicanos, porque es jurídicamente adecuado que en las leyes reguladoras de cada materia, </w:t>
      </w:r>
      <w:r>
        <w:rPr>
          <w:rFonts w:ascii="Palatino Linotype" w:eastAsia="Palatino Linotype" w:hAnsi="Palatino Linotype" w:cs="Palatino Linotype"/>
          <w:b/>
          <w:i/>
          <w:color w:val="000000"/>
          <w:sz w:val="21"/>
          <w:szCs w:val="2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color w:val="000000"/>
          <w:sz w:val="21"/>
          <w:szCs w:val="21"/>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7E50D868"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Pr>
          <w:rFonts w:ascii="Palatino Linotype" w:eastAsia="Palatino Linotype" w:hAnsi="Palatino Linotype" w:cs="Palatino Linotype"/>
          <w:b/>
          <w:color w:val="000000"/>
          <w:u w:val="single"/>
        </w:rPr>
        <w:t>razones, motivos o circunstancias especiales</w:t>
      </w:r>
      <w:r>
        <w:rPr>
          <w:rFonts w:ascii="Palatino Linotype" w:eastAsia="Palatino Linotype" w:hAnsi="Palatino Linotype" w:cs="Palatino Linotype"/>
          <w:color w:val="000000"/>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7E8B1972" w14:textId="77777777" w:rsidR="008C61AB" w:rsidRDefault="00380AFA">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lastRenderedPageBreak/>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95C1A6F"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“Artículo 49.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Los Comités de Transparencia</w:t>
      </w:r>
      <w:r>
        <w:rPr>
          <w:rFonts w:ascii="Palatino Linotype" w:eastAsia="Palatino Linotype" w:hAnsi="Palatino Linotype" w:cs="Palatino Linotype"/>
          <w:i/>
          <w:color w:val="000000"/>
          <w:sz w:val="22"/>
          <w:szCs w:val="22"/>
        </w:rPr>
        <w:t xml:space="preserve"> tendrán las siguientes atribuciones:</w:t>
      </w:r>
    </w:p>
    <w:p w14:paraId="1D6EDD15"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VIII. Aprobar, modificar o revocar la clasificación de la información</w:t>
      </w:r>
      <w:r>
        <w:rPr>
          <w:rFonts w:ascii="Palatino Linotype" w:eastAsia="Palatino Linotype" w:hAnsi="Palatino Linotype" w:cs="Palatino Linotype"/>
          <w:i/>
          <w:color w:val="000000"/>
          <w:sz w:val="22"/>
          <w:szCs w:val="22"/>
        </w:rPr>
        <w:t>…”</w:t>
      </w:r>
    </w:p>
    <w:p w14:paraId="4124306B"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53.</w:t>
      </w:r>
      <w:r>
        <w:rPr>
          <w:rFonts w:ascii="Palatino Linotype" w:eastAsia="Palatino Linotype" w:hAnsi="Palatino Linotype" w:cs="Palatino Linotype"/>
          <w:i/>
          <w:color w:val="000000"/>
          <w:sz w:val="22"/>
          <w:szCs w:val="22"/>
        </w:rPr>
        <w:t xml:space="preserve"> Las </w:t>
      </w:r>
      <w:r>
        <w:rPr>
          <w:rFonts w:ascii="Palatino Linotype" w:eastAsia="Palatino Linotype" w:hAnsi="Palatino Linotype" w:cs="Palatino Linotype"/>
          <w:b/>
          <w:i/>
          <w:color w:val="000000"/>
          <w:sz w:val="22"/>
          <w:szCs w:val="22"/>
        </w:rPr>
        <w:t>Unidades de Transparencia</w:t>
      </w:r>
      <w:r>
        <w:rPr>
          <w:rFonts w:ascii="Palatino Linotype" w:eastAsia="Palatino Linotype" w:hAnsi="Palatino Linotype" w:cs="Palatino Linotype"/>
          <w:i/>
          <w:color w:val="000000"/>
          <w:sz w:val="22"/>
          <w:szCs w:val="22"/>
        </w:rPr>
        <w:t xml:space="preserve"> tendrán las siguientes </w:t>
      </w:r>
      <w:r>
        <w:rPr>
          <w:rFonts w:ascii="Palatino Linotype" w:eastAsia="Palatino Linotype" w:hAnsi="Palatino Linotype" w:cs="Palatino Linotype"/>
          <w:b/>
          <w:i/>
          <w:color w:val="000000"/>
          <w:sz w:val="22"/>
          <w:szCs w:val="22"/>
        </w:rPr>
        <w:t>funciones</w:t>
      </w:r>
      <w:r>
        <w:rPr>
          <w:rFonts w:ascii="Palatino Linotype" w:eastAsia="Palatino Linotype" w:hAnsi="Palatino Linotype" w:cs="Palatino Linotype"/>
          <w:i/>
          <w:color w:val="000000"/>
          <w:sz w:val="22"/>
          <w:szCs w:val="22"/>
        </w:rPr>
        <w:t>:</w:t>
      </w:r>
    </w:p>
    <w:p w14:paraId="24623EC8"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X. Presentar ante el Comité, el proyecto de clasificación de información</w:t>
      </w:r>
      <w:r>
        <w:rPr>
          <w:rFonts w:ascii="Palatino Linotype" w:eastAsia="Palatino Linotype" w:hAnsi="Palatino Linotype" w:cs="Palatino Linotype"/>
          <w:i/>
          <w:color w:val="000000"/>
          <w:sz w:val="22"/>
          <w:szCs w:val="22"/>
        </w:rPr>
        <w:t>…” </w:t>
      </w:r>
    </w:p>
    <w:p w14:paraId="680F4430" w14:textId="77777777" w:rsidR="008C61AB" w:rsidRDefault="00380AFA">
      <w:pPr>
        <w:pBdr>
          <w:top w:val="nil"/>
          <w:left w:val="nil"/>
          <w:bottom w:val="nil"/>
          <w:right w:val="nil"/>
          <w:between w:val="nil"/>
        </w:pBdr>
        <w:spacing w:before="120" w:after="120"/>
        <w:ind w:left="851" w:right="900"/>
        <w:jc w:val="both"/>
        <w:rPr>
          <w:color w:val="000000"/>
        </w:rPr>
      </w:pPr>
      <w:r>
        <w:rPr>
          <w:rFonts w:ascii="Palatino Linotype" w:eastAsia="Palatino Linotype" w:hAnsi="Palatino Linotype" w:cs="Palatino Linotype"/>
          <w:b/>
          <w:i/>
          <w:color w:val="000000"/>
          <w:sz w:val="22"/>
          <w:szCs w:val="22"/>
        </w:rPr>
        <w:t>“Artículo 59.</w:t>
      </w:r>
      <w:r>
        <w:rPr>
          <w:rFonts w:ascii="Palatino Linotype" w:eastAsia="Palatino Linotype" w:hAnsi="Palatino Linotype" w:cs="Palatino Linotype"/>
          <w:i/>
          <w:color w:val="000000"/>
          <w:sz w:val="22"/>
          <w:szCs w:val="22"/>
        </w:rPr>
        <w:t xml:space="preserve"> Los </w:t>
      </w:r>
      <w:r>
        <w:rPr>
          <w:rFonts w:ascii="Palatino Linotype" w:eastAsia="Palatino Linotype" w:hAnsi="Palatino Linotype" w:cs="Palatino Linotype"/>
          <w:b/>
          <w:i/>
          <w:color w:val="000000"/>
          <w:sz w:val="22"/>
          <w:szCs w:val="22"/>
        </w:rPr>
        <w:t>servidores públicos habilitados</w:t>
      </w:r>
      <w:r>
        <w:rPr>
          <w:rFonts w:ascii="Palatino Linotype" w:eastAsia="Palatino Linotype" w:hAnsi="Palatino Linotype" w:cs="Palatino Linotype"/>
          <w:i/>
          <w:color w:val="000000"/>
          <w:sz w:val="22"/>
          <w:szCs w:val="22"/>
        </w:rPr>
        <w:t xml:space="preserve"> tendrán las </w:t>
      </w:r>
      <w:r>
        <w:rPr>
          <w:rFonts w:ascii="Palatino Linotype" w:eastAsia="Palatino Linotype" w:hAnsi="Palatino Linotype" w:cs="Palatino Linotype"/>
          <w:b/>
          <w:i/>
          <w:color w:val="000000"/>
          <w:sz w:val="22"/>
          <w:szCs w:val="22"/>
        </w:rPr>
        <w:t>funciones</w:t>
      </w:r>
      <w:r>
        <w:rPr>
          <w:rFonts w:ascii="Palatino Linotype" w:eastAsia="Palatino Linotype" w:hAnsi="Palatino Linotype" w:cs="Palatino Linotype"/>
          <w:i/>
          <w:color w:val="000000"/>
          <w:sz w:val="22"/>
          <w:szCs w:val="22"/>
        </w:rPr>
        <w:t xml:space="preserve"> siguientes:</w:t>
      </w:r>
    </w:p>
    <w:p w14:paraId="2CB7D4DB" w14:textId="77777777" w:rsidR="008C61AB" w:rsidRDefault="00380AFA">
      <w:pPr>
        <w:pBdr>
          <w:top w:val="nil"/>
          <w:left w:val="nil"/>
          <w:bottom w:val="nil"/>
          <w:right w:val="nil"/>
          <w:between w:val="nil"/>
        </w:pBdr>
        <w:spacing w:before="120" w:after="120"/>
        <w:ind w:left="851" w:right="900"/>
        <w:jc w:val="both"/>
        <w:rPr>
          <w:color w:val="000000"/>
        </w:rPr>
      </w:pPr>
      <w:r>
        <w:rPr>
          <w:rFonts w:ascii="Palatino Linotype" w:eastAsia="Palatino Linotype" w:hAnsi="Palatino Linotype" w:cs="Palatino Linotype"/>
          <w:b/>
          <w:i/>
          <w:color w:val="000000"/>
          <w:sz w:val="22"/>
          <w:szCs w:val="22"/>
        </w:rPr>
        <w:t>V. Integrar y presentar al responsable de la Unidad de Transparencia la propuesta de clasificación de información</w:t>
      </w:r>
      <w:r>
        <w:rPr>
          <w:rFonts w:ascii="Palatino Linotype" w:eastAsia="Palatino Linotype" w:hAnsi="Palatino Linotype" w:cs="Palatino Linotype"/>
          <w:i/>
          <w:color w:val="000000"/>
          <w:sz w:val="22"/>
          <w:szCs w:val="22"/>
        </w:rPr>
        <w:t>, la cual tendrá los fundamentos y argumentos en que se basa dicha propuesta…”</w:t>
      </w:r>
    </w:p>
    <w:p w14:paraId="236DB339"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2814722" w14:textId="77777777" w:rsidR="008C61AB" w:rsidRDefault="00380AFA">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Para lo cual, a su vez en el caso de información de carácter confidencial, se debe atender a lo que señala el artículo 149 de la Ley de Transparencia Local vigente, que se lee como sigue:</w:t>
      </w:r>
    </w:p>
    <w:p w14:paraId="7492AA61" w14:textId="77777777" w:rsidR="008C61AB" w:rsidRDefault="00380AFA">
      <w:pPr>
        <w:pBdr>
          <w:top w:val="nil"/>
          <w:left w:val="nil"/>
          <w:bottom w:val="nil"/>
          <w:right w:val="nil"/>
          <w:between w:val="nil"/>
        </w:pBdr>
        <w:spacing w:after="240"/>
        <w:ind w:left="851" w:right="90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149.</w:t>
      </w:r>
      <w:r>
        <w:rPr>
          <w:rFonts w:ascii="Palatino Linotype" w:eastAsia="Palatino Linotype" w:hAnsi="Palatino Linotype" w:cs="Palatino Linotype"/>
          <w:i/>
          <w:color w:val="000000"/>
          <w:sz w:val="22"/>
          <w:szCs w:val="22"/>
        </w:rPr>
        <w:t xml:space="preserve"> El </w:t>
      </w:r>
      <w:r>
        <w:rPr>
          <w:rFonts w:ascii="Palatino Linotype" w:eastAsia="Palatino Linotype" w:hAnsi="Palatino Linotype" w:cs="Palatino Linotype"/>
          <w:b/>
          <w:i/>
          <w:color w:val="000000"/>
          <w:sz w:val="22"/>
          <w:szCs w:val="22"/>
        </w:rPr>
        <w:t>acuerdo que clasifique la información como confidencial</w:t>
      </w:r>
      <w:r>
        <w:rPr>
          <w:rFonts w:ascii="Palatino Linotype" w:eastAsia="Palatino Linotype" w:hAnsi="Palatino Linotype" w:cs="Palatino Linotype"/>
          <w:i/>
          <w:color w:val="000000"/>
          <w:sz w:val="22"/>
          <w:szCs w:val="22"/>
        </w:rPr>
        <w:t xml:space="preserve"> deberá contener un razonamiento lógico en el que demuestre que la información se encuentra en alguna o algunas de las hipótesis previstas en la presente Ley.” </w:t>
      </w:r>
    </w:p>
    <w:p w14:paraId="399F52EF" w14:textId="77777777" w:rsidR="008C61AB" w:rsidRDefault="00380AFA">
      <w:pPr>
        <w:pBdr>
          <w:top w:val="nil"/>
          <w:left w:val="nil"/>
          <w:bottom w:val="nil"/>
          <w:right w:val="nil"/>
          <w:between w:val="nil"/>
        </w:pBdr>
        <w:spacing w:before="240" w:after="240" w:line="360" w:lineRule="auto"/>
        <w:ind w:right="51"/>
        <w:jc w:val="both"/>
        <w:rPr>
          <w:color w:val="000000"/>
        </w:rPr>
      </w:pPr>
      <w:r>
        <w:rPr>
          <w:rFonts w:ascii="Palatino Linotype" w:eastAsia="Palatino Linotype" w:hAnsi="Palatino Linotype" w:cs="Palatino Linotype"/>
          <w:color w:val="000000"/>
        </w:rPr>
        <w:t xml:space="preserve">Es decir,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03D72DE" w14:textId="77777777" w:rsidR="008C61AB" w:rsidRDefault="00380AFA">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 xml:space="preserve">Por último, respecto a la versión pública de los documentos que contenga la información solicitada, cabe señalar que el Comité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406C7289"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Artículo 132.</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La clasificación de la información se llevará a cabo en el momento en que:</w:t>
      </w:r>
    </w:p>
    <w:p w14:paraId="1B72BAFA"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i/>
          <w:color w:val="000000"/>
          <w:sz w:val="22"/>
          <w:szCs w:val="22"/>
        </w:rPr>
        <w:t>…</w:t>
      </w:r>
    </w:p>
    <w:p w14:paraId="1B7BCE0E"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Se determine mediante resolución de autoridad competente; o</w:t>
      </w:r>
    </w:p>
    <w:p w14:paraId="779CC2A1"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Se generen versiones públicas para dar cumplimiento a las obligaciones de transparencia previstas en esta Ley</w:t>
      </w:r>
      <w:r>
        <w:rPr>
          <w:rFonts w:ascii="Palatino Linotype" w:eastAsia="Palatino Linotype" w:hAnsi="Palatino Linotype" w:cs="Palatino Linotype"/>
          <w:i/>
          <w:color w:val="000000"/>
          <w:sz w:val="22"/>
          <w:szCs w:val="22"/>
        </w:rPr>
        <w:t>.”</w:t>
      </w:r>
    </w:p>
    <w:p w14:paraId="53E388A2"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Segundo.-</w:t>
      </w:r>
      <w:r>
        <w:rPr>
          <w:rFonts w:ascii="Palatino Linotype" w:eastAsia="Palatino Linotype" w:hAnsi="Palatino Linotype" w:cs="Palatino Linotype"/>
          <w:i/>
          <w:color w:val="000000"/>
          <w:sz w:val="22"/>
          <w:szCs w:val="22"/>
        </w:rPr>
        <w:t xml:space="preserve"> Para efectos de los presentes Lineamientos Generales, se entenderá por:</w:t>
      </w:r>
    </w:p>
    <w:p w14:paraId="5AFD894A"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XVIII.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Versión pública:</w:t>
      </w:r>
      <w:r>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color w:val="000000"/>
          <w:sz w:val="22"/>
          <w:szCs w:val="22"/>
        </w:rPr>
        <w:t>fundando y motivando la</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reserva o confidencialidad</w:t>
      </w:r>
      <w:r>
        <w:rPr>
          <w:rFonts w:ascii="Palatino Linotype" w:eastAsia="Palatino Linotype" w:hAnsi="Palatino Linotype" w:cs="Palatino Linotype"/>
          <w:i/>
          <w:color w:val="000000"/>
          <w:sz w:val="22"/>
          <w:szCs w:val="22"/>
        </w:rPr>
        <w:t>, a través de la resolución que para tal efecto emita el Comité de Transparencia.</w:t>
      </w:r>
    </w:p>
    <w:p w14:paraId="4B88BEF0"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w:t>
      </w:r>
    </w:p>
    <w:p w14:paraId="5811DBF8"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Cuarto.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Para clasificar la información como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reservada 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confidencial, de manera total o parcial, el titular del área del sujeto obligado deberá atender lo dispuesto por el Título Sexto de la Ley General</w:t>
      </w:r>
      <w:r>
        <w:rPr>
          <w:rFonts w:ascii="Palatino Linotype" w:eastAsia="Palatino Linotype" w:hAnsi="Palatino Linotype" w:cs="Palatino Linotype"/>
          <w:i/>
          <w:color w:val="000000"/>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030B0AE"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26F6D928"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Quinto.</w:t>
      </w:r>
      <w:r>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6F5941E"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Sexto.</w:t>
      </w:r>
      <w:r>
        <w:rPr>
          <w:rFonts w:ascii="Palatino Linotype" w:eastAsia="Palatino Linotype" w:hAnsi="Palatino Linotype" w:cs="Palatino Linotype"/>
          <w:i/>
          <w:color w:val="000000"/>
          <w:sz w:val="22"/>
          <w:szCs w:val="22"/>
        </w:rPr>
        <w:t xml:space="preserve"> Se deroga.</w:t>
      </w:r>
    </w:p>
    <w:p w14:paraId="764032C3"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Séptimo.</w:t>
      </w:r>
      <w:r>
        <w:rPr>
          <w:rFonts w:ascii="Palatino Linotype" w:eastAsia="Palatino Linotype" w:hAnsi="Palatino Linotype" w:cs="Palatino Linotype"/>
          <w:i/>
          <w:color w:val="000000"/>
          <w:sz w:val="22"/>
          <w:szCs w:val="22"/>
        </w:rPr>
        <w:t xml:space="preserve"> La clasificación de la información se llevará a cabo en el momento en que:</w:t>
      </w:r>
    </w:p>
    <w:p w14:paraId="17E86A50"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Se reciba una solicitud de acceso a la información;</w:t>
      </w:r>
    </w:p>
    <w:p w14:paraId="4A43421F"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Se determine mediante resolución del Comité de Transparencia, el órgano garante competente, o en cumplimiento a una sentencia del Poder Judicial; o</w:t>
      </w:r>
    </w:p>
    <w:p w14:paraId="114C8EE8"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lastRenderedPageBreak/>
        <w:t>III.</w:t>
      </w:r>
      <w:r>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4113267C"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para verificar</w:t>
      </w:r>
      <w:r>
        <w:rPr>
          <w:color w:val="000000"/>
          <w:sz w:val="22"/>
          <w:szCs w:val="22"/>
        </w:rPr>
        <w:t xml:space="preserve">, </w:t>
      </w:r>
      <w:r>
        <w:rPr>
          <w:rFonts w:ascii="Palatino Linotype" w:eastAsia="Palatino Linotype" w:hAnsi="Palatino Linotype" w:cs="Palatino Linotype"/>
          <w:i/>
          <w:color w:val="000000"/>
          <w:sz w:val="22"/>
          <w:szCs w:val="22"/>
        </w:rPr>
        <w:t>conforme a su naturaleza, si encuadra en una causal de reserva o de confidencialidad.</w:t>
      </w:r>
    </w:p>
    <w:p w14:paraId="16B83279"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Octavo.</w:t>
      </w:r>
      <w:r>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375141D"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2D91734E"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i/>
          <w:color w:val="000000"/>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00137D9"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Noveno.</w:t>
      </w:r>
      <w:r>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9C868BC"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Décimo.</w:t>
      </w:r>
      <w:r>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w:t>
      </w:r>
      <w:proofErr w:type="spellStart"/>
      <w:r>
        <w:rPr>
          <w:rFonts w:ascii="Palatino Linotype" w:eastAsia="Palatino Linotype" w:hAnsi="Palatino Linotype" w:cs="Palatino Linotype"/>
          <w:i/>
          <w:color w:val="000000"/>
          <w:sz w:val="22"/>
          <w:szCs w:val="22"/>
        </w:rPr>
        <w:t>wn</w:t>
      </w:r>
      <w:proofErr w:type="spellEnd"/>
      <w:r>
        <w:rPr>
          <w:rFonts w:ascii="Palatino Linotype" w:eastAsia="Palatino Linotype" w:hAnsi="Palatino Linotype" w:cs="Palatino Linotype"/>
          <w:i/>
          <w:color w:val="000000"/>
          <w:sz w:val="22"/>
          <w:szCs w:val="22"/>
        </w:rPr>
        <w:t xml:space="preserve"> los términos de la Ley General de Archivos, Lineamientos para la Organización y Conservación de Archivos y demás normatividad aplicable.</w:t>
      </w:r>
    </w:p>
    <w:p w14:paraId="6866B329"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46F414F2"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Décimo primero.</w:t>
      </w:r>
      <w:r>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1CD454B8" w14:textId="77777777" w:rsidR="008C61AB" w:rsidRDefault="00380AFA">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lastRenderedPageBreak/>
        <w:t>Asimismo, deberá observar el Lineamiento Quincuagésimo segundo de los Lineamientos Generales en Materia de Clasificación y Desclasificación de la Información, así como para la Elaboración de Versiones Públicas, a saber:</w:t>
      </w:r>
    </w:p>
    <w:p w14:paraId="18C2D14A"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“Quincuagésimo segundo</w:t>
      </w:r>
      <w:r>
        <w:rPr>
          <w:rFonts w:ascii="Palatino Linotype" w:eastAsia="Palatino Linotype" w:hAnsi="Palatino Linotype" w:cs="Palatino Linotype"/>
          <w:i/>
          <w:color w:val="000000"/>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4E3D170"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i/>
          <w:color w:val="000000"/>
          <w:sz w:val="22"/>
          <w:szCs w:val="22"/>
        </w:rPr>
        <w:t xml:space="preserve">En el caso </w:t>
      </w:r>
      <w:proofErr w:type="spellStart"/>
      <w:r>
        <w:rPr>
          <w:rFonts w:ascii="Palatino Linotype" w:eastAsia="Palatino Linotype" w:hAnsi="Palatino Linotype" w:cs="Palatino Linotype"/>
          <w:i/>
          <w:color w:val="000000"/>
          <w:sz w:val="22"/>
          <w:szCs w:val="22"/>
        </w:rPr>
        <w:t>especifico</w:t>
      </w:r>
      <w:proofErr w:type="spellEnd"/>
      <w:r>
        <w:rPr>
          <w:rFonts w:ascii="Palatino Linotype" w:eastAsia="Palatino Linotype" w:hAnsi="Palatino Linotype" w:cs="Palatino Linotype"/>
          <w:i/>
          <w:color w:val="000000"/>
          <w:sz w:val="22"/>
          <w:szCs w:val="22"/>
        </w:rPr>
        <w:t xml:space="preserve"> de la clasificación y elaboración de versiones públicas de documentos que contengan información confidencial, las áreas de los sujetos obligados deberán: </w:t>
      </w:r>
    </w:p>
    <w:p w14:paraId="32E66917"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Fijar la fecha en que se elaboró la versión pública y la fecha en la cual el Comité de Transparencia confirmó dicha versión;</w:t>
      </w:r>
    </w:p>
    <w:p w14:paraId="4C5A620F"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Señalar dentro del documento el tipo de información confidencial que fue testada en cada caso específico, de conformidad con el lineamiento trigésimo octavo; y</w:t>
      </w:r>
    </w:p>
    <w:p w14:paraId="4270B6F6"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Señalar las personas o instancias autorizadas a acceder a la información clasificada.</w:t>
      </w:r>
    </w:p>
    <w:p w14:paraId="7927C937" w14:textId="77777777" w:rsidR="008C61AB" w:rsidRDefault="00380AFA">
      <w:pPr>
        <w:pBdr>
          <w:top w:val="nil"/>
          <w:left w:val="nil"/>
          <w:bottom w:val="nil"/>
          <w:right w:val="nil"/>
          <w:between w:val="nil"/>
        </w:pBdr>
        <w:spacing w:before="120" w:after="120"/>
        <w:ind w:left="567" w:right="900"/>
        <w:jc w:val="both"/>
        <w:rPr>
          <w:color w:val="000000"/>
        </w:rPr>
      </w:pPr>
      <w:r>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065F389F" w14:textId="77777777" w:rsidR="008C61AB" w:rsidRDefault="00380AF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558CDED1" w14:textId="77777777" w:rsidR="00107565" w:rsidRDefault="0010756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184CE9AB" w14:textId="77777777" w:rsidR="00107565" w:rsidRDefault="0010756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0E0BE622" w14:textId="77777777" w:rsidR="008C61AB" w:rsidRDefault="00380AFA">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bookmarkStart w:id="9" w:name="_heading=h.ijv98pntcd5s" w:colFirst="0" w:colLast="0"/>
      <w:bookmarkEnd w:id="9"/>
      <w:r>
        <w:rPr>
          <w:rFonts w:ascii="Palatino Linotype" w:eastAsia="Palatino Linotype" w:hAnsi="Palatino Linotype" w:cs="Palatino Linotype"/>
          <w:b/>
        </w:rPr>
        <w:lastRenderedPageBreak/>
        <w:t>III. R E S U E L V E</w:t>
      </w:r>
    </w:p>
    <w:p w14:paraId="79886CEE" w14:textId="77777777" w:rsidR="008C61AB" w:rsidRDefault="00380AFA">
      <w:pPr>
        <w:spacing w:before="240" w:after="240" w:line="360" w:lineRule="auto"/>
        <w:jc w:val="both"/>
        <w:rPr>
          <w:rFonts w:ascii="Palatino Linotype" w:eastAsia="Palatino Linotype" w:hAnsi="Palatino Linotype" w:cs="Palatino Linotype"/>
        </w:rPr>
      </w:pPr>
      <w:bookmarkStart w:id="10" w:name="_heading=h.26in1rg" w:colFirst="0" w:colLast="0"/>
      <w:bookmarkEnd w:id="10"/>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04034/INFOEM/IP/RR/2023</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 xml:space="preserve">Sujeto Obligado. </w:t>
      </w:r>
    </w:p>
    <w:p w14:paraId="01C7EAB7" w14:textId="77777777" w:rsidR="008C61AB" w:rsidRDefault="00380AFA">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en </w:t>
      </w:r>
      <w:r>
        <w:rPr>
          <w:rFonts w:ascii="Palatino Linotype" w:eastAsia="Palatino Linotype" w:hAnsi="Palatino Linotype" w:cs="Palatino Linotype"/>
          <w:b/>
        </w:rPr>
        <w:t>versión pública</w:t>
      </w:r>
      <w:r>
        <w:rPr>
          <w:rFonts w:ascii="Palatino Linotype" w:eastAsia="Palatino Linotype" w:hAnsi="Palatino Linotype" w:cs="Palatino Linotype"/>
        </w:rPr>
        <w:t xml:space="preserve"> a</w:t>
      </w:r>
      <w:r>
        <w:rPr>
          <w:rFonts w:ascii="Palatino Linotype" w:eastAsia="Palatino Linotype" w:hAnsi="Palatino Linotype" w:cs="Palatino Linotype"/>
          <w:b/>
        </w:rPr>
        <w:t xml:space="preserve"> la parte Recurrente,</w:t>
      </w:r>
      <w:r>
        <w:rPr>
          <w:rFonts w:ascii="Palatino Linotype" w:eastAsia="Palatino Linotype" w:hAnsi="Palatino Linotype" w:cs="Palatino Linotype"/>
        </w:rPr>
        <w:t xml:space="preserve"> 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y Quinto de la presente resolución, lo siguiente: </w:t>
      </w:r>
    </w:p>
    <w:p w14:paraId="6D841285" w14:textId="77777777" w:rsidR="006B5C56" w:rsidRPr="00285FF9" w:rsidRDefault="006B5C56" w:rsidP="00165647">
      <w:pPr>
        <w:pBdr>
          <w:top w:val="nil"/>
          <w:left w:val="nil"/>
          <w:bottom w:val="nil"/>
          <w:right w:val="nil"/>
          <w:between w:val="nil"/>
        </w:pBdr>
        <w:tabs>
          <w:tab w:val="left" w:pos="7655"/>
        </w:tabs>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sz w:val="22"/>
          <w:szCs w:val="22"/>
        </w:rPr>
        <w:t xml:space="preserve">a) </w:t>
      </w:r>
      <w:r w:rsidR="00380AFA">
        <w:rPr>
          <w:rFonts w:ascii="Palatino Linotype" w:eastAsia="Palatino Linotype" w:hAnsi="Palatino Linotype" w:cs="Palatino Linotype"/>
          <w:b/>
          <w:i/>
          <w:color w:val="000000"/>
          <w:sz w:val="22"/>
          <w:szCs w:val="22"/>
        </w:rPr>
        <w:t xml:space="preserve">Comprobantes Fiscales Digitales por Internet por concepto de nómina (CDFI) de todo el personal </w:t>
      </w:r>
      <w:r w:rsidR="00380AFA" w:rsidRPr="00285FF9">
        <w:rPr>
          <w:rFonts w:ascii="Palatino Linotype" w:eastAsia="Palatino Linotype" w:hAnsi="Palatino Linotype" w:cs="Palatino Linotype"/>
          <w:b/>
          <w:i/>
          <w:color w:val="000000"/>
          <w:sz w:val="22"/>
          <w:szCs w:val="22"/>
        </w:rPr>
        <w:t xml:space="preserve">adscrito al ayuntamiento de Atlacomulco, así como </w:t>
      </w:r>
      <w:r w:rsidRPr="00285FF9">
        <w:rPr>
          <w:rFonts w:ascii="Palatino Linotype" w:eastAsia="Palatino Linotype" w:hAnsi="Palatino Linotype" w:cs="Palatino Linotype"/>
          <w:b/>
          <w:i/>
          <w:color w:val="000000"/>
          <w:sz w:val="22"/>
          <w:szCs w:val="22"/>
        </w:rPr>
        <w:t xml:space="preserve">del personal </w:t>
      </w:r>
      <w:r w:rsidR="00380AFA" w:rsidRPr="00285FF9">
        <w:rPr>
          <w:rFonts w:ascii="Palatino Linotype" w:eastAsia="Palatino Linotype" w:hAnsi="Palatino Linotype" w:cs="Palatino Linotype"/>
          <w:b/>
          <w:i/>
          <w:sz w:val="22"/>
          <w:szCs w:val="22"/>
        </w:rPr>
        <w:t>por honorarios,</w:t>
      </w:r>
      <w:r w:rsidR="00380AFA" w:rsidRPr="00285FF9">
        <w:rPr>
          <w:rFonts w:ascii="Palatino Linotype" w:eastAsia="Palatino Linotype" w:hAnsi="Palatino Linotype" w:cs="Palatino Linotype"/>
          <w:b/>
          <w:i/>
          <w:color w:val="000000"/>
          <w:sz w:val="22"/>
          <w:szCs w:val="22"/>
        </w:rPr>
        <w:t xml:space="preserve"> de la segunda quincena de mayo de 2023.</w:t>
      </w:r>
    </w:p>
    <w:p w14:paraId="7EC76051" w14:textId="77777777" w:rsidR="00165647" w:rsidRPr="00285FF9" w:rsidRDefault="00165647" w:rsidP="00165647">
      <w:pPr>
        <w:pBdr>
          <w:top w:val="nil"/>
          <w:left w:val="nil"/>
          <w:bottom w:val="nil"/>
          <w:right w:val="nil"/>
          <w:between w:val="nil"/>
        </w:pBdr>
        <w:tabs>
          <w:tab w:val="left" w:pos="7655"/>
        </w:tabs>
        <w:spacing w:line="276" w:lineRule="auto"/>
        <w:ind w:left="567" w:right="900"/>
        <w:jc w:val="both"/>
        <w:rPr>
          <w:rFonts w:ascii="Palatino Linotype" w:eastAsia="Palatino Linotype" w:hAnsi="Palatino Linotype" w:cs="Palatino Linotype"/>
          <w:b/>
          <w:i/>
          <w:color w:val="000000"/>
          <w:sz w:val="22"/>
          <w:szCs w:val="22"/>
        </w:rPr>
      </w:pPr>
    </w:p>
    <w:p w14:paraId="41C6F8D7" w14:textId="69329791" w:rsidR="006B5C56" w:rsidRPr="00285FF9" w:rsidRDefault="006B5C56">
      <w:pPr>
        <w:pBdr>
          <w:top w:val="nil"/>
          <w:left w:val="nil"/>
          <w:bottom w:val="nil"/>
          <w:right w:val="nil"/>
          <w:between w:val="nil"/>
        </w:pBdr>
        <w:tabs>
          <w:tab w:val="left" w:pos="7655"/>
        </w:tabs>
        <w:spacing w:line="276" w:lineRule="auto"/>
        <w:ind w:left="567" w:right="900"/>
        <w:jc w:val="both"/>
        <w:rPr>
          <w:rFonts w:ascii="Palatino Linotype" w:eastAsia="Palatino Linotype" w:hAnsi="Palatino Linotype" w:cs="Palatino Linotype"/>
          <w:b/>
          <w:i/>
          <w:color w:val="000000"/>
          <w:sz w:val="22"/>
          <w:szCs w:val="22"/>
        </w:rPr>
      </w:pPr>
      <w:r w:rsidRPr="00285FF9">
        <w:rPr>
          <w:rFonts w:ascii="Palatino Linotype" w:eastAsia="Palatino Linotype" w:hAnsi="Palatino Linotype" w:cs="Palatino Linotype"/>
          <w:b/>
          <w:i/>
          <w:sz w:val="22"/>
          <w:szCs w:val="22"/>
        </w:rPr>
        <w:t>b) Lista de raya de los servidores públicos</w:t>
      </w:r>
      <w:r w:rsidR="0049443F" w:rsidRPr="00285FF9">
        <w:rPr>
          <w:rFonts w:ascii="Palatino Linotype" w:eastAsia="Palatino Linotype" w:hAnsi="Palatino Linotype" w:cs="Palatino Linotype"/>
          <w:b/>
          <w:i/>
          <w:sz w:val="22"/>
          <w:szCs w:val="22"/>
        </w:rPr>
        <w:t xml:space="preserve"> eventuales</w:t>
      </w:r>
      <w:r w:rsidRPr="00285FF9">
        <w:rPr>
          <w:rFonts w:ascii="Palatino Linotype" w:eastAsia="Palatino Linotype" w:hAnsi="Palatino Linotype" w:cs="Palatino Linotype"/>
          <w:b/>
          <w:i/>
          <w:sz w:val="22"/>
          <w:szCs w:val="22"/>
        </w:rPr>
        <w:t xml:space="preserve"> adscritos al ayuntamiento de Atlacomulco</w:t>
      </w:r>
      <w:r w:rsidRPr="00285FF9">
        <w:t xml:space="preserve">, </w:t>
      </w:r>
      <w:r w:rsidRPr="00285FF9">
        <w:rPr>
          <w:rFonts w:ascii="Palatino Linotype" w:eastAsia="Palatino Linotype" w:hAnsi="Palatino Linotype" w:cs="Palatino Linotype"/>
          <w:b/>
          <w:i/>
          <w:sz w:val="22"/>
          <w:szCs w:val="22"/>
        </w:rPr>
        <w:t>de la segunda quincena de mayo de 2023.</w:t>
      </w:r>
    </w:p>
    <w:p w14:paraId="09451BDD" w14:textId="77777777" w:rsidR="008C61AB" w:rsidRPr="00285FF9" w:rsidRDefault="00380AFA">
      <w:pPr>
        <w:pBdr>
          <w:top w:val="nil"/>
          <w:left w:val="nil"/>
          <w:bottom w:val="nil"/>
          <w:right w:val="nil"/>
          <w:between w:val="nil"/>
        </w:pBdr>
        <w:tabs>
          <w:tab w:val="left" w:pos="5175"/>
        </w:tabs>
        <w:spacing w:line="276" w:lineRule="auto"/>
        <w:ind w:right="900"/>
        <w:jc w:val="both"/>
        <w:rPr>
          <w:rFonts w:ascii="Palatino Linotype" w:eastAsia="Palatino Linotype" w:hAnsi="Palatino Linotype" w:cs="Palatino Linotype"/>
          <w:b/>
          <w:i/>
          <w:sz w:val="22"/>
          <w:szCs w:val="22"/>
        </w:rPr>
      </w:pPr>
      <w:r w:rsidRPr="00285FF9">
        <w:rPr>
          <w:rFonts w:ascii="Palatino Linotype" w:eastAsia="Palatino Linotype" w:hAnsi="Palatino Linotype" w:cs="Palatino Linotype"/>
          <w:b/>
          <w:i/>
          <w:sz w:val="22"/>
          <w:szCs w:val="22"/>
        </w:rPr>
        <w:tab/>
      </w:r>
    </w:p>
    <w:p w14:paraId="3B4A92E6" w14:textId="77777777" w:rsidR="008C61AB" w:rsidRPr="00285FF9" w:rsidRDefault="00380AFA">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sz w:val="22"/>
          <w:szCs w:val="22"/>
        </w:rPr>
      </w:pPr>
      <w:r w:rsidRPr="00285FF9">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285FF9">
        <w:rPr>
          <w:rFonts w:ascii="Palatino Linotype" w:eastAsia="Palatino Linotype" w:hAnsi="Palatino Linotype" w:cs="Palatino Linotype"/>
          <w:b/>
          <w:i/>
          <w:sz w:val="22"/>
          <w:szCs w:val="22"/>
        </w:rPr>
        <w:t>Recurrente</w:t>
      </w:r>
      <w:r w:rsidRPr="00285FF9">
        <w:rPr>
          <w:rFonts w:ascii="Palatino Linotype" w:eastAsia="Palatino Linotype" w:hAnsi="Palatino Linotype" w:cs="Palatino Linotype"/>
          <w:i/>
          <w:sz w:val="22"/>
          <w:szCs w:val="22"/>
        </w:rPr>
        <w:t>.</w:t>
      </w:r>
    </w:p>
    <w:p w14:paraId="36F26270" w14:textId="0BAF2682" w:rsidR="008C61AB" w:rsidRDefault="006B5C56">
      <w:pPr>
        <w:tabs>
          <w:tab w:val="left" w:pos="851"/>
        </w:tabs>
        <w:spacing w:after="240"/>
        <w:ind w:left="566" w:right="912"/>
        <w:jc w:val="both"/>
        <w:rPr>
          <w:rFonts w:ascii="Palatino Linotype" w:eastAsia="Palatino Linotype" w:hAnsi="Palatino Linotype" w:cs="Palatino Linotype"/>
          <w:i/>
          <w:sz w:val="22"/>
          <w:szCs w:val="22"/>
        </w:rPr>
      </w:pPr>
      <w:r w:rsidRPr="00285FF9">
        <w:rPr>
          <w:rFonts w:ascii="Palatino Linotype" w:eastAsia="Palatino Linotype" w:hAnsi="Palatino Linotype" w:cs="Palatino Linotype"/>
          <w:i/>
          <w:sz w:val="22"/>
          <w:szCs w:val="22"/>
        </w:rPr>
        <w:t xml:space="preserve">En el supuesto que </w:t>
      </w:r>
      <w:r w:rsidRPr="00285FF9">
        <w:rPr>
          <w:rFonts w:ascii="Palatino Linotype" w:eastAsia="Palatino Linotype" w:hAnsi="Palatino Linotype" w:cs="Palatino Linotype"/>
          <w:b/>
          <w:i/>
          <w:sz w:val="22"/>
          <w:szCs w:val="22"/>
          <w:u w:val="single"/>
        </w:rPr>
        <w:t>la lista de raya que se ordena en el inciso b)</w:t>
      </w:r>
      <w:r w:rsidRPr="00285FF9">
        <w:rPr>
          <w:rFonts w:ascii="Palatino Linotype" w:eastAsia="Palatino Linotype" w:hAnsi="Palatino Linotype" w:cs="Palatino Linotype"/>
          <w:i/>
          <w:sz w:val="22"/>
          <w:szCs w:val="22"/>
        </w:rPr>
        <w:t xml:space="preserve">, no obre en los archivos del </w:t>
      </w:r>
      <w:r w:rsidRPr="00285FF9">
        <w:rPr>
          <w:rFonts w:ascii="Palatino Linotype" w:eastAsia="Palatino Linotype" w:hAnsi="Palatino Linotype" w:cs="Palatino Linotype"/>
          <w:b/>
          <w:i/>
          <w:sz w:val="22"/>
          <w:szCs w:val="22"/>
        </w:rPr>
        <w:t>Sujeto Obligad</w:t>
      </w:r>
      <w:r w:rsidRPr="006B5C56">
        <w:rPr>
          <w:rFonts w:ascii="Palatino Linotype" w:eastAsia="Palatino Linotype" w:hAnsi="Palatino Linotype" w:cs="Palatino Linotype"/>
          <w:b/>
          <w:i/>
          <w:sz w:val="22"/>
          <w:szCs w:val="22"/>
        </w:rPr>
        <w:t>o</w:t>
      </w:r>
      <w:r w:rsidRPr="006B5C56">
        <w:rPr>
          <w:rFonts w:ascii="Palatino Linotype" w:eastAsia="Palatino Linotype" w:hAnsi="Palatino Linotype" w:cs="Palatino Linotype"/>
          <w:i/>
          <w:sz w:val="22"/>
          <w:szCs w:val="22"/>
        </w:rPr>
        <w:t xml:space="preserve"> por no haberse generado</w:t>
      </w:r>
      <w:r w:rsidR="0049443F">
        <w:rPr>
          <w:rFonts w:ascii="Palatino Linotype" w:eastAsia="Palatino Linotype" w:hAnsi="Palatino Linotype" w:cs="Palatino Linotype"/>
          <w:i/>
          <w:sz w:val="22"/>
          <w:szCs w:val="22"/>
        </w:rPr>
        <w:t xml:space="preserve"> al no actualizarse el supuesto</w:t>
      </w:r>
      <w:r w:rsidRPr="006B5C56">
        <w:rPr>
          <w:rFonts w:ascii="Palatino Linotype" w:eastAsia="Palatino Linotype" w:hAnsi="Palatino Linotype" w:cs="Palatino Linotype"/>
          <w:i/>
          <w:sz w:val="22"/>
          <w:szCs w:val="22"/>
        </w:rPr>
        <w:t xml:space="preserve">, bastará con que así lo haga del conocimiento de </w:t>
      </w:r>
      <w:r w:rsidRPr="006B5C56">
        <w:rPr>
          <w:rFonts w:ascii="Palatino Linotype" w:eastAsia="Palatino Linotype" w:hAnsi="Palatino Linotype" w:cs="Palatino Linotype"/>
          <w:b/>
          <w:i/>
          <w:sz w:val="22"/>
          <w:szCs w:val="22"/>
        </w:rPr>
        <w:t>la parte Recurrente</w:t>
      </w:r>
      <w:r w:rsidRPr="006B5C56">
        <w:rPr>
          <w:rFonts w:ascii="Palatino Linotype" w:eastAsia="Palatino Linotype" w:hAnsi="Palatino Linotype" w:cs="Palatino Linotype"/>
          <w:i/>
          <w:sz w:val="22"/>
          <w:szCs w:val="22"/>
        </w:rPr>
        <w:t>, de manera fundada y motivada, en términos del artículo 19, párrafo segundo de la Ley de Transparencia y Acceso a la Información Pública del Estado de México y Municipios, para tener por colmado el requerimiento de información.</w:t>
      </w:r>
    </w:p>
    <w:p w14:paraId="0BB73736" w14:textId="77777777" w:rsidR="008C61AB" w:rsidRDefault="00380AFA">
      <w:pPr>
        <w:tabs>
          <w:tab w:val="left" w:pos="851"/>
        </w:tabs>
        <w:spacing w:after="240"/>
        <w:ind w:left="566" w:right="91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el caso de que 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xml:space="preserve"> no cuente con la información que se ordena </w:t>
      </w:r>
      <w:r w:rsidR="006B5C56" w:rsidRPr="006B5C56">
        <w:rPr>
          <w:rFonts w:ascii="Palatino Linotype" w:eastAsia="Palatino Linotype" w:hAnsi="Palatino Linotype" w:cs="Palatino Linotype"/>
          <w:b/>
          <w:i/>
          <w:sz w:val="22"/>
          <w:szCs w:val="22"/>
          <w:u w:val="single"/>
        </w:rPr>
        <w:t>en el inciso a)</w:t>
      </w:r>
      <w:r w:rsidR="006B5C56">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 xml:space="preserve">relativa </w:t>
      </w:r>
      <w:r>
        <w:rPr>
          <w:rFonts w:ascii="Palatino Linotype" w:eastAsia="Palatino Linotype" w:hAnsi="Palatino Linotype" w:cs="Palatino Linotype"/>
          <w:b/>
          <w:i/>
          <w:sz w:val="22"/>
          <w:szCs w:val="22"/>
          <w:u w:val="single"/>
        </w:rPr>
        <w:t>a los honorarios</w:t>
      </w:r>
      <w:r>
        <w:rPr>
          <w:rFonts w:ascii="Palatino Linotype" w:eastAsia="Palatino Linotype" w:hAnsi="Palatino Linotype" w:cs="Palatino Linotype"/>
          <w:i/>
          <w:sz w:val="22"/>
          <w:szCs w:val="22"/>
        </w:rPr>
        <w:t xml:space="preserve">, deberá proporcionar el Acuerdo del Comité de Transparencia donde confirme la inexistencia de la información, esto de acuerdo con lo establecido en el artículo 19, párrafo tercero, 169 y 170 de la Ley de </w:t>
      </w:r>
      <w:r>
        <w:rPr>
          <w:rFonts w:ascii="Palatino Linotype" w:eastAsia="Palatino Linotype" w:hAnsi="Palatino Linotype" w:cs="Palatino Linotype"/>
          <w:i/>
          <w:sz w:val="22"/>
          <w:szCs w:val="22"/>
        </w:rPr>
        <w:lastRenderedPageBreak/>
        <w:t>Transparencia y Acceso a la Información Pública del Estado de México y Municipios.</w:t>
      </w:r>
    </w:p>
    <w:p w14:paraId="0ECDC1E6"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6945FA3"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525A3D8" w14:textId="77777777" w:rsidR="008C61AB" w:rsidRDefault="00380A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Notifíquese vía SAIMEX, </w:t>
      </w:r>
      <w:r>
        <w:rPr>
          <w:rFonts w:ascii="Palatino Linotype" w:eastAsia="Palatino Linotype" w:hAnsi="Palatino Linotype" w:cs="Palatino Linotype"/>
        </w:rPr>
        <w:t>a</w:t>
      </w:r>
      <w:r>
        <w:rPr>
          <w:rFonts w:ascii="Palatino Linotype" w:eastAsia="Palatino Linotype" w:hAnsi="Palatino Linotype" w:cs="Palatino Linotype"/>
          <w:b/>
        </w:rPr>
        <w:t xml:space="preserve"> la parte Recurrente</w:t>
      </w:r>
      <w:r>
        <w:rPr>
          <w:rFonts w:ascii="Palatino Linotype" w:eastAsia="Palatino Linotype" w:hAnsi="Palatino Linotype" w:cs="Palatino Linotype"/>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59AD149E" w14:textId="77777777" w:rsidR="00107565" w:rsidRDefault="00107565">
      <w:pPr>
        <w:spacing w:before="240" w:after="240" w:line="360" w:lineRule="auto"/>
        <w:jc w:val="both"/>
        <w:rPr>
          <w:rFonts w:ascii="Palatino Linotype" w:eastAsia="Palatino Linotype" w:hAnsi="Palatino Linotype" w:cs="Palatino Linotype"/>
        </w:rPr>
      </w:pPr>
    </w:p>
    <w:p w14:paraId="100B4EB8" w14:textId="3F838048" w:rsidR="008C61AB" w:rsidRDefault="00380AF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D475FB">
        <w:rPr>
          <w:rFonts w:ascii="Palatino Linotype" w:eastAsia="Palatino Linotype" w:hAnsi="Palatino Linotype" w:cs="Palatino Linotype"/>
        </w:rPr>
        <w:t xml:space="preserve">EMITIENDO VOTO PARTICULAR; </w:t>
      </w:r>
      <w:r>
        <w:rPr>
          <w:rFonts w:ascii="Palatino Linotype" w:eastAsia="Palatino Linotype" w:hAnsi="Palatino Linotype" w:cs="Palatino Linotype"/>
        </w:rPr>
        <w:t>Y GUAD</w:t>
      </w:r>
      <w:r w:rsidR="00165647">
        <w:rPr>
          <w:rFonts w:ascii="Palatino Linotype" w:eastAsia="Palatino Linotype" w:hAnsi="Palatino Linotype" w:cs="Palatino Linotype"/>
        </w:rPr>
        <w:t xml:space="preserve">ALUPE RAMÍREZ PEÑA; </w:t>
      </w:r>
      <w:r w:rsidR="00D475FB">
        <w:rPr>
          <w:rFonts w:ascii="Palatino Linotype" w:eastAsia="Palatino Linotype" w:hAnsi="Palatino Linotype" w:cs="Palatino Linotype"/>
        </w:rPr>
        <w:t xml:space="preserve">EMITIENDO VOTO PARTICULAR; </w:t>
      </w:r>
      <w:r w:rsidR="00165647">
        <w:rPr>
          <w:rFonts w:ascii="Palatino Linotype" w:eastAsia="Palatino Linotype" w:hAnsi="Palatino Linotype" w:cs="Palatino Linotype"/>
        </w:rPr>
        <w:t>EN LA DÉCIMO PRIMERA</w:t>
      </w:r>
      <w:r>
        <w:rPr>
          <w:rFonts w:ascii="Palatino Linotype" w:eastAsia="Palatino Linotype" w:hAnsi="Palatino Linotype" w:cs="Palatino Linotype"/>
        </w:rPr>
        <w:t xml:space="preserve"> SESIÓN ORDINARIA, CELEBRADA </w:t>
      </w:r>
      <w:r w:rsidR="00165647">
        <w:rPr>
          <w:rFonts w:ascii="Palatino Linotype" w:eastAsia="Palatino Linotype" w:hAnsi="Palatino Linotype" w:cs="Palatino Linotype"/>
        </w:rPr>
        <w:t>EL TRES DE ABRIL</w:t>
      </w:r>
      <w:r>
        <w:rPr>
          <w:rFonts w:ascii="Palatino Linotype" w:eastAsia="Palatino Linotype" w:hAnsi="Palatino Linotype" w:cs="Palatino Linotype"/>
        </w:rPr>
        <w:t xml:space="preserve"> DE DOS MIL VEINTICUATRO, ANTE EL SECRETARIO TÉCNICO DEL PLENO ALEXIS TAPIA RAMÍREZ. </w:t>
      </w:r>
    </w:p>
    <w:p w14:paraId="1CD793A1" w14:textId="77777777" w:rsidR="008C61AB" w:rsidRDefault="008C61AB">
      <w:pPr>
        <w:rPr>
          <w:rFonts w:ascii="Palatino Linotype" w:eastAsia="Palatino Linotype" w:hAnsi="Palatino Linotype" w:cs="Palatino Linotype"/>
        </w:rPr>
      </w:pPr>
    </w:p>
    <w:p w14:paraId="15475677" w14:textId="77777777" w:rsidR="008C61AB" w:rsidRDefault="008C61AB">
      <w:pPr>
        <w:rPr>
          <w:rFonts w:ascii="Palatino Linotype" w:eastAsia="Palatino Linotype" w:hAnsi="Palatino Linotype" w:cs="Palatino Linotype"/>
        </w:rPr>
      </w:pPr>
    </w:p>
    <w:p w14:paraId="6CCCD7F0" w14:textId="77777777" w:rsidR="008C61AB" w:rsidRDefault="008C61AB">
      <w:pPr>
        <w:rPr>
          <w:rFonts w:ascii="Palatino Linotype" w:eastAsia="Palatino Linotype" w:hAnsi="Palatino Linotype" w:cs="Palatino Linotype"/>
        </w:rPr>
      </w:pPr>
    </w:p>
    <w:p w14:paraId="098501AF" w14:textId="77777777" w:rsidR="008C61AB" w:rsidRDefault="008C61AB">
      <w:pPr>
        <w:rPr>
          <w:rFonts w:ascii="Palatino Linotype" w:eastAsia="Palatino Linotype" w:hAnsi="Palatino Linotype" w:cs="Palatino Linotype"/>
        </w:rPr>
      </w:pPr>
    </w:p>
    <w:p w14:paraId="4E9E54D7" w14:textId="77777777" w:rsidR="008C61AB" w:rsidRDefault="008C61AB">
      <w:pPr>
        <w:rPr>
          <w:rFonts w:ascii="Palatino Linotype" w:eastAsia="Palatino Linotype" w:hAnsi="Palatino Linotype" w:cs="Palatino Linotype"/>
        </w:rPr>
      </w:pPr>
    </w:p>
    <w:p w14:paraId="2B2993C6" w14:textId="77777777" w:rsidR="008C61AB" w:rsidRDefault="008C61AB">
      <w:pPr>
        <w:rPr>
          <w:rFonts w:ascii="Palatino Linotype" w:eastAsia="Palatino Linotype" w:hAnsi="Palatino Linotype" w:cs="Palatino Linotype"/>
        </w:rPr>
      </w:pPr>
    </w:p>
    <w:p w14:paraId="7516DA55" w14:textId="77777777" w:rsidR="008C61AB" w:rsidRDefault="008C61AB">
      <w:pPr>
        <w:rPr>
          <w:rFonts w:ascii="Palatino Linotype" w:eastAsia="Palatino Linotype" w:hAnsi="Palatino Linotype" w:cs="Palatino Linotype"/>
        </w:rPr>
      </w:pPr>
    </w:p>
    <w:p w14:paraId="08C2F30E" w14:textId="77777777" w:rsidR="008C61AB" w:rsidRDefault="008C61AB">
      <w:pPr>
        <w:rPr>
          <w:rFonts w:ascii="Palatino Linotype" w:eastAsia="Palatino Linotype" w:hAnsi="Palatino Linotype" w:cs="Palatino Linotype"/>
        </w:rPr>
      </w:pPr>
    </w:p>
    <w:p w14:paraId="39F32372" w14:textId="77777777" w:rsidR="008C61AB" w:rsidRDefault="008C61AB">
      <w:pPr>
        <w:rPr>
          <w:rFonts w:ascii="Palatino Linotype" w:eastAsia="Palatino Linotype" w:hAnsi="Palatino Linotype" w:cs="Palatino Linotype"/>
        </w:rPr>
      </w:pPr>
    </w:p>
    <w:p w14:paraId="3FA3B191" w14:textId="77777777" w:rsidR="008C61AB" w:rsidRDefault="008C61AB">
      <w:pPr>
        <w:rPr>
          <w:rFonts w:ascii="Palatino Linotype" w:eastAsia="Palatino Linotype" w:hAnsi="Palatino Linotype" w:cs="Palatino Linotype"/>
        </w:rPr>
      </w:pPr>
    </w:p>
    <w:p w14:paraId="05DFE9C3" w14:textId="77777777" w:rsidR="008C61AB" w:rsidRDefault="008C61AB">
      <w:pPr>
        <w:rPr>
          <w:rFonts w:ascii="Palatino Linotype" w:eastAsia="Palatino Linotype" w:hAnsi="Palatino Linotype" w:cs="Palatino Linotype"/>
        </w:rPr>
      </w:pPr>
    </w:p>
    <w:p w14:paraId="7A178865" w14:textId="77777777" w:rsidR="008C61AB" w:rsidRDefault="008C61AB">
      <w:pPr>
        <w:spacing w:line="360" w:lineRule="auto"/>
        <w:jc w:val="both"/>
        <w:rPr>
          <w:rFonts w:ascii="Palatino Linotype" w:eastAsia="Palatino Linotype" w:hAnsi="Palatino Linotype" w:cs="Palatino Linotype"/>
        </w:rPr>
      </w:pPr>
      <w:bookmarkStart w:id="11" w:name="_heading=h.3rdcrjn" w:colFirst="0" w:colLast="0"/>
      <w:bookmarkEnd w:id="11"/>
    </w:p>
    <w:p w14:paraId="73D8917C" w14:textId="77777777" w:rsidR="008C61AB" w:rsidRDefault="008C61AB">
      <w:pPr>
        <w:spacing w:line="360" w:lineRule="auto"/>
        <w:jc w:val="both"/>
        <w:rPr>
          <w:rFonts w:ascii="Palatino Linotype" w:eastAsia="Palatino Linotype" w:hAnsi="Palatino Linotype" w:cs="Palatino Linotype"/>
        </w:rPr>
      </w:pPr>
    </w:p>
    <w:p w14:paraId="5652398E" w14:textId="77777777" w:rsidR="008C61AB" w:rsidRDefault="008C61AB">
      <w:pPr>
        <w:spacing w:line="360" w:lineRule="auto"/>
        <w:jc w:val="both"/>
        <w:rPr>
          <w:rFonts w:ascii="Palatino Linotype" w:eastAsia="Palatino Linotype" w:hAnsi="Palatino Linotype" w:cs="Palatino Linotype"/>
        </w:rPr>
      </w:pPr>
    </w:p>
    <w:p w14:paraId="2B76F200" w14:textId="77777777" w:rsidR="008C61AB" w:rsidRDefault="008C61AB">
      <w:pPr>
        <w:spacing w:line="360" w:lineRule="auto"/>
        <w:jc w:val="both"/>
        <w:rPr>
          <w:rFonts w:ascii="Palatino Linotype" w:eastAsia="Palatino Linotype" w:hAnsi="Palatino Linotype" w:cs="Palatino Linotype"/>
        </w:rPr>
      </w:pPr>
      <w:bookmarkStart w:id="12" w:name="_heading=h.1t3h5sf" w:colFirst="0" w:colLast="0"/>
      <w:bookmarkEnd w:id="12"/>
    </w:p>
    <w:p w14:paraId="0D2EB5AE" w14:textId="77777777" w:rsidR="008C61AB" w:rsidRDefault="008C61AB">
      <w:pPr>
        <w:spacing w:line="360" w:lineRule="auto"/>
        <w:jc w:val="both"/>
        <w:rPr>
          <w:rFonts w:ascii="Palatino Linotype" w:eastAsia="Palatino Linotype" w:hAnsi="Palatino Linotype" w:cs="Palatino Linotype"/>
        </w:rPr>
      </w:pPr>
    </w:p>
    <w:p w14:paraId="53FC9938" w14:textId="77777777" w:rsidR="008C61AB" w:rsidRDefault="008C61AB">
      <w:pPr>
        <w:spacing w:line="360" w:lineRule="auto"/>
        <w:jc w:val="both"/>
        <w:rPr>
          <w:rFonts w:ascii="Palatino Linotype" w:eastAsia="Palatino Linotype" w:hAnsi="Palatino Linotype" w:cs="Palatino Linotype"/>
        </w:rPr>
      </w:pPr>
    </w:p>
    <w:p w14:paraId="1C8EDE59" w14:textId="77777777" w:rsidR="008C61AB" w:rsidRDefault="008C61AB">
      <w:pPr>
        <w:spacing w:line="360" w:lineRule="auto"/>
        <w:jc w:val="both"/>
        <w:rPr>
          <w:rFonts w:ascii="Palatino Linotype" w:eastAsia="Palatino Linotype" w:hAnsi="Palatino Linotype" w:cs="Palatino Linotype"/>
        </w:rPr>
      </w:pPr>
    </w:p>
    <w:p w14:paraId="2FF4D07A" w14:textId="77777777" w:rsidR="008C61AB" w:rsidRDefault="008C61AB">
      <w:pPr>
        <w:spacing w:line="360" w:lineRule="auto"/>
        <w:jc w:val="both"/>
        <w:rPr>
          <w:rFonts w:ascii="Palatino Linotype" w:eastAsia="Palatino Linotype" w:hAnsi="Palatino Linotype" w:cs="Palatino Linotype"/>
        </w:rPr>
      </w:pPr>
    </w:p>
    <w:p w14:paraId="5DEEB17C" w14:textId="77777777" w:rsidR="008C61AB" w:rsidRDefault="008C61AB">
      <w:pPr>
        <w:spacing w:line="360" w:lineRule="auto"/>
        <w:jc w:val="both"/>
        <w:rPr>
          <w:rFonts w:ascii="Palatino Linotype" w:eastAsia="Palatino Linotype" w:hAnsi="Palatino Linotype" w:cs="Palatino Linotype"/>
        </w:rPr>
      </w:pPr>
    </w:p>
    <w:p w14:paraId="291BC1BB" w14:textId="77777777" w:rsidR="008C61AB" w:rsidRDefault="008C61AB">
      <w:pPr>
        <w:spacing w:line="360" w:lineRule="auto"/>
        <w:jc w:val="both"/>
        <w:rPr>
          <w:rFonts w:ascii="Palatino Linotype" w:eastAsia="Palatino Linotype" w:hAnsi="Palatino Linotype" w:cs="Palatino Linotype"/>
        </w:rPr>
      </w:pPr>
    </w:p>
    <w:p w14:paraId="28E3FB0D" w14:textId="77777777" w:rsidR="008C61AB" w:rsidRDefault="008C61AB">
      <w:pPr>
        <w:spacing w:line="360" w:lineRule="auto"/>
        <w:jc w:val="both"/>
        <w:rPr>
          <w:rFonts w:ascii="Palatino Linotype" w:eastAsia="Palatino Linotype" w:hAnsi="Palatino Linotype" w:cs="Palatino Linotype"/>
        </w:rPr>
      </w:pPr>
    </w:p>
    <w:p w14:paraId="4D22EC93" w14:textId="77777777" w:rsidR="008C61AB" w:rsidRDefault="008C61AB">
      <w:pPr>
        <w:spacing w:line="360" w:lineRule="auto"/>
        <w:jc w:val="both"/>
        <w:rPr>
          <w:rFonts w:ascii="Palatino Linotype" w:eastAsia="Palatino Linotype" w:hAnsi="Palatino Linotype" w:cs="Palatino Linotype"/>
        </w:rPr>
      </w:pPr>
    </w:p>
    <w:p w14:paraId="4FDAAED9" w14:textId="77777777" w:rsidR="008C61AB" w:rsidRDefault="008C61AB">
      <w:pPr>
        <w:spacing w:line="360" w:lineRule="auto"/>
        <w:jc w:val="both"/>
        <w:rPr>
          <w:rFonts w:ascii="Palatino Linotype" w:eastAsia="Palatino Linotype" w:hAnsi="Palatino Linotype" w:cs="Palatino Linotype"/>
        </w:rPr>
      </w:pPr>
    </w:p>
    <w:p w14:paraId="1372A6CF" w14:textId="77777777" w:rsidR="008C61AB" w:rsidRDefault="008C61AB">
      <w:pPr>
        <w:spacing w:line="360" w:lineRule="auto"/>
        <w:jc w:val="both"/>
        <w:rPr>
          <w:rFonts w:ascii="Palatino Linotype" w:eastAsia="Palatino Linotype" w:hAnsi="Palatino Linotype" w:cs="Palatino Linotype"/>
        </w:rPr>
      </w:pPr>
    </w:p>
    <w:p w14:paraId="3075FCDC" w14:textId="77777777" w:rsidR="008C61AB" w:rsidRDefault="008C61AB">
      <w:pPr>
        <w:spacing w:line="360" w:lineRule="auto"/>
        <w:jc w:val="both"/>
        <w:rPr>
          <w:rFonts w:ascii="Palatino Linotype" w:eastAsia="Palatino Linotype" w:hAnsi="Palatino Linotype" w:cs="Palatino Linotype"/>
        </w:rPr>
      </w:pPr>
    </w:p>
    <w:p w14:paraId="39725D76" w14:textId="77777777" w:rsidR="008C61AB" w:rsidRDefault="008C61AB">
      <w:pPr>
        <w:spacing w:line="360" w:lineRule="auto"/>
        <w:jc w:val="both"/>
        <w:rPr>
          <w:rFonts w:ascii="Palatino Linotype" w:eastAsia="Palatino Linotype" w:hAnsi="Palatino Linotype" w:cs="Palatino Linotype"/>
        </w:rPr>
      </w:pPr>
    </w:p>
    <w:p w14:paraId="73785407" w14:textId="77777777" w:rsidR="008C61AB" w:rsidRDefault="008C61AB">
      <w:pPr>
        <w:spacing w:line="360" w:lineRule="auto"/>
        <w:jc w:val="both"/>
        <w:rPr>
          <w:rFonts w:ascii="Palatino Linotype" w:eastAsia="Palatino Linotype" w:hAnsi="Palatino Linotype" w:cs="Palatino Linotype"/>
        </w:rPr>
      </w:pPr>
    </w:p>
    <w:p w14:paraId="6A3C7A6A" w14:textId="77777777" w:rsidR="008C61AB" w:rsidRDefault="008C61AB">
      <w:pPr>
        <w:spacing w:line="360" w:lineRule="auto"/>
        <w:jc w:val="both"/>
        <w:rPr>
          <w:rFonts w:ascii="Palatino Linotype" w:eastAsia="Palatino Linotype" w:hAnsi="Palatino Linotype" w:cs="Palatino Linotype"/>
        </w:rPr>
      </w:pPr>
    </w:p>
    <w:p w14:paraId="2D3127AD" w14:textId="77777777" w:rsidR="008C61AB" w:rsidRDefault="008C61AB">
      <w:pPr>
        <w:spacing w:line="360" w:lineRule="auto"/>
        <w:jc w:val="both"/>
        <w:rPr>
          <w:rFonts w:ascii="Palatino Linotype" w:eastAsia="Palatino Linotype" w:hAnsi="Palatino Linotype" w:cs="Palatino Linotype"/>
        </w:rPr>
      </w:pPr>
    </w:p>
    <w:p w14:paraId="51CBD24A" w14:textId="77777777" w:rsidR="008C61AB" w:rsidRDefault="008C61AB">
      <w:pPr>
        <w:spacing w:line="360" w:lineRule="auto"/>
        <w:jc w:val="both"/>
        <w:rPr>
          <w:rFonts w:ascii="Palatino Linotype" w:eastAsia="Palatino Linotype" w:hAnsi="Palatino Linotype" w:cs="Palatino Linotype"/>
        </w:rPr>
      </w:pPr>
    </w:p>
    <w:p w14:paraId="134F54CD" w14:textId="77777777" w:rsidR="008C61AB" w:rsidRDefault="008C61AB">
      <w:pPr>
        <w:spacing w:line="360" w:lineRule="auto"/>
        <w:jc w:val="both"/>
        <w:rPr>
          <w:rFonts w:ascii="Palatino Linotype" w:eastAsia="Palatino Linotype" w:hAnsi="Palatino Linotype" w:cs="Palatino Linotype"/>
        </w:rPr>
      </w:pPr>
    </w:p>
    <w:p w14:paraId="6574EFDF" w14:textId="77777777" w:rsidR="008C61AB" w:rsidRDefault="008C61AB">
      <w:pPr>
        <w:spacing w:line="360" w:lineRule="auto"/>
        <w:jc w:val="both"/>
        <w:rPr>
          <w:rFonts w:ascii="Palatino Linotype" w:eastAsia="Palatino Linotype" w:hAnsi="Palatino Linotype" w:cs="Palatino Linotype"/>
        </w:rPr>
      </w:pPr>
    </w:p>
    <w:p w14:paraId="52232F14" w14:textId="77777777" w:rsidR="008C61AB" w:rsidRDefault="008C61AB">
      <w:pPr>
        <w:spacing w:line="360" w:lineRule="auto"/>
        <w:jc w:val="both"/>
        <w:rPr>
          <w:rFonts w:ascii="Palatino Linotype" w:eastAsia="Palatino Linotype" w:hAnsi="Palatino Linotype" w:cs="Palatino Linotype"/>
        </w:rPr>
      </w:pPr>
    </w:p>
    <w:sectPr w:rsidR="008C61AB">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D4133" w14:textId="77777777" w:rsidR="00B9306A" w:rsidRDefault="00B9306A">
      <w:r>
        <w:separator/>
      </w:r>
    </w:p>
  </w:endnote>
  <w:endnote w:type="continuationSeparator" w:id="0">
    <w:p w14:paraId="2C5C803F" w14:textId="77777777" w:rsidR="00B9306A" w:rsidRDefault="00B93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BD782" w14:textId="77777777" w:rsidR="006B5C56" w:rsidRDefault="006B5C5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6494E">
      <w:rPr>
        <w:rFonts w:ascii="Palatino Linotype" w:eastAsia="Palatino Linotype" w:hAnsi="Palatino Linotype" w:cs="Palatino Linotype"/>
        <w:b/>
        <w:noProof/>
        <w:color w:val="000000"/>
        <w:sz w:val="20"/>
        <w:szCs w:val="20"/>
      </w:rPr>
      <w:t>73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6494E">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14:paraId="64578651" w14:textId="77777777" w:rsidR="006B5C56" w:rsidRDefault="006B5C5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EC2A" w14:textId="77777777" w:rsidR="006B5C56" w:rsidRDefault="006B5C5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6494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6494E">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14:paraId="35C4D57C" w14:textId="77777777" w:rsidR="006B5C56" w:rsidRDefault="006B5C5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1DB27" w14:textId="77777777" w:rsidR="00B9306A" w:rsidRDefault="00B9306A">
      <w:r>
        <w:separator/>
      </w:r>
    </w:p>
  </w:footnote>
  <w:footnote w:type="continuationSeparator" w:id="0">
    <w:p w14:paraId="63C475DA" w14:textId="77777777" w:rsidR="00B9306A" w:rsidRDefault="00B9306A">
      <w:r>
        <w:continuationSeparator/>
      </w:r>
    </w:p>
  </w:footnote>
  <w:footnote w:id="1">
    <w:p w14:paraId="1F8FA861" w14:textId="77777777" w:rsidR="006B5C56" w:rsidRDefault="006B5C56">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653B4A7B" w14:textId="77777777" w:rsidR="006B5C56" w:rsidRDefault="006B5C5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47DA9" w14:textId="77777777" w:rsidR="006B5C56" w:rsidRDefault="006B5C56">
    <w:pPr>
      <w:rPr>
        <w:rFonts w:ascii="Cambria" w:eastAsia="Cambria" w:hAnsi="Cambria" w:cs="Cambria"/>
        <w:color w:val="000000"/>
      </w:rPr>
    </w:pPr>
    <w:r>
      <w:rPr>
        <w:noProof/>
      </w:rPr>
      <w:drawing>
        <wp:anchor distT="0" distB="0" distL="0" distR="0" simplePos="0" relativeHeight="251658240" behindDoc="1" locked="0" layoutInCell="1" hidden="0" allowOverlap="1" wp14:anchorId="674799A8" wp14:editId="40DEBCEA">
          <wp:simplePos x="0" y="0"/>
          <wp:positionH relativeFrom="column">
            <wp:posOffset>-1080117</wp:posOffset>
          </wp:positionH>
          <wp:positionV relativeFrom="paragraph">
            <wp:posOffset>-488295</wp:posOffset>
          </wp:positionV>
          <wp:extent cx="7809865" cy="10165715"/>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6B5C56" w14:paraId="13A64EF8" w14:textId="77777777">
      <w:tc>
        <w:tcPr>
          <w:tcW w:w="2489" w:type="dxa"/>
          <w:shd w:val="clear" w:color="auto" w:fill="auto"/>
        </w:tcPr>
        <w:p w14:paraId="5A75A4B2" w14:textId="77777777" w:rsidR="006B5C56" w:rsidRDefault="006B5C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E3C200C" w14:textId="77777777" w:rsidR="006B5C56" w:rsidRDefault="006B5C5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04034/INFOEM/IP/RR/2023</w:t>
          </w:r>
        </w:p>
      </w:tc>
    </w:tr>
    <w:tr w:rsidR="006B5C56" w14:paraId="612E1A78" w14:textId="77777777">
      <w:trPr>
        <w:trHeight w:val="228"/>
      </w:trPr>
      <w:tc>
        <w:tcPr>
          <w:tcW w:w="2489" w:type="dxa"/>
          <w:shd w:val="clear" w:color="auto" w:fill="auto"/>
          <w:vAlign w:val="center"/>
        </w:tcPr>
        <w:p w14:paraId="6E303511" w14:textId="77777777" w:rsidR="006B5C56" w:rsidRDefault="006B5C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A70B720" w14:textId="77777777" w:rsidR="006B5C56" w:rsidRDefault="006B5C5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Atlacomulco</w:t>
          </w:r>
        </w:p>
      </w:tc>
    </w:tr>
    <w:tr w:rsidR="006B5C56" w14:paraId="13ACC5B5" w14:textId="77777777">
      <w:tc>
        <w:tcPr>
          <w:tcW w:w="2489" w:type="dxa"/>
          <w:shd w:val="clear" w:color="auto" w:fill="auto"/>
          <w:vAlign w:val="center"/>
        </w:tcPr>
        <w:p w14:paraId="40BA5140" w14:textId="77777777" w:rsidR="006B5C56" w:rsidRDefault="006B5C5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6CBCE0E" w14:textId="77777777" w:rsidR="006B5C56" w:rsidRDefault="006B5C5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6296354" w14:textId="77777777" w:rsidR="006B5C56" w:rsidRDefault="006B5C5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7F0C0" w14:textId="77777777" w:rsidR="006B5C56" w:rsidRDefault="006B5C5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0232A7" wp14:editId="3B5DFBBF">
          <wp:simplePos x="0" y="0"/>
          <wp:positionH relativeFrom="column">
            <wp:posOffset>-1079495</wp:posOffset>
          </wp:positionH>
          <wp:positionV relativeFrom="paragraph">
            <wp:posOffset>-328925</wp:posOffset>
          </wp:positionV>
          <wp:extent cx="7809865" cy="10165715"/>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1"/>
      <w:tblW w:w="6378" w:type="dxa"/>
      <w:tblInd w:w="3261" w:type="dxa"/>
      <w:tblLayout w:type="fixed"/>
      <w:tblLook w:val="0400" w:firstRow="0" w:lastRow="0" w:firstColumn="0" w:lastColumn="0" w:noHBand="0" w:noVBand="1"/>
    </w:tblPr>
    <w:tblGrid>
      <w:gridCol w:w="2551"/>
      <w:gridCol w:w="3827"/>
    </w:tblGrid>
    <w:tr w:rsidR="006B5C56" w14:paraId="73CCCFF4" w14:textId="77777777">
      <w:tc>
        <w:tcPr>
          <w:tcW w:w="2551" w:type="dxa"/>
          <w:shd w:val="clear" w:color="auto" w:fill="auto"/>
          <w:vAlign w:val="center"/>
        </w:tcPr>
        <w:p w14:paraId="18FBC028" w14:textId="77777777" w:rsidR="006B5C56" w:rsidRDefault="006B5C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0D07802C" w14:textId="77777777" w:rsidR="006B5C56" w:rsidRDefault="006B5C5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04034/INFOEM/IP/RR/2023</w:t>
          </w:r>
        </w:p>
      </w:tc>
    </w:tr>
    <w:tr w:rsidR="006B5C56" w14:paraId="184BF0D1" w14:textId="77777777">
      <w:trPr>
        <w:trHeight w:val="130"/>
      </w:trPr>
      <w:tc>
        <w:tcPr>
          <w:tcW w:w="2551" w:type="dxa"/>
          <w:shd w:val="clear" w:color="auto" w:fill="auto"/>
          <w:vAlign w:val="center"/>
        </w:tcPr>
        <w:p w14:paraId="1352B7C8" w14:textId="77777777" w:rsidR="006B5C56" w:rsidRDefault="006B5C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shd w:val="clear" w:color="auto" w:fill="auto"/>
          <w:vAlign w:val="center"/>
        </w:tcPr>
        <w:p w14:paraId="67613C1C" w14:textId="072BD875" w:rsidR="006B5C56" w:rsidRDefault="008472F4">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w:t>
          </w:r>
        </w:p>
      </w:tc>
    </w:tr>
    <w:tr w:rsidR="006B5C56" w14:paraId="028F7EC7" w14:textId="77777777">
      <w:trPr>
        <w:trHeight w:val="228"/>
      </w:trPr>
      <w:tc>
        <w:tcPr>
          <w:tcW w:w="2551" w:type="dxa"/>
          <w:shd w:val="clear" w:color="auto" w:fill="auto"/>
          <w:vAlign w:val="center"/>
        </w:tcPr>
        <w:p w14:paraId="346231F5" w14:textId="77777777" w:rsidR="006B5C56" w:rsidRDefault="006B5C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3623480A" w14:textId="77777777" w:rsidR="006B5C56" w:rsidRDefault="006B5C5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Atlacomulco</w:t>
          </w:r>
        </w:p>
      </w:tc>
    </w:tr>
    <w:tr w:rsidR="006B5C56" w14:paraId="6C211AAA" w14:textId="77777777">
      <w:tc>
        <w:tcPr>
          <w:tcW w:w="2551" w:type="dxa"/>
          <w:shd w:val="clear" w:color="auto" w:fill="auto"/>
          <w:vAlign w:val="center"/>
        </w:tcPr>
        <w:p w14:paraId="55FF5549" w14:textId="77777777" w:rsidR="006B5C56" w:rsidRDefault="006B5C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3F77A5D1" w14:textId="77777777" w:rsidR="006B5C56" w:rsidRDefault="006B5C5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D08E07F" w14:textId="77777777" w:rsidR="006B5C56" w:rsidRDefault="006B5C56">
    <w:pPr>
      <w:pBdr>
        <w:top w:val="nil"/>
        <w:left w:val="nil"/>
        <w:bottom w:val="nil"/>
        <w:right w:val="nil"/>
        <w:between w:val="nil"/>
      </w:pBdr>
      <w:tabs>
        <w:tab w:val="center" w:pos="4252"/>
        <w:tab w:val="right" w:pos="8504"/>
      </w:tabs>
      <w:rPr>
        <w:rFonts w:ascii="Cambria" w:eastAsia="Cambria" w:hAnsi="Cambria" w:cs="Cambria"/>
        <w:color w:val="000000"/>
      </w:rPr>
    </w:pPr>
  </w:p>
  <w:p w14:paraId="689941F9" w14:textId="77777777" w:rsidR="006B5C56" w:rsidRDefault="006B5C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60EC"/>
    <w:multiLevelType w:val="multilevel"/>
    <w:tmpl w:val="28F6B6E8"/>
    <w:lvl w:ilvl="0">
      <w:start w:val="1"/>
      <w:numFmt w:val="upperRoman"/>
      <w:lvlText w:val="%1."/>
      <w:lvlJc w:val="left"/>
      <w:pPr>
        <w:ind w:left="1080" w:hanging="720"/>
      </w:pPr>
      <w:rPr>
        <w: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C37DAE"/>
    <w:multiLevelType w:val="multilevel"/>
    <w:tmpl w:val="8ABE0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E94939"/>
    <w:multiLevelType w:val="multilevel"/>
    <w:tmpl w:val="BB0E7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503542"/>
    <w:multiLevelType w:val="multilevel"/>
    <w:tmpl w:val="C6AEA54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35D03E11"/>
    <w:multiLevelType w:val="multilevel"/>
    <w:tmpl w:val="B5308DF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412D0DF1"/>
    <w:multiLevelType w:val="multilevel"/>
    <w:tmpl w:val="25D6EBD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0"/>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1AB"/>
    <w:rsid w:val="00107565"/>
    <w:rsid w:val="00165647"/>
    <w:rsid w:val="00285FF9"/>
    <w:rsid w:val="00380AFA"/>
    <w:rsid w:val="0049443F"/>
    <w:rsid w:val="006B5C56"/>
    <w:rsid w:val="008472F4"/>
    <w:rsid w:val="008C61AB"/>
    <w:rsid w:val="0096494E"/>
    <w:rsid w:val="00B9306A"/>
    <w:rsid w:val="00CE6F95"/>
    <w:rsid w:val="00D01AC2"/>
    <w:rsid w:val="00D475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5F472"/>
  <w15:docId w15:val="{8C98DCB2-97DE-41E8-9A9A-213B27605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AFA"/>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215CF"/>
    <w:pPr>
      <w:tabs>
        <w:tab w:val="center" w:pos="4419"/>
        <w:tab w:val="right" w:pos="8838"/>
      </w:tabs>
    </w:pPr>
  </w:style>
  <w:style w:type="character" w:customStyle="1" w:styleId="EncabezadoCar">
    <w:name w:val="Encabezado Car"/>
    <w:basedOn w:val="Fuentedeprrafopredeter"/>
    <w:link w:val="Encabezado"/>
    <w:uiPriority w:val="99"/>
    <w:rsid w:val="00B215CF"/>
  </w:style>
  <w:style w:type="paragraph" w:styleId="Piedepgina">
    <w:name w:val="footer"/>
    <w:basedOn w:val="Normal"/>
    <w:link w:val="PiedepginaCar"/>
    <w:uiPriority w:val="99"/>
    <w:unhideWhenUsed/>
    <w:rsid w:val="00B215CF"/>
    <w:pPr>
      <w:tabs>
        <w:tab w:val="center" w:pos="4419"/>
        <w:tab w:val="right" w:pos="8838"/>
      </w:tabs>
    </w:pPr>
  </w:style>
  <w:style w:type="character" w:customStyle="1" w:styleId="PiedepginaCar">
    <w:name w:val="Pie de página Car"/>
    <w:basedOn w:val="Fuentedeprrafopredeter"/>
    <w:link w:val="Piedepgina"/>
    <w:uiPriority w:val="99"/>
    <w:rsid w:val="00B215CF"/>
  </w:style>
  <w:style w:type="paragraph" w:styleId="NormalWeb">
    <w:name w:val="Normal (Web)"/>
    <w:basedOn w:val="Normal"/>
    <w:uiPriority w:val="99"/>
    <w:semiHidden/>
    <w:unhideWhenUsed/>
    <w:rsid w:val="00DA0443"/>
    <w:pPr>
      <w:spacing w:before="100" w:beforeAutospacing="1" w:after="100" w:afterAutospacing="1"/>
    </w:pPr>
  </w:style>
  <w:style w:type="paragraph" w:styleId="Prrafodelista">
    <w:name w:val="List Paragraph"/>
    <w:basedOn w:val="Normal"/>
    <w:uiPriority w:val="34"/>
    <w:qFormat/>
    <w:rsid w:val="000038B1"/>
    <w:pPr>
      <w:ind w:left="720"/>
      <w:contextualSpacing/>
    </w:p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033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diputados.gob.mx/LeyesBiblio/proceso/docleg/62/223_DOF_27may15.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71WAlpPoHJLZhB0lxyDrNJZS7w==">CgMxLjAyCWguMWZvYjl0ZTIIaC5namRneHMyCWguM2R5NnZrbTIJaC4zMGowemxsMgloLjJzOGV5bzEyCGgudHlqY3d0MgloLjN6bnlzaDcyCWguMmV0OTJwMDIJaC40ZDM0b2c4Mg5oLmlqdjk4cG50Y2Q1czIJaC4yNmluMXJnMgloLjNyZGNyam4yCWguMXQzaDVzZjgAciExQi1ITW9xU3RuWTJyajFfMnRGdDVpNHZ5QkY2cXVrUkU=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74</Pages>
  <Words>18670</Words>
  <Characters>102689</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2024-04-05T18:36:00Z</cp:lastPrinted>
  <dcterms:created xsi:type="dcterms:W3CDTF">2024-04-22T18:56:00Z</dcterms:created>
  <dcterms:modified xsi:type="dcterms:W3CDTF">2024-04-22T18:56:00Z</dcterms:modified>
</cp:coreProperties>
</file>