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84D" w:rsidRDefault="00A3084D">
      <w:pPr>
        <w:widowControl w:val="0"/>
        <w:pBdr>
          <w:top w:val="nil"/>
          <w:left w:val="nil"/>
          <w:bottom w:val="nil"/>
          <w:right w:val="nil"/>
          <w:between w:val="nil"/>
        </w:pBdr>
        <w:spacing w:after="0" w:line="276" w:lineRule="auto"/>
        <w:jc w:val="left"/>
      </w:pPr>
    </w:p>
    <w:p w:rsidR="00A3084D" w:rsidRPr="00FC7DBF" w:rsidRDefault="007B3C02">
      <w:pPr>
        <w:tabs>
          <w:tab w:val="left" w:pos="8931"/>
        </w:tabs>
        <w:spacing w:after="0" w:line="360" w:lineRule="auto"/>
      </w:pPr>
      <w:r w:rsidRPr="00FC7DBF">
        <w:t xml:space="preserve">Resolución del Pleno del Instituto de Transparencia, Acceso a la Información Pública y Protección de Datos Personales del Estado de México y Municipios, con domicilio en Metepec, Estado de México, de veintisiete de noviembre de dos mil veinticuatro. </w:t>
      </w:r>
    </w:p>
    <w:p w:rsidR="00A3084D" w:rsidRPr="00FC7DBF" w:rsidRDefault="00A3084D">
      <w:pPr>
        <w:spacing w:after="0" w:line="360" w:lineRule="auto"/>
        <w:rPr>
          <w:b/>
        </w:rPr>
      </w:pPr>
    </w:p>
    <w:p w:rsidR="00A3084D" w:rsidRPr="00FC7DBF" w:rsidRDefault="007B3C02">
      <w:pPr>
        <w:spacing w:after="0" w:line="360" w:lineRule="auto"/>
        <w:rPr>
          <w:color w:val="0D0D0D"/>
        </w:rPr>
      </w:pPr>
      <w:r w:rsidRPr="00FC7DBF">
        <w:rPr>
          <w:b/>
        </w:rPr>
        <w:t xml:space="preserve">VISTO </w:t>
      </w:r>
      <w:r w:rsidRPr="00FC7DBF">
        <w:t xml:space="preserve">el expediente conformado con motivo del Recurso de Revisión </w:t>
      </w:r>
      <w:r w:rsidRPr="00F0531E">
        <w:rPr>
          <w:b/>
        </w:rPr>
        <w:t>06881/INFOEM/IP/RR/2024</w:t>
      </w:r>
      <w:r w:rsidRPr="00FC7DBF">
        <w:t>, interpuesto por la persona</w:t>
      </w:r>
      <w:r w:rsidRPr="00FC7DBF">
        <w:rPr>
          <w:color w:val="0D0D0D"/>
        </w:rPr>
        <w:t xml:space="preserve"> Recurrente o Particular, en contra de la respuesta del Sujeto Obligado, </w:t>
      </w:r>
      <w:r w:rsidRPr="00F0531E">
        <w:rPr>
          <w:b/>
          <w:color w:val="0D0D0D"/>
        </w:rPr>
        <w:t>Ayuntamiento de Temamatla</w:t>
      </w:r>
      <w:r w:rsidRPr="00FC7DBF">
        <w:rPr>
          <w:color w:val="0D0D0D"/>
        </w:rPr>
        <w:t>, a la solicitud de acceso a la información pública</w:t>
      </w:r>
      <w:r w:rsidRPr="00FC7DBF">
        <w:t xml:space="preserve"> 00662/TEMAMATL/IP/2024, </w:t>
      </w:r>
      <w:r w:rsidRPr="00FC7DBF">
        <w:rPr>
          <w:color w:val="0D0D0D"/>
        </w:rPr>
        <w:t>se emite la presente Resolución, con base en los Antecedentes y Considerandos que se exponen a continuación:</w:t>
      </w:r>
    </w:p>
    <w:p w:rsidR="00A3084D" w:rsidRPr="00FC7DBF" w:rsidRDefault="00A3084D">
      <w:pPr>
        <w:spacing w:after="0" w:line="360" w:lineRule="auto"/>
        <w:rPr>
          <w:b/>
        </w:rPr>
      </w:pPr>
    </w:p>
    <w:p w:rsidR="00A3084D" w:rsidRPr="00FC7DBF" w:rsidRDefault="008A7FC1">
      <w:pPr>
        <w:spacing w:after="0" w:line="360" w:lineRule="auto"/>
        <w:jc w:val="center"/>
        <w:rPr>
          <w:b/>
        </w:rPr>
      </w:pPr>
      <w:r w:rsidRPr="00FC7DBF">
        <w:rPr>
          <w:b/>
        </w:rPr>
        <w:t>A N T E C E D E N T E S</w:t>
      </w:r>
    </w:p>
    <w:p w:rsidR="00A3084D" w:rsidRPr="00FC7DBF" w:rsidRDefault="00A3084D">
      <w:pPr>
        <w:spacing w:after="0" w:line="360" w:lineRule="auto"/>
      </w:pPr>
    </w:p>
    <w:p w:rsidR="00A3084D" w:rsidRPr="00FC7DBF" w:rsidRDefault="007B3C02">
      <w:pPr>
        <w:spacing w:after="0" w:line="360" w:lineRule="auto"/>
        <w:rPr>
          <w:b/>
        </w:rPr>
      </w:pPr>
      <w:r w:rsidRPr="00FC7DBF">
        <w:rPr>
          <w:b/>
        </w:rPr>
        <w:t>I. Presentación</w:t>
      </w:r>
      <w:r w:rsidR="008A7FC1" w:rsidRPr="00FC7DBF">
        <w:rPr>
          <w:b/>
        </w:rPr>
        <w:t xml:space="preserve"> de la solicitud de información</w:t>
      </w:r>
    </w:p>
    <w:p w:rsidR="00A3084D" w:rsidRPr="00FC7DBF" w:rsidRDefault="00A3084D">
      <w:pPr>
        <w:spacing w:after="0" w:line="360" w:lineRule="auto"/>
        <w:rPr>
          <w:b/>
        </w:rPr>
      </w:pPr>
    </w:p>
    <w:p w:rsidR="00A3084D" w:rsidRPr="00FC7DBF" w:rsidRDefault="007B3C02">
      <w:pPr>
        <w:spacing w:after="0" w:line="360" w:lineRule="auto"/>
      </w:pPr>
      <w:r w:rsidRPr="00FC7DBF">
        <w:t>Con fecha siete de octubre de dos mil veinticuatro, la persona Particular presentó una solicitud de información, a través del Sistema de Acceso a la Información Mexiquense (SAIMEX), ante el Ayuntamiento de Temamatla</w:t>
      </w:r>
      <w:r w:rsidRPr="00FC7DBF">
        <w:rPr>
          <w:b/>
        </w:rPr>
        <w:t>,</w:t>
      </w:r>
      <w:r w:rsidRPr="00FC7DBF">
        <w:t xml:space="preserve"> en los siguientes términos:</w:t>
      </w:r>
    </w:p>
    <w:p w:rsidR="00A3084D" w:rsidRPr="00FC7DBF" w:rsidRDefault="00A3084D">
      <w:pPr>
        <w:spacing w:after="0" w:line="360" w:lineRule="auto"/>
      </w:pPr>
    </w:p>
    <w:p w:rsidR="00A3084D" w:rsidRPr="00FC7DBF" w:rsidRDefault="007B3C02">
      <w:pPr>
        <w:tabs>
          <w:tab w:val="left" w:pos="4667"/>
        </w:tabs>
        <w:spacing w:after="0" w:line="360" w:lineRule="auto"/>
        <w:ind w:left="567" w:right="567"/>
        <w:rPr>
          <w:b/>
          <w:i/>
          <w:sz w:val="20"/>
          <w:szCs w:val="20"/>
        </w:rPr>
      </w:pPr>
      <w:r w:rsidRPr="00FC7DBF">
        <w:rPr>
          <w:b/>
          <w:i/>
          <w:sz w:val="20"/>
          <w:szCs w:val="20"/>
        </w:rPr>
        <w:t>“DESCRIPCIÓN CLARA Y PRECISA DE LA INFORMACIÓN SOLICITADA</w:t>
      </w:r>
    </w:p>
    <w:p w:rsidR="00A3084D" w:rsidRPr="00FC7DBF" w:rsidRDefault="007B3C02">
      <w:pPr>
        <w:spacing w:after="0" w:line="360" w:lineRule="auto"/>
        <w:ind w:left="567" w:right="567"/>
        <w:rPr>
          <w:i/>
          <w:color w:val="000000"/>
          <w:sz w:val="20"/>
          <w:szCs w:val="20"/>
        </w:rPr>
      </w:pPr>
      <w:r w:rsidRPr="00FC7DBF">
        <w:rPr>
          <w:i/>
          <w:color w:val="000000"/>
          <w:sz w:val="20"/>
          <w:szCs w:val="20"/>
        </w:rPr>
        <w:t>SOLICITO TODOS LOS MANUALES DE ORGANIZACION Y PROCEDIMIENTOS DE LAS DIVERSAS AREAS APROBADOS POR LA ADMINISTRACION 2022-2024” (Sic)</w:t>
      </w:r>
    </w:p>
    <w:p w:rsidR="00A3084D" w:rsidRPr="00FC7DBF" w:rsidRDefault="00A3084D">
      <w:pPr>
        <w:spacing w:after="0" w:line="360" w:lineRule="auto"/>
        <w:ind w:left="567" w:right="567"/>
        <w:rPr>
          <w:i/>
          <w:color w:val="000000"/>
          <w:sz w:val="20"/>
          <w:szCs w:val="20"/>
        </w:rPr>
      </w:pPr>
    </w:p>
    <w:p w:rsidR="00A3084D" w:rsidRPr="00FC7DBF" w:rsidRDefault="007B3C02">
      <w:pPr>
        <w:tabs>
          <w:tab w:val="left" w:pos="4667"/>
        </w:tabs>
        <w:spacing w:after="0" w:line="360" w:lineRule="auto"/>
        <w:ind w:left="567" w:right="567"/>
        <w:rPr>
          <w:b/>
          <w:i/>
          <w:color w:val="000000"/>
          <w:sz w:val="20"/>
          <w:szCs w:val="20"/>
        </w:rPr>
      </w:pPr>
      <w:r w:rsidRPr="00FC7DBF">
        <w:rPr>
          <w:b/>
          <w:i/>
          <w:color w:val="000000"/>
          <w:sz w:val="20"/>
          <w:szCs w:val="20"/>
        </w:rPr>
        <w:t>“MODALIDAD DE ENTREGA</w:t>
      </w:r>
    </w:p>
    <w:p w:rsidR="00A3084D" w:rsidRPr="00FC7DBF" w:rsidRDefault="007B3C02">
      <w:pPr>
        <w:spacing w:after="0" w:line="360" w:lineRule="auto"/>
        <w:ind w:left="567" w:right="567"/>
        <w:rPr>
          <w:i/>
          <w:color w:val="000000"/>
          <w:sz w:val="20"/>
          <w:szCs w:val="20"/>
        </w:rPr>
      </w:pPr>
      <w:r w:rsidRPr="00FC7DBF">
        <w:rPr>
          <w:i/>
          <w:color w:val="000000"/>
          <w:sz w:val="20"/>
          <w:szCs w:val="20"/>
        </w:rPr>
        <w:t>A través del SAIMEX” (Sic)</w:t>
      </w:r>
    </w:p>
    <w:p w:rsidR="00A3084D" w:rsidRPr="00FC7DBF" w:rsidRDefault="00A3084D">
      <w:pPr>
        <w:spacing w:after="0" w:line="360" w:lineRule="auto"/>
        <w:ind w:left="567" w:right="567"/>
        <w:rPr>
          <w:i/>
          <w:color w:val="000000"/>
          <w:sz w:val="20"/>
          <w:szCs w:val="20"/>
        </w:rPr>
      </w:pPr>
    </w:p>
    <w:p w:rsidR="00A3084D" w:rsidRPr="00FC7DBF" w:rsidRDefault="007B3C02">
      <w:pPr>
        <w:tabs>
          <w:tab w:val="left" w:pos="4667"/>
        </w:tabs>
        <w:spacing w:after="0" w:line="360" w:lineRule="auto"/>
        <w:ind w:right="567"/>
        <w:rPr>
          <w:b/>
          <w:color w:val="000000"/>
        </w:rPr>
      </w:pPr>
      <w:r w:rsidRPr="00FC7DBF">
        <w:rPr>
          <w:b/>
        </w:rPr>
        <w:t>II</w:t>
      </w:r>
      <w:r w:rsidR="008A7FC1" w:rsidRPr="00FC7DBF">
        <w:rPr>
          <w:b/>
        </w:rPr>
        <w:t>. Respuesta del Sujeto Obligado</w:t>
      </w:r>
    </w:p>
    <w:p w:rsidR="00A3084D" w:rsidRPr="00FC7DBF" w:rsidRDefault="007B3C02">
      <w:pPr>
        <w:pBdr>
          <w:top w:val="nil"/>
          <w:left w:val="nil"/>
          <w:bottom w:val="nil"/>
          <w:right w:val="nil"/>
          <w:between w:val="nil"/>
        </w:pBdr>
        <w:spacing w:after="0" w:line="360" w:lineRule="auto"/>
        <w:rPr>
          <w:color w:val="000000"/>
        </w:rPr>
      </w:pPr>
      <w:r w:rsidRPr="00FC7DBF">
        <w:rPr>
          <w:color w:val="000000"/>
        </w:rPr>
        <w:lastRenderedPageBreak/>
        <w:t>Con fecha veinticinco de octubre de dos mil veinticuatro, el Sujeto Obligado notificó al Solicitante, mediante el Sistema de Acceso a la Información Mexiquense (SAIMEX), la respuesta a la solicitud de acceso a la información, por medio de la digitalización del oficio DGMRIPPE/053/2024, del quince de dicho mes y año, suscrito por el Encargado de Despacho de la Dirección de Mejora Regulatoria e Información, Programación y Evaluación, y  dirigido a la Titular de la Unidad de Transparencia y Acceso a la Información Pública, por medio del cual se solicitó el cambio de modalidad a consulta directa, de conformidad con lo siguiente:</w:t>
      </w:r>
    </w:p>
    <w:p w:rsidR="00A3084D" w:rsidRPr="00FC7DBF" w:rsidRDefault="00A3084D">
      <w:pPr>
        <w:pBdr>
          <w:top w:val="nil"/>
          <w:left w:val="nil"/>
          <w:bottom w:val="nil"/>
          <w:right w:val="nil"/>
          <w:between w:val="nil"/>
        </w:pBdr>
        <w:spacing w:after="0" w:line="360" w:lineRule="auto"/>
        <w:rPr>
          <w:color w:val="000000"/>
        </w:rPr>
      </w:pPr>
    </w:p>
    <w:p w:rsidR="00A3084D" w:rsidRPr="00FC7DBF" w:rsidRDefault="007B3C02">
      <w:pPr>
        <w:pBdr>
          <w:top w:val="nil"/>
          <w:left w:val="nil"/>
          <w:bottom w:val="nil"/>
          <w:right w:val="nil"/>
          <w:between w:val="nil"/>
        </w:pBdr>
        <w:spacing w:after="0" w:line="360" w:lineRule="auto"/>
        <w:ind w:left="567" w:right="567"/>
        <w:rPr>
          <w:i/>
          <w:color w:val="000000"/>
          <w:sz w:val="20"/>
          <w:szCs w:val="20"/>
        </w:rPr>
      </w:pPr>
      <w:r w:rsidRPr="00FC7DBF">
        <w:rPr>
          <w:i/>
          <w:color w:val="000000"/>
          <w:sz w:val="20"/>
          <w:szCs w:val="20"/>
        </w:rPr>
        <w:t>“…Esta dirección propone la consulta directa derivado de la cantidad, volumen, los recursos materiales y humanos con que cuenta esta dirección son limitados, así como el cambio de administración, la entrega recepción y mesas de transición…</w:t>
      </w:r>
    </w:p>
    <w:p w:rsidR="00A3084D" w:rsidRPr="00FC7DBF" w:rsidRDefault="007B3C02">
      <w:pPr>
        <w:pBdr>
          <w:top w:val="nil"/>
          <w:left w:val="nil"/>
          <w:bottom w:val="nil"/>
          <w:right w:val="nil"/>
          <w:between w:val="nil"/>
        </w:pBdr>
        <w:spacing w:after="0" w:line="360" w:lineRule="auto"/>
        <w:ind w:left="567" w:right="567"/>
        <w:rPr>
          <w:i/>
          <w:color w:val="000000"/>
          <w:sz w:val="20"/>
          <w:szCs w:val="20"/>
        </w:rPr>
      </w:pPr>
      <w:r w:rsidRPr="00FC7DBF">
        <w:rPr>
          <w:i/>
          <w:color w:val="000000"/>
          <w:sz w:val="20"/>
          <w:szCs w:val="20"/>
        </w:rPr>
        <w:t>…”</w:t>
      </w:r>
    </w:p>
    <w:p w:rsidR="00A3084D" w:rsidRPr="00FC7DBF" w:rsidRDefault="00A3084D">
      <w:pPr>
        <w:pBdr>
          <w:top w:val="nil"/>
          <w:left w:val="nil"/>
          <w:bottom w:val="nil"/>
          <w:right w:val="nil"/>
          <w:between w:val="nil"/>
        </w:pBdr>
        <w:spacing w:after="0" w:line="360" w:lineRule="auto"/>
        <w:rPr>
          <w:color w:val="000000"/>
        </w:rPr>
      </w:pPr>
    </w:p>
    <w:p w:rsidR="00A3084D" w:rsidRPr="00FC7DBF" w:rsidRDefault="007B3C02">
      <w:pPr>
        <w:pBdr>
          <w:top w:val="nil"/>
          <w:left w:val="nil"/>
          <w:bottom w:val="nil"/>
          <w:right w:val="nil"/>
          <w:between w:val="nil"/>
        </w:pBdr>
        <w:spacing w:after="0" w:line="360" w:lineRule="auto"/>
        <w:rPr>
          <w:color w:val="000000"/>
        </w:rPr>
      </w:pPr>
      <w:r w:rsidRPr="00FC7DBF">
        <w:rPr>
          <w:color w:val="000000"/>
        </w:rPr>
        <w:t xml:space="preserve">Asimismo, adjuntó la digitalización del Acta de la Octagésima Quinta Sesión Ordinaria del Comité de Transparencia, del veinticuatro de octubre de dos mil veinticuatro, en la que se aprobó el cambio de modalidad de diversas solicitudes a través del Acuerdo ACT/TEMA/UTAIP/ORDINARIA/2024/TERCERO. </w:t>
      </w:r>
    </w:p>
    <w:p w:rsidR="00A3084D" w:rsidRPr="00FC7DBF" w:rsidRDefault="00A3084D">
      <w:pPr>
        <w:pBdr>
          <w:top w:val="nil"/>
          <w:left w:val="nil"/>
          <w:bottom w:val="nil"/>
          <w:right w:val="nil"/>
          <w:between w:val="nil"/>
        </w:pBdr>
        <w:spacing w:after="0" w:line="360" w:lineRule="auto"/>
        <w:rPr>
          <w:color w:val="000000"/>
        </w:rPr>
      </w:pPr>
    </w:p>
    <w:p w:rsidR="00A3084D" w:rsidRPr="00FC7DBF" w:rsidRDefault="007B3C02">
      <w:pPr>
        <w:spacing w:after="0" w:line="360" w:lineRule="auto"/>
        <w:rPr>
          <w:b/>
          <w:color w:val="000000"/>
        </w:rPr>
      </w:pPr>
      <w:r w:rsidRPr="00FC7DBF">
        <w:rPr>
          <w:b/>
          <w:color w:val="000000"/>
        </w:rPr>
        <w:t>III. Interpo</w:t>
      </w:r>
      <w:r w:rsidR="008A7FC1" w:rsidRPr="00FC7DBF">
        <w:rPr>
          <w:b/>
          <w:color w:val="000000"/>
        </w:rPr>
        <w:t>sición del Recurso de Revisión</w:t>
      </w:r>
    </w:p>
    <w:p w:rsidR="00A3084D" w:rsidRPr="00FC7DBF" w:rsidRDefault="00A3084D">
      <w:pPr>
        <w:spacing w:after="0" w:line="360" w:lineRule="auto"/>
        <w:rPr>
          <w:color w:val="000000"/>
        </w:rPr>
      </w:pPr>
    </w:p>
    <w:p w:rsidR="00A3084D" w:rsidRPr="00FC7DBF" w:rsidRDefault="007B3C02">
      <w:pPr>
        <w:spacing w:after="0" w:line="360" w:lineRule="auto"/>
        <w:rPr>
          <w:color w:val="000000"/>
        </w:rPr>
      </w:pPr>
      <w:r w:rsidRPr="00FC7DBF">
        <w:rPr>
          <w:color w:val="000000"/>
        </w:rPr>
        <w:t>Con fecha treinta de octubre de dos mil veinticuatro, se recibió en este Instituto, a través del Sistema de Acceso a la Información Mexiquense (SAIMEX), Recurso de Revisión interpuesto por la parte Recurrente, en contra de la respuesta del Sujeto Obligado, en los siguientes términos:</w:t>
      </w:r>
    </w:p>
    <w:p w:rsidR="00A3084D" w:rsidRPr="00FC7DBF" w:rsidRDefault="00A3084D">
      <w:pPr>
        <w:spacing w:after="0" w:line="360" w:lineRule="auto"/>
        <w:rPr>
          <w:color w:val="000000"/>
        </w:rPr>
      </w:pPr>
    </w:p>
    <w:p w:rsidR="00A3084D" w:rsidRPr="00FC7DBF" w:rsidRDefault="007B3C02">
      <w:pPr>
        <w:spacing w:after="0" w:line="360" w:lineRule="auto"/>
        <w:ind w:left="567" w:right="567"/>
      </w:pPr>
      <w:r w:rsidRPr="00FC7DBF">
        <w:rPr>
          <w:b/>
          <w:i/>
          <w:color w:val="000000"/>
          <w:sz w:val="20"/>
          <w:szCs w:val="20"/>
        </w:rPr>
        <w:t>“ACTO IMPUGNADO</w:t>
      </w:r>
      <w:r w:rsidRPr="00FC7DBF">
        <w:t xml:space="preserve"> </w:t>
      </w:r>
    </w:p>
    <w:p w:rsidR="00A3084D" w:rsidRPr="00FC7DBF" w:rsidRDefault="007B3C02">
      <w:pPr>
        <w:spacing w:after="0" w:line="360" w:lineRule="auto"/>
        <w:ind w:left="567" w:right="567"/>
        <w:rPr>
          <w:i/>
          <w:color w:val="000000"/>
          <w:sz w:val="20"/>
          <w:szCs w:val="20"/>
        </w:rPr>
      </w:pPr>
      <w:r w:rsidRPr="00FC7DBF">
        <w:rPr>
          <w:i/>
          <w:color w:val="000000"/>
          <w:sz w:val="20"/>
          <w:szCs w:val="20"/>
        </w:rPr>
        <w:t>RESPUESTA OTORGADA” (Sic)</w:t>
      </w:r>
    </w:p>
    <w:p w:rsidR="00A3084D" w:rsidRPr="00FC7DBF" w:rsidRDefault="00A3084D">
      <w:pPr>
        <w:spacing w:after="0" w:line="360" w:lineRule="auto"/>
        <w:ind w:left="567" w:right="567"/>
        <w:rPr>
          <w:i/>
          <w:color w:val="000000"/>
          <w:sz w:val="20"/>
          <w:szCs w:val="20"/>
        </w:rPr>
      </w:pPr>
    </w:p>
    <w:p w:rsidR="00A3084D" w:rsidRPr="00FC7DBF" w:rsidRDefault="007B3C02">
      <w:pPr>
        <w:spacing w:after="0" w:line="360" w:lineRule="auto"/>
        <w:ind w:left="567" w:right="567"/>
        <w:rPr>
          <w:b/>
          <w:i/>
          <w:color w:val="000000"/>
          <w:sz w:val="20"/>
          <w:szCs w:val="20"/>
        </w:rPr>
      </w:pPr>
      <w:r w:rsidRPr="00FC7DBF">
        <w:rPr>
          <w:b/>
          <w:i/>
          <w:color w:val="000000"/>
          <w:sz w:val="20"/>
          <w:szCs w:val="20"/>
        </w:rPr>
        <w:t>“RAZONES O MOTIVOS DE LA INCONFORMIDAD</w:t>
      </w:r>
    </w:p>
    <w:p w:rsidR="00A3084D" w:rsidRPr="00FC7DBF" w:rsidRDefault="007B3C02">
      <w:pPr>
        <w:spacing w:after="0" w:line="360" w:lineRule="auto"/>
        <w:ind w:left="567" w:right="567"/>
        <w:rPr>
          <w:i/>
          <w:color w:val="000000"/>
          <w:sz w:val="20"/>
          <w:szCs w:val="20"/>
        </w:rPr>
      </w:pPr>
      <w:r w:rsidRPr="00FC7DBF">
        <w:rPr>
          <w:i/>
          <w:color w:val="000000"/>
          <w:sz w:val="20"/>
          <w:szCs w:val="20"/>
        </w:rPr>
        <w:t xml:space="preserve">EL SUJETO OBLIGADO MANIFIESTA QUE LA ENTREGA DE INFORMACION SERA MEDIANTE CONSULTA DIRECTA EN UNA FECHA Y UN HORARIO IGUAL AL ESTABLECIDO EN LAS SOLICITUDES 601,622 PONIENDO A DISPOCISION LA INFORMACION PR UN PERIODO DE UNA HORA, HACIENDO ESTO HUMANAMENTE IMPOSIBLE DE CONSULTAR,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CONSIDERANDO MI SOLICITUD Y LA JURISPRIDENCIA DE LOS MAS ALTOS TRIBUNALES LA CUAL ESTABLECE Registro digital: 2027906 Instancia: Tribunales Colegiados de Circuito Undécima Época Materia(s): Administrativa, Constitucional Tesis: I.18o.A.1 CS (11a.) Fuente: Gaceta del Semanario Judicial de la Federación. Libro 33, Enero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w:t>
      </w:r>
      <w:r w:rsidRPr="00FC7DBF">
        <w:rPr>
          <w:i/>
          <w:color w:val="000000"/>
          <w:sz w:val="20"/>
          <w:szCs w:val="20"/>
        </w:rPr>
        <w:lastRenderedPageBreak/>
        <w:t>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 (Sic)</w:t>
      </w:r>
    </w:p>
    <w:p w:rsidR="00A3084D" w:rsidRPr="00FC7DBF" w:rsidRDefault="00A3084D">
      <w:pPr>
        <w:spacing w:after="0" w:line="360" w:lineRule="auto"/>
        <w:rPr>
          <w:color w:val="000000"/>
        </w:rPr>
      </w:pPr>
    </w:p>
    <w:p w:rsidR="00A3084D" w:rsidRPr="00FC7DBF" w:rsidRDefault="007B3C02">
      <w:pPr>
        <w:spacing w:after="0" w:line="360" w:lineRule="auto"/>
        <w:rPr>
          <w:b/>
          <w:color w:val="000000"/>
        </w:rPr>
      </w:pPr>
      <w:r w:rsidRPr="00FC7DBF">
        <w:rPr>
          <w:b/>
          <w:color w:val="000000"/>
        </w:rPr>
        <w:t xml:space="preserve">IV. Trámite del Recurso </w:t>
      </w:r>
      <w:r w:rsidR="008A7FC1" w:rsidRPr="00FC7DBF">
        <w:rPr>
          <w:b/>
          <w:color w:val="000000"/>
        </w:rPr>
        <w:t>de Revisión ante este Instituto</w:t>
      </w:r>
    </w:p>
    <w:p w:rsidR="00A3084D" w:rsidRPr="00FC7DBF" w:rsidRDefault="00A3084D">
      <w:pPr>
        <w:spacing w:after="0" w:line="360" w:lineRule="auto"/>
        <w:rPr>
          <w:b/>
          <w:color w:val="000000"/>
        </w:rPr>
      </w:pPr>
    </w:p>
    <w:p w:rsidR="00A3084D" w:rsidRPr="00FC7DBF" w:rsidRDefault="007B3C02">
      <w:pPr>
        <w:spacing w:after="0" w:line="360" w:lineRule="auto"/>
        <w:rPr>
          <w:color w:val="000000"/>
        </w:rPr>
      </w:pPr>
      <w:r w:rsidRPr="00FC7DBF">
        <w:rPr>
          <w:b/>
          <w:color w:val="000000"/>
        </w:rPr>
        <w:t xml:space="preserve">a) Turno del Medio de Impugnación. </w:t>
      </w:r>
      <w:r w:rsidRPr="00FC7DBF">
        <w:rPr>
          <w:color w:val="000000"/>
        </w:rPr>
        <w:t xml:space="preserve">El treinta de octubre de dos mil veinticuatro, el Sistema de Acceso a la Información Mexiquense (SAIMEX), asignó el número de expediente </w:t>
      </w:r>
      <w:r w:rsidRPr="00FC7DBF">
        <w:rPr>
          <w:b/>
          <w:color w:val="000000"/>
        </w:rPr>
        <w:t>06881/INFOEM/IP/RR/2024</w:t>
      </w:r>
      <w:r w:rsidRPr="00FC7DBF">
        <w:rPr>
          <w:color w:val="000000"/>
        </w:rPr>
        <w:t>, al Medio de Impugnación que nos ocupa, con base en el sistema aprobado por el Pleno de este Órgano Garante y lo turnó al Comisionado Luis Gustavo Parra Noriega, para los efectos del artículo 185, fracción I de la Ley de Transparencia y Acceso a la Información Pública del Estado de México y Municipios.</w:t>
      </w:r>
    </w:p>
    <w:p w:rsidR="00A3084D" w:rsidRPr="00FC7DBF" w:rsidRDefault="00A3084D">
      <w:pPr>
        <w:spacing w:after="0" w:line="360" w:lineRule="auto"/>
        <w:rPr>
          <w:color w:val="000000"/>
        </w:rPr>
      </w:pPr>
    </w:p>
    <w:p w:rsidR="00A3084D" w:rsidRPr="00FC7DBF" w:rsidRDefault="007B3C02">
      <w:pPr>
        <w:spacing w:after="0" w:line="360" w:lineRule="auto"/>
        <w:rPr>
          <w:b/>
          <w:color w:val="000000"/>
        </w:rPr>
      </w:pPr>
      <w:r w:rsidRPr="00FC7DBF">
        <w:rPr>
          <w:b/>
          <w:color w:val="000000"/>
        </w:rPr>
        <w:t xml:space="preserve">b) Admisión del Recurso de Revisión. </w:t>
      </w:r>
      <w:r w:rsidRPr="00FC7DBF">
        <w:rPr>
          <w:color w:val="000000"/>
        </w:rPr>
        <w:t xml:space="preserve">El cinco de noviembre de dos mil veinticuatro, se acordó la admisión del Recurso de Revisión interpuesto por la Recurrente en contra del Sujeto Obligado, en términos del artículo 185, fracciones I y II de la Ley de Transparencia y Acceso a la Información Pública del Estado de México y Municipios, el cual fue debidamente notificado a las partes, a través del Sistema de Acceso a la Información Mexiquense (SAIMEX), el mismo día, en el que se les otorgó un plazo de siete días hábiles posteriores a la misma, para que manifestaran lo que a su derecho conviniera y formularan alegatos. </w:t>
      </w:r>
    </w:p>
    <w:p w:rsidR="00A3084D" w:rsidRPr="00FC7DBF" w:rsidRDefault="00A3084D">
      <w:pPr>
        <w:spacing w:after="0" w:line="360" w:lineRule="auto"/>
        <w:rPr>
          <w:b/>
        </w:rPr>
      </w:pPr>
    </w:p>
    <w:p w:rsidR="00A3084D" w:rsidRPr="00FC7DBF" w:rsidRDefault="007B3C02">
      <w:pPr>
        <w:pBdr>
          <w:top w:val="nil"/>
          <w:left w:val="nil"/>
          <w:bottom w:val="nil"/>
          <w:right w:val="nil"/>
          <w:between w:val="nil"/>
        </w:pBdr>
        <w:tabs>
          <w:tab w:val="left" w:pos="567"/>
        </w:tabs>
        <w:spacing w:after="0" w:line="360" w:lineRule="auto"/>
        <w:rPr>
          <w:color w:val="000000"/>
        </w:rPr>
      </w:pPr>
      <w:r w:rsidRPr="00FC7DBF">
        <w:rPr>
          <w:b/>
          <w:color w:val="000000"/>
        </w:rPr>
        <w:t xml:space="preserve">c) Informe Justificado o manifestaciones. </w:t>
      </w:r>
      <w:r w:rsidRPr="00FC7DBF">
        <w:rPr>
          <w:color w:val="000000"/>
        </w:rPr>
        <w:t>Las partes fueron omisas en emitir manifestaciones o alegatos.</w:t>
      </w:r>
    </w:p>
    <w:p w:rsidR="00A3084D" w:rsidRPr="00FC7DBF" w:rsidRDefault="00A3084D">
      <w:pPr>
        <w:pBdr>
          <w:top w:val="nil"/>
          <w:left w:val="nil"/>
          <w:bottom w:val="nil"/>
          <w:right w:val="nil"/>
          <w:between w:val="nil"/>
        </w:pBdr>
        <w:tabs>
          <w:tab w:val="left" w:pos="567"/>
        </w:tabs>
        <w:spacing w:after="0" w:line="360" w:lineRule="auto"/>
        <w:rPr>
          <w:color w:val="000000"/>
        </w:rPr>
      </w:pPr>
    </w:p>
    <w:p w:rsidR="00A3084D" w:rsidRPr="00FC7DBF" w:rsidRDefault="007B3C02">
      <w:pPr>
        <w:spacing w:after="0" w:line="360" w:lineRule="auto"/>
        <w:rPr>
          <w:color w:val="000000"/>
        </w:rPr>
      </w:pPr>
      <w:r w:rsidRPr="00FC7DBF">
        <w:rPr>
          <w:b/>
        </w:rPr>
        <w:t xml:space="preserve">d) </w:t>
      </w:r>
      <w:r w:rsidRPr="00FC7DBF">
        <w:rPr>
          <w:b/>
          <w:color w:val="000000"/>
        </w:rPr>
        <w:t>Cierre de instrucción.</w:t>
      </w:r>
      <w:r w:rsidRPr="00FC7DBF">
        <w:rPr>
          <w:color w:val="000000"/>
        </w:rPr>
        <w:t xml:space="preserve"> El veinte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Pr="00FC7DBF">
        <w:t>mismo día</w:t>
      </w:r>
      <w:r w:rsidRPr="00FC7DBF">
        <w:rPr>
          <w:color w:val="000000"/>
        </w:rPr>
        <w:t xml:space="preserve">, a través del Sistema de Acceso a la Información Mexiquense (SAIMEX). </w:t>
      </w:r>
    </w:p>
    <w:p w:rsidR="00A3084D" w:rsidRPr="00FC7DBF" w:rsidRDefault="00A3084D">
      <w:pPr>
        <w:spacing w:after="0" w:line="360" w:lineRule="auto"/>
        <w:rPr>
          <w:color w:val="000000"/>
        </w:rPr>
      </w:pPr>
    </w:p>
    <w:p w:rsidR="00A3084D" w:rsidRPr="00FC7DBF" w:rsidRDefault="007B3C02">
      <w:pPr>
        <w:spacing w:after="0" w:line="360" w:lineRule="auto"/>
        <w:rPr>
          <w:color w:val="000000"/>
        </w:rPr>
      </w:pPr>
      <w:r w:rsidRPr="00FC7DBF">
        <w:rPr>
          <w:color w:val="000000"/>
        </w:rPr>
        <w:t>En razón de que fue debidamente sustanciado e integrado el expediente electrónico y no existe diligencia pendiente de desahogo, se emite la resolución que conforme a Derecho proceda, de acuerdo a los siguientes:</w:t>
      </w:r>
    </w:p>
    <w:p w:rsidR="00A3084D" w:rsidRPr="00FC7DBF" w:rsidRDefault="00A3084D">
      <w:pPr>
        <w:spacing w:after="0" w:line="360" w:lineRule="auto"/>
        <w:rPr>
          <w:color w:val="000000"/>
        </w:rPr>
      </w:pPr>
    </w:p>
    <w:p w:rsidR="00A3084D" w:rsidRPr="00FC7DBF" w:rsidRDefault="008A7FC1">
      <w:pPr>
        <w:spacing w:after="0" w:line="360" w:lineRule="auto"/>
        <w:jc w:val="center"/>
        <w:rPr>
          <w:b/>
          <w:color w:val="000000"/>
        </w:rPr>
      </w:pPr>
      <w:r w:rsidRPr="00FC7DBF">
        <w:rPr>
          <w:b/>
          <w:color w:val="000000"/>
        </w:rPr>
        <w:t>C O N S I D E R A N D O S</w:t>
      </w:r>
    </w:p>
    <w:p w:rsidR="00A3084D" w:rsidRPr="00FC7DBF" w:rsidRDefault="00A3084D">
      <w:pPr>
        <w:spacing w:after="0" w:line="360" w:lineRule="auto"/>
        <w:rPr>
          <w:b/>
          <w:color w:val="000000"/>
        </w:rPr>
      </w:pPr>
    </w:p>
    <w:p w:rsidR="00A3084D" w:rsidRPr="00FC7DBF" w:rsidRDefault="007B3C02">
      <w:pPr>
        <w:spacing w:after="0" w:line="360" w:lineRule="auto"/>
        <w:rPr>
          <w:b/>
          <w:color w:val="000000"/>
        </w:rPr>
      </w:pPr>
      <w:r w:rsidRPr="00FC7DBF">
        <w:rPr>
          <w:b/>
          <w:color w:val="000000"/>
        </w:rPr>
        <w:t>PRIMERO. Competencia</w:t>
      </w:r>
    </w:p>
    <w:p w:rsidR="00A3084D" w:rsidRPr="00FC7DBF" w:rsidRDefault="00A3084D">
      <w:pPr>
        <w:spacing w:after="0" w:line="360" w:lineRule="auto"/>
        <w:rPr>
          <w:b/>
          <w:color w:val="000000"/>
        </w:rPr>
      </w:pPr>
    </w:p>
    <w:p w:rsidR="00A3084D" w:rsidRPr="00FC7DBF" w:rsidRDefault="007B3C02">
      <w:pPr>
        <w:spacing w:after="0" w:line="360" w:lineRule="auto"/>
        <w:rPr>
          <w:color w:val="000000"/>
        </w:rPr>
      </w:pPr>
      <w:bookmarkStart w:id="0" w:name="_heading=h.gjdgxs" w:colFirst="0" w:colLast="0"/>
      <w:bookmarkEnd w:id="0"/>
      <w:r w:rsidRPr="00FC7DBF">
        <w:rPr>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w:t>
      </w:r>
      <w:r w:rsidRPr="00FC7DBF">
        <w:rPr>
          <w:color w:val="000000"/>
        </w:rPr>
        <w:lastRenderedPageBreak/>
        <w:t>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A3084D" w:rsidRPr="00FC7DBF" w:rsidRDefault="00A3084D">
      <w:pPr>
        <w:spacing w:after="0" w:line="360" w:lineRule="auto"/>
        <w:rPr>
          <w:b/>
          <w:color w:val="000000"/>
        </w:rPr>
      </w:pPr>
    </w:p>
    <w:p w:rsidR="00A3084D" w:rsidRPr="00FC7DBF" w:rsidRDefault="007B3C02">
      <w:pPr>
        <w:spacing w:after="0" w:line="360" w:lineRule="auto"/>
        <w:rPr>
          <w:color w:val="000000"/>
        </w:rPr>
      </w:pPr>
      <w:r w:rsidRPr="00FC7DBF">
        <w:rPr>
          <w:b/>
          <w:color w:val="000000"/>
        </w:rPr>
        <w:t>SEGUNDO</w:t>
      </w:r>
      <w:r w:rsidRPr="00FC7DBF">
        <w:rPr>
          <w:color w:val="000000"/>
        </w:rPr>
        <w:t xml:space="preserve">. </w:t>
      </w:r>
      <w:r w:rsidRPr="00FC7DBF">
        <w:rPr>
          <w:b/>
          <w:color w:val="000000"/>
        </w:rPr>
        <w:t>Causales de improcedencia y sobreseimiento</w:t>
      </w:r>
      <w:r w:rsidRPr="00FC7DBF">
        <w:rPr>
          <w:color w:val="000000"/>
        </w:rPr>
        <w:t xml:space="preserve"> </w:t>
      </w:r>
    </w:p>
    <w:p w:rsidR="00A3084D" w:rsidRPr="00FC7DBF" w:rsidRDefault="00A3084D">
      <w:pPr>
        <w:spacing w:after="0" w:line="360" w:lineRule="auto"/>
        <w:rPr>
          <w:color w:val="000000"/>
        </w:rPr>
      </w:pPr>
    </w:p>
    <w:p w:rsidR="00A3084D" w:rsidRPr="00FC7DBF" w:rsidRDefault="007B3C02">
      <w:pPr>
        <w:spacing w:after="0" w:line="360" w:lineRule="auto"/>
        <w:rPr>
          <w:color w:val="000000"/>
        </w:rPr>
      </w:pPr>
      <w:r w:rsidRPr="00FC7DBF">
        <w:rPr>
          <w:color w:val="000000"/>
        </w:rPr>
        <w:t xml:space="preserve">De las constancias que forma parte del Recurso de Revisión que se analiza, se advierte que previo al estudio del fondo de la </w:t>
      </w:r>
      <w:proofErr w:type="spellStart"/>
      <w:r w:rsidRPr="00FC7DBF">
        <w:rPr>
          <w:i/>
          <w:color w:val="000000"/>
        </w:rPr>
        <w:t>litis</w:t>
      </w:r>
      <w:proofErr w:type="spellEnd"/>
      <w:r w:rsidRPr="00FC7DBF">
        <w:rPr>
          <w:color w:val="000000"/>
        </w:rPr>
        <w:t>, es necesario estudiar las causales de improcedencia y sobreseimiento que se adviertan, para determinar lo que en Derecho proceda.</w:t>
      </w:r>
    </w:p>
    <w:p w:rsidR="00A3084D" w:rsidRPr="00FC7DBF" w:rsidRDefault="00A3084D">
      <w:pPr>
        <w:spacing w:after="0" w:line="360" w:lineRule="auto"/>
        <w:rPr>
          <w:color w:val="000000"/>
        </w:rPr>
      </w:pPr>
    </w:p>
    <w:p w:rsidR="00A3084D" w:rsidRPr="00FC7DBF" w:rsidRDefault="007B3C02">
      <w:pPr>
        <w:spacing w:after="0" w:line="360" w:lineRule="auto"/>
        <w:rPr>
          <w:b/>
          <w:color w:val="000000"/>
        </w:rPr>
      </w:pPr>
      <w:r w:rsidRPr="00FC7DBF">
        <w:rPr>
          <w:b/>
          <w:color w:val="000000"/>
        </w:rPr>
        <w:t>Causales de improcedencia</w:t>
      </w:r>
    </w:p>
    <w:p w:rsidR="00A3084D" w:rsidRPr="00FC7DBF" w:rsidRDefault="00A3084D">
      <w:pPr>
        <w:spacing w:after="0" w:line="360" w:lineRule="auto"/>
        <w:rPr>
          <w:b/>
          <w:color w:val="000000"/>
        </w:rPr>
      </w:pPr>
    </w:p>
    <w:p w:rsidR="00A3084D" w:rsidRPr="00FC7DBF" w:rsidRDefault="007B3C02">
      <w:pPr>
        <w:spacing w:after="0" w:line="360" w:lineRule="auto"/>
        <w:rPr>
          <w:color w:val="000000"/>
        </w:rPr>
      </w:pPr>
      <w:r w:rsidRPr="00FC7DBF">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A3084D" w:rsidRPr="00FC7DBF" w:rsidRDefault="00A3084D">
      <w:pPr>
        <w:spacing w:after="0" w:line="360" w:lineRule="auto"/>
        <w:rPr>
          <w:color w:val="000000"/>
        </w:rPr>
      </w:pPr>
    </w:p>
    <w:p w:rsidR="00A3084D" w:rsidRPr="00FC7DBF" w:rsidRDefault="007B3C02">
      <w:pPr>
        <w:spacing w:after="0" w:line="360" w:lineRule="auto"/>
        <w:rPr>
          <w:color w:val="000000"/>
        </w:rPr>
      </w:pPr>
      <w:r w:rsidRPr="00FC7DBF">
        <w:rPr>
          <w:color w:val="000000"/>
        </w:rPr>
        <w:t xml:space="preserve">En el presente caso, </w:t>
      </w:r>
      <w:r w:rsidRPr="00FC7DBF">
        <w:rPr>
          <w:b/>
          <w:color w:val="000000"/>
        </w:rPr>
        <w:t>no se actualiza ninguna de las causales de improcedencia</w:t>
      </w:r>
      <w:r w:rsidRPr="00FC7DBF">
        <w:rPr>
          <w:color w:val="000000"/>
        </w:rPr>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w:t>
      </w:r>
      <w:r w:rsidRPr="00FC7DBF">
        <w:rPr>
          <w:color w:val="000000"/>
        </w:rPr>
        <w:lastRenderedPageBreak/>
        <w:t>requerimiento informativo, aunado a que el medio de impugnación fue presentado en tiempo.</w:t>
      </w:r>
    </w:p>
    <w:p w:rsidR="00A3084D" w:rsidRPr="00FC7DBF" w:rsidRDefault="00A3084D">
      <w:pPr>
        <w:spacing w:after="0" w:line="360" w:lineRule="auto"/>
        <w:rPr>
          <w:color w:val="000000"/>
        </w:rPr>
      </w:pPr>
    </w:p>
    <w:p w:rsidR="00A3084D" w:rsidRPr="00FC7DBF" w:rsidRDefault="007B3C02">
      <w:pPr>
        <w:spacing w:after="0" w:line="360" w:lineRule="auto"/>
        <w:rPr>
          <w:color w:val="000000"/>
        </w:rPr>
      </w:pPr>
      <w:r w:rsidRPr="00FC7DBF">
        <w:rPr>
          <w:color w:val="000000"/>
        </w:rPr>
        <w:t>Asimismo, se actualiza la causal de procedencia señalada en el artículo 179, fracción VIII, de la Ley en cita, pues la persona Recurrente se inconformó de la puesta a disposición de la información, en una modalidad distinta a la solicitada.</w:t>
      </w:r>
    </w:p>
    <w:p w:rsidR="00A3084D" w:rsidRPr="00FC7DBF" w:rsidRDefault="00A3084D">
      <w:pPr>
        <w:spacing w:after="0" w:line="360" w:lineRule="auto"/>
        <w:rPr>
          <w:color w:val="000000"/>
        </w:rPr>
      </w:pPr>
    </w:p>
    <w:p w:rsidR="00A3084D" w:rsidRPr="00FC7DBF" w:rsidRDefault="007B3C02">
      <w:pPr>
        <w:spacing w:after="0" w:line="360" w:lineRule="auto"/>
        <w:rPr>
          <w:color w:val="0D0D0D"/>
        </w:rPr>
      </w:pPr>
      <w:r w:rsidRPr="00FC7DBF">
        <w:rPr>
          <w:b/>
          <w:color w:val="0D0D0D"/>
        </w:rPr>
        <w:t>Causales de sobreseimiento</w:t>
      </w:r>
    </w:p>
    <w:p w:rsidR="00A3084D" w:rsidRPr="00FC7DBF" w:rsidRDefault="00A3084D">
      <w:pPr>
        <w:spacing w:after="0" w:line="360" w:lineRule="auto"/>
        <w:rPr>
          <w:color w:val="0D0D0D"/>
        </w:rPr>
      </w:pPr>
    </w:p>
    <w:p w:rsidR="00A3084D" w:rsidRPr="00FC7DBF" w:rsidRDefault="007B3C02">
      <w:pPr>
        <w:spacing w:after="0" w:line="360" w:lineRule="auto"/>
        <w:rPr>
          <w:color w:val="0D0D0D"/>
        </w:rPr>
      </w:pPr>
      <w:r w:rsidRPr="00FC7DBF">
        <w:rPr>
          <w:color w:val="0D0D0D"/>
        </w:rPr>
        <w:t>Por ser de previo y especial pronunciamiento, este Instituto analiza si se actualiza alguna causal de sobreseimiento.</w:t>
      </w:r>
    </w:p>
    <w:p w:rsidR="00A3084D" w:rsidRPr="00FC7DBF" w:rsidRDefault="00A3084D">
      <w:pPr>
        <w:spacing w:after="0" w:line="360" w:lineRule="auto"/>
        <w:rPr>
          <w:color w:val="0D0D0D"/>
        </w:rPr>
      </w:pPr>
    </w:p>
    <w:p w:rsidR="00A3084D" w:rsidRPr="00FC7DBF" w:rsidRDefault="007B3C02">
      <w:pPr>
        <w:spacing w:after="0" w:line="360" w:lineRule="auto"/>
        <w:rPr>
          <w:color w:val="000000"/>
        </w:rPr>
      </w:pPr>
      <w:r w:rsidRPr="00FC7DBF">
        <w:rPr>
          <w:color w:val="0D0D0D"/>
        </w:rPr>
        <w:t>Sobre el tema, e</w:t>
      </w:r>
      <w:r w:rsidRPr="00FC7DBF">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rsidR="00A3084D" w:rsidRPr="00FC7DBF" w:rsidRDefault="00A3084D">
      <w:pPr>
        <w:spacing w:after="0" w:line="360" w:lineRule="auto"/>
        <w:rPr>
          <w:color w:val="000000"/>
        </w:rPr>
      </w:pPr>
    </w:p>
    <w:p w:rsidR="00A3084D" w:rsidRPr="00FC7DBF" w:rsidRDefault="007B3C02">
      <w:pPr>
        <w:spacing w:after="0" w:line="360" w:lineRule="auto"/>
        <w:rPr>
          <w:color w:val="0D0D0D"/>
        </w:rPr>
      </w:pPr>
      <w:r w:rsidRPr="00FC7DBF">
        <w:rPr>
          <w:color w:val="0D0D0D"/>
        </w:rPr>
        <w:t xml:space="preserve">Por tales motivos, se considera procedente entrar al fondo del presente asunto. </w:t>
      </w:r>
    </w:p>
    <w:p w:rsidR="00A3084D" w:rsidRPr="00FC7DBF" w:rsidRDefault="00A3084D">
      <w:pPr>
        <w:spacing w:after="0" w:line="360" w:lineRule="auto"/>
        <w:rPr>
          <w:color w:val="000000"/>
        </w:rPr>
      </w:pPr>
    </w:p>
    <w:p w:rsidR="00A3084D" w:rsidRPr="00FC7DBF" w:rsidRDefault="007B3C02">
      <w:pPr>
        <w:tabs>
          <w:tab w:val="left" w:pos="4962"/>
        </w:tabs>
        <w:spacing w:after="0" w:line="360" w:lineRule="auto"/>
        <w:rPr>
          <w:b/>
          <w:color w:val="000000"/>
        </w:rPr>
      </w:pPr>
      <w:r w:rsidRPr="00FC7DBF">
        <w:rPr>
          <w:b/>
          <w:color w:val="000000"/>
        </w:rPr>
        <w:t xml:space="preserve">TERCERO. Determinación de la Controversia </w:t>
      </w:r>
    </w:p>
    <w:p w:rsidR="00A3084D" w:rsidRPr="00FC7DBF" w:rsidRDefault="00A3084D">
      <w:pPr>
        <w:tabs>
          <w:tab w:val="left" w:pos="4962"/>
        </w:tabs>
        <w:spacing w:after="0" w:line="360" w:lineRule="auto"/>
        <w:rPr>
          <w:b/>
          <w:color w:val="000000"/>
        </w:rPr>
      </w:pPr>
    </w:p>
    <w:p w:rsidR="00A3084D" w:rsidRPr="00FC7DBF" w:rsidRDefault="007B3C02">
      <w:pPr>
        <w:spacing w:after="0" w:line="360" w:lineRule="auto"/>
      </w:pPr>
      <w:bookmarkStart w:id="1" w:name="_heading=h.30j0zll" w:colFirst="0" w:colLast="0"/>
      <w:bookmarkEnd w:id="1"/>
      <w:r w:rsidRPr="00FC7DBF">
        <w:t xml:space="preserve">Con el objetivo de ilustrar la controversia planteada, resulta conveniente precisar, que una vez realizado el estudio de las constancias que integran el expediente en el que se actúa, se </w:t>
      </w:r>
      <w:r w:rsidRPr="00FC7DBF">
        <w:lastRenderedPageBreak/>
        <w:t xml:space="preserve">desprende que el Particular requirió, los manuales de organización y procedimientos de las áreas administrativas, aprobados por la Administración Pública Municipal 2022-2024. </w:t>
      </w:r>
    </w:p>
    <w:p w:rsidR="00A3084D" w:rsidRPr="00FC7DBF" w:rsidRDefault="00A3084D">
      <w:pPr>
        <w:spacing w:after="0" w:line="360" w:lineRule="auto"/>
        <w:rPr>
          <w:i/>
          <w:color w:val="000000"/>
          <w:sz w:val="20"/>
          <w:szCs w:val="20"/>
        </w:rPr>
      </w:pPr>
    </w:p>
    <w:p w:rsidR="00A3084D" w:rsidRPr="00FC7DBF" w:rsidRDefault="007B3C02">
      <w:pPr>
        <w:spacing w:after="0" w:line="360" w:lineRule="auto"/>
        <w:rPr>
          <w:color w:val="000000"/>
        </w:rPr>
      </w:pPr>
      <w:r w:rsidRPr="00FC7DBF">
        <w:rPr>
          <w:color w:val="000000"/>
        </w:rPr>
        <w:t xml:space="preserve">En respuesta, el Sujeto Obligado, a través de la Dirección de Mejora Regulatoria e Información, Programación y Evaluación, precisó que derivado de la cantidad, volumen y </w:t>
      </w:r>
      <w:r w:rsidRPr="00FC7DBF">
        <w:t>proceso de entrega recepción, mesas de trabajo que se están llevando a cabo en la administración, la capacidad técnica y humana no es suficiente, sin embargo, con el fin de garantizar el derecho de acceso a la información cambió de modalidad a consulta directa; ante dicha circunstancia, el Particular se inconformó del cambio de modalidad, lo cual actualiza la causal de procedencia prevista en la fracción VIII, del artículo 179 de la Ley de Transparencia y Acceso a la Información Pública del Estado de México y Municipios</w:t>
      </w:r>
      <w:r w:rsidRPr="00FC7DBF">
        <w:rPr>
          <w:color w:val="0D0D0D"/>
        </w:rPr>
        <w:t xml:space="preserve">. </w:t>
      </w:r>
      <w:r w:rsidRPr="00FC7DBF">
        <w:t>Así, las cosas, una vez admitido y notificado el Recurso de Revisión a las partes, estas fueron omisas en emitir manifestaciones o alegatos.</w:t>
      </w:r>
    </w:p>
    <w:p w:rsidR="00A3084D" w:rsidRPr="00FC7DBF" w:rsidRDefault="00A3084D">
      <w:pPr>
        <w:tabs>
          <w:tab w:val="left" w:pos="4962"/>
        </w:tabs>
        <w:spacing w:after="0" w:line="360" w:lineRule="auto"/>
      </w:pPr>
    </w:p>
    <w:p w:rsidR="00A3084D" w:rsidRPr="00FC7DBF" w:rsidRDefault="007B3C02">
      <w:pPr>
        <w:tabs>
          <w:tab w:val="left" w:pos="4962"/>
        </w:tabs>
        <w:spacing w:after="0" w:line="360" w:lineRule="auto"/>
      </w:pPr>
      <w:r w:rsidRPr="00FC7DBF">
        <w:t>Lo anterior, se desprende de las documentales que obran en el expediente de referencia, materia de la presente resolución, consistente en: la solicitud de acceso a la información,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rsidR="00A3084D" w:rsidRPr="00FC7DBF" w:rsidRDefault="00A3084D">
      <w:pPr>
        <w:spacing w:after="0" w:line="360" w:lineRule="auto"/>
        <w:rPr>
          <w:color w:val="000000"/>
        </w:rPr>
      </w:pPr>
    </w:p>
    <w:p w:rsidR="00A3084D" w:rsidRPr="00FC7DBF" w:rsidRDefault="007B3C02">
      <w:pPr>
        <w:spacing w:after="0" w:line="360" w:lineRule="auto"/>
        <w:rPr>
          <w:b/>
          <w:color w:val="000000"/>
        </w:rPr>
      </w:pPr>
      <w:r w:rsidRPr="00FC7DBF">
        <w:rPr>
          <w:b/>
          <w:color w:val="000000"/>
        </w:rPr>
        <w:t xml:space="preserve">CUARTO. Marco normativo aplicable en materia de transparencia y </w:t>
      </w:r>
      <w:r w:rsidR="008A7FC1" w:rsidRPr="00FC7DBF">
        <w:rPr>
          <w:b/>
          <w:color w:val="000000"/>
        </w:rPr>
        <w:t>acceso a la información pública</w:t>
      </w:r>
    </w:p>
    <w:p w:rsidR="00A3084D" w:rsidRPr="00FC7DBF" w:rsidRDefault="00A3084D">
      <w:pPr>
        <w:spacing w:after="0" w:line="360" w:lineRule="auto"/>
        <w:rPr>
          <w:b/>
          <w:color w:val="000000"/>
        </w:rPr>
      </w:pPr>
    </w:p>
    <w:p w:rsidR="00A3084D" w:rsidRPr="00FC7DBF" w:rsidRDefault="007B3C02">
      <w:pPr>
        <w:spacing w:after="0" w:line="360" w:lineRule="auto"/>
        <w:rPr>
          <w:color w:val="000000"/>
        </w:rPr>
      </w:pPr>
      <w:r w:rsidRPr="00FC7DBF">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A3084D" w:rsidRPr="00FC7DBF" w:rsidRDefault="00A3084D">
      <w:pPr>
        <w:spacing w:after="0" w:line="360" w:lineRule="auto"/>
        <w:rPr>
          <w:color w:val="000000"/>
        </w:rPr>
      </w:pPr>
    </w:p>
    <w:p w:rsidR="00A3084D" w:rsidRPr="00FC7DBF" w:rsidRDefault="007B3C02">
      <w:pPr>
        <w:spacing w:after="0" w:line="360" w:lineRule="auto"/>
        <w:rPr>
          <w:color w:val="000000"/>
        </w:rPr>
      </w:pPr>
      <w:r w:rsidRPr="00FC7DBF">
        <w:rPr>
          <w:color w:val="000000"/>
        </w:rPr>
        <w:t>La Ley General de Transparencia y Acceso a la Información Pública, publicada en el Diario Oficial de la Federación el cuatro de mayo de dos mil quince, dispone en su artículo 70, la información que se considera corresponde a las Obligaciones de Transparencia, la cual debe estar disponible para cualquier persona de manera permanente y actualizada.</w:t>
      </w:r>
    </w:p>
    <w:p w:rsidR="00A3084D" w:rsidRPr="00FC7DBF" w:rsidRDefault="00A3084D">
      <w:pPr>
        <w:spacing w:after="0" w:line="360" w:lineRule="auto"/>
        <w:rPr>
          <w:color w:val="000000"/>
        </w:rPr>
      </w:pPr>
    </w:p>
    <w:p w:rsidR="00A3084D" w:rsidRPr="00FC7DBF" w:rsidRDefault="007B3C02">
      <w:pPr>
        <w:spacing w:after="0" w:line="360" w:lineRule="auto"/>
        <w:rPr>
          <w:color w:val="000000"/>
        </w:rPr>
      </w:pPr>
      <w:r w:rsidRPr="00FC7DBF">
        <w:rPr>
          <w:color w:val="000000"/>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A3084D" w:rsidRPr="00FC7DBF" w:rsidRDefault="00A3084D">
      <w:pPr>
        <w:spacing w:after="0" w:line="360" w:lineRule="auto"/>
        <w:rPr>
          <w:color w:val="000000"/>
        </w:rPr>
      </w:pPr>
    </w:p>
    <w:p w:rsidR="00A3084D" w:rsidRPr="00FC7DBF" w:rsidRDefault="007B3C02">
      <w:pPr>
        <w:spacing w:after="0" w:line="360" w:lineRule="auto"/>
        <w:rPr>
          <w:color w:val="000000"/>
        </w:rPr>
      </w:pPr>
      <w:r w:rsidRPr="00FC7DBF">
        <w:rPr>
          <w:color w:val="000000"/>
        </w:rPr>
        <w:t>Por su parte, la Ley de Transparencia y Acceso a la Información Pública del Estado de México y Municipios (Reglamentaria del artículo 5° de la Constitución Local), establece lo siguiente:</w:t>
      </w:r>
    </w:p>
    <w:p w:rsidR="00A3084D" w:rsidRPr="00FC7DBF" w:rsidRDefault="00A3084D">
      <w:pPr>
        <w:spacing w:after="0" w:line="360" w:lineRule="auto"/>
        <w:rPr>
          <w:color w:val="000000"/>
        </w:rPr>
      </w:pPr>
    </w:p>
    <w:p w:rsidR="00A3084D" w:rsidRPr="00FC7DBF" w:rsidRDefault="007B3C02">
      <w:pPr>
        <w:spacing w:after="0" w:line="360" w:lineRule="auto"/>
        <w:rPr>
          <w:color w:val="000000"/>
        </w:rPr>
      </w:pPr>
      <w:r w:rsidRPr="00FC7DBF">
        <w:rPr>
          <w:color w:val="000000"/>
        </w:rPr>
        <w:t>El artículo 12, que, quienes generen, recopilen, administren, manejen, procesen, archiven o conserven información pública serán responsables de la misma.</w:t>
      </w:r>
    </w:p>
    <w:p w:rsidR="00A3084D" w:rsidRPr="00FC7DBF" w:rsidRDefault="00A3084D">
      <w:pPr>
        <w:spacing w:after="0" w:line="360" w:lineRule="auto"/>
        <w:rPr>
          <w:color w:val="000000"/>
        </w:rPr>
      </w:pPr>
    </w:p>
    <w:p w:rsidR="00A3084D" w:rsidRPr="00FC7DBF" w:rsidRDefault="007B3C02">
      <w:pPr>
        <w:spacing w:after="0" w:line="360" w:lineRule="auto"/>
        <w:rPr>
          <w:color w:val="000000"/>
        </w:rPr>
      </w:pPr>
      <w:r w:rsidRPr="00FC7DBF">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A3084D" w:rsidRPr="00FC7DBF" w:rsidRDefault="00A3084D">
      <w:pPr>
        <w:spacing w:after="0" w:line="360" w:lineRule="auto"/>
        <w:rPr>
          <w:color w:val="000000"/>
        </w:rPr>
      </w:pPr>
    </w:p>
    <w:p w:rsidR="00A3084D" w:rsidRPr="00FC7DBF" w:rsidRDefault="007B3C02">
      <w:pPr>
        <w:spacing w:after="0" w:line="360" w:lineRule="auto"/>
        <w:rPr>
          <w:color w:val="000000"/>
        </w:rPr>
      </w:pPr>
      <w:r w:rsidRPr="00FC7DBF">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A3084D" w:rsidRPr="00FC7DBF" w:rsidRDefault="00A3084D">
      <w:pPr>
        <w:spacing w:after="0" w:line="360" w:lineRule="auto"/>
        <w:rPr>
          <w:color w:val="000000"/>
        </w:rPr>
      </w:pPr>
    </w:p>
    <w:p w:rsidR="00A3084D" w:rsidRPr="00FC7DBF" w:rsidRDefault="008A7FC1">
      <w:pPr>
        <w:spacing w:after="0" w:line="360" w:lineRule="auto"/>
        <w:rPr>
          <w:b/>
          <w:color w:val="000000"/>
        </w:rPr>
      </w:pPr>
      <w:r w:rsidRPr="00FC7DBF">
        <w:rPr>
          <w:b/>
          <w:color w:val="000000"/>
        </w:rPr>
        <w:lastRenderedPageBreak/>
        <w:t>QUINTO. Estudio de Fondo</w:t>
      </w:r>
    </w:p>
    <w:p w:rsidR="00A3084D" w:rsidRPr="00FC7DBF" w:rsidRDefault="00A3084D">
      <w:pPr>
        <w:spacing w:after="0" w:line="360" w:lineRule="auto"/>
        <w:rPr>
          <w:color w:val="000000"/>
        </w:rPr>
      </w:pPr>
    </w:p>
    <w:p w:rsidR="00A3084D" w:rsidRPr="00FC7DBF" w:rsidRDefault="007B3C02">
      <w:pPr>
        <w:spacing w:after="0" w:line="360" w:lineRule="auto"/>
      </w:pPr>
      <w:r w:rsidRPr="00FC7DBF">
        <w:rPr>
          <w:color w:val="000000"/>
        </w:rPr>
        <w:t xml:space="preserve">Expuestas las posturas de las partes, se procede al análisis del agravio hecho valer por la persona Recurrente, concerniente </w:t>
      </w:r>
      <w:r w:rsidRPr="00FC7DBF">
        <w:t>a la puesta a disposición de la información, en una modalidad distinta a la solicitada, por lo que, en principio es necesario contextualizar la solicitud de información.</w:t>
      </w:r>
    </w:p>
    <w:p w:rsidR="00A3084D" w:rsidRPr="00FC7DBF" w:rsidRDefault="00A3084D">
      <w:pPr>
        <w:spacing w:after="0" w:line="360" w:lineRule="auto"/>
      </w:pPr>
    </w:p>
    <w:p w:rsidR="00A3084D" w:rsidRPr="00FC7DBF" w:rsidRDefault="007B3C02">
      <w:pPr>
        <w:spacing w:after="0" w:line="360" w:lineRule="auto"/>
        <w:ind w:right="49"/>
        <w:rPr>
          <w:color w:val="000000"/>
        </w:rPr>
      </w:pPr>
      <w:r w:rsidRPr="00FC7DBF">
        <w:rPr>
          <w:color w:val="000000"/>
        </w:rPr>
        <w:t>En tal sentido, la Guía Técnica para la Elaboración de Manuales de Procedimientos</w:t>
      </w:r>
      <w:r w:rsidRPr="00FC7DBF">
        <w:rPr>
          <w:color w:val="0000FF"/>
          <w:u w:val="single"/>
        </w:rPr>
        <w:t>,</w:t>
      </w:r>
      <w:r w:rsidRPr="00FC7DBF">
        <w:rPr>
          <w:color w:val="000000"/>
        </w:rPr>
        <w:t xml:space="preserve"> contempla lo siguiente:</w:t>
      </w:r>
    </w:p>
    <w:p w:rsidR="00A3084D" w:rsidRPr="00FC7DBF" w:rsidRDefault="00A3084D">
      <w:pPr>
        <w:spacing w:after="0" w:line="360" w:lineRule="auto"/>
        <w:ind w:right="49"/>
        <w:rPr>
          <w:color w:val="000000"/>
        </w:rPr>
      </w:pPr>
    </w:p>
    <w:p w:rsidR="00A3084D" w:rsidRPr="00FC7DBF" w:rsidRDefault="007B3C02">
      <w:pPr>
        <w:numPr>
          <w:ilvl w:val="0"/>
          <w:numId w:val="1"/>
        </w:numPr>
        <w:pBdr>
          <w:top w:val="nil"/>
          <w:left w:val="nil"/>
          <w:bottom w:val="nil"/>
          <w:right w:val="nil"/>
          <w:between w:val="nil"/>
        </w:pBdr>
        <w:spacing w:after="0" w:line="360" w:lineRule="auto"/>
        <w:ind w:right="49"/>
        <w:rPr>
          <w:color w:val="000000"/>
        </w:rPr>
      </w:pPr>
      <w:r w:rsidRPr="00FC7DBF">
        <w:rPr>
          <w:b/>
          <w:color w:val="000000"/>
        </w:rPr>
        <w:t>Manual de Organización:</w:t>
      </w:r>
      <w:r w:rsidRPr="00FC7DBF">
        <w:rPr>
          <w:color w:val="000000"/>
        </w:rPr>
        <w:t xml:space="preserve"> Documento administrativo que contiene información sobre la organización y funcionamiento de las dependencias y organismos auxiliares, que describe los objetivos y funciones que deben realizar cada una de las unidades administrativas que integran la estructura de organización de las dependencias. </w:t>
      </w:r>
    </w:p>
    <w:p w:rsidR="00A3084D" w:rsidRPr="00FC7DBF" w:rsidRDefault="00A3084D">
      <w:pPr>
        <w:spacing w:after="0" w:line="360" w:lineRule="auto"/>
        <w:ind w:right="49"/>
      </w:pPr>
    </w:p>
    <w:p w:rsidR="00A3084D" w:rsidRPr="00FC7DBF" w:rsidRDefault="007B3C02">
      <w:pPr>
        <w:numPr>
          <w:ilvl w:val="0"/>
          <w:numId w:val="1"/>
        </w:numPr>
        <w:pBdr>
          <w:top w:val="nil"/>
          <w:left w:val="nil"/>
          <w:bottom w:val="nil"/>
          <w:right w:val="nil"/>
          <w:between w:val="nil"/>
        </w:pBdr>
        <w:spacing w:after="0" w:line="360" w:lineRule="auto"/>
        <w:ind w:right="49"/>
        <w:rPr>
          <w:color w:val="000000"/>
        </w:rPr>
      </w:pPr>
      <w:r w:rsidRPr="00FC7DBF">
        <w:rPr>
          <w:b/>
          <w:color w:val="000000"/>
        </w:rPr>
        <w:t>Manual de Procedimientos</w:t>
      </w:r>
      <w:r w:rsidRPr="00FC7DBF">
        <w:rPr>
          <w:color w:val="000000"/>
        </w:rPr>
        <w:t>:  Documentos administrativo que contiene información relacionada con el conjunto de operaciones o actividades que deben realizarse para la generación de bienes o servicios que detalla las operaciones o actividades que deben realizarse de manera secuencial y cronológica para dar cumplimiento a una función que coadyuve a la generación de bienes y servicios.</w:t>
      </w:r>
    </w:p>
    <w:p w:rsidR="00A3084D" w:rsidRPr="00FC7DBF" w:rsidRDefault="00A3084D">
      <w:pPr>
        <w:spacing w:after="0" w:line="360" w:lineRule="auto"/>
      </w:pPr>
    </w:p>
    <w:p w:rsidR="00A3084D" w:rsidRPr="00FC7DBF" w:rsidRDefault="007B3C02">
      <w:pPr>
        <w:spacing w:after="0" w:line="360" w:lineRule="auto"/>
      </w:pPr>
      <w:r w:rsidRPr="00FC7DBF">
        <w:t>Sobre el tema, el artículo 124 de la Constitución Política del Estado Libre y Soberano de México, establecen que los Ayuntamientos expedirán el Bando Municipal, los reglamentos y todas las normas necesarias para su organización y funcionamiento.</w:t>
      </w:r>
    </w:p>
    <w:p w:rsidR="00A3084D" w:rsidRPr="00FC7DBF" w:rsidRDefault="00A3084D">
      <w:pPr>
        <w:spacing w:after="0" w:line="360" w:lineRule="auto"/>
      </w:pPr>
    </w:p>
    <w:p w:rsidR="00A3084D" w:rsidRPr="00FC7DBF" w:rsidRDefault="007B3C02">
      <w:pPr>
        <w:spacing w:after="0" w:line="360" w:lineRule="auto"/>
      </w:pPr>
      <w:r w:rsidRPr="00FC7DBF">
        <w:t xml:space="preserve">Respecto a lo anterior, la Ley Orgánica Municipal del Estado de México y Municipios, en </w:t>
      </w:r>
      <w:proofErr w:type="gramStart"/>
      <w:r w:rsidRPr="00FC7DBF">
        <w:t>sus artículos</w:t>
      </w:r>
      <w:proofErr w:type="gramEnd"/>
      <w:r w:rsidRPr="00FC7DBF">
        <w:t xml:space="preserve"> 3º, 30 y 31, establecen lo siguiente: </w:t>
      </w:r>
    </w:p>
    <w:p w:rsidR="00A3084D" w:rsidRPr="00FC7DBF" w:rsidRDefault="00A3084D">
      <w:pPr>
        <w:spacing w:after="0" w:line="360" w:lineRule="auto"/>
      </w:pPr>
    </w:p>
    <w:p w:rsidR="00A3084D" w:rsidRPr="00FC7DBF" w:rsidRDefault="007B3C02">
      <w:pPr>
        <w:numPr>
          <w:ilvl w:val="0"/>
          <w:numId w:val="2"/>
        </w:numPr>
        <w:pBdr>
          <w:top w:val="nil"/>
          <w:left w:val="nil"/>
          <w:bottom w:val="nil"/>
          <w:right w:val="nil"/>
          <w:between w:val="nil"/>
        </w:pBdr>
        <w:spacing w:after="0" w:line="360" w:lineRule="auto"/>
        <w:rPr>
          <w:color w:val="000000"/>
        </w:rPr>
      </w:pPr>
      <w:r w:rsidRPr="00FC7DBF">
        <w:rPr>
          <w:color w:val="000000"/>
        </w:rPr>
        <w:t xml:space="preserve">Los Municipios regularán su funcionamiento de conformidad con lo que establezcan los Bandos Municipales, reglamentos y demás disposiciones legales aplicables; </w:t>
      </w:r>
    </w:p>
    <w:p w:rsidR="00A3084D" w:rsidRPr="00FC7DBF" w:rsidRDefault="00A3084D">
      <w:pPr>
        <w:pBdr>
          <w:top w:val="nil"/>
          <w:left w:val="nil"/>
          <w:bottom w:val="nil"/>
          <w:right w:val="nil"/>
          <w:between w:val="nil"/>
        </w:pBdr>
        <w:spacing w:after="0" w:line="360" w:lineRule="auto"/>
        <w:ind w:left="720"/>
        <w:rPr>
          <w:color w:val="000000"/>
        </w:rPr>
      </w:pPr>
    </w:p>
    <w:p w:rsidR="00A3084D" w:rsidRPr="00FC7DBF" w:rsidRDefault="007B3C02">
      <w:pPr>
        <w:numPr>
          <w:ilvl w:val="0"/>
          <w:numId w:val="2"/>
        </w:numPr>
        <w:pBdr>
          <w:top w:val="nil"/>
          <w:left w:val="nil"/>
          <w:bottom w:val="nil"/>
          <w:right w:val="nil"/>
          <w:between w:val="nil"/>
        </w:pBdr>
        <w:spacing w:after="0" w:line="360" w:lineRule="auto"/>
        <w:rPr>
          <w:color w:val="000000"/>
        </w:rPr>
      </w:pPr>
      <w:r w:rsidRPr="00FC7DBF">
        <w:rPr>
          <w:color w:val="000000"/>
        </w:rPr>
        <w:t xml:space="preserve">Cuando se refieran a reglamentos y otras normas de carácter general que sean de observancia municipal estos constarán íntegramente en el libro de actas debiendo firmar en ambos casos los miembros del Ayuntamiento que hayan estado presentes, debiéndose difundir en el Gaceta Municipal y en los estrados de la Secretaría del Ayuntamiento; y </w:t>
      </w:r>
    </w:p>
    <w:p w:rsidR="00A3084D" w:rsidRPr="00FC7DBF" w:rsidRDefault="00A3084D">
      <w:pPr>
        <w:spacing w:after="0" w:line="360" w:lineRule="auto"/>
      </w:pPr>
    </w:p>
    <w:p w:rsidR="00A3084D" w:rsidRPr="00FC7DBF" w:rsidRDefault="007B3C02">
      <w:pPr>
        <w:numPr>
          <w:ilvl w:val="0"/>
          <w:numId w:val="2"/>
        </w:numPr>
        <w:pBdr>
          <w:top w:val="nil"/>
          <w:left w:val="nil"/>
          <w:bottom w:val="nil"/>
          <w:right w:val="nil"/>
          <w:between w:val="nil"/>
        </w:pBdr>
        <w:spacing w:after="0" w:line="360" w:lineRule="auto"/>
        <w:rPr>
          <w:color w:val="000000"/>
        </w:rPr>
      </w:pPr>
      <w:r w:rsidRPr="00FC7DBF">
        <w:rPr>
          <w:color w:val="000000"/>
        </w:rPr>
        <w:t>Son atribuciones de los Ayuntamiento el expedir y reformar el Bando Municipal, así como los reglamentos, circulares y disposiciones administrativas de observancia general dentro del territorio del municipio, que sean necesarios para su organización, prestación de los servicios públicos y, en general, para el cumplimiento de sus atribuciones</w:t>
      </w:r>
    </w:p>
    <w:p w:rsidR="00A3084D" w:rsidRPr="00FC7DBF" w:rsidRDefault="00A3084D">
      <w:pPr>
        <w:spacing w:after="0" w:line="360" w:lineRule="auto"/>
      </w:pPr>
    </w:p>
    <w:p w:rsidR="00A3084D" w:rsidRPr="00FC7DBF" w:rsidRDefault="007B3C02">
      <w:pPr>
        <w:spacing w:after="0" w:line="360" w:lineRule="auto"/>
      </w:pPr>
      <w:r w:rsidRPr="00FC7DBF">
        <w:t>Asimismo, resulta aplicable el artículo 92, fracciones I y III de la Ley de Transparencia y Acceso a la Información Pública del estado de México y Municipios, establece que, la información sobre el marco normativo, en el que deberá incluirse leyes, códigos, reglamentos, decretos de creación, acuerdos, convenios, manuales de organización y procedimientos, reglas de operación, criterios, políticas, entre otros así como las facultades de cada área, corresponden a una Obligación Común de Transparencia para los Sujetos Obligados.</w:t>
      </w:r>
    </w:p>
    <w:p w:rsidR="00A3084D" w:rsidRPr="00FC7DBF" w:rsidRDefault="00A3084D">
      <w:pPr>
        <w:spacing w:after="0" w:line="360" w:lineRule="auto"/>
      </w:pPr>
    </w:p>
    <w:p w:rsidR="00A3084D" w:rsidRPr="00FC7DBF" w:rsidRDefault="007B3C02">
      <w:pPr>
        <w:spacing w:after="0" w:line="360" w:lineRule="auto"/>
      </w:pPr>
      <w:r w:rsidRPr="00FC7DBF">
        <w:t xml:space="preserve">En ese orden de ideas, los artículos 40 y 44 del Bando Municipal de Policía y Gobierno de Temamatla, establecen que el Cabildo, como Órgano Superior de Gobierno, será el encargado </w:t>
      </w:r>
      <w:r w:rsidRPr="00FC7DBF">
        <w:lastRenderedPageBreak/>
        <w:t>de expedir los Reglamentos y disposiciones normativas necesarias para normar y conducir el Gobierno y la Administración Pública Municipal.</w:t>
      </w:r>
    </w:p>
    <w:p w:rsidR="00A3084D" w:rsidRPr="00FC7DBF" w:rsidRDefault="007B3C02">
      <w:pPr>
        <w:spacing w:after="0" w:line="360" w:lineRule="auto"/>
        <w:ind w:right="-28"/>
      </w:pPr>
      <w:r w:rsidRPr="00FC7DBF">
        <w:t>Asimismo, este Instituto localizó el Primer Informe de Gobierno de Temamatla, dos mil veintidós, el cual precisa que durante dicho ejercicio fiscal se actualizaron los manuales de organización y de procedimientos de cada una de las dependencias generales, tal como se muestra a continuación:</w:t>
      </w:r>
    </w:p>
    <w:p w:rsidR="00A3084D" w:rsidRPr="00FC7DBF" w:rsidRDefault="00A3084D">
      <w:pPr>
        <w:spacing w:after="0" w:line="360" w:lineRule="auto"/>
        <w:ind w:right="-28"/>
      </w:pPr>
    </w:p>
    <w:p w:rsidR="00A3084D" w:rsidRPr="00FC7DBF" w:rsidRDefault="007B3C02">
      <w:pPr>
        <w:spacing w:after="0" w:line="360" w:lineRule="auto"/>
        <w:ind w:right="-28"/>
        <w:jc w:val="center"/>
      </w:pPr>
      <w:r w:rsidRPr="00FC7DBF">
        <w:rPr>
          <w:noProof/>
        </w:rPr>
        <w:drawing>
          <wp:inline distT="0" distB="0" distL="0" distR="0">
            <wp:extent cx="5029051" cy="1350878"/>
            <wp:effectExtent l="0" t="0" r="0" b="0"/>
            <wp:docPr id="209796109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029051" cy="1350878"/>
                    </a:xfrm>
                    <a:prstGeom prst="rect">
                      <a:avLst/>
                    </a:prstGeom>
                    <a:ln/>
                  </pic:spPr>
                </pic:pic>
              </a:graphicData>
            </a:graphic>
          </wp:inline>
        </w:drawing>
      </w:r>
    </w:p>
    <w:p w:rsidR="00A3084D" w:rsidRPr="00FC7DBF" w:rsidRDefault="00A3084D">
      <w:pPr>
        <w:spacing w:after="0" w:line="360" w:lineRule="auto"/>
        <w:ind w:right="-28"/>
      </w:pPr>
    </w:p>
    <w:p w:rsidR="00A3084D" w:rsidRPr="00FC7DBF" w:rsidRDefault="007B3C02">
      <w:pPr>
        <w:spacing w:after="0" w:line="360" w:lineRule="auto"/>
        <w:ind w:right="-28"/>
      </w:pPr>
      <w:r w:rsidRPr="00FC7DBF">
        <w:t>Además, se localizó el Plan de Desarrollo Municipal 2022-2024, el cual establece que del mes uno al nueve de la administración se revisaron los Manuales que estaban en existencia, para aplicar modificaciones y creación de regulaciones; por lo que, se presentaron los siguientes ordenamientos jurídicos:</w:t>
      </w:r>
    </w:p>
    <w:p w:rsidR="00A3084D" w:rsidRPr="00FC7DBF" w:rsidRDefault="00A3084D">
      <w:pPr>
        <w:spacing w:after="0" w:line="360" w:lineRule="auto"/>
        <w:ind w:right="-28"/>
      </w:pPr>
    </w:p>
    <w:p w:rsidR="00A3084D" w:rsidRPr="00FC7DBF" w:rsidRDefault="007B3C02">
      <w:pPr>
        <w:spacing w:after="0" w:line="360" w:lineRule="auto"/>
        <w:ind w:right="-28"/>
        <w:jc w:val="center"/>
      </w:pPr>
      <w:r w:rsidRPr="00FC7DBF">
        <w:rPr>
          <w:noProof/>
        </w:rPr>
        <w:lastRenderedPageBreak/>
        <w:drawing>
          <wp:inline distT="0" distB="0" distL="0" distR="0">
            <wp:extent cx="4914900" cy="2842949"/>
            <wp:effectExtent l="0" t="0" r="0" b="0"/>
            <wp:docPr id="209796109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914900" cy="2842949"/>
                    </a:xfrm>
                    <a:prstGeom prst="rect">
                      <a:avLst/>
                    </a:prstGeom>
                    <a:ln/>
                  </pic:spPr>
                </pic:pic>
              </a:graphicData>
            </a:graphic>
          </wp:inline>
        </w:drawing>
      </w:r>
    </w:p>
    <w:p w:rsidR="00A3084D" w:rsidRPr="00FC7DBF" w:rsidRDefault="007B3C02">
      <w:pPr>
        <w:spacing w:after="0" w:line="360" w:lineRule="auto"/>
        <w:ind w:right="-28"/>
        <w:jc w:val="center"/>
      </w:pPr>
      <w:r w:rsidRPr="00FC7DBF">
        <w:rPr>
          <w:noProof/>
        </w:rPr>
        <w:drawing>
          <wp:inline distT="0" distB="0" distL="0" distR="0">
            <wp:extent cx="4890051" cy="2944105"/>
            <wp:effectExtent l="0" t="0" r="0" b="0"/>
            <wp:docPr id="20979610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890051" cy="2944105"/>
                    </a:xfrm>
                    <a:prstGeom prst="rect">
                      <a:avLst/>
                    </a:prstGeom>
                    <a:ln/>
                  </pic:spPr>
                </pic:pic>
              </a:graphicData>
            </a:graphic>
          </wp:inline>
        </w:drawing>
      </w:r>
    </w:p>
    <w:p w:rsidR="00A3084D" w:rsidRPr="00FC7DBF" w:rsidRDefault="00A3084D">
      <w:pPr>
        <w:spacing w:after="0" w:line="360" w:lineRule="auto"/>
      </w:pPr>
    </w:p>
    <w:p w:rsidR="00A3084D" w:rsidRPr="00FC7DBF" w:rsidRDefault="007B3C02">
      <w:pPr>
        <w:spacing w:after="0" w:line="360" w:lineRule="auto"/>
      </w:pPr>
      <w:r w:rsidRPr="00FC7DBF">
        <w:t xml:space="preserve">Conforme a lo anterior, se logra vislumbrar que la pretensión del Recurrente es obtener los Manuales de Organización y Procedimientos de las unidades administrativas, aprobados por la Administración Pública Municipal 2022- 2024. </w:t>
      </w:r>
    </w:p>
    <w:p w:rsidR="00A3084D" w:rsidRPr="00FC7DBF" w:rsidRDefault="00A3084D">
      <w:pPr>
        <w:spacing w:after="0" w:line="360" w:lineRule="auto"/>
      </w:pPr>
    </w:p>
    <w:p w:rsidR="00A3084D" w:rsidRPr="00FC7DBF" w:rsidRDefault="007B3C02">
      <w:pPr>
        <w:spacing w:after="0" w:line="360" w:lineRule="auto"/>
      </w:pPr>
      <w:r w:rsidRPr="00FC7DBF">
        <w:rPr>
          <w:color w:val="000000"/>
        </w:rPr>
        <w:lastRenderedPageBreak/>
        <w:t>Ahora bien, de las constancias que obran en el expediente electrónico, se advierte que el Sujeto Obligado</w:t>
      </w:r>
      <w:r w:rsidRPr="00FC7DBF">
        <w:rPr>
          <w:color w:val="0D0D0D"/>
        </w:rPr>
        <w:t>, turnó la solicitud de información a la Dirección de Mejora Regulatoria e Información, Programación y Evaluación</w:t>
      </w:r>
      <w:r w:rsidRPr="00FC7DBF">
        <w:rPr>
          <w:color w:val="000000"/>
        </w:rPr>
        <w:t xml:space="preserve">; </w:t>
      </w:r>
      <w:r w:rsidRPr="00FC7DBF">
        <w:t xml:space="preserve">por lo que, es oportuno hacer referencia al </w:t>
      </w:r>
      <w:r w:rsidRPr="00FC7DBF">
        <w:rPr>
          <w:b/>
        </w:rPr>
        <w:t>procedimiento de búsqueda que deben de seguir los Sujetos Obligados para localizar la información</w:t>
      </w:r>
      <w:r w:rsidRPr="00FC7DBF">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rsidR="00A3084D" w:rsidRPr="00FC7DBF" w:rsidRDefault="00A3084D">
      <w:pPr>
        <w:spacing w:after="0" w:line="360" w:lineRule="auto"/>
      </w:pPr>
    </w:p>
    <w:p w:rsidR="00A3084D" w:rsidRPr="00FC7DBF" w:rsidRDefault="00A3084D">
      <w:pPr>
        <w:spacing w:after="0" w:line="360" w:lineRule="auto"/>
      </w:pPr>
    </w:p>
    <w:p w:rsidR="00A3084D" w:rsidRPr="00FC7DBF" w:rsidRDefault="007B3C02">
      <w:pPr>
        <w:widowControl w:val="0"/>
        <w:spacing w:after="0" w:line="360" w:lineRule="auto"/>
        <w:rPr>
          <w:color w:val="000000"/>
        </w:rPr>
      </w:pPr>
      <w:r w:rsidRPr="00FC7DBF">
        <w:rPr>
          <w:color w:val="000000"/>
        </w:rPr>
        <w:t xml:space="preserve">Así, a efecto de determinar si el Sujeto Obligado siguió el procedimiento antes descrito, es necesario precisar que turno la solicitud a la Dirección de Mejora Regulatoria e Información, Programación y Evaluación, que es el área encargada establecer las acciones estrategias y lineamientos bajo el cual se regirá la política de mejora regulatoria municipal y establecer Comités Internos en cada dependencia encargadas de las propuestas de creación de regulaciones o de reforma específica; sin embargo, conforme al artículo </w:t>
      </w:r>
      <w:r w:rsidRPr="00FC7DBF">
        <w:t>44, fracción I, del Bando Municipal de Policía y Gobierno de Temamatla, dos mil veinticuatro, con relación al 87, fracción I, y 91 de la Ley Orgánica Municipal del Estado de México, también cuenta con la Secretaría del Ayuntamiento, encargada de levantar las Actas de Cabildo; de llevar y conservar los libros de las Actas referidas; así como, publicar los reglamentos y disposiciones municipales y compilar la normatividad aplicable al Municipio.</w:t>
      </w:r>
    </w:p>
    <w:p w:rsidR="00A3084D" w:rsidRPr="00FC7DBF" w:rsidRDefault="00A3084D">
      <w:pPr>
        <w:spacing w:after="0" w:line="360" w:lineRule="auto"/>
      </w:pPr>
    </w:p>
    <w:p w:rsidR="00A3084D" w:rsidRPr="00FC7DBF" w:rsidRDefault="007B3C02">
      <w:pPr>
        <w:spacing w:after="0" w:line="360" w:lineRule="auto"/>
        <w:rPr>
          <w:color w:val="000000"/>
        </w:rPr>
      </w:pPr>
      <w:r w:rsidRPr="00FC7DBF">
        <w:rPr>
          <w:color w:val="000000"/>
        </w:rPr>
        <w:t xml:space="preserve">Así y conforme a lo establecido en párrafos anteriores, </w:t>
      </w:r>
      <w:r w:rsidRPr="00FC7DBF">
        <w:t xml:space="preserve">se logra colegir que el Sujeto Obligado incumplió con el procedimiento de búsqueda </w:t>
      </w:r>
      <w:r w:rsidRPr="00FC7DBF">
        <w:rPr>
          <w:color w:val="000000"/>
        </w:rPr>
        <w:t xml:space="preserve">establecido en el artículo 162 de la Ley de </w:t>
      </w:r>
      <w:r w:rsidRPr="00FC7DBF">
        <w:rPr>
          <w:color w:val="000000"/>
        </w:rPr>
        <w:lastRenderedPageBreak/>
        <w:t xml:space="preserve">Transparencia y Acceso a la Información Pública del Estado de México y Municipios, toda vez, omitió gestionó el requerimiento de información a la Secretaría del Ayuntamiento. </w:t>
      </w:r>
    </w:p>
    <w:p w:rsidR="00A3084D" w:rsidRPr="00FC7DBF" w:rsidRDefault="00A3084D">
      <w:pPr>
        <w:spacing w:after="0" w:line="360" w:lineRule="auto"/>
        <w:rPr>
          <w:b/>
          <w:color w:val="000000"/>
        </w:rPr>
      </w:pPr>
    </w:p>
    <w:p w:rsidR="00A3084D" w:rsidRPr="00FC7DBF" w:rsidRDefault="007B3C02">
      <w:pPr>
        <w:spacing w:after="0" w:line="360" w:lineRule="auto"/>
      </w:pPr>
      <w:r w:rsidRPr="00FC7DBF">
        <w:rPr>
          <w:color w:val="000000"/>
        </w:rPr>
        <w:t xml:space="preserve">Ahora bien, en respuesta, la Dirección de Mejora Regulatoria e Información, Programación y Evaluación  precisó que, derivado del </w:t>
      </w:r>
      <w:r w:rsidRPr="00FC7DBF">
        <w:t>proceso de entrega recepción, mesas de trabajo que se están llevando a cabo en la administración y las capacidades técnicas y humanas no es suficiente, sin embargo, con el fin de garantizar el derecho de acceso a la información proponen la consulta directa; por lo que, se procede analizar si procede el cambio de modalidad. Al respecto, cabe recordar que se requirió la información, a través del Sistema de Acceso a Información Mexiquense (SAIMEX).</w:t>
      </w:r>
    </w:p>
    <w:p w:rsidR="00A3084D" w:rsidRPr="00FC7DBF" w:rsidRDefault="00A3084D">
      <w:pPr>
        <w:spacing w:after="0" w:line="360" w:lineRule="auto"/>
      </w:pPr>
    </w:p>
    <w:p w:rsidR="00A3084D" w:rsidRPr="00FC7DBF" w:rsidRDefault="007B3C02">
      <w:pPr>
        <w:spacing w:after="0" w:line="360" w:lineRule="auto"/>
      </w:pPr>
      <w:r w:rsidRPr="00FC7DBF">
        <w:rPr>
          <w:color w:val="0D0D0D"/>
        </w:rPr>
        <w:t>En ese sentido,</w:t>
      </w:r>
      <w:r w:rsidRPr="00FC7DBF">
        <w:t xml:space="preserve"> el artículo 155, fracción V, de la Ley de Transparencia y Acceso a la Información Pública del Estado de México y Municipios, precisa que para presentar una solicitud, el particular podrá señalar </w:t>
      </w:r>
      <w:r w:rsidRPr="00FC7DBF">
        <w:rPr>
          <w:b/>
        </w:rPr>
        <w:t>la modalidad en la que prefiere se otorgue el acceso a la información</w:t>
      </w:r>
      <w:r w:rsidRPr="00FC7DBF">
        <w:t>, la cual podrá ser verbal, siempre y cuando sea para fines de orientación, mediante consulta directa, mediante la expedición de copias simples o certificadas o la reproducción en cualquier otro medio, incluidos los electrónicos.</w:t>
      </w:r>
    </w:p>
    <w:p w:rsidR="00A3084D" w:rsidRPr="00FC7DBF" w:rsidRDefault="00A3084D">
      <w:pPr>
        <w:spacing w:after="0" w:line="360" w:lineRule="auto"/>
      </w:pPr>
    </w:p>
    <w:p w:rsidR="00A3084D" w:rsidRPr="00FC7DBF" w:rsidRDefault="007B3C02">
      <w:pPr>
        <w:spacing w:after="0" w:line="360" w:lineRule="auto"/>
        <w:rPr>
          <w:b/>
        </w:rPr>
      </w:pPr>
      <w:r w:rsidRPr="00FC7DBF">
        <w:t xml:space="preserve">El artículo 158, dispone que, de manera excepcional, cuando de manera fundada y motivada lo determine el Sujeto Obligado, </w:t>
      </w:r>
      <w:r w:rsidRPr="00FC7DBF">
        <w:rPr>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rsidR="00A3084D" w:rsidRPr="00FC7DBF" w:rsidRDefault="00A3084D">
      <w:pPr>
        <w:spacing w:after="0" w:line="360" w:lineRule="auto"/>
        <w:rPr>
          <w:b/>
        </w:rPr>
      </w:pPr>
    </w:p>
    <w:p w:rsidR="00A3084D" w:rsidRPr="00FC7DBF" w:rsidRDefault="007B3C02">
      <w:pPr>
        <w:spacing w:after="0" w:line="360" w:lineRule="auto"/>
      </w:pPr>
      <w:r w:rsidRPr="00FC7DBF">
        <w:t xml:space="preserve">En ese orden de ideas, el artículo 164 de dicho ordenamiento jurídico, prevé que el acceso se dará en la modalidad de entrega y, en su caso, de envío elegidos por al solicitante. </w:t>
      </w:r>
      <w:r w:rsidRPr="00FC7DBF">
        <w:rPr>
          <w:b/>
        </w:rPr>
        <w:t xml:space="preserve">Cuando la información no pueda entregarse o enviarse en la modalidad elegida, el sujeto obligado </w:t>
      </w:r>
      <w:r w:rsidRPr="00FC7DBF">
        <w:rPr>
          <w:b/>
        </w:rPr>
        <w:lastRenderedPageBreak/>
        <w:t>deberá ofrecer otra u otras modalidades de entrega.</w:t>
      </w:r>
      <w:r w:rsidRPr="00FC7DBF">
        <w:t xml:space="preserve"> En cualquier caso, </w:t>
      </w:r>
      <w:r w:rsidRPr="00FC7DBF">
        <w:rPr>
          <w:b/>
        </w:rPr>
        <w:t>se deberá fundar y motivar</w:t>
      </w:r>
      <w:r w:rsidRPr="00FC7DBF">
        <w:t xml:space="preserve"> la necesidad de ofrecer otras modalidades.</w:t>
      </w:r>
    </w:p>
    <w:p w:rsidR="00A3084D" w:rsidRPr="00FC7DBF" w:rsidRDefault="00A3084D">
      <w:pPr>
        <w:spacing w:after="0" w:line="360" w:lineRule="auto"/>
      </w:pPr>
    </w:p>
    <w:p w:rsidR="00A3084D" w:rsidRPr="00FC7DBF" w:rsidRDefault="007B3C02">
      <w:pPr>
        <w:spacing w:after="0" w:line="360" w:lineRule="auto"/>
        <w:rPr>
          <w:b/>
          <w:u w:val="single"/>
        </w:rPr>
      </w:pPr>
      <w:r w:rsidRPr="00FC7DBF">
        <w:t xml:space="preserve">En tales consideraciones, la entrega de la información deberá hacerse, </w:t>
      </w:r>
      <w:r w:rsidRPr="00FC7DBF">
        <w:rPr>
          <w:b/>
        </w:rPr>
        <w:t>en la medida de lo posible, en la forma solicitada por el interesado, salvo que exista un impedimento justificado para atenderla</w:t>
      </w:r>
      <w:r w:rsidRPr="00FC7DBF">
        <w:t xml:space="preserve">, en cuyo caso, deberán exponerse las razones por las cuales no era posible utilizar el medio de reproducción solicitado; en ese sentido, la entrega de la información en una modalidad distinta a la elegida por el particular </w:t>
      </w:r>
      <w:r w:rsidRPr="00FC7DBF">
        <w:rPr>
          <w:b/>
          <w:u w:val="single"/>
        </w:rPr>
        <w:t xml:space="preserve">sólo procede, en caso de que se acredite la imposibilidad de atenderla. </w:t>
      </w:r>
    </w:p>
    <w:p w:rsidR="00A3084D" w:rsidRPr="00FC7DBF" w:rsidRDefault="00A3084D">
      <w:pPr>
        <w:spacing w:after="0" w:line="360" w:lineRule="auto"/>
      </w:pPr>
    </w:p>
    <w:p w:rsidR="00A3084D" w:rsidRPr="00FC7DBF" w:rsidRDefault="007B3C02">
      <w:pPr>
        <w:spacing w:after="0" w:line="360" w:lineRule="auto"/>
        <w:rPr>
          <w:b/>
        </w:rPr>
      </w:pPr>
      <w:bookmarkStart w:id="2" w:name="_heading=h.1fob9te" w:colFirst="0" w:colLast="0"/>
      <w:bookmarkEnd w:id="2"/>
      <w:r w:rsidRPr="00FC7DBF">
        <w:rPr>
          <w:color w:val="000000"/>
        </w:rPr>
        <w:t xml:space="preserve">Así, cuando se justifique el impedimento, </w:t>
      </w:r>
      <w:r w:rsidRPr="00FC7DBF">
        <w:rPr>
          <w:b/>
          <w:color w:val="000000"/>
        </w:rPr>
        <w:t xml:space="preserve">los Sujetos Obligados </w:t>
      </w:r>
      <w:r w:rsidRPr="00FC7DBF">
        <w:rPr>
          <w:b/>
          <w:color w:val="000000"/>
          <w:u w:val="single"/>
        </w:rPr>
        <w:t>deberán ofrecer al particular otras modalidades de entrega que permita la información</w:t>
      </w:r>
      <w:r w:rsidRPr="00FC7DBF">
        <w:rPr>
          <w:color w:val="000000"/>
        </w:rPr>
        <w:t>, como consulta directa en las oficinas de la Unidad de Transparencia; lo anterior, es robustecido con el Criterio SO/008/2017, emitido por el Pleno del Instituto Nacional de Transparencia, Acceso a la Información y Protección de Datos Personales, qu</w:t>
      </w:r>
      <w:r w:rsidRPr="00FC7DBF">
        <w:t xml:space="preserve">e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FC7DBF">
        <w:rPr>
          <w:b/>
        </w:rPr>
        <w:t>información en todas las modalidades que lo permitan, procurando reducir los costos de entrega.</w:t>
      </w:r>
    </w:p>
    <w:p w:rsidR="00A3084D" w:rsidRPr="00FC7DBF" w:rsidRDefault="00A3084D">
      <w:pPr>
        <w:spacing w:after="0" w:line="360" w:lineRule="auto"/>
      </w:pPr>
    </w:p>
    <w:p w:rsidR="00A3084D" w:rsidRPr="00FC7DBF" w:rsidRDefault="007B3C02">
      <w:pPr>
        <w:widowControl w:val="0"/>
        <w:spacing w:after="0" w:line="360" w:lineRule="auto"/>
      </w:pPr>
      <w:r w:rsidRPr="00FC7DBF">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rsidR="00A3084D" w:rsidRPr="00FC7DBF" w:rsidRDefault="00A3084D">
      <w:pPr>
        <w:widowControl w:val="0"/>
        <w:spacing w:after="0" w:line="360" w:lineRule="auto"/>
      </w:pPr>
    </w:p>
    <w:p w:rsidR="00A3084D" w:rsidRPr="00FC7DBF" w:rsidRDefault="007B3C02">
      <w:pPr>
        <w:numPr>
          <w:ilvl w:val="0"/>
          <w:numId w:val="3"/>
        </w:numPr>
        <w:spacing w:after="0" w:line="360" w:lineRule="auto"/>
      </w:pPr>
      <w:r w:rsidRPr="00FC7DBF">
        <w:lastRenderedPageBreak/>
        <w:t>Las razones por las cuales la información implicaba un análisis, estudio o procesamiento de datos;</w:t>
      </w:r>
    </w:p>
    <w:p w:rsidR="00A3084D" w:rsidRPr="00FC7DBF" w:rsidRDefault="00A3084D">
      <w:pPr>
        <w:spacing w:after="0" w:line="360" w:lineRule="auto"/>
        <w:ind w:left="720"/>
      </w:pPr>
    </w:p>
    <w:p w:rsidR="00A3084D" w:rsidRPr="00FC7DBF" w:rsidRDefault="007B3C02">
      <w:pPr>
        <w:numPr>
          <w:ilvl w:val="0"/>
          <w:numId w:val="3"/>
        </w:numPr>
        <w:spacing w:after="0" w:line="360" w:lineRule="auto"/>
      </w:pPr>
      <w:r w:rsidRPr="00FC7DBF">
        <w:t>Por qué motivo el tiempo, que se le otorga al Sujeto Obligado para dar respuesta, en la modalidad elegida a la solicitud de información, no le es suficiente, y</w:t>
      </w:r>
    </w:p>
    <w:p w:rsidR="00A3084D" w:rsidRPr="00FC7DBF" w:rsidRDefault="00A3084D">
      <w:pPr>
        <w:pBdr>
          <w:top w:val="nil"/>
          <w:left w:val="nil"/>
          <w:bottom w:val="nil"/>
          <w:right w:val="nil"/>
          <w:between w:val="nil"/>
        </w:pBdr>
        <w:spacing w:line="360" w:lineRule="auto"/>
        <w:ind w:left="720"/>
        <w:rPr>
          <w:color w:val="000000"/>
        </w:rPr>
      </w:pPr>
    </w:p>
    <w:p w:rsidR="00A3084D" w:rsidRPr="00FC7DBF" w:rsidRDefault="007B3C02">
      <w:pPr>
        <w:numPr>
          <w:ilvl w:val="0"/>
          <w:numId w:val="3"/>
        </w:numPr>
        <w:spacing w:after="0" w:line="360" w:lineRule="auto"/>
      </w:pPr>
      <w:r w:rsidRPr="00FC7DBF">
        <w:t>La cantidad de recursos humanos y materiales con los que cuenta el Sujeto Obligado son insuficientes.</w:t>
      </w:r>
    </w:p>
    <w:p w:rsidR="00A3084D" w:rsidRPr="00FC7DBF" w:rsidRDefault="00A3084D">
      <w:pPr>
        <w:spacing w:after="0" w:line="360" w:lineRule="auto"/>
        <w:ind w:right="-28"/>
        <w:rPr>
          <w:color w:val="000000"/>
        </w:rPr>
      </w:pPr>
    </w:p>
    <w:p w:rsidR="00A3084D" w:rsidRPr="00FC7DBF" w:rsidRDefault="007B3C02">
      <w:pPr>
        <w:spacing w:after="0" w:line="360" w:lineRule="auto"/>
        <w:ind w:right="-28"/>
      </w:pPr>
      <w:r w:rsidRPr="00FC7DBF">
        <w:t xml:space="preserve">Además,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rsidR="00A3084D" w:rsidRPr="00FC7DBF" w:rsidRDefault="00A3084D">
      <w:pPr>
        <w:spacing w:after="0" w:line="360" w:lineRule="auto"/>
        <w:ind w:right="-28"/>
      </w:pPr>
    </w:p>
    <w:p w:rsidR="00A3084D" w:rsidRPr="00FC7DBF" w:rsidRDefault="007B3C02">
      <w:pPr>
        <w:spacing w:after="0" w:line="360" w:lineRule="auto"/>
      </w:pPr>
      <w:r w:rsidRPr="00FC7DBF">
        <w:t xml:space="preserve">Sobre dicha circunstancia, 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w:t>
      </w:r>
      <w:r w:rsidRPr="00FC7DBF">
        <w:rPr>
          <w:b/>
        </w:rPr>
        <w:t>quinientos megabytes</w:t>
      </w:r>
      <w:r w:rsidRPr="00FC7DBF">
        <w:t xml:space="preserve"> o su equivalente a </w:t>
      </w:r>
      <w:r w:rsidRPr="00FC7DBF">
        <w:rPr>
          <w:b/>
        </w:rPr>
        <w:t>ocho mil fojas</w:t>
      </w:r>
      <w:r w:rsidRPr="00FC7DBF">
        <w:t>.</w:t>
      </w:r>
    </w:p>
    <w:p w:rsidR="00A3084D" w:rsidRPr="00FC7DBF" w:rsidRDefault="00A3084D">
      <w:pPr>
        <w:spacing w:after="0" w:line="360" w:lineRule="auto"/>
        <w:ind w:right="-28"/>
      </w:pPr>
    </w:p>
    <w:p w:rsidR="00A3084D" w:rsidRPr="00FC7DBF" w:rsidRDefault="007B3C02">
      <w:pPr>
        <w:spacing w:after="0" w:line="360" w:lineRule="auto"/>
        <w:ind w:right="-28"/>
        <w:rPr>
          <w:color w:val="000000"/>
        </w:rPr>
      </w:pPr>
      <w:r w:rsidRPr="00FC7DBF">
        <w:rPr>
          <w:color w:val="000000"/>
        </w:rPr>
        <w:lastRenderedPageBreak/>
        <w:t xml:space="preserve">Sobre esta situación, es necesario precisar que dicha área mencionó que derivado del </w:t>
      </w:r>
      <w:r w:rsidRPr="00FC7DBF">
        <w:t>proceso de entrega recepción, mesas de trabajo que se están llevando a cabo en la administración y la capacidad técnica y humana no es suficiente, sin embargo, con el fin de garantizar el derecho de acceso a la información propone la consulta directa.</w:t>
      </w:r>
    </w:p>
    <w:p w:rsidR="00A3084D" w:rsidRPr="00FC7DBF" w:rsidRDefault="00A3084D">
      <w:pPr>
        <w:spacing w:after="0" w:line="360" w:lineRule="auto"/>
        <w:ind w:right="-28"/>
      </w:pPr>
    </w:p>
    <w:p w:rsidR="00A3084D" w:rsidRPr="00FC7DBF" w:rsidRDefault="007B3C02">
      <w:pPr>
        <w:spacing w:after="0" w:line="360" w:lineRule="auto"/>
        <w:ind w:right="-28"/>
      </w:pPr>
      <w:r w:rsidRPr="00FC7DBF">
        <w:t xml:space="preserve">En otras palabras, se logra vislumbrar que el Sujeto Obligado no tiene algún impedimento del número de hojas o peso de la información que sobrepasara las capacidades técnicas del sistema SAIMEX, si no que únicamente refiere que se encuentra imposibilitado pues no tiene suficiente personal para realizar la búsqueda de la información y ponerla a disposición del Particular a través del SAIMEX. </w:t>
      </w:r>
    </w:p>
    <w:p w:rsidR="00A3084D" w:rsidRPr="00FC7DBF" w:rsidRDefault="00A3084D">
      <w:pPr>
        <w:spacing w:after="0" w:line="360" w:lineRule="auto"/>
        <w:ind w:right="-28"/>
      </w:pPr>
    </w:p>
    <w:p w:rsidR="00A3084D" w:rsidRPr="00FC7DBF" w:rsidRDefault="007B3C02">
      <w:pPr>
        <w:tabs>
          <w:tab w:val="left" w:pos="4962"/>
        </w:tabs>
        <w:spacing w:after="0" w:line="360" w:lineRule="auto"/>
        <w:rPr>
          <w:b/>
          <w:color w:val="000000"/>
        </w:rPr>
      </w:pPr>
      <w:r w:rsidRPr="00FC7DBF">
        <w:rPr>
          <w:color w:val="000000"/>
        </w:rPr>
        <w:t xml:space="preserve">En ese contexto, resulta procedente traer a colación los artículos 70, fracción I, de la Ley General  de Transparencia y Acceso a la Información Pública y 92, fracción I, de la Ley de Transparencia y Acceso a la Información Pública del Estado de México y Municipios, precisa que es </w:t>
      </w:r>
      <w:r w:rsidRPr="00FC7DBF">
        <w:rPr>
          <w:b/>
          <w:color w:val="000000"/>
        </w:rPr>
        <w:t xml:space="preserve">información pública de oficio de los Ayuntamiento, </w:t>
      </w:r>
      <w:r w:rsidRPr="00FC7DBF">
        <w:rPr>
          <w:color w:val="000000"/>
        </w:rPr>
        <w:t>el marco normativo aplicable, entre los cuales se deberá incluir los Manuales de Organización y Procedimientos.</w:t>
      </w:r>
    </w:p>
    <w:p w:rsidR="00A3084D" w:rsidRPr="00FC7DBF" w:rsidRDefault="007B3C02">
      <w:pPr>
        <w:spacing w:after="0" w:line="360" w:lineRule="auto"/>
        <w:rPr>
          <w:b/>
        </w:rPr>
      </w:pPr>
      <w:r w:rsidRPr="00FC7DBF">
        <w:t>Así, se logra vislumbrar que, es obligación de los Sujetos Obligados poner a disposición del Público de manera permanente y actualizada a través de la Plataforma de Información Pública de Oficio Mexiquense, la información requerida por el Particular.</w:t>
      </w:r>
    </w:p>
    <w:p w:rsidR="00A3084D" w:rsidRPr="00FC7DBF" w:rsidRDefault="00A3084D">
      <w:pPr>
        <w:spacing w:after="0" w:line="360" w:lineRule="auto"/>
        <w:ind w:right="-28"/>
      </w:pPr>
    </w:p>
    <w:p w:rsidR="00A3084D" w:rsidRPr="00FC7DBF" w:rsidRDefault="007B3C02">
      <w:pPr>
        <w:tabs>
          <w:tab w:val="left" w:pos="5040"/>
        </w:tabs>
        <w:spacing w:after="0" w:line="360" w:lineRule="auto"/>
      </w:pPr>
      <w:r w:rsidRPr="00FC7DBF">
        <w:t>En ese contexto, este Instituto realizó una búsqueda en la Plataforma de Información Pública de Oficio Mexiquense (IPOMEX) 4.0, del Ayuntamiento de Temamatla, artículo 92 fracción I “Normatividad Aplicable”, en la página electrónica https://infoem2.ipomex.org.mx/ipomex/#/info-fraccion/1/174/15, donde se localizaron diversos registros de Manuales de Organización y de Procedimientos emitidos, tal como se muestra a continuación:</w:t>
      </w:r>
    </w:p>
    <w:p w:rsidR="00A3084D" w:rsidRPr="00FC7DBF" w:rsidRDefault="00A3084D">
      <w:pPr>
        <w:spacing w:after="0" w:line="360" w:lineRule="auto"/>
        <w:ind w:right="-28"/>
      </w:pPr>
    </w:p>
    <w:p w:rsidR="00A3084D" w:rsidRPr="00FC7DBF" w:rsidRDefault="007B3C02">
      <w:pPr>
        <w:spacing w:after="0" w:line="360" w:lineRule="auto"/>
        <w:ind w:right="-28"/>
        <w:rPr>
          <w:b/>
        </w:rPr>
      </w:pPr>
      <w:r w:rsidRPr="00FC7DBF">
        <w:rPr>
          <w:b/>
          <w:noProof/>
        </w:rPr>
        <w:lastRenderedPageBreak/>
        <w:drawing>
          <wp:inline distT="0" distB="0" distL="0" distR="0">
            <wp:extent cx="5671185" cy="3375025"/>
            <wp:effectExtent l="0" t="0" r="0" b="0"/>
            <wp:docPr id="20979610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71185" cy="3375025"/>
                    </a:xfrm>
                    <a:prstGeom prst="rect">
                      <a:avLst/>
                    </a:prstGeom>
                    <a:ln/>
                  </pic:spPr>
                </pic:pic>
              </a:graphicData>
            </a:graphic>
          </wp:inline>
        </w:drawing>
      </w:r>
    </w:p>
    <w:p w:rsidR="00A3084D" w:rsidRPr="00FC7DBF" w:rsidRDefault="00A3084D">
      <w:pPr>
        <w:spacing w:after="0" w:line="360" w:lineRule="auto"/>
        <w:ind w:right="-28"/>
      </w:pPr>
    </w:p>
    <w:p w:rsidR="00A3084D" w:rsidRPr="00FC7DBF" w:rsidRDefault="007B3C02">
      <w:pPr>
        <w:spacing w:after="0" w:line="360" w:lineRule="auto"/>
      </w:pPr>
      <w:r w:rsidRPr="00FC7DBF">
        <w:t xml:space="preserve">Lo cual toma relevancia, pues en el presente caso, el Particular requirió la información relacionada a manuales de organización y procedimientos de las unidades </w:t>
      </w:r>
      <w:r w:rsidR="00682F08" w:rsidRPr="00FC7DBF">
        <w:t>administrativas;</w:t>
      </w:r>
      <w:r w:rsidRPr="00FC7DBF">
        <w:t xml:space="preserve"> información que no sobrepasa las capacidades técnicas del Sistema de Acceso a la Información Mexiquense (SAIMEX), y que corresponde a información pública de oficio que debe estar publicada en el sistema de Información Pública de Oficio (</w:t>
      </w:r>
      <w:proofErr w:type="spellStart"/>
      <w:r w:rsidRPr="00FC7DBF">
        <w:t>Ipomex</w:t>
      </w:r>
      <w:proofErr w:type="spellEnd"/>
      <w:r w:rsidRPr="00FC7DBF">
        <w:t xml:space="preserve">) del Ayuntamiento de Temamatla. </w:t>
      </w:r>
    </w:p>
    <w:p w:rsidR="00A3084D" w:rsidRPr="00FC7DBF" w:rsidRDefault="00A3084D">
      <w:pPr>
        <w:spacing w:after="0" w:line="360" w:lineRule="auto"/>
      </w:pPr>
    </w:p>
    <w:p w:rsidR="00A3084D" w:rsidRPr="00FC7DBF" w:rsidRDefault="007B3C02">
      <w:pPr>
        <w:spacing w:after="0" w:line="360" w:lineRule="auto"/>
      </w:pPr>
      <w:r w:rsidRPr="00FC7DBF">
        <w:t xml:space="preserve">Conforme a lo anterior, se logra vislumbrar que el Sujeto Obligado tiene las herramientas necesarias para realizar la búsqueda de la información, y entregarla vía SAIMEX, pues se encontró información diversos Manuales en la Plataforma IPOMEX; dicha circunstancia robustece el hecho de que no proceda el cambio de modalidad, pues inclusive como ya se mencionó es una obligación común de transparencia su publicación, además, en relación al peso, no declaró y no existe impedimento alguno para poder hacer entrega de la información. </w:t>
      </w:r>
    </w:p>
    <w:p w:rsidR="00A3084D" w:rsidRPr="00FC7DBF" w:rsidRDefault="00A3084D">
      <w:pPr>
        <w:spacing w:after="0" w:line="360" w:lineRule="auto"/>
      </w:pPr>
    </w:p>
    <w:p w:rsidR="00A3084D" w:rsidRPr="00FC7DBF" w:rsidRDefault="007B3C02">
      <w:pPr>
        <w:spacing w:after="0" w:line="360" w:lineRule="auto"/>
      </w:pPr>
      <w:r w:rsidRPr="00FC7DBF">
        <w:t>Así, resulta procedente ordenar la entrega de los Manuales de Organización y Procedimientos emitidos durante la administración 2022-2024</w:t>
      </w:r>
      <w:r w:rsidRPr="00FC7DBF">
        <w:rPr>
          <w:color w:val="000000"/>
        </w:rPr>
        <w:t xml:space="preserve">; lo cual toma relevancia pues cuenta con parte de la información requerida en Internet, lo cual da como resultado que el agravio sea </w:t>
      </w:r>
      <w:r w:rsidRPr="00FC7DBF">
        <w:rPr>
          <w:b/>
          <w:color w:val="000000"/>
        </w:rPr>
        <w:t xml:space="preserve">FUNDADO. </w:t>
      </w:r>
      <w:r w:rsidRPr="00FC7DBF">
        <w:rPr>
          <w:color w:val="000000"/>
        </w:rPr>
        <w:t>Por lo que, en el presente caso,</w:t>
      </w:r>
      <w:r w:rsidRPr="00FC7DBF">
        <w:t xml:space="preserve"> con el fin de dar cumplimiento a los artículos 12, 160 y 162 de la Ley de Transparencia y Acceso a la Información Pública del Estado de México y Municipios,</w:t>
      </w:r>
      <w:r w:rsidRPr="00FC7DBF">
        <w:rPr>
          <w:color w:val="000000"/>
        </w:rPr>
        <w:t xml:space="preserve"> se considera que el Sujeto Obligado deberá realizar una búsqueda exhaustiva y razonable en los archivos con el fin de proporcionar los Manuales de Organización y Procedimientos solicitados; además, se precisa que se revisaron los documentos localizados en el IPOMEX y no contienen datos clasificables, por lo que, deberá entregarlos en versión íntegra.</w:t>
      </w:r>
    </w:p>
    <w:p w:rsidR="00A3084D" w:rsidRPr="00FC7DBF" w:rsidRDefault="00A3084D">
      <w:pPr>
        <w:spacing w:after="0" w:line="360" w:lineRule="auto"/>
      </w:pPr>
    </w:p>
    <w:p w:rsidR="00A3084D" w:rsidRPr="00FC7DBF" w:rsidRDefault="008A7FC1">
      <w:pPr>
        <w:spacing w:after="0" w:line="360" w:lineRule="auto"/>
        <w:rPr>
          <w:b/>
          <w:color w:val="000000"/>
        </w:rPr>
      </w:pPr>
      <w:r w:rsidRPr="00FC7DBF">
        <w:rPr>
          <w:b/>
          <w:color w:val="000000"/>
        </w:rPr>
        <w:t>SEXTO. Decisión</w:t>
      </w:r>
    </w:p>
    <w:p w:rsidR="00A3084D" w:rsidRPr="00FC7DBF" w:rsidRDefault="00A3084D">
      <w:pPr>
        <w:spacing w:after="0" w:line="360" w:lineRule="auto"/>
        <w:rPr>
          <w:b/>
          <w:color w:val="000000"/>
        </w:rPr>
      </w:pPr>
    </w:p>
    <w:p w:rsidR="00A3084D" w:rsidRPr="00FC7DBF" w:rsidRDefault="007B3C02">
      <w:pPr>
        <w:spacing w:after="0" w:line="360" w:lineRule="auto"/>
      </w:pPr>
      <w:r w:rsidRPr="00FC7DBF">
        <w:t xml:space="preserve">Con fundamento en el artículo 186, fracción III, de la Ley de Transparencia y Acceso a la Información Pública del Estado de México y Municipios, este Instituto considera procedente </w:t>
      </w:r>
      <w:r w:rsidRPr="00FC7DBF">
        <w:rPr>
          <w:b/>
        </w:rPr>
        <w:t xml:space="preserve">REVOCAR </w:t>
      </w:r>
      <w:r w:rsidRPr="00FC7DBF">
        <w:t>la respuesta otorgada por el Ayuntamiento de Temamatla, a efecto de que proporcione vía SAIMEX, la información solicitada.</w:t>
      </w:r>
    </w:p>
    <w:p w:rsidR="00A3084D" w:rsidRPr="00FC7DBF" w:rsidRDefault="00A3084D">
      <w:pPr>
        <w:spacing w:after="0" w:line="360" w:lineRule="auto"/>
        <w:rPr>
          <w:color w:val="000000"/>
        </w:rPr>
      </w:pPr>
    </w:p>
    <w:p w:rsidR="00A3084D" w:rsidRPr="00FC7DBF" w:rsidRDefault="007B3C02">
      <w:pPr>
        <w:spacing w:after="0" w:line="360" w:lineRule="auto"/>
        <w:rPr>
          <w:b/>
          <w:color w:val="000000"/>
        </w:rPr>
      </w:pPr>
      <w:r w:rsidRPr="00FC7DBF">
        <w:rPr>
          <w:b/>
          <w:color w:val="000000"/>
        </w:rPr>
        <w:t>Términos de la Resolución p</w:t>
      </w:r>
      <w:r w:rsidR="008A7FC1" w:rsidRPr="00FC7DBF">
        <w:rPr>
          <w:b/>
          <w:color w:val="000000"/>
        </w:rPr>
        <w:t>ara conocimiento del Particular</w:t>
      </w:r>
    </w:p>
    <w:p w:rsidR="00A3084D" w:rsidRPr="00FC7DBF" w:rsidRDefault="00A3084D">
      <w:pPr>
        <w:spacing w:after="0" w:line="360" w:lineRule="auto"/>
        <w:rPr>
          <w:b/>
          <w:color w:val="000000"/>
        </w:rPr>
      </w:pPr>
    </w:p>
    <w:p w:rsidR="00A3084D" w:rsidRPr="00FC7DBF" w:rsidRDefault="007B3C02">
      <w:pPr>
        <w:spacing w:after="0" w:line="360" w:lineRule="auto"/>
        <w:rPr>
          <w:color w:val="000000"/>
        </w:rPr>
      </w:pPr>
      <w:r w:rsidRPr="00FC7DBF">
        <w:t xml:space="preserve">Se le hace del conocimiento a la persona Recurrente que, en el presente asunto, se le da la razón, pues la búsqueda de la información no es ningún impedimento para el cambio de modalidad a consulta directa, además, de que es información pública de oficio. Por ello, usted debe recibir a través del Sistema de Acceso a la Información Mexiquense (SAIMEX). </w:t>
      </w:r>
      <w:r w:rsidRPr="00FC7DBF">
        <w:rPr>
          <w:color w:val="000000"/>
        </w:rPr>
        <w:t>La labor del Instituto, es apoyar a la población a acceder a la información pública y garantizar la protección de sus datos personales.</w:t>
      </w:r>
    </w:p>
    <w:p w:rsidR="00A3084D" w:rsidRPr="00FC7DBF" w:rsidRDefault="00A3084D">
      <w:pPr>
        <w:widowControl w:val="0"/>
        <w:spacing w:after="0" w:line="360" w:lineRule="auto"/>
        <w:rPr>
          <w:color w:val="000000"/>
        </w:rPr>
      </w:pPr>
    </w:p>
    <w:p w:rsidR="00A3084D" w:rsidRPr="00FC7DBF" w:rsidRDefault="007B3C02">
      <w:pPr>
        <w:spacing w:after="0" w:line="360" w:lineRule="auto"/>
        <w:rPr>
          <w:color w:val="000000"/>
        </w:rPr>
      </w:pPr>
      <w:r w:rsidRPr="00FC7DBF">
        <w:rPr>
          <w:color w:val="000000"/>
        </w:rPr>
        <w:t>Por lo expuesto y fundado, este Pleno:</w:t>
      </w:r>
    </w:p>
    <w:p w:rsidR="00A3084D" w:rsidRPr="00FC7DBF" w:rsidRDefault="00A3084D">
      <w:pPr>
        <w:spacing w:after="0" w:line="360" w:lineRule="auto"/>
        <w:rPr>
          <w:color w:val="000000"/>
        </w:rPr>
      </w:pPr>
    </w:p>
    <w:p w:rsidR="00A3084D" w:rsidRPr="00FC7DBF" w:rsidRDefault="008A7FC1">
      <w:pPr>
        <w:spacing w:after="0" w:line="360" w:lineRule="auto"/>
        <w:ind w:right="-91"/>
        <w:jc w:val="center"/>
        <w:rPr>
          <w:b/>
          <w:color w:val="000000"/>
        </w:rPr>
      </w:pPr>
      <w:r w:rsidRPr="00FC7DBF">
        <w:rPr>
          <w:b/>
          <w:color w:val="000000"/>
        </w:rPr>
        <w:t>R E S U E L V E</w:t>
      </w:r>
    </w:p>
    <w:p w:rsidR="00A3084D" w:rsidRPr="00FC7DBF" w:rsidRDefault="00A3084D">
      <w:pPr>
        <w:spacing w:after="0" w:line="360" w:lineRule="auto"/>
        <w:ind w:right="-91"/>
        <w:jc w:val="center"/>
        <w:rPr>
          <w:b/>
          <w:color w:val="000000"/>
        </w:rPr>
      </w:pPr>
    </w:p>
    <w:p w:rsidR="00A3084D" w:rsidRPr="00FC7DBF" w:rsidRDefault="007B3C02">
      <w:pPr>
        <w:spacing w:after="0" w:line="360" w:lineRule="auto"/>
      </w:pPr>
      <w:r w:rsidRPr="00FC7DBF">
        <w:rPr>
          <w:b/>
          <w:color w:val="000000"/>
        </w:rPr>
        <w:t xml:space="preserve">PRIMERO. </w:t>
      </w:r>
      <w:r w:rsidRPr="00FC7DBF">
        <w:t xml:space="preserve">Se </w:t>
      </w:r>
      <w:r w:rsidRPr="00FC7DBF">
        <w:rPr>
          <w:b/>
        </w:rPr>
        <w:t>REVOCA</w:t>
      </w:r>
      <w:r w:rsidRPr="00FC7DBF">
        <w:t xml:space="preserve"> la respuesta entregada por el Ayuntamiento de Temamatla, a la solicitud de información 00662/TEMAMATL/IP/2024, por resultar </w:t>
      </w:r>
      <w:r w:rsidRPr="00FC7DBF">
        <w:rPr>
          <w:b/>
        </w:rPr>
        <w:t>FUNDADAS</w:t>
      </w:r>
      <w:r w:rsidRPr="00FC7DBF">
        <w:t xml:space="preserve"> las razones o motivos de inconformidad hechos valer por el Particular, en términos de los considerandos QUINTO y SEXTO de la presente Resolución.</w:t>
      </w:r>
    </w:p>
    <w:p w:rsidR="00A3084D" w:rsidRPr="00FC7DBF" w:rsidRDefault="00A3084D">
      <w:pPr>
        <w:spacing w:after="0" w:line="360" w:lineRule="auto"/>
        <w:rPr>
          <w:b/>
          <w:color w:val="000000"/>
        </w:rPr>
      </w:pPr>
    </w:p>
    <w:p w:rsidR="00A3084D" w:rsidRPr="00FC7DBF" w:rsidRDefault="007B3C02">
      <w:pPr>
        <w:spacing w:after="0" w:line="360" w:lineRule="auto"/>
      </w:pPr>
      <w:r w:rsidRPr="00FC7DBF">
        <w:rPr>
          <w:b/>
          <w:color w:val="000000"/>
        </w:rPr>
        <w:t xml:space="preserve">SEGUNDO. </w:t>
      </w:r>
      <w:r w:rsidRPr="00FC7DBF">
        <w:rPr>
          <w:color w:val="000000"/>
        </w:rPr>
        <w:t xml:space="preserve">Se </w:t>
      </w:r>
      <w:r w:rsidRPr="00FC7DBF">
        <w:rPr>
          <w:b/>
          <w:color w:val="000000"/>
        </w:rPr>
        <w:t xml:space="preserve">ORDENA </w:t>
      </w:r>
      <w:r w:rsidRPr="00FC7DBF">
        <w:rPr>
          <w:color w:val="000000"/>
        </w:rPr>
        <w:t xml:space="preserve">al Ente Recurrido, a efecto de que previa búsqueda exhaustiva y razonable en las unidades administrativas competentes, entregue, a través del Sistema de Acceso a la Información Mexiquense (SAIMEX), </w:t>
      </w:r>
      <w:r w:rsidRPr="00FC7DBF">
        <w:t>lo siguiente:</w:t>
      </w:r>
    </w:p>
    <w:p w:rsidR="00A3084D" w:rsidRPr="00FC7DBF" w:rsidRDefault="00A3084D">
      <w:pPr>
        <w:spacing w:after="0" w:line="360" w:lineRule="auto"/>
      </w:pPr>
    </w:p>
    <w:p w:rsidR="00A3084D" w:rsidRPr="00FC7DBF" w:rsidRDefault="007B3C02">
      <w:pPr>
        <w:numPr>
          <w:ilvl w:val="0"/>
          <w:numId w:val="4"/>
        </w:numPr>
        <w:pBdr>
          <w:top w:val="nil"/>
          <w:left w:val="nil"/>
          <w:bottom w:val="nil"/>
          <w:right w:val="nil"/>
          <w:between w:val="nil"/>
        </w:pBdr>
        <w:spacing w:after="0" w:line="360" w:lineRule="auto"/>
        <w:rPr>
          <w:color w:val="000000"/>
        </w:rPr>
      </w:pPr>
      <w:r w:rsidRPr="00FC7DBF">
        <w:rPr>
          <w:color w:val="000000"/>
        </w:rPr>
        <w:t>Los Manuales de Organización y Procedimientos de las unidades administrativas, aprobados del primero de enero de dos mil veintidós al siete de octubre de dos mil veinticuatro.</w:t>
      </w:r>
    </w:p>
    <w:p w:rsidR="00A3084D" w:rsidRPr="00FC7DBF" w:rsidRDefault="00A3084D">
      <w:pPr>
        <w:pBdr>
          <w:top w:val="nil"/>
          <w:left w:val="nil"/>
          <w:bottom w:val="nil"/>
          <w:right w:val="nil"/>
          <w:between w:val="nil"/>
        </w:pBdr>
        <w:spacing w:after="0" w:line="360" w:lineRule="auto"/>
        <w:ind w:left="720"/>
        <w:rPr>
          <w:color w:val="000000"/>
        </w:rPr>
      </w:pPr>
    </w:p>
    <w:p w:rsidR="00A3084D" w:rsidRPr="00FC7DBF" w:rsidRDefault="007B3C02">
      <w:pPr>
        <w:spacing w:after="0" w:line="360" w:lineRule="auto"/>
        <w:rPr>
          <w:color w:val="000000"/>
        </w:rPr>
      </w:pPr>
      <w:r w:rsidRPr="00FC7DBF">
        <w:rPr>
          <w:b/>
          <w:color w:val="000000"/>
        </w:rPr>
        <w:t xml:space="preserve">TERCERO. </w:t>
      </w:r>
      <w:r w:rsidRPr="00FC7DBF">
        <w:rPr>
          <w:b/>
        </w:rPr>
        <w:t xml:space="preserve">NOTIFÍQUESE  VÍA SAIMEX </w:t>
      </w:r>
      <w:r w:rsidRPr="00FC7DBF">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A3084D" w:rsidRPr="00FC7DBF" w:rsidRDefault="00A3084D">
      <w:pPr>
        <w:spacing w:after="0" w:line="360" w:lineRule="auto"/>
        <w:rPr>
          <w:color w:val="000000"/>
        </w:rPr>
      </w:pPr>
    </w:p>
    <w:p w:rsidR="00A3084D" w:rsidRPr="00FC7DBF" w:rsidRDefault="007B3C02">
      <w:pPr>
        <w:spacing w:after="0" w:line="360" w:lineRule="auto"/>
        <w:rPr>
          <w:color w:val="000000"/>
        </w:rPr>
      </w:pPr>
      <w:r w:rsidRPr="00FC7DBF">
        <w:rPr>
          <w:color w:val="000000"/>
        </w:rPr>
        <w:t>De conformidad con el artículo 198 de la Ley de la materia, de considerarlo procedente, el Sujeto Obligado de manera fundada y motivada, podrá solicitar una ampliación de plazo para el cumplimiento de la presente Resolución.</w:t>
      </w:r>
    </w:p>
    <w:p w:rsidR="00A3084D" w:rsidRPr="00FC7DBF" w:rsidRDefault="00A3084D">
      <w:pPr>
        <w:spacing w:after="0" w:line="360" w:lineRule="auto"/>
      </w:pPr>
    </w:p>
    <w:p w:rsidR="00A3084D" w:rsidRPr="00FC7DBF" w:rsidRDefault="007B3C02">
      <w:pPr>
        <w:spacing w:after="0" w:line="360" w:lineRule="auto"/>
      </w:pPr>
      <w:r w:rsidRPr="00FC7DBF">
        <w:rPr>
          <w:b/>
        </w:rPr>
        <w:t>CUARTO. NOTIFÍQUESE</w:t>
      </w:r>
      <w:r w:rsidRPr="00FC7DBF">
        <w:t xml:space="preserve"> </w:t>
      </w:r>
      <w:r w:rsidRPr="00FC7DBF">
        <w:rPr>
          <w:b/>
        </w:rPr>
        <w:t>VÍA SAIMEX</w:t>
      </w:r>
      <w:r w:rsidRPr="00FC7DBF">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A3084D" w:rsidRPr="00FC7DBF" w:rsidRDefault="00A3084D">
      <w:pPr>
        <w:spacing w:after="0" w:line="360" w:lineRule="auto"/>
      </w:pPr>
    </w:p>
    <w:p w:rsidR="00A3084D" w:rsidRDefault="007B3C02">
      <w:pPr>
        <w:spacing w:after="0" w:line="360" w:lineRule="auto"/>
      </w:pPr>
      <w:r w:rsidRPr="00FC7DBF">
        <w:t xml:space="preserve">ASÍ LO RESUELVE, POR </w:t>
      </w:r>
      <w:r w:rsidRPr="00F0531E">
        <w:rPr>
          <w:b/>
        </w:rPr>
        <w:t>UNANIMIDAD</w:t>
      </w:r>
      <w:r w:rsidRPr="00FC7DBF">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DE NOVIEMBRE DE DOS MIL VEINTICUATRO, ANTE EL SECRETARIO TÉCNICO DEL PLENO, ALEXIS TAPIA RAMÍREZ.</w:t>
      </w:r>
    </w:p>
    <w:p w:rsidR="00A3084D" w:rsidRDefault="00A3084D">
      <w:pPr>
        <w:spacing w:after="0" w:line="360" w:lineRule="auto"/>
      </w:pPr>
    </w:p>
    <w:p w:rsidR="00A3084D" w:rsidRDefault="00A3084D">
      <w:pPr>
        <w:spacing w:after="0" w:line="360" w:lineRule="auto"/>
      </w:pPr>
    </w:p>
    <w:p w:rsidR="00A3084D" w:rsidRDefault="00A3084D">
      <w:pPr>
        <w:spacing w:after="0" w:line="360" w:lineRule="auto"/>
      </w:pPr>
    </w:p>
    <w:p w:rsidR="008A7FC1" w:rsidRDefault="008A7FC1">
      <w:pPr>
        <w:spacing w:after="0" w:line="360" w:lineRule="auto"/>
      </w:pPr>
    </w:p>
    <w:p w:rsidR="008A7FC1" w:rsidRDefault="008A7FC1">
      <w:pPr>
        <w:spacing w:after="0" w:line="360" w:lineRule="auto"/>
      </w:pPr>
    </w:p>
    <w:p w:rsidR="008A7FC1" w:rsidRDefault="008A7FC1">
      <w:pPr>
        <w:spacing w:after="0" w:line="360" w:lineRule="auto"/>
      </w:pPr>
    </w:p>
    <w:p w:rsidR="008A7FC1" w:rsidRDefault="008A7FC1">
      <w:pPr>
        <w:spacing w:after="0" w:line="360" w:lineRule="auto"/>
      </w:pPr>
    </w:p>
    <w:p w:rsidR="00A3084D" w:rsidRDefault="00A3084D">
      <w:pPr>
        <w:spacing w:after="0" w:line="360" w:lineRule="auto"/>
      </w:pPr>
      <w:bookmarkStart w:id="3" w:name="_GoBack"/>
      <w:bookmarkEnd w:id="3"/>
    </w:p>
    <w:sectPr w:rsidR="00A3084D">
      <w:headerReference w:type="even" r:id="rId12"/>
      <w:headerReference w:type="default" r:id="rId13"/>
      <w:footerReference w:type="even" r:id="rId14"/>
      <w:footerReference w:type="default" r:id="rId15"/>
      <w:headerReference w:type="first" r:id="rId16"/>
      <w:footerReference w:type="first" r:id="rId17"/>
      <w:pgSz w:w="12240" w:h="15840"/>
      <w:pgMar w:top="1418" w:right="1608" w:bottom="1560" w:left="1701" w:header="851"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D09" w:rsidRDefault="00452D09">
      <w:pPr>
        <w:spacing w:after="0" w:line="240" w:lineRule="auto"/>
      </w:pPr>
      <w:r>
        <w:separator/>
      </w:r>
    </w:p>
  </w:endnote>
  <w:endnote w:type="continuationSeparator" w:id="0">
    <w:p w:rsidR="00452D09" w:rsidRDefault="00452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4D" w:rsidRDefault="007B3C0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E397F">
      <w:rPr>
        <w:b/>
        <w:noProof/>
        <w:color w:val="000000"/>
        <w:sz w:val="24"/>
        <w:szCs w:val="24"/>
      </w:rPr>
      <w:t>23</w:t>
    </w:r>
    <w:r>
      <w:rPr>
        <w:b/>
        <w:color w:val="000000"/>
        <w:sz w:val="24"/>
        <w:szCs w:val="24"/>
      </w:rPr>
      <w:fldChar w:fldCharType="end"/>
    </w:r>
  </w:p>
  <w:p w:rsidR="00A3084D" w:rsidRDefault="00A3084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4D" w:rsidRDefault="007B3C0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82F08">
      <w:rPr>
        <w:b/>
        <w:noProof/>
        <w:color w:val="000000"/>
        <w:sz w:val="24"/>
        <w:szCs w:val="24"/>
      </w:rPr>
      <w:t>20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82F08">
      <w:rPr>
        <w:b/>
        <w:noProof/>
        <w:color w:val="000000"/>
        <w:sz w:val="24"/>
        <w:szCs w:val="24"/>
      </w:rPr>
      <w:t>22</w:t>
    </w:r>
    <w:r>
      <w:rPr>
        <w:b/>
        <w:color w:val="000000"/>
        <w:sz w:val="24"/>
        <w:szCs w:val="24"/>
      </w:rPr>
      <w:fldChar w:fldCharType="end"/>
    </w:r>
  </w:p>
  <w:p w:rsidR="00A3084D" w:rsidRDefault="00A3084D">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4D" w:rsidRDefault="007B3C0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82F0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82F08">
      <w:rPr>
        <w:b/>
        <w:noProof/>
        <w:color w:val="000000"/>
        <w:sz w:val="24"/>
        <w:szCs w:val="24"/>
      </w:rPr>
      <w:t>22</w:t>
    </w:r>
    <w:r>
      <w:rPr>
        <w:b/>
        <w:color w:val="000000"/>
        <w:sz w:val="24"/>
        <w:szCs w:val="24"/>
      </w:rPr>
      <w:fldChar w:fldCharType="end"/>
    </w:r>
  </w:p>
  <w:p w:rsidR="00A3084D" w:rsidRDefault="00A3084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D09" w:rsidRDefault="00452D09">
      <w:pPr>
        <w:spacing w:after="0" w:line="240" w:lineRule="auto"/>
      </w:pPr>
      <w:r>
        <w:separator/>
      </w:r>
    </w:p>
  </w:footnote>
  <w:footnote w:type="continuationSeparator" w:id="0">
    <w:p w:rsidR="00452D09" w:rsidRDefault="00452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4D" w:rsidRDefault="00A3084D">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A3084D">
      <w:trPr>
        <w:trHeight w:val="132"/>
      </w:trPr>
      <w:tc>
        <w:tcPr>
          <w:tcW w:w="0" w:type="auto"/>
        </w:tcPr>
        <w:p w:rsidR="00A3084D" w:rsidRDefault="007B3C02">
          <w:pPr>
            <w:tabs>
              <w:tab w:val="right" w:pos="8838"/>
            </w:tabs>
            <w:ind w:right="-105"/>
            <w:rPr>
              <w:b/>
            </w:rPr>
          </w:pPr>
          <w:r>
            <w:rPr>
              <w:b/>
            </w:rPr>
            <w:t>Recurso de Revisión:</w:t>
          </w:r>
        </w:p>
      </w:tc>
      <w:tc>
        <w:tcPr>
          <w:tcW w:w="0" w:type="auto"/>
        </w:tcPr>
        <w:p w:rsidR="00A3084D" w:rsidRDefault="007B3C02">
          <w:pPr>
            <w:tabs>
              <w:tab w:val="right" w:pos="8838"/>
            </w:tabs>
            <w:ind w:left="-28" w:right="-32"/>
          </w:pPr>
          <w:r>
            <w:t>03846/INFOEM/IP/RR/2020</w:t>
          </w:r>
        </w:p>
      </w:tc>
    </w:tr>
    <w:tr w:rsidR="00A3084D">
      <w:trPr>
        <w:trHeight w:val="261"/>
      </w:trPr>
      <w:tc>
        <w:tcPr>
          <w:tcW w:w="0" w:type="auto"/>
        </w:tcPr>
        <w:p w:rsidR="00A3084D" w:rsidRDefault="007B3C02">
          <w:pPr>
            <w:tabs>
              <w:tab w:val="right" w:pos="8838"/>
            </w:tabs>
            <w:ind w:right="-105"/>
            <w:rPr>
              <w:b/>
            </w:rPr>
          </w:pPr>
          <w:r>
            <w:rPr>
              <w:b/>
            </w:rPr>
            <w:t>Sujeto Obligado:</w:t>
          </w:r>
        </w:p>
      </w:tc>
      <w:tc>
        <w:tcPr>
          <w:tcW w:w="0" w:type="auto"/>
        </w:tcPr>
        <w:p w:rsidR="00A3084D" w:rsidRDefault="007B3C02">
          <w:pPr>
            <w:tabs>
              <w:tab w:val="right" w:pos="8838"/>
            </w:tabs>
            <w:ind w:right="-32"/>
          </w:pPr>
          <w:r>
            <w:t xml:space="preserve">Ayuntamiento de </w:t>
          </w:r>
          <w:proofErr w:type="spellStart"/>
          <w:r>
            <w:t>Temascalcingo</w:t>
          </w:r>
          <w:proofErr w:type="spellEnd"/>
        </w:p>
      </w:tc>
    </w:tr>
    <w:tr w:rsidR="00A3084D">
      <w:trPr>
        <w:trHeight w:val="261"/>
      </w:trPr>
      <w:tc>
        <w:tcPr>
          <w:tcW w:w="0" w:type="auto"/>
        </w:tcPr>
        <w:p w:rsidR="00A3084D" w:rsidRDefault="007B3C02">
          <w:pPr>
            <w:tabs>
              <w:tab w:val="right" w:pos="8838"/>
            </w:tabs>
            <w:ind w:right="-105"/>
            <w:rPr>
              <w:b/>
            </w:rPr>
          </w:pPr>
          <w:r>
            <w:rPr>
              <w:b/>
            </w:rPr>
            <w:t>Comisionado Ponente:</w:t>
          </w:r>
        </w:p>
      </w:tc>
      <w:tc>
        <w:tcPr>
          <w:tcW w:w="0" w:type="auto"/>
        </w:tcPr>
        <w:p w:rsidR="00A3084D" w:rsidRDefault="007B3C02">
          <w:pPr>
            <w:tabs>
              <w:tab w:val="right" w:pos="8838"/>
            </w:tabs>
            <w:ind w:right="-32"/>
            <w:rPr>
              <w:b/>
            </w:rPr>
          </w:pPr>
          <w:r>
            <w:t>Luis Gustavo Parra Noriega</w:t>
          </w:r>
        </w:p>
      </w:tc>
    </w:tr>
  </w:tbl>
  <w:p w:rsidR="00A3084D" w:rsidRDefault="00452D0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4D" w:rsidRDefault="00A3084D">
    <w:pPr>
      <w:widowControl w:val="0"/>
      <w:pBdr>
        <w:top w:val="nil"/>
        <w:left w:val="nil"/>
        <w:bottom w:val="nil"/>
        <w:right w:val="nil"/>
        <w:between w:val="nil"/>
      </w:pBdr>
      <w:spacing w:after="0" w:line="276" w:lineRule="auto"/>
      <w:jc w:val="left"/>
      <w:rPr>
        <w:color w:val="000000"/>
      </w:rPr>
    </w:pPr>
  </w:p>
  <w:tbl>
    <w:tblPr>
      <w:tblStyle w:val="a0"/>
      <w:tblW w:w="6521"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1"/>
      <w:gridCol w:w="3970"/>
    </w:tblGrid>
    <w:tr w:rsidR="00A3084D">
      <w:trPr>
        <w:trHeight w:val="138"/>
      </w:trPr>
      <w:tc>
        <w:tcPr>
          <w:tcW w:w="2551" w:type="dxa"/>
          <w:vAlign w:val="center"/>
        </w:tcPr>
        <w:p w:rsidR="00A3084D" w:rsidRDefault="007B3C02">
          <w:pPr>
            <w:tabs>
              <w:tab w:val="right" w:pos="8838"/>
            </w:tabs>
            <w:ind w:right="-105"/>
            <w:jc w:val="left"/>
            <w:rPr>
              <w:b/>
            </w:rPr>
          </w:pPr>
          <w:r>
            <w:rPr>
              <w:b/>
            </w:rPr>
            <w:t>Recurso de Revisión:</w:t>
          </w:r>
        </w:p>
      </w:tc>
      <w:tc>
        <w:tcPr>
          <w:tcW w:w="3970" w:type="dxa"/>
        </w:tcPr>
        <w:p w:rsidR="00A3084D" w:rsidRDefault="007B3C02">
          <w:pPr>
            <w:tabs>
              <w:tab w:val="right" w:pos="8838"/>
            </w:tabs>
            <w:ind w:right="-32"/>
          </w:pPr>
          <w:r>
            <w:t>06881/INFOEM/IP/RR/2024</w:t>
          </w:r>
        </w:p>
      </w:tc>
    </w:tr>
    <w:tr w:rsidR="00A3084D">
      <w:trPr>
        <w:trHeight w:val="273"/>
      </w:trPr>
      <w:tc>
        <w:tcPr>
          <w:tcW w:w="2551" w:type="dxa"/>
        </w:tcPr>
        <w:p w:rsidR="00A3084D" w:rsidRDefault="007B3C02">
          <w:pPr>
            <w:tabs>
              <w:tab w:val="right" w:pos="8838"/>
            </w:tabs>
            <w:ind w:right="-105"/>
            <w:rPr>
              <w:b/>
            </w:rPr>
          </w:pPr>
          <w:r>
            <w:rPr>
              <w:b/>
            </w:rPr>
            <w:t>Sujeto Obligado:</w:t>
          </w:r>
        </w:p>
      </w:tc>
      <w:tc>
        <w:tcPr>
          <w:tcW w:w="3970" w:type="dxa"/>
        </w:tcPr>
        <w:p w:rsidR="00A3084D" w:rsidRDefault="007B3C02">
          <w:pPr>
            <w:tabs>
              <w:tab w:val="right" w:pos="8838"/>
            </w:tabs>
            <w:ind w:left="-28" w:right="-32"/>
          </w:pPr>
          <w:r>
            <w:t>Ayuntamiento de Temamatla</w:t>
          </w:r>
        </w:p>
      </w:tc>
    </w:tr>
    <w:tr w:rsidR="00A3084D">
      <w:trPr>
        <w:trHeight w:val="273"/>
      </w:trPr>
      <w:tc>
        <w:tcPr>
          <w:tcW w:w="2551" w:type="dxa"/>
        </w:tcPr>
        <w:p w:rsidR="00A3084D" w:rsidRDefault="007B3C02">
          <w:pPr>
            <w:tabs>
              <w:tab w:val="right" w:pos="8838"/>
            </w:tabs>
            <w:ind w:right="-105"/>
            <w:rPr>
              <w:b/>
            </w:rPr>
          </w:pPr>
          <w:r>
            <w:rPr>
              <w:b/>
            </w:rPr>
            <w:t>Comisionado Ponente:</w:t>
          </w:r>
        </w:p>
      </w:tc>
      <w:tc>
        <w:tcPr>
          <w:tcW w:w="3970" w:type="dxa"/>
        </w:tcPr>
        <w:p w:rsidR="00A3084D" w:rsidRDefault="007B3C02">
          <w:pPr>
            <w:tabs>
              <w:tab w:val="right" w:pos="8838"/>
            </w:tabs>
            <w:ind w:left="-28" w:right="-32"/>
            <w:rPr>
              <w:b/>
            </w:rPr>
          </w:pPr>
          <w:r>
            <w:t>Luis Gustavo Parra Noriega</w:t>
          </w:r>
        </w:p>
      </w:tc>
    </w:tr>
  </w:tbl>
  <w:p w:rsidR="00A3084D" w:rsidRDefault="00452D0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108.6pt;margin-top:-123.7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84D" w:rsidRDefault="00A3084D">
    <w:pPr>
      <w:widowControl w:val="0"/>
      <w:pBdr>
        <w:top w:val="nil"/>
        <w:left w:val="nil"/>
        <w:bottom w:val="nil"/>
        <w:right w:val="nil"/>
        <w:between w:val="nil"/>
      </w:pBdr>
      <w:spacing w:after="0" w:line="276" w:lineRule="auto"/>
      <w:jc w:val="left"/>
      <w:rPr>
        <w:color w:val="000000"/>
      </w:rPr>
    </w:pPr>
  </w:p>
  <w:tbl>
    <w:tblPr>
      <w:tblStyle w:val="a1"/>
      <w:tblW w:w="5812"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1"/>
      <w:gridCol w:w="3261"/>
    </w:tblGrid>
    <w:tr w:rsidR="00A3084D">
      <w:trPr>
        <w:trHeight w:val="132"/>
      </w:trPr>
      <w:tc>
        <w:tcPr>
          <w:tcW w:w="2551" w:type="dxa"/>
        </w:tcPr>
        <w:p w:rsidR="00A3084D" w:rsidRDefault="007B3C02">
          <w:pPr>
            <w:tabs>
              <w:tab w:val="right" w:pos="8838"/>
            </w:tabs>
            <w:ind w:right="-105"/>
            <w:rPr>
              <w:b/>
            </w:rPr>
          </w:pPr>
          <w:r>
            <w:rPr>
              <w:b/>
            </w:rPr>
            <w:t>Recurso de Revisión:</w:t>
          </w:r>
        </w:p>
      </w:tc>
      <w:tc>
        <w:tcPr>
          <w:tcW w:w="3261" w:type="dxa"/>
        </w:tcPr>
        <w:p w:rsidR="00A3084D" w:rsidRDefault="007B3C02">
          <w:pPr>
            <w:tabs>
              <w:tab w:val="right" w:pos="8838"/>
            </w:tabs>
            <w:ind w:left="-111" w:right="-32"/>
          </w:pPr>
          <w:r>
            <w:t>06881/INFOEM/IP/RR/2024</w:t>
          </w:r>
        </w:p>
      </w:tc>
    </w:tr>
    <w:tr w:rsidR="00A3084D">
      <w:trPr>
        <w:trHeight w:val="132"/>
      </w:trPr>
      <w:tc>
        <w:tcPr>
          <w:tcW w:w="2551" w:type="dxa"/>
        </w:tcPr>
        <w:p w:rsidR="00A3084D" w:rsidRDefault="007B3C02">
          <w:pPr>
            <w:tabs>
              <w:tab w:val="left" w:pos="1875"/>
            </w:tabs>
            <w:ind w:right="-105"/>
            <w:rPr>
              <w:b/>
            </w:rPr>
          </w:pPr>
          <w:r>
            <w:rPr>
              <w:b/>
            </w:rPr>
            <w:t>Recurrente:</w:t>
          </w:r>
          <w:r>
            <w:rPr>
              <w:b/>
            </w:rPr>
            <w:tab/>
          </w:r>
        </w:p>
      </w:tc>
      <w:tc>
        <w:tcPr>
          <w:tcW w:w="3261" w:type="dxa"/>
        </w:tcPr>
        <w:p w:rsidR="00A3084D" w:rsidRDefault="00A3084D">
          <w:pPr>
            <w:tabs>
              <w:tab w:val="right" w:pos="8838"/>
            </w:tabs>
            <w:ind w:left="-111" w:right="-109"/>
          </w:pPr>
        </w:p>
      </w:tc>
    </w:tr>
    <w:tr w:rsidR="00A3084D">
      <w:trPr>
        <w:trHeight w:val="261"/>
      </w:trPr>
      <w:tc>
        <w:tcPr>
          <w:tcW w:w="2551" w:type="dxa"/>
        </w:tcPr>
        <w:p w:rsidR="00A3084D" w:rsidRDefault="007B3C02">
          <w:pPr>
            <w:tabs>
              <w:tab w:val="right" w:pos="8838"/>
            </w:tabs>
            <w:ind w:right="-105"/>
            <w:rPr>
              <w:b/>
            </w:rPr>
          </w:pPr>
          <w:r>
            <w:rPr>
              <w:b/>
            </w:rPr>
            <w:t>Sujeto Obligado:</w:t>
          </w:r>
        </w:p>
      </w:tc>
      <w:tc>
        <w:tcPr>
          <w:tcW w:w="3261" w:type="dxa"/>
        </w:tcPr>
        <w:p w:rsidR="00A3084D" w:rsidRDefault="007B3C02">
          <w:pPr>
            <w:tabs>
              <w:tab w:val="right" w:pos="8838"/>
            </w:tabs>
            <w:ind w:left="-111" w:right="-32"/>
          </w:pPr>
          <w:r>
            <w:t>Ayuntamiento de Temamatla</w:t>
          </w:r>
        </w:p>
      </w:tc>
    </w:tr>
    <w:tr w:rsidR="00A3084D">
      <w:trPr>
        <w:trHeight w:val="261"/>
      </w:trPr>
      <w:tc>
        <w:tcPr>
          <w:tcW w:w="2551" w:type="dxa"/>
        </w:tcPr>
        <w:p w:rsidR="00A3084D" w:rsidRDefault="007B3C02">
          <w:pPr>
            <w:tabs>
              <w:tab w:val="right" w:pos="8838"/>
            </w:tabs>
            <w:ind w:right="-105"/>
            <w:rPr>
              <w:b/>
            </w:rPr>
          </w:pPr>
          <w:r>
            <w:rPr>
              <w:b/>
            </w:rPr>
            <w:t>Comisionado Ponente:</w:t>
          </w:r>
        </w:p>
      </w:tc>
      <w:tc>
        <w:tcPr>
          <w:tcW w:w="3261" w:type="dxa"/>
        </w:tcPr>
        <w:p w:rsidR="00A3084D" w:rsidRDefault="007B3C02">
          <w:pPr>
            <w:tabs>
              <w:tab w:val="right" w:pos="8838"/>
            </w:tabs>
            <w:ind w:left="-111" w:right="-32"/>
            <w:rPr>
              <w:b/>
            </w:rPr>
          </w:pPr>
          <w:r>
            <w:t>Luis Gustavo Parra Noriega</w:t>
          </w:r>
        </w:p>
      </w:tc>
    </w:tr>
  </w:tbl>
  <w:p w:rsidR="00A3084D" w:rsidRDefault="00452D09">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9B6"/>
    <w:multiLevelType w:val="multilevel"/>
    <w:tmpl w:val="DEA03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B66661"/>
    <w:multiLevelType w:val="multilevel"/>
    <w:tmpl w:val="A37C4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EA7267"/>
    <w:multiLevelType w:val="multilevel"/>
    <w:tmpl w:val="4A889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9076A1"/>
    <w:multiLevelType w:val="multilevel"/>
    <w:tmpl w:val="B12ED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4D"/>
    <w:rsid w:val="00283CCB"/>
    <w:rsid w:val="003E397F"/>
    <w:rsid w:val="00452D09"/>
    <w:rsid w:val="00682F08"/>
    <w:rsid w:val="007B3C02"/>
    <w:rsid w:val="008A7FC1"/>
    <w:rsid w:val="00A3084D"/>
    <w:rsid w:val="00F0531E"/>
    <w:rsid w:val="00FC11A1"/>
    <w:rsid w:val="00FC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D8DFF25-C1B3-48BB-B5CF-4B6FAE9B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43F"/>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464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643F"/>
    <w:rPr>
      <w:rFonts w:ascii="Palatino Linotype" w:hAnsi="Palatino Linotype"/>
      <w:color w:val="000000" w:themeColor="text1"/>
      <w:kern w:val="0"/>
    </w:rPr>
  </w:style>
  <w:style w:type="paragraph" w:styleId="Piedepgina">
    <w:name w:val="footer"/>
    <w:basedOn w:val="Normal"/>
    <w:link w:val="PiedepginaCar"/>
    <w:uiPriority w:val="99"/>
    <w:unhideWhenUsed/>
    <w:rsid w:val="00E464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643F"/>
    <w:rPr>
      <w:rFonts w:ascii="Palatino Linotype" w:hAnsi="Palatino Linotype"/>
      <w:color w:val="000000" w:themeColor="text1"/>
      <w:kern w:val="0"/>
    </w:rPr>
  </w:style>
  <w:style w:type="table" w:styleId="Tablaconcuadrcula">
    <w:name w:val="Table Grid"/>
    <w:basedOn w:val="Tablanormal"/>
    <w:uiPriority w:val="59"/>
    <w:qFormat/>
    <w:rsid w:val="00E4643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4643F"/>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4643F"/>
    <w:rPr>
      <w:rFonts w:ascii="Palatino Linotype" w:hAnsi="Palatino Linotype"/>
      <w:color w:val="000000" w:themeColor="text1"/>
      <w:kern w:val="0"/>
    </w:rPr>
  </w:style>
  <w:style w:type="character" w:styleId="Hipervnculo">
    <w:name w:val="Hyperlink"/>
    <w:basedOn w:val="Fuentedeprrafopredeter"/>
    <w:uiPriority w:val="99"/>
    <w:unhideWhenUsed/>
    <w:rsid w:val="00E4643F"/>
    <w:rPr>
      <w:color w:val="0000FF"/>
      <w:u w:val="single"/>
    </w:rPr>
  </w:style>
  <w:style w:type="character" w:customStyle="1" w:styleId="Mencinsinresolver1">
    <w:name w:val="Mención sin resolver1"/>
    <w:basedOn w:val="Fuentedeprrafopredeter"/>
    <w:uiPriority w:val="99"/>
    <w:semiHidden/>
    <w:unhideWhenUsed/>
    <w:rsid w:val="008D780A"/>
    <w:rPr>
      <w:color w:val="605E5C"/>
      <w:shd w:val="clear" w:color="auto" w:fill="E1DFDD"/>
    </w:rPr>
  </w:style>
  <w:style w:type="paragraph" w:styleId="NormalWeb">
    <w:name w:val="Normal (Web)"/>
    <w:basedOn w:val="Normal"/>
    <w:uiPriority w:val="99"/>
    <w:semiHidden/>
    <w:unhideWhenUsed/>
    <w:rsid w:val="00C47925"/>
    <w:pPr>
      <w:spacing w:line="256" w:lineRule="auto"/>
    </w:pPr>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BA7995"/>
    <w:rPr>
      <w:sz w:val="16"/>
      <w:szCs w:val="16"/>
    </w:rPr>
  </w:style>
  <w:style w:type="paragraph" w:styleId="Textocomentario">
    <w:name w:val="annotation text"/>
    <w:basedOn w:val="Normal"/>
    <w:link w:val="TextocomentarioCar"/>
    <w:uiPriority w:val="99"/>
    <w:semiHidden/>
    <w:unhideWhenUsed/>
    <w:rsid w:val="00BA79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7995"/>
    <w:rPr>
      <w:rFonts w:ascii="Palatino Linotype" w:hAnsi="Palatino Linotype"/>
      <w:color w:val="000000" w:themeColor="text1"/>
      <w:kern w:val="0"/>
      <w:sz w:val="20"/>
      <w:szCs w:val="20"/>
    </w:rPr>
  </w:style>
  <w:style w:type="paragraph" w:styleId="Asuntodelcomentario">
    <w:name w:val="annotation subject"/>
    <w:basedOn w:val="Textocomentario"/>
    <w:next w:val="Textocomentario"/>
    <w:link w:val="AsuntodelcomentarioCar"/>
    <w:uiPriority w:val="99"/>
    <w:semiHidden/>
    <w:unhideWhenUsed/>
    <w:rsid w:val="00BA7995"/>
    <w:rPr>
      <w:b/>
      <w:bCs/>
    </w:rPr>
  </w:style>
  <w:style w:type="character" w:customStyle="1" w:styleId="AsuntodelcomentarioCar">
    <w:name w:val="Asunto del comentario Car"/>
    <w:basedOn w:val="TextocomentarioCar"/>
    <w:link w:val="Asuntodelcomentario"/>
    <w:uiPriority w:val="99"/>
    <w:semiHidden/>
    <w:rsid w:val="00BA7995"/>
    <w:rPr>
      <w:rFonts w:ascii="Palatino Linotype" w:hAnsi="Palatino Linotype"/>
      <w:b/>
      <w:bCs/>
      <w:color w:val="000000" w:themeColor="text1"/>
      <w:kern w:val="0"/>
      <w:sz w:val="20"/>
      <w:szCs w:val="20"/>
    </w:rPr>
  </w:style>
  <w:style w:type="paragraph" w:styleId="Textodeglobo">
    <w:name w:val="Balloon Text"/>
    <w:basedOn w:val="Normal"/>
    <w:link w:val="TextodegloboCar"/>
    <w:uiPriority w:val="99"/>
    <w:semiHidden/>
    <w:unhideWhenUsed/>
    <w:rsid w:val="00BA79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7995"/>
    <w:rPr>
      <w:rFonts w:ascii="Segoe UI" w:hAnsi="Segoe UI" w:cs="Segoe UI"/>
      <w:color w:val="000000" w:themeColor="text1"/>
      <w:kern w:val="0"/>
      <w:sz w:val="18"/>
      <w:szCs w:val="18"/>
    </w:rPr>
  </w:style>
  <w:style w:type="character" w:styleId="Hipervnculovisitado">
    <w:name w:val="FollowedHyperlink"/>
    <w:basedOn w:val="Fuentedeprrafopredeter"/>
    <w:uiPriority w:val="99"/>
    <w:semiHidden/>
    <w:unhideWhenUsed/>
    <w:rsid w:val="00514D44"/>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PTicgbJkztDZWUocy/xf6cK2Tw==">CgMxLjAyCGguZ2pkZ3hzMgloLjMwajB6bGwyCWguMWZvYjl0ZTgAciExb3BCaDI0THpaSEpWcG1WclpCckxrTFJYMjM1NUJOcjk=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5211</Words>
  <Characters>28662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BAUTISTA</dc:creator>
  <cp:lastModifiedBy>INFOEM</cp:lastModifiedBy>
  <cp:revision>4</cp:revision>
  <cp:lastPrinted>2024-11-29T00:34:00Z</cp:lastPrinted>
  <dcterms:created xsi:type="dcterms:W3CDTF">2024-11-29T00:33:00Z</dcterms:created>
  <dcterms:modified xsi:type="dcterms:W3CDTF">2025-02-05T16:38:00Z</dcterms:modified>
</cp:coreProperties>
</file>