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AD93"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noviembre de dos mil veinticuatro. </w:t>
      </w:r>
    </w:p>
    <w:p w14:paraId="301CE3C1"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VISTO</w:t>
      </w:r>
      <w:r w:rsidRPr="004E5E22">
        <w:rPr>
          <w:rFonts w:ascii="Palatino Linotype" w:eastAsia="Palatino Linotype" w:hAnsi="Palatino Linotype" w:cs="Palatino Linotype"/>
        </w:rPr>
        <w:t xml:space="preserve"> el expediente formado con motivo del recurso de revisión </w:t>
      </w:r>
      <w:r w:rsidRPr="004E5E22">
        <w:rPr>
          <w:rFonts w:ascii="Palatino Linotype" w:eastAsia="Palatino Linotype" w:hAnsi="Palatino Linotype" w:cs="Palatino Linotype"/>
          <w:b/>
        </w:rPr>
        <w:t>06244/INFOEM/IP/RR/2024</w:t>
      </w:r>
      <w:r w:rsidRPr="004E5E22">
        <w:rPr>
          <w:rFonts w:ascii="Palatino Linotype" w:eastAsia="Palatino Linotype" w:hAnsi="Palatino Linotype" w:cs="Palatino Linotype"/>
        </w:rPr>
        <w:t>, interpuesto por</w:t>
      </w:r>
      <w:r w:rsidRPr="004E5E22">
        <w:rPr>
          <w:rFonts w:ascii="Palatino Linotype" w:eastAsia="Palatino Linotype" w:hAnsi="Palatino Linotype" w:cs="Palatino Linotype"/>
          <w:b/>
        </w:rPr>
        <w:t xml:space="preserve"> un particular que no proporcionó su nombre</w:t>
      </w:r>
      <w:r w:rsidRPr="004E5E22">
        <w:rPr>
          <w:rFonts w:ascii="Palatino Linotype" w:eastAsia="Palatino Linotype" w:hAnsi="Palatino Linotype" w:cs="Palatino Linotype"/>
        </w:rPr>
        <w:t xml:space="preserve">, en lo sucesivo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en contra de la respuesta a su solicitud de información con número de folio</w:t>
      </w:r>
      <w:r w:rsidRPr="004E5E22">
        <w:rPr>
          <w:rFonts w:ascii="Palatino Linotype" w:eastAsia="Palatino Linotype" w:hAnsi="Palatino Linotype" w:cs="Palatino Linotype"/>
          <w:b/>
        </w:rPr>
        <w:t xml:space="preserve"> 00254/TEMAMATL/IP/2024</w:t>
      </w:r>
      <w:r w:rsidRPr="004E5E22">
        <w:rPr>
          <w:rFonts w:ascii="Palatino Linotype" w:eastAsia="Palatino Linotype" w:hAnsi="Palatino Linotype" w:cs="Palatino Linotype"/>
        </w:rPr>
        <w:t>,</w:t>
      </w:r>
      <w:r w:rsidRPr="004E5E22">
        <w:rPr>
          <w:rFonts w:ascii="Verdana" w:eastAsia="Verdana" w:hAnsi="Verdana" w:cs="Verdana"/>
          <w:b/>
        </w:rPr>
        <w:t xml:space="preserve"> </w:t>
      </w:r>
      <w:r w:rsidRPr="004E5E22">
        <w:rPr>
          <w:rFonts w:ascii="Palatino Linotype" w:eastAsia="Palatino Linotype" w:hAnsi="Palatino Linotype" w:cs="Palatino Linotype"/>
        </w:rPr>
        <w:t xml:space="preserve">por parte del </w:t>
      </w:r>
      <w:r w:rsidRPr="004E5E22">
        <w:rPr>
          <w:rFonts w:ascii="Palatino Linotype" w:eastAsia="Palatino Linotype" w:hAnsi="Palatino Linotype" w:cs="Palatino Linotype"/>
          <w:b/>
        </w:rPr>
        <w:t xml:space="preserve">Ayuntamiento de Temamatla, </w:t>
      </w:r>
      <w:r w:rsidRPr="004E5E22">
        <w:rPr>
          <w:rFonts w:ascii="Palatino Linotype" w:eastAsia="Palatino Linotype" w:hAnsi="Palatino Linotype" w:cs="Palatino Linotype"/>
        </w:rPr>
        <w:t xml:space="preserve">en lo sucesivo el </w:t>
      </w:r>
      <w:r w:rsidRPr="004E5E22">
        <w:rPr>
          <w:rFonts w:ascii="Palatino Linotype" w:eastAsia="Palatino Linotype" w:hAnsi="Palatino Linotype" w:cs="Palatino Linotype"/>
          <w:b/>
        </w:rPr>
        <w:t xml:space="preserve">SUJETO OBLIGADO, </w:t>
      </w:r>
      <w:r w:rsidRPr="004E5E22">
        <w:rPr>
          <w:rFonts w:ascii="Palatino Linotype" w:eastAsia="Palatino Linotype" w:hAnsi="Palatino Linotype" w:cs="Palatino Linotype"/>
        </w:rPr>
        <w:t xml:space="preserve">se procede a dictar la presente resolución con base en los siguientes: </w:t>
      </w:r>
    </w:p>
    <w:p w14:paraId="5F5A269F" w14:textId="77777777" w:rsidR="009F2EFE" w:rsidRPr="004E5E22" w:rsidRDefault="00D44E79">
      <w:pPr>
        <w:spacing w:before="240" w:after="240" w:line="360" w:lineRule="auto"/>
        <w:jc w:val="center"/>
        <w:rPr>
          <w:rFonts w:ascii="Palatino Linotype" w:eastAsia="Palatino Linotype" w:hAnsi="Palatino Linotype" w:cs="Palatino Linotype"/>
          <w:b/>
        </w:rPr>
      </w:pPr>
      <w:r w:rsidRPr="004E5E22">
        <w:rPr>
          <w:rFonts w:ascii="Palatino Linotype" w:eastAsia="Palatino Linotype" w:hAnsi="Palatino Linotype" w:cs="Palatino Linotype"/>
          <w:b/>
        </w:rPr>
        <w:t>I. A N T E C E D E N T E S</w:t>
      </w:r>
    </w:p>
    <w:p w14:paraId="208894DB"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1. Solicitud de acceso a la información.</w:t>
      </w:r>
      <w:r w:rsidRPr="004E5E22">
        <w:rPr>
          <w:rFonts w:ascii="Palatino Linotype" w:eastAsia="Palatino Linotype" w:hAnsi="Palatino Linotype" w:cs="Palatino Linotype"/>
        </w:rPr>
        <w:t xml:space="preserve"> Con fecha </w:t>
      </w:r>
      <w:r w:rsidRPr="004E5E22">
        <w:rPr>
          <w:rFonts w:ascii="Palatino Linotype" w:eastAsia="Palatino Linotype" w:hAnsi="Palatino Linotype" w:cs="Palatino Linotype"/>
          <w:b/>
        </w:rPr>
        <w:t>diecinueve de septiembre de dos mil veinticuatro,</w:t>
      </w:r>
      <w:r w:rsidRPr="004E5E22">
        <w:rPr>
          <w:rFonts w:ascii="Palatino Linotype" w:eastAsia="Palatino Linotype" w:hAnsi="Palatino Linotype" w:cs="Palatino Linotype"/>
        </w:rPr>
        <w:t xml:space="preserve"> la parte </w:t>
      </w:r>
      <w:r w:rsidRPr="004E5E22">
        <w:rPr>
          <w:rFonts w:ascii="Palatino Linotype" w:eastAsia="Palatino Linotype" w:hAnsi="Palatino Linotype" w:cs="Palatino Linotype"/>
          <w:b/>
        </w:rPr>
        <w:t xml:space="preserve">RECURRENTE </w:t>
      </w:r>
      <w:r w:rsidRPr="004E5E22">
        <w:rPr>
          <w:rFonts w:ascii="Palatino Linotype" w:eastAsia="Palatino Linotype" w:hAnsi="Palatino Linotype" w:cs="Palatino Linotype"/>
        </w:rPr>
        <w:t xml:space="preserve">presentó, a través del Sistema de Acceso a la Información Mexiquense, en lo subsecuente el </w:t>
      </w:r>
      <w:r w:rsidRPr="004E5E22">
        <w:rPr>
          <w:rFonts w:ascii="Palatino Linotype" w:eastAsia="Palatino Linotype" w:hAnsi="Palatino Linotype" w:cs="Palatino Linotype"/>
          <w:b/>
        </w:rPr>
        <w:t>SAIMEX,</w:t>
      </w:r>
      <w:r w:rsidRPr="004E5E22">
        <w:rPr>
          <w:rFonts w:ascii="Palatino Linotype" w:eastAsia="Palatino Linotype" w:hAnsi="Palatino Linotype" w:cs="Palatino Linotype"/>
        </w:rPr>
        <w:t xml:space="preserve"> ante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la solicitud de acceso a la información pública, a la que se le asignó el número</w:t>
      </w:r>
      <w:r w:rsidRPr="004E5E22">
        <w:rPr>
          <w:rFonts w:ascii="Palatino Linotype" w:eastAsia="Palatino Linotype" w:hAnsi="Palatino Linotype" w:cs="Palatino Linotype"/>
          <w:b/>
        </w:rPr>
        <w:t xml:space="preserve"> 00254/TEMAMATL/IP/2024, </w:t>
      </w:r>
      <w:r w:rsidRPr="004E5E22">
        <w:rPr>
          <w:rFonts w:ascii="Palatino Linotype" w:eastAsia="Palatino Linotype" w:hAnsi="Palatino Linotype" w:cs="Palatino Linotype"/>
        </w:rPr>
        <w:t xml:space="preserve">mediante la cual requirió la información siguiente: </w:t>
      </w:r>
    </w:p>
    <w:p w14:paraId="32C34909" w14:textId="77777777" w:rsidR="009F2EFE" w:rsidRPr="004E5E22" w:rsidRDefault="00D44E79">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E5E22">
        <w:rPr>
          <w:rFonts w:ascii="Palatino Linotype" w:eastAsia="Palatino Linotype" w:hAnsi="Palatino Linotype" w:cs="Palatino Linotype"/>
          <w:i/>
          <w:sz w:val="22"/>
          <w:szCs w:val="22"/>
        </w:rPr>
        <w:t>“Todos los inmuebles municipales están escriturados, desde q fecha , y a favor de qien” (Sic)</w:t>
      </w:r>
    </w:p>
    <w:p w14:paraId="08D5AFF2" w14:textId="77777777" w:rsidR="009F2EFE" w:rsidRPr="004E5E22" w:rsidRDefault="009F2EFE">
      <w:pPr>
        <w:spacing w:before="240"/>
        <w:ind w:left="851" w:right="902"/>
        <w:jc w:val="both"/>
        <w:rPr>
          <w:rFonts w:ascii="Palatino Linotype" w:eastAsia="Palatino Linotype" w:hAnsi="Palatino Linotype" w:cs="Palatino Linotype"/>
          <w:i/>
          <w:sz w:val="22"/>
          <w:szCs w:val="22"/>
        </w:rPr>
      </w:pPr>
    </w:p>
    <w:p w14:paraId="08CB89F2"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Modalidad de Entrega:</w:t>
      </w:r>
      <w:r w:rsidRPr="004E5E22">
        <w:rPr>
          <w:rFonts w:ascii="Palatino Linotype" w:eastAsia="Palatino Linotype" w:hAnsi="Palatino Linotype" w:cs="Palatino Linotype"/>
        </w:rPr>
        <w:t xml:space="preserve"> A través de SAIMEX.</w:t>
      </w:r>
    </w:p>
    <w:p w14:paraId="0377B0C8" w14:textId="77777777" w:rsidR="009F2EFE" w:rsidRPr="004E5E22" w:rsidRDefault="009F2EFE">
      <w:pPr>
        <w:spacing w:line="360" w:lineRule="auto"/>
        <w:jc w:val="both"/>
        <w:rPr>
          <w:rFonts w:ascii="Palatino Linotype" w:eastAsia="Palatino Linotype" w:hAnsi="Palatino Linotype" w:cs="Palatino Linotype"/>
        </w:rPr>
      </w:pPr>
    </w:p>
    <w:p w14:paraId="21C58E0C" w14:textId="77777777" w:rsidR="009F2EFE" w:rsidRPr="004E5E22" w:rsidRDefault="00D44E79">
      <w:pPr>
        <w:spacing w:after="240" w:line="360" w:lineRule="auto"/>
        <w:jc w:val="both"/>
        <w:rPr>
          <w:rFonts w:ascii="Palatino Linotype" w:eastAsia="Palatino Linotype" w:hAnsi="Palatino Linotype" w:cs="Palatino Linotype"/>
          <w:b/>
        </w:rPr>
      </w:pPr>
      <w:r w:rsidRPr="004E5E22">
        <w:rPr>
          <w:rFonts w:ascii="Palatino Linotype" w:eastAsia="Palatino Linotype" w:hAnsi="Palatino Linotype" w:cs="Palatino Linotype"/>
          <w:b/>
        </w:rPr>
        <w:lastRenderedPageBreak/>
        <w:t xml:space="preserve">2. Respuesta. </w:t>
      </w:r>
      <w:r w:rsidRPr="004E5E22">
        <w:rPr>
          <w:rFonts w:ascii="Palatino Linotype" w:eastAsia="Palatino Linotype" w:hAnsi="Palatino Linotype" w:cs="Palatino Linotype"/>
        </w:rPr>
        <w:t xml:space="preserve">Con fecha </w:t>
      </w:r>
      <w:r w:rsidRPr="004E5E22">
        <w:rPr>
          <w:rFonts w:ascii="Palatino Linotype" w:eastAsia="Palatino Linotype" w:hAnsi="Palatino Linotype" w:cs="Palatino Linotype"/>
          <w:b/>
        </w:rPr>
        <w:t>ocho de octubre de dos mil veinticuatro</w:t>
      </w:r>
      <w:r w:rsidRPr="004E5E22">
        <w:rPr>
          <w:rFonts w:ascii="Palatino Linotype" w:eastAsia="Palatino Linotype" w:hAnsi="Palatino Linotype" w:cs="Palatino Linotype"/>
        </w:rPr>
        <w:t xml:space="preserve">, el </w:t>
      </w:r>
      <w:r w:rsidRPr="004E5E22">
        <w:rPr>
          <w:rFonts w:ascii="Palatino Linotype" w:eastAsia="Palatino Linotype" w:hAnsi="Palatino Linotype" w:cs="Palatino Linotype"/>
          <w:b/>
        </w:rPr>
        <w:t xml:space="preserve">SUJETO OBLIGADO </w:t>
      </w:r>
      <w:r w:rsidRPr="004E5E2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2E72E56" w14:textId="77777777" w:rsidR="009F2EFE" w:rsidRPr="004E5E22" w:rsidRDefault="00D44E79">
      <w:pPr>
        <w:spacing w:before="240" w:after="240"/>
        <w:ind w:left="851" w:right="902"/>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w:t>
      </w:r>
      <w:r w:rsidRPr="004E5E22">
        <w:rPr>
          <w:rFonts w:ascii="Palatino Linotype" w:eastAsia="Palatino Linotype" w:hAnsi="Palatino Linotype" w:cs="Palatino Linotype"/>
          <w:i/>
          <w:sz w:val="22"/>
          <w:szCs w:val="22"/>
        </w:rPr>
        <w:lastRenderedPageBreak/>
        <w:t>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 (Sic)</w:t>
      </w:r>
    </w:p>
    <w:p w14:paraId="69E97A1F" w14:textId="77777777" w:rsidR="009F2EFE" w:rsidRPr="004E5E22" w:rsidRDefault="00D44E79">
      <w:pPr>
        <w:spacing w:before="240" w:after="240" w:line="360" w:lineRule="auto"/>
        <w:ind w:right="49"/>
        <w:jc w:val="both"/>
        <w:rPr>
          <w:rFonts w:ascii="Palatino Linotype" w:eastAsia="Palatino Linotype" w:hAnsi="Palatino Linotype" w:cs="Palatino Linotype"/>
          <w:b/>
        </w:rPr>
      </w:pPr>
      <w:r w:rsidRPr="004E5E22">
        <w:rPr>
          <w:rFonts w:ascii="Palatino Linotype" w:eastAsia="Palatino Linotype" w:hAnsi="Palatino Linotype" w:cs="Palatino Linotype"/>
          <w:b/>
        </w:rPr>
        <w:t>El SUJETO OBLIGADO, adjuntó a su respuesta el siguiente archivo electrónico:</w:t>
      </w:r>
    </w:p>
    <w:p w14:paraId="3CFEF225" w14:textId="77777777" w:rsidR="009F2EFE" w:rsidRPr="004E5E22" w:rsidRDefault="00D44E79">
      <w:pPr>
        <w:spacing w:before="240" w:after="240" w:line="360" w:lineRule="auto"/>
        <w:ind w:right="49"/>
        <w:jc w:val="both"/>
        <w:rPr>
          <w:rFonts w:ascii="Palatino Linotype" w:eastAsia="Palatino Linotype" w:hAnsi="Palatino Linotype" w:cs="Palatino Linotype"/>
        </w:rPr>
      </w:pPr>
      <w:bookmarkStart w:id="1" w:name="_heading=h.3znysh7" w:colFirst="0" w:colLast="0"/>
      <w:bookmarkEnd w:id="1"/>
      <w:r w:rsidRPr="004E5E22">
        <w:rPr>
          <w:rFonts w:ascii="Palatino Linotype" w:eastAsia="Palatino Linotype" w:hAnsi="Palatino Linotype" w:cs="Palatino Linotype"/>
        </w:rPr>
        <w:t>“</w:t>
      </w:r>
      <w:hyperlink r:id="rId8">
        <w:r w:rsidRPr="004E5E22">
          <w:rPr>
            <w:rFonts w:ascii="Palatino Linotype" w:eastAsia="Palatino Linotype" w:hAnsi="Palatino Linotype" w:cs="Palatino Linotype"/>
          </w:rPr>
          <w:t>254 solicitud20241007_16000749.pdf</w:t>
        </w:r>
      </w:hyperlink>
      <w:r w:rsidRPr="004E5E22">
        <w:rPr>
          <w:rFonts w:ascii="Palatino Linotype" w:eastAsia="Palatino Linotype" w:hAnsi="Palatino Linotype" w:cs="Palatino Linotype"/>
        </w:rPr>
        <w:t xml:space="preserve">”, el cual contiene el oficio número PM/0234/02/10/2024, por medio del cual la Dirección del Patrimonio Municipal del Ayuntamiento de Temamatla, informó que desconoce si los bienes inmuebles están escriturados, haciendo de su conocimiento que son facultades mismas de la Sindicatura tal como lo establece el artículo 53, fracción VII y IX de la Ley Orgánica Municipal del Estado de México. </w:t>
      </w:r>
    </w:p>
    <w:p w14:paraId="1B9C4B16" w14:textId="77777777" w:rsidR="009F2EFE" w:rsidRPr="004E5E22" w:rsidRDefault="00D44E79">
      <w:pPr>
        <w:spacing w:before="240" w:after="240" w:line="360" w:lineRule="auto"/>
        <w:ind w:right="49"/>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3. Interposición del recurso de revisión. </w:t>
      </w:r>
      <w:r w:rsidRPr="004E5E22">
        <w:rPr>
          <w:rFonts w:ascii="Palatino Linotype" w:eastAsia="Palatino Linotype" w:hAnsi="Palatino Linotype" w:cs="Palatino Linotype"/>
        </w:rPr>
        <w:t xml:space="preserve">Inconforme con los términos de la respuesta emitida por parte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el </w:t>
      </w:r>
      <w:r w:rsidRPr="004E5E22">
        <w:rPr>
          <w:rFonts w:ascii="Palatino Linotype" w:eastAsia="Palatino Linotype" w:hAnsi="Palatino Linotype" w:cs="Palatino Linotype"/>
          <w:b/>
        </w:rPr>
        <w:t>once de octubre del dos mil veinticuatro,</w:t>
      </w:r>
      <w:r w:rsidRPr="004E5E22">
        <w:rPr>
          <w:rFonts w:ascii="Palatino Linotype" w:eastAsia="Palatino Linotype" w:hAnsi="Palatino Linotype" w:cs="Palatino Linotype"/>
        </w:rPr>
        <w:t xml:space="preserve"> la parte recurrente interpuso el recurso de revisión a través de </w:t>
      </w:r>
      <w:r w:rsidRPr="004E5E22">
        <w:rPr>
          <w:rFonts w:ascii="Palatino Linotype" w:eastAsia="Palatino Linotype" w:hAnsi="Palatino Linotype" w:cs="Palatino Linotype"/>
          <w:b/>
        </w:rPr>
        <w:t xml:space="preserve">SAIMEX, </w:t>
      </w:r>
      <w:r w:rsidRPr="004E5E22">
        <w:rPr>
          <w:rFonts w:ascii="Palatino Linotype" w:eastAsia="Palatino Linotype" w:hAnsi="Palatino Linotype" w:cs="Palatino Linotype"/>
        </w:rPr>
        <w:t>en donde se manifestó de la siguiente manera:</w:t>
      </w:r>
    </w:p>
    <w:p w14:paraId="55F95612" w14:textId="77777777" w:rsidR="009F2EFE" w:rsidRPr="004E5E22" w:rsidRDefault="009F2EFE">
      <w:pPr>
        <w:spacing w:before="240" w:after="240" w:line="360" w:lineRule="auto"/>
        <w:ind w:right="49"/>
        <w:jc w:val="both"/>
        <w:rPr>
          <w:rFonts w:ascii="Palatino Linotype" w:eastAsia="Palatino Linotype" w:hAnsi="Palatino Linotype" w:cs="Palatino Linotype"/>
        </w:rPr>
      </w:pPr>
    </w:p>
    <w:p w14:paraId="5967CA87" w14:textId="77777777" w:rsidR="009F2EFE" w:rsidRPr="004E5E22" w:rsidRDefault="00D44E79">
      <w:pPr>
        <w:tabs>
          <w:tab w:val="left" w:pos="2745"/>
        </w:tabs>
        <w:spacing w:before="240" w:after="240" w:line="360" w:lineRule="auto"/>
        <w:jc w:val="both"/>
        <w:rPr>
          <w:rFonts w:ascii="Palatino Linotype" w:eastAsia="Palatino Linotype" w:hAnsi="Palatino Linotype" w:cs="Palatino Linotype"/>
          <w:b/>
        </w:rPr>
      </w:pPr>
      <w:r w:rsidRPr="004E5E22">
        <w:rPr>
          <w:rFonts w:ascii="Palatino Linotype" w:eastAsia="Palatino Linotype" w:hAnsi="Palatino Linotype" w:cs="Palatino Linotype"/>
          <w:b/>
        </w:rPr>
        <w:lastRenderedPageBreak/>
        <w:t xml:space="preserve">Acto impugnado: </w:t>
      </w:r>
      <w:r w:rsidRPr="004E5E22">
        <w:rPr>
          <w:rFonts w:ascii="Palatino Linotype" w:eastAsia="Palatino Linotype" w:hAnsi="Palatino Linotype" w:cs="Palatino Linotype"/>
          <w:b/>
        </w:rPr>
        <w:tab/>
      </w:r>
    </w:p>
    <w:p w14:paraId="7DD17CA6" w14:textId="77777777" w:rsidR="009F2EFE" w:rsidRPr="004E5E22" w:rsidRDefault="00D44E79">
      <w:pPr>
        <w:spacing w:line="360" w:lineRule="auto"/>
        <w:ind w:left="851" w:right="900"/>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“RESPUESTA OTORGADA” (Sic)</w:t>
      </w:r>
    </w:p>
    <w:p w14:paraId="68A7E3D0"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Y Razones o motivos de inconformidad</w:t>
      </w:r>
      <w:r w:rsidRPr="004E5E22">
        <w:rPr>
          <w:rFonts w:ascii="Palatino Linotype" w:eastAsia="Palatino Linotype" w:hAnsi="Palatino Linotype" w:cs="Palatino Linotype"/>
        </w:rPr>
        <w:t>:</w:t>
      </w:r>
    </w:p>
    <w:p w14:paraId="0BDB97FB" w14:textId="77777777" w:rsidR="009F2EFE" w:rsidRPr="004E5E22" w:rsidRDefault="00D44E79">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4E5E22">
        <w:rPr>
          <w:rFonts w:ascii="Palatino Linotype" w:eastAsia="Palatino Linotype" w:hAnsi="Palatino Linotype" w:cs="Palatino Linotype"/>
          <w:i/>
          <w:sz w:val="22"/>
          <w:szCs w:val="22"/>
        </w:rPr>
        <w:t xml:space="preserve"> “EL SUJETO OBLIGADO MANIFIESTA EN SU RESPUESTA QUE NO ES COMPETENCIA DEL AREA LA INFORMACION SOLICITADA, SIENDO OBLIGACION DEL SUJETO OBLIGADO EL TURNO DE LA SOLICITUD AL AREA COMPETENTE DE SU SOLVENTACION, NO SIENDO ESTO UN PRETEXTO PARA LA OMISION DE LA MISMA” (Sic)</w:t>
      </w:r>
    </w:p>
    <w:p w14:paraId="02621D81" w14:textId="77777777" w:rsidR="009F2EFE" w:rsidRPr="004E5E22" w:rsidRDefault="009F2EFE">
      <w:pPr>
        <w:ind w:left="851" w:right="902"/>
        <w:jc w:val="both"/>
        <w:rPr>
          <w:rFonts w:ascii="Palatino Linotype" w:eastAsia="Palatino Linotype" w:hAnsi="Palatino Linotype" w:cs="Palatino Linotype"/>
          <w:i/>
          <w:sz w:val="22"/>
          <w:szCs w:val="22"/>
        </w:rPr>
      </w:pPr>
    </w:p>
    <w:p w14:paraId="09127C83" w14:textId="77777777" w:rsidR="009F2EFE" w:rsidRPr="004E5E22" w:rsidRDefault="00D44E79">
      <w:pPr>
        <w:spacing w:line="360" w:lineRule="auto"/>
        <w:ind w:right="51"/>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4. Turno. </w:t>
      </w:r>
      <w:r w:rsidRPr="004E5E2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E5E22">
        <w:rPr>
          <w:rFonts w:ascii="Palatino Linotype" w:eastAsia="Palatino Linotype" w:hAnsi="Palatino Linotype" w:cs="Palatino Linotype"/>
          <w:b/>
        </w:rPr>
        <w:t xml:space="preserve">Guadalupe Ramírez Peña, </w:t>
      </w:r>
      <w:r w:rsidRPr="004E5E22">
        <w:rPr>
          <w:rFonts w:ascii="Palatino Linotype" w:eastAsia="Palatino Linotype" w:hAnsi="Palatino Linotype" w:cs="Palatino Linotype"/>
        </w:rPr>
        <w:t>a efecto de que analizara sobre su admisión o su desechamiento.</w:t>
      </w:r>
    </w:p>
    <w:p w14:paraId="253F6C3C" w14:textId="77777777" w:rsidR="009F2EFE" w:rsidRPr="004E5E22" w:rsidRDefault="009F2EFE">
      <w:pPr>
        <w:spacing w:line="360" w:lineRule="auto"/>
        <w:ind w:right="51"/>
        <w:jc w:val="both"/>
        <w:rPr>
          <w:rFonts w:ascii="Palatino Linotype" w:eastAsia="Palatino Linotype" w:hAnsi="Palatino Linotype" w:cs="Palatino Linotype"/>
        </w:rPr>
      </w:pPr>
    </w:p>
    <w:p w14:paraId="0D27FE93" w14:textId="77777777" w:rsidR="009F2EFE" w:rsidRPr="004E5E22" w:rsidRDefault="00D44E79">
      <w:pPr>
        <w:spacing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5. Admisión del Recurso de revisión.</w:t>
      </w:r>
      <w:r w:rsidRPr="004E5E22">
        <w:rPr>
          <w:rFonts w:ascii="Palatino Linotype" w:eastAsia="Palatino Linotype" w:hAnsi="Palatino Linotype" w:cs="Palatino Linotype"/>
        </w:rPr>
        <w:t xml:space="preserve"> Con fecha</w:t>
      </w:r>
      <w:r w:rsidRPr="004E5E22">
        <w:rPr>
          <w:rFonts w:ascii="Palatino Linotype" w:eastAsia="Palatino Linotype" w:hAnsi="Palatino Linotype" w:cs="Palatino Linotype"/>
          <w:b/>
        </w:rPr>
        <w:t xml:space="preserve"> dieciséis de octubre de dos mil veinticuatro, </w:t>
      </w:r>
      <w:r w:rsidRPr="004E5E2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E5E22">
        <w:rPr>
          <w:rFonts w:ascii="Palatino Linotype" w:eastAsia="Palatino Linotype" w:hAnsi="Palatino Linotype" w:cs="Palatino Linotype"/>
          <w:b/>
        </w:rPr>
        <w:t xml:space="preserve">SUJETO OBLIGADO </w:t>
      </w:r>
      <w:r w:rsidRPr="004E5E22">
        <w:rPr>
          <w:rFonts w:ascii="Palatino Linotype" w:eastAsia="Palatino Linotype" w:hAnsi="Palatino Linotype" w:cs="Palatino Linotype"/>
        </w:rPr>
        <w:t>presentara su informe justificado.</w:t>
      </w:r>
    </w:p>
    <w:p w14:paraId="525E0E41" w14:textId="77777777" w:rsidR="009F2EFE" w:rsidRPr="004E5E22" w:rsidRDefault="00D44E79">
      <w:pPr>
        <w:spacing w:before="240" w:after="240" w:line="360" w:lineRule="auto"/>
        <w:jc w:val="both"/>
      </w:pPr>
      <w:r w:rsidRPr="004E5E22">
        <w:rPr>
          <w:rFonts w:ascii="Palatino Linotype" w:eastAsia="Palatino Linotype" w:hAnsi="Palatino Linotype" w:cs="Palatino Linotype"/>
          <w:b/>
        </w:rPr>
        <w:t>6. Manifestaciones</w:t>
      </w:r>
      <w:r w:rsidRPr="004E5E22">
        <w:rPr>
          <w:rFonts w:ascii="Palatino Linotype" w:eastAsia="Palatino Linotype" w:hAnsi="Palatino Linotype" w:cs="Palatino Linotype"/>
        </w:rPr>
        <w:t xml:space="preserve">. De las constancias que obran en el expediente electrónico del SAIMEX se desprende que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no rindió su informe justificado, </w:t>
      </w:r>
      <w:r w:rsidRPr="004E5E22">
        <w:rPr>
          <w:rFonts w:ascii="Palatino Linotype" w:eastAsia="Palatino Linotype" w:hAnsi="Palatino Linotype" w:cs="Palatino Linotype"/>
        </w:rPr>
        <w:lastRenderedPageBreak/>
        <w:t>del mismo modo la parte</w:t>
      </w:r>
      <w:r w:rsidRPr="004E5E22">
        <w:rPr>
          <w:rFonts w:ascii="Palatino Linotype" w:eastAsia="Palatino Linotype" w:hAnsi="Palatino Linotype" w:cs="Palatino Linotype"/>
          <w:b/>
        </w:rPr>
        <w:t xml:space="preserve"> RECURRENTE</w:t>
      </w:r>
      <w:r w:rsidRPr="004E5E22">
        <w:rPr>
          <w:rFonts w:ascii="Palatino Linotype" w:eastAsia="Palatino Linotype" w:hAnsi="Palatino Linotype" w:cs="Palatino Linotype"/>
        </w:rPr>
        <w:t xml:space="preserve"> omitió realizar manifestaciones, como se observa a continuación:</w:t>
      </w:r>
    </w:p>
    <w:p w14:paraId="7D55A252" w14:textId="77777777" w:rsidR="009F2EFE" w:rsidRPr="004E5E22" w:rsidRDefault="00D44E79">
      <w:pPr>
        <w:spacing w:before="240" w:after="240" w:line="360" w:lineRule="auto"/>
        <w:jc w:val="both"/>
      </w:pPr>
      <w:r w:rsidRPr="004E5E22">
        <w:rPr>
          <w:noProof/>
        </w:rPr>
        <w:drawing>
          <wp:inline distT="0" distB="0" distL="0" distR="0" wp14:anchorId="76646CB3" wp14:editId="05AB0A23">
            <wp:extent cx="5612130" cy="1505585"/>
            <wp:effectExtent l="0" t="0" r="0" b="0"/>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5612130" cy="1505585"/>
                    </a:xfrm>
                    <a:prstGeom prst="rect">
                      <a:avLst/>
                    </a:prstGeom>
                    <a:ln/>
                  </pic:spPr>
                </pic:pic>
              </a:graphicData>
            </a:graphic>
          </wp:inline>
        </w:drawing>
      </w:r>
    </w:p>
    <w:p w14:paraId="5941300E"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7. Cierre de instrucción. </w:t>
      </w:r>
      <w:r w:rsidRPr="004E5E2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E5E22">
        <w:rPr>
          <w:rFonts w:ascii="Palatino Linotype" w:eastAsia="Palatino Linotype" w:hAnsi="Palatino Linotype" w:cs="Palatino Linotype"/>
          <w:b/>
        </w:rPr>
        <w:t>veintinueve de octubre de dos mil veinticuatro</w:t>
      </w:r>
      <w:r w:rsidRPr="004E5E2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4DD6420"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C56EDB4" w14:textId="77777777" w:rsidR="009F2EFE" w:rsidRPr="004E5E22" w:rsidRDefault="00D44E79">
      <w:pPr>
        <w:widowControl w:val="0"/>
        <w:spacing w:line="360" w:lineRule="auto"/>
        <w:jc w:val="center"/>
        <w:rPr>
          <w:rFonts w:ascii="Palatino Linotype" w:eastAsia="Palatino Linotype" w:hAnsi="Palatino Linotype" w:cs="Palatino Linotype"/>
          <w:b/>
        </w:rPr>
      </w:pPr>
      <w:r w:rsidRPr="004E5E22">
        <w:rPr>
          <w:rFonts w:ascii="Palatino Linotype" w:eastAsia="Palatino Linotype" w:hAnsi="Palatino Linotype" w:cs="Palatino Linotype"/>
          <w:b/>
        </w:rPr>
        <w:t>II. C O N S I D E R A N D O S</w:t>
      </w:r>
    </w:p>
    <w:p w14:paraId="1DE9D035" w14:textId="77777777" w:rsidR="009F2EFE" w:rsidRPr="004E5E22" w:rsidRDefault="009F2EFE">
      <w:pPr>
        <w:widowControl w:val="0"/>
        <w:spacing w:line="360" w:lineRule="auto"/>
        <w:jc w:val="center"/>
        <w:rPr>
          <w:rFonts w:ascii="Palatino Linotype" w:eastAsia="Palatino Linotype" w:hAnsi="Palatino Linotype" w:cs="Palatino Linotype"/>
          <w:b/>
        </w:rPr>
      </w:pPr>
    </w:p>
    <w:p w14:paraId="2DE5557A"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Primero. Competencia.</w:t>
      </w:r>
      <w:r w:rsidRPr="004E5E2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4E5E22">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E317" w14:textId="77777777" w:rsidR="009F2EFE" w:rsidRPr="004E5E22" w:rsidRDefault="00D44E79">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4E5E22">
        <w:rPr>
          <w:rFonts w:ascii="Palatino Linotype" w:eastAsia="Palatino Linotype" w:hAnsi="Palatino Linotype" w:cs="Palatino Linotype"/>
          <w:b/>
        </w:rPr>
        <w:t xml:space="preserve">Segundo. Oportunidad y Procedibilidad del Recurso de Revisión. </w:t>
      </w:r>
      <w:r w:rsidRPr="004E5E22">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emitió su respuesta a la solicitud planteada por el solicitante el ocho de octubre del año dos mil veinticuatro y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presentó su recurso de revisión el once de octubre del mismo año; esto es, al tercer día hábil siguiente de aquel en que tuvo conocimiento de la respuesta; evidenciándose que la interposición del recurso se encuentra dentro de los márgenes temporales previstos en el citado precepto legal.</w:t>
      </w:r>
    </w:p>
    <w:p w14:paraId="5370C4EB" w14:textId="77777777" w:rsidR="009F2EFE" w:rsidRPr="004E5E22" w:rsidRDefault="00D44E79">
      <w:pPr>
        <w:spacing w:before="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w:t>
      </w:r>
      <w:r w:rsidRPr="004E5E22">
        <w:rPr>
          <w:rFonts w:ascii="Palatino Linotype" w:eastAsia="Palatino Linotype" w:hAnsi="Palatino Linotype" w:cs="Palatino Linotype"/>
        </w:rPr>
        <w:lastRenderedPageBreak/>
        <w:t>previsto en el artículo 155, penúltimo párrafo de la Ley de Transparencia y Acceso a la Información Pública del Estado de México y Municipios que establece lo siguiente:</w:t>
      </w:r>
    </w:p>
    <w:p w14:paraId="283F43DD" w14:textId="77777777" w:rsidR="009F2EFE" w:rsidRPr="004E5E22" w:rsidRDefault="009F2EFE">
      <w:pPr>
        <w:ind w:left="567" w:right="474"/>
        <w:jc w:val="both"/>
        <w:rPr>
          <w:rFonts w:ascii="Palatino Linotype" w:eastAsia="Palatino Linotype" w:hAnsi="Palatino Linotype" w:cs="Palatino Linotype"/>
          <w:i/>
        </w:rPr>
      </w:pPr>
    </w:p>
    <w:p w14:paraId="1E1B3C9F" w14:textId="77777777" w:rsidR="009F2EFE" w:rsidRPr="004E5E22" w:rsidRDefault="00D44E79">
      <w:pPr>
        <w:ind w:left="567" w:right="474"/>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Las solicitudes anónimas</w:t>
      </w:r>
      <w:r w:rsidRPr="004E5E22">
        <w:rPr>
          <w:rFonts w:ascii="Palatino Linotype" w:eastAsia="Palatino Linotype" w:hAnsi="Palatino Linotype" w:cs="Palatino Linotype"/>
          <w:i/>
          <w:sz w:val="22"/>
          <w:szCs w:val="22"/>
        </w:rPr>
        <w:t xml:space="preserve">, con nombre incompleto o seudónimo </w:t>
      </w:r>
      <w:r w:rsidRPr="004E5E22">
        <w:rPr>
          <w:rFonts w:ascii="Palatino Linotype" w:eastAsia="Palatino Linotype" w:hAnsi="Palatino Linotype" w:cs="Palatino Linotype"/>
          <w:b/>
          <w:i/>
          <w:sz w:val="22"/>
          <w:szCs w:val="22"/>
        </w:rPr>
        <w:t>serán procedentes para su trámite por parte del sujeto obligado ante quien se presente</w:t>
      </w:r>
      <w:r w:rsidRPr="004E5E22">
        <w:rPr>
          <w:rFonts w:ascii="Palatino Linotype" w:eastAsia="Palatino Linotype" w:hAnsi="Palatino Linotype" w:cs="Palatino Linotype"/>
          <w:i/>
          <w:sz w:val="22"/>
          <w:szCs w:val="22"/>
        </w:rPr>
        <w:t>. No podrá requerirse información adicional con motivo del nombre proporcionado por el solicitante."</w:t>
      </w:r>
    </w:p>
    <w:p w14:paraId="15F1503E" w14:textId="77777777" w:rsidR="009F2EFE" w:rsidRPr="004E5E22" w:rsidRDefault="009F2EFE">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65A02201" w14:textId="77777777" w:rsidR="009F2EFE" w:rsidRPr="004E5E22" w:rsidRDefault="00D44E79">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E5E22">
        <w:rPr>
          <w:rFonts w:ascii="Palatino Linotype" w:eastAsia="Palatino Linotype" w:hAnsi="Palatino Linotype" w:cs="Palatino Linotype"/>
          <w:b/>
        </w:rPr>
        <w:t>EL</w:t>
      </w:r>
      <w:r w:rsidRPr="004E5E22">
        <w:rPr>
          <w:rFonts w:ascii="Palatino Linotype" w:eastAsia="Palatino Linotype" w:hAnsi="Palatino Linotype" w:cs="Palatino Linotype"/>
        </w:rPr>
        <w:t xml:space="preserve"> </w:t>
      </w:r>
      <w:r w:rsidRPr="004E5E22">
        <w:rPr>
          <w:rFonts w:ascii="Palatino Linotype" w:eastAsia="Palatino Linotype" w:hAnsi="Palatino Linotype" w:cs="Palatino Linotype"/>
          <w:b/>
        </w:rPr>
        <w:t>SAIMEX</w:t>
      </w:r>
      <w:r w:rsidRPr="004E5E22">
        <w:rPr>
          <w:rFonts w:ascii="Palatino Linotype" w:eastAsia="Palatino Linotype" w:hAnsi="Palatino Linotype" w:cs="Palatino Linotype"/>
        </w:rPr>
        <w:t>.</w:t>
      </w:r>
    </w:p>
    <w:p w14:paraId="4B456524" w14:textId="77777777" w:rsidR="009F2EFE" w:rsidRPr="004E5E22" w:rsidRDefault="009F2EFE">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4045FBAE" w14:textId="77777777" w:rsidR="009F2EFE" w:rsidRPr="004E5E22" w:rsidRDefault="00D44E79">
      <w:pPr>
        <w:spacing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XI de la ley de la materia, que a la letra dice:</w:t>
      </w:r>
    </w:p>
    <w:p w14:paraId="57D527BD" w14:textId="77777777" w:rsidR="009F2EFE" w:rsidRPr="004E5E22" w:rsidRDefault="00D44E79">
      <w:pPr>
        <w:ind w:left="1276" w:right="1752"/>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 xml:space="preserve">Artículo 179. </w:t>
      </w:r>
      <w:r w:rsidRPr="004E5E2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7625C39" w14:textId="77777777" w:rsidR="009F2EFE" w:rsidRPr="004E5E22" w:rsidRDefault="00D44E79">
      <w:pPr>
        <w:ind w:left="1276" w:right="1752"/>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p>
    <w:p w14:paraId="0378B307" w14:textId="77777777" w:rsidR="009F2EFE" w:rsidRPr="004E5E22" w:rsidRDefault="00D44E79">
      <w:pPr>
        <w:ind w:left="1276" w:right="1752"/>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XI. La falta de trámite a una solicitud…”</w:t>
      </w:r>
    </w:p>
    <w:p w14:paraId="4878CF7C" w14:textId="77777777" w:rsidR="009F2EFE" w:rsidRPr="004E5E22" w:rsidRDefault="00D44E79">
      <w:pPr>
        <w:spacing w:before="280" w:after="28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Tercero. Materia de Revisión</w:t>
      </w:r>
      <w:r w:rsidRPr="004E5E22">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4E5E2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E5E22">
        <w:rPr>
          <w:rFonts w:ascii="Palatino Linotype" w:eastAsia="Palatino Linotype" w:hAnsi="Palatino Linotype" w:cs="Palatino Linotype"/>
        </w:rPr>
        <w:t xml:space="preserve">de la </w:t>
      </w:r>
      <w:r w:rsidRPr="004E5E22">
        <w:rPr>
          <w:rFonts w:ascii="Palatino Linotype" w:eastAsia="Palatino Linotype" w:hAnsi="Palatino Linotype" w:cs="Palatino Linotype"/>
        </w:rPr>
        <w:lastRenderedPageBreak/>
        <w:t xml:space="preserve">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o en su defecto, en caso de ser procedente, ordenar la entrega de información.</w:t>
      </w:r>
    </w:p>
    <w:p w14:paraId="5DBCADDF"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Cuarto. Estudio de fondo del asunto. </w:t>
      </w:r>
      <w:r w:rsidRPr="004E5E22">
        <w:rPr>
          <w:rFonts w:ascii="Palatino Linotype" w:eastAsia="Palatino Linotype" w:hAnsi="Palatino Linotype" w:cs="Palatino Linotype"/>
        </w:rPr>
        <w:t xml:space="preserve">es conveniente analizar si la respuesta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A673E72" w14:textId="77777777" w:rsidR="009F2EFE" w:rsidRPr="004E5E22" w:rsidRDefault="00D44E79">
      <w:pPr>
        <w:spacing w:before="240"/>
        <w:ind w:left="709" w:right="760"/>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Artículo 4.</w:t>
      </w:r>
      <w:r w:rsidRPr="004E5E2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D36D9C" w14:textId="77777777" w:rsidR="009F2EFE" w:rsidRPr="004E5E22" w:rsidRDefault="00D44E79">
      <w:pPr>
        <w:ind w:left="709" w:right="760"/>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E5E2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B20DD7A" w14:textId="77777777" w:rsidR="009F2EFE" w:rsidRPr="004E5E22" w:rsidRDefault="00D44E79">
      <w:pPr>
        <w:ind w:left="709" w:right="760"/>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E5E22">
        <w:rPr>
          <w:rFonts w:ascii="Palatino Linotype" w:eastAsia="Palatino Linotype" w:hAnsi="Palatino Linotype" w:cs="Palatino Linotype"/>
          <w:i/>
          <w:sz w:val="22"/>
          <w:szCs w:val="22"/>
        </w:rPr>
        <w:t>.”</w:t>
      </w:r>
    </w:p>
    <w:p w14:paraId="26DD6910"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4E5E22">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7145931" w14:textId="77777777" w:rsidR="009F2EFE" w:rsidRPr="004E5E22" w:rsidRDefault="00D44E79">
      <w:pPr>
        <w:ind w:left="567" w:right="758"/>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Artículo12.-</w:t>
      </w:r>
      <w:r w:rsidRPr="004E5E2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2AE6021" w14:textId="77777777" w:rsidR="009F2EFE" w:rsidRPr="004E5E22" w:rsidRDefault="00D44E79">
      <w:pPr>
        <w:ind w:left="567" w:right="758"/>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E5E22">
        <w:rPr>
          <w:rFonts w:ascii="Palatino Linotype" w:eastAsia="Palatino Linotype" w:hAnsi="Palatino Linotype" w:cs="Palatino Linotype"/>
          <w:i/>
          <w:sz w:val="22"/>
          <w:szCs w:val="22"/>
        </w:rPr>
        <w:t xml:space="preserve">. </w:t>
      </w:r>
      <w:r w:rsidRPr="004E5E2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76AA95B8" w14:textId="77777777" w:rsidR="009F2EFE" w:rsidRPr="004E5E22" w:rsidRDefault="009F2EFE">
      <w:pPr>
        <w:spacing w:line="360" w:lineRule="auto"/>
        <w:ind w:right="-93"/>
        <w:jc w:val="both"/>
        <w:rPr>
          <w:rFonts w:ascii="Palatino Linotype" w:eastAsia="Palatino Linotype" w:hAnsi="Palatino Linotype" w:cs="Palatino Linotype"/>
        </w:rPr>
      </w:pPr>
    </w:p>
    <w:p w14:paraId="093EBBD8" w14:textId="77777777" w:rsidR="009F2EFE" w:rsidRPr="004E5E22" w:rsidRDefault="00D44E79">
      <w:pPr>
        <w:spacing w:line="360" w:lineRule="auto"/>
        <w:ind w:right="-93"/>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6B90B96" w14:textId="77777777" w:rsidR="009F2EFE" w:rsidRPr="004E5E22" w:rsidRDefault="009F2EFE">
      <w:pPr>
        <w:spacing w:line="360" w:lineRule="auto"/>
        <w:ind w:right="-93"/>
        <w:jc w:val="both"/>
        <w:rPr>
          <w:rFonts w:ascii="Palatino Linotype" w:eastAsia="Palatino Linotype" w:hAnsi="Palatino Linotype" w:cs="Palatino Linotype"/>
        </w:rPr>
      </w:pPr>
    </w:p>
    <w:p w14:paraId="43FE4339"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0C65B15C" w14:textId="77777777" w:rsidR="009F2EFE" w:rsidRPr="004E5E22" w:rsidRDefault="00D44E79">
      <w:pPr>
        <w:spacing w:line="360" w:lineRule="auto"/>
        <w:jc w:val="both"/>
        <w:rPr>
          <w:rFonts w:ascii="Palatino Linotype" w:eastAsia="Palatino Linotype" w:hAnsi="Palatino Linotype" w:cs="Palatino Linotype"/>
          <w:b/>
        </w:rPr>
      </w:pPr>
      <w:r w:rsidRPr="004E5E22">
        <w:rPr>
          <w:rFonts w:ascii="Palatino Linotype" w:eastAsia="Palatino Linotype" w:hAnsi="Palatino Linotype" w:cs="Palatino Linotype"/>
          <w:b/>
        </w:rPr>
        <w:t xml:space="preserve"> </w:t>
      </w:r>
    </w:p>
    <w:p w14:paraId="3451CD1F" w14:textId="77777777" w:rsidR="009F2EFE" w:rsidRPr="004E5E22" w:rsidRDefault="00D44E79">
      <w:pPr>
        <w:ind w:left="851" w:right="90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lastRenderedPageBreak/>
        <w:t>“</w:t>
      </w:r>
      <w:r w:rsidRPr="004E5E22">
        <w:rPr>
          <w:rFonts w:ascii="Palatino Linotype" w:eastAsia="Palatino Linotype" w:hAnsi="Palatino Linotype" w:cs="Palatino Linotype"/>
          <w:b/>
          <w:i/>
          <w:sz w:val="22"/>
          <w:szCs w:val="22"/>
        </w:rPr>
        <w:t>No existe obligación de elaborar documentos ad hoc para atender las solicitudes de acceso a la información.</w:t>
      </w:r>
      <w:r w:rsidRPr="004E5E2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136E8AA" w14:textId="77777777" w:rsidR="009F2EFE" w:rsidRPr="004E5E22" w:rsidRDefault="00D44E79">
      <w:pPr>
        <w:ind w:left="851" w:right="90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Resoluciones: </w:t>
      </w:r>
    </w:p>
    <w:p w14:paraId="7288A9C1" w14:textId="77777777" w:rsidR="009F2EFE" w:rsidRPr="004E5E22" w:rsidRDefault="00D44E79">
      <w:pPr>
        <w:ind w:left="851" w:right="901"/>
        <w:jc w:val="both"/>
        <w:rPr>
          <w:rFonts w:ascii="Palatino Linotype" w:eastAsia="Palatino Linotype" w:hAnsi="Palatino Linotype" w:cs="Palatino Linotype"/>
          <w:i/>
          <w:sz w:val="22"/>
          <w:szCs w:val="22"/>
        </w:rPr>
      </w:pPr>
      <w:r w:rsidRPr="004E5E22">
        <w:rPr>
          <w:rFonts w:ascii="Noto Sans Symbols" w:eastAsia="Noto Sans Symbols" w:hAnsi="Noto Sans Symbols" w:cs="Noto Sans Symbols"/>
          <w:i/>
          <w:sz w:val="22"/>
          <w:szCs w:val="22"/>
        </w:rPr>
        <w:t>∙</w:t>
      </w:r>
      <w:r w:rsidRPr="004E5E22">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FE555CF" w14:textId="77777777" w:rsidR="009F2EFE" w:rsidRPr="004E5E22" w:rsidRDefault="00D44E79">
      <w:pPr>
        <w:ind w:left="851" w:right="901"/>
        <w:jc w:val="both"/>
        <w:rPr>
          <w:rFonts w:ascii="Palatino Linotype" w:eastAsia="Palatino Linotype" w:hAnsi="Palatino Linotype" w:cs="Palatino Linotype"/>
          <w:i/>
          <w:sz w:val="22"/>
          <w:szCs w:val="22"/>
        </w:rPr>
      </w:pPr>
      <w:r w:rsidRPr="004E5E22">
        <w:rPr>
          <w:rFonts w:ascii="Noto Sans Symbols" w:eastAsia="Noto Sans Symbols" w:hAnsi="Noto Sans Symbols" w:cs="Noto Sans Symbols"/>
          <w:i/>
          <w:sz w:val="22"/>
          <w:szCs w:val="22"/>
        </w:rPr>
        <w:t>∙</w:t>
      </w:r>
      <w:r w:rsidRPr="004E5E22">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C19DA6A" w14:textId="77777777" w:rsidR="009F2EFE" w:rsidRPr="004E5E22" w:rsidRDefault="00D44E79">
      <w:pPr>
        <w:ind w:left="851" w:right="901"/>
        <w:jc w:val="both"/>
        <w:rPr>
          <w:rFonts w:ascii="Palatino Linotype" w:eastAsia="Palatino Linotype" w:hAnsi="Palatino Linotype" w:cs="Palatino Linotype"/>
          <w:i/>
          <w:sz w:val="22"/>
          <w:szCs w:val="22"/>
        </w:rPr>
      </w:pPr>
      <w:r w:rsidRPr="004E5E22">
        <w:rPr>
          <w:rFonts w:ascii="Noto Sans Symbols" w:eastAsia="Noto Sans Symbols" w:hAnsi="Noto Sans Symbols" w:cs="Noto Sans Symbols"/>
          <w:i/>
          <w:sz w:val="22"/>
          <w:szCs w:val="22"/>
        </w:rPr>
        <w:t>∙</w:t>
      </w:r>
      <w:r w:rsidRPr="004E5E22">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
    <w:p w14:paraId="26DCE3DC" w14:textId="77777777" w:rsidR="009F2EFE" w:rsidRPr="004E5E22" w:rsidRDefault="009F2EFE">
      <w:pPr>
        <w:spacing w:line="360" w:lineRule="auto"/>
        <w:jc w:val="both"/>
        <w:rPr>
          <w:rFonts w:ascii="Palatino Linotype" w:eastAsia="Palatino Linotype" w:hAnsi="Palatino Linotype" w:cs="Palatino Linotype"/>
        </w:rPr>
      </w:pPr>
    </w:p>
    <w:p w14:paraId="031E301D"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38287D10" w14:textId="77777777" w:rsidR="009F2EFE" w:rsidRPr="004E5E22" w:rsidRDefault="009F2EFE">
      <w:pPr>
        <w:spacing w:line="360" w:lineRule="auto"/>
        <w:jc w:val="both"/>
        <w:rPr>
          <w:rFonts w:ascii="Palatino Linotype" w:eastAsia="Palatino Linotype" w:hAnsi="Palatino Linotype" w:cs="Palatino Linotype"/>
          <w:strike/>
        </w:rPr>
      </w:pPr>
    </w:p>
    <w:p w14:paraId="04528EF5" w14:textId="77777777" w:rsidR="009F2EFE" w:rsidRPr="004E5E22" w:rsidRDefault="00D44E79">
      <w:pPr>
        <w:spacing w:line="360" w:lineRule="auto"/>
        <w:ind w:right="49"/>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4E5E22">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E4303B3" w14:textId="77777777" w:rsidR="009F2EFE" w:rsidRPr="004E5E22" w:rsidRDefault="009F2EFE">
      <w:pPr>
        <w:spacing w:line="360" w:lineRule="auto"/>
        <w:ind w:right="49"/>
        <w:jc w:val="both"/>
        <w:rPr>
          <w:rFonts w:ascii="Palatino Linotype" w:eastAsia="Palatino Linotype" w:hAnsi="Palatino Linotype" w:cs="Palatino Linotype"/>
        </w:rPr>
      </w:pPr>
    </w:p>
    <w:p w14:paraId="1BF1DACC"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86385D3" w14:textId="77777777" w:rsidR="009F2EFE" w:rsidRPr="004E5E22" w:rsidRDefault="009F2EFE">
      <w:pPr>
        <w:ind w:left="851" w:right="899"/>
        <w:jc w:val="both"/>
        <w:rPr>
          <w:rFonts w:ascii="Palatino Linotype" w:eastAsia="Palatino Linotype" w:hAnsi="Palatino Linotype" w:cs="Palatino Linotype"/>
          <w:i/>
          <w:sz w:val="22"/>
          <w:szCs w:val="22"/>
        </w:rPr>
      </w:pPr>
    </w:p>
    <w:p w14:paraId="0D11AE98" w14:textId="77777777" w:rsidR="009F2EFE" w:rsidRPr="004E5E22" w:rsidRDefault="00D44E79">
      <w:pPr>
        <w:ind w:left="851" w:right="89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 xml:space="preserve">Artículo 3. </w:t>
      </w:r>
      <w:r w:rsidRPr="004E5E22">
        <w:rPr>
          <w:rFonts w:ascii="Palatino Linotype" w:eastAsia="Palatino Linotype" w:hAnsi="Palatino Linotype" w:cs="Palatino Linotype"/>
          <w:i/>
          <w:sz w:val="22"/>
          <w:szCs w:val="22"/>
        </w:rPr>
        <w:t>Para los efectos de la presente Ley se entenderá por:</w:t>
      </w:r>
    </w:p>
    <w:p w14:paraId="7A63C6DF" w14:textId="77777777" w:rsidR="009F2EFE" w:rsidRPr="004E5E22" w:rsidRDefault="00D44E79">
      <w:pPr>
        <w:ind w:left="851" w:right="89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p>
    <w:p w14:paraId="60D1480E" w14:textId="77777777" w:rsidR="009F2EFE" w:rsidRPr="004E5E22" w:rsidRDefault="00D44E79">
      <w:pPr>
        <w:ind w:left="851" w:right="89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XI. Documento:</w:t>
      </w:r>
      <w:r w:rsidRPr="004E5E22">
        <w:rPr>
          <w:rFonts w:ascii="Palatino Linotype" w:eastAsia="Palatino Linotype" w:hAnsi="Palatino Linotype" w:cs="Palatino Linotype"/>
          <w:i/>
          <w:sz w:val="22"/>
          <w:szCs w:val="22"/>
        </w:rPr>
        <w:t xml:space="preserve"> Los expedientes, reportes, estudios, actas</w:t>
      </w:r>
      <w:r w:rsidRPr="004E5E22">
        <w:rPr>
          <w:rFonts w:ascii="Palatino Linotype" w:eastAsia="Palatino Linotype" w:hAnsi="Palatino Linotype" w:cs="Palatino Linotype"/>
          <w:b/>
          <w:i/>
          <w:sz w:val="22"/>
          <w:szCs w:val="22"/>
        </w:rPr>
        <w:t>,</w:t>
      </w:r>
      <w:r w:rsidRPr="004E5E2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7C6226B" w14:textId="77777777" w:rsidR="009F2EFE" w:rsidRPr="004E5E22" w:rsidRDefault="009F2EFE">
      <w:pPr>
        <w:ind w:left="851" w:right="899"/>
        <w:jc w:val="both"/>
        <w:rPr>
          <w:rFonts w:ascii="Palatino Linotype" w:eastAsia="Palatino Linotype" w:hAnsi="Palatino Linotype" w:cs="Palatino Linotype"/>
          <w:sz w:val="22"/>
          <w:szCs w:val="22"/>
        </w:rPr>
      </w:pPr>
    </w:p>
    <w:p w14:paraId="67233AD6"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4E5E2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4D950706" w14:textId="77777777" w:rsidR="009F2EFE" w:rsidRPr="004E5E22" w:rsidRDefault="009F2EFE">
      <w:pPr>
        <w:ind w:left="851" w:right="899"/>
        <w:jc w:val="both"/>
        <w:rPr>
          <w:rFonts w:ascii="Palatino Linotype" w:eastAsia="Palatino Linotype" w:hAnsi="Palatino Linotype" w:cs="Palatino Linotype"/>
        </w:rPr>
      </w:pPr>
    </w:p>
    <w:p w14:paraId="693B3E81" w14:textId="77777777" w:rsidR="009F2EFE" w:rsidRPr="004E5E22" w:rsidRDefault="00D44E79">
      <w:pPr>
        <w:ind w:left="851" w:right="899"/>
        <w:jc w:val="both"/>
        <w:rPr>
          <w:rFonts w:ascii="Palatino Linotype" w:eastAsia="Palatino Linotype" w:hAnsi="Palatino Linotype" w:cs="Palatino Linotype"/>
          <w:b/>
          <w:i/>
          <w:sz w:val="22"/>
          <w:szCs w:val="22"/>
        </w:rPr>
      </w:pPr>
      <w:r w:rsidRPr="004E5E22">
        <w:rPr>
          <w:rFonts w:ascii="Palatino Linotype" w:eastAsia="Palatino Linotype" w:hAnsi="Palatino Linotype" w:cs="Palatino Linotype"/>
          <w:b/>
          <w:sz w:val="22"/>
          <w:szCs w:val="22"/>
        </w:rPr>
        <w:t>“</w:t>
      </w:r>
      <w:r w:rsidRPr="004E5E22">
        <w:rPr>
          <w:rFonts w:ascii="Palatino Linotype" w:eastAsia="Palatino Linotype" w:hAnsi="Palatino Linotype" w:cs="Palatino Linotype"/>
          <w:b/>
          <w:i/>
          <w:sz w:val="22"/>
          <w:szCs w:val="22"/>
        </w:rPr>
        <w:t>CRITERIO 0002-11</w:t>
      </w:r>
    </w:p>
    <w:p w14:paraId="20D9C617" w14:textId="77777777" w:rsidR="009F2EFE" w:rsidRPr="004E5E22" w:rsidRDefault="00D44E79">
      <w:pPr>
        <w:ind w:left="851" w:right="89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E5E2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D91110F" w14:textId="77777777" w:rsidR="009F2EFE" w:rsidRPr="004E5E22" w:rsidRDefault="00D44E79">
      <w:pPr>
        <w:ind w:left="851" w:right="89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4848D7" w14:textId="77777777" w:rsidR="009F2EFE" w:rsidRPr="004E5E22" w:rsidRDefault="00D44E79">
      <w:pPr>
        <w:ind w:left="851" w:right="89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D1F1228" w14:textId="77777777" w:rsidR="009F2EFE" w:rsidRPr="004E5E22" w:rsidRDefault="00D44E79">
      <w:pPr>
        <w:ind w:left="851" w:right="899"/>
        <w:jc w:val="both"/>
        <w:rPr>
          <w:rFonts w:ascii="Palatino Linotype" w:eastAsia="Palatino Linotype" w:hAnsi="Palatino Linotype" w:cs="Palatino Linotype"/>
          <w:b/>
          <w:i/>
          <w:sz w:val="22"/>
          <w:szCs w:val="22"/>
        </w:rPr>
      </w:pPr>
      <w:r w:rsidRPr="004E5E2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C086F42" w14:textId="77777777" w:rsidR="009F2EFE" w:rsidRPr="004E5E22" w:rsidRDefault="00D44E79">
      <w:pPr>
        <w:ind w:left="851" w:right="899"/>
        <w:jc w:val="both"/>
        <w:rPr>
          <w:rFonts w:ascii="Palatino Linotype" w:eastAsia="Palatino Linotype" w:hAnsi="Palatino Linotype" w:cs="Palatino Linotype"/>
          <w:b/>
          <w:i/>
          <w:sz w:val="22"/>
          <w:szCs w:val="22"/>
        </w:rPr>
      </w:pPr>
      <w:r w:rsidRPr="004E5E2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4AA11204"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Temamatla, lo siguiente:</w:t>
      </w:r>
    </w:p>
    <w:p w14:paraId="203CF188" w14:textId="77777777" w:rsidR="009F2EFE" w:rsidRPr="004E5E22" w:rsidRDefault="00D44E79">
      <w:pPr>
        <w:numPr>
          <w:ilvl w:val="0"/>
          <w:numId w:val="1"/>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E5E22">
        <w:rPr>
          <w:rFonts w:ascii="Palatino Linotype" w:eastAsia="Palatino Linotype" w:hAnsi="Palatino Linotype" w:cs="Palatino Linotype"/>
        </w:rPr>
        <w:t>Todos los inmuebles municipales están escriturados, desde que fecha  y a favor de quien.</w:t>
      </w:r>
    </w:p>
    <w:p w14:paraId="5D0AAC38" w14:textId="77777777" w:rsidR="009F2EFE" w:rsidRPr="004E5E22" w:rsidRDefault="00D44E79">
      <w:pPr>
        <w:spacing w:before="240" w:after="240" w:line="360" w:lineRule="auto"/>
        <w:ind w:right="49"/>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respuesta, el </w:t>
      </w:r>
      <w:r w:rsidRPr="004E5E22">
        <w:rPr>
          <w:rFonts w:ascii="Palatino Linotype" w:eastAsia="Palatino Linotype" w:hAnsi="Palatino Linotype" w:cs="Palatino Linotype"/>
          <w:b/>
        </w:rPr>
        <w:t xml:space="preserve">SUJETO OBLIGADO </w:t>
      </w:r>
      <w:r w:rsidRPr="004E5E22">
        <w:rPr>
          <w:rFonts w:ascii="Palatino Linotype" w:eastAsia="Palatino Linotype" w:hAnsi="Palatino Linotype" w:cs="Palatino Linotype"/>
        </w:rPr>
        <w:t xml:space="preserve">a través de su Dirección del Patrimonio Municipal del Ayuntamiento de Temamatla, informó que desconoce si los bienes inmuebles están escriturados, haciendo de su conocimiento que son facultades </w:t>
      </w:r>
      <w:r w:rsidRPr="004E5E22">
        <w:rPr>
          <w:rFonts w:ascii="Palatino Linotype" w:eastAsia="Palatino Linotype" w:hAnsi="Palatino Linotype" w:cs="Palatino Linotype"/>
        </w:rPr>
        <w:lastRenderedPageBreak/>
        <w:t xml:space="preserve">mismas de la Sindicatura tal como lo establece el artículo 53, fracción VII y IX de la Ley Orgánica Municipal del Estado de México. </w:t>
      </w:r>
    </w:p>
    <w:p w14:paraId="7D7DDAEC" w14:textId="77777777" w:rsidR="009F2EFE" w:rsidRPr="004E5E22" w:rsidRDefault="00D44E79">
      <w:pPr>
        <w:spacing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No conforme con la respuesta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interpuso el recurso de revisión que se analiza en el presente asunto, por medio del cual se inconformó en lo medular por la solicitud no se turnó al área competente. </w:t>
      </w:r>
    </w:p>
    <w:p w14:paraId="6044963B"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Ante la interposición del recurso de revisión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fue omiso en rendir su informe justificado. </w:t>
      </w:r>
    </w:p>
    <w:p w14:paraId="42443112" w14:textId="77777777" w:rsidR="009F2EFE" w:rsidRPr="004E5E22" w:rsidRDefault="009F2EFE">
      <w:pPr>
        <w:spacing w:line="360" w:lineRule="auto"/>
        <w:jc w:val="both"/>
        <w:rPr>
          <w:rFonts w:ascii="Palatino Linotype" w:eastAsia="Palatino Linotype" w:hAnsi="Palatino Linotype" w:cs="Palatino Linotype"/>
        </w:rPr>
      </w:pPr>
    </w:p>
    <w:p w14:paraId="4D1B5EFF"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Con base en lo precedente, se determina que la información proporcionada por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por ello, los motivos de inconformidad acontecen fundados para revocar la respuesta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de acuerdo a las siguientes consideraciones:</w:t>
      </w:r>
    </w:p>
    <w:p w14:paraId="2E184636"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Antes del estudio de fondo, es de señalar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a la fecha de la solicitud de información; es decir, al diecinueve de septiembre del año dos mil veinticuatro, discernimiento que </w:t>
      </w:r>
      <w:r w:rsidRPr="004E5E22">
        <w:rPr>
          <w:rFonts w:ascii="Palatino Linotype" w:eastAsia="Palatino Linotype" w:hAnsi="Palatino Linotype" w:cs="Palatino Linotype"/>
        </w:rPr>
        <w:lastRenderedPageBreak/>
        <w:t xml:space="preserve">encuentra apoyado en los Criterios 1/2010 y 2/2010,  emitidos por el “Comité de Acceso a la Información y Protección de Datos personales” de la Suprema Corte de Justicia de la Nación, que disponen: </w:t>
      </w:r>
    </w:p>
    <w:p w14:paraId="744A5CD5"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rPr>
        <w:t xml:space="preserve"> </w:t>
      </w:r>
      <w:r w:rsidRPr="004E5E22">
        <w:rPr>
          <w:rFonts w:ascii="Palatino Linotype" w:eastAsia="Palatino Linotype" w:hAnsi="Palatino Linotype" w:cs="Palatino Linotype"/>
          <w:i/>
          <w:sz w:val="22"/>
          <w:szCs w:val="22"/>
        </w:rPr>
        <w:t>“Criterio 1/2010</w:t>
      </w:r>
    </w:p>
    <w:p w14:paraId="63D841B3"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7A5D66A3"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6C3769A8"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Clasificación de Información 69/2009-A. 30 de septiembre de 2009. Unanimidad de votos.”</w:t>
      </w:r>
    </w:p>
    <w:p w14:paraId="24DD4858"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“Criterio 2/2010.</w:t>
      </w:r>
    </w:p>
    <w:p w14:paraId="582D2A9D"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57C8B049"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491FC5E6" w14:textId="77777777" w:rsidR="009F2EFE" w:rsidRPr="004E5E22" w:rsidRDefault="00D44E79">
      <w:pPr>
        <w:ind w:left="567" w:right="616"/>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Clasificación de Información 69/2009-A. 30 de septiembre de 2009. Unanimidad de votos.”(Sic)</w:t>
      </w:r>
    </w:p>
    <w:p w14:paraId="62F7D92D" w14:textId="77777777" w:rsidR="009F2EFE" w:rsidRPr="004E5E22" w:rsidRDefault="009F2EFE">
      <w:pPr>
        <w:spacing w:line="360" w:lineRule="auto"/>
        <w:jc w:val="both"/>
        <w:rPr>
          <w:rFonts w:ascii="Palatino Linotype" w:eastAsia="Palatino Linotype" w:hAnsi="Palatino Linotype" w:cs="Palatino Linotype"/>
        </w:rPr>
      </w:pPr>
    </w:p>
    <w:p w14:paraId="59537E45" w14:textId="77777777" w:rsidR="009F2EFE" w:rsidRPr="004E5E22" w:rsidRDefault="00D44E79">
      <w:pPr>
        <w:spacing w:line="360" w:lineRule="auto"/>
        <w:ind w:right="-93"/>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No pasa desapercibido que el Ayuntamiento de Temamatla debe registrar sus bienes inmuebles e identificar los cuales se encuentren escriturados, los cuales deben ser </w:t>
      </w:r>
      <w:r w:rsidRPr="004E5E22">
        <w:rPr>
          <w:rFonts w:ascii="Palatino Linotype" w:eastAsia="Palatino Linotype" w:hAnsi="Palatino Linotype" w:cs="Palatino Linotype"/>
        </w:rPr>
        <w:lastRenderedPageBreak/>
        <w:t>reportados al Organismo Superior de Fiscalización del Estado de México, ya que de acuerdo a los Lineamientos para la Integración del Informe Trimestral Municipal, emitidos por el mismo Órgano Superior para el ejercicio fiscal 2024, en específico en el módulo cuatro se aprecia que se debe reportar la información de los bienes inmuebles, como así se aprecia en las siguientes imágenes que de manera ilustrativa se insertan a continuación:</w:t>
      </w:r>
    </w:p>
    <w:p w14:paraId="731FFE9F" w14:textId="77777777" w:rsidR="009F2EFE" w:rsidRPr="004E5E22" w:rsidRDefault="009F2EFE">
      <w:pPr>
        <w:spacing w:line="360" w:lineRule="auto"/>
        <w:jc w:val="both"/>
      </w:pPr>
    </w:p>
    <w:p w14:paraId="2D7806A2"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noProof/>
        </w:rPr>
        <w:drawing>
          <wp:inline distT="0" distB="0" distL="0" distR="0" wp14:anchorId="0DB0A4FA" wp14:editId="4CB5D081">
            <wp:extent cx="5630293" cy="4951599"/>
            <wp:effectExtent l="0" t="0" r="0" b="0"/>
            <wp:docPr id="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30293" cy="4951599"/>
                    </a:xfrm>
                    <a:prstGeom prst="rect">
                      <a:avLst/>
                    </a:prstGeom>
                    <a:ln/>
                  </pic:spPr>
                </pic:pic>
              </a:graphicData>
            </a:graphic>
          </wp:inline>
        </w:drawing>
      </w:r>
    </w:p>
    <w:p w14:paraId="70A34BD7"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noProof/>
        </w:rPr>
        <w:lastRenderedPageBreak/>
        <w:drawing>
          <wp:inline distT="0" distB="0" distL="0" distR="0" wp14:anchorId="760CBBDA" wp14:editId="618F95FA">
            <wp:extent cx="5415954" cy="7318755"/>
            <wp:effectExtent l="0" t="0" r="0" b="0"/>
            <wp:docPr id="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415954" cy="7318755"/>
                    </a:xfrm>
                    <a:prstGeom prst="rect">
                      <a:avLst/>
                    </a:prstGeom>
                    <a:ln/>
                  </pic:spPr>
                </pic:pic>
              </a:graphicData>
            </a:graphic>
          </wp:inline>
        </w:drawing>
      </w:r>
      <w:r w:rsidRPr="004E5E22">
        <w:rPr>
          <w:noProof/>
        </w:rPr>
        <mc:AlternateContent>
          <mc:Choice Requires="wpg">
            <w:drawing>
              <wp:anchor distT="0" distB="0" distL="114300" distR="114300" simplePos="0" relativeHeight="251658240" behindDoc="0" locked="0" layoutInCell="1" hidden="0" allowOverlap="1" wp14:anchorId="5C79745B" wp14:editId="3A71AD69">
                <wp:simplePos x="0" y="0"/>
                <wp:positionH relativeFrom="column">
                  <wp:posOffset>4140200</wp:posOffset>
                </wp:positionH>
                <wp:positionV relativeFrom="paragraph">
                  <wp:posOffset>4445000</wp:posOffset>
                </wp:positionV>
                <wp:extent cx="697837" cy="338809"/>
                <wp:effectExtent l="0" t="0" r="0" b="0"/>
                <wp:wrapNone/>
                <wp:docPr id="76" name="Flecha: hacia la izquierda 76"/>
                <wp:cNvGraphicFramePr/>
                <a:graphic xmlns:a="http://schemas.openxmlformats.org/drawingml/2006/main">
                  <a:graphicData uri="http://schemas.microsoft.com/office/word/2010/wordprocessingShape">
                    <wps:wsp>
                      <wps:cNvSpPr/>
                      <wps:spPr>
                        <a:xfrm>
                          <a:off x="5006607" y="3620121"/>
                          <a:ext cx="678787" cy="319759"/>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3DADBEC3" w14:textId="77777777" w:rsidR="009F2EFE" w:rsidRDefault="009F2EF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4140200</wp:posOffset>
                </wp:positionH>
                <wp:positionV relativeFrom="paragraph">
                  <wp:posOffset>4445000</wp:posOffset>
                </wp:positionV>
                <wp:extent cx="697837" cy="338809"/>
                <wp:effectExtent b="0" l="0" r="0" t="0"/>
                <wp:wrapNone/>
                <wp:docPr id="7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97837" cy="338809"/>
                        </a:xfrm>
                        <a:prstGeom prst="rect"/>
                        <a:ln/>
                      </pic:spPr>
                    </pic:pic>
                  </a:graphicData>
                </a:graphic>
              </wp:anchor>
            </w:drawing>
          </mc:Fallback>
        </mc:AlternateContent>
      </w:r>
    </w:p>
    <w:p w14:paraId="43A172E3"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noProof/>
        </w:rPr>
        <w:lastRenderedPageBreak/>
        <w:drawing>
          <wp:inline distT="0" distB="0" distL="0" distR="0" wp14:anchorId="361673A1" wp14:editId="165EC334">
            <wp:extent cx="4953691" cy="1895740"/>
            <wp:effectExtent l="0" t="0" r="0" b="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953691" cy="1895740"/>
                    </a:xfrm>
                    <a:prstGeom prst="rect">
                      <a:avLst/>
                    </a:prstGeom>
                    <a:ln/>
                  </pic:spPr>
                </pic:pic>
              </a:graphicData>
            </a:graphic>
          </wp:inline>
        </w:drawing>
      </w:r>
      <w:r w:rsidRPr="004E5E22">
        <w:rPr>
          <w:noProof/>
        </w:rPr>
        <mc:AlternateContent>
          <mc:Choice Requires="wpg">
            <w:drawing>
              <wp:anchor distT="0" distB="0" distL="114300" distR="114300" simplePos="0" relativeHeight="251659264" behindDoc="0" locked="0" layoutInCell="1" hidden="0" allowOverlap="1" wp14:anchorId="4C7361F4" wp14:editId="0181B319">
                <wp:simplePos x="0" y="0"/>
                <wp:positionH relativeFrom="column">
                  <wp:posOffset>2971800</wp:posOffset>
                </wp:positionH>
                <wp:positionV relativeFrom="paragraph">
                  <wp:posOffset>749300</wp:posOffset>
                </wp:positionV>
                <wp:extent cx="697837" cy="338809"/>
                <wp:effectExtent l="0" t="0" r="0" b="0"/>
                <wp:wrapNone/>
                <wp:docPr id="80" name="Flecha: hacia la izquierda 80"/>
                <wp:cNvGraphicFramePr/>
                <a:graphic xmlns:a="http://schemas.openxmlformats.org/drawingml/2006/main">
                  <a:graphicData uri="http://schemas.microsoft.com/office/word/2010/wordprocessingShape">
                    <wps:wsp>
                      <wps:cNvSpPr/>
                      <wps:spPr>
                        <a:xfrm>
                          <a:off x="5006607" y="3620121"/>
                          <a:ext cx="678787" cy="319759"/>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AF711F7" w14:textId="77777777" w:rsidR="009F2EFE" w:rsidRDefault="009F2EF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2971800</wp:posOffset>
                </wp:positionH>
                <wp:positionV relativeFrom="paragraph">
                  <wp:posOffset>749300</wp:posOffset>
                </wp:positionV>
                <wp:extent cx="697837" cy="338809"/>
                <wp:effectExtent b="0" l="0" r="0" t="0"/>
                <wp:wrapNone/>
                <wp:docPr id="8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697837" cy="338809"/>
                        </a:xfrm>
                        <a:prstGeom prst="rect"/>
                        <a:ln/>
                      </pic:spPr>
                    </pic:pic>
                  </a:graphicData>
                </a:graphic>
              </wp:anchor>
            </w:drawing>
          </mc:Fallback>
        </mc:AlternateContent>
      </w:r>
    </w:p>
    <w:p w14:paraId="23C14B01"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De las anteriores imágenes se acredita que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debe tener previamente toda la documentación relacionada con sus bienes inmuebles propiedad del Municipio de Temamatla, para así integrar el reporte semestral del inventario de sus bienes inmuebles, integración que se enfatiza en el formato, que se deberá anotar nombre del inmueble, número de escritura y el número registro de la propiedad.</w:t>
      </w:r>
      <w:r w:rsidRPr="004E5E22">
        <w:rPr>
          <w:noProof/>
        </w:rPr>
        <mc:AlternateContent>
          <mc:Choice Requires="wpg">
            <w:drawing>
              <wp:anchor distT="0" distB="0" distL="114300" distR="114300" simplePos="0" relativeHeight="251660288" behindDoc="0" locked="0" layoutInCell="1" hidden="0" allowOverlap="1" wp14:anchorId="67C0774F" wp14:editId="5DADF880">
                <wp:simplePos x="0" y="0"/>
                <wp:positionH relativeFrom="column">
                  <wp:posOffset>38101</wp:posOffset>
                </wp:positionH>
                <wp:positionV relativeFrom="paragraph">
                  <wp:posOffset>6553200</wp:posOffset>
                </wp:positionV>
                <wp:extent cx="4824161" cy="328904"/>
                <wp:effectExtent l="0" t="0" r="0" b="0"/>
                <wp:wrapNone/>
                <wp:docPr id="81" name="Rectángulo 81"/>
                <wp:cNvGraphicFramePr/>
                <a:graphic xmlns:a="http://schemas.openxmlformats.org/drawingml/2006/main">
                  <a:graphicData uri="http://schemas.microsoft.com/office/word/2010/wordprocessingShape">
                    <wps:wsp>
                      <wps:cNvSpPr/>
                      <wps:spPr>
                        <a:xfrm>
                          <a:off x="2991070" y="3672698"/>
                          <a:ext cx="4709861" cy="214604"/>
                        </a:xfrm>
                        <a:prstGeom prst="rect">
                          <a:avLst/>
                        </a:prstGeom>
                        <a:noFill/>
                        <a:ln w="28575" cap="flat" cmpd="sng">
                          <a:solidFill>
                            <a:srgbClr val="395E89"/>
                          </a:solidFill>
                          <a:prstDash val="solid"/>
                          <a:round/>
                          <a:headEnd type="none" w="sm" len="sm"/>
                          <a:tailEnd type="none" w="sm" len="sm"/>
                        </a:ln>
                      </wps:spPr>
                      <wps:txbx>
                        <w:txbxContent>
                          <w:p w14:paraId="32B495F3" w14:textId="77777777" w:rsidR="009F2EFE" w:rsidRDefault="009F2EF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38101</wp:posOffset>
                </wp:positionH>
                <wp:positionV relativeFrom="paragraph">
                  <wp:posOffset>6553200</wp:posOffset>
                </wp:positionV>
                <wp:extent cx="4824161" cy="328904"/>
                <wp:effectExtent b="0" l="0" r="0" t="0"/>
                <wp:wrapNone/>
                <wp:docPr id="81"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4824161" cy="328904"/>
                        </a:xfrm>
                        <a:prstGeom prst="rect"/>
                        <a:ln/>
                      </pic:spPr>
                    </pic:pic>
                  </a:graphicData>
                </a:graphic>
              </wp:anchor>
            </w:drawing>
          </mc:Fallback>
        </mc:AlternateContent>
      </w:r>
    </w:p>
    <w:p w14:paraId="4967255A" w14:textId="77777777" w:rsidR="009F2EFE" w:rsidRPr="004E5E22" w:rsidRDefault="009F2EFE">
      <w:pPr>
        <w:spacing w:line="360" w:lineRule="auto"/>
        <w:jc w:val="both"/>
        <w:rPr>
          <w:rFonts w:ascii="Palatino Linotype" w:eastAsia="Palatino Linotype" w:hAnsi="Palatino Linotype" w:cs="Palatino Linotype"/>
        </w:rPr>
      </w:pPr>
    </w:p>
    <w:p w14:paraId="1510CC2F"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cuanto a la fecha solicitada por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del mismo formato de inventario de bienes inmuebles, se observa que se debe registrar el día, mes y año en que se adquirió el bien inmueble por parte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y la fecha de alta, la cual corresponde a la fecha del movimiento.</w:t>
      </w:r>
    </w:p>
    <w:p w14:paraId="4075DC6C" w14:textId="77777777" w:rsidR="009F2EFE" w:rsidRPr="004E5E22" w:rsidRDefault="009F2EFE">
      <w:pPr>
        <w:spacing w:line="360" w:lineRule="auto"/>
        <w:jc w:val="both"/>
        <w:rPr>
          <w:rFonts w:ascii="Palatino Linotype" w:eastAsia="Palatino Linotype" w:hAnsi="Palatino Linotype" w:cs="Palatino Linotype"/>
        </w:rPr>
      </w:pPr>
    </w:p>
    <w:p w14:paraId="049601AA"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Lo que se robustece con lo señalada por los Lineamientos para el Registro y Control del Inventario y la conciliación y Desincorporación de Bienes Muebles e Inmuebles para las Entidades Fiscalizables Municipales del Estado de México, que señalan sobre el inventario de bienes inmuebles, lo siguiente:</w:t>
      </w:r>
    </w:p>
    <w:p w14:paraId="09CA95DA"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noProof/>
        </w:rPr>
        <w:lastRenderedPageBreak/>
        <w:drawing>
          <wp:inline distT="0" distB="0" distL="0" distR="0" wp14:anchorId="762333E4" wp14:editId="3F8AB986">
            <wp:extent cx="5619875" cy="7180051"/>
            <wp:effectExtent l="0" t="0" r="0" b="0"/>
            <wp:docPr id="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9875" cy="7180051"/>
                    </a:xfrm>
                    <a:prstGeom prst="rect">
                      <a:avLst/>
                    </a:prstGeom>
                    <a:ln/>
                  </pic:spPr>
                </pic:pic>
              </a:graphicData>
            </a:graphic>
          </wp:inline>
        </w:drawing>
      </w:r>
    </w:p>
    <w:p w14:paraId="3BE37D6C" w14:textId="77777777" w:rsidR="009F2EFE" w:rsidRPr="004E5E22" w:rsidRDefault="00D44E79">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noProof/>
        </w:rPr>
        <w:lastRenderedPageBreak/>
        <w:drawing>
          <wp:inline distT="0" distB="0" distL="0" distR="0" wp14:anchorId="47FC21B8" wp14:editId="2EA67A18">
            <wp:extent cx="5613644" cy="7300339"/>
            <wp:effectExtent l="0" t="0" r="0" b="0"/>
            <wp:docPr id="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13644" cy="7300339"/>
                    </a:xfrm>
                    <a:prstGeom prst="rect">
                      <a:avLst/>
                    </a:prstGeom>
                    <a:ln/>
                  </pic:spPr>
                </pic:pic>
              </a:graphicData>
            </a:graphic>
          </wp:inline>
        </w:drawing>
      </w:r>
      <w:r w:rsidRPr="004E5E22">
        <w:rPr>
          <w:noProof/>
        </w:rPr>
        <mc:AlternateContent>
          <mc:Choice Requires="wpg">
            <w:drawing>
              <wp:anchor distT="0" distB="0" distL="114300" distR="114300" simplePos="0" relativeHeight="251661312" behindDoc="0" locked="0" layoutInCell="1" hidden="0" allowOverlap="1" wp14:anchorId="43A6B3EC" wp14:editId="6D515054">
                <wp:simplePos x="0" y="0"/>
                <wp:positionH relativeFrom="column">
                  <wp:posOffset>3517900</wp:posOffset>
                </wp:positionH>
                <wp:positionV relativeFrom="paragraph">
                  <wp:posOffset>5549900</wp:posOffset>
                </wp:positionV>
                <wp:extent cx="422956" cy="237833"/>
                <wp:effectExtent l="0" t="0" r="0" b="0"/>
                <wp:wrapNone/>
                <wp:docPr id="78" name="Flecha: hacia la izquierda 78"/>
                <wp:cNvGraphicFramePr/>
                <a:graphic xmlns:a="http://schemas.openxmlformats.org/drawingml/2006/main">
                  <a:graphicData uri="http://schemas.microsoft.com/office/word/2010/wordprocessingShape">
                    <wps:wsp>
                      <wps:cNvSpPr/>
                      <wps:spPr>
                        <a:xfrm>
                          <a:off x="5144047" y="3670609"/>
                          <a:ext cx="403906" cy="218783"/>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1685FC58" w14:textId="77777777" w:rsidR="009F2EFE" w:rsidRDefault="009F2EF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3517900</wp:posOffset>
                </wp:positionH>
                <wp:positionV relativeFrom="paragraph">
                  <wp:posOffset>5549900</wp:posOffset>
                </wp:positionV>
                <wp:extent cx="422956" cy="237833"/>
                <wp:effectExtent b="0" l="0" r="0" t="0"/>
                <wp:wrapNone/>
                <wp:docPr id="78"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422956" cy="237833"/>
                        </a:xfrm>
                        <a:prstGeom prst="rect"/>
                        <a:ln/>
                      </pic:spPr>
                    </pic:pic>
                  </a:graphicData>
                </a:graphic>
              </wp:anchor>
            </w:drawing>
          </mc:Fallback>
        </mc:AlternateContent>
      </w:r>
      <w:r w:rsidRPr="004E5E22">
        <w:rPr>
          <w:noProof/>
        </w:rPr>
        <mc:AlternateContent>
          <mc:Choice Requires="wpg">
            <w:drawing>
              <wp:anchor distT="0" distB="0" distL="114300" distR="114300" simplePos="0" relativeHeight="251662336" behindDoc="0" locked="0" layoutInCell="1" hidden="0" allowOverlap="1" wp14:anchorId="6383A06C" wp14:editId="4BAE3D74">
                <wp:simplePos x="0" y="0"/>
                <wp:positionH relativeFrom="column">
                  <wp:posOffset>4851400</wp:posOffset>
                </wp:positionH>
                <wp:positionV relativeFrom="paragraph">
                  <wp:posOffset>5956300</wp:posOffset>
                </wp:positionV>
                <wp:extent cx="422956" cy="237833"/>
                <wp:effectExtent l="0" t="0" r="0" b="0"/>
                <wp:wrapNone/>
                <wp:docPr id="79" name="Flecha: hacia la izquierda 79"/>
                <wp:cNvGraphicFramePr/>
                <a:graphic xmlns:a="http://schemas.openxmlformats.org/drawingml/2006/main">
                  <a:graphicData uri="http://schemas.microsoft.com/office/word/2010/wordprocessingShape">
                    <wps:wsp>
                      <wps:cNvSpPr/>
                      <wps:spPr>
                        <a:xfrm>
                          <a:off x="5144047" y="3670609"/>
                          <a:ext cx="403906" cy="218783"/>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6AC0CB36" w14:textId="77777777" w:rsidR="009F2EFE" w:rsidRDefault="009F2EF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4851400</wp:posOffset>
                </wp:positionH>
                <wp:positionV relativeFrom="paragraph">
                  <wp:posOffset>5956300</wp:posOffset>
                </wp:positionV>
                <wp:extent cx="422956" cy="237833"/>
                <wp:effectExtent b="0" l="0" r="0" t="0"/>
                <wp:wrapNone/>
                <wp:docPr id="79"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422956" cy="237833"/>
                        </a:xfrm>
                        <a:prstGeom prst="rect"/>
                        <a:ln/>
                      </pic:spPr>
                    </pic:pic>
                  </a:graphicData>
                </a:graphic>
              </wp:anchor>
            </w:drawing>
          </mc:Fallback>
        </mc:AlternateContent>
      </w:r>
      <w:r w:rsidRPr="004E5E22">
        <w:rPr>
          <w:noProof/>
        </w:rPr>
        <mc:AlternateContent>
          <mc:Choice Requires="wpg">
            <w:drawing>
              <wp:anchor distT="0" distB="0" distL="114300" distR="114300" simplePos="0" relativeHeight="251663360" behindDoc="0" locked="0" layoutInCell="1" hidden="0" allowOverlap="1" wp14:anchorId="76786C65" wp14:editId="04E3560E">
                <wp:simplePos x="0" y="0"/>
                <wp:positionH relativeFrom="column">
                  <wp:posOffset>4140200</wp:posOffset>
                </wp:positionH>
                <wp:positionV relativeFrom="paragraph">
                  <wp:posOffset>1117600</wp:posOffset>
                </wp:positionV>
                <wp:extent cx="422956" cy="355639"/>
                <wp:effectExtent l="0" t="0" r="0" b="0"/>
                <wp:wrapNone/>
                <wp:docPr id="77" name="Flecha: hacia la izquierda 77"/>
                <wp:cNvGraphicFramePr/>
                <a:graphic xmlns:a="http://schemas.openxmlformats.org/drawingml/2006/main">
                  <a:graphicData uri="http://schemas.microsoft.com/office/word/2010/wordprocessingShape">
                    <wps:wsp>
                      <wps:cNvSpPr/>
                      <wps:spPr>
                        <a:xfrm>
                          <a:off x="5144047" y="3611706"/>
                          <a:ext cx="403906" cy="336589"/>
                        </a:xfrm>
                        <a:prstGeom prst="leftArrow">
                          <a:avLst>
                            <a:gd name="adj1" fmla="val 50000"/>
                            <a:gd name="adj2" fmla="val 50000"/>
                          </a:avLst>
                        </a:prstGeom>
                        <a:gradFill>
                          <a:gsLst>
                            <a:gs pos="0">
                              <a:srgbClr val="3E7FCD"/>
                            </a:gs>
                            <a:gs pos="100000">
                              <a:srgbClr val="96C0FF"/>
                            </a:gs>
                          </a:gsLst>
                          <a:lin ang="16200000" scaled="0"/>
                        </a:gradFill>
                        <a:ln w="9525" cap="flat" cmpd="sng">
                          <a:solidFill>
                            <a:srgbClr val="4A7DBA"/>
                          </a:solidFill>
                          <a:prstDash val="solid"/>
                          <a:round/>
                          <a:headEnd type="none" w="sm" len="sm"/>
                          <a:tailEnd type="none" w="sm" len="sm"/>
                        </a:ln>
                      </wps:spPr>
                      <wps:txbx>
                        <w:txbxContent>
                          <w:p w14:paraId="2D648025" w14:textId="77777777" w:rsidR="009F2EFE" w:rsidRDefault="009F2EFE">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4140200</wp:posOffset>
                </wp:positionH>
                <wp:positionV relativeFrom="paragraph">
                  <wp:posOffset>1117600</wp:posOffset>
                </wp:positionV>
                <wp:extent cx="422956" cy="355639"/>
                <wp:effectExtent b="0" l="0" r="0" t="0"/>
                <wp:wrapNone/>
                <wp:docPr id="77"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422956" cy="355639"/>
                        </a:xfrm>
                        <a:prstGeom prst="rect"/>
                        <a:ln/>
                      </pic:spPr>
                    </pic:pic>
                  </a:graphicData>
                </a:graphic>
              </wp:anchor>
            </w:drawing>
          </mc:Fallback>
        </mc:AlternateContent>
      </w:r>
    </w:p>
    <w:p w14:paraId="214F7F0A" w14:textId="61C0AD94" w:rsidR="009F2EFE" w:rsidRPr="004E5E22" w:rsidRDefault="00D44E79">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lastRenderedPageBreak/>
        <w:t xml:space="preserve">De lo anterior se observa </w:t>
      </w:r>
      <w:r w:rsidR="004E5E22" w:rsidRPr="004E5E22">
        <w:rPr>
          <w:rFonts w:ascii="Palatino Linotype" w:eastAsia="Palatino Linotype" w:hAnsi="Palatino Linotype" w:cs="Palatino Linotype"/>
        </w:rPr>
        <w:t>que,</w:t>
      </w:r>
      <w:r w:rsidRPr="004E5E22">
        <w:rPr>
          <w:rFonts w:ascii="Palatino Linotype" w:eastAsia="Palatino Linotype" w:hAnsi="Palatino Linotype" w:cs="Palatino Linotype"/>
        </w:rPr>
        <w:t xml:space="preserve"> en la cédula de inventario de bienes inmuebles, se debe registrar el día, mes y año de la elaboración o actualización de la cédula, día, mes y año en que se adquirió el bien inmueble y la fecha en que se registra el alta.</w:t>
      </w:r>
    </w:p>
    <w:p w14:paraId="01C95E34" w14:textId="77777777" w:rsidR="009F2EFE" w:rsidRPr="004E5E22" w:rsidRDefault="00D44E79">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Luego entonces con dichos formatos, darían cuenta también de la fecha solicitada por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y con la entrega de los mismos el solicitante podría advertir la fecha de la elaboración o actualización de la cédula, día, mes y año en que se adquirió el bien inmueble y la fecha en que se registra el alta; de los bienes inmuebles escriturados a favor del Ayuntamiento de Temamatla. </w:t>
      </w:r>
    </w:p>
    <w:p w14:paraId="252FB3E1" w14:textId="77777777" w:rsidR="009F2EFE" w:rsidRPr="004E5E22" w:rsidRDefault="00D44E79">
      <w:p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Indicado lo anterior y toda vez que de la respuesta se advierte que la única área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que se pronunció fue la Dirección de Patrimonio Municipal; por ello, se acredita que el Ayuntamiento de Temamatla, no siguió el procedimiento establecido por el artículo 162 de la Ley de Transparencia y Acceso a la Información Pública del Estado de México y Municipios, ya que, no se puede perder de vista que para otorgar respuesta a la solicitud inicial,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3214810E" w14:textId="77777777" w:rsidR="009F2EFE" w:rsidRPr="004E5E22" w:rsidRDefault="00D44E79">
      <w:pPr>
        <w:spacing w:before="240" w:after="240"/>
        <w:ind w:left="709" w:right="902"/>
        <w:jc w:val="both"/>
        <w:rPr>
          <w:rFonts w:ascii="Palatino Linotype" w:eastAsia="Palatino Linotype" w:hAnsi="Palatino Linotype" w:cs="Palatino Linotype"/>
          <w:i/>
          <w:sz w:val="20"/>
          <w:szCs w:val="20"/>
        </w:rPr>
      </w:pPr>
      <w:r w:rsidRPr="004E5E22">
        <w:rPr>
          <w:rFonts w:ascii="Palatino Linotype" w:eastAsia="Palatino Linotype" w:hAnsi="Palatino Linotype" w:cs="Palatino Linotype"/>
          <w:i/>
          <w:sz w:val="20"/>
          <w:szCs w:val="2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7A7B70C" w14:textId="77777777" w:rsidR="009F2EFE" w:rsidRPr="004E5E22" w:rsidRDefault="00D44E79">
      <w:pPr>
        <w:shd w:val="clear" w:color="auto" w:fill="FFFFFF"/>
        <w:spacing w:before="240" w:after="240" w:line="360" w:lineRule="auto"/>
        <w:jc w:val="both"/>
      </w:pPr>
      <w:r w:rsidRPr="004E5E22">
        <w:rPr>
          <w:rFonts w:ascii="Palatino Linotype" w:eastAsia="Palatino Linotype" w:hAnsi="Palatino Linotype" w:cs="Palatino Linotype"/>
        </w:rPr>
        <w:lastRenderedPageBreak/>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582633B4" w14:textId="77777777" w:rsidR="009F2EFE" w:rsidRPr="004E5E22" w:rsidRDefault="00D44E79">
      <w:pPr>
        <w:spacing w:before="240" w:after="240"/>
        <w:ind w:left="709" w:right="902"/>
        <w:jc w:val="both"/>
        <w:rPr>
          <w:rFonts w:ascii="Palatino Linotype" w:eastAsia="Palatino Linotype" w:hAnsi="Palatino Linotype" w:cs="Palatino Linotype"/>
          <w:i/>
          <w:sz w:val="20"/>
          <w:szCs w:val="20"/>
        </w:rPr>
      </w:pPr>
      <w:r w:rsidRPr="004E5E22">
        <w:rPr>
          <w:rFonts w:ascii="Palatino Linotype" w:eastAsia="Palatino Linotype" w:hAnsi="Palatino Linotype" w:cs="Palatino Linotype"/>
          <w:i/>
          <w:sz w:val="20"/>
          <w:szCs w:val="20"/>
        </w:rPr>
        <w:t>“</w:t>
      </w:r>
      <w:r w:rsidRPr="004E5E22">
        <w:rPr>
          <w:rFonts w:ascii="Palatino Linotype" w:eastAsia="Palatino Linotype" w:hAnsi="Palatino Linotype" w:cs="Palatino Linotype"/>
          <w:b/>
          <w:i/>
          <w:sz w:val="20"/>
          <w:szCs w:val="20"/>
        </w:rPr>
        <w:t>Artículo 162</w:t>
      </w:r>
      <w:r w:rsidRPr="004E5E22">
        <w:rPr>
          <w:rFonts w:ascii="Palatino Linotype" w:eastAsia="Palatino Linotype" w:hAnsi="Palatino Linotype" w:cs="Palatino Linotype"/>
          <w:i/>
          <w:sz w:val="20"/>
          <w:szCs w:val="2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C9A7341" w14:textId="77777777" w:rsidR="009F2EFE" w:rsidRPr="004E5E22" w:rsidRDefault="00D44E79">
      <w:pPr>
        <w:shd w:val="clear" w:color="auto" w:fill="FFFFFF"/>
        <w:spacing w:line="360" w:lineRule="auto"/>
        <w:jc w:val="both"/>
      </w:pPr>
      <w:r w:rsidRPr="004E5E22">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4E5E22">
        <w:rPr>
          <w:rFonts w:ascii="Palatino Linotype" w:eastAsia="Palatino Linotype" w:hAnsi="Palatino Linotype" w:cs="Palatino Linotype"/>
          <w:vertAlign w:val="superscript"/>
        </w:rPr>
        <w:footnoteReference w:id="1"/>
      </w:r>
      <w:r w:rsidRPr="004E5E22">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5C446FE9" w14:textId="77777777" w:rsidR="009F2EFE" w:rsidRPr="004E5E22" w:rsidRDefault="009F2EFE">
      <w:pPr>
        <w:shd w:val="clear" w:color="auto" w:fill="FFFFFF"/>
        <w:ind w:left="993" w:right="1041"/>
        <w:jc w:val="both"/>
        <w:rPr>
          <w:rFonts w:ascii="Palatino Linotype" w:eastAsia="Palatino Linotype" w:hAnsi="Palatino Linotype" w:cs="Palatino Linotype"/>
          <w:b/>
          <w:i/>
          <w:sz w:val="22"/>
          <w:szCs w:val="22"/>
        </w:rPr>
      </w:pPr>
    </w:p>
    <w:p w14:paraId="48861BAE" w14:textId="77777777" w:rsidR="009F2EFE" w:rsidRPr="004E5E22" w:rsidRDefault="00D44E79">
      <w:pPr>
        <w:shd w:val="clear" w:color="auto" w:fill="FFFFFF"/>
        <w:ind w:left="993" w:right="1041"/>
        <w:jc w:val="both"/>
      </w:pPr>
      <w:r w:rsidRPr="004E5E22">
        <w:rPr>
          <w:rFonts w:ascii="Palatino Linotype" w:eastAsia="Palatino Linotype" w:hAnsi="Palatino Linotype" w:cs="Palatino Linotype"/>
          <w:b/>
          <w:i/>
          <w:sz w:val="22"/>
          <w:szCs w:val="22"/>
        </w:rPr>
        <w:t>“Artículo 160. </w:t>
      </w:r>
      <w:r w:rsidRPr="004E5E22">
        <w:rPr>
          <w:rFonts w:ascii="Palatino Linotype" w:eastAsia="Palatino Linotype" w:hAnsi="Palatino Linotype" w:cs="Palatino Linotype"/>
          <w:i/>
          <w:sz w:val="22"/>
          <w:szCs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w:t>
      </w:r>
      <w:r w:rsidRPr="004E5E22">
        <w:rPr>
          <w:rFonts w:ascii="Palatino Linotype" w:eastAsia="Palatino Linotype" w:hAnsi="Palatino Linotype" w:cs="Palatino Linotype"/>
          <w:i/>
          <w:sz w:val="22"/>
          <w:szCs w:val="22"/>
        </w:rPr>
        <w:lastRenderedPageBreak/>
        <w:t>características físicas de la información o del lugar donde se encuentre así lo permita.</w:t>
      </w:r>
    </w:p>
    <w:p w14:paraId="5BE0BA7A" w14:textId="77777777" w:rsidR="009F2EFE" w:rsidRPr="004E5E22" w:rsidRDefault="00D44E79">
      <w:pPr>
        <w:shd w:val="clear" w:color="auto" w:fill="FFFFFF"/>
        <w:ind w:left="993" w:right="1041"/>
        <w:jc w:val="both"/>
      </w:pPr>
      <w:r w:rsidRPr="004E5E2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575EB31C" w14:textId="77777777" w:rsidR="009F2EFE" w:rsidRPr="004E5E22" w:rsidRDefault="00D44E79">
      <w:pPr>
        <w:shd w:val="clear" w:color="auto" w:fill="FFFFFF"/>
        <w:ind w:left="993" w:right="1041"/>
        <w:jc w:val="both"/>
      </w:pPr>
      <w:r w:rsidRPr="004E5E22">
        <w:rPr>
          <w:rFonts w:ascii="Palatino Linotype" w:eastAsia="Palatino Linotype" w:hAnsi="Palatino Linotype" w:cs="Palatino Linotype"/>
          <w:b/>
          <w:i/>
          <w:sz w:val="22"/>
          <w:szCs w:val="22"/>
        </w:rPr>
        <w:t>Artículo 163.</w:t>
      </w:r>
      <w:r w:rsidRPr="004E5E22">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670A1C60" w14:textId="77777777" w:rsidR="009F2EFE" w:rsidRPr="004E5E22" w:rsidRDefault="00D44E79">
      <w:pPr>
        <w:shd w:val="clear" w:color="auto" w:fill="FFFFFF"/>
        <w:ind w:left="993" w:right="1041"/>
        <w:jc w:val="both"/>
      </w:pPr>
      <w:r w:rsidRPr="004E5E22">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9EF7B99" w14:textId="77777777" w:rsidR="009F2EFE" w:rsidRPr="004E5E22" w:rsidRDefault="00D44E79">
      <w:pPr>
        <w:shd w:val="clear" w:color="auto" w:fill="FFFFFF"/>
        <w:ind w:left="993" w:right="1041"/>
        <w:jc w:val="both"/>
      </w:pPr>
      <w:r w:rsidRPr="004E5E22">
        <w:rPr>
          <w:rFonts w:ascii="Palatino Linotype" w:eastAsia="Palatino Linotype" w:hAnsi="Palatino Linotype" w:cs="Palatino Linotype"/>
          <w:b/>
          <w:i/>
          <w:sz w:val="22"/>
          <w:szCs w:val="22"/>
        </w:rPr>
        <w:t>Artículo 165.</w:t>
      </w:r>
      <w:r w:rsidRPr="004E5E22">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43656590" w14:textId="77777777" w:rsidR="009F2EFE" w:rsidRPr="004E5E22" w:rsidRDefault="00D44E79">
      <w:pPr>
        <w:shd w:val="clear" w:color="auto" w:fill="FFFFFF"/>
        <w:ind w:left="993" w:right="1041"/>
        <w:jc w:val="both"/>
      </w:pPr>
      <w:r w:rsidRPr="004E5E22">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23F61C02" w14:textId="77777777" w:rsidR="009F2EFE" w:rsidRPr="004E5E22" w:rsidRDefault="00D44E79">
      <w:pPr>
        <w:shd w:val="clear" w:color="auto" w:fill="FFFFFF"/>
        <w:spacing w:after="240"/>
        <w:ind w:left="993" w:right="1041"/>
        <w:jc w:val="both"/>
      </w:pPr>
      <w:r w:rsidRPr="004E5E22">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339D3246" w14:textId="77777777" w:rsidR="009F2EFE" w:rsidRPr="004E5E22" w:rsidRDefault="00D44E79">
      <w:pPr>
        <w:shd w:val="clear" w:color="auto" w:fill="FFFFFF"/>
        <w:spacing w:before="240" w:after="240" w:line="360" w:lineRule="auto"/>
        <w:jc w:val="both"/>
      </w:pPr>
      <w:r w:rsidRPr="004E5E22">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4E5E22">
        <w:rPr>
          <w:rFonts w:ascii="Palatino Linotype" w:eastAsia="Palatino Linotype" w:hAnsi="Palatino Linotype" w:cs="Palatino Linotype"/>
          <w:vertAlign w:val="superscript"/>
        </w:rPr>
        <w:footnoteReference w:id="2"/>
      </w:r>
      <w:r w:rsidRPr="004E5E22">
        <w:rPr>
          <w:rFonts w:ascii="Palatino Linotype" w:eastAsia="Palatino Linotype" w:hAnsi="Palatino Linotype" w:cs="Palatino Linotype"/>
        </w:rPr>
        <w:t xml:space="preserve">, situación que no se advierte en el presente caso, toda vez que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a través de su Unidad de Transparencia no ha brindado el acceso a la información solicitada por el particular de manera completa, por ende para tener por satisfecho el derecho humano en mérito, será </w:t>
      </w:r>
      <w:r w:rsidRPr="004E5E22">
        <w:rPr>
          <w:rFonts w:ascii="Palatino Linotype" w:eastAsia="Palatino Linotype" w:hAnsi="Palatino Linotype" w:cs="Palatino Linotype"/>
        </w:rPr>
        <w:lastRenderedPageBreak/>
        <w:t>necesario que la Unidad de Transparencia en estricto apego al procedimiento descrito realice una búsqueda exhaustiva y razonable de la información, turnando a las áreas competentes la solicitud con el objetivo de brindar contestación al requerimiento.</w:t>
      </w:r>
    </w:p>
    <w:p w14:paraId="309E6E17" w14:textId="77777777" w:rsidR="009F2EFE" w:rsidRPr="004E5E22" w:rsidRDefault="00D44E79">
      <w:pPr>
        <w:spacing w:line="360" w:lineRule="auto"/>
        <w:ind w:right="51"/>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mérito de lo anterior, se colige que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 como pudieran ser, por ejemplo, el Síndico Municipal, en términos de lo señalado por los artículos 53 fracciones VII, VIII y IX de la Ley Orgánica Municipal del Estado de México, que señala:</w:t>
      </w:r>
    </w:p>
    <w:p w14:paraId="48F226D8" w14:textId="77777777" w:rsidR="009F2EFE" w:rsidRPr="004E5E22" w:rsidRDefault="009F2EFE">
      <w:pPr>
        <w:spacing w:line="360" w:lineRule="auto"/>
        <w:ind w:right="51"/>
        <w:jc w:val="both"/>
        <w:rPr>
          <w:rFonts w:ascii="Palatino Linotype" w:eastAsia="Palatino Linotype" w:hAnsi="Palatino Linotype" w:cs="Palatino Linotype"/>
        </w:rPr>
      </w:pPr>
    </w:p>
    <w:p w14:paraId="0CC9190B" w14:textId="77777777" w:rsidR="009F2EFE" w:rsidRPr="004E5E22" w:rsidRDefault="00D44E79">
      <w:pPr>
        <w:shd w:val="clear" w:color="auto" w:fill="FFFFFF"/>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“Artículo 53.- </w:t>
      </w:r>
      <w:r w:rsidRPr="004E5E22">
        <w:rPr>
          <w:rFonts w:ascii="Palatino Linotype" w:eastAsia="Palatino Linotype" w:hAnsi="Palatino Linotype" w:cs="Palatino Linotype"/>
          <w:b/>
          <w:i/>
          <w:sz w:val="22"/>
          <w:szCs w:val="22"/>
        </w:rPr>
        <w:t>Los síndicos</w:t>
      </w:r>
      <w:r w:rsidRPr="004E5E22">
        <w:rPr>
          <w:rFonts w:ascii="Palatino Linotype" w:eastAsia="Palatino Linotype" w:hAnsi="Palatino Linotype" w:cs="Palatino Linotype"/>
          <w:i/>
          <w:sz w:val="22"/>
          <w:szCs w:val="22"/>
        </w:rPr>
        <w:t xml:space="preserve"> tendrán las siguientes atribuciones:</w:t>
      </w:r>
    </w:p>
    <w:p w14:paraId="19D2760B" w14:textId="77777777" w:rsidR="009F2EFE" w:rsidRPr="004E5E22" w:rsidRDefault="00D44E79">
      <w:pPr>
        <w:shd w:val="clear" w:color="auto" w:fill="FFFFFF"/>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p>
    <w:p w14:paraId="3A073C91" w14:textId="77777777" w:rsidR="009F2EFE" w:rsidRPr="004E5E22" w:rsidRDefault="00D44E79">
      <w:pPr>
        <w:shd w:val="clear" w:color="auto" w:fill="FFFFFF"/>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u w:val="single"/>
        </w:rPr>
        <w:t xml:space="preserve">VII. Intervenir en la formulación del inventario general de los bienes </w:t>
      </w:r>
      <w:r w:rsidRPr="004E5E22">
        <w:rPr>
          <w:rFonts w:ascii="Palatino Linotype" w:eastAsia="Palatino Linotype" w:hAnsi="Palatino Linotype" w:cs="Palatino Linotype"/>
          <w:i/>
          <w:sz w:val="22"/>
          <w:szCs w:val="22"/>
          <w:u w:val="single"/>
        </w:rPr>
        <w:t>muebles e</w:t>
      </w:r>
      <w:r w:rsidRPr="004E5E22">
        <w:rPr>
          <w:rFonts w:ascii="Palatino Linotype" w:eastAsia="Palatino Linotype" w:hAnsi="Palatino Linotype" w:cs="Palatino Linotype"/>
          <w:b/>
          <w:i/>
          <w:sz w:val="22"/>
          <w:szCs w:val="22"/>
          <w:u w:val="single"/>
        </w:rPr>
        <w:t xml:space="preserve"> inmuebles propiedad del municipio</w:t>
      </w:r>
      <w:r w:rsidRPr="004E5E22">
        <w:rPr>
          <w:rFonts w:ascii="Palatino Linotype" w:eastAsia="Palatino Linotype" w:hAnsi="Palatino Linotype" w:cs="Palatino Linotype"/>
          <w:i/>
          <w:sz w:val="22"/>
          <w:szCs w:val="22"/>
        </w:rPr>
        <w:t xml:space="preserve">, haciendo que se inscriban en el libro especial, con expresión de sus valores y de todas las características de identificación, así como el uso y destino de los mismos; </w:t>
      </w:r>
    </w:p>
    <w:p w14:paraId="42AB65D6" w14:textId="77777777" w:rsidR="009F2EFE" w:rsidRPr="004E5E22" w:rsidRDefault="00D44E79">
      <w:pPr>
        <w:shd w:val="clear" w:color="auto" w:fill="FFFFFF"/>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u w:val="single"/>
        </w:rPr>
        <w:t>VIII. Regularizar la propiedad de los bienes inmuebles municipales</w:t>
      </w:r>
      <w:r w:rsidRPr="004E5E22">
        <w:rPr>
          <w:rFonts w:ascii="Palatino Linotype" w:eastAsia="Palatino Linotype" w:hAnsi="Palatino Linotype" w:cs="Palatino Linotype"/>
          <w:i/>
          <w:sz w:val="22"/>
          <w:szCs w:val="22"/>
        </w:rPr>
        <w:t xml:space="preserve">, para ello tendrán un plazo de ciento veinte días hábiles, contados a partir de la adquisición; </w:t>
      </w:r>
    </w:p>
    <w:p w14:paraId="446E9071" w14:textId="77777777" w:rsidR="009F2EFE" w:rsidRPr="004E5E22" w:rsidRDefault="00D44E79">
      <w:pPr>
        <w:shd w:val="clear" w:color="auto" w:fill="FFFFFF"/>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u w:val="single"/>
        </w:rPr>
        <w:t>IX. Inscribir los bienes inmuebles municipales en el Registro Público de la Propiedad</w:t>
      </w:r>
      <w:r w:rsidRPr="004E5E22">
        <w:rPr>
          <w:rFonts w:ascii="Palatino Linotype" w:eastAsia="Palatino Linotype" w:hAnsi="Palatino Linotype" w:cs="Palatino Linotype"/>
          <w:i/>
          <w:sz w:val="22"/>
          <w:szCs w:val="22"/>
        </w:rPr>
        <w:t>, para iniciar los trámites correspondientes tendrán un plazo de ciento veinte días hábiles contados a partir de aquel en que concluyo el proceso de regularización…”</w:t>
      </w:r>
    </w:p>
    <w:p w14:paraId="60A826C0"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Razones por las cuales lo procedente es ordenar la búsqueda exhaustiva y razonable del documento en donde consten los bienes inmuebles municipales escriturados en donde se observe la fecha de alta, al diecinueve de septiembre del año dos mil </w:t>
      </w:r>
      <w:r w:rsidRPr="004E5E22">
        <w:rPr>
          <w:rFonts w:ascii="Palatino Linotype" w:eastAsia="Palatino Linotype" w:hAnsi="Palatino Linotype" w:cs="Palatino Linotype"/>
        </w:rPr>
        <w:lastRenderedPageBreak/>
        <w:t xml:space="preserve">veinticuatro y en versión pública conforme a lo señalado por el considerando quinto del presente fallo. </w:t>
      </w:r>
    </w:p>
    <w:p w14:paraId="2DE37C93"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No se omite comentar que en cuanto al requerimiento relativo a favor de quien, se advierte que de la solicitud de información el particular solicitó información de bienes inmuebles municipales no así bienes inmuebles de particulares, luego entonces en cuanto al requerimiento de mérito es a todas luces de los bienes inmuebles con los que cuenta la entidad municipal, en este caso el Ayuntamiento de Temamatla, de ahí que, con la entrega de la documentación que se ordena el particular podrá identificar los bienes inmuebles que son a favor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w:t>
      </w:r>
    </w:p>
    <w:p w14:paraId="0B2EF1AA" w14:textId="77777777" w:rsidR="009F2EFE" w:rsidRPr="004E5E22" w:rsidRDefault="00D44E79">
      <w:pPr>
        <w:spacing w:before="240" w:after="240" w:line="360" w:lineRule="auto"/>
        <w:ind w:right="49"/>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Quinto. Versión Pública. </w:t>
      </w:r>
      <w:r w:rsidRPr="004E5E22">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sin menoscabar el derecho a la protección de los datos personales de terceros.</w:t>
      </w:r>
    </w:p>
    <w:p w14:paraId="22F9CD91" w14:textId="77777777" w:rsidR="009F2EFE" w:rsidRPr="004E5E22" w:rsidRDefault="00D44E79">
      <w:pPr>
        <w:spacing w:after="240" w:line="360" w:lineRule="auto"/>
        <w:ind w:right="50"/>
        <w:jc w:val="both"/>
        <w:rPr>
          <w:rFonts w:ascii="Palatino Linotype" w:eastAsia="Palatino Linotype" w:hAnsi="Palatino Linotype" w:cs="Palatino Linotype"/>
        </w:rPr>
      </w:pPr>
      <w:r w:rsidRPr="004E5E22">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450001A" w14:textId="77777777" w:rsidR="009F2EFE" w:rsidRPr="004E5E22" w:rsidRDefault="00D44E79">
      <w:pPr>
        <w:ind w:left="993" w:right="1041"/>
        <w:jc w:val="both"/>
        <w:rPr>
          <w:rFonts w:ascii="Palatino Linotype" w:eastAsia="Palatino Linotype" w:hAnsi="Palatino Linotype" w:cs="Palatino Linotype"/>
          <w:b/>
          <w:i/>
          <w:sz w:val="22"/>
          <w:szCs w:val="22"/>
        </w:rPr>
      </w:pPr>
      <w:r w:rsidRPr="004E5E22">
        <w:rPr>
          <w:rFonts w:ascii="Palatino Linotype" w:eastAsia="Palatino Linotype" w:hAnsi="Palatino Linotype" w:cs="Palatino Linotype"/>
          <w:b/>
          <w:i/>
          <w:sz w:val="22"/>
          <w:szCs w:val="22"/>
        </w:rPr>
        <w:lastRenderedPageBreak/>
        <w:t xml:space="preserve"> “Artículo 3. Para los efectos de la presente Ley se entenderá por:</w:t>
      </w:r>
    </w:p>
    <w:p w14:paraId="6C20C9C6"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IX. Datos personales:</w:t>
      </w:r>
      <w:r w:rsidRPr="004E5E22">
        <w:rPr>
          <w:rFonts w:ascii="Palatino Linotype" w:eastAsia="Palatino Linotype" w:hAnsi="Palatino Linotype" w:cs="Palatino Linotype"/>
          <w:i/>
          <w:sz w:val="22"/>
          <w:szCs w:val="22"/>
        </w:rPr>
        <w:t xml:space="preserve"> </w:t>
      </w:r>
      <w:r w:rsidRPr="004E5E22">
        <w:rPr>
          <w:rFonts w:ascii="Palatino Linotype" w:eastAsia="Palatino Linotype" w:hAnsi="Palatino Linotype" w:cs="Palatino Linotype"/>
          <w:b/>
          <w:i/>
          <w:sz w:val="22"/>
          <w:szCs w:val="22"/>
        </w:rPr>
        <w:t>La información concerniente a una persona, identificada o identificable</w:t>
      </w:r>
      <w:r w:rsidRPr="004E5E22">
        <w:rPr>
          <w:rFonts w:ascii="Palatino Linotype" w:eastAsia="Palatino Linotype" w:hAnsi="Palatino Linotype" w:cs="Palatino Linotype"/>
          <w:i/>
          <w:sz w:val="22"/>
          <w:szCs w:val="22"/>
        </w:rPr>
        <w:t xml:space="preserve"> según lo dispuesto por la Ley de Protección de Datos Personales del Estado de México;</w:t>
      </w:r>
    </w:p>
    <w:p w14:paraId="40E99316"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XX. Información clasificada:</w:t>
      </w:r>
      <w:r w:rsidRPr="004E5E22">
        <w:rPr>
          <w:rFonts w:ascii="Palatino Linotype" w:eastAsia="Palatino Linotype" w:hAnsi="Palatino Linotype" w:cs="Palatino Linotype"/>
          <w:i/>
          <w:sz w:val="22"/>
          <w:szCs w:val="22"/>
        </w:rPr>
        <w:t xml:space="preserve"> Aquella considerada por la presente Ley como reservada o confidencial;</w:t>
      </w:r>
    </w:p>
    <w:p w14:paraId="5BBC8B08"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XXXII. Protección de Datos Personales:</w:t>
      </w:r>
      <w:r w:rsidRPr="004E5E2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B2E9C27"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XLV. Versión pública</w:t>
      </w:r>
      <w:r w:rsidRPr="004E5E2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62973BC" w14:textId="77777777" w:rsidR="009F2EFE" w:rsidRPr="004E5E22" w:rsidRDefault="009F2EFE">
      <w:pPr>
        <w:ind w:left="993" w:right="1041"/>
        <w:jc w:val="both"/>
        <w:rPr>
          <w:rFonts w:ascii="Palatino Linotype" w:eastAsia="Palatino Linotype" w:hAnsi="Palatino Linotype" w:cs="Palatino Linotype"/>
          <w:i/>
          <w:sz w:val="22"/>
          <w:szCs w:val="22"/>
        </w:rPr>
      </w:pPr>
    </w:p>
    <w:p w14:paraId="2F49DEF8"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“Artículo 6.</w:t>
      </w:r>
      <w:r w:rsidRPr="004E5E2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FFBAAAF" w14:textId="77777777" w:rsidR="009F2EFE" w:rsidRPr="004E5E22" w:rsidRDefault="009F2EFE">
      <w:pPr>
        <w:ind w:left="993" w:right="1041"/>
        <w:jc w:val="both"/>
        <w:rPr>
          <w:rFonts w:ascii="Palatino Linotype" w:eastAsia="Palatino Linotype" w:hAnsi="Palatino Linotype" w:cs="Palatino Linotype"/>
          <w:i/>
          <w:sz w:val="22"/>
          <w:szCs w:val="22"/>
        </w:rPr>
      </w:pPr>
    </w:p>
    <w:p w14:paraId="34CFC634" w14:textId="77777777" w:rsidR="009F2EFE" w:rsidRPr="004E5E22" w:rsidRDefault="00D44E79">
      <w:pPr>
        <w:ind w:left="993" w:right="1041"/>
        <w:jc w:val="both"/>
        <w:rPr>
          <w:rFonts w:ascii="Palatino Linotype" w:eastAsia="Palatino Linotype" w:hAnsi="Palatino Linotype" w:cs="Palatino Linotype"/>
          <w:b/>
          <w:i/>
          <w:sz w:val="22"/>
          <w:szCs w:val="22"/>
        </w:rPr>
      </w:pPr>
      <w:r w:rsidRPr="004E5E22">
        <w:rPr>
          <w:rFonts w:ascii="Palatino Linotype" w:eastAsia="Palatino Linotype" w:hAnsi="Palatino Linotype" w:cs="Palatino Linotype"/>
          <w:b/>
          <w:i/>
          <w:sz w:val="22"/>
          <w:szCs w:val="22"/>
        </w:rPr>
        <w:t>“Artículo 137.</w:t>
      </w:r>
      <w:r w:rsidRPr="004E5E2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F38F6F" w14:textId="77777777" w:rsidR="009F2EFE" w:rsidRPr="004E5E22" w:rsidRDefault="009F2EFE">
      <w:pPr>
        <w:ind w:left="993" w:right="1041"/>
        <w:jc w:val="both"/>
        <w:rPr>
          <w:rFonts w:ascii="Palatino Linotype" w:eastAsia="Palatino Linotype" w:hAnsi="Palatino Linotype" w:cs="Palatino Linotype"/>
          <w:b/>
          <w:i/>
          <w:sz w:val="22"/>
          <w:szCs w:val="22"/>
        </w:rPr>
      </w:pPr>
    </w:p>
    <w:p w14:paraId="17D2674C"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“Artículo 143</w:t>
      </w:r>
      <w:r w:rsidRPr="004E5E2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DD19D81"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I.</w:t>
      </w:r>
      <w:r w:rsidRPr="004E5E22">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D946854"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1735221" w14:textId="77777777" w:rsidR="009F2EFE" w:rsidRPr="004E5E22" w:rsidRDefault="00D44E79">
      <w:pPr>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022A051" w14:textId="77777777" w:rsidR="009F2EFE" w:rsidRPr="004E5E22" w:rsidRDefault="009F2EFE">
      <w:pPr>
        <w:ind w:left="993" w:right="1041"/>
        <w:jc w:val="both"/>
        <w:rPr>
          <w:rFonts w:ascii="Palatino Linotype" w:eastAsia="Palatino Linotype" w:hAnsi="Palatino Linotype" w:cs="Palatino Linotype"/>
          <w:i/>
          <w:sz w:val="22"/>
          <w:szCs w:val="22"/>
        </w:rPr>
      </w:pPr>
    </w:p>
    <w:p w14:paraId="7B6D25A7" w14:textId="77777777" w:rsidR="009F2EFE" w:rsidRPr="004E5E22" w:rsidRDefault="00D44E79">
      <w:pPr>
        <w:spacing w:line="360" w:lineRule="auto"/>
        <w:ind w:right="51"/>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54A7CF8" w14:textId="77777777" w:rsidR="009F2EFE" w:rsidRPr="004E5E22" w:rsidRDefault="009F2EFE">
      <w:pPr>
        <w:spacing w:line="360" w:lineRule="auto"/>
        <w:ind w:right="51"/>
        <w:jc w:val="both"/>
        <w:rPr>
          <w:rFonts w:ascii="Palatino Linotype" w:eastAsia="Palatino Linotype" w:hAnsi="Palatino Linotype" w:cs="Palatino Linotype"/>
        </w:rPr>
      </w:pPr>
    </w:p>
    <w:p w14:paraId="35A8EEF7" w14:textId="77777777" w:rsidR="009F2EFE" w:rsidRPr="004E5E22" w:rsidRDefault="00D44E79">
      <w:pPr>
        <w:spacing w:line="360" w:lineRule="auto"/>
        <w:ind w:right="50"/>
        <w:jc w:val="both"/>
        <w:rPr>
          <w:rFonts w:ascii="Palatino Linotype" w:eastAsia="Palatino Linotype" w:hAnsi="Palatino Linotype" w:cs="Palatino Linotype"/>
        </w:rPr>
      </w:pPr>
      <w:r w:rsidRPr="004E5E2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CE44E67" w14:textId="77777777" w:rsidR="009F2EFE" w:rsidRPr="004E5E22" w:rsidRDefault="00D44E79">
      <w:pPr>
        <w:spacing w:line="360" w:lineRule="auto"/>
        <w:ind w:right="51"/>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sino que ello deberá realizarse en </w:t>
      </w:r>
      <w:r w:rsidRPr="004E5E22">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4DA082A2" w14:textId="77777777" w:rsidR="009F2EFE" w:rsidRPr="004E5E22" w:rsidRDefault="009F2EFE">
      <w:pPr>
        <w:spacing w:line="360" w:lineRule="auto"/>
        <w:ind w:right="51"/>
        <w:jc w:val="both"/>
        <w:rPr>
          <w:rFonts w:ascii="Palatino Linotype" w:eastAsia="Palatino Linotype" w:hAnsi="Palatino Linotype" w:cs="Palatino Linotype"/>
        </w:rPr>
      </w:pPr>
    </w:p>
    <w:p w14:paraId="21C06A0E" w14:textId="77777777" w:rsidR="009F2EFE" w:rsidRPr="004E5E22" w:rsidRDefault="00D44E79">
      <w:pPr>
        <w:ind w:left="992" w:right="1043"/>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“Artículo 49.</w:t>
      </w:r>
      <w:r w:rsidRPr="004E5E22">
        <w:rPr>
          <w:rFonts w:ascii="Palatino Linotype" w:eastAsia="Palatino Linotype" w:hAnsi="Palatino Linotype" w:cs="Palatino Linotype"/>
          <w:i/>
          <w:sz w:val="22"/>
          <w:szCs w:val="22"/>
        </w:rPr>
        <w:t xml:space="preserve"> </w:t>
      </w:r>
      <w:r w:rsidRPr="004E5E22">
        <w:rPr>
          <w:rFonts w:ascii="Palatino Linotype" w:eastAsia="Palatino Linotype" w:hAnsi="Palatino Linotype" w:cs="Palatino Linotype"/>
          <w:b/>
          <w:i/>
          <w:sz w:val="22"/>
          <w:szCs w:val="22"/>
        </w:rPr>
        <w:t>Los Comités de Transparencia</w:t>
      </w:r>
      <w:r w:rsidRPr="004E5E22">
        <w:rPr>
          <w:rFonts w:ascii="Palatino Linotype" w:eastAsia="Palatino Linotype" w:hAnsi="Palatino Linotype" w:cs="Palatino Linotype"/>
          <w:i/>
          <w:sz w:val="22"/>
          <w:szCs w:val="22"/>
        </w:rPr>
        <w:t xml:space="preserve"> tendrán las siguientes atribuciones:</w:t>
      </w:r>
    </w:p>
    <w:p w14:paraId="6DB14F75" w14:textId="77777777" w:rsidR="009F2EFE" w:rsidRPr="004E5E22" w:rsidRDefault="00D44E79">
      <w:pPr>
        <w:ind w:left="992" w:right="1043"/>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VIII. Aprobar, modificar o revocar la clasificación de la información</w:t>
      </w:r>
      <w:r w:rsidRPr="004E5E22">
        <w:rPr>
          <w:rFonts w:ascii="Palatino Linotype" w:eastAsia="Palatino Linotype" w:hAnsi="Palatino Linotype" w:cs="Palatino Linotype"/>
          <w:i/>
          <w:sz w:val="22"/>
          <w:szCs w:val="22"/>
        </w:rPr>
        <w:t>…”</w:t>
      </w:r>
    </w:p>
    <w:p w14:paraId="46423A6F" w14:textId="77777777" w:rsidR="009F2EFE" w:rsidRPr="004E5E22" w:rsidRDefault="00D44E79">
      <w:pPr>
        <w:ind w:left="992" w:right="1043"/>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Artículo 53.</w:t>
      </w:r>
      <w:r w:rsidRPr="004E5E22">
        <w:rPr>
          <w:rFonts w:ascii="Palatino Linotype" w:eastAsia="Palatino Linotype" w:hAnsi="Palatino Linotype" w:cs="Palatino Linotype"/>
          <w:i/>
          <w:sz w:val="22"/>
          <w:szCs w:val="22"/>
        </w:rPr>
        <w:t xml:space="preserve"> Las </w:t>
      </w:r>
      <w:r w:rsidRPr="004E5E22">
        <w:rPr>
          <w:rFonts w:ascii="Palatino Linotype" w:eastAsia="Palatino Linotype" w:hAnsi="Palatino Linotype" w:cs="Palatino Linotype"/>
          <w:b/>
          <w:i/>
          <w:sz w:val="22"/>
          <w:szCs w:val="22"/>
        </w:rPr>
        <w:t>Unidades de Transparencia</w:t>
      </w:r>
      <w:r w:rsidRPr="004E5E22">
        <w:rPr>
          <w:rFonts w:ascii="Palatino Linotype" w:eastAsia="Palatino Linotype" w:hAnsi="Palatino Linotype" w:cs="Palatino Linotype"/>
          <w:i/>
          <w:sz w:val="22"/>
          <w:szCs w:val="22"/>
        </w:rPr>
        <w:t xml:space="preserve"> tendrán las siguientes </w:t>
      </w:r>
      <w:r w:rsidRPr="004E5E22">
        <w:rPr>
          <w:rFonts w:ascii="Palatino Linotype" w:eastAsia="Palatino Linotype" w:hAnsi="Palatino Linotype" w:cs="Palatino Linotype"/>
          <w:b/>
          <w:i/>
          <w:sz w:val="22"/>
          <w:szCs w:val="22"/>
        </w:rPr>
        <w:t>funciones</w:t>
      </w:r>
      <w:r w:rsidRPr="004E5E22">
        <w:rPr>
          <w:rFonts w:ascii="Palatino Linotype" w:eastAsia="Palatino Linotype" w:hAnsi="Palatino Linotype" w:cs="Palatino Linotype"/>
          <w:i/>
          <w:sz w:val="22"/>
          <w:szCs w:val="22"/>
        </w:rPr>
        <w:t>:</w:t>
      </w:r>
    </w:p>
    <w:p w14:paraId="75C882C5" w14:textId="77777777" w:rsidR="009F2EFE" w:rsidRPr="004E5E22" w:rsidRDefault="00D44E79">
      <w:pPr>
        <w:ind w:left="992" w:right="1043"/>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X. Presentar ante el Comité, el proyecto de clasificación de información</w:t>
      </w:r>
      <w:r w:rsidRPr="004E5E22">
        <w:rPr>
          <w:rFonts w:ascii="Palatino Linotype" w:eastAsia="Palatino Linotype" w:hAnsi="Palatino Linotype" w:cs="Palatino Linotype"/>
          <w:i/>
          <w:sz w:val="22"/>
          <w:szCs w:val="22"/>
        </w:rPr>
        <w:t xml:space="preserve">…” </w:t>
      </w:r>
    </w:p>
    <w:p w14:paraId="284DC697" w14:textId="77777777" w:rsidR="009F2EFE" w:rsidRPr="004E5E22" w:rsidRDefault="00D44E79">
      <w:pPr>
        <w:ind w:left="992" w:right="1043"/>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“Artículo 59.</w:t>
      </w:r>
      <w:r w:rsidRPr="004E5E22">
        <w:rPr>
          <w:rFonts w:ascii="Palatino Linotype" w:eastAsia="Palatino Linotype" w:hAnsi="Palatino Linotype" w:cs="Palatino Linotype"/>
          <w:i/>
          <w:sz w:val="22"/>
          <w:szCs w:val="22"/>
        </w:rPr>
        <w:t xml:space="preserve"> Los </w:t>
      </w:r>
      <w:r w:rsidRPr="004E5E22">
        <w:rPr>
          <w:rFonts w:ascii="Palatino Linotype" w:eastAsia="Palatino Linotype" w:hAnsi="Palatino Linotype" w:cs="Palatino Linotype"/>
          <w:b/>
          <w:i/>
          <w:sz w:val="22"/>
          <w:szCs w:val="22"/>
        </w:rPr>
        <w:t>servidores públicos habilitados</w:t>
      </w:r>
      <w:r w:rsidRPr="004E5E22">
        <w:rPr>
          <w:rFonts w:ascii="Palatino Linotype" w:eastAsia="Palatino Linotype" w:hAnsi="Palatino Linotype" w:cs="Palatino Linotype"/>
          <w:i/>
          <w:sz w:val="22"/>
          <w:szCs w:val="22"/>
        </w:rPr>
        <w:t xml:space="preserve"> tendrán las </w:t>
      </w:r>
      <w:r w:rsidRPr="004E5E22">
        <w:rPr>
          <w:rFonts w:ascii="Palatino Linotype" w:eastAsia="Palatino Linotype" w:hAnsi="Palatino Linotype" w:cs="Palatino Linotype"/>
          <w:b/>
          <w:i/>
          <w:sz w:val="22"/>
          <w:szCs w:val="22"/>
        </w:rPr>
        <w:t>funciones</w:t>
      </w:r>
      <w:r w:rsidRPr="004E5E22">
        <w:rPr>
          <w:rFonts w:ascii="Palatino Linotype" w:eastAsia="Palatino Linotype" w:hAnsi="Palatino Linotype" w:cs="Palatino Linotype"/>
          <w:i/>
          <w:sz w:val="22"/>
          <w:szCs w:val="22"/>
        </w:rPr>
        <w:t xml:space="preserve"> siguientes:</w:t>
      </w:r>
    </w:p>
    <w:p w14:paraId="4AC84E9E" w14:textId="77777777" w:rsidR="009F2EFE" w:rsidRPr="004E5E22" w:rsidRDefault="00D44E79">
      <w:pPr>
        <w:ind w:left="992" w:right="1043"/>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E5E22">
        <w:rPr>
          <w:rFonts w:ascii="Palatino Linotype" w:eastAsia="Palatino Linotype" w:hAnsi="Palatino Linotype" w:cs="Palatino Linotype"/>
          <w:i/>
          <w:sz w:val="22"/>
          <w:szCs w:val="22"/>
        </w:rPr>
        <w:t>, la cual tendrá los fundamentos y argumentos en que se basa dicha propuesta…” (Sic)</w:t>
      </w:r>
    </w:p>
    <w:p w14:paraId="017CF358" w14:textId="77777777" w:rsidR="009F2EFE" w:rsidRPr="004E5E22" w:rsidRDefault="009F2EFE">
      <w:pPr>
        <w:ind w:left="992" w:right="1043"/>
        <w:jc w:val="both"/>
        <w:rPr>
          <w:rFonts w:ascii="Palatino Linotype" w:eastAsia="Palatino Linotype" w:hAnsi="Palatino Linotype" w:cs="Palatino Linotype"/>
          <w:i/>
          <w:sz w:val="22"/>
          <w:szCs w:val="22"/>
        </w:rPr>
      </w:pPr>
    </w:p>
    <w:p w14:paraId="319038AF"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DB5085"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CACAD1B" w14:textId="77777777" w:rsidR="009F2EFE" w:rsidRPr="004E5E22" w:rsidRDefault="009F2EFE">
      <w:pPr>
        <w:spacing w:line="360" w:lineRule="auto"/>
        <w:jc w:val="both"/>
        <w:rPr>
          <w:rFonts w:ascii="Palatino Linotype" w:eastAsia="Palatino Linotype" w:hAnsi="Palatino Linotype" w:cs="Palatino Linotype"/>
        </w:rPr>
      </w:pPr>
    </w:p>
    <w:p w14:paraId="3779E280" w14:textId="77777777" w:rsidR="009F2EFE" w:rsidRPr="004E5E22" w:rsidRDefault="00D44E79">
      <w:pPr>
        <w:spacing w:after="240"/>
        <w:ind w:left="993" w:right="1041"/>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lastRenderedPageBreak/>
        <w:t>“</w:t>
      </w:r>
      <w:r w:rsidRPr="004E5E22">
        <w:rPr>
          <w:rFonts w:ascii="Palatino Linotype" w:eastAsia="Palatino Linotype" w:hAnsi="Palatino Linotype" w:cs="Palatino Linotype"/>
          <w:b/>
          <w:i/>
          <w:sz w:val="22"/>
          <w:szCs w:val="22"/>
        </w:rPr>
        <w:t>Artículo 149.</w:t>
      </w:r>
      <w:r w:rsidRPr="004E5E22">
        <w:rPr>
          <w:rFonts w:ascii="Palatino Linotype" w:eastAsia="Palatino Linotype" w:hAnsi="Palatino Linotype" w:cs="Palatino Linotype"/>
          <w:i/>
          <w:sz w:val="22"/>
          <w:szCs w:val="22"/>
        </w:rPr>
        <w:t xml:space="preserve"> El </w:t>
      </w:r>
      <w:r w:rsidRPr="004E5E22">
        <w:rPr>
          <w:rFonts w:ascii="Palatino Linotype" w:eastAsia="Palatino Linotype" w:hAnsi="Palatino Linotype" w:cs="Palatino Linotype"/>
          <w:b/>
          <w:i/>
          <w:sz w:val="22"/>
          <w:szCs w:val="22"/>
        </w:rPr>
        <w:t>acuerdo que clasifique la información como confidencial</w:t>
      </w:r>
      <w:r w:rsidRPr="004E5E2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59F32A21" w14:textId="77777777" w:rsidR="009F2EFE" w:rsidRPr="004E5E22" w:rsidRDefault="009F2EFE">
      <w:pPr>
        <w:spacing w:before="240" w:line="360" w:lineRule="auto"/>
        <w:ind w:right="51"/>
        <w:jc w:val="both"/>
        <w:rPr>
          <w:rFonts w:ascii="Palatino Linotype" w:eastAsia="Palatino Linotype" w:hAnsi="Palatino Linotype" w:cs="Palatino Linotype"/>
          <w:i/>
          <w:sz w:val="22"/>
          <w:szCs w:val="22"/>
        </w:rPr>
      </w:pPr>
    </w:p>
    <w:p w14:paraId="60A427D3" w14:textId="77777777" w:rsidR="009F2EFE" w:rsidRPr="004E5E22" w:rsidRDefault="00D44E79">
      <w:pPr>
        <w:spacing w:line="360" w:lineRule="auto"/>
        <w:ind w:right="51"/>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Es decir,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498C2D0"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Es importante señalar que, para el caso en concreto relacionado con el inventario de bienes inmuebles, pudiera contener, entre otros datos, información de los predios colindantes, es decir, de los predios contiguos o que limitan con determinado bien inmueble; como lo es de manera enunciativa, más no limitativa, el nombre de los propietarios.</w:t>
      </w:r>
    </w:p>
    <w:p w14:paraId="43767463"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En tal sentido, debe puntualizarse que el nombre de una persona física identificada o identificable,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w:t>
      </w:r>
      <w:r w:rsidRPr="004E5E22">
        <w:rPr>
          <w:rFonts w:ascii="Palatino Linotype" w:eastAsia="Palatino Linotype" w:hAnsi="Palatino Linotype" w:cs="Palatino Linotype"/>
        </w:rPr>
        <w:lastRenderedPageBreak/>
        <w:t xml:space="preserve">de México y Municipios, </w:t>
      </w:r>
      <w:r w:rsidRPr="004E5E22">
        <w:rPr>
          <w:rFonts w:ascii="Palatino Linotype" w:eastAsia="Palatino Linotype" w:hAnsi="Palatino Linotype" w:cs="Palatino Linotype"/>
          <w:b/>
          <w:u w:val="single"/>
        </w:rPr>
        <w:t>cuando ésta no se desempeña en la función pública, o bien, no celebra actos jurídicos en el ámbito del derecho público</w:t>
      </w:r>
      <w:r w:rsidRPr="004E5E22">
        <w:rPr>
          <w:rFonts w:ascii="Palatino Linotype" w:eastAsia="Palatino Linotype" w:hAnsi="Palatino Linotype" w:cs="Palatino Linotype"/>
        </w:rPr>
        <w:t>, ya que por sí solo es un dato que identifica a su titular o lo hace identificable, por lo que con su publicidad se vulneraría su ámbito de privacidad.</w:t>
      </w:r>
    </w:p>
    <w:p w14:paraId="325BD71A"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Atento a lo anterior, para el caso de que los documentos mediante los cuales se dará cumplimiento a la presente resolución contengan el nombre de particulares, en su carácter de propietarios de predios colindantes con bienes inmuebles de las instituciones públicas, así como de los bienes de dominio público, dicho dato deberá ser clasificado como confidencial.</w:t>
      </w:r>
    </w:p>
    <w:p w14:paraId="0857D1D2" w14:textId="77777777" w:rsidR="009F2EFE" w:rsidRPr="004E5E22" w:rsidRDefault="00D44E79">
      <w:pPr>
        <w:spacing w:before="240" w:after="240"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Por otro lado, respecto de las medidas y colindancias, se menciona que la finalidad de dichos datos, basados generalmente en los puntos cardinales, consiste en delimitar el área de determinado predio, esto es, su extensión y límites o linderos, respecto de los predios contiguos o adyacentes al mismo, por lo que se considera que son datos que </w:t>
      </w:r>
      <w:r w:rsidRPr="004E5E22">
        <w:rPr>
          <w:rFonts w:ascii="Palatino Linotype" w:eastAsia="Palatino Linotype" w:hAnsi="Palatino Linotype" w:cs="Palatino Linotype"/>
          <w:b/>
        </w:rPr>
        <w:t>no</w:t>
      </w:r>
      <w:r w:rsidRPr="004E5E22">
        <w:rPr>
          <w:rFonts w:ascii="Palatino Linotype" w:eastAsia="Palatino Linotype" w:hAnsi="Palatino Linotype" w:cs="Palatino Linotype"/>
        </w:rPr>
        <w:t xml:space="preserve"> revisten información susceptible de ser clasificada en el presente asunto, dado que se relaciona con bienes inmuebles de las instituciones públicas, así como de los bienes de dominio público, que se localizan en el territorio municipal.</w:t>
      </w:r>
    </w:p>
    <w:p w14:paraId="2C1922CF"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 xml:space="preserve">Al respecto, se destaca que la versión pública que elabore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w:t>
      </w:r>
      <w:r w:rsidRPr="004E5E22">
        <w:rPr>
          <w:rFonts w:ascii="Palatino Linotype" w:eastAsia="Palatino Linotype" w:hAnsi="Palatino Linotype" w:cs="Palatino Linotype"/>
        </w:rPr>
        <w:lastRenderedPageBreak/>
        <w:t xml:space="preserve">de la Ley de Transparencia y Acceso a la Información Pública del Estado de México y Municipios, ya expuesto; así como con los numerales aplicables de los </w:t>
      </w:r>
      <w:r w:rsidRPr="004E5E22">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E5E22">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B59178B" w14:textId="77777777" w:rsidR="009F2EFE" w:rsidRPr="004E5E22" w:rsidRDefault="009F2EFE">
      <w:pPr>
        <w:ind w:left="709" w:right="709"/>
        <w:jc w:val="both"/>
        <w:rPr>
          <w:rFonts w:ascii="Palatino Linotype" w:eastAsia="Palatino Linotype" w:hAnsi="Palatino Linotype" w:cs="Palatino Linotype"/>
          <w:b/>
          <w:i/>
          <w:sz w:val="22"/>
          <w:szCs w:val="22"/>
        </w:rPr>
      </w:pPr>
    </w:p>
    <w:p w14:paraId="03E9201E"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181D29A"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t>“</w:t>
      </w:r>
      <w:r w:rsidRPr="004E5E22">
        <w:rPr>
          <w:rFonts w:ascii="Palatino Linotype" w:eastAsia="Palatino Linotype" w:hAnsi="Palatino Linotype" w:cs="Palatino Linotype"/>
          <w:b/>
          <w:i/>
          <w:sz w:val="22"/>
          <w:szCs w:val="22"/>
        </w:rPr>
        <w:t>Segundo.-</w:t>
      </w:r>
      <w:r w:rsidRPr="004E5E22">
        <w:rPr>
          <w:rFonts w:ascii="Palatino Linotype" w:eastAsia="Palatino Linotype" w:hAnsi="Palatino Linotype" w:cs="Palatino Linotype"/>
          <w:i/>
          <w:sz w:val="22"/>
          <w:szCs w:val="22"/>
        </w:rPr>
        <w:t xml:space="preserve"> Para efectos de los presentes Lineamientos Generales, se entenderá por:</w:t>
      </w:r>
    </w:p>
    <w:p w14:paraId="0C791E2A"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XVIII.</w:t>
      </w:r>
      <w:r w:rsidRPr="004E5E22">
        <w:rPr>
          <w:rFonts w:ascii="Palatino Linotype" w:eastAsia="Palatino Linotype" w:hAnsi="Palatino Linotype" w:cs="Palatino Linotype"/>
          <w:i/>
          <w:sz w:val="22"/>
          <w:szCs w:val="22"/>
        </w:rPr>
        <w:t xml:space="preserve"> </w:t>
      </w:r>
      <w:r w:rsidRPr="004E5E22">
        <w:rPr>
          <w:rFonts w:ascii="Palatino Linotype" w:eastAsia="Palatino Linotype" w:hAnsi="Palatino Linotype" w:cs="Palatino Linotype"/>
          <w:b/>
          <w:i/>
          <w:sz w:val="22"/>
          <w:szCs w:val="22"/>
        </w:rPr>
        <w:t>Versión pública:</w:t>
      </w:r>
      <w:r w:rsidRPr="004E5E2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E5E22">
        <w:rPr>
          <w:rFonts w:ascii="Palatino Linotype" w:eastAsia="Palatino Linotype" w:hAnsi="Palatino Linotype" w:cs="Palatino Linotype"/>
          <w:b/>
          <w:i/>
          <w:sz w:val="22"/>
          <w:szCs w:val="22"/>
          <w:u w:val="single"/>
        </w:rPr>
        <w:t>fundando y motivando la</w:t>
      </w:r>
      <w:r w:rsidRPr="004E5E22">
        <w:rPr>
          <w:rFonts w:ascii="Palatino Linotype" w:eastAsia="Palatino Linotype" w:hAnsi="Palatino Linotype" w:cs="Palatino Linotype"/>
          <w:i/>
          <w:sz w:val="22"/>
          <w:szCs w:val="22"/>
        </w:rPr>
        <w:t xml:space="preserve"> reserva o </w:t>
      </w:r>
      <w:r w:rsidRPr="004E5E22">
        <w:rPr>
          <w:rFonts w:ascii="Palatino Linotype" w:eastAsia="Palatino Linotype" w:hAnsi="Palatino Linotype" w:cs="Palatino Linotype"/>
          <w:b/>
          <w:i/>
          <w:sz w:val="22"/>
          <w:szCs w:val="22"/>
          <w:u w:val="single"/>
        </w:rPr>
        <w:t>confidencialidad</w:t>
      </w:r>
      <w:r w:rsidRPr="004E5E22">
        <w:rPr>
          <w:rFonts w:ascii="Palatino Linotype" w:eastAsia="Palatino Linotype" w:hAnsi="Palatino Linotype" w:cs="Palatino Linotype"/>
          <w:i/>
          <w:sz w:val="22"/>
          <w:szCs w:val="22"/>
        </w:rPr>
        <w:t>, a través de la resolución que para tal efecto emita el Comité de Transparencia.</w:t>
      </w:r>
    </w:p>
    <w:p w14:paraId="1D86D7EC"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Cuarto.</w:t>
      </w:r>
      <w:r w:rsidRPr="004E5E2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164815"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6D8352E"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Quinto.</w:t>
      </w:r>
      <w:r w:rsidRPr="004E5E2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7D0099"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w:t>
      </w:r>
    </w:p>
    <w:p w14:paraId="298CD416"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Séptimo.</w:t>
      </w:r>
      <w:r w:rsidRPr="004E5E22">
        <w:rPr>
          <w:rFonts w:ascii="Palatino Linotype" w:eastAsia="Palatino Linotype" w:hAnsi="Palatino Linotype" w:cs="Palatino Linotype"/>
          <w:i/>
          <w:sz w:val="22"/>
          <w:szCs w:val="22"/>
        </w:rPr>
        <w:t xml:space="preserve"> La clasificación de la información se llevará a cabo en el momento en que:</w:t>
      </w:r>
    </w:p>
    <w:p w14:paraId="1AB1160E"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lastRenderedPageBreak/>
        <w:t>I.</w:t>
      </w:r>
      <w:r w:rsidRPr="004E5E22">
        <w:rPr>
          <w:rFonts w:ascii="Palatino Linotype" w:eastAsia="Palatino Linotype" w:hAnsi="Palatino Linotype" w:cs="Palatino Linotype"/>
          <w:i/>
          <w:sz w:val="22"/>
          <w:szCs w:val="22"/>
        </w:rPr>
        <w:t xml:space="preserve"> Se reciba una solicitud de acceso a la información;</w:t>
      </w:r>
    </w:p>
    <w:p w14:paraId="16A7C432" w14:textId="77777777" w:rsidR="009F2EFE" w:rsidRPr="004E5E22" w:rsidRDefault="00D44E79">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II.</w:t>
      </w:r>
      <w:r w:rsidRPr="004E5E22">
        <w:rPr>
          <w:rFonts w:ascii="Palatino Linotype" w:eastAsia="Palatino Linotype" w:hAnsi="Palatino Linotype" w:cs="Palatino Linotype"/>
          <w:i/>
          <w:sz w:val="22"/>
          <w:szCs w:val="22"/>
        </w:rPr>
        <w:t xml:space="preserve"> Se  determine mediante resolución del Comité de Transparencia, el órgano garante </w:t>
      </w:r>
    </w:p>
    <w:p w14:paraId="3D1E72FA"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t>competente, o en cumplimiento a una sentencia del Poder Judicial; o</w:t>
      </w:r>
    </w:p>
    <w:p w14:paraId="542DBF3B"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III.</w:t>
      </w:r>
      <w:r w:rsidRPr="004E5E2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A0E0F2D"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08691BE6"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Octavo.</w:t>
      </w:r>
      <w:r w:rsidRPr="004E5E2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360056B"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5BCC2EB" w14:textId="77777777" w:rsidR="009F2EFE" w:rsidRPr="004E5E22" w:rsidRDefault="00D44E79">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58EA489"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Noveno.</w:t>
      </w:r>
      <w:r w:rsidRPr="004E5E2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4AFC95"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b/>
          <w:i/>
          <w:sz w:val="22"/>
          <w:szCs w:val="22"/>
        </w:rPr>
        <w:t>Décimo.</w:t>
      </w:r>
      <w:r w:rsidRPr="004E5E2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3C88751"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EFC0831" w14:textId="77777777" w:rsidR="009F2EFE" w:rsidRPr="004E5E22" w:rsidRDefault="00D44E79">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Décimo primero.</w:t>
      </w:r>
      <w:r w:rsidRPr="004E5E2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5D30A82" w14:textId="77777777" w:rsidR="009F2EFE" w:rsidRPr="004E5E22" w:rsidRDefault="009F2EFE">
      <w:pPr>
        <w:pBdr>
          <w:top w:val="nil"/>
          <w:left w:val="nil"/>
          <w:bottom w:val="nil"/>
          <w:right w:val="nil"/>
          <w:between w:val="nil"/>
        </w:pBdr>
        <w:ind w:right="709"/>
        <w:jc w:val="both"/>
      </w:pPr>
    </w:p>
    <w:p w14:paraId="5C46D45F" w14:textId="77777777" w:rsidR="009F2EFE" w:rsidRPr="004E5E22" w:rsidRDefault="00D44E79">
      <w:pPr>
        <w:pBdr>
          <w:top w:val="nil"/>
          <w:left w:val="nil"/>
          <w:bottom w:val="nil"/>
          <w:right w:val="nil"/>
          <w:between w:val="nil"/>
        </w:pBdr>
        <w:ind w:left="709" w:right="709"/>
        <w:jc w:val="both"/>
      </w:pPr>
      <w:r w:rsidRPr="004E5E22">
        <w:rPr>
          <w:rFonts w:ascii="Palatino Linotype" w:eastAsia="Palatino Linotype" w:hAnsi="Palatino Linotype" w:cs="Palatino Linotype"/>
          <w:i/>
          <w:sz w:val="22"/>
          <w:szCs w:val="22"/>
        </w:rPr>
        <w:lastRenderedPageBreak/>
        <w:t>[…]</w:t>
      </w:r>
    </w:p>
    <w:p w14:paraId="244E34BA" w14:textId="77777777" w:rsidR="009F2EFE" w:rsidRPr="004E5E22" w:rsidRDefault="00D44E79">
      <w:pPr>
        <w:pBdr>
          <w:top w:val="nil"/>
          <w:left w:val="nil"/>
          <w:bottom w:val="nil"/>
          <w:right w:val="nil"/>
          <w:between w:val="nil"/>
        </w:pBdr>
        <w:ind w:left="709" w:right="709"/>
        <w:jc w:val="center"/>
      </w:pPr>
      <w:r w:rsidRPr="004E5E22">
        <w:rPr>
          <w:rFonts w:ascii="Palatino Linotype" w:eastAsia="Palatino Linotype" w:hAnsi="Palatino Linotype" w:cs="Palatino Linotype"/>
          <w:b/>
          <w:i/>
          <w:sz w:val="22"/>
          <w:szCs w:val="22"/>
        </w:rPr>
        <w:t>CAPÍTULO VIII</w:t>
      </w:r>
    </w:p>
    <w:p w14:paraId="674992D8" w14:textId="77777777" w:rsidR="009F2EFE" w:rsidRPr="004E5E22" w:rsidRDefault="00D44E79">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4E5E22">
        <w:rPr>
          <w:rFonts w:ascii="Palatino Linotype" w:eastAsia="Palatino Linotype" w:hAnsi="Palatino Linotype" w:cs="Palatino Linotype"/>
          <w:b/>
          <w:i/>
          <w:sz w:val="22"/>
          <w:szCs w:val="22"/>
        </w:rPr>
        <w:t>DE LOS ELEMENTOS PARA LA CLASIFICACIÓN</w:t>
      </w:r>
    </w:p>
    <w:p w14:paraId="0C93490E"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Quincuagésimo</w:t>
      </w:r>
      <w:r w:rsidRPr="004E5E22">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96656BC"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Quincuagésimo primero</w:t>
      </w:r>
      <w:r w:rsidRPr="004E5E22">
        <w:rPr>
          <w:rFonts w:ascii="Palatino Linotype" w:eastAsia="Palatino Linotype" w:hAnsi="Palatino Linotype" w:cs="Palatino Linotype"/>
          <w:i/>
          <w:sz w:val="22"/>
          <w:szCs w:val="22"/>
        </w:rPr>
        <w:t>. Toda acta del Comité de Transparencia deberá contener:</w:t>
      </w:r>
    </w:p>
    <w:p w14:paraId="361A2A10"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I. El número de sesión y fecha; </w:t>
      </w:r>
    </w:p>
    <w:p w14:paraId="24CC7165"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 El nombre del área que solicitó la clasificación de información;</w:t>
      </w:r>
    </w:p>
    <w:p w14:paraId="5226F167"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III. La fundamentación legal y motivación correspondiente;</w:t>
      </w:r>
    </w:p>
    <w:p w14:paraId="3B07E1B9"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IV. La resolución o resoluciones aprobadas; y</w:t>
      </w:r>
    </w:p>
    <w:p w14:paraId="386B3FDD"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V. La rúbrica o firma digital de cada integrante del Comité de Transparencia. </w:t>
      </w:r>
    </w:p>
    <w:p w14:paraId="057DC9F8"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45B9E9EA"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 Los motivos y razonamientos que sustenten la confirmación o modificación de la prueba de daño;</w:t>
      </w:r>
    </w:p>
    <w:p w14:paraId="084F800A"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 Descripción de las partes o secciones reservadas, en caso de clasificación parcial;</w:t>
      </w:r>
    </w:p>
    <w:p w14:paraId="6CEFC4CA"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III. El periodo por el que mantendrá su clasificación y fecha de expiración; y</w:t>
      </w:r>
    </w:p>
    <w:p w14:paraId="455D6C53"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IV. El nombre del titular y área encargada de realizar la versión pública del documento, en su caso.</w:t>
      </w:r>
    </w:p>
    <w:p w14:paraId="2C117835"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53D4ABE"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B692B6D"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b/>
          <w:i/>
          <w:sz w:val="22"/>
          <w:szCs w:val="22"/>
        </w:rPr>
        <w:t>Quincuagésimo segundo</w:t>
      </w:r>
      <w:r w:rsidRPr="004E5E2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B3A440"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lastRenderedPageBreak/>
        <w:t>En el caso específico de la clasificación y elaboración de versiones públicas de documentos que contengan información confidencial, las áreas de los sujetos obligados deberán:</w:t>
      </w:r>
    </w:p>
    <w:p w14:paraId="72B1192B"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F1F725F"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47361C8"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III. Señalar las personas o instancias autorizadas a acceder a la información clasificada.</w:t>
      </w:r>
    </w:p>
    <w:p w14:paraId="197B0323"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F340226"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w:t>
      </w:r>
    </w:p>
    <w:p w14:paraId="29433AA2" w14:textId="77777777" w:rsidR="009F2EFE" w:rsidRPr="004E5E22" w:rsidRDefault="00D44E7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32D0FA1" w14:textId="77777777" w:rsidR="009F2EFE" w:rsidRPr="004E5E22" w:rsidRDefault="00D44E79">
      <w:pPr>
        <w:pBdr>
          <w:top w:val="nil"/>
          <w:left w:val="nil"/>
          <w:bottom w:val="nil"/>
          <w:right w:val="nil"/>
          <w:between w:val="nil"/>
        </w:pBdr>
        <w:spacing w:after="160"/>
        <w:ind w:left="709" w:right="709"/>
        <w:jc w:val="both"/>
      </w:pPr>
      <w:r w:rsidRPr="004E5E22">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42BD3E7F" w14:textId="77777777" w:rsidR="009F2EFE" w:rsidRPr="004E5E22" w:rsidRDefault="009F2EFE">
      <w:pPr>
        <w:jc w:val="both"/>
      </w:pPr>
    </w:p>
    <w:p w14:paraId="71137203" w14:textId="77777777" w:rsidR="009F2EFE" w:rsidRPr="004E5E22" w:rsidRDefault="009F2EFE"/>
    <w:p w14:paraId="1209E22A"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0362F84" w14:textId="77777777" w:rsidR="009F2EFE" w:rsidRPr="004E5E22" w:rsidRDefault="009F2EFE">
      <w:pPr>
        <w:spacing w:line="360" w:lineRule="auto"/>
        <w:jc w:val="both"/>
        <w:rPr>
          <w:rFonts w:ascii="Palatino Linotype" w:eastAsia="Palatino Linotype" w:hAnsi="Palatino Linotype" w:cs="Palatino Linotype"/>
        </w:rPr>
      </w:pPr>
    </w:p>
    <w:p w14:paraId="59C98EA7" w14:textId="77777777" w:rsidR="009F2EFE" w:rsidRPr="004E5E22" w:rsidRDefault="00D44E79">
      <w:pPr>
        <w:shd w:val="clear" w:color="auto" w:fill="FFFFFF"/>
        <w:spacing w:line="360" w:lineRule="auto"/>
        <w:ind w:right="51"/>
        <w:jc w:val="both"/>
        <w:rPr>
          <w:rFonts w:ascii="Palatino Linotype" w:eastAsia="Palatino Linotype" w:hAnsi="Palatino Linotype" w:cs="Palatino Linotype"/>
        </w:rPr>
      </w:pPr>
      <w:r w:rsidRPr="004E5E22">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w:t>
      </w:r>
    </w:p>
    <w:p w14:paraId="2472833F" w14:textId="77777777" w:rsidR="009F2EFE" w:rsidRPr="004E5E22" w:rsidRDefault="009F2EFE">
      <w:pPr>
        <w:pBdr>
          <w:top w:val="nil"/>
          <w:left w:val="nil"/>
          <w:bottom w:val="nil"/>
          <w:right w:val="nil"/>
          <w:between w:val="nil"/>
        </w:pBdr>
        <w:spacing w:line="360" w:lineRule="auto"/>
        <w:jc w:val="both"/>
        <w:rPr>
          <w:rFonts w:ascii="Palatino Linotype" w:eastAsia="Palatino Linotype" w:hAnsi="Palatino Linotype" w:cs="Palatino Linotype"/>
        </w:rPr>
      </w:pPr>
    </w:p>
    <w:p w14:paraId="5821D4E9" w14:textId="77777777" w:rsidR="009F2EFE" w:rsidRPr="004E5E22" w:rsidRDefault="00D44E79">
      <w:pPr>
        <w:pBdr>
          <w:top w:val="nil"/>
          <w:left w:val="nil"/>
          <w:bottom w:val="nil"/>
          <w:right w:val="nil"/>
          <w:between w:val="nil"/>
        </w:pBd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24F1E45C" w14:textId="7BEF4769" w:rsidR="009F2EFE" w:rsidRPr="004E5E22" w:rsidRDefault="009F2EFE">
      <w:pPr>
        <w:pBdr>
          <w:top w:val="nil"/>
          <w:left w:val="nil"/>
          <w:bottom w:val="nil"/>
          <w:right w:val="nil"/>
          <w:between w:val="nil"/>
        </w:pBdr>
        <w:spacing w:line="360" w:lineRule="auto"/>
        <w:jc w:val="both"/>
        <w:rPr>
          <w:rFonts w:ascii="Palatino Linotype" w:eastAsia="Palatino Linotype" w:hAnsi="Palatino Linotype" w:cs="Palatino Linotype"/>
        </w:rPr>
      </w:pPr>
    </w:p>
    <w:p w14:paraId="25938EFE" w14:textId="28E165E4" w:rsidR="004E5E22" w:rsidRPr="004E5E22" w:rsidRDefault="004E5E22">
      <w:pPr>
        <w:pBdr>
          <w:top w:val="nil"/>
          <w:left w:val="nil"/>
          <w:bottom w:val="nil"/>
          <w:right w:val="nil"/>
          <w:between w:val="nil"/>
        </w:pBdr>
        <w:spacing w:line="360" w:lineRule="auto"/>
        <w:jc w:val="both"/>
        <w:rPr>
          <w:rFonts w:ascii="Palatino Linotype" w:eastAsia="Palatino Linotype" w:hAnsi="Palatino Linotype" w:cs="Palatino Linotype"/>
        </w:rPr>
      </w:pPr>
    </w:p>
    <w:p w14:paraId="6A0E9778" w14:textId="4CD5C6E9" w:rsidR="004E5E22" w:rsidRPr="004E5E22" w:rsidRDefault="004E5E22">
      <w:pPr>
        <w:pBdr>
          <w:top w:val="nil"/>
          <w:left w:val="nil"/>
          <w:bottom w:val="nil"/>
          <w:right w:val="nil"/>
          <w:between w:val="nil"/>
        </w:pBdr>
        <w:spacing w:line="360" w:lineRule="auto"/>
        <w:jc w:val="both"/>
        <w:rPr>
          <w:rFonts w:ascii="Palatino Linotype" w:eastAsia="Palatino Linotype" w:hAnsi="Palatino Linotype" w:cs="Palatino Linotype"/>
        </w:rPr>
      </w:pPr>
    </w:p>
    <w:p w14:paraId="403CBD33" w14:textId="75331E39" w:rsidR="004E5E22" w:rsidRPr="004E5E22" w:rsidRDefault="004E5E22">
      <w:pPr>
        <w:pBdr>
          <w:top w:val="nil"/>
          <w:left w:val="nil"/>
          <w:bottom w:val="nil"/>
          <w:right w:val="nil"/>
          <w:between w:val="nil"/>
        </w:pBdr>
        <w:spacing w:line="360" w:lineRule="auto"/>
        <w:jc w:val="both"/>
        <w:rPr>
          <w:rFonts w:ascii="Palatino Linotype" w:eastAsia="Palatino Linotype" w:hAnsi="Palatino Linotype" w:cs="Palatino Linotype"/>
        </w:rPr>
      </w:pPr>
    </w:p>
    <w:p w14:paraId="451B6299" w14:textId="46A26504" w:rsidR="004E5E22" w:rsidRPr="004E5E22" w:rsidRDefault="004E5E22">
      <w:pPr>
        <w:pBdr>
          <w:top w:val="nil"/>
          <w:left w:val="nil"/>
          <w:bottom w:val="nil"/>
          <w:right w:val="nil"/>
          <w:between w:val="nil"/>
        </w:pBdr>
        <w:spacing w:line="360" w:lineRule="auto"/>
        <w:jc w:val="both"/>
        <w:rPr>
          <w:rFonts w:ascii="Palatino Linotype" w:eastAsia="Palatino Linotype" w:hAnsi="Palatino Linotype" w:cs="Palatino Linotype"/>
        </w:rPr>
      </w:pPr>
    </w:p>
    <w:p w14:paraId="5F0A37B2" w14:textId="77777777" w:rsidR="004E5E22" w:rsidRPr="004E5E22" w:rsidRDefault="004E5E22">
      <w:pPr>
        <w:pBdr>
          <w:top w:val="nil"/>
          <w:left w:val="nil"/>
          <w:bottom w:val="nil"/>
          <w:right w:val="nil"/>
          <w:between w:val="nil"/>
        </w:pBdr>
        <w:spacing w:line="360" w:lineRule="auto"/>
        <w:jc w:val="both"/>
        <w:rPr>
          <w:rFonts w:ascii="Palatino Linotype" w:eastAsia="Palatino Linotype" w:hAnsi="Palatino Linotype" w:cs="Palatino Linotype"/>
        </w:rPr>
      </w:pPr>
    </w:p>
    <w:p w14:paraId="6ED25E9B" w14:textId="77777777" w:rsidR="009F2EFE" w:rsidRPr="004E5E22" w:rsidRDefault="00D44E79">
      <w:pPr>
        <w:pBdr>
          <w:top w:val="nil"/>
          <w:left w:val="nil"/>
          <w:bottom w:val="nil"/>
          <w:right w:val="nil"/>
          <w:between w:val="nil"/>
        </w:pBdr>
        <w:spacing w:after="240" w:line="360" w:lineRule="auto"/>
        <w:jc w:val="center"/>
        <w:rPr>
          <w:rFonts w:ascii="Palatino Linotype" w:eastAsia="Palatino Linotype" w:hAnsi="Palatino Linotype" w:cs="Palatino Linotype"/>
          <w:b/>
        </w:rPr>
      </w:pPr>
      <w:r w:rsidRPr="004E5E22">
        <w:rPr>
          <w:rFonts w:ascii="Palatino Linotype" w:eastAsia="Palatino Linotype" w:hAnsi="Palatino Linotype" w:cs="Palatino Linotype"/>
          <w:b/>
        </w:rPr>
        <w:lastRenderedPageBreak/>
        <w:t>III. R E S U E L V E:</w:t>
      </w:r>
    </w:p>
    <w:p w14:paraId="17846190" w14:textId="77777777" w:rsidR="009F2EFE" w:rsidRPr="004E5E22" w:rsidRDefault="00D44E79">
      <w:pPr>
        <w:spacing w:line="360" w:lineRule="auto"/>
        <w:jc w:val="both"/>
        <w:rPr>
          <w:rFonts w:ascii="Palatino Linotype" w:eastAsia="Palatino Linotype" w:hAnsi="Palatino Linotype" w:cs="Palatino Linotype"/>
        </w:rPr>
      </w:pPr>
      <w:bookmarkStart w:id="4" w:name="_heading=h.3dy6vkm" w:colFirst="0" w:colLast="0"/>
      <w:bookmarkEnd w:id="4"/>
      <w:r w:rsidRPr="004E5E22">
        <w:rPr>
          <w:rFonts w:ascii="Palatino Linotype" w:eastAsia="Palatino Linotype" w:hAnsi="Palatino Linotype" w:cs="Palatino Linotype"/>
          <w:b/>
        </w:rPr>
        <w:t xml:space="preserve">PRIMERO. </w:t>
      </w:r>
      <w:r w:rsidRPr="004E5E22">
        <w:rPr>
          <w:rFonts w:ascii="Palatino Linotype" w:eastAsia="Palatino Linotype" w:hAnsi="Palatino Linotype" w:cs="Palatino Linotype"/>
        </w:rPr>
        <w:t>Resulta</w:t>
      </w:r>
      <w:r w:rsidRPr="004E5E22">
        <w:rPr>
          <w:rFonts w:ascii="Palatino Linotype" w:eastAsia="Palatino Linotype" w:hAnsi="Palatino Linotype" w:cs="Palatino Linotype"/>
          <w:b/>
        </w:rPr>
        <w:t xml:space="preserve"> FUNDADO</w:t>
      </w:r>
      <w:r w:rsidRPr="004E5E22">
        <w:rPr>
          <w:rFonts w:ascii="Palatino Linotype" w:eastAsia="Palatino Linotype" w:hAnsi="Palatino Linotype" w:cs="Palatino Linotype"/>
        </w:rPr>
        <w:t xml:space="preserve"> el motivo de inconformidad hecho valer por la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en el Recurso de Revisión </w:t>
      </w:r>
      <w:r w:rsidRPr="004E5E22">
        <w:rPr>
          <w:rFonts w:ascii="Palatino Linotype" w:eastAsia="Palatino Linotype" w:hAnsi="Palatino Linotype" w:cs="Palatino Linotype"/>
          <w:b/>
        </w:rPr>
        <w:t xml:space="preserve">06244/INFOEM/IP/RR/2024, </w:t>
      </w:r>
      <w:r w:rsidRPr="004E5E22">
        <w:rPr>
          <w:rFonts w:ascii="Palatino Linotype" w:eastAsia="Palatino Linotype" w:hAnsi="Palatino Linotype" w:cs="Palatino Linotype"/>
        </w:rPr>
        <w:t xml:space="preserve">por lo que, en términos del considerando </w:t>
      </w:r>
      <w:r w:rsidRPr="004E5E22">
        <w:rPr>
          <w:rFonts w:ascii="Palatino Linotype" w:eastAsia="Palatino Linotype" w:hAnsi="Palatino Linotype" w:cs="Palatino Linotype"/>
          <w:b/>
        </w:rPr>
        <w:t xml:space="preserve">Cuarto </w:t>
      </w:r>
      <w:r w:rsidRPr="004E5E22">
        <w:rPr>
          <w:rFonts w:ascii="Palatino Linotype" w:eastAsia="Palatino Linotype" w:hAnsi="Palatino Linotype" w:cs="Palatino Linotype"/>
        </w:rPr>
        <w:t xml:space="preserve">de esta resolución, se </w:t>
      </w:r>
      <w:r w:rsidRPr="004E5E22">
        <w:rPr>
          <w:rFonts w:ascii="Palatino Linotype" w:eastAsia="Palatino Linotype" w:hAnsi="Palatino Linotype" w:cs="Palatino Linotype"/>
          <w:b/>
        </w:rPr>
        <w:t xml:space="preserve">MODIFICA </w:t>
      </w:r>
      <w:r w:rsidRPr="004E5E22">
        <w:rPr>
          <w:rFonts w:ascii="Palatino Linotype" w:eastAsia="Palatino Linotype" w:hAnsi="Palatino Linotype" w:cs="Palatino Linotype"/>
        </w:rPr>
        <w:t xml:space="preserve">la respuesta emitida por 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w:t>
      </w:r>
    </w:p>
    <w:p w14:paraId="4C9F9187" w14:textId="77777777" w:rsidR="009F2EFE" w:rsidRPr="004E5E22" w:rsidRDefault="009F2EFE">
      <w:pPr>
        <w:spacing w:line="360" w:lineRule="auto"/>
        <w:ind w:right="49"/>
        <w:jc w:val="both"/>
        <w:rPr>
          <w:rFonts w:ascii="Palatino Linotype" w:eastAsia="Palatino Linotype" w:hAnsi="Palatino Linotype" w:cs="Palatino Linotype"/>
          <w:b/>
        </w:rPr>
      </w:pPr>
    </w:p>
    <w:p w14:paraId="209EB512" w14:textId="77777777" w:rsidR="009F2EFE" w:rsidRPr="004E5E22" w:rsidRDefault="00D44E79">
      <w:pPr>
        <w:spacing w:line="360" w:lineRule="auto"/>
        <w:ind w:right="49"/>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SEGUNDO. </w:t>
      </w:r>
      <w:r w:rsidRPr="004E5E22">
        <w:rPr>
          <w:rFonts w:ascii="Palatino Linotype" w:eastAsia="Palatino Linotype" w:hAnsi="Palatino Linotype" w:cs="Palatino Linotype"/>
        </w:rPr>
        <w:t>Se</w:t>
      </w:r>
      <w:r w:rsidRPr="004E5E22">
        <w:rPr>
          <w:rFonts w:ascii="Palatino Linotype" w:eastAsia="Palatino Linotype" w:hAnsi="Palatino Linotype" w:cs="Palatino Linotype"/>
          <w:b/>
        </w:rPr>
        <w:t xml:space="preserve"> ORDENA </w:t>
      </w:r>
      <w:r w:rsidRPr="004E5E22">
        <w:rPr>
          <w:rFonts w:ascii="Palatino Linotype" w:eastAsia="Palatino Linotype" w:hAnsi="Palatino Linotype" w:cs="Palatino Linotype"/>
        </w:rPr>
        <w:t xml:space="preserve">al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a que,</w:t>
      </w:r>
      <w:r w:rsidRPr="004E5E22">
        <w:rPr>
          <w:rFonts w:ascii="Palatino Linotype" w:eastAsia="Palatino Linotype" w:hAnsi="Palatino Linotype" w:cs="Palatino Linotype"/>
          <w:b/>
        </w:rPr>
        <w:t xml:space="preserve"> </w:t>
      </w:r>
      <w:r w:rsidRPr="004E5E22">
        <w:rPr>
          <w:rFonts w:ascii="Palatino Linotype" w:eastAsia="Palatino Linotype" w:hAnsi="Palatino Linotype" w:cs="Palatino Linotype"/>
        </w:rPr>
        <w:t>en términos de los Considerandos Cuarto y Quinto, haga entrega vía Sistema de Acceso a la Información Mexiquense (SAIMEX), en versión pública de ser procedente, previa búsqueda exhaustiva y razonable, del documento o documentos en donde conste lo siguiente:</w:t>
      </w:r>
    </w:p>
    <w:p w14:paraId="039542E4" w14:textId="77777777" w:rsidR="009F2EFE" w:rsidRPr="004E5E22" w:rsidRDefault="00D44E79">
      <w:pPr>
        <w:numPr>
          <w:ilvl w:val="0"/>
          <w:numId w:val="1"/>
        </w:numPr>
        <w:pBdr>
          <w:top w:val="nil"/>
          <w:left w:val="nil"/>
          <w:bottom w:val="nil"/>
          <w:right w:val="nil"/>
          <w:between w:val="nil"/>
        </w:pBdr>
        <w:spacing w:before="240" w:after="240" w:line="360" w:lineRule="auto"/>
        <w:jc w:val="both"/>
      </w:pPr>
      <w:bookmarkStart w:id="5" w:name="_heading=h.4d34og8" w:colFirst="0" w:colLast="0"/>
      <w:bookmarkEnd w:id="5"/>
      <w:r w:rsidRPr="004E5E22">
        <w:rPr>
          <w:rFonts w:ascii="Palatino Linotype" w:eastAsia="Palatino Linotype" w:hAnsi="Palatino Linotype" w:cs="Palatino Linotype"/>
        </w:rPr>
        <w:t xml:space="preserve">Los bienes inmuebles municipales escriturados en donde se observe la fecha de alta, al diecinueve de septiembre del año dos mil veinticuatro.  </w:t>
      </w:r>
    </w:p>
    <w:p w14:paraId="1033E605" w14:textId="77777777" w:rsidR="009F2EFE" w:rsidRPr="004E5E22" w:rsidRDefault="00D44E79">
      <w:pPr>
        <w:spacing w:after="120"/>
        <w:ind w:left="360" w:right="40"/>
        <w:jc w:val="both"/>
        <w:rPr>
          <w:rFonts w:ascii="Palatino Linotype" w:eastAsia="Palatino Linotype" w:hAnsi="Palatino Linotype" w:cs="Palatino Linotype"/>
          <w:i/>
          <w:sz w:val="22"/>
          <w:szCs w:val="22"/>
        </w:rPr>
      </w:pPr>
      <w:r w:rsidRPr="004E5E22">
        <w:rPr>
          <w:rFonts w:ascii="Palatino Linotype" w:eastAsia="Palatino Linotype" w:hAnsi="Palatino Linotype" w:cs="Palatino Linotype"/>
          <w:i/>
          <w:sz w:val="22"/>
          <w:szCs w:val="22"/>
        </w:rPr>
        <w:t>De ser procedente, 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20C0258" w14:textId="77777777" w:rsidR="009F2EFE" w:rsidRPr="004E5E22" w:rsidRDefault="009F2EFE">
      <w:pPr>
        <w:spacing w:line="360" w:lineRule="auto"/>
        <w:ind w:right="-93"/>
        <w:jc w:val="both"/>
        <w:rPr>
          <w:rFonts w:ascii="Palatino Linotype" w:eastAsia="Palatino Linotype" w:hAnsi="Palatino Linotype" w:cs="Palatino Linotype"/>
          <w:b/>
        </w:rPr>
      </w:pPr>
    </w:p>
    <w:p w14:paraId="11C2AA1C" w14:textId="77777777" w:rsidR="009F2EFE" w:rsidRPr="004E5E22" w:rsidRDefault="00D44E79">
      <w:pPr>
        <w:spacing w:line="360" w:lineRule="auto"/>
        <w:ind w:right="-93"/>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TERCERO. Notifíquese vía SAIMEX </w:t>
      </w:r>
      <w:r w:rsidRPr="004E5E22">
        <w:rPr>
          <w:rFonts w:ascii="Palatino Linotype" w:eastAsia="Palatino Linotype" w:hAnsi="Palatino Linotype" w:cs="Palatino Linotype"/>
        </w:rPr>
        <w:t>la presente resolución al T</w:t>
      </w:r>
      <w:r w:rsidRPr="004E5E22">
        <w:rPr>
          <w:rFonts w:ascii="Palatino Linotype" w:eastAsia="Palatino Linotype" w:hAnsi="Palatino Linotype" w:cs="Palatino Linotype"/>
          <w:b/>
        </w:rPr>
        <w:t xml:space="preserve">itular de la Unidad de Transparencia </w:t>
      </w:r>
      <w:r w:rsidRPr="004E5E22">
        <w:rPr>
          <w:rFonts w:ascii="Palatino Linotype" w:eastAsia="Palatino Linotype" w:hAnsi="Palatino Linotype" w:cs="Palatino Linotype"/>
        </w:rPr>
        <w:t xml:space="preserve">del </w:t>
      </w:r>
      <w:r w:rsidRPr="004E5E22">
        <w:rPr>
          <w:rFonts w:ascii="Palatino Linotype" w:eastAsia="Palatino Linotype" w:hAnsi="Palatino Linotype" w:cs="Palatino Linotype"/>
          <w:b/>
        </w:rPr>
        <w:t>SUJETO OBLIGADO</w:t>
      </w:r>
      <w:r w:rsidRPr="004E5E22">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4E5E22">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04BA3A" w14:textId="77777777" w:rsidR="009F2EFE" w:rsidRPr="004E5E22" w:rsidRDefault="009F2EFE">
      <w:pPr>
        <w:spacing w:line="360" w:lineRule="auto"/>
        <w:ind w:right="-93"/>
        <w:jc w:val="both"/>
        <w:rPr>
          <w:rFonts w:ascii="Palatino Linotype" w:eastAsia="Palatino Linotype" w:hAnsi="Palatino Linotype" w:cs="Palatino Linotype"/>
        </w:rPr>
      </w:pPr>
    </w:p>
    <w:p w14:paraId="74693CE7" w14:textId="77777777" w:rsidR="009F2EFE" w:rsidRPr="004E5E22" w:rsidRDefault="00D44E79">
      <w:pPr>
        <w:spacing w:line="360" w:lineRule="auto"/>
        <w:jc w:val="both"/>
        <w:rPr>
          <w:rFonts w:ascii="Palatino Linotype" w:eastAsia="Palatino Linotype" w:hAnsi="Palatino Linotype" w:cs="Palatino Linotype"/>
        </w:rPr>
      </w:pPr>
      <w:r w:rsidRPr="004E5E22">
        <w:rPr>
          <w:rFonts w:ascii="Palatino Linotype" w:eastAsia="Palatino Linotype" w:hAnsi="Palatino Linotype" w:cs="Palatino Linotype"/>
          <w:b/>
        </w:rPr>
        <w:t xml:space="preserve">CUARTO. </w:t>
      </w:r>
      <w:r w:rsidRPr="004E5E2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4E5E22">
        <w:rPr>
          <w:rFonts w:ascii="Palatino Linotype" w:eastAsia="Palatino Linotype" w:hAnsi="Palatino Linotype" w:cs="Palatino Linotype"/>
          <w:b/>
        </w:rPr>
        <w:t>EL SUJETO OBLIGADO</w:t>
      </w:r>
      <w:r w:rsidRPr="004E5E22">
        <w:rPr>
          <w:rFonts w:ascii="Palatino Linotype" w:eastAsia="Palatino Linotype" w:hAnsi="Palatino Linotype" w:cs="Palatino Linotype"/>
        </w:rPr>
        <w:t xml:space="preserve"> de manera fundada y motivada, podrá solicitar una ampliación de plazo para el cumplimiento de la presente resolución.</w:t>
      </w:r>
    </w:p>
    <w:p w14:paraId="04525140" w14:textId="77777777" w:rsidR="009F2EFE" w:rsidRPr="004E5E22" w:rsidRDefault="009F2EFE">
      <w:pPr>
        <w:spacing w:line="360" w:lineRule="auto"/>
        <w:jc w:val="both"/>
        <w:rPr>
          <w:rFonts w:ascii="Palatino Linotype" w:eastAsia="Palatino Linotype" w:hAnsi="Palatino Linotype" w:cs="Palatino Linotype"/>
          <w:b/>
        </w:rPr>
      </w:pPr>
    </w:p>
    <w:p w14:paraId="6503A3F1" w14:textId="77777777" w:rsidR="009F2EFE" w:rsidRPr="004E5E22" w:rsidRDefault="00D44E79">
      <w:pPr>
        <w:spacing w:line="360" w:lineRule="auto"/>
        <w:ind w:right="49"/>
        <w:jc w:val="both"/>
        <w:rPr>
          <w:rFonts w:ascii="Palatino Linotype" w:eastAsia="Palatino Linotype" w:hAnsi="Palatino Linotype" w:cs="Palatino Linotype"/>
        </w:rPr>
      </w:pPr>
      <w:bookmarkStart w:id="6" w:name="_heading=h.2et92p0" w:colFirst="0" w:colLast="0"/>
      <w:bookmarkEnd w:id="6"/>
      <w:r w:rsidRPr="004E5E22">
        <w:rPr>
          <w:rFonts w:ascii="Palatino Linotype" w:eastAsia="Palatino Linotype" w:hAnsi="Palatino Linotype" w:cs="Palatino Linotype"/>
          <w:b/>
        </w:rPr>
        <w:t>QUINTO. Notifíquese vía SAIMEX</w:t>
      </w:r>
      <w:r w:rsidRPr="004E5E22">
        <w:rPr>
          <w:rFonts w:ascii="Palatino Linotype" w:eastAsia="Palatino Linotype" w:hAnsi="Palatino Linotype" w:cs="Palatino Linotype"/>
        </w:rPr>
        <w:t xml:space="preserve">, a la parte </w:t>
      </w:r>
      <w:r w:rsidRPr="004E5E22">
        <w:rPr>
          <w:rFonts w:ascii="Palatino Linotype" w:eastAsia="Palatino Linotype" w:hAnsi="Palatino Linotype" w:cs="Palatino Linotype"/>
          <w:b/>
        </w:rPr>
        <w:t>RECURRENTE</w:t>
      </w:r>
      <w:r w:rsidRPr="004E5E2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7B54E62" w14:textId="77777777" w:rsidR="009F2EFE" w:rsidRPr="004E5E22" w:rsidRDefault="009F2EFE">
      <w:pPr>
        <w:spacing w:line="360" w:lineRule="auto"/>
        <w:jc w:val="both"/>
        <w:rPr>
          <w:rFonts w:ascii="Palatino Linotype" w:eastAsia="Palatino Linotype" w:hAnsi="Palatino Linotype" w:cs="Palatino Linotype"/>
        </w:rPr>
      </w:pPr>
    </w:p>
    <w:p w14:paraId="618CECC7" w14:textId="2ED817EE" w:rsidR="009F2EFE" w:rsidRPr="004E5E22" w:rsidRDefault="00D44E79">
      <w:pPr>
        <w:spacing w:before="240" w:after="240" w:line="360" w:lineRule="auto"/>
        <w:jc w:val="both"/>
        <w:rPr>
          <w:rFonts w:ascii="Palatino Linotype" w:eastAsia="Palatino Linotype" w:hAnsi="Palatino Linotype" w:cs="Palatino Linotype"/>
        </w:rPr>
      </w:pPr>
      <w:bookmarkStart w:id="7" w:name="_heading=h.1fob9te" w:colFirst="0" w:colLast="0"/>
      <w:bookmarkEnd w:id="7"/>
      <w:r w:rsidRPr="004E5E2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4E5E22">
        <w:rPr>
          <w:rFonts w:ascii="Palatino Linotype" w:eastAsia="Palatino Linotype" w:hAnsi="Palatino Linotype" w:cs="Palatino Linotype"/>
        </w:rPr>
        <w:lastRenderedPageBreak/>
        <w:t>RAMÍREZ PEÑA; EN LA TRIGÉSIMA NOVENA SESIÓN ORDINARIA CELEBRADA EL TRECE DE NOVIEMBRE DE DOS MIL VEINTICUATRO, ANTE EL SECRETARIO TÉCNICO DEL PLENO ALEXIS TAPIA RAMÍREZ.</w:t>
      </w:r>
    </w:p>
    <w:p w14:paraId="331ACA2C" w14:textId="25CAC31E" w:rsidR="004E5E22" w:rsidRPr="004E5E22" w:rsidRDefault="004E5E22">
      <w:pPr>
        <w:spacing w:before="240" w:after="240" w:line="360" w:lineRule="auto"/>
        <w:jc w:val="both"/>
        <w:rPr>
          <w:rFonts w:ascii="Palatino Linotype" w:eastAsia="Palatino Linotype" w:hAnsi="Palatino Linotype" w:cs="Palatino Linotype"/>
        </w:rPr>
      </w:pPr>
    </w:p>
    <w:p w14:paraId="6EAC1429" w14:textId="5A8E66EC" w:rsidR="004E5E22" w:rsidRPr="004E5E22" w:rsidRDefault="004E5E22">
      <w:pPr>
        <w:spacing w:before="240" w:after="240" w:line="360" w:lineRule="auto"/>
        <w:jc w:val="both"/>
        <w:rPr>
          <w:rFonts w:ascii="Palatino Linotype" w:eastAsia="Palatino Linotype" w:hAnsi="Palatino Linotype" w:cs="Palatino Linotype"/>
        </w:rPr>
      </w:pPr>
    </w:p>
    <w:p w14:paraId="240F59A8" w14:textId="6D0B3001" w:rsidR="008B6940" w:rsidRDefault="008B6940">
      <w:pPr>
        <w:rPr>
          <w:rFonts w:ascii="Palatino Linotype" w:eastAsia="Palatino Linotype" w:hAnsi="Palatino Linotype" w:cs="Palatino Linotype"/>
        </w:rPr>
      </w:pPr>
      <w:r>
        <w:rPr>
          <w:rFonts w:ascii="Palatino Linotype" w:eastAsia="Palatino Linotype" w:hAnsi="Palatino Linotype" w:cs="Palatino Linotype"/>
        </w:rPr>
        <w:br w:type="page"/>
      </w:r>
    </w:p>
    <w:p w14:paraId="613D821C" w14:textId="77777777" w:rsidR="004E5E22" w:rsidRPr="004E5E22" w:rsidRDefault="004E5E22">
      <w:pPr>
        <w:spacing w:before="240" w:after="240" w:line="360" w:lineRule="auto"/>
        <w:jc w:val="both"/>
        <w:rPr>
          <w:rFonts w:ascii="Palatino Linotype" w:eastAsia="Palatino Linotype" w:hAnsi="Palatino Linotype" w:cs="Palatino Linotype"/>
        </w:rPr>
      </w:pPr>
    </w:p>
    <w:sectPr w:rsidR="004E5E22" w:rsidRPr="004E5E22">
      <w:headerReference w:type="default" r:id="rId21"/>
      <w:footerReference w:type="default" r:id="rId22"/>
      <w:headerReference w:type="first" r:id="rId23"/>
      <w:footerReference w:type="first" r:id="rId2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39CF" w14:textId="77777777" w:rsidR="00787AC7" w:rsidRDefault="00787AC7">
      <w:r>
        <w:separator/>
      </w:r>
    </w:p>
  </w:endnote>
  <w:endnote w:type="continuationSeparator" w:id="0">
    <w:p w14:paraId="79F78009" w14:textId="77777777" w:rsidR="00787AC7" w:rsidRDefault="0078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8301" w14:textId="77777777" w:rsidR="009F2EFE" w:rsidRDefault="00D44E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1E6CC1FD" w14:textId="77777777" w:rsidR="009F2EFE" w:rsidRDefault="009F2EF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A5AAF" w14:textId="77777777" w:rsidR="009F2EFE" w:rsidRDefault="00D44E7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p>
  <w:p w14:paraId="2F85B18F" w14:textId="77777777" w:rsidR="009F2EFE" w:rsidRDefault="009F2EF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59499" w14:textId="77777777" w:rsidR="00787AC7" w:rsidRDefault="00787AC7">
      <w:r>
        <w:separator/>
      </w:r>
    </w:p>
  </w:footnote>
  <w:footnote w:type="continuationSeparator" w:id="0">
    <w:p w14:paraId="5A22DA37" w14:textId="77777777" w:rsidR="00787AC7" w:rsidRDefault="00787AC7">
      <w:r>
        <w:continuationSeparator/>
      </w:r>
    </w:p>
  </w:footnote>
  <w:footnote w:id="1">
    <w:p w14:paraId="039B147C" w14:textId="77777777" w:rsidR="009F2EFE" w:rsidRDefault="00D44E7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6F6D7BA9" w14:textId="77777777" w:rsidR="009F2EFE" w:rsidRDefault="00D44E7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6278" w14:textId="77777777" w:rsidR="009F2EFE" w:rsidRDefault="00D44E7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0A63E0F1" wp14:editId="34B92F74">
          <wp:simplePos x="0" y="0"/>
          <wp:positionH relativeFrom="column">
            <wp:posOffset>-1080130</wp:posOffset>
          </wp:positionH>
          <wp:positionV relativeFrom="paragraph">
            <wp:posOffset>-488310</wp:posOffset>
          </wp:positionV>
          <wp:extent cx="7809865" cy="10165715"/>
          <wp:effectExtent l="0" t="0" r="0" b="0"/>
          <wp:wrapNone/>
          <wp:docPr id="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9F2EFE" w14:paraId="0ADAECA1" w14:textId="77777777">
      <w:tc>
        <w:tcPr>
          <w:tcW w:w="2489" w:type="dxa"/>
          <w:shd w:val="clear" w:color="auto" w:fill="auto"/>
        </w:tcPr>
        <w:p w14:paraId="119C5E94" w14:textId="77777777" w:rsidR="009F2EFE" w:rsidRDefault="00D44E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6E50418" w14:textId="77777777" w:rsidR="009F2EFE" w:rsidRDefault="00D44E7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06244/INFOEM/IP/RR/2024</w:t>
          </w:r>
        </w:p>
      </w:tc>
    </w:tr>
    <w:tr w:rsidR="009F2EFE" w14:paraId="5795D4D1" w14:textId="77777777">
      <w:trPr>
        <w:trHeight w:val="228"/>
      </w:trPr>
      <w:tc>
        <w:tcPr>
          <w:tcW w:w="2489" w:type="dxa"/>
          <w:shd w:val="clear" w:color="auto" w:fill="auto"/>
          <w:vAlign w:val="center"/>
        </w:tcPr>
        <w:p w14:paraId="0BB4A326" w14:textId="77777777" w:rsidR="009F2EFE" w:rsidRDefault="00D44E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E3A74C" w14:textId="77777777" w:rsidR="009F2EFE" w:rsidRDefault="00D44E7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9F2EFE" w14:paraId="446388B9" w14:textId="77777777">
      <w:tc>
        <w:tcPr>
          <w:tcW w:w="2489" w:type="dxa"/>
          <w:shd w:val="clear" w:color="auto" w:fill="auto"/>
          <w:vAlign w:val="center"/>
        </w:tcPr>
        <w:p w14:paraId="2A123756" w14:textId="77777777" w:rsidR="009F2EFE" w:rsidRDefault="00D44E7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7E196D1" w14:textId="77777777" w:rsidR="009F2EFE" w:rsidRDefault="00D44E7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980EEE9" w14:textId="77777777" w:rsidR="009F2EFE" w:rsidRDefault="00D44E7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89803" w14:textId="77777777" w:rsidR="009F2EFE" w:rsidRDefault="009F2EF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c"/>
      <w:tblW w:w="5670" w:type="dxa"/>
      <w:tblInd w:w="3261" w:type="dxa"/>
      <w:tblLayout w:type="fixed"/>
      <w:tblLook w:val="0400" w:firstRow="0" w:lastRow="0" w:firstColumn="0" w:lastColumn="0" w:noHBand="0" w:noVBand="1"/>
    </w:tblPr>
    <w:tblGrid>
      <w:gridCol w:w="2551"/>
      <w:gridCol w:w="3119"/>
    </w:tblGrid>
    <w:tr w:rsidR="009F2EFE" w14:paraId="499F0A76" w14:textId="77777777">
      <w:tc>
        <w:tcPr>
          <w:tcW w:w="2551" w:type="dxa"/>
          <w:shd w:val="clear" w:color="auto" w:fill="auto"/>
          <w:vAlign w:val="center"/>
        </w:tcPr>
        <w:p w14:paraId="0C0C872E" w14:textId="77777777" w:rsidR="009F2EFE" w:rsidRDefault="00D44E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7AAAC40" w14:textId="77777777" w:rsidR="009F2EFE" w:rsidRDefault="00D44E7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06244/INFOEM/IP/RR/2024</w:t>
          </w:r>
        </w:p>
      </w:tc>
    </w:tr>
    <w:tr w:rsidR="009F2EFE" w14:paraId="7A51A49B" w14:textId="77777777">
      <w:trPr>
        <w:trHeight w:val="130"/>
      </w:trPr>
      <w:tc>
        <w:tcPr>
          <w:tcW w:w="2551" w:type="dxa"/>
          <w:shd w:val="clear" w:color="auto" w:fill="auto"/>
          <w:vAlign w:val="center"/>
        </w:tcPr>
        <w:p w14:paraId="75612A54" w14:textId="77777777" w:rsidR="009F2EFE" w:rsidRDefault="00D44E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BA1D413" w14:textId="77777777" w:rsidR="009F2EFE" w:rsidRDefault="00D44E79">
          <w:pPr>
            <w:tabs>
              <w:tab w:val="left" w:pos="3153"/>
            </w:tabs>
            <w:ind w:left="-45"/>
            <w:jc w:val="both"/>
            <w:rPr>
              <w:rFonts w:ascii="Palatino Linotype" w:eastAsia="Palatino Linotype" w:hAnsi="Palatino Linotype" w:cs="Palatino Linotype"/>
              <w:b/>
              <w:sz w:val="22"/>
              <w:szCs w:val="22"/>
            </w:rPr>
          </w:pPr>
          <w:r>
            <w:rPr>
              <w:noProof/>
            </w:rPr>
            <w:drawing>
              <wp:anchor distT="0" distB="0" distL="0" distR="0" simplePos="0" relativeHeight="251659264" behindDoc="1" locked="0" layoutInCell="1" hidden="0" allowOverlap="1" wp14:anchorId="3F5E4DEE" wp14:editId="1FE086AB">
                <wp:simplePos x="0" y="0"/>
                <wp:positionH relativeFrom="column">
                  <wp:posOffset>-4629147</wp:posOffset>
                </wp:positionH>
                <wp:positionV relativeFrom="paragraph">
                  <wp:posOffset>-407665</wp:posOffset>
                </wp:positionV>
                <wp:extent cx="7809865" cy="10165715"/>
                <wp:effectExtent l="0" t="0" r="0" b="0"/>
                <wp:wrapNone/>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9F2EFE" w14:paraId="79006C3D" w14:textId="77777777">
      <w:trPr>
        <w:trHeight w:val="228"/>
      </w:trPr>
      <w:tc>
        <w:tcPr>
          <w:tcW w:w="2551" w:type="dxa"/>
          <w:shd w:val="clear" w:color="auto" w:fill="auto"/>
          <w:vAlign w:val="center"/>
        </w:tcPr>
        <w:p w14:paraId="2924C7FE" w14:textId="77777777" w:rsidR="009F2EFE" w:rsidRDefault="00D44E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3193484" w14:textId="77777777" w:rsidR="009F2EFE" w:rsidRDefault="00D44E7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Temamatla.</w:t>
          </w:r>
        </w:p>
      </w:tc>
    </w:tr>
    <w:tr w:rsidR="009F2EFE" w14:paraId="04D313B9" w14:textId="77777777">
      <w:tc>
        <w:tcPr>
          <w:tcW w:w="2551" w:type="dxa"/>
          <w:shd w:val="clear" w:color="auto" w:fill="auto"/>
          <w:vAlign w:val="center"/>
        </w:tcPr>
        <w:p w14:paraId="20455A86" w14:textId="77777777" w:rsidR="009F2EFE" w:rsidRDefault="00D44E7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FAE828D" w14:textId="77777777" w:rsidR="009F2EFE" w:rsidRDefault="00D44E7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A85209" w14:textId="77777777" w:rsidR="009F2EFE" w:rsidRDefault="009F2EF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94314"/>
    <w:multiLevelType w:val="multilevel"/>
    <w:tmpl w:val="3D9CE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22011B"/>
    <w:multiLevelType w:val="multilevel"/>
    <w:tmpl w:val="48BCA11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EFE"/>
    <w:rsid w:val="0008736B"/>
    <w:rsid w:val="003A787D"/>
    <w:rsid w:val="004C3C13"/>
    <w:rsid w:val="004E5E22"/>
    <w:rsid w:val="00787AC7"/>
    <w:rsid w:val="008B6940"/>
    <w:rsid w:val="009F2EFE"/>
    <w:rsid w:val="00D44E79"/>
    <w:rsid w:val="00FD1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6AC22"/>
  <w15:docId w15:val="{0F667D9C-804F-4212-A987-7C6BBD28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55B"/>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paragraph" w:customStyle="1" w:styleId="Citas">
    <w:name w:val="Citas"/>
    <w:basedOn w:val="Normal"/>
    <w:qFormat/>
    <w:rsid w:val="0080344A"/>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242941.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1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p0Zo8o8hK65U+XkPkDMedgTnQ==">CgMxLjAyCGguZ2pkZ3hzMgloLjN6bnlzaDcyCWguMzBqMHpsbDIIaC50eWpjd3QyCWguM2R5NnZrbTIJaC40ZDM0b2c4MgloLjJldDkycDAyCWguMWZvYjl0ZTgAciExSWhIM1lEWXhXQWtZcjctbHA1ZXVWb01HQnhxU09WeE8=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8774</Words>
  <Characters>48259</Characters>
  <Application>Microsoft Office Word</Application>
  <DocSecurity>0</DocSecurity>
  <Lines>402</Lines>
  <Paragraphs>113</Paragraphs>
  <ScaleCrop>false</ScaleCrop>
  <Company>HP Inc.</Company>
  <LinksUpToDate>false</LinksUpToDate>
  <CharactersWithSpaces>56920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2024-11-15T06:43:00Z</cp:lastPrinted>
  <dcterms:created xsi:type="dcterms:W3CDTF">2024-12-04T18:40:00Z</dcterms:created>
  <dcterms:modified xsi:type="dcterms:W3CDTF">2024-12-04T18:40:00Z</dcterms:modified>
</cp:coreProperties>
</file>