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F6BBF6" w14:textId="6896B4AD" w:rsidR="00C853D1" w:rsidRPr="00C61F3A" w:rsidRDefault="00C853D1" w:rsidP="00BE170F">
      <w:pPr>
        <w:spacing w:after="0" w:line="360" w:lineRule="auto"/>
        <w:rPr>
          <w:rFonts w:eastAsia="Times New Roman" w:cs="Tahoma"/>
          <w:bCs/>
          <w:color w:val="auto"/>
          <w:lang w:eastAsia="es-ES"/>
        </w:rPr>
      </w:pPr>
      <w:r w:rsidRPr="00C61F3A">
        <w:rPr>
          <w:rFonts w:eastAsia="Calibri" w:cs="Tahoma"/>
          <w:bCs/>
          <w:color w:val="auto"/>
        </w:rPr>
        <w:t xml:space="preserve">Resolución del Pleno del Instituto de Transparencia, Acceso a la Información Pública y </w:t>
      </w:r>
      <w:r w:rsidRPr="00C61F3A">
        <w:rPr>
          <w:rFonts w:eastAsia="Times New Roman" w:cs="Tahoma"/>
          <w:bCs/>
          <w:color w:val="auto"/>
          <w:lang w:eastAsia="es-ES"/>
        </w:rPr>
        <w:t xml:space="preserve">Protección de Datos Personales del Estado de México y Municipios, con domicilio en Metepec, Estado de México, de fecha </w:t>
      </w:r>
      <w:r w:rsidR="001759BA" w:rsidRPr="00C61F3A">
        <w:rPr>
          <w:rFonts w:eastAsia="Times New Roman" w:cs="Tahoma"/>
          <w:bCs/>
          <w:color w:val="auto"/>
          <w:lang w:eastAsia="es-ES"/>
        </w:rPr>
        <w:t xml:space="preserve">seis de noviembre de dos </w:t>
      </w:r>
      <w:r w:rsidR="00B745C6" w:rsidRPr="00C61F3A">
        <w:rPr>
          <w:rFonts w:eastAsia="Times New Roman" w:cs="Tahoma"/>
          <w:bCs/>
          <w:color w:val="auto"/>
          <w:lang w:eastAsia="es-ES"/>
        </w:rPr>
        <w:t>mil veinticuatro</w:t>
      </w:r>
      <w:r w:rsidR="001759BA" w:rsidRPr="00C61F3A">
        <w:rPr>
          <w:rFonts w:eastAsia="Times New Roman" w:cs="Tahoma"/>
          <w:bCs/>
          <w:color w:val="auto"/>
          <w:lang w:eastAsia="es-ES"/>
        </w:rPr>
        <w:t>.</w:t>
      </w:r>
    </w:p>
    <w:p w14:paraId="27CEFE00" w14:textId="77777777" w:rsidR="003A44EE" w:rsidRPr="00C61F3A" w:rsidRDefault="003A44EE" w:rsidP="00BE170F">
      <w:pPr>
        <w:spacing w:after="0" w:line="360" w:lineRule="auto"/>
        <w:rPr>
          <w:rFonts w:eastAsia="Times New Roman" w:cs="Tahoma"/>
          <w:b/>
          <w:bCs/>
          <w:color w:val="FF0000"/>
          <w:lang w:eastAsia="es-ES"/>
        </w:rPr>
      </w:pPr>
    </w:p>
    <w:p w14:paraId="1066B8D1" w14:textId="42E6E567" w:rsidR="00C853D1" w:rsidRPr="00C61F3A" w:rsidRDefault="00C853D1" w:rsidP="00BE170F">
      <w:pPr>
        <w:spacing w:after="0" w:line="360" w:lineRule="auto"/>
        <w:rPr>
          <w:rFonts w:eastAsia="Calibri" w:cs="Tahoma"/>
          <w:color w:val="auto"/>
        </w:rPr>
      </w:pPr>
      <w:r w:rsidRPr="00C61F3A">
        <w:rPr>
          <w:rFonts w:eastAsia="Times New Roman" w:cs="Tahoma"/>
          <w:b/>
          <w:bCs/>
          <w:color w:val="auto"/>
          <w:lang w:eastAsia="es-ES"/>
        </w:rPr>
        <w:t>VISTO</w:t>
      </w:r>
      <w:r w:rsidRPr="00C61F3A">
        <w:rPr>
          <w:rFonts w:eastAsia="Calibri" w:cs="Tahoma"/>
          <w:bCs/>
          <w:color w:val="auto"/>
        </w:rPr>
        <w:t xml:space="preserve"> el expediente conformado con motivo del Recurso de Revisión </w:t>
      </w:r>
      <w:r w:rsidR="00193D30" w:rsidRPr="009873BA">
        <w:rPr>
          <w:rFonts w:eastAsia="Calibri" w:cs="Tahoma"/>
          <w:b/>
          <w:color w:val="auto"/>
        </w:rPr>
        <w:t>0</w:t>
      </w:r>
      <w:r w:rsidR="00B745C6" w:rsidRPr="009873BA">
        <w:rPr>
          <w:rFonts w:eastAsia="Calibri" w:cs="Tahoma"/>
          <w:b/>
          <w:color w:val="auto"/>
        </w:rPr>
        <w:t>5166</w:t>
      </w:r>
      <w:r w:rsidR="00193D30" w:rsidRPr="009873BA">
        <w:rPr>
          <w:rFonts w:eastAsia="Calibri" w:cs="Tahoma"/>
          <w:b/>
          <w:color w:val="auto"/>
        </w:rPr>
        <w:t>/INFOEM/IP/RR/202</w:t>
      </w:r>
      <w:r w:rsidR="00D66232" w:rsidRPr="009873BA">
        <w:rPr>
          <w:rFonts w:eastAsia="Calibri" w:cs="Tahoma"/>
          <w:b/>
          <w:color w:val="auto"/>
        </w:rPr>
        <w:t>4</w:t>
      </w:r>
      <w:r w:rsidRPr="00C61F3A">
        <w:rPr>
          <w:rFonts w:eastAsia="Calibri" w:cs="Tahoma"/>
          <w:color w:val="auto"/>
        </w:rPr>
        <w:t>, interpuesto por</w:t>
      </w:r>
      <w:r w:rsidR="00D4609D">
        <w:rPr>
          <w:rFonts w:eastAsia="Calibri" w:cs="Tahoma"/>
          <w:color w:val="auto"/>
        </w:rPr>
        <w:t xml:space="preserve"> </w:t>
      </w:r>
      <w:r w:rsidR="00D4609D" w:rsidRPr="00D4609D">
        <w:rPr>
          <w:rFonts w:eastAsia="Calibri" w:cs="Tahoma"/>
          <w:highlight w:val="black"/>
        </w:rPr>
        <w:t xml:space="preserve"> XXXXXXXXXXXXXXXXXXXX</w:t>
      </w:r>
      <w:r w:rsidRPr="00C61F3A">
        <w:rPr>
          <w:rFonts w:eastAsia="Calibri" w:cs="Tahoma"/>
          <w:color w:val="auto"/>
        </w:rPr>
        <w:t xml:space="preserve">, en lo sucesivo, el Recurrente o Particular, en contra de la respuesta del Sujeto Obligado, </w:t>
      </w:r>
      <w:r w:rsidR="00B745C6" w:rsidRPr="009873BA">
        <w:rPr>
          <w:rFonts w:eastAsia="Times New Roman" w:cs="Tahoma"/>
          <w:b/>
          <w:bCs/>
          <w:color w:val="auto"/>
          <w:lang w:eastAsia="es-ES"/>
        </w:rPr>
        <w:t>Instituto de Transparencia, Acceso a la Información Pública y Protección de Datos Personales del Estado de México y Municipios</w:t>
      </w:r>
      <w:r w:rsidRPr="009873BA">
        <w:rPr>
          <w:rFonts w:eastAsia="Calibri" w:cs="Tahoma"/>
          <w:b/>
          <w:color w:val="auto"/>
        </w:rPr>
        <w:t xml:space="preserve">, </w:t>
      </w:r>
      <w:r w:rsidRPr="00C61F3A">
        <w:rPr>
          <w:rFonts w:eastAsia="Calibri" w:cs="Tahoma"/>
          <w:color w:val="auto"/>
        </w:rPr>
        <w:t xml:space="preserve">a la solicitud de acceso a la información </w:t>
      </w:r>
      <w:r w:rsidR="00425FF8" w:rsidRPr="00C61F3A">
        <w:rPr>
          <w:rFonts w:eastAsia="Calibri" w:cs="Tahoma"/>
          <w:color w:val="auto"/>
        </w:rPr>
        <w:t>00700/INFOEM/IP/2024</w:t>
      </w:r>
      <w:r w:rsidRPr="00C61F3A">
        <w:rPr>
          <w:rFonts w:eastAsia="Calibri" w:cs="Tahoma"/>
          <w:color w:val="auto"/>
        </w:rPr>
        <w:t>, se emite la presente Resolución, con base en los Antecedentes y Considerandos que se exponen a continuación:</w:t>
      </w:r>
    </w:p>
    <w:p w14:paraId="4FCCF228" w14:textId="77777777" w:rsidR="00C853D1" w:rsidRPr="00C61F3A" w:rsidRDefault="00C853D1" w:rsidP="00BE170F">
      <w:pPr>
        <w:spacing w:after="0" w:line="360" w:lineRule="auto"/>
        <w:rPr>
          <w:rFonts w:eastAsia="Calibri" w:cs="Tahoma"/>
          <w:color w:val="auto"/>
        </w:rPr>
      </w:pPr>
    </w:p>
    <w:p w14:paraId="0472C645" w14:textId="05F81A3E" w:rsidR="00C853D1" w:rsidRPr="00C61F3A" w:rsidRDefault="00C61F3A" w:rsidP="00BE170F">
      <w:pPr>
        <w:tabs>
          <w:tab w:val="center" w:pos="4522"/>
          <w:tab w:val="left" w:pos="7245"/>
        </w:tabs>
        <w:spacing w:after="0" w:line="360" w:lineRule="auto"/>
        <w:jc w:val="center"/>
        <w:rPr>
          <w:rFonts w:eastAsia="Calibri" w:cs="Tahoma"/>
          <w:b/>
          <w:color w:val="auto"/>
        </w:rPr>
      </w:pPr>
      <w:r>
        <w:rPr>
          <w:rFonts w:eastAsia="Calibri" w:cs="Tahoma"/>
          <w:b/>
          <w:color w:val="auto"/>
        </w:rPr>
        <w:t>A N T E C E D E N T E S</w:t>
      </w:r>
    </w:p>
    <w:p w14:paraId="422D0175" w14:textId="77777777" w:rsidR="00C853D1" w:rsidRPr="00C61F3A" w:rsidRDefault="00C853D1" w:rsidP="00BE170F">
      <w:pPr>
        <w:spacing w:after="0" w:line="360" w:lineRule="auto"/>
        <w:rPr>
          <w:color w:val="FF0000"/>
        </w:rPr>
      </w:pPr>
    </w:p>
    <w:p w14:paraId="539DCEC7" w14:textId="1C0BA096" w:rsidR="00C853D1" w:rsidRPr="00C61F3A" w:rsidRDefault="00C853D1" w:rsidP="00BE170F">
      <w:pPr>
        <w:tabs>
          <w:tab w:val="left" w:pos="567"/>
        </w:tabs>
        <w:spacing w:after="0" w:line="360" w:lineRule="auto"/>
        <w:rPr>
          <w:rFonts w:eastAsia="Times New Roman" w:cs="Tahoma"/>
          <w:b/>
          <w:color w:val="auto"/>
          <w:lang w:eastAsia="es-ES"/>
        </w:rPr>
      </w:pPr>
      <w:r w:rsidRPr="00C61F3A">
        <w:rPr>
          <w:rFonts w:eastAsia="Times New Roman" w:cs="Tahoma"/>
          <w:b/>
          <w:color w:val="auto"/>
          <w:lang w:eastAsia="es-ES"/>
        </w:rPr>
        <w:t>I. Presentación</w:t>
      </w:r>
      <w:r w:rsidR="00622459" w:rsidRPr="00C61F3A">
        <w:rPr>
          <w:rFonts w:eastAsia="Times New Roman" w:cs="Tahoma"/>
          <w:b/>
          <w:color w:val="auto"/>
          <w:lang w:eastAsia="es-ES"/>
        </w:rPr>
        <w:t xml:space="preserve"> de la solicitud de información</w:t>
      </w:r>
    </w:p>
    <w:p w14:paraId="681289FF" w14:textId="77777777" w:rsidR="00C853D1" w:rsidRPr="00C61F3A" w:rsidRDefault="00C853D1" w:rsidP="00BE170F">
      <w:pPr>
        <w:tabs>
          <w:tab w:val="left" w:pos="567"/>
        </w:tabs>
        <w:spacing w:after="0" w:line="360" w:lineRule="auto"/>
        <w:rPr>
          <w:rFonts w:eastAsia="Times New Roman" w:cs="Tahoma"/>
          <w:color w:val="FF0000"/>
          <w:lang w:eastAsia="es-ES"/>
        </w:rPr>
      </w:pPr>
    </w:p>
    <w:p w14:paraId="11272C12" w14:textId="6C10F1B5" w:rsidR="00D66232" w:rsidRPr="00C61F3A" w:rsidRDefault="00D66232" w:rsidP="00BE170F">
      <w:pPr>
        <w:spacing w:after="0" w:line="360" w:lineRule="auto"/>
        <w:rPr>
          <w:rFonts w:eastAsia="Calibri" w:cs="Tahoma"/>
          <w:color w:val="auto"/>
          <w:lang w:val="es-ES"/>
        </w:rPr>
      </w:pPr>
      <w:r w:rsidRPr="00C61F3A">
        <w:rPr>
          <w:rFonts w:eastAsia="Times New Roman" w:cs="Tahoma"/>
          <w:color w:val="auto"/>
          <w:lang w:eastAsia="es-ES"/>
        </w:rPr>
        <w:t xml:space="preserve">El </w:t>
      </w:r>
      <w:r w:rsidR="00425FF8" w:rsidRPr="00C61F3A">
        <w:rPr>
          <w:rFonts w:eastAsia="Times New Roman" w:cs="Tahoma"/>
          <w:color w:val="auto"/>
          <w:lang w:eastAsia="es-ES"/>
        </w:rPr>
        <w:t>nueve de julio de dos mil veinticuatro</w:t>
      </w:r>
      <w:r w:rsidR="00C853D1" w:rsidRPr="00C61F3A">
        <w:rPr>
          <w:rFonts w:eastAsia="Times New Roman" w:cs="Tahoma"/>
          <w:color w:val="auto"/>
          <w:lang w:eastAsia="es-ES"/>
        </w:rPr>
        <w:t xml:space="preserve">, </w:t>
      </w:r>
      <w:r w:rsidRPr="00C61F3A">
        <w:rPr>
          <w:rFonts w:eastAsia="Calibri" w:cs="Tahoma"/>
          <w:color w:val="auto"/>
          <w:lang w:val="es-ES"/>
        </w:rPr>
        <w:t xml:space="preserve">el Particular presentó una solicitud de acceso a la información, a través </w:t>
      </w:r>
      <w:r w:rsidR="00425FF8" w:rsidRPr="00C61F3A">
        <w:rPr>
          <w:rFonts w:eastAsia="Calibri" w:cs="Tahoma"/>
          <w:color w:val="auto"/>
          <w:lang w:val="es-ES"/>
        </w:rPr>
        <w:t xml:space="preserve">del Sistema de Acceso a la Información Mexiquense (SAIMEX), </w:t>
      </w:r>
      <w:r w:rsidRPr="00C61F3A">
        <w:rPr>
          <w:rFonts w:eastAsia="Calibri" w:cs="Tahoma"/>
          <w:color w:val="auto"/>
          <w:lang w:val="es-ES"/>
        </w:rPr>
        <w:t xml:space="preserve">ante el </w:t>
      </w:r>
      <w:r w:rsidR="00425FF8" w:rsidRPr="00C61F3A">
        <w:rPr>
          <w:rFonts w:eastAsia="Times New Roman" w:cs="Tahoma"/>
          <w:bCs/>
          <w:color w:val="auto"/>
          <w:lang w:eastAsia="es-ES"/>
        </w:rPr>
        <w:t>Instituto de Transparencia, Acceso a la Información Pública y Protección de Datos Personales del Estado de México y Municipios</w:t>
      </w:r>
      <w:r w:rsidRPr="00C61F3A">
        <w:rPr>
          <w:rFonts w:cs="Tahoma"/>
          <w:b/>
          <w:bCs/>
          <w:color w:val="auto"/>
        </w:rPr>
        <w:t xml:space="preserve">, </w:t>
      </w:r>
      <w:r w:rsidRPr="00C61F3A">
        <w:rPr>
          <w:rFonts w:cs="Tahoma"/>
          <w:color w:val="auto"/>
        </w:rPr>
        <w:t>en los siguientes términos:</w:t>
      </w:r>
    </w:p>
    <w:p w14:paraId="26D2707A" w14:textId="77777777" w:rsidR="00D66232" w:rsidRPr="00C61F3A" w:rsidRDefault="00D66232" w:rsidP="00BE170F">
      <w:pPr>
        <w:pStyle w:val="Prrafodelista"/>
        <w:tabs>
          <w:tab w:val="left" w:pos="567"/>
        </w:tabs>
        <w:spacing w:line="360" w:lineRule="auto"/>
        <w:ind w:left="0"/>
        <w:rPr>
          <w:rFonts w:eastAsiaTheme="minorHAnsi" w:cs="Tahoma"/>
          <w:color w:val="FF0000"/>
          <w:lang w:val="es-ES"/>
        </w:rPr>
      </w:pPr>
    </w:p>
    <w:p w14:paraId="7231CC2A" w14:textId="77777777" w:rsidR="00D66232" w:rsidRPr="00C61F3A" w:rsidRDefault="00D66232" w:rsidP="00BE170F">
      <w:pPr>
        <w:tabs>
          <w:tab w:val="left" w:pos="4667"/>
        </w:tabs>
        <w:spacing w:after="0" w:line="360" w:lineRule="auto"/>
        <w:ind w:left="567" w:right="567"/>
        <w:rPr>
          <w:rFonts w:cs="Tahoma"/>
          <w:b/>
          <w:bCs/>
          <w:i/>
          <w:color w:val="auto"/>
          <w:sz w:val="20"/>
          <w:szCs w:val="20"/>
        </w:rPr>
      </w:pPr>
      <w:r w:rsidRPr="00C61F3A">
        <w:rPr>
          <w:rFonts w:cs="Tahoma"/>
          <w:b/>
          <w:bCs/>
          <w:i/>
          <w:color w:val="auto"/>
          <w:sz w:val="20"/>
          <w:szCs w:val="20"/>
        </w:rPr>
        <w:t>“DESCRIPCIÓN CLARA Y PRECISA DE LA INFORMACIÓN SOLICITADA</w:t>
      </w:r>
    </w:p>
    <w:p w14:paraId="6AB0BCF6" w14:textId="5D6E0622" w:rsidR="00D66232" w:rsidRPr="00C61F3A" w:rsidRDefault="00425FF8" w:rsidP="00BE170F">
      <w:pPr>
        <w:tabs>
          <w:tab w:val="left" w:pos="4667"/>
        </w:tabs>
        <w:spacing w:after="0" w:line="360" w:lineRule="auto"/>
        <w:ind w:left="567" w:right="567"/>
        <w:rPr>
          <w:rFonts w:eastAsia="Times New Roman" w:cs="Tahoma"/>
          <w:bCs/>
          <w:i/>
          <w:iCs/>
          <w:color w:val="auto"/>
          <w:sz w:val="20"/>
          <w:szCs w:val="20"/>
          <w:lang w:eastAsia="es-ES"/>
        </w:rPr>
      </w:pPr>
      <w:r w:rsidRPr="00C61F3A">
        <w:rPr>
          <w:rFonts w:eastAsia="Times New Roman" w:cs="Tahoma"/>
          <w:bCs/>
          <w:i/>
          <w:iCs/>
          <w:color w:val="auto"/>
          <w:sz w:val="20"/>
          <w:szCs w:val="20"/>
          <w:lang w:eastAsia="es-ES"/>
        </w:rPr>
        <w:t xml:space="preserve">Solicito todos los gafetes institucionales en formato PDF, de las personas servidoras públicas del INFOEM. Solicito las resoluciones del Comité de Transparencia del INFOEM, de los años 2014, 2015, 2016, 2017, 2018, 2019, 2020, 2021, 2022, 2023 a la fecha de presentación de la misma. Solicito la estadística jurisdiccional de la entidad federativa. Solicito las listas de asistencia que se generaron </w:t>
      </w:r>
      <w:r w:rsidRPr="00C61F3A">
        <w:rPr>
          <w:rFonts w:eastAsia="Times New Roman" w:cs="Tahoma"/>
          <w:bCs/>
          <w:i/>
          <w:iCs/>
          <w:color w:val="auto"/>
          <w:sz w:val="20"/>
          <w:szCs w:val="20"/>
          <w:lang w:eastAsia="es-ES"/>
        </w:rPr>
        <w:lastRenderedPageBreak/>
        <w:t xml:space="preserve">en 2020, 2021 y 2022. Solicito saber qué es lo que hace el INFOEM. Solicito el registro. Solicito saber porque el INFOEM, puso toda su normatividad en el </w:t>
      </w:r>
      <w:proofErr w:type="spellStart"/>
      <w:r w:rsidRPr="00C61F3A">
        <w:rPr>
          <w:rFonts w:eastAsia="Times New Roman" w:cs="Tahoma"/>
          <w:bCs/>
          <w:i/>
          <w:iCs/>
          <w:color w:val="auto"/>
          <w:sz w:val="20"/>
          <w:szCs w:val="20"/>
          <w:lang w:eastAsia="es-ES"/>
        </w:rPr>
        <w:t>Ipomex</w:t>
      </w:r>
      <w:proofErr w:type="spellEnd"/>
      <w:r w:rsidRPr="00C61F3A">
        <w:rPr>
          <w:rFonts w:eastAsia="Times New Roman" w:cs="Tahoma"/>
          <w:bCs/>
          <w:i/>
          <w:iCs/>
          <w:color w:val="auto"/>
          <w:sz w:val="20"/>
          <w:szCs w:val="20"/>
          <w:lang w:eastAsia="es-ES"/>
        </w:rPr>
        <w:t xml:space="preserve"> y ya no así en su página web institucional.” (Sic)</w:t>
      </w:r>
    </w:p>
    <w:p w14:paraId="294A5624" w14:textId="77777777" w:rsidR="00425FF8" w:rsidRPr="00C61F3A" w:rsidRDefault="00425FF8" w:rsidP="00BE170F">
      <w:pPr>
        <w:tabs>
          <w:tab w:val="left" w:pos="4667"/>
        </w:tabs>
        <w:spacing w:after="0" w:line="360" w:lineRule="auto"/>
        <w:ind w:left="567" w:right="567"/>
        <w:rPr>
          <w:rFonts w:eastAsia="Times New Roman" w:cs="Tahoma"/>
          <w:bCs/>
          <w:i/>
          <w:iCs/>
          <w:color w:val="auto"/>
          <w:sz w:val="20"/>
          <w:szCs w:val="20"/>
          <w:lang w:eastAsia="es-ES"/>
        </w:rPr>
      </w:pPr>
    </w:p>
    <w:p w14:paraId="194E0E00" w14:textId="77777777" w:rsidR="00D66232" w:rsidRPr="00C61F3A" w:rsidRDefault="00D66232" w:rsidP="00BE170F">
      <w:pPr>
        <w:tabs>
          <w:tab w:val="left" w:pos="4667"/>
        </w:tabs>
        <w:spacing w:after="0" w:line="360" w:lineRule="auto"/>
        <w:ind w:left="567" w:right="567"/>
        <w:rPr>
          <w:rFonts w:eastAsia="Times New Roman" w:cs="Tahoma"/>
          <w:b/>
          <w:bCs/>
          <w:i/>
          <w:iCs/>
          <w:color w:val="auto"/>
          <w:sz w:val="20"/>
          <w:szCs w:val="20"/>
          <w:lang w:eastAsia="es-ES"/>
        </w:rPr>
      </w:pPr>
      <w:r w:rsidRPr="00C61F3A">
        <w:rPr>
          <w:rFonts w:eastAsia="Times New Roman" w:cs="Tahoma"/>
          <w:b/>
          <w:bCs/>
          <w:i/>
          <w:iCs/>
          <w:color w:val="auto"/>
          <w:sz w:val="20"/>
          <w:szCs w:val="20"/>
          <w:lang w:eastAsia="es-ES"/>
        </w:rPr>
        <w:t>“MODALIDAD DE ENTREGA</w:t>
      </w:r>
    </w:p>
    <w:p w14:paraId="13A81212" w14:textId="57886FFD" w:rsidR="00425FF8" w:rsidRPr="00C61F3A" w:rsidRDefault="00425FF8" w:rsidP="00BE170F">
      <w:pPr>
        <w:tabs>
          <w:tab w:val="left" w:pos="4667"/>
        </w:tabs>
        <w:spacing w:after="0" w:line="360" w:lineRule="auto"/>
        <w:ind w:left="567" w:right="567"/>
        <w:rPr>
          <w:rFonts w:eastAsia="Times New Roman" w:cs="Tahoma"/>
          <w:i/>
          <w:iCs/>
          <w:color w:val="auto"/>
          <w:sz w:val="20"/>
          <w:szCs w:val="20"/>
          <w:lang w:eastAsia="es-ES"/>
        </w:rPr>
      </w:pPr>
      <w:r w:rsidRPr="00C61F3A">
        <w:rPr>
          <w:rFonts w:eastAsia="Times New Roman" w:cs="Tahoma"/>
          <w:i/>
          <w:iCs/>
          <w:color w:val="auto"/>
          <w:sz w:val="20"/>
          <w:szCs w:val="20"/>
          <w:lang w:eastAsia="es-ES"/>
        </w:rPr>
        <w:t>A través del SAIMEX”</w:t>
      </w:r>
    </w:p>
    <w:p w14:paraId="38F77536" w14:textId="49F4FD0D" w:rsidR="00B80DA1" w:rsidRPr="00C61F3A" w:rsidRDefault="00B80DA1" w:rsidP="00BE170F">
      <w:pPr>
        <w:autoSpaceDE w:val="0"/>
        <w:autoSpaceDN w:val="0"/>
        <w:adjustRightInd w:val="0"/>
        <w:spacing w:after="0" w:line="360" w:lineRule="auto"/>
        <w:rPr>
          <w:rFonts w:cs="Tahoma"/>
          <w:b/>
          <w:color w:val="FF0000"/>
        </w:rPr>
      </w:pPr>
    </w:p>
    <w:p w14:paraId="56CE3163" w14:textId="7EDB999C" w:rsidR="00425FF8" w:rsidRPr="00C61F3A" w:rsidRDefault="00C853D1" w:rsidP="00BE170F">
      <w:pPr>
        <w:autoSpaceDE w:val="0"/>
        <w:autoSpaceDN w:val="0"/>
        <w:adjustRightInd w:val="0"/>
        <w:spacing w:after="0" w:line="360" w:lineRule="auto"/>
        <w:rPr>
          <w:b/>
          <w:bCs/>
          <w:color w:val="auto"/>
        </w:rPr>
      </w:pPr>
      <w:r w:rsidRPr="00C61F3A">
        <w:rPr>
          <w:rFonts w:cs="Tahoma"/>
          <w:b/>
          <w:color w:val="auto"/>
        </w:rPr>
        <w:t>I</w:t>
      </w:r>
      <w:r w:rsidR="00A43F45" w:rsidRPr="00C61F3A">
        <w:rPr>
          <w:rFonts w:cs="Tahoma"/>
          <w:b/>
          <w:color w:val="auto"/>
        </w:rPr>
        <w:t>I</w:t>
      </w:r>
      <w:r w:rsidRPr="00C61F3A">
        <w:rPr>
          <w:rFonts w:cs="Tahoma"/>
          <w:b/>
          <w:color w:val="auto"/>
        </w:rPr>
        <w:t>.</w:t>
      </w:r>
      <w:r w:rsidR="00622459" w:rsidRPr="00C61F3A">
        <w:rPr>
          <w:b/>
          <w:bCs/>
          <w:color w:val="auto"/>
        </w:rPr>
        <w:t xml:space="preserve"> </w:t>
      </w:r>
      <w:r w:rsidR="00425FF8" w:rsidRPr="00C61F3A">
        <w:rPr>
          <w:b/>
          <w:bCs/>
          <w:color w:val="auto"/>
        </w:rPr>
        <w:t>Prórroga para atender la solicitud de información</w:t>
      </w:r>
    </w:p>
    <w:p w14:paraId="018D9947" w14:textId="77777777" w:rsidR="00425FF8" w:rsidRPr="00C61F3A" w:rsidRDefault="00425FF8" w:rsidP="00BE170F">
      <w:pPr>
        <w:autoSpaceDE w:val="0"/>
        <w:autoSpaceDN w:val="0"/>
        <w:adjustRightInd w:val="0"/>
        <w:spacing w:after="0" w:line="360" w:lineRule="auto"/>
        <w:rPr>
          <w:b/>
          <w:bCs/>
          <w:color w:val="FF0000"/>
        </w:rPr>
      </w:pPr>
    </w:p>
    <w:p w14:paraId="545B70B1" w14:textId="2F7DD8DA" w:rsidR="00425FF8" w:rsidRPr="00C61F3A" w:rsidRDefault="00425FF8" w:rsidP="00BE170F">
      <w:pPr>
        <w:spacing w:after="0" w:line="360" w:lineRule="auto"/>
        <w:rPr>
          <w:color w:val="auto"/>
        </w:rPr>
      </w:pPr>
      <w:r w:rsidRPr="00C61F3A">
        <w:rPr>
          <w:color w:val="auto"/>
        </w:rPr>
        <w:t>En fecha trece de agosto de dos mil veinticuatro, el Sujeto Obligado, a través del Sistema de Acceso a la Información Mexiquense (SAIMEX), notificó una prórroga, mediante la cual aprueba la ampliación de término para atender el requerimiento informativo, de conformidad con lo siguiente:</w:t>
      </w:r>
    </w:p>
    <w:p w14:paraId="410C9926" w14:textId="77777777" w:rsidR="00425FF8" w:rsidRPr="00C61F3A" w:rsidRDefault="00425FF8" w:rsidP="00BE170F">
      <w:pPr>
        <w:autoSpaceDE w:val="0"/>
        <w:autoSpaceDN w:val="0"/>
        <w:adjustRightInd w:val="0"/>
        <w:spacing w:after="0" w:line="360" w:lineRule="auto"/>
        <w:rPr>
          <w:b/>
          <w:bCs/>
          <w:color w:val="FF0000"/>
        </w:rPr>
      </w:pPr>
    </w:p>
    <w:p w14:paraId="36EA5C4C" w14:textId="27111379" w:rsidR="00425FF8" w:rsidRPr="00C61F3A" w:rsidRDefault="00425FF8" w:rsidP="00BE170F">
      <w:pPr>
        <w:tabs>
          <w:tab w:val="left" w:pos="4667"/>
        </w:tabs>
        <w:spacing w:after="0" w:line="360" w:lineRule="auto"/>
        <w:ind w:left="567" w:right="567"/>
        <w:rPr>
          <w:rFonts w:eastAsia="Times New Roman" w:cs="Tahoma"/>
          <w:i/>
          <w:iCs/>
          <w:color w:val="auto"/>
          <w:sz w:val="20"/>
          <w:szCs w:val="20"/>
          <w:lang w:eastAsia="es-ES"/>
        </w:rPr>
      </w:pPr>
      <w:r w:rsidRPr="00C61F3A">
        <w:rPr>
          <w:rFonts w:eastAsia="Times New Roman" w:cs="Tahoma"/>
          <w:i/>
          <w:iCs/>
          <w:color w:val="auto"/>
          <w:sz w:val="20"/>
          <w:szCs w:val="20"/>
          <w:lang w:eastAsia="es-ES"/>
        </w:rPr>
        <w:t>“…Con fundamento en el artículo 163 de la Ley de Transparencia y Acceso a la Información Pública del Estado de México y Municipios, el Comité de Transparencia del Instituto de Transparencia, Acceso a la Información Pública y Protección de Datos Personales del Estado de México y Municipios, en sesión ordinaria de fecha siete de agosto del año dos mil veinticuatro, aprobó la ampliación de plazo para notificar la respuesta al solicitante; para tal efecto, se adjuntan en formato “.</w:t>
      </w:r>
      <w:proofErr w:type="spellStart"/>
      <w:r w:rsidRPr="00C61F3A">
        <w:rPr>
          <w:rFonts w:eastAsia="Times New Roman" w:cs="Tahoma"/>
          <w:i/>
          <w:iCs/>
          <w:color w:val="auto"/>
          <w:sz w:val="20"/>
          <w:szCs w:val="20"/>
          <w:lang w:eastAsia="es-ES"/>
        </w:rPr>
        <w:t>pdf</w:t>
      </w:r>
      <w:proofErr w:type="spellEnd"/>
      <w:r w:rsidRPr="00C61F3A">
        <w:rPr>
          <w:rFonts w:eastAsia="Times New Roman" w:cs="Tahoma"/>
          <w:i/>
          <w:iCs/>
          <w:color w:val="auto"/>
          <w:sz w:val="20"/>
          <w:szCs w:val="20"/>
          <w:lang w:eastAsia="es-ES"/>
        </w:rPr>
        <w:t>” la Resolución Número RES/10/INFOEM/ORD/COMT/15ª/2024…” (Sic)</w:t>
      </w:r>
    </w:p>
    <w:p w14:paraId="7D8E9DCB" w14:textId="77777777" w:rsidR="00425FF8" w:rsidRPr="00C61F3A" w:rsidRDefault="00425FF8" w:rsidP="00BE170F">
      <w:pPr>
        <w:tabs>
          <w:tab w:val="left" w:pos="4667"/>
        </w:tabs>
        <w:spacing w:after="0" w:line="360" w:lineRule="auto"/>
        <w:ind w:right="567"/>
        <w:rPr>
          <w:rFonts w:eastAsia="Times New Roman" w:cs="Tahoma"/>
          <w:color w:val="auto"/>
          <w:lang w:eastAsia="es-ES"/>
        </w:rPr>
      </w:pPr>
    </w:p>
    <w:p w14:paraId="389CEEA1" w14:textId="199431E6" w:rsidR="009524FF" w:rsidRPr="00C61F3A" w:rsidRDefault="009524FF" w:rsidP="00BE170F">
      <w:pPr>
        <w:tabs>
          <w:tab w:val="left" w:pos="4667"/>
        </w:tabs>
        <w:spacing w:after="0" w:line="360" w:lineRule="auto"/>
        <w:ind w:right="567"/>
        <w:rPr>
          <w:rFonts w:cs="Tahoma"/>
          <w:color w:val="auto"/>
        </w:rPr>
      </w:pPr>
      <w:r w:rsidRPr="00C61F3A">
        <w:rPr>
          <w:rFonts w:eastAsia="Times New Roman" w:cs="Tahoma"/>
          <w:color w:val="auto"/>
          <w:lang w:eastAsia="es-ES"/>
        </w:rPr>
        <w:t xml:space="preserve">A sí mismo adjunto la digitalización </w:t>
      </w:r>
      <w:r w:rsidR="00BE170F" w:rsidRPr="00C61F3A">
        <w:rPr>
          <w:rFonts w:eastAsia="Times New Roman" w:cs="Tahoma"/>
          <w:color w:val="auto"/>
          <w:lang w:eastAsia="es-ES"/>
        </w:rPr>
        <w:t>de la r</w:t>
      </w:r>
      <w:r w:rsidRPr="00C61F3A">
        <w:rPr>
          <w:rFonts w:cs="Tahoma"/>
          <w:color w:val="auto"/>
        </w:rPr>
        <w:t xml:space="preserve">esolución </w:t>
      </w:r>
      <w:r w:rsidR="00BE170F" w:rsidRPr="00C61F3A">
        <w:rPr>
          <w:rFonts w:cs="Tahoma"/>
          <w:color w:val="auto"/>
        </w:rPr>
        <w:t xml:space="preserve">con número </w:t>
      </w:r>
      <w:r w:rsidRPr="00C61F3A">
        <w:t>RES/10/INFOEM/ORD/COMT/15ª/2024</w:t>
      </w:r>
      <w:r w:rsidR="00BE170F" w:rsidRPr="00C61F3A">
        <w:t>,</w:t>
      </w:r>
      <w:r w:rsidRPr="00C61F3A">
        <w:t xml:space="preserve"> de fecha siete de agosto de dos mil veinticuatro</w:t>
      </w:r>
      <w:r w:rsidR="00112CBF" w:rsidRPr="00C61F3A">
        <w:t>, por medio de la cual se confirma la ampliación para dar respuesta a la solicitud de acceso a la información pública 00700/INFOEM/IP/2024, por siete días hábiles más.</w:t>
      </w:r>
    </w:p>
    <w:p w14:paraId="0BC91FEC" w14:textId="77777777" w:rsidR="00425FF8" w:rsidRPr="00C61F3A" w:rsidRDefault="00425FF8" w:rsidP="00BE170F">
      <w:pPr>
        <w:autoSpaceDE w:val="0"/>
        <w:autoSpaceDN w:val="0"/>
        <w:adjustRightInd w:val="0"/>
        <w:spacing w:after="0" w:line="360" w:lineRule="auto"/>
        <w:rPr>
          <w:b/>
          <w:bCs/>
          <w:color w:val="FF0000"/>
        </w:rPr>
      </w:pPr>
    </w:p>
    <w:p w14:paraId="7CB50396" w14:textId="77777777" w:rsidR="00425FF8" w:rsidRPr="00C61F3A" w:rsidRDefault="00425FF8" w:rsidP="00BE170F">
      <w:pPr>
        <w:autoSpaceDE w:val="0"/>
        <w:autoSpaceDN w:val="0"/>
        <w:adjustRightInd w:val="0"/>
        <w:spacing w:after="0" w:line="360" w:lineRule="auto"/>
        <w:rPr>
          <w:b/>
          <w:bCs/>
          <w:color w:val="FF0000"/>
        </w:rPr>
      </w:pPr>
    </w:p>
    <w:p w14:paraId="7488ED31" w14:textId="0BBD18FF" w:rsidR="00C853D1" w:rsidRPr="00C61F3A" w:rsidRDefault="005937AB" w:rsidP="00BE170F">
      <w:pPr>
        <w:autoSpaceDE w:val="0"/>
        <w:autoSpaceDN w:val="0"/>
        <w:adjustRightInd w:val="0"/>
        <w:spacing w:after="0" w:line="360" w:lineRule="auto"/>
        <w:rPr>
          <w:b/>
          <w:bCs/>
          <w:color w:val="auto"/>
        </w:rPr>
      </w:pPr>
      <w:r w:rsidRPr="00C61F3A">
        <w:rPr>
          <w:b/>
          <w:bCs/>
          <w:color w:val="auto"/>
        </w:rPr>
        <w:lastRenderedPageBreak/>
        <w:t xml:space="preserve">III. </w:t>
      </w:r>
      <w:r w:rsidR="00622459" w:rsidRPr="00C61F3A">
        <w:rPr>
          <w:b/>
          <w:bCs/>
          <w:color w:val="auto"/>
        </w:rPr>
        <w:t>Respuesta del Sujeto Obligado</w:t>
      </w:r>
    </w:p>
    <w:p w14:paraId="4400726D" w14:textId="77777777" w:rsidR="00C853D1" w:rsidRPr="00C61F3A" w:rsidRDefault="00C853D1" w:rsidP="00BE170F">
      <w:pPr>
        <w:spacing w:after="0" w:line="360" w:lineRule="auto"/>
        <w:rPr>
          <w:color w:val="FF0000"/>
        </w:rPr>
      </w:pPr>
    </w:p>
    <w:p w14:paraId="4ED4398A" w14:textId="78B1E431" w:rsidR="00D14144" w:rsidRPr="00C61F3A" w:rsidRDefault="00A43F45" w:rsidP="00BE170F">
      <w:pPr>
        <w:spacing w:after="0" w:line="360" w:lineRule="auto"/>
        <w:rPr>
          <w:color w:val="auto"/>
        </w:rPr>
      </w:pPr>
      <w:r w:rsidRPr="00C61F3A">
        <w:rPr>
          <w:color w:val="auto"/>
        </w:rPr>
        <w:t xml:space="preserve">El </w:t>
      </w:r>
      <w:r w:rsidR="00D14144" w:rsidRPr="00C61F3A">
        <w:rPr>
          <w:color w:val="auto"/>
        </w:rPr>
        <w:t xml:space="preserve">veintidós de agosto de dos mil </w:t>
      </w:r>
      <w:r w:rsidR="002512D8" w:rsidRPr="00C61F3A">
        <w:rPr>
          <w:color w:val="auto"/>
        </w:rPr>
        <w:t>veinti</w:t>
      </w:r>
      <w:r w:rsidRPr="00C61F3A">
        <w:rPr>
          <w:color w:val="auto"/>
        </w:rPr>
        <w:t>cuatro</w:t>
      </w:r>
      <w:r w:rsidR="00BC2DAE" w:rsidRPr="00C61F3A">
        <w:rPr>
          <w:color w:val="auto"/>
        </w:rPr>
        <w:t xml:space="preserve">, </w:t>
      </w:r>
      <w:r w:rsidR="00252EF3" w:rsidRPr="00C61F3A">
        <w:rPr>
          <w:color w:val="auto"/>
        </w:rPr>
        <w:t>el Sujeto Obligado notificó, a través del Sistema de Acceso a la Información Mexiquense (SAIMEX), la respuesta a la solicitud</w:t>
      </w:r>
      <w:r w:rsidR="006441E1" w:rsidRPr="00C61F3A">
        <w:rPr>
          <w:color w:val="auto"/>
        </w:rPr>
        <w:t xml:space="preserve"> de acceso a la información pública</w:t>
      </w:r>
      <w:r w:rsidR="00252EF3" w:rsidRPr="00C61F3A">
        <w:rPr>
          <w:color w:val="auto"/>
        </w:rPr>
        <w:t>, mediante</w:t>
      </w:r>
      <w:r w:rsidR="00D14144" w:rsidRPr="00C61F3A">
        <w:rPr>
          <w:color w:val="auto"/>
        </w:rPr>
        <w:t xml:space="preserve"> la digitalización de los siguientes documentos:</w:t>
      </w:r>
    </w:p>
    <w:p w14:paraId="4BDFDCC3" w14:textId="77777777" w:rsidR="00BC7A87" w:rsidRPr="00C61F3A" w:rsidRDefault="00BC7A87" w:rsidP="00BE170F">
      <w:pPr>
        <w:spacing w:after="0" w:line="360" w:lineRule="auto"/>
        <w:rPr>
          <w:color w:val="FF0000"/>
        </w:rPr>
      </w:pPr>
    </w:p>
    <w:p w14:paraId="6EBF4EAC" w14:textId="07AC3C65" w:rsidR="000D7D95" w:rsidRPr="00C61F3A" w:rsidRDefault="00BE170F" w:rsidP="00BE170F">
      <w:pPr>
        <w:spacing w:after="0" w:line="360" w:lineRule="auto"/>
        <w:rPr>
          <w:color w:val="auto"/>
        </w:rPr>
      </w:pPr>
      <w:r w:rsidRPr="00C61F3A">
        <w:rPr>
          <w:color w:val="auto"/>
        </w:rPr>
        <w:t xml:space="preserve">i) </w:t>
      </w:r>
      <w:r w:rsidR="00BC7A87" w:rsidRPr="00C61F3A">
        <w:rPr>
          <w:color w:val="auto"/>
        </w:rPr>
        <w:t>Oficio número INFOEM/UT/657/2024 de fecha veintidós de agosto de dos mil veinticuatro, suscrito por el Titular de la Unidad de Transparencia, dirigido al Solicitante por medio del cual se menciona lo siguiente:</w:t>
      </w:r>
    </w:p>
    <w:p w14:paraId="255D0418" w14:textId="77777777" w:rsidR="00CF79D1" w:rsidRPr="00C61F3A" w:rsidRDefault="00CF79D1" w:rsidP="00BE170F">
      <w:pPr>
        <w:pStyle w:val="Prrafodelista"/>
        <w:spacing w:line="360" w:lineRule="auto"/>
        <w:ind w:left="1080"/>
        <w:rPr>
          <w:color w:val="auto"/>
        </w:rPr>
      </w:pPr>
    </w:p>
    <w:p w14:paraId="671C4C6E" w14:textId="6CC60AD7" w:rsidR="00044D15" w:rsidRPr="00C61F3A" w:rsidRDefault="00044D15" w:rsidP="00BE170F">
      <w:pPr>
        <w:pStyle w:val="Prrafodelista"/>
        <w:spacing w:line="360" w:lineRule="auto"/>
        <w:ind w:left="567" w:right="616"/>
        <w:rPr>
          <w:i/>
          <w:iCs/>
          <w:color w:val="auto"/>
          <w:sz w:val="20"/>
          <w:szCs w:val="20"/>
        </w:rPr>
      </w:pPr>
      <w:r w:rsidRPr="00C61F3A">
        <w:rPr>
          <w:i/>
          <w:iCs/>
          <w:color w:val="auto"/>
          <w:sz w:val="20"/>
          <w:szCs w:val="20"/>
        </w:rPr>
        <w:t xml:space="preserve">“…En primera instancia por lo que respecta a: </w:t>
      </w:r>
      <w:r w:rsidRPr="00C61F3A">
        <w:rPr>
          <w:b/>
          <w:bCs/>
          <w:i/>
          <w:iCs/>
          <w:color w:val="auto"/>
          <w:sz w:val="20"/>
          <w:szCs w:val="20"/>
        </w:rPr>
        <w:t xml:space="preserve">“Solicito las resoluciones del Comité de Transparencia del INFOEM, de los años 2014, 2015, 2016, 2017, 2018, 2019, 2020, 2021, 2022, 2023 a la fecha de presentación de la misma.” </w:t>
      </w:r>
      <w:r w:rsidRPr="00C61F3A">
        <w:rPr>
          <w:i/>
          <w:iCs/>
          <w:color w:val="auto"/>
          <w:sz w:val="20"/>
          <w:szCs w:val="20"/>
        </w:rPr>
        <w:t>(Sic); de conformidad con el artículo 20, fracción XX del Reglamento Interior del Instituto de Transparencia, Acceso a la Información Pública y Protección de Datos Personales del Estado de México y Municipios, se informa lo subsecuente.</w:t>
      </w:r>
    </w:p>
    <w:p w14:paraId="21FB1510" w14:textId="77777777" w:rsidR="00044D15" w:rsidRPr="00C61F3A" w:rsidRDefault="00044D15" w:rsidP="00BE170F">
      <w:pPr>
        <w:pStyle w:val="Prrafodelista"/>
        <w:spacing w:line="360" w:lineRule="auto"/>
        <w:ind w:left="567" w:right="616"/>
        <w:rPr>
          <w:i/>
          <w:iCs/>
          <w:color w:val="auto"/>
          <w:sz w:val="20"/>
          <w:szCs w:val="20"/>
        </w:rPr>
      </w:pPr>
    </w:p>
    <w:p w14:paraId="4317C17C" w14:textId="148AC234" w:rsidR="00044D15" w:rsidRPr="00C61F3A" w:rsidRDefault="00044D15" w:rsidP="00BE170F">
      <w:pPr>
        <w:pStyle w:val="Prrafodelista"/>
        <w:spacing w:line="360" w:lineRule="auto"/>
        <w:ind w:left="567" w:right="616"/>
        <w:rPr>
          <w:i/>
          <w:iCs/>
          <w:color w:val="auto"/>
          <w:sz w:val="20"/>
          <w:szCs w:val="20"/>
        </w:rPr>
      </w:pPr>
      <w:r w:rsidRPr="00C61F3A">
        <w:rPr>
          <w:i/>
          <w:iCs/>
          <w:color w:val="auto"/>
          <w:sz w:val="20"/>
          <w:szCs w:val="20"/>
        </w:rPr>
        <w:t xml:space="preserve">De conformidad con lo previsto en los artículos 45, 46 y 47 de la Ley de Transparencia Local y después de haber realizado una búsqueda minuciosa y exhaustiva, se pone a su disposición en archivo </w:t>
      </w:r>
      <w:r w:rsidRPr="00C61F3A">
        <w:rPr>
          <w:b/>
          <w:bCs/>
          <w:i/>
          <w:iCs/>
          <w:color w:val="auto"/>
          <w:sz w:val="20"/>
          <w:szCs w:val="20"/>
        </w:rPr>
        <w:t>.PDF</w:t>
      </w:r>
      <w:r w:rsidRPr="00C61F3A">
        <w:rPr>
          <w:i/>
          <w:iCs/>
          <w:color w:val="auto"/>
          <w:sz w:val="20"/>
          <w:szCs w:val="20"/>
        </w:rPr>
        <w:t xml:space="preserve"> la información solicitada, correspondiente a las resoluciones del Comité de Transparencia del año 2014, identificado con el nombre de: “ResolucionesComite2014”.</w:t>
      </w:r>
    </w:p>
    <w:p w14:paraId="795B53DD" w14:textId="77777777" w:rsidR="00754C54" w:rsidRPr="00C61F3A" w:rsidRDefault="00754C54" w:rsidP="00BE170F">
      <w:pPr>
        <w:pStyle w:val="Prrafodelista"/>
        <w:spacing w:line="360" w:lineRule="auto"/>
        <w:ind w:left="567" w:right="616"/>
        <w:rPr>
          <w:i/>
          <w:iCs/>
          <w:color w:val="auto"/>
          <w:sz w:val="20"/>
          <w:szCs w:val="20"/>
        </w:rPr>
      </w:pPr>
    </w:p>
    <w:p w14:paraId="766F1139" w14:textId="526E4691" w:rsidR="00754C54" w:rsidRPr="00C61F3A" w:rsidRDefault="00754C54" w:rsidP="00BE170F">
      <w:pPr>
        <w:pStyle w:val="Prrafodelista"/>
        <w:spacing w:line="360" w:lineRule="auto"/>
        <w:ind w:left="567" w:right="616"/>
        <w:rPr>
          <w:i/>
          <w:iCs/>
          <w:color w:val="auto"/>
          <w:sz w:val="20"/>
          <w:szCs w:val="20"/>
        </w:rPr>
      </w:pPr>
      <w:r w:rsidRPr="00C61F3A">
        <w:rPr>
          <w:i/>
          <w:iCs/>
          <w:color w:val="auto"/>
          <w:sz w:val="20"/>
          <w:szCs w:val="20"/>
        </w:rPr>
        <w:t>Ahora bien, a lo dispuesto en el artículo 161 de la Ley de Transparencia Local, por lo que se refiere a las resoluciones del Comité de Transparencia de los años 2015, 2016, 2018, 2019, 2020, 2021, 2022, 2023 y lo que va del año 2024, dicha información podrá tenerla disponible mediante su consulta en el sistema Información Pública de Oficio Mexiquense (</w:t>
      </w:r>
      <w:proofErr w:type="spellStart"/>
      <w:r w:rsidRPr="00C61F3A">
        <w:rPr>
          <w:i/>
          <w:iCs/>
          <w:color w:val="auto"/>
          <w:sz w:val="20"/>
          <w:szCs w:val="20"/>
        </w:rPr>
        <w:t>Ipomex</w:t>
      </w:r>
      <w:proofErr w:type="spellEnd"/>
      <w:r w:rsidRPr="00C61F3A">
        <w:rPr>
          <w:i/>
          <w:iCs/>
          <w:color w:val="auto"/>
          <w:sz w:val="20"/>
          <w:szCs w:val="20"/>
        </w:rPr>
        <w:t>), ingresando a los siguientes enlaces:</w:t>
      </w:r>
    </w:p>
    <w:p w14:paraId="1D8496DD" w14:textId="77777777" w:rsidR="009F2FE2" w:rsidRPr="00C61F3A" w:rsidRDefault="009F2FE2" w:rsidP="00BE170F">
      <w:pPr>
        <w:pStyle w:val="Prrafodelista"/>
        <w:spacing w:line="360" w:lineRule="auto"/>
        <w:ind w:left="567" w:right="616"/>
        <w:rPr>
          <w:b/>
          <w:bCs/>
          <w:i/>
          <w:iCs/>
          <w:color w:val="auto"/>
          <w:sz w:val="20"/>
          <w:szCs w:val="20"/>
        </w:rPr>
      </w:pPr>
    </w:p>
    <w:p w14:paraId="50BC04FB" w14:textId="77777777" w:rsidR="009F2FE2" w:rsidRPr="00C61F3A" w:rsidRDefault="009F2FE2" w:rsidP="00BE170F">
      <w:pPr>
        <w:pStyle w:val="Prrafodelista"/>
        <w:spacing w:line="360" w:lineRule="auto"/>
        <w:ind w:left="567" w:right="616"/>
        <w:rPr>
          <w:b/>
          <w:bCs/>
          <w:i/>
          <w:iCs/>
          <w:color w:val="auto"/>
          <w:sz w:val="20"/>
          <w:szCs w:val="20"/>
        </w:rPr>
      </w:pPr>
      <w:r w:rsidRPr="00C61F3A">
        <w:rPr>
          <w:b/>
          <w:bCs/>
          <w:i/>
          <w:iCs/>
          <w:color w:val="auto"/>
          <w:sz w:val="20"/>
          <w:szCs w:val="20"/>
        </w:rPr>
        <w:t>Correspondiente al año 2015</w:t>
      </w:r>
    </w:p>
    <w:p w14:paraId="5817F523" w14:textId="340CF028" w:rsidR="009F2FE2" w:rsidRPr="00C61F3A" w:rsidRDefault="003A6814" w:rsidP="00BE170F">
      <w:pPr>
        <w:pStyle w:val="Prrafodelista"/>
        <w:spacing w:line="360" w:lineRule="auto"/>
        <w:ind w:left="567" w:right="616"/>
        <w:rPr>
          <w:i/>
          <w:iCs/>
          <w:color w:val="auto"/>
          <w:sz w:val="20"/>
          <w:szCs w:val="20"/>
        </w:rPr>
      </w:pPr>
      <w:hyperlink r:id="rId8" w:history="1">
        <w:r w:rsidR="009F2FE2" w:rsidRPr="00C61F3A">
          <w:rPr>
            <w:rStyle w:val="Hipervnculo"/>
            <w:i/>
            <w:iCs/>
            <w:sz w:val="20"/>
            <w:szCs w:val="20"/>
          </w:rPr>
          <w:t>https://ipomex2.ipomex.org.mx/ipo/portal/infoem/acuerdosActas/2015/0/39.web</w:t>
        </w:r>
      </w:hyperlink>
      <w:r w:rsidR="009F2FE2" w:rsidRPr="00C61F3A">
        <w:rPr>
          <w:i/>
          <w:iCs/>
          <w:color w:val="auto"/>
          <w:sz w:val="20"/>
          <w:szCs w:val="20"/>
        </w:rPr>
        <w:t xml:space="preserve"> </w:t>
      </w:r>
    </w:p>
    <w:p w14:paraId="55030AAB" w14:textId="77777777" w:rsidR="009F2FE2" w:rsidRPr="00C61F3A" w:rsidRDefault="009F2FE2" w:rsidP="00BE170F">
      <w:pPr>
        <w:pStyle w:val="Prrafodelista"/>
        <w:spacing w:line="360" w:lineRule="auto"/>
        <w:ind w:left="567" w:right="616"/>
        <w:rPr>
          <w:i/>
          <w:iCs/>
          <w:color w:val="auto"/>
          <w:sz w:val="20"/>
          <w:szCs w:val="20"/>
        </w:rPr>
      </w:pPr>
    </w:p>
    <w:p w14:paraId="464FE81A" w14:textId="7E246351" w:rsidR="009F2FE2" w:rsidRPr="00C61F3A" w:rsidRDefault="009F2FE2" w:rsidP="00BE170F">
      <w:pPr>
        <w:pStyle w:val="Prrafodelista"/>
        <w:spacing w:line="360" w:lineRule="auto"/>
        <w:ind w:left="567" w:right="616"/>
        <w:rPr>
          <w:i/>
          <w:iCs/>
          <w:color w:val="auto"/>
          <w:sz w:val="20"/>
          <w:szCs w:val="20"/>
        </w:rPr>
      </w:pPr>
      <w:r w:rsidRPr="00C61F3A">
        <w:rPr>
          <w:i/>
          <w:iCs/>
          <w:color w:val="auto"/>
          <w:sz w:val="20"/>
          <w:szCs w:val="20"/>
        </w:rPr>
        <w:t>Deberá ingresar en la mencionada dirección electrónica, e ir a los apartados “</w:t>
      </w:r>
      <w:r w:rsidRPr="00C61F3A">
        <w:rPr>
          <w:b/>
          <w:bCs/>
          <w:i/>
          <w:iCs/>
          <w:color w:val="auto"/>
          <w:sz w:val="20"/>
          <w:szCs w:val="20"/>
        </w:rPr>
        <w:t>Orden del Día Aprobado” y “Relación de Acuerdos”,</w:t>
      </w:r>
      <w:r w:rsidRPr="00C61F3A">
        <w:rPr>
          <w:i/>
          <w:iCs/>
          <w:color w:val="auto"/>
          <w:sz w:val="20"/>
          <w:szCs w:val="20"/>
        </w:rPr>
        <w:t xml:space="preserve"> en la que podrá observar las sesiones aprobadas; ahora bien, en el apartado “Acta de la Sesión”, deberá dar clic para poder descargar el documento de la sesión de su interés.</w:t>
      </w:r>
    </w:p>
    <w:p w14:paraId="4976FB8C" w14:textId="5BDDF6A2" w:rsidR="00BF2DF1" w:rsidRPr="00C61F3A" w:rsidRDefault="004C2B99" w:rsidP="00BE170F">
      <w:pPr>
        <w:spacing w:after="0" w:line="360" w:lineRule="auto"/>
        <w:ind w:left="567" w:right="616"/>
        <w:jc w:val="center"/>
        <w:rPr>
          <w:color w:val="FF0000"/>
        </w:rPr>
      </w:pPr>
      <w:r w:rsidRPr="00C61F3A">
        <w:rPr>
          <w:noProof/>
          <w:color w:val="FF0000"/>
          <w:lang w:eastAsia="es-MX"/>
        </w:rPr>
        <w:drawing>
          <wp:inline distT="0" distB="0" distL="0" distR="0" wp14:anchorId="6D4B8F8C" wp14:editId="011D56C4">
            <wp:extent cx="2647762" cy="2636520"/>
            <wp:effectExtent l="0" t="0" r="635" b="0"/>
            <wp:docPr id="126492210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4922101" name=""/>
                    <pic:cNvPicPr/>
                  </pic:nvPicPr>
                  <pic:blipFill>
                    <a:blip r:embed="rId9"/>
                    <a:stretch>
                      <a:fillRect/>
                    </a:stretch>
                  </pic:blipFill>
                  <pic:spPr>
                    <a:xfrm>
                      <a:off x="0" y="0"/>
                      <a:ext cx="2658920" cy="2647631"/>
                    </a:xfrm>
                    <a:prstGeom prst="rect">
                      <a:avLst/>
                    </a:prstGeom>
                  </pic:spPr>
                </pic:pic>
              </a:graphicData>
            </a:graphic>
          </wp:inline>
        </w:drawing>
      </w:r>
    </w:p>
    <w:p w14:paraId="2CB8CE29" w14:textId="77777777" w:rsidR="004C2B99" w:rsidRPr="00C61F3A" w:rsidRDefault="004C2B99" w:rsidP="00BE170F">
      <w:pPr>
        <w:pStyle w:val="Prrafodelista"/>
        <w:spacing w:line="360" w:lineRule="auto"/>
        <w:ind w:left="567" w:right="616"/>
        <w:rPr>
          <w:b/>
          <w:bCs/>
          <w:i/>
          <w:iCs/>
          <w:color w:val="auto"/>
          <w:sz w:val="20"/>
          <w:szCs w:val="20"/>
        </w:rPr>
      </w:pPr>
      <w:r w:rsidRPr="00C61F3A">
        <w:rPr>
          <w:b/>
          <w:bCs/>
          <w:i/>
          <w:iCs/>
          <w:color w:val="auto"/>
          <w:sz w:val="20"/>
          <w:szCs w:val="20"/>
        </w:rPr>
        <w:t>Correspondiente al año 2016:</w:t>
      </w:r>
    </w:p>
    <w:p w14:paraId="5A84AEE4" w14:textId="77777777" w:rsidR="004C2B99" w:rsidRPr="00C61F3A" w:rsidRDefault="004C2B99" w:rsidP="00BE170F">
      <w:pPr>
        <w:pStyle w:val="Prrafodelista"/>
        <w:spacing w:line="360" w:lineRule="auto"/>
        <w:ind w:left="567" w:right="616"/>
        <w:rPr>
          <w:i/>
          <w:iCs/>
          <w:color w:val="auto"/>
          <w:sz w:val="20"/>
          <w:szCs w:val="20"/>
        </w:rPr>
      </w:pPr>
    </w:p>
    <w:p w14:paraId="48C9C1ED" w14:textId="2722C9C0" w:rsidR="004C2B99" w:rsidRPr="00C61F3A" w:rsidRDefault="003A6814" w:rsidP="00BE170F">
      <w:pPr>
        <w:pStyle w:val="Prrafodelista"/>
        <w:spacing w:line="360" w:lineRule="auto"/>
        <w:ind w:left="567" w:right="616"/>
        <w:rPr>
          <w:i/>
          <w:iCs/>
          <w:color w:val="auto"/>
          <w:sz w:val="20"/>
          <w:szCs w:val="20"/>
        </w:rPr>
      </w:pPr>
      <w:hyperlink r:id="rId10" w:history="1">
        <w:r w:rsidR="004C2B99" w:rsidRPr="00C61F3A">
          <w:rPr>
            <w:rStyle w:val="Hipervnculo"/>
            <w:i/>
            <w:iCs/>
            <w:sz w:val="20"/>
            <w:szCs w:val="20"/>
          </w:rPr>
          <w:t>https://ipomex2.ipomex.org.mx/ipo/portal/infoem/acuerdosActas/2016/0/39.web</w:t>
        </w:r>
      </w:hyperlink>
      <w:r w:rsidR="004C2B99" w:rsidRPr="00C61F3A">
        <w:rPr>
          <w:i/>
          <w:iCs/>
          <w:color w:val="auto"/>
          <w:sz w:val="20"/>
          <w:szCs w:val="20"/>
        </w:rPr>
        <w:t xml:space="preserve"> </w:t>
      </w:r>
    </w:p>
    <w:p w14:paraId="7F21826D" w14:textId="77777777" w:rsidR="004C2B99" w:rsidRPr="00C61F3A" w:rsidRDefault="004C2B99" w:rsidP="00BE170F">
      <w:pPr>
        <w:pStyle w:val="Prrafodelista"/>
        <w:spacing w:line="360" w:lineRule="auto"/>
        <w:ind w:left="567" w:right="616"/>
        <w:rPr>
          <w:i/>
          <w:iCs/>
          <w:color w:val="auto"/>
          <w:sz w:val="20"/>
          <w:szCs w:val="20"/>
        </w:rPr>
      </w:pPr>
      <w:proofErr w:type="gramStart"/>
      <w:r w:rsidRPr="00C61F3A">
        <w:rPr>
          <w:i/>
          <w:iCs/>
          <w:color w:val="auto"/>
          <w:sz w:val="20"/>
          <w:szCs w:val="20"/>
        </w:rPr>
        <w:t>y</w:t>
      </w:r>
      <w:proofErr w:type="gramEnd"/>
    </w:p>
    <w:p w14:paraId="43958DED" w14:textId="55651B56" w:rsidR="004C2B99" w:rsidRPr="00C61F3A" w:rsidRDefault="003A6814" w:rsidP="00BE170F">
      <w:pPr>
        <w:pStyle w:val="Prrafodelista"/>
        <w:spacing w:line="360" w:lineRule="auto"/>
        <w:ind w:left="567" w:right="616"/>
        <w:rPr>
          <w:i/>
          <w:iCs/>
          <w:color w:val="auto"/>
          <w:sz w:val="20"/>
          <w:szCs w:val="20"/>
        </w:rPr>
      </w:pPr>
      <w:hyperlink r:id="rId11" w:history="1">
        <w:r w:rsidR="004C2B99" w:rsidRPr="00C61F3A">
          <w:rPr>
            <w:rStyle w:val="Hipervnculo"/>
            <w:i/>
            <w:iCs/>
            <w:sz w:val="20"/>
            <w:szCs w:val="20"/>
          </w:rPr>
          <w:t>https://ipomex2.ipomex.org.mx/ipo/portal/infoem/acuerdosActas/2016/0/2489.web</w:t>
        </w:r>
      </w:hyperlink>
      <w:r w:rsidR="004C2B99" w:rsidRPr="00C61F3A">
        <w:rPr>
          <w:i/>
          <w:iCs/>
          <w:color w:val="auto"/>
          <w:sz w:val="20"/>
          <w:szCs w:val="20"/>
        </w:rPr>
        <w:t xml:space="preserve"> </w:t>
      </w:r>
    </w:p>
    <w:p w14:paraId="52C84901" w14:textId="77777777" w:rsidR="004C2B99" w:rsidRPr="00C61F3A" w:rsidRDefault="004C2B99" w:rsidP="00BE170F">
      <w:pPr>
        <w:pStyle w:val="Prrafodelista"/>
        <w:spacing w:line="360" w:lineRule="auto"/>
        <w:ind w:left="567" w:right="616"/>
        <w:rPr>
          <w:i/>
          <w:iCs/>
          <w:color w:val="auto"/>
          <w:sz w:val="20"/>
          <w:szCs w:val="20"/>
        </w:rPr>
      </w:pPr>
    </w:p>
    <w:p w14:paraId="67FB9367" w14:textId="4FB32C99" w:rsidR="004C2B99" w:rsidRPr="00C61F3A" w:rsidRDefault="004C2B99" w:rsidP="00BE170F">
      <w:pPr>
        <w:pStyle w:val="Prrafodelista"/>
        <w:spacing w:line="360" w:lineRule="auto"/>
        <w:ind w:left="567" w:right="616"/>
        <w:rPr>
          <w:i/>
          <w:iCs/>
          <w:color w:val="auto"/>
          <w:sz w:val="20"/>
          <w:szCs w:val="20"/>
        </w:rPr>
      </w:pPr>
      <w:r w:rsidRPr="00C61F3A">
        <w:rPr>
          <w:i/>
          <w:iCs/>
          <w:color w:val="auto"/>
          <w:sz w:val="20"/>
          <w:szCs w:val="20"/>
        </w:rPr>
        <w:t>Derivado de lo anterior, se proporcionan 2 direcciones electrónicas por lo que se hace de conocimiento que a partir del veintiocho de abril de dos mil dieciséis de la Ley de Transparencia Local, el Comité de Información pasa a denominarse Comité de Transparencia, razón por la que el documento de su interés podrá consultarse en las ligas antes referidas según el periodo de su interés.</w:t>
      </w:r>
    </w:p>
    <w:p w14:paraId="5379E9F6" w14:textId="77777777" w:rsidR="00474C17" w:rsidRPr="00C61F3A" w:rsidRDefault="00474C17" w:rsidP="00BE170F">
      <w:pPr>
        <w:pStyle w:val="Prrafodelista"/>
        <w:spacing w:line="360" w:lineRule="auto"/>
        <w:ind w:left="567" w:right="616"/>
        <w:rPr>
          <w:b/>
          <w:bCs/>
          <w:i/>
          <w:iCs/>
          <w:color w:val="auto"/>
          <w:sz w:val="20"/>
          <w:szCs w:val="20"/>
        </w:rPr>
      </w:pPr>
    </w:p>
    <w:p w14:paraId="446A954E" w14:textId="026E1074" w:rsidR="00BF2DF1" w:rsidRPr="00C61F3A" w:rsidRDefault="00474C17" w:rsidP="00BE170F">
      <w:pPr>
        <w:pStyle w:val="Prrafodelista"/>
        <w:spacing w:line="360" w:lineRule="auto"/>
        <w:ind w:left="567" w:right="616"/>
        <w:rPr>
          <w:b/>
          <w:bCs/>
          <w:i/>
          <w:iCs/>
          <w:color w:val="auto"/>
          <w:sz w:val="20"/>
          <w:szCs w:val="20"/>
        </w:rPr>
      </w:pPr>
      <w:r w:rsidRPr="00C61F3A">
        <w:rPr>
          <w:b/>
          <w:bCs/>
          <w:i/>
          <w:iCs/>
          <w:color w:val="auto"/>
          <w:sz w:val="20"/>
          <w:szCs w:val="20"/>
        </w:rPr>
        <w:t>Correspondiente el año 2017:</w:t>
      </w:r>
    </w:p>
    <w:p w14:paraId="6A181ACB" w14:textId="77777777" w:rsidR="00DB59AC" w:rsidRPr="00C61F3A" w:rsidRDefault="00DB59AC" w:rsidP="00BE170F">
      <w:pPr>
        <w:pStyle w:val="Prrafodelista"/>
        <w:spacing w:line="360" w:lineRule="auto"/>
        <w:ind w:left="567" w:right="616"/>
        <w:rPr>
          <w:b/>
          <w:bCs/>
          <w:i/>
          <w:iCs/>
          <w:color w:val="auto"/>
          <w:sz w:val="20"/>
          <w:szCs w:val="20"/>
        </w:rPr>
      </w:pPr>
    </w:p>
    <w:p w14:paraId="6B141E9A" w14:textId="133BFD83" w:rsidR="00DB59AC" w:rsidRPr="00C61F3A" w:rsidRDefault="003A6814" w:rsidP="00BE170F">
      <w:pPr>
        <w:pStyle w:val="Prrafodelista"/>
        <w:spacing w:line="360" w:lineRule="auto"/>
        <w:ind w:left="567" w:right="616"/>
        <w:rPr>
          <w:i/>
          <w:iCs/>
          <w:color w:val="auto"/>
          <w:sz w:val="20"/>
          <w:szCs w:val="20"/>
        </w:rPr>
      </w:pPr>
      <w:hyperlink r:id="rId12" w:history="1">
        <w:r w:rsidR="00DB59AC" w:rsidRPr="00C61F3A">
          <w:rPr>
            <w:rStyle w:val="Hipervnculo"/>
            <w:i/>
            <w:iCs/>
            <w:sz w:val="20"/>
            <w:szCs w:val="20"/>
          </w:rPr>
          <w:t>https://ipomex2.ipomex.org.mx/ipo/lgt/indice/infoem/sesionesTrans/2017.web</w:t>
        </w:r>
      </w:hyperlink>
      <w:r w:rsidR="00DB59AC" w:rsidRPr="00C61F3A">
        <w:rPr>
          <w:i/>
          <w:iCs/>
          <w:color w:val="auto"/>
          <w:sz w:val="20"/>
          <w:szCs w:val="20"/>
        </w:rPr>
        <w:t xml:space="preserve"> </w:t>
      </w:r>
    </w:p>
    <w:p w14:paraId="66E9A820" w14:textId="77777777" w:rsidR="00DB59AC" w:rsidRPr="00C61F3A" w:rsidRDefault="00DB59AC" w:rsidP="00BE170F">
      <w:pPr>
        <w:pStyle w:val="Prrafodelista"/>
        <w:spacing w:line="360" w:lineRule="auto"/>
        <w:ind w:left="567" w:right="616"/>
        <w:rPr>
          <w:i/>
          <w:iCs/>
          <w:color w:val="auto"/>
          <w:sz w:val="20"/>
          <w:szCs w:val="20"/>
        </w:rPr>
      </w:pPr>
    </w:p>
    <w:p w14:paraId="17F35129" w14:textId="24F8B17E" w:rsidR="000D7D95" w:rsidRPr="00C61F3A" w:rsidRDefault="00DB59AC" w:rsidP="00BE170F">
      <w:pPr>
        <w:pStyle w:val="Prrafodelista"/>
        <w:spacing w:line="360" w:lineRule="auto"/>
        <w:ind w:left="567" w:right="616"/>
        <w:rPr>
          <w:i/>
          <w:iCs/>
          <w:color w:val="auto"/>
          <w:sz w:val="20"/>
          <w:szCs w:val="20"/>
        </w:rPr>
      </w:pPr>
      <w:r w:rsidRPr="00C61F3A">
        <w:rPr>
          <w:i/>
          <w:iCs/>
          <w:color w:val="auto"/>
          <w:sz w:val="20"/>
          <w:szCs w:val="20"/>
        </w:rPr>
        <w:t xml:space="preserve">Ahora bien en el apartado A fracción XLIII del artículo 92 de la Ley de Transparencia Local, encontrará publicados los documentos correspondientes a las sesiones del Comité de Transparencia, en las que se solventaron temas relacionados a: ampliaciones de plazo, acceso restringido reservada, acceso restringido confidencial, inexistencia de información, incompetencia y ampliación de plazo reserva. Por lo que deberá dar clic en el link denominado </w:t>
      </w:r>
      <w:r w:rsidRPr="00C61F3A">
        <w:rPr>
          <w:b/>
          <w:bCs/>
          <w:i/>
          <w:iCs/>
          <w:color w:val="auto"/>
          <w:sz w:val="20"/>
          <w:szCs w:val="20"/>
        </w:rPr>
        <w:t>“Archivo a la resolución”</w:t>
      </w:r>
      <w:r w:rsidRPr="00C61F3A">
        <w:rPr>
          <w:i/>
          <w:iCs/>
          <w:color w:val="auto"/>
          <w:sz w:val="20"/>
          <w:szCs w:val="20"/>
        </w:rPr>
        <w:t xml:space="preserve"> y podrá descargar el documento de su interés, como se muestra:</w:t>
      </w:r>
    </w:p>
    <w:p w14:paraId="1A108602" w14:textId="18474E24" w:rsidR="00A004DC" w:rsidRPr="00C61F3A" w:rsidRDefault="00A004DC" w:rsidP="00BE170F">
      <w:pPr>
        <w:pStyle w:val="Prrafodelista"/>
        <w:spacing w:line="360" w:lineRule="auto"/>
        <w:ind w:left="567" w:right="616"/>
        <w:jc w:val="center"/>
        <w:rPr>
          <w:i/>
          <w:iCs/>
          <w:color w:val="auto"/>
          <w:sz w:val="20"/>
          <w:szCs w:val="20"/>
        </w:rPr>
      </w:pPr>
      <w:r w:rsidRPr="00C61F3A">
        <w:rPr>
          <w:i/>
          <w:iCs/>
          <w:noProof/>
          <w:color w:val="auto"/>
          <w:sz w:val="20"/>
          <w:szCs w:val="20"/>
          <w:lang w:eastAsia="es-MX"/>
        </w:rPr>
        <w:drawing>
          <wp:inline distT="0" distB="0" distL="0" distR="0" wp14:anchorId="028D8868" wp14:editId="28564D2E">
            <wp:extent cx="3801708" cy="2575560"/>
            <wp:effectExtent l="0" t="0" r="8890" b="0"/>
            <wp:docPr id="114025949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0259498" name=""/>
                    <pic:cNvPicPr/>
                  </pic:nvPicPr>
                  <pic:blipFill>
                    <a:blip r:embed="rId13"/>
                    <a:stretch>
                      <a:fillRect/>
                    </a:stretch>
                  </pic:blipFill>
                  <pic:spPr>
                    <a:xfrm>
                      <a:off x="0" y="0"/>
                      <a:ext cx="3805323" cy="2578009"/>
                    </a:xfrm>
                    <a:prstGeom prst="rect">
                      <a:avLst/>
                    </a:prstGeom>
                  </pic:spPr>
                </pic:pic>
              </a:graphicData>
            </a:graphic>
          </wp:inline>
        </w:drawing>
      </w:r>
    </w:p>
    <w:p w14:paraId="5AE4B1A6" w14:textId="68E7EDC8" w:rsidR="00DB59AC" w:rsidRPr="00C61F3A" w:rsidRDefault="006364EF" w:rsidP="00BE170F">
      <w:pPr>
        <w:pStyle w:val="Prrafodelista"/>
        <w:spacing w:line="360" w:lineRule="auto"/>
        <w:ind w:left="567" w:right="616"/>
        <w:rPr>
          <w:b/>
          <w:bCs/>
          <w:i/>
          <w:iCs/>
          <w:color w:val="auto"/>
          <w:sz w:val="20"/>
          <w:szCs w:val="20"/>
        </w:rPr>
      </w:pPr>
      <w:r w:rsidRPr="00C61F3A">
        <w:rPr>
          <w:b/>
          <w:bCs/>
          <w:i/>
          <w:iCs/>
          <w:color w:val="auto"/>
          <w:sz w:val="20"/>
          <w:szCs w:val="20"/>
        </w:rPr>
        <w:t>Correspondiente a los años 2018 al primer semestre del año 2023:</w:t>
      </w:r>
    </w:p>
    <w:p w14:paraId="3F47CB02" w14:textId="77777777" w:rsidR="00DD0B5E" w:rsidRPr="00C61F3A" w:rsidRDefault="00DD0B5E" w:rsidP="00BE170F">
      <w:pPr>
        <w:pStyle w:val="Prrafodelista"/>
        <w:spacing w:line="360" w:lineRule="auto"/>
        <w:ind w:left="567" w:right="616"/>
        <w:rPr>
          <w:i/>
          <w:iCs/>
          <w:color w:val="auto"/>
          <w:sz w:val="20"/>
          <w:szCs w:val="20"/>
        </w:rPr>
      </w:pPr>
      <w:r w:rsidRPr="00C61F3A">
        <w:rPr>
          <w:i/>
          <w:iCs/>
          <w:color w:val="auto"/>
          <w:sz w:val="20"/>
          <w:szCs w:val="20"/>
        </w:rPr>
        <w:t>https://www.ipomex.org.mx/ipo3/lgt/indice/INFOEM/art_92_xliii_b.web?token=03AFcWeA48WwgehWl</w:t>
      </w:r>
    </w:p>
    <w:p w14:paraId="776BBDC6" w14:textId="4043E6FD" w:rsidR="006364EF" w:rsidRPr="00C61F3A" w:rsidRDefault="00DD0B5E" w:rsidP="00BE170F">
      <w:pPr>
        <w:pStyle w:val="Prrafodelista"/>
        <w:spacing w:line="360" w:lineRule="auto"/>
        <w:ind w:left="567" w:right="616"/>
        <w:rPr>
          <w:i/>
          <w:iCs/>
          <w:color w:val="auto"/>
          <w:sz w:val="20"/>
          <w:szCs w:val="20"/>
        </w:rPr>
      </w:pPr>
      <w:r w:rsidRPr="00C61F3A">
        <w:rPr>
          <w:i/>
          <w:iCs/>
          <w:color w:val="auto"/>
          <w:sz w:val="20"/>
          <w:szCs w:val="20"/>
        </w:rPr>
        <w:t>ZGOJ9CTy3GNwTMlharUHXscazm8JaTIk9kxsFYkyem5iDVOQ0O7TVzzJEKLSrRwCtXxFmLMFcEuecizCThovNqRVKsm6</w:t>
      </w:r>
    </w:p>
    <w:p w14:paraId="31C349D0" w14:textId="77777777" w:rsidR="00DD0B5E" w:rsidRPr="00C61F3A" w:rsidRDefault="00DD0B5E" w:rsidP="00BE170F">
      <w:pPr>
        <w:pStyle w:val="Prrafodelista"/>
        <w:spacing w:line="360" w:lineRule="auto"/>
        <w:ind w:left="567" w:right="616"/>
        <w:rPr>
          <w:i/>
          <w:iCs/>
          <w:color w:val="auto"/>
          <w:sz w:val="20"/>
          <w:szCs w:val="20"/>
        </w:rPr>
      </w:pPr>
      <w:r w:rsidRPr="00C61F3A">
        <w:rPr>
          <w:i/>
          <w:iCs/>
          <w:color w:val="auto"/>
          <w:sz w:val="20"/>
          <w:szCs w:val="20"/>
        </w:rPr>
        <w:t>Pzx8Klfh7UQp-YI9S7x3MoC-Rjyq6fWCSObUQ_Me4qQajDLgBrc8uXdxp1HpKUUNVBZg1fYR-4F6nU-</w:t>
      </w:r>
    </w:p>
    <w:p w14:paraId="2BF38382" w14:textId="77777777" w:rsidR="00DD0B5E" w:rsidRPr="00C61F3A" w:rsidRDefault="00DD0B5E" w:rsidP="00BE170F">
      <w:pPr>
        <w:pStyle w:val="Prrafodelista"/>
        <w:spacing w:line="360" w:lineRule="auto"/>
        <w:ind w:left="567" w:right="616"/>
        <w:rPr>
          <w:i/>
          <w:iCs/>
          <w:color w:val="auto"/>
          <w:sz w:val="20"/>
          <w:szCs w:val="20"/>
        </w:rPr>
      </w:pPr>
      <w:r w:rsidRPr="00C61F3A">
        <w:rPr>
          <w:i/>
          <w:iCs/>
          <w:color w:val="auto"/>
          <w:sz w:val="20"/>
          <w:szCs w:val="20"/>
        </w:rPr>
        <w:t>8xCkFtPIAVzd1hxemX1fm6WjWSCSpVg2IUVqUSmJGwM7mNq7LvJxvAIUJRghe7G7ksr7bmHjQNhI5-</w:t>
      </w:r>
    </w:p>
    <w:p w14:paraId="3808EEFD" w14:textId="77777777" w:rsidR="00DD0B5E" w:rsidRPr="00C61F3A" w:rsidRDefault="00DD0B5E" w:rsidP="00BE170F">
      <w:pPr>
        <w:pStyle w:val="Prrafodelista"/>
        <w:spacing w:line="360" w:lineRule="auto"/>
        <w:ind w:left="567" w:right="616"/>
        <w:rPr>
          <w:i/>
          <w:iCs/>
          <w:color w:val="auto"/>
          <w:sz w:val="20"/>
          <w:szCs w:val="20"/>
        </w:rPr>
      </w:pPr>
      <w:r w:rsidRPr="00C61F3A">
        <w:rPr>
          <w:i/>
          <w:iCs/>
          <w:color w:val="auto"/>
          <w:sz w:val="20"/>
          <w:szCs w:val="20"/>
        </w:rPr>
        <w:t>p3cfSZlJph5_SYGw5764D1BDo8XnMjmYce2C3NeRcKfCnx4mFwT3rfJpQmcJccviH7WsnpVxhWzHeVkEf</w:t>
      </w:r>
    </w:p>
    <w:p w14:paraId="49C534CE" w14:textId="77777777" w:rsidR="00DD0B5E" w:rsidRPr="00C61F3A" w:rsidRDefault="00DD0B5E" w:rsidP="00BE170F">
      <w:pPr>
        <w:pStyle w:val="Prrafodelista"/>
        <w:spacing w:line="360" w:lineRule="auto"/>
        <w:ind w:left="567" w:right="616"/>
        <w:rPr>
          <w:i/>
          <w:iCs/>
          <w:color w:val="auto"/>
          <w:sz w:val="20"/>
          <w:szCs w:val="20"/>
        </w:rPr>
      </w:pPr>
      <w:r w:rsidRPr="00C61F3A">
        <w:rPr>
          <w:i/>
          <w:iCs/>
          <w:color w:val="auto"/>
          <w:sz w:val="20"/>
          <w:szCs w:val="20"/>
        </w:rPr>
        <w:lastRenderedPageBreak/>
        <w:t>Hjn7m6168Ao0Wtw3_SSCkuiYo8NOx97D2j_1KKUrddxJ6ECkXv6WBzjPScOVtlicLnCFHKcPJUEXyNZfH</w:t>
      </w:r>
    </w:p>
    <w:p w14:paraId="2D8794F5" w14:textId="77777777" w:rsidR="00DD0B5E" w:rsidRPr="00C61F3A" w:rsidRDefault="00DD0B5E" w:rsidP="00BE170F">
      <w:pPr>
        <w:pStyle w:val="Prrafodelista"/>
        <w:spacing w:line="360" w:lineRule="auto"/>
        <w:ind w:left="567" w:right="616"/>
        <w:rPr>
          <w:i/>
          <w:iCs/>
          <w:color w:val="auto"/>
          <w:sz w:val="20"/>
          <w:szCs w:val="20"/>
        </w:rPr>
      </w:pPr>
      <w:r w:rsidRPr="00C61F3A">
        <w:rPr>
          <w:i/>
          <w:iCs/>
          <w:color w:val="auto"/>
          <w:sz w:val="20"/>
          <w:szCs w:val="20"/>
        </w:rPr>
        <w:t>w2ZHCvPF4XPKY1ifM4iTFPMEQIfoR4uWlQNM0RYQpeTQyaLjGP4cFUay0fGAnOCVUhO80JjvMEJah8</w:t>
      </w:r>
    </w:p>
    <w:p w14:paraId="456A57D7" w14:textId="77777777" w:rsidR="00DD0B5E" w:rsidRPr="00C61F3A" w:rsidRDefault="00DD0B5E" w:rsidP="00BE170F">
      <w:pPr>
        <w:pStyle w:val="Prrafodelista"/>
        <w:spacing w:line="360" w:lineRule="auto"/>
        <w:ind w:left="567" w:right="616"/>
        <w:rPr>
          <w:i/>
          <w:iCs/>
          <w:color w:val="auto"/>
          <w:sz w:val="20"/>
          <w:szCs w:val="20"/>
        </w:rPr>
      </w:pPr>
      <w:r w:rsidRPr="00C61F3A">
        <w:rPr>
          <w:i/>
          <w:iCs/>
          <w:color w:val="auto"/>
          <w:sz w:val="20"/>
          <w:szCs w:val="20"/>
        </w:rPr>
        <w:t>lop_McI6vRrho5l2CMWtxqakoy9zm3ZDLiZQXzsBztp5rgEdkgl2KnTTn9hquFvRlE23U7YES22jhYhvhic4</w:t>
      </w:r>
    </w:p>
    <w:p w14:paraId="1BB8AEF8" w14:textId="77777777" w:rsidR="00DD0B5E" w:rsidRPr="00C61F3A" w:rsidRDefault="00DD0B5E" w:rsidP="00BE170F">
      <w:pPr>
        <w:pStyle w:val="Prrafodelista"/>
        <w:spacing w:line="360" w:lineRule="auto"/>
        <w:ind w:left="567" w:right="616"/>
        <w:rPr>
          <w:i/>
          <w:iCs/>
          <w:color w:val="auto"/>
          <w:sz w:val="20"/>
          <w:szCs w:val="20"/>
        </w:rPr>
      </w:pPr>
      <w:r w:rsidRPr="00C61F3A">
        <w:rPr>
          <w:i/>
          <w:iCs/>
          <w:color w:val="auto"/>
          <w:sz w:val="20"/>
          <w:szCs w:val="20"/>
        </w:rPr>
        <w:t>VMAsMil_W_BFolGJ0mrPnrz0xnOkmh-y7WUOJmlgJ9hfCMYNKQQ8juQxViWeS0I2DfdrH0K2jCNDqcLIcDL1muiRK1rXuZE-</w:t>
      </w:r>
    </w:p>
    <w:p w14:paraId="171D2E19" w14:textId="77777777" w:rsidR="00DD0B5E" w:rsidRPr="00C61F3A" w:rsidRDefault="00DD0B5E" w:rsidP="00BE170F">
      <w:pPr>
        <w:pStyle w:val="Prrafodelista"/>
        <w:spacing w:line="360" w:lineRule="auto"/>
        <w:ind w:left="567" w:right="616"/>
        <w:rPr>
          <w:i/>
          <w:iCs/>
          <w:color w:val="auto"/>
          <w:sz w:val="20"/>
          <w:szCs w:val="20"/>
        </w:rPr>
      </w:pPr>
      <w:r w:rsidRPr="00C61F3A">
        <w:rPr>
          <w:i/>
          <w:iCs/>
          <w:color w:val="auto"/>
          <w:sz w:val="20"/>
          <w:szCs w:val="20"/>
        </w:rPr>
        <w:t>9zSLnITuGYX1vWaF4WiOPMtKljSiUFoe7uAc8-zjD18Siv4A91lrStyZwIA8sOkOXvTt690c2cq5wnfK8XoPaiRNa1W0Nv3rIfv0EGEeUQM0kUd0U0qM90jtpOPmpqMnZIBiAUajaq1YbVES6FHTvH2L1OdD</w:t>
      </w:r>
    </w:p>
    <w:p w14:paraId="5E4C127F" w14:textId="5C322915" w:rsidR="00DD0B5E" w:rsidRPr="00C61F3A" w:rsidRDefault="00DD0B5E" w:rsidP="00BE170F">
      <w:pPr>
        <w:pStyle w:val="Prrafodelista"/>
        <w:spacing w:line="360" w:lineRule="auto"/>
        <w:ind w:left="567" w:right="616"/>
        <w:rPr>
          <w:i/>
          <w:iCs/>
          <w:color w:val="auto"/>
          <w:sz w:val="20"/>
          <w:szCs w:val="20"/>
        </w:rPr>
      </w:pPr>
      <w:r w:rsidRPr="00C61F3A">
        <w:rPr>
          <w:i/>
          <w:iCs/>
          <w:color w:val="auto"/>
          <w:sz w:val="20"/>
          <w:szCs w:val="20"/>
        </w:rPr>
        <w:t xml:space="preserve">_RW1OT2dLOf81wtiLBgSZQQ# </w:t>
      </w:r>
    </w:p>
    <w:p w14:paraId="00178E57" w14:textId="77777777" w:rsidR="006D096E" w:rsidRPr="00C61F3A" w:rsidRDefault="006D096E" w:rsidP="00BE170F">
      <w:pPr>
        <w:pStyle w:val="Prrafodelista"/>
        <w:spacing w:line="360" w:lineRule="auto"/>
        <w:ind w:left="567" w:right="616"/>
        <w:rPr>
          <w:i/>
          <w:iCs/>
          <w:color w:val="auto"/>
          <w:sz w:val="20"/>
          <w:szCs w:val="20"/>
        </w:rPr>
      </w:pPr>
    </w:p>
    <w:p w14:paraId="56BC8FBC" w14:textId="2699C4A7" w:rsidR="00DD0B5E" w:rsidRPr="00C61F3A" w:rsidRDefault="006D096E" w:rsidP="00BE170F">
      <w:pPr>
        <w:pStyle w:val="Prrafodelista"/>
        <w:spacing w:line="360" w:lineRule="auto"/>
        <w:ind w:left="567" w:right="616"/>
        <w:rPr>
          <w:i/>
          <w:iCs/>
          <w:color w:val="auto"/>
          <w:sz w:val="20"/>
          <w:szCs w:val="20"/>
        </w:rPr>
      </w:pPr>
      <w:r w:rsidRPr="00C61F3A">
        <w:rPr>
          <w:i/>
          <w:iCs/>
          <w:color w:val="auto"/>
          <w:sz w:val="20"/>
          <w:szCs w:val="20"/>
        </w:rPr>
        <w:t xml:space="preserve">Habiendo ingresado a la dirección electrónica antes referida, podrá observar las sesiones en las que se resolvieron diferentes asuntos relacionados con la clasificación de la información de acuerdo al año que deseé consultar; y podrá descargar los documentos afines con el acta y resoluciones por lo que deberá dar clic en el apartado </w:t>
      </w:r>
      <w:r w:rsidRPr="00C61F3A">
        <w:rPr>
          <w:b/>
          <w:bCs/>
          <w:i/>
          <w:iCs/>
          <w:color w:val="auto"/>
          <w:sz w:val="20"/>
          <w:szCs w:val="20"/>
        </w:rPr>
        <w:t>“Hipervínculo a la resolución”,</w:t>
      </w:r>
      <w:r w:rsidRPr="00C61F3A">
        <w:rPr>
          <w:i/>
          <w:iCs/>
          <w:color w:val="auto"/>
          <w:sz w:val="20"/>
          <w:szCs w:val="20"/>
        </w:rPr>
        <w:t xml:space="preserve"> así como se muestra:</w:t>
      </w:r>
    </w:p>
    <w:p w14:paraId="23EB5AEE" w14:textId="6E00FD56" w:rsidR="006D096E" w:rsidRPr="00C61F3A" w:rsidRDefault="00C77CE5" w:rsidP="00BE170F">
      <w:pPr>
        <w:pStyle w:val="Prrafodelista"/>
        <w:spacing w:line="360" w:lineRule="auto"/>
        <w:ind w:left="567" w:right="616"/>
        <w:jc w:val="center"/>
        <w:rPr>
          <w:i/>
          <w:iCs/>
          <w:color w:val="auto"/>
          <w:sz w:val="20"/>
          <w:szCs w:val="20"/>
        </w:rPr>
      </w:pPr>
      <w:r w:rsidRPr="00C61F3A">
        <w:rPr>
          <w:i/>
          <w:iCs/>
          <w:noProof/>
          <w:color w:val="auto"/>
          <w:sz w:val="20"/>
          <w:szCs w:val="20"/>
          <w:lang w:eastAsia="es-MX"/>
        </w:rPr>
        <w:drawing>
          <wp:inline distT="0" distB="0" distL="0" distR="0" wp14:anchorId="3703C69A" wp14:editId="5748A64C">
            <wp:extent cx="3771900" cy="2293144"/>
            <wp:effectExtent l="0" t="0" r="0" b="0"/>
            <wp:docPr id="11092676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926769" name=""/>
                    <pic:cNvPicPr/>
                  </pic:nvPicPr>
                  <pic:blipFill>
                    <a:blip r:embed="rId14"/>
                    <a:stretch>
                      <a:fillRect/>
                    </a:stretch>
                  </pic:blipFill>
                  <pic:spPr>
                    <a:xfrm>
                      <a:off x="0" y="0"/>
                      <a:ext cx="3775611" cy="2295400"/>
                    </a:xfrm>
                    <a:prstGeom prst="rect">
                      <a:avLst/>
                    </a:prstGeom>
                  </pic:spPr>
                </pic:pic>
              </a:graphicData>
            </a:graphic>
          </wp:inline>
        </w:drawing>
      </w:r>
    </w:p>
    <w:p w14:paraId="11D75DD7" w14:textId="77777777" w:rsidR="00C77CE5" w:rsidRPr="00C61F3A" w:rsidRDefault="00C77CE5" w:rsidP="00BE170F">
      <w:pPr>
        <w:spacing w:after="0" w:line="360" w:lineRule="auto"/>
        <w:ind w:left="567" w:right="616"/>
        <w:rPr>
          <w:b/>
          <w:color w:val="FF0000"/>
        </w:rPr>
      </w:pPr>
    </w:p>
    <w:p w14:paraId="093A33C3" w14:textId="77777777" w:rsidR="00C77CE5" w:rsidRPr="00C61F3A" w:rsidRDefault="00C77CE5" w:rsidP="00BE170F">
      <w:pPr>
        <w:spacing w:after="0" w:line="360" w:lineRule="auto"/>
        <w:ind w:left="567" w:right="616"/>
        <w:rPr>
          <w:b/>
          <w:color w:val="FF0000"/>
        </w:rPr>
      </w:pPr>
    </w:p>
    <w:p w14:paraId="77330AE5" w14:textId="77777777" w:rsidR="00C77CE5" w:rsidRPr="00C61F3A" w:rsidRDefault="00C77CE5" w:rsidP="00BE170F">
      <w:pPr>
        <w:spacing w:after="0" w:line="360" w:lineRule="auto"/>
        <w:ind w:left="567" w:right="616"/>
        <w:rPr>
          <w:b/>
          <w:color w:val="FF0000"/>
        </w:rPr>
      </w:pPr>
    </w:p>
    <w:p w14:paraId="3B0F6F4D" w14:textId="77777777" w:rsidR="00C77CE5" w:rsidRPr="00C61F3A" w:rsidRDefault="00C77CE5" w:rsidP="00BE170F">
      <w:pPr>
        <w:spacing w:after="0" w:line="360" w:lineRule="auto"/>
        <w:ind w:left="567" w:right="616"/>
        <w:rPr>
          <w:b/>
          <w:color w:val="FF0000"/>
        </w:rPr>
      </w:pPr>
    </w:p>
    <w:p w14:paraId="2594A934" w14:textId="24FC81F2" w:rsidR="00C77CE5" w:rsidRPr="00C61F3A" w:rsidRDefault="00C77CE5" w:rsidP="00BE170F">
      <w:pPr>
        <w:spacing w:after="0" w:line="360" w:lineRule="auto"/>
        <w:ind w:left="567" w:right="616"/>
        <w:jc w:val="center"/>
        <w:rPr>
          <w:b/>
          <w:color w:val="FF0000"/>
        </w:rPr>
      </w:pPr>
      <w:r w:rsidRPr="00C61F3A">
        <w:rPr>
          <w:b/>
          <w:noProof/>
          <w:color w:val="FF0000"/>
          <w:lang w:eastAsia="es-MX"/>
        </w:rPr>
        <w:drawing>
          <wp:inline distT="0" distB="0" distL="0" distR="0" wp14:anchorId="1AEA6835" wp14:editId="6ACBE6C3">
            <wp:extent cx="3673475" cy="2093808"/>
            <wp:effectExtent l="0" t="0" r="3175" b="1905"/>
            <wp:docPr id="299499820"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677912" cy="2096337"/>
                    </a:xfrm>
                    <a:prstGeom prst="rect">
                      <a:avLst/>
                    </a:prstGeom>
                    <a:noFill/>
                  </pic:spPr>
                </pic:pic>
              </a:graphicData>
            </a:graphic>
          </wp:inline>
        </w:drawing>
      </w:r>
    </w:p>
    <w:p w14:paraId="2024EBE0" w14:textId="1045A409" w:rsidR="003C5D65" w:rsidRPr="00C61F3A" w:rsidRDefault="003C5D65" w:rsidP="00BE170F">
      <w:pPr>
        <w:pStyle w:val="Prrafodelista"/>
        <w:spacing w:line="360" w:lineRule="auto"/>
        <w:ind w:left="567" w:right="616"/>
        <w:rPr>
          <w:b/>
          <w:bCs/>
          <w:i/>
          <w:iCs/>
          <w:color w:val="auto"/>
          <w:sz w:val="20"/>
          <w:szCs w:val="20"/>
        </w:rPr>
      </w:pPr>
      <w:r w:rsidRPr="00C61F3A">
        <w:rPr>
          <w:b/>
          <w:bCs/>
          <w:i/>
          <w:iCs/>
          <w:color w:val="auto"/>
          <w:sz w:val="20"/>
          <w:szCs w:val="20"/>
        </w:rPr>
        <w:t>Correspondiente al segundo semestre de 2023 al segundo trimestre de 2024 (al 09 de julio de 2024):</w:t>
      </w:r>
    </w:p>
    <w:p w14:paraId="4379BD07" w14:textId="5B30A0E0" w:rsidR="003C5D65" w:rsidRPr="00C61F3A" w:rsidRDefault="003A6814" w:rsidP="00BE170F">
      <w:pPr>
        <w:pStyle w:val="Prrafodelista"/>
        <w:spacing w:line="360" w:lineRule="auto"/>
        <w:ind w:left="567" w:right="616"/>
        <w:rPr>
          <w:i/>
          <w:iCs/>
          <w:color w:val="auto"/>
          <w:sz w:val="20"/>
          <w:szCs w:val="20"/>
        </w:rPr>
      </w:pPr>
      <w:hyperlink r:id="rId16" w:anchor="/info-fraccion/67/1/1" w:history="1">
        <w:r w:rsidR="003C5D65" w:rsidRPr="00C61F3A">
          <w:rPr>
            <w:rStyle w:val="Hipervnculo"/>
            <w:i/>
            <w:iCs/>
            <w:sz w:val="20"/>
            <w:szCs w:val="20"/>
          </w:rPr>
          <w:t>https://infoem2.ipomex.org.mx/ipomex/#/info-fraccion/67/1/1</w:t>
        </w:r>
      </w:hyperlink>
      <w:r w:rsidR="003C5D65" w:rsidRPr="00C61F3A">
        <w:rPr>
          <w:i/>
          <w:iCs/>
          <w:color w:val="auto"/>
          <w:sz w:val="20"/>
          <w:szCs w:val="20"/>
        </w:rPr>
        <w:t xml:space="preserve"> </w:t>
      </w:r>
    </w:p>
    <w:p w14:paraId="372EABDF" w14:textId="518B598A" w:rsidR="00C77CE5" w:rsidRPr="00C61F3A" w:rsidRDefault="003C5D65" w:rsidP="00BE170F">
      <w:pPr>
        <w:pStyle w:val="Prrafodelista"/>
        <w:spacing w:line="360" w:lineRule="auto"/>
        <w:ind w:left="567" w:right="616"/>
        <w:rPr>
          <w:i/>
          <w:iCs/>
          <w:color w:val="auto"/>
          <w:sz w:val="20"/>
          <w:szCs w:val="20"/>
        </w:rPr>
      </w:pPr>
      <w:r w:rsidRPr="00C61F3A">
        <w:rPr>
          <w:i/>
          <w:iCs/>
          <w:color w:val="auto"/>
          <w:sz w:val="20"/>
          <w:szCs w:val="20"/>
        </w:rPr>
        <w:t xml:space="preserve">En lo que concierne a el link anterior, podrá ver el segundo trimestre del año 2024 (hasta el 09 de julio de 2024), por lo que podrá descargar los documentos de su interés en el registro que deseé y dar clic en el apartado </w:t>
      </w:r>
      <w:r w:rsidRPr="00C61F3A">
        <w:rPr>
          <w:b/>
          <w:bCs/>
          <w:i/>
          <w:iCs/>
          <w:color w:val="auto"/>
          <w:sz w:val="20"/>
          <w:szCs w:val="20"/>
        </w:rPr>
        <w:t>“Hipervínculo a la resolución (Enlace externo)”</w:t>
      </w:r>
      <w:r w:rsidRPr="00C61F3A">
        <w:rPr>
          <w:i/>
          <w:iCs/>
          <w:color w:val="auto"/>
          <w:sz w:val="20"/>
          <w:szCs w:val="20"/>
        </w:rPr>
        <w:t xml:space="preserve">; y dentro del apartado </w:t>
      </w:r>
      <w:r w:rsidRPr="00C61F3A">
        <w:rPr>
          <w:b/>
          <w:bCs/>
          <w:i/>
          <w:iCs/>
          <w:color w:val="auto"/>
          <w:sz w:val="20"/>
          <w:szCs w:val="20"/>
        </w:rPr>
        <w:t>“Propuesta”</w:t>
      </w:r>
      <w:r w:rsidRPr="00C61F3A">
        <w:rPr>
          <w:i/>
          <w:iCs/>
          <w:color w:val="auto"/>
          <w:sz w:val="20"/>
          <w:szCs w:val="20"/>
        </w:rPr>
        <w:t xml:space="preserve"> se determinara si se trata de la clasificación de la información, o bien, en la opción de Filtro general podrá escribir las palabras</w:t>
      </w:r>
      <w:r w:rsidRPr="00C61F3A">
        <w:rPr>
          <w:b/>
          <w:bCs/>
          <w:i/>
          <w:iCs/>
          <w:color w:val="auto"/>
          <w:sz w:val="20"/>
          <w:szCs w:val="20"/>
          <w:u w:val="single"/>
        </w:rPr>
        <w:t xml:space="preserve"> reserva</w:t>
      </w:r>
      <w:r w:rsidRPr="00C61F3A">
        <w:rPr>
          <w:i/>
          <w:iCs/>
          <w:color w:val="auto"/>
          <w:sz w:val="20"/>
          <w:szCs w:val="20"/>
        </w:rPr>
        <w:t xml:space="preserve"> o </w:t>
      </w:r>
      <w:r w:rsidRPr="00C61F3A">
        <w:rPr>
          <w:b/>
          <w:bCs/>
          <w:i/>
          <w:iCs/>
          <w:color w:val="auto"/>
          <w:sz w:val="20"/>
          <w:szCs w:val="20"/>
          <w:u w:val="single"/>
        </w:rPr>
        <w:t>confidencial</w:t>
      </w:r>
      <w:r w:rsidRPr="00C61F3A">
        <w:rPr>
          <w:i/>
          <w:iCs/>
          <w:color w:val="auto"/>
          <w:sz w:val="20"/>
          <w:szCs w:val="20"/>
        </w:rPr>
        <w:t>, según sea el caso:</w:t>
      </w:r>
    </w:p>
    <w:p w14:paraId="592277C3" w14:textId="77777777" w:rsidR="00C77CE5" w:rsidRPr="00C61F3A" w:rsidRDefault="00C77CE5" w:rsidP="00BE170F">
      <w:pPr>
        <w:spacing w:after="0" w:line="360" w:lineRule="auto"/>
        <w:ind w:left="567" w:right="616"/>
        <w:rPr>
          <w:b/>
          <w:color w:val="FF0000"/>
        </w:rPr>
      </w:pPr>
    </w:p>
    <w:p w14:paraId="722AB9AB" w14:textId="22CE3A5E" w:rsidR="00C77CE5" w:rsidRPr="00C61F3A" w:rsidRDefault="00692824" w:rsidP="00BE170F">
      <w:pPr>
        <w:spacing w:after="0" w:line="360" w:lineRule="auto"/>
        <w:ind w:left="567" w:right="616"/>
        <w:jc w:val="center"/>
        <w:rPr>
          <w:b/>
          <w:color w:val="FF0000"/>
        </w:rPr>
      </w:pPr>
      <w:r w:rsidRPr="00C61F3A">
        <w:rPr>
          <w:b/>
          <w:noProof/>
          <w:color w:val="FF0000"/>
          <w:lang w:eastAsia="es-MX"/>
        </w:rPr>
        <w:drawing>
          <wp:inline distT="0" distB="0" distL="0" distR="0" wp14:anchorId="5CA1E5BD" wp14:editId="5726E336">
            <wp:extent cx="4077335" cy="1924452"/>
            <wp:effectExtent l="0" t="0" r="0" b="0"/>
            <wp:docPr id="82199518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1995185" name=""/>
                    <pic:cNvPicPr/>
                  </pic:nvPicPr>
                  <pic:blipFill>
                    <a:blip r:embed="rId17"/>
                    <a:stretch>
                      <a:fillRect/>
                    </a:stretch>
                  </pic:blipFill>
                  <pic:spPr>
                    <a:xfrm>
                      <a:off x="0" y="0"/>
                      <a:ext cx="4085971" cy="1928528"/>
                    </a:xfrm>
                    <a:prstGeom prst="rect">
                      <a:avLst/>
                    </a:prstGeom>
                  </pic:spPr>
                </pic:pic>
              </a:graphicData>
            </a:graphic>
          </wp:inline>
        </w:drawing>
      </w:r>
    </w:p>
    <w:p w14:paraId="0D1AE821" w14:textId="16F1E5DE" w:rsidR="00692824" w:rsidRPr="00C61F3A" w:rsidRDefault="00692824" w:rsidP="00BE170F">
      <w:pPr>
        <w:spacing w:after="0" w:line="360" w:lineRule="auto"/>
        <w:ind w:left="567" w:right="616"/>
        <w:jc w:val="center"/>
        <w:rPr>
          <w:b/>
          <w:color w:val="FF0000"/>
        </w:rPr>
      </w:pPr>
      <w:r w:rsidRPr="00C61F3A">
        <w:rPr>
          <w:b/>
          <w:noProof/>
          <w:color w:val="FF0000"/>
          <w:lang w:eastAsia="es-MX"/>
        </w:rPr>
        <w:lastRenderedPageBreak/>
        <w:drawing>
          <wp:inline distT="0" distB="0" distL="0" distR="0" wp14:anchorId="4E06448F" wp14:editId="0BA3B13E">
            <wp:extent cx="3436620" cy="2118711"/>
            <wp:effectExtent l="0" t="0" r="0" b="0"/>
            <wp:docPr id="2090776546"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455304" cy="2130230"/>
                    </a:xfrm>
                    <a:prstGeom prst="rect">
                      <a:avLst/>
                    </a:prstGeom>
                    <a:noFill/>
                  </pic:spPr>
                </pic:pic>
              </a:graphicData>
            </a:graphic>
          </wp:inline>
        </w:drawing>
      </w:r>
    </w:p>
    <w:p w14:paraId="449A5206" w14:textId="0E6D3F63" w:rsidR="00692824" w:rsidRPr="00C61F3A" w:rsidRDefault="00113DEA" w:rsidP="00BE170F">
      <w:pPr>
        <w:pStyle w:val="Prrafodelista"/>
        <w:spacing w:line="360" w:lineRule="auto"/>
        <w:ind w:left="567" w:right="616"/>
        <w:rPr>
          <w:i/>
          <w:iCs/>
          <w:color w:val="auto"/>
          <w:sz w:val="20"/>
          <w:szCs w:val="20"/>
        </w:rPr>
      </w:pPr>
      <w:r w:rsidRPr="00C61F3A">
        <w:rPr>
          <w:i/>
          <w:iCs/>
          <w:color w:val="auto"/>
          <w:sz w:val="20"/>
          <w:szCs w:val="20"/>
        </w:rPr>
        <w:t xml:space="preserve">De igual forma para consultar los periodos anteriores, podrá dar clic en la sección </w:t>
      </w:r>
      <w:r w:rsidRPr="00C61F3A">
        <w:rPr>
          <w:b/>
          <w:bCs/>
          <w:i/>
          <w:iCs/>
          <w:color w:val="auto"/>
          <w:sz w:val="20"/>
          <w:szCs w:val="20"/>
        </w:rPr>
        <w:t>“Consulta de periodos anteriores”</w:t>
      </w:r>
      <w:r w:rsidRPr="00C61F3A">
        <w:rPr>
          <w:i/>
          <w:iCs/>
          <w:color w:val="auto"/>
          <w:sz w:val="20"/>
          <w:szCs w:val="20"/>
        </w:rPr>
        <w:t>, como se muestra a continuación:</w:t>
      </w:r>
    </w:p>
    <w:p w14:paraId="687D68D9" w14:textId="54A87373" w:rsidR="00C77CE5" w:rsidRPr="00C61F3A" w:rsidRDefault="002C4D51" w:rsidP="00BE170F">
      <w:pPr>
        <w:spacing w:after="0" w:line="360" w:lineRule="auto"/>
        <w:ind w:left="567" w:right="616"/>
        <w:jc w:val="center"/>
        <w:rPr>
          <w:b/>
          <w:color w:val="FF0000"/>
        </w:rPr>
      </w:pPr>
      <w:r w:rsidRPr="00C61F3A">
        <w:rPr>
          <w:b/>
          <w:noProof/>
          <w:color w:val="FF0000"/>
          <w:lang w:eastAsia="es-MX"/>
        </w:rPr>
        <w:drawing>
          <wp:inline distT="0" distB="0" distL="0" distR="0" wp14:anchorId="5D61E349" wp14:editId="5BE86F95">
            <wp:extent cx="3803015" cy="2041395"/>
            <wp:effectExtent l="0" t="0" r="6985" b="0"/>
            <wp:docPr id="97667972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6679723" name=""/>
                    <pic:cNvPicPr/>
                  </pic:nvPicPr>
                  <pic:blipFill>
                    <a:blip r:embed="rId19"/>
                    <a:stretch>
                      <a:fillRect/>
                    </a:stretch>
                  </pic:blipFill>
                  <pic:spPr>
                    <a:xfrm>
                      <a:off x="0" y="0"/>
                      <a:ext cx="3815714" cy="2048212"/>
                    </a:xfrm>
                    <a:prstGeom prst="rect">
                      <a:avLst/>
                    </a:prstGeom>
                  </pic:spPr>
                </pic:pic>
              </a:graphicData>
            </a:graphic>
          </wp:inline>
        </w:drawing>
      </w:r>
    </w:p>
    <w:p w14:paraId="5452A04A" w14:textId="77777777" w:rsidR="002C4D51" w:rsidRPr="00C61F3A" w:rsidRDefault="002C4D51" w:rsidP="00BE170F">
      <w:pPr>
        <w:pStyle w:val="Prrafodelista"/>
        <w:spacing w:line="360" w:lineRule="auto"/>
        <w:ind w:left="567" w:right="616"/>
        <w:rPr>
          <w:i/>
          <w:iCs/>
          <w:color w:val="auto"/>
          <w:sz w:val="20"/>
          <w:szCs w:val="20"/>
        </w:rPr>
      </w:pPr>
    </w:p>
    <w:p w14:paraId="44363A79" w14:textId="036BA982" w:rsidR="002C4D51" w:rsidRPr="00C61F3A" w:rsidRDefault="002C4D51" w:rsidP="00BE170F">
      <w:pPr>
        <w:pStyle w:val="Prrafodelista"/>
        <w:spacing w:line="360" w:lineRule="auto"/>
        <w:ind w:left="567" w:right="616"/>
        <w:rPr>
          <w:i/>
          <w:iCs/>
          <w:color w:val="auto"/>
          <w:sz w:val="20"/>
          <w:szCs w:val="20"/>
        </w:rPr>
      </w:pPr>
      <w:r w:rsidRPr="00C61F3A">
        <w:rPr>
          <w:i/>
          <w:iCs/>
          <w:color w:val="auto"/>
          <w:sz w:val="20"/>
          <w:szCs w:val="20"/>
        </w:rPr>
        <w:t>A continuación, para el año de interés podrá aplicar las opciones de filtrado de los periodos deseados según lo arrojado por el propio sistema, tal y como se muestra:</w:t>
      </w:r>
    </w:p>
    <w:p w14:paraId="1737E6D6" w14:textId="2DC16721" w:rsidR="002C4D51" w:rsidRPr="00C61F3A" w:rsidRDefault="006B453B" w:rsidP="00BE170F">
      <w:pPr>
        <w:pStyle w:val="Prrafodelista"/>
        <w:spacing w:line="360" w:lineRule="auto"/>
        <w:ind w:left="567" w:right="616"/>
        <w:rPr>
          <w:i/>
          <w:iCs/>
          <w:color w:val="auto"/>
          <w:sz w:val="20"/>
          <w:szCs w:val="20"/>
        </w:rPr>
      </w:pPr>
      <w:r w:rsidRPr="00C61F3A">
        <w:rPr>
          <w:i/>
          <w:iCs/>
          <w:noProof/>
          <w:color w:val="auto"/>
          <w:sz w:val="20"/>
          <w:szCs w:val="20"/>
          <w:lang w:eastAsia="es-MX"/>
        </w:rPr>
        <w:drawing>
          <wp:inline distT="0" distB="0" distL="0" distR="0" wp14:anchorId="6F9E2C1C" wp14:editId="4877F55F">
            <wp:extent cx="4877435" cy="1407991"/>
            <wp:effectExtent l="0" t="0" r="0" b="1905"/>
            <wp:docPr id="65154739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1547396" name=""/>
                    <pic:cNvPicPr/>
                  </pic:nvPicPr>
                  <pic:blipFill>
                    <a:blip r:embed="rId20"/>
                    <a:stretch>
                      <a:fillRect/>
                    </a:stretch>
                  </pic:blipFill>
                  <pic:spPr>
                    <a:xfrm>
                      <a:off x="0" y="0"/>
                      <a:ext cx="4895763" cy="1413282"/>
                    </a:xfrm>
                    <a:prstGeom prst="rect">
                      <a:avLst/>
                    </a:prstGeom>
                  </pic:spPr>
                </pic:pic>
              </a:graphicData>
            </a:graphic>
          </wp:inline>
        </w:drawing>
      </w:r>
    </w:p>
    <w:p w14:paraId="75A7C451" w14:textId="36CD92BC" w:rsidR="001750C0" w:rsidRPr="00C61F3A" w:rsidRDefault="001750C0" w:rsidP="00BE170F">
      <w:pPr>
        <w:pStyle w:val="Prrafodelista"/>
        <w:spacing w:line="360" w:lineRule="auto"/>
        <w:ind w:left="567" w:right="616"/>
        <w:rPr>
          <w:i/>
          <w:iCs/>
          <w:color w:val="auto"/>
          <w:sz w:val="20"/>
          <w:szCs w:val="20"/>
        </w:rPr>
      </w:pPr>
      <w:r w:rsidRPr="00C61F3A">
        <w:rPr>
          <w:i/>
          <w:iCs/>
          <w:color w:val="auto"/>
          <w:sz w:val="20"/>
          <w:szCs w:val="20"/>
        </w:rPr>
        <w:lastRenderedPageBreak/>
        <w:t>Habiendo realizado lo anteriormente mencionado, podrá descargar los documentos de las sesiones del Comité de Transparencia, con relación a las actas y resoluciones de las clasificaciones de la información confidencial y/o reservada de la información, en los periodos solicitados.</w:t>
      </w:r>
    </w:p>
    <w:p w14:paraId="49B004A7" w14:textId="77777777" w:rsidR="001750C0" w:rsidRPr="00C61F3A" w:rsidRDefault="001750C0" w:rsidP="00BE170F">
      <w:pPr>
        <w:pStyle w:val="Prrafodelista"/>
        <w:spacing w:line="360" w:lineRule="auto"/>
        <w:ind w:left="567" w:right="616"/>
        <w:rPr>
          <w:i/>
          <w:iCs/>
          <w:color w:val="auto"/>
          <w:sz w:val="20"/>
          <w:szCs w:val="20"/>
        </w:rPr>
      </w:pPr>
    </w:p>
    <w:p w14:paraId="3D3107BE" w14:textId="377567D1" w:rsidR="006B453B" w:rsidRPr="00C61F3A" w:rsidRDefault="001750C0" w:rsidP="00BE170F">
      <w:pPr>
        <w:pStyle w:val="Prrafodelista"/>
        <w:spacing w:line="360" w:lineRule="auto"/>
        <w:ind w:left="567" w:right="616"/>
        <w:rPr>
          <w:b/>
          <w:bCs/>
          <w:i/>
          <w:iCs/>
          <w:color w:val="auto"/>
          <w:sz w:val="20"/>
          <w:szCs w:val="20"/>
        </w:rPr>
      </w:pPr>
      <w:r w:rsidRPr="00C61F3A">
        <w:rPr>
          <w:i/>
          <w:iCs/>
          <w:color w:val="auto"/>
          <w:sz w:val="20"/>
          <w:szCs w:val="20"/>
        </w:rPr>
        <w:t xml:space="preserve">Ahora bien, respecto donde menciona lo siguiente: </w:t>
      </w:r>
      <w:r w:rsidRPr="00C61F3A">
        <w:rPr>
          <w:b/>
          <w:bCs/>
          <w:i/>
          <w:iCs/>
          <w:color w:val="auto"/>
          <w:sz w:val="20"/>
          <w:szCs w:val="20"/>
        </w:rPr>
        <w:t>“Solicito todos los gafetes institucionales en formato PDF, de las personas servidoras públicas del INFOEM.</w:t>
      </w:r>
    </w:p>
    <w:p w14:paraId="1797887C" w14:textId="77777777" w:rsidR="001750C0" w:rsidRPr="00C61F3A" w:rsidRDefault="001750C0" w:rsidP="00BE170F">
      <w:pPr>
        <w:pStyle w:val="Prrafodelista"/>
        <w:spacing w:line="360" w:lineRule="auto"/>
        <w:ind w:left="567" w:right="616"/>
        <w:rPr>
          <w:b/>
          <w:bCs/>
          <w:i/>
          <w:iCs/>
          <w:color w:val="auto"/>
          <w:sz w:val="20"/>
          <w:szCs w:val="20"/>
        </w:rPr>
      </w:pPr>
    </w:p>
    <w:p w14:paraId="723B13FF" w14:textId="2D596FF4" w:rsidR="001750C0" w:rsidRPr="00C61F3A" w:rsidRDefault="001750C0" w:rsidP="00BE170F">
      <w:pPr>
        <w:pStyle w:val="Prrafodelista"/>
        <w:spacing w:line="360" w:lineRule="auto"/>
        <w:ind w:left="567" w:right="616"/>
        <w:rPr>
          <w:i/>
          <w:iCs/>
          <w:color w:val="auto"/>
          <w:sz w:val="20"/>
          <w:szCs w:val="20"/>
        </w:rPr>
      </w:pPr>
      <w:r w:rsidRPr="00C61F3A">
        <w:rPr>
          <w:b/>
          <w:bCs/>
          <w:i/>
          <w:iCs/>
          <w:color w:val="auto"/>
          <w:sz w:val="20"/>
          <w:szCs w:val="20"/>
        </w:rPr>
        <w:t>Solicito las listas de asistencia que se generaron en 2020, 2021 y 2022.”</w:t>
      </w:r>
      <w:r w:rsidRPr="00C61F3A">
        <w:rPr>
          <w:i/>
          <w:iCs/>
          <w:color w:val="auto"/>
          <w:sz w:val="20"/>
          <w:szCs w:val="20"/>
        </w:rPr>
        <w:t xml:space="preserve"> (Sic); sírvase en encontrar en archivo adjunto la documentación consistente en:</w:t>
      </w:r>
    </w:p>
    <w:p w14:paraId="6B0687CB" w14:textId="77777777" w:rsidR="001750C0" w:rsidRPr="00C61F3A" w:rsidRDefault="001750C0" w:rsidP="00BE170F">
      <w:pPr>
        <w:pStyle w:val="Prrafodelista"/>
        <w:spacing w:line="360" w:lineRule="auto"/>
        <w:ind w:left="567" w:right="616"/>
        <w:rPr>
          <w:i/>
          <w:iCs/>
          <w:color w:val="auto"/>
          <w:sz w:val="20"/>
          <w:szCs w:val="20"/>
        </w:rPr>
      </w:pPr>
    </w:p>
    <w:p w14:paraId="790B4547" w14:textId="376EF204" w:rsidR="001750C0" w:rsidRPr="00C61F3A" w:rsidRDefault="001750C0" w:rsidP="00570DDD">
      <w:pPr>
        <w:pStyle w:val="Prrafodelista"/>
        <w:numPr>
          <w:ilvl w:val="0"/>
          <w:numId w:val="3"/>
        </w:numPr>
        <w:spacing w:line="360" w:lineRule="auto"/>
        <w:ind w:left="851" w:right="616"/>
        <w:rPr>
          <w:i/>
          <w:iCs/>
          <w:color w:val="auto"/>
          <w:sz w:val="20"/>
          <w:szCs w:val="20"/>
        </w:rPr>
      </w:pPr>
      <w:r w:rsidRPr="00C61F3A">
        <w:rPr>
          <w:i/>
          <w:iCs/>
          <w:color w:val="auto"/>
          <w:sz w:val="20"/>
          <w:szCs w:val="20"/>
        </w:rPr>
        <w:t xml:space="preserve">La respuesta del servidor público habilitado de la Dirección General de Administración y Finanzas, bajo el número de oficio </w:t>
      </w:r>
      <w:r w:rsidRPr="00C61F3A">
        <w:rPr>
          <w:b/>
          <w:bCs/>
          <w:i/>
          <w:iCs/>
          <w:color w:val="auto"/>
          <w:sz w:val="20"/>
          <w:szCs w:val="20"/>
        </w:rPr>
        <w:t>INFOEM/DGI/525/2024,</w:t>
      </w:r>
      <w:r w:rsidRPr="00C61F3A">
        <w:rPr>
          <w:i/>
          <w:iCs/>
          <w:color w:val="auto"/>
          <w:sz w:val="20"/>
          <w:szCs w:val="20"/>
        </w:rPr>
        <w:t xml:space="preserve"> remitido a esta Unidad de Transparencia e identificada con el nombre de archivo: </w:t>
      </w:r>
      <w:r w:rsidRPr="00C61F3A">
        <w:rPr>
          <w:b/>
          <w:bCs/>
          <w:i/>
          <w:iCs/>
          <w:color w:val="auto"/>
          <w:sz w:val="20"/>
          <w:szCs w:val="20"/>
        </w:rPr>
        <w:t>“RespuestaSolicitud00700DGAF”,</w:t>
      </w:r>
      <w:r w:rsidRPr="00C61F3A">
        <w:rPr>
          <w:i/>
          <w:iCs/>
          <w:color w:val="auto"/>
          <w:sz w:val="20"/>
          <w:szCs w:val="20"/>
        </w:rPr>
        <w:t xml:space="preserve"> así como sus anexos.</w:t>
      </w:r>
    </w:p>
    <w:p w14:paraId="41AD1234" w14:textId="77777777" w:rsidR="001750C0" w:rsidRPr="00C61F3A" w:rsidRDefault="001750C0" w:rsidP="00BE170F">
      <w:pPr>
        <w:pStyle w:val="Prrafodelista"/>
        <w:spacing w:line="360" w:lineRule="auto"/>
        <w:ind w:left="851" w:right="616"/>
        <w:rPr>
          <w:i/>
          <w:iCs/>
          <w:color w:val="auto"/>
          <w:sz w:val="20"/>
          <w:szCs w:val="20"/>
        </w:rPr>
      </w:pPr>
    </w:p>
    <w:p w14:paraId="1E75C71D" w14:textId="5165470C" w:rsidR="001750C0" w:rsidRPr="00C61F3A" w:rsidRDefault="001750C0" w:rsidP="00570DDD">
      <w:pPr>
        <w:pStyle w:val="Prrafodelista"/>
        <w:numPr>
          <w:ilvl w:val="0"/>
          <w:numId w:val="3"/>
        </w:numPr>
        <w:spacing w:line="360" w:lineRule="auto"/>
        <w:ind w:left="851" w:right="616"/>
        <w:rPr>
          <w:i/>
          <w:iCs/>
          <w:color w:val="auto"/>
          <w:sz w:val="20"/>
          <w:szCs w:val="20"/>
        </w:rPr>
      </w:pPr>
      <w:r w:rsidRPr="00C61F3A">
        <w:rPr>
          <w:i/>
          <w:iCs/>
          <w:color w:val="auto"/>
          <w:sz w:val="20"/>
          <w:szCs w:val="20"/>
        </w:rPr>
        <w:t xml:space="preserve">Resolución número </w:t>
      </w:r>
      <w:r w:rsidRPr="00C61F3A">
        <w:rPr>
          <w:b/>
          <w:bCs/>
          <w:i/>
          <w:iCs/>
          <w:color w:val="auto"/>
          <w:sz w:val="20"/>
          <w:szCs w:val="20"/>
        </w:rPr>
        <w:t>RES-02-INFOEM-EXT-COMT-21ª-2024,</w:t>
      </w:r>
      <w:r w:rsidRPr="00C61F3A">
        <w:rPr>
          <w:i/>
          <w:iCs/>
          <w:color w:val="auto"/>
          <w:sz w:val="20"/>
          <w:szCs w:val="20"/>
        </w:rPr>
        <w:t xml:space="preserve"> de fecha nueve de agosto de dos mil veinticuatro, mediante el cual, el Comité de Transparencia confirmó la clasificación como confidencial, de la información referente a su solicitud.</w:t>
      </w:r>
    </w:p>
    <w:p w14:paraId="400DA788" w14:textId="77777777" w:rsidR="001750C0" w:rsidRPr="00C61F3A" w:rsidRDefault="001750C0" w:rsidP="00BE170F">
      <w:pPr>
        <w:pStyle w:val="Prrafodelista"/>
        <w:spacing w:line="360" w:lineRule="auto"/>
        <w:ind w:left="851" w:right="616"/>
        <w:rPr>
          <w:i/>
          <w:iCs/>
          <w:color w:val="auto"/>
          <w:sz w:val="20"/>
          <w:szCs w:val="20"/>
        </w:rPr>
      </w:pPr>
    </w:p>
    <w:p w14:paraId="4402F213" w14:textId="30B1255A" w:rsidR="001750C0" w:rsidRPr="00C61F3A" w:rsidRDefault="001750C0" w:rsidP="00BE170F">
      <w:pPr>
        <w:pStyle w:val="Prrafodelista"/>
        <w:spacing w:line="360" w:lineRule="auto"/>
        <w:ind w:left="851" w:right="616"/>
        <w:rPr>
          <w:i/>
          <w:iCs/>
          <w:color w:val="auto"/>
          <w:sz w:val="20"/>
          <w:szCs w:val="20"/>
        </w:rPr>
      </w:pPr>
      <w:r w:rsidRPr="00C61F3A">
        <w:rPr>
          <w:i/>
          <w:iCs/>
          <w:color w:val="auto"/>
          <w:sz w:val="20"/>
          <w:szCs w:val="20"/>
        </w:rPr>
        <w:t xml:space="preserve">Seguidamente, respecto a: </w:t>
      </w:r>
      <w:r w:rsidRPr="00C61F3A">
        <w:rPr>
          <w:b/>
          <w:bCs/>
          <w:i/>
          <w:iCs/>
          <w:color w:val="auto"/>
          <w:sz w:val="20"/>
          <w:szCs w:val="20"/>
        </w:rPr>
        <w:t xml:space="preserve">“Solicito saber porque el INFOEM, puso toda su normatividad en el </w:t>
      </w:r>
      <w:proofErr w:type="spellStart"/>
      <w:r w:rsidRPr="00C61F3A">
        <w:rPr>
          <w:b/>
          <w:bCs/>
          <w:i/>
          <w:iCs/>
          <w:color w:val="auto"/>
          <w:sz w:val="20"/>
          <w:szCs w:val="20"/>
        </w:rPr>
        <w:t>Ipomex</w:t>
      </w:r>
      <w:proofErr w:type="spellEnd"/>
      <w:r w:rsidRPr="00C61F3A">
        <w:rPr>
          <w:b/>
          <w:bCs/>
          <w:i/>
          <w:iCs/>
          <w:color w:val="auto"/>
          <w:sz w:val="20"/>
          <w:szCs w:val="20"/>
        </w:rPr>
        <w:t xml:space="preserve"> y ya no así en su página web institucional”</w:t>
      </w:r>
      <w:r w:rsidRPr="00C61F3A">
        <w:rPr>
          <w:i/>
          <w:iCs/>
          <w:color w:val="auto"/>
          <w:sz w:val="20"/>
          <w:szCs w:val="20"/>
        </w:rPr>
        <w:t xml:space="preserve"> (Sic); sírvase en encontrar en archivo adjunto la documentación consistente en:</w:t>
      </w:r>
    </w:p>
    <w:p w14:paraId="37F0C229" w14:textId="77777777" w:rsidR="001750C0" w:rsidRPr="00C61F3A" w:rsidRDefault="001750C0" w:rsidP="00BE170F">
      <w:pPr>
        <w:pStyle w:val="Prrafodelista"/>
        <w:spacing w:line="360" w:lineRule="auto"/>
        <w:ind w:left="851" w:right="616"/>
        <w:rPr>
          <w:i/>
          <w:iCs/>
          <w:color w:val="auto"/>
          <w:sz w:val="20"/>
          <w:szCs w:val="20"/>
        </w:rPr>
      </w:pPr>
    </w:p>
    <w:p w14:paraId="7634BA1C" w14:textId="39D03120" w:rsidR="001750C0" w:rsidRPr="00C61F3A" w:rsidRDefault="001750C0" w:rsidP="00570DDD">
      <w:pPr>
        <w:pStyle w:val="Prrafodelista"/>
        <w:numPr>
          <w:ilvl w:val="0"/>
          <w:numId w:val="3"/>
        </w:numPr>
        <w:spacing w:line="360" w:lineRule="auto"/>
        <w:ind w:left="851" w:right="616"/>
        <w:rPr>
          <w:i/>
          <w:iCs/>
          <w:color w:val="auto"/>
          <w:sz w:val="20"/>
          <w:szCs w:val="20"/>
        </w:rPr>
      </w:pPr>
      <w:r w:rsidRPr="00C61F3A">
        <w:rPr>
          <w:i/>
          <w:iCs/>
          <w:color w:val="auto"/>
          <w:sz w:val="20"/>
          <w:szCs w:val="20"/>
        </w:rPr>
        <w:t xml:space="preserve">La respuesta de la servidora pública habilitada de la Dirección General de Transparencia, Acceso a la Información Pública y Gobierno Abierto, bajo el número de memorándum </w:t>
      </w:r>
      <w:r w:rsidRPr="00C61F3A">
        <w:rPr>
          <w:b/>
          <w:bCs/>
          <w:i/>
          <w:iCs/>
          <w:color w:val="auto"/>
          <w:sz w:val="20"/>
          <w:szCs w:val="20"/>
        </w:rPr>
        <w:t>INFOEM/DGTAIPGA/078/2024,</w:t>
      </w:r>
      <w:r w:rsidRPr="00C61F3A">
        <w:rPr>
          <w:i/>
          <w:iCs/>
          <w:color w:val="auto"/>
          <w:sz w:val="20"/>
          <w:szCs w:val="20"/>
        </w:rPr>
        <w:t xml:space="preserve"> remitido a esta Unidad de Transparencia e identificada con el nombre de archivo: </w:t>
      </w:r>
      <w:r w:rsidRPr="00C61F3A">
        <w:rPr>
          <w:b/>
          <w:bCs/>
          <w:i/>
          <w:iCs/>
          <w:color w:val="auto"/>
          <w:sz w:val="20"/>
          <w:szCs w:val="20"/>
        </w:rPr>
        <w:t>“RespuestaSolicitud00700DGTAIPGA”.</w:t>
      </w:r>
    </w:p>
    <w:p w14:paraId="672B609F" w14:textId="77777777" w:rsidR="00805FD3" w:rsidRPr="00C61F3A" w:rsidRDefault="00805FD3" w:rsidP="00BE170F">
      <w:pPr>
        <w:pStyle w:val="Prrafodelista"/>
        <w:spacing w:line="360" w:lineRule="auto"/>
        <w:ind w:left="567" w:right="616"/>
        <w:rPr>
          <w:i/>
          <w:iCs/>
          <w:color w:val="auto"/>
          <w:sz w:val="20"/>
          <w:szCs w:val="20"/>
        </w:rPr>
      </w:pPr>
    </w:p>
    <w:p w14:paraId="28A43B9E" w14:textId="1C458DCC" w:rsidR="00805FD3" w:rsidRPr="00C61F3A" w:rsidRDefault="00805FD3" w:rsidP="00BE170F">
      <w:pPr>
        <w:pStyle w:val="Prrafodelista"/>
        <w:spacing w:line="360" w:lineRule="auto"/>
        <w:ind w:left="567" w:right="616"/>
        <w:rPr>
          <w:i/>
          <w:iCs/>
          <w:color w:val="auto"/>
          <w:sz w:val="20"/>
          <w:szCs w:val="20"/>
        </w:rPr>
      </w:pPr>
      <w:r w:rsidRPr="00C61F3A">
        <w:rPr>
          <w:i/>
          <w:iCs/>
          <w:color w:val="auto"/>
          <w:sz w:val="20"/>
          <w:szCs w:val="20"/>
        </w:rPr>
        <w:lastRenderedPageBreak/>
        <w:t xml:space="preserve">Cabe agregar que derivado del estudio exhaustivo a su solicitud de acceso a la información pública de cita, </w:t>
      </w:r>
      <w:r w:rsidRPr="00C61F3A">
        <w:rPr>
          <w:b/>
          <w:bCs/>
          <w:i/>
          <w:iCs/>
          <w:color w:val="auto"/>
          <w:sz w:val="20"/>
          <w:szCs w:val="20"/>
        </w:rPr>
        <w:t xml:space="preserve">se advierte que la misma NO estriba en el ejercicio del derecho humano de acceso a la información pública, </w:t>
      </w:r>
      <w:r w:rsidRPr="00C61F3A">
        <w:rPr>
          <w:i/>
          <w:iCs/>
          <w:color w:val="auto"/>
          <w:sz w:val="20"/>
          <w:szCs w:val="20"/>
        </w:rPr>
        <w:t>con la finalidad de obtener algún documento o similar, generado por este Sujeto Obligado en razón del cúmulo de funciones y atribuciones establecidas en el artículo 36 de la Ley de Transparencia y Acceso a la Información Pública del Estado de México y Municipios, así como en el Reglamento Interior del Instituto de Transparencia, Acceso a la Información Pública y Protección de Datos Personales del Estado de México y Municipios.</w:t>
      </w:r>
    </w:p>
    <w:p w14:paraId="276BD408" w14:textId="77777777" w:rsidR="00805FD3" w:rsidRPr="00C61F3A" w:rsidRDefault="00805FD3" w:rsidP="00BE170F">
      <w:pPr>
        <w:pStyle w:val="Prrafodelista"/>
        <w:spacing w:line="360" w:lineRule="auto"/>
        <w:ind w:left="567" w:right="616"/>
        <w:rPr>
          <w:i/>
          <w:iCs/>
          <w:color w:val="auto"/>
          <w:sz w:val="20"/>
          <w:szCs w:val="20"/>
        </w:rPr>
      </w:pPr>
    </w:p>
    <w:p w14:paraId="3FFCE3C6" w14:textId="2B26E83A" w:rsidR="00805FD3" w:rsidRPr="00C61F3A" w:rsidRDefault="00805FD3" w:rsidP="00BE170F">
      <w:pPr>
        <w:pStyle w:val="Prrafodelista"/>
        <w:spacing w:line="360" w:lineRule="auto"/>
        <w:ind w:left="567" w:right="616"/>
        <w:rPr>
          <w:i/>
          <w:iCs/>
          <w:color w:val="auto"/>
          <w:sz w:val="20"/>
          <w:szCs w:val="20"/>
        </w:rPr>
      </w:pPr>
      <w:r w:rsidRPr="00C61F3A">
        <w:rPr>
          <w:i/>
          <w:iCs/>
          <w:color w:val="auto"/>
          <w:sz w:val="20"/>
          <w:szCs w:val="20"/>
        </w:rPr>
        <w:t>En ese sentido, no debe perderse de vista que el derecho humano de acceso a la información pública establecido en los artículos 6, primer y segundo párrafos de la Constitución Política de los Estados Unidos Mexicanos; artículo 5, vigésimo cuarto, vigésimo octavo y trigésimo primero párrafos de la Constitución Política del Estado Libre y Soberano de México; y el artículo 4, primer párrafo de la Ley de Transparencia y Acceso a la Información Pública del Estado de México y Municipios; preceptos normativos que se transcriben a continuación:</w:t>
      </w:r>
    </w:p>
    <w:p w14:paraId="0DBD1B8F" w14:textId="77777777" w:rsidR="00D7415C" w:rsidRPr="00C61F3A" w:rsidRDefault="00D7415C" w:rsidP="00BE170F">
      <w:pPr>
        <w:pStyle w:val="Prrafodelista"/>
        <w:spacing w:line="360" w:lineRule="auto"/>
        <w:ind w:left="567" w:right="616"/>
        <w:rPr>
          <w:b/>
          <w:bCs/>
          <w:i/>
          <w:iCs/>
          <w:color w:val="auto"/>
          <w:sz w:val="18"/>
          <w:szCs w:val="18"/>
        </w:rPr>
      </w:pPr>
      <w:r w:rsidRPr="00C61F3A">
        <w:rPr>
          <w:b/>
          <w:bCs/>
          <w:i/>
          <w:iCs/>
          <w:color w:val="auto"/>
          <w:sz w:val="18"/>
          <w:szCs w:val="18"/>
        </w:rPr>
        <w:t>“Constitución Política del Estado Libre y Soberano de México”.</w:t>
      </w:r>
    </w:p>
    <w:p w14:paraId="23A399D0" w14:textId="77777777" w:rsidR="00D7415C" w:rsidRPr="00C61F3A" w:rsidRDefault="00D7415C" w:rsidP="00BE170F">
      <w:pPr>
        <w:pStyle w:val="Prrafodelista"/>
        <w:spacing w:line="360" w:lineRule="auto"/>
        <w:ind w:left="567" w:right="616"/>
        <w:rPr>
          <w:i/>
          <w:iCs/>
          <w:color w:val="auto"/>
          <w:sz w:val="18"/>
          <w:szCs w:val="18"/>
        </w:rPr>
      </w:pPr>
    </w:p>
    <w:p w14:paraId="10F07141" w14:textId="5DCED1E5" w:rsidR="00D7415C" w:rsidRPr="00C61F3A" w:rsidRDefault="00D7415C" w:rsidP="00BE170F">
      <w:pPr>
        <w:pStyle w:val="Prrafodelista"/>
        <w:spacing w:line="360" w:lineRule="auto"/>
        <w:ind w:left="567" w:right="616"/>
        <w:rPr>
          <w:b/>
          <w:bCs/>
          <w:i/>
          <w:iCs/>
          <w:color w:val="auto"/>
          <w:sz w:val="18"/>
          <w:szCs w:val="18"/>
        </w:rPr>
      </w:pPr>
      <w:r w:rsidRPr="00C61F3A">
        <w:rPr>
          <w:b/>
          <w:bCs/>
          <w:i/>
          <w:iCs/>
          <w:color w:val="auto"/>
          <w:sz w:val="18"/>
          <w:szCs w:val="18"/>
        </w:rPr>
        <w:t>Artículo 6o.</w:t>
      </w:r>
      <w:r w:rsidRPr="00C61F3A">
        <w:rPr>
          <w:i/>
          <w:iCs/>
          <w:color w:val="auto"/>
          <w:sz w:val="18"/>
          <w:szCs w:val="18"/>
        </w:rPr>
        <w:t xml:space="preserve"> La manifestación de las ideas no será objeto de ninguna inquisición judicial o administrativa, sino en el caso de que ataque a la moral, la vida privada o de los derechos de terceros, provoque algún delito, o perturbe el orden público; el derecho de réplica será ejercido en los términos dispuestos por la ley. </w:t>
      </w:r>
      <w:r w:rsidRPr="00C61F3A">
        <w:rPr>
          <w:b/>
          <w:bCs/>
          <w:i/>
          <w:iCs/>
          <w:color w:val="auto"/>
          <w:sz w:val="18"/>
          <w:szCs w:val="18"/>
        </w:rPr>
        <w:t>El derecho a la información será garantizado por el Estado.</w:t>
      </w:r>
    </w:p>
    <w:p w14:paraId="42501BEF" w14:textId="77777777" w:rsidR="00D7415C" w:rsidRPr="00C61F3A" w:rsidRDefault="00D7415C" w:rsidP="00BE170F">
      <w:pPr>
        <w:pStyle w:val="Prrafodelista"/>
        <w:spacing w:line="360" w:lineRule="auto"/>
        <w:ind w:left="567" w:right="616"/>
        <w:rPr>
          <w:b/>
          <w:bCs/>
          <w:i/>
          <w:iCs/>
          <w:color w:val="auto"/>
          <w:sz w:val="18"/>
          <w:szCs w:val="18"/>
        </w:rPr>
      </w:pPr>
    </w:p>
    <w:p w14:paraId="65A6305D" w14:textId="728CCEF5" w:rsidR="00D7415C" w:rsidRPr="00C61F3A" w:rsidRDefault="00D7415C" w:rsidP="00BE170F">
      <w:pPr>
        <w:pStyle w:val="Prrafodelista"/>
        <w:spacing w:line="360" w:lineRule="auto"/>
        <w:ind w:left="567" w:right="616"/>
        <w:rPr>
          <w:b/>
          <w:bCs/>
          <w:i/>
          <w:iCs/>
          <w:color w:val="auto"/>
          <w:sz w:val="18"/>
          <w:szCs w:val="18"/>
        </w:rPr>
      </w:pPr>
      <w:r w:rsidRPr="00C61F3A">
        <w:rPr>
          <w:b/>
          <w:bCs/>
          <w:i/>
          <w:iCs/>
          <w:color w:val="auto"/>
          <w:sz w:val="18"/>
          <w:szCs w:val="18"/>
        </w:rPr>
        <w:t>Toda persona tiene derecho al libre acceso a información plural y oportuna, así como a buscar, recibir y difundir información e ideas de toda índole por cualquier medio de expresión.</w:t>
      </w:r>
    </w:p>
    <w:p w14:paraId="713D3B3E" w14:textId="77777777" w:rsidR="00D7415C" w:rsidRPr="00C61F3A" w:rsidRDefault="00D7415C" w:rsidP="00BE170F">
      <w:pPr>
        <w:pStyle w:val="Prrafodelista"/>
        <w:spacing w:line="360" w:lineRule="auto"/>
        <w:ind w:left="567" w:right="616"/>
        <w:rPr>
          <w:i/>
          <w:iCs/>
          <w:color w:val="auto"/>
          <w:sz w:val="18"/>
          <w:szCs w:val="18"/>
        </w:rPr>
      </w:pPr>
    </w:p>
    <w:p w14:paraId="6E3FF671" w14:textId="1EEC7B27" w:rsidR="00D7415C" w:rsidRPr="00C61F3A" w:rsidRDefault="00D7415C" w:rsidP="00BE170F">
      <w:pPr>
        <w:pStyle w:val="Prrafodelista"/>
        <w:spacing w:line="360" w:lineRule="auto"/>
        <w:ind w:left="567" w:right="616"/>
        <w:rPr>
          <w:b/>
          <w:bCs/>
          <w:i/>
          <w:iCs/>
          <w:color w:val="auto"/>
          <w:sz w:val="18"/>
          <w:szCs w:val="18"/>
        </w:rPr>
      </w:pPr>
      <w:r w:rsidRPr="00C61F3A">
        <w:rPr>
          <w:b/>
          <w:bCs/>
          <w:i/>
          <w:iCs/>
          <w:color w:val="auto"/>
          <w:sz w:val="18"/>
          <w:szCs w:val="18"/>
        </w:rPr>
        <w:t>Constitución Política del Estado Libre y Soberano de México.</w:t>
      </w:r>
    </w:p>
    <w:p w14:paraId="3D5189EC" w14:textId="77777777" w:rsidR="00E74CF3" w:rsidRPr="00C61F3A" w:rsidRDefault="00E74CF3" w:rsidP="00BE170F">
      <w:pPr>
        <w:pStyle w:val="Prrafodelista"/>
        <w:spacing w:line="360" w:lineRule="auto"/>
        <w:ind w:left="567" w:right="616"/>
        <w:rPr>
          <w:b/>
          <w:bCs/>
          <w:i/>
          <w:iCs/>
          <w:color w:val="auto"/>
          <w:sz w:val="18"/>
          <w:szCs w:val="18"/>
        </w:rPr>
      </w:pPr>
      <w:r w:rsidRPr="00C61F3A">
        <w:rPr>
          <w:b/>
          <w:bCs/>
          <w:i/>
          <w:iCs/>
          <w:color w:val="auto"/>
          <w:sz w:val="18"/>
          <w:szCs w:val="18"/>
        </w:rPr>
        <w:t>Artículo 5. (...)</w:t>
      </w:r>
    </w:p>
    <w:p w14:paraId="2EC44A10" w14:textId="58E0A2C6" w:rsidR="00E74CF3" w:rsidRPr="00C61F3A" w:rsidRDefault="00E74CF3" w:rsidP="00BE170F">
      <w:pPr>
        <w:pStyle w:val="Prrafodelista"/>
        <w:spacing w:line="360" w:lineRule="auto"/>
        <w:ind w:left="567" w:right="616"/>
        <w:rPr>
          <w:i/>
          <w:iCs/>
          <w:color w:val="auto"/>
          <w:sz w:val="18"/>
          <w:szCs w:val="18"/>
        </w:rPr>
      </w:pPr>
      <w:r w:rsidRPr="00C61F3A">
        <w:rPr>
          <w:i/>
          <w:iCs/>
          <w:color w:val="auto"/>
          <w:sz w:val="18"/>
          <w:szCs w:val="18"/>
        </w:rPr>
        <w:t>Toda persona en el Estado de México, tiene derecho al libre acceso a la información plural y oportuna, así como a buscar recibir y difundir información e ideas de toda índole por cualquier medio de expresión.</w:t>
      </w:r>
    </w:p>
    <w:p w14:paraId="3B5A1690" w14:textId="77777777" w:rsidR="00E74CF3" w:rsidRPr="00C61F3A" w:rsidRDefault="00E74CF3" w:rsidP="00BE170F">
      <w:pPr>
        <w:pStyle w:val="Prrafodelista"/>
        <w:spacing w:line="360" w:lineRule="auto"/>
        <w:ind w:left="567" w:right="616"/>
        <w:rPr>
          <w:i/>
          <w:iCs/>
          <w:color w:val="auto"/>
          <w:sz w:val="18"/>
          <w:szCs w:val="18"/>
        </w:rPr>
      </w:pPr>
      <w:r w:rsidRPr="00C61F3A">
        <w:rPr>
          <w:i/>
          <w:iCs/>
          <w:color w:val="auto"/>
          <w:sz w:val="18"/>
          <w:szCs w:val="18"/>
        </w:rPr>
        <w:t>( ... )</w:t>
      </w:r>
    </w:p>
    <w:p w14:paraId="35BA4841" w14:textId="3D35687E" w:rsidR="00E74CF3" w:rsidRPr="00C61F3A" w:rsidRDefault="00E74CF3" w:rsidP="00BE170F">
      <w:pPr>
        <w:pStyle w:val="Prrafodelista"/>
        <w:spacing w:line="360" w:lineRule="auto"/>
        <w:ind w:left="567" w:right="616"/>
        <w:rPr>
          <w:i/>
          <w:iCs/>
          <w:color w:val="auto"/>
          <w:sz w:val="18"/>
          <w:szCs w:val="18"/>
        </w:rPr>
      </w:pPr>
      <w:r w:rsidRPr="00C61F3A">
        <w:rPr>
          <w:i/>
          <w:iCs/>
          <w:color w:val="auto"/>
          <w:sz w:val="18"/>
          <w:szCs w:val="18"/>
        </w:rPr>
        <w:t>El derecho a la información será garantizado por el Estado. La ley establecerá las previsiones que permitan asegurar la protección, el respeto y la difusión de este derecho.</w:t>
      </w:r>
    </w:p>
    <w:p w14:paraId="3E18C73F" w14:textId="77777777" w:rsidR="00E74CF3" w:rsidRPr="00C61F3A" w:rsidRDefault="00E74CF3" w:rsidP="00BE170F">
      <w:pPr>
        <w:pStyle w:val="Prrafodelista"/>
        <w:spacing w:line="360" w:lineRule="auto"/>
        <w:ind w:left="567" w:right="616"/>
        <w:rPr>
          <w:i/>
          <w:iCs/>
          <w:color w:val="auto"/>
          <w:sz w:val="18"/>
          <w:szCs w:val="18"/>
        </w:rPr>
      </w:pPr>
    </w:p>
    <w:p w14:paraId="45CD085C" w14:textId="0BDD9015" w:rsidR="00E74CF3" w:rsidRPr="00C61F3A" w:rsidRDefault="00E74CF3" w:rsidP="00BE170F">
      <w:pPr>
        <w:pStyle w:val="Prrafodelista"/>
        <w:spacing w:line="360" w:lineRule="auto"/>
        <w:ind w:left="567" w:right="616"/>
        <w:rPr>
          <w:i/>
          <w:iCs/>
          <w:color w:val="auto"/>
          <w:sz w:val="18"/>
          <w:szCs w:val="18"/>
        </w:rPr>
      </w:pPr>
      <w:r w:rsidRPr="00C61F3A">
        <w:rPr>
          <w:i/>
          <w:iCs/>
          <w:color w:val="auto"/>
          <w:sz w:val="18"/>
          <w:szCs w:val="18"/>
        </w:rPr>
        <w:t>Para garantizar el ejercicio del derecho de transparencia, acceso a la información pública y protección de datos personales, los poderes públicos y los organismos autónomos, transparentarán sus acciones, en términos de las disposiciones aplicables, la información será oportuna, clara, veraz y de fácil acceso.</w:t>
      </w:r>
    </w:p>
    <w:p w14:paraId="65C67B13" w14:textId="77777777" w:rsidR="00E74CF3" w:rsidRPr="00C61F3A" w:rsidRDefault="00E74CF3" w:rsidP="00BE170F">
      <w:pPr>
        <w:pStyle w:val="Prrafodelista"/>
        <w:spacing w:line="360" w:lineRule="auto"/>
        <w:ind w:left="567" w:right="616"/>
        <w:rPr>
          <w:i/>
          <w:iCs/>
          <w:color w:val="auto"/>
          <w:sz w:val="18"/>
          <w:szCs w:val="18"/>
        </w:rPr>
      </w:pPr>
      <w:r w:rsidRPr="00C61F3A">
        <w:rPr>
          <w:i/>
          <w:iCs/>
          <w:color w:val="auto"/>
          <w:sz w:val="18"/>
          <w:szCs w:val="18"/>
        </w:rPr>
        <w:t>( ... )</w:t>
      </w:r>
    </w:p>
    <w:p w14:paraId="1C633899" w14:textId="77777777" w:rsidR="00E74CF3" w:rsidRPr="00C61F3A" w:rsidRDefault="00E74CF3" w:rsidP="00BE170F">
      <w:pPr>
        <w:pStyle w:val="Prrafodelista"/>
        <w:spacing w:line="360" w:lineRule="auto"/>
        <w:ind w:left="567" w:right="616"/>
        <w:rPr>
          <w:i/>
          <w:iCs/>
          <w:color w:val="auto"/>
          <w:sz w:val="18"/>
          <w:szCs w:val="18"/>
        </w:rPr>
      </w:pPr>
    </w:p>
    <w:p w14:paraId="0A6C76F3" w14:textId="4DED1C4B" w:rsidR="00E74CF3" w:rsidRPr="00C61F3A" w:rsidRDefault="00E74CF3" w:rsidP="00BE170F">
      <w:pPr>
        <w:pStyle w:val="Prrafodelista"/>
        <w:spacing w:line="360" w:lineRule="auto"/>
        <w:ind w:left="567" w:right="616"/>
        <w:rPr>
          <w:b/>
          <w:bCs/>
          <w:i/>
          <w:iCs/>
          <w:color w:val="auto"/>
          <w:sz w:val="18"/>
          <w:szCs w:val="18"/>
        </w:rPr>
      </w:pPr>
      <w:r w:rsidRPr="00C61F3A">
        <w:rPr>
          <w:b/>
          <w:bCs/>
          <w:i/>
          <w:iCs/>
          <w:color w:val="auto"/>
          <w:sz w:val="18"/>
          <w:szCs w:val="18"/>
        </w:rPr>
        <w:t>Ley de Transparencia y Acceso a la Información Pública del Estado de México y Municipios.</w:t>
      </w:r>
    </w:p>
    <w:p w14:paraId="6D9B351C" w14:textId="77777777" w:rsidR="00E74CF3" w:rsidRPr="00C61F3A" w:rsidRDefault="00E74CF3" w:rsidP="00BE170F">
      <w:pPr>
        <w:pStyle w:val="Prrafodelista"/>
        <w:spacing w:line="360" w:lineRule="auto"/>
        <w:ind w:left="567" w:right="616"/>
        <w:rPr>
          <w:i/>
          <w:iCs/>
          <w:color w:val="auto"/>
          <w:sz w:val="18"/>
          <w:szCs w:val="18"/>
        </w:rPr>
      </w:pPr>
    </w:p>
    <w:p w14:paraId="7E1C0318" w14:textId="5CF2E72B" w:rsidR="00E74CF3" w:rsidRPr="00C61F3A" w:rsidRDefault="00E74CF3" w:rsidP="00BE170F">
      <w:pPr>
        <w:pStyle w:val="Prrafodelista"/>
        <w:spacing w:line="360" w:lineRule="auto"/>
        <w:ind w:left="567" w:right="616"/>
        <w:rPr>
          <w:b/>
          <w:bCs/>
          <w:i/>
          <w:iCs/>
          <w:color w:val="auto"/>
          <w:sz w:val="18"/>
          <w:szCs w:val="18"/>
        </w:rPr>
      </w:pPr>
      <w:r w:rsidRPr="00C61F3A">
        <w:rPr>
          <w:b/>
          <w:bCs/>
          <w:i/>
          <w:iCs/>
          <w:color w:val="auto"/>
          <w:sz w:val="18"/>
          <w:szCs w:val="18"/>
        </w:rPr>
        <w:t>Artículo 4. ( ...)</w:t>
      </w:r>
    </w:p>
    <w:p w14:paraId="0B1C9C06" w14:textId="58B65982" w:rsidR="0003469B" w:rsidRPr="00C61F3A" w:rsidRDefault="00E74CF3" w:rsidP="00BE170F">
      <w:pPr>
        <w:pStyle w:val="Prrafodelista"/>
        <w:spacing w:line="360" w:lineRule="auto"/>
        <w:ind w:left="567" w:right="616"/>
        <w:rPr>
          <w:i/>
          <w:iCs/>
          <w:color w:val="auto"/>
          <w:sz w:val="18"/>
          <w:szCs w:val="18"/>
        </w:rPr>
      </w:pPr>
      <w:r w:rsidRPr="00C61F3A">
        <w:rPr>
          <w:i/>
          <w:iCs/>
          <w:color w:val="auto"/>
          <w:sz w:val="18"/>
          <w:szCs w:val="18"/>
        </w:rPr>
        <w:t>Toda la información generada, obtenida, adquirida, transformada, administrada o en posesión de los sujetos obligados es pública y accesible de manera permanente a cualquier persona, en los términos y condiciones que se establezcan en los tratados internacionales de los que el Estado mexicano sea parte, en la Ley General, la presente Ley y demás disposiciones de la materia, privilegiando el principio de máxima publicidad de la información. Solo podrá ser clasificada excepcionalmente como reservada temporalmente por razones de interés público, en los términos de las causas legítimas y estrictamente necesarias previstas por esta Ley.</w:t>
      </w:r>
    </w:p>
    <w:p w14:paraId="5C09A0EB" w14:textId="77777777" w:rsidR="0003469B" w:rsidRPr="00C61F3A" w:rsidRDefault="0003469B" w:rsidP="00BE170F">
      <w:pPr>
        <w:pStyle w:val="Prrafodelista"/>
        <w:spacing w:line="360" w:lineRule="auto"/>
        <w:ind w:left="567" w:right="616"/>
        <w:rPr>
          <w:i/>
          <w:iCs/>
          <w:color w:val="auto"/>
          <w:sz w:val="20"/>
          <w:szCs w:val="20"/>
        </w:rPr>
      </w:pPr>
    </w:p>
    <w:p w14:paraId="7180B202" w14:textId="12AC9184" w:rsidR="0003469B" w:rsidRPr="00C61F3A" w:rsidRDefault="0003469B" w:rsidP="00BE170F">
      <w:pPr>
        <w:pStyle w:val="Prrafodelista"/>
        <w:spacing w:line="360" w:lineRule="auto"/>
        <w:ind w:left="567" w:right="616"/>
        <w:rPr>
          <w:i/>
          <w:iCs/>
          <w:color w:val="auto"/>
          <w:sz w:val="20"/>
          <w:szCs w:val="20"/>
        </w:rPr>
      </w:pPr>
      <w:r w:rsidRPr="00C61F3A">
        <w:rPr>
          <w:i/>
          <w:iCs/>
          <w:color w:val="auto"/>
          <w:sz w:val="20"/>
          <w:szCs w:val="20"/>
        </w:rPr>
        <w:t>En este mismo orden de ideas resulta procedente precisar que el derecho de petición, se encuentra estipulado en el Artículo Octavo de la Constitución Política de los Estado Unidos Mexicanos; mismo que se ve robustecido en el Artículo 135 de del Código de Procedimientos Administrativos del Estado de México, los cuales se citan a continuación:</w:t>
      </w:r>
    </w:p>
    <w:p w14:paraId="4FA85CAB" w14:textId="77777777" w:rsidR="00F72D2E" w:rsidRPr="00C61F3A" w:rsidRDefault="00F72D2E" w:rsidP="00BE170F">
      <w:pPr>
        <w:pStyle w:val="Prrafodelista"/>
        <w:spacing w:line="360" w:lineRule="auto"/>
        <w:ind w:left="567" w:right="616"/>
        <w:rPr>
          <w:i/>
          <w:iCs/>
          <w:color w:val="auto"/>
          <w:sz w:val="20"/>
          <w:szCs w:val="20"/>
        </w:rPr>
      </w:pPr>
    </w:p>
    <w:p w14:paraId="1A5B7D68" w14:textId="77777777" w:rsidR="00F72D2E" w:rsidRPr="00C61F3A" w:rsidRDefault="00F72D2E" w:rsidP="00BE170F">
      <w:pPr>
        <w:pStyle w:val="Prrafodelista"/>
        <w:spacing w:line="360" w:lineRule="auto"/>
        <w:ind w:left="567" w:right="616"/>
        <w:rPr>
          <w:b/>
          <w:bCs/>
          <w:i/>
          <w:iCs/>
          <w:color w:val="auto"/>
          <w:sz w:val="18"/>
          <w:szCs w:val="18"/>
        </w:rPr>
      </w:pPr>
      <w:r w:rsidRPr="00C61F3A">
        <w:rPr>
          <w:b/>
          <w:bCs/>
          <w:i/>
          <w:iCs/>
          <w:color w:val="auto"/>
          <w:sz w:val="18"/>
          <w:szCs w:val="18"/>
        </w:rPr>
        <w:t>“Constitución Política de los Estados Unidos Mexicanos”</w:t>
      </w:r>
    </w:p>
    <w:p w14:paraId="450958DC" w14:textId="145CF164" w:rsidR="00F72D2E" w:rsidRPr="00C61F3A" w:rsidRDefault="00F72D2E" w:rsidP="00BE170F">
      <w:pPr>
        <w:pStyle w:val="Prrafodelista"/>
        <w:spacing w:line="360" w:lineRule="auto"/>
        <w:ind w:left="567" w:right="616"/>
        <w:rPr>
          <w:i/>
          <w:iCs/>
          <w:color w:val="auto"/>
          <w:sz w:val="18"/>
          <w:szCs w:val="18"/>
          <w:u w:val="single"/>
        </w:rPr>
      </w:pPr>
      <w:r w:rsidRPr="00C61F3A">
        <w:rPr>
          <w:b/>
          <w:bCs/>
          <w:i/>
          <w:iCs/>
          <w:color w:val="auto"/>
          <w:sz w:val="18"/>
          <w:szCs w:val="18"/>
        </w:rPr>
        <w:t>Artículo 8o.</w:t>
      </w:r>
      <w:r w:rsidRPr="00C61F3A">
        <w:rPr>
          <w:i/>
          <w:iCs/>
          <w:color w:val="auto"/>
          <w:sz w:val="18"/>
          <w:szCs w:val="18"/>
        </w:rPr>
        <w:t xml:space="preserve"> Los funcionarios y empleados públicos respetarán el ejercicio del </w:t>
      </w:r>
      <w:r w:rsidRPr="00C61F3A">
        <w:rPr>
          <w:i/>
          <w:iCs/>
          <w:color w:val="auto"/>
          <w:sz w:val="18"/>
          <w:szCs w:val="18"/>
          <w:u w:val="single"/>
        </w:rPr>
        <w:t>derecho de petición</w:t>
      </w:r>
      <w:r w:rsidRPr="00C61F3A">
        <w:rPr>
          <w:i/>
          <w:iCs/>
          <w:color w:val="auto"/>
          <w:sz w:val="18"/>
          <w:szCs w:val="18"/>
        </w:rPr>
        <w:t xml:space="preserve">, siempre que ésta se formule por escrito, de manera pacífica y respetuosa; pero en materia política sólo podrán hacer uso de ese derecho los ciudadanos de la República. </w:t>
      </w:r>
      <w:r w:rsidRPr="00C61F3A">
        <w:rPr>
          <w:i/>
          <w:iCs/>
          <w:color w:val="auto"/>
          <w:sz w:val="18"/>
          <w:szCs w:val="18"/>
          <w:u w:val="single"/>
        </w:rPr>
        <w:t>A toda petición deberá recaer un acuerdo escrito de la autoridad a quien se haya dirigido, la cual tiene obligación de hacerlo conocer en breve término al peticionario.</w:t>
      </w:r>
    </w:p>
    <w:p w14:paraId="7D5C1700" w14:textId="77777777" w:rsidR="00F72D2E" w:rsidRPr="00C61F3A" w:rsidRDefault="00F72D2E" w:rsidP="00BE170F">
      <w:pPr>
        <w:pStyle w:val="Prrafodelista"/>
        <w:spacing w:line="360" w:lineRule="auto"/>
        <w:ind w:left="567" w:right="616"/>
        <w:rPr>
          <w:i/>
          <w:iCs/>
          <w:color w:val="auto"/>
          <w:sz w:val="18"/>
          <w:szCs w:val="18"/>
          <w:u w:val="single"/>
        </w:rPr>
      </w:pPr>
    </w:p>
    <w:p w14:paraId="12A2D0F5" w14:textId="77777777" w:rsidR="00F72D2E" w:rsidRPr="00C61F3A" w:rsidRDefault="00F72D2E" w:rsidP="00BE170F">
      <w:pPr>
        <w:pStyle w:val="Prrafodelista"/>
        <w:spacing w:line="360" w:lineRule="auto"/>
        <w:ind w:left="567" w:right="616"/>
        <w:rPr>
          <w:b/>
          <w:bCs/>
          <w:i/>
          <w:iCs/>
          <w:color w:val="auto"/>
          <w:sz w:val="18"/>
          <w:szCs w:val="18"/>
        </w:rPr>
      </w:pPr>
      <w:r w:rsidRPr="00C61F3A">
        <w:rPr>
          <w:b/>
          <w:bCs/>
          <w:i/>
          <w:iCs/>
          <w:color w:val="auto"/>
          <w:sz w:val="18"/>
          <w:szCs w:val="18"/>
        </w:rPr>
        <w:t>“Código de Procedimientos Administrativos del Estado de México”</w:t>
      </w:r>
    </w:p>
    <w:p w14:paraId="6746F32B" w14:textId="77777777" w:rsidR="00F72D2E" w:rsidRPr="00C61F3A" w:rsidRDefault="00F72D2E" w:rsidP="00BE170F">
      <w:pPr>
        <w:pStyle w:val="Prrafodelista"/>
        <w:spacing w:line="360" w:lineRule="auto"/>
        <w:ind w:left="567" w:right="616"/>
        <w:rPr>
          <w:i/>
          <w:iCs/>
          <w:color w:val="auto"/>
          <w:sz w:val="18"/>
          <w:szCs w:val="18"/>
        </w:rPr>
      </w:pPr>
    </w:p>
    <w:p w14:paraId="29328175" w14:textId="34C1D56E" w:rsidR="00F72D2E" w:rsidRPr="00C61F3A" w:rsidRDefault="00F72D2E" w:rsidP="00BE170F">
      <w:pPr>
        <w:pStyle w:val="Prrafodelista"/>
        <w:spacing w:line="360" w:lineRule="auto"/>
        <w:ind w:left="567" w:right="616"/>
        <w:rPr>
          <w:i/>
          <w:iCs/>
          <w:color w:val="auto"/>
          <w:sz w:val="18"/>
          <w:szCs w:val="18"/>
          <w:u w:val="single"/>
        </w:rPr>
      </w:pPr>
      <w:r w:rsidRPr="00C61F3A">
        <w:rPr>
          <w:i/>
          <w:iCs/>
          <w:color w:val="auto"/>
          <w:sz w:val="18"/>
          <w:szCs w:val="18"/>
        </w:rPr>
        <w:t xml:space="preserve">Artículo 135.- </w:t>
      </w:r>
      <w:r w:rsidRPr="00C61F3A">
        <w:rPr>
          <w:i/>
          <w:iCs/>
          <w:color w:val="auto"/>
          <w:sz w:val="18"/>
          <w:szCs w:val="18"/>
          <w:u w:val="single"/>
        </w:rPr>
        <w:t>Las peticiones que los particulares hagan a las autoridades</w:t>
      </w:r>
      <w:r w:rsidRPr="00C61F3A">
        <w:rPr>
          <w:i/>
          <w:iCs/>
          <w:color w:val="auto"/>
          <w:sz w:val="18"/>
          <w:szCs w:val="18"/>
        </w:rPr>
        <w:t xml:space="preserve"> del Poder Ejecutivo del Estado, de los municipios y de los organismos descentralizados con funciones de autoridad, de carácter estatal o municipal, </w:t>
      </w:r>
      <w:r w:rsidRPr="00C61F3A">
        <w:rPr>
          <w:i/>
          <w:iCs/>
          <w:color w:val="auto"/>
          <w:sz w:val="18"/>
          <w:szCs w:val="18"/>
        </w:rPr>
        <w:lastRenderedPageBreak/>
        <w:t xml:space="preserve">deberán ser resueltas en forma escrita y notificada, dentro de un plazo que no exceda de quince días hábiles posteriores a la fecha de su presentación, </w:t>
      </w:r>
      <w:r w:rsidRPr="00C61F3A">
        <w:rPr>
          <w:i/>
          <w:iCs/>
          <w:color w:val="auto"/>
          <w:sz w:val="18"/>
          <w:szCs w:val="18"/>
          <w:u w:val="single"/>
        </w:rPr>
        <w:t>a excepción de los trámites que tengan plazo establecido en la Ley de la materia, los cuales deberán ser resueltos en el término señalado para tal efecto…</w:t>
      </w:r>
    </w:p>
    <w:p w14:paraId="7D3323B4" w14:textId="77777777" w:rsidR="00D76D8D" w:rsidRPr="00C61F3A" w:rsidRDefault="00D76D8D" w:rsidP="00BE170F">
      <w:pPr>
        <w:pStyle w:val="Prrafodelista"/>
        <w:spacing w:line="360" w:lineRule="auto"/>
        <w:ind w:left="567" w:right="616"/>
        <w:rPr>
          <w:i/>
          <w:iCs/>
          <w:color w:val="auto"/>
          <w:sz w:val="18"/>
          <w:szCs w:val="18"/>
          <w:u w:val="single"/>
        </w:rPr>
      </w:pPr>
    </w:p>
    <w:p w14:paraId="1390DDE7" w14:textId="2AF9F771" w:rsidR="00D76D8D" w:rsidRPr="00C61F3A" w:rsidRDefault="00D76D8D" w:rsidP="00BE170F">
      <w:pPr>
        <w:pStyle w:val="Prrafodelista"/>
        <w:spacing w:line="360" w:lineRule="auto"/>
        <w:ind w:left="567" w:right="616"/>
        <w:rPr>
          <w:i/>
          <w:iCs/>
          <w:color w:val="auto"/>
          <w:sz w:val="20"/>
          <w:szCs w:val="20"/>
        </w:rPr>
      </w:pPr>
      <w:r w:rsidRPr="00C61F3A">
        <w:rPr>
          <w:i/>
          <w:iCs/>
          <w:color w:val="auto"/>
          <w:sz w:val="20"/>
          <w:szCs w:val="20"/>
        </w:rPr>
        <w:t xml:space="preserve">Tal y como ha quedado estipulado con los Artículos citados con antelación, resulta pertinente traer a colación, que ambos derechos si bien es cierto tienen similitudes, también resulta cierto que ambos nacen de distintos artículos constitucionales, y por consecuencia que las disposiciones normativas que rigen el actuar de cada uno sean completamente diferentes; ya que el derecho de acceso a la información se rige por la Ley de Transparencia Acceso a la Información Pública del Estado de México y Municipios, mientras que el </w:t>
      </w:r>
      <w:r w:rsidRPr="00C61F3A">
        <w:rPr>
          <w:i/>
          <w:iCs/>
          <w:color w:val="auto"/>
          <w:sz w:val="20"/>
          <w:szCs w:val="20"/>
          <w:u w:val="single"/>
        </w:rPr>
        <w:t>derecho de petición se rige por el Código de Procedimientos Administrativos del Estado de México, que constituye simplemente la posibilidad de todo gobernado de hacer un planteamiento especifico a la autoridad</w:t>
      </w:r>
      <w:r w:rsidRPr="00C61F3A">
        <w:rPr>
          <w:i/>
          <w:iCs/>
          <w:color w:val="auto"/>
          <w:sz w:val="20"/>
          <w:szCs w:val="20"/>
        </w:rPr>
        <w:t>. El ejercicio del derecho de petición no constriñe a la autoridad ante quien se formuló, a que provea de conformidad lo solicitado por el peticionario, sino que está en libertad de resolver de conformidad con los ordenamientos que resulten aplicables al caso, y la respuesta o trámite que se dé a la petición debe ser comunicada precisamente por la autoridad ante quien se ejercitó el derecho, y no por otra diversa.</w:t>
      </w:r>
    </w:p>
    <w:p w14:paraId="3C398FD8" w14:textId="77777777" w:rsidR="00AC4CF0" w:rsidRPr="00C61F3A" w:rsidRDefault="00AC4CF0" w:rsidP="00BE170F">
      <w:pPr>
        <w:pStyle w:val="Prrafodelista"/>
        <w:spacing w:line="360" w:lineRule="auto"/>
        <w:ind w:left="567" w:right="616"/>
        <w:rPr>
          <w:i/>
          <w:iCs/>
          <w:color w:val="auto"/>
          <w:sz w:val="20"/>
          <w:szCs w:val="20"/>
        </w:rPr>
      </w:pPr>
    </w:p>
    <w:p w14:paraId="4259E907" w14:textId="1EF70E87" w:rsidR="00AC4CF0" w:rsidRPr="00C61F3A" w:rsidRDefault="00AC4CF0" w:rsidP="00BE170F">
      <w:pPr>
        <w:pStyle w:val="Prrafodelista"/>
        <w:spacing w:line="360" w:lineRule="auto"/>
        <w:ind w:left="567" w:right="616"/>
        <w:rPr>
          <w:i/>
          <w:iCs/>
          <w:color w:val="auto"/>
          <w:sz w:val="20"/>
          <w:szCs w:val="20"/>
        </w:rPr>
      </w:pPr>
      <w:r w:rsidRPr="00C61F3A">
        <w:rPr>
          <w:i/>
          <w:iCs/>
          <w:color w:val="auto"/>
          <w:sz w:val="20"/>
          <w:szCs w:val="20"/>
        </w:rPr>
        <w:t xml:space="preserve">En concordancia con todo lo expuesto, es procedente afirmar que su requerimiento de información en análisis, </w:t>
      </w:r>
      <w:r w:rsidRPr="00C61F3A">
        <w:rPr>
          <w:b/>
          <w:bCs/>
          <w:i/>
          <w:iCs/>
          <w:color w:val="auto"/>
          <w:sz w:val="20"/>
          <w:szCs w:val="20"/>
        </w:rPr>
        <w:t>se refiere a un derecho de petición, que en nada tienen que ver con el derecho de acceso a la información pública,</w:t>
      </w:r>
      <w:r w:rsidRPr="00C61F3A">
        <w:rPr>
          <w:i/>
          <w:iCs/>
          <w:color w:val="auto"/>
          <w:sz w:val="20"/>
          <w:szCs w:val="20"/>
        </w:rPr>
        <w:t xml:space="preserve"> con motivo de las actividades y funciones que lleva a cabo este Instituto de Transparencia, Acceso a la Información Pública y Protección de Datos Personales del Estado de México y Municipios de conformidad con las diversas leyes de la materia.</w:t>
      </w:r>
    </w:p>
    <w:p w14:paraId="0976F033" w14:textId="77777777" w:rsidR="00AC4CF0" w:rsidRPr="00C61F3A" w:rsidRDefault="00AC4CF0" w:rsidP="00BE170F">
      <w:pPr>
        <w:pStyle w:val="Prrafodelista"/>
        <w:spacing w:line="360" w:lineRule="auto"/>
        <w:ind w:left="567" w:right="616"/>
        <w:rPr>
          <w:i/>
          <w:iCs/>
          <w:color w:val="auto"/>
          <w:sz w:val="20"/>
          <w:szCs w:val="20"/>
        </w:rPr>
      </w:pPr>
    </w:p>
    <w:p w14:paraId="2B6BF26C" w14:textId="49687D6A" w:rsidR="00AC4CF0" w:rsidRPr="00C61F3A" w:rsidRDefault="00AC4CF0" w:rsidP="00BE170F">
      <w:pPr>
        <w:pStyle w:val="Prrafodelista"/>
        <w:spacing w:line="360" w:lineRule="auto"/>
        <w:ind w:left="567" w:right="616"/>
        <w:rPr>
          <w:i/>
          <w:iCs/>
          <w:color w:val="auto"/>
          <w:sz w:val="20"/>
          <w:szCs w:val="20"/>
        </w:rPr>
      </w:pPr>
      <w:r w:rsidRPr="00C61F3A">
        <w:rPr>
          <w:i/>
          <w:iCs/>
          <w:color w:val="auto"/>
          <w:sz w:val="20"/>
          <w:szCs w:val="20"/>
        </w:rPr>
        <w:t>Circunstancia que se aleja en demasía de aquella información pública a la que se encuentran constreñidos cada uno de los Sujetos Obligados del Estado de México a proporcionar.</w:t>
      </w:r>
    </w:p>
    <w:p w14:paraId="37DA452D" w14:textId="77777777" w:rsidR="005B4B09" w:rsidRPr="00C61F3A" w:rsidRDefault="005B4B09" w:rsidP="00BE170F">
      <w:pPr>
        <w:pStyle w:val="Prrafodelista"/>
        <w:spacing w:line="360" w:lineRule="auto"/>
        <w:ind w:left="567" w:right="616"/>
        <w:rPr>
          <w:i/>
          <w:iCs/>
          <w:color w:val="auto"/>
          <w:sz w:val="20"/>
          <w:szCs w:val="20"/>
        </w:rPr>
      </w:pPr>
    </w:p>
    <w:p w14:paraId="511C8A40" w14:textId="097698D0" w:rsidR="005B4B09" w:rsidRPr="00C61F3A" w:rsidRDefault="005B4B09" w:rsidP="00BE170F">
      <w:pPr>
        <w:pStyle w:val="Prrafodelista"/>
        <w:spacing w:line="360" w:lineRule="auto"/>
        <w:ind w:left="567" w:right="616"/>
        <w:rPr>
          <w:i/>
          <w:iCs/>
          <w:color w:val="auto"/>
          <w:sz w:val="20"/>
          <w:szCs w:val="20"/>
        </w:rPr>
      </w:pPr>
      <w:r w:rsidRPr="00C61F3A">
        <w:rPr>
          <w:i/>
          <w:iCs/>
          <w:color w:val="auto"/>
          <w:sz w:val="20"/>
          <w:szCs w:val="20"/>
        </w:rPr>
        <w:t xml:space="preserve">En relación con lo anterior, los artículos 12, segundo párrafo y 24, último párrafo de la Ley de Transparencia y Acceso a la Información Pública del Estado de México y Municipios establecen que </w:t>
      </w:r>
      <w:r w:rsidRPr="00C61F3A">
        <w:rPr>
          <w:b/>
          <w:bCs/>
          <w:i/>
          <w:iCs/>
          <w:color w:val="auto"/>
          <w:sz w:val="20"/>
          <w:szCs w:val="20"/>
        </w:rPr>
        <w:t xml:space="preserve">los Sujetos Obligados solo proporcionarán la información pública que obre en sus </w:t>
      </w:r>
      <w:r w:rsidRPr="00C61F3A">
        <w:rPr>
          <w:b/>
          <w:bCs/>
          <w:i/>
          <w:iCs/>
          <w:color w:val="auto"/>
          <w:sz w:val="20"/>
          <w:szCs w:val="20"/>
        </w:rPr>
        <w:lastRenderedPageBreak/>
        <w:t>archivos y que generen, administren o posean en el ejercicio de sus atribuciones,</w:t>
      </w:r>
      <w:r w:rsidRPr="00C61F3A">
        <w:rPr>
          <w:i/>
          <w:iCs/>
          <w:color w:val="auto"/>
          <w:sz w:val="20"/>
          <w:szCs w:val="20"/>
        </w:rPr>
        <w:t xml:space="preserve"> de este modo se exponen a continuación los preceptos normativos citados:</w:t>
      </w:r>
    </w:p>
    <w:p w14:paraId="7035E0D1" w14:textId="2B78B30B" w:rsidR="001C058D" w:rsidRPr="00C61F3A" w:rsidRDefault="001C058D" w:rsidP="00BE170F">
      <w:pPr>
        <w:pStyle w:val="Prrafodelista"/>
        <w:spacing w:line="360" w:lineRule="auto"/>
        <w:ind w:left="567" w:right="616"/>
        <w:rPr>
          <w:i/>
          <w:iCs/>
          <w:color w:val="auto"/>
          <w:sz w:val="18"/>
          <w:szCs w:val="18"/>
        </w:rPr>
      </w:pPr>
      <w:r w:rsidRPr="00C61F3A">
        <w:rPr>
          <w:i/>
          <w:iCs/>
          <w:color w:val="auto"/>
          <w:sz w:val="18"/>
          <w:szCs w:val="18"/>
        </w:rPr>
        <w:t>"Artículo 12. Quienes generen, recopilen, administren, manejen, procesen, archiven o conserven información pública serán responsables de la misma en los términos de las disposiciones jurídicas aplicables.</w:t>
      </w:r>
    </w:p>
    <w:p w14:paraId="5FAFA300" w14:textId="77777777" w:rsidR="001C058D" w:rsidRPr="00C61F3A" w:rsidRDefault="001C058D" w:rsidP="00BE170F">
      <w:pPr>
        <w:pStyle w:val="Prrafodelista"/>
        <w:spacing w:line="360" w:lineRule="auto"/>
        <w:ind w:left="567" w:right="616"/>
        <w:rPr>
          <w:i/>
          <w:iCs/>
          <w:color w:val="auto"/>
          <w:sz w:val="18"/>
          <w:szCs w:val="18"/>
        </w:rPr>
      </w:pPr>
    </w:p>
    <w:p w14:paraId="5B137ECF" w14:textId="5EE48BFC" w:rsidR="001C058D" w:rsidRPr="00C61F3A" w:rsidRDefault="001C058D" w:rsidP="00BE170F">
      <w:pPr>
        <w:pStyle w:val="Prrafodelista"/>
        <w:spacing w:line="360" w:lineRule="auto"/>
        <w:ind w:left="567" w:right="616"/>
        <w:rPr>
          <w:i/>
          <w:iCs/>
          <w:color w:val="auto"/>
          <w:sz w:val="18"/>
          <w:szCs w:val="18"/>
        </w:rPr>
      </w:pPr>
      <w:r w:rsidRPr="00C61F3A">
        <w:rPr>
          <w:i/>
          <w:iCs/>
          <w:color w:val="auto"/>
          <w:sz w:val="18"/>
          <w:szCs w:val="18"/>
        </w:rPr>
        <w:t xml:space="preserve">Los sujetos obligados </w:t>
      </w:r>
      <w:r w:rsidRPr="00C61F3A">
        <w:rPr>
          <w:b/>
          <w:bCs/>
          <w:i/>
          <w:iCs/>
          <w:color w:val="auto"/>
          <w:sz w:val="18"/>
          <w:szCs w:val="18"/>
          <w:u w:val="single"/>
        </w:rPr>
        <w:t>sólo proporcionarán la información pública que se les requiera y que obre en sus archivos y en el estado en que ésta se encuentre. La obligación de proporcionar información no comprende el procesamiento de la misma, ni el presentarla conforme al interés del solicitante; no estarán obligados a generarla, resumirla, efectuar cálculos o practicar investigaciones.</w:t>
      </w:r>
    </w:p>
    <w:p w14:paraId="15F49FDF" w14:textId="77777777" w:rsidR="001C058D" w:rsidRPr="00C61F3A" w:rsidRDefault="001C058D" w:rsidP="00BE170F">
      <w:pPr>
        <w:pStyle w:val="Prrafodelista"/>
        <w:spacing w:line="360" w:lineRule="auto"/>
        <w:ind w:left="567" w:right="616"/>
        <w:rPr>
          <w:i/>
          <w:iCs/>
          <w:color w:val="auto"/>
          <w:sz w:val="18"/>
          <w:szCs w:val="18"/>
        </w:rPr>
      </w:pPr>
      <w:r w:rsidRPr="00C61F3A">
        <w:rPr>
          <w:i/>
          <w:iCs/>
          <w:color w:val="auto"/>
          <w:sz w:val="18"/>
          <w:szCs w:val="18"/>
        </w:rPr>
        <w:t>(…)</w:t>
      </w:r>
    </w:p>
    <w:p w14:paraId="746EEA82" w14:textId="77777777" w:rsidR="001C058D" w:rsidRPr="00C61F3A" w:rsidRDefault="001C058D" w:rsidP="00BE170F">
      <w:pPr>
        <w:pStyle w:val="Prrafodelista"/>
        <w:spacing w:line="360" w:lineRule="auto"/>
        <w:ind w:left="567" w:right="616"/>
        <w:rPr>
          <w:i/>
          <w:iCs/>
          <w:color w:val="auto"/>
          <w:sz w:val="18"/>
          <w:szCs w:val="18"/>
        </w:rPr>
      </w:pPr>
    </w:p>
    <w:p w14:paraId="4C3DF945" w14:textId="3CB4F61A" w:rsidR="001C058D" w:rsidRPr="00C61F3A" w:rsidRDefault="001C058D" w:rsidP="00BE170F">
      <w:pPr>
        <w:pStyle w:val="Prrafodelista"/>
        <w:spacing w:line="360" w:lineRule="auto"/>
        <w:ind w:left="567" w:right="616"/>
        <w:rPr>
          <w:i/>
          <w:iCs/>
          <w:color w:val="auto"/>
          <w:sz w:val="18"/>
          <w:szCs w:val="18"/>
        </w:rPr>
      </w:pPr>
      <w:r w:rsidRPr="00C61F3A">
        <w:rPr>
          <w:i/>
          <w:iCs/>
          <w:color w:val="auto"/>
          <w:sz w:val="18"/>
          <w:szCs w:val="18"/>
        </w:rPr>
        <w:t>Artículo 24. Para el cumplimiento de los objetivos de esta Ley, los sujetos obligados deberán cumplir con las siguientes obligaciones, según corresponda, de acuerdo a su naturaleza:</w:t>
      </w:r>
    </w:p>
    <w:p w14:paraId="0090A6CF" w14:textId="77777777" w:rsidR="001C058D" w:rsidRPr="00C61F3A" w:rsidRDefault="001C058D" w:rsidP="00BE170F">
      <w:pPr>
        <w:pStyle w:val="Prrafodelista"/>
        <w:spacing w:line="360" w:lineRule="auto"/>
        <w:ind w:left="567" w:right="616"/>
        <w:rPr>
          <w:i/>
          <w:iCs/>
          <w:color w:val="auto"/>
          <w:sz w:val="18"/>
          <w:szCs w:val="18"/>
        </w:rPr>
      </w:pPr>
      <w:r w:rsidRPr="00C61F3A">
        <w:rPr>
          <w:i/>
          <w:iCs/>
          <w:color w:val="auto"/>
          <w:sz w:val="18"/>
          <w:szCs w:val="18"/>
        </w:rPr>
        <w:t>(…)</w:t>
      </w:r>
    </w:p>
    <w:p w14:paraId="192D95F9" w14:textId="77777777" w:rsidR="001C058D" w:rsidRPr="00C61F3A" w:rsidRDefault="001C058D" w:rsidP="00BE170F">
      <w:pPr>
        <w:pStyle w:val="Prrafodelista"/>
        <w:spacing w:line="360" w:lineRule="auto"/>
        <w:ind w:left="567" w:right="616"/>
        <w:rPr>
          <w:i/>
          <w:iCs/>
          <w:color w:val="auto"/>
          <w:sz w:val="18"/>
          <w:szCs w:val="18"/>
        </w:rPr>
      </w:pPr>
    </w:p>
    <w:p w14:paraId="4D802CF4" w14:textId="46A54BA1" w:rsidR="001C058D" w:rsidRPr="00C61F3A" w:rsidRDefault="001C058D" w:rsidP="00BE170F">
      <w:pPr>
        <w:pStyle w:val="Prrafodelista"/>
        <w:spacing w:line="360" w:lineRule="auto"/>
        <w:ind w:left="567" w:right="616"/>
        <w:rPr>
          <w:i/>
          <w:iCs/>
          <w:color w:val="auto"/>
          <w:sz w:val="18"/>
          <w:szCs w:val="18"/>
        </w:rPr>
      </w:pPr>
      <w:r w:rsidRPr="00C61F3A">
        <w:rPr>
          <w:i/>
          <w:iCs/>
          <w:color w:val="auto"/>
          <w:sz w:val="18"/>
          <w:szCs w:val="18"/>
        </w:rPr>
        <w:t>Los sujetos obligados solo proporcionarán la información pública que generen, administren o posean en el ejercicio de sus atribuciones”</w:t>
      </w:r>
    </w:p>
    <w:p w14:paraId="54143E08" w14:textId="77777777" w:rsidR="00EB28A3" w:rsidRPr="00C61F3A" w:rsidRDefault="00EB28A3" w:rsidP="00BE170F">
      <w:pPr>
        <w:pStyle w:val="Prrafodelista"/>
        <w:spacing w:line="360" w:lineRule="auto"/>
        <w:ind w:left="567" w:right="616"/>
        <w:rPr>
          <w:i/>
          <w:iCs/>
          <w:color w:val="auto"/>
          <w:sz w:val="20"/>
          <w:szCs w:val="20"/>
        </w:rPr>
      </w:pPr>
    </w:p>
    <w:p w14:paraId="31975DAE" w14:textId="691A65D2" w:rsidR="003B13F1" w:rsidRPr="00C61F3A" w:rsidRDefault="00EB28A3" w:rsidP="00BE170F">
      <w:pPr>
        <w:pStyle w:val="Prrafodelista"/>
        <w:spacing w:line="360" w:lineRule="auto"/>
        <w:ind w:left="567" w:right="616"/>
        <w:rPr>
          <w:i/>
          <w:iCs/>
          <w:color w:val="auto"/>
          <w:sz w:val="20"/>
          <w:szCs w:val="20"/>
        </w:rPr>
      </w:pPr>
      <w:r w:rsidRPr="00C61F3A">
        <w:rPr>
          <w:i/>
          <w:iCs/>
          <w:color w:val="auto"/>
          <w:sz w:val="20"/>
          <w:szCs w:val="20"/>
        </w:rPr>
        <w:t xml:space="preserve">Ahora bien después de la búsqueda exhaustiva de la información y bajo el entendido del artículo 12 de la Ley de Transparencia Acceso a la Información Pública del Estado de México y Municipios, que estipula que “sólo se proporcionarán la información pública que se les requiera y que obre en sus archivos y en el estado en que ésta se encuentre, </w:t>
      </w:r>
      <w:r w:rsidRPr="00C61F3A">
        <w:rPr>
          <w:i/>
          <w:iCs/>
          <w:color w:val="auto"/>
          <w:sz w:val="20"/>
          <w:szCs w:val="20"/>
          <w:u w:val="single"/>
        </w:rPr>
        <w:t>la obligación de proporcionar información no comprende el procesamiento de la misma, ni el presentarla conforme al interés del solicitante</w:t>
      </w:r>
      <w:r w:rsidRPr="00C61F3A">
        <w:rPr>
          <w:i/>
          <w:iCs/>
          <w:color w:val="auto"/>
          <w:sz w:val="20"/>
          <w:szCs w:val="20"/>
        </w:rPr>
        <w:t xml:space="preserve">; no estarán obligados a generarla, resumirla, efectuar cálculos o practicar investigaciones”, además se advierte que el solicitante requiere de una explicación o pronunciamiento por parte de este Instituto sobre el actuar de las distintas actividades que realizan y que resultados tienen ante la ciudadanía, siendo que dicho requerimiento no se puede colmar con la entrega de un documento. Al respecto, vale la pena señalar que los sujetos obligados únicamente están constreñidos a proporcionar la documentación que obre en sus archivos, por lo que no están obligados a generar o elaborar </w:t>
      </w:r>
      <w:r w:rsidRPr="00C61F3A">
        <w:rPr>
          <w:i/>
          <w:iCs/>
          <w:color w:val="auto"/>
          <w:sz w:val="20"/>
          <w:szCs w:val="20"/>
        </w:rPr>
        <w:lastRenderedPageBreak/>
        <w:t>documentos Ad hoc. Robustece lo anterior el Criterio 3/17 del Instituto Nacional de Transparencia, Acceso a la Información y Protección de Datos Personales que a continuación se cita</w:t>
      </w:r>
      <w:r w:rsidR="00EA1CF4" w:rsidRPr="00C61F3A">
        <w:rPr>
          <w:i/>
          <w:iCs/>
          <w:color w:val="auto"/>
          <w:sz w:val="20"/>
          <w:szCs w:val="20"/>
        </w:rPr>
        <w:t>:</w:t>
      </w:r>
    </w:p>
    <w:p w14:paraId="3F609B8C" w14:textId="77777777" w:rsidR="0023734D" w:rsidRPr="00C61F3A" w:rsidRDefault="0023734D" w:rsidP="00BE170F">
      <w:pPr>
        <w:pStyle w:val="Prrafodelista"/>
        <w:spacing w:line="360" w:lineRule="auto"/>
        <w:ind w:left="567" w:right="616"/>
        <w:rPr>
          <w:i/>
          <w:iCs/>
          <w:color w:val="auto"/>
          <w:sz w:val="20"/>
          <w:szCs w:val="20"/>
        </w:rPr>
      </w:pPr>
    </w:p>
    <w:p w14:paraId="2D7389D1" w14:textId="59C6E78C" w:rsidR="0023734D" w:rsidRPr="00C61F3A" w:rsidRDefault="0023734D" w:rsidP="00BE170F">
      <w:pPr>
        <w:pStyle w:val="Prrafodelista"/>
        <w:spacing w:line="360" w:lineRule="auto"/>
        <w:ind w:left="567" w:right="616"/>
        <w:rPr>
          <w:i/>
          <w:iCs/>
          <w:color w:val="auto"/>
          <w:sz w:val="18"/>
          <w:szCs w:val="18"/>
        </w:rPr>
      </w:pPr>
      <w:r w:rsidRPr="00C61F3A">
        <w:rPr>
          <w:i/>
          <w:iCs/>
          <w:color w:val="auto"/>
          <w:sz w:val="18"/>
          <w:szCs w:val="18"/>
        </w:rPr>
        <w:t>“No existe obligación de elaborar documentos ad hoc para atender las solicitudes de acceso a la información. Los artículos 129 de la Ley General de Transparencia y Acceso a la Información Pública y 130, párrafo cuarto, de la Ley Federal de Transparencia y Acceso a la Información Pública, señalan que los sujetos obligados deberán otorgar acceso a los documentos que se encuentren en sus archivos o que estén obligados a documentar, de acuerdo con sus facultades, competencias o funciones, conforme a las características físicas de la información o del lugar donde se encuentre. Por lo anterior, los sujetos obligados deben garantizar el derecho de acceso a la información del particular, proporcionando la información con la que cuentan en el formato en que la misma obre en sus archivos; sin necesidad de elaborar documentos ad hoc para atender las solicitudes de información”. (Sic)</w:t>
      </w:r>
    </w:p>
    <w:p w14:paraId="0B5B622F" w14:textId="77777777" w:rsidR="00DF7365" w:rsidRPr="00C61F3A" w:rsidRDefault="00DF7365" w:rsidP="00BE170F">
      <w:pPr>
        <w:pStyle w:val="Prrafodelista"/>
        <w:spacing w:line="360" w:lineRule="auto"/>
        <w:ind w:left="567" w:right="616"/>
        <w:rPr>
          <w:i/>
          <w:iCs/>
          <w:color w:val="auto"/>
          <w:sz w:val="18"/>
          <w:szCs w:val="18"/>
        </w:rPr>
      </w:pPr>
    </w:p>
    <w:p w14:paraId="6095FFA4" w14:textId="248959D6" w:rsidR="00DF7365" w:rsidRPr="00C61F3A" w:rsidRDefault="00DF7365" w:rsidP="00BE170F">
      <w:pPr>
        <w:pStyle w:val="Prrafodelista"/>
        <w:spacing w:line="360" w:lineRule="auto"/>
        <w:ind w:left="567" w:right="616"/>
        <w:rPr>
          <w:i/>
          <w:iCs/>
          <w:color w:val="auto"/>
          <w:sz w:val="20"/>
          <w:szCs w:val="20"/>
        </w:rPr>
      </w:pPr>
      <w:r w:rsidRPr="00C61F3A">
        <w:rPr>
          <w:i/>
          <w:iCs/>
          <w:color w:val="auto"/>
          <w:sz w:val="20"/>
          <w:szCs w:val="20"/>
        </w:rPr>
        <w:t>En esta mismo orden de ideas, y al advertirse que en la solicitud en merito no se puede identificar de forma precisa el documento en específico que pudiera contener dicha información, ya que más bien constituye una consulta como ya ha quedado precisado con antelación; sin embargo en aras de garantizar el ejercicio del derecho de acceso a la información y en atención a la criterio de interpretación del Criterio 28/10 del Instituto Nacional de Transparencia, Acceso a la Información y Protección de Datos Personales el cual pronuncia lo siguiente:</w:t>
      </w:r>
    </w:p>
    <w:p w14:paraId="6CF2E064" w14:textId="77777777" w:rsidR="00562672" w:rsidRPr="00C61F3A" w:rsidRDefault="00562672" w:rsidP="00BE170F">
      <w:pPr>
        <w:pStyle w:val="Prrafodelista"/>
        <w:spacing w:line="360" w:lineRule="auto"/>
        <w:ind w:left="567" w:right="616"/>
        <w:rPr>
          <w:i/>
          <w:iCs/>
          <w:color w:val="auto"/>
          <w:sz w:val="20"/>
          <w:szCs w:val="20"/>
        </w:rPr>
      </w:pPr>
    </w:p>
    <w:p w14:paraId="34148A92" w14:textId="668EA519" w:rsidR="00562672" w:rsidRPr="00C61F3A" w:rsidRDefault="00562672" w:rsidP="00BE170F">
      <w:pPr>
        <w:pStyle w:val="Prrafodelista"/>
        <w:spacing w:line="360" w:lineRule="auto"/>
        <w:ind w:left="567" w:right="616"/>
        <w:rPr>
          <w:b/>
          <w:bCs/>
          <w:i/>
          <w:iCs/>
          <w:color w:val="auto"/>
          <w:sz w:val="18"/>
          <w:szCs w:val="18"/>
        </w:rPr>
      </w:pPr>
      <w:r w:rsidRPr="00C61F3A">
        <w:rPr>
          <w:b/>
          <w:bCs/>
          <w:i/>
          <w:iCs/>
          <w:color w:val="auto"/>
          <w:sz w:val="18"/>
          <w:szCs w:val="18"/>
        </w:rPr>
        <w:t>Cuando en una solicitud de información no se identifique un documento en específico, si ésta tiene una expresión documental, el sujeto obligado deberá entregar al particular el documento en específico.</w:t>
      </w:r>
    </w:p>
    <w:p w14:paraId="1B66C559" w14:textId="4141458F" w:rsidR="00562672" w:rsidRPr="00C61F3A" w:rsidRDefault="00562672" w:rsidP="00BE170F">
      <w:pPr>
        <w:pStyle w:val="Prrafodelista"/>
        <w:spacing w:line="360" w:lineRule="auto"/>
        <w:ind w:left="567" w:right="616"/>
        <w:rPr>
          <w:i/>
          <w:iCs/>
          <w:color w:val="auto"/>
          <w:sz w:val="18"/>
          <w:szCs w:val="18"/>
        </w:rPr>
      </w:pPr>
      <w:r w:rsidRPr="00C61F3A">
        <w:rPr>
          <w:i/>
          <w:iCs/>
          <w:color w:val="auto"/>
          <w:sz w:val="18"/>
          <w:szCs w:val="18"/>
        </w:rPr>
        <w:t xml:space="preserve">La Ley Federal de Transparencia y Acceso a la Información Pública Gubernamental tiene por objeto garantizar el acceso a la información contenida en documentos que los sujetos obligados generen, obtengan, adquieran, transformen o conserven por cualquier título; que se entienden como cualquier registro que documente el ejercicio de las facultades o la actividad de los sujetos obligados sin importar su fuente o fecha de elaboración. En este sentido, cuando el particular lleve a cabo una solicitud de información sin identificar de forma precisa la documentación específica que pudiera contener dicha información, o bien pareciera que más bien la solicitud se constituye como una consulta y no como una solicitud de acceso en términos de la Ley Federal de Transparencia y Acceso a la Información Pública Gubernamental, pero su respuesta puede obrar en algún </w:t>
      </w:r>
      <w:r w:rsidRPr="00C61F3A">
        <w:rPr>
          <w:i/>
          <w:iCs/>
          <w:color w:val="auto"/>
          <w:sz w:val="18"/>
          <w:szCs w:val="18"/>
        </w:rPr>
        <w:lastRenderedPageBreak/>
        <w:t>documento, el sujeto obligado debe dar a la solicitud una interpretación que le dé una expresión documental. Es decir, si la respuesta a la solicitud obra en algún documento en poder de la autoridad, pero el particular no hace referencia específica a tal documento, se deberá hacer entrega del mismo al solicitante.</w:t>
      </w:r>
    </w:p>
    <w:p w14:paraId="5A0DB633" w14:textId="77777777" w:rsidR="000414ED" w:rsidRPr="00C61F3A" w:rsidRDefault="000414ED" w:rsidP="00BE170F">
      <w:pPr>
        <w:pStyle w:val="Prrafodelista"/>
        <w:spacing w:line="360" w:lineRule="auto"/>
        <w:ind w:left="567" w:right="616"/>
        <w:rPr>
          <w:b/>
          <w:bCs/>
          <w:i/>
          <w:iCs/>
          <w:color w:val="auto"/>
          <w:sz w:val="18"/>
          <w:szCs w:val="18"/>
        </w:rPr>
      </w:pPr>
    </w:p>
    <w:p w14:paraId="1B14CBCE" w14:textId="67E9B06C" w:rsidR="000414ED" w:rsidRPr="00C61F3A" w:rsidRDefault="000414ED" w:rsidP="00BE170F">
      <w:pPr>
        <w:pStyle w:val="Prrafodelista"/>
        <w:spacing w:line="360" w:lineRule="auto"/>
        <w:ind w:left="567" w:right="616"/>
        <w:rPr>
          <w:i/>
          <w:iCs/>
          <w:color w:val="auto"/>
          <w:sz w:val="20"/>
          <w:szCs w:val="20"/>
        </w:rPr>
      </w:pPr>
      <w:r w:rsidRPr="00C61F3A">
        <w:rPr>
          <w:b/>
          <w:bCs/>
          <w:i/>
          <w:iCs/>
          <w:color w:val="auto"/>
          <w:sz w:val="20"/>
          <w:szCs w:val="20"/>
        </w:rPr>
        <w:t>Finalmente, donde refiere lo siguiente: “Solicito saber qué es lo que hace el INFOEM.” (Sic)</w:t>
      </w:r>
      <w:r w:rsidRPr="00C61F3A">
        <w:rPr>
          <w:i/>
          <w:iCs/>
          <w:color w:val="auto"/>
          <w:sz w:val="20"/>
          <w:szCs w:val="20"/>
        </w:rPr>
        <w:t xml:space="preserve"> El Instituto de Transparencia, Acceso a la Información Pública y Protección de Datos Personales del Estado de México y Municipios, es un organismo encargado de garantizar el derecho de acceso a la información pública y la protección de datos personales en el Estado de México, a través de la promoción de la cultura de la transparencia y rendición de cuentas como base de una democracia participativa de acuerdo a lo previsto en los artículos:</w:t>
      </w:r>
    </w:p>
    <w:p w14:paraId="1317F9C9" w14:textId="77777777" w:rsidR="008E75FE" w:rsidRPr="00C61F3A" w:rsidRDefault="008E75FE" w:rsidP="00BE170F">
      <w:pPr>
        <w:pStyle w:val="Prrafodelista"/>
        <w:spacing w:line="360" w:lineRule="auto"/>
        <w:ind w:left="567" w:right="616"/>
        <w:rPr>
          <w:i/>
          <w:iCs/>
          <w:color w:val="auto"/>
          <w:sz w:val="20"/>
          <w:szCs w:val="20"/>
        </w:rPr>
      </w:pPr>
    </w:p>
    <w:p w14:paraId="78BB5FFF" w14:textId="740B9697" w:rsidR="008E75FE" w:rsidRPr="00C61F3A" w:rsidRDefault="008E75FE" w:rsidP="00BE170F">
      <w:pPr>
        <w:pStyle w:val="Prrafodelista"/>
        <w:spacing w:line="360" w:lineRule="auto"/>
        <w:ind w:left="567" w:right="616"/>
        <w:rPr>
          <w:i/>
          <w:iCs/>
          <w:color w:val="auto"/>
          <w:sz w:val="18"/>
          <w:szCs w:val="18"/>
        </w:rPr>
      </w:pPr>
      <w:r w:rsidRPr="00C61F3A">
        <w:rPr>
          <w:i/>
          <w:iCs/>
          <w:color w:val="auto"/>
          <w:sz w:val="18"/>
          <w:szCs w:val="18"/>
        </w:rPr>
        <w:t>“Artículo 29. El Instituto es un órgano público estatal constitucionalmente autónomo, especializado, independiente, imparcial y colegiado dotado de personalidad jurídica y patrimonio propio, con plena autonomía técnica, de gestión, capacidad para decidir sobre el ejercicio de su presupuesto y determinar su organización interna, responsable de garantizar el ejercicio de los derechos de acceso a la información pública y la protección de datos personales en posesión de los sujetos obligados, conforme a los principios y bases establecidas en la Constitución Federal, Constitución Local, Ley General, así como, lo previsto en esta Ley y demás disposiciones jurídicas aplicables.”</w:t>
      </w:r>
    </w:p>
    <w:p w14:paraId="5187649E" w14:textId="77777777" w:rsidR="008E75FE" w:rsidRPr="00C61F3A" w:rsidRDefault="008E75FE" w:rsidP="00BE170F">
      <w:pPr>
        <w:pStyle w:val="Prrafodelista"/>
        <w:spacing w:line="360" w:lineRule="auto"/>
        <w:ind w:left="567" w:right="616"/>
        <w:rPr>
          <w:i/>
          <w:iCs/>
          <w:color w:val="auto"/>
          <w:sz w:val="18"/>
          <w:szCs w:val="18"/>
        </w:rPr>
      </w:pPr>
    </w:p>
    <w:p w14:paraId="475EB09F" w14:textId="77777777" w:rsidR="008E75FE" w:rsidRPr="00C61F3A" w:rsidRDefault="008E75FE" w:rsidP="00BE170F">
      <w:pPr>
        <w:pStyle w:val="Prrafodelista"/>
        <w:spacing w:line="360" w:lineRule="auto"/>
        <w:ind w:left="567" w:right="616"/>
        <w:rPr>
          <w:i/>
          <w:iCs/>
          <w:color w:val="auto"/>
          <w:sz w:val="18"/>
          <w:szCs w:val="18"/>
        </w:rPr>
      </w:pPr>
      <w:r w:rsidRPr="00C61F3A">
        <w:rPr>
          <w:i/>
          <w:iCs/>
          <w:color w:val="auto"/>
          <w:sz w:val="18"/>
          <w:szCs w:val="18"/>
        </w:rPr>
        <w:t>Artículo 36. El Instituto tendrá, en el ámbito de su competencia, las atribuciones siguientes:</w:t>
      </w:r>
    </w:p>
    <w:p w14:paraId="2CFC5122" w14:textId="16E46504" w:rsidR="008E75FE" w:rsidRPr="00C61F3A" w:rsidRDefault="008E75FE" w:rsidP="00BE170F">
      <w:pPr>
        <w:pStyle w:val="Prrafodelista"/>
        <w:spacing w:line="360" w:lineRule="auto"/>
        <w:ind w:left="567" w:right="616"/>
        <w:rPr>
          <w:i/>
          <w:iCs/>
          <w:color w:val="auto"/>
          <w:sz w:val="18"/>
          <w:szCs w:val="18"/>
        </w:rPr>
      </w:pPr>
      <w:r w:rsidRPr="00C61F3A">
        <w:rPr>
          <w:i/>
          <w:iCs/>
          <w:color w:val="auto"/>
          <w:sz w:val="18"/>
          <w:szCs w:val="18"/>
        </w:rPr>
        <w:t>I. Interpretar los ordenamientos que les resulten aplicables y que deriven de la Constitución Federal, la Constitución Local, la Ley General y esta Ley;</w:t>
      </w:r>
    </w:p>
    <w:p w14:paraId="1E87BF8F" w14:textId="38FB80F8" w:rsidR="008E75FE" w:rsidRPr="00C61F3A" w:rsidRDefault="008E75FE" w:rsidP="00BE170F">
      <w:pPr>
        <w:pStyle w:val="Prrafodelista"/>
        <w:spacing w:line="360" w:lineRule="auto"/>
        <w:ind w:left="567" w:right="616"/>
        <w:rPr>
          <w:i/>
          <w:iCs/>
          <w:color w:val="auto"/>
          <w:sz w:val="18"/>
          <w:szCs w:val="18"/>
        </w:rPr>
      </w:pPr>
      <w:r w:rsidRPr="00C61F3A">
        <w:rPr>
          <w:i/>
          <w:iCs/>
          <w:color w:val="auto"/>
          <w:sz w:val="18"/>
          <w:szCs w:val="18"/>
        </w:rPr>
        <w:t>II. Conocer y resolver los recursos de revisión interpuestos por los particulares en contra de las resoluciones de los sujetos obligados en el ámbito estatal en términos de lo dispuesto en el Capítulo I del Título Octavo de la presente Ley;</w:t>
      </w:r>
    </w:p>
    <w:p w14:paraId="3A06AF80" w14:textId="51BD6E8C" w:rsidR="008E75FE" w:rsidRPr="00C61F3A" w:rsidRDefault="008E75FE" w:rsidP="00BE170F">
      <w:pPr>
        <w:pStyle w:val="Prrafodelista"/>
        <w:spacing w:line="360" w:lineRule="auto"/>
        <w:ind w:left="567" w:right="616"/>
        <w:rPr>
          <w:i/>
          <w:iCs/>
          <w:color w:val="auto"/>
          <w:sz w:val="18"/>
          <w:szCs w:val="18"/>
        </w:rPr>
      </w:pPr>
      <w:r w:rsidRPr="00C61F3A">
        <w:rPr>
          <w:i/>
          <w:iCs/>
          <w:color w:val="auto"/>
          <w:sz w:val="18"/>
          <w:szCs w:val="18"/>
        </w:rPr>
        <w:t>III. Tramitar, en el ámbito de su competencia, los recursos de inconformidad que interpongan los particulares, en los supuestos previstos en la presente Ley;</w:t>
      </w:r>
    </w:p>
    <w:p w14:paraId="47987C2E" w14:textId="611A2002" w:rsidR="008E75FE" w:rsidRPr="00C61F3A" w:rsidRDefault="008E75FE" w:rsidP="00BE170F">
      <w:pPr>
        <w:pStyle w:val="Prrafodelista"/>
        <w:spacing w:line="360" w:lineRule="auto"/>
        <w:ind w:left="567" w:right="616"/>
        <w:rPr>
          <w:i/>
          <w:iCs/>
          <w:color w:val="auto"/>
          <w:sz w:val="18"/>
          <w:szCs w:val="18"/>
        </w:rPr>
      </w:pPr>
      <w:r w:rsidRPr="00C61F3A">
        <w:rPr>
          <w:i/>
          <w:iCs/>
          <w:color w:val="auto"/>
          <w:sz w:val="18"/>
          <w:szCs w:val="18"/>
        </w:rPr>
        <w:t>IV. Establecer lineamientos y criterios administrativos o por reiteración en materia de acceso a la información pública para todos los sujetos obligados de la Ley y vigilar su cumplimiento;</w:t>
      </w:r>
    </w:p>
    <w:p w14:paraId="3FE0D544" w14:textId="77777777" w:rsidR="008E75FE" w:rsidRPr="00C61F3A" w:rsidRDefault="008E75FE" w:rsidP="00BE170F">
      <w:pPr>
        <w:pStyle w:val="Prrafodelista"/>
        <w:spacing w:line="360" w:lineRule="auto"/>
        <w:ind w:left="567" w:right="616"/>
        <w:rPr>
          <w:i/>
          <w:iCs/>
          <w:color w:val="auto"/>
          <w:sz w:val="18"/>
          <w:szCs w:val="18"/>
        </w:rPr>
      </w:pPr>
      <w:r w:rsidRPr="00C61F3A">
        <w:rPr>
          <w:i/>
          <w:iCs/>
          <w:color w:val="auto"/>
          <w:sz w:val="18"/>
          <w:szCs w:val="18"/>
        </w:rPr>
        <w:t>V. Emitir criterios para la clasificación de la información pública y vigilar su cumplimiento;</w:t>
      </w:r>
    </w:p>
    <w:p w14:paraId="4DA9B77D" w14:textId="24519EFF" w:rsidR="008E75FE" w:rsidRPr="00C61F3A" w:rsidRDefault="008E75FE" w:rsidP="00BE170F">
      <w:pPr>
        <w:pStyle w:val="Prrafodelista"/>
        <w:spacing w:line="360" w:lineRule="auto"/>
        <w:ind w:left="567" w:right="616"/>
        <w:rPr>
          <w:i/>
          <w:iCs/>
          <w:color w:val="auto"/>
          <w:sz w:val="18"/>
          <w:szCs w:val="18"/>
        </w:rPr>
      </w:pPr>
      <w:r w:rsidRPr="00C61F3A">
        <w:rPr>
          <w:i/>
          <w:iCs/>
          <w:color w:val="auto"/>
          <w:sz w:val="18"/>
          <w:szCs w:val="18"/>
        </w:rPr>
        <w:lastRenderedPageBreak/>
        <w:t>VI. Solicitar a los sujetos obligados los datos para la integración de su informe anual, incluidas la atención de solicitudes de información presentadas verbalmente;</w:t>
      </w:r>
    </w:p>
    <w:p w14:paraId="4EE84F20" w14:textId="2137B368"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VII. Capacitar y proporcionar asesoría y apoyo técnico a los sujetos obligados para la elaboración y ejecución de programas de información, así como, en materia de transparencia y acceso a la información;</w:t>
      </w:r>
    </w:p>
    <w:p w14:paraId="458EA436" w14:textId="08CDB18F"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VIII. Proporcionar a los sujetos obligados un sitio web dentro de sus ordenadores o servidores, el cual deberá contener cuando menos las obligaciones de transparencia comunes y específicas que correspondan, así como cualquier otra información que considere conveniente difundir en materia de transparencia y acceso a la información;</w:t>
      </w:r>
    </w:p>
    <w:p w14:paraId="54595945" w14:textId="6A70CCE2"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IX. Apoyar a los sujetos obligados en el cumplimiento de las obligaciones que les impone la presente Ley;</w:t>
      </w:r>
    </w:p>
    <w:p w14:paraId="7F9A18C8" w14:textId="0C1307C9"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X. Hacer del conocimiento del órgano interno de control o equivalente de cada sujeto obligado las infracciones a esta Ley;</w:t>
      </w:r>
    </w:p>
    <w:p w14:paraId="55B5A300" w14:textId="77777777"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XI. Certificar las competencias de los titulares de las unidades de transparencia;</w:t>
      </w:r>
    </w:p>
    <w:p w14:paraId="343B0899" w14:textId="77777777"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XII. Elaborar formatos de solicitudes de acceso a la información pública y orientar a los particulares;</w:t>
      </w:r>
    </w:p>
    <w:p w14:paraId="54CB00B5" w14:textId="18C7F098"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XIII. Coadyuvar a la elaboración y aplicación de los criterios para la conservación y archivo de la información pública;</w:t>
      </w:r>
    </w:p>
    <w:p w14:paraId="5D9704A2" w14:textId="3F6A0AD4"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XIV. Podrá actuar subsidiariamente para que los municipios den cumplimiento a sus obligaciones en materia de transparencia y acceso a la información, en los términos de lo señalado por la Ley General;</w:t>
      </w:r>
    </w:p>
    <w:p w14:paraId="740ECC40" w14:textId="61A519C7"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XV. Realizar y publicar estudios e investigaciones para difundir y ampliar el conocimiento sobre la transparencia y el derecho de acceso a la información;</w:t>
      </w:r>
    </w:p>
    <w:p w14:paraId="093A0608" w14:textId="30FE81E2"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XVI. Difundir entre los servidores públicos y los particulares los beneficios del manejo público de la información, así como sus responsabilidades en el buen uso y conservación de aquélla;</w:t>
      </w:r>
    </w:p>
    <w:p w14:paraId="0F00BD00" w14:textId="37C0A440"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XVII. Designar, a través de la o el Comisionado Presidente, a los servidores públicos de su adscripción para administrar sus recursos materiales y financieros;</w:t>
      </w:r>
    </w:p>
    <w:p w14:paraId="28123E7E" w14:textId="3602C636"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XVIII. Elaborar y remitir a la Secretaría de Finanzas su proyecto de presupuesto anual para que sea integrado al proyecto de presupuesto del Gobierno del Estado;</w:t>
      </w:r>
    </w:p>
    <w:p w14:paraId="5EF43852" w14:textId="77777777"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XIX. Expedir su Reglamento Interior y demás normas de operación;</w:t>
      </w:r>
    </w:p>
    <w:p w14:paraId="5314AFB3" w14:textId="718AA606"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XX. Administrar los recursos humanos, bienes y patrimonio del Instituto, así como determinar y autorizar su estructura orgánica y su personal;</w:t>
      </w:r>
    </w:p>
    <w:p w14:paraId="09D996F5" w14:textId="5BF6DAE4"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XXI. Realizar de oficio y a petición de parte, análisis y recomendaciones o en su caso, lineamientos en relación con presuntos incumplimientos a las disposiciones de la Ley, cuando existan elementos suficientes a juicio del Pleno del Instituto;</w:t>
      </w:r>
    </w:p>
    <w:p w14:paraId="1C26FF90" w14:textId="5F0328C0"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lastRenderedPageBreak/>
        <w:t>XXII. Emitir comunicados públicos sobre el incumplimiento de sus resoluciones o por infracciones reiteradas a la Ley, en el ámbito de su competencia;</w:t>
      </w:r>
    </w:p>
    <w:p w14:paraId="36FDEB88" w14:textId="5D632D9A"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XXIII. Ordenar a los sujetos obligados la ejecutoría en la entrega de información en términos de la presente Ley;</w:t>
      </w:r>
    </w:p>
    <w:p w14:paraId="5EC9E8EB" w14:textId="045CEA61"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XXIV. Revisar los criterios de clasificación, desclasificación y custodia de la información reservada y confidencial en el ámbito de su competencia;</w:t>
      </w:r>
    </w:p>
    <w:p w14:paraId="34B7A915" w14:textId="76016DB4"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XXV. Establecer procedimientos para verificar las acciones realizadas por los sujetos obligados en el cumplimiento de sus obligaciones en términos de la presente Ley;</w:t>
      </w:r>
    </w:p>
    <w:p w14:paraId="04DE4C59" w14:textId="77777777"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XXVI. Derogada.</w:t>
      </w:r>
    </w:p>
    <w:p w14:paraId="5F23A1E9" w14:textId="77777777"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XXVII. Imponer las medidas de apremio para asegurar el cumplimiento de sus determinaciones;</w:t>
      </w:r>
    </w:p>
    <w:p w14:paraId="345F0D16" w14:textId="77E95BFD"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XXVIII. Presentar petición fundada al Instituto Nacional, para que conozca de los recursos de revisión que por su interés y trascendencia así lo ameriten;</w:t>
      </w:r>
    </w:p>
    <w:p w14:paraId="54DC1660" w14:textId="2812F468"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XXIX. Promover y difundir el ejercicio del derecho de acceso a la información; XXX. Promover la cultura de la transparencia en el sistema educativo;</w:t>
      </w:r>
    </w:p>
    <w:p w14:paraId="08A6B1A3" w14:textId="2A0C630A"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XXXI. Establecer políticas de transparencia proactiva atendiendo a las condiciones económicas, sociales y culturales;</w:t>
      </w:r>
    </w:p>
    <w:p w14:paraId="62DB4907" w14:textId="0B694E5F"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XXXII. Suscribir convenios con los sujetos obligados que propicien la publicación de información en el marco de las políticas de transparencia proactiva;</w:t>
      </w:r>
    </w:p>
    <w:p w14:paraId="46B501FE" w14:textId="1E1AC8D3"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XXXIII. Suscribir convenios de colaboración con particulares o sectores de la sociedad cuando sus actividades o productos resulten de interés público o relevancia social;</w:t>
      </w:r>
    </w:p>
    <w:p w14:paraId="2507B514" w14:textId="4D58F1B7"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XXXIV. Suscribir convenios de colaboración con otros organismos garantes para el cumplimiento de sus atribuciones y promover mejores prácticas en la materia;</w:t>
      </w:r>
    </w:p>
    <w:p w14:paraId="33BA90F7" w14:textId="77777777"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XXXV. Eliminar toda forma de discriminación en el ejercicio del derecho de acceso a la información;</w:t>
      </w:r>
    </w:p>
    <w:p w14:paraId="1FE658BA" w14:textId="1C56DEC1"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XXXVI. Coordinarse con las autoridades competentes para que en los procedimientos de acceso a la información, así como en los medios de impugnación, se contemple contar con la información necesaria en lenguas indígenas y formatos accesibles, para que sean sustanciados y atendidos en la misma lengua y en su caso, se promuevan los ajustes razonables necesarios si se tratara de personas con discapacidad;</w:t>
      </w:r>
    </w:p>
    <w:p w14:paraId="4265720A" w14:textId="23428F96"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XXXVII. Garantizar condiciones de accesibilidad para que los grupos vulnerables puedan ejercer, en igualdad de circunstancias, su derecho de acceso a la información;</w:t>
      </w:r>
    </w:p>
    <w:p w14:paraId="5B6529DC" w14:textId="78547624"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XXXVIII. Hacer del conocimiento de la instancia competente la probable responsabilidad por el incumplimiento de las obligaciones previstas en la presente Ley y en las demás disposiciones aplicables;</w:t>
      </w:r>
    </w:p>
    <w:p w14:paraId="79F6B3DA" w14:textId="446CD6BD"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lastRenderedPageBreak/>
        <w:t>XXXIX. Determinar y ejecutar según corresponda las sanciones por el incumplimiento a las disposiciones de la presente Ley; XL. Promover la participación y colaboración con organismos internacionales, en el análisis y mejores prácticas en materia de acceso a la información pública;</w:t>
      </w:r>
    </w:p>
    <w:p w14:paraId="31BE3DF2" w14:textId="002413C2"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XLI. Fomentar los principios de gobierno abierto, la transparencia, la rendición de cuentas, la participación ciudadana, la accesibilidad y la innovación tecnológica;</w:t>
      </w:r>
    </w:p>
    <w:p w14:paraId="4A57500D" w14:textId="3EB4E8B5"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XLII. Emitir recomendaciones a los sujetos obligados para diseñar, implementar y evaluar acciones de apertura gubernamental que permitan orientar las políticas internas en la materia;</w:t>
      </w:r>
    </w:p>
    <w:p w14:paraId="12A6F105" w14:textId="77777777"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XLIII. Vigilar el cumplimiento de la presente Ley;</w:t>
      </w:r>
    </w:p>
    <w:p w14:paraId="1ED191C5" w14:textId="3E693644"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XLIV. Interponer acciones de inconstitucionalidad en contra de leyes expedidas por la Legislatura del Estado de México, que vulneren el derecho de acceso a la información pública y la protección de datos personales;</w:t>
      </w:r>
    </w:p>
    <w:p w14:paraId="5ABD3FC6" w14:textId="0B265BF8"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XLV. Rendir informe anual de actividades a través de su presidente ante el Pleno de la Legislatura, dentro del primer periodo ordinario de sesiones del año;</w:t>
      </w:r>
    </w:p>
    <w:p w14:paraId="43681D3A" w14:textId="42B745D9"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XLVI. Expedir los lineamientos que regulen el servicio profesional en materia de transparencia, acceso a la información pública y protección de datos personales; y</w:t>
      </w:r>
    </w:p>
    <w:p w14:paraId="102294C7" w14:textId="2CA84CF9"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XLVII. Proponer Iniciativas de Ley y Decreto sobre los asuntos de su competencia a cualquiera de los facultados para iniciar leyes, por la Constitución del Estado, y</w:t>
      </w:r>
    </w:p>
    <w:p w14:paraId="19B25C94" w14:textId="77777777"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XLVIII. Las demás que les confieran esta Ley y otras disposiciones jurídicas aplicables.</w:t>
      </w:r>
    </w:p>
    <w:p w14:paraId="6F7A498F" w14:textId="77777777" w:rsidR="00E445C5" w:rsidRPr="00C61F3A" w:rsidRDefault="00E445C5" w:rsidP="00BE170F">
      <w:pPr>
        <w:pStyle w:val="Prrafodelista"/>
        <w:spacing w:line="360" w:lineRule="auto"/>
        <w:ind w:left="567" w:right="616"/>
        <w:rPr>
          <w:i/>
          <w:iCs/>
          <w:color w:val="auto"/>
          <w:sz w:val="18"/>
          <w:szCs w:val="18"/>
        </w:rPr>
      </w:pPr>
    </w:p>
    <w:p w14:paraId="657C3757" w14:textId="0DB35762"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Artículo 37. El Instituto podrá modificar su estructura y base de organización, conforme al procedimiento que al efecto establezca el Pleno, cuando sea necesario, para mejorar el desempeño de sus funciones, el cumplimiento de sus fines o la coordinación de sus actividades.</w:t>
      </w:r>
    </w:p>
    <w:p w14:paraId="18F83D55" w14:textId="77777777" w:rsidR="00E445C5" w:rsidRPr="00C61F3A" w:rsidRDefault="00E445C5" w:rsidP="00BE170F">
      <w:pPr>
        <w:pStyle w:val="Prrafodelista"/>
        <w:spacing w:line="360" w:lineRule="auto"/>
        <w:ind w:left="567" w:right="616"/>
        <w:rPr>
          <w:i/>
          <w:iCs/>
          <w:color w:val="auto"/>
          <w:sz w:val="18"/>
          <w:szCs w:val="18"/>
        </w:rPr>
      </w:pPr>
    </w:p>
    <w:p w14:paraId="30BB8201" w14:textId="0DBCDEE0" w:rsidR="00E445C5" w:rsidRPr="00C61F3A" w:rsidRDefault="00E445C5" w:rsidP="00BE170F">
      <w:pPr>
        <w:pStyle w:val="Prrafodelista"/>
        <w:spacing w:line="360" w:lineRule="auto"/>
        <w:ind w:left="567" w:right="616"/>
        <w:rPr>
          <w:i/>
          <w:iCs/>
          <w:color w:val="auto"/>
          <w:sz w:val="18"/>
          <w:szCs w:val="18"/>
        </w:rPr>
      </w:pPr>
      <w:r w:rsidRPr="00C61F3A">
        <w:rPr>
          <w:i/>
          <w:iCs/>
          <w:color w:val="auto"/>
          <w:sz w:val="18"/>
          <w:szCs w:val="18"/>
        </w:rPr>
        <w:t>Artículo 38. En su organización, funcionamiento y control, el Instituto se sujetará a lo establecido por la presente Ley, Reglamento interior y demás disposiciones de la materia y en sus decisiones se regirá por los principios de autonomía, legalidad, publicidad y objetividad. Las relaciones de trabajo entre el Instituto y los servidores públicos del mismo se regularán conforme a lo establecido en la Ley del Trabajo de los Servidores Públicos del Estado y Municipios, y su Reglamento interior del Instituto y demás disposiciones jurídicas aplicables. Las controversias que se susciten en dichas relaciones serán resueltas por el Tribunal de Justicia Administrativa del Estado de México…” (Sic)</w:t>
      </w:r>
    </w:p>
    <w:p w14:paraId="69A15CCD" w14:textId="77777777" w:rsidR="00CF79D1" w:rsidRPr="00C61F3A" w:rsidRDefault="00CF79D1" w:rsidP="00BE170F">
      <w:pPr>
        <w:pStyle w:val="Prrafodelista"/>
        <w:spacing w:line="360" w:lineRule="auto"/>
        <w:ind w:left="1080"/>
        <w:rPr>
          <w:i/>
          <w:iCs/>
          <w:color w:val="auto"/>
          <w:sz w:val="18"/>
          <w:szCs w:val="18"/>
        </w:rPr>
      </w:pPr>
    </w:p>
    <w:p w14:paraId="54D2040D" w14:textId="0C0E76A3" w:rsidR="00CF79D1" w:rsidRPr="00C61F3A" w:rsidRDefault="00BE170F" w:rsidP="00BE170F">
      <w:pPr>
        <w:spacing w:after="0" w:line="360" w:lineRule="auto"/>
        <w:rPr>
          <w:color w:val="auto"/>
        </w:rPr>
      </w:pPr>
      <w:r w:rsidRPr="00C61F3A">
        <w:rPr>
          <w:color w:val="auto"/>
        </w:rPr>
        <w:t xml:space="preserve">ii) </w:t>
      </w:r>
      <w:r w:rsidR="00CF79D1" w:rsidRPr="00C61F3A">
        <w:rPr>
          <w:color w:val="auto"/>
        </w:rPr>
        <w:t>Documento con noventa y siete fojas las cuales contienen gafetes del personal del Instituto.</w:t>
      </w:r>
    </w:p>
    <w:p w14:paraId="1C6AC0A1" w14:textId="77777777" w:rsidR="00B77BB8" w:rsidRPr="00C61F3A" w:rsidRDefault="00B77BB8" w:rsidP="00BE170F">
      <w:pPr>
        <w:pStyle w:val="Prrafodelista"/>
        <w:spacing w:line="360" w:lineRule="auto"/>
        <w:ind w:left="1080"/>
        <w:rPr>
          <w:color w:val="auto"/>
        </w:rPr>
      </w:pPr>
    </w:p>
    <w:p w14:paraId="5F51C8C0" w14:textId="2FFB852B" w:rsidR="009B5285" w:rsidRPr="00C61F3A" w:rsidRDefault="00BE170F" w:rsidP="00BE170F">
      <w:pPr>
        <w:spacing w:after="0" w:line="360" w:lineRule="auto"/>
        <w:rPr>
          <w:color w:val="auto"/>
        </w:rPr>
      </w:pPr>
      <w:r w:rsidRPr="00C61F3A">
        <w:rPr>
          <w:color w:val="auto"/>
        </w:rPr>
        <w:lastRenderedPageBreak/>
        <w:t xml:space="preserve">iii) </w:t>
      </w:r>
      <w:r w:rsidR="00CF79D1" w:rsidRPr="00C61F3A">
        <w:rPr>
          <w:color w:val="auto"/>
        </w:rPr>
        <w:t>Circular No. DGAF/012/22022 del veintidós de junio de dos mil veintidós, por medio de la cual se mencionan las medidas para continuar con las actividades de las Unidades Administrativas del Instituto, con motivo del SARS-COV2 (COVID-19), dentro de las cuales se señala el horario y la capacidad de personas dentro del Instituto.</w:t>
      </w:r>
    </w:p>
    <w:p w14:paraId="23DC6F03" w14:textId="77777777" w:rsidR="00B77BB8" w:rsidRPr="00C61F3A" w:rsidRDefault="00B77BB8" w:rsidP="00BE170F">
      <w:pPr>
        <w:pStyle w:val="Prrafodelista"/>
        <w:spacing w:line="360" w:lineRule="auto"/>
        <w:ind w:left="1080"/>
        <w:rPr>
          <w:color w:val="auto"/>
        </w:rPr>
      </w:pPr>
    </w:p>
    <w:p w14:paraId="4ABD76FC" w14:textId="78BE318A" w:rsidR="00CF79D1" w:rsidRPr="00C61F3A" w:rsidRDefault="00BE170F" w:rsidP="00BE170F">
      <w:pPr>
        <w:spacing w:after="0" w:line="360" w:lineRule="auto"/>
        <w:rPr>
          <w:color w:val="auto"/>
        </w:rPr>
      </w:pPr>
      <w:r w:rsidRPr="00C61F3A">
        <w:rPr>
          <w:color w:val="auto"/>
        </w:rPr>
        <w:t xml:space="preserve">iv) </w:t>
      </w:r>
      <w:r w:rsidR="009B5285" w:rsidRPr="00C61F3A">
        <w:rPr>
          <w:color w:val="auto"/>
        </w:rPr>
        <w:t xml:space="preserve">Circular No. 4/2022 del cuatro de marzo de dos mil veintidós, por medio </w:t>
      </w:r>
      <w:proofErr w:type="spellStart"/>
      <w:r w:rsidR="009B5285" w:rsidRPr="00C61F3A">
        <w:rPr>
          <w:color w:val="auto"/>
        </w:rPr>
        <w:t>del</w:t>
      </w:r>
      <w:proofErr w:type="spellEnd"/>
      <w:r w:rsidR="009B5285" w:rsidRPr="00C61F3A">
        <w:rPr>
          <w:color w:val="auto"/>
        </w:rPr>
        <w:t xml:space="preserve"> la cual se anuncia el cambio a semáforo verde </w:t>
      </w:r>
      <w:r w:rsidR="00CF79D1" w:rsidRPr="00C61F3A">
        <w:rPr>
          <w:color w:val="auto"/>
        </w:rPr>
        <w:t xml:space="preserve"> </w:t>
      </w:r>
    </w:p>
    <w:p w14:paraId="6A4EAE82" w14:textId="77777777" w:rsidR="00B77BB8" w:rsidRPr="00C61F3A" w:rsidRDefault="00B77BB8" w:rsidP="00BE170F">
      <w:pPr>
        <w:pStyle w:val="Prrafodelista"/>
        <w:spacing w:line="360" w:lineRule="auto"/>
        <w:ind w:left="1080"/>
        <w:rPr>
          <w:color w:val="auto"/>
        </w:rPr>
      </w:pPr>
    </w:p>
    <w:p w14:paraId="3FB33EE5" w14:textId="584175F8" w:rsidR="009B5285" w:rsidRPr="00C61F3A" w:rsidRDefault="00BE170F" w:rsidP="00BE170F">
      <w:pPr>
        <w:spacing w:after="0" w:line="360" w:lineRule="auto"/>
        <w:rPr>
          <w:color w:val="auto"/>
        </w:rPr>
      </w:pPr>
      <w:r w:rsidRPr="00C61F3A">
        <w:rPr>
          <w:color w:val="auto"/>
        </w:rPr>
        <w:t xml:space="preserve">v) </w:t>
      </w:r>
      <w:r w:rsidR="009B5285" w:rsidRPr="00C61F3A">
        <w:rPr>
          <w:color w:val="auto"/>
        </w:rPr>
        <w:t>Circular No. 4/2020</w:t>
      </w:r>
      <w:r w:rsidR="00BC0198" w:rsidRPr="00C61F3A">
        <w:rPr>
          <w:color w:val="auto"/>
        </w:rPr>
        <w:t xml:space="preserve"> del diecinueve de marzo por medio de la cual se establecen las medidas preventivas ante el (COVID-19).</w:t>
      </w:r>
    </w:p>
    <w:p w14:paraId="7411D962" w14:textId="77777777" w:rsidR="00BE170F" w:rsidRPr="00C61F3A" w:rsidRDefault="00BE170F" w:rsidP="00BE170F">
      <w:pPr>
        <w:spacing w:after="0" w:line="360" w:lineRule="auto"/>
        <w:rPr>
          <w:color w:val="auto"/>
        </w:rPr>
      </w:pPr>
    </w:p>
    <w:p w14:paraId="07115DC7" w14:textId="41260444" w:rsidR="00256D83" w:rsidRPr="00C61F3A" w:rsidRDefault="00BE170F" w:rsidP="00BE170F">
      <w:pPr>
        <w:spacing w:after="0" w:line="360" w:lineRule="auto"/>
        <w:rPr>
          <w:color w:val="auto"/>
        </w:rPr>
      </w:pPr>
      <w:bookmarkStart w:id="0" w:name="_Hlk181209985"/>
      <w:proofErr w:type="gramStart"/>
      <w:r w:rsidRPr="00C61F3A">
        <w:rPr>
          <w:color w:val="auto"/>
        </w:rPr>
        <w:t>vi</w:t>
      </w:r>
      <w:proofErr w:type="gramEnd"/>
      <w:r w:rsidRPr="00C61F3A">
        <w:rPr>
          <w:color w:val="auto"/>
        </w:rPr>
        <w:t xml:space="preserve">) </w:t>
      </w:r>
      <w:r w:rsidR="00256D83" w:rsidRPr="00C61F3A">
        <w:rPr>
          <w:color w:val="auto"/>
        </w:rPr>
        <w:t>Setecientos cincuenta y tres hojas donde constan los roles de guardias y registros de asistencia.</w:t>
      </w:r>
    </w:p>
    <w:bookmarkEnd w:id="0"/>
    <w:p w14:paraId="704EA652" w14:textId="77777777" w:rsidR="00B77BB8" w:rsidRPr="00C61F3A" w:rsidRDefault="00B77BB8" w:rsidP="00BE170F">
      <w:pPr>
        <w:pStyle w:val="Prrafodelista"/>
        <w:spacing w:line="360" w:lineRule="auto"/>
        <w:ind w:left="1080"/>
        <w:rPr>
          <w:color w:val="auto"/>
        </w:rPr>
      </w:pPr>
    </w:p>
    <w:p w14:paraId="5E5C2EFD" w14:textId="7B20D0F5" w:rsidR="00A86661" w:rsidRPr="00C61F3A" w:rsidRDefault="00BE170F" w:rsidP="00BE170F">
      <w:pPr>
        <w:spacing w:after="0" w:line="360" w:lineRule="auto"/>
        <w:rPr>
          <w:color w:val="auto"/>
        </w:rPr>
      </w:pPr>
      <w:r w:rsidRPr="00C61F3A">
        <w:rPr>
          <w:color w:val="auto"/>
        </w:rPr>
        <w:t xml:space="preserve">vii) </w:t>
      </w:r>
      <w:r w:rsidR="00A86661" w:rsidRPr="00C61F3A">
        <w:rPr>
          <w:color w:val="auto"/>
        </w:rPr>
        <w:t>Resumen de la respuesta a la solicitud de información.</w:t>
      </w:r>
    </w:p>
    <w:p w14:paraId="6CFB6546" w14:textId="77777777" w:rsidR="00B77BB8" w:rsidRPr="00C61F3A" w:rsidRDefault="00B77BB8" w:rsidP="00BE170F">
      <w:pPr>
        <w:pStyle w:val="Prrafodelista"/>
        <w:spacing w:line="360" w:lineRule="auto"/>
        <w:ind w:left="1080"/>
        <w:rPr>
          <w:color w:val="auto"/>
        </w:rPr>
      </w:pPr>
    </w:p>
    <w:p w14:paraId="0E11505D" w14:textId="3274CB9B" w:rsidR="007E713F" w:rsidRPr="00C61F3A" w:rsidRDefault="00BE170F" w:rsidP="00BE170F">
      <w:pPr>
        <w:spacing w:after="0" w:line="360" w:lineRule="auto"/>
        <w:rPr>
          <w:color w:val="auto"/>
        </w:rPr>
      </w:pPr>
      <w:bookmarkStart w:id="1" w:name="_Hlk181206321"/>
      <w:r w:rsidRPr="00C61F3A">
        <w:rPr>
          <w:color w:val="auto"/>
        </w:rPr>
        <w:t xml:space="preserve">viii) </w:t>
      </w:r>
      <w:r w:rsidR="007E713F" w:rsidRPr="00C61F3A">
        <w:rPr>
          <w:color w:val="auto"/>
        </w:rPr>
        <w:t>Cuadro de clasificación de información, en la respuesta emitida.</w:t>
      </w:r>
    </w:p>
    <w:p w14:paraId="6EA9F3C6" w14:textId="77777777" w:rsidR="00B77BB8" w:rsidRPr="00C61F3A" w:rsidRDefault="00B77BB8" w:rsidP="00BE170F">
      <w:pPr>
        <w:pStyle w:val="Prrafodelista"/>
        <w:spacing w:line="360" w:lineRule="auto"/>
        <w:ind w:left="1080"/>
        <w:rPr>
          <w:color w:val="auto"/>
        </w:rPr>
      </w:pPr>
    </w:p>
    <w:bookmarkEnd w:id="1"/>
    <w:p w14:paraId="180FFC5F" w14:textId="477312AF" w:rsidR="007E713F" w:rsidRPr="00C61F3A" w:rsidRDefault="00BE170F" w:rsidP="00BE170F">
      <w:pPr>
        <w:spacing w:after="0" w:line="360" w:lineRule="auto"/>
        <w:rPr>
          <w:color w:val="auto"/>
        </w:rPr>
      </w:pPr>
      <w:r w:rsidRPr="00C61F3A">
        <w:rPr>
          <w:color w:val="auto"/>
        </w:rPr>
        <w:t xml:space="preserve">ix) </w:t>
      </w:r>
      <w:r w:rsidR="002753DA" w:rsidRPr="00C61F3A">
        <w:rPr>
          <w:color w:val="auto"/>
        </w:rPr>
        <w:t>Oficio I</w:t>
      </w:r>
      <w:r w:rsidR="002753DA" w:rsidRPr="00C61F3A">
        <w:rPr>
          <w:rFonts w:ascii="PalatinoLinotype-Bold" w:hAnsi="PalatinoLinotype-Bold" w:cs="PalatinoLinotype-Bold"/>
          <w:color w:val="auto"/>
          <w:sz w:val="21"/>
          <w:szCs w:val="21"/>
        </w:rPr>
        <w:t>NFOEM/DGAF/525/2024 de fecha doce de agosto de dos mil veinticuatro, suscrito por el Dirección General de Administración, dirigido al Titular de la Unidad de Transparencia, por medio del cual</w:t>
      </w:r>
      <w:r w:rsidR="00CC152F" w:rsidRPr="00C61F3A">
        <w:rPr>
          <w:rFonts w:ascii="PalatinoLinotype-Bold" w:hAnsi="PalatinoLinotype-Bold" w:cs="PalatinoLinotype-Bold"/>
          <w:color w:val="auto"/>
          <w:sz w:val="21"/>
          <w:szCs w:val="21"/>
        </w:rPr>
        <w:t>, se menciona lo siguiente:</w:t>
      </w:r>
    </w:p>
    <w:p w14:paraId="59967550" w14:textId="77777777" w:rsidR="00B77BB8" w:rsidRPr="00C61F3A" w:rsidRDefault="00B77BB8" w:rsidP="00BE170F">
      <w:pPr>
        <w:pStyle w:val="Prrafodelista"/>
        <w:spacing w:line="360" w:lineRule="auto"/>
        <w:ind w:left="1080"/>
        <w:rPr>
          <w:color w:val="auto"/>
        </w:rPr>
      </w:pPr>
    </w:p>
    <w:p w14:paraId="329798AF" w14:textId="5DF60BC4" w:rsidR="006B69F0" w:rsidRPr="00C61F3A" w:rsidRDefault="006B69F0" w:rsidP="00BE170F">
      <w:pPr>
        <w:pStyle w:val="Prrafodelista"/>
        <w:spacing w:line="360" w:lineRule="auto"/>
        <w:ind w:left="567" w:right="567"/>
        <w:rPr>
          <w:i/>
          <w:iCs/>
          <w:color w:val="auto"/>
          <w:sz w:val="20"/>
          <w:szCs w:val="20"/>
        </w:rPr>
      </w:pPr>
      <w:r w:rsidRPr="00C61F3A">
        <w:rPr>
          <w:i/>
          <w:iCs/>
          <w:color w:val="auto"/>
          <w:sz w:val="20"/>
          <w:szCs w:val="20"/>
        </w:rPr>
        <w:t>“…se procedió a realizar una búsqueda exhaustiva y razonable en los archivos de esta Dirección General y el Departamento de Recursos Humanos adscrito; al respecto se informa lo siguiente:</w:t>
      </w:r>
    </w:p>
    <w:p w14:paraId="6302C34F" w14:textId="77777777" w:rsidR="006B69F0" w:rsidRPr="00C61F3A" w:rsidRDefault="006B69F0" w:rsidP="00BE170F">
      <w:pPr>
        <w:pStyle w:val="Prrafodelista"/>
        <w:spacing w:line="360" w:lineRule="auto"/>
        <w:ind w:left="567" w:right="567"/>
        <w:rPr>
          <w:i/>
          <w:iCs/>
          <w:color w:val="auto"/>
          <w:sz w:val="20"/>
          <w:szCs w:val="20"/>
        </w:rPr>
      </w:pPr>
    </w:p>
    <w:p w14:paraId="15EF9AD5" w14:textId="77777777" w:rsidR="006B69F0" w:rsidRPr="00C61F3A" w:rsidRDefault="006B69F0" w:rsidP="00BE170F">
      <w:pPr>
        <w:pStyle w:val="Prrafodelista"/>
        <w:spacing w:line="360" w:lineRule="auto"/>
        <w:ind w:left="567" w:right="567"/>
        <w:rPr>
          <w:i/>
          <w:iCs/>
          <w:color w:val="auto"/>
          <w:sz w:val="20"/>
          <w:szCs w:val="20"/>
        </w:rPr>
      </w:pPr>
      <w:r w:rsidRPr="00C61F3A">
        <w:rPr>
          <w:i/>
          <w:iCs/>
          <w:color w:val="auto"/>
          <w:sz w:val="20"/>
          <w:szCs w:val="20"/>
        </w:rPr>
        <w:t xml:space="preserve">Por lo que hace a “Solicito todos los gafetes institucionales en formato PDF, de las personas servidoras públicas del INFOEM…” (Sic); envían las </w:t>
      </w:r>
      <w:r w:rsidRPr="00C61F3A">
        <w:rPr>
          <w:b/>
          <w:bCs/>
          <w:i/>
          <w:iCs/>
          <w:color w:val="auto"/>
          <w:sz w:val="20"/>
          <w:szCs w:val="20"/>
        </w:rPr>
        <w:t xml:space="preserve">“CREDENCIALES INSTITUCIONALES </w:t>
      </w:r>
      <w:r w:rsidRPr="00C61F3A">
        <w:rPr>
          <w:b/>
          <w:bCs/>
          <w:i/>
          <w:iCs/>
          <w:color w:val="auto"/>
          <w:sz w:val="20"/>
          <w:szCs w:val="20"/>
        </w:rPr>
        <w:lastRenderedPageBreak/>
        <w:t>DE LAS Y LOS SERVIDORES PÚBLICOS DEL INFOEM”,</w:t>
      </w:r>
      <w:r w:rsidRPr="00C61F3A">
        <w:rPr>
          <w:i/>
          <w:iCs/>
          <w:color w:val="auto"/>
          <w:sz w:val="20"/>
          <w:szCs w:val="20"/>
        </w:rPr>
        <w:t xml:space="preserve"> por el periodo solicitado por el particular </w:t>
      </w:r>
      <w:r w:rsidRPr="00C61F3A">
        <w:rPr>
          <w:b/>
          <w:bCs/>
          <w:i/>
          <w:iCs/>
          <w:color w:val="auto"/>
          <w:sz w:val="20"/>
          <w:szCs w:val="20"/>
        </w:rPr>
        <w:t>(Anexo 1).</w:t>
      </w:r>
      <w:r w:rsidRPr="00C61F3A">
        <w:rPr>
          <w:i/>
          <w:iCs/>
          <w:color w:val="auto"/>
          <w:sz w:val="20"/>
          <w:szCs w:val="20"/>
        </w:rPr>
        <w:t xml:space="preserve"> </w:t>
      </w:r>
    </w:p>
    <w:p w14:paraId="1FAE5BF4" w14:textId="77777777" w:rsidR="006B69F0" w:rsidRPr="00C61F3A" w:rsidRDefault="006B69F0" w:rsidP="00BE170F">
      <w:pPr>
        <w:pStyle w:val="Prrafodelista"/>
        <w:spacing w:line="360" w:lineRule="auto"/>
        <w:ind w:left="567" w:right="567"/>
        <w:rPr>
          <w:i/>
          <w:iCs/>
          <w:color w:val="auto"/>
          <w:sz w:val="20"/>
          <w:szCs w:val="20"/>
        </w:rPr>
      </w:pPr>
    </w:p>
    <w:p w14:paraId="1CB7EB74" w14:textId="4E8A53E8" w:rsidR="00CC152F" w:rsidRPr="00C61F3A" w:rsidRDefault="006B69F0" w:rsidP="00BE170F">
      <w:pPr>
        <w:pStyle w:val="Prrafodelista"/>
        <w:spacing w:line="360" w:lineRule="auto"/>
        <w:ind w:left="567" w:right="567"/>
        <w:rPr>
          <w:i/>
          <w:iCs/>
          <w:color w:val="auto"/>
          <w:sz w:val="20"/>
          <w:szCs w:val="20"/>
        </w:rPr>
      </w:pPr>
      <w:r w:rsidRPr="00C61F3A">
        <w:rPr>
          <w:i/>
          <w:iCs/>
          <w:color w:val="auto"/>
          <w:sz w:val="20"/>
          <w:szCs w:val="20"/>
        </w:rPr>
        <w:t xml:space="preserve">Una vez analizados los documentos con los que se dará </w:t>
      </w:r>
      <w:r w:rsidRPr="00C61F3A">
        <w:rPr>
          <w:b/>
          <w:bCs/>
          <w:i/>
          <w:iCs/>
          <w:color w:val="auto"/>
          <w:sz w:val="20"/>
          <w:szCs w:val="20"/>
        </w:rPr>
        <w:t>“CREDENCIALES INSTITUCIONALES DE LAS Y LOS SERVIDORES PÚBLICOS DEL INFOEM”</w:t>
      </w:r>
      <w:r w:rsidRPr="00C61F3A">
        <w:rPr>
          <w:i/>
          <w:iCs/>
          <w:color w:val="auto"/>
          <w:sz w:val="20"/>
          <w:szCs w:val="20"/>
        </w:rPr>
        <w:t xml:space="preserve">, se advierte que para este numeral, existe información susceptible de clasificar como confidencial al tratarse de datos personales concernientes a una persona física identificada o identificable tales como: </w:t>
      </w:r>
      <w:r w:rsidRPr="00C61F3A">
        <w:rPr>
          <w:b/>
          <w:bCs/>
          <w:i/>
          <w:iCs/>
          <w:color w:val="auto"/>
          <w:sz w:val="20"/>
          <w:szCs w:val="20"/>
        </w:rPr>
        <w:t>FOTOGRAFÍA</w:t>
      </w:r>
      <w:r w:rsidRPr="00C61F3A">
        <w:rPr>
          <w:i/>
          <w:iCs/>
          <w:color w:val="auto"/>
          <w:sz w:val="20"/>
          <w:szCs w:val="20"/>
        </w:rPr>
        <w:t xml:space="preserve"> derivado de que constituye la reproducción fiel de la imagen de una persona, objeto de la cosa, obtenida en papel a través de la impresión en un rollo o placa por medio de cámara fotográfica, o en formato digital, que constituye la reproducción de las imágenes captadas. En este sentido, la fotografía constituye el primer elemento de la esfera personal de todo individuo, en cuanto instrumento básico de identificación y proyección exterior y factor imprescindible para su propio reconocimiento como sujeto individual; por lo tanto, es un dato personal.</w:t>
      </w:r>
    </w:p>
    <w:p w14:paraId="43D131FE" w14:textId="77777777" w:rsidR="006B69F0" w:rsidRPr="00C61F3A" w:rsidRDefault="006B69F0" w:rsidP="00BE170F">
      <w:pPr>
        <w:pStyle w:val="Prrafodelista"/>
        <w:spacing w:line="360" w:lineRule="auto"/>
        <w:ind w:left="567" w:right="567"/>
        <w:rPr>
          <w:i/>
          <w:iCs/>
          <w:color w:val="auto"/>
          <w:sz w:val="20"/>
          <w:szCs w:val="20"/>
        </w:rPr>
      </w:pPr>
    </w:p>
    <w:p w14:paraId="6CC64761" w14:textId="75488A02" w:rsidR="00CF79D1" w:rsidRPr="00C61F3A" w:rsidRDefault="006B69F0" w:rsidP="00BE170F">
      <w:pPr>
        <w:pStyle w:val="Prrafodelista"/>
        <w:spacing w:line="360" w:lineRule="auto"/>
        <w:ind w:left="567" w:right="567"/>
        <w:rPr>
          <w:b/>
          <w:bCs/>
          <w:i/>
          <w:iCs/>
          <w:color w:val="auto"/>
          <w:sz w:val="20"/>
          <w:szCs w:val="20"/>
        </w:rPr>
      </w:pPr>
      <w:r w:rsidRPr="00C61F3A">
        <w:rPr>
          <w:i/>
          <w:iCs/>
          <w:color w:val="auto"/>
          <w:sz w:val="20"/>
          <w:szCs w:val="20"/>
        </w:rPr>
        <w:t xml:space="preserve">En consecuencia, de conformidad a lo establecido en los artículos 3 fracción IX y 143 fracción I de la Ley de Transparencia y Acceso a la Información Pública del Estado de México y Municipios y el artículo 4 fracción XI de la Ley de Protección de Datos Personales en Posesión de Sujetos Obligados del Estado de México y Municipios con relación al numeral Trigésimo Octavo fracción I de los Lineamientos Generales en Materia de Clasificación y Desclasificación de la Información, así como para la Elaboración de Versiones Públicas, y supletoriamente con el Artículo 1 fracción I de los Lineamientos Sobre Medidas de Seguridad Aplicables a los Sistemas de Datos Personales que se Encuentran en Posesión de los Sujetos Obligados de la Ley de Protección de Datos Personales del Estado de México. En el mismo entendido, se acompaña del respectivo </w:t>
      </w:r>
      <w:r w:rsidRPr="00C61F3A">
        <w:rPr>
          <w:b/>
          <w:bCs/>
          <w:i/>
          <w:iCs/>
          <w:color w:val="auto"/>
          <w:sz w:val="20"/>
          <w:szCs w:val="20"/>
        </w:rPr>
        <w:t>Cuadro de Clasificación (Anexo 2).</w:t>
      </w:r>
    </w:p>
    <w:p w14:paraId="02ECA929" w14:textId="77777777" w:rsidR="006B69F0" w:rsidRPr="00C61F3A" w:rsidRDefault="006B69F0" w:rsidP="00BE170F">
      <w:pPr>
        <w:pStyle w:val="Prrafodelista"/>
        <w:spacing w:line="360" w:lineRule="auto"/>
        <w:ind w:left="567" w:right="567"/>
        <w:rPr>
          <w:i/>
          <w:iCs/>
          <w:color w:val="auto"/>
          <w:sz w:val="20"/>
          <w:szCs w:val="20"/>
        </w:rPr>
      </w:pPr>
    </w:p>
    <w:p w14:paraId="56998E34" w14:textId="487B3FCB" w:rsidR="006B69F0" w:rsidRPr="00C61F3A" w:rsidRDefault="006B69F0" w:rsidP="00BE170F">
      <w:pPr>
        <w:pStyle w:val="Prrafodelista"/>
        <w:spacing w:line="360" w:lineRule="auto"/>
        <w:ind w:left="567" w:right="567"/>
        <w:rPr>
          <w:i/>
          <w:iCs/>
          <w:color w:val="auto"/>
          <w:sz w:val="20"/>
          <w:szCs w:val="20"/>
        </w:rPr>
      </w:pPr>
      <w:r w:rsidRPr="00C61F3A">
        <w:rPr>
          <w:i/>
          <w:iCs/>
          <w:color w:val="auto"/>
          <w:sz w:val="20"/>
          <w:szCs w:val="20"/>
        </w:rPr>
        <w:t xml:space="preserve">Por lo que hace a datos como: Logo Institucional, Nombre de la Institución, Firma de autoridades en el ejercicio de funciones, </w:t>
      </w:r>
      <w:r w:rsidRPr="00C61F3A">
        <w:rPr>
          <w:b/>
          <w:bCs/>
          <w:i/>
          <w:iCs/>
          <w:color w:val="auto"/>
          <w:sz w:val="20"/>
          <w:szCs w:val="20"/>
          <w:u w:val="single"/>
        </w:rPr>
        <w:t>se considera como información pública en virtud</w:t>
      </w:r>
      <w:r w:rsidRPr="00C61F3A">
        <w:rPr>
          <w:i/>
          <w:iCs/>
          <w:color w:val="auto"/>
          <w:sz w:val="20"/>
          <w:szCs w:val="20"/>
        </w:rPr>
        <w:t xml:space="preserve"> de lo establecido en el artículo 122 párrafo I, 132 fracción I, 133, 137 y 138 de la Ley de Transparencia y Acceso a la Información Pública del Estado de México y Municipios; artículo 57 del Código de Procedimientos </w:t>
      </w:r>
      <w:r w:rsidRPr="00C61F3A">
        <w:rPr>
          <w:i/>
          <w:iCs/>
          <w:color w:val="auto"/>
          <w:sz w:val="20"/>
          <w:szCs w:val="20"/>
        </w:rPr>
        <w:lastRenderedPageBreak/>
        <w:t>Administrativos del Estado de México y el numeral Quincuagésimo Séptimo fracciones I y II de los Lineamientos Generales en Materia de Clasificación y Desclasificación de la Información, así como para la elaboración de Versiones Públicas.</w:t>
      </w:r>
    </w:p>
    <w:p w14:paraId="4433CFB6" w14:textId="77777777" w:rsidR="006B69F0" w:rsidRPr="00C61F3A" w:rsidRDefault="006B69F0" w:rsidP="00BE170F">
      <w:pPr>
        <w:autoSpaceDE w:val="0"/>
        <w:autoSpaceDN w:val="0"/>
        <w:adjustRightInd w:val="0"/>
        <w:spacing w:after="0" w:line="360" w:lineRule="auto"/>
        <w:ind w:left="567" w:right="567"/>
        <w:jc w:val="left"/>
        <w:rPr>
          <w:rFonts w:ascii="PalatinoLinotype-Roman" w:hAnsi="PalatinoLinotype-Roman" w:cs="PalatinoLinotype-Roman"/>
          <w:color w:val="auto"/>
          <w:sz w:val="24"/>
          <w:szCs w:val="24"/>
        </w:rPr>
      </w:pPr>
    </w:p>
    <w:p w14:paraId="212F3FE0" w14:textId="06B642CF" w:rsidR="001C058D" w:rsidRPr="00C61F3A" w:rsidRDefault="006B69F0" w:rsidP="00BE170F">
      <w:pPr>
        <w:pStyle w:val="Prrafodelista"/>
        <w:spacing w:line="360" w:lineRule="auto"/>
        <w:ind w:left="567" w:right="567"/>
        <w:rPr>
          <w:i/>
          <w:iCs/>
          <w:color w:val="auto"/>
          <w:sz w:val="20"/>
          <w:szCs w:val="20"/>
        </w:rPr>
      </w:pPr>
      <w:r w:rsidRPr="00C61F3A">
        <w:rPr>
          <w:i/>
          <w:iCs/>
          <w:color w:val="auto"/>
          <w:sz w:val="20"/>
          <w:szCs w:val="20"/>
        </w:rPr>
        <w:t xml:space="preserve">Por lo anteriormente expuesto y con fundamento en los artículos 47, 49 fracciones II, VIII, XII y XVI, 53 fracción X, 59 fracciones I, II, III, IV, V y VI, 122 párrafo primero, 132 fracción I, 133, 137 y 138 de la Ley de Transparencia y Acceso a la Información Pública del Estado de México y Municipios , </w:t>
      </w:r>
      <w:r w:rsidRPr="00C61F3A">
        <w:rPr>
          <w:b/>
          <w:bCs/>
          <w:i/>
          <w:iCs/>
          <w:color w:val="auto"/>
          <w:sz w:val="20"/>
          <w:szCs w:val="20"/>
        </w:rPr>
        <w:t>le solicito amablemente convocar al Comité de Transparencia de este Instituto, con la finalidad de que se someta a su consideración la clasificación parcial de la información con carácter confidencial, y así, emitir la versión pública de los documentos referidos,</w:t>
      </w:r>
      <w:r w:rsidRPr="00C61F3A">
        <w:rPr>
          <w:i/>
          <w:iCs/>
          <w:color w:val="auto"/>
          <w:sz w:val="20"/>
          <w:szCs w:val="20"/>
        </w:rPr>
        <w:t xml:space="preserve"> ya que si bien, son de carácter público, también contienen datos de carácter confidencial , por lo que debe permitirse el acceso a ellos a través de su versión pública, en la que se testen las partes o secciones clasificadas conforme a lo establecido en los artículos 3 fracción IX y 143 fracción I de la Ley de Transparencia y Acceso a la Información Pública del Estado de México y Municipios; 4 fracción XI de la Ley de Protección de Datos Personales en Posesión de Sujetos Obligados del Estado de México y Municipios; el numeral Trigésimo Octavo fracción I de los Lineamientos en Materia de Clasificación y Desclasificación de la Información, así como para la elaboración de Versiones Públicas; y supletoriamente el artículo 1 fracción I de los Lineamientos Sobre Medidas de Seguridad Aplicables a los Sistemas de Datos Personales que se Encuentran en Posesión de los Sujetos Obligados de la Ley de Protección de Datos Personales del Estado de México.</w:t>
      </w:r>
    </w:p>
    <w:p w14:paraId="3B88F4EA" w14:textId="77777777" w:rsidR="005E7CED" w:rsidRPr="00C61F3A" w:rsidRDefault="005E7CED" w:rsidP="00BE170F">
      <w:pPr>
        <w:pStyle w:val="Prrafodelista"/>
        <w:spacing w:line="360" w:lineRule="auto"/>
        <w:ind w:left="567" w:right="567"/>
        <w:rPr>
          <w:i/>
          <w:iCs/>
          <w:color w:val="auto"/>
          <w:sz w:val="20"/>
          <w:szCs w:val="20"/>
        </w:rPr>
      </w:pPr>
    </w:p>
    <w:p w14:paraId="0500C5EB" w14:textId="4E5BB564" w:rsidR="005E7CED" w:rsidRPr="00C61F3A" w:rsidRDefault="005E7CED" w:rsidP="00BE170F">
      <w:pPr>
        <w:pStyle w:val="Prrafodelista"/>
        <w:spacing w:line="360" w:lineRule="auto"/>
        <w:ind w:left="567" w:right="567"/>
        <w:rPr>
          <w:b/>
          <w:bCs/>
          <w:i/>
          <w:iCs/>
          <w:color w:val="auto"/>
          <w:sz w:val="20"/>
          <w:szCs w:val="20"/>
        </w:rPr>
      </w:pPr>
      <w:r w:rsidRPr="00C61F3A">
        <w:rPr>
          <w:i/>
          <w:iCs/>
          <w:color w:val="auto"/>
          <w:sz w:val="20"/>
          <w:szCs w:val="20"/>
        </w:rPr>
        <w:t>2.‐ Por lo que hace a “…</w:t>
      </w:r>
      <w:r w:rsidRPr="00C61F3A">
        <w:rPr>
          <w:b/>
          <w:bCs/>
          <w:i/>
          <w:iCs/>
          <w:color w:val="auto"/>
          <w:sz w:val="20"/>
          <w:szCs w:val="20"/>
        </w:rPr>
        <w:t>Solicito las listas de asistencia que se generaron en 2020, 2021 y 2022…”</w:t>
      </w:r>
      <w:r w:rsidR="00B77BB8" w:rsidRPr="00C61F3A">
        <w:rPr>
          <w:b/>
          <w:bCs/>
          <w:i/>
          <w:iCs/>
          <w:color w:val="auto"/>
          <w:sz w:val="20"/>
          <w:szCs w:val="20"/>
        </w:rPr>
        <w:t xml:space="preserve"> </w:t>
      </w:r>
      <w:r w:rsidRPr="00C61F3A">
        <w:rPr>
          <w:b/>
          <w:bCs/>
          <w:i/>
          <w:iCs/>
          <w:color w:val="auto"/>
          <w:sz w:val="20"/>
          <w:szCs w:val="20"/>
        </w:rPr>
        <w:t>(Sic);</w:t>
      </w:r>
      <w:r w:rsidRPr="00C61F3A">
        <w:rPr>
          <w:i/>
          <w:iCs/>
          <w:color w:val="auto"/>
          <w:sz w:val="20"/>
          <w:szCs w:val="20"/>
        </w:rPr>
        <w:t xml:space="preserve"> se envía la información solicitada por el particular </w:t>
      </w:r>
      <w:r w:rsidRPr="00C61F3A">
        <w:rPr>
          <w:b/>
          <w:bCs/>
          <w:i/>
          <w:iCs/>
          <w:color w:val="auto"/>
          <w:sz w:val="20"/>
          <w:szCs w:val="20"/>
        </w:rPr>
        <w:t>(Anexo 3)</w:t>
      </w:r>
      <w:r w:rsidR="000A23AF" w:rsidRPr="00C61F3A">
        <w:rPr>
          <w:b/>
          <w:bCs/>
          <w:i/>
          <w:iCs/>
          <w:color w:val="auto"/>
          <w:sz w:val="20"/>
          <w:szCs w:val="20"/>
        </w:rPr>
        <w:t>…” (Sic)</w:t>
      </w:r>
    </w:p>
    <w:p w14:paraId="06786AE1" w14:textId="77777777" w:rsidR="00B77BB8" w:rsidRPr="00C61F3A" w:rsidRDefault="00B77BB8" w:rsidP="00BE170F">
      <w:pPr>
        <w:pStyle w:val="Prrafodelista"/>
        <w:spacing w:line="360" w:lineRule="auto"/>
        <w:ind w:left="1080"/>
        <w:rPr>
          <w:b/>
          <w:bCs/>
          <w:i/>
          <w:iCs/>
          <w:color w:val="auto"/>
          <w:sz w:val="20"/>
          <w:szCs w:val="20"/>
        </w:rPr>
      </w:pPr>
    </w:p>
    <w:p w14:paraId="7C158CF0" w14:textId="59A96027" w:rsidR="00B77BB8" w:rsidRPr="00C61F3A" w:rsidRDefault="00BE170F" w:rsidP="00BE170F">
      <w:pPr>
        <w:spacing w:after="0" w:line="360" w:lineRule="auto"/>
        <w:rPr>
          <w:rFonts w:ascii="PalatinoLinotype-Roman" w:hAnsi="PalatinoLinotype-Roman" w:cs="PalatinoLinotype-Roman"/>
          <w:color w:val="auto"/>
        </w:rPr>
      </w:pPr>
      <w:r w:rsidRPr="00C61F3A">
        <w:rPr>
          <w:rFonts w:ascii="PalatinoLinotype-Roman" w:hAnsi="PalatinoLinotype-Roman" w:cs="PalatinoLinotype-Roman"/>
          <w:color w:val="auto"/>
        </w:rPr>
        <w:t xml:space="preserve">x) </w:t>
      </w:r>
      <w:r w:rsidR="00B77BB8" w:rsidRPr="00C61F3A">
        <w:rPr>
          <w:rFonts w:ascii="PalatinoLinotype-Roman" w:hAnsi="PalatinoLinotype-Roman" w:cs="PalatinoLinotype-Roman"/>
          <w:color w:val="auto"/>
        </w:rPr>
        <w:t>Resolución RES/02/INFOEM/EXT/COMT/21ª/2024 de fecha nueve de agosto de dos mil veinticuatro, por medio de la cual se confirma la clasificación parcial de la información como confidencial, propuesta por la Dirección General de Administración y Finanzas, de los documentos remitidos para dar contestación a la solicitud de información.</w:t>
      </w:r>
    </w:p>
    <w:p w14:paraId="619FE687" w14:textId="414F479A" w:rsidR="00B77BB8" w:rsidRPr="00C61F3A" w:rsidRDefault="00BE170F" w:rsidP="00BE170F">
      <w:pPr>
        <w:spacing w:after="0" w:line="360" w:lineRule="auto"/>
        <w:rPr>
          <w:rFonts w:ascii="PalatinoLinotype-Roman" w:hAnsi="PalatinoLinotype-Roman" w:cs="PalatinoLinotype-Roman"/>
          <w:color w:val="auto"/>
        </w:rPr>
      </w:pPr>
      <w:r w:rsidRPr="00C61F3A">
        <w:rPr>
          <w:rFonts w:ascii="PalatinoLinotype-Roman" w:hAnsi="PalatinoLinotype-Roman" w:cs="PalatinoLinotype-Roman"/>
          <w:color w:val="auto"/>
        </w:rPr>
        <w:lastRenderedPageBreak/>
        <w:t xml:space="preserve">xi) </w:t>
      </w:r>
      <w:r w:rsidR="00A71EC2" w:rsidRPr="00C61F3A">
        <w:rPr>
          <w:rFonts w:ascii="PalatinoLinotype-Roman" w:hAnsi="PalatinoLinotype-Roman" w:cs="PalatinoLinotype-Roman"/>
          <w:color w:val="auto"/>
        </w:rPr>
        <w:t xml:space="preserve">Resoluciones por parte del </w:t>
      </w:r>
      <w:r w:rsidR="009C583A" w:rsidRPr="00C61F3A">
        <w:rPr>
          <w:rFonts w:ascii="PalatinoLinotype-Roman" w:hAnsi="PalatinoLinotype-Roman" w:cs="PalatinoLinotype-Roman"/>
          <w:color w:val="auto"/>
        </w:rPr>
        <w:t>Comité de</w:t>
      </w:r>
      <w:r w:rsidRPr="00C61F3A">
        <w:rPr>
          <w:rFonts w:ascii="PalatinoLinotype-Roman" w:hAnsi="PalatinoLinotype-Roman" w:cs="PalatinoLinotype-Roman"/>
          <w:color w:val="auto"/>
        </w:rPr>
        <w:t xml:space="preserve"> Información</w:t>
      </w:r>
      <w:r w:rsidR="00A71EC2" w:rsidRPr="00C61F3A">
        <w:rPr>
          <w:rFonts w:ascii="PalatinoLinotype-Roman" w:hAnsi="PalatinoLinotype-Roman" w:cs="PalatinoLinotype-Roman"/>
          <w:color w:val="auto"/>
        </w:rPr>
        <w:t xml:space="preserve"> del año dos mil catorce.</w:t>
      </w:r>
    </w:p>
    <w:p w14:paraId="547E976C" w14:textId="77777777" w:rsidR="00A71EC2" w:rsidRPr="00C61F3A" w:rsidRDefault="00A71EC2" w:rsidP="00BE170F">
      <w:pPr>
        <w:pStyle w:val="Prrafodelista"/>
        <w:spacing w:line="360" w:lineRule="auto"/>
        <w:rPr>
          <w:rFonts w:ascii="PalatinoLinotype-Roman" w:hAnsi="PalatinoLinotype-Roman" w:cs="PalatinoLinotype-Roman"/>
          <w:color w:val="auto"/>
          <w:szCs w:val="22"/>
        </w:rPr>
      </w:pPr>
    </w:p>
    <w:p w14:paraId="16F7E077" w14:textId="6FB28551" w:rsidR="00A71EC2" w:rsidRPr="00C61F3A" w:rsidRDefault="00BE170F" w:rsidP="00BE170F">
      <w:pPr>
        <w:spacing w:after="0" w:line="360" w:lineRule="auto"/>
        <w:rPr>
          <w:rFonts w:ascii="PalatinoLinotype-Roman" w:hAnsi="PalatinoLinotype-Roman" w:cs="PalatinoLinotype-Roman"/>
          <w:color w:val="auto"/>
        </w:rPr>
      </w:pPr>
      <w:r w:rsidRPr="00C61F3A">
        <w:rPr>
          <w:rFonts w:ascii="PalatinoLinotype-Roman" w:hAnsi="PalatinoLinotype-Roman" w:cs="PalatinoLinotype-Roman"/>
          <w:color w:val="auto"/>
        </w:rPr>
        <w:t xml:space="preserve">xii) </w:t>
      </w:r>
      <w:r w:rsidR="00A71EC2" w:rsidRPr="00C61F3A">
        <w:rPr>
          <w:rFonts w:ascii="PalatinoLinotype-Roman" w:hAnsi="PalatinoLinotype-Roman" w:cs="PalatinoLinotype-Roman"/>
          <w:color w:val="auto"/>
        </w:rPr>
        <w:t xml:space="preserve">Memorándum número INFOEM/DGTAIPGA/078/2024 de fecha diecisiete de julio de dos mil veinticuatro, suscrito por la </w:t>
      </w:r>
      <w:r w:rsidR="00B71755" w:rsidRPr="00C61F3A">
        <w:rPr>
          <w:rFonts w:ascii="PalatinoLinotype-Roman" w:hAnsi="PalatinoLinotype-Roman" w:cs="PalatinoLinotype-Roman"/>
          <w:color w:val="auto"/>
        </w:rPr>
        <w:t>Directora General</w:t>
      </w:r>
      <w:r w:rsidR="00A71EC2" w:rsidRPr="00C61F3A">
        <w:rPr>
          <w:rFonts w:ascii="PalatinoLinotype-Roman" w:hAnsi="PalatinoLinotype-Roman" w:cs="PalatinoLinotype-Roman"/>
          <w:color w:val="auto"/>
        </w:rPr>
        <w:t xml:space="preserve"> de Transparencia, Acceso a la Información Pública y Gobierno Abierto, dirigido al </w:t>
      </w:r>
      <w:r w:rsidR="00B71755" w:rsidRPr="00C61F3A">
        <w:rPr>
          <w:rFonts w:ascii="PalatinoLinotype-Roman" w:hAnsi="PalatinoLinotype-Roman" w:cs="PalatinoLinotype-Roman"/>
          <w:color w:val="auto"/>
        </w:rPr>
        <w:t>Titular de la Unidad de Transparencia, por medio del cual se menciona lo siguiente:</w:t>
      </w:r>
    </w:p>
    <w:p w14:paraId="6B2B8804" w14:textId="77777777" w:rsidR="001744F3" w:rsidRPr="00C61F3A" w:rsidRDefault="001744F3" w:rsidP="00BE170F">
      <w:pPr>
        <w:pStyle w:val="Prrafodelista"/>
        <w:spacing w:line="360" w:lineRule="auto"/>
        <w:ind w:left="1080"/>
        <w:rPr>
          <w:rFonts w:ascii="PalatinoLinotype-Roman" w:hAnsi="PalatinoLinotype-Roman" w:cs="PalatinoLinotype-Roman"/>
          <w:color w:val="auto"/>
          <w:szCs w:val="22"/>
        </w:rPr>
      </w:pPr>
    </w:p>
    <w:p w14:paraId="5DA2EA71" w14:textId="0802305A" w:rsidR="00B71755" w:rsidRPr="00C61F3A" w:rsidRDefault="00B71755" w:rsidP="00BE170F">
      <w:pPr>
        <w:pStyle w:val="Prrafodelista"/>
        <w:spacing w:line="360" w:lineRule="auto"/>
        <w:ind w:left="567" w:right="567"/>
        <w:rPr>
          <w:rFonts w:ascii="PalatinoLinotype-Roman" w:hAnsi="PalatinoLinotype-Roman" w:cs="PalatinoLinotype-Roman"/>
          <w:i/>
          <w:iCs/>
          <w:color w:val="auto"/>
          <w:sz w:val="20"/>
          <w:szCs w:val="20"/>
        </w:rPr>
      </w:pPr>
      <w:r w:rsidRPr="00C61F3A">
        <w:rPr>
          <w:rFonts w:ascii="PalatinoLinotype-Roman" w:hAnsi="PalatinoLinotype-Roman" w:cs="PalatinoLinotype-Roman"/>
          <w:i/>
          <w:iCs/>
          <w:color w:val="auto"/>
          <w:sz w:val="20"/>
          <w:szCs w:val="20"/>
        </w:rPr>
        <w:t xml:space="preserve">“…En concordancia con lo anterior, respecto a </w:t>
      </w:r>
      <w:r w:rsidRPr="00C61F3A">
        <w:rPr>
          <w:rFonts w:ascii="PalatinoLinotype-Roman" w:hAnsi="PalatinoLinotype-Roman" w:cs="PalatinoLinotype-Roman"/>
          <w:b/>
          <w:bCs/>
          <w:i/>
          <w:iCs/>
          <w:color w:val="auto"/>
          <w:sz w:val="20"/>
          <w:szCs w:val="20"/>
        </w:rPr>
        <w:t xml:space="preserve">“…Solicito saber porque INFOEM, puso toda la normatividad en el </w:t>
      </w:r>
      <w:proofErr w:type="spellStart"/>
      <w:r w:rsidRPr="00C61F3A">
        <w:rPr>
          <w:rFonts w:ascii="PalatinoLinotype-Roman" w:hAnsi="PalatinoLinotype-Roman" w:cs="PalatinoLinotype-Roman"/>
          <w:b/>
          <w:bCs/>
          <w:i/>
          <w:iCs/>
          <w:color w:val="auto"/>
          <w:sz w:val="20"/>
          <w:szCs w:val="20"/>
        </w:rPr>
        <w:t>Ipomex</w:t>
      </w:r>
      <w:proofErr w:type="spellEnd"/>
      <w:r w:rsidRPr="00C61F3A">
        <w:rPr>
          <w:rFonts w:ascii="PalatinoLinotype-Roman" w:hAnsi="PalatinoLinotype-Roman" w:cs="PalatinoLinotype-Roman"/>
          <w:b/>
          <w:bCs/>
          <w:i/>
          <w:iCs/>
          <w:color w:val="auto"/>
          <w:sz w:val="20"/>
          <w:szCs w:val="20"/>
        </w:rPr>
        <w:t xml:space="preserve"> y ya no así en su página web institucional”</w:t>
      </w:r>
      <w:r w:rsidR="00B3435E" w:rsidRPr="00C61F3A">
        <w:rPr>
          <w:rFonts w:ascii="PalatinoLinotype-Roman" w:hAnsi="PalatinoLinotype-Roman" w:cs="PalatinoLinotype-Roman"/>
          <w:b/>
          <w:bCs/>
          <w:i/>
          <w:iCs/>
          <w:color w:val="auto"/>
          <w:sz w:val="20"/>
          <w:szCs w:val="20"/>
        </w:rPr>
        <w:t xml:space="preserve">, </w:t>
      </w:r>
      <w:r w:rsidR="00B3435E" w:rsidRPr="00C61F3A">
        <w:rPr>
          <w:rFonts w:ascii="PalatinoLinotype-Roman" w:hAnsi="PalatinoLinotype-Roman" w:cs="PalatinoLinotype-Roman"/>
          <w:i/>
          <w:iCs/>
          <w:color w:val="auto"/>
          <w:sz w:val="20"/>
          <w:szCs w:val="20"/>
        </w:rPr>
        <w:t xml:space="preserve">no se cuenta con documento alguno que colme lo solicitado en concordancia en el fundamento anterior; no obstante, me permito hacer del conocimiento del solicitante que el artículo 92, fracción I de la Ley de Transparencia Local, estipula como obligación el transparentar lo referente al marco normativo aplicable al sujeto obligado, es en ese sentido que en arad de contar con un solo apartado en el cual poner a disposición  de la sociedad en general dicha información y con la intensión de no confundir a los visares de la misma, se redirige el link </w:t>
      </w:r>
      <w:r w:rsidR="00420E8D" w:rsidRPr="00C61F3A">
        <w:rPr>
          <w:rFonts w:ascii="PalatinoLinotype-Roman" w:hAnsi="PalatinoLinotype-Roman" w:cs="PalatinoLinotype-Roman"/>
          <w:i/>
          <w:iCs/>
          <w:color w:val="auto"/>
          <w:sz w:val="20"/>
          <w:szCs w:val="20"/>
        </w:rPr>
        <w:t xml:space="preserve">de la fracción de </w:t>
      </w:r>
      <w:proofErr w:type="spellStart"/>
      <w:r w:rsidR="00420E8D" w:rsidRPr="00C61F3A">
        <w:rPr>
          <w:rFonts w:ascii="PalatinoLinotype-Roman" w:hAnsi="PalatinoLinotype-Roman" w:cs="PalatinoLinotype-Roman"/>
          <w:i/>
          <w:iCs/>
          <w:color w:val="auto"/>
          <w:sz w:val="20"/>
          <w:szCs w:val="20"/>
        </w:rPr>
        <w:t>Ipomex</w:t>
      </w:r>
      <w:proofErr w:type="spellEnd"/>
      <w:r w:rsidR="00420E8D" w:rsidRPr="00C61F3A">
        <w:rPr>
          <w:rFonts w:ascii="PalatinoLinotype-Roman" w:hAnsi="PalatinoLinotype-Roman" w:cs="PalatinoLinotype-Roman"/>
          <w:i/>
          <w:iCs/>
          <w:color w:val="auto"/>
          <w:sz w:val="20"/>
          <w:szCs w:val="20"/>
        </w:rPr>
        <w:t xml:space="preserve"> señalada en el cual puede advertir y acceder a la normatividad aplicable y de observancia de este organismo…” (Sic)</w:t>
      </w:r>
    </w:p>
    <w:p w14:paraId="65168FD4" w14:textId="77777777" w:rsidR="00B71755" w:rsidRPr="00C61F3A" w:rsidRDefault="00B71755" w:rsidP="00BE170F">
      <w:pPr>
        <w:pStyle w:val="Prrafodelista"/>
        <w:spacing w:line="360" w:lineRule="auto"/>
        <w:ind w:left="1080"/>
        <w:rPr>
          <w:rFonts w:ascii="PalatinoLinotype-Roman" w:hAnsi="PalatinoLinotype-Roman" w:cs="PalatinoLinotype-Roman"/>
          <w:color w:val="auto"/>
          <w:szCs w:val="22"/>
        </w:rPr>
      </w:pPr>
    </w:p>
    <w:p w14:paraId="2B803E22" w14:textId="60B7997D" w:rsidR="00C853D1" w:rsidRPr="00C61F3A" w:rsidRDefault="00A43F45" w:rsidP="00BE170F">
      <w:pPr>
        <w:spacing w:after="0" w:line="360" w:lineRule="auto"/>
        <w:rPr>
          <w:b/>
          <w:color w:val="auto"/>
        </w:rPr>
      </w:pPr>
      <w:r w:rsidRPr="00C61F3A">
        <w:rPr>
          <w:b/>
          <w:color w:val="auto"/>
        </w:rPr>
        <w:t>I</w:t>
      </w:r>
      <w:r w:rsidR="001744F3" w:rsidRPr="00C61F3A">
        <w:rPr>
          <w:b/>
          <w:color w:val="auto"/>
        </w:rPr>
        <w:t>V</w:t>
      </w:r>
      <w:r w:rsidR="00C853D1" w:rsidRPr="00C61F3A">
        <w:rPr>
          <w:b/>
          <w:color w:val="auto"/>
        </w:rPr>
        <w:t>. Interpo</w:t>
      </w:r>
      <w:r w:rsidR="00622459" w:rsidRPr="00C61F3A">
        <w:rPr>
          <w:b/>
          <w:color w:val="auto"/>
        </w:rPr>
        <w:t>sición del Recurso de Revisión</w:t>
      </w:r>
    </w:p>
    <w:p w14:paraId="62543F21" w14:textId="77777777" w:rsidR="008E15AF" w:rsidRPr="00C61F3A" w:rsidRDefault="008E15AF" w:rsidP="00BE170F">
      <w:pPr>
        <w:spacing w:after="0" w:line="360" w:lineRule="auto"/>
        <w:rPr>
          <w:b/>
          <w:color w:val="FF0000"/>
        </w:rPr>
      </w:pPr>
    </w:p>
    <w:p w14:paraId="2F891DAB" w14:textId="3F78CF30" w:rsidR="00C853D1" w:rsidRPr="00C61F3A" w:rsidRDefault="004223A0" w:rsidP="00BE170F">
      <w:pPr>
        <w:spacing w:after="0" w:line="360" w:lineRule="auto"/>
        <w:rPr>
          <w:bCs/>
          <w:color w:val="auto"/>
        </w:rPr>
      </w:pPr>
      <w:r w:rsidRPr="00C61F3A">
        <w:rPr>
          <w:bCs/>
          <w:color w:val="auto"/>
        </w:rPr>
        <w:t xml:space="preserve">El </w:t>
      </w:r>
      <w:r w:rsidR="001744F3" w:rsidRPr="00C61F3A">
        <w:rPr>
          <w:bCs/>
          <w:color w:val="auto"/>
        </w:rPr>
        <w:t xml:space="preserve">veintisiete de agosto de </w:t>
      </w:r>
      <w:r w:rsidR="0011426D" w:rsidRPr="00C61F3A">
        <w:rPr>
          <w:bCs/>
          <w:color w:val="auto"/>
        </w:rPr>
        <w:t>dos mil veinti</w:t>
      </w:r>
      <w:r w:rsidR="00E53AA2" w:rsidRPr="00C61F3A">
        <w:rPr>
          <w:bCs/>
          <w:color w:val="auto"/>
        </w:rPr>
        <w:t>cuatro</w:t>
      </w:r>
      <w:r w:rsidR="00C853D1" w:rsidRPr="00C61F3A">
        <w:rPr>
          <w:bCs/>
          <w:color w:val="auto"/>
        </w:rPr>
        <w:t xml:space="preserve">, se recibió en este Instituto, a través del </w:t>
      </w:r>
      <w:r w:rsidR="00C853D1" w:rsidRPr="00C61F3A">
        <w:rPr>
          <w:bCs/>
          <w:color w:val="auto"/>
          <w:lang w:val="es-ES"/>
        </w:rPr>
        <w:t>Sistema de Acceso a la Información Mexiquense (SAIMEX)</w:t>
      </w:r>
      <w:r w:rsidR="00C853D1" w:rsidRPr="00C61F3A">
        <w:rPr>
          <w:bCs/>
          <w:color w:val="auto"/>
        </w:rPr>
        <w:t>, Recurso de Revisión interpuesto por la parte Recurrente, en contra de la respuesta por el Sujeto Obligado, a la solicitud de información</w:t>
      </w:r>
      <w:r w:rsidR="00657E8F" w:rsidRPr="00C61F3A">
        <w:rPr>
          <w:bCs/>
          <w:color w:val="auto"/>
        </w:rPr>
        <w:t xml:space="preserve">, </w:t>
      </w:r>
      <w:r w:rsidR="00C853D1" w:rsidRPr="00C61F3A">
        <w:rPr>
          <w:bCs/>
          <w:color w:val="auto"/>
        </w:rPr>
        <w:t>en los siguientes términos:</w:t>
      </w:r>
    </w:p>
    <w:p w14:paraId="3A43EC2F" w14:textId="77777777" w:rsidR="00C853D1" w:rsidRPr="00C61F3A" w:rsidRDefault="00C853D1" w:rsidP="00BE170F">
      <w:pPr>
        <w:spacing w:after="0" w:line="360" w:lineRule="auto"/>
        <w:rPr>
          <w:bCs/>
          <w:color w:val="FF0000"/>
        </w:rPr>
      </w:pPr>
    </w:p>
    <w:p w14:paraId="5AC8905A" w14:textId="77777777" w:rsidR="00C853D1" w:rsidRPr="00C61F3A" w:rsidRDefault="00C853D1" w:rsidP="00BE170F">
      <w:pPr>
        <w:spacing w:after="0" w:line="360" w:lineRule="auto"/>
        <w:ind w:left="567" w:right="567"/>
        <w:rPr>
          <w:bCs/>
          <w:i/>
          <w:color w:val="auto"/>
          <w:sz w:val="20"/>
          <w:szCs w:val="20"/>
        </w:rPr>
      </w:pPr>
      <w:r w:rsidRPr="00C61F3A">
        <w:rPr>
          <w:b/>
          <w:bCs/>
          <w:i/>
          <w:color w:val="auto"/>
          <w:sz w:val="20"/>
          <w:szCs w:val="20"/>
        </w:rPr>
        <w:t>“ACTO IMPUGNADO</w:t>
      </w:r>
    </w:p>
    <w:p w14:paraId="5B56BF42" w14:textId="65057C56" w:rsidR="00C853D1" w:rsidRPr="00C61F3A" w:rsidRDefault="001744F3" w:rsidP="00BE170F">
      <w:pPr>
        <w:spacing w:after="0" w:line="360" w:lineRule="auto"/>
        <w:ind w:left="567" w:right="567"/>
        <w:rPr>
          <w:i/>
          <w:color w:val="auto"/>
          <w:sz w:val="20"/>
          <w:szCs w:val="20"/>
        </w:rPr>
      </w:pPr>
      <w:r w:rsidRPr="00C61F3A">
        <w:rPr>
          <w:i/>
          <w:color w:val="auto"/>
          <w:sz w:val="20"/>
          <w:szCs w:val="20"/>
        </w:rPr>
        <w:t>La respuesta otorgada por el INFOEM, derivado de la entrega incompleta de la información solicitada.”</w:t>
      </w:r>
      <w:r w:rsidR="00C853D1" w:rsidRPr="00C61F3A">
        <w:rPr>
          <w:i/>
          <w:color w:val="auto"/>
          <w:sz w:val="20"/>
          <w:szCs w:val="20"/>
        </w:rPr>
        <w:t xml:space="preserve"> (Sic.)</w:t>
      </w:r>
    </w:p>
    <w:p w14:paraId="1171ED83" w14:textId="77777777" w:rsidR="001744F3" w:rsidRPr="00C61F3A" w:rsidRDefault="001744F3" w:rsidP="00BE170F">
      <w:pPr>
        <w:spacing w:after="0" w:line="360" w:lineRule="auto"/>
        <w:ind w:left="567" w:right="567"/>
        <w:rPr>
          <w:i/>
          <w:color w:val="auto"/>
          <w:sz w:val="20"/>
          <w:szCs w:val="20"/>
        </w:rPr>
      </w:pPr>
    </w:p>
    <w:p w14:paraId="255A9CFD" w14:textId="1F25753B" w:rsidR="001744F3" w:rsidRPr="00C61F3A" w:rsidRDefault="001744F3" w:rsidP="00BE170F">
      <w:pPr>
        <w:spacing w:after="0" w:line="360" w:lineRule="auto"/>
        <w:ind w:left="567" w:right="567"/>
        <w:rPr>
          <w:b/>
          <w:bCs/>
          <w:i/>
          <w:color w:val="auto"/>
          <w:sz w:val="20"/>
          <w:szCs w:val="20"/>
        </w:rPr>
      </w:pPr>
      <w:r w:rsidRPr="00C61F3A">
        <w:rPr>
          <w:b/>
          <w:bCs/>
          <w:i/>
          <w:color w:val="auto"/>
          <w:sz w:val="20"/>
          <w:szCs w:val="20"/>
        </w:rPr>
        <w:t>“RAZONES O MOTIVOS DE INCONFORMIDAD</w:t>
      </w:r>
    </w:p>
    <w:p w14:paraId="0E6AB73D" w14:textId="038F3ED2" w:rsidR="001744F3" w:rsidRPr="00C61F3A" w:rsidRDefault="001744F3" w:rsidP="00BE170F">
      <w:pPr>
        <w:spacing w:after="0" w:line="360" w:lineRule="auto"/>
        <w:ind w:left="567" w:right="567"/>
        <w:rPr>
          <w:i/>
          <w:color w:val="auto"/>
          <w:sz w:val="20"/>
          <w:szCs w:val="20"/>
        </w:rPr>
      </w:pPr>
      <w:r w:rsidRPr="00C61F3A">
        <w:rPr>
          <w:i/>
          <w:color w:val="auto"/>
          <w:sz w:val="20"/>
          <w:szCs w:val="20"/>
        </w:rPr>
        <w:t>En la solicitud, expresé que requería las resoluciones del Comité de Transparencia, de determinados años; sin embargo, solo me remitieron del año 2018 y de los años subsecuentes me remitieron al IPOMEX. Cabe destacar que para poder contestar con ligas electrónicas el plazo de respuesta no debe exceder de 5 días hábiles…” (Sic)</w:t>
      </w:r>
    </w:p>
    <w:p w14:paraId="305216EA" w14:textId="77777777" w:rsidR="00C1355C" w:rsidRPr="00C61F3A" w:rsidRDefault="00C1355C" w:rsidP="00BE170F">
      <w:pPr>
        <w:spacing w:after="0" w:line="360" w:lineRule="auto"/>
        <w:rPr>
          <w:color w:val="FF0000"/>
        </w:rPr>
      </w:pPr>
    </w:p>
    <w:p w14:paraId="5CD0FCF6" w14:textId="0AABAC76" w:rsidR="00C853D1" w:rsidRPr="00C61F3A" w:rsidRDefault="00C853D1" w:rsidP="00BE170F">
      <w:pPr>
        <w:spacing w:after="0" w:line="360" w:lineRule="auto"/>
        <w:rPr>
          <w:b/>
          <w:bCs/>
          <w:color w:val="auto"/>
        </w:rPr>
      </w:pPr>
      <w:r w:rsidRPr="00C61F3A">
        <w:rPr>
          <w:b/>
          <w:color w:val="auto"/>
        </w:rPr>
        <w:t xml:space="preserve">V. </w:t>
      </w:r>
      <w:r w:rsidRPr="00C61F3A">
        <w:rPr>
          <w:b/>
          <w:bCs/>
          <w:color w:val="auto"/>
        </w:rPr>
        <w:t xml:space="preserve">Trámite del </w:t>
      </w:r>
      <w:r w:rsidRPr="00C61F3A">
        <w:rPr>
          <w:b/>
          <w:color w:val="auto"/>
        </w:rPr>
        <w:t xml:space="preserve">Recurso de Revisión </w:t>
      </w:r>
      <w:r w:rsidR="00622459" w:rsidRPr="00C61F3A">
        <w:rPr>
          <w:b/>
          <w:bCs/>
          <w:color w:val="auto"/>
        </w:rPr>
        <w:t>ante este Instituto</w:t>
      </w:r>
    </w:p>
    <w:p w14:paraId="58854E98" w14:textId="77777777" w:rsidR="00C853D1" w:rsidRPr="00C61F3A" w:rsidRDefault="00C853D1" w:rsidP="00BE170F">
      <w:pPr>
        <w:spacing w:after="0" w:line="360" w:lineRule="auto"/>
        <w:rPr>
          <w:b/>
          <w:bCs/>
          <w:color w:val="auto"/>
        </w:rPr>
      </w:pPr>
    </w:p>
    <w:p w14:paraId="0D250646" w14:textId="52788D9E" w:rsidR="00C853D1" w:rsidRPr="00C61F3A" w:rsidRDefault="00C853D1" w:rsidP="00BE170F">
      <w:pPr>
        <w:spacing w:after="0" w:line="360" w:lineRule="auto"/>
        <w:rPr>
          <w:bCs/>
          <w:color w:val="auto"/>
        </w:rPr>
      </w:pPr>
      <w:r w:rsidRPr="00C61F3A">
        <w:rPr>
          <w:b/>
          <w:bCs/>
          <w:color w:val="auto"/>
        </w:rPr>
        <w:t xml:space="preserve">a) Turno del Medio de Impugnación. </w:t>
      </w:r>
      <w:r w:rsidRPr="00C61F3A">
        <w:rPr>
          <w:bCs/>
          <w:color w:val="auto"/>
        </w:rPr>
        <w:t xml:space="preserve">El </w:t>
      </w:r>
      <w:r w:rsidR="00795EA1" w:rsidRPr="00C61F3A">
        <w:rPr>
          <w:bCs/>
          <w:color w:val="auto"/>
        </w:rPr>
        <w:t xml:space="preserve">veintisiete de agosto de </w:t>
      </w:r>
      <w:r w:rsidR="00BD286A" w:rsidRPr="00C61F3A">
        <w:rPr>
          <w:bCs/>
          <w:color w:val="auto"/>
        </w:rPr>
        <w:t>dos mil veinti</w:t>
      </w:r>
      <w:r w:rsidR="004223A0" w:rsidRPr="00C61F3A">
        <w:rPr>
          <w:bCs/>
          <w:color w:val="auto"/>
        </w:rPr>
        <w:t>cuatro</w:t>
      </w:r>
      <w:r w:rsidRPr="00C61F3A">
        <w:rPr>
          <w:bCs/>
          <w:color w:val="auto"/>
        </w:rPr>
        <w:t xml:space="preserve">, el </w:t>
      </w:r>
      <w:r w:rsidRPr="00C61F3A">
        <w:rPr>
          <w:color w:val="auto"/>
          <w:lang w:val="es-ES"/>
        </w:rPr>
        <w:t>Sistema de Acceso a la Información Mexiquense (SAIMEX),</w:t>
      </w:r>
      <w:r w:rsidRPr="00C61F3A">
        <w:rPr>
          <w:bCs/>
          <w:color w:val="auto"/>
        </w:rPr>
        <w:t xml:space="preserve"> asignó el número de expediente </w:t>
      </w:r>
      <w:r w:rsidR="00193D30" w:rsidRPr="00C61F3A">
        <w:rPr>
          <w:b/>
          <w:bCs/>
          <w:color w:val="auto"/>
        </w:rPr>
        <w:t>0</w:t>
      </w:r>
      <w:r w:rsidR="00795EA1" w:rsidRPr="00C61F3A">
        <w:rPr>
          <w:b/>
          <w:bCs/>
          <w:color w:val="auto"/>
        </w:rPr>
        <w:t>5166</w:t>
      </w:r>
      <w:r w:rsidR="00193D30" w:rsidRPr="00C61F3A">
        <w:rPr>
          <w:b/>
          <w:bCs/>
          <w:color w:val="auto"/>
        </w:rPr>
        <w:t>/INFOEM/IP/RR/202</w:t>
      </w:r>
      <w:r w:rsidR="004223A0" w:rsidRPr="00C61F3A">
        <w:rPr>
          <w:b/>
          <w:bCs/>
          <w:color w:val="auto"/>
        </w:rPr>
        <w:t>4</w:t>
      </w:r>
      <w:r w:rsidRPr="00C61F3A">
        <w:rPr>
          <w:bCs/>
          <w:color w:val="auto"/>
        </w:rPr>
        <w:t>, al medio de impugnación que nos ocupa, con base en el sistema aprobado por el Pleno de este Órgano Garante y lo turnó al Comisionado Ponente Luis Gustavo Parra Noriega, para los efectos del artículo 185, fracción I de la Ley de Transparencia y Acceso a la Información Pública del Estado de México y Municipios.</w:t>
      </w:r>
    </w:p>
    <w:p w14:paraId="606E51DE" w14:textId="77777777" w:rsidR="00C853D1" w:rsidRPr="00C61F3A" w:rsidRDefault="00C853D1" w:rsidP="00BE170F">
      <w:pPr>
        <w:spacing w:after="0" w:line="360" w:lineRule="auto"/>
        <w:rPr>
          <w:bCs/>
          <w:color w:val="FF0000"/>
        </w:rPr>
      </w:pPr>
    </w:p>
    <w:p w14:paraId="03479276" w14:textId="57707D95" w:rsidR="00C853D1" w:rsidRPr="00C61F3A" w:rsidRDefault="00C853D1" w:rsidP="00BE170F">
      <w:pPr>
        <w:spacing w:after="0" w:line="360" w:lineRule="auto"/>
        <w:rPr>
          <w:bCs/>
          <w:color w:val="auto"/>
          <w:lang w:val="es-ES_tradnl"/>
        </w:rPr>
      </w:pPr>
      <w:r w:rsidRPr="00C61F3A">
        <w:rPr>
          <w:b/>
          <w:bCs/>
          <w:color w:val="auto"/>
        </w:rPr>
        <w:t>b) Admisión del Recurso de Revisión</w:t>
      </w:r>
      <w:r w:rsidRPr="00C61F3A">
        <w:rPr>
          <w:b/>
          <w:bCs/>
          <w:color w:val="auto"/>
          <w:lang w:val="es-ES_tradnl"/>
        </w:rPr>
        <w:t xml:space="preserve">. </w:t>
      </w:r>
      <w:r w:rsidRPr="00C61F3A">
        <w:rPr>
          <w:bCs/>
          <w:color w:val="auto"/>
          <w:lang w:val="es-ES_tradnl"/>
        </w:rPr>
        <w:t xml:space="preserve">El </w:t>
      </w:r>
      <w:r w:rsidR="00795EA1" w:rsidRPr="00C61F3A">
        <w:rPr>
          <w:bCs/>
          <w:color w:val="auto"/>
          <w:lang w:val="es-ES_tradnl"/>
        </w:rPr>
        <w:t xml:space="preserve">treinta de agosto de </w:t>
      </w:r>
      <w:r w:rsidR="004D099B" w:rsidRPr="00C61F3A">
        <w:rPr>
          <w:bCs/>
          <w:color w:val="auto"/>
        </w:rPr>
        <w:t>dos mil veinti</w:t>
      </w:r>
      <w:r w:rsidR="004223A0" w:rsidRPr="00C61F3A">
        <w:rPr>
          <w:bCs/>
          <w:color w:val="auto"/>
        </w:rPr>
        <w:t>cuatro</w:t>
      </w:r>
      <w:r w:rsidRPr="00C61F3A">
        <w:rPr>
          <w:bCs/>
          <w:color w:val="auto"/>
          <w:lang w:val="es-ES_tradnl"/>
        </w:rPr>
        <w:t>, se acordó la admisión del Recurso de Revisión interpuesto por el Recurrente en contra del Sujeto Obligado, en términos del artículo 185, fracciones I y II de la Ley de Transparencia y Acceso a la Información Pública del Estado de México y Municipios, el cual fue notificado a las partes el</w:t>
      </w:r>
      <w:r w:rsidR="00795EA1" w:rsidRPr="00C61F3A">
        <w:rPr>
          <w:bCs/>
          <w:color w:val="auto"/>
          <w:lang w:val="es-ES_tradnl"/>
        </w:rPr>
        <w:t xml:space="preserve"> mismo día</w:t>
      </w:r>
      <w:r w:rsidRPr="00C61F3A">
        <w:rPr>
          <w:bCs/>
          <w:color w:val="auto"/>
          <w:lang w:val="es-ES_tradnl"/>
        </w:rPr>
        <w:t>, a través del Sistema de Acceso a la Información Mexiquense (SAIMEX), en el que se les otorgó un plazo de siete días hábiles posteriores a la misma, para que manifestaran lo que a su derecho conviniera y formularan alegatos.</w:t>
      </w:r>
    </w:p>
    <w:p w14:paraId="13AC1A45" w14:textId="77777777" w:rsidR="00AF0946" w:rsidRPr="00C61F3A" w:rsidRDefault="00AF0946" w:rsidP="00BE170F">
      <w:pPr>
        <w:spacing w:after="0" w:line="360" w:lineRule="auto"/>
        <w:rPr>
          <w:b/>
          <w:color w:val="FF0000"/>
        </w:rPr>
      </w:pPr>
    </w:p>
    <w:p w14:paraId="43951E25" w14:textId="0CA00280" w:rsidR="00411555" w:rsidRPr="00C61F3A" w:rsidRDefault="002408C5" w:rsidP="00BE170F">
      <w:pPr>
        <w:spacing w:after="0" w:line="360" w:lineRule="auto"/>
        <w:rPr>
          <w:bCs/>
          <w:color w:val="FF0000"/>
        </w:rPr>
      </w:pPr>
      <w:r w:rsidRPr="00C61F3A">
        <w:rPr>
          <w:b/>
          <w:color w:val="auto"/>
        </w:rPr>
        <w:t>c</w:t>
      </w:r>
      <w:r w:rsidR="00C853D1" w:rsidRPr="00C61F3A">
        <w:rPr>
          <w:b/>
          <w:color w:val="auto"/>
        </w:rPr>
        <w:t xml:space="preserve">) Informe Justificado. </w:t>
      </w:r>
      <w:r w:rsidR="00725C8B" w:rsidRPr="00C61F3A">
        <w:rPr>
          <w:bCs/>
          <w:color w:val="auto"/>
        </w:rPr>
        <w:t xml:space="preserve">El </w:t>
      </w:r>
      <w:r w:rsidR="00805CE7" w:rsidRPr="00C61F3A">
        <w:rPr>
          <w:bCs/>
          <w:color w:val="auto"/>
        </w:rPr>
        <w:t xml:space="preserve">diez de septiembre de </w:t>
      </w:r>
      <w:r w:rsidR="00725C8B" w:rsidRPr="00C61F3A">
        <w:rPr>
          <w:bCs/>
          <w:color w:val="auto"/>
        </w:rPr>
        <w:t>dos mil veinti</w:t>
      </w:r>
      <w:r w:rsidR="004223A0" w:rsidRPr="00C61F3A">
        <w:rPr>
          <w:bCs/>
          <w:color w:val="auto"/>
        </w:rPr>
        <w:t>cuatro</w:t>
      </w:r>
      <w:r w:rsidR="00563969" w:rsidRPr="00C61F3A">
        <w:rPr>
          <w:rFonts w:cs="Tahoma"/>
          <w:color w:val="auto"/>
          <w:lang w:val="es-ES_tradnl"/>
        </w:rPr>
        <w:t>, se recibió, a través del Sistema de Acceso a la Información Mexiquense (SAIMEX), el Informe Justificado del Sujeto Obligado, por medio de</w:t>
      </w:r>
      <w:r w:rsidR="00805CE7" w:rsidRPr="00C61F3A">
        <w:rPr>
          <w:rFonts w:cs="Tahoma"/>
          <w:color w:val="auto"/>
          <w:lang w:val="es-ES_tradnl"/>
        </w:rPr>
        <w:t xml:space="preserve">l oficio </w:t>
      </w:r>
      <w:r w:rsidR="00805CE7" w:rsidRPr="00C61F3A">
        <w:t xml:space="preserve">INFOEM/UT/732/2024 de fecha diez de agosto de dos mil </w:t>
      </w:r>
      <w:r w:rsidR="00805CE7" w:rsidRPr="00C61F3A">
        <w:lastRenderedPageBreak/>
        <w:t>veinticuatro, suscrito por el Titular de la Unidad de Transparencia, dirigido al Comisionado Ponente, por medio del cual se confirma la respuesta a la solicitud de acceso a la información pública.</w:t>
      </w:r>
    </w:p>
    <w:p w14:paraId="32417A62" w14:textId="77777777" w:rsidR="00411555" w:rsidRPr="00C61F3A" w:rsidRDefault="00411555" w:rsidP="00BE170F">
      <w:pPr>
        <w:spacing w:after="0" w:line="360" w:lineRule="auto"/>
        <w:rPr>
          <w:rFonts w:cs="Tahoma"/>
          <w:color w:val="FF0000"/>
          <w:lang w:val="es-ES_tradnl"/>
        </w:rPr>
      </w:pPr>
    </w:p>
    <w:p w14:paraId="1F9BE10A" w14:textId="0C59E4C7" w:rsidR="009F7621" w:rsidRPr="00C61F3A" w:rsidRDefault="009F7621" w:rsidP="00BE170F">
      <w:pPr>
        <w:spacing w:after="0" w:line="360" w:lineRule="auto"/>
        <w:rPr>
          <w:rFonts w:eastAsia="Times New Roman" w:cs="Tahoma"/>
          <w:bCs/>
          <w:color w:val="auto"/>
          <w:lang w:eastAsia="es-ES"/>
        </w:rPr>
      </w:pPr>
      <w:r w:rsidRPr="00C61F3A">
        <w:rPr>
          <w:rFonts w:eastAsia="Times New Roman" w:cs="Tahoma"/>
          <w:b/>
          <w:color w:val="auto"/>
          <w:szCs w:val="24"/>
          <w:lang w:eastAsia="es-ES"/>
        </w:rPr>
        <w:t xml:space="preserve">d) </w:t>
      </w:r>
      <w:r w:rsidRPr="00C61F3A">
        <w:rPr>
          <w:rFonts w:eastAsia="Times New Roman" w:cs="Tahoma"/>
          <w:b/>
          <w:color w:val="auto"/>
          <w:lang w:eastAsia="es-ES"/>
        </w:rPr>
        <w:t>Ampliación de plazo para resolver.</w:t>
      </w:r>
      <w:r w:rsidRPr="00C61F3A">
        <w:rPr>
          <w:rFonts w:eastAsia="Times New Roman" w:cs="Tahoma"/>
          <w:bCs/>
          <w:color w:val="auto"/>
          <w:lang w:eastAsia="es-ES"/>
        </w:rPr>
        <w:t xml:space="preserve"> El veintiuno de octubre de dos mil veinticuatro, el Comisionado Ponente, con fundamento en lo dispuesto por el artículo 181, párrafo tercero, de la Ley de Transparencia y Acceso a la Información Pública del Estado de México y Municipios, acordó ampliar </w:t>
      </w:r>
      <w:r w:rsidRPr="00C61F3A">
        <w:rPr>
          <w:rFonts w:eastAsia="Times New Roman" w:cs="Tahoma"/>
          <w:b/>
          <w:bCs/>
          <w:color w:val="auto"/>
          <w:lang w:eastAsia="es-ES"/>
        </w:rPr>
        <w:t>por un periodo razonable</w:t>
      </w:r>
      <w:r w:rsidRPr="00C61F3A">
        <w:rPr>
          <w:rFonts w:eastAsia="Times New Roman" w:cs="Tahoma"/>
          <w:bCs/>
          <w:color w:val="auto"/>
          <w:lang w:eastAsia="es-ES"/>
        </w:rPr>
        <w:t>, el plazo para resolver el Recurso de Revisión que nos ocupa; acto que fue notificado a las partes, mediante el Sistema de Acceso a la Información Mexiquense (SAIMEX), el veinticuatro de dicho mes y año.</w:t>
      </w:r>
    </w:p>
    <w:p w14:paraId="3A150983" w14:textId="77777777" w:rsidR="009F7621" w:rsidRPr="00C61F3A" w:rsidRDefault="009F7621" w:rsidP="00BE170F">
      <w:pPr>
        <w:spacing w:after="0" w:line="360" w:lineRule="auto"/>
        <w:rPr>
          <w:rFonts w:eastAsia="Times New Roman" w:cs="Tahoma"/>
          <w:bCs/>
          <w:color w:val="auto"/>
          <w:lang w:eastAsia="es-ES"/>
        </w:rPr>
      </w:pPr>
    </w:p>
    <w:p w14:paraId="541AA800" w14:textId="77777777" w:rsidR="009F7621" w:rsidRPr="00C61F3A" w:rsidRDefault="009F7621" w:rsidP="00BE170F">
      <w:pPr>
        <w:spacing w:after="0" w:line="360" w:lineRule="auto"/>
        <w:contextualSpacing/>
        <w:rPr>
          <w:rFonts w:cs="Tahoma"/>
          <w:color w:val="auto"/>
        </w:rPr>
      </w:pPr>
      <w:r w:rsidRPr="00C61F3A">
        <w:rPr>
          <w:rFonts w:cs="Tahoma"/>
          <w:color w:val="auto"/>
        </w:rPr>
        <w:t>Este organismo garante no pasa por alto justificar, que el plazo para emitir resolución en el presente asunto encuentra justificación en el alto número de recursos de revisión recibidos dentro del primer semestre del año dos mil veintidós, que, en comparación con los recibidos el año pasado dentro del mismo periodo, se ha incrementado aproximadamente un 400%, circunstancia atípica que ha rebasado las capacidades técnicas y humanas del personal encargado de la proyección de las resoluciones a dichos medios de impugnación.</w:t>
      </w:r>
    </w:p>
    <w:p w14:paraId="1DABF7CC" w14:textId="77777777" w:rsidR="009F7621" w:rsidRPr="00C61F3A" w:rsidRDefault="009F7621" w:rsidP="00BE170F">
      <w:pPr>
        <w:spacing w:after="0" w:line="360" w:lineRule="auto"/>
        <w:contextualSpacing/>
        <w:rPr>
          <w:rFonts w:cs="Tahoma"/>
          <w:color w:val="auto"/>
        </w:rPr>
      </w:pPr>
    </w:p>
    <w:p w14:paraId="694E00E2" w14:textId="77777777" w:rsidR="009F7621" w:rsidRPr="00C61F3A" w:rsidRDefault="009F7621" w:rsidP="00BE170F">
      <w:pPr>
        <w:spacing w:after="0" w:line="360" w:lineRule="auto"/>
        <w:contextualSpacing/>
        <w:rPr>
          <w:rFonts w:cs="Tahoma"/>
          <w:color w:val="auto"/>
        </w:rPr>
      </w:pPr>
      <w:r w:rsidRPr="00C61F3A">
        <w:rPr>
          <w:rFonts w:cs="Tahoma"/>
          <w:color w:val="auto"/>
        </w:rPr>
        <w:t xml:space="preserve"> Por ello, es menester precisar que, si bien se ha excedido el plazo para resolver el presente medio de impugnación, de conformidad con la ley de la materia, el plazo para emitir resolución se encuentra justificado en los elementos para medir su razonabilidad de asuntos conforme a los parámetros establecidos por diversos órganos jurisdiccionales federales, aplicables también en procedimientos análogos, como el que nos ocupa.</w:t>
      </w:r>
    </w:p>
    <w:p w14:paraId="7084CBA5" w14:textId="77777777" w:rsidR="009F7621" w:rsidRPr="00C61F3A" w:rsidRDefault="009F7621" w:rsidP="00BE170F">
      <w:pPr>
        <w:spacing w:after="0" w:line="360" w:lineRule="auto"/>
        <w:contextualSpacing/>
        <w:rPr>
          <w:rFonts w:cs="Tahoma"/>
          <w:color w:val="auto"/>
        </w:rPr>
      </w:pPr>
    </w:p>
    <w:p w14:paraId="31856836" w14:textId="77777777" w:rsidR="009F7621" w:rsidRPr="00C61F3A" w:rsidRDefault="009F7621" w:rsidP="00BE170F">
      <w:pPr>
        <w:spacing w:after="0" w:line="360" w:lineRule="auto"/>
        <w:contextualSpacing/>
        <w:rPr>
          <w:rFonts w:cs="Tahoma"/>
          <w:color w:val="auto"/>
        </w:rPr>
      </w:pPr>
      <w:r w:rsidRPr="00C61F3A">
        <w:rPr>
          <w:rFonts w:cs="Tahoma"/>
          <w:color w:val="auto"/>
        </w:rPr>
        <w:t xml:space="preserve">Así, en términos de lo que establecen los artículos 8.1 y 25 de la Convención Americana sobre Derechos Humanos, los recursos deben ser sencillos y resolverse en el menor tiempo posible, </w:t>
      </w:r>
      <w:r w:rsidRPr="00C61F3A">
        <w:rPr>
          <w:rFonts w:cs="Tahoma"/>
          <w:color w:val="auto"/>
        </w:rPr>
        <w:lastRenderedPageBreak/>
        <w:t>tomando en consideración la dilación total del procedimiento; esto es, en un plazo razonable. En ese sentido, el legislador fijó los términos procesales en las leyes, de manera general, sin que pudiera prever la variada gama de casos que son resueltos por los órganos jurisdiccionales o cuasi jurisdiccionales, tanto por la complejidad de los hechos, como por el número de casos que conocen.</w:t>
      </w:r>
    </w:p>
    <w:p w14:paraId="65FBAF6A" w14:textId="77777777" w:rsidR="009F7621" w:rsidRPr="00C61F3A" w:rsidRDefault="009F7621" w:rsidP="00BE170F">
      <w:pPr>
        <w:spacing w:after="0" w:line="360" w:lineRule="auto"/>
        <w:contextualSpacing/>
        <w:rPr>
          <w:rFonts w:cs="Tahoma"/>
          <w:color w:val="auto"/>
        </w:rPr>
      </w:pPr>
      <w:r w:rsidRPr="00C61F3A">
        <w:rPr>
          <w:rFonts w:cs="Tahoma"/>
          <w:color w:val="auto"/>
        </w:rPr>
        <w:t xml:space="preserve"> </w:t>
      </w:r>
    </w:p>
    <w:p w14:paraId="03856082" w14:textId="77777777" w:rsidR="009F7621" w:rsidRPr="00C61F3A" w:rsidRDefault="009F7621" w:rsidP="00BE170F">
      <w:pPr>
        <w:spacing w:after="0" w:line="360" w:lineRule="auto"/>
        <w:contextualSpacing/>
        <w:rPr>
          <w:rFonts w:eastAsia="Calibri" w:cs="Tahoma"/>
          <w:bCs/>
          <w:color w:val="auto"/>
        </w:rPr>
      </w:pPr>
      <w:r w:rsidRPr="00C61F3A">
        <w:rPr>
          <w:rFonts w:eastAsia="Calibri" w:cs="Tahoma"/>
          <w:bCs/>
          <w:color w:val="auto"/>
        </w:rPr>
        <w:t xml:space="preserve">Por ello, excepcionalmente, si un asunto es resuelto con posterioridad a los plazos señalados por la norma debe analizarse la razonabilidad del tiempo necesario para su resolución, atentos a los siguientes criterios:  </w:t>
      </w:r>
    </w:p>
    <w:p w14:paraId="2ED41D64" w14:textId="77777777" w:rsidR="009F7621" w:rsidRPr="00C61F3A" w:rsidRDefault="009F7621" w:rsidP="00BE170F">
      <w:pPr>
        <w:spacing w:after="0" w:line="360" w:lineRule="auto"/>
        <w:contextualSpacing/>
        <w:rPr>
          <w:rFonts w:eastAsia="Calibri" w:cs="Tahoma"/>
          <w:bCs/>
          <w:color w:val="auto"/>
        </w:rPr>
      </w:pPr>
      <w:r w:rsidRPr="00C61F3A">
        <w:rPr>
          <w:rFonts w:eastAsia="Calibri" w:cs="Tahoma"/>
          <w:bCs/>
          <w:color w:val="auto"/>
        </w:rPr>
        <w:t xml:space="preserve"> </w:t>
      </w:r>
    </w:p>
    <w:p w14:paraId="1A7847B8" w14:textId="77777777" w:rsidR="009F7621" w:rsidRPr="00C61F3A" w:rsidRDefault="009F7621" w:rsidP="00570DDD">
      <w:pPr>
        <w:numPr>
          <w:ilvl w:val="0"/>
          <w:numId w:val="2"/>
        </w:numPr>
        <w:spacing w:after="0" w:line="360" w:lineRule="auto"/>
        <w:contextualSpacing/>
        <w:rPr>
          <w:rFonts w:eastAsia="Palatino Linotype" w:cs="Palatino Linotype"/>
          <w:color w:val="auto"/>
          <w:szCs w:val="24"/>
          <w:lang w:eastAsia="es-ES"/>
        </w:rPr>
      </w:pPr>
      <w:r w:rsidRPr="00C61F3A">
        <w:rPr>
          <w:rFonts w:eastAsia="Palatino Linotype" w:cs="Palatino Linotype"/>
          <w:b/>
          <w:bCs/>
          <w:color w:val="auto"/>
          <w:szCs w:val="24"/>
          <w:lang w:eastAsia="es-ES"/>
        </w:rPr>
        <w:t>Complejidad del asunto:</w:t>
      </w:r>
      <w:r w:rsidRPr="00C61F3A">
        <w:rPr>
          <w:rFonts w:eastAsia="Palatino Linotype" w:cs="Palatino Linotype"/>
          <w:color w:val="auto"/>
          <w:szCs w:val="24"/>
          <w:lang w:eastAsia="es-ES"/>
        </w:rPr>
        <w:t xml:space="preserve"> La complejidad de la prueba, la pluralidad de sujetos procesales, el tiempo transcurrido, las características y contexto del recurso.</w:t>
      </w:r>
    </w:p>
    <w:p w14:paraId="13640EC6" w14:textId="77777777" w:rsidR="009F7621" w:rsidRPr="00C61F3A" w:rsidRDefault="009F7621" w:rsidP="00BE170F">
      <w:pPr>
        <w:spacing w:after="0" w:line="360" w:lineRule="auto"/>
        <w:ind w:left="720"/>
        <w:contextualSpacing/>
        <w:rPr>
          <w:rFonts w:eastAsia="Palatino Linotype" w:cs="Palatino Linotype"/>
          <w:color w:val="auto"/>
          <w:szCs w:val="24"/>
          <w:lang w:eastAsia="es-ES"/>
        </w:rPr>
      </w:pPr>
    </w:p>
    <w:p w14:paraId="00978CDD" w14:textId="77777777" w:rsidR="009F7621" w:rsidRPr="00C61F3A" w:rsidRDefault="009F7621" w:rsidP="00570DDD">
      <w:pPr>
        <w:numPr>
          <w:ilvl w:val="0"/>
          <w:numId w:val="2"/>
        </w:numPr>
        <w:spacing w:after="0" w:line="360" w:lineRule="auto"/>
        <w:contextualSpacing/>
        <w:rPr>
          <w:rFonts w:eastAsia="Palatino Linotype" w:cs="Palatino Linotype"/>
          <w:color w:val="auto"/>
          <w:szCs w:val="24"/>
          <w:lang w:eastAsia="es-ES"/>
        </w:rPr>
      </w:pPr>
      <w:r w:rsidRPr="00C61F3A">
        <w:rPr>
          <w:rFonts w:eastAsia="Palatino Linotype" w:cs="Palatino Linotype"/>
          <w:b/>
          <w:bCs/>
          <w:color w:val="auto"/>
          <w:szCs w:val="24"/>
          <w:lang w:eastAsia="es-ES"/>
        </w:rPr>
        <w:t>Actividad Procesal del interesado:</w:t>
      </w:r>
      <w:r w:rsidRPr="00C61F3A">
        <w:rPr>
          <w:rFonts w:eastAsia="Palatino Linotype" w:cs="Palatino Linotype"/>
          <w:color w:val="auto"/>
          <w:szCs w:val="24"/>
          <w:lang w:eastAsia="es-ES"/>
        </w:rPr>
        <w:t xml:space="preserve"> Acciones u omisiones del interesado.</w:t>
      </w:r>
    </w:p>
    <w:p w14:paraId="51039FF9" w14:textId="77777777" w:rsidR="009F7621" w:rsidRPr="00C61F3A" w:rsidRDefault="009F7621" w:rsidP="00BE170F">
      <w:pPr>
        <w:spacing w:after="0" w:line="360" w:lineRule="auto"/>
        <w:ind w:left="720"/>
        <w:contextualSpacing/>
        <w:rPr>
          <w:rFonts w:eastAsia="Palatino Linotype" w:cs="Palatino Linotype"/>
          <w:color w:val="auto"/>
          <w:szCs w:val="24"/>
          <w:lang w:eastAsia="es-ES"/>
        </w:rPr>
      </w:pPr>
    </w:p>
    <w:p w14:paraId="131CFB50" w14:textId="77777777" w:rsidR="009F7621" w:rsidRPr="00C61F3A" w:rsidRDefault="009F7621" w:rsidP="00570DDD">
      <w:pPr>
        <w:numPr>
          <w:ilvl w:val="0"/>
          <w:numId w:val="2"/>
        </w:numPr>
        <w:spacing w:after="0" w:line="360" w:lineRule="auto"/>
        <w:contextualSpacing/>
        <w:rPr>
          <w:rFonts w:eastAsia="Palatino Linotype" w:cs="Palatino Linotype"/>
          <w:color w:val="auto"/>
          <w:szCs w:val="24"/>
          <w:lang w:eastAsia="es-ES"/>
        </w:rPr>
      </w:pPr>
      <w:r w:rsidRPr="00C61F3A">
        <w:rPr>
          <w:rFonts w:eastAsia="Palatino Linotype" w:cs="Palatino Linotype"/>
          <w:b/>
          <w:bCs/>
          <w:color w:val="auto"/>
          <w:szCs w:val="24"/>
          <w:lang w:eastAsia="es-ES"/>
        </w:rPr>
        <w:t>Conducta de la Autoridad:</w:t>
      </w:r>
      <w:r w:rsidRPr="00C61F3A">
        <w:rPr>
          <w:rFonts w:eastAsia="Palatino Linotype" w:cs="Palatino Linotype"/>
          <w:color w:val="auto"/>
          <w:szCs w:val="24"/>
          <w:lang w:eastAsia="es-ES"/>
        </w:rPr>
        <w:t xml:space="preserve"> Las Acciones u omisiones realizadas en el procedimiento. Así como si la autoridad actuó con la debida diligencia.</w:t>
      </w:r>
    </w:p>
    <w:p w14:paraId="59E1E18F" w14:textId="77777777" w:rsidR="009F7621" w:rsidRPr="00C61F3A" w:rsidRDefault="009F7621" w:rsidP="00BE170F">
      <w:pPr>
        <w:spacing w:after="0" w:line="360" w:lineRule="auto"/>
        <w:ind w:left="720"/>
        <w:contextualSpacing/>
        <w:rPr>
          <w:rFonts w:eastAsia="Palatino Linotype" w:cs="Palatino Linotype"/>
          <w:color w:val="auto"/>
          <w:szCs w:val="24"/>
          <w:lang w:eastAsia="es-ES"/>
        </w:rPr>
      </w:pPr>
    </w:p>
    <w:p w14:paraId="49971F50" w14:textId="77777777" w:rsidR="009F7621" w:rsidRPr="00C61F3A" w:rsidRDefault="009F7621" w:rsidP="00570DDD">
      <w:pPr>
        <w:numPr>
          <w:ilvl w:val="0"/>
          <w:numId w:val="2"/>
        </w:numPr>
        <w:spacing w:after="0" w:line="360" w:lineRule="auto"/>
        <w:contextualSpacing/>
        <w:rPr>
          <w:rFonts w:eastAsia="Palatino Linotype" w:cs="Palatino Linotype"/>
          <w:color w:val="auto"/>
          <w:szCs w:val="24"/>
          <w:lang w:eastAsia="es-ES"/>
        </w:rPr>
      </w:pPr>
      <w:r w:rsidRPr="00C61F3A">
        <w:rPr>
          <w:rFonts w:eastAsia="Palatino Linotype" w:cs="Palatino Linotype"/>
          <w:b/>
          <w:bCs/>
          <w:color w:val="auto"/>
          <w:szCs w:val="24"/>
          <w:lang w:eastAsia="es-ES"/>
        </w:rPr>
        <w:t xml:space="preserve">La afectación generada en la situación jurídica de la persona involucrada en el proceso: </w:t>
      </w:r>
      <w:r w:rsidRPr="00C61F3A">
        <w:rPr>
          <w:rFonts w:eastAsia="Palatino Linotype" w:cs="Palatino Linotype"/>
          <w:color w:val="auto"/>
          <w:szCs w:val="24"/>
          <w:lang w:eastAsia="es-ES"/>
        </w:rPr>
        <w:t>Violación a sus derechos humanos.</w:t>
      </w:r>
    </w:p>
    <w:p w14:paraId="45991D46" w14:textId="77777777" w:rsidR="009F7621" w:rsidRPr="00C61F3A" w:rsidRDefault="009F7621" w:rsidP="00BE170F">
      <w:pPr>
        <w:spacing w:after="0" w:line="360" w:lineRule="auto"/>
        <w:contextualSpacing/>
        <w:rPr>
          <w:rFonts w:eastAsia="Calibri" w:cs="Tahoma"/>
          <w:bCs/>
          <w:color w:val="auto"/>
        </w:rPr>
      </w:pPr>
    </w:p>
    <w:p w14:paraId="1E04DEC6" w14:textId="77777777" w:rsidR="009F7621" w:rsidRPr="00C61F3A" w:rsidRDefault="009F7621" w:rsidP="00BE170F">
      <w:pPr>
        <w:spacing w:after="0" w:line="360" w:lineRule="auto"/>
        <w:contextualSpacing/>
        <w:rPr>
          <w:rFonts w:eastAsia="Calibri" w:cs="Tahoma"/>
          <w:bCs/>
          <w:color w:val="auto"/>
        </w:rPr>
      </w:pPr>
      <w:r w:rsidRPr="00C61F3A">
        <w:rPr>
          <w:rFonts w:eastAsia="Calibri" w:cs="Tahoma"/>
          <w:bCs/>
          <w:color w:val="auto"/>
        </w:rPr>
        <w:t>De modo que, cuando se trate de un asunto excepcional, por alguna o todas las características mencionadas o bien, cuando el ingreso de asuntos al órgano jurisdiccional o cuasi jurisdiccional respectivo supere notoriamente al que podría considerarse normal, debe concluirse que es una excluyente de responsabilidad en relación con la actuación del funcionario, como ha acontecido en el caso que nos ocupa.</w:t>
      </w:r>
    </w:p>
    <w:p w14:paraId="10364E3D" w14:textId="540EE513" w:rsidR="009F7621" w:rsidRPr="00C61F3A" w:rsidRDefault="009F7621" w:rsidP="00BE170F">
      <w:pPr>
        <w:spacing w:after="0" w:line="360" w:lineRule="auto"/>
        <w:contextualSpacing/>
        <w:rPr>
          <w:rFonts w:eastAsia="Calibri" w:cs="Tahoma"/>
          <w:bCs/>
          <w:color w:val="auto"/>
        </w:rPr>
      </w:pPr>
      <w:r w:rsidRPr="00C61F3A">
        <w:rPr>
          <w:rFonts w:eastAsia="Calibri" w:cs="Tahoma"/>
          <w:bCs/>
          <w:color w:val="auto"/>
        </w:rPr>
        <w:lastRenderedPageBreak/>
        <w:t xml:space="preserve"> Argumento que encuentra sustento en la jurisprudencia P</w:t>
      </w:r>
      <w:proofErr w:type="gramStart"/>
      <w:r w:rsidRPr="00C61F3A">
        <w:rPr>
          <w:rFonts w:eastAsia="Calibri" w:cs="Tahoma"/>
          <w:bCs/>
          <w:color w:val="auto"/>
        </w:rPr>
        <w:t>./</w:t>
      </w:r>
      <w:proofErr w:type="gramEnd"/>
      <w:r w:rsidRPr="00C61F3A">
        <w:rPr>
          <w:rFonts w:eastAsia="Calibri" w:cs="Tahoma"/>
          <w:bCs/>
          <w:color w:val="auto"/>
        </w:rPr>
        <w:t xml:space="preserve">J. 32/92 emitida por el Pleno de la Suprema Corte de Justicia de la Nación de rubro </w:t>
      </w:r>
      <w:r w:rsidRPr="00C61F3A">
        <w:rPr>
          <w:rFonts w:eastAsia="Calibri" w:cs="Tahoma"/>
          <w:b/>
          <w:color w:val="auto"/>
        </w:rPr>
        <w:t>“TÉRMINOS PROCESALES. PARA DETERMINAR SI UN FUNCIONARIO JUDICIAL ACTUÓ INDEBIDAMENTE POR NO RESPETARLOS SE DEBE ATENDER AL PRESUPUESTO QUE CONSIDERÓ EL LEGISLADOR AL FIJARLOS Y LAS CARACTERÍSTICAS DEL CASO.”</w:t>
      </w:r>
      <w:r w:rsidRPr="00C61F3A">
        <w:rPr>
          <w:rFonts w:eastAsia="Calibri" w:cs="Tahoma"/>
          <w:bCs/>
          <w:color w:val="auto"/>
        </w:rPr>
        <w:t>, visible en la Gaceta del Seminario Judicial de la Federación con el registro digital 205635.</w:t>
      </w:r>
    </w:p>
    <w:p w14:paraId="0E6440E5" w14:textId="77777777" w:rsidR="009F7621" w:rsidRPr="00C61F3A" w:rsidRDefault="009F7621" w:rsidP="00BE170F">
      <w:pPr>
        <w:spacing w:after="0" w:line="360" w:lineRule="auto"/>
        <w:contextualSpacing/>
        <w:rPr>
          <w:rFonts w:eastAsia="Calibri" w:cs="Tahoma"/>
          <w:bCs/>
          <w:color w:val="auto"/>
        </w:rPr>
      </w:pPr>
      <w:r w:rsidRPr="00C61F3A">
        <w:rPr>
          <w:rFonts w:eastAsia="Calibri" w:cs="Tahoma"/>
          <w:bCs/>
          <w:color w:val="auto"/>
        </w:rPr>
        <w:t xml:space="preserve"> </w:t>
      </w:r>
    </w:p>
    <w:p w14:paraId="371A56A7" w14:textId="77777777" w:rsidR="009F7621" w:rsidRPr="00C61F3A" w:rsidRDefault="009F7621" w:rsidP="00BE170F">
      <w:pPr>
        <w:spacing w:after="0" w:line="360" w:lineRule="auto"/>
        <w:contextualSpacing/>
        <w:rPr>
          <w:rFonts w:eastAsia="Calibri" w:cs="Tahoma"/>
          <w:bCs/>
          <w:color w:val="auto"/>
        </w:rPr>
      </w:pPr>
      <w:r w:rsidRPr="00C61F3A">
        <w:rPr>
          <w:rFonts w:eastAsia="Calibri" w:cs="Tahoma"/>
          <w:bCs/>
          <w:color w:val="auto"/>
        </w:rPr>
        <w:t>Razones por las cuales cabe concluir que, la resolución al recurso de revisión se solventa hasta esta fecha, debido a que existe una excesiva carga de trabajo en desproporción a la capacidad de los recursos materiales y humanos con que cuenta este Instituto para atender la enorme demanda de usuarios que acuden para que se les garantice su Derecho de acceso a la información Pública y Protección de Datos Personales, aunado a la complejidad de los hechos a los que se refieren, así como al volumen del expediente, la extensión de los escritos y pruebas aportadas y desahogadas por las partes; lo que impide la tramitación de los recursos dentro de los términos legales previamente establecidos por la Ley, por tratarse de causas de fuerza mayor.</w:t>
      </w:r>
    </w:p>
    <w:p w14:paraId="087B06C2" w14:textId="77777777" w:rsidR="009F7621" w:rsidRPr="00C61F3A" w:rsidRDefault="009F7621" w:rsidP="00BE170F">
      <w:pPr>
        <w:spacing w:after="0" w:line="360" w:lineRule="auto"/>
        <w:contextualSpacing/>
        <w:rPr>
          <w:rFonts w:eastAsia="Calibri" w:cs="Tahoma"/>
          <w:bCs/>
          <w:color w:val="auto"/>
        </w:rPr>
      </w:pPr>
    </w:p>
    <w:p w14:paraId="72BEFBE4" w14:textId="77777777" w:rsidR="009F7621" w:rsidRPr="00C61F3A" w:rsidRDefault="009F7621" w:rsidP="00BE170F">
      <w:pPr>
        <w:spacing w:after="0" w:line="360" w:lineRule="auto"/>
        <w:contextualSpacing/>
        <w:rPr>
          <w:rFonts w:eastAsia="Calibri" w:cs="Tahoma"/>
          <w:bCs/>
          <w:color w:val="auto"/>
        </w:rPr>
      </w:pPr>
      <w:r w:rsidRPr="00C61F3A">
        <w:rPr>
          <w:rFonts w:eastAsia="Calibri" w:cs="Tahoma"/>
          <w:bCs/>
          <w:color w:val="auto"/>
        </w:rPr>
        <w:t>Al respecto, también son de considerar los criterios sostenidos por el Cuarto Tribunal Colegiado en Materia Administrativa del Primer Circuito, cuyos rubros y datos de identificación son los siguientes:</w:t>
      </w:r>
    </w:p>
    <w:p w14:paraId="23D25B9B" w14:textId="77777777" w:rsidR="009F7621" w:rsidRPr="00C61F3A" w:rsidRDefault="009F7621" w:rsidP="00BE170F">
      <w:pPr>
        <w:spacing w:after="0" w:line="360" w:lineRule="auto"/>
        <w:contextualSpacing/>
        <w:rPr>
          <w:rFonts w:eastAsia="Calibri" w:cs="Tahoma"/>
          <w:bCs/>
          <w:color w:val="auto"/>
        </w:rPr>
      </w:pPr>
      <w:r w:rsidRPr="00C61F3A">
        <w:rPr>
          <w:rFonts w:eastAsia="Calibri" w:cs="Tahoma"/>
          <w:bCs/>
          <w:color w:val="auto"/>
        </w:rPr>
        <w:t xml:space="preserve"> </w:t>
      </w:r>
    </w:p>
    <w:p w14:paraId="581113DC" w14:textId="77777777" w:rsidR="009F7621" w:rsidRPr="00C61F3A" w:rsidRDefault="009F7621" w:rsidP="00BE170F">
      <w:pPr>
        <w:spacing w:after="0" w:line="360" w:lineRule="auto"/>
        <w:contextualSpacing/>
        <w:rPr>
          <w:rFonts w:eastAsia="Calibri" w:cs="Tahoma"/>
          <w:bCs/>
          <w:color w:val="auto"/>
        </w:rPr>
      </w:pPr>
      <w:r w:rsidRPr="00C61F3A">
        <w:rPr>
          <w:rFonts w:eastAsia="Calibri" w:cs="Tahoma"/>
          <w:b/>
          <w:color w:val="auto"/>
        </w:rPr>
        <w:t>“PLAZO RAZONABLE PARA RESOLVER. DIMENSIÓN Y EFECTOS DE ESTE CONCEPTO CUANDO SE ADUCE EXCESIVA CARGA DE TRABAJO.”</w:t>
      </w:r>
      <w:r w:rsidRPr="00C61F3A">
        <w:rPr>
          <w:rFonts w:eastAsia="Calibri" w:cs="Tahoma"/>
          <w:bCs/>
          <w:color w:val="auto"/>
        </w:rPr>
        <w:t xml:space="preserve"> consultable en el Seminario Judicial de la Federación y su gaceta, con el registro digital 2002351.</w:t>
      </w:r>
    </w:p>
    <w:p w14:paraId="2233D4DC" w14:textId="77777777" w:rsidR="009F7621" w:rsidRPr="00C61F3A" w:rsidRDefault="009F7621" w:rsidP="00BE170F">
      <w:pPr>
        <w:spacing w:after="0" w:line="360" w:lineRule="auto"/>
        <w:contextualSpacing/>
        <w:rPr>
          <w:rFonts w:eastAsia="Calibri" w:cs="Tahoma"/>
          <w:bCs/>
          <w:color w:val="auto"/>
        </w:rPr>
      </w:pPr>
      <w:r w:rsidRPr="00C61F3A">
        <w:rPr>
          <w:rFonts w:eastAsia="Calibri" w:cs="Tahoma"/>
          <w:bCs/>
          <w:color w:val="auto"/>
        </w:rPr>
        <w:t xml:space="preserve"> </w:t>
      </w:r>
    </w:p>
    <w:p w14:paraId="3979D204" w14:textId="77777777" w:rsidR="009F7621" w:rsidRPr="00C61F3A" w:rsidRDefault="009F7621" w:rsidP="00BE170F">
      <w:pPr>
        <w:spacing w:after="0" w:line="360" w:lineRule="auto"/>
        <w:contextualSpacing/>
        <w:rPr>
          <w:rFonts w:eastAsia="Calibri" w:cs="Tahoma"/>
          <w:bCs/>
          <w:color w:val="auto"/>
        </w:rPr>
      </w:pPr>
      <w:r w:rsidRPr="00C61F3A">
        <w:rPr>
          <w:rFonts w:eastAsia="Calibri" w:cs="Tahoma"/>
          <w:b/>
          <w:color w:val="auto"/>
        </w:rPr>
        <w:lastRenderedPageBreak/>
        <w:t>“PLAZO RAZONABLE PARA RESOLVER. CONCEPTO Y ELEMENTOS QUE LO INTEGRAN A LA LUZ DEL DERECHO INTERNACIONAL DE LOS DERECHOS HUMANOS.”</w:t>
      </w:r>
      <w:r w:rsidRPr="00C61F3A">
        <w:rPr>
          <w:rFonts w:eastAsia="Calibri" w:cs="Tahoma"/>
          <w:bCs/>
          <w:color w:val="auto"/>
        </w:rPr>
        <w:t>, visible en el Seminario Judicial de la Federación y su gaceta, con el registro digital 2002350.</w:t>
      </w:r>
    </w:p>
    <w:p w14:paraId="117AB1FB" w14:textId="77777777" w:rsidR="009F7621" w:rsidRPr="00C61F3A" w:rsidRDefault="009F7621" w:rsidP="00BE170F">
      <w:pPr>
        <w:spacing w:after="0" w:line="360" w:lineRule="auto"/>
        <w:contextualSpacing/>
        <w:rPr>
          <w:rFonts w:eastAsia="Calibri" w:cs="Tahoma"/>
          <w:bCs/>
          <w:color w:val="auto"/>
        </w:rPr>
      </w:pPr>
    </w:p>
    <w:p w14:paraId="2B0AAB73" w14:textId="77777777" w:rsidR="009F7621" w:rsidRPr="00C61F3A" w:rsidRDefault="009F7621" w:rsidP="00BE170F">
      <w:pPr>
        <w:spacing w:after="0" w:line="360" w:lineRule="auto"/>
        <w:contextualSpacing/>
        <w:rPr>
          <w:i/>
          <w:iCs/>
          <w:color w:val="auto"/>
          <w:sz w:val="20"/>
          <w:szCs w:val="20"/>
        </w:rPr>
      </w:pPr>
      <w:r w:rsidRPr="00C61F3A">
        <w:rPr>
          <w:rFonts w:eastAsia="Calibri" w:cs="Tahoma"/>
          <w:bCs/>
          <w:color w:val="auto"/>
        </w:rPr>
        <w:t>Por ello, este organismo garante comprometido con la tutela de los derechos humanos confiados, señala que este exceso del plazo legal para resolver el presente asunto, resulta de carácter excepcional.</w:t>
      </w:r>
    </w:p>
    <w:p w14:paraId="1DF54971" w14:textId="77777777" w:rsidR="00B02BC7" w:rsidRPr="00C61F3A" w:rsidRDefault="00B02BC7" w:rsidP="00BE170F">
      <w:pPr>
        <w:spacing w:after="0" w:line="360" w:lineRule="auto"/>
        <w:rPr>
          <w:rFonts w:cs="Tahoma"/>
          <w:color w:val="auto"/>
          <w:lang w:val="es-ES_tradnl"/>
        </w:rPr>
      </w:pPr>
    </w:p>
    <w:p w14:paraId="6C1B7DFE" w14:textId="07D441BF" w:rsidR="004122A9" w:rsidRPr="00C61F3A" w:rsidRDefault="009F7621" w:rsidP="00BE170F">
      <w:pPr>
        <w:spacing w:after="0" w:line="360" w:lineRule="auto"/>
        <w:rPr>
          <w:rFonts w:cs="Tahoma"/>
          <w:color w:val="auto"/>
        </w:rPr>
      </w:pPr>
      <w:r w:rsidRPr="00C61F3A">
        <w:rPr>
          <w:rFonts w:cs="Tahoma"/>
          <w:b/>
          <w:bCs/>
          <w:color w:val="auto"/>
        </w:rPr>
        <w:t>e</w:t>
      </w:r>
      <w:r w:rsidR="00C21871" w:rsidRPr="00C61F3A">
        <w:rPr>
          <w:rFonts w:cs="Tahoma"/>
          <w:b/>
          <w:bCs/>
          <w:color w:val="auto"/>
        </w:rPr>
        <w:t>) Vista del Informe Justificado</w:t>
      </w:r>
      <w:r w:rsidR="00C16593" w:rsidRPr="00C61F3A">
        <w:rPr>
          <w:rFonts w:cs="Tahoma"/>
          <w:color w:val="auto"/>
        </w:rPr>
        <w:t>.</w:t>
      </w:r>
      <w:r w:rsidR="00C21871" w:rsidRPr="00C61F3A">
        <w:rPr>
          <w:rFonts w:cs="Tahoma"/>
          <w:color w:val="auto"/>
        </w:rPr>
        <w:t xml:space="preserve"> El </w:t>
      </w:r>
      <w:r w:rsidR="006B25A2" w:rsidRPr="00C61F3A">
        <w:rPr>
          <w:rFonts w:cs="Tahoma"/>
          <w:color w:val="auto"/>
        </w:rPr>
        <w:t>treinta</w:t>
      </w:r>
      <w:r w:rsidR="00C37242" w:rsidRPr="00C61F3A">
        <w:rPr>
          <w:rFonts w:cs="Tahoma"/>
          <w:color w:val="auto"/>
        </w:rPr>
        <w:t xml:space="preserve"> de </w:t>
      </w:r>
      <w:r w:rsidRPr="00C61F3A">
        <w:rPr>
          <w:rFonts w:cs="Tahoma"/>
          <w:color w:val="auto"/>
        </w:rPr>
        <w:t>octubre</w:t>
      </w:r>
      <w:r w:rsidR="00C37242" w:rsidRPr="00C61F3A">
        <w:rPr>
          <w:rFonts w:cs="Tahoma"/>
          <w:color w:val="auto"/>
        </w:rPr>
        <w:t xml:space="preserve"> de dos mil veinti</w:t>
      </w:r>
      <w:r w:rsidR="00C16593" w:rsidRPr="00C61F3A">
        <w:rPr>
          <w:rFonts w:cs="Tahoma"/>
          <w:color w:val="auto"/>
        </w:rPr>
        <w:t>cuatro</w:t>
      </w:r>
      <w:r w:rsidR="00C21871" w:rsidRPr="00C61F3A">
        <w:rPr>
          <w:rFonts w:cs="Tahoma"/>
          <w:color w:val="auto"/>
        </w:rPr>
        <w:t>, se dictó acuerdo, por medio del cual se pu</w:t>
      </w:r>
      <w:r w:rsidR="00682222" w:rsidRPr="00C61F3A">
        <w:rPr>
          <w:rFonts w:cs="Tahoma"/>
          <w:color w:val="auto"/>
        </w:rPr>
        <w:t>s</w:t>
      </w:r>
      <w:r w:rsidR="00C21871" w:rsidRPr="00C61F3A">
        <w:rPr>
          <w:rFonts w:cs="Tahoma"/>
          <w:color w:val="auto"/>
        </w:rPr>
        <w:t>o a la vista del Recurrente el Informe Justificado, entregados por el Sujeto Obligado, a fin de que en un término no mayor a tres días hábiles manifestará lo que a derecho corresponda, acto que fue notificado</w:t>
      </w:r>
      <w:r w:rsidR="004122A9" w:rsidRPr="00C61F3A">
        <w:rPr>
          <w:rFonts w:eastAsia="Palatino Linotype" w:cs="Palatino Linotype"/>
          <w:color w:val="auto"/>
          <w:lang w:val="es-ES"/>
        </w:rPr>
        <w:t xml:space="preserve"> mediante el Sistema de Acceso a la Información Mexiquense (SAIMEX)</w:t>
      </w:r>
      <w:r w:rsidR="00726A94" w:rsidRPr="00C61F3A">
        <w:rPr>
          <w:rFonts w:eastAsia="Palatino Linotype" w:cs="Palatino Linotype"/>
          <w:color w:val="auto"/>
          <w:lang w:val="es-ES"/>
        </w:rPr>
        <w:t>.</w:t>
      </w:r>
    </w:p>
    <w:p w14:paraId="0A26269A" w14:textId="77777777" w:rsidR="00805071" w:rsidRPr="00C61F3A" w:rsidRDefault="00805071" w:rsidP="00BE170F">
      <w:pPr>
        <w:spacing w:after="0" w:line="360" w:lineRule="auto"/>
        <w:rPr>
          <w:rFonts w:eastAsia="Palatino Linotype" w:cs="Palatino Linotype"/>
          <w:b/>
          <w:bCs/>
          <w:color w:val="FF0000"/>
        </w:rPr>
      </w:pPr>
    </w:p>
    <w:p w14:paraId="39328222" w14:textId="407E872D" w:rsidR="004548CD" w:rsidRPr="00C61F3A" w:rsidRDefault="009F7621" w:rsidP="00BE170F">
      <w:pPr>
        <w:spacing w:after="0" w:line="360" w:lineRule="auto"/>
        <w:rPr>
          <w:rFonts w:eastAsia="Palatino Linotype" w:cs="Palatino Linotype"/>
          <w:b/>
          <w:bCs/>
          <w:color w:val="auto"/>
        </w:rPr>
      </w:pPr>
      <w:r w:rsidRPr="00C61F3A">
        <w:rPr>
          <w:rFonts w:eastAsia="Times New Roman" w:cs="Tahoma"/>
          <w:b/>
          <w:color w:val="auto"/>
          <w:szCs w:val="24"/>
          <w:lang w:eastAsia="es-ES"/>
        </w:rPr>
        <w:t>f</w:t>
      </w:r>
      <w:r w:rsidR="004548CD" w:rsidRPr="00C61F3A">
        <w:rPr>
          <w:rFonts w:eastAsia="Times New Roman" w:cs="Tahoma"/>
          <w:b/>
          <w:color w:val="auto"/>
          <w:szCs w:val="24"/>
          <w:lang w:eastAsia="es-ES"/>
        </w:rPr>
        <w:t>) Cierre de instrucción.</w:t>
      </w:r>
      <w:r w:rsidR="004548CD" w:rsidRPr="00C61F3A">
        <w:rPr>
          <w:rFonts w:eastAsia="Times New Roman" w:cs="Tahoma"/>
          <w:color w:val="auto"/>
          <w:szCs w:val="24"/>
          <w:lang w:eastAsia="es-ES"/>
        </w:rPr>
        <w:t xml:space="preserve"> El</w:t>
      </w:r>
      <w:r w:rsidR="00843AB9" w:rsidRPr="00C61F3A">
        <w:rPr>
          <w:rFonts w:eastAsia="Times New Roman" w:cs="Tahoma"/>
          <w:color w:val="auto"/>
          <w:szCs w:val="24"/>
          <w:lang w:eastAsia="es-ES"/>
        </w:rPr>
        <w:t xml:space="preserve"> </w:t>
      </w:r>
      <w:r w:rsidR="00147C40">
        <w:rPr>
          <w:rFonts w:eastAsia="Times New Roman" w:cs="Tahoma"/>
          <w:color w:val="auto"/>
          <w:szCs w:val="24"/>
          <w:lang w:eastAsia="es-ES"/>
        </w:rPr>
        <w:t>seis</w:t>
      </w:r>
      <w:r w:rsidRPr="00C61F3A">
        <w:rPr>
          <w:rFonts w:eastAsia="Times New Roman" w:cs="Tahoma"/>
          <w:color w:val="auto"/>
          <w:szCs w:val="24"/>
          <w:lang w:eastAsia="es-ES"/>
        </w:rPr>
        <w:t xml:space="preserve"> noviembre </w:t>
      </w:r>
      <w:r w:rsidR="008D10DE" w:rsidRPr="00C61F3A">
        <w:rPr>
          <w:rFonts w:eastAsia="Times New Roman" w:cs="Tahoma"/>
          <w:color w:val="auto"/>
          <w:szCs w:val="24"/>
          <w:lang w:eastAsia="es-ES"/>
        </w:rPr>
        <w:t xml:space="preserve">de dos mil </w:t>
      </w:r>
      <w:r w:rsidR="006E5A93" w:rsidRPr="00C61F3A">
        <w:rPr>
          <w:rFonts w:eastAsia="Times New Roman" w:cs="Tahoma"/>
          <w:color w:val="auto"/>
          <w:szCs w:val="24"/>
          <w:lang w:eastAsia="es-ES"/>
        </w:rPr>
        <w:t>veinti</w:t>
      </w:r>
      <w:r w:rsidR="009265C9" w:rsidRPr="00C61F3A">
        <w:rPr>
          <w:rFonts w:eastAsia="Times New Roman" w:cs="Tahoma"/>
          <w:color w:val="auto"/>
          <w:szCs w:val="24"/>
          <w:lang w:eastAsia="es-ES"/>
        </w:rPr>
        <w:t>cuatro</w:t>
      </w:r>
      <w:r w:rsidR="004548CD" w:rsidRPr="00C61F3A">
        <w:rPr>
          <w:rFonts w:eastAsia="Times New Roman" w:cs="Tahoma"/>
          <w:color w:val="auto"/>
          <w:szCs w:val="24"/>
          <w:lang w:eastAsia="es-ES"/>
        </w:rPr>
        <w:t xml:space="preserve">, al no existir diligencias pendientes por desahogar, se emitió el acuerdo por medio del cual se declaró cerrada la instrucción y se determinó pasar los expedientes a resolución, en términos de lo dispuesto en los artículos 185, fracciones VI y VIII, de la Ley de Transparencia y Acceso a la Información Pública del Estado de México y Municipios, </w:t>
      </w:r>
      <w:r w:rsidR="004548CD" w:rsidRPr="00C61F3A">
        <w:rPr>
          <w:rFonts w:eastAsia="Palatino Linotype" w:cs="Palatino Linotype"/>
          <w:color w:val="auto"/>
          <w:lang w:val="es-ES"/>
        </w:rPr>
        <w:t>acto que fue notificado a las partes, mediante el Sistema de Acceso a la Información Mexiquense (SAIMEX), el mismo día.</w:t>
      </w:r>
    </w:p>
    <w:p w14:paraId="61B73302" w14:textId="77777777" w:rsidR="004548CD" w:rsidRPr="00C61F3A" w:rsidRDefault="004548CD" w:rsidP="00BE170F">
      <w:pPr>
        <w:spacing w:after="0" w:line="360" w:lineRule="auto"/>
        <w:rPr>
          <w:rFonts w:eastAsia="Times New Roman" w:cs="Tahoma"/>
          <w:color w:val="auto"/>
          <w:szCs w:val="24"/>
          <w:lang w:eastAsia="es-ES"/>
        </w:rPr>
      </w:pPr>
    </w:p>
    <w:p w14:paraId="5795BBB6" w14:textId="77777777" w:rsidR="00C853D1" w:rsidRPr="00C61F3A" w:rsidRDefault="00C853D1" w:rsidP="00BE170F">
      <w:pPr>
        <w:spacing w:after="0" w:line="360" w:lineRule="auto"/>
        <w:rPr>
          <w:rFonts w:eastAsia="Times New Roman" w:cs="Tahoma"/>
          <w:color w:val="auto"/>
          <w:szCs w:val="24"/>
          <w:lang w:eastAsia="es-ES"/>
        </w:rPr>
      </w:pPr>
      <w:r w:rsidRPr="00C61F3A">
        <w:rPr>
          <w:rFonts w:eastAsia="Times New Roman" w:cs="Tahoma"/>
          <w:color w:val="auto"/>
          <w:szCs w:val="24"/>
          <w:lang w:eastAsia="es-ES"/>
        </w:rPr>
        <w:t xml:space="preserve">En razón de que fue debidamente sustanciado e integrado el expediente electrónico y no existe diligencia pendiente de desahogo, se emite la resolución que conforme a Derecho proceda, de acuerdo a los siguientes: </w:t>
      </w:r>
    </w:p>
    <w:p w14:paraId="264F2B95" w14:textId="77777777" w:rsidR="00C853D1" w:rsidRPr="00C61F3A" w:rsidRDefault="00C853D1" w:rsidP="00BE170F">
      <w:pPr>
        <w:spacing w:after="0" w:line="360" w:lineRule="auto"/>
        <w:rPr>
          <w:rFonts w:eastAsia="Times New Roman" w:cs="Tahoma"/>
          <w:bCs/>
          <w:iCs/>
          <w:color w:val="auto"/>
          <w:lang w:val="es-ES" w:eastAsia="es-ES"/>
        </w:rPr>
      </w:pPr>
    </w:p>
    <w:p w14:paraId="4647AD46" w14:textId="758EAF40" w:rsidR="00C853D1" w:rsidRPr="00C61F3A" w:rsidRDefault="00C61F3A" w:rsidP="00BE170F">
      <w:pPr>
        <w:spacing w:after="0" w:line="360" w:lineRule="auto"/>
        <w:jc w:val="center"/>
        <w:rPr>
          <w:rFonts w:eastAsia="Times New Roman" w:cs="Tahoma"/>
          <w:b/>
          <w:color w:val="auto"/>
          <w:lang w:val="es-ES" w:eastAsia="es-ES"/>
        </w:rPr>
      </w:pPr>
      <w:r>
        <w:rPr>
          <w:rFonts w:eastAsia="Times New Roman" w:cs="Tahoma"/>
          <w:b/>
          <w:color w:val="auto"/>
          <w:lang w:val="es-ES" w:eastAsia="es-ES"/>
        </w:rPr>
        <w:lastRenderedPageBreak/>
        <w:t>C O N S I D E R A N D O S</w:t>
      </w:r>
    </w:p>
    <w:p w14:paraId="46CF2E78" w14:textId="77777777" w:rsidR="00C853D1" w:rsidRPr="00C61F3A" w:rsidRDefault="00C853D1" w:rsidP="00BE170F">
      <w:pPr>
        <w:spacing w:after="0" w:line="360" w:lineRule="auto"/>
        <w:rPr>
          <w:b/>
          <w:color w:val="FF0000"/>
        </w:rPr>
      </w:pPr>
    </w:p>
    <w:p w14:paraId="15369BD8" w14:textId="07488226" w:rsidR="00C853D1" w:rsidRPr="00C61F3A" w:rsidRDefault="00C853D1" w:rsidP="00BE170F">
      <w:pPr>
        <w:autoSpaceDE w:val="0"/>
        <w:autoSpaceDN w:val="0"/>
        <w:adjustRightInd w:val="0"/>
        <w:spacing w:after="0" w:line="360" w:lineRule="auto"/>
        <w:rPr>
          <w:rFonts w:eastAsia="Times New Roman" w:cs="Tahoma"/>
          <w:b/>
          <w:color w:val="auto"/>
          <w:szCs w:val="24"/>
          <w:lang w:val="es-ES" w:eastAsia="es-ES"/>
        </w:rPr>
      </w:pPr>
      <w:r w:rsidRPr="00C61F3A">
        <w:rPr>
          <w:rFonts w:eastAsia="Calibri" w:cs="Tahoma"/>
          <w:b/>
          <w:color w:val="auto"/>
          <w:szCs w:val="24"/>
          <w:lang w:val="es-ES" w:eastAsia="es-MX"/>
        </w:rPr>
        <w:t>PRIMERO</w:t>
      </w:r>
      <w:r w:rsidRPr="00C61F3A">
        <w:rPr>
          <w:rFonts w:eastAsia="Calibri" w:cs="Tahoma"/>
          <w:color w:val="auto"/>
          <w:szCs w:val="24"/>
          <w:lang w:val="es-ES" w:eastAsia="es-MX"/>
        </w:rPr>
        <w:t xml:space="preserve">. </w:t>
      </w:r>
      <w:r w:rsidRPr="00C61F3A">
        <w:rPr>
          <w:rFonts w:eastAsia="Times New Roman" w:cs="Tahoma"/>
          <w:b/>
          <w:color w:val="auto"/>
          <w:szCs w:val="24"/>
          <w:lang w:val="es-ES" w:eastAsia="es-ES"/>
        </w:rPr>
        <w:t>Compe</w:t>
      </w:r>
      <w:r w:rsidR="00622459" w:rsidRPr="00C61F3A">
        <w:rPr>
          <w:rFonts w:eastAsia="Times New Roman" w:cs="Tahoma"/>
          <w:b/>
          <w:color w:val="auto"/>
          <w:szCs w:val="24"/>
          <w:lang w:val="es-ES" w:eastAsia="es-ES"/>
        </w:rPr>
        <w:t>tencia</w:t>
      </w:r>
    </w:p>
    <w:p w14:paraId="6B0576AC" w14:textId="77777777" w:rsidR="00C853D1" w:rsidRPr="00C61F3A" w:rsidRDefault="00C853D1" w:rsidP="00BE170F">
      <w:pPr>
        <w:autoSpaceDE w:val="0"/>
        <w:autoSpaceDN w:val="0"/>
        <w:adjustRightInd w:val="0"/>
        <w:spacing w:after="0" w:line="360" w:lineRule="auto"/>
        <w:rPr>
          <w:rFonts w:eastAsia="Times New Roman" w:cs="Tahoma"/>
          <w:b/>
          <w:color w:val="auto"/>
          <w:szCs w:val="24"/>
          <w:lang w:val="es-ES" w:eastAsia="es-ES"/>
        </w:rPr>
      </w:pPr>
    </w:p>
    <w:p w14:paraId="4BA69015" w14:textId="4B99D1D9" w:rsidR="00C853D1" w:rsidRPr="00C61F3A" w:rsidRDefault="00C853D1" w:rsidP="00BE170F">
      <w:pPr>
        <w:spacing w:after="0" w:line="360" w:lineRule="auto"/>
        <w:rPr>
          <w:rFonts w:eastAsia="Times New Roman" w:cs="Tahoma"/>
          <w:bCs/>
          <w:color w:val="auto"/>
          <w:lang w:eastAsia="es-ES"/>
        </w:rPr>
      </w:pPr>
      <w:r w:rsidRPr="00C61F3A">
        <w:rPr>
          <w:rFonts w:eastAsia="Times New Roman" w:cs="Tahoma"/>
          <w:bCs/>
          <w:color w:val="auto"/>
          <w:lang w:eastAsia="es-ES"/>
        </w:rPr>
        <w:t>El Instituto de Transparencia, Acceso a la Información Pública y Protección de Datos Personales del Estado de México y Municipios, es competente para conocer y resolver el presente recurso de revisión interpuesto por la parte recurrente, conforme a lo dispuesto en los artículos 6°, apartado A, de la Constitución Política de los Estados Unidos Mexicanos; 5°, párrafos</w:t>
      </w:r>
      <w:r w:rsidR="00EB0056" w:rsidRPr="00C61F3A">
        <w:rPr>
          <w:rFonts w:eastAsia="Times New Roman" w:cs="Tahoma"/>
          <w:bCs/>
          <w:color w:val="auto"/>
          <w:lang w:eastAsia="es-ES"/>
        </w:rPr>
        <w:t xml:space="preserve"> trigésimo segundo, trigésimo tercero y trigésimo cuarto</w:t>
      </w:r>
      <w:r w:rsidRPr="00C61F3A">
        <w:rPr>
          <w:rFonts w:eastAsia="Times New Roman" w:cs="Tahoma"/>
          <w:bCs/>
          <w:color w:val="auto"/>
          <w:lang w:eastAsia="es-ES"/>
        </w:rPr>
        <w:t>, fracciones I, II, III, IV y V de la Constitución Política del Estado Libre y Soberano de México; 1°, 8°, 9°, 10, 37 y 42, fracciones I, II y III, de la Ley General de Transparencia y Acceso a la Información Pública; 1°, 2°, fracciones II y IV; 13, 29, 36, fracciones I y II; 176, 178, 179, 181 párrafo tercero, 185, 188 y 189 de la Ley Transparencia y Acceso a la Información Pública del Estado de México y Municipios;</w:t>
      </w:r>
      <w:r w:rsidRPr="00C61F3A">
        <w:rPr>
          <w:rFonts w:eastAsia="Times New Roman" w:cs="Times New Roman"/>
          <w:bCs/>
          <w:color w:val="auto"/>
          <w:lang w:eastAsia="es-ES"/>
        </w:rPr>
        <w:t xml:space="preserve"> 7°, </w:t>
      </w:r>
      <w:r w:rsidRPr="00C61F3A">
        <w:rPr>
          <w:rFonts w:eastAsia="Times New Roman" w:cs="Tahoma"/>
          <w:bCs/>
          <w:color w:val="auto"/>
          <w:lang w:eastAsia="es-ES"/>
        </w:rPr>
        <w:t>9°, fracciones I y XX</w:t>
      </w:r>
      <w:r w:rsidR="00EB0056" w:rsidRPr="00C61F3A">
        <w:rPr>
          <w:rFonts w:eastAsia="Times New Roman" w:cs="Tahoma"/>
          <w:bCs/>
          <w:color w:val="auto"/>
          <w:lang w:eastAsia="es-ES"/>
        </w:rPr>
        <w:t>III</w:t>
      </w:r>
      <w:r w:rsidRPr="00C61F3A">
        <w:rPr>
          <w:rFonts w:eastAsia="Times New Roman" w:cs="Tahoma"/>
          <w:bCs/>
          <w:color w:val="auto"/>
          <w:lang w:eastAsia="es-ES"/>
        </w:rPr>
        <w:t xml:space="preserve"> y 11 del Reglamento Interior del Instituto de Transparencia, Acceso a la Información Pública y Protección de Datos Personales del Estado de México y Municipios.</w:t>
      </w:r>
    </w:p>
    <w:p w14:paraId="4FF2492C" w14:textId="77777777" w:rsidR="00C853D1" w:rsidRPr="00C61F3A" w:rsidRDefault="00C853D1" w:rsidP="00BE170F">
      <w:pPr>
        <w:spacing w:after="0" w:line="360" w:lineRule="auto"/>
        <w:rPr>
          <w:rFonts w:eastAsia="Times New Roman" w:cs="Tahoma"/>
          <w:bCs/>
          <w:color w:val="auto"/>
          <w:lang w:eastAsia="es-ES"/>
        </w:rPr>
      </w:pPr>
    </w:p>
    <w:p w14:paraId="1CEE0B22" w14:textId="66E4AECA" w:rsidR="00C853D1" w:rsidRPr="00C61F3A" w:rsidRDefault="00C853D1" w:rsidP="00BE170F">
      <w:pPr>
        <w:autoSpaceDE w:val="0"/>
        <w:autoSpaceDN w:val="0"/>
        <w:adjustRightInd w:val="0"/>
        <w:spacing w:after="0" w:line="360" w:lineRule="auto"/>
        <w:rPr>
          <w:rFonts w:eastAsia="Times New Roman" w:cs="Tahoma"/>
          <w:color w:val="auto"/>
          <w:szCs w:val="24"/>
          <w:lang w:val="es-ES" w:eastAsia="es-ES"/>
        </w:rPr>
      </w:pPr>
      <w:r w:rsidRPr="00C61F3A">
        <w:rPr>
          <w:rFonts w:eastAsia="Calibri" w:cs="Tahoma"/>
          <w:b/>
          <w:color w:val="auto"/>
          <w:szCs w:val="24"/>
          <w:lang w:val="es-ES" w:eastAsia="es-MX"/>
        </w:rPr>
        <w:t>SEGUNDO</w:t>
      </w:r>
      <w:r w:rsidRPr="00C61F3A">
        <w:rPr>
          <w:rFonts w:eastAsia="Calibri" w:cs="Tahoma"/>
          <w:color w:val="auto"/>
          <w:szCs w:val="24"/>
          <w:lang w:val="es-ES" w:eastAsia="es-MX"/>
        </w:rPr>
        <w:t xml:space="preserve">. </w:t>
      </w:r>
      <w:r w:rsidRPr="00C61F3A">
        <w:rPr>
          <w:rFonts w:eastAsia="Times New Roman" w:cs="Tahoma"/>
          <w:b/>
          <w:color w:val="auto"/>
          <w:szCs w:val="24"/>
          <w:lang w:val="es-ES" w:eastAsia="es-ES"/>
        </w:rPr>
        <w:t>Causales de</w:t>
      </w:r>
      <w:r w:rsidR="00622459" w:rsidRPr="00C61F3A">
        <w:rPr>
          <w:rFonts w:eastAsia="Times New Roman" w:cs="Tahoma"/>
          <w:b/>
          <w:color w:val="auto"/>
          <w:szCs w:val="24"/>
          <w:lang w:val="es-ES" w:eastAsia="es-ES"/>
        </w:rPr>
        <w:t xml:space="preserve"> improcedencia y sobreseimiento</w:t>
      </w:r>
    </w:p>
    <w:p w14:paraId="732DCB46" w14:textId="77777777" w:rsidR="00C853D1" w:rsidRPr="00C61F3A" w:rsidRDefault="00C853D1" w:rsidP="00BE170F">
      <w:pPr>
        <w:autoSpaceDE w:val="0"/>
        <w:autoSpaceDN w:val="0"/>
        <w:adjustRightInd w:val="0"/>
        <w:spacing w:after="0" w:line="360" w:lineRule="auto"/>
        <w:rPr>
          <w:rFonts w:eastAsia="Times New Roman" w:cs="Tahoma"/>
          <w:color w:val="auto"/>
          <w:szCs w:val="24"/>
          <w:lang w:val="es-ES" w:eastAsia="es-ES"/>
        </w:rPr>
      </w:pPr>
    </w:p>
    <w:p w14:paraId="3EDC37E9" w14:textId="77777777" w:rsidR="00C853D1" w:rsidRPr="00C61F3A" w:rsidRDefault="00C853D1" w:rsidP="00BE170F">
      <w:pPr>
        <w:autoSpaceDE w:val="0"/>
        <w:autoSpaceDN w:val="0"/>
        <w:adjustRightInd w:val="0"/>
        <w:spacing w:after="0" w:line="360" w:lineRule="auto"/>
        <w:rPr>
          <w:rFonts w:eastAsia="Times New Roman" w:cs="Tahoma"/>
          <w:color w:val="auto"/>
          <w:szCs w:val="24"/>
          <w:lang w:val="es-ES" w:eastAsia="es-ES"/>
        </w:rPr>
      </w:pPr>
      <w:r w:rsidRPr="00C61F3A">
        <w:rPr>
          <w:rFonts w:eastAsia="Times New Roman" w:cs="Tahoma"/>
          <w:color w:val="auto"/>
          <w:szCs w:val="24"/>
          <w:lang w:val="es-ES" w:eastAsia="es-ES"/>
        </w:rPr>
        <w:t xml:space="preserve">De las constancias que forma parte del Recurso de Revisión que se analiza, se advierte que previo al estudio del fondo de la </w:t>
      </w:r>
      <w:proofErr w:type="spellStart"/>
      <w:r w:rsidRPr="00C61F3A">
        <w:rPr>
          <w:rFonts w:eastAsia="Times New Roman" w:cs="Tahoma"/>
          <w:i/>
          <w:color w:val="auto"/>
          <w:szCs w:val="24"/>
          <w:lang w:val="es-ES" w:eastAsia="es-ES"/>
        </w:rPr>
        <w:t>litis</w:t>
      </w:r>
      <w:proofErr w:type="spellEnd"/>
      <w:r w:rsidRPr="00C61F3A">
        <w:rPr>
          <w:rFonts w:eastAsia="Times New Roman" w:cs="Tahoma"/>
          <w:color w:val="auto"/>
          <w:szCs w:val="24"/>
          <w:lang w:val="es-ES" w:eastAsia="es-ES"/>
        </w:rPr>
        <w:t>, es necesario estudiar las causales de improcedencia y sobreseimiento que se adviertan, para determinar lo que en Derecho proceda.</w:t>
      </w:r>
    </w:p>
    <w:p w14:paraId="2159CCAC" w14:textId="77777777" w:rsidR="00C853D1" w:rsidRPr="00C61F3A" w:rsidRDefault="00C853D1" w:rsidP="00BE170F">
      <w:pPr>
        <w:autoSpaceDE w:val="0"/>
        <w:autoSpaceDN w:val="0"/>
        <w:adjustRightInd w:val="0"/>
        <w:spacing w:after="0" w:line="360" w:lineRule="auto"/>
        <w:rPr>
          <w:rFonts w:eastAsia="Times New Roman" w:cs="Tahoma"/>
          <w:color w:val="auto"/>
          <w:szCs w:val="24"/>
          <w:lang w:val="es-ES" w:eastAsia="es-ES"/>
        </w:rPr>
      </w:pPr>
    </w:p>
    <w:p w14:paraId="0D0DB2F6" w14:textId="16C277DB" w:rsidR="00C853D1" w:rsidRPr="00C61F3A" w:rsidRDefault="00622459" w:rsidP="00BE170F">
      <w:pPr>
        <w:autoSpaceDE w:val="0"/>
        <w:autoSpaceDN w:val="0"/>
        <w:adjustRightInd w:val="0"/>
        <w:spacing w:after="0" w:line="360" w:lineRule="auto"/>
        <w:rPr>
          <w:rFonts w:eastAsia="Calibri" w:cs="Tahoma"/>
          <w:color w:val="auto"/>
          <w:szCs w:val="24"/>
          <w:lang w:val="es-ES" w:eastAsia="es-MX"/>
        </w:rPr>
      </w:pPr>
      <w:r w:rsidRPr="00C61F3A">
        <w:rPr>
          <w:rFonts w:eastAsia="Calibri" w:cs="Tahoma"/>
          <w:b/>
          <w:color w:val="auto"/>
          <w:szCs w:val="24"/>
          <w:lang w:val="es-ES" w:eastAsia="es-MX"/>
        </w:rPr>
        <w:t>Causales de improcedencia</w:t>
      </w:r>
    </w:p>
    <w:p w14:paraId="61973DFD" w14:textId="77777777" w:rsidR="00C853D1" w:rsidRPr="00C61F3A" w:rsidRDefault="00C853D1" w:rsidP="00BE170F">
      <w:pPr>
        <w:autoSpaceDE w:val="0"/>
        <w:autoSpaceDN w:val="0"/>
        <w:adjustRightInd w:val="0"/>
        <w:spacing w:after="0" w:line="360" w:lineRule="auto"/>
        <w:rPr>
          <w:rFonts w:eastAsia="Calibri" w:cs="Tahoma"/>
          <w:color w:val="auto"/>
          <w:szCs w:val="24"/>
          <w:lang w:val="es-ES" w:eastAsia="es-MX"/>
        </w:rPr>
      </w:pPr>
    </w:p>
    <w:p w14:paraId="0231FCB7" w14:textId="77777777" w:rsidR="00C853D1" w:rsidRPr="00C61F3A" w:rsidRDefault="00C853D1" w:rsidP="00BE170F">
      <w:pPr>
        <w:autoSpaceDE w:val="0"/>
        <w:autoSpaceDN w:val="0"/>
        <w:adjustRightInd w:val="0"/>
        <w:spacing w:after="0" w:line="360" w:lineRule="auto"/>
        <w:rPr>
          <w:rFonts w:eastAsia="Calibri" w:cs="Tahoma"/>
          <w:color w:val="auto"/>
          <w:lang w:val="es-ES" w:eastAsia="es-MX"/>
        </w:rPr>
      </w:pPr>
      <w:r w:rsidRPr="00C61F3A">
        <w:rPr>
          <w:rFonts w:eastAsia="Calibri" w:cs="Tahoma"/>
          <w:color w:val="auto"/>
          <w:lang w:eastAsia="es-MX"/>
        </w:rPr>
        <w:lastRenderedPageBreak/>
        <w:t>Este Instituto realiza el estudio oficioso de las causales de improcedencia, ya que estas deben estudiarse, aunque no las hagan valer las partes, por ser una cuestión de orden público y de estudio preferente al fondo del asunto. Lo anterior se robustece en la Tesis de Jurisprudencia: 1a</w:t>
      </w:r>
      <w:proofErr w:type="gramStart"/>
      <w:r w:rsidRPr="00C61F3A">
        <w:rPr>
          <w:rFonts w:eastAsia="Calibri" w:cs="Tahoma"/>
          <w:color w:val="auto"/>
          <w:lang w:eastAsia="es-MX"/>
        </w:rPr>
        <w:t>./</w:t>
      </w:r>
      <w:proofErr w:type="gramEnd"/>
      <w:r w:rsidRPr="00C61F3A">
        <w:rPr>
          <w:rFonts w:eastAsia="Calibri" w:cs="Tahoma"/>
          <w:color w:val="auto"/>
          <w:lang w:eastAsia="es-MX"/>
        </w:rPr>
        <w:t>J. 163/2005</w:t>
      </w:r>
      <w:r w:rsidRPr="00C61F3A">
        <w:rPr>
          <w:rFonts w:eastAsia="Calibri" w:cs="Tahoma"/>
          <w:b/>
          <w:bCs/>
          <w:color w:val="auto"/>
          <w:lang w:eastAsia="es-MX"/>
        </w:rPr>
        <w:t xml:space="preserve"> </w:t>
      </w:r>
      <w:r w:rsidRPr="00C61F3A">
        <w:rPr>
          <w:rFonts w:eastAsia="Calibri" w:cs="Tahoma"/>
          <w:color w:val="auto"/>
          <w:lang w:eastAsia="es-MX"/>
        </w:rPr>
        <w:t xml:space="preserve">(Semanario Judicial de la Federación y su Gaceta, Novena Época, 2006, página 319), toda vez que, si de las constancias que obran en el expediente electrónico, se actualiza una causal de improcedencia establecidas en el artículo 191 de la Ley de Transparencia y Acceso a la Información Pública del Estado de México y Municipios, dará lugar a que el presente Recurso de Revisión sea sobreseído. </w:t>
      </w:r>
    </w:p>
    <w:p w14:paraId="52B897E0" w14:textId="77777777" w:rsidR="00C853D1" w:rsidRPr="00C61F3A" w:rsidRDefault="00C853D1" w:rsidP="00BE170F">
      <w:pPr>
        <w:autoSpaceDE w:val="0"/>
        <w:autoSpaceDN w:val="0"/>
        <w:adjustRightInd w:val="0"/>
        <w:spacing w:after="0" w:line="360" w:lineRule="auto"/>
        <w:rPr>
          <w:rFonts w:eastAsia="Calibri" w:cs="Tahoma"/>
          <w:color w:val="auto"/>
          <w:lang w:eastAsia="es-MX"/>
        </w:rPr>
      </w:pPr>
    </w:p>
    <w:p w14:paraId="0EA74A57" w14:textId="77777777" w:rsidR="00C853D1" w:rsidRPr="00C61F3A" w:rsidRDefault="00C853D1" w:rsidP="00BE170F">
      <w:pPr>
        <w:autoSpaceDE w:val="0"/>
        <w:autoSpaceDN w:val="0"/>
        <w:adjustRightInd w:val="0"/>
        <w:spacing w:after="0" w:line="360" w:lineRule="auto"/>
        <w:rPr>
          <w:rFonts w:eastAsia="Calibri" w:cs="Tahoma"/>
          <w:color w:val="auto"/>
          <w:lang w:eastAsia="es-MX"/>
        </w:rPr>
      </w:pPr>
      <w:r w:rsidRPr="00C61F3A">
        <w:rPr>
          <w:rFonts w:eastAsia="Calibri" w:cs="Tahoma"/>
          <w:color w:val="auto"/>
          <w:lang w:eastAsia="es-MX"/>
        </w:rPr>
        <w:t xml:space="preserve">En el presente caso, </w:t>
      </w:r>
      <w:r w:rsidRPr="00C61F3A">
        <w:rPr>
          <w:rFonts w:eastAsia="Calibri" w:cs="Tahoma"/>
          <w:b/>
          <w:color w:val="auto"/>
          <w:lang w:eastAsia="es-MX"/>
        </w:rPr>
        <w:t>no se actualiza ninguna de las causales de improcedencia</w:t>
      </w:r>
      <w:r w:rsidRPr="00C61F3A">
        <w:rPr>
          <w:rFonts w:eastAsia="Calibri" w:cs="Tahoma"/>
          <w:color w:val="auto"/>
          <w:lang w:eastAsia="es-MX"/>
        </w:rPr>
        <w:t xml:space="preserve"> establecidas en el ordenamiento jurídico previamente señalado, toda vez que este Instituto no tiene conocimiento de que se encuentre en trámite algún medio de defensa presentado por el Recurrente ante otra instancia; no existió prevención alguna; la veracidad de la respuesta no formó parte del agravio; no se realizó una consulta o ampliación a los alcances del requerimiento informativo, aunado a que el medio de impugnación fue presentado en tiempo.</w:t>
      </w:r>
    </w:p>
    <w:p w14:paraId="42DBAD8B" w14:textId="77777777" w:rsidR="00C853D1" w:rsidRPr="00C61F3A" w:rsidRDefault="00C853D1" w:rsidP="00BE170F">
      <w:pPr>
        <w:spacing w:after="0" w:line="360" w:lineRule="auto"/>
        <w:rPr>
          <w:rFonts w:eastAsia="Times New Roman" w:cs="Tahoma"/>
          <w:b/>
          <w:bCs/>
          <w:color w:val="auto"/>
          <w:lang w:eastAsia="es-ES"/>
        </w:rPr>
      </w:pPr>
    </w:p>
    <w:p w14:paraId="009D8158" w14:textId="351E02E0" w:rsidR="00C853D1" w:rsidRPr="00C61F3A" w:rsidRDefault="00DD116F" w:rsidP="00BE170F">
      <w:pPr>
        <w:spacing w:after="0" w:line="360" w:lineRule="auto"/>
        <w:rPr>
          <w:rFonts w:eastAsia="Times New Roman" w:cs="Tahoma"/>
          <w:color w:val="auto"/>
          <w:lang w:val="es-ES" w:eastAsia="es-ES"/>
        </w:rPr>
      </w:pPr>
      <w:r w:rsidRPr="00C61F3A">
        <w:rPr>
          <w:rFonts w:eastAsia="Times New Roman" w:cs="Tahoma"/>
          <w:color w:val="auto"/>
          <w:lang w:eastAsia="es-ES"/>
        </w:rPr>
        <w:t xml:space="preserve">Asimismo, </w:t>
      </w:r>
      <w:r w:rsidR="00C853D1" w:rsidRPr="00C61F3A">
        <w:rPr>
          <w:rFonts w:eastAsia="Times New Roman" w:cs="Tahoma"/>
          <w:color w:val="auto"/>
          <w:lang w:eastAsia="es-ES"/>
        </w:rPr>
        <w:t>se actualiza la causal de procedencia del Recurso de Revisión señalada en el artículo 179, fracci</w:t>
      </w:r>
      <w:r w:rsidR="00F92A77" w:rsidRPr="00C61F3A">
        <w:rPr>
          <w:rFonts w:eastAsia="Times New Roman" w:cs="Tahoma"/>
          <w:color w:val="auto"/>
          <w:lang w:eastAsia="es-ES"/>
        </w:rPr>
        <w:t>ón</w:t>
      </w:r>
      <w:r w:rsidR="00706979" w:rsidRPr="00C61F3A">
        <w:rPr>
          <w:rFonts w:eastAsia="Times New Roman" w:cs="Tahoma"/>
          <w:color w:val="auto"/>
          <w:lang w:eastAsia="es-ES"/>
        </w:rPr>
        <w:t xml:space="preserve"> </w:t>
      </w:r>
      <w:r w:rsidR="009F7621" w:rsidRPr="00C61F3A">
        <w:rPr>
          <w:rFonts w:eastAsia="Times New Roman" w:cs="Tahoma"/>
          <w:color w:val="auto"/>
          <w:lang w:eastAsia="es-ES"/>
        </w:rPr>
        <w:t>V</w:t>
      </w:r>
      <w:r w:rsidR="00682222" w:rsidRPr="00C61F3A">
        <w:rPr>
          <w:rFonts w:eastAsia="Times New Roman" w:cs="Tahoma"/>
          <w:color w:val="auto"/>
          <w:lang w:eastAsia="es-ES"/>
        </w:rPr>
        <w:t>,</w:t>
      </w:r>
      <w:r w:rsidR="00C853D1" w:rsidRPr="00C61F3A">
        <w:rPr>
          <w:rFonts w:eastAsia="Times New Roman" w:cs="Tahoma"/>
          <w:color w:val="auto"/>
          <w:lang w:eastAsia="es-ES"/>
        </w:rPr>
        <w:t xml:space="preserve"> de la Ley en cita, </w:t>
      </w:r>
      <w:r w:rsidR="00C853D1" w:rsidRPr="00C61F3A">
        <w:rPr>
          <w:rFonts w:eastAsia="Calibri" w:cs="Tahoma"/>
          <w:color w:val="auto"/>
          <w:lang w:eastAsia="es-MX"/>
        </w:rPr>
        <w:t xml:space="preserve">pues la Recurrente se inconformó </w:t>
      </w:r>
      <w:r w:rsidR="002C5B0F" w:rsidRPr="00C61F3A">
        <w:rPr>
          <w:rFonts w:eastAsia="Times New Roman" w:cs="Tahoma"/>
          <w:color w:val="auto"/>
          <w:lang w:val="es-ES" w:eastAsia="es-ES"/>
        </w:rPr>
        <w:t xml:space="preserve">de la entrega de </w:t>
      </w:r>
      <w:r w:rsidR="007035B6" w:rsidRPr="00C61F3A">
        <w:rPr>
          <w:rFonts w:eastAsia="Times New Roman" w:cs="Tahoma"/>
          <w:color w:val="auto"/>
          <w:lang w:val="es-ES" w:eastAsia="es-ES"/>
        </w:rPr>
        <w:t>información</w:t>
      </w:r>
      <w:r w:rsidR="00A14694" w:rsidRPr="00C61F3A">
        <w:rPr>
          <w:rFonts w:eastAsia="Times New Roman" w:cs="Tahoma"/>
          <w:color w:val="auto"/>
          <w:lang w:val="es-ES" w:eastAsia="es-ES"/>
        </w:rPr>
        <w:t xml:space="preserve"> </w:t>
      </w:r>
      <w:r w:rsidR="009F7621" w:rsidRPr="00C61F3A">
        <w:rPr>
          <w:rFonts w:eastAsia="Times New Roman" w:cs="Tahoma"/>
          <w:color w:val="auto"/>
          <w:lang w:val="es-ES" w:eastAsia="es-ES"/>
        </w:rPr>
        <w:t>incompleta.</w:t>
      </w:r>
    </w:p>
    <w:p w14:paraId="59B7B3C4" w14:textId="77777777" w:rsidR="00AB36AF" w:rsidRPr="00C61F3A" w:rsidRDefault="00AB36AF" w:rsidP="00BE170F">
      <w:pPr>
        <w:spacing w:after="0" w:line="360" w:lineRule="auto"/>
        <w:rPr>
          <w:rFonts w:eastAsia="Times New Roman" w:cs="Tahoma"/>
          <w:b/>
          <w:bCs/>
          <w:color w:val="FF0000"/>
          <w:lang w:val="es-ES" w:eastAsia="es-ES"/>
        </w:rPr>
      </w:pPr>
    </w:p>
    <w:p w14:paraId="1D899F6F" w14:textId="7DC1864E" w:rsidR="00AB36AF" w:rsidRPr="00C61F3A" w:rsidRDefault="00C61F3A" w:rsidP="00BE170F">
      <w:pPr>
        <w:spacing w:after="0" w:line="360" w:lineRule="auto"/>
        <w:contextualSpacing/>
        <w:rPr>
          <w:rFonts w:eastAsia="Times New Roman" w:cs="Tahoma"/>
          <w:b/>
          <w:bCs/>
          <w:color w:val="auto"/>
          <w:lang w:eastAsia="es-ES"/>
        </w:rPr>
      </w:pPr>
      <w:r>
        <w:rPr>
          <w:rFonts w:eastAsia="Times New Roman" w:cs="Tahoma"/>
          <w:b/>
          <w:bCs/>
          <w:color w:val="auto"/>
          <w:lang w:eastAsia="es-ES"/>
        </w:rPr>
        <w:t>Causales de sobreseimiento</w:t>
      </w:r>
    </w:p>
    <w:p w14:paraId="43B62563" w14:textId="77777777" w:rsidR="00AB36AF" w:rsidRPr="00C61F3A" w:rsidRDefault="00AB36AF" w:rsidP="00BE170F">
      <w:pPr>
        <w:spacing w:after="0" w:line="360" w:lineRule="auto"/>
        <w:contextualSpacing/>
        <w:rPr>
          <w:rFonts w:eastAsia="Times New Roman" w:cs="Tahoma"/>
          <w:b/>
          <w:bCs/>
          <w:color w:val="auto"/>
          <w:lang w:eastAsia="es-ES"/>
        </w:rPr>
      </w:pPr>
    </w:p>
    <w:p w14:paraId="3DC52C6B" w14:textId="77777777" w:rsidR="00AB36AF" w:rsidRPr="00C61F3A" w:rsidRDefault="00AB36AF" w:rsidP="00BE170F">
      <w:pPr>
        <w:spacing w:after="0" w:line="360" w:lineRule="auto"/>
        <w:contextualSpacing/>
        <w:rPr>
          <w:rFonts w:eastAsia="Times New Roman" w:cs="Tahoma"/>
          <w:bCs/>
          <w:color w:val="auto"/>
          <w:lang w:eastAsia="es-ES"/>
        </w:rPr>
      </w:pPr>
      <w:r w:rsidRPr="00C61F3A">
        <w:rPr>
          <w:rFonts w:eastAsia="Times New Roman" w:cs="Tahoma"/>
          <w:bCs/>
          <w:color w:val="auto"/>
          <w:lang w:eastAsia="es-ES"/>
        </w:rPr>
        <w:t xml:space="preserve">Por ser de previo y especial pronunciamiento, este Instituto analiza si se actualiza alguna causal de sobreseimiento. </w:t>
      </w:r>
    </w:p>
    <w:p w14:paraId="5045DC76" w14:textId="77777777" w:rsidR="00AB36AF" w:rsidRPr="00C61F3A" w:rsidRDefault="00AB36AF" w:rsidP="00BE170F">
      <w:pPr>
        <w:spacing w:after="0" w:line="360" w:lineRule="auto"/>
        <w:contextualSpacing/>
        <w:rPr>
          <w:rFonts w:eastAsia="Times New Roman" w:cs="Tahoma"/>
          <w:bCs/>
          <w:color w:val="auto"/>
          <w:lang w:eastAsia="es-ES"/>
        </w:rPr>
      </w:pPr>
    </w:p>
    <w:p w14:paraId="232781AC" w14:textId="77777777" w:rsidR="00AB36AF" w:rsidRPr="00C61F3A" w:rsidRDefault="00AB36AF" w:rsidP="00BE170F">
      <w:pPr>
        <w:spacing w:after="0" w:line="360" w:lineRule="auto"/>
        <w:contextualSpacing/>
        <w:rPr>
          <w:rFonts w:eastAsia="Times New Roman" w:cs="Tahoma"/>
          <w:color w:val="auto"/>
          <w:szCs w:val="24"/>
          <w:lang w:eastAsia="es-ES"/>
        </w:rPr>
      </w:pPr>
      <w:r w:rsidRPr="00C61F3A">
        <w:rPr>
          <w:rFonts w:eastAsia="Times New Roman" w:cs="Tahoma"/>
          <w:bCs/>
          <w:color w:val="auto"/>
          <w:lang w:eastAsia="es-ES"/>
        </w:rPr>
        <w:lastRenderedPageBreak/>
        <w:t>Sobre el tema, e</w:t>
      </w:r>
      <w:r w:rsidRPr="00C61F3A">
        <w:rPr>
          <w:rFonts w:eastAsia="Times New Roman" w:cs="Tahoma"/>
          <w:color w:val="auto"/>
          <w:szCs w:val="24"/>
          <w:lang w:eastAsia="es-ES"/>
        </w:rPr>
        <w:t>l artículo 192 de la Ley Transparencia y Acceso a la Información Pública del Estado de México y Municipios, señala las causales por las cuales se puede sobreseer en todo o en parte, el Recurso de Revisión; así, del análisis realizado por este Instituto, se advierte que no se actualiza algún supuesto de sobreseimiento; lo anterior, en virtud de que no hay constancias en el expediente en que se actúa, de que la Recurrente se haya desistido del recurso, haya fallecido, sobreviniera alguna causal de improcedencia, que el Sujeto Obligado hubiese modificado o revocado el acto impugnado o bien, haya quedado sin materia.</w:t>
      </w:r>
    </w:p>
    <w:p w14:paraId="3DA65F0E" w14:textId="77777777" w:rsidR="00AB36AF" w:rsidRPr="00C61F3A" w:rsidRDefault="00AB36AF" w:rsidP="00BE170F">
      <w:pPr>
        <w:spacing w:after="0" w:line="360" w:lineRule="auto"/>
        <w:contextualSpacing/>
        <w:rPr>
          <w:rFonts w:eastAsia="Times New Roman" w:cs="Tahoma"/>
          <w:color w:val="auto"/>
          <w:szCs w:val="24"/>
          <w:lang w:eastAsia="es-ES"/>
        </w:rPr>
      </w:pPr>
    </w:p>
    <w:p w14:paraId="32995F13" w14:textId="77777777" w:rsidR="00AB36AF" w:rsidRPr="00C61F3A" w:rsidRDefault="00AB36AF" w:rsidP="00BE170F">
      <w:pPr>
        <w:spacing w:after="0" w:line="360" w:lineRule="auto"/>
        <w:contextualSpacing/>
        <w:rPr>
          <w:rFonts w:eastAsia="Times New Roman" w:cs="Tahoma"/>
          <w:bCs/>
          <w:color w:val="auto"/>
          <w:lang w:eastAsia="es-ES"/>
        </w:rPr>
      </w:pPr>
      <w:r w:rsidRPr="00C61F3A">
        <w:rPr>
          <w:rFonts w:eastAsia="Times New Roman" w:cs="Tahoma"/>
          <w:bCs/>
          <w:color w:val="auto"/>
          <w:lang w:eastAsia="es-ES"/>
        </w:rPr>
        <w:t xml:space="preserve">Por tales motivos, se considera procedente entrar al fondo del presente asunto. </w:t>
      </w:r>
    </w:p>
    <w:p w14:paraId="22DB96D1" w14:textId="77777777" w:rsidR="000C575A" w:rsidRPr="00C61F3A" w:rsidRDefault="000C575A" w:rsidP="00BE170F">
      <w:pPr>
        <w:spacing w:after="0" w:line="360" w:lineRule="auto"/>
        <w:contextualSpacing/>
        <w:rPr>
          <w:rFonts w:eastAsia="Times New Roman" w:cs="Tahoma"/>
          <w:b/>
          <w:bCs/>
          <w:iCs/>
          <w:color w:val="FF0000"/>
          <w:lang w:val="es-ES" w:eastAsia="es-ES"/>
        </w:rPr>
      </w:pPr>
    </w:p>
    <w:p w14:paraId="353EA752" w14:textId="6D03E9CA" w:rsidR="00AB36AF" w:rsidRPr="00C61F3A" w:rsidRDefault="00AB36AF" w:rsidP="00BE170F">
      <w:pPr>
        <w:spacing w:after="0" w:line="360" w:lineRule="auto"/>
        <w:contextualSpacing/>
        <w:rPr>
          <w:rFonts w:eastAsia="Times New Roman" w:cs="Tahoma"/>
          <w:b/>
          <w:bCs/>
          <w:iCs/>
          <w:color w:val="auto"/>
          <w:lang w:val="es-ES" w:eastAsia="es-ES"/>
        </w:rPr>
      </w:pPr>
      <w:r w:rsidRPr="00C61F3A">
        <w:rPr>
          <w:rFonts w:eastAsia="Times New Roman" w:cs="Tahoma"/>
          <w:b/>
          <w:bCs/>
          <w:iCs/>
          <w:color w:val="auto"/>
          <w:lang w:val="es-ES" w:eastAsia="es-ES"/>
        </w:rPr>
        <w:t>TERCERO. Determinación de la Controversia</w:t>
      </w:r>
    </w:p>
    <w:p w14:paraId="2C3074E9" w14:textId="77777777" w:rsidR="00AD663F" w:rsidRPr="00C61F3A" w:rsidRDefault="00AD663F" w:rsidP="00BE170F">
      <w:pPr>
        <w:spacing w:after="0" w:line="360" w:lineRule="auto"/>
        <w:rPr>
          <w:rFonts w:eastAsia="Times New Roman" w:cs="Tahoma"/>
          <w:b/>
          <w:bCs/>
          <w:color w:val="FF0000"/>
          <w:lang w:eastAsia="es-ES"/>
        </w:rPr>
      </w:pPr>
    </w:p>
    <w:p w14:paraId="5D762610" w14:textId="7533F9CF" w:rsidR="0084325C" w:rsidRPr="00C61F3A" w:rsidRDefault="00AB36AF" w:rsidP="00BE170F">
      <w:pPr>
        <w:spacing w:after="0" w:line="360" w:lineRule="auto"/>
        <w:rPr>
          <w:rFonts w:cs="Tahoma"/>
          <w:color w:val="auto"/>
        </w:rPr>
      </w:pPr>
      <w:r w:rsidRPr="00C61F3A">
        <w:rPr>
          <w:rFonts w:eastAsia="Calibri" w:cs="Tahoma"/>
          <w:iCs/>
          <w:color w:val="auto"/>
          <w:lang w:val="es-ES" w:eastAsia="es-ES_tradnl"/>
        </w:rPr>
        <w:t xml:space="preserve">Una vez realizado el estudio de las constancias que integran el expediente en que se actúa, se desprende </w:t>
      </w:r>
      <w:r w:rsidRPr="00C61F3A">
        <w:rPr>
          <w:rFonts w:cs="Tahoma"/>
          <w:color w:val="auto"/>
        </w:rPr>
        <w:t>que el Recurrente requirió</w:t>
      </w:r>
      <w:r w:rsidR="00BF1EBA" w:rsidRPr="00C61F3A">
        <w:rPr>
          <w:rFonts w:cs="Tahoma"/>
          <w:color w:val="auto"/>
        </w:rPr>
        <w:t xml:space="preserve"> </w:t>
      </w:r>
      <w:r w:rsidR="000C575A" w:rsidRPr="00C61F3A">
        <w:rPr>
          <w:rFonts w:cs="Tahoma"/>
          <w:color w:val="auto"/>
        </w:rPr>
        <w:t>lo siguiente:</w:t>
      </w:r>
      <w:r w:rsidR="0084325C" w:rsidRPr="00C61F3A">
        <w:rPr>
          <w:rFonts w:cs="Tahoma"/>
          <w:color w:val="auto"/>
        </w:rPr>
        <w:t xml:space="preserve"> </w:t>
      </w:r>
    </w:p>
    <w:p w14:paraId="075F4396" w14:textId="77777777" w:rsidR="004A62A7" w:rsidRPr="00C61F3A" w:rsidRDefault="004A62A7" w:rsidP="00BE170F">
      <w:pPr>
        <w:spacing w:after="0" w:line="360" w:lineRule="auto"/>
        <w:rPr>
          <w:rFonts w:cs="Tahoma"/>
          <w:color w:val="auto"/>
        </w:rPr>
      </w:pPr>
    </w:p>
    <w:p w14:paraId="4A82746C" w14:textId="613915A7" w:rsidR="004A62A7" w:rsidRPr="00C61F3A" w:rsidRDefault="004A62A7" w:rsidP="00570DDD">
      <w:pPr>
        <w:pStyle w:val="Prrafodelista"/>
        <w:numPr>
          <w:ilvl w:val="0"/>
          <w:numId w:val="4"/>
        </w:numPr>
        <w:spacing w:line="360" w:lineRule="auto"/>
        <w:ind w:left="567"/>
        <w:rPr>
          <w:rFonts w:cs="Tahoma"/>
          <w:color w:val="auto"/>
        </w:rPr>
      </w:pPr>
      <w:r w:rsidRPr="00C61F3A">
        <w:rPr>
          <w:rFonts w:cs="Tahoma"/>
          <w:color w:val="auto"/>
        </w:rPr>
        <w:t>Los gafetes institucionales de las personas servidores públicos adscritos al Sujeto Obligado.</w:t>
      </w:r>
    </w:p>
    <w:p w14:paraId="211FB6D3" w14:textId="77777777" w:rsidR="00335126" w:rsidRPr="00C61F3A" w:rsidRDefault="00335126" w:rsidP="00BE170F">
      <w:pPr>
        <w:pStyle w:val="Prrafodelista"/>
        <w:spacing w:line="360" w:lineRule="auto"/>
        <w:ind w:left="567"/>
        <w:rPr>
          <w:rFonts w:cs="Tahoma"/>
          <w:color w:val="auto"/>
        </w:rPr>
      </w:pPr>
    </w:p>
    <w:p w14:paraId="3CEDE478" w14:textId="20EC06F9" w:rsidR="004A62A7" w:rsidRPr="00C61F3A" w:rsidRDefault="004A62A7" w:rsidP="00570DDD">
      <w:pPr>
        <w:pStyle w:val="Prrafodelista"/>
        <w:numPr>
          <w:ilvl w:val="0"/>
          <w:numId w:val="4"/>
        </w:numPr>
        <w:spacing w:line="360" w:lineRule="auto"/>
        <w:ind w:left="567"/>
        <w:rPr>
          <w:rFonts w:cs="Tahoma"/>
          <w:color w:val="auto"/>
        </w:rPr>
      </w:pPr>
      <w:r w:rsidRPr="00C61F3A">
        <w:rPr>
          <w:rFonts w:cs="Tahoma"/>
          <w:color w:val="auto"/>
        </w:rPr>
        <w:t xml:space="preserve">Solicito las </w:t>
      </w:r>
      <w:bookmarkStart w:id="2" w:name="_Hlk181209406"/>
      <w:r w:rsidRPr="00C61F3A">
        <w:rPr>
          <w:rFonts w:cs="Tahoma"/>
          <w:color w:val="auto"/>
        </w:rPr>
        <w:t>resoluciones del Comité de Transparencia del primero de enero de dos mil catorce al nueve de julio de dos mil veinticuatro</w:t>
      </w:r>
      <w:bookmarkEnd w:id="2"/>
      <w:r w:rsidRPr="00C61F3A">
        <w:rPr>
          <w:rFonts w:cs="Tahoma"/>
          <w:color w:val="auto"/>
        </w:rPr>
        <w:t>.</w:t>
      </w:r>
    </w:p>
    <w:p w14:paraId="48279F48" w14:textId="77777777" w:rsidR="00335126" w:rsidRPr="00C61F3A" w:rsidRDefault="00335126" w:rsidP="00BE170F">
      <w:pPr>
        <w:pStyle w:val="Prrafodelista"/>
        <w:spacing w:line="360" w:lineRule="auto"/>
        <w:ind w:left="567"/>
        <w:rPr>
          <w:rFonts w:cs="Tahoma"/>
          <w:color w:val="auto"/>
        </w:rPr>
      </w:pPr>
    </w:p>
    <w:p w14:paraId="5F98FA52" w14:textId="60FC5AE2" w:rsidR="004A62A7" w:rsidRPr="00C61F3A" w:rsidRDefault="004A62A7" w:rsidP="00570DDD">
      <w:pPr>
        <w:pStyle w:val="Prrafodelista"/>
        <w:numPr>
          <w:ilvl w:val="0"/>
          <w:numId w:val="4"/>
        </w:numPr>
        <w:spacing w:line="360" w:lineRule="auto"/>
        <w:ind w:left="567"/>
        <w:rPr>
          <w:rFonts w:cs="Tahoma"/>
          <w:color w:val="auto"/>
        </w:rPr>
      </w:pPr>
      <w:r w:rsidRPr="00C61F3A">
        <w:rPr>
          <w:rFonts w:cs="Tahoma"/>
          <w:color w:val="auto"/>
        </w:rPr>
        <w:t>Estadística Jurisdiccional de la Entidad Federativa.</w:t>
      </w:r>
    </w:p>
    <w:p w14:paraId="1FF2F1B5" w14:textId="77777777" w:rsidR="00335126" w:rsidRPr="00C61F3A" w:rsidRDefault="00335126" w:rsidP="00BE170F">
      <w:pPr>
        <w:pStyle w:val="Prrafodelista"/>
        <w:spacing w:line="360" w:lineRule="auto"/>
        <w:ind w:left="567"/>
        <w:rPr>
          <w:rFonts w:cs="Tahoma"/>
          <w:color w:val="auto"/>
        </w:rPr>
      </w:pPr>
    </w:p>
    <w:p w14:paraId="09BC1C9E" w14:textId="3A06C95F" w:rsidR="004A62A7" w:rsidRPr="00C61F3A" w:rsidRDefault="004A62A7" w:rsidP="00570DDD">
      <w:pPr>
        <w:pStyle w:val="Prrafodelista"/>
        <w:numPr>
          <w:ilvl w:val="0"/>
          <w:numId w:val="4"/>
        </w:numPr>
        <w:spacing w:line="360" w:lineRule="auto"/>
        <w:ind w:left="567"/>
        <w:rPr>
          <w:rFonts w:cs="Tahoma"/>
          <w:color w:val="auto"/>
        </w:rPr>
      </w:pPr>
      <w:r w:rsidRPr="00C61F3A">
        <w:rPr>
          <w:rFonts w:cs="Tahoma"/>
          <w:color w:val="auto"/>
        </w:rPr>
        <w:t>Las listas de asistencia o registros que se generaron en dos mil veinte, dos mil veintiuno y dos mil veintidós.</w:t>
      </w:r>
    </w:p>
    <w:p w14:paraId="41C399CF" w14:textId="77777777" w:rsidR="00335126" w:rsidRPr="00C61F3A" w:rsidRDefault="00335126" w:rsidP="00BE170F">
      <w:pPr>
        <w:pStyle w:val="Prrafodelista"/>
        <w:spacing w:line="360" w:lineRule="auto"/>
        <w:ind w:left="567"/>
        <w:rPr>
          <w:rFonts w:cs="Tahoma"/>
          <w:color w:val="auto"/>
        </w:rPr>
      </w:pPr>
    </w:p>
    <w:p w14:paraId="271A949A" w14:textId="77777777" w:rsidR="00335126" w:rsidRPr="00C61F3A" w:rsidRDefault="00335126" w:rsidP="00BE170F">
      <w:pPr>
        <w:pStyle w:val="Prrafodelista"/>
        <w:spacing w:line="360" w:lineRule="auto"/>
        <w:ind w:left="567"/>
        <w:rPr>
          <w:rFonts w:cs="Tahoma"/>
          <w:color w:val="auto"/>
        </w:rPr>
      </w:pPr>
    </w:p>
    <w:p w14:paraId="30A87034" w14:textId="1382EF08" w:rsidR="004A62A7" w:rsidRPr="00C61F3A" w:rsidRDefault="004A62A7" w:rsidP="00570DDD">
      <w:pPr>
        <w:pStyle w:val="Prrafodelista"/>
        <w:numPr>
          <w:ilvl w:val="0"/>
          <w:numId w:val="4"/>
        </w:numPr>
        <w:spacing w:line="360" w:lineRule="auto"/>
        <w:ind w:left="567"/>
        <w:rPr>
          <w:rFonts w:eastAsia="Calibri" w:cs="Tahoma"/>
        </w:rPr>
      </w:pPr>
      <w:r w:rsidRPr="00C61F3A">
        <w:rPr>
          <w:rFonts w:cs="Tahoma"/>
          <w:color w:val="auto"/>
        </w:rPr>
        <w:t xml:space="preserve">Saber </w:t>
      </w:r>
      <w:r w:rsidR="009C583A" w:rsidRPr="00C61F3A">
        <w:rPr>
          <w:rFonts w:cs="Tahoma"/>
          <w:color w:val="auto"/>
        </w:rPr>
        <w:t>qué</w:t>
      </w:r>
      <w:r w:rsidRPr="00C61F3A">
        <w:rPr>
          <w:rFonts w:cs="Tahoma"/>
          <w:color w:val="auto"/>
        </w:rPr>
        <w:t xml:space="preserve"> es lo que hace el </w:t>
      </w:r>
      <w:r w:rsidRPr="00C61F3A">
        <w:rPr>
          <w:rFonts w:eastAsia="Calibri" w:cs="Tahoma"/>
        </w:rPr>
        <w:t>Instituto de Transparencia, Acceso a la Información Pública y Protección de Datos Personales del Estado de México y Municipios.</w:t>
      </w:r>
    </w:p>
    <w:p w14:paraId="19E0EC88" w14:textId="77777777" w:rsidR="00335126" w:rsidRPr="00C61F3A" w:rsidRDefault="00335126" w:rsidP="00BE170F">
      <w:pPr>
        <w:pStyle w:val="Prrafodelista"/>
        <w:spacing w:line="360" w:lineRule="auto"/>
        <w:ind w:left="567"/>
        <w:rPr>
          <w:rFonts w:eastAsia="Calibri" w:cs="Tahoma"/>
        </w:rPr>
      </w:pPr>
    </w:p>
    <w:p w14:paraId="4650A26A" w14:textId="32B69675" w:rsidR="004A62A7" w:rsidRPr="00C61F3A" w:rsidRDefault="004A62A7" w:rsidP="00570DDD">
      <w:pPr>
        <w:pStyle w:val="Prrafodelista"/>
        <w:numPr>
          <w:ilvl w:val="0"/>
          <w:numId w:val="4"/>
        </w:numPr>
        <w:spacing w:line="360" w:lineRule="auto"/>
        <w:ind w:left="567"/>
        <w:rPr>
          <w:rFonts w:cs="Tahoma"/>
          <w:color w:val="auto"/>
        </w:rPr>
      </w:pPr>
      <w:r w:rsidRPr="00C61F3A">
        <w:rPr>
          <w:rFonts w:eastAsia="Calibri" w:cs="Tahoma"/>
        </w:rPr>
        <w:t>Solicito saber porque el Instituto de Transparencia, Acceso a la Información Pública y Protección de Datos Personales del Estado de México y Municipios, puso su normatividad en el Portal de Información Pública de Oficio Mexiquense (IPOMEX) y no en su página institucional.</w:t>
      </w:r>
    </w:p>
    <w:p w14:paraId="0DCCFDE1" w14:textId="77777777" w:rsidR="005E4232" w:rsidRPr="00C61F3A" w:rsidRDefault="005E4232" w:rsidP="00BE170F">
      <w:pPr>
        <w:spacing w:after="0" w:line="360" w:lineRule="auto"/>
        <w:rPr>
          <w:rFonts w:cs="Tahoma"/>
          <w:color w:val="FF0000"/>
        </w:rPr>
      </w:pPr>
    </w:p>
    <w:p w14:paraId="36CD71A8" w14:textId="2B38928B" w:rsidR="00C9336B" w:rsidRPr="00C61F3A" w:rsidRDefault="005E4232" w:rsidP="00BE170F">
      <w:pPr>
        <w:spacing w:after="0" w:line="360" w:lineRule="auto"/>
        <w:rPr>
          <w:rFonts w:cs="Tahoma"/>
          <w:color w:val="auto"/>
        </w:rPr>
      </w:pPr>
      <w:r w:rsidRPr="00C61F3A">
        <w:rPr>
          <w:rFonts w:cs="Tahoma"/>
          <w:bCs/>
          <w:iCs/>
          <w:color w:val="auto"/>
          <w:lang w:val="es-ES"/>
        </w:rPr>
        <w:t>En respuesta el Ente Recurrido</w:t>
      </w:r>
      <w:r w:rsidR="00D05EFC" w:rsidRPr="00C61F3A">
        <w:rPr>
          <w:rFonts w:cs="Tahoma"/>
          <w:bCs/>
          <w:iCs/>
          <w:color w:val="auto"/>
          <w:lang w:val="es-ES"/>
        </w:rPr>
        <w:t>, a través de</w:t>
      </w:r>
      <w:r w:rsidR="0015238A" w:rsidRPr="00C61F3A">
        <w:rPr>
          <w:rFonts w:cs="Tahoma"/>
          <w:bCs/>
          <w:iCs/>
          <w:color w:val="auto"/>
          <w:lang w:val="es-ES"/>
        </w:rPr>
        <w:t xml:space="preserve"> la Titular de la Unidad de Transparencia</w:t>
      </w:r>
      <w:r w:rsidR="001829E9" w:rsidRPr="00C61F3A">
        <w:rPr>
          <w:rFonts w:cs="Tahoma"/>
          <w:bCs/>
          <w:iCs/>
          <w:color w:val="auto"/>
          <w:lang w:val="es-ES"/>
        </w:rPr>
        <w:t xml:space="preserve"> refirió que en relación con las </w:t>
      </w:r>
      <w:r w:rsidR="001829E9" w:rsidRPr="00C61F3A">
        <w:rPr>
          <w:rFonts w:cs="Tahoma"/>
          <w:color w:val="auto"/>
        </w:rPr>
        <w:t>resoluciones del Comité de Transparencia del primero de enero de dos mil catorce al nueve de julio de dos mil veinticuatro, remitía un PDF con las resoluciones del Comité de Transparencia del año dos mil catorce, así como enlaces electrónicos para consultar las correspondientes al periodo que comprende del primero de enero de dos mil quince al nueve de julio de dos mil veinticuatro.</w:t>
      </w:r>
      <w:r w:rsidR="00C9336B" w:rsidRPr="00C61F3A">
        <w:rPr>
          <w:rFonts w:cs="Tahoma"/>
          <w:color w:val="auto"/>
        </w:rPr>
        <w:t xml:space="preserve"> En relación con los gafetes de los servidores públicos del instituto el Sujeto Obligado remitió un documento con noventa y siete fojas las cuales contienen gafetes del personal del Instituto, por lo que respecta a las listas de asistencia o registros que se generaron en dos mil veinte, dos mil veintiuno y dos mil veintidós se remitió un PDF con setecientos cincuenta y tres hojas donde constan los roles de guardias y registros de asistencia.</w:t>
      </w:r>
    </w:p>
    <w:p w14:paraId="0EB30551" w14:textId="77777777" w:rsidR="00C9336B" w:rsidRPr="00C61F3A" w:rsidRDefault="00C9336B" w:rsidP="00BE170F">
      <w:pPr>
        <w:spacing w:after="0" w:line="360" w:lineRule="auto"/>
        <w:rPr>
          <w:rFonts w:cs="Tahoma"/>
          <w:color w:val="auto"/>
        </w:rPr>
      </w:pPr>
    </w:p>
    <w:p w14:paraId="17BA5212" w14:textId="77777777" w:rsidR="00F92A77" w:rsidRPr="00C61F3A" w:rsidRDefault="00C9336B" w:rsidP="00BE170F">
      <w:pPr>
        <w:spacing w:after="0" w:line="360" w:lineRule="auto"/>
        <w:rPr>
          <w:rFonts w:eastAsia="Calibri" w:cs="Tahoma"/>
        </w:rPr>
      </w:pPr>
      <w:r w:rsidRPr="00C61F3A">
        <w:rPr>
          <w:rFonts w:cs="Tahoma"/>
          <w:color w:val="auto"/>
        </w:rPr>
        <w:t xml:space="preserve">Ahora bien, con respecto a referir que es lo que realiza el </w:t>
      </w:r>
      <w:r w:rsidRPr="00C61F3A">
        <w:rPr>
          <w:rFonts w:eastAsia="Calibri" w:cs="Tahoma"/>
        </w:rPr>
        <w:t xml:space="preserve">Instituto de Transparencia, Acceso a la Información Pública y Protección de Datos Personales del Estado de México y Municipios, se mencionó que el Instituto es un organismo encargado de garantizar el derecho de acceso a la información pública y la protección de datos personales del Estado de México, a través de la promoción de la cultura de transparencia y rendición de cuentas  con base de una democracia </w:t>
      </w:r>
      <w:r w:rsidRPr="00C61F3A">
        <w:rPr>
          <w:rFonts w:eastAsia="Calibri" w:cs="Tahoma"/>
        </w:rPr>
        <w:lastRenderedPageBreak/>
        <w:t xml:space="preserve">participativa de acuerdo con lo previsto en los artículos 29, 36, 37 y 38 de la </w:t>
      </w:r>
      <w:r w:rsidR="00027E70" w:rsidRPr="00C61F3A">
        <w:rPr>
          <w:rFonts w:eastAsia="Calibri" w:cs="Tahoma"/>
        </w:rPr>
        <w:t xml:space="preserve">Ley de Transparencia y Acceso a la Información Pública del Estado de México y Municipios. </w:t>
      </w:r>
    </w:p>
    <w:p w14:paraId="1619A114" w14:textId="77777777" w:rsidR="00F92A77" w:rsidRPr="00C61F3A" w:rsidRDefault="00F92A77" w:rsidP="00BE170F">
      <w:pPr>
        <w:spacing w:after="0" w:line="360" w:lineRule="auto"/>
        <w:rPr>
          <w:rFonts w:eastAsia="Calibri" w:cs="Tahoma"/>
        </w:rPr>
      </w:pPr>
    </w:p>
    <w:p w14:paraId="2F080BE7" w14:textId="4DFF8597" w:rsidR="00C9336B" w:rsidRPr="00C61F3A" w:rsidRDefault="00027E70" w:rsidP="00BE170F">
      <w:pPr>
        <w:spacing w:after="0" w:line="360" w:lineRule="auto"/>
        <w:rPr>
          <w:rFonts w:eastAsia="Calibri" w:cs="Tahoma"/>
        </w:rPr>
      </w:pPr>
      <w:r w:rsidRPr="00C61F3A">
        <w:rPr>
          <w:rFonts w:eastAsia="Calibri" w:cs="Tahoma"/>
        </w:rPr>
        <w:t xml:space="preserve">Por lo que respecta al punto de </w:t>
      </w:r>
      <w:r w:rsidR="009C583A" w:rsidRPr="00C61F3A">
        <w:rPr>
          <w:rFonts w:eastAsia="Calibri" w:cs="Tahoma"/>
        </w:rPr>
        <w:t>por qué</w:t>
      </w:r>
      <w:bookmarkStart w:id="3" w:name="_GoBack"/>
      <w:bookmarkEnd w:id="3"/>
      <w:r w:rsidRPr="00C61F3A">
        <w:rPr>
          <w:rFonts w:eastAsia="Calibri" w:cs="Tahoma"/>
        </w:rPr>
        <w:t xml:space="preserve"> el Instituto puso su normatividad en el Portal de Información Pública de Oficio Mexiquense (IPOMEX) y no en su página institucional se precisó que </w:t>
      </w:r>
      <w:r w:rsidR="00C9336B" w:rsidRPr="00C61F3A">
        <w:rPr>
          <w:rFonts w:eastAsia="Calibri" w:cs="Tahoma"/>
        </w:rPr>
        <w:t xml:space="preserve">no se cuenta con documento alguno que colme lo solicitado en concordancia en el fundamento anterior; no obstante, me permito hacer del conocimiento del solicitante que el artículo 92, fracción I de la Ley de Transparencia Local, estipula como obligación el transparentar lo referente al marco normativo aplicable al </w:t>
      </w:r>
      <w:r w:rsidRPr="00C61F3A">
        <w:rPr>
          <w:rFonts w:eastAsia="Calibri" w:cs="Tahoma"/>
        </w:rPr>
        <w:t>S</w:t>
      </w:r>
      <w:r w:rsidR="00C9336B" w:rsidRPr="00C61F3A">
        <w:rPr>
          <w:rFonts w:eastAsia="Calibri" w:cs="Tahoma"/>
        </w:rPr>
        <w:t xml:space="preserve">ujeto </w:t>
      </w:r>
      <w:r w:rsidRPr="00C61F3A">
        <w:rPr>
          <w:rFonts w:eastAsia="Calibri" w:cs="Tahoma"/>
        </w:rPr>
        <w:t>O</w:t>
      </w:r>
      <w:r w:rsidR="00C9336B" w:rsidRPr="00C61F3A">
        <w:rPr>
          <w:rFonts w:eastAsia="Calibri" w:cs="Tahoma"/>
        </w:rPr>
        <w:t>bligado, es en ese sentido que en ara</w:t>
      </w:r>
      <w:r w:rsidRPr="00C61F3A">
        <w:rPr>
          <w:rFonts w:eastAsia="Calibri" w:cs="Tahoma"/>
        </w:rPr>
        <w:t>s</w:t>
      </w:r>
      <w:r w:rsidR="00C9336B" w:rsidRPr="00C61F3A">
        <w:rPr>
          <w:rFonts w:eastAsia="Calibri" w:cs="Tahoma"/>
        </w:rPr>
        <w:t xml:space="preserve"> de contar con un solo apartado en el cual poner a disposición  de la sociedad en general dicha información y con la </w:t>
      </w:r>
      <w:r w:rsidRPr="00C61F3A">
        <w:rPr>
          <w:rFonts w:eastAsia="Calibri" w:cs="Tahoma"/>
        </w:rPr>
        <w:t>intención</w:t>
      </w:r>
      <w:r w:rsidR="00C9336B" w:rsidRPr="00C61F3A">
        <w:rPr>
          <w:rFonts w:eastAsia="Calibri" w:cs="Tahoma"/>
        </w:rPr>
        <w:t xml:space="preserve"> de no confundir a los visares de la misma, se redirige el link de la fracción de </w:t>
      </w:r>
      <w:r w:rsidRPr="00C61F3A">
        <w:rPr>
          <w:rFonts w:eastAsia="Calibri" w:cs="Tahoma"/>
        </w:rPr>
        <w:t>IPOMEX</w:t>
      </w:r>
      <w:r w:rsidR="00C9336B" w:rsidRPr="00C61F3A">
        <w:rPr>
          <w:rFonts w:eastAsia="Calibri" w:cs="Tahoma"/>
        </w:rPr>
        <w:t xml:space="preserve"> señalada en el cual puede advertir y acceder a la normatividad aplicable y de observancia de este organism</w:t>
      </w:r>
      <w:r w:rsidRPr="00C61F3A">
        <w:rPr>
          <w:rFonts w:eastAsia="Calibri" w:cs="Tahoma"/>
        </w:rPr>
        <w:t>o.</w:t>
      </w:r>
    </w:p>
    <w:p w14:paraId="6D3221CF" w14:textId="385D80CB" w:rsidR="0015238A" w:rsidRPr="00C61F3A" w:rsidRDefault="0015238A" w:rsidP="00BE170F">
      <w:pPr>
        <w:spacing w:after="0" w:line="360" w:lineRule="auto"/>
        <w:rPr>
          <w:rFonts w:cs="Tahoma"/>
          <w:bCs/>
          <w:iCs/>
          <w:color w:val="auto"/>
          <w:lang w:val="es-ES"/>
        </w:rPr>
      </w:pPr>
    </w:p>
    <w:p w14:paraId="02B30B6E" w14:textId="28DDE25A" w:rsidR="00F92A77" w:rsidRPr="00C61F3A" w:rsidRDefault="00F92A77" w:rsidP="00BE170F">
      <w:pPr>
        <w:spacing w:after="0" w:line="360" w:lineRule="auto"/>
        <w:rPr>
          <w:rFonts w:cs="Tahoma"/>
          <w:bCs/>
          <w:iCs/>
          <w:color w:val="auto"/>
          <w:lang w:val="es-ES"/>
        </w:rPr>
      </w:pPr>
      <w:r w:rsidRPr="00C61F3A">
        <w:rPr>
          <w:rFonts w:cs="Tahoma"/>
          <w:bCs/>
          <w:iCs/>
          <w:color w:val="auto"/>
        </w:rPr>
        <w:t>A</w:t>
      </w:r>
      <w:r w:rsidR="005E4232" w:rsidRPr="00C61F3A">
        <w:rPr>
          <w:rFonts w:cs="Tahoma"/>
          <w:bCs/>
          <w:iCs/>
          <w:color w:val="auto"/>
        </w:rPr>
        <w:t xml:space="preserve">nte dicha circunstancia, la parte Recurrente se inconformó con la entrega de </w:t>
      </w:r>
      <w:r w:rsidR="00C8701A" w:rsidRPr="00C61F3A">
        <w:rPr>
          <w:rFonts w:cs="Tahoma"/>
          <w:bCs/>
          <w:iCs/>
          <w:color w:val="auto"/>
        </w:rPr>
        <w:t>información</w:t>
      </w:r>
      <w:r w:rsidRPr="00C61F3A">
        <w:rPr>
          <w:rFonts w:cs="Tahoma"/>
          <w:bCs/>
          <w:iCs/>
          <w:color w:val="auto"/>
        </w:rPr>
        <w:t xml:space="preserve"> incompleta</w:t>
      </w:r>
      <w:r w:rsidR="005E4232" w:rsidRPr="00C61F3A">
        <w:rPr>
          <w:rFonts w:cs="Tahoma"/>
          <w:bCs/>
          <w:iCs/>
          <w:color w:val="auto"/>
        </w:rPr>
        <w:t>,</w:t>
      </w:r>
      <w:r w:rsidR="00146DBF" w:rsidRPr="00C61F3A">
        <w:rPr>
          <w:rFonts w:cs="Tahoma"/>
          <w:bCs/>
          <w:iCs/>
          <w:color w:val="auto"/>
        </w:rPr>
        <w:t xml:space="preserve"> </w:t>
      </w:r>
      <w:r w:rsidR="005E4232" w:rsidRPr="00C61F3A">
        <w:rPr>
          <w:rFonts w:cs="Tahoma"/>
          <w:bCs/>
          <w:iCs/>
          <w:color w:val="auto"/>
          <w:lang w:val="es-ES"/>
        </w:rPr>
        <w:t xml:space="preserve">lo cual actualiza el </w:t>
      </w:r>
      <w:r w:rsidRPr="00C61F3A">
        <w:rPr>
          <w:rFonts w:cs="Tahoma"/>
          <w:bCs/>
          <w:iCs/>
          <w:color w:val="auto"/>
          <w:lang w:val="es-ES"/>
        </w:rPr>
        <w:t>supuesto previsto</w:t>
      </w:r>
      <w:r w:rsidR="005E4232" w:rsidRPr="00C61F3A">
        <w:rPr>
          <w:rFonts w:cs="Tahoma"/>
          <w:bCs/>
          <w:iCs/>
          <w:color w:val="auto"/>
          <w:lang w:val="es-ES"/>
        </w:rPr>
        <w:t xml:space="preserve"> en el artículo 179, fracción </w:t>
      </w:r>
      <w:r w:rsidRPr="00C61F3A">
        <w:rPr>
          <w:rFonts w:cs="Tahoma"/>
          <w:bCs/>
          <w:iCs/>
          <w:color w:val="auto"/>
          <w:lang w:val="es-ES"/>
        </w:rPr>
        <w:t>V</w:t>
      </w:r>
      <w:r w:rsidR="00AB36AF" w:rsidRPr="00C61F3A">
        <w:rPr>
          <w:rFonts w:cs="Tahoma"/>
          <w:bCs/>
          <w:iCs/>
          <w:color w:val="auto"/>
          <w:lang w:val="es-ES"/>
        </w:rPr>
        <w:t>,</w:t>
      </w:r>
      <w:r w:rsidR="005E4232" w:rsidRPr="00C61F3A">
        <w:rPr>
          <w:rFonts w:cs="Tahoma"/>
          <w:bCs/>
          <w:iCs/>
          <w:color w:val="auto"/>
          <w:lang w:val="es-ES"/>
        </w:rPr>
        <w:t xml:space="preserve"> de la Ley de Transparencia y Acceso a la Información Pública del Estado de México y Municipios</w:t>
      </w:r>
      <w:r w:rsidR="005E4232" w:rsidRPr="00C61F3A">
        <w:rPr>
          <w:rFonts w:cs="Tahoma"/>
          <w:bCs/>
          <w:iCs/>
          <w:color w:val="auto"/>
        </w:rPr>
        <w:t xml:space="preserve">. </w:t>
      </w:r>
      <w:r w:rsidR="005C131D" w:rsidRPr="00C61F3A">
        <w:rPr>
          <w:rFonts w:cs="Tahoma"/>
          <w:bCs/>
          <w:iCs/>
          <w:color w:val="auto"/>
          <w:lang w:val="es-ES_tradnl"/>
        </w:rPr>
        <w:t>Así las cosas, una vez admitido y notificado el Recurso de Revisión a las partes</w:t>
      </w:r>
      <w:r w:rsidR="005D33E0" w:rsidRPr="00C61F3A">
        <w:rPr>
          <w:rFonts w:cs="Tahoma"/>
          <w:bCs/>
          <w:iCs/>
          <w:color w:val="auto"/>
          <w:lang w:val="es-ES"/>
        </w:rPr>
        <w:t>, el Sujeto Obligado</w:t>
      </w:r>
      <w:r w:rsidR="005D33E0" w:rsidRPr="00C61F3A">
        <w:rPr>
          <w:rFonts w:cs="Tahoma"/>
          <w:bCs/>
          <w:iCs/>
          <w:color w:val="FF0000"/>
          <w:lang w:val="es-ES"/>
        </w:rPr>
        <w:t xml:space="preserve"> </w:t>
      </w:r>
      <w:r w:rsidRPr="00C61F3A">
        <w:rPr>
          <w:rFonts w:cs="Tahoma"/>
          <w:bCs/>
          <w:iCs/>
          <w:color w:val="auto"/>
          <w:lang w:val="es-ES"/>
        </w:rPr>
        <w:t>ratificó su respuesta primigenia.</w:t>
      </w:r>
    </w:p>
    <w:p w14:paraId="7E2CDB82" w14:textId="77777777" w:rsidR="00325337" w:rsidRPr="00C61F3A" w:rsidRDefault="00325337" w:rsidP="00BE170F">
      <w:pPr>
        <w:spacing w:after="0" w:line="360" w:lineRule="auto"/>
        <w:rPr>
          <w:rFonts w:cs="Tahoma"/>
          <w:bCs/>
          <w:iCs/>
          <w:color w:val="auto"/>
          <w:lang w:val="es-ES"/>
        </w:rPr>
      </w:pPr>
    </w:p>
    <w:p w14:paraId="07271FF4" w14:textId="03E5FE76" w:rsidR="00325337" w:rsidRPr="00C61F3A" w:rsidRDefault="00325337" w:rsidP="00BE170F">
      <w:pPr>
        <w:spacing w:after="0" w:line="360" w:lineRule="auto"/>
        <w:rPr>
          <w:rFonts w:cs="Tahoma"/>
          <w:bCs/>
          <w:iCs/>
          <w:color w:val="auto"/>
        </w:rPr>
      </w:pPr>
      <w:r w:rsidRPr="00C61F3A">
        <w:rPr>
          <w:rFonts w:cs="Tahoma"/>
          <w:bCs/>
          <w:iCs/>
          <w:color w:val="auto"/>
        </w:rPr>
        <w:t>Conforme a lo analizado, se puede advertir que el ahora Recurrente no se inconformó de lo solicitado en relación con los puntos 1, 3, 4, 5 y 6</w:t>
      </w:r>
      <w:r w:rsidR="00BE170F" w:rsidRPr="00C61F3A">
        <w:rPr>
          <w:rFonts w:cs="Tahoma"/>
          <w:bCs/>
          <w:iCs/>
          <w:color w:val="auto"/>
        </w:rPr>
        <w:t xml:space="preserve"> y parte del dos por lo que hace a las Actas del Comité de</w:t>
      </w:r>
      <w:r w:rsidR="003D2029" w:rsidRPr="00C61F3A">
        <w:rPr>
          <w:rFonts w:cs="Tahoma"/>
          <w:bCs/>
          <w:iCs/>
          <w:color w:val="auto"/>
        </w:rPr>
        <w:t xml:space="preserve"> Transparencia</w:t>
      </w:r>
      <w:r w:rsidR="00BE170F" w:rsidRPr="00C61F3A">
        <w:rPr>
          <w:rFonts w:cs="Tahoma"/>
          <w:bCs/>
          <w:iCs/>
          <w:color w:val="auto"/>
        </w:rPr>
        <w:t>, del dos mil catorce</w:t>
      </w:r>
      <w:r w:rsidR="00727B54" w:rsidRPr="00C61F3A">
        <w:rPr>
          <w:rFonts w:cs="Tahoma"/>
          <w:bCs/>
          <w:iCs/>
          <w:color w:val="auto"/>
        </w:rPr>
        <w:t xml:space="preserve"> y la liga que remite a las resoluciones del año dos mil dieciocho</w:t>
      </w:r>
      <w:r w:rsidRPr="00C61F3A">
        <w:rPr>
          <w:rFonts w:cs="Tahoma"/>
          <w:bCs/>
          <w:iCs/>
          <w:color w:val="auto"/>
        </w:rPr>
        <w:t xml:space="preserve">;  por lo que no se hará pronunciamiento alguno de la información previamente referida de conformidad con el artículo 195 de la Ley de Transparencia y Acceso a la Información Pública del Estado de México y Municipios, con relación con el diverso 195, </w:t>
      </w:r>
      <w:r w:rsidRPr="00C61F3A">
        <w:rPr>
          <w:rFonts w:cs="Tahoma"/>
          <w:bCs/>
          <w:iCs/>
          <w:color w:val="auto"/>
        </w:rPr>
        <w:lastRenderedPageBreak/>
        <w:t>fracción IV, de Código de Procedimientos Administrativos del Estado de México, que establece que será improcedente el recurso contra los actos que se hayan consentido tácitamente, entendiéndose por estos cuando el agravio no se haya promovido en el plazo señalado para el efecto.</w:t>
      </w:r>
    </w:p>
    <w:p w14:paraId="03018A6B" w14:textId="77777777" w:rsidR="00325337" w:rsidRPr="00C61F3A" w:rsidRDefault="00325337" w:rsidP="00BE170F">
      <w:pPr>
        <w:shd w:val="clear" w:color="auto" w:fill="FFFFFF"/>
        <w:spacing w:after="0" w:line="360" w:lineRule="auto"/>
        <w:rPr>
          <w:rFonts w:ascii="Times New Roman" w:eastAsia="Times New Roman" w:hAnsi="Times New Roman" w:cs="Times New Roman"/>
          <w:color w:val="222222"/>
          <w:sz w:val="20"/>
          <w:szCs w:val="20"/>
          <w:lang w:eastAsia="es-MX"/>
        </w:rPr>
      </w:pPr>
      <w:r w:rsidRPr="00C61F3A">
        <w:rPr>
          <w:rFonts w:eastAsia="Times New Roman" w:cs="Times New Roman"/>
          <w:color w:val="222222"/>
          <w:lang w:eastAsia="es-MX"/>
        </w:rPr>
        <w:t> </w:t>
      </w:r>
    </w:p>
    <w:p w14:paraId="6D27D5E1" w14:textId="77777777" w:rsidR="00325337" w:rsidRPr="00C61F3A" w:rsidRDefault="00325337" w:rsidP="00BE170F">
      <w:pPr>
        <w:spacing w:after="0" w:line="360" w:lineRule="auto"/>
        <w:rPr>
          <w:rFonts w:cs="Tahoma"/>
          <w:bCs/>
          <w:iCs/>
          <w:color w:val="auto"/>
        </w:rPr>
      </w:pPr>
      <w:r w:rsidRPr="00C61F3A">
        <w:rPr>
          <w:rFonts w:cs="Tahoma"/>
          <w:bCs/>
          <w:iCs/>
          <w:color w:val="auto"/>
        </w:rPr>
        <w:t>De la misma manera resulta aplicable el criterio sostenido por el Poder Judicial de la Federación de rubro </w:t>
      </w:r>
      <w:r w:rsidRPr="00C61F3A">
        <w:rPr>
          <w:rFonts w:cs="Tahoma"/>
          <w:b/>
          <w:iCs/>
          <w:color w:val="auto"/>
        </w:rPr>
        <w:t>ACTOS CONSENTIDOS TÁCITAMENTE</w:t>
      </w:r>
      <w:r w:rsidRPr="00C61F3A">
        <w:rPr>
          <w:rFonts w:cs="Tahoma"/>
          <w:bCs/>
          <w:iCs/>
          <w:color w:val="auto"/>
        </w:rPr>
        <w:t>, Tesis VI.2o. J/21, emitida en la novena época, por el Segundo Tribunal Colegiado del Sexto Circuito, publicada en la Gaceta del Semanario Judicial de la Federación en agosto de 1995, página 291, número de registro 204707, del que se desprende que cuando no se reclaman los actos de autoridad en la vía y plazos establecidos en la Ley, se presume que el Particular está conforme con los mismos.</w:t>
      </w:r>
    </w:p>
    <w:p w14:paraId="2C44FC9F" w14:textId="77777777" w:rsidR="00325337" w:rsidRPr="00C61F3A" w:rsidRDefault="00325337" w:rsidP="00BE170F">
      <w:pPr>
        <w:spacing w:after="0" w:line="360" w:lineRule="auto"/>
        <w:rPr>
          <w:rFonts w:cs="Tahoma"/>
          <w:bCs/>
          <w:iCs/>
          <w:color w:val="auto"/>
        </w:rPr>
      </w:pPr>
      <w:r w:rsidRPr="00C61F3A">
        <w:rPr>
          <w:rFonts w:eastAsia="Times New Roman" w:cs="Times New Roman"/>
          <w:color w:val="222222"/>
          <w:lang w:eastAsia="es-MX"/>
        </w:rPr>
        <w:t> </w:t>
      </w:r>
    </w:p>
    <w:p w14:paraId="6D9C2F1C" w14:textId="77777777" w:rsidR="00325337" w:rsidRPr="00C61F3A" w:rsidRDefault="00325337" w:rsidP="00BE170F">
      <w:pPr>
        <w:spacing w:after="0" w:line="360" w:lineRule="auto"/>
        <w:rPr>
          <w:rFonts w:cs="Tahoma"/>
          <w:bCs/>
          <w:iCs/>
          <w:color w:val="auto"/>
        </w:rPr>
      </w:pPr>
      <w:r w:rsidRPr="00C61F3A">
        <w:rPr>
          <w:rFonts w:cs="Tahoma"/>
          <w:bCs/>
          <w:iCs/>
          <w:color w:val="auto"/>
        </w:rPr>
        <w:t>De acuerdo con el criterio en comento, en el caso de que la Solicitante no haya manifestado su inconformidad en contra del acto en su totalidad o en cualquiera de sus partes, se tendrá por consentido al no haber realizado argumento alguno que formulara un agravio en su contra, por lo que, en la especie, se válida la respuesta respecto de los puntos no controvertidos y se arriba a la conclusión de que estos quedaron firmes.</w:t>
      </w:r>
    </w:p>
    <w:p w14:paraId="1BC82CBA" w14:textId="77777777" w:rsidR="00325337" w:rsidRPr="00C61F3A" w:rsidRDefault="00325337" w:rsidP="00BE170F">
      <w:pPr>
        <w:spacing w:after="0" w:line="360" w:lineRule="auto"/>
        <w:rPr>
          <w:rFonts w:cs="Tahoma"/>
          <w:bCs/>
          <w:iCs/>
          <w:color w:val="auto"/>
        </w:rPr>
      </w:pPr>
      <w:r w:rsidRPr="00C61F3A">
        <w:rPr>
          <w:rFonts w:cs="Tahoma"/>
          <w:bCs/>
          <w:iCs/>
          <w:color w:val="auto"/>
        </w:rPr>
        <w:t> </w:t>
      </w:r>
    </w:p>
    <w:p w14:paraId="6968903E" w14:textId="77777777" w:rsidR="00325337" w:rsidRPr="00C61F3A" w:rsidRDefault="00325337" w:rsidP="00BE170F">
      <w:pPr>
        <w:spacing w:after="0" w:line="360" w:lineRule="auto"/>
        <w:rPr>
          <w:rFonts w:cs="Tahoma"/>
          <w:bCs/>
          <w:iCs/>
          <w:color w:val="auto"/>
        </w:rPr>
      </w:pPr>
      <w:r w:rsidRPr="00C61F3A">
        <w:rPr>
          <w:rFonts w:cs="Tahoma"/>
          <w:bCs/>
          <w:iCs/>
          <w:color w:val="auto"/>
        </w:rPr>
        <w:t>Asimismo, resulta relevante traer a colación el Criterio de Interpretación, con clave de control SO/001/2020, de la Segunda Época, emitido por el Instituto Nacional de Transparencia, Acceso a la Información y Protección de Datos Personales, que establece lo siguiente:</w:t>
      </w:r>
    </w:p>
    <w:p w14:paraId="6B728EF6" w14:textId="77777777" w:rsidR="00325337" w:rsidRPr="00C61F3A" w:rsidRDefault="00325337" w:rsidP="00BE170F">
      <w:pPr>
        <w:spacing w:after="0" w:line="360" w:lineRule="auto"/>
        <w:rPr>
          <w:rFonts w:cs="Tahoma"/>
          <w:bCs/>
          <w:iCs/>
          <w:color w:val="auto"/>
        </w:rPr>
      </w:pPr>
      <w:r w:rsidRPr="00C61F3A">
        <w:rPr>
          <w:rFonts w:cs="Tahoma"/>
          <w:bCs/>
          <w:iCs/>
          <w:color w:val="auto"/>
        </w:rPr>
        <w:t> </w:t>
      </w:r>
    </w:p>
    <w:p w14:paraId="24E3578C" w14:textId="77777777" w:rsidR="00325337" w:rsidRPr="00C61F3A" w:rsidRDefault="00325337" w:rsidP="00BE170F">
      <w:pPr>
        <w:spacing w:after="0" w:line="360" w:lineRule="auto"/>
        <w:ind w:left="567" w:right="567"/>
        <w:rPr>
          <w:rFonts w:cs="Tahoma"/>
          <w:bCs/>
          <w:i/>
          <w:color w:val="auto"/>
          <w:sz w:val="21"/>
          <w:szCs w:val="21"/>
        </w:rPr>
      </w:pPr>
      <w:r w:rsidRPr="00C61F3A">
        <w:rPr>
          <w:rFonts w:cs="Tahoma"/>
          <w:b/>
          <w:i/>
          <w:color w:val="auto"/>
          <w:sz w:val="21"/>
          <w:szCs w:val="21"/>
        </w:rPr>
        <w:t>“Actos consentidos tácitamente.</w:t>
      </w:r>
      <w:r w:rsidRPr="00C61F3A">
        <w:rPr>
          <w:rFonts w:cs="Tahoma"/>
          <w:bCs/>
          <w:i/>
          <w:color w:val="auto"/>
          <w:sz w:val="21"/>
          <w:szCs w:val="21"/>
        </w:rPr>
        <w:t xml:space="preserve"> Improcedencia de su análisis. Si en su recurso de revisión, la persona recurrente no expresó inconformidad alguna con ciertas partes de la respuesta otorgada, se entienden tácitamente consentidas, por ende, no deben formar parte del estudio de fondo de la resolución que emite el Instituto.”</w:t>
      </w:r>
    </w:p>
    <w:p w14:paraId="76852E1B" w14:textId="77777777" w:rsidR="00325337" w:rsidRPr="00C61F3A" w:rsidRDefault="00325337" w:rsidP="00BE170F">
      <w:pPr>
        <w:shd w:val="clear" w:color="auto" w:fill="FFFFFF"/>
        <w:spacing w:after="0" w:line="360" w:lineRule="auto"/>
        <w:rPr>
          <w:rFonts w:eastAsia="Times New Roman" w:cs="Arial"/>
          <w:i/>
          <w:iCs/>
          <w:color w:val="222222"/>
          <w:sz w:val="20"/>
          <w:szCs w:val="20"/>
          <w:lang w:eastAsia="es-MX"/>
        </w:rPr>
      </w:pPr>
    </w:p>
    <w:p w14:paraId="5A58439F" w14:textId="7BD2077E" w:rsidR="00325337" w:rsidRPr="00C61F3A" w:rsidRDefault="00325337" w:rsidP="00BE170F">
      <w:pPr>
        <w:shd w:val="clear" w:color="auto" w:fill="FFFFFF"/>
        <w:spacing w:after="0" w:line="360" w:lineRule="auto"/>
        <w:rPr>
          <w:rFonts w:eastAsia="Times New Roman" w:cs="Times New Roman"/>
          <w:color w:val="222222"/>
          <w:lang w:eastAsia="es-MX"/>
        </w:rPr>
      </w:pPr>
      <w:r w:rsidRPr="00C61F3A">
        <w:rPr>
          <w:rFonts w:eastAsia="Times New Roman" w:cs="Arial"/>
          <w:i/>
          <w:iCs/>
          <w:color w:val="222222"/>
          <w:sz w:val="20"/>
          <w:szCs w:val="20"/>
          <w:lang w:eastAsia="es-MX"/>
        </w:rPr>
        <w:t> </w:t>
      </w:r>
      <w:r w:rsidRPr="00C61F3A">
        <w:rPr>
          <w:rFonts w:eastAsia="Times New Roman" w:cs="Times New Roman"/>
          <w:color w:val="222222"/>
          <w:lang w:eastAsia="es-MX"/>
        </w:rPr>
        <w:t xml:space="preserve">Conforme al Criterio establecido, es improcedente entrar al análisis de las partes de la respuesta del Sujeto Obligado que no fueron impugnadas por el Recurrente; por lo que, en el presente caso, se tiene por consentida la información entregada por el Sujeto Obligado, para atender lo referente con </w:t>
      </w:r>
      <w:r w:rsidRPr="00C61F3A">
        <w:rPr>
          <w:rFonts w:eastAsia="Times New Roman" w:cs="Times New Roman"/>
          <w:b/>
          <w:bCs/>
          <w:color w:val="222222"/>
          <w:lang w:eastAsia="es-MX"/>
        </w:rPr>
        <w:t>los puntos 1, 3, 4, 5 y 6</w:t>
      </w:r>
      <w:r w:rsidR="00BE170F" w:rsidRPr="00C61F3A">
        <w:rPr>
          <w:rFonts w:eastAsia="Times New Roman" w:cs="Times New Roman"/>
          <w:b/>
          <w:bCs/>
          <w:color w:val="222222"/>
          <w:lang w:eastAsia="es-MX"/>
        </w:rPr>
        <w:t xml:space="preserve"> y parte del 2 por lo que respecta al dos mil catorce</w:t>
      </w:r>
      <w:r w:rsidRPr="00C61F3A">
        <w:rPr>
          <w:rFonts w:eastAsia="Times New Roman" w:cs="Times New Roman"/>
          <w:color w:val="222222"/>
          <w:lang w:eastAsia="es-MX"/>
        </w:rPr>
        <w:t>; y únicamente se entrará al análisis de</w:t>
      </w:r>
      <w:r w:rsidRPr="00C61F3A">
        <w:rPr>
          <w:rFonts w:cs="Tahoma"/>
          <w:color w:val="auto"/>
        </w:rPr>
        <w:t xml:space="preserve"> las resoluciones del Comité de Transparencia del primero de enero de dos mil quince al nueve de julio de dos mil veinticuatro</w:t>
      </w:r>
      <w:r w:rsidR="007D3FE7" w:rsidRPr="00C61F3A">
        <w:rPr>
          <w:rFonts w:cs="Tahoma"/>
          <w:color w:val="auto"/>
        </w:rPr>
        <w:t>.</w:t>
      </w:r>
    </w:p>
    <w:p w14:paraId="454F465F" w14:textId="77777777" w:rsidR="00F60DAF" w:rsidRPr="00C61F3A" w:rsidRDefault="00F60DAF" w:rsidP="00BE170F">
      <w:pPr>
        <w:spacing w:after="0" w:line="360" w:lineRule="auto"/>
        <w:rPr>
          <w:rFonts w:cs="Tahoma"/>
          <w:bCs/>
          <w:iCs/>
          <w:color w:val="auto"/>
          <w:lang w:val="es-ES"/>
        </w:rPr>
      </w:pPr>
    </w:p>
    <w:p w14:paraId="4C94BD9E" w14:textId="2F7C0CC9" w:rsidR="00CE3D3B" w:rsidRPr="00C61F3A" w:rsidRDefault="00CE3D3B" w:rsidP="00BE170F">
      <w:pPr>
        <w:spacing w:after="0" w:line="360" w:lineRule="auto"/>
        <w:rPr>
          <w:bCs/>
          <w:color w:val="auto"/>
        </w:rPr>
      </w:pPr>
      <w:r w:rsidRPr="00C61F3A">
        <w:rPr>
          <w:iCs/>
          <w:color w:val="auto"/>
        </w:rPr>
        <w:t>Lo anterior, se desprende de las documentales que obran en los expedientes de referencia, materia de la presente resolución, consistente en: la solicitud de acceso a la información; la respuesta del Sujeto Obligado; el escrito recursal</w:t>
      </w:r>
      <w:r w:rsidR="00666855" w:rsidRPr="00C61F3A">
        <w:rPr>
          <w:iCs/>
          <w:color w:val="auto"/>
        </w:rPr>
        <w:t xml:space="preserve"> y </w:t>
      </w:r>
      <w:r w:rsidRPr="00C61F3A">
        <w:rPr>
          <w:iCs/>
          <w:color w:val="auto"/>
        </w:rPr>
        <w:t xml:space="preserve">el Informe Justificado; </w:t>
      </w:r>
      <w:r w:rsidRPr="00C61F3A">
        <w:rPr>
          <w:bCs/>
          <w:color w:val="auto"/>
        </w:rPr>
        <w:t>instrumentales que se toman en cuenta a efecto de resolver el presente medio de impugnación, conforme a lo dispuesto por el artículo 185, fracción IV, de la Ley de Transparencia y Acceso a la Información Pública del Estado de México y Municipios.</w:t>
      </w:r>
    </w:p>
    <w:p w14:paraId="536F76B2" w14:textId="77777777" w:rsidR="00CA5C1A" w:rsidRPr="00C61F3A" w:rsidRDefault="00CA5C1A" w:rsidP="00BE170F">
      <w:pPr>
        <w:spacing w:after="0" w:line="360" w:lineRule="auto"/>
        <w:rPr>
          <w:bCs/>
          <w:color w:val="FF0000"/>
        </w:rPr>
      </w:pPr>
    </w:p>
    <w:p w14:paraId="644C4B5B" w14:textId="35AC13C6" w:rsidR="00AB36AF" w:rsidRPr="00C61F3A" w:rsidRDefault="00AB36AF" w:rsidP="00BE170F">
      <w:pPr>
        <w:spacing w:after="0" w:line="360" w:lineRule="auto"/>
        <w:contextualSpacing/>
        <w:rPr>
          <w:rFonts w:eastAsia="Times New Roman" w:cs="Tahoma"/>
          <w:b/>
          <w:bCs/>
          <w:iCs/>
          <w:color w:val="auto"/>
          <w:lang w:eastAsia="es-ES"/>
        </w:rPr>
      </w:pPr>
      <w:r w:rsidRPr="00C61F3A">
        <w:rPr>
          <w:rFonts w:eastAsia="Times New Roman" w:cs="Tahoma"/>
          <w:b/>
          <w:bCs/>
          <w:iCs/>
          <w:color w:val="auto"/>
          <w:lang w:val="es-ES" w:eastAsia="es-ES"/>
        </w:rPr>
        <w:t xml:space="preserve">CUARTO. </w:t>
      </w:r>
      <w:r w:rsidRPr="00C61F3A">
        <w:rPr>
          <w:rFonts w:eastAsia="Times New Roman" w:cs="Tahoma"/>
          <w:b/>
          <w:bCs/>
          <w:iCs/>
          <w:color w:val="auto"/>
          <w:lang w:eastAsia="es-ES"/>
        </w:rPr>
        <w:t xml:space="preserve">Marco normativo aplicable en materia de transparencia y </w:t>
      </w:r>
      <w:r w:rsidR="00C61F3A">
        <w:rPr>
          <w:rFonts w:eastAsia="Times New Roman" w:cs="Tahoma"/>
          <w:b/>
          <w:bCs/>
          <w:iCs/>
          <w:color w:val="auto"/>
          <w:lang w:eastAsia="es-ES"/>
        </w:rPr>
        <w:t>acceso a la información pública</w:t>
      </w:r>
    </w:p>
    <w:p w14:paraId="5DF3DF90" w14:textId="77777777" w:rsidR="00AB36AF" w:rsidRPr="00C61F3A" w:rsidRDefault="00AB36AF" w:rsidP="00BE170F">
      <w:pPr>
        <w:spacing w:after="0" w:line="360" w:lineRule="auto"/>
        <w:contextualSpacing/>
        <w:rPr>
          <w:rFonts w:eastAsia="Times New Roman" w:cs="Tahoma"/>
          <w:bCs/>
          <w:iCs/>
          <w:color w:val="auto"/>
          <w:lang w:eastAsia="es-ES"/>
        </w:rPr>
      </w:pPr>
    </w:p>
    <w:p w14:paraId="6FD47AAA" w14:textId="77777777" w:rsidR="00AB36AF" w:rsidRPr="00C61F3A" w:rsidRDefault="00AB36AF" w:rsidP="00BE170F">
      <w:pPr>
        <w:spacing w:after="0" w:line="360" w:lineRule="auto"/>
        <w:contextualSpacing/>
        <w:rPr>
          <w:rFonts w:eastAsia="Times New Roman" w:cs="Tahoma"/>
          <w:bCs/>
          <w:iCs/>
          <w:color w:val="auto"/>
          <w:lang w:eastAsia="es-ES"/>
        </w:rPr>
      </w:pPr>
      <w:r w:rsidRPr="00C61F3A">
        <w:rPr>
          <w:rFonts w:eastAsia="Times New Roman" w:cs="Tahoma"/>
          <w:bCs/>
          <w:iCs/>
          <w:color w:val="auto"/>
          <w:lang w:eastAsia="es-ES"/>
        </w:rPr>
        <w:t>El artículo 6°, Apartado A), fracción I de la Constitución Política de los Estados Unidos Mexicanos, establece que toda la información en posesión de cualquier autoridad, es pública y sólo podrá ser reservada temporalmente por razones de interés público.</w:t>
      </w:r>
    </w:p>
    <w:p w14:paraId="4572C66A" w14:textId="77777777" w:rsidR="00AB36AF" w:rsidRPr="00C61F3A" w:rsidRDefault="00AB36AF" w:rsidP="00BE170F">
      <w:pPr>
        <w:spacing w:after="0" w:line="360" w:lineRule="auto"/>
        <w:contextualSpacing/>
        <w:rPr>
          <w:rFonts w:eastAsia="Times New Roman" w:cs="Tahoma"/>
          <w:bCs/>
          <w:iCs/>
          <w:color w:val="auto"/>
          <w:lang w:eastAsia="es-ES"/>
        </w:rPr>
      </w:pPr>
    </w:p>
    <w:p w14:paraId="5F32B7AF" w14:textId="77777777" w:rsidR="00AB36AF" w:rsidRPr="00C61F3A" w:rsidRDefault="00AB36AF" w:rsidP="00BE170F">
      <w:pPr>
        <w:spacing w:after="0" w:line="360" w:lineRule="auto"/>
        <w:contextualSpacing/>
        <w:rPr>
          <w:rFonts w:eastAsia="Times New Roman" w:cs="Tahoma"/>
          <w:bCs/>
          <w:iCs/>
          <w:color w:val="auto"/>
          <w:lang w:eastAsia="es-ES"/>
        </w:rPr>
      </w:pPr>
      <w:r w:rsidRPr="00C61F3A">
        <w:rPr>
          <w:rFonts w:eastAsia="Times New Roman" w:cs="Tahoma"/>
          <w:bCs/>
          <w:iCs/>
          <w:color w:val="auto"/>
          <w:lang w:eastAsia="es-ES"/>
        </w:rPr>
        <w:t>La Ley General de Transparencia y Acceso a la Información Pública, dispone en su artículo 70, la información que se considera corresponde a las Obligaciones de Transparencia, la cual debe estar disponible para cualquier persona de manera permanente y actualizada.</w:t>
      </w:r>
    </w:p>
    <w:p w14:paraId="37BD92FC" w14:textId="77777777" w:rsidR="00AB36AF" w:rsidRPr="00C61F3A" w:rsidRDefault="00AB36AF" w:rsidP="00BE170F">
      <w:pPr>
        <w:spacing w:after="0" w:line="360" w:lineRule="auto"/>
        <w:contextualSpacing/>
        <w:rPr>
          <w:rFonts w:eastAsia="Times New Roman" w:cs="Tahoma"/>
          <w:bCs/>
          <w:iCs/>
          <w:color w:val="auto"/>
          <w:lang w:eastAsia="es-ES"/>
        </w:rPr>
      </w:pPr>
    </w:p>
    <w:p w14:paraId="7EBCA24A" w14:textId="77777777" w:rsidR="00AB36AF" w:rsidRPr="00C61F3A" w:rsidRDefault="00AB36AF" w:rsidP="00BE170F">
      <w:pPr>
        <w:spacing w:after="0" w:line="360" w:lineRule="auto"/>
        <w:contextualSpacing/>
        <w:rPr>
          <w:rFonts w:eastAsia="Times New Roman" w:cs="Tahoma"/>
          <w:bCs/>
          <w:iCs/>
          <w:color w:val="auto"/>
          <w:lang w:eastAsia="es-ES"/>
        </w:rPr>
      </w:pPr>
      <w:r w:rsidRPr="00C61F3A">
        <w:rPr>
          <w:rFonts w:eastAsia="Times New Roman" w:cs="Tahoma"/>
          <w:bCs/>
          <w:iCs/>
          <w:color w:val="auto"/>
          <w:lang w:eastAsia="es-ES"/>
        </w:rPr>
        <w:lastRenderedPageBreak/>
        <w:t>En materia local, el artículo 5°, fracción I de la Constitución Política del Estado Libre y Soberano de México, es coincidente con la Constitución Federal, en el sentido de la publicidad de toda la información, con la única restricción de proteger el interés público, así como la información referente a la intimidad de la vida privada y la imagen de las personas, con las excepciones que establezca la ley reglamentaria.</w:t>
      </w:r>
    </w:p>
    <w:p w14:paraId="25AADB6F" w14:textId="77777777" w:rsidR="00AB36AF" w:rsidRPr="00C61F3A" w:rsidRDefault="00AB36AF" w:rsidP="00BE170F">
      <w:pPr>
        <w:spacing w:after="0" w:line="360" w:lineRule="auto"/>
        <w:contextualSpacing/>
        <w:rPr>
          <w:rFonts w:eastAsia="Times New Roman" w:cs="Tahoma"/>
          <w:bCs/>
          <w:iCs/>
          <w:color w:val="auto"/>
          <w:lang w:eastAsia="es-ES"/>
        </w:rPr>
      </w:pPr>
    </w:p>
    <w:p w14:paraId="26B0F031" w14:textId="77777777" w:rsidR="00AB36AF" w:rsidRPr="00C61F3A" w:rsidRDefault="00AB36AF" w:rsidP="00BE170F">
      <w:pPr>
        <w:spacing w:after="0" w:line="360" w:lineRule="auto"/>
        <w:contextualSpacing/>
        <w:rPr>
          <w:rFonts w:eastAsia="Times New Roman" w:cs="Tahoma"/>
          <w:bCs/>
          <w:iCs/>
          <w:color w:val="auto"/>
          <w:lang w:eastAsia="es-ES"/>
        </w:rPr>
      </w:pPr>
      <w:r w:rsidRPr="00C61F3A">
        <w:rPr>
          <w:rFonts w:eastAsia="Times New Roman" w:cs="Tahoma"/>
          <w:bCs/>
          <w:iCs/>
          <w:color w:val="auto"/>
          <w:lang w:eastAsia="es-ES"/>
        </w:rPr>
        <w:t>Por su parte, la Ley de Transparencia y Acceso a la Información Pública del Estado de México y Municipios (Reglamentaria del artículo 5° de la Constitución Local), establece lo siguiente:</w:t>
      </w:r>
    </w:p>
    <w:p w14:paraId="6CFB4A7C" w14:textId="77777777" w:rsidR="00AB36AF" w:rsidRPr="00C61F3A" w:rsidRDefault="00AB36AF" w:rsidP="00BE170F">
      <w:pPr>
        <w:spacing w:after="0" w:line="360" w:lineRule="auto"/>
        <w:contextualSpacing/>
        <w:rPr>
          <w:rFonts w:eastAsia="Times New Roman" w:cs="Tahoma"/>
          <w:bCs/>
          <w:iCs/>
          <w:color w:val="auto"/>
          <w:lang w:eastAsia="es-ES"/>
        </w:rPr>
      </w:pPr>
    </w:p>
    <w:p w14:paraId="7F656A35" w14:textId="77777777" w:rsidR="00AB36AF" w:rsidRPr="00C61F3A" w:rsidRDefault="00AB36AF" w:rsidP="00BE170F">
      <w:pPr>
        <w:spacing w:after="0" w:line="360" w:lineRule="auto"/>
        <w:contextualSpacing/>
        <w:rPr>
          <w:rFonts w:eastAsia="Times New Roman" w:cs="Tahoma"/>
          <w:bCs/>
          <w:iCs/>
          <w:color w:val="auto"/>
          <w:lang w:eastAsia="es-ES"/>
        </w:rPr>
      </w:pPr>
      <w:r w:rsidRPr="00C61F3A">
        <w:rPr>
          <w:rFonts w:eastAsia="Times New Roman" w:cs="Tahoma"/>
          <w:bCs/>
          <w:iCs/>
          <w:color w:val="auto"/>
          <w:lang w:eastAsia="es-ES"/>
        </w:rPr>
        <w:t>El artículo 12, que, quienes generen, recopilen, administren, manejen, procesen, archiven o conserven información pública serán responsables de la misma.</w:t>
      </w:r>
    </w:p>
    <w:p w14:paraId="70A87A7F" w14:textId="77777777" w:rsidR="00AB36AF" w:rsidRPr="00C61F3A" w:rsidRDefault="00AB36AF" w:rsidP="00BE170F">
      <w:pPr>
        <w:spacing w:after="0" w:line="360" w:lineRule="auto"/>
        <w:contextualSpacing/>
        <w:rPr>
          <w:rFonts w:eastAsia="Times New Roman" w:cs="Tahoma"/>
          <w:bCs/>
          <w:iCs/>
          <w:color w:val="auto"/>
          <w:lang w:eastAsia="es-ES"/>
        </w:rPr>
      </w:pPr>
    </w:p>
    <w:p w14:paraId="0A705519" w14:textId="77777777" w:rsidR="00AB36AF" w:rsidRPr="00C61F3A" w:rsidRDefault="00AB36AF" w:rsidP="00BE170F">
      <w:pPr>
        <w:widowControl w:val="0"/>
        <w:spacing w:after="0" w:line="360" w:lineRule="auto"/>
        <w:contextualSpacing/>
        <w:rPr>
          <w:rFonts w:eastAsia="Times New Roman" w:cs="Tahoma"/>
          <w:bCs/>
          <w:iCs/>
          <w:color w:val="auto"/>
          <w:lang w:eastAsia="es-ES"/>
        </w:rPr>
      </w:pPr>
      <w:r w:rsidRPr="00C61F3A">
        <w:rPr>
          <w:rFonts w:eastAsia="Times New Roman" w:cs="Tahoma"/>
          <w:bCs/>
          <w:iCs/>
          <w:color w:val="auto"/>
          <w:lang w:eastAsia="es-ES"/>
        </w:rPr>
        <w:t>El artículo 18, que, los Sujetos Obligados deberán documentar todo acto que derive del ejercicio de sus facultades, competencias o funciones, considerando desde su origen la eventual publicidad y reutilización de la información que generen.</w:t>
      </w:r>
    </w:p>
    <w:p w14:paraId="127D5668" w14:textId="77777777" w:rsidR="00AB36AF" w:rsidRPr="00C61F3A" w:rsidRDefault="00AB36AF" w:rsidP="00BE170F">
      <w:pPr>
        <w:spacing w:after="0" w:line="360" w:lineRule="auto"/>
        <w:contextualSpacing/>
        <w:rPr>
          <w:rFonts w:eastAsia="Times New Roman" w:cs="Tahoma"/>
          <w:bCs/>
          <w:iCs/>
          <w:color w:val="auto"/>
          <w:lang w:eastAsia="es-ES"/>
        </w:rPr>
      </w:pPr>
    </w:p>
    <w:p w14:paraId="6D68A1B4" w14:textId="77777777" w:rsidR="00AB36AF" w:rsidRPr="00C61F3A" w:rsidRDefault="00AB36AF" w:rsidP="00BE170F">
      <w:pPr>
        <w:spacing w:after="0" w:line="360" w:lineRule="auto"/>
        <w:contextualSpacing/>
        <w:rPr>
          <w:rFonts w:eastAsia="Times New Roman" w:cs="Tahoma"/>
          <w:bCs/>
          <w:iCs/>
          <w:color w:val="auto"/>
          <w:lang w:eastAsia="es-ES"/>
        </w:rPr>
      </w:pPr>
      <w:r w:rsidRPr="00C61F3A">
        <w:rPr>
          <w:rFonts w:eastAsia="Times New Roman" w:cs="Tahoma"/>
          <w:bCs/>
          <w:iCs/>
          <w:color w:val="auto"/>
          <w:lang w:eastAsia="es-ES"/>
        </w:rPr>
        <w:t>El artículo 19, que, se presume que la información debe existir si se refiere a las facultades, competencias y funciones que los ordenamientos jurídicos aplicables otorgan a los sujetos obligados y en caso de que dichas facultades no se hayan ejercido, se deberá motivar la respuesta en función de las causas que motivaron tal circunstancia.</w:t>
      </w:r>
    </w:p>
    <w:p w14:paraId="716BBBD7" w14:textId="77777777" w:rsidR="00AB36AF" w:rsidRPr="00C61F3A" w:rsidRDefault="00AB36AF" w:rsidP="00BE170F">
      <w:pPr>
        <w:spacing w:after="0" w:line="360" w:lineRule="auto"/>
        <w:rPr>
          <w:bCs/>
          <w:color w:val="FF0000"/>
        </w:rPr>
      </w:pPr>
    </w:p>
    <w:p w14:paraId="5793BD21" w14:textId="2EF61F45" w:rsidR="00AB36AF" w:rsidRPr="00C61F3A" w:rsidRDefault="00F92A77" w:rsidP="00BE170F">
      <w:pPr>
        <w:spacing w:after="0" w:line="360" w:lineRule="auto"/>
        <w:contextualSpacing/>
        <w:rPr>
          <w:rFonts w:eastAsia="Times New Roman" w:cs="Tahoma"/>
          <w:b/>
          <w:bCs/>
          <w:iCs/>
          <w:color w:val="auto"/>
          <w:lang w:val="es-ES" w:eastAsia="es-ES"/>
        </w:rPr>
      </w:pPr>
      <w:r w:rsidRPr="00C61F3A">
        <w:rPr>
          <w:rFonts w:eastAsia="Times New Roman" w:cs="Tahoma"/>
          <w:b/>
          <w:bCs/>
          <w:iCs/>
          <w:color w:val="auto"/>
          <w:lang w:val="es-ES" w:eastAsia="es-ES"/>
        </w:rPr>
        <w:t xml:space="preserve">QUINTO. </w:t>
      </w:r>
      <w:r w:rsidR="00AB36AF" w:rsidRPr="00C61F3A">
        <w:rPr>
          <w:rFonts w:eastAsia="Times New Roman" w:cs="Tahoma"/>
          <w:b/>
          <w:bCs/>
          <w:iCs/>
          <w:color w:val="auto"/>
          <w:lang w:val="es-ES" w:eastAsia="es-ES"/>
        </w:rPr>
        <w:t>Estudio de Fondo</w:t>
      </w:r>
    </w:p>
    <w:p w14:paraId="59CB7C3E" w14:textId="77777777" w:rsidR="00AB36AF" w:rsidRPr="00C61F3A" w:rsidRDefault="00AB36AF" w:rsidP="00BE170F">
      <w:pPr>
        <w:widowControl w:val="0"/>
        <w:autoSpaceDE w:val="0"/>
        <w:autoSpaceDN w:val="0"/>
        <w:adjustRightInd w:val="0"/>
        <w:spacing w:after="0" w:line="360" w:lineRule="auto"/>
        <w:contextualSpacing/>
        <w:rPr>
          <w:rFonts w:eastAsia="Times New Roman" w:cs="Tahoma"/>
          <w:bCs/>
          <w:iCs/>
          <w:color w:val="FF0000"/>
          <w:lang w:eastAsia="es-ES"/>
        </w:rPr>
      </w:pPr>
    </w:p>
    <w:p w14:paraId="7322C36F" w14:textId="3BEB87A8" w:rsidR="0040312B" w:rsidRPr="00C61F3A" w:rsidRDefault="00AB36AF" w:rsidP="00BE170F">
      <w:pPr>
        <w:widowControl w:val="0"/>
        <w:autoSpaceDE w:val="0"/>
        <w:autoSpaceDN w:val="0"/>
        <w:adjustRightInd w:val="0"/>
        <w:spacing w:after="0" w:line="360" w:lineRule="auto"/>
        <w:contextualSpacing/>
        <w:rPr>
          <w:rFonts w:eastAsia="Times New Roman" w:cs="Tahoma"/>
          <w:bCs/>
          <w:iCs/>
          <w:color w:val="auto"/>
          <w:lang w:eastAsia="es-ES"/>
        </w:rPr>
      </w:pPr>
      <w:r w:rsidRPr="00C61F3A">
        <w:rPr>
          <w:rFonts w:eastAsia="Times New Roman" w:cs="Tahoma"/>
          <w:bCs/>
          <w:iCs/>
          <w:color w:val="auto"/>
          <w:lang w:eastAsia="es-ES"/>
        </w:rPr>
        <w:t xml:space="preserve">Expuestas las posturas de las partes, se procede al análisis del agravio hecho valer por el Recurrente, concerniente a </w:t>
      </w:r>
      <w:r w:rsidR="0040312B" w:rsidRPr="00C61F3A">
        <w:rPr>
          <w:rFonts w:eastAsia="Times New Roman" w:cs="Tahoma"/>
          <w:bCs/>
          <w:iCs/>
          <w:color w:val="auto"/>
          <w:lang w:eastAsia="es-ES"/>
        </w:rPr>
        <w:t>la entrega de información incompleta, para lo cual, en principio es necesario contextualizar la solicitud de información.</w:t>
      </w:r>
    </w:p>
    <w:p w14:paraId="536192A2" w14:textId="117AB9AF" w:rsidR="00B17887" w:rsidRPr="00C61F3A" w:rsidRDefault="00B17887" w:rsidP="00BE170F">
      <w:pPr>
        <w:widowControl w:val="0"/>
        <w:autoSpaceDE w:val="0"/>
        <w:autoSpaceDN w:val="0"/>
        <w:adjustRightInd w:val="0"/>
        <w:spacing w:after="0" w:line="360" w:lineRule="auto"/>
        <w:contextualSpacing/>
        <w:rPr>
          <w:rFonts w:eastAsia="Times New Roman" w:cs="Tahoma"/>
          <w:bCs/>
          <w:iCs/>
          <w:color w:val="auto"/>
          <w:lang w:eastAsia="es-ES"/>
        </w:rPr>
      </w:pPr>
      <w:r w:rsidRPr="00C61F3A">
        <w:rPr>
          <w:rFonts w:eastAsia="Times New Roman" w:cs="Tahoma"/>
          <w:bCs/>
          <w:iCs/>
          <w:color w:val="auto"/>
          <w:lang w:eastAsia="es-ES"/>
        </w:rPr>
        <w:lastRenderedPageBreak/>
        <w:t xml:space="preserve">Sobre el tema el artículo 3 fracción IV de la Ley de Transparencia y Acceso a la Información Pública del Estado de México y Municipios, refiere que el </w:t>
      </w:r>
      <w:r w:rsidRPr="00C61F3A">
        <w:t xml:space="preserve">Comité de Transparencia es </w:t>
      </w:r>
      <w:r w:rsidR="006F2C0B" w:rsidRPr="00C61F3A">
        <w:t>el cuerpo</w:t>
      </w:r>
      <w:r w:rsidRPr="00C61F3A">
        <w:t xml:space="preserve"> colegiado que se integre para resolver sobre la información que deberá clasificarse, así como para atender y resolver los requerimientos de las Unidades de Transparencia y del Instituto.</w:t>
      </w:r>
    </w:p>
    <w:p w14:paraId="4684A9BD" w14:textId="77777777" w:rsidR="00B17887" w:rsidRPr="00C61F3A" w:rsidRDefault="00B17887" w:rsidP="00BE170F">
      <w:pPr>
        <w:widowControl w:val="0"/>
        <w:autoSpaceDE w:val="0"/>
        <w:autoSpaceDN w:val="0"/>
        <w:adjustRightInd w:val="0"/>
        <w:spacing w:after="0" w:line="360" w:lineRule="auto"/>
        <w:contextualSpacing/>
        <w:rPr>
          <w:rFonts w:eastAsia="Times New Roman" w:cs="Tahoma"/>
          <w:bCs/>
          <w:iCs/>
          <w:color w:val="auto"/>
          <w:lang w:eastAsia="es-ES"/>
        </w:rPr>
      </w:pPr>
    </w:p>
    <w:p w14:paraId="01AD7B12" w14:textId="48EBB604" w:rsidR="007D3FE7" w:rsidRPr="00C61F3A" w:rsidRDefault="0066062A" w:rsidP="00BE170F">
      <w:pPr>
        <w:widowControl w:val="0"/>
        <w:autoSpaceDE w:val="0"/>
        <w:autoSpaceDN w:val="0"/>
        <w:adjustRightInd w:val="0"/>
        <w:spacing w:after="0" w:line="360" w:lineRule="auto"/>
        <w:contextualSpacing/>
      </w:pPr>
      <w:r w:rsidRPr="00C61F3A">
        <w:rPr>
          <w:rFonts w:eastAsia="Times New Roman" w:cs="Tahoma"/>
          <w:bCs/>
          <w:iCs/>
          <w:color w:val="auto"/>
          <w:lang w:eastAsia="es-ES"/>
        </w:rPr>
        <w:t xml:space="preserve"> </w:t>
      </w:r>
      <w:r w:rsidR="00B17887" w:rsidRPr="00C61F3A">
        <w:rPr>
          <w:rFonts w:eastAsia="Times New Roman" w:cs="Tahoma"/>
          <w:bCs/>
          <w:iCs/>
          <w:color w:val="auto"/>
          <w:lang w:eastAsia="es-ES"/>
        </w:rPr>
        <w:t xml:space="preserve">En </w:t>
      </w:r>
      <w:proofErr w:type="spellStart"/>
      <w:r w:rsidR="00B17887" w:rsidRPr="00C61F3A">
        <w:rPr>
          <w:rFonts w:eastAsia="Times New Roman" w:cs="Tahoma"/>
          <w:bCs/>
          <w:iCs/>
          <w:color w:val="auto"/>
          <w:lang w:eastAsia="es-ES"/>
        </w:rPr>
        <w:t>esca</w:t>
      </w:r>
      <w:proofErr w:type="spellEnd"/>
      <w:r w:rsidR="00B17887" w:rsidRPr="00C61F3A">
        <w:rPr>
          <w:rFonts w:eastAsia="Times New Roman" w:cs="Tahoma"/>
          <w:bCs/>
          <w:iCs/>
          <w:color w:val="auto"/>
          <w:lang w:eastAsia="es-ES"/>
        </w:rPr>
        <w:t xml:space="preserve"> misma consecución de ideas </w:t>
      </w:r>
      <w:r w:rsidR="007D3FE7" w:rsidRPr="00C61F3A">
        <w:rPr>
          <w:rFonts w:eastAsia="Times New Roman" w:cs="Tahoma"/>
          <w:bCs/>
          <w:iCs/>
          <w:color w:val="auto"/>
          <w:lang w:eastAsia="es-ES"/>
        </w:rPr>
        <w:t xml:space="preserve">los artículos 45 y 46 </w:t>
      </w:r>
      <w:r w:rsidRPr="00C61F3A">
        <w:rPr>
          <w:rFonts w:eastAsia="Times New Roman" w:cs="Tahoma"/>
          <w:bCs/>
          <w:iCs/>
          <w:color w:val="auto"/>
          <w:lang w:eastAsia="es-ES"/>
        </w:rPr>
        <w:t xml:space="preserve">de la Ley de Transparencia y Acceso a la Información Pública del Estado de México y Municipios, establece que </w:t>
      </w:r>
      <w:r w:rsidRPr="00C61F3A">
        <w:t xml:space="preserve">cada sujeto obligado establecerá un Comité de Transparencia, colegiado e integrado por lo menos por tres miembros, </w:t>
      </w:r>
      <w:r w:rsidR="007D3FE7" w:rsidRPr="00C61F3A">
        <w:t>el titular de la unidad de transparencia, el responsable del área coordinadora de archivos o equivalente y el titular del órgano de control interno o equivalente.</w:t>
      </w:r>
    </w:p>
    <w:p w14:paraId="57B4DD2E" w14:textId="77777777" w:rsidR="007D3FE7" w:rsidRPr="00C61F3A" w:rsidRDefault="007D3FE7" w:rsidP="00BE170F">
      <w:pPr>
        <w:widowControl w:val="0"/>
        <w:autoSpaceDE w:val="0"/>
        <w:autoSpaceDN w:val="0"/>
        <w:adjustRightInd w:val="0"/>
        <w:spacing w:after="0" w:line="360" w:lineRule="auto"/>
        <w:contextualSpacing/>
      </w:pPr>
    </w:p>
    <w:p w14:paraId="4F8E2610" w14:textId="4DFE4061" w:rsidR="0040312B" w:rsidRPr="00C61F3A" w:rsidRDefault="007D3FE7" w:rsidP="00BE170F">
      <w:pPr>
        <w:widowControl w:val="0"/>
        <w:autoSpaceDE w:val="0"/>
        <w:autoSpaceDN w:val="0"/>
        <w:adjustRightInd w:val="0"/>
        <w:spacing w:after="0" w:line="360" w:lineRule="auto"/>
        <w:contextualSpacing/>
      </w:pPr>
      <w:r w:rsidRPr="00C61F3A">
        <w:t>Comité que</w:t>
      </w:r>
      <w:r w:rsidR="0066062A" w:rsidRPr="00C61F3A">
        <w:t xml:space="preserve"> conforme al artículo 47 de la Ley en comento se reunirá en sesión ordinaria o extraordinaria las veces que estime necesario y adoptará sus resoluciones por mayoría de votos.</w:t>
      </w:r>
    </w:p>
    <w:p w14:paraId="17DBA1DA" w14:textId="77777777" w:rsidR="0066062A" w:rsidRPr="00C61F3A" w:rsidRDefault="0066062A" w:rsidP="00BE170F">
      <w:pPr>
        <w:widowControl w:val="0"/>
        <w:autoSpaceDE w:val="0"/>
        <w:autoSpaceDN w:val="0"/>
        <w:adjustRightInd w:val="0"/>
        <w:spacing w:after="0" w:line="360" w:lineRule="auto"/>
        <w:contextualSpacing/>
      </w:pPr>
    </w:p>
    <w:p w14:paraId="3A64FECF" w14:textId="4634C733" w:rsidR="0066062A" w:rsidRPr="00C61F3A" w:rsidRDefault="0066062A" w:rsidP="00BE170F">
      <w:pPr>
        <w:widowControl w:val="0"/>
        <w:autoSpaceDE w:val="0"/>
        <w:autoSpaceDN w:val="0"/>
        <w:adjustRightInd w:val="0"/>
        <w:spacing w:after="0" w:line="360" w:lineRule="auto"/>
        <w:contextualSpacing/>
        <w:rPr>
          <w:rFonts w:eastAsia="Times New Roman" w:cs="Tahoma"/>
          <w:bCs/>
          <w:iCs/>
          <w:color w:val="auto"/>
          <w:lang w:eastAsia="es-ES"/>
        </w:rPr>
      </w:pPr>
      <w:r w:rsidRPr="00C61F3A">
        <w:t xml:space="preserve">Por otra </w:t>
      </w:r>
      <w:r w:rsidR="00B17887" w:rsidRPr="00C61F3A">
        <w:t>parte,</w:t>
      </w:r>
      <w:r w:rsidRPr="00C61F3A">
        <w:t xml:space="preserve"> el artículo 92 en el cual se establecen las obligaciones de transparencia comunes refiere que los sujetos obligados deberán poner a disposición del público de manera permanente y actualizada de forma sencilla, precisa y entendible, en los respectivos medios electrónicos, de acuerdo con sus facultades, atribuciones, funciones u objeto social, según corresponda entre otras cosas las actas y resoluciones del Comité de Transparencia de los sujetos obligados.</w:t>
      </w:r>
    </w:p>
    <w:p w14:paraId="66421212" w14:textId="77777777" w:rsidR="0099241D" w:rsidRPr="00C61F3A" w:rsidRDefault="0099241D" w:rsidP="00BE170F">
      <w:pPr>
        <w:spacing w:after="0" w:line="360" w:lineRule="auto"/>
        <w:rPr>
          <w:rFonts w:eastAsia="Times New Roman" w:cs="Tahoma"/>
          <w:bCs/>
          <w:iCs/>
          <w:color w:val="FF0000"/>
          <w:lang w:eastAsia="es-ES"/>
        </w:rPr>
      </w:pPr>
    </w:p>
    <w:p w14:paraId="2EE5B89E" w14:textId="7574B670" w:rsidR="007D3FE7" w:rsidRPr="00C61F3A" w:rsidRDefault="00270784" w:rsidP="00BE170F">
      <w:pPr>
        <w:shd w:val="clear" w:color="auto" w:fill="FFFFFF"/>
        <w:spacing w:after="0" w:line="360" w:lineRule="auto"/>
        <w:rPr>
          <w:rFonts w:eastAsia="Times New Roman" w:cs="Times New Roman"/>
          <w:color w:val="auto"/>
          <w:lang w:eastAsia="es-MX"/>
        </w:rPr>
      </w:pPr>
      <w:r w:rsidRPr="00C61F3A">
        <w:rPr>
          <w:rFonts w:eastAsia="Times New Roman" w:cs="Tahoma"/>
          <w:bCs/>
          <w:iCs/>
          <w:color w:val="auto"/>
          <w:lang w:eastAsia="es-MX"/>
        </w:rPr>
        <w:t>Conforme a lo anterior, se logra observar que la pretensión del ahora Recurrente, es obtener</w:t>
      </w:r>
      <w:r w:rsidR="007B25BB" w:rsidRPr="00C61F3A">
        <w:rPr>
          <w:rFonts w:eastAsia="Times New Roman" w:cs="Tahoma"/>
          <w:bCs/>
          <w:iCs/>
          <w:color w:val="auto"/>
          <w:lang w:eastAsia="es-MX"/>
        </w:rPr>
        <w:t xml:space="preserve"> </w:t>
      </w:r>
      <w:r w:rsidR="007D3FE7" w:rsidRPr="00C61F3A">
        <w:rPr>
          <w:rFonts w:cs="Tahoma"/>
          <w:color w:val="auto"/>
        </w:rPr>
        <w:t xml:space="preserve">las resoluciones del Comité de Transparencia del primero de enero de dos mil quince </w:t>
      </w:r>
      <w:r w:rsidR="0001749A" w:rsidRPr="00C61F3A">
        <w:rPr>
          <w:rFonts w:cs="Tahoma"/>
          <w:color w:val="auto"/>
        </w:rPr>
        <w:t>al treinta y uno de diciembre de dos mil diecisiete, así como, del primero de enero de dos mil diecinueve al</w:t>
      </w:r>
      <w:r w:rsidR="007D3FE7" w:rsidRPr="00C61F3A">
        <w:rPr>
          <w:rFonts w:cs="Tahoma"/>
          <w:color w:val="auto"/>
        </w:rPr>
        <w:t xml:space="preserve"> nueve de julio de dos mil veinticuatro.</w:t>
      </w:r>
    </w:p>
    <w:p w14:paraId="66844056" w14:textId="5EAB12A0" w:rsidR="00270784" w:rsidRPr="00C61F3A" w:rsidRDefault="00320506" w:rsidP="00BE170F">
      <w:pPr>
        <w:spacing w:after="0" w:line="360" w:lineRule="auto"/>
        <w:rPr>
          <w:rFonts w:cs="Tahoma"/>
          <w:bCs/>
          <w:color w:val="auto"/>
        </w:rPr>
      </w:pPr>
      <w:r w:rsidRPr="00C61F3A">
        <w:rPr>
          <w:rFonts w:eastAsia="Times New Roman" w:cs="Tahoma"/>
          <w:bCs/>
          <w:iCs/>
          <w:color w:val="auto"/>
          <w:lang w:eastAsia="es-MX"/>
        </w:rPr>
        <w:lastRenderedPageBreak/>
        <w:t>Ante</w:t>
      </w:r>
      <w:r w:rsidR="00270784" w:rsidRPr="00C61F3A">
        <w:rPr>
          <w:rFonts w:cs="Tahoma"/>
          <w:bCs/>
          <w:color w:val="auto"/>
        </w:rPr>
        <w:t xml:space="preserve"> dicha circunstancia, es necesario precisar que de las constancias que obran en el expediente se logra vislumbrar que el Sujeto Obligado, turnó la solicitud de información a la </w:t>
      </w:r>
      <w:r w:rsidR="007D3FE7" w:rsidRPr="00C61F3A">
        <w:rPr>
          <w:rFonts w:cs="Tahoma"/>
          <w:bCs/>
          <w:color w:val="auto"/>
        </w:rPr>
        <w:t>Unidad de Transparencia</w:t>
      </w:r>
      <w:r w:rsidR="00270784" w:rsidRPr="00C61F3A">
        <w:rPr>
          <w:rFonts w:cs="Tahoma"/>
          <w:bCs/>
          <w:color w:val="auto"/>
        </w:rPr>
        <w:t>, por lo que, resulta necesario hacer referencia al procedimiento de búsqueda que deben de seguir los Sujetos Obligados para localizar la información, el cual se encuentra previsto en los artículos 160 y 162 de la Ley de Transparencia y Acceso a la Información Pública del Estado de México y Municipios, mismo que es el siguiente:</w:t>
      </w:r>
    </w:p>
    <w:p w14:paraId="7AA514E8" w14:textId="77777777" w:rsidR="00270784" w:rsidRPr="00C61F3A" w:rsidRDefault="00270784" w:rsidP="00BE170F">
      <w:pPr>
        <w:spacing w:after="0" w:line="360" w:lineRule="auto"/>
        <w:contextualSpacing/>
        <w:rPr>
          <w:rFonts w:cs="Tahoma"/>
          <w:bCs/>
          <w:color w:val="auto"/>
        </w:rPr>
      </w:pPr>
    </w:p>
    <w:p w14:paraId="2A1FF72D" w14:textId="77777777" w:rsidR="00270784" w:rsidRPr="00C61F3A" w:rsidRDefault="00270784" w:rsidP="00BE170F">
      <w:pPr>
        <w:numPr>
          <w:ilvl w:val="0"/>
          <w:numId w:val="1"/>
        </w:numPr>
        <w:spacing w:after="0" w:line="360" w:lineRule="auto"/>
        <w:contextualSpacing/>
        <w:rPr>
          <w:rFonts w:eastAsia="Calibri" w:cs="Tahoma"/>
          <w:bCs/>
          <w:color w:val="auto"/>
          <w:lang w:val="es-ES"/>
        </w:rPr>
      </w:pPr>
      <w:r w:rsidRPr="00C61F3A">
        <w:rPr>
          <w:rFonts w:eastAsia="Calibri" w:cs="Tahoma"/>
          <w:bCs/>
          <w:color w:val="auto"/>
          <w:lang w:val="es-ES"/>
        </w:rPr>
        <w:t>Las Unidades de Transparencia garantizarán que las solicitudes de acceso a la información se turnen a todas las áreas competentes que cuenten con la información o deban tenerla -de acuerdo a las facultades, competencias y funciones-, con el objeto de que dichas áreas realicen una búsqueda exhaustiva y razonable de la información requerida, y</w:t>
      </w:r>
    </w:p>
    <w:p w14:paraId="275A4C98" w14:textId="77777777" w:rsidR="00270784" w:rsidRPr="00C61F3A" w:rsidRDefault="00270784" w:rsidP="00BE170F">
      <w:pPr>
        <w:spacing w:after="0" w:line="360" w:lineRule="auto"/>
        <w:ind w:left="360"/>
        <w:contextualSpacing/>
        <w:rPr>
          <w:rFonts w:eastAsia="Calibri" w:cs="Tahoma"/>
          <w:bCs/>
          <w:color w:val="auto"/>
          <w:lang w:val="es-ES"/>
        </w:rPr>
      </w:pPr>
    </w:p>
    <w:p w14:paraId="4E39357D" w14:textId="77777777" w:rsidR="00270784" w:rsidRPr="00C61F3A" w:rsidRDefault="00270784" w:rsidP="00BE170F">
      <w:pPr>
        <w:numPr>
          <w:ilvl w:val="0"/>
          <w:numId w:val="1"/>
        </w:numPr>
        <w:spacing w:after="0" w:line="360" w:lineRule="auto"/>
        <w:contextualSpacing/>
        <w:rPr>
          <w:rFonts w:eastAsia="Calibri" w:cs="Tahoma"/>
          <w:bCs/>
          <w:color w:val="auto"/>
          <w:lang w:val="es-ES"/>
        </w:rPr>
      </w:pPr>
      <w:r w:rsidRPr="00C61F3A">
        <w:rPr>
          <w:rFonts w:eastAsia="Calibri" w:cs="Tahoma"/>
          <w:bCs/>
          <w:color w:val="auto"/>
          <w:lang w:val="es-ES"/>
        </w:rPr>
        <w:t>Los sujetos obligados otorgaran acceso a los documentos que se encuentren en sus archivos o que estén obligados a documentar de acuerdo con sus facultades, competencias o funciones, en el formato en que la solicitante manifieste, de entre aquellos formatos existentes.</w:t>
      </w:r>
    </w:p>
    <w:p w14:paraId="03C5E730" w14:textId="77777777" w:rsidR="00270784" w:rsidRPr="00C61F3A" w:rsidRDefault="00270784" w:rsidP="00BE170F">
      <w:pPr>
        <w:spacing w:after="0" w:line="360" w:lineRule="auto"/>
        <w:contextualSpacing/>
        <w:rPr>
          <w:rFonts w:cs="Tahoma"/>
          <w:bCs/>
          <w:color w:val="auto"/>
        </w:rPr>
      </w:pPr>
    </w:p>
    <w:p w14:paraId="082E97F0" w14:textId="1F5A5162" w:rsidR="009135B2" w:rsidRPr="00C61F3A" w:rsidRDefault="00C6639C" w:rsidP="00BE170F">
      <w:pPr>
        <w:spacing w:after="0" w:line="360" w:lineRule="auto"/>
        <w:ind w:right="-28"/>
        <w:contextualSpacing/>
        <w:rPr>
          <w:rFonts w:eastAsia="Calibri" w:cs="Tahoma"/>
          <w:bCs/>
          <w:color w:val="auto"/>
        </w:rPr>
      </w:pPr>
      <w:r w:rsidRPr="00C61F3A">
        <w:rPr>
          <w:rFonts w:eastAsia="Calibri" w:cs="Tahoma"/>
          <w:bCs/>
          <w:color w:val="auto"/>
          <w:szCs w:val="24"/>
          <w:lang w:eastAsia="es-MX"/>
        </w:rPr>
        <w:t xml:space="preserve">Así y conforme a lo que se precisó en párrafos anteriores, </w:t>
      </w:r>
      <w:r w:rsidR="00270784" w:rsidRPr="00C61F3A">
        <w:rPr>
          <w:rFonts w:eastAsia="Calibri" w:cs="Tahoma"/>
          <w:bCs/>
          <w:iCs/>
          <w:color w:val="auto"/>
        </w:rPr>
        <w:t>se logra vislumbrar que el Sujeto Obligado cumplió con el procedimiento de búsqueda establecido en el artículo 162 de la Ley de Transparencia y Acceso a la Información Pública del Estado de México y Municipios, al gestionar el requerimiento de información a</w:t>
      </w:r>
      <w:r w:rsidRPr="00C61F3A">
        <w:rPr>
          <w:rFonts w:eastAsia="Calibri" w:cs="Tahoma"/>
          <w:bCs/>
          <w:iCs/>
          <w:color w:val="auto"/>
        </w:rPr>
        <w:t>l</w:t>
      </w:r>
      <w:r w:rsidR="00270784" w:rsidRPr="00C61F3A">
        <w:rPr>
          <w:rFonts w:eastAsia="Calibri" w:cs="Tahoma"/>
          <w:bCs/>
          <w:iCs/>
          <w:color w:val="auto"/>
        </w:rPr>
        <w:t xml:space="preserve"> área encargada de </w:t>
      </w:r>
      <w:r w:rsidR="00720572" w:rsidRPr="00C61F3A">
        <w:rPr>
          <w:rFonts w:eastAsia="Calibri" w:cs="Tahoma"/>
          <w:bCs/>
          <w:iCs/>
          <w:color w:val="auto"/>
        </w:rPr>
        <w:t>conoce</w:t>
      </w:r>
      <w:r w:rsidR="009135B2" w:rsidRPr="00C61F3A">
        <w:rPr>
          <w:rFonts w:eastAsia="Calibri" w:cs="Tahoma"/>
          <w:bCs/>
          <w:iCs/>
          <w:color w:val="auto"/>
        </w:rPr>
        <w:t>r la información solicitada.</w:t>
      </w:r>
    </w:p>
    <w:p w14:paraId="0E305E12" w14:textId="77777777" w:rsidR="00720572" w:rsidRPr="00C61F3A" w:rsidRDefault="00720572" w:rsidP="00BE170F">
      <w:pPr>
        <w:spacing w:after="0" w:line="360" w:lineRule="auto"/>
        <w:ind w:right="-28"/>
        <w:contextualSpacing/>
        <w:rPr>
          <w:rFonts w:eastAsia="Calibri" w:cs="Tahoma"/>
          <w:bCs/>
          <w:iCs/>
          <w:color w:val="FF0000"/>
        </w:rPr>
      </w:pPr>
    </w:p>
    <w:p w14:paraId="1CA877A2" w14:textId="6D564584" w:rsidR="00BE170F" w:rsidRPr="00C61F3A" w:rsidRDefault="00666855" w:rsidP="00BE170F">
      <w:pPr>
        <w:spacing w:after="0" w:line="360" w:lineRule="auto"/>
        <w:ind w:right="-28"/>
        <w:contextualSpacing/>
        <w:rPr>
          <w:rFonts w:eastAsia="Calibri" w:cs="Tahoma"/>
          <w:bCs/>
          <w:iCs/>
          <w:color w:val="auto"/>
        </w:rPr>
      </w:pPr>
      <w:r w:rsidRPr="00C61F3A">
        <w:rPr>
          <w:rFonts w:eastAsia="Calibri" w:cs="Tahoma"/>
          <w:bCs/>
          <w:iCs/>
          <w:color w:val="auto"/>
        </w:rPr>
        <w:t>Ahora bien, dicha área</w:t>
      </w:r>
      <w:r w:rsidR="00AC67FF" w:rsidRPr="00C61F3A">
        <w:rPr>
          <w:rFonts w:eastAsia="Calibri" w:cs="Tahoma"/>
          <w:bCs/>
          <w:iCs/>
          <w:color w:val="auto"/>
        </w:rPr>
        <w:t xml:space="preserve"> </w:t>
      </w:r>
      <w:r w:rsidRPr="00C61F3A">
        <w:rPr>
          <w:rFonts w:eastAsia="Calibri" w:cs="Tahoma"/>
          <w:bCs/>
          <w:iCs/>
          <w:color w:val="auto"/>
        </w:rPr>
        <w:t xml:space="preserve">mediante </w:t>
      </w:r>
      <w:r w:rsidR="00FB6BDB" w:rsidRPr="00C61F3A">
        <w:rPr>
          <w:rFonts w:eastAsia="Calibri" w:cs="Tahoma"/>
          <w:bCs/>
          <w:iCs/>
          <w:color w:val="auto"/>
        </w:rPr>
        <w:t>r</w:t>
      </w:r>
      <w:r w:rsidRPr="00C61F3A">
        <w:rPr>
          <w:rFonts w:eastAsia="Calibri" w:cs="Tahoma"/>
          <w:bCs/>
          <w:iCs/>
          <w:color w:val="auto"/>
        </w:rPr>
        <w:t>espuesta</w:t>
      </w:r>
      <w:r w:rsidR="00BE170F" w:rsidRPr="00C61F3A">
        <w:rPr>
          <w:rFonts w:eastAsia="Calibri" w:cs="Tahoma"/>
          <w:bCs/>
          <w:iCs/>
          <w:color w:val="auto"/>
        </w:rPr>
        <w:t>,</w:t>
      </w:r>
      <w:r w:rsidR="00FB6BDB" w:rsidRPr="00C61F3A">
        <w:rPr>
          <w:rFonts w:eastAsia="Calibri" w:cs="Tahoma"/>
          <w:bCs/>
          <w:iCs/>
          <w:color w:val="auto"/>
        </w:rPr>
        <w:t xml:space="preserve"> como en informe justificado</w:t>
      </w:r>
      <w:r w:rsidRPr="00C61F3A">
        <w:rPr>
          <w:rFonts w:eastAsia="Calibri" w:cs="Tahoma"/>
          <w:bCs/>
          <w:iCs/>
          <w:color w:val="auto"/>
        </w:rPr>
        <w:t xml:space="preserve">, </w:t>
      </w:r>
      <w:r w:rsidR="00BE170F" w:rsidRPr="00C61F3A">
        <w:rPr>
          <w:rFonts w:eastAsia="Calibri" w:cs="Tahoma"/>
          <w:bCs/>
          <w:iCs/>
          <w:color w:val="auto"/>
        </w:rPr>
        <w:t>proporcionó diversas ligas electrónicas</w:t>
      </w:r>
      <w:r w:rsidR="001D7DF9" w:rsidRPr="00C61F3A">
        <w:rPr>
          <w:rFonts w:eastAsia="Calibri" w:cs="Tahoma"/>
          <w:bCs/>
          <w:iCs/>
          <w:color w:val="auto"/>
        </w:rPr>
        <w:t xml:space="preserve"> en formato abierto, es decir, en un formato accesible para su consulta, así </w:t>
      </w:r>
      <w:r w:rsidR="001D7DF9" w:rsidRPr="00C61F3A">
        <w:rPr>
          <w:rFonts w:eastAsia="Calibri" w:cs="Tahoma"/>
          <w:bCs/>
          <w:iCs/>
          <w:color w:val="auto"/>
        </w:rPr>
        <w:lastRenderedPageBreak/>
        <w:t xml:space="preserve">como </w:t>
      </w:r>
      <w:r w:rsidR="00BE170F" w:rsidRPr="00C61F3A">
        <w:rPr>
          <w:rFonts w:eastAsia="Calibri" w:cs="Tahoma"/>
          <w:bCs/>
          <w:iCs/>
          <w:color w:val="auto"/>
        </w:rPr>
        <w:t>el procedimiento para acceder a las Actas emitidas por el Comité de Información e Comité de Transparencia, tal como se advierte en los siguientes extractos:</w:t>
      </w:r>
    </w:p>
    <w:p w14:paraId="218D5D9B" w14:textId="77777777" w:rsidR="00BE170F" w:rsidRPr="00C61F3A" w:rsidRDefault="00BE170F" w:rsidP="00BE170F">
      <w:pPr>
        <w:spacing w:after="0" w:line="360" w:lineRule="auto"/>
        <w:ind w:right="-28"/>
        <w:contextualSpacing/>
        <w:rPr>
          <w:rFonts w:eastAsia="Calibri" w:cs="Tahoma"/>
          <w:bCs/>
          <w:iCs/>
          <w:color w:val="auto"/>
        </w:rPr>
      </w:pPr>
    </w:p>
    <w:p w14:paraId="0AC90C00" w14:textId="3FF85DC3" w:rsidR="0001749A" w:rsidRPr="00C61F3A" w:rsidRDefault="0001749A" w:rsidP="0001749A">
      <w:pPr>
        <w:spacing w:after="0" w:line="360" w:lineRule="auto"/>
        <w:ind w:right="-28"/>
        <w:contextualSpacing/>
        <w:jc w:val="center"/>
        <w:rPr>
          <w:rFonts w:eastAsia="Calibri" w:cs="Tahoma"/>
          <w:bCs/>
          <w:iCs/>
          <w:color w:val="auto"/>
        </w:rPr>
      </w:pPr>
      <w:r w:rsidRPr="00C61F3A">
        <w:rPr>
          <w:rFonts w:eastAsia="Calibri" w:cs="Tahoma"/>
          <w:bCs/>
          <w:iCs/>
          <w:color w:val="auto"/>
        </w:rPr>
        <w:t>2015:</w:t>
      </w:r>
      <w:r w:rsidRPr="00C61F3A">
        <w:rPr>
          <w:rFonts w:ascii="PalatinoLinotype-Roman" w:hAnsi="PalatinoLinotype-Roman" w:cs="PalatinoLinotype-Roman"/>
          <w:color w:val="0563C2"/>
          <w:sz w:val="24"/>
          <w:szCs w:val="24"/>
        </w:rPr>
        <w:t xml:space="preserve"> https://ipomex2.ipomex.org.mx/ipo/portal/infoem/acuerdosActas/2015/0/39.web</w:t>
      </w:r>
    </w:p>
    <w:p w14:paraId="07712E59" w14:textId="21055241" w:rsidR="00027765" w:rsidRPr="00C61F3A" w:rsidRDefault="00BE170F" w:rsidP="00BE170F">
      <w:pPr>
        <w:spacing w:after="0" w:line="360" w:lineRule="auto"/>
        <w:ind w:right="-28"/>
        <w:contextualSpacing/>
        <w:jc w:val="center"/>
        <w:rPr>
          <w:rFonts w:eastAsia="Times New Roman" w:cs="Times New Roman"/>
          <w:color w:val="FF0000"/>
          <w:lang w:eastAsia="es-ES"/>
        </w:rPr>
      </w:pPr>
      <w:r w:rsidRPr="00C61F3A">
        <w:rPr>
          <w:rFonts w:eastAsia="Times New Roman" w:cs="Times New Roman"/>
          <w:noProof/>
          <w:color w:val="FF0000"/>
          <w:lang w:eastAsia="es-MX"/>
        </w:rPr>
        <w:drawing>
          <wp:inline distT="0" distB="0" distL="0" distR="0" wp14:anchorId="64314833" wp14:editId="44674FCC">
            <wp:extent cx="5207000" cy="2705100"/>
            <wp:effectExtent l="0" t="0" r="0" b="0"/>
            <wp:docPr id="210292043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2920430" name="Imagen 2102920430"/>
                    <pic:cNvPicPr/>
                  </pic:nvPicPr>
                  <pic:blipFill>
                    <a:blip r:embed="rId21">
                      <a:extLst>
                        <a:ext uri="{28A0092B-C50C-407E-A947-70E740481C1C}">
                          <a14:useLocalDpi xmlns:a14="http://schemas.microsoft.com/office/drawing/2010/main" val="0"/>
                        </a:ext>
                      </a:extLst>
                    </a:blip>
                    <a:stretch>
                      <a:fillRect/>
                    </a:stretch>
                  </pic:blipFill>
                  <pic:spPr>
                    <a:xfrm>
                      <a:off x="0" y="0"/>
                      <a:ext cx="5207000" cy="2705100"/>
                    </a:xfrm>
                    <a:prstGeom prst="rect">
                      <a:avLst/>
                    </a:prstGeom>
                  </pic:spPr>
                </pic:pic>
              </a:graphicData>
            </a:graphic>
          </wp:inline>
        </w:drawing>
      </w:r>
    </w:p>
    <w:p w14:paraId="13E64166" w14:textId="58C9C1E3" w:rsidR="0001749A" w:rsidRPr="00C61F3A" w:rsidRDefault="005C5A16" w:rsidP="00BE170F">
      <w:pPr>
        <w:spacing w:after="0" w:line="360" w:lineRule="auto"/>
        <w:ind w:right="-28"/>
        <w:contextualSpacing/>
        <w:jc w:val="center"/>
        <w:rPr>
          <w:rFonts w:ascii="PalatinoLinotype-Roman" w:hAnsi="PalatinoLinotype-Roman" w:cs="PalatinoLinotype-Roman"/>
          <w:color w:val="0563C2"/>
          <w:sz w:val="24"/>
          <w:szCs w:val="24"/>
        </w:rPr>
      </w:pPr>
      <w:r w:rsidRPr="00C61F3A">
        <w:rPr>
          <w:rFonts w:eastAsia="Times New Roman" w:cs="Times New Roman"/>
          <w:color w:val="auto"/>
          <w:lang w:eastAsia="es-ES"/>
        </w:rPr>
        <w:t>2016:</w:t>
      </w:r>
      <w:r w:rsidRPr="00C61F3A">
        <w:rPr>
          <w:rFonts w:ascii="PalatinoLinotype-Roman" w:hAnsi="PalatinoLinotype-Roman" w:cs="PalatinoLinotype-Roman"/>
          <w:color w:val="0563C2"/>
          <w:sz w:val="24"/>
          <w:szCs w:val="24"/>
        </w:rPr>
        <w:t xml:space="preserve"> </w:t>
      </w:r>
      <w:hyperlink r:id="rId22" w:history="1">
        <w:r w:rsidRPr="00C61F3A">
          <w:rPr>
            <w:rStyle w:val="Hipervnculo"/>
            <w:rFonts w:ascii="PalatinoLinotype-Roman" w:hAnsi="PalatinoLinotype-Roman" w:cs="PalatinoLinotype-Roman"/>
            <w:sz w:val="24"/>
            <w:szCs w:val="24"/>
          </w:rPr>
          <w:t>https://ipomex2.ipomex.org.mx/ipo/portal/infoem/acuerdosActas/2016/0/39.web</w:t>
        </w:r>
      </w:hyperlink>
    </w:p>
    <w:p w14:paraId="403FC78B" w14:textId="49EF67FE" w:rsidR="005C5A16" w:rsidRPr="00C61F3A" w:rsidRDefault="005C5A16" w:rsidP="00BE170F">
      <w:pPr>
        <w:spacing w:after="0" w:line="360" w:lineRule="auto"/>
        <w:ind w:right="-28"/>
        <w:contextualSpacing/>
        <w:jc w:val="center"/>
        <w:rPr>
          <w:rFonts w:eastAsia="Times New Roman" w:cs="Times New Roman"/>
          <w:color w:val="auto"/>
          <w:lang w:eastAsia="es-ES"/>
        </w:rPr>
      </w:pPr>
      <w:r w:rsidRPr="00C61F3A">
        <w:rPr>
          <w:rFonts w:ascii="PalatinoLinotype-Roman" w:hAnsi="PalatinoLinotype-Roman" w:cs="PalatinoLinotype-Roman"/>
          <w:color w:val="0563C2"/>
          <w:sz w:val="24"/>
          <w:szCs w:val="24"/>
        </w:rPr>
        <w:t>https://ipomex2.ipomex.org.mx/ipo/portal/infoem/acuerdosActas/2016/0/2489.web</w:t>
      </w:r>
    </w:p>
    <w:p w14:paraId="574B6305" w14:textId="51AEC919" w:rsidR="00634598" w:rsidRPr="00C61F3A" w:rsidRDefault="00BE170F" w:rsidP="00BE170F">
      <w:pPr>
        <w:spacing w:after="0" w:line="360" w:lineRule="auto"/>
        <w:ind w:left="708" w:right="-28" w:hanging="708"/>
        <w:contextualSpacing/>
        <w:jc w:val="center"/>
        <w:rPr>
          <w:rFonts w:eastAsia="Times New Roman" w:cs="Times New Roman"/>
          <w:color w:val="FF0000"/>
          <w:lang w:eastAsia="es-ES"/>
        </w:rPr>
      </w:pPr>
      <w:r w:rsidRPr="00C61F3A">
        <w:rPr>
          <w:rFonts w:eastAsia="Times New Roman" w:cs="Times New Roman"/>
          <w:noProof/>
          <w:color w:val="FF0000"/>
          <w:lang w:eastAsia="es-MX"/>
        </w:rPr>
        <w:drawing>
          <wp:inline distT="0" distB="0" distL="0" distR="0" wp14:anchorId="3965B347" wp14:editId="1FACAA03">
            <wp:extent cx="5118100" cy="2641600"/>
            <wp:effectExtent l="0" t="0" r="0" b="0"/>
            <wp:docPr id="1363165326"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3165326" name="Imagen 1363165326"/>
                    <pic:cNvPicPr/>
                  </pic:nvPicPr>
                  <pic:blipFill>
                    <a:blip r:embed="rId23">
                      <a:extLst>
                        <a:ext uri="{28A0092B-C50C-407E-A947-70E740481C1C}">
                          <a14:useLocalDpi xmlns:a14="http://schemas.microsoft.com/office/drawing/2010/main" val="0"/>
                        </a:ext>
                      </a:extLst>
                    </a:blip>
                    <a:stretch>
                      <a:fillRect/>
                    </a:stretch>
                  </pic:blipFill>
                  <pic:spPr>
                    <a:xfrm>
                      <a:off x="0" y="0"/>
                      <a:ext cx="5118100" cy="2641600"/>
                    </a:xfrm>
                    <a:prstGeom prst="rect">
                      <a:avLst/>
                    </a:prstGeom>
                  </pic:spPr>
                </pic:pic>
              </a:graphicData>
            </a:graphic>
          </wp:inline>
        </w:drawing>
      </w:r>
    </w:p>
    <w:p w14:paraId="4F5C9500" w14:textId="77777777" w:rsidR="00BE170F" w:rsidRPr="00C61F3A" w:rsidRDefault="00BE170F" w:rsidP="00BE170F">
      <w:pPr>
        <w:spacing w:after="0" w:line="360" w:lineRule="auto"/>
        <w:ind w:left="708" w:right="-28" w:hanging="708"/>
        <w:contextualSpacing/>
        <w:jc w:val="center"/>
        <w:rPr>
          <w:rFonts w:eastAsia="Times New Roman" w:cs="Times New Roman"/>
          <w:color w:val="FF0000"/>
          <w:lang w:eastAsia="es-ES"/>
        </w:rPr>
      </w:pPr>
    </w:p>
    <w:p w14:paraId="1363F489" w14:textId="3C5A1446" w:rsidR="00BE170F" w:rsidRPr="00C61F3A" w:rsidRDefault="00BE170F" w:rsidP="00BE170F">
      <w:pPr>
        <w:spacing w:after="0" w:line="360" w:lineRule="auto"/>
        <w:ind w:left="708" w:right="-28" w:hanging="708"/>
        <w:contextualSpacing/>
        <w:jc w:val="center"/>
        <w:rPr>
          <w:rFonts w:eastAsia="Times New Roman" w:cs="Times New Roman"/>
          <w:color w:val="FF0000"/>
          <w:lang w:eastAsia="es-ES"/>
        </w:rPr>
      </w:pPr>
      <w:r w:rsidRPr="00C61F3A">
        <w:rPr>
          <w:rFonts w:eastAsia="Times New Roman" w:cs="Times New Roman"/>
          <w:noProof/>
          <w:color w:val="FF0000"/>
          <w:lang w:eastAsia="es-MX"/>
        </w:rPr>
        <w:drawing>
          <wp:inline distT="0" distB="0" distL="0" distR="0" wp14:anchorId="66C89546" wp14:editId="5F724FCC">
            <wp:extent cx="5041900" cy="2489200"/>
            <wp:effectExtent l="0" t="0" r="0" b="0"/>
            <wp:docPr id="2051154916"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1154916" name="Imagen 2051154916"/>
                    <pic:cNvPicPr/>
                  </pic:nvPicPr>
                  <pic:blipFill>
                    <a:blip r:embed="rId24">
                      <a:extLst>
                        <a:ext uri="{28A0092B-C50C-407E-A947-70E740481C1C}">
                          <a14:useLocalDpi xmlns:a14="http://schemas.microsoft.com/office/drawing/2010/main" val="0"/>
                        </a:ext>
                      </a:extLst>
                    </a:blip>
                    <a:stretch>
                      <a:fillRect/>
                    </a:stretch>
                  </pic:blipFill>
                  <pic:spPr>
                    <a:xfrm>
                      <a:off x="0" y="0"/>
                      <a:ext cx="5041900" cy="2489200"/>
                    </a:xfrm>
                    <a:prstGeom prst="rect">
                      <a:avLst/>
                    </a:prstGeom>
                  </pic:spPr>
                </pic:pic>
              </a:graphicData>
            </a:graphic>
          </wp:inline>
        </w:drawing>
      </w:r>
    </w:p>
    <w:p w14:paraId="2F26D498" w14:textId="21F90610" w:rsidR="00BE170F" w:rsidRPr="00C61F3A" w:rsidRDefault="005C5A16" w:rsidP="00BE170F">
      <w:pPr>
        <w:spacing w:after="0" w:line="360" w:lineRule="auto"/>
        <w:ind w:left="708" w:right="-28" w:hanging="708"/>
        <w:contextualSpacing/>
        <w:jc w:val="center"/>
        <w:rPr>
          <w:rFonts w:eastAsia="Times New Roman" w:cs="Times New Roman"/>
          <w:color w:val="auto"/>
          <w:lang w:eastAsia="es-ES"/>
        </w:rPr>
      </w:pPr>
      <w:r w:rsidRPr="00C61F3A">
        <w:rPr>
          <w:rFonts w:eastAsia="Times New Roman" w:cs="Times New Roman"/>
          <w:color w:val="auto"/>
          <w:lang w:eastAsia="es-ES"/>
        </w:rPr>
        <w:t>2017:</w:t>
      </w:r>
      <w:r w:rsidRPr="00C61F3A">
        <w:rPr>
          <w:rFonts w:ascii="PalatinoLinotype-Roman" w:hAnsi="PalatinoLinotype-Roman" w:cs="PalatinoLinotype-Roman"/>
          <w:color w:val="0563C2"/>
          <w:sz w:val="24"/>
          <w:szCs w:val="24"/>
        </w:rPr>
        <w:t xml:space="preserve"> https://ipomex2.ipomex.org.mx/ipo/lgt/indice/infoem/sesionesTrans/2017.web</w:t>
      </w:r>
    </w:p>
    <w:p w14:paraId="2E246CA8" w14:textId="77777777" w:rsidR="00BE170F" w:rsidRPr="00C61F3A" w:rsidRDefault="00BE170F" w:rsidP="00BE170F">
      <w:pPr>
        <w:spacing w:after="0" w:line="360" w:lineRule="auto"/>
        <w:ind w:left="708" w:right="-28" w:hanging="708"/>
        <w:contextualSpacing/>
        <w:jc w:val="center"/>
        <w:rPr>
          <w:rFonts w:eastAsia="Times New Roman" w:cs="Times New Roman"/>
          <w:color w:val="FF0000"/>
          <w:lang w:eastAsia="es-ES"/>
        </w:rPr>
      </w:pPr>
      <w:r w:rsidRPr="00C61F3A">
        <w:rPr>
          <w:rFonts w:eastAsia="Times New Roman" w:cs="Times New Roman"/>
          <w:noProof/>
          <w:color w:val="FF0000"/>
          <w:lang w:eastAsia="es-MX"/>
        </w:rPr>
        <w:drawing>
          <wp:inline distT="0" distB="0" distL="0" distR="0" wp14:anchorId="0E2BD2FF" wp14:editId="343C8885">
            <wp:extent cx="5054600" cy="3352800"/>
            <wp:effectExtent l="0" t="0" r="0" b="0"/>
            <wp:docPr id="1275368707"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5368707" name="Imagen 1275368707"/>
                    <pic:cNvPicPr/>
                  </pic:nvPicPr>
                  <pic:blipFill>
                    <a:blip r:embed="rId25">
                      <a:extLst>
                        <a:ext uri="{28A0092B-C50C-407E-A947-70E740481C1C}">
                          <a14:useLocalDpi xmlns:a14="http://schemas.microsoft.com/office/drawing/2010/main" val="0"/>
                        </a:ext>
                      </a:extLst>
                    </a:blip>
                    <a:stretch>
                      <a:fillRect/>
                    </a:stretch>
                  </pic:blipFill>
                  <pic:spPr>
                    <a:xfrm>
                      <a:off x="0" y="0"/>
                      <a:ext cx="5054600" cy="3352800"/>
                    </a:xfrm>
                    <a:prstGeom prst="rect">
                      <a:avLst/>
                    </a:prstGeom>
                  </pic:spPr>
                </pic:pic>
              </a:graphicData>
            </a:graphic>
          </wp:inline>
        </w:drawing>
      </w:r>
    </w:p>
    <w:p w14:paraId="7548E044" w14:textId="2C2DD52E" w:rsidR="005C5A16" w:rsidRPr="00C61F3A" w:rsidRDefault="005C5A16" w:rsidP="00BE170F">
      <w:pPr>
        <w:spacing w:after="0" w:line="360" w:lineRule="auto"/>
        <w:ind w:left="708" w:right="-28" w:hanging="708"/>
        <w:contextualSpacing/>
        <w:jc w:val="center"/>
        <w:rPr>
          <w:rFonts w:eastAsia="Times New Roman" w:cs="Times New Roman"/>
          <w:color w:val="auto"/>
          <w:lang w:eastAsia="es-ES"/>
        </w:rPr>
      </w:pPr>
      <w:r w:rsidRPr="00C61F3A">
        <w:rPr>
          <w:rFonts w:eastAsia="Times New Roman" w:cs="Times New Roman"/>
          <w:color w:val="auto"/>
          <w:lang w:eastAsia="es-ES"/>
        </w:rPr>
        <w:t xml:space="preserve">2018: </w:t>
      </w:r>
      <w:hyperlink r:id="rId26" w:history="1">
        <w:r w:rsidRPr="00C61F3A">
          <w:rPr>
            <w:rStyle w:val="Hipervnculo"/>
            <w:rFonts w:eastAsia="Times New Roman" w:cs="Times New Roman"/>
            <w:lang w:eastAsia="es-ES"/>
          </w:rPr>
          <w:t>https://www.ipomex.org.mx/ipo3/lgt/indice/INFOEM/art_92_xliii_b.web?token=03AFcWeA6BvZuAzBYh9h_1l5GgO_AAsakW1QDY4CO4ioAxoIEwZqdJqL460jL2tVNUnw</w:t>
        </w:r>
        <w:r w:rsidRPr="00C61F3A">
          <w:rPr>
            <w:rStyle w:val="Hipervnculo"/>
            <w:rFonts w:eastAsia="Times New Roman" w:cs="Times New Roman"/>
            <w:lang w:eastAsia="es-ES"/>
          </w:rPr>
          <w:lastRenderedPageBreak/>
          <w:t>z4ZTOlfdIdmdM1-OtvJxeqp2sMl1MdVVOSXqKu4jSbOXN7S4Pl0U470J44z4pBCMV10seIHurg1os7f8vH4_i-7JgY9JJil5Wq_hQURbyKMNRXNRSRGnpzaeohwKdURsxwDNMyT3ci-xWoFEaDRsIH6xwfMuNXl-J0e7G1cSrY7r54NYIjVfajWNE9ua2noHrccruiuEIXjU0Pu2pVNS9H3fwh9jOl3EUTUVm3OSi-49pu-fD6qz1UsVnKKiZupE8s_DXlvseZXbHmru1qh1NE9kkYuRewTYlgj2JZiX5Kb2qUO005P60P3VDdmlQiHIaSwlvb8C05VXl6INYXSBZhRi4hRVlaiALEyvglPPoCpPBfI29UTXBUSg3hqmxM9UZMP_SQSHH6cvvJ3pLoXMslvql3t-ZGqAuUCPUOSstBHvYJ6RF5tRqUwz2BGfYHXMCgMbCm_zEb2TJHQlRsZJdfqEPIKVXuiA0Wldeqcg5LB7utJs3yzy_yYDuaZwDHM2QCzGGxwRq3H1AyY7MPU3eWOCm2d6uBplgNBP9HAQOg6h_gwIgolcn1oR8jr4cIS5hgFc2shwum0U0gVU8IkGUgnofnJGSFaIwoqC-e_f1KwSDwvKSpwPBL-PiuetkLVejfoabqOWoWRwz6xH8nRNyjJO08sFzqkuO79HisXorkge7gZzPz8zG748L8CixNir__TWY7gVOCPBadzHB8Nw0ZLsDARanUJTlNRNkZ5K_b2nZUeSGUQfMDjSVE3I816TLqxvpZCPLYcmMjq-YRllXsNehy6JbEsQ</w:t>
        </w:r>
      </w:hyperlink>
      <w:r w:rsidRPr="00C61F3A">
        <w:rPr>
          <w:rFonts w:eastAsia="Times New Roman" w:cs="Times New Roman"/>
          <w:color w:val="auto"/>
          <w:lang w:eastAsia="es-ES"/>
        </w:rPr>
        <w:t xml:space="preserve"> </w:t>
      </w:r>
    </w:p>
    <w:p w14:paraId="29E27330" w14:textId="77777777" w:rsidR="00BE170F" w:rsidRPr="00C61F3A" w:rsidRDefault="00BE170F" w:rsidP="00BE170F">
      <w:pPr>
        <w:spacing w:after="0" w:line="360" w:lineRule="auto"/>
        <w:ind w:left="708" w:right="-28" w:hanging="708"/>
        <w:contextualSpacing/>
        <w:jc w:val="center"/>
        <w:rPr>
          <w:rFonts w:eastAsia="Times New Roman" w:cs="Times New Roman"/>
          <w:color w:val="FF0000"/>
          <w:lang w:eastAsia="es-ES"/>
        </w:rPr>
      </w:pPr>
      <w:r w:rsidRPr="00C61F3A">
        <w:rPr>
          <w:rFonts w:eastAsia="Times New Roman" w:cs="Times New Roman"/>
          <w:noProof/>
          <w:color w:val="FF0000"/>
          <w:lang w:eastAsia="es-MX"/>
        </w:rPr>
        <w:drawing>
          <wp:inline distT="0" distB="0" distL="0" distR="0" wp14:anchorId="3893894B" wp14:editId="0761747D">
            <wp:extent cx="3971925" cy="2672872"/>
            <wp:effectExtent l="0" t="0" r="0" b="0"/>
            <wp:docPr id="286050887"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050887" name="Imagen 286050887"/>
                    <pic:cNvPicPr/>
                  </pic:nvPicPr>
                  <pic:blipFill>
                    <a:blip r:embed="rId27">
                      <a:extLst>
                        <a:ext uri="{28A0092B-C50C-407E-A947-70E740481C1C}">
                          <a14:useLocalDpi xmlns:a14="http://schemas.microsoft.com/office/drawing/2010/main" val="0"/>
                        </a:ext>
                      </a:extLst>
                    </a:blip>
                    <a:stretch>
                      <a:fillRect/>
                    </a:stretch>
                  </pic:blipFill>
                  <pic:spPr>
                    <a:xfrm>
                      <a:off x="0" y="0"/>
                      <a:ext cx="4001983" cy="2693099"/>
                    </a:xfrm>
                    <a:prstGeom prst="rect">
                      <a:avLst/>
                    </a:prstGeom>
                  </pic:spPr>
                </pic:pic>
              </a:graphicData>
            </a:graphic>
          </wp:inline>
        </w:drawing>
      </w:r>
    </w:p>
    <w:p w14:paraId="4705BE60" w14:textId="36436F31" w:rsidR="00BE170F" w:rsidRPr="00C61F3A" w:rsidRDefault="005C5A16" w:rsidP="00BE170F">
      <w:pPr>
        <w:spacing w:after="0" w:line="360" w:lineRule="auto"/>
        <w:ind w:left="708" w:right="-28" w:hanging="708"/>
        <w:contextualSpacing/>
        <w:jc w:val="center"/>
        <w:rPr>
          <w:rFonts w:eastAsia="Times New Roman" w:cs="Times New Roman"/>
          <w:color w:val="FF0000"/>
          <w:lang w:eastAsia="es-ES"/>
        </w:rPr>
      </w:pPr>
      <w:r w:rsidRPr="00C61F3A">
        <w:rPr>
          <w:rFonts w:eastAsia="Times New Roman" w:cs="Times New Roman"/>
          <w:color w:val="auto"/>
          <w:lang w:eastAsia="es-ES"/>
        </w:rPr>
        <w:lastRenderedPageBreak/>
        <w:t xml:space="preserve">2019: </w:t>
      </w:r>
      <w:hyperlink r:id="rId28" w:anchor="/info-fraccion/67/1/1" w:history="1">
        <w:r w:rsidRPr="00C61F3A">
          <w:rPr>
            <w:rStyle w:val="Hipervnculo"/>
            <w:rFonts w:ascii="PalatinoLinotype-Roman" w:hAnsi="PalatinoLinotype-Roman" w:cs="PalatinoLinotype-Roman"/>
            <w:sz w:val="24"/>
            <w:szCs w:val="24"/>
          </w:rPr>
          <w:t>https://infoem2.ipomex.org.mx/ipomex/#/info-fraccion/67/1/1</w:t>
        </w:r>
      </w:hyperlink>
      <w:r w:rsidRPr="00C61F3A">
        <w:rPr>
          <w:rFonts w:ascii="PalatinoLinotype-Roman" w:hAnsi="PalatinoLinotype-Roman" w:cs="PalatinoLinotype-Roman"/>
          <w:color w:val="0563C2"/>
          <w:sz w:val="24"/>
          <w:szCs w:val="24"/>
        </w:rPr>
        <w:t xml:space="preserve"> </w:t>
      </w:r>
    </w:p>
    <w:p w14:paraId="3558463A" w14:textId="6F69C05E" w:rsidR="00AC67FF" w:rsidRPr="00C61F3A" w:rsidRDefault="00BE170F" w:rsidP="00BE170F">
      <w:pPr>
        <w:spacing w:after="0" w:line="360" w:lineRule="auto"/>
        <w:ind w:left="708" w:right="-28" w:hanging="708"/>
        <w:contextualSpacing/>
        <w:jc w:val="center"/>
        <w:rPr>
          <w:rFonts w:eastAsia="Times New Roman" w:cs="Times New Roman"/>
          <w:color w:val="FF0000"/>
          <w:lang w:eastAsia="es-ES"/>
        </w:rPr>
      </w:pPr>
      <w:r w:rsidRPr="00C61F3A">
        <w:rPr>
          <w:rFonts w:eastAsia="Times New Roman" w:cs="Times New Roman"/>
          <w:noProof/>
          <w:color w:val="FF0000"/>
          <w:lang w:eastAsia="es-MX"/>
        </w:rPr>
        <w:drawing>
          <wp:inline distT="0" distB="0" distL="0" distR="0" wp14:anchorId="1A3096F7" wp14:editId="1E593105">
            <wp:extent cx="5791835" cy="1809115"/>
            <wp:effectExtent l="0" t="0" r="0" b="0"/>
            <wp:docPr id="13862907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629076" name="Imagen 138629076"/>
                    <pic:cNvPicPr/>
                  </pic:nvPicPr>
                  <pic:blipFill>
                    <a:blip r:embed="rId29">
                      <a:extLst>
                        <a:ext uri="{28A0092B-C50C-407E-A947-70E740481C1C}">
                          <a14:useLocalDpi xmlns:a14="http://schemas.microsoft.com/office/drawing/2010/main" val="0"/>
                        </a:ext>
                      </a:extLst>
                    </a:blip>
                    <a:stretch>
                      <a:fillRect/>
                    </a:stretch>
                  </pic:blipFill>
                  <pic:spPr>
                    <a:xfrm>
                      <a:off x="0" y="0"/>
                      <a:ext cx="5791835" cy="1809115"/>
                    </a:xfrm>
                    <a:prstGeom prst="rect">
                      <a:avLst/>
                    </a:prstGeom>
                  </pic:spPr>
                </pic:pic>
              </a:graphicData>
            </a:graphic>
          </wp:inline>
        </w:drawing>
      </w:r>
    </w:p>
    <w:p w14:paraId="4BF21EC0" w14:textId="74732F1B" w:rsidR="00F43923" w:rsidRPr="00C61F3A" w:rsidRDefault="00F43923" w:rsidP="00BE170F">
      <w:pPr>
        <w:spacing w:after="0" w:line="360" w:lineRule="auto"/>
        <w:ind w:left="708" w:right="-28" w:hanging="708"/>
        <w:contextualSpacing/>
        <w:jc w:val="center"/>
        <w:rPr>
          <w:rFonts w:eastAsia="Times New Roman" w:cs="Times New Roman"/>
          <w:noProof/>
          <w:color w:val="FF0000"/>
          <w:lang w:eastAsia="es-ES"/>
        </w:rPr>
      </w:pPr>
    </w:p>
    <w:p w14:paraId="7DE22D99" w14:textId="7F30ABF9" w:rsidR="00634598" w:rsidRPr="00C61F3A" w:rsidRDefault="00BE170F" w:rsidP="00BE170F">
      <w:pPr>
        <w:spacing w:after="0" w:line="360" w:lineRule="auto"/>
        <w:ind w:right="-28"/>
        <w:contextualSpacing/>
        <w:rPr>
          <w:rFonts w:eastAsia="Times New Roman" w:cs="Times New Roman"/>
          <w:noProof/>
          <w:lang w:eastAsia="es-ES"/>
        </w:rPr>
      </w:pPr>
      <w:r w:rsidRPr="00C61F3A">
        <w:rPr>
          <w:rFonts w:eastAsia="Times New Roman" w:cs="Times New Roman"/>
          <w:noProof/>
          <w:lang w:eastAsia="es-ES"/>
        </w:rPr>
        <w:t>Además, la Unidad de Transparencia señaló los pasos para acceder a cada una de las Actas del Comité de Información, ahora Comité de Transparencia, de cada uno de los años solicitados, es decir, indicó el procedimiento para acceder a cada una de las Resoluciones de dicho Órgano Colegiado; por lo que, este Instituto revisó los registros localizados en las ligas, mediante los pasos establecidos por el área competente y logra advertir que se localizan los vínculos que dan acceso a la información requerida.</w:t>
      </w:r>
    </w:p>
    <w:p w14:paraId="39EF5857" w14:textId="77777777" w:rsidR="005C5A16" w:rsidRPr="00C61F3A" w:rsidRDefault="005C5A16" w:rsidP="00BE170F">
      <w:pPr>
        <w:spacing w:after="0" w:line="360" w:lineRule="auto"/>
        <w:ind w:right="-28"/>
        <w:contextualSpacing/>
        <w:rPr>
          <w:rFonts w:eastAsia="Times New Roman" w:cs="Times New Roman"/>
          <w:noProof/>
          <w:lang w:eastAsia="es-ES"/>
        </w:rPr>
      </w:pPr>
    </w:p>
    <w:p w14:paraId="7E3C41CD" w14:textId="77777777" w:rsidR="00BE170F" w:rsidRPr="00C61F3A" w:rsidRDefault="00BE170F" w:rsidP="00BE170F">
      <w:pPr>
        <w:spacing w:after="0" w:line="360" w:lineRule="auto"/>
        <w:ind w:right="-28"/>
        <w:contextualSpacing/>
        <w:rPr>
          <w:color w:val="auto"/>
          <w:lang w:val="es-ES"/>
        </w:rPr>
      </w:pPr>
      <w:r w:rsidRPr="00C61F3A">
        <w:rPr>
          <w:rFonts w:eastAsia="Times New Roman" w:cs="Times New Roman"/>
          <w:noProof/>
          <w:lang w:eastAsia="es-ES"/>
        </w:rPr>
        <w:t>En otras palabras, se logra vislumbrar que el Sujeto Obligado proporcionó la fuente, el lugar y la forma de acceder a la información peticionada, consistente a las Actas y Resoluciones emitidas por el Comité de Información o Comité de Transparencia, del primero de enero de dos mil quince al treinta de septiembre de dos mil veinticuatro</w:t>
      </w:r>
      <w:r w:rsidR="00F43923" w:rsidRPr="00C61F3A">
        <w:rPr>
          <w:rFonts w:eastAsia="Calibri" w:cs="Tahoma"/>
          <w:bCs/>
          <w:color w:val="auto"/>
          <w:lang w:val="es-ES"/>
        </w:rPr>
        <w:t xml:space="preserve">, </w:t>
      </w:r>
      <w:r w:rsidR="00027765" w:rsidRPr="00C61F3A">
        <w:rPr>
          <w:rFonts w:eastAsia="Calibri" w:cs="Tahoma"/>
          <w:bCs/>
          <w:color w:val="auto"/>
          <w:lang w:val="es-ES"/>
        </w:rPr>
        <w:t>por lo tanto, cumplió con lo establecido en el artículo 161 de la Ley de Transparencia y Acceso a la Información Pública del Estado de México y Municipios.</w:t>
      </w:r>
    </w:p>
    <w:p w14:paraId="0E9C2B7F" w14:textId="77777777" w:rsidR="00BE170F" w:rsidRPr="00C61F3A" w:rsidRDefault="00BE170F" w:rsidP="00BE170F">
      <w:pPr>
        <w:spacing w:after="0" w:line="360" w:lineRule="auto"/>
        <w:ind w:right="-28"/>
        <w:contextualSpacing/>
        <w:rPr>
          <w:color w:val="auto"/>
          <w:lang w:val="es-ES"/>
        </w:rPr>
      </w:pPr>
    </w:p>
    <w:p w14:paraId="7161DCA1" w14:textId="04BC7607" w:rsidR="00720572" w:rsidRPr="00C61F3A" w:rsidRDefault="00BE170F" w:rsidP="00BE170F">
      <w:pPr>
        <w:spacing w:after="0" w:line="360" w:lineRule="auto"/>
        <w:ind w:right="-28"/>
        <w:contextualSpacing/>
        <w:rPr>
          <w:rFonts w:eastAsia="Times New Roman" w:cs="Tahoma"/>
          <w:color w:val="auto"/>
          <w:lang w:eastAsia="es-ES"/>
        </w:rPr>
      </w:pPr>
      <w:r w:rsidRPr="00C61F3A">
        <w:rPr>
          <w:color w:val="auto"/>
          <w:lang w:val="es-ES"/>
        </w:rPr>
        <w:t xml:space="preserve">Así, toda vez que desde respuesta se le </w:t>
      </w:r>
      <w:r w:rsidR="00720572" w:rsidRPr="00C61F3A">
        <w:rPr>
          <w:color w:val="auto"/>
          <w:lang w:val="es-ES"/>
        </w:rPr>
        <w:t>entregó</w:t>
      </w:r>
      <w:r w:rsidRPr="00C61F3A">
        <w:rPr>
          <w:color w:val="auto"/>
          <w:lang w:val="es-ES"/>
        </w:rPr>
        <w:t xml:space="preserve"> el lugar, la fuente y la forma de acceder</w:t>
      </w:r>
      <w:r w:rsidR="003066DB" w:rsidRPr="00C61F3A">
        <w:rPr>
          <w:color w:val="auto"/>
        </w:rPr>
        <w:t xml:space="preserve"> </w:t>
      </w:r>
      <w:r w:rsidR="00634598" w:rsidRPr="00C61F3A">
        <w:rPr>
          <w:color w:val="auto"/>
        </w:rPr>
        <w:t xml:space="preserve">las actas de </w:t>
      </w:r>
      <w:r w:rsidR="00634598" w:rsidRPr="00C61F3A">
        <w:rPr>
          <w:rFonts w:cs="Tahoma"/>
          <w:color w:val="auto"/>
        </w:rPr>
        <w:t>las resoluciones del Comité de</w:t>
      </w:r>
      <w:r w:rsidRPr="00C61F3A">
        <w:rPr>
          <w:rFonts w:cs="Tahoma"/>
          <w:color w:val="auto"/>
        </w:rPr>
        <w:t xml:space="preserve"> Información o de</w:t>
      </w:r>
      <w:r w:rsidR="00634598" w:rsidRPr="00C61F3A">
        <w:rPr>
          <w:rFonts w:cs="Tahoma"/>
          <w:color w:val="auto"/>
        </w:rPr>
        <w:t xml:space="preserve"> Transparencia</w:t>
      </w:r>
      <w:r w:rsidRPr="00C61F3A">
        <w:rPr>
          <w:rFonts w:cs="Tahoma"/>
          <w:color w:val="auto"/>
        </w:rPr>
        <w:t>,</w:t>
      </w:r>
      <w:r w:rsidR="00634598" w:rsidRPr="00C61F3A">
        <w:rPr>
          <w:rFonts w:cs="Tahoma"/>
          <w:color w:val="auto"/>
        </w:rPr>
        <w:t xml:space="preserve"> del primero de enero de dos mil quince </w:t>
      </w:r>
      <w:r w:rsidRPr="00C61F3A">
        <w:rPr>
          <w:rFonts w:cs="Tahoma"/>
          <w:color w:val="auto"/>
        </w:rPr>
        <w:t>al treinta de septiemb</w:t>
      </w:r>
      <w:r w:rsidR="00984311" w:rsidRPr="00C61F3A">
        <w:rPr>
          <w:rFonts w:cs="Tahoma"/>
          <w:color w:val="auto"/>
        </w:rPr>
        <w:t>r</w:t>
      </w:r>
      <w:r w:rsidRPr="00C61F3A">
        <w:rPr>
          <w:rFonts w:cs="Tahoma"/>
          <w:color w:val="auto"/>
        </w:rPr>
        <w:t>e de dos mil veinticuatro</w:t>
      </w:r>
      <w:r w:rsidR="00F43923" w:rsidRPr="00C61F3A">
        <w:rPr>
          <w:rFonts w:eastAsia="Times New Roman" w:cs="Tahoma"/>
          <w:color w:val="auto"/>
          <w:lang w:eastAsia="es-ES"/>
        </w:rPr>
        <w:t xml:space="preserve">, agravio </w:t>
      </w:r>
      <w:r w:rsidRPr="00C61F3A">
        <w:rPr>
          <w:rFonts w:eastAsia="Times New Roman" w:cs="Tahoma"/>
          <w:color w:val="auto"/>
          <w:lang w:eastAsia="es-ES"/>
        </w:rPr>
        <w:t xml:space="preserve">deviene de </w:t>
      </w:r>
      <w:r w:rsidR="00F43923" w:rsidRPr="00C61F3A">
        <w:rPr>
          <w:rFonts w:eastAsia="Times New Roman" w:cs="Tahoma"/>
          <w:b/>
          <w:bCs/>
          <w:color w:val="auto"/>
          <w:lang w:eastAsia="es-ES"/>
        </w:rPr>
        <w:t>INFUNDADO.</w:t>
      </w:r>
      <w:r w:rsidR="00F43923" w:rsidRPr="00C61F3A">
        <w:rPr>
          <w:rFonts w:eastAsia="Times New Roman" w:cs="Tahoma"/>
          <w:color w:val="auto"/>
          <w:lang w:eastAsia="es-ES"/>
        </w:rPr>
        <w:t xml:space="preserve"> </w:t>
      </w:r>
    </w:p>
    <w:p w14:paraId="1E563C4E" w14:textId="7EF52FA1" w:rsidR="00BE170F" w:rsidRPr="00C61F3A" w:rsidRDefault="004E45D6" w:rsidP="00BE170F">
      <w:pPr>
        <w:spacing w:after="0" w:line="360" w:lineRule="auto"/>
        <w:contextualSpacing/>
        <w:rPr>
          <w:rFonts w:cs="Tahoma"/>
          <w:color w:val="auto"/>
        </w:rPr>
      </w:pPr>
      <w:r w:rsidRPr="00C61F3A">
        <w:rPr>
          <w:rFonts w:cs="Tahoma"/>
          <w:color w:val="auto"/>
        </w:rPr>
        <w:lastRenderedPageBreak/>
        <w:t xml:space="preserve">Por otra parte, es importante mencionar que si bien el artículo 161 de la Ley de Transparencia y Acceso a la Información Pública del Estado de México y Municipios, establece que cuando la información requerida por el solicitante ya esté disponible al público en medios </w:t>
      </w:r>
      <w:r w:rsidR="00BE170F" w:rsidRPr="00C61F3A">
        <w:rPr>
          <w:rFonts w:cs="Tahoma"/>
          <w:color w:val="auto"/>
        </w:rPr>
        <w:t>digitales</w:t>
      </w:r>
      <w:r w:rsidRPr="00C61F3A">
        <w:rPr>
          <w:rFonts w:cs="Tahoma"/>
          <w:color w:val="auto"/>
        </w:rPr>
        <w:t>, se le hará saber por el medio requerido la fuente, el lugar y la forma en que puede consultar, reproducir o adquirir dicha información en un plazo no mayor a cinco días hábiles</w:t>
      </w:r>
      <w:r w:rsidR="00BE170F" w:rsidRPr="00C61F3A">
        <w:rPr>
          <w:rFonts w:cs="Tahoma"/>
          <w:color w:val="auto"/>
        </w:rPr>
        <w:t>; lo</w:t>
      </w:r>
      <w:r w:rsidRPr="00C61F3A">
        <w:rPr>
          <w:rFonts w:cs="Tahoma"/>
          <w:color w:val="auto"/>
        </w:rPr>
        <w:t xml:space="preserve"> cierto</w:t>
      </w:r>
      <w:r w:rsidR="00BE170F" w:rsidRPr="00C61F3A">
        <w:rPr>
          <w:rFonts w:cs="Tahoma"/>
          <w:color w:val="auto"/>
        </w:rPr>
        <w:t xml:space="preserve"> </w:t>
      </w:r>
      <w:r w:rsidRPr="00C61F3A">
        <w:rPr>
          <w:rFonts w:cs="Tahoma"/>
          <w:color w:val="auto"/>
        </w:rPr>
        <w:t>es que</w:t>
      </w:r>
      <w:r w:rsidR="00BE170F" w:rsidRPr="00C61F3A">
        <w:rPr>
          <w:rFonts w:cs="Tahoma"/>
          <w:color w:val="auto"/>
        </w:rPr>
        <w:t>,</w:t>
      </w:r>
      <w:r w:rsidRPr="00C61F3A">
        <w:rPr>
          <w:rFonts w:cs="Tahoma"/>
          <w:color w:val="auto"/>
        </w:rPr>
        <w:t xml:space="preserve"> </w:t>
      </w:r>
      <w:r w:rsidR="00BE170F" w:rsidRPr="00C61F3A">
        <w:rPr>
          <w:rFonts w:cs="Tahoma"/>
          <w:color w:val="auto"/>
        </w:rPr>
        <w:t>en el presente caso, solicitó otra información que fue necesaria su búsqueda y elaboración de versiones públicas, de ahí la necesidad de solicitar una prórroga.</w:t>
      </w:r>
      <w:r w:rsidR="005C5A16" w:rsidRPr="00C61F3A">
        <w:rPr>
          <w:rFonts w:cs="Tahoma"/>
          <w:color w:val="auto"/>
        </w:rPr>
        <w:t xml:space="preserve"> </w:t>
      </w:r>
      <w:r w:rsidR="00BE170F" w:rsidRPr="00C61F3A">
        <w:rPr>
          <w:rFonts w:cs="Tahoma"/>
          <w:color w:val="auto"/>
        </w:rPr>
        <w:t>De tal suerte, que si bien el Sujeto Obligado no atendió el requerimiento de información, dentro de los cinco días hábiles, lo cierto es que se solicitó información diversa, que no corresponde a las obligaciones de transparencia y que fue necesario localizar la información y testarla al contener datos personales; por lo que, el actuar del Ente Recurrido fue correcto.</w:t>
      </w:r>
    </w:p>
    <w:p w14:paraId="02D1DD2C" w14:textId="77777777" w:rsidR="004E45D6" w:rsidRPr="00C61F3A" w:rsidRDefault="004E45D6" w:rsidP="00BE170F">
      <w:pPr>
        <w:spacing w:after="0" w:line="360" w:lineRule="auto"/>
        <w:ind w:right="-28"/>
        <w:contextualSpacing/>
        <w:rPr>
          <w:rFonts w:eastAsia="Calibri" w:cs="Tahoma"/>
          <w:bCs/>
          <w:iCs/>
          <w:color w:val="auto"/>
        </w:rPr>
      </w:pPr>
    </w:p>
    <w:p w14:paraId="0D303B12" w14:textId="462D7A71" w:rsidR="00F43923" w:rsidRPr="00C61F3A" w:rsidRDefault="00F43923" w:rsidP="00BE170F">
      <w:pPr>
        <w:spacing w:after="0" w:line="360" w:lineRule="auto"/>
        <w:contextualSpacing/>
        <w:rPr>
          <w:rFonts w:eastAsia="Calibri" w:cs="Tahoma"/>
          <w:b/>
          <w:color w:val="auto"/>
        </w:rPr>
      </w:pPr>
      <w:r w:rsidRPr="00C61F3A">
        <w:rPr>
          <w:rFonts w:eastAsia="Calibri" w:cs="Tahoma"/>
          <w:b/>
          <w:color w:val="auto"/>
        </w:rPr>
        <w:t>SEXTO. Decisión</w:t>
      </w:r>
    </w:p>
    <w:p w14:paraId="0E56C7AE" w14:textId="77777777" w:rsidR="00F43923" w:rsidRPr="00C61F3A" w:rsidRDefault="00F43923" w:rsidP="00BE170F">
      <w:pPr>
        <w:spacing w:after="0" w:line="360" w:lineRule="auto"/>
        <w:contextualSpacing/>
        <w:rPr>
          <w:rFonts w:eastAsia="Calibri" w:cs="Tahoma"/>
          <w:b/>
          <w:color w:val="auto"/>
        </w:rPr>
      </w:pPr>
    </w:p>
    <w:p w14:paraId="32372325" w14:textId="77777777" w:rsidR="00F43923" w:rsidRPr="00C61F3A" w:rsidRDefault="00F43923" w:rsidP="00BE170F">
      <w:pPr>
        <w:spacing w:after="0" w:line="360" w:lineRule="auto"/>
        <w:contextualSpacing/>
        <w:rPr>
          <w:rFonts w:cs="Tahoma"/>
          <w:color w:val="auto"/>
        </w:rPr>
      </w:pPr>
      <w:r w:rsidRPr="00C61F3A">
        <w:rPr>
          <w:rFonts w:cs="Tahoma"/>
          <w:color w:val="auto"/>
        </w:rPr>
        <w:t xml:space="preserve">Con fundamento en el artículo 186, fracción II, de la Ley de Transparencia y Acceso a la Información Pública del Estado de México y Municipios, este Instituto considera procedente </w:t>
      </w:r>
      <w:r w:rsidRPr="00C61F3A">
        <w:rPr>
          <w:rFonts w:cs="Tahoma"/>
          <w:b/>
          <w:color w:val="auto"/>
        </w:rPr>
        <w:t xml:space="preserve">CONFIRMAR </w:t>
      </w:r>
      <w:r w:rsidRPr="00C61F3A">
        <w:rPr>
          <w:rFonts w:cs="Tahoma"/>
          <w:color w:val="auto"/>
        </w:rPr>
        <w:t xml:space="preserve">la respuesta otorgada por el Sujeto Obligado. </w:t>
      </w:r>
    </w:p>
    <w:p w14:paraId="5410304B" w14:textId="77777777" w:rsidR="007D4551" w:rsidRPr="00C61F3A" w:rsidRDefault="007D4551" w:rsidP="00BE170F">
      <w:pPr>
        <w:spacing w:after="0" w:line="360" w:lineRule="auto"/>
        <w:ind w:right="-28"/>
        <w:rPr>
          <w:rFonts w:eastAsia="Times New Roman" w:cs="Tahoma"/>
          <w:bCs/>
          <w:color w:val="FF0000"/>
          <w:szCs w:val="24"/>
          <w:lang w:eastAsia="es-ES"/>
        </w:rPr>
      </w:pPr>
    </w:p>
    <w:p w14:paraId="0C197E19" w14:textId="0DC031BB" w:rsidR="007D4551" w:rsidRPr="00C61F3A" w:rsidRDefault="007D4551" w:rsidP="00BE170F">
      <w:pPr>
        <w:spacing w:after="0" w:line="360" w:lineRule="auto"/>
        <w:ind w:right="-28"/>
        <w:rPr>
          <w:rFonts w:eastAsia="Times New Roman" w:cs="Tahoma"/>
          <w:b/>
          <w:bCs/>
          <w:iCs/>
          <w:color w:val="auto"/>
          <w:szCs w:val="24"/>
          <w:lang w:eastAsia="es-ES"/>
        </w:rPr>
      </w:pPr>
      <w:r w:rsidRPr="00C61F3A">
        <w:rPr>
          <w:rFonts w:eastAsia="Times New Roman" w:cs="Tahoma"/>
          <w:b/>
          <w:bCs/>
          <w:iCs/>
          <w:color w:val="auto"/>
          <w:szCs w:val="24"/>
          <w:lang w:eastAsia="es-ES"/>
        </w:rPr>
        <w:t>Términos de la Resolución p</w:t>
      </w:r>
      <w:r w:rsidR="00622459" w:rsidRPr="00C61F3A">
        <w:rPr>
          <w:rFonts w:eastAsia="Times New Roman" w:cs="Tahoma"/>
          <w:b/>
          <w:bCs/>
          <w:iCs/>
          <w:color w:val="auto"/>
          <w:szCs w:val="24"/>
          <w:lang w:eastAsia="es-ES"/>
        </w:rPr>
        <w:t>ara conocimiento del Particular</w:t>
      </w:r>
    </w:p>
    <w:p w14:paraId="4907382F" w14:textId="77777777" w:rsidR="007D4551" w:rsidRPr="00C61F3A" w:rsidRDefault="007D4551" w:rsidP="00BE170F">
      <w:pPr>
        <w:spacing w:after="0" w:line="360" w:lineRule="auto"/>
        <w:ind w:right="-28"/>
        <w:rPr>
          <w:rFonts w:eastAsia="Times New Roman" w:cs="Tahoma"/>
          <w:bCs/>
          <w:iCs/>
          <w:color w:val="auto"/>
          <w:szCs w:val="24"/>
          <w:lang w:eastAsia="es-ES"/>
        </w:rPr>
      </w:pPr>
    </w:p>
    <w:p w14:paraId="17E36B90" w14:textId="08468804" w:rsidR="00F43923" w:rsidRPr="00C61F3A" w:rsidRDefault="00F43923" w:rsidP="00BE170F">
      <w:pPr>
        <w:widowControl w:val="0"/>
        <w:spacing w:after="0" w:line="360" w:lineRule="auto"/>
        <w:contextualSpacing/>
        <w:rPr>
          <w:rFonts w:eastAsia="Calibri" w:cs="Tahoma"/>
          <w:bCs/>
          <w:iCs/>
          <w:color w:val="FF0000"/>
        </w:rPr>
      </w:pPr>
      <w:r w:rsidRPr="00C61F3A">
        <w:rPr>
          <w:rFonts w:eastAsia="Calibri" w:cs="Tahoma"/>
          <w:bCs/>
          <w:iCs/>
          <w:color w:val="auto"/>
        </w:rPr>
        <w:t>Se le hace del conocimiento al Particular, que, en el presente caso, no se le concede la razón pues el Sujeto Obligado entregó la</w:t>
      </w:r>
      <w:r w:rsidR="002A6A13" w:rsidRPr="00C61F3A">
        <w:rPr>
          <w:rFonts w:eastAsia="Calibri" w:cs="Tahoma"/>
          <w:bCs/>
          <w:iCs/>
          <w:color w:val="auto"/>
        </w:rPr>
        <w:t>s</w:t>
      </w:r>
      <w:r w:rsidRPr="00C61F3A">
        <w:rPr>
          <w:rFonts w:eastAsia="Calibri" w:cs="Tahoma"/>
          <w:bCs/>
          <w:iCs/>
          <w:color w:val="auto"/>
        </w:rPr>
        <w:t xml:space="preserve"> liga</w:t>
      </w:r>
      <w:r w:rsidR="002A6A13" w:rsidRPr="00C61F3A">
        <w:rPr>
          <w:rFonts w:eastAsia="Calibri" w:cs="Tahoma"/>
          <w:bCs/>
          <w:iCs/>
          <w:color w:val="auto"/>
        </w:rPr>
        <w:t>s</w:t>
      </w:r>
      <w:r w:rsidRPr="00C61F3A">
        <w:rPr>
          <w:rFonts w:eastAsia="Calibri" w:cs="Tahoma"/>
          <w:bCs/>
          <w:iCs/>
          <w:color w:val="auto"/>
        </w:rPr>
        <w:t xml:space="preserve"> correcta</w:t>
      </w:r>
      <w:r w:rsidR="002A6A13" w:rsidRPr="00C61F3A">
        <w:rPr>
          <w:rFonts w:eastAsia="Calibri" w:cs="Tahoma"/>
          <w:bCs/>
          <w:iCs/>
          <w:color w:val="auto"/>
        </w:rPr>
        <w:t>s</w:t>
      </w:r>
      <w:r w:rsidRPr="00C61F3A">
        <w:rPr>
          <w:rFonts w:eastAsia="Calibri" w:cs="Tahoma"/>
          <w:bCs/>
          <w:iCs/>
          <w:color w:val="auto"/>
        </w:rPr>
        <w:t xml:space="preserve"> para acceder </w:t>
      </w:r>
      <w:r w:rsidR="002A6A13" w:rsidRPr="00C61F3A">
        <w:rPr>
          <w:rFonts w:eastAsia="Calibri" w:cs="Tahoma"/>
          <w:bCs/>
          <w:iCs/>
          <w:color w:val="auto"/>
        </w:rPr>
        <w:t>a los</w:t>
      </w:r>
      <w:r w:rsidRPr="00C61F3A">
        <w:rPr>
          <w:rFonts w:eastAsia="Calibri" w:cs="Tahoma"/>
          <w:bCs/>
          <w:iCs/>
          <w:color w:val="auto"/>
        </w:rPr>
        <w:t xml:space="preserve"> documento</w:t>
      </w:r>
      <w:r w:rsidR="002A6A13" w:rsidRPr="00C61F3A">
        <w:rPr>
          <w:rFonts w:eastAsia="Calibri" w:cs="Tahoma"/>
          <w:bCs/>
          <w:iCs/>
          <w:color w:val="auto"/>
        </w:rPr>
        <w:t>s</w:t>
      </w:r>
      <w:r w:rsidRPr="00C61F3A">
        <w:rPr>
          <w:rFonts w:eastAsia="Calibri" w:cs="Tahoma"/>
          <w:bCs/>
          <w:iCs/>
          <w:color w:val="auto"/>
        </w:rPr>
        <w:t xml:space="preserve"> requerido</w:t>
      </w:r>
      <w:r w:rsidR="002A6A13" w:rsidRPr="00C61F3A">
        <w:rPr>
          <w:rFonts w:eastAsia="Calibri" w:cs="Tahoma"/>
          <w:bCs/>
          <w:iCs/>
          <w:color w:val="auto"/>
        </w:rPr>
        <w:t>s</w:t>
      </w:r>
      <w:r w:rsidR="005C5A16" w:rsidRPr="00C61F3A">
        <w:rPr>
          <w:rFonts w:eastAsia="Calibri" w:cs="Tahoma"/>
          <w:bCs/>
          <w:iCs/>
          <w:color w:val="auto"/>
        </w:rPr>
        <w:t>.</w:t>
      </w:r>
      <w:r w:rsidR="002A6A13" w:rsidRPr="00C61F3A">
        <w:rPr>
          <w:rFonts w:eastAsia="Calibri" w:cs="Tahoma"/>
          <w:bCs/>
          <w:iCs/>
          <w:color w:val="FF0000"/>
        </w:rPr>
        <w:t xml:space="preserve"> </w:t>
      </w:r>
      <w:r w:rsidR="005C5A16" w:rsidRPr="00C61F3A">
        <w:rPr>
          <w:rFonts w:eastAsia="Calibri" w:cs="Tahoma"/>
          <w:bCs/>
          <w:iCs/>
          <w:color w:val="auto"/>
        </w:rPr>
        <w:t>L</w:t>
      </w:r>
      <w:r w:rsidRPr="00C61F3A">
        <w:rPr>
          <w:rFonts w:eastAsia="Calibri" w:cs="Tahoma"/>
          <w:bCs/>
          <w:iCs/>
          <w:color w:val="auto"/>
        </w:rPr>
        <w:t>a labor de este Instituto de Transparencia, Acceso a la Información Pública y Protección de Datos Personales del Estado de México y Municipios, es apoyar a la población a acceder a la información pública y garantizar la protección de los datos personales.</w:t>
      </w:r>
    </w:p>
    <w:p w14:paraId="0D3DD364" w14:textId="77777777" w:rsidR="00F43923" w:rsidRPr="00C61F3A" w:rsidRDefault="00F43923" w:rsidP="00BE170F">
      <w:pPr>
        <w:spacing w:after="0" w:line="360" w:lineRule="auto"/>
        <w:rPr>
          <w:color w:val="FF0000"/>
        </w:rPr>
      </w:pPr>
    </w:p>
    <w:p w14:paraId="4D618069" w14:textId="48985390" w:rsidR="00DE1184" w:rsidRPr="00C61F3A" w:rsidRDefault="007D4551" w:rsidP="00BE170F">
      <w:pPr>
        <w:spacing w:after="0" w:line="360" w:lineRule="auto"/>
        <w:rPr>
          <w:rFonts w:eastAsia="Calibri" w:cs="Tahoma"/>
          <w:bCs/>
          <w:color w:val="auto"/>
        </w:rPr>
      </w:pPr>
      <w:r w:rsidRPr="00C61F3A">
        <w:rPr>
          <w:color w:val="auto"/>
        </w:rPr>
        <w:lastRenderedPageBreak/>
        <w:t>Por</w:t>
      </w:r>
      <w:r w:rsidRPr="00C61F3A">
        <w:rPr>
          <w:rFonts w:eastAsia="Calibri" w:cs="Tahoma"/>
          <w:bCs/>
          <w:color w:val="auto"/>
        </w:rPr>
        <w:t xml:space="preserve"> lo expuesto y fundado, este Pleno:</w:t>
      </w:r>
    </w:p>
    <w:p w14:paraId="308810E4" w14:textId="77777777" w:rsidR="00DE1184" w:rsidRPr="00C61F3A" w:rsidRDefault="00DE1184" w:rsidP="00BE170F">
      <w:pPr>
        <w:spacing w:after="0" w:line="360" w:lineRule="auto"/>
        <w:rPr>
          <w:rFonts w:eastAsia="Calibri" w:cs="Tahoma"/>
          <w:bCs/>
          <w:color w:val="auto"/>
        </w:rPr>
      </w:pPr>
    </w:p>
    <w:p w14:paraId="1A5EFD71" w14:textId="38618BD8" w:rsidR="007D4551" w:rsidRPr="00C61F3A" w:rsidRDefault="007D4551" w:rsidP="00BE170F">
      <w:pPr>
        <w:spacing w:after="0" w:line="360" w:lineRule="auto"/>
        <w:jc w:val="center"/>
        <w:rPr>
          <w:rFonts w:eastAsia="Calibri" w:cs="Tahoma"/>
          <w:b/>
          <w:bCs/>
          <w:iCs/>
          <w:color w:val="auto"/>
        </w:rPr>
      </w:pPr>
      <w:r w:rsidRPr="00C61F3A">
        <w:rPr>
          <w:rFonts w:eastAsia="Calibri" w:cs="Tahoma"/>
          <w:b/>
          <w:bCs/>
          <w:iCs/>
          <w:color w:val="auto"/>
        </w:rPr>
        <w:t>R E S U E L V E</w:t>
      </w:r>
    </w:p>
    <w:p w14:paraId="492D9185" w14:textId="77777777" w:rsidR="007D4551" w:rsidRPr="00C61F3A" w:rsidRDefault="007D4551" w:rsidP="00BE170F">
      <w:pPr>
        <w:spacing w:after="0" w:line="360" w:lineRule="auto"/>
        <w:rPr>
          <w:rFonts w:eastAsia="Calibri" w:cs="Tahoma"/>
          <w:b/>
          <w:bCs/>
          <w:iCs/>
          <w:color w:val="FF0000"/>
        </w:rPr>
      </w:pPr>
    </w:p>
    <w:p w14:paraId="28E87112" w14:textId="40307171" w:rsidR="00F43923" w:rsidRPr="00C61F3A" w:rsidRDefault="00F43923" w:rsidP="00BE170F">
      <w:pPr>
        <w:spacing w:after="0" w:line="360" w:lineRule="auto"/>
        <w:contextualSpacing/>
        <w:rPr>
          <w:b/>
          <w:bCs/>
          <w:color w:val="auto"/>
        </w:rPr>
      </w:pPr>
      <w:r w:rsidRPr="00C61F3A">
        <w:rPr>
          <w:rFonts w:eastAsia="Calibri" w:cs="Tahoma"/>
          <w:b/>
          <w:iCs/>
          <w:color w:val="auto"/>
        </w:rPr>
        <w:t>PRIMERO.</w:t>
      </w:r>
      <w:r w:rsidRPr="00C61F3A">
        <w:rPr>
          <w:rFonts w:eastAsia="Calibri" w:cs="Tahoma"/>
          <w:bCs/>
          <w:iCs/>
          <w:color w:val="auto"/>
        </w:rPr>
        <w:t xml:space="preserve"> Se </w:t>
      </w:r>
      <w:r w:rsidRPr="00C61F3A">
        <w:rPr>
          <w:rFonts w:eastAsia="Calibri" w:cs="Tahoma"/>
          <w:b/>
          <w:bCs/>
          <w:iCs/>
          <w:color w:val="auto"/>
        </w:rPr>
        <w:t xml:space="preserve">CONFIRMA </w:t>
      </w:r>
      <w:r w:rsidRPr="00C61F3A">
        <w:rPr>
          <w:rFonts w:eastAsia="Calibri" w:cs="Tahoma"/>
          <w:iCs/>
          <w:color w:val="auto"/>
        </w:rPr>
        <w:t xml:space="preserve">la respuesta entregada por el Sujeto Obligado a la solicitud de acceso a la información </w:t>
      </w:r>
      <w:r w:rsidRPr="00C61F3A">
        <w:rPr>
          <w:rFonts w:cs="Tahoma"/>
          <w:color w:val="auto"/>
        </w:rPr>
        <w:t>con número de folio</w:t>
      </w:r>
      <w:r w:rsidRPr="00C61F3A">
        <w:rPr>
          <w:b/>
          <w:bCs/>
          <w:color w:val="auto"/>
        </w:rPr>
        <w:t> </w:t>
      </w:r>
      <w:r w:rsidR="002A6A13" w:rsidRPr="00C61F3A">
        <w:rPr>
          <w:rFonts w:eastAsia="Calibri" w:cs="Times New Roman"/>
          <w:color w:val="auto"/>
          <w:lang w:eastAsia="es-ES"/>
        </w:rPr>
        <w:t>00700/INFOEM/IP/2024</w:t>
      </w:r>
      <w:r w:rsidRPr="00C61F3A">
        <w:rPr>
          <w:rFonts w:cs="Tahoma"/>
          <w:bCs/>
          <w:color w:val="auto"/>
        </w:rPr>
        <w:t xml:space="preserve">, </w:t>
      </w:r>
      <w:r w:rsidRPr="00C61F3A">
        <w:rPr>
          <w:rFonts w:eastAsia="Calibri" w:cs="Tahoma"/>
          <w:bCs/>
          <w:iCs/>
          <w:color w:val="auto"/>
        </w:rPr>
        <w:t xml:space="preserve">por resultar </w:t>
      </w:r>
      <w:r w:rsidRPr="00C61F3A">
        <w:rPr>
          <w:rFonts w:eastAsia="Calibri" w:cs="Tahoma"/>
          <w:b/>
          <w:bCs/>
          <w:iCs/>
          <w:color w:val="auto"/>
        </w:rPr>
        <w:t>INFUNDADAS</w:t>
      </w:r>
      <w:r w:rsidRPr="00C61F3A">
        <w:rPr>
          <w:rFonts w:eastAsia="Calibri" w:cs="Tahoma"/>
          <w:bCs/>
          <w:iCs/>
          <w:color w:val="auto"/>
        </w:rPr>
        <w:t xml:space="preserve"> las razones o motivos de inconformidad hechas valer por el Recurrente, en términos de los Considerandos </w:t>
      </w:r>
      <w:r w:rsidRPr="00C61F3A">
        <w:rPr>
          <w:rFonts w:eastAsia="Calibri" w:cs="Tahoma"/>
          <w:iCs/>
          <w:color w:val="auto"/>
        </w:rPr>
        <w:t>QUINTO y SEXTO de esta Resolución.</w:t>
      </w:r>
    </w:p>
    <w:p w14:paraId="5E6E3507" w14:textId="77777777" w:rsidR="00F43923" w:rsidRPr="00C61F3A" w:rsidRDefault="00F43923" w:rsidP="00BE170F">
      <w:pPr>
        <w:spacing w:after="0" w:line="360" w:lineRule="auto"/>
        <w:rPr>
          <w:rFonts w:eastAsia="Calibri" w:cs="Tahoma"/>
          <w:b/>
          <w:bCs/>
          <w:iCs/>
          <w:color w:val="auto"/>
        </w:rPr>
      </w:pPr>
    </w:p>
    <w:p w14:paraId="35307D89" w14:textId="65A0AF9A" w:rsidR="007D4551" w:rsidRPr="00C61F3A" w:rsidRDefault="007D4551" w:rsidP="00BE170F">
      <w:pPr>
        <w:spacing w:after="0" w:line="360" w:lineRule="auto"/>
        <w:rPr>
          <w:rFonts w:eastAsia="Calibri" w:cs="Tahoma"/>
          <w:b/>
          <w:bCs/>
          <w:iCs/>
          <w:color w:val="auto"/>
        </w:rPr>
      </w:pPr>
      <w:r w:rsidRPr="00C61F3A">
        <w:rPr>
          <w:rFonts w:eastAsia="Calibri" w:cs="Tahoma"/>
          <w:b/>
          <w:bCs/>
          <w:iCs/>
          <w:color w:val="auto"/>
        </w:rPr>
        <w:t>SEGUNDO. NOTIFÍQUESE</w:t>
      </w:r>
      <w:r w:rsidR="00DB4146" w:rsidRPr="00C61F3A">
        <w:rPr>
          <w:rFonts w:eastAsia="Calibri" w:cs="Tahoma"/>
          <w:b/>
          <w:bCs/>
          <w:iCs/>
          <w:color w:val="auto"/>
        </w:rPr>
        <w:t xml:space="preserve"> POR SAIMEX</w:t>
      </w:r>
      <w:r w:rsidRPr="00C61F3A">
        <w:rPr>
          <w:rFonts w:eastAsia="Calibri" w:cs="Tahoma"/>
          <w:b/>
          <w:bCs/>
          <w:iCs/>
          <w:color w:val="auto"/>
        </w:rPr>
        <w:t xml:space="preserve"> </w:t>
      </w:r>
      <w:r w:rsidRPr="00C61F3A">
        <w:rPr>
          <w:rFonts w:eastAsia="Calibri" w:cs="Tahoma"/>
          <w:iCs/>
          <w:color w:val="auto"/>
        </w:rPr>
        <w:t>la presente Resolución al Titular de la Unidad de Transparencia del Sujeto Obligado.</w:t>
      </w:r>
    </w:p>
    <w:p w14:paraId="204CB64E" w14:textId="77777777" w:rsidR="007D4551" w:rsidRPr="00C61F3A" w:rsidRDefault="007D4551" w:rsidP="00BE170F">
      <w:pPr>
        <w:spacing w:after="0" w:line="360" w:lineRule="auto"/>
        <w:rPr>
          <w:rFonts w:eastAsia="Calibri" w:cs="Tahoma"/>
          <w:b/>
          <w:bCs/>
          <w:i/>
          <w:iCs/>
          <w:color w:val="auto"/>
        </w:rPr>
      </w:pPr>
    </w:p>
    <w:p w14:paraId="39FA9764" w14:textId="38AC8A86" w:rsidR="007D4551" w:rsidRPr="00C61F3A" w:rsidRDefault="007D4551" w:rsidP="00BE170F">
      <w:pPr>
        <w:spacing w:after="0" w:line="360" w:lineRule="auto"/>
        <w:rPr>
          <w:rFonts w:eastAsia="Calibri" w:cs="Tahoma"/>
          <w:b/>
          <w:bCs/>
          <w:iCs/>
          <w:color w:val="FF0000"/>
        </w:rPr>
      </w:pPr>
      <w:r w:rsidRPr="00C61F3A">
        <w:rPr>
          <w:rFonts w:eastAsia="Calibri" w:cs="Tahoma"/>
          <w:b/>
          <w:bCs/>
          <w:iCs/>
          <w:color w:val="auto"/>
        </w:rPr>
        <w:t xml:space="preserve">TERCERO. NOTIFÍQUESE </w:t>
      </w:r>
      <w:r w:rsidR="00DB4146" w:rsidRPr="00C61F3A">
        <w:rPr>
          <w:rFonts w:eastAsia="Calibri" w:cs="Tahoma"/>
          <w:b/>
          <w:bCs/>
          <w:iCs/>
          <w:color w:val="auto"/>
        </w:rPr>
        <w:t xml:space="preserve">POR SAIMEX </w:t>
      </w:r>
      <w:r w:rsidRPr="00C61F3A">
        <w:rPr>
          <w:rFonts w:eastAsia="Calibri" w:cs="Tahoma"/>
          <w:iCs/>
          <w:color w:val="auto"/>
        </w:rPr>
        <w:t>al Recurrente la presente Resolución, asimismo, se hace de su conocimiento que de conformidad con lo establecido en el artículo 196 de la Ley de Transparencia y Acceso a la Información Pública del Estado de México y Municipios podrá promover el Juicio de Amparo en los términos de las leyes aplicables.</w:t>
      </w:r>
    </w:p>
    <w:p w14:paraId="42C8D564" w14:textId="77777777" w:rsidR="00782132" w:rsidRPr="00C61F3A" w:rsidRDefault="00782132" w:rsidP="00BE170F">
      <w:pPr>
        <w:spacing w:after="0" w:line="360" w:lineRule="auto"/>
        <w:rPr>
          <w:rFonts w:eastAsia="Calibri" w:cs="Tahoma"/>
          <w:bCs/>
          <w:color w:val="FF0000"/>
        </w:rPr>
      </w:pPr>
    </w:p>
    <w:p w14:paraId="61493576" w14:textId="22AB861C" w:rsidR="00C853D1" w:rsidRPr="001759BA" w:rsidRDefault="009E7447" w:rsidP="00BE170F">
      <w:pPr>
        <w:spacing w:after="0" w:line="360" w:lineRule="auto"/>
        <w:rPr>
          <w:rFonts w:eastAsia="Calibri" w:cs="Tahoma"/>
          <w:bCs/>
          <w:color w:val="FF0000"/>
        </w:rPr>
      </w:pPr>
      <w:r w:rsidRPr="00C61F3A">
        <w:rPr>
          <w:rFonts w:eastAsia="Calibri" w:cs="Tahoma"/>
          <w:bCs/>
          <w:color w:val="auto"/>
        </w:rPr>
        <w:t xml:space="preserve">ASÍ LO RESUELVE, POR </w:t>
      </w:r>
      <w:r w:rsidRPr="00C61F3A">
        <w:rPr>
          <w:rFonts w:eastAsia="Calibri" w:cs="Tahoma"/>
          <w:b/>
          <w:color w:val="auto"/>
        </w:rPr>
        <w:t>UNANIMIDAD</w:t>
      </w:r>
      <w:r w:rsidRPr="00C61F3A">
        <w:rPr>
          <w:rFonts w:eastAsia="Calibri" w:cs="Tahoma"/>
          <w:bCs/>
          <w:color w:val="auto"/>
        </w:rPr>
        <w:t xml:space="preserve">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w:t>
      </w:r>
      <w:r w:rsidR="00DB4146" w:rsidRPr="00C61F3A">
        <w:rPr>
          <w:rFonts w:eastAsia="Calibri" w:cs="Tahoma"/>
          <w:bCs/>
          <w:color w:val="auto"/>
        </w:rPr>
        <w:t xml:space="preserve">TRIGÉSIMA OCTAVA </w:t>
      </w:r>
      <w:r w:rsidRPr="00C61F3A">
        <w:rPr>
          <w:rFonts w:eastAsia="Calibri" w:cs="Tahoma"/>
          <w:bCs/>
          <w:color w:val="auto"/>
        </w:rPr>
        <w:t xml:space="preserve">SESIÓN ORDINARIA, CELEBRADA EL </w:t>
      </w:r>
      <w:r w:rsidR="00DB4146" w:rsidRPr="00C61F3A">
        <w:rPr>
          <w:rFonts w:eastAsia="Calibri" w:cs="Tahoma"/>
          <w:bCs/>
          <w:color w:val="auto"/>
        </w:rPr>
        <w:t xml:space="preserve">SEIS DE NOVIEMBRE </w:t>
      </w:r>
      <w:r w:rsidRPr="00C61F3A">
        <w:rPr>
          <w:rFonts w:eastAsia="Calibri" w:cs="Tahoma"/>
          <w:bCs/>
          <w:color w:val="auto"/>
        </w:rPr>
        <w:t>DE DOS MIL VEINTI</w:t>
      </w:r>
      <w:r w:rsidR="00F75808" w:rsidRPr="00C61F3A">
        <w:rPr>
          <w:rFonts w:eastAsia="Calibri" w:cs="Tahoma"/>
          <w:bCs/>
          <w:color w:val="auto"/>
        </w:rPr>
        <w:t>CUATRO</w:t>
      </w:r>
      <w:r w:rsidRPr="00C61F3A">
        <w:rPr>
          <w:rFonts w:eastAsia="Calibri" w:cs="Tahoma"/>
          <w:bCs/>
          <w:color w:val="auto"/>
        </w:rPr>
        <w:t>, ANTE EL SECRETARIO TÉCNICO DEL PLENO, ALEXIS TAPIA RAMÍREZ</w:t>
      </w:r>
      <w:r w:rsidRPr="00C61F3A">
        <w:rPr>
          <w:rFonts w:eastAsia="Calibri" w:cs="Tahoma"/>
          <w:bCs/>
          <w:color w:val="FF0000"/>
        </w:rPr>
        <w:t>.</w:t>
      </w:r>
    </w:p>
    <w:p w14:paraId="3A7BF8F4" w14:textId="6222AE72" w:rsidR="00A6477D" w:rsidRPr="001759BA" w:rsidRDefault="00C853D1" w:rsidP="00BE170F">
      <w:pPr>
        <w:spacing w:after="0" w:line="360" w:lineRule="auto"/>
        <w:jc w:val="left"/>
        <w:rPr>
          <w:color w:val="FF0000"/>
        </w:rPr>
      </w:pPr>
      <w:r w:rsidRPr="001759BA">
        <w:rPr>
          <w:rFonts w:eastAsia="Calibri" w:cs="Tahoma"/>
          <w:b/>
          <w:bCs/>
          <w:color w:val="FF0000"/>
        </w:rPr>
        <w:br w:type="page"/>
      </w:r>
    </w:p>
    <w:sectPr w:rsidR="00A6477D" w:rsidRPr="001759BA" w:rsidSect="00F75907">
      <w:headerReference w:type="even" r:id="rId30"/>
      <w:headerReference w:type="default" r:id="rId31"/>
      <w:footerReference w:type="even" r:id="rId32"/>
      <w:footerReference w:type="default" r:id="rId33"/>
      <w:headerReference w:type="first" r:id="rId34"/>
      <w:footerReference w:type="first" r:id="rId35"/>
      <w:pgSz w:w="12240" w:h="15840"/>
      <w:pgMar w:top="1418" w:right="1418"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C9E6705" w14:textId="77777777" w:rsidR="003A6814" w:rsidRDefault="003A6814" w:rsidP="00C853D1">
      <w:pPr>
        <w:spacing w:after="0" w:line="240" w:lineRule="auto"/>
      </w:pPr>
      <w:r>
        <w:separator/>
      </w:r>
    </w:p>
  </w:endnote>
  <w:endnote w:type="continuationSeparator" w:id="0">
    <w:p w14:paraId="665BFC88" w14:textId="77777777" w:rsidR="003A6814" w:rsidRDefault="003A6814" w:rsidP="00C853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PalatinoLinotype-Bold">
    <w:altName w:val="Palatino Linotype"/>
    <w:panose1 w:val="00000000000000000000"/>
    <w:charset w:val="00"/>
    <w:family w:val="swiss"/>
    <w:notTrueType/>
    <w:pitch w:val="default"/>
    <w:sig w:usb0="00000003" w:usb1="00000000" w:usb2="00000000" w:usb3="00000000" w:csb0="00000001" w:csb1="00000000"/>
  </w:font>
  <w:font w:name="PalatinoLinotype-Roman">
    <w:altName w:val="Palatino Linotype"/>
    <w:panose1 w:val="00000000000000000000"/>
    <w:charset w:val="00"/>
    <w:family w:val="swiss"/>
    <w:notTrueType/>
    <w:pitch w:val="default"/>
    <w:sig w:usb0="00000003" w:usb1="08070000" w:usb2="00000010" w:usb3="00000000" w:csb0="00020001"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218588"/>
      <w:docPartObj>
        <w:docPartGallery w:val="Page Numbers (Bottom of Page)"/>
        <w:docPartUnique/>
      </w:docPartObj>
    </w:sdtPr>
    <w:sdtEndPr/>
    <w:sdtContent>
      <w:sdt>
        <w:sdtPr>
          <w:id w:val="-1486162003"/>
          <w:docPartObj>
            <w:docPartGallery w:val="Page Numbers (Top of Page)"/>
            <w:docPartUnique/>
          </w:docPartObj>
        </w:sdtPr>
        <w:sdtEndPr/>
        <w:sdtContent>
          <w:p w14:paraId="71583055" w14:textId="77777777" w:rsidR="00FC20CC" w:rsidRDefault="00FC20CC">
            <w:pPr>
              <w:pStyle w:val="Piedepgina"/>
              <w:jc w:val="right"/>
            </w:pPr>
            <w:r>
              <w:rPr>
                <w:lang w:val="es-ES"/>
              </w:rPr>
              <w:t xml:space="preserve">Página </w:t>
            </w:r>
            <w:r>
              <w:rPr>
                <w:b/>
                <w:bCs/>
                <w:sz w:val="24"/>
                <w:szCs w:val="24"/>
              </w:rPr>
              <w:fldChar w:fldCharType="begin"/>
            </w:r>
            <w:r>
              <w:rPr>
                <w:b/>
                <w:bCs/>
              </w:rPr>
              <w:instrText>PAGE</w:instrText>
            </w:r>
            <w:r>
              <w:rPr>
                <w:b/>
                <w:bCs/>
                <w:sz w:val="24"/>
                <w:szCs w:val="24"/>
              </w:rPr>
              <w:fldChar w:fldCharType="separate"/>
            </w:r>
            <w:r>
              <w:rPr>
                <w:b/>
                <w:bCs/>
                <w:lang w:val="es-ES"/>
              </w:rPr>
              <w:t>2</w:t>
            </w:r>
            <w:r>
              <w:rPr>
                <w:b/>
                <w:bCs/>
                <w:sz w:val="24"/>
                <w:szCs w:val="24"/>
              </w:rPr>
              <w:fldChar w:fldCharType="end"/>
            </w:r>
            <w:r>
              <w:rPr>
                <w:lang w:val="es-ES"/>
              </w:rPr>
              <w:t xml:space="preserve"> de </w:t>
            </w:r>
            <w:r>
              <w:rPr>
                <w:b/>
                <w:bCs/>
                <w:sz w:val="24"/>
                <w:szCs w:val="24"/>
              </w:rPr>
              <w:fldChar w:fldCharType="begin"/>
            </w:r>
            <w:r>
              <w:rPr>
                <w:b/>
                <w:bCs/>
              </w:rPr>
              <w:instrText>NUMPAGES</w:instrText>
            </w:r>
            <w:r>
              <w:rPr>
                <w:b/>
                <w:bCs/>
                <w:sz w:val="24"/>
                <w:szCs w:val="24"/>
              </w:rPr>
              <w:fldChar w:fldCharType="separate"/>
            </w:r>
            <w:r w:rsidR="004063B6">
              <w:rPr>
                <w:b/>
                <w:bCs/>
                <w:noProof/>
              </w:rPr>
              <w:t>44</w:t>
            </w:r>
            <w:r>
              <w:rPr>
                <w:b/>
                <w:bCs/>
                <w:sz w:val="24"/>
                <w:szCs w:val="24"/>
              </w:rPr>
              <w:fldChar w:fldCharType="end"/>
            </w:r>
          </w:p>
        </w:sdtContent>
      </w:sdt>
    </w:sdtContent>
  </w:sdt>
  <w:p w14:paraId="5F4318B3" w14:textId="77777777" w:rsidR="00FC20CC" w:rsidRDefault="00FC20CC">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45037141"/>
      <w:docPartObj>
        <w:docPartGallery w:val="Page Numbers (Bottom of Page)"/>
        <w:docPartUnique/>
      </w:docPartObj>
    </w:sdtPr>
    <w:sdtEndPr/>
    <w:sdtContent>
      <w:sdt>
        <w:sdtPr>
          <w:id w:val="-1053769877"/>
          <w:docPartObj>
            <w:docPartGallery w:val="Page Numbers (Top of Page)"/>
            <w:docPartUnique/>
          </w:docPartObj>
        </w:sdtPr>
        <w:sdtEndPr/>
        <w:sdtContent>
          <w:p w14:paraId="1AB8D0FA" w14:textId="77777777" w:rsidR="00FC20CC" w:rsidRDefault="00FC20CC">
            <w:pPr>
              <w:pStyle w:val="Piedepgina"/>
              <w:jc w:val="right"/>
            </w:pPr>
            <w:r>
              <w:rPr>
                <w:lang w:val="es-ES"/>
              </w:rPr>
              <w:t xml:space="preserve">Página </w:t>
            </w:r>
            <w:r>
              <w:rPr>
                <w:b/>
                <w:bCs/>
                <w:sz w:val="24"/>
                <w:szCs w:val="24"/>
              </w:rPr>
              <w:fldChar w:fldCharType="begin"/>
            </w:r>
            <w:r>
              <w:rPr>
                <w:b/>
                <w:bCs/>
              </w:rPr>
              <w:instrText>PAGE</w:instrText>
            </w:r>
            <w:r>
              <w:rPr>
                <w:b/>
                <w:bCs/>
                <w:sz w:val="24"/>
                <w:szCs w:val="24"/>
              </w:rPr>
              <w:fldChar w:fldCharType="separate"/>
            </w:r>
            <w:r w:rsidR="009C583A">
              <w:rPr>
                <w:b/>
                <w:bCs/>
                <w:noProof/>
              </w:rPr>
              <w:t>42</w:t>
            </w:r>
            <w:r>
              <w:rPr>
                <w:b/>
                <w:bCs/>
                <w:sz w:val="24"/>
                <w:szCs w:val="24"/>
              </w:rPr>
              <w:fldChar w:fldCharType="end"/>
            </w:r>
            <w:r>
              <w:rPr>
                <w:lang w:val="es-ES"/>
              </w:rPr>
              <w:t xml:space="preserve"> de </w:t>
            </w:r>
            <w:r>
              <w:rPr>
                <w:b/>
                <w:bCs/>
                <w:sz w:val="24"/>
                <w:szCs w:val="24"/>
              </w:rPr>
              <w:fldChar w:fldCharType="begin"/>
            </w:r>
            <w:r>
              <w:rPr>
                <w:b/>
                <w:bCs/>
              </w:rPr>
              <w:instrText>NUMPAGES</w:instrText>
            </w:r>
            <w:r>
              <w:rPr>
                <w:b/>
                <w:bCs/>
                <w:sz w:val="24"/>
                <w:szCs w:val="24"/>
              </w:rPr>
              <w:fldChar w:fldCharType="separate"/>
            </w:r>
            <w:r w:rsidR="009C583A">
              <w:rPr>
                <w:b/>
                <w:bCs/>
                <w:noProof/>
              </w:rPr>
              <w:t>44</w:t>
            </w:r>
            <w:r>
              <w:rPr>
                <w:b/>
                <w:bCs/>
                <w:sz w:val="24"/>
                <w:szCs w:val="24"/>
              </w:rPr>
              <w:fldChar w:fldCharType="end"/>
            </w:r>
          </w:p>
        </w:sdtContent>
      </w:sdt>
    </w:sdtContent>
  </w:sdt>
  <w:p w14:paraId="3F35B7C0" w14:textId="77777777" w:rsidR="00FC20CC" w:rsidRDefault="00FC20CC">
    <w:pPr>
      <w:pStyle w:val="Piedep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96825420"/>
      <w:docPartObj>
        <w:docPartGallery w:val="Page Numbers (Bottom of Page)"/>
        <w:docPartUnique/>
      </w:docPartObj>
    </w:sdtPr>
    <w:sdtEndPr/>
    <w:sdtContent>
      <w:sdt>
        <w:sdtPr>
          <w:id w:val="-1769616900"/>
          <w:docPartObj>
            <w:docPartGallery w:val="Page Numbers (Top of Page)"/>
            <w:docPartUnique/>
          </w:docPartObj>
        </w:sdtPr>
        <w:sdtEndPr/>
        <w:sdtContent>
          <w:p w14:paraId="46648C95" w14:textId="77777777" w:rsidR="00FC20CC" w:rsidRDefault="00FC20CC">
            <w:pPr>
              <w:pStyle w:val="Piedepgina"/>
              <w:jc w:val="right"/>
            </w:pPr>
            <w:r>
              <w:rPr>
                <w:lang w:val="es-ES"/>
              </w:rPr>
              <w:t xml:space="preserve">Página </w:t>
            </w:r>
            <w:r>
              <w:rPr>
                <w:b/>
                <w:bCs/>
                <w:sz w:val="24"/>
                <w:szCs w:val="24"/>
              </w:rPr>
              <w:fldChar w:fldCharType="begin"/>
            </w:r>
            <w:r>
              <w:rPr>
                <w:b/>
                <w:bCs/>
              </w:rPr>
              <w:instrText>PAGE</w:instrText>
            </w:r>
            <w:r>
              <w:rPr>
                <w:b/>
                <w:bCs/>
                <w:sz w:val="24"/>
                <w:szCs w:val="24"/>
              </w:rPr>
              <w:fldChar w:fldCharType="separate"/>
            </w:r>
            <w:r w:rsidR="009C583A">
              <w:rPr>
                <w:b/>
                <w:bCs/>
                <w:noProof/>
              </w:rPr>
              <w:t>1</w:t>
            </w:r>
            <w:r>
              <w:rPr>
                <w:b/>
                <w:bCs/>
                <w:sz w:val="24"/>
                <w:szCs w:val="24"/>
              </w:rPr>
              <w:fldChar w:fldCharType="end"/>
            </w:r>
            <w:r>
              <w:rPr>
                <w:lang w:val="es-ES"/>
              </w:rPr>
              <w:t xml:space="preserve"> de </w:t>
            </w:r>
            <w:r>
              <w:rPr>
                <w:b/>
                <w:bCs/>
                <w:sz w:val="24"/>
                <w:szCs w:val="24"/>
              </w:rPr>
              <w:fldChar w:fldCharType="begin"/>
            </w:r>
            <w:r>
              <w:rPr>
                <w:b/>
                <w:bCs/>
              </w:rPr>
              <w:instrText>NUMPAGES</w:instrText>
            </w:r>
            <w:r>
              <w:rPr>
                <w:b/>
                <w:bCs/>
                <w:sz w:val="24"/>
                <w:szCs w:val="24"/>
              </w:rPr>
              <w:fldChar w:fldCharType="separate"/>
            </w:r>
            <w:r w:rsidR="009C583A">
              <w:rPr>
                <w:b/>
                <w:bCs/>
                <w:noProof/>
              </w:rPr>
              <w:t>44</w:t>
            </w:r>
            <w:r>
              <w:rPr>
                <w:b/>
                <w:bCs/>
                <w:sz w:val="24"/>
                <w:szCs w:val="24"/>
              </w:rPr>
              <w:fldChar w:fldCharType="end"/>
            </w:r>
          </w:p>
        </w:sdtContent>
      </w:sdt>
    </w:sdtContent>
  </w:sdt>
  <w:p w14:paraId="1A7218CE" w14:textId="77777777" w:rsidR="00FC20CC" w:rsidRDefault="00FC20CC">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12A4105" w14:textId="77777777" w:rsidR="003A6814" w:rsidRDefault="003A6814" w:rsidP="00C853D1">
      <w:pPr>
        <w:spacing w:after="0" w:line="240" w:lineRule="auto"/>
      </w:pPr>
      <w:r>
        <w:separator/>
      </w:r>
    </w:p>
  </w:footnote>
  <w:footnote w:type="continuationSeparator" w:id="0">
    <w:p w14:paraId="2BFCDEFA" w14:textId="77777777" w:rsidR="003A6814" w:rsidRDefault="003A6814" w:rsidP="00C853D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aconcuadrcula"/>
      <w:tblW w:w="5991" w:type="dxa"/>
      <w:tblInd w:w="35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2404"/>
      <w:gridCol w:w="3587"/>
    </w:tblGrid>
    <w:tr w:rsidR="00FC20CC" w14:paraId="282B3A75" w14:textId="77777777" w:rsidTr="002C59A0">
      <w:trPr>
        <w:trHeight w:val="141"/>
      </w:trPr>
      <w:tc>
        <w:tcPr>
          <w:tcW w:w="2404" w:type="dxa"/>
        </w:tcPr>
        <w:p w14:paraId="57F547E7" w14:textId="77777777" w:rsidR="00FC20CC" w:rsidRPr="001B5FB6" w:rsidRDefault="00FC20CC" w:rsidP="002C59A0">
          <w:pPr>
            <w:tabs>
              <w:tab w:val="right" w:pos="8838"/>
            </w:tabs>
            <w:ind w:right="-105"/>
            <w:rPr>
              <w:rFonts w:eastAsia="Calibri" w:cs="Tahoma"/>
              <w:b/>
              <w:lang w:val="es-MX"/>
            </w:rPr>
          </w:pPr>
          <w:r w:rsidRPr="001B5FB6">
            <w:rPr>
              <w:rFonts w:eastAsia="Calibri" w:cs="Tahoma"/>
              <w:b/>
              <w:lang w:val="es-MX"/>
            </w:rPr>
            <w:t>Recurso de Revisión:</w:t>
          </w:r>
        </w:p>
      </w:tc>
      <w:tc>
        <w:tcPr>
          <w:tcW w:w="3587" w:type="dxa"/>
        </w:tcPr>
        <w:p w14:paraId="77D4576F" w14:textId="77777777" w:rsidR="00FC20CC" w:rsidRPr="00A8173F" w:rsidRDefault="00FC20CC" w:rsidP="002C59A0">
          <w:pPr>
            <w:tabs>
              <w:tab w:val="right" w:pos="8838"/>
            </w:tabs>
            <w:ind w:left="-28" w:right="683"/>
            <w:rPr>
              <w:rFonts w:eastAsia="Calibri" w:cs="Tahoma"/>
            </w:rPr>
          </w:pPr>
          <w:r w:rsidRPr="00A8173F">
            <w:rPr>
              <w:rFonts w:eastAsia="Calibri" w:cs="Tahoma"/>
              <w:lang w:val="es-MX"/>
            </w:rPr>
            <w:t>04196/INFOEM/IP/RR/2020</w:t>
          </w:r>
        </w:p>
      </w:tc>
    </w:tr>
    <w:tr w:rsidR="00FC20CC" w14:paraId="46AFE2B4" w14:textId="77777777" w:rsidTr="002C59A0">
      <w:trPr>
        <w:trHeight w:val="276"/>
      </w:trPr>
      <w:tc>
        <w:tcPr>
          <w:tcW w:w="2404" w:type="dxa"/>
        </w:tcPr>
        <w:p w14:paraId="1D6E5B2B" w14:textId="77777777" w:rsidR="00FC20CC" w:rsidRPr="001B5FB6" w:rsidRDefault="00FC20CC" w:rsidP="002C59A0">
          <w:pPr>
            <w:tabs>
              <w:tab w:val="right" w:pos="8838"/>
            </w:tabs>
            <w:ind w:right="-105"/>
            <w:rPr>
              <w:rFonts w:eastAsia="Calibri" w:cs="Tahoma"/>
              <w:b/>
              <w:lang w:val="es-MX"/>
            </w:rPr>
          </w:pPr>
          <w:r w:rsidRPr="001B5FB6">
            <w:rPr>
              <w:rFonts w:eastAsia="Calibri" w:cs="Tahoma"/>
              <w:b/>
              <w:lang w:val="es-MX"/>
            </w:rPr>
            <w:t>Sujeto Obligado:</w:t>
          </w:r>
        </w:p>
      </w:tc>
      <w:tc>
        <w:tcPr>
          <w:tcW w:w="3587" w:type="dxa"/>
        </w:tcPr>
        <w:p w14:paraId="2DAC5118" w14:textId="77777777" w:rsidR="00FC20CC" w:rsidRPr="00A8173F" w:rsidRDefault="00FC20CC" w:rsidP="002C59A0">
          <w:pPr>
            <w:tabs>
              <w:tab w:val="right" w:pos="8838"/>
            </w:tabs>
            <w:ind w:right="116"/>
            <w:rPr>
              <w:rFonts w:eastAsia="Calibri" w:cs="Tahoma"/>
              <w:lang w:val="es-MX"/>
            </w:rPr>
          </w:pPr>
          <w:r w:rsidRPr="00A8173F">
            <w:rPr>
              <w:rFonts w:eastAsia="Calibri" w:cs="Tahoma"/>
              <w:lang w:val="es-MX"/>
            </w:rPr>
            <w:t>Ayuntamiento de Chapultepec</w:t>
          </w:r>
        </w:p>
      </w:tc>
    </w:tr>
    <w:tr w:rsidR="00FC20CC" w14:paraId="1FA679E9" w14:textId="77777777" w:rsidTr="002C59A0">
      <w:trPr>
        <w:trHeight w:val="276"/>
      </w:trPr>
      <w:tc>
        <w:tcPr>
          <w:tcW w:w="2404" w:type="dxa"/>
        </w:tcPr>
        <w:p w14:paraId="6498FD30" w14:textId="77777777" w:rsidR="00FC20CC" w:rsidRPr="001B5FB6" w:rsidRDefault="00FC20CC" w:rsidP="002C59A0">
          <w:pPr>
            <w:tabs>
              <w:tab w:val="right" w:pos="8838"/>
            </w:tabs>
            <w:ind w:right="-105"/>
            <w:rPr>
              <w:rFonts w:eastAsia="Calibri" w:cs="Tahoma"/>
              <w:b/>
              <w:lang w:val="es-MX"/>
            </w:rPr>
          </w:pPr>
          <w:r w:rsidRPr="001B5FB6">
            <w:rPr>
              <w:rFonts w:eastAsia="Calibri" w:cs="Tahoma"/>
              <w:b/>
              <w:lang w:val="es-MX"/>
            </w:rPr>
            <w:t>Comisionado Ponente:</w:t>
          </w:r>
        </w:p>
      </w:tc>
      <w:tc>
        <w:tcPr>
          <w:tcW w:w="3587" w:type="dxa"/>
        </w:tcPr>
        <w:p w14:paraId="5C36068F" w14:textId="77777777" w:rsidR="00FC20CC" w:rsidRPr="00A8173F" w:rsidRDefault="00FC20CC" w:rsidP="002C59A0">
          <w:pPr>
            <w:tabs>
              <w:tab w:val="right" w:pos="8838"/>
            </w:tabs>
            <w:ind w:right="-32"/>
            <w:rPr>
              <w:rFonts w:eastAsia="Calibri" w:cs="Tahoma"/>
              <w:lang w:val="es-MX"/>
            </w:rPr>
          </w:pPr>
          <w:r w:rsidRPr="00A8173F">
            <w:rPr>
              <w:rFonts w:eastAsia="Calibri" w:cs="Tahoma"/>
              <w:lang w:val="es-MX"/>
            </w:rPr>
            <w:t>Luis Gustavo Parra Noriega</w:t>
          </w:r>
        </w:p>
      </w:tc>
    </w:tr>
  </w:tbl>
  <w:p w14:paraId="509FB0F1" w14:textId="77777777" w:rsidR="00FC20CC" w:rsidRDefault="003A6814">
    <w:pPr>
      <w:pStyle w:val="Encabezado"/>
    </w:pPr>
    <w:r>
      <w:rPr>
        <w:noProof/>
      </w:rPr>
      <w:pict w14:anchorId="21C5680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12024032" o:spid="_x0000_s2051" type="#_x0000_t75" alt="MARCA DE AGUA - HOJA RESOLUCIÓN" style="position:absolute;left:0;text-align:left;margin-left:0;margin-top:0;width:663.5pt;height:12in;z-index:-251657216;mso-wrap-edited:f;mso-width-percent:0;mso-height-percent:0;mso-position-horizontal:center;mso-position-horizontal-relative:margin;mso-position-vertical:center;mso-position-vertical-relative:margin;mso-width-percent:0;mso-height-percent:0" o:allowincell="f">
          <v:imagedata r:id="rId1" o:title="MARCA DE AGUA - HOJA RESOLUCIÓN"/>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aconcuadrcula"/>
      <w:tblW w:w="7229" w:type="dxa"/>
      <w:tblInd w:w="269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2404"/>
      <w:gridCol w:w="4825"/>
    </w:tblGrid>
    <w:tr w:rsidR="00BE170F" w14:paraId="1E2FF18B" w14:textId="77777777" w:rsidTr="00BE170F">
      <w:trPr>
        <w:trHeight w:val="141"/>
      </w:trPr>
      <w:tc>
        <w:tcPr>
          <w:tcW w:w="2404" w:type="dxa"/>
        </w:tcPr>
        <w:p w14:paraId="6B6D03E8" w14:textId="77777777" w:rsidR="00FC20CC" w:rsidRPr="001B5FB6" w:rsidRDefault="00FC20CC" w:rsidP="00682222">
          <w:pPr>
            <w:tabs>
              <w:tab w:val="right" w:pos="8838"/>
            </w:tabs>
            <w:ind w:left="-395" w:right="-105" w:firstLine="395"/>
            <w:rPr>
              <w:rFonts w:eastAsia="Calibri" w:cs="Tahoma"/>
              <w:b/>
              <w:lang w:val="es-MX"/>
            </w:rPr>
          </w:pPr>
          <w:r w:rsidRPr="001B5FB6">
            <w:rPr>
              <w:rFonts w:eastAsia="Calibri" w:cs="Tahoma"/>
              <w:b/>
              <w:lang w:val="es-MX"/>
            </w:rPr>
            <w:t>Recurso de Revisión:</w:t>
          </w:r>
        </w:p>
      </w:tc>
      <w:tc>
        <w:tcPr>
          <w:tcW w:w="4825" w:type="dxa"/>
        </w:tcPr>
        <w:p w14:paraId="503BB8DE" w14:textId="21DE6929" w:rsidR="00FC20CC" w:rsidRPr="00C853D1" w:rsidRDefault="00FC20CC" w:rsidP="00682222">
          <w:pPr>
            <w:tabs>
              <w:tab w:val="right" w:pos="8838"/>
            </w:tabs>
            <w:ind w:left="-28" w:right="454"/>
            <w:rPr>
              <w:rFonts w:eastAsia="Calibri" w:cs="Tahoma"/>
            </w:rPr>
          </w:pPr>
          <w:r w:rsidRPr="00F60A4F">
            <w:rPr>
              <w:rFonts w:eastAsia="Calibri" w:cs="Tahoma"/>
              <w:lang w:val="es-MX"/>
            </w:rPr>
            <w:t>0</w:t>
          </w:r>
          <w:r w:rsidR="001759BA">
            <w:rPr>
              <w:rFonts w:eastAsia="Calibri" w:cs="Tahoma"/>
              <w:lang w:val="es-MX"/>
            </w:rPr>
            <w:t>5166</w:t>
          </w:r>
          <w:r w:rsidRPr="00F60A4F">
            <w:rPr>
              <w:rFonts w:eastAsia="Calibri" w:cs="Tahoma"/>
              <w:lang w:val="es-MX"/>
            </w:rPr>
            <w:t>/INFOEM/IP/RR/202</w:t>
          </w:r>
          <w:r w:rsidR="00D66232">
            <w:rPr>
              <w:rFonts w:eastAsia="Calibri" w:cs="Tahoma"/>
              <w:lang w:val="es-MX"/>
            </w:rPr>
            <w:t>4</w:t>
          </w:r>
        </w:p>
      </w:tc>
    </w:tr>
    <w:tr w:rsidR="00BE170F" w14:paraId="110906AA" w14:textId="77777777" w:rsidTr="00BE170F">
      <w:trPr>
        <w:trHeight w:val="276"/>
      </w:trPr>
      <w:tc>
        <w:tcPr>
          <w:tcW w:w="2404" w:type="dxa"/>
        </w:tcPr>
        <w:p w14:paraId="3052339E" w14:textId="77777777" w:rsidR="00FC20CC" w:rsidRPr="001B5FB6" w:rsidRDefault="00FC20CC" w:rsidP="002C59A0">
          <w:pPr>
            <w:tabs>
              <w:tab w:val="right" w:pos="8838"/>
            </w:tabs>
            <w:ind w:right="-105"/>
            <w:rPr>
              <w:rFonts w:eastAsia="Calibri" w:cs="Tahoma"/>
              <w:b/>
              <w:lang w:val="es-MX"/>
            </w:rPr>
          </w:pPr>
          <w:r w:rsidRPr="001B5FB6">
            <w:rPr>
              <w:rFonts w:eastAsia="Calibri" w:cs="Tahoma"/>
              <w:b/>
              <w:lang w:val="es-MX"/>
            </w:rPr>
            <w:t>Sujeto Obligado:</w:t>
          </w:r>
        </w:p>
      </w:tc>
      <w:tc>
        <w:tcPr>
          <w:tcW w:w="4825" w:type="dxa"/>
        </w:tcPr>
        <w:p w14:paraId="5C93113C" w14:textId="1D68CD62" w:rsidR="00FC20CC" w:rsidRPr="00A8173F" w:rsidRDefault="001759BA" w:rsidP="001759BA">
          <w:pPr>
            <w:tabs>
              <w:tab w:val="right" w:pos="8838"/>
            </w:tabs>
            <w:ind w:left="-28" w:right="454"/>
            <w:rPr>
              <w:rFonts w:eastAsia="Calibri" w:cs="Tahoma"/>
              <w:lang w:val="es-MX"/>
            </w:rPr>
          </w:pPr>
          <w:bookmarkStart w:id="4" w:name="_Hlk181210149"/>
          <w:r w:rsidRPr="001759BA">
            <w:rPr>
              <w:rFonts w:eastAsia="Calibri" w:cs="Tahoma"/>
              <w:lang w:val="es-MX"/>
            </w:rPr>
            <w:t>Instituto de Transparencia, Acceso a la Información Pública y Protección de Datos Personales del Estado de México y Municipios</w:t>
          </w:r>
          <w:bookmarkEnd w:id="4"/>
        </w:p>
      </w:tc>
    </w:tr>
    <w:tr w:rsidR="00BE170F" w14:paraId="065F2043" w14:textId="77777777" w:rsidTr="00BE170F">
      <w:trPr>
        <w:trHeight w:val="276"/>
      </w:trPr>
      <w:tc>
        <w:tcPr>
          <w:tcW w:w="2404" w:type="dxa"/>
        </w:tcPr>
        <w:p w14:paraId="22514F66" w14:textId="77777777" w:rsidR="00FC20CC" w:rsidRPr="001B5FB6" w:rsidRDefault="00FC20CC" w:rsidP="002C59A0">
          <w:pPr>
            <w:tabs>
              <w:tab w:val="right" w:pos="8838"/>
            </w:tabs>
            <w:ind w:right="-105"/>
            <w:rPr>
              <w:rFonts w:eastAsia="Calibri" w:cs="Tahoma"/>
              <w:b/>
              <w:lang w:val="es-MX"/>
            </w:rPr>
          </w:pPr>
          <w:r w:rsidRPr="001B5FB6">
            <w:rPr>
              <w:rFonts w:eastAsia="Calibri" w:cs="Tahoma"/>
              <w:b/>
              <w:lang w:val="es-MX"/>
            </w:rPr>
            <w:t>Comisionado Ponente:</w:t>
          </w:r>
        </w:p>
      </w:tc>
      <w:tc>
        <w:tcPr>
          <w:tcW w:w="4825" w:type="dxa"/>
        </w:tcPr>
        <w:p w14:paraId="245FB2E7" w14:textId="77777777" w:rsidR="00FC20CC" w:rsidRPr="00A8173F" w:rsidRDefault="00FC20CC" w:rsidP="00682222">
          <w:pPr>
            <w:tabs>
              <w:tab w:val="right" w:pos="8838"/>
            </w:tabs>
            <w:ind w:right="454"/>
            <w:rPr>
              <w:rFonts w:eastAsia="Calibri" w:cs="Tahoma"/>
              <w:lang w:val="es-MX"/>
            </w:rPr>
          </w:pPr>
          <w:r w:rsidRPr="00A8173F">
            <w:rPr>
              <w:rFonts w:eastAsia="Calibri" w:cs="Tahoma"/>
              <w:lang w:val="es-MX"/>
            </w:rPr>
            <w:t>Luis Gustavo Parra Noriega</w:t>
          </w:r>
        </w:p>
      </w:tc>
    </w:tr>
  </w:tbl>
  <w:p w14:paraId="0A6563BD" w14:textId="77777777" w:rsidR="00FC20CC" w:rsidRDefault="003A6814">
    <w:pPr>
      <w:pStyle w:val="Encabezado"/>
    </w:pPr>
    <w:r>
      <w:rPr>
        <w:noProof/>
      </w:rPr>
      <w:pict w14:anchorId="2D34045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12024033" o:spid="_x0000_s2050" type="#_x0000_t75" alt="MARCA DE AGUA - HOJA RESOLUCIÓN" style="position:absolute;left:0;text-align:left;margin-left:-88.1pt;margin-top:-124pt;width:663.5pt;height:12in;z-index:-251656192;mso-wrap-edited:f;mso-width-percent:0;mso-height-percent:0;mso-position-horizontal-relative:margin;mso-position-vertical-relative:margin;mso-width-percent:0;mso-height-percent:0" o:allowincell="f">
          <v:imagedata r:id="rId1" o:title="MARCA DE AGUA - HOJA RESOLUCIÓN"/>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10546" w:type="dxa"/>
      <w:tblLayout w:type="fixed"/>
      <w:tblLook w:val="04A0" w:firstRow="1" w:lastRow="0" w:firstColumn="1" w:lastColumn="0" w:noHBand="0" w:noVBand="1"/>
    </w:tblPr>
    <w:tblGrid>
      <w:gridCol w:w="2472"/>
      <w:gridCol w:w="8074"/>
    </w:tblGrid>
    <w:tr w:rsidR="00FC20CC" w:rsidRPr="005C106F" w14:paraId="5D26797B" w14:textId="77777777" w:rsidTr="001777AD">
      <w:trPr>
        <w:trHeight w:val="1621"/>
      </w:trPr>
      <w:tc>
        <w:tcPr>
          <w:tcW w:w="2472" w:type="dxa"/>
          <w:shd w:val="clear" w:color="auto" w:fill="auto"/>
        </w:tcPr>
        <w:p w14:paraId="76E7DE43" w14:textId="77777777" w:rsidR="00FC20CC" w:rsidRPr="005C106F" w:rsidRDefault="00FC20CC" w:rsidP="002C59A0">
          <w:pPr>
            <w:tabs>
              <w:tab w:val="right" w:pos="4273"/>
            </w:tabs>
            <w:rPr>
              <w:rFonts w:ascii="Garamond" w:eastAsia="Calibri" w:hAnsi="Garamond"/>
              <w:sz w:val="16"/>
              <w:szCs w:val="16"/>
            </w:rPr>
          </w:pPr>
        </w:p>
      </w:tc>
      <w:tc>
        <w:tcPr>
          <w:tcW w:w="8074" w:type="dxa"/>
          <w:shd w:val="clear" w:color="auto" w:fill="auto"/>
        </w:tcPr>
        <w:tbl>
          <w:tblPr>
            <w:tblStyle w:val="Tablaconcuadrcula"/>
            <w:tblW w:w="75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2383"/>
            <w:gridCol w:w="5168"/>
          </w:tblGrid>
          <w:tr w:rsidR="00BE170F" w:rsidRPr="001759BA" w14:paraId="5CB74832" w14:textId="77777777" w:rsidTr="00BE170F">
            <w:trPr>
              <w:trHeight w:val="149"/>
            </w:trPr>
            <w:tc>
              <w:tcPr>
                <w:tcW w:w="2383" w:type="dxa"/>
                <w:vAlign w:val="bottom"/>
              </w:tcPr>
              <w:p w14:paraId="38469831" w14:textId="77777777" w:rsidR="00FC20CC" w:rsidRPr="001759BA" w:rsidRDefault="00FC20CC" w:rsidP="001759BA">
                <w:pPr>
                  <w:tabs>
                    <w:tab w:val="right" w:pos="8838"/>
                  </w:tabs>
                  <w:ind w:right="-107"/>
                  <w:rPr>
                    <w:rFonts w:eastAsia="Calibri" w:cs="Tahoma"/>
                    <w:b/>
                    <w:bCs/>
                    <w:lang w:val="es-MX"/>
                  </w:rPr>
                </w:pPr>
                <w:r w:rsidRPr="001759BA">
                  <w:rPr>
                    <w:rFonts w:eastAsia="Calibri" w:cs="Tahoma"/>
                    <w:b/>
                    <w:bCs/>
                    <w:lang w:val="es-MX"/>
                  </w:rPr>
                  <w:t>Recurso de Revisión:</w:t>
                </w:r>
              </w:p>
            </w:tc>
            <w:tc>
              <w:tcPr>
                <w:tcW w:w="5168" w:type="dxa"/>
              </w:tcPr>
              <w:p w14:paraId="25021A4A" w14:textId="7456CF5E" w:rsidR="00FC20CC" w:rsidRPr="001759BA" w:rsidRDefault="001759BA" w:rsidP="00BE170F">
                <w:pPr>
                  <w:tabs>
                    <w:tab w:val="right" w:pos="8838"/>
                  </w:tabs>
                  <w:ind w:right="-107"/>
                  <w:rPr>
                    <w:rFonts w:eastAsia="Calibri" w:cs="Tahoma"/>
                    <w:lang w:val="es-MX"/>
                  </w:rPr>
                </w:pPr>
                <w:r w:rsidRPr="001759BA">
                  <w:rPr>
                    <w:rFonts w:eastAsia="Calibri" w:cs="Tahoma"/>
                    <w:lang w:val="es-MX"/>
                  </w:rPr>
                  <w:t>05166/INFOEM/IP/RR/2024</w:t>
                </w:r>
              </w:p>
            </w:tc>
          </w:tr>
          <w:tr w:rsidR="00BE170F" w:rsidRPr="001759BA" w14:paraId="65D6C982" w14:textId="77777777" w:rsidTr="00BE170F">
            <w:trPr>
              <w:trHeight w:val="149"/>
            </w:trPr>
            <w:tc>
              <w:tcPr>
                <w:tcW w:w="2383" w:type="dxa"/>
              </w:tcPr>
              <w:p w14:paraId="7E5992A8" w14:textId="77777777" w:rsidR="00FC20CC" w:rsidRPr="001759BA" w:rsidRDefault="00FC20CC" w:rsidP="001759BA">
                <w:pPr>
                  <w:tabs>
                    <w:tab w:val="right" w:pos="8838"/>
                  </w:tabs>
                  <w:ind w:right="-107"/>
                  <w:rPr>
                    <w:rFonts w:eastAsia="Calibri" w:cs="Tahoma"/>
                    <w:b/>
                    <w:bCs/>
                    <w:lang w:val="es-MX"/>
                  </w:rPr>
                </w:pPr>
                <w:r w:rsidRPr="001759BA">
                  <w:rPr>
                    <w:rFonts w:eastAsia="Calibri" w:cs="Tahoma"/>
                    <w:b/>
                    <w:bCs/>
                    <w:lang w:val="es-MX"/>
                  </w:rPr>
                  <w:t>Recurrente:</w:t>
                </w:r>
              </w:p>
            </w:tc>
            <w:tc>
              <w:tcPr>
                <w:tcW w:w="5168" w:type="dxa"/>
              </w:tcPr>
              <w:p w14:paraId="4D5C37D5" w14:textId="287C29AA" w:rsidR="00FC20CC" w:rsidRPr="003405AF" w:rsidRDefault="00D4609D" w:rsidP="00BE170F">
                <w:pPr>
                  <w:tabs>
                    <w:tab w:val="right" w:pos="8838"/>
                  </w:tabs>
                  <w:ind w:right="-107"/>
                  <w:rPr>
                    <w:rFonts w:eastAsia="Calibri" w:cs="Tahoma"/>
                    <w:lang w:val="es-MX"/>
                  </w:rPr>
                </w:pPr>
                <w:r w:rsidRPr="00D4609D">
                  <w:rPr>
                    <w:rFonts w:eastAsia="Calibri" w:cs="Tahoma"/>
                    <w:highlight w:val="black"/>
                    <w:lang w:val="es-MX"/>
                  </w:rPr>
                  <w:t>XXXXXXXXXXXXXXXXXXXX</w:t>
                </w:r>
              </w:p>
            </w:tc>
          </w:tr>
          <w:tr w:rsidR="00BE170F" w:rsidRPr="001759BA" w14:paraId="40A995EA" w14:textId="77777777" w:rsidTr="00BE170F">
            <w:trPr>
              <w:trHeight w:val="292"/>
            </w:trPr>
            <w:tc>
              <w:tcPr>
                <w:tcW w:w="2383" w:type="dxa"/>
              </w:tcPr>
              <w:p w14:paraId="7BFD65FA" w14:textId="77777777" w:rsidR="00FC20CC" w:rsidRPr="001759BA" w:rsidRDefault="00FC20CC" w:rsidP="001759BA">
                <w:pPr>
                  <w:tabs>
                    <w:tab w:val="right" w:pos="8838"/>
                  </w:tabs>
                  <w:ind w:right="-107"/>
                  <w:rPr>
                    <w:rFonts w:eastAsia="Calibri" w:cs="Tahoma"/>
                    <w:b/>
                    <w:bCs/>
                    <w:lang w:val="es-MX"/>
                  </w:rPr>
                </w:pPr>
                <w:r w:rsidRPr="001759BA">
                  <w:rPr>
                    <w:rFonts w:eastAsia="Calibri" w:cs="Tahoma"/>
                    <w:b/>
                    <w:bCs/>
                    <w:lang w:val="es-MX"/>
                  </w:rPr>
                  <w:t>Sujeto Obligado:</w:t>
                </w:r>
              </w:p>
            </w:tc>
            <w:tc>
              <w:tcPr>
                <w:tcW w:w="5168" w:type="dxa"/>
              </w:tcPr>
              <w:p w14:paraId="433E1B49" w14:textId="78AF1883" w:rsidR="00FC20CC" w:rsidRPr="00245DE1" w:rsidRDefault="001759BA" w:rsidP="00BE170F">
                <w:pPr>
                  <w:tabs>
                    <w:tab w:val="right" w:pos="8838"/>
                  </w:tabs>
                  <w:ind w:right="959"/>
                  <w:rPr>
                    <w:rFonts w:eastAsia="Calibri" w:cs="Tahoma"/>
                    <w:lang w:val="es-MX"/>
                  </w:rPr>
                </w:pPr>
                <w:r w:rsidRPr="001759BA">
                  <w:rPr>
                    <w:rFonts w:eastAsia="Calibri" w:cs="Tahoma"/>
                    <w:lang w:val="es-MX"/>
                  </w:rPr>
                  <w:t>Instituto de Transparencia, Acceso a la Información Pública y Protección de Datos Personales del Estado de México y Municipios</w:t>
                </w:r>
              </w:p>
            </w:tc>
          </w:tr>
          <w:tr w:rsidR="00BE170F" w:rsidRPr="001759BA" w14:paraId="386AB112" w14:textId="77777777" w:rsidTr="00BE170F">
            <w:trPr>
              <w:trHeight w:val="292"/>
            </w:trPr>
            <w:tc>
              <w:tcPr>
                <w:tcW w:w="2383" w:type="dxa"/>
              </w:tcPr>
              <w:p w14:paraId="44E8F60B" w14:textId="77777777" w:rsidR="00FC20CC" w:rsidRPr="001759BA" w:rsidRDefault="00FC20CC" w:rsidP="001759BA">
                <w:pPr>
                  <w:tabs>
                    <w:tab w:val="right" w:pos="8838"/>
                  </w:tabs>
                  <w:ind w:right="-107"/>
                  <w:rPr>
                    <w:rFonts w:eastAsia="Calibri" w:cs="Tahoma"/>
                    <w:b/>
                    <w:bCs/>
                    <w:lang w:val="es-MX"/>
                  </w:rPr>
                </w:pPr>
                <w:r w:rsidRPr="001759BA">
                  <w:rPr>
                    <w:rFonts w:eastAsia="Calibri" w:cs="Tahoma"/>
                    <w:b/>
                    <w:bCs/>
                    <w:lang w:val="es-MX"/>
                  </w:rPr>
                  <w:t>Comisionado Ponente:</w:t>
                </w:r>
              </w:p>
            </w:tc>
            <w:tc>
              <w:tcPr>
                <w:tcW w:w="5168" w:type="dxa"/>
              </w:tcPr>
              <w:p w14:paraId="3833DB23" w14:textId="77777777" w:rsidR="00FC20CC" w:rsidRPr="00A8173F" w:rsidRDefault="00FC20CC" w:rsidP="00BE170F">
                <w:pPr>
                  <w:tabs>
                    <w:tab w:val="right" w:pos="8838"/>
                  </w:tabs>
                  <w:ind w:right="-107"/>
                  <w:rPr>
                    <w:rFonts w:eastAsia="Calibri" w:cs="Tahoma"/>
                    <w:lang w:val="es-MX"/>
                  </w:rPr>
                </w:pPr>
                <w:r w:rsidRPr="00A8173F">
                  <w:rPr>
                    <w:rFonts w:eastAsia="Calibri" w:cs="Tahoma"/>
                    <w:lang w:val="es-MX"/>
                  </w:rPr>
                  <w:t>Luis Gustavo Parra Noriega</w:t>
                </w:r>
              </w:p>
            </w:tc>
          </w:tr>
        </w:tbl>
        <w:p w14:paraId="7017D3D5" w14:textId="77777777" w:rsidR="00FC20CC" w:rsidRPr="001759BA" w:rsidRDefault="00FC20CC" w:rsidP="001759BA">
          <w:pPr>
            <w:tabs>
              <w:tab w:val="right" w:pos="8838"/>
            </w:tabs>
            <w:spacing w:after="0" w:line="240" w:lineRule="auto"/>
            <w:ind w:left="-28" w:right="-107"/>
            <w:rPr>
              <w:rFonts w:eastAsia="Calibri" w:cs="Tahoma"/>
            </w:rPr>
          </w:pPr>
        </w:p>
      </w:tc>
    </w:tr>
  </w:tbl>
  <w:p w14:paraId="280F3B20" w14:textId="77777777" w:rsidR="00FC20CC" w:rsidRDefault="003A6814">
    <w:pPr>
      <w:pStyle w:val="Encabezado"/>
    </w:pPr>
    <w:r>
      <w:rPr>
        <w:noProof/>
      </w:rPr>
      <w:pict w14:anchorId="3F987CB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12024031" o:spid="_x0000_s2049" type="#_x0000_t75" alt="MARCA DE AGUA - HOJA RESOLUCIÓN" style="position:absolute;left:0;text-align:left;margin-left:-97.1pt;margin-top:-127.6pt;width:663.5pt;height:12in;z-index:-251655168;mso-wrap-edited:f;mso-width-percent:0;mso-height-percent:0;mso-position-horizontal-relative:margin;mso-position-vertical-relative:margin;mso-width-percent:0;mso-height-percent:0" o:allowincell="f">
          <v:imagedata r:id="rId1" o:title="MARCA DE AGUA - HOJA RESOLUCIÓN"/>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6E10D4"/>
    <w:multiLevelType w:val="hybridMultilevel"/>
    <w:tmpl w:val="D494AEE6"/>
    <w:lvl w:ilvl="0" w:tplc="080A0001">
      <w:start w:val="1"/>
      <w:numFmt w:val="bullet"/>
      <w:lvlText w:val=""/>
      <w:lvlJc w:val="left"/>
      <w:pPr>
        <w:ind w:left="1800" w:hanging="360"/>
      </w:pPr>
      <w:rPr>
        <w:rFonts w:ascii="Symbol" w:hAnsi="Symbol" w:hint="default"/>
      </w:rPr>
    </w:lvl>
    <w:lvl w:ilvl="1" w:tplc="080A0003" w:tentative="1">
      <w:start w:val="1"/>
      <w:numFmt w:val="bullet"/>
      <w:lvlText w:val="o"/>
      <w:lvlJc w:val="left"/>
      <w:pPr>
        <w:ind w:left="2520" w:hanging="360"/>
      </w:pPr>
      <w:rPr>
        <w:rFonts w:ascii="Courier New" w:hAnsi="Courier New" w:cs="Courier New" w:hint="default"/>
      </w:rPr>
    </w:lvl>
    <w:lvl w:ilvl="2" w:tplc="080A0005" w:tentative="1">
      <w:start w:val="1"/>
      <w:numFmt w:val="bullet"/>
      <w:lvlText w:val=""/>
      <w:lvlJc w:val="left"/>
      <w:pPr>
        <w:ind w:left="3240" w:hanging="360"/>
      </w:pPr>
      <w:rPr>
        <w:rFonts w:ascii="Wingdings" w:hAnsi="Wingdings" w:hint="default"/>
      </w:rPr>
    </w:lvl>
    <w:lvl w:ilvl="3" w:tplc="080A0001" w:tentative="1">
      <w:start w:val="1"/>
      <w:numFmt w:val="bullet"/>
      <w:lvlText w:val=""/>
      <w:lvlJc w:val="left"/>
      <w:pPr>
        <w:ind w:left="3960" w:hanging="360"/>
      </w:pPr>
      <w:rPr>
        <w:rFonts w:ascii="Symbol" w:hAnsi="Symbol" w:hint="default"/>
      </w:rPr>
    </w:lvl>
    <w:lvl w:ilvl="4" w:tplc="080A0003" w:tentative="1">
      <w:start w:val="1"/>
      <w:numFmt w:val="bullet"/>
      <w:lvlText w:val="o"/>
      <w:lvlJc w:val="left"/>
      <w:pPr>
        <w:ind w:left="4680" w:hanging="360"/>
      </w:pPr>
      <w:rPr>
        <w:rFonts w:ascii="Courier New" w:hAnsi="Courier New" w:cs="Courier New" w:hint="default"/>
      </w:rPr>
    </w:lvl>
    <w:lvl w:ilvl="5" w:tplc="080A0005" w:tentative="1">
      <w:start w:val="1"/>
      <w:numFmt w:val="bullet"/>
      <w:lvlText w:val=""/>
      <w:lvlJc w:val="left"/>
      <w:pPr>
        <w:ind w:left="5400" w:hanging="360"/>
      </w:pPr>
      <w:rPr>
        <w:rFonts w:ascii="Wingdings" w:hAnsi="Wingdings" w:hint="default"/>
      </w:rPr>
    </w:lvl>
    <w:lvl w:ilvl="6" w:tplc="080A0001" w:tentative="1">
      <w:start w:val="1"/>
      <w:numFmt w:val="bullet"/>
      <w:lvlText w:val=""/>
      <w:lvlJc w:val="left"/>
      <w:pPr>
        <w:ind w:left="6120" w:hanging="360"/>
      </w:pPr>
      <w:rPr>
        <w:rFonts w:ascii="Symbol" w:hAnsi="Symbol" w:hint="default"/>
      </w:rPr>
    </w:lvl>
    <w:lvl w:ilvl="7" w:tplc="080A0003" w:tentative="1">
      <w:start w:val="1"/>
      <w:numFmt w:val="bullet"/>
      <w:lvlText w:val="o"/>
      <w:lvlJc w:val="left"/>
      <w:pPr>
        <w:ind w:left="6840" w:hanging="360"/>
      </w:pPr>
      <w:rPr>
        <w:rFonts w:ascii="Courier New" w:hAnsi="Courier New" w:cs="Courier New" w:hint="default"/>
      </w:rPr>
    </w:lvl>
    <w:lvl w:ilvl="8" w:tplc="080A0005" w:tentative="1">
      <w:start w:val="1"/>
      <w:numFmt w:val="bullet"/>
      <w:lvlText w:val=""/>
      <w:lvlJc w:val="left"/>
      <w:pPr>
        <w:ind w:left="7560" w:hanging="360"/>
      </w:pPr>
      <w:rPr>
        <w:rFonts w:ascii="Wingdings" w:hAnsi="Wingdings" w:hint="default"/>
      </w:rPr>
    </w:lvl>
  </w:abstractNum>
  <w:abstractNum w:abstractNumId="1" w15:restartNumberingAfterBreak="0">
    <w:nsid w:val="57A062DB"/>
    <w:multiLevelType w:val="hybridMultilevel"/>
    <w:tmpl w:val="56D8FF4A"/>
    <w:lvl w:ilvl="0" w:tplc="080A000F">
      <w:start w:val="1"/>
      <w:numFmt w:val="decimal"/>
      <w:lvlText w:val="%1."/>
      <w:lvlJc w:val="left"/>
      <w:pPr>
        <w:ind w:left="1800" w:hanging="360"/>
      </w:pPr>
      <w:rPr>
        <w:rFonts w:hint="default"/>
      </w:rPr>
    </w:lvl>
    <w:lvl w:ilvl="1" w:tplc="FFFFFFFF" w:tentative="1">
      <w:start w:val="1"/>
      <w:numFmt w:val="bullet"/>
      <w:lvlText w:val="o"/>
      <w:lvlJc w:val="left"/>
      <w:pPr>
        <w:ind w:left="2520" w:hanging="360"/>
      </w:pPr>
      <w:rPr>
        <w:rFonts w:ascii="Courier New" w:hAnsi="Courier New" w:cs="Courier New" w:hint="default"/>
      </w:rPr>
    </w:lvl>
    <w:lvl w:ilvl="2" w:tplc="FFFFFFFF" w:tentative="1">
      <w:start w:val="1"/>
      <w:numFmt w:val="bullet"/>
      <w:lvlText w:val=""/>
      <w:lvlJc w:val="left"/>
      <w:pPr>
        <w:ind w:left="3240" w:hanging="360"/>
      </w:pPr>
      <w:rPr>
        <w:rFonts w:ascii="Wingdings" w:hAnsi="Wingdings" w:hint="default"/>
      </w:rPr>
    </w:lvl>
    <w:lvl w:ilvl="3" w:tplc="FFFFFFFF" w:tentative="1">
      <w:start w:val="1"/>
      <w:numFmt w:val="bullet"/>
      <w:lvlText w:val=""/>
      <w:lvlJc w:val="left"/>
      <w:pPr>
        <w:ind w:left="3960" w:hanging="360"/>
      </w:pPr>
      <w:rPr>
        <w:rFonts w:ascii="Symbol" w:hAnsi="Symbol" w:hint="default"/>
      </w:rPr>
    </w:lvl>
    <w:lvl w:ilvl="4" w:tplc="FFFFFFFF" w:tentative="1">
      <w:start w:val="1"/>
      <w:numFmt w:val="bullet"/>
      <w:lvlText w:val="o"/>
      <w:lvlJc w:val="left"/>
      <w:pPr>
        <w:ind w:left="4680" w:hanging="360"/>
      </w:pPr>
      <w:rPr>
        <w:rFonts w:ascii="Courier New" w:hAnsi="Courier New" w:cs="Courier New" w:hint="default"/>
      </w:rPr>
    </w:lvl>
    <w:lvl w:ilvl="5" w:tplc="FFFFFFFF" w:tentative="1">
      <w:start w:val="1"/>
      <w:numFmt w:val="bullet"/>
      <w:lvlText w:val=""/>
      <w:lvlJc w:val="left"/>
      <w:pPr>
        <w:ind w:left="5400" w:hanging="360"/>
      </w:pPr>
      <w:rPr>
        <w:rFonts w:ascii="Wingdings" w:hAnsi="Wingdings" w:hint="default"/>
      </w:rPr>
    </w:lvl>
    <w:lvl w:ilvl="6" w:tplc="FFFFFFFF" w:tentative="1">
      <w:start w:val="1"/>
      <w:numFmt w:val="bullet"/>
      <w:lvlText w:val=""/>
      <w:lvlJc w:val="left"/>
      <w:pPr>
        <w:ind w:left="6120" w:hanging="360"/>
      </w:pPr>
      <w:rPr>
        <w:rFonts w:ascii="Symbol" w:hAnsi="Symbol" w:hint="default"/>
      </w:rPr>
    </w:lvl>
    <w:lvl w:ilvl="7" w:tplc="FFFFFFFF" w:tentative="1">
      <w:start w:val="1"/>
      <w:numFmt w:val="bullet"/>
      <w:lvlText w:val="o"/>
      <w:lvlJc w:val="left"/>
      <w:pPr>
        <w:ind w:left="6840" w:hanging="360"/>
      </w:pPr>
      <w:rPr>
        <w:rFonts w:ascii="Courier New" w:hAnsi="Courier New" w:cs="Courier New" w:hint="default"/>
      </w:rPr>
    </w:lvl>
    <w:lvl w:ilvl="8" w:tplc="FFFFFFFF" w:tentative="1">
      <w:start w:val="1"/>
      <w:numFmt w:val="bullet"/>
      <w:lvlText w:val=""/>
      <w:lvlJc w:val="left"/>
      <w:pPr>
        <w:ind w:left="7560" w:hanging="360"/>
      </w:pPr>
      <w:rPr>
        <w:rFonts w:ascii="Wingdings" w:hAnsi="Wingdings" w:hint="default"/>
      </w:rPr>
    </w:lvl>
  </w:abstractNum>
  <w:abstractNum w:abstractNumId="2" w15:restartNumberingAfterBreak="0">
    <w:nsid w:val="6DED7307"/>
    <w:multiLevelType w:val="hybridMultilevel"/>
    <w:tmpl w:val="A5342AEA"/>
    <w:lvl w:ilvl="0" w:tplc="D3EA5D96">
      <w:start w:val="1"/>
      <w:numFmt w:val="decimal"/>
      <w:lvlText w:val="%1."/>
      <w:lvlJc w:val="left"/>
      <w:pPr>
        <w:tabs>
          <w:tab w:val="num" w:pos="720"/>
        </w:tabs>
        <w:ind w:left="720" w:hanging="360"/>
      </w:pPr>
      <w:rPr>
        <w:b/>
      </w:rPr>
    </w:lvl>
    <w:lvl w:ilvl="1" w:tplc="080A0019">
      <w:start w:val="1"/>
      <w:numFmt w:val="decimal"/>
      <w:lvlText w:val="%2."/>
      <w:lvlJc w:val="left"/>
      <w:pPr>
        <w:tabs>
          <w:tab w:val="num" w:pos="1440"/>
        </w:tabs>
        <w:ind w:left="1440" w:hanging="360"/>
      </w:pPr>
    </w:lvl>
    <w:lvl w:ilvl="2" w:tplc="080A001B">
      <w:start w:val="1"/>
      <w:numFmt w:val="decimal"/>
      <w:lvlText w:val="%3."/>
      <w:lvlJc w:val="left"/>
      <w:pPr>
        <w:tabs>
          <w:tab w:val="num" w:pos="2160"/>
        </w:tabs>
        <w:ind w:left="2160" w:hanging="360"/>
      </w:pPr>
    </w:lvl>
    <w:lvl w:ilvl="3" w:tplc="080A000F">
      <w:start w:val="1"/>
      <w:numFmt w:val="decimal"/>
      <w:lvlText w:val="%4."/>
      <w:lvlJc w:val="left"/>
      <w:pPr>
        <w:tabs>
          <w:tab w:val="num" w:pos="2880"/>
        </w:tabs>
        <w:ind w:left="2880" w:hanging="360"/>
      </w:pPr>
    </w:lvl>
    <w:lvl w:ilvl="4" w:tplc="080A0019">
      <w:start w:val="1"/>
      <w:numFmt w:val="decimal"/>
      <w:lvlText w:val="%5."/>
      <w:lvlJc w:val="left"/>
      <w:pPr>
        <w:tabs>
          <w:tab w:val="num" w:pos="3600"/>
        </w:tabs>
        <w:ind w:left="3600" w:hanging="360"/>
      </w:pPr>
    </w:lvl>
    <w:lvl w:ilvl="5" w:tplc="080A001B">
      <w:start w:val="1"/>
      <w:numFmt w:val="decimal"/>
      <w:lvlText w:val="%6."/>
      <w:lvlJc w:val="left"/>
      <w:pPr>
        <w:tabs>
          <w:tab w:val="num" w:pos="4320"/>
        </w:tabs>
        <w:ind w:left="4320" w:hanging="360"/>
      </w:pPr>
    </w:lvl>
    <w:lvl w:ilvl="6" w:tplc="080A000F">
      <w:start w:val="1"/>
      <w:numFmt w:val="decimal"/>
      <w:lvlText w:val="%7."/>
      <w:lvlJc w:val="left"/>
      <w:pPr>
        <w:tabs>
          <w:tab w:val="num" w:pos="5040"/>
        </w:tabs>
        <w:ind w:left="5040" w:hanging="360"/>
      </w:pPr>
    </w:lvl>
    <w:lvl w:ilvl="7" w:tplc="080A0019">
      <w:start w:val="1"/>
      <w:numFmt w:val="decimal"/>
      <w:lvlText w:val="%8."/>
      <w:lvlJc w:val="left"/>
      <w:pPr>
        <w:tabs>
          <w:tab w:val="num" w:pos="5760"/>
        </w:tabs>
        <w:ind w:left="5760" w:hanging="360"/>
      </w:pPr>
    </w:lvl>
    <w:lvl w:ilvl="8" w:tplc="080A001B">
      <w:start w:val="1"/>
      <w:numFmt w:val="decimal"/>
      <w:lvlText w:val="%9."/>
      <w:lvlJc w:val="left"/>
      <w:pPr>
        <w:tabs>
          <w:tab w:val="num" w:pos="6480"/>
        </w:tabs>
        <w:ind w:left="6480" w:hanging="360"/>
      </w:pPr>
    </w:lvl>
  </w:abstractNum>
  <w:abstractNum w:abstractNumId="3" w15:restartNumberingAfterBreak="0">
    <w:nsid w:val="74982F1C"/>
    <w:multiLevelType w:val="hybridMultilevel"/>
    <w:tmpl w:val="EC144290"/>
    <w:lvl w:ilvl="0" w:tplc="0A0E19A2">
      <w:start w:val="1"/>
      <w:numFmt w:val="lowerLetter"/>
      <w:lvlText w:val="%1)"/>
      <w:lvlJc w:val="left"/>
      <w:pPr>
        <w:ind w:left="720" w:hanging="360"/>
      </w:pPr>
      <w:rPr>
        <w:b/>
        <w:bCs/>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3D1"/>
    <w:rsid w:val="00001F87"/>
    <w:rsid w:val="00002E53"/>
    <w:rsid w:val="000039BC"/>
    <w:rsid w:val="000051F1"/>
    <w:rsid w:val="000058AA"/>
    <w:rsid w:val="00005A5B"/>
    <w:rsid w:val="00007008"/>
    <w:rsid w:val="00007EB8"/>
    <w:rsid w:val="00012B27"/>
    <w:rsid w:val="0001499A"/>
    <w:rsid w:val="00015585"/>
    <w:rsid w:val="00015EBC"/>
    <w:rsid w:val="0001749A"/>
    <w:rsid w:val="00017D8C"/>
    <w:rsid w:val="00020AE4"/>
    <w:rsid w:val="00021119"/>
    <w:rsid w:val="00021314"/>
    <w:rsid w:val="000223B0"/>
    <w:rsid w:val="00025D1D"/>
    <w:rsid w:val="00027765"/>
    <w:rsid w:val="00027E70"/>
    <w:rsid w:val="00027FA3"/>
    <w:rsid w:val="00030561"/>
    <w:rsid w:val="0003469B"/>
    <w:rsid w:val="00034DB8"/>
    <w:rsid w:val="000377E6"/>
    <w:rsid w:val="00037BF0"/>
    <w:rsid w:val="000414ED"/>
    <w:rsid w:val="00044D15"/>
    <w:rsid w:val="000477C6"/>
    <w:rsid w:val="0005010C"/>
    <w:rsid w:val="00052A57"/>
    <w:rsid w:val="000532A4"/>
    <w:rsid w:val="00055A53"/>
    <w:rsid w:val="00055CC6"/>
    <w:rsid w:val="00056376"/>
    <w:rsid w:val="00056FE5"/>
    <w:rsid w:val="00062AAC"/>
    <w:rsid w:val="00062C8B"/>
    <w:rsid w:val="0006568C"/>
    <w:rsid w:val="000667C9"/>
    <w:rsid w:val="00070106"/>
    <w:rsid w:val="000705A9"/>
    <w:rsid w:val="00073DFC"/>
    <w:rsid w:val="00081145"/>
    <w:rsid w:val="00083EB1"/>
    <w:rsid w:val="00085475"/>
    <w:rsid w:val="000939CD"/>
    <w:rsid w:val="00096694"/>
    <w:rsid w:val="000A21C7"/>
    <w:rsid w:val="000A23AF"/>
    <w:rsid w:val="000A2588"/>
    <w:rsid w:val="000A259F"/>
    <w:rsid w:val="000A5C42"/>
    <w:rsid w:val="000A61A2"/>
    <w:rsid w:val="000A785D"/>
    <w:rsid w:val="000B0EAF"/>
    <w:rsid w:val="000B7029"/>
    <w:rsid w:val="000C3C46"/>
    <w:rsid w:val="000C575A"/>
    <w:rsid w:val="000C5B37"/>
    <w:rsid w:val="000C715C"/>
    <w:rsid w:val="000D1A72"/>
    <w:rsid w:val="000D2522"/>
    <w:rsid w:val="000D45D9"/>
    <w:rsid w:val="000D59F5"/>
    <w:rsid w:val="000D69EB"/>
    <w:rsid w:val="000D6E68"/>
    <w:rsid w:val="000D73F7"/>
    <w:rsid w:val="000D7D95"/>
    <w:rsid w:val="000E28E6"/>
    <w:rsid w:val="000E4E10"/>
    <w:rsid w:val="000E4FFB"/>
    <w:rsid w:val="000F2A9A"/>
    <w:rsid w:val="000F3403"/>
    <w:rsid w:val="000F45A1"/>
    <w:rsid w:val="000F68CA"/>
    <w:rsid w:val="001004CE"/>
    <w:rsid w:val="00100EB3"/>
    <w:rsid w:val="0010232F"/>
    <w:rsid w:val="0010413E"/>
    <w:rsid w:val="001059E3"/>
    <w:rsid w:val="00105EF9"/>
    <w:rsid w:val="001105F1"/>
    <w:rsid w:val="00112CBF"/>
    <w:rsid w:val="00113DEA"/>
    <w:rsid w:val="0011426D"/>
    <w:rsid w:val="00115309"/>
    <w:rsid w:val="00116B7F"/>
    <w:rsid w:val="001202DE"/>
    <w:rsid w:val="00130743"/>
    <w:rsid w:val="00133D43"/>
    <w:rsid w:val="00134C39"/>
    <w:rsid w:val="0013575B"/>
    <w:rsid w:val="00142455"/>
    <w:rsid w:val="00144F37"/>
    <w:rsid w:val="00146731"/>
    <w:rsid w:val="00146DBF"/>
    <w:rsid w:val="00147C40"/>
    <w:rsid w:val="00150C25"/>
    <w:rsid w:val="0015101F"/>
    <w:rsid w:val="0015238A"/>
    <w:rsid w:val="001601CC"/>
    <w:rsid w:val="001605D3"/>
    <w:rsid w:val="00161CCB"/>
    <w:rsid w:val="00161E74"/>
    <w:rsid w:val="001644F8"/>
    <w:rsid w:val="00164599"/>
    <w:rsid w:val="001666AB"/>
    <w:rsid w:val="001675D9"/>
    <w:rsid w:val="0017201C"/>
    <w:rsid w:val="0017347E"/>
    <w:rsid w:val="0017427D"/>
    <w:rsid w:val="001744F3"/>
    <w:rsid w:val="00174F57"/>
    <w:rsid w:val="001750C0"/>
    <w:rsid w:val="00175572"/>
    <w:rsid w:val="001759BA"/>
    <w:rsid w:val="0017663D"/>
    <w:rsid w:val="001777AD"/>
    <w:rsid w:val="00177F5C"/>
    <w:rsid w:val="00180003"/>
    <w:rsid w:val="001829E9"/>
    <w:rsid w:val="00185619"/>
    <w:rsid w:val="00186135"/>
    <w:rsid w:val="00186DDE"/>
    <w:rsid w:val="001900B4"/>
    <w:rsid w:val="00190EBA"/>
    <w:rsid w:val="00190FE7"/>
    <w:rsid w:val="001935D3"/>
    <w:rsid w:val="00193D30"/>
    <w:rsid w:val="00194DD1"/>
    <w:rsid w:val="0019678D"/>
    <w:rsid w:val="001971C9"/>
    <w:rsid w:val="00197B15"/>
    <w:rsid w:val="001A2DE8"/>
    <w:rsid w:val="001A42BF"/>
    <w:rsid w:val="001A5672"/>
    <w:rsid w:val="001A641F"/>
    <w:rsid w:val="001B3B40"/>
    <w:rsid w:val="001B77BD"/>
    <w:rsid w:val="001C058D"/>
    <w:rsid w:val="001C1007"/>
    <w:rsid w:val="001C35D9"/>
    <w:rsid w:val="001C3C7E"/>
    <w:rsid w:val="001C3D02"/>
    <w:rsid w:val="001C5106"/>
    <w:rsid w:val="001C6764"/>
    <w:rsid w:val="001D02DD"/>
    <w:rsid w:val="001D24AC"/>
    <w:rsid w:val="001D3222"/>
    <w:rsid w:val="001D37BB"/>
    <w:rsid w:val="001D50E9"/>
    <w:rsid w:val="001D7DF9"/>
    <w:rsid w:val="001E1C91"/>
    <w:rsid w:val="001E386E"/>
    <w:rsid w:val="001E5E8C"/>
    <w:rsid w:val="001E6D1F"/>
    <w:rsid w:val="001F13E7"/>
    <w:rsid w:val="001F4A28"/>
    <w:rsid w:val="001F6455"/>
    <w:rsid w:val="001F7986"/>
    <w:rsid w:val="001F7C51"/>
    <w:rsid w:val="001F7D88"/>
    <w:rsid w:val="002032F2"/>
    <w:rsid w:val="00204AF1"/>
    <w:rsid w:val="00205611"/>
    <w:rsid w:val="002070CA"/>
    <w:rsid w:val="0021081F"/>
    <w:rsid w:val="002111A8"/>
    <w:rsid w:val="00213776"/>
    <w:rsid w:val="00220583"/>
    <w:rsid w:val="0022261D"/>
    <w:rsid w:val="0022295E"/>
    <w:rsid w:val="00232369"/>
    <w:rsid w:val="00234580"/>
    <w:rsid w:val="00234F20"/>
    <w:rsid w:val="002351C8"/>
    <w:rsid w:val="00235BA0"/>
    <w:rsid w:val="0023734D"/>
    <w:rsid w:val="002402DE"/>
    <w:rsid w:val="002408C5"/>
    <w:rsid w:val="002419E9"/>
    <w:rsid w:val="0024301C"/>
    <w:rsid w:val="0024313A"/>
    <w:rsid w:val="00245DE1"/>
    <w:rsid w:val="002512D8"/>
    <w:rsid w:val="00252EF3"/>
    <w:rsid w:val="00253390"/>
    <w:rsid w:val="0025433F"/>
    <w:rsid w:val="00254EC3"/>
    <w:rsid w:val="002557A7"/>
    <w:rsid w:val="00256D83"/>
    <w:rsid w:val="0025728E"/>
    <w:rsid w:val="00257F3B"/>
    <w:rsid w:val="00260112"/>
    <w:rsid w:val="00260AAA"/>
    <w:rsid w:val="002614EF"/>
    <w:rsid w:val="00261807"/>
    <w:rsid w:val="00261B52"/>
    <w:rsid w:val="00261BED"/>
    <w:rsid w:val="002634E5"/>
    <w:rsid w:val="00270784"/>
    <w:rsid w:val="002718A0"/>
    <w:rsid w:val="00271D9C"/>
    <w:rsid w:val="00272886"/>
    <w:rsid w:val="00272A03"/>
    <w:rsid w:val="00272C1E"/>
    <w:rsid w:val="00273986"/>
    <w:rsid w:val="00273E3B"/>
    <w:rsid w:val="002753DA"/>
    <w:rsid w:val="002761D7"/>
    <w:rsid w:val="00276671"/>
    <w:rsid w:val="00277FCF"/>
    <w:rsid w:val="00280669"/>
    <w:rsid w:val="00281D05"/>
    <w:rsid w:val="0028305A"/>
    <w:rsid w:val="002831CB"/>
    <w:rsid w:val="00284D5C"/>
    <w:rsid w:val="00285302"/>
    <w:rsid w:val="002908BE"/>
    <w:rsid w:val="002943D0"/>
    <w:rsid w:val="00296E2A"/>
    <w:rsid w:val="002A2CCD"/>
    <w:rsid w:val="002A4FFC"/>
    <w:rsid w:val="002A612A"/>
    <w:rsid w:val="002A6A13"/>
    <w:rsid w:val="002B1235"/>
    <w:rsid w:val="002B258A"/>
    <w:rsid w:val="002B3565"/>
    <w:rsid w:val="002B3FDA"/>
    <w:rsid w:val="002B54AE"/>
    <w:rsid w:val="002B6568"/>
    <w:rsid w:val="002B6B44"/>
    <w:rsid w:val="002C0375"/>
    <w:rsid w:val="002C35F7"/>
    <w:rsid w:val="002C4D51"/>
    <w:rsid w:val="002C514D"/>
    <w:rsid w:val="002C59A0"/>
    <w:rsid w:val="002C5B0F"/>
    <w:rsid w:val="002C6390"/>
    <w:rsid w:val="002C7309"/>
    <w:rsid w:val="002C7496"/>
    <w:rsid w:val="002D2E5D"/>
    <w:rsid w:val="002D4420"/>
    <w:rsid w:val="002E0552"/>
    <w:rsid w:val="002E05D6"/>
    <w:rsid w:val="002E0FA2"/>
    <w:rsid w:val="002E1FAC"/>
    <w:rsid w:val="002E21F5"/>
    <w:rsid w:val="002E25E7"/>
    <w:rsid w:val="002E3226"/>
    <w:rsid w:val="002E333F"/>
    <w:rsid w:val="002E33E8"/>
    <w:rsid w:val="002E340D"/>
    <w:rsid w:val="002E4593"/>
    <w:rsid w:val="002E5CED"/>
    <w:rsid w:val="002E663D"/>
    <w:rsid w:val="002E69B6"/>
    <w:rsid w:val="002E7320"/>
    <w:rsid w:val="002F5822"/>
    <w:rsid w:val="00300286"/>
    <w:rsid w:val="00306450"/>
    <w:rsid w:val="003066DB"/>
    <w:rsid w:val="00310C14"/>
    <w:rsid w:val="00311288"/>
    <w:rsid w:val="003114A1"/>
    <w:rsid w:val="00311811"/>
    <w:rsid w:val="003132E9"/>
    <w:rsid w:val="003160D6"/>
    <w:rsid w:val="00316C63"/>
    <w:rsid w:val="003170DF"/>
    <w:rsid w:val="00320506"/>
    <w:rsid w:val="00320671"/>
    <w:rsid w:val="00320B93"/>
    <w:rsid w:val="00325337"/>
    <w:rsid w:val="003265A2"/>
    <w:rsid w:val="00327CBD"/>
    <w:rsid w:val="003305F2"/>
    <w:rsid w:val="00331D5B"/>
    <w:rsid w:val="00334B20"/>
    <w:rsid w:val="00335126"/>
    <w:rsid w:val="003361B1"/>
    <w:rsid w:val="00336980"/>
    <w:rsid w:val="0033737B"/>
    <w:rsid w:val="003412CD"/>
    <w:rsid w:val="00343743"/>
    <w:rsid w:val="00343DB5"/>
    <w:rsid w:val="0034462A"/>
    <w:rsid w:val="00345528"/>
    <w:rsid w:val="00350D55"/>
    <w:rsid w:val="003537E3"/>
    <w:rsid w:val="00355553"/>
    <w:rsid w:val="00360690"/>
    <w:rsid w:val="00362DE2"/>
    <w:rsid w:val="00363046"/>
    <w:rsid w:val="0036457B"/>
    <w:rsid w:val="003647F7"/>
    <w:rsid w:val="00365075"/>
    <w:rsid w:val="0036556C"/>
    <w:rsid w:val="00365A65"/>
    <w:rsid w:val="00367659"/>
    <w:rsid w:val="00371DAE"/>
    <w:rsid w:val="00372BAB"/>
    <w:rsid w:val="00374361"/>
    <w:rsid w:val="003751F2"/>
    <w:rsid w:val="00376559"/>
    <w:rsid w:val="00376DB7"/>
    <w:rsid w:val="00380368"/>
    <w:rsid w:val="00381FDE"/>
    <w:rsid w:val="003830E7"/>
    <w:rsid w:val="0038387E"/>
    <w:rsid w:val="00384A4A"/>
    <w:rsid w:val="00386E03"/>
    <w:rsid w:val="003870B0"/>
    <w:rsid w:val="0038779D"/>
    <w:rsid w:val="003936D2"/>
    <w:rsid w:val="003955C4"/>
    <w:rsid w:val="003975AD"/>
    <w:rsid w:val="00397660"/>
    <w:rsid w:val="003A1B84"/>
    <w:rsid w:val="003A23D2"/>
    <w:rsid w:val="003A3FDA"/>
    <w:rsid w:val="003A44EE"/>
    <w:rsid w:val="003A6814"/>
    <w:rsid w:val="003B0BA2"/>
    <w:rsid w:val="003B13F1"/>
    <w:rsid w:val="003B39B8"/>
    <w:rsid w:val="003B46DC"/>
    <w:rsid w:val="003B6F89"/>
    <w:rsid w:val="003C2ED7"/>
    <w:rsid w:val="003C39EE"/>
    <w:rsid w:val="003C3E59"/>
    <w:rsid w:val="003C470A"/>
    <w:rsid w:val="003C537A"/>
    <w:rsid w:val="003C5B59"/>
    <w:rsid w:val="003C5D65"/>
    <w:rsid w:val="003D0092"/>
    <w:rsid w:val="003D01BC"/>
    <w:rsid w:val="003D15D4"/>
    <w:rsid w:val="003D2029"/>
    <w:rsid w:val="003D30B4"/>
    <w:rsid w:val="003D4A58"/>
    <w:rsid w:val="003D4C8E"/>
    <w:rsid w:val="003D5D1A"/>
    <w:rsid w:val="003D602D"/>
    <w:rsid w:val="003D7C1D"/>
    <w:rsid w:val="003D7ED4"/>
    <w:rsid w:val="003E2A04"/>
    <w:rsid w:val="003E2FB0"/>
    <w:rsid w:val="003E454A"/>
    <w:rsid w:val="003E6181"/>
    <w:rsid w:val="003E633C"/>
    <w:rsid w:val="003E6425"/>
    <w:rsid w:val="003E65C4"/>
    <w:rsid w:val="003E7060"/>
    <w:rsid w:val="003F0CE1"/>
    <w:rsid w:val="003F0E14"/>
    <w:rsid w:val="003F0F63"/>
    <w:rsid w:val="003F367A"/>
    <w:rsid w:val="003F3E73"/>
    <w:rsid w:val="003F5DA4"/>
    <w:rsid w:val="003F7951"/>
    <w:rsid w:val="003F7A2D"/>
    <w:rsid w:val="0040312B"/>
    <w:rsid w:val="00403367"/>
    <w:rsid w:val="004059D0"/>
    <w:rsid w:val="00406178"/>
    <w:rsid w:val="004063B6"/>
    <w:rsid w:val="00407122"/>
    <w:rsid w:val="00411555"/>
    <w:rsid w:val="004122A9"/>
    <w:rsid w:val="00414820"/>
    <w:rsid w:val="00415A15"/>
    <w:rsid w:val="0041747F"/>
    <w:rsid w:val="00417EED"/>
    <w:rsid w:val="00420E8D"/>
    <w:rsid w:val="004223A0"/>
    <w:rsid w:val="0042422A"/>
    <w:rsid w:val="00425B82"/>
    <w:rsid w:val="00425CB1"/>
    <w:rsid w:val="00425FF8"/>
    <w:rsid w:val="00430B0D"/>
    <w:rsid w:val="00430BDD"/>
    <w:rsid w:val="00433CAA"/>
    <w:rsid w:val="0043437D"/>
    <w:rsid w:val="0044231A"/>
    <w:rsid w:val="00447887"/>
    <w:rsid w:val="00450E6E"/>
    <w:rsid w:val="00452038"/>
    <w:rsid w:val="00453096"/>
    <w:rsid w:val="00454064"/>
    <w:rsid w:val="004542DC"/>
    <w:rsid w:val="004548CD"/>
    <w:rsid w:val="004566A2"/>
    <w:rsid w:val="00460EAD"/>
    <w:rsid w:val="00461B17"/>
    <w:rsid w:val="00462A63"/>
    <w:rsid w:val="004633F1"/>
    <w:rsid w:val="00463A70"/>
    <w:rsid w:val="00464242"/>
    <w:rsid w:val="00464C14"/>
    <w:rsid w:val="00465EC8"/>
    <w:rsid w:val="004664FA"/>
    <w:rsid w:val="004673C4"/>
    <w:rsid w:val="00467751"/>
    <w:rsid w:val="00470A7A"/>
    <w:rsid w:val="00470AF6"/>
    <w:rsid w:val="004714E9"/>
    <w:rsid w:val="00471A6E"/>
    <w:rsid w:val="00474538"/>
    <w:rsid w:val="00474C17"/>
    <w:rsid w:val="00474E4C"/>
    <w:rsid w:val="00476ED1"/>
    <w:rsid w:val="004822BC"/>
    <w:rsid w:val="004829B9"/>
    <w:rsid w:val="0048648B"/>
    <w:rsid w:val="0049061B"/>
    <w:rsid w:val="004908D3"/>
    <w:rsid w:val="00491C3E"/>
    <w:rsid w:val="004922B6"/>
    <w:rsid w:val="00494387"/>
    <w:rsid w:val="004949AC"/>
    <w:rsid w:val="00496426"/>
    <w:rsid w:val="004A1E88"/>
    <w:rsid w:val="004A27DB"/>
    <w:rsid w:val="004A2EE3"/>
    <w:rsid w:val="004A3DDE"/>
    <w:rsid w:val="004A528D"/>
    <w:rsid w:val="004A5C0B"/>
    <w:rsid w:val="004A62A7"/>
    <w:rsid w:val="004B15BE"/>
    <w:rsid w:val="004B15E8"/>
    <w:rsid w:val="004B2D5B"/>
    <w:rsid w:val="004B5517"/>
    <w:rsid w:val="004B720F"/>
    <w:rsid w:val="004B726A"/>
    <w:rsid w:val="004C0EC0"/>
    <w:rsid w:val="004C19EC"/>
    <w:rsid w:val="004C1B53"/>
    <w:rsid w:val="004C2B99"/>
    <w:rsid w:val="004C34C6"/>
    <w:rsid w:val="004C3C1A"/>
    <w:rsid w:val="004C7405"/>
    <w:rsid w:val="004D099B"/>
    <w:rsid w:val="004D2468"/>
    <w:rsid w:val="004D4220"/>
    <w:rsid w:val="004D66A3"/>
    <w:rsid w:val="004D6DB1"/>
    <w:rsid w:val="004E1BF6"/>
    <w:rsid w:val="004E2875"/>
    <w:rsid w:val="004E45D6"/>
    <w:rsid w:val="004E49BA"/>
    <w:rsid w:val="004E5602"/>
    <w:rsid w:val="004E592B"/>
    <w:rsid w:val="004E617D"/>
    <w:rsid w:val="004E6D06"/>
    <w:rsid w:val="004F3DE8"/>
    <w:rsid w:val="004F4445"/>
    <w:rsid w:val="004F6003"/>
    <w:rsid w:val="004F662C"/>
    <w:rsid w:val="004F736C"/>
    <w:rsid w:val="004F7666"/>
    <w:rsid w:val="0050010E"/>
    <w:rsid w:val="00502912"/>
    <w:rsid w:val="005056F9"/>
    <w:rsid w:val="00506F24"/>
    <w:rsid w:val="00511C06"/>
    <w:rsid w:val="00513F33"/>
    <w:rsid w:val="00514B51"/>
    <w:rsid w:val="00515CA2"/>
    <w:rsid w:val="00516118"/>
    <w:rsid w:val="005171B1"/>
    <w:rsid w:val="00517B06"/>
    <w:rsid w:val="00520182"/>
    <w:rsid w:val="00520E55"/>
    <w:rsid w:val="0052281F"/>
    <w:rsid w:val="00522A03"/>
    <w:rsid w:val="00522F3F"/>
    <w:rsid w:val="005230CF"/>
    <w:rsid w:val="0052470A"/>
    <w:rsid w:val="00524C86"/>
    <w:rsid w:val="005277CB"/>
    <w:rsid w:val="00533C3F"/>
    <w:rsid w:val="00534853"/>
    <w:rsid w:val="00534932"/>
    <w:rsid w:val="0054028E"/>
    <w:rsid w:val="00540994"/>
    <w:rsid w:val="005457BA"/>
    <w:rsid w:val="00550B53"/>
    <w:rsid w:val="00550D10"/>
    <w:rsid w:val="00551230"/>
    <w:rsid w:val="00553DB8"/>
    <w:rsid w:val="00562672"/>
    <w:rsid w:val="00563969"/>
    <w:rsid w:val="00563E84"/>
    <w:rsid w:val="00566942"/>
    <w:rsid w:val="0056713B"/>
    <w:rsid w:val="005706CC"/>
    <w:rsid w:val="00570DDD"/>
    <w:rsid w:val="0057118F"/>
    <w:rsid w:val="00571737"/>
    <w:rsid w:val="00572AAD"/>
    <w:rsid w:val="0057317C"/>
    <w:rsid w:val="005747FF"/>
    <w:rsid w:val="00576254"/>
    <w:rsid w:val="00581915"/>
    <w:rsid w:val="00583138"/>
    <w:rsid w:val="00583F6B"/>
    <w:rsid w:val="00584189"/>
    <w:rsid w:val="005861E7"/>
    <w:rsid w:val="005865A5"/>
    <w:rsid w:val="00587F4F"/>
    <w:rsid w:val="00587FE6"/>
    <w:rsid w:val="0059051D"/>
    <w:rsid w:val="0059279A"/>
    <w:rsid w:val="005937AB"/>
    <w:rsid w:val="00593E62"/>
    <w:rsid w:val="0059523B"/>
    <w:rsid w:val="00596883"/>
    <w:rsid w:val="00597D03"/>
    <w:rsid w:val="005A07C3"/>
    <w:rsid w:val="005A3C21"/>
    <w:rsid w:val="005A43BA"/>
    <w:rsid w:val="005A756B"/>
    <w:rsid w:val="005B4B09"/>
    <w:rsid w:val="005C131D"/>
    <w:rsid w:val="005C21B9"/>
    <w:rsid w:val="005C283A"/>
    <w:rsid w:val="005C40CA"/>
    <w:rsid w:val="005C58EB"/>
    <w:rsid w:val="005C5A16"/>
    <w:rsid w:val="005C6308"/>
    <w:rsid w:val="005C7219"/>
    <w:rsid w:val="005D2E05"/>
    <w:rsid w:val="005D3368"/>
    <w:rsid w:val="005D33E0"/>
    <w:rsid w:val="005D4A87"/>
    <w:rsid w:val="005D6383"/>
    <w:rsid w:val="005E0A33"/>
    <w:rsid w:val="005E1588"/>
    <w:rsid w:val="005E1BAC"/>
    <w:rsid w:val="005E4232"/>
    <w:rsid w:val="005E5646"/>
    <w:rsid w:val="005E7CED"/>
    <w:rsid w:val="005F0729"/>
    <w:rsid w:val="005F0AA5"/>
    <w:rsid w:val="005F0F77"/>
    <w:rsid w:val="005F251F"/>
    <w:rsid w:val="005F2BAD"/>
    <w:rsid w:val="005F4D84"/>
    <w:rsid w:val="005F4E56"/>
    <w:rsid w:val="005F517C"/>
    <w:rsid w:val="005F5987"/>
    <w:rsid w:val="005F7F0F"/>
    <w:rsid w:val="0060051F"/>
    <w:rsid w:val="00600620"/>
    <w:rsid w:val="00601867"/>
    <w:rsid w:val="006026B5"/>
    <w:rsid w:val="00603B2B"/>
    <w:rsid w:val="00604FB9"/>
    <w:rsid w:val="00607213"/>
    <w:rsid w:val="00607F00"/>
    <w:rsid w:val="00610E0B"/>
    <w:rsid w:val="006134B9"/>
    <w:rsid w:val="0061403D"/>
    <w:rsid w:val="00614CDB"/>
    <w:rsid w:val="00621E91"/>
    <w:rsid w:val="00622459"/>
    <w:rsid w:val="00625925"/>
    <w:rsid w:val="006309C9"/>
    <w:rsid w:val="00631373"/>
    <w:rsid w:val="00631FD1"/>
    <w:rsid w:val="0063438C"/>
    <w:rsid w:val="00634598"/>
    <w:rsid w:val="0063487F"/>
    <w:rsid w:val="00635177"/>
    <w:rsid w:val="0063599F"/>
    <w:rsid w:val="006364EF"/>
    <w:rsid w:val="00636C2E"/>
    <w:rsid w:val="00637BD8"/>
    <w:rsid w:val="006441E1"/>
    <w:rsid w:val="00644838"/>
    <w:rsid w:val="00644CE6"/>
    <w:rsid w:val="006473A8"/>
    <w:rsid w:val="006507ED"/>
    <w:rsid w:val="006510F8"/>
    <w:rsid w:val="00651D41"/>
    <w:rsid w:val="00657E8F"/>
    <w:rsid w:val="00660363"/>
    <w:rsid w:val="0066062A"/>
    <w:rsid w:val="00660E60"/>
    <w:rsid w:val="006631C9"/>
    <w:rsid w:val="006642B4"/>
    <w:rsid w:val="00666855"/>
    <w:rsid w:val="0066721A"/>
    <w:rsid w:val="006703A5"/>
    <w:rsid w:val="006733E5"/>
    <w:rsid w:val="00680041"/>
    <w:rsid w:val="006812F7"/>
    <w:rsid w:val="00682222"/>
    <w:rsid w:val="00685778"/>
    <w:rsid w:val="00686F7A"/>
    <w:rsid w:val="00687641"/>
    <w:rsid w:val="0068788E"/>
    <w:rsid w:val="0069007D"/>
    <w:rsid w:val="006901C3"/>
    <w:rsid w:val="0069111D"/>
    <w:rsid w:val="0069249E"/>
    <w:rsid w:val="00692824"/>
    <w:rsid w:val="00695E03"/>
    <w:rsid w:val="00697C77"/>
    <w:rsid w:val="006A0781"/>
    <w:rsid w:val="006A0B45"/>
    <w:rsid w:val="006A4019"/>
    <w:rsid w:val="006A4247"/>
    <w:rsid w:val="006A4E8D"/>
    <w:rsid w:val="006A539D"/>
    <w:rsid w:val="006B06CA"/>
    <w:rsid w:val="006B0C55"/>
    <w:rsid w:val="006B25A2"/>
    <w:rsid w:val="006B453B"/>
    <w:rsid w:val="006B5B3E"/>
    <w:rsid w:val="006B69F0"/>
    <w:rsid w:val="006C03ED"/>
    <w:rsid w:val="006C1E60"/>
    <w:rsid w:val="006C34F4"/>
    <w:rsid w:val="006C5754"/>
    <w:rsid w:val="006D096E"/>
    <w:rsid w:val="006D0976"/>
    <w:rsid w:val="006D1782"/>
    <w:rsid w:val="006D2FEC"/>
    <w:rsid w:val="006D4AB9"/>
    <w:rsid w:val="006D6F5A"/>
    <w:rsid w:val="006D7C2E"/>
    <w:rsid w:val="006E01DD"/>
    <w:rsid w:val="006E035D"/>
    <w:rsid w:val="006E0643"/>
    <w:rsid w:val="006E079F"/>
    <w:rsid w:val="006E1606"/>
    <w:rsid w:val="006E353E"/>
    <w:rsid w:val="006E420D"/>
    <w:rsid w:val="006E5273"/>
    <w:rsid w:val="006E5A93"/>
    <w:rsid w:val="006F0508"/>
    <w:rsid w:val="006F275A"/>
    <w:rsid w:val="006F2C0B"/>
    <w:rsid w:val="006F3217"/>
    <w:rsid w:val="006F4D8C"/>
    <w:rsid w:val="006F4F1C"/>
    <w:rsid w:val="006F6104"/>
    <w:rsid w:val="00703469"/>
    <w:rsid w:val="007035B6"/>
    <w:rsid w:val="00706604"/>
    <w:rsid w:val="00706979"/>
    <w:rsid w:val="00706AD3"/>
    <w:rsid w:val="00713F1F"/>
    <w:rsid w:val="00714298"/>
    <w:rsid w:val="00716C76"/>
    <w:rsid w:val="00720572"/>
    <w:rsid w:val="00720C0D"/>
    <w:rsid w:val="00721566"/>
    <w:rsid w:val="00722325"/>
    <w:rsid w:val="007227CD"/>
    <w:rsid w:val="00723CF2"/>
    <w:rsid w:val="00724A49"/>
    <w:rsid w:val="00725B10"/>
    <w:rsid w:val="00725C8B"/>
    <w:rsid w:val="007268C8"/>
    <w:rsid w:val="00726A94"/>
    <w:rsid w:val="00727B54"/>
    <w:rsid w:val="00732599"/>
    <w:rsid w:val="0073382E"/>
    <w:rsid w:val="00733985"/>
    <w:rsid w:val="007359A2"/>
    <w:rsid w:val="007368D4"/>
    <w:rsid w:val="00740CD0"/>
    <w:rsid w:val="00740F8F"/>
    <w:rsid w:val="007430FE"/>
    <w:rsid w:val="00743B72"/>
    <w:rsid w:val="00744439"/>
    <w:rsid w:val="00745AEC"/>
    <w:rsid w:val="007474FF"/>
    <w:rsid w:val="00747572"/>
    <w:rsid w:val="00750797"/>
    <w:rsid w:val="007533EF"/>
    <w:rsid w:val="00754C54"/>
    <w:rsid w:val="007550F6"/>
    <w:rsid w:val="0075605D"/>
    <w:rsid w:val="007565CA"/>
    <w:rsid w:val="0076077F"/>
    <w:rsid w:val="00762999"/>
    <w:rsid w:val="00763EC2"/>
    <w:rsid w:val="00765002"/>
    <w:rsid w:val="00765ECF"/>
    <w:rsid w:val="0076630A"/>
    <w:rsid w:val="007667CC"/>
    <w:rsid w:val="007745CA"/>
    <w:rsid w:val="00782132"/>
    <w:rsid w:val="00782EDE"/>
    <w:rsid w:val="00785C2F"/>
    <w:rsid w:val="007869D1"/>
    <w:rsid w:val="0079077D"/>
    <w:rsid w:val="00792748"/>
    <w:rsid w:val="00794A6C"/>
    <w:rsid w:val="00795EA1"/>
    <w:rsid w:val="007A0941"/>
    <w:rsid w:val="007A0978"/>
    <w:rsid w:val="007A0D0B"/>
    <w:rsid w:val="007A34C7"/>
    <w:rsid w:val="007A5334"/>
    <w:rsid w:val="007A66D1"/>
    <w:rsid w:val="007A670A"/>
    <w:rsid w:val="007A6B4B"/>
    <w:rsid w:val="007B18F1"/>
    <w:rsid w:val="007B25BB"/>
    <w:rsid w:val="007B3E98"/>
    <w:rsid w:val="007B48A9"/>
    <w:rsid w:val="007B4C9D"/>
    <w:rsid w:val="007C72C8"/>
    <w:rsid w:val="007C7973"/>
    <w:rsid w:val="007C7F7D"/>
    <w:rsid w:val="007D3FE7"/>
    <w:rsid w:val="007D42C2"/>
    <w:rsid w:val="007D4551"/>
    <w:rsid w:val="007D6AF3"/>
    <w:rsid w:val="007D779A"/>
    <w:rsid w:val="007D7AB9"/>
    <w:rsid w:val="007E10A0"/>
    <w:rsid w:val="007E1DC9"/>
    <w:rsid w:val="007E2548"/>
    <w:rsid w:val="007E38E8"/>
    <w:rsid w:val="007E59A6"/>
    <w:rsid w:val="007E5D97"/>
    <w:rsid w:val="007E600B"/>
    <w:rsid w:val="007E6CE9"/>
    <w:rsid w:val="007E713F"/>
    <w:rsid w:val="007E7556"/>
    <w:rsid w:val="007F06F2"/>
    <w:rsid w:val="007F400F"/>
    <w:rsid w:val="007F7D92"/>
    <w:rsid w:val="008006C4"/>
    <w:rsid w:val="00800F72"/>
    <w:rsid w:val="00800FED"/>
    <w:rsid w:val="00804053"/>
    <w:rsid w:val="00804248"/>
    <w:rsid w:val="00805071"/>
    <w:rsid w:val="00805CE7"/>
    <w:rsid w:val="00805E55"/>
    <w:rsid w:val="00805FD3"/>
    <w:rsid w:val="00807F2A"/>
    <w:rsid w:val="00810184"/>
    <w:rsid w:val="008132C4"/>
    <w:rsid w:val="0081663D"/>
    <w:rsid w:val="00820C1B"/>
    <w:rsid w:val="008219F3"/>
    <w:rsid w:val="00822253"/>
    <w:rsid w:val="00823130"/>
    <w:rsid w:val="0082578E"/>
    <w:rsid w:val="008262C2"/>
    <w:rsid w:val="00827B0C"/>
    <w:rsid w:val="0083037A"/>
    <w:rsid w:val="00831EAC"/>
    <w:rsid w:val="00834A0C"/>
    <w:rsid w:val="00834BC6"/>
    <w:rsid w:val="00836F1F"/>
    <w:rsid w:val="00840807"/>
    <w:rsid w:val="0084159F"/>
    <w:rsid w:val="00842168"/>
    <w:rsid w:val="00842331"/>
    <w:rsid w:val="008425D2"/>
    <w:rsid w:val="0084325C"/>
    <w:rsid w:val="00843AB9"/>
    <w:rsid w:val="00844549"/>
    <w:rsid w:val="00845AB7"/>
    <w:rsid w:val="008508E2"/>
    <w:rsid w:val="00850A5F"/>
    <w:rsid w:val="00852049"/>
    <w:rsid w:val="008538DF"/>
    <w:rsid w:val="00853ACB"/>
    <w:rsid w:val="00853F28"/>
    <w:rsid w:val="0085649B"/>
    <w:rsid w:val="00856788"/>
    <w:rsid w:val="00857F62"/>
    <w:rsid w:val="00860365"/>
    <w:rsid w:val="008644E3"/>
    <w:rsid w:val="00870165"/>
    <w:rsid w:val="008702B3"/>
    <w:rsid w:val="00876166"/>
    <w:rsid w:val="00880490"/>
    <w:rsid w:val="00880F6A"/>
    <w:rsid w:val="00884AD3"/>
    <w:rsid w:val="00892595"/>
    <w:rsid w:val="008934EE"/>
    <w:rsid w:val="008949CD"/>
    <w:rsid w:val="008951DE"/>
    <w:rsid w:val="00896354"/>
    <w:rsid w:val="008972C5"/>
    <w:rsid w:val="008977F6"/>
    <w:rsid w:val="00897AC3"/>
    <w:rsid w:val="00897D57"/>
    <w:rsid w:val="008A323B"/>
    <w:rsid w:val="008A34BD"/>
    <w:rsid w:val="008A43BA"/>
    <w:rsid w:val="008A4D26"/>
    <w:rsid w:val="008B0792"/>
    <w:rsid w:val="008B2FFC"/>
    <w:rsid w:val="008B38A4"/>
    <w:rsid w:val="008B42C1"/>
    <w:rsid w:val="008B4F02"/>
    <w:rsid w:val="008B5B74"/>
    <w:rsid w:val="008B64EA"/>
    <w:rsid w:val="008C00D9"/>
    <w:rsid w:val="008C1062"/>
    <w:rsid w:val="008C1BCF"/>
    <w:rsid w:val="008C4A70"/>
    <w:rsid w:val="008C4F3D"/>
    <w:rsid w:val="008C5A8C"/>
    <w:rsid w:val="008C621A"/>
    <w:rsid w:val="008D097A"/>
    <w:rsid w:val="008D10DE"/>
    <w:rsid w:val="008D1356"/>
    <w:rsid w:val="008D1382"/>
    <w:rsid w:val="008D4F4A"/>
    <w:rsid w:val="008D567B"/>
    <w:rsid w:val="008E1474"/>
    <w:rsid w:val="008E15AF"/>
    <w:rsid w:val="008E3B00"/>
    <w:rsid w:val="008E42A5"/>
    <w:rsid w:val="008E52A4"/>
    <w:rsid w:val="008E702E"/>
    <w:rsid w:val="008E75FE"/>
    <w:rsid w:val="008F0CA0"/>
    <w:rsid w:val="008F277E"/>
    <w:rsid w:val="008F2D84"/>
    <w:rsid w:val="008F442E"/>
    <w:rsid w:val="008F5A30"/>
    <w:rsid w:val="008F5FA0"/>
    <w:rsid w:val="008F619E"/>
    <w:rsid w:val="009032B7"/>
    <w:rsid w:val="00904433"/>
    <w:rsid w:val="009076E7"/>
    <w:rsid w:val="00911857"/>
    <w:rsid w:val="00912D87"/>
    <w:rsid w:val="009135B2"/>
    <w:rsid w:val="009144C6"/>
    <w:rsid w:val="00915401"/>
    <w:rsid w:val="0091790E"/>
    <w:rsid w:val="00922364"/>
    <w:rsid w:val="009237C1"/>
    <w:rsid w:val="0092560F"/>
    <w:rsid w:val="009264DB"/>
    <w:rsid w:val="009265C9"/>
    <w:rsid w:val="00927AEA"/>
    <w:rsid w:val="00930967"/>
    <w:rsid w:val="00930BFE"/>
    <w:rsid w:val="0093192E"/>
    <w:rsid w:val="0093249D"/>
    <w:rsid w:val="0093309B"/>
    <w:rsid w:val="009366D5"/>
    <w:rsid w:val="009402FE"/>
    <w:rsid w:val="009418D2"/>
    <w:rsid w:val="00942065"/>
    <w:rsid w:val="009430B1"/>
    <w:rsid w:val="00943E54"/>
    <w:rsid w:val="009447A9"/>
    <w:rsid w:val="009508A6"/>
    <w:rsid w:val="00951B5E"/>
    <w:rsid w:val="00951F34"/>
    <w:rsid w:val="0095242D"/>
    <w:rsid w:val="009524FF"/>
    <w:rsid w:val="009527B1"/>
    <w:rsid w:val="00954B99"/>
    <w:rsid w:val="009569BD"/>
    <w:rsid w:val="00956B63"/>
    <w:rsid w:val="009572BA"/>
    <w:rsid w:val="00960EDB"/>
    <w:rsid w:val="0096288F"/>
    <w:rsid w:val="00963588"/>
    <w:rsid w:val="00963A6C"/>
    <w:rsid w:val="00964C82"/>
    <w:rsid w:val="00967104"/>
    <w:rsid w:val="00970657"/>
    <w:rsid w:val="0097154F"/>
    <w:rsid w:val="00971A55"/>
    <w:rsid w:val="009748E8"/>
    <w:rsid w:val="0097697F"/>
    <w:rsid w:val="0097775B"/>
    <w:rsid w:val="00977D0A"/>
    <w:rsid w:val="00977F70"/>
    <w:rsid w:val="009836F9"/>
    <w:rsid w:val="00984311"/>
    <w:rsid w:val="00985407"/>
    <w:rsid w:val="009873BA"/>
    <w:rsid w:val="0099241D"/>
    <w:rsid w:val="00993011"/>
    <w:rsid w:val="00993F22"/>
    <w:rsid w:val="009A0DE7"/>
    <w:rsid w:val="009A57DD"/>
    <w:rsid w:val="009A66AA"/>
    <w:rsid w:val="009A7D4B"/>
    <w:rsid w:val="009B1230"/>
    <w:rsid w:val="009B13BB"/>
    <w:rsid w:val="009B2A82"/>
    <w:rsid w:val="009B31FE"/>
    <w:rsid w:val="009B3CF0"/>
    <w:rsid w:val="009B5285"/>
    <w:rsid w:val="009B772D"/>
    <w:rsid w:val="009B77C8"/>
    <w:rsid w:val="009C583A"/>
    <w:rsid w:val="009C5FC9"/>
    <w:rsid w:val="009C6C70"/>
    <w:rsid w:val="009D1963"/>
    <w:rsid w:val="009D45B3"/>
    <w:rsid w:val="009D4BF1"/>
    <w:rsid w:val="009D6CD2"/>
    <w:rsid w:val="009D7C7E"/>
    <w:rsid w:val="009D7F75"/>
    <w:rsid w:val="009E28E1"/>
    <w:rsid w:val="009E3B82"/>
    <w:rsid w:val="009E5052"/>
    <w:rsid w:val="009E5AC3"/>
    <w:rsid w:val="009E6313"/>
    <w:rsid w:val="009E7447"/>
    <w:rsid w:val="009F133B"/>
    <w:rsid w:val="009F2FE2"/>
    <w:rsid w:val="009F4B89"/>
    <w:rsid w:val="009F508D"/>
    <w:rsid w:val="009F7621"/>
    <w:rsid w:val="00A004DC"/>
    <w:rsid w:val="00A0114C"/>
    <w:rsid w:val="00A01428"/>
    <w:rsid w:val="00A016FD"/>
    <w:rsid w:val="00A043EC"/>
    <w:rsid w:val="00A05BA1"/>
    <w:rsid w:val="00A064B9"/>
    <w:rsid w:val="00A1044E"/>
    <w:rsid w:val="00A111BE"/>
    <w:rsid w:val="00A13749"/>
    <w:rsid w:val="00A14694"/>
    <w:rsid w:val="00A159E8"/>
    <w:rsid w:val="00A17DFE"/>
    <w:rsid w:val="00A227CB"/>
    <w:rsid w:val="00A22D36"/>
    <w:rsid w:val="00A25D91"/>
    <w:rsid w:val="00A26733"/>
    <w:rsid w:val="00A26A61"/>
    <w:rsid w:val="00A27233"/>
    <w:rsid w:val="00A310CF"/>
    <w:rsid w:val="00A3196D"/>
    <w:rsid w:val="00A3342E"/>
    <w:rsid w:val="00A34148"/>
    <w:rsid w:val="00A35DDF"/>
    <w:rsid w:val="00A430CD"/>
    <w:rsid w:val="00A43F45"/>
    <w:rsid w:val="00A46802"/>
    <w:rsid w:val="00A477DA"/>
    <w:rsid w:val="00A47DC9"/>
    <w:rsid w:val="00A50618"/>
    <w:rsid w:val="00A519CC"/>
    <w:rsid w:val="00A556D2"/>
    <w:rsid w:val="00A62501"/>
    <w:rsid w:val="00A6477D"/>
    <w:rsid w:val="00A66BDB"/>
    <w:rsid w:val="00A71DD0"/>
    <w:rsid w:val="00A71EC2"/>
    <w:rsid w:val="00A72D72"/>
    <w:rsid w:val="00A7345F"/>
    <w:rsid w:val="00A74A69"/>
    <w:rsid w:val="00A760F1"/>
    <w:rsid w:val="00A76A66"/>
    <w:rsid w:val="00A80474"/>
    <w:rsid w:val="00A807EA"/>
    <w:rsid w:val="00A82B69"/>
    <w:rsid w:val="00A860DA"/>
    <w:rsid w:val="00A86661"/>
    <w:rsid w:val="00A867E6"/>
    <w:rsid w:val="00A91D47"/>
    <w:rsid w:val="00A92676"/>
    <w:rsid w:val="00A93738"/>
    <w:rsid w:val="00A94260"/>
    <w:rsid w:val="00A944F4"/>
    <w:rsid w:val="00A960D8"/>
    <w:rsid w:val="00AA42BC"/>
    <w:rsid w:val="00AA484B"/>
    <w:rsid w:val="00AA64FB"/>
    <w:rsid w:val="00AB0C45"/>
    <w:rsid w:val="00AB1AFE"/>
    <w:rsid w:val="00AB2C50"/>
    <w:rsid w:val="00AB36AF"/>
    <w:rsid w:val="00AC22B0"/>
    <w:rsid w:val="00AC4743"/>
    <w:rsid w:val="00AC4A40"/>
    <w:rsid w:val="00AC4CA5"/>
    <w:rsid w:val="00AC4CF0"/>
    <w:rsid w:val="00AC5758"/>
    <w:rsid w:val="00AC6254"/>
    <w:rsid w:val="00AC67FF"/>
    <w:rsid w:val="00AD4CDA"/>
    <w:rsid w:val="00AD546F"/>
    <w:rsid w:val="00AD5498"/>
    <w:rsid w:val="00AD5B92"/>
    <w:rsid w:val="00AD663F"/>
    <w:rsid w:val="00AD7476"/>
    <w:rsid w:val="00AD7704"/>
    <w:rsid w:val="00AE0136"/>
    <w:rsid w:val="00AE1BEB"/>
    <w:rsid w:val="00AE29CA"/>
    <w:rsid w:val="00AE3AE5"/>
    <w:rsid w:val="00AE6E01"/>
    <w:rsid w:val="00AE7943"/>
    <w:rsid w:val="00AF0946"/>
    <w:rsid w:val="00AF1B23"/>
    <w:rsid w:val="00AF227C"/>
    <w:rsid w:val="00AF2AA2"/>
    <w:rsid w:val="00AF48F9"/>
    <w:rsid w:val="00AF5CDA"/>
    <w:rsid w:val="00AF6F2C"/>
    <w:rsid w:val="00B02BC7"/>
    <w:rsid w:val="00B03157"/>
    <w:rsid w:val="00B0416C"/>
    <w:rsid w:val="00B042A0"/>
    <w:rsid w:val="00B0578A"/>
    <w:rsid w:val="00B0648E"/>
    <w:rsid w:val="00B125A8"/>
    <w:rsid w:val="00B13AC3"/>
    <w:rsid w:val="00B14AC6"/>
    <w:rsid w:val="00B151CD"/>
    <w:rsid w:val="00B15379"/>
    <w:rsid w:val="00B1662E"/>
    <w:rsid w:val="00B16B86"/>
    <w:rsid w:val="00B17887"/>
    <w:rsid w:val="00B20B03"/>
    <w:rsid w:val="00B25B74"/>
    <w:rsid w:val="00B265BF"/>
    <w:rsid w:val="00B27264"/>
    <w:rsid w:val="00B30B2A"/>
    <w:rsid w:val="00B30D07"/>
    <w:rsid w:val="00B31157"/>
    <w:rsid w:val="00B3116D"/>
    <w:rsid w:val="00B332FC"/>
    <w:rsid w:val="00B33A5D"/>
    <w:rsid w:val="00B3435E"/>
    <w:rsid w:val="00B36583"/>
    <w:rsid w:val="00B417EE"/>
    <w:rsid w:val="00B41B8A"/>
    <w:rsid w:val="00B43451"/>
    <w:rsid w:val="00B43FAC"/>
    <w:rsid w:val="00B46E1F"/>
    <w:rsid w:val="00B50F7D"/>
    <w:rsid w:val="00B52B8A"/>
    <w:rsid w:val="00B561F9"/>
    <w:rsid w:val="00B57547"/>
    <w:rsid w:val="00B57EC4"/>
    <w:rsid w:val="00B606C3"/>
    <w:rsid w:val="00B60742"/>
    <w:rsid w:val="00B62E2E"/>
    <w:rsid w:val="00B65428"/>
    <w:rsid w:val="00B65640"/>
    <w:rsid w:val="00B67856"/>
    <w:rsid w:val="00B70C84"/>
    <w:rsid w:val="00B71755"/>
    <w:rsid w:val="00B745C6"/>
    <w:rsid w:val="00B77BB8"/>
    <w:rsid w:val="00B8071B"/>
    <w:rsid w:val="00B808EE"/>
    <w:rsid w:val="00B80DA1"/>
    <w:rsid w:val="00B81498"/>
    <w:rsid w:val="00B81AF2"/>
    <w:rsid w:val="00B82BEA"/>
    <w:rsid w:val="00B85DBE"/>
    <w:rsid w:val="00B91096"/>
    <w:rsid w:val="00B93381"/>
    <w:rsid w:val="00B935E7"/>
    <w:rsid w:val="00B96FD6"/>
    <w:rsid w:val="00B97B89"/>
    <w:rsid w:val="00B97F0C"/>
    <w:rsid w:val="00BA354E"/>
    <w:rsid w:val="00BA3D9F"/>
    <w:rsid w:val="00BA48D6"/>
    <w:rsid w:val="00BA7254"/>
    <w:rsid w:val="00BA75B1"/>
    <w:rsid w:val="00BB1C7F"/>
    <w:rsid w:val="00BB672D"/>
    <w:rsid w:val="00BB6FC6"/>
    <w:rsid w:val="00BC012A"/>
    <w:rsid w:val="00BC0198"/>
    <w:rsid w:val="00BC2DAE"/>
    <w:rsid w:val="00BC3F9C"/>
    <w:rsid w:val="00BC6F77"/>
    <w:rsid w:val="00BC7A87"/>
    <w:rsid w:val="00BC7CB4"/>
    <w:rsid w:val="00BD286A"/>
    <w:rsid w:val="00BD66B1"/>
    <w:rsid w:val="00BD6BDC"/>
    <w:rsid w:val="00BE0C4E"/>
    <w:rsid w:val="00BE170F"/>
    <w:rsid w:val="00BE2A2E"/>
    <w:rsid w:val="00BE5741"/>
    <w:rsid w:val="00BE69B9"/>
    <w:rsid w:val="00BF0782"/>
    <w:rsid w:val="00BF092A"/>
    <w:rsid w:val="00BF139F"/>
    <w:rsid w:val="00BF178B"/>
    <w:rsid w:val="00BF1EBA"/>
    <w:rsid w:val="00BF27F5"/>
    <w:rsid w:val="00BF2DF1"/>
    <w:rsid w:val="00BF47BD"/>
    <w:rsid w:val="00BF548C"/>
    <w:rsid w:val="00BF7714"/>
    <w:rsid w:val="00C00FE4"/>
    <w:rsid w:val="00C04DBE"/>
    <w:rsid w:val="00C123A3"/>
    <w:rsid w:val="00C1355C"/>
    <w:rsid w:val="00C160F9"/>
    <w:rsid w:val="00C16291"/>
    <w:rsid w:val="00C16593"/>
    <w:rsid w:val="00C171B9"/>
    <w:rsid w:val="00C21871"/>
    <w:rsid w:val="00C21CEE"/>
    <w:rsid w:val="00C228A9"/>
    <w:rsid w:val="00C22A8C"/>
    <w:rsid w:val="00C252B9"/>
    <w:rsid w:val="00C26F66"/>
    <w:rsid w:val="00C334F1"/>
    <w:rsid w:val="00C35A21"/>
    <w:rsid w:val="00C35A72"/>
    <w:rsid w:val="00C37242"/>
    <w:rsid w:val="00C37352"/>
    <w:rsid w:val="00C4172D"/>
    <w:rsid w:val="00C4231C"/>
    <w:rsid w:val="00C452FF"/>
    <w:rsid w:val="00C512AB"/>
    <w:rsid w:val="00C546C5"/>
    <w:rsid w:val="00C54838"/>
    <w:rsid w:val="00C56C76"/>
    <w:rsid w:val="00C57347"/>
    <w:rsid w:val="00C57C82"/>
    <w:rsid w:val="00C605D8"/>
    <w:rsid w:val="00C61F3A"/>
    <w:rsid w:val="00C62B8F"/>
    <w:rsid w:val="00C658CD"/>
    <w:rsid w:val="00C6639C"/>
    <w:rsid w:val="00C7016D"/>
    <w:rsid w:val="00C72970"/>
    <w:rsid w:val="00C72F8C"/>
    <w:rsid w:val="00C74988"/>
    <w:rsid w:val="00C75518"/>
    <w:rsid w:val="00C77CE5"/>
    <w:rsid w:val="00C83FB9"/>
    <w:rsid w:val="00C84C2B"/>
    <w:rsid w:val="00C853D1"/>
    <w:rsid w:val="00C85A96"/>
    <w:rsid w:val="00C85AA3"/>
    <w:rsid w:val="00C85E95"/>
    <w:rsid w:val="00C8701A"/>
    <w:rsid w:val="00C9336B"/>
    <w:rsid w:val="00C93E0A"/>
    <w:rsid w:val="00C95160"/>
    <w:rsid w:val="00C959DE"/>
    <w:rsid w:val="00CA0C1D"/>
    <w:rsid w:val="00CA19AC"/>
    <w:rsid w:val="00CA23C9"/>
    <w:rsid w:val="00CA2F84"/>
    <w:rsid w:val="00CA5C1A"/>
    <w:rsid w:val="00CB02CF"/>
    <w:rsid w:val="00CB04B0"/>
    <w:rsid w:val="00CB233C"/>
    <w:rsid w:val="00CB2B7B"/>
    <w:rsid w:val="00CB49F7"/>
    <w:rsid w:val="00CB5A9E"/>
    <w:rsid w:val="00CC12D9"/>
    <w:rsid w:val="00CC152F"/>
    <w:rsid w:val="00CC2EBD"/>
    <w:rsid w:val="00CC43DE"/>
    <w:rsid w:val="00CC5561"/>
    <w:rsid w:val="00CC708F"/>
    <w:rsid w:val="00CC7111"/>
    <w:rsid w:val="00CC7EAC"/>
    <w:rsid w:val="00CD183A"/>
    <w:rsid w:val="00CD1955"/>
    <w:rsid w:val="00CD573E"/>
    <w:rsid w:val="00CE3D3B"/>
    <w:rsid w:val="00CE7899"/>
    <w:rsid w:val="00CF1FCE"/>
    <w:rsid w:val="00CF2E37"/>
    <w:rsid w:val="00CF38E2"/>
    <w:rsid w:val="00CF5199"/>
    <w:rsid w:val="00CF7911"/>
    <w:rsid w:val="00CF79D1"/>
    <w:rsid w:val="00D02413"/>
    <w:rsid w:val="00D03748"/>
    <w:rsid w:val="00D04493"/>
    <w:rsid w:val="00D05D3F"/>
    <w:rsid w:val="00D05EFC"/>
    <w:rsid w:val="00D060B7"/>
    <w:rsid w:val="00D06596"/>
    <w:rsid w:val="00D069DF"/>
    <w:rsid w:val="00D104DB"/>
    <w:rsid w:val="00D10BBE"/>
    <w:rsid w:val="00D114F9"/>
    <w:rsid w:val="00D11E84"/>
    <w:rsid w:val="00D121F9"/>
    <w:rsid w:val="00D124D8"/>
    <w:rsid w:val="00D14144"/>
    <w:rsid w:val="00D15032"/>
    <w:rsid w:val="00D16932"/>
    <w:rsid w:val="00D16C0D"/>
    <w:rsid w:val="00D204EE"/>
    <w:rsid w:val="00D228A2"/>
    <w:rsid w:val="00D237F3"/>
    <w:rsid w:val="00D2535A"/>
    <w:rsid w:val="00D265B4"/>
    <w:rsid w:val="00D34952"/>
    <w:rsid w:val="00D349C8"/>
    <w:rsid w:val="00D40EB5"/>
    <w:rsid w:val="00D41407"/>
    <w:rsid w:val="00D41618"/>
    <w:rsid w:val="00D4183F"/>
    <w:rsid w:val="00D4246E"/>
    <w:rsid w:val="00D4609D"/>
    <w:rsid w:val="00D4661B"/>
    <w:rsid w:val="00D5012F"/>
    <w:rsid w:val="00D51B7F"/>
    <w:rsid w:val="00D53A0C"/>
    <w:rsid w:val="00D55164"/>
    <w:rsid w:val="00D553B2"/>
    <w:rsid w:val="00D5686A"/>
    <w:rsid w:val="00D603BF"/>
    <w:rsid w:val="00D615CC"/>
    <w:rsid w:val="00D618FA"/>
    <w:rsid w:val="00D62C6E"/>
    <w:rsid w:val="00D6394A"/>
    <w:rsid w:val="00D6407D"/>
    <w:rsid w:val="00D66232"/>
    <w:rsid w:val="00D70292"/>
    <w:rsid w:val="00D733EF"/>
    <w:rsid w:val="00D7415C"/>
    <w:rsid w:val="00D752D2"/>
    <w:rsid w:val="00D76975"/>
    <w:rsid w:val="00D76D8D"/>
    <w:rsid w:val="00D772C9"/>
    <w:rsid w:val="00D77542"/>
    <w:rsid w:val="00D800E6"/>
    <w:rsid w:val="00D80E5E"/>
    <w:rsid w:val="00D8155A"/>
    <w:rsid w:val="00D83931"/>
    <w:rsid w:val="00D87BE5"/>
    <w:rsid w:val="00D90E06"/>
    <w:rsid w:val="00D9261C"/>
    <w:rsid w:val="00D92BAB"/>
    <w:rsid w:val="00D93EFD"/>
    <w:rsid w:val="00D94C0C"/>
    <w:rsid w:val="00D96276"/>
    <w:rsid w:val="00DA2072"/>
    <w:rsid w:val="00DA3751"/>
    <w:rsid w:val="00DA69DD"/>
    <w:rsid w:val="00DA7965"/>
    <w:rsid w:val="00DB10DD"/>
    <w:rsid w:val="00DB268E"/>
    <w:rsid w:val="00DB4146"/>
    <w:rsid w:val="00DB59AC"/>
    <w:rsid w:val="00DB5D3F"/>
    <w:rsid w:val="00DB6863"/>
    <w:rsid w:val="00DB6D27"/>
    <w:rsid w:val="00DC0C01"/>
    <w:rsid w:val="00DC165A"/>
    <w:rsid w:val="00DC41D9"/>
    <w:rsid w:val="00DC5A36"/>
    <w:rsid w:val="00DC6387"/>
    <w:rsid w:val="00DD06F5"/>
    <w:rsid w:val="00DD0B5E"/>
    <w:rsid w:val="00DD116F"/>
    <w:rsid w:val="00DD2536"/>
    <w:rsid w:val="00DD5573"/>
    <w:rsid w:val="00DD6442"/>
    <w:rsid w:val="00DE054D"/>
    <w:rsid w:val="00DE0A05"/>
    <w:rsid w:val="00DE1184"/>
    <w:rsid w:val="00DE3979"/>
    <w:rsid w:val="00DE6290"/>
    <w:rsid w:val="00DE6FC4"/>
    <w:rsid w:val="00DF2DD7"/>
    <w:rsid w:val="00DF38FA"/>
    <w:rsid w:val="00DF5230"/>
    <w:rsid w:val="00DF63B1"/>
    <w:rsid w:val="00DF7365"/>
    <w:rsid w:val="00E00CF7"/>
    <w:rsid w:val="00E010F7"/>
    <w:rsid w:val="00E0369E"/>
    <w:rsid w:val="00E04D30"/>
    <w:rsid w:val="00E0587E"/>
    <w:rsid w:val="00E06552"/>
    <w:rsid w:val="00E13EC0"/>
    <w:rsid w:val="00E1527B"/>
    <w:rsid w:val="00E160CE"/>
    <w:rsid w:val="00E2326A"/>
    <w:rsid w:val="00E240BC"/>
    <w:rsid w:val="00E2747A"/>
    <w:rsid w:val="00E278F2"/>
    <w:rsid w:val="00E30E7E"/>
    <w:rsid w:val="00E317EA"/>
    <w:rsid w:val="00E32D11"/>
    <w:rsid w:val="00E33E03"/>
    <w:rsid w:val="00E35618"/>
    <w:rsid w:val="00E378A7"/>
    <w:rsid w:val="00E41E5D"/>
    <w:rsid w:val="00E445C5"/>
    <w:rsid w:val="00E45953"/>
    <w:rsid w:val="00E46DA8"/>
    <w:rsid w:val="00E53AA2"/>
    <w:rsid w:val="00E5473E"/>
    <w:rsid w:val="00E5677B"/>
    <w:rsid w:val="00E61E5E"/>
    <w:rsid w:val="00E67ED5"/>
    <w:rsid w:val="00E71AF0"/>
    <w:rsid w:val="00E723EA"/>
    <w:rsid w:val="00E73817"/>
    <w:rsid w:val="00E74CF3"/>
    <w:rsid w:val="00E7522F"/>
    <w:rsid w:val="00E761E2"/>
    <w:rsid w:val="00E80296"/>
    <w:rsid w:val="00E8346C"/>
    <w:rsid w:val="00E83494"/>
    <w:rsid w:val="00E90157"/>
    <w:rsid w:val="00E9186A"/>
    <w:rsid w:val="00E92B4A"/>
    <w:rsid w:val="00E93EDF"/>
    <w:rsid w:val="00E94589"/>
    <w:rsid w:val="00E95783"/>
    <w:rsid w:val="00E966F3"/>
    <w:rsid w:val="00E97929"/>
    <w:rsid w:val="00E979E3"/>
    <w:rsid w:val="00EA028E"/>
    <w:rsid w:val="00EA1004"/>
    <w:rsid w:val="00EA1CF4"/>
    <w:rsid w:val="00EA2CF6"/>
    <w:rsid w:val="00EA3791"/>
    <w:rsid w:val="00EA3C2A"/>
    <w:rsid w:val="00EA5447"/>
    <w:rsid w:val="00EB0056"/>
    <w:rsid w:val="00EB051B"/>
    <w:rsid w:val="00EB0AEA"/>
    <w:rsid w:val="00EB1E57"/>
    <w:rsid w:val="00EB28A3"/>
    <w:rsid w:val="00EB43DB"/>
    <w:rsid w:val="00EB44D8"/>
    <w:rsid w:val="00EB4A38"/>
    <w:rsid w:val="00EC01B9"/>
    <w:rsid w:val="00EC023F"/>
    <w:rsid w:val="00EC1572"/>
    <w:rsid w:val="00EC287A"/>
    <w:rsid w:val="00EC4F07"/>
    <w:rsid w:val="00ED23EB"/>
    <w:rsid w:val="00ED2BAD"/>
    <w:rsid w:val="00ED2FAF"/>
    <w:rsid w:val="00ED3E43"/>
    <w:rsid w:val="00ED4E54"/>
    <w:rsid w:val="00EE23E5"/>
    <w:rsid w:val="00EE53C5"/>
    <w:rsid w:val="00EE5741"/>
    <w:rsid w:val="00EF0402"/>
    <w:rsid w:val="00EF0D39"/>
    <w:rsid w:val="00EF6024"/>
    <w:rsid w:val="00EF639E"/>
    <w:rsid w:val="00F02093"/>
    <w:rsid w:val="00F03666"/>
    <w:rsid w:val="00F05DDC"/>
    <w:rsid w:val="00F060A2"/>
    <w:rsid w:val="00F07E7D"/>
    <w:rsid w:val="00F121AE"/>
    <w:rsid w:val="00F12BA1"/>
    <w:rsid w:val="00F14F9C"/>
    <w:rsid w:val="00F20BC2"/>
    <w:rsid w:val="00F21183"/>
    <w:rsid w:val="00F216D8"/>
    <w:rsid w:val="00F245ED"/>
    <w:rsid w:val="00F27B5E"/>
    <w:rsid w:val="00F30CF8"/>
    <w:rsid w:val="00F32064"/>
    <w:rsid w:val="00F35A10"/>
    <w:rsid w:val="00F4029B"/>
    <w:rsid w:val="00F43923"/>
    <w:rsid w:val="00F44120"/>
    <w:rsid w:val="00F447A5"/>
    <w:rsid w:val="00F469B8"/>
    <w:rsid w:val="00F46F91"/>
    <w:rsid w:val="00F516F1"/>
    <w:rsid w:val="00F53A86"/>
    <w:rsid w:val="00F54246"/>
    <w:rsid w:val="00F5482F"/>
    <w:rsid w:val="00F560A6"/>
    <w:rsid w:val="00F561D0"/>
    <w:rsid w:val="00F60A4F"/>
    <w:rsid w:val="00F60DAF"/>
    <w:rsid w:val="00F60E48"/>
    <w:rsid w:val="00F72D2E"/>
    <w:rsid w:val="00F72E4B"/>
    <w:rsid w:val="00F731F4"/>
    <w:rsid w:val="00F7369F"/>
    <w:rsid w:val="00F75808"/>
    <w:rsid w:val="00F75907"/>
    <w:rsid w:val="00F75EA5"/>
    <w:rsid w:val="00F762D3"/>
    <w:rsid w:val="00F7685F"/>
    <w:rsid w:val="00F76BA8"/>
    <w:rsid w:val="00F815F6"/>
    <w:rsid w:val="00F81A9B"/>
    <w:rsid w:val="00F821C8"/>
    <w:rsid w:val="00F8282B"/>
    <w:rsid w:val="00F90C85"/>
    <w:rsid w:val="00F91BA3"/>
    <w:rsid w:val="00F926A0"/>
    <w:rsid w:val="00F92A77"/>
    <w:rsid w:val="00F92C0B"/>
    <w:rsid w:val="00FA1312"/>
    <w:rsid w:val="00FA3952"/>
    <w:rsid w:val="00FA48BE"/>
    <w:rsid w:val="00FA5759"/>
    <w:rsid w:val="00FA66DC"/>
    <w:rsid w:val="00FB4748"/>
    <w:rsid w:val="00FB6BDB"/>
    <w:rsid w:val="00FB79CA"/>
    <w:rsid w:val="00FC1636"/>
    <w:rsid w:val="00FC20CC"/>
    <w:rsid w:val="00FC2E0B"/>
    <w:rsid w:val="00FC4CB0"/>
    <w:rsid w:val="00FC6454"/>
    <w:rsid w:val="00FC6B3E"/>
    <w:rsid w:val="00FD12D2"/>
    <w:rsid w:val="00FD1A44"/>
    <w:rsid w:val="00FD6AB5"/>
    <w:rsid w:val="00FE3038"/>
    <w:rsid w:val="00FE3840"/>
    <w:rsid w:val="00FE53FE"/>
    <w:rsid w:val="00FE5BF6"/>
    <w:rsid w:val="00FE5E84"/>
    <w:rsid w:val="00FE6DE2"/>
    <w:rsid w:val="00FE7059"/>
    <w:rsid w:val="00FF2C3D"/>
    <w:rsid w:val="00FF69DD"/>
    <w:rsid w:val="00FF69E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7C2629B6"/>
  <w15:chartTrackingRefBased/>
  <w15:docId w15:val="{79F345A3-8A39-49A9-900F-38268F304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447A9"/>
    <w:pPr>
      <w:jc w:val="both"/>
    </w:pPr>
    <w:rPr>
      <w:rFonts w:ascii="Palatino Linotype" w:hAnsi="Palatino Linotype"/>
      <w:color w:val="000000" w:themeColor="tex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3D1"/>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853D1"/>
    <w:rPr>
      <w:rFonts w:ascii="Palatino Linotype" w:hAnsi="Palatino Linotype"/>
      <w:color w:val="000000" w:themeColor="text1"/>
    </w:rPr>
  </w:style>
  <w:style w:type="paragraph" w:styleId="Piedepgina">
    <w:name w:val="footer"/>
    <w:basedOn w:val="Normal"/>
    <w:link w:val="PiedepginaCar"/>
    <w:uiPriority w:val="99"/>
    <w:unhideWhenUsed/>
    <w:rsid w:val="00C853D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853D1"/>
    <w:rPr>
      <w:rFonts w:ascii="Palatino Linotype" w:hAnsi="Palatino Linotype"/>
      <w:color w:val="000000" w:themeColor="text1"/>
    </w:rPr>
  </w:style>
  <w:style w:type="table" w:styleId="Tablaconcuadrcula">
    <w:name w:val="Table Grid"/>
    <w:basedOn w:val="Tablanormal"/>
    <w:uiPriority w:val="39"/>
    <w:rsid w:val="00C853D1"/>
    <w:pPr>
      <w:spacing w:after="0" w:line="240" w:lineRule="auto"/>
    </w:pPr>
    <w:rPr>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aliases w:val="Hipervínculo1,Hipervínculo11,Hipervínculo12,Hipervínculo13,Hipervínculo14,Hipervínculo15"/>
    <w:basedOn w:val="Fuentedeprrafopredeter"/>
    <w:uiPriority w:val="99"/>
    <w:unhideWhenUsed/>
    <w:qFormat/>
    <w:rsid w:val="00C853D1"/>
    <w:rPr>
      <w:color w:val="0563C1" w:themeColor="hyperlink"/>
      <w:u w:val="single"/>
    </w:r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basedOn w:val="Fuentedeprrafopredeter"/>
    <w:link w:val="Prrafodelista"/>
    <w:uiPriority w:val="34"/>
    <w:qFormat/>
    <w:locked/>
    <w:rsid w:val="00D5686A"/>
    <w:rPr>
      <w:rFonts w:ascii="Palatino Linotype" w:eastAsia="Times New Roman" w:hAnsi="Palatino Linotype" w:cs="Times New Roman"/>
      <w:color w:val="000000" w:themeColor="text1"/>
      <w:szCs w:val="24"/>
      <w:lang w:eastAsia="es-ES"/>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D5686A"/>
    <w:pPr>
      <w:spacing w:after="0" w:line="240" w:lineRule="auto"/>
      <w:ind w:left="720"/>
      <w:contextualSpacing/>
    </w:pPr>
    <w:rPr>
      <w:rFonts w:eastAsia="Times New Roman" w:cs="Times New Roman"/>
      <w:szCs w:val="24"/>
      <w:lang w:eastAsia="es-ES"/>
    </w:rPr>
  </w:style>
  <w:style w:type="character" w:customStyle="1" w:styleId="Mencinsinresolver1">
    <w:name w:val="Mención sin resolver1"/>
    <w:basedOn w:val="Fuentedeprrafopredeter"/>
    <w:uiPriority w:val="99"/>
    <w:semiHidden/>
    <w:unhideWhenUsed/>
    <w:rsid w:val="0079077D"/>
    <w:rPr>
      <w:color w:val="605E5C"/>
      <w:shd w:val="clear" w:color="auto" w:fill="E1DFDD"/>
    </w:rPr>
  </w:style>
  <w:style w:type="character" w:styleId="Hipervnculovisitado">
    <w:name w:val="FollowedHyperlink"/>
    <w:basedOn w:val="Fuentedeprrafopredeter"/>
    <w:uiPriority w:val="99"/>
    <w:semiHidden/>
    <w:unhideWhenUsed/>
    <w:rsid w:val="00B85DBE"/>
    <w:rPr>
      <w:color w:val="954F72" w:themeColor="followedHyperlink"/>
      <w:u w:val="single"/>
    </w:rPr>
  </w:style>
  <w:style w:type="character" w:customStyle="1" w:styleId="dp6">
    <w:name w:val="dp6"/>
    <w:basedOn w:val="Fuentedeprrafopredeter"/>
    <w:rsid w:val="00491C3E"/>
  </w:style>
  <w:style w:type="paragraph" w:styleId="Textosinformato">
    <w:name w:val="Plain Text"/>
    <w:basedOn w:val="Normal"/>
    <w:link w:val="TextosinformatoCar"/>
    <w:rsid w:val="00273E3B"/>
    <w:pPr>
      <w:spacing w:after="0" w:line="240" w:lineRule="auto"/>
      <w:jc w:val="left"/>
    </w:pPr>
    <w:rPr>
      <w:rFonts w:ascii="Courier New" w:eastAsia="Times New Roman" w:hAnsi="Courier New" w:cs="Times New Roman"/>
      <w:color w:val="auto"/>
      <w:sz w:val="20"/>
      <w:szCs w:val="20"/>
      <w:lang w:val="x-none" w:eastAsia="es-ES"/>
    </w:rPr>
  </w:style>
  <w:style w:type="character" w:customStyle="1" w:styleId="TextosinformatoCar">
    <w:name w:val="Texto sin formato Car"/>
    <w:basedOn w:val="Fuentedeprrafopredeter"/>
    <w:link w:val="Textosinformato"/>
    <w:rsid w:val="00273E3B"/>
    <w:rPr>
      <w:rFonts w:ascii="Courier New" w:eastAsia="Times New Roman" w:hAnsi="Courier New" w:cs="Times New Roman"/>
      <w:sz w:val="20"/>
      <w:szCs w:val="20"/>
      <w:lang w:val="x-none" w:eastAsia="es-ES"/>
    </w:rPr>
  </w:style>
  <w:style w:type="paragraph" w:customStyle="1" w:styleId="Texto">
    <w:name w:val="Texto"/>
    <w:basedOn w:val="Normal"/>
    <w:link w:val="TextoCar"/>
    <w:rsid w:val="00273E3B"/>
    <w:pPr>
      <w:spacing w:after="101" w:line="216" w:lineRule="exact"/>
      <w:ind w:firstLine="288"/>
    </w:pPr>
    <w:rPr>
      <w:rFonts w:ascii="Arial" w:eastAsia="Times New Roman" w:hAnsi="Arial" w:cs="Times New Roman"/>
      <w:color w:val="auto"/>
      <w:sz w:val="18"/>
      <w:szCs w:val="18"/>
      <w:lang w:val="es-ES" w:eastAsia="es-ES"/>
    </w:rPr>
  </w:style>
  <w:style w:type="character" w:customStyle="1" w:styleId="TextoCar">
    <w:name w:val="Texto Car"/>
    <w:link w:val="Texto"/>
    <w:locked/>
    <w:rsid w:val="00273E3B"/>
    <w:rPr>
      <w:rFonts w:ascii="Arial" w:eastAsia="Times New Roman" w:hAnsi="Arial" w:cs="Times New Roman"/>
      <w:sz w:val="18"/>
      <w:szCs w:val="18"/>
      <w:lang w:val="es-ES" w:eastAsia="es-ES"/>
    </w:rPr>
  </w:style>
  <w:style w:type="character" w:customStyle="1" w:styleId="markedcontent">
    <w:name w:val="markedcontent"/>
    <w:basedOn w:val="Fuentedeprrafopredeter"/>
    <w:rsid w:val="003C470A"/>
  </w:style>
  <w:style w:type="paragraph" w:styleId="NormalWeb">
    <w:name w:val="Normal (Web)"/>
    <w:basedOn w:val="Normal"/>
    <w:uiPriority w:val="99"/>
    <w:semiHidden/>
    <w:unhideWhenUsed/>
    <w:rsid w:val="00682222"/>
    <w:pPr>
      <w:spacing w:before="100" w:beforeAutospacing="1" w:after="100" w:afterAutospacing="1" w:line="240" w:lineRule="auto"/>
      <w:jc w:val="left"/>
    </w:pPr>
    <w:rPr>
      <w:rFonts w:ascii="Times New Roman" w:eastAsia="Times New Roman" w:hAnsi="Times New Roman" w:cs="Times New Roman"/>
      <w:color w:val="auto"/>
      <w:sz w:val="24"/>
      <w:szCs w:val="24"/>
      <w:lang w:eastAsia="es-ES_tradnl"/>
    </w:rPr>
  </w:style>
  <w:style w:type="character" w:customStyle="1" w:styleId="apple-converted-space">
    <w:name w:val="apple-converted-space"/>
    <w:basedOn w:val="Fuentedeprrafopredeter"/>
    <w:rsid w:val="00682222"/>
  </w:style>
  <w:style w:type="character" w:customStyle="1" w:styleId="normaltextrun">
    <w:name w:val="normaltextrun"/>
    <w:basedOn w:val="Fuentedeprrafopredeter"/>
    <w:rsid w:val="00B80DA1"/>
  </w:style>
  <w:style w:type="paragraph" w:customStyle="1" w:styleId="paragraph">
    <w:name w:val="paragraph"/>
    <w:basedOn w:val="Normal"/>
    <w:rsid w:val="00B80DA1"/>
    <w:pPr>
      <w:spacing w:before="100" w:beforeAutospacing="1" w:after="100" w:afterAutospacing="1" w:line="240" w:lineRule="auto"/>
      <w:jc w:val="left"/>
    </w:pPr>
    <w:rPr>
      <w:rFonts w:ascii="Times New Roman" w:eastAsia="Times New Roman" w:hAnsi="Times New Roman" w:cs="Times New Roman"/>
      <w:color w:val="auto"/>
      <w:sz w:val="24"/>
      <w:szCs w:val="24"/>
      <w:lang w:val="en-US"/>
    </w:rPr>
  </w:style>
  <w:style w:type="character" w:customStyle="1" w:styleId="eop">
    <w:name w:val="eop"/>
    <w:basedOn w:val="Fuentedeprrafopredeter"/>
    <w:rsid w:val="00B80DA1"/>
  </w:style>
  <w:style w:type="character" w:customStyle="1" w:styleId="UnresolvedMention">
    <w:name w:val="Unresolved Mention"/>
    <w:basedOn w:val="Fuentedeprrafopredeter"/>
    <w:uiPriority w:val="99"/>
    <w:semiHidden/>
    <w:unhideWhenUsed/>
    <w:rsid w:val="00AC67F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9659322">
      <w:bodyDiv w:val="1"/>
      <w:marLeft w:val="0"/>
      <w:marRight w:val="0"/>
      <w:marTop w:val="0"/>
      <w:marBottom w:val="0"/>
      <w:divBdr>
        <w:top w:val="none" w:sz="0" w:space="0" w:color="auto"/>
        <w:left w:val="none" w:sz="0" w:space="0" w:color="auto"/>
        <w:bottom w:val="none" w:sz="0" w:space="0" w:color="auto"/>
        <w:right w:val="none" w:sz="0" w:space="0" w:color="auto"/>
      </w:divBdr>
    </w:div>
    <w:div w:id="279847439">
      <w:bodyDiv w:val="1"/>
      <w:marLeft w:val="0"/>
      <w:marRight w:val="0"/>
      <w:marTop w:val="0"/>
      <w:marBottom w:val="0"/>
      <w:divBdr>
        <w:top w:val="none" w:sz="0" w:space="0" w:color="auto"/>
        <w:left w:val="none" w:sz="0" w:space="0" w:color="auto"/>
        <w:bottom w:val="none" w:sz="0" w:space="0" w:color="auto"/>
        <w:right w:val="none" w:sz="0" w:space="0" w:color="auto"/>
      </w:divBdr>
    </w:div>
    <w:div w:id="387798768">
      <w:bodyDiv w:val="1"/>
      <w:marLeft w:val="0"/>
      <w:marRight w:val="0"/>
      <w:marTop w:val="0"/>
      <w:marBottom w:val="0"/>
      <w:divBdr>
        <w:top w:val="none" w:sz="0" w:space="0" w:color="auto"/>
        <w:left w:val="none" w:sz="0" w:space="0" w:color="auto"/>
        <w:bottom w:val="none" w:sz="0" w:space="0" w:color="auto"/>
        <w:right w:val="none" w:sz="0" w:space="0" w:color="auto"/>
      </w:divBdr>
    </w:div>
    <w:div w:id="436490073">
      <w:bodyDiv w:val="1"/>
      <w:marLeft w:val="0"/>
      <w:marRight w:val="0"/>
      <w:marTop w:val="0"/>
      <w:marBottom w:val="0"/>
      <w:divBdr>
        <w:top w:val="none" w:sz="0" w:space="0" w:color="auto"/>
        <w:left w:val="none" w:sz="0" w:space="0" w:color="auto"/>
        <w:bottom w:val="none" w:sz="0" w:space="0" w:color="auto"/>
        <w:right w:val="none" w:sz="0" w:space="0" w:color="auto"/>
      </w:divBdr>
    </w:div>
    <w:div w:id="560484147">
      <w:bodyDiv w:val="1"/>
      <w:marLeft w:val="0"/>
      <w:marRight w:val="0"/>
      <w:marTop w:val="0"/>
      <w:marBottom w:val="0"/>
      <w:divBdr>
        <w:top w:val="none" w:sz="0" w:space="0" w:color="auto"/>
        <w:left w:val="none" w:sz="0" w:space="0" w:color="auto"/>
        <w:bottom w:val="none" w:sz="0" w:space="0" w:color="auto"/>
        <w:right w:val="none" w:sz="0" w:space="0" w:color="auto"/>
      </w:divBdr>
    </w:div>
    <w:div w:id="612901374">
      <w:bodyDiv w:val="1"/>
      <w:marLeft w:val="0"/>
      <w:marRight w:val="0"/>
      <w:marTop w:val="0"/>
      <w:marBottom w:val="0"/>
      <w:divBdr>
        <w:top w:val="none" w:sz="0" w:space="0" w:color="auto"/>
        <w:left w:val="none" w:sz="0" w:space="0" w:color="auto"/>
        <w:bottom w:val="none" w:sz="0" w:space="0" w:color="auto"/>
        <w:right w:val="none" w:sz="0" w:space="0" w:color="auto"/>
      </w:divBdr>
      <w:divsChild>
        <w:div w:id="773287151">
          <w:marLeft w:val="0"/>
          <w:marRight w:val="0"/>
          <w:marTop w:val="0"/>
          <w:marBottom w:val="0"/>
          <w:divBdr>
            <w:top w:val="none" w:sz="0" w:space="0" w:color="auto"/>
            <w:left w:val="none" w:sz="0" w:space="0" w:color="auto"/>
            <w:bottom w:val="none" w:sz="0" w:space="0" w:color="auto"/>
            <w:right w:val="none" w:sz="0" w:space="0" w:color="auto"/>
          </w:divBdr>
          <w:divsChild>
            <w:div w:id="1658723871">
              <w:marLeft w:val="0"/>
              <w:marRight w:val="0"/>
              <w:marTop w:val="0"/>
              <w:marBottom w:val="0"/>
              <w:divBdr>
                <w:top w:val="none" w:sz="0" w:space="0" w:color="auto"/>
                <w:left w:val="none" w:sz="0" w:space="0" w:color="auto"/>
                <w:bottom w:val="none" w:sz="0" w:space="0" w:color="auto"/>
                <w:right w:val="none" w:sz="0" w:space="0" w:color="auto"/>
              </w:divBdr>
              <w:divsChild>
                <w:div w:id="133371374">
                  <w:marLeft w:val="0"/>
                  <w:marRight w:val="0"/>
                  <w:marTop w:val="0"/>
                  <w:marBottom w:val="0"/>
                  <w:divBdr>
                    <w:top w:val="none" w:sz="0" w:space="0" w:color="auto"/>
                    <w:left w:val="none" w:sz="0" w:space="0" w:color="auto"/>
                    <w:bottom w:val="none" w:sz="0" w:space="0" w:color="auto"/>
                    <w:right w:val="none" w:sz="0" w:space="0" w:color="auto"/>
                  </w:divBdr>
                  <w:divsChild>
                    <w:div w:id="1666129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6251358">
      <w:bodyDiv w:val="1"/>
      <w:marLeft w:val="0"/>
      <w:marRight w:val="0"/>
      <w:marTop w:val="0"/>
      <w:marBottom w:val="0"/>
      <w:divBdr>
        <w:top w:val="none" w:sz="0" w:space="0" w:color="auto"/>
        <w:left w:val="none" w:sz="0" w:space="0" w:color="auto"/>
        <w:bottom w:val="none" w:sz="0" w:space="0" w:color="auto"/>
        <w:right w:val="none" w:sz="0" w:space="0" w:color="auto"/>
      </w:divBdr>
    </w:div>
    <w:div w:id="776094971">
      <w:bodyDiv w:val="1"/>
      <w:marLeft w:val="0"/>
      <w:marRight w:val="0"/>
      <w:marTop w:val="0"/>
      <w:marBottom w:val="0"/>
      <w:divBdr>
        <w:top w:val="none" w:sz="0" w:space="0" w:color="auto"/>
        <w:left w:val="none" w:sz="0" w:space="0" w:color="auto"/>
        <w:bottom w:val="none" w:sz="0" w:space="0" w:color="auto"/>
        <w:right w:val="none" w:sz="0" w:space="0" w:color="auto"/>
      </w:divBdr>
      <w:divsChild>
        <w:div w:id="1471750448">
          <w:marLeft w:val="0"/>
          <w:marRight w:val="0"/>
          <w:marTop w:val="0"/>
          <w:marBottom w:val="0"/>
          <w:divBdr>
            <w:top w:val="none" w:sz="0" w:space="0" w:color="auto"/>
            <w:left w:val="none" w:sz="0" w:space="0" w:color="auto"/>
            <w:bottom w:val="none" w:sz="0" w:space="0" w:color="auto"/>
            <w:right w:val="none" w:sz="0" w:space="0" w:color="auto"/>
          </w:divBdr>
          <w:divsChild>
            <w:div w:id="2054648796">
              <w:marLeft w:val="0"/>
              <w:marRight w:val="0"/>
              <w:marTop w:val="0"/>
              <w:marBottom w:val="0"/>
              <w:divBdr>
                <w:top w:val="none" w:sz="0" w:space="0" w:color="auto"/>
                <w:left w:val="none" w:sz="0" w:space="0" w:color="auto"/>
                <w:bottom w:val="none" w:sz="0" w:space="0" w:color="auto"/>
                <w:right w:val="none" w:sz="0" w:space="0" w:color="auto"/>
              </w:divBdr>
              <w:divsChild>
                <w:div w:id="498467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9926274">
      <w:bodyDiv w:val="1"/>
      <w:marLeft w:val="0"/>
      <w:marRight w:val="0"/>
      <w:marTop w:val="0"/>
      <w:marBottom w:val="0"/>
      <w:divBdr>
        <w:top w:val="none" w:sz="0" w:space="0" w:color="auto"/>
        <w:left w:val="none" w:sz="0" w:space="0" w:color="auto"/>
        <w:bottom w:val="none" w:sz="0" w:space="0" w:color="auto"/>
        <w:right w:val="none" w:sz="0" w:space="0" w:color="auto"/>
      </w:divBdr>
    </w:div>
    <w:div w:id="877543821">
      <w:bodyDiv w:val="1"/>
      <w:marLeft w:val="0"/>
      <w:marRight w:val="0"/>
      <w:marTop w:val="0"/>
      <w:marBottom w:val="0"/>
      <w:divBdr>
        <w:top w:val="none" w:sz="0" w:space="0" w:color="auto"/>
        <w:left w:val="none" w:sz="0" w:space="0" w:color="auto"/>
        <w:bottom w:val="none" w:sz="0" w:space="0" w:color="auto"/>
        <w:right w:val="none" w:sz="0" w:space="0" w:color="auto"/>
      </w:divBdr>
    </w:div>
    <w:div w:id="1103497493">
      <w:bodyDiv w:val="1"/>
      <w:marLeft w:val="0"/>
      <w:marRight w:val="0"/>
      <w:marTop w:val="0"/>
      <w:marBottom w:val="0"/>
      <w:divBdr>
        <w:top w:val="none" w:sz="0" w:space="0" w:color="auto"/>
        <w:left w:val="none" w:sz="0" w:space="0" w:color="auto"/>
        <w:bottom w:val="none" w:sz="0" w:space="0" w:color="auto"/>
        <w:right w:val="none" w:sz="0" w:space="0" w:color="auto"/>
      </w:divBdr>
    </w:div>
    <w:div w:id="1240023026">
      <w:bodyDiv w:val="1"/>
      <w:marLeft w:val="0"/>
      <w:marRight w:val="0"/>
      <w:marTop w:val="0"/>
      <w:marBottom w:val="0"/>
      <w:divBdr>
        <w:top w:val="none" w:sz="0" w:space="0" w:color="auto"/>
        <w:left w:val="none" w:sz="0" w:space="0" w:color="auto"/>
        <w:bottom w:val="none" w:sz="0" w:space="0" w:color="auto"/>
        <w:right w:val="none" w:sz="0" w:space="0" w:color="auto"/>
      </w:divBdr>
      <w:divsChild>
        <w:div w:id="2006083033">
          <w:marLeft w:val="0"/>
          <w:marRight w:val="0"/>
          <w:marTop w:val="0"/>
          <w:marBottom w:val="0"/>
          <w:divBdr>
            <w:top w:val="none" w:sz="0" w:space="0" w:color="auto"/>
            <w:left w:val="none" w:sz="0" w:space="0" w:color="auto"/>
            <w:bottom w:val="none" w:sz="0" w:space="0" w:color="auto"/>
            <w:right w:val="none" w:sz="0" w:space="0" w:color="auto"/>
          </w:divBdr>
          <w:divsChild>
            <w:div w:id="2093238247">
              <w:marLeft w:val="0"/>
              <w:marRight w:val="0"/>
              <w:marTop w:val="0"/>
              <w:marBottom w:val="0"/>
              <w:divBdr>
                <w:top w:val="none" w:sz="0" w:space="0" w:color="auto"/>
                <w:left w:val="none" w:sz="0" w:space="0" w:color="auto"/>
                <w:bottom w:val="none" w:sz="0" w:space="0" w:color="auto"/>
                <w:right w:val="none" w:sz="0" w:space="0" w:color="auto"/>
              </w:divBdr>
              <w:divsChild>
                <w:div w:id="1115365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1522044">
      <w:bodyDiv w:val="1"/>
      <w:marLeft w:val="0"/>
      <w:marRight w:val="0"/>
      <w:marTop w:val="0"/>
      <w:marBottom w:val="0"/>
      <w:divBdr>
        <w:top w:val="none" w:sz="0" w:space="0" w:color="auto"/>
        <w:left w:val="none" w:sz="0" w:space="0" w:color="auto"/>
        <w:bottom w:val="none" w:sz="0" w:space="0" w:color="auto"/>
        <w:right w:val="none" w:sz="0" w:space="0" w:color="auto"/>
      </w:divBdr>
    </w:div>
    <w:div w:id="1471943903">
      <w:bodyDiv w:val="1"/>
      <w:marLeft w:val="0"/>
      <w:marRight w:val="0"/>
      <w:marTop w:val="0"/>
      <w:marBottom w:val="0"/>
      <w:divBdr>
        <w:top w:val="none" w:sz="0" w:space="0" w:color="auto"/>
        <w:left w:val="none" w:sz="0" w:space="0" w:color="auto"/>
        <w:bottom w:val="none" w:sz="0" w:space="0" w:color="auto"/>
        <w:right w:val="none" w:sz="0" w:space="0" w:color="auto"/>
      </w:divBdr>
    </w:div>
    <w:div w:id="1600526389">
      <w:bodyDiv w:val="1"/>
      <w:marLeft w:val="0"/>
      <w:marRight w:val="0"/>
      <w:marTop w:val="0"/>
      <w:marBottom w:val="0"/>
      <w:divBdr>
        <w:top w:val="none" w:sz="0" w:space="0" w:color="auto"/>
        <w:left w:val="none" w:sz="0" w:space="0" w:color="auto"/>
        <w:bottom w:val="none" w:sz="0" w:space="0" w:color="auto"/>
        <w:right w:val="none" w:sz="0" w:space="0" w:color="auto"/>
      </w:divBdr>
    </w:div>
    <w:div w:id="1873574727">
      <w:bodyDiv w:val="1"/>
      <w:marLeft w:val="0"/>
      <w:marRight w:val="0"/>
      <w:marTop w:val="0"/>
      <w:marBottom w:val="0"/>
      <w:divBdr>
        <w:top w:val="none" w:sz="0" w:space="0" w:color="auto"/>
        <w:left w:val="none" w:sz="0" w:space="0" w:color="auto"/>
        <w:bottom w:val="none" w:sz="0" w:space="0" w:color="auto"/>
        <w:right w:val="none" w:sz="0" w:space="0" w:color="auto"/>
      </w:divBdr>
    </w:div>
    <w:div w:id="1891377070">
      <w:bodyDiv w:val="1"/>
      <w:marLeft w:val="0"/>
      <w:marRight w:val="0"/>
      <w:marTop w:val="0"/>
      <w:marBottom w:val="0"/>
      <w:divBdr>
        <w:top w:val="none" w:sz="0" w:space="0" w:color="auto"/>
        <w:left w:val="none" w:sz="0" w:space="0" w:color="auto"/>
        <w:bottom w:val="none" w:sz="0" w:space="0" w:color="auto"/>
        <w:right w:val="none" w:sz="0" w:space="0" w:color="auto"/>
      </w:divBdr>
    </w:div>
    <w:div w:id="1902251316">
      <w:bodyDiv w:val="1"/>
      <w:marLeft w:val="0"/>
      <w:marRight w:val="0"/>
      <w:marTop w:val="0"/>
      <w:marBottom w:val="0"/>
      <w:divBdr>
        <w:top w:val="none" w:sz="0" w:space="0" w:color="auto"/>
        <w:left w:val="none" w:sz="0" w:space="0" w:color="auto"/>
        <w:bottom w:val="none" w:sz="0" w:space="0" w:color="auto"/>
        <w:right w:val="none" w:sz="0" w:space="0" w:color="auto"/>
      </w:divBdr>
    </w:div>
    <w:div w:id="1912080368">
      <w:bodyDiv w:val="1"/>
      <w:marLeft w:val="0"/>
      <w:marRight w:val="0"/>
      <w:marTop w:val="0"/>
      <w:marBottom w:val="0"/>
      <w:divBdr>
        <w:top w:val="none" w:sz="0" w:space="0" w:color="auto"/>
        <w:left w:val="none" w:sz="0" w:space="0" w:color="auto"/>
        <w:bottom w:val="none" w:sz="0" w:space="0" w:color="auto"/>
        <w:right w:val="none" w:sz="0" w:space="0" w:color="auto"/>
      </w:divBdr>
    </w:div>
    <w:div w:id="2006394338">
      <w:bodyDiv w:val="1"/>
      <w:marLeft w:val="0"/>
      <w:marRight w:val="0"/>
      <w:marTop w:val="0"/>
      <w:marBottom w:val="0"/>
      <w:divBdr>
        <w:top w:val="none" w:sz="0" w:space="0" w:color="auto"/>
        <w:left w:val="none" w:sz="0" w:space="0" w:color="auto"/>
        <w:bottom w:val="none" w:sz="0" w:space="0" w:color="auto"/>
        <w:right w:val="none" w:sz="0" w:space="0" w:color="auto"/>
      </w:divBdr>
    </w:div>
    <w:div w:id="21018714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png"/><Relationship Id="rId18" Type="http://schemas.openxmlformats.org/officeDocument/2006/relationships/image" Target="media/image6.png"/><Relationship Id="rId26" Type="http://schemas.openxmlformats.org/officeDocument/2006/relationships/hyperlink" Target="https://www.ipomex.org.mx/ipo3/lgt/indice/INFOEM/art_92_xliii_b.web?token=03AFcWeA6BvZuAzBYh9h_1l5GgO_AAsakW1QDY4CO4ioAxoIEwZqdJqL460jL2tVNUnwz4ZTOlfdIdmdM1-OtvJxeqp2sMl1MdVVOSXqKu4jSbOXN7S4Pl0U470J44z4pBCMV10seIHurg1os7f8vH4_i-7JgY9JJil5Wq_hQURbyKMNRXNRSRGnpzaeohwKdURsxwDNMyT3ci-xWoFEaDRsIH6xwfMuNXl-J0e7G1cSrY7r54NYIjVfajWNE9ua2noHrccruiuEIXjU0Pu2pVNS9H3fwh9jOl3EUTUVm3OSi-49pu-fD6qz1UsVnKKiZupE8s_DXlvseZXbHmru1qh1NE9kkYuRewTYlgj2JZiX5Kb2qUO005P60P3VDdmlQiHIaSwlvb8C05VXl6INYXSBZhRi4hRVlaiALEyvglPPoCpPBfI29UTXBUSg3hqmxM9UZMP_SQSHH6cvvJ3pLoXMslvql3t-ZGqAuUCPUOSstBHvYJ6RF5tRqUwz2BGfYHXMCgMbCm_zEb2TJHQlRsZJdfqEPIKVXuiA0Wldeqcg5LB7utJs3yzy_yYDuaZwDHM2QCzGGxwRq3H1AyY7MPU3eWOCm2d6uBplgNBP9HAQOg6h_gwIgolcn1oR8jr4cIS5hgFc2shwum0U0gVU8IkGUgnofnJGSFaIwoqC-e_f1KwSDwvKSpwPBL-PiuetkLVejfoabqOWoWRwz6xH8nRNyjJO08sFzqkuO79HisXorkge7gZzPz8zG748L8CixNir__TWY7gVOCPBadzHB8Nw0ZLsDARanUJTlNRNkZ5K_b2nZUeSGUQfMDjSVE3I816TLqxvpZCPLYcmMjq-YRllXsNehy6JbEsQ" TargetMode="External"/><Relationship Id="rId21" Type="http://schemas.openxmlformats.org/officeDocument/2006/relationships/image" Target="media/image9.png"/><Relationship Id="rId34"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https://ipomex2.ipomex.org.mx/ipo/lgt/indice/infoem/sesionesTrans/2017.web" TargetMode="External"/><Relationship Id="rId17" Type="http://schemas.openxmlformats.org/officeDocument/2006/relationships/image" Target="media/image5.png"/><Relationship Id="rId25" Type="http://schemas.openxmlformats.org/officeDocument/2006/relationships/image" Target="media/image12.png"/><Relationship Id="rId33"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infoem2.ipomex.org.mx/ipomex/" TargetMode="External"/><Relationship Id="rId20" Type="http://schemas.openxmlformats.org/officeDocument/2006/relationships/image" Target="media/image8.png"/><Relationship Id="rId29" Type="http://schemas.openxmlformats.org/officeDocument/2006/relationships/image" Target="media/image14.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pomex2.ipomex.org.mx/ipo/portal/infoem/acuerdosActas/2016/0/2489.web" TargetMode="External"/><Relationship Id="rId24" Type="http://schemas.openxmlformats.org/officeDocument/2006/relationships/image" Target="media/image11.png"/><Relationship Id="rId32" Type="http://schemas.openxmlformats.org/officeDocument/2006/relationships/footer" Target="footer1.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4.png"/><Relationship Id="rId23" Type="http://schemas.openxmlformats.org/officeDocument/2006/relationships/image" Target="media/image10.png"/><Relationship Id="rId28" Type="http://schemas.openxmlformats.org/officeDocument/2006/relationships/hyperlink" Target="https://infoem2.ipomex.org.mx/ipomex/" TargetMode="External"/><Relationship Id="rId36" Type="http://schemas.openxmlformats.org/officeDocument/2006/relationships/fontTable" Target="fontTable.xml"/><Relationship Id="rId10" Type="http://schemas.openxmlformats.org/officeDocument/2006/relationships/hyperlink" Target="https://ipomex2.ipomex.org.mx/ipo/portal/infoem/acuerdosActas/2016/0/39.web" TargetMode="External"/><Relationship Id="rId19" Type="http://schemas.openxmlformats.org/officeDocument/2006/relationships/image" Target="media/image7.png"/><Relationship Id="rId31" Type="http://schemas.openxmlformats.org/officeDocument/2006/relationships/header" Target="header2.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3.png"/><Relationship Id="rId22" Type="http://schemas.openxmlformats.org/officeDocument/2006/relationships/hyperlink" Target="https://ipomex2.ipomex.org.mx/ipo/portal/infoem/acuerdosActas/2016/0/39.web" TargetMode="External"/><Relationship Id="rId27" Type="http://schemas.openxmlformats.org/officeDocument/2006/relationships/image" Target="media/image13.png"/><Relationship Id="rId30" Type="http://schemas.openxmlformats.org/officeDocument/2006/relationships/header" Target="header1.xml"/><Relationship Id="rId35" Type="http://schemas.openxmlformats.org/officeDocument/2006/relationships/footer" Target="footer3.xml"/><Relationship Id="rId8" Type="http://schemas.openxmlformats.org/officeDocument/2006/relationships/hyperlink" Target="https://ipomex2.ipomex.org.mx/ipo/portal/infoem/acuerdosActas/2015/0/39.web" TargetMode="External"/><Relationship Id="rId3"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5.jpeg"/></Relationships>
</file>

<file path=word/_rels/header2.xml.rels><?xml version="1.0" encoding="UTF-8" standalone="yes"?>
<Relationships xmlns="http://schemas.openxmlformats.org/package/2006/relationships"><Relationship Id="rId1" Type="http://schemas.openxmlformats.org/officeDocument/2006/relationships/image" Target="media/image15.jpeg"/></Relationships>
</file>

<file path=word/_rels/header3.xml.rels><?xml version="1.0" encoding="UTF-8" standalone="yes"?>
<Relationships xmlns="http://schemas.openxmlformats.org/package/2006/relationships"><Relationship Id="rId1" Type="http://schemas.openxmlformats.org/officeDocument/2006/relationships/image" Target="media/image15.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108592-9700-4C4E-9C64-8AE6DF35EF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44</Pages>
  <Words>11183</Words>
  <Characters>61509</Characters>
  <Application>Microsoft Office Word</Application>
  <DocSecurity>0</DocSecurity>
  <Lines>512</Lines>
  <Paragraphs>145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72547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oswaldo</dc:creator>
  <cp:keywords/>
  <dc:description/>
  <cp:lastModifiedBy>INFOEM415</cp:lastModifiedBy>
  <cp:revision>5</cp:revision>
  <cp:lastPrinted>2024-11-08T17:44:00Z</cp:lastPrinted>
  <dcterms:created xsi:type="dcterms:W3CDTF">2024-11-08T17:43:00Z</dcterms:created>
  <dcterms:modified xsi:type="dcterms:W3CDTF">2025-02-07T17:44:00Z</dcterms:modified>
</cp:coreProperties>
</file>