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AAA02" w14:textId="1E95AEF5" w:rsidR="00DA12DB" w:rsidRPr="00B25BED" w:rsidRDefault="00C47FEF">
      <w:pPr>
        <w:tabs>
          <w:tab w:val="left" w:pos="3465"/>
        </w:tabs>
        <w:spacing w:line="360" w:lineRule="auto"/>
        <w:jc w:val="both"/>
        <w:rPr>
          <w:rFonts w:ascii="Palatino Linotype" w:eastAsia="Palatino Linotype" w:hAnsi="Palatino Linotype" w:cs="Palatino Linotype"/>
          <w:color w:val="000000"/>
        </w:rPr>
      </w:pPr>
      <w:bookmarkStart w:id="0" w:name="_GoBack"/>
      <w:bookmarkEnd w:id="0"/>
      <w:r w:rsidRPr="00B25BED">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w:t>
      </w:r>
      <w:r w:rsidR="00C95452" w:rsidRPr="00B25BED">
        <w:rPr>
          <w:rFonts w:ascii="Palatino Linotype" w:eastAsia="Palatino Linotype" w:hAnsi="Palatino Linotype" w:cs="Palatino Linotype"/>
          <w:color w:val="000000"/>
        </w:rPr>
        <w:t xml:space="preserve">Estado de México; de </w:t>
      </w:r>
      <w:r w:rsidR="00B25BED">
        <w:rPr>
          <w:rFonts w:ascii="Palatino Linotype" w:eastAsia="Palatino Linotype" w:hAnsi="Palatino Linotype" w:cs="Palatino Linotype"/>
          <w:color w:val="000000"/>
        </w:rPr>
        <w:t xml:space="preserve">fecha </w:t>
      </w:r>
      <w:r w:rsidR="00CA3612" w:rsidRPr="00B25BED">
        <w:rPr>
          <w:rFonts w:ascii="Palatino Linotype" w:eastAsia="Palatino Linotype" w:hAnsi="Palatino Linotype" w:cs="Palatino Linotype"/>
          <w:color w:val="000000"/>
        </w:rPr>
        <w:t>veintisiete</w:t>
      </w:r>
      <w:r w:rsidR="00B25BED">
        <w:rPr>
          <w:rFonts w:ascii="Palatino Linotype" w:eastAsia="Palatino Linotype" w:hAnsi="Palatino Linotype" w:cs="Palatino Linotype"/>
          <w:color w:val="000000"/>
        </w:rPr>
        <w:t xml:space="preserve"> (27)</w:t>
      </w:r>
      <w:r w:rsidR="008A1EB7" w:rsidRPr="00B25BED">
        <w:rPr>
          <w:rFonts w:ascii="Palatino Linotype" w:eastAsia="Palatino Linotype" w:hAnsi="Palatino Linotype" w:cs="Palatino Linotype"/>
          <w:color w:val="000000"/>
        </w:rPr>
        <w:t xml:space="preserve"> de novi</w:t>
      </w:r>
      <w:r w:rsidR="00B25BED">
        <w:rPr>
          <w:rFonts w:ascii="Palatino Linotype" w:eastAsia="Palatino Linotype" w:hAnsi="Palatino Linotype" w:cs="Palatino Linotype"/>
          <w:color w:val="000000"/>
        </w:rPr>
        <w:t>e</w:t>
      </w:r>
      <w:r w:rsidR="008A1EB7" w:rsidRPr="00B25BED">
        <w:rPr>
          <w:rFonts w:ascii="Palatino Linotype" w:eastAsia="Palatino Linotype" w:hAnsi="Palatino Linotype" w:cs="Palatino Linotype"/>
          <w:color w:val="000000"/>
        </w:rPr>
        <w:t>mbre</w:t>
      </w:r>
      <w:r w:rsidRPr="00B25BED">
        <w:rPr>
          <w:rFonts w:ascii="Palatino Linotype" w:eastAsia="Palatino Linotype" w:hAnsi="Palatino Linotype" w:cs="Palatino Linotype"/>
          <w:color w:val="000000"/>
        </w:rPr>
        <w:t xml:space="preserve"> de dos mil veinticuatro.</w:t>
      </w:r>
    </w:p>
    <w:p w14:paraId="0948C07C" w14:textId="77777777" w:rsidR="00DA12DB" w:rsidRPr="00B25BED" w:rsidRDefault="00DA12DB">
      <w:pPr>
        <w:tabs>
          <w:tab w:val="left" w:pos="3465"/>
        </w:tabs>
        <w:spacing w:line="360" w:lineRule="auto"/>
        <w:jc w:val="both"/>
        <w:rPr>
          <w:rFonts w:ascii="Palatino Linotype" w:eastAsia="Palatino Linotype" w:hAnsi="Palatino Linotype" w:cs="Palatino Linotype"/>
          <w:color w:val="000000"/>
        </w:rPr>
      </w:pPr>
    </w:p>
    <w:p w14:paraId="470CF989" w14:textId="1085F141" w:rsidR="00DA12DB" w:rsidRPr="00B25BED" w:rsidRDefault="00C47FEF">
      <w:pPr>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b/>
          <w:color w:val="000000"/>
        </w:rPr>
        <w:t>VISTO</w:t>
      </w:r>
      <w:r w:rsidRPr="00B25BED">
        <w:rPr>
          <w:rFonts w:ascii="Palatino Linotype" w:eastAsia="Palatino Linotype" w:hAnsi="Palatino Linotype" w:cs="Palatino Linotype"/>
          <w:color w:val="000000"/>
        </w:rPr>
        <w:t xml:space="preserve"> el expediente electrónico formado con motivo del recurso de revisión </w:t>
      </w:r>
      <w:r w:rsidR="00DC711C" w:rsidRPr="00B25BED">
        <w:rPr>
          <w:rFonts w:ascii="Palatino Linotype" w:eastAsia="Palatino Linotype" w:hAnsi="Palatino Linotype" w:cs="Palatino Linotype"/>
          <w:b/>
          <w:color w:val="000000"/>
        </w:rPr>
        <w:t>0</w:t>
      </w:r>
      <w:r w:rsidR="00CA3612" w:rsidRPr="00B25BED">
        <w:rPr>
          <w:rFonts w:ascii="Palatino Linotype" w:eastAsia="Palatino Linotype" w:hAnsi="Palatino Linotype" w:cs="Palatino Linotype"/>
          <w:b/>
          <w:color w:val="000000"/>
        </w:rPr>
        <w:t>2568</w:t>
      </w:r>
      <w:r w:rsidR="00C95452" w:rsidRPr="00B25BED">
        <w:rPr>
          <w:rFonts w:ascii="Palatino Linotype" w:eastAsia="Palatino Linotype" w:hAnsi="Palatino Linotype" w:cs="Palatino Linotype"/>
          <w:b/>
          <w:color w:val="000000"/>
        </w:rPr>
        <w:t>/INFOEM/IP/RR/2024</w:t>
      </w:r>
      <w:r w:rsidRPr="00B25BED">
        <w:rPr>
          <w:rFonts w:ascii="Palatino Linotype" w:eastAsia="Palatino Linotype" w:hAnsi="Palatino Linotype" w:cs="Palatino Linotype"/>
          <w:color w:val="000000"/>
        </w:rPr>
        <w:t xml:space="preserve">, interpuesto por </w:t>
      </w:r>
      <w:r w:rsidR="00C95452" w:rsidRPr="00B25BED">
        <w:rPr>
          <w:rFonts w:ascii="Palatino Linotype" w:eastAsia="Palatino Linotype" w:hAnsi="Palatino Linotype" w:cs="Palatino Linotype"/>
          <w:b/>
          <w:color w:val="000000"/>
        </w:rPr>
        <w:t xml:space="preserve">un usuario que no proporcionó nombre para ser identificado, </w:t>
      </w:r>
      <w:r w:rsidRPr="00B25BED">
        <w:rPr>
          <w:rFonts w:ascii="Palatino Linotype" w:eastAsia="Palatino Linotype" w:hAnsi="Palatino Linotype" w:cs="Palatino Linotype"/>
          <w:color w:val="000000"/>
        </w:rPr>
        <w:t xml:space="preserve">en lo sucesivo el </w:t>
      </w:r>
      <w:r w:rsidR="00B25BED" w:rsidRPr="00B25BED">
        <w:rPr>
          <w:rFonts w:ascii="Palatino Linotype" w:eastAsia="Palatino Linotype" w:hAnsi="Palatino Linotype" w:cs="Palatino Linotype"/>
          <w:b/>
          <w:color w:val="000000"/>
        </w:rPr>
        <w:t>RECURRENTE</w:t>
      </w:r>
      <w:r w:rsidR="00B25BED">
        <w:rPr>
          <w:rFonts w:ascii="Palatino Linotype" w:eastAsia="Palatino Linotype" w:hAnsi="Palatino Linotype" w:cs="Palatino Linotype"/>
          <w:b/>
          <w:color w:val="000000"/>
        </w:rPr>
        <w:t>,</w:t>
      </w:r>
      <w:r w:rsidRPr="00B25BED">
        <w:rPr>
          <w:rFonts w:ascii="Palatino Linotype" w:eastAsia="Palatino Linotype" w:hAnsi="Palatino Linotype" w:cs="Palatino Linotype"/>
          <w:color w:val="000000"/>
        </w:rPr>
        <w:t xml:space="preserve"> en contra de la respuesta del </w:t>
      </w:r>
      <w:r w:rsidR="00CA3612" w:rsidRPr="00B25BED">
        <w:rPr>
          <w:rFonts w:ascii="Palatino Linotype" w:hAnsi="Palatino Linotype"/>
          <w:b/>
          <w:bCs/>
          <w:color w:val="000000"/>
        </w:rPr>
        <w:t>Organismo Público Descentralizado para la Prestación de Los Servicios de Agua Potable Alcantarillado y Saneamiento de Atizapán de Zaragoza por sus siglas S.A.P.A.S.A.</w:t>
      </w:r>
      <w:r w:rsidR="00B25BED">
        <w:rPr>
          <w:rFonts w:ascii="Palatino Linotype" w:eastAsia="Palatino Linotype" w:hAnsi="Palatino Linotype" w:cs="Palatino Linotype"/>
          <w:color w:val="000000"/>
        </w:rPr>
        <w:t>, en adelante</w:t>
      </w:r>
      <w:r w:rsidRPr="00B25BED">
        <w:rPr>
          <w:rFonts w:ascii="Palatino Linotype" w:eastAsia="Palatino Linotype" w:hAnsi="Palatino Linotype" w:cs="Palatino Linotype"/>
          <w:color w:val="000000"/>
        </w:rPr>
        <w:t xml:space="preserve"> el</w:t>
      </w:r>
      <w:r w:rsidRPr="00B25BED">
        <w:rPr>
          <w:rFonts w:ascii="Palatino Linotype" w:eastAsia="Palatino Linotype" w:hAnsi="Palatino Linotype" w:cs="Palatino Linotype"/>
          <w:b/>
          <w:color w:val="000000"/>
        </w:rPr>
        <w:t xml:space="preserve"> SUJETO OBLIGADO</w:t>
      </w:r>
      <w:r w:rsidRPr="00B25BED">
        <w:rPr>
          <w:rFonts w:ascii="Palatino Linotype" w:eastAsia="Palatino Linotype" w:hAnsi="Palatino Linotype" w:cs="Palatino Linotype"/>
          <w:color w:val="000000"/>
        </w:rPr>
        <w:t>,</w:t>
      </w:r>
      <w:r w:rsidRPr="00B25BED">
        <w:rPr>
          <w:rFonts w:ascii="Palatino Linotype" w:eastAsia="Palatino Linotype" w:hAnsi="Palatino Linotype" w:cs="Palatino Linotype"/>
          <w:b/>
          <w:color w:val="000000"/>
        </w:rPr>
        <w:t xml:space="preserve"> </w:t>
      </w:r>
      <w:r w:rsidRPr="00B25BED">
        <w:rPr>
          <w:rFonts w:ascii="Palatino Linotype" w:eastAsia="Palatino Linotype" w:hAnsi="Palatino Linotype" w:cs="Palatino Linotype"/>
          <w:color w:val="000000"/>
        </w:rPr>
        <w:t>se procede a dictar la presente resolución, con base en los siguientes:</w:t>
      </w:r>
    </w:p>
    <w:p w14:paraId="57CDE837" w14:textId="77777777" w:rsidR="00DA12DB" w:rsidRPr="00B25BED" w:rsidRDefault="00DA12DB">
      <w:pPr>
        <w:spacing w:line="360" w:lineRule="auto"/>
        <w:jc w:val="both"/>
        <w:rPr>
          <w:rFonts w:ascii="Palatino Linotype" w:eastAsia="Palatino Linotype" w:hAnsi="Palatino Linotype" w:cs="Palatino Linotype"/>
          <w:b/>
          <w:color w:val="000000"/>
        </w:rPr>
      </w:pPr>
    </w:p>
    <w:p w14:paraId="115271F5" w14:textId="77777777" w:rsidR="00DA12DB" w:rsidRPr="00B25BED" w:rsidRDefault="00C47FEF">
      <w:pPr>
        <w:pStyle w:val="Ttulo1"/>
        <w:spacing w:before="0" w:line="360" w:lineRule="auto"/>
        <w:jc w:val="center"/>
        <w:rPr>
          <w:b/>
          <w:color w:val="000000"/>
          <w:szCs w:val="24"/>
        </w:rPr>
      </w:pPr>
      <w:bookmarkStart w:id="1" w:name="_heading=h.gjdgxs" w:colFirst="0" w:colLast="0"/>
      <w:bookmarkEnd w:id="1"/>
      <w:r w:rsidRPr="00B25BED">
        <w:rPr>
          <w:b/>
          <w:color w:val="000000"/>
          <w:szCs w:val="24"/>
        </w:rPr>
        <w:t>A N T E C E D E N T E S</w:t>
      </w:r>
    </w:p>
    <w:p w14:paraId="22EA6DAB" w14:textId="77777777" w:rsidR="00DA12DB" w:rsidRPr="00B25BED" w:rsidRDefault="00DA12D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67DEC4D" w14:textId="6AC7231C" w:rsidR="00DA12DB" w:rsidRPr="00B25BED" w:rsidRDefault="00C47FEF">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El </w:t>
      </w:r>
      <w:r w:rsidR="00CA3612" w:rsidRPr="00B25BED">
        <w:rPr>
          <w:rFonts w:ascii="Palatino Linotype" w:eastAsia="Palatino Linotype" w:hAnsi="Palatino Linotype" w:cs="Palatino Linotype"/>
          <w:b/>
          <w:color w:val="000000"/>
        </w:rPr>
        <w:t>veintidós de marzo</w:t>
      </w:r>
      <w:r w:rsidR="00C95452" w:rsidRPr="00B25BED">
        <w:rPr>
          <w:rFonts w:ascii="Palatino Linotype" w:eastAsia="Palatino Linotype" w:hAnsi="Palatino Linotype" w:cs="Palatino Linotype"/>
          <w:b/>
          <w:color w:val="000000"/>
        </w:rPr>
        <w:t xml:space="preserve"> de dos mil veinticuatro</w:t>
      </w:r>
      <w:r w:rsidRPr="00B25BED">
        <w:rPr>
          <w:rFonts w:ascii="Palatino Linotype" w:eastAsia="Palatino Linotype" w:hAnsi="Palatino Linotype" w:cs="Palatino Linotype"/>
          <w:color w:val="000000"/>
        </w:rPr>
        <w:t>, el particular presentó</w:t>
      </w:r>
      <w:r w:rsidRPr="00B25BED">
        <w:rPr>
          <w:rFonts w:ascii="Palatino Linotype" w:eastAsia="Palatino Linotype" w:hAnsi="Palatino Linotype" w:cs="Palatino Linotype"/>
          <w:b/>
          <w:color w:val="000000"/>
        </w:rPr>
        <w:t xml:space="preserve"> </w:t>
      </w:r>
      <w:r w:rsidRPr="00B25BED">
        <w:rPr>
          <w:rFonts w:ascii="Palatino Linotype" w:eastAsia="Palatino Linotype" w:hAnsi="Palatino Linotype" w:cs="Palatino Linotype"/>
          <w:color w:val="000000"/>
        </w:rPr>
        <w:t xml:space="preserve">a través del Sistema de Acceso a la Información Mexiquense (SAIMEX), la solicitud de información pública registrada con el número </w:t>
      </w:r>
      <w:r w:rsidR="00DC711C" w:rsidRPr="00B25BED">
        <w:rPr>
          <w:rFonts w:ascii="Palatino Linotype" w:eastAsia="Palatino Linotype" w:hAnsi="Palatino Linotype" w:cs="Palatino Linotype"/>
          <w:b/>
          <w:bCs/>
          <w:color w:val="000000"/>
        </w:rPr>
        <w:t>0</w:t>
      </w:r>
      <w:r w:rsidR="00CA3612" w:rsidRPr="00B25BED">
        <w:rPr>
          <w:rFonts w:ascii="Palatino Linotype" w:eastAsia="Palatino Linotype" w:hAnsi="Palatino Linotype" w:cs="Palatino Linotype"/>
          <w:b/>
          <w:bCs/>
          <w:color w:val="000000"/>
        </w:rPr>
        <w:t>0185</w:t>
      </w:r>
      <w:r w:rsidR="00C95452" w:rsidRPr="00B25BED">
        <w:rPr>
          <w:rFonts w:ascii="Palatino Linotype" w:eastAsia="Palatino Linotype" w:hAnsi="Palatino Linotype" w:cs="Palatino Linotype"/>
          <w:b/>
          <w:bCs/>
          <w:color w:val="000000"/>
        </w:rPr>
        <w:t>/</w:t>
      </w:r>
      <w:r w:rsidR="00CA3612" w:rsidRPr="00B25BED">
        <w:rPr>
          <w:rFonts w:ascii="Palatino Linotype" w:eastAsia="Palatino Linotype" w:hAnsi="Palatino Linotype" w:cs="Palatino Linotype"/>
          <w:b/>
          <w:bCs/>
          <w:color w:val="000000"/>
        </w:rPr>
        <w:t>OASATIZARA</w:t>
      </w:r>
      <w:r w:rsidR="00C95452" w:rsidRPr="00B25BED">
        <w:rPr>
          <w:rFonts w:ascii="Palatino Linotype" w:eastAsia="Palatino Linotype" w:hAnsi="Palatino Linotype" w:cs="Palatino Linotype"/>
          <w:b/>
          <w:bCs/>
          <w:color w:val="000000"/>
        </w:rPr>
        <w:t>/IP/2024</w:t>
      </w:r>
      <w:r w:rsidRPr="00B25BED">
        <w:rPr>
          <w:rFonts w:ascii="Palatino Linotype" w:eastAsia="Palatino Linotype" w:hAnsi="Palatino Linotype" w:cs="Palatino Linotype"/>
          <w:b/>
          <w:color w:val="000000"/>
        </w:rPr>
        <w:t>,</w:t>
      </w:r>
      <w:r w:rsidRPr="00B25BED">
        <w:rPr>
          <w:rFonts w:ascii="Palatino Linotype" w:eastAsia="Palatino Linotype" w:hAnsi="Palatino Linotype" w:cs="Palatino Linotype"/>
          <w:color w:val="000000"/>
        </w:rPr>
        <w:t xml:space="preserve"> </w:t>
      </w:r>
      <w:r w:rsidR="00B25BED">
        <w:rPr>
          <w:rFonts w:ascii="Palatino Linotype" w:eastAsia="Palatino Linotype" w:hAnsi="Palatino Linotype" w:cs="Palatino Linotype"/>
          <w:color w:val="000000"/>
        </w:rPr>
        <w:t xml:space="preserve">en la que se </w:t>
      </w:r>
      <w:r w:rsidRPr="00B25BED">
        <w:rPr>
          <w:rFonts w:ascii="Palatino Linotype" w:eastAsia="Palatino Linotype" w:hAnsi="Palatino Linotype" w:cs="Palatino Linotype"/>
          <w:color w:val="000000"/>
        </w:rPr>
        <w:t>requirió lo siguiente:</w:t>
      </w:r>
    </w:p>
    <w:p w14:paraId="77DEFBC5" w14:textId="77777777" w:rsidR="00DA12DB" w:rsidRPr="00B25BED" w:rsidRDefault="00DA12DB" w:rsidP="00DC711C">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406D9E71" w14:textId="61D5816D" w:rsidR="00DA12DB" w:rsidRPr="00B25BED" w:rsidRDefault="00C47FEF" w:rsidP="00CA3612">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B25BED">
        <w:rPr>
          <w:rFonts w:ascii="Palatino Linotype" w:eastAsia="Palatino Linotype" w:hAnsi="Palatino Linotype" w:cs="Palatino Linotype"/>
          <w:i/>
          <w:color w:val="000000"/>
        </w:rPr>
        <w:t>“</w:t>
      </w:r>
      <w:r w:rsidR="00CA3612" w:rsidRPr="00B25BED">
        <w:rPr>
          <w:rFonts w:ascii="Palatino Linotype" w:hAnsi="Palatino Linotype"/>
          <w:i/>
          <w:color w:val="000000"/>
        </w:rPr>
        <w:t xml:space="preserve">su organismo tiene proyectado promover durante el 2024 temas que promuevan la ètica, la transparencia, el acceso a la informaciòn con el objetivo de generar confianza a la ciudadnia </w:t>
      </w:r>
      <w:r w:rsidR="00CA3612" w:rsidRPr="00B25BED">
        <w:rPr>
          <w:rFonts w:ascii="Palatino Linotype" w:hAnsi="Palatino Linotype"/>
          <w:b/>
          <w:bCs/>
          <w:i/>
          <w:color w:val="000000"/>
        </w:rPr>
        <w:t>si es si que se va a llevar a cabo de lo mencionado si es no, porque no se tiene nada para REALIZAR ESTOS ACTOS QUE REFLEJARIAN UN ORGANISMO CONFIABLE.</w:t>
      </w:r>
      <w:r w:rsidR="00CA3612" w:rsidRPr="00B25BED">
        <w:rPr>
          <w:rFonts w:ascii="Palatino Linotype" w:hAnsi="Palatino Linotype"/>
          <w:i/>
          <w:color w:val="000000"/>
        </w:rPr>
        <w:t xml:space="preserve"> .</w:t>
      </w:r>
      <w:r w:rsidRPr="00B25BED">
        <w:rPr>
          <w:rFonts w:ascii="Palatino Linotype" w:eastAsia="Palatino Linotype" w:hAnsi="Palatino Linotype" w:cs="Palatino Linotype"/>
          <w:i/>
          <w:color w:val="000000"/>
        </w:rPr>
        <w:t>” (Sic).</w:t>
      </w:r>
    </w:p>
    <w:p w14:paraId="486421DA" w14:textId="77777777" w:rsidR="00DA12DB" w:rsidRPr="00B25BED" w:rsidRDefault="00DA12DB">
      <w:pPr>
        <w:spacing w:line="360" w:lineRule="auto"/>
        <w:ind w:right="333"/>
        <w:jc w:val="both"/>
        <w:rPr>
          <w:rFonts w:ascii="Palatino Linotype" w:eastAsia="Palatino Linotype" w:hAnsi="Palatino Linotype" w:cs="Palatino Linotype"/>
          <w:color w:val="000000"/>
        </w:rPr>
      </w:pPr>
    </w:p>
    <w:p w14:paraId="44738901" w14:textId="77777777" w:rsidR="00DA12DB" w:rsidRPr="00B25BED" w:rsidRDefault="00C47FEF">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lastRenderedPageBreak/>
        <w:t>Se hace constar que el particular señaló como modalidad de entrega de la información:</w:t>
      </w:r>
      <w:r w:rsidRPr="00B25BED">
        <w:rPr>
          <w:rFonts w:ascii="Palatino Linotype" w:eastAsia="Palatino Linotype" w:hAnsi="Palatino Linotype" w:cs="Palatino Linotype"/>
          <w:b/>
          <w:color w:val="000000"/>
        </w:rPr>
        <w:t xml:space="preserve"> </w:t>
      </w:r>
      <w:r w:rsidRPr="00B25BED">
        <w:rPr>
          <w:rFonts w:ascii="Palatino Linotype" w:eastAsia="Palatino Linotype" w:hAnsi="Palatino Linotype" w:cs="Palatino Linotype"/>
          <w:b/>
          <w:i/>
          <w:color w:val="000000"/>
        </w:rPr>
        <w:t>A través del SAIMEX</w:t>
      </w:r>
      <w:r w:rsidRPr="00B25BED">
        <w:rPr>
          <w:rFonts w:ascii="Palatino Linotype" w:eastAsia="Palatino Linotype" w:hAnsi="Palatino Linotype" w:cs="Palatino Linotype"/>
          <w:color w:val="000000"/>
        </w:rPr>
        <w:t>.</w:t>
      </w:r>
    </w:p>
    <w:p w14:paraId="620CCF0A" w14:textId="77777777" w:rsidR="00C95452" w:rsidRPr="00B25BED" w:rsidRDefault="00C95452" w:rsidP="00DC711C">
      <w:pPr>
        <w:rPr>
          <w:rFonts w:ascii="Palatino Linotype" w:eastAsia="Palatino Linotype" w:hAnsi="Palatino Linotype" w:cs="Palatino Linotype"/>
          <w:color w:val="000000"/>
        </w:rPr>
      </w:pPr>
    </w:p>
    <w:p w14:paraId="1CD1C2C6" w14:textId="262B356A" w:rsidR="00DA12DB" w:rsidRPr="00B25BED" w:rsidRDefault="00C47FEF">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El </w:t>
      </w:r>
      <w:r w:rsidR="00CA3612" w:rsidRPr="00B25BED">
        <w:rPr>
          <w:rFonts w:ascii="Palatino Linotype" w:eastAsia="Palatino Linotype" w:hAnsi="Palatino Linotype" w:cs="Palatino Linotype"/>
          <w:b/>
          <w:color w:val="000000"/>
        </w:rPr>
        <w:t>diecinueve de abril</w:t>
      </w:r>
      <w:r w:rsidR="00C95452" w:rsidRPr="00B25BED">
        <w:rPr>
          <w:rFonts w:ascii="Palatino Linotype" w:eastAsia="Palatino Linotype" w:hAnsi="Palatino Linotype" w:cs="Palatino Linotype"/>
          <w:b/>
          <w:color w:val="000000"/>
        </w:rPr>
        <w:t xml:space="preserve"> de dos mil veinticuatro</w:t>
      </w:r>
      <w:r w:rsidRPr="00B25BED">
        <w:rPr>
          <w:rFonts w:ascii="Palatino Linotype" w:eastAsia="Palatino Linotype" w:hAnsi="Palatino Linotype" w:cs="Palatino Linotype"/>
          <w:color w:val="000000"/>
        </w:rPr>
        <w:t xml:space="preserve">, el </w:t>
      </w:r>
      <w:r w:rsidRPr="00B25BED">
        <w:rPr>
          <w:rFonts w:ascii="Palatino Linotype" w:eastAsia="Palatino Linotype" w:hAnsi="Palatino Linotype" w:cs="Palatino Linotype"/>
          <w:b/>
          <w:color w:val="000000"/>
        </w:rPr>
        <w:t>SUJETO OBLIGADO</w:t>
      </w:r>
      <w:r w:rsidRPr="00B25BED">
        <w:rPr>
          <w:rFonts w:ascii="Palatino Linotype" w:eastAsia="Palatino Linotype" w:hAnsi="Palatino Linotype" w:cs="Palatino Linotype"/>
          <w:color w:val="000000"/>
        </w:rPr>
        <w:t xml:space="preserve"> dio respuesta a la solicitud de información en los siguientes términos:</w:t>
      </w:r>
    </w:p>
    <w:p w14:paraId="5B3EBB1F" w14:textId="3B96719B" w:rsidR="00DC711C" w:rsidRPr="00B25BED" w:rsidRDefault="00DC711C" w:rsidP="00B25BED">
      <w:pPr>
        <w:pBdr>
          <w:top w:val="nil"/>
          <w:left w:val="nil"/>
          <w:bottom w:val="nil"/>
          <w:right w:val="nil"/>
          <w:between w:val="nil"/>
        </w:pBdr>
        <w:ind w:left="567" w:right="992"/>
        <w:jc w:val="both"/>
        <w:rPr>
          <w:rFonts w:ascii="Palatino Linotype" w:eastAsia="Palatino Linotype" w:hAnsi="Palatino Linotype" w:cs="Palatino Linotype"/>
          <w:i/>
          <w:color w:val="000000"/>
          <w:sz w:val="22"/>
        </w:rPr>
      </w:pPr>
      <w:r w:rsidRPr="00B25BED">
        <w:rPr>
          <w:rFonts w:ascii="Palatino Linotype" w:eastAsia="Palatino Linotype" w:hAnsi="Palatino Linotype" w:cs="Palatino Linotype"/>
          <w:i/>
          <w:color w:val="000000"/>
          <w:sz w:val="22"/>
        </w:rPr>
        <w:t>“…</w:t>
      </w:r>
      <w:r w:rsidR="00CA3612" w:rsidRPr="00B25BED">
        <w:rPr>
          <w:rFonts w:ascii="Palatino Linotype" w:hAnsi="Palatino Linotype"/>
          <w:i/>
          <w:color w:val="000000"/>
          <w:sz w:val="22"/>
        </w:rPr>
        <w:t>Se anexa respuesta a la solicitud con número de folio 00185/OASATIZARA/IP/2024…</w:t>
      </w:r>
      <w:r w:rsidRPr="00B25BED">
        <w:rPr>
          <w:rFonts w:ascii="Palatino Linotype" w:hAnsi="Palatino Linotype"/>
          <w:i/>
          <w:color w:val="000000"/>
          <w:sz w:val="22"/>
        </w:rPr>
        <w:t>” (Sic)</w:t>
      </w:r>
    </w:p>
    <w:p w14:paraId="3A35F327" w14:textId="0DE3E972" w:rsidR="00DC711C" w:rsidRPr="00B25BED" w:rsidRDefault="00DC711C" w:rsidP="00B25BED">
      <w:pPr>
        <w:pBdr>
          <w:top w:val="nil"/>
          <w:left w:val="nil"/>
          <w:bottom w:val="nil"/>
          <w:right w:val="nil"/>
          <w:between w:val="nil"/>
        </w:pBdr>
        <w:tabs>
          <w:tab w:val="left" w:pos="284"/>
          <w:tab w:val="left" w:pos="426"/>
        </w:tabs>
        <w:spacing w:line="360" w:lineRule="auto"/>
        <w:ind w:right="992"/>
        <w:jc w:val="both"/>
        <w:rPr>
          <w:rFonts w:ascii="Palatino Linotype" w:eastAsia="Palatino Linotype" w:hAnsi="Palatino Linotype" w:cs="Palatino Linotype"/>
          <w:color w:val="000000"/>
          <w:sz w:val="22"/>
        </w:rPr>
      </w:pPr>
    </w:p>
    <w:p w14:paraId="035AA7F0" w14:textId="2A57797A" w:rsidR="00CA3612" w:rsidRPr="00B25BED" w:rsidRDefault="00DC711C" w:rsidP="00B25BED">
      <w:pPr>
        <w:pBdr>
          <w:top w:val="nil"/>
          <w:left w:val="nil"/>
          <w:bottom w:val="nil"/>
          <w:right w:val="nil"/>
          <w:between w:val="nil"/>
        </w:pBdr>
        <w:tabs>
          <w:tab w:val="left" w:pos="284"/>
          <w:tab w:val="left" w:pos="426"/>
        </w:tabs>
        <w:ind w:right="992"/>
        <w:jc w:val="both"/>
        <w:rPr>
          <w:rFonts w:ascii="Palatino Linotype" w:hAnsi="Palatino Linotype"/>
          <w:sz w:val="22"/>
        </w:rPr>
      </w:pPr>
      <w:r w:rsidRPr="00B25BED">
        <w:rPr>
          <w:rFonts w:ascii="Palatino Linotype" w:eastAsia="Palatino Linotype" w:hAnsi="Palatino Linotype" w:cs="Palatino Linotype"/>
          <w:color w:val="000000"/>
          <w:sz w:val="22"/>
        </w:rPr>
        <w:t xml:space="preserve">Se adjuntó el archivo electrónico denominado </w:t>
      </w:r>
      <w:hyperlink r:id="rId8" w:tgtFrame="_blank" w:history="1">
        <w:r w:rsidR="00CA3612" w:rsidRPr="00B25BED">
          <w:rPr>
            <w:rStyle w:val="Hipervnculo"/>
            <w:rFonts w:ascii="Palatino Linotype" w:hAnsi="Palatino Linotype" w:cs="Arial"/>
            <w:b/>
            <w:bCs/>
            <w:color w:val="auto"/>
            <w:sz w:val="22"/>
            <w:u w:val="none"/>
          </w:rPr>
          <w:t>solicitud 185</w:t>
        </w:r>
        <w:r w:rsidRPr="00B25BED">
          <w:rPr>
            <w:rStyle w:val="Hipervnculo"/>
            <w:rFonts w:ascii="Palatino Linotype" w:hAnsi="Palatino Linotype" w:cs="Arial"/>
            <w:b/>
            <w:bCs/>
            <w:color w:val="auto"/>
            <w:sz w:val="22"/>
            <w:u w:val="none"/>
          </w:rPr>
          <w:t>.pdf</w:t>
        </w:r>
      </w:hyperlink>
      <w:r w:rsidRPr="00B25BED">
        <w:rPr>
          <w:rFonts w:ascii="Palatino Linotype" w:hAnsi="Palatino Linotype"/>
          <w:b/>
          <w:sz w:val="22"/>
        </w:rPr>
        <w:t xml:space="preserve">, </w:t>
      </w:r>
      <w:r w:rsidRPr="00B25BED">
        <w:rPr>
          <w:rFonts w:ascii="Palatino Linotype" w:hAnsi="Palatino Linotype"/>
          <w:sz w:val="22"/>
        </w:rPr>
        <w:t xml:space="preserve">consistente en un oficio suscrito por </w:t>
      </w:r>
      <w:r w:rsidR="00CA3612" w:rsidRPr="00B25BED">
        <w:rPr>
          <w:rFonts w:ascii="Palatino Linotype" w:hAnsi="Palatino Linotype"/>
          <w:sz w:val="22"/>
        </w:rPr>
        <w:t xml:space="preserve">la Titular de la Unidad de Transparencia, por medio del cual, informó lo siguiente: </w:t>
      </w:r>
      <w:r w:rsidR="00CA3612" w:rsidRPr="00B25BED">
        <w:rPr>
          <w:rFonts w:ascii="Palatino Linotype" w:hAnsi="Palatino Linotype"/>
          <w:i/>
          <w:iCs/>
          <w:sz w:val="22"/>
        </w:rPr>
        <w:t>“… tenemos programado proporcionar capacitaciones continuas a los Servidores Públicos Habilitados, con el fin de constituir y mantener a</w:t>
      </w:r>
      <w:r w:rsidR="00B246B8" w:rsidRPr="00B25BED">
        <w:rPr>
          <w:rFonts w:ascii="Palatino Linotype" w:hAnsi="Palatino Linotype"/>
          <w:i/>
          <w:iCs/>
          <w:sz w:val="22"/>
        </w:rPr>
        <w:t>c</w:t>
      </w:r>
      <w:r w:rsidR="00CA3612" w:rsidRPr="00B25BED">
        <w:rPr>
          <w:rFonts w:ascii="Palatino Linotype" w:hAnsi="Palatino Linotype"/>
          <w:i/>
          <w:iCs/>
          <w:sz w:val="22"/>
        </w:rPr>
        <w:t>tulizados los Sistemas de Información, aten</w:t>
      </w:r>
      <w:r w:rsidR="00B246B8" w:rsidRPr="00B25BED">
        <w:rPr>
          <w:rFonts w:ascii="Palatino Linotype" w:hAnsi="Palatino Linotype"/>
          <w:i/>
          <w:iCs/>
          <w:sz w:val="22"/>
        </w:rPr>
        <w:t>d</w:t>
      </w:r>
      <w:r w:rsidR="00CA3612" w:rsidRPr="00B25BED">
        <w:rPr>
          <w:rFonts w:ascii="Palatino Linotype" w:hAnsi="Palatino Linotype"/>
          <w:i/>
          <w:iCs/>
          <w:sz w:val="22"/>
        </w:rPr>
        <w:t xml:space="preserve">er oportunamente los requerimientos y difundir información de Intrés Público con el </w:t>
      </w:r>
      <w:r w:rsidR="00B246B8" w:rsidRPr="00B25BED">
        <w:rPr>
          <w:rFonts w:ascii="Palatino Linotype" w:hAnsi="Palatino Linotype"/>
          <w:i/>
          <w:iCs/>
          <w:sz w:val="22"/>
        </w:rPr>
        <w:t>f</w:t>
      </w:r>
      <w:r w:rsidR="00CA3612" w:rsidRPr="00B25BED">
        <w:rPr>
          <w:rFonts w:ascii="Palatino Linotype" w:hAnsi="Palatino Linotype"/>
          <w:i/>
          <w:iCs/>
          <w:sz w:val="22"/>
        </w:rPr>
        <w:t>in de garantizar y respetar el Derecho a la Información Pública. ” (Sic)</w:t>
      </w:r>
      <w:r w:rsidR="00CA3612" w:rsidRPr="00B25BED">
        <w:rPr>
          <w:rFonts w:ascii="Palatino Linotype" w:hAnsi="Palatino Linotype"/>
          <w:sz w:val="22"/>
        </w:rPr>
        <w:t xml:space="preserve"> </w:t>
      </w:r>
    </w:p>
    <w:p w14:paraId="5E582C74" w14:textId="77777777" w:rsidR="00DC711C" w:rsidRPr="00B25BED" w:rsidRDefault="00DC711C">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23552A7A" w14:textId="14A28680" w:rsidR="00DA12DB" w:rsidRPr="00B25BED" w:rsidRDefault="00C47FEF">
      <w:pPr>
        <w:numPr>
          <w:ilvl w:val="0"/>
          <w:numId w:val="7"/>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Derivado de la respuesta emitida por el </w:t>
      </w:r>
      <w:r w:rsidRPr="00B25BED">
        <w:rPr>
          <w:rFonts w:ascii="Palatino Linotype" w:eastAsia="Palatino Linotype" w:hAnsi="Palatino Linotype" w:cs="Palatino Linotype"/>
          <w:b/>
          <w:color w:val="000000"/>
        </w:rPr>
        <w:t>SUJETO OBLIGADO</w:t>
      </w:r>
      <w:r w:rsidRPr="00B25BED">
        <w:rPr>
          <w:rFonts w:ascii="Palatino Linotype" w:eastAsia="Palatino Linotype" w:hAnsi="Palatino Linotype" w:cs="Palatino Linotype"/>
          <w:color w:val="000000"/>
        </w:rPr>
        <w:t xml:space="preserve">, el </w:t>
      </w:r>
      <w:r w:rsidR="00951302" w:rsidRPr="00B25BED">
        <w:rPr>
          <w:rFonts w:ascii="Palatino Linotype" w:eastAsia="Palatino Linotype" w:hAnsi="Palatino Linotype" w:cs="Palatino Linotype"/>
          <w:b/>
          <w:color w:val="000000"/>
        </w:rPr>
        <w:t>siete de mayo</w:t>
      </w:r>
      <w:r w:rsidR="00C95452" w:rsidRPr="00B25BED">
        <w:rPr>
          <w:rFonts w:ascii="Palatino Linotype" w:eastAsia="Palatino Linotype" w:hAnsi="Palatino Linotype" w:cs="Palatino Linotype"/>
          <w:b/>
          <w:color w:val="000000"/>
        </w:rPr>
        <w:t xml:space="preserve"> de dos mil veinticuatro</w:t>
      </w:r>
      <w:r w:rsidRPr="00B25BED">
        <w:rPr>
          <w:rFonts w:ascii="Palatino Linotype" w:eastAsia="Palatino Linotype" w:hAnsi="Palatino Linotype" w:cs="Palatino Linotype"/>
          <w:color w:val="000000"/>
        </w:rPr>
        <w:t xml:space="preserve">, el particular interpuso el recurso de revisión </w:t>
      </w:r>
      <w:r w:rsidR="00547008" w:rsidRPr="00B25BED">
        <w:rPr>
          <w:rFonts w:ascii="Palatino Linotype" w:eastAsia="Palatino Linotype" w:hAnsi="Palatino Linotype" w:cs="Palatino Linotype"/>
          <w:b/>
          <w:color w:val="000000"/>
        </w:rPr>
        <w:t>06058</w:t>
      </w:r>
      <w:r w:rsidR="00C95452" w:rsidRPr="00B25BED">
        <w:rPr>
          <w:rFonts w:ascii="Palatino Linotype" w:eastAsia="Palatino Linotype" w:hAnsi="Palatino Linotype" w:cs="Palatino Linotype"/>
          <w:b/>
          <w:color w:val="000000"/>
        </w:rPr>
        <w:t>/INFOEM/IP/RR/2024</w:t>
      </w:r>
      <w:r w:rsidRPr="00B25BED">
        <w:rPr>
          <w:rFonts w:ascii="Palatino Linotype" w:eastAsia="Palatino Linotype" w:hAnsi="Palatino Linotype" w:cs="Palatino Linotype"/>
          <w:color w:val="000000"/>
        </w:rPr>
        <w:t>; impugnación en la que refirió lo siguiente:</w:t>
      </w:r>
    </w:p>
    <w:p w14:paraId="1D7AC81B" w14:textId="77777777" w:rsidR="00547008" w:rsidRPr="00B25BED" w:rsidRDefault="00C47FEF" w:rsidP="00B25BED">
      <w:pPr>
        <w:pStyle w:val="Prrafodelista"/>
        <w:numPr>
          <w:ilvl w:val="0"/>
          <w:numId w:val="16"/>
        </w:numPr>
        <w:pBdr>
          <w:top w:val="nil"/>
          <w:left w:val="nil"/>
          <w:bottom w:val="nil"/>
          <w:right w:val="nil"/>
          <w:between w:val="nil"/>
        </w:pBdr>
        <w:tabs>
          <w:tab w:val="left" w:pos="1134"/>
        </w:tabs>
        <w:ind w:right="567"/>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b/>
          <w:color w:val="000000"/>
          <w:sz w:val="22"/>
        </w:rPr>
        <w:t>Acto impugnado:</w:t>
      </w:r>
      <w:r w:rsidRPr="00B25BED">
        <w:rPr>
          <w:rFonts w:ascii="Palatino Linotype" w:eastAsia="Palatino Linotype" w:hAnsi="Palatino Linotype" w:cs="Palatino Linotype"/>
          <w:color w:val="000000"/>
          <w:sz w:val="22"/>
        </w:rPr>
        <w:t xml:space="preserve"> </w:t>
      </w:r>
    </w:p>
    <w:p w14:paraId="054BED3B" w14:textId="69D89DC9" w:rsidR="00DA12DB" w:rsidRPr="00B25BED" w:rsidRDefault="00C47FEF" w:rsidP="00547008">
      <w:pPr>
        <w:pStyle w:val="Prrafodelista"/>
        <w:pBdr>
          <w:top w:val="nil"/>
          <w:left w:val="nil"/>
          <w:bottom w:val="nil"/>
          <w:right w:val="nil"/>
          <w:between w:val="nil"/>
        </w:pBdr>
        <w:tabs>
          <w:tab w:val="left" w:pos="1134"/>
        </w:tabs>
        <w:ind w:left="567" w:right="567"/>
        <w:jc w:val="both"/>
        <w:rPr>
          <w:rFonts w:ascii="Palatino Linotype" w:eastAsia="Palatino Linotype" w:hAnsi="Palatino Linotype" w:cs="Palatino Linotype"/>
          <w:i/>
          <w:color w:val="000000"/>
          <w:sz w:val="22"/>
        </w:rPr>
      </w:pPr>
      <w:r w:rsidRPr="00B25BED">
        <w:rPr>
          <w:rFonts w:ascii="Palatino Linotype" w:eastAsia="Palatino Linotype" w:hAnsi="Palatino Linotype" w:cs="Palatino Linotype"/>
          <w:i/>
          <w:color w:val="000000"/>
          <w:sz w:val="22"/>
        </w:rPr>
        <w:t>“</w:t>
      </w:r>
      <w:r w:rsidR="00951302" w:rsidRPr="00B25BED">
        <w:rPr>
          <w:rFonts w:ascii="Palatino Linotype" w:hAnsi="Palatino Linotype"/>
          <w:i/>
          <w:color w:val="000000"/>
          <w:sz w:val="22"/>
        </w:rPr>
        <w:t>LA NEGATIVA DE LA INFORMACIÒN SOLICITADA</w:t>
      </w:r>
      <w:r w:rsidRPr="00B25BED">
        <w:rPr>
          <w:rFonts w:ascii="Palatino Linotype" w:eastAsia="Palatino Linotype" w:hAnsi="Palatino Linotype" w:cs="Palatino Linotype"/>
          <w:i/>
          <w:color w:val="000000"/>
          <w:sz w:val="22"/>
        </w:rPr>
        <w:t>” (Sic).</w:t>
      </w:r>
    </w:p>
    <w:p w14:paraId="72594D60" w14:textId="77777777" w:rsidR="00547008" w:rsidRPr="00B25BED" w:rsidRDefault="00C47FEF" w:rsidP="00B25BED">
      <w:pPr>
        <w:pStyle w:val="Prrafodelista"/>
        <w:numPr>
          <w:ilvl w:val="0"/>
          <w:numId w:val="16"/>
        </w:numPr>
        <w:pBdr>
          <w:top w:val="nil"/>
          <w:left w:val="nil"/>
          <w:bottom w:val="nil"/>
          <w:right w:val="nil"/>
          <w:between w:val="nil"/>
        </w:pBdr>
        <w:tabs>
          <w:tab w:val="left" w:pos="1134"/>
        </w:tabs>
        <w:ind w:right="567"/>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b/>
          <w:color w:val="000000"/>
          <w:sz w:val="22"/>
        </w:rPr>
        <w:t>Razones o motivos de inconformidad:</w:t>
      </w:r>
      <w:r w:rsidRPr="00B25BED">
        <w:rPr>
          <w:rFonts w:ascii="Palatino Linotype" w:eastAsia="Palatino Linotype" w:hAnsi="Palatino Linotype" w:cs="Palatino Linotype"/>
          <w:color w:val="000000"/>
          <w:sz w:val="22"/>
        </w:rPr>
        <w:t xml:space="preserve"> </w:t>
      </w:r>
    </w:p>
    <w:p w14:paraId="342C0D5E" w14:textId="77777777" w:rsidR="00951302" w:rsidRPr="00B25BED" w:rsidRDefault="00951302" w:rsidP="00951302">
      <w:pPr>
        <w:pStyle w:val="Prrafodelista"/>
        <w:pBdr>
          <w:top w:val="nil"/>
          <w:left w:val="nil"/>
          <w:bottom w:val="nil"/>
          <w:right w:val="nil"/>
          <w:between w:val="nil"/>
        </w:pBdr>
        <w:tabs>
          <w:tab w:val="left" w:pos="1134"/>
        </w:tabs>
        <w:ind w:left="567" w:right="567"/>
        <w:jc w:val="both"/>
        <w:rPr>
          <w:rFonts w:ascii="Palatino Linotype" w:eastAsia="Palatino Linotype" w:hAnsi="Palatino Linotype" w:cs="Palatino Linotype"/>
          <w:i/>
          <w:color w:val="000000"/>
          <w:sz w:val="22"/>
        </w:rPr>
      </w:pPr>
      <w:r w:rsidRPr="00B25BED">
        <w:rPr>
          <w:rFonts w:ascii="Palatino Linotype" w:eastAsia="Palatino Linotype" w:hAnsi="Palatino Linotype" w:cs="Palatino Linotype"/>
          <w:i/>
          <w:color w:val="000000"/>
          <w:sz w:val="22"/>
        </w:rPr>
        <w:t>“</w:t>
      </w:r>
      <w:r w:rsidRPr="00B25BED">
        <w:rPr>
          <w:rFonts w:ascii="Palatino Linotype" w:hAnsi="Palatino Linotype"/>
          <w:i/>
          <w:color w:val="000000"/>
          <w:sz w:val="22"/>
        </w:rPr>
        <w:t>LA NEGATIVA DE LA INFORMACIÒN SOLICITADA</w:t>
      </w:r>
      <w:r w:rsidRPr="00B25BED">
        <w:rPr>
          <w:rFonts w:ascii="Palatino Linotype" w:eastAsia="Palatino Linotype" w:hAnsi="Palatino Linotype" w:cs="Palatino Linotype"/>
          <w:i/>
          <w:color w:val="000000"/>
          <w:sz w:val="22"/>
        </w:rPr>
        <w:t>” (Sic).</w:t>
      </w:r>
    </w:p>
    <w:p w14:paraId="2CCD4210" w14:textId="77777777" w:rsidR="00DA12DB" w:rsidRPr="00B25BED" w:rsidRDefault="00DA12DB">
      <w:pPr>
        <w:tabs>
          <w:tab w:val="left" w:pos="426"/>
        </w:tabs>
        <w:spacing w:line="360" w:lineRule="auto"/>
        <w:jc w:val="both"/>
        <w:rPr>
          <w:rFonts w:ascii="Palatino Linotype" w:eastAsia="Palatino Linotype" w:hAnsi="Palatino Linotype" w:cs="Palatino Linotype"/>
          <w:color w:val="000000"/>
        </w:rPr>
      </w:pPr>
    </w:p>
    <w:p w14:paraId="596C1C47" w14:textId="5F954742" w:rsidR="00DA12DB" w:rsidRPr="00B25BED" w:rsidRDefault="00C47FEF">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Se registró el recurso de revisión bajo el número de expediente </w:t>
      </w:r>
      <w:r w:rsidR="00547008" w:rsidRPr="00B25BED">
        <w:rPr>
          <w:rFonts w:ascii="Palatino Linotype" w:eastAsia="Palatino Linotype" w:hAnsi="Palatino Linotype" w:cs="Palatino Linotype"/>
          <w:b/>
          <w:color w:val="000000"/>
        </w:rPr>
        <w:t>0</w:t>
      </w:r>
      <w:r w:rsidR="00951302" w:rsidRPr="00B25BED">
        <w:rPr>
          <w:rFonts w:ascii="Palatino Linotype" w:eastAsia="Palatino Linotype" w:hAnsi="Palatino Linotype" w:cs="Palatino Linotype"/>
          <w:b/>
          <w:color w:val="000000"/>
        </w:rPr>
        <w:t>2568</w:t>
      </w:r>
      <w:r w:rsidR="00C95452" w:rsidRPr="00B25BED">
        <w:rPr>
          <w:rFonts w:ascii="Palatino Linotype" w:eastAsia="Palatino Linotype" w:hAnsi="Palatino Linotype" w:cs="Palatino Linotype"/>
          <w:b/>
          <w:color w:val="000000"/>
        </w:rPr>
        <w:t>/INFOEM/IP/RR/2024</w:t>
      </w:r>
      <w:r w:rsidRPr="00B25BED">
        <w:rPr>
          <w:rFonts w:ascii="Palatino Linotype" w:eastAsia="Palatino Linotype" w:hAnsi="Palatino Linotype" w:cs="Palatino Linotype"/>
          <w:color w:val="000000"/>
        </w:rPr>
        <w:t>; asimismo, con fundamento en lo dispuesto por el artículo 185, fracción I, de la Ley de Transparencia y Acceso a la Información Pública del Estado de México y Municipios se turn</w:t>
      </w:r>
      <w:r w:rsidR="00B25BED">
        <w:rPr>
          <w:rFonts w:ascii="Palatino Linotype" w:eastAsia="Palatino Linotype" w:hAnsi="Palatino Linotype" w:cs="Palatino Linotype"/>
          <w:color w:val="000000"/>
        </w:rPr>
        <w:t>a</w:t>
      </w:r>
      <w:r w:rsidRPr="00B25BED">
        <w:rPr>
          <w:rFonts w:ascii="Palatino Linotype" w:eastAsia="Palatino Linotype" w:hAnsi="Palatino Linotype" w:cs="Palatino Linotype"/>
          <w:color w:val="000000"/>
        </w:rPr>
        <w:t xml:space="preserve"> a la </w:t>
      </w:r>
      <w:r w:rsidRPr="00B25BED">
        <w:rPr>
          <w:rFonts w:ascii="Palatino Linotype" w:eastAsia="Palatino Linotype" w:hAnsi="Palatino Linotype" w:cs="Palatino Linotype"/>
          <w:b/>
          <w:color w:val="000000"/>
        </w:rPr>
        <w:t>Comisionada María del Rosario Mejía Ayala</w:t>
      </w:r>
      <w:r w:rsidRPr="00B25BED">
        <w:rPr>
          <w:rFonts w:ascii="Palatino Linotype" w:eastAsia="Palatino Linotype" w:hAnsi="Palatino Linotype" w:cs="Palatino Linotype"/>
          <w:color w:val="000000"/>
        </w:rPr>
        <w:t xml:space="preserve">, </w:t>
      </w:r>
      <w:r w:rsidR="00B25BED">
        <w:rPr>
          <w:rFonts w:ascii="Palatino Linotype" w:eastAsia="Palatino Linotype" w:hAnsi="Palatino Linotype" w:cs="Palatino Linotype"/>
          <w:color w:val="000000"/>
        </w:rPr>
        <w:t>para</w:t>
      </w:r>
      <w:r w:rsidRPr="00B25BED">
        <w:rPr>
          <w:rFonts w:ascii="Palatino Linotype" w:eastAsia="Palatino Linotype" w:hAnsi="Palatino Linotype" w:cs="Palatino Linotype"/>
          <w:color w:val="000000"/>
        </w:rPr>
        <w:t xml:space="preserve"> su análisis.</w:t>
      </w:r>
    </w:p>
    <w:p w14:paraId="2385C00A" w14:textId="77777777" w:rsidR="00DA12DB" w:rsidRPr="00B25BED" w:rsidRDefault="00DA12D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D24F6DA" w14:textId="1A8E879F" w:rsidR="00DA12DB" w:rsidRPr="00B25BED" w:rsidRDefault="00C47FEF">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2" w:name="_heading=h.30j0zll" w:colFirst="0" w:colLast="0"/>
      <w:bookmarkEnd w:id="2"/>
      <w:r w:rsidRPr="00B25BED">
        <w:rPr>
          <w:rFonts w:ascii="Palatino Linotype" w:eastAsia="Palatino Linotype" w:hAnsi="Palatino Linotype" w:cs="Palatino Linotype"/>
          <w:color w:val="000000"/>
        </w:rPr>
        <w:lastRenderedPageBreak/>
        <w:t>La Comisionada Ponente, con fundamento en lo dispuesto por el artículo 185, fracción II, de la Ley de la materia, a través del acuerdo de admisión de</w:t>
      </w:r>
      <w:r w:rsidR="00C95452" w:rsidRPr="00B25BED">
        <w:rPr>
          <w:rFonts w:ascii="Palatino Linotype" w:eastAsia="Palatino Linotype" w:hAnsi="Palatino Linotype" w:cs="Palatino Linotype"/>
          <w:color w:val="000000"/>
        </w:rPr>
        <w:t>l</w:t>
      </w:r>
      <w:r w:rsidRPr="00B25BED">
        <w:rPr>
          <w:rFonts w:ascii="Palatino Linotype" w:eastAsia="Palatino Linotype" w:hAnsi="Palatino Linotype" w:cs="Palatino Linotype"/>
          <w:color w:val="000000"/>
        </w:rPr>
        <w:t xml:space="preserve"> </w:t>
      </w:r>
      <w:r w:rsidR="00951302" w:rsidRPr="00B25BED">
        <w:rPr>
          <w:rFonts w:ascii="Palatino Linotype" w:eastAsia="Palatino Linotype" w:hAnsi="Palatino Linotype" w:cs="Palatino Linotype"/>
          <w:b/>
          <w:color w:val="000000"/>
        </w:rPr>
        <w:t>ocho de mayo</w:t>
      </w:r>
      <w:r w:rsidR="00C95452" w:rsidRPr="00B25BED">
        <w:rPr>
          <w:rFonts w:ascii="Palatino Linotype" w:eastAsia="Palatino Linotype" w:hAnsi="Palatino Linotype" w:cs="Palatino Linotype"/>
          <w:b/>
          <w:color w:val="000000"/>
        </w:rPr>
        <w:t xml:space="preserve"> de dos mil veinticuatro</w:t>
      </w:r>
      <w:r w:rsidRPr="00B25BED">
        <w:rPr>
          <w:rFonts w:ascii="Palatino Linotype" w:eastAsia="Palatino Linotype" w:hAnsi="Palatino Linotype" w:cs="Palatino Linotype"/>
          <w:color w:val="000000"/>
        </w:rPr>
        <w:t xml:space="preserve">, puso a disposición de las partes el expediente electrónico vía SAIMEX, a efecto de que en un plazo máximo de siete días manifestaran lo que a derecho convinieran, ofrecieran pruebas y alegatos según corresponda a los casos concretos, de esta forma para que el </w:t>
      </w:r>
      <w:r w:rsidRPr="00B25BED">
        <w:rPr>
          <w:rFonts w:ascii="Palatino Linotype" w:eastAsia="Palatino Linotype" w:hAnsi="Palatino Linotype" w:cs="Palatino Linotype"/>
          <w:b/>
          <w:color w:val="000000"/>
        </w:rPr>
        <w:t>SUJETO OBLIGADO</w:t>
      </w:r>
      <w:r w:rsidRPr="00B25BED">
        <w:rPr>
          <w:rFonts w:ascii="Palatino Linotype" w:eastAsia="Palatino Linotype" w:hAnsi="Palatino Linotype" w:cs="Palatino Linotype"/>
          <w:color w:val="000000"/>
        </w:rPr>
        <w:t xml:space="preserve"> presentara su Informe Justificado respectivo.</w:t>
      </w:r>
    </w:p>
    <w:p w14:paraId="6E1F0460" w14:textId="77777777" w:rsidR="00DA12DB" w:rsidRPr="00B25BED" w:rsidRDefault="00DA12D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65EB474" w14:textId="5583C20A" w:rsidR="00DB51E0" w:rsidRPr="00B25BED" w:rsidRDefault="00547008"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t>El</w:t>
      </w:r>
      <w:r w:rsidR="00C47FEF" w:rsidRPr="00B25BED">
        <w:rPr>
          <w:rFonts w:ascii="Palatino Linotype" w:eastAsia="Palatino Linotype" w:hAnsi="Palatino Linotype" w:cs="Palatino Linotype"/>
          <w:color w:val="000000"/>
        </w:rPr>
        <w:t xml:space="preserve"> </w:t>
      </w:r>
      <w:r w:rsidR="00C47FEF" w:rsidRPr="00B25BED">
        <w:rPr>
          <w:rFonts w:ascii="Palatino Linotype" w:eastAsia="Palatino Linotype" w:hAnsi="Palatino Linotype" w:cs="Palatino Linotype"/>
          <w:b/>
          <w:color w:val="000000"/>
        </w:rPr>
        <w:t>SUJETO OBLIGADO</w:t>
      </w:r>
      <w:r w:rsidR="00422B6C" w:rsidRPr="00B25BED">
        <w:rPr>
          <w:rFonts w:ascii="Palatino Linotype" w:eastAsia="Palatino Linotype" w:hAnsi="Palatino Linotype" w:cs="Palatino Linotype"/>
          <w:color w:val="000000"/>
        </w:rPr>
        <w:t xml:space="preserve"> </w:t>
      </w:r>
      <w:r w:rsidRPr="00B25BED">
        <w:rPr>
          <w:rFonts w:ascii="Palatino Linotype" w:eastAsia="Palatino Linotype" w:hAnsi="Palatino Linotype" w:cs="Palatino Linotype"/>
          <w:color w:val="000000"/>
        </w:rPr>
        <w:t xml:space="preserve">no presentó su informe justificado; por su parte, el </w:t>
      </w:r>
      <w:r w:rsidRPr="00B25BED">
        <w:rPr>
          <w:rFonts w:ascii="Palatino Linotype" w:eastAsia="Palatino Linotype" w:hAnsi="Palatino Linotype" w:cs="Palatino Linotype"/>
          <w:b/>
          <w:color w:val="000000"/>
        </w:rPr>
        <w:t>R</w:t>
      </w:r>
      <w:r w:rsidR="006979C4" w:rsidRPr="00B25BED">
        <w:rPr>
          <w:rFonts w:ascii="Palatino Linotype" w:eastAsia="Palatino Linotype" w:hAnsi="Palatino Linotype" w:cs="Palatino Linotype"/>
          <w:b/>
          <w:color w:val="000000"/>
        </w:rPr>
        <w:t>ecurrente</w:t>
      </w:r>
      <w:r w:rsidRPr="00B25BED">
        <w:rPr>
          <w:rFonts w:ascii="Palatino Linotype" w:eastAsia="Palatino Linotype" w:hAnsi="Palatino Linotype" w:cs="Palatino Linotype"/>
          <w:color w:val="000000"/>
        </w:rPr>
        <w:t xml:space="preserve"> no remitió pruebas o alegatos que a su derecho convinieran.</w:t>
      </w:r>
    </w:p>
    <w:p w14:paraId="158CE83A" w14:textId="77777777" w:rsidR="00DB51E0" w:rsidRPr="00B25BED" w:rsidRDefault="00DB51E0" w:rsidP="00DB51E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14:paraId="716294EC" w14:textId="77777777"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t xml:space="preserve">El </w:t>
      </w:r>
      <w:r w:rsidRPr="00B25BED">
        <w:rPr>
          <w:rFonts w:ascii="Palatino Linotype" w:eastAsia="Palatino Linotype" w:hAnsi="Palatino Linotype" w:cs="Palatino Linotype"/>
          <w:b/>
          <w:bCs/>
          <w:color w:val="000000"/>
        </w:rPr>
        <w:t>veinticinco de septiembre de dos mil veinticuatro</w:t>
      </w:r>
      <w:r w:rsidRPr="00B25BED">
        <w:rPr>
          <w:rFonts w:ascii="Palatino Linotype" w:eastAsia="Palatino Linotype" w:hAnsi="Palatino Linotype" w:cs="Palatino Linotype"/>
          <w:color w:val="000000"/>
        </w:rPr>
        <w:t>, se notificó el acuerdo mediante el cual se amplió el plazo para emitir resolución por un periodo de quince días hábiles.</w:t>
      </w:r>
    </w:p>
    <w:p w14:paraId="1AB148F8" w14:textId="77777777" w:rsidR="00DB51E0" w:rsidRPr="00B25BED" w:rsidRDefault="00DB51E0" w:rsidP="00DB51E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14:paraId="098E23CD" w14:textId="77777777"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94477E0" w14:textId="77777777" w:rsidR="00DB51E0" w:rsidRPr="00B25BED" w:rsidRDefault="00DB51E0" w:rsidP="00DB51E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14:paraId="4ED5B199" w14:textId="77777777"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70B09DA" w14:textId="77777777" w:rsidR="00DB51E0" w:rsidRPr="00B25BED" w:rsidRDefault="00DB51E0" w:rsidP="00DB51E0">
      <w:pPr>
        <w:rPr>
          <w:rFonts w:ascii="Palatino Linotype" w:eastAsia="Palatino Linotype" w:hAnsi="Palatino Linotype" w:cs="Palatino Linotype"/>
          <w:color w:val="000000"/>
        </w:rPr>
      </w:pPr>
    </w:p>
    <w:p w14:paraId="5F4AEF40" w14:textId="77777777"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8C94536" w14:textId="77777777" w:rsidR="00DB51E0" w:rsidRPr="00B25BED" w:rsidRDefault="00DB51E0" w:rsidP="00DB51E0">
      <w:pPr>
        <w:rPr>
          <w:rFonts w:ascii="Palatino Linotype" w:eastAsia="Palatino Linotype" w:hAnsi="Palatino Linotype" w:cs="Palatino Linotype"/>
          <w:color w:val="000000"/>
        </w:rPr>
      </w:pPr>
    </w:p>
    <w:p w14:paraId="4FE04EAD" w14:textId="77777777"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B3733FD" w14:textId="77777777" w:rsidR="00DB51E0" w:rsidRPr="00B25BED" w:rsidRDefault="00DB51E0" w:rsidP="00DB51E0">
      <w:pPr>
        <w:rPr>
          <w:rFonts w:ascii="Palatino Linotype" w:eastAsia="Palatino Linotype" w:hAnsi="Palatino Linotype" w:cs="Palatino Linotype"/>
          <w:color w:val="000000"/>
        </w:rPr>
      </w:pPr>
    </w:p>
    <w:p w14:paraId="4244BC80" w14:textId="77777777"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14:paraId="501F2696" w14:textId="77777777" w:rsidR="00DB51E0" w:rsidRPr="00B25BED" w:rsidRDefault="00DB51E0" w:rsidP="00B25BED">
      <w:pPr>
        <w:pBdr>
          <w:top w:val="nil"/>
          <w:left w:val="nil"/>
          <w:bottom w:val="nil"/>
          <w:right w:val="nil"/>
          <w:between w:val="nil"/>
        </w:pBdr>
        <w:ind w:left="567" w:right="992"/>
        <w:jc w:val="both"/>
        <w:rPr>
          <w:rFonts w:ascii="Palatino Linotype" w:eastAsia="Palatino Linotype" w:hAnsi="Palatino Linotype" w:cs="Palatino Linotype"/>
          <w:b/>
          <w:color w:val="000000"/>
          <w:sz w:val="22"/>
        </w:rPr>
      </w:pPr>
      <w:r w:rsidRPr="00B25BED">
        <w:rPr>
          <w:rFonts w:ascii="Palatino Linotype" w:eastAsia="Palatino Linotype" w:hAnsi="Palatino Linotype" w:cs="Palatino Linotype"/>
          <w:b/>
          <w:color w:val="000000"/>
          <w:sz w:val="22"/>
        </w:rPr>
        <w:t>a) Complejidad del asunto: La complejidad de la prueba, la pluralidad de sujetos procesales, el tiempo transcurrido, las características y contexto del recurso.</w:t>
      </w:r>
    </w:p>
    <w:p w14:paraId="561816A5" w14:textId="77777777" w:rsidR="00DB51E0" w:rsidRPr="00B25BED" w:rsidRDefault="00DB51E0" w:rsidP="00B25BED">
      <w:pPr>
        <w:pBdr>
          <w:top w:val="nil"/>
          <w:left w:val="nil"/>
          <w:bottom w:val="nil"/>
          <w:right w:val="nil"/>
          <w:between w:val="nil"/>
        </w:pBdr>
        <w:ind w:left="567" w:right="992"/>
        <w:jc w:val="both"/>
        <w:rPr>
          <w:rFonts w:ascii="Palatino Linotype" w:eastAsia="Palatino Linotype" w:hAnsi="Palatino Linotype" w:cs="Palatino Linotype"/>
          <w:b/>
          <w:color w:val="000000"/>
          <w:sz w:val="22"/>
        </w:rPr>
      </w:pPr>
      <w:r w:rsidRPr="00B25BED">
        <w:rPr>
          <w:rFonts w:ascii="Palatino Linotype" w:eastAsia="Palatino Linotype" w:hAnsi="Palatino Linotype" w:cs="Palatino Linotype"/>
          <w:b/>
          <w:color w:val="000000"/>
          <w:sz w:val="22"/>
        </w:rPr>
        <w:t>b) Actividad Procesal del interesado: Acciones u omisiones del interesado.</w:t>
      </w:r>
    </w:p>
    <w:p w14:paraId="752993BA" w14:textId="77777777" w:rsidR="00DB51E0" w:rsidRPr="00B25BED" w:rsidRDefault="00DB51E0" w:rsidP="00B25BED">
      <w:pPr>
        <w:pBdr>
          <w:top w:val="nil"/>
          <w:left w:val="nil"/>
          <w:bottom w:val="nil"/>
          <w:right w:val="nil"/>
          <w:between w:val="nil"/>
        </w:pBdr>
        <w:ind w:left="567" w:right="992"/>
        <w:jc w:val="both"/>
        <w:rPr>
          <w:rFonts w:ascii="Palatino Linotype" w:eastAsia="Palatino Linotype" w:hAnsi="Palatino Linotype" w:cs="Palatino Linotype"/>
          <w:b/>
          <w:color w:val="000000"/>
          <w:sz w:val="22"/>
        </w:rPr>
      </w:pPr>
      <w:r w:rsidRPr="00B25BED">
        <w:rPr>
          <w:rFonts w:ascii="Palatino Linotype" w:eastAsia="Palatino Linotype" w:hAnsi="Palatino Linotype" w:cs="Palatino Linotype"/>
          <w:b/>
          <w:color w:val="000000"/>
          <w:sz w:val="22"/>
        </w:rPr>
        <w:t>c) Conducta de la Autoridad: Las Acciones u omisiones realizadas en el procedimiento. Así como si la autoridad actuó con la debida diligencia.</w:t>
      </w:r>
    </w:p>
    <w:p w14:paraId="56623818" w14:textId="777979C6" w:rsidR="00DB51E0" w:rsidRPr="00B25BED" w:rsidRDefault="00DB51E0" w:rsidP="00B25BED">
      <w:pPr>
        <w:pBdr>
          <w:top w:val="nil"/>
          <w:left w:val="nil"/>
          <w:bottom w:val="nil"/>
          <w:right w:val="nil"/>
          <w:between w:val="nil"/>
        </w:pBdr>
        <w:ind w:left="567" w:right="992"/>
        <w:jc w:val="both"/>
        <w:rPr>
          <w:rFonts w:ascii="Palatino Linotype" w:eastAsia="Palatino Linotype" w:hAnsi="Palatino Linotype" w:cs="Palatino Linotype"/>
          <w:b/>
          <w:color w:val="000000"/>
          <w:sz w:val="22"/>
        </w:rPr>
      </w:pPr>
      <w:r w:rsidRPr="00B25BED">
        <w:rPr>
          <w:rFonts w:ascii="Palatino Linotype" w:eastAsia="Palatino Linotype" w:hAnsi="Palatino Linotype" w:cs="Palatino Linotype"/>
          <w:b/>
          <w:color w:val="000000"/>
          <w:sz w:val="22"/>
        </w:rPr>
        <w:t>d) La afectación generada en la situación jurídica de la persona involucrada en el proceso: Violación a sus derechos humanos.</w:t>
      </w:r>
    </w:p>
    <w:p w14:paraId="02F019EC" w14:textId="77777777" w:rsidR="00DB51E0" w:rsidRPr="00B25BED" w:rsidRDefault="00DB51E0" w:rsidP="00DB51E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14:paraId="36F942D3" w14:textId="77777777"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14F7FE8" w14:textId="77777777" w:rsidR="00DB51E0" w:rsidRPr="00B25BED" w:rsidRDefault="00DB51E0" w:rsidP="00DB51E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14:paraId="048C5D7C" w14:textId="77777777"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sidRPr="00B25BED">
        <w:rPr>
          <w:rFonts w:ascii="Palatino Linotype" w:eastAsia="Palatino Linotype" w:hAnsi="Palatino Linotype" w:cs="Palatino Linotype"/>
        </w:rPr>
        <w:t>del rubro</w:t>
      </w:r>
      <w:r w:rsidRPr="00B25BED">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B25BED">
        <w:rPr>
          <w:rFonts w:ascii="Palatino Linotype" w:eastAsia="Palatino Linotype" w:hAnsi="Palatino Linotype" w:cs="Palatino Linotype"/>
        </w:rPr>
        <w:t>Semanario</w:t>
      </w:r>
      <w:r w:rsidRPr="00B25BED">
        <w:rPr>
          <w:rFonts w:ascii="Palatino Linotype" w:eastAsia="Palatino Linotype" w:hAnsi="Palatino Linotype" w:cs="Palatino Linotype"/>
          <w:color w:val="000000"/>
        </w:rPr>
        <w:t xml:space="preserve"> Judicial de la Federación con el registro digital 205635.</w:t>
      </w:r>
    </w:p>
    <w:p w14:paraId="027C2FD4" w14:textId="77777777" w:rsidR="00DB51E0" w:rsidRPr="00B25BED" w:rsidRDefault="00DB51E0" w:rsidP="00DB51E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14:paraId="66262118" w14:textId="77777777"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FD0715B" w14:textId="77777777" w:rsidR="00DB51E0" w:rsidRPr="00B25BED" w:rsidRDefault="00DB51E0" w:rsidP="00DB51E0">
      <w:pPr>
        <w:rPr>
          <w:rFonts w:ascii="Palatino Linotype" w:eastAsia="Palatino Linotype" w:hAnsi="Palatino Linotype" w:cs="Palatino Linotype"/>
          <w:color w:val="000000"/>
        </w:rPr>
      </w:pPr>
    </w:p>
    <w:p w14:paraId="311A5AEE" w14:textId="299F7A5E" w:rsidR="00DB51E0"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87B6DBF" w14:textId="77777777" w:rsidR="00DB51E0" w:rsidRPr="00B25BED" w:rsidRDefault="00DB51E0" w:rsidP="00B25BED">
      <w:pPr>
        <w:pBdr>
          <w:top w:val="nil"/>
          <w:left w:val="nil"/>
          <w:bottom w:val="nil"/>
          <w:right w:val="nil"/>
          <w:between w:val="nil"/>
        </w:pBdr>
        <w:ind w:left="567" w:right="992"/>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color w:val="000000"/>
        </w:rPr>
        <w:t>“</w:t>
      </w:r>
      <w:r w:rsidRPr="00B25BED">
        <w:rPr>
          <w:rFonts w:ascii="Palatino Linotype" w:eastAsia="Palatino Linotype" w:hAnsi="Palatino Linotype" w:cs="Palatino Linotype"/>
          <w:color w:val="000000"/>
          <w:sz w:val="22"/>
        </w:rPr>
        <w:t>PLAZO RAZONABLE PARA RESOLVER. DIMENSIÓN Y EFECTOS DE ESTE CONCEPTO CUANDO SE ADUCE EXCESIVA CARGA DE TRABAJO.” consultable en el Sem</w:t>
      </w:r>
      <w:r w:rsidRPr="00B25BED">
        <w:rPr>
          <w:rFonts w:ascii="Palatino Linotype" w:eastAsia="Palatino Linotype" w:hAnsi="Palatino Linotype" w:cs="Palatino Linotype"/>
          <w:sz w:val="22"/>
        </w:rPr>
        <w:t>a</w:t>
      </w:r>
      <w:r w:rsidRPr="00B25BED">
        <w:rPr>
          <w:rFonts w:ascii="Palatino Linotype" w:eastAsia="Palatino Linotype" w:hAnsi="Palatino Linotype" w:cs="Palatino Linotype"/>
          <w:color w:val="000000"/>
          <w:sz w:val="22"/>
        </w:rPr>
        <w:t>nario Judicial de la Federación y su gaceta, con el registro digital 2002351.</w:t>
      </w:r>
    </w:p>
    <w:p w14:paraId="122E1646" w14:textId="77777777" w:rsidR="00DB51E0" w:rsidRPr="00B25BED" w:rsidRDefault="00DB51E0" w:rsidP="00B25BED">
      <w:pPr>
        <w:pBdr>
          <w:top w:val="nil"/>
          <w:left w:val="nil"/>
          <w:bottom w:val="nil"/>
          <w:right w:val="nil"/>
          <w:between w:val="nil"/>
        </w:pBdr>
        <w:spacing w:after="240"/>
        <w:ind w:left="567" w:right="992"/>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color w:val="000000"/>
          <w:sz w:val="22"/>
        </w:rPr>
        <w:t xml:space="preserve">“PLAZO RAZONABLE PARA RESOLVER. CONCEPTO Y ELEMENTOS QUE LO INTEGRAN A LA LUZ DEL DERECHO INTERNACIONAL DE LOS DERECHOS </w:t>
      </w:r>
      <w:r w:rsidRPr="00B25BED">
        <w:rPr>
          <w:rFonts w:ascii="Palatino Linotype" w:eastAsia="Palatino Linotype" w:hAnsi="Palatino Linotype" w:cs="Palatino Linotype"/>
          <w:color w:val="000000"/>
          <w:sz w:val="22"/>
        </w:rPr>
        <w:lastRenderedPageBreak/>
        <w:t>HUMANOS.”, visible en el Sem</w:t>
      </w:r>
      <w:r w:rsidRPr="00B25BED">
        <w:rPr>
          <w:rFonts w:ascii="Palatino Linotype" w:eastAsia="Palatino Linotype" w:hAnsi="Palatino Linotype" w:cs="Palatino Linotype"/>
          <w:sz w:val="22"/>
        </w:rPr>
        <w:t>a</w:t>
      </w:r>
      <w:r w:rsidRPr="00B25BED">
        <w:rPr>
          <w:rFonts w:ascii="Palatino Linotype" w:eastAsia="Palatino Linotype" w:hAnsi="Palatino Linotype" w:cs="Palatino Linotype"/>
          <w:color w:val="000000"/>
          <w:sz w:val="22"/>
        </w:rPr>
        <w:t>nario Judicial de la Federación y su gaceta, con el registro digital 2002350.</w:t>
      </w:r>
    </w:p>
    <w:p w14:paraId="0D1945C3" w14:textId="77777777" w:rsidR="00DB51E0" w:rsidRPr="00B25BED" w:rsidRDefault="00DB51E0" w:rsidP="00DB51E0">
      <w:pPr>
        <w:spacing w:before="240" w:after="240"/>
        <w:ind w:right="-28"/>
        <w:rPr>
          <w:rFonts w:ascii="Palatino Linotype" w:eastAsia="Palatino Linotype" w:hAnsi="Palatino Linotype" w:cs="Palatino Linotype"/>
        </w:rPr>
      </w:pPr>
    </w:p>
    <w:p w14:paraId="18C2701A" w14:textId="1D960483" w:rsidR="00951302" w:rsidRPr="00B25BED" w:rsidRDefault="00DB51E0" w:rsidP="00DB51E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4C53008" w14:textId="77777777" w:rsidR="00951302" w:rsidRPr="00B25BED" w:rsidRDefault="00951302" w:rsidP="0095130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CBC922B" w14:textId="43B5CA76" w:rsidR="00DA12DB" w:rsidRPr="00B25BED" w:rsidRDefault="00C47FEF">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Finalmente, el </w:t>
      </w:r>
      <w:r w:rsidR="00951302" w:rsidRPr="00B25BED">
        <w:rPr>
          <w:rFonts w:ascii="Palatino Linotype" w:eastAsia="Palatino Linotype" w:hAnsi="Palatino Linotype" w:cs="Palatino Linotype"/>
          <w:b/>
          <w:color w:val="000000"/>
        </w:rPr>
        <w:t>veintiuno de noviembre</w:t>
      </w:r>
      <w:r w:rsidRPr="00B25BED">
        <w:rPr>
          <w:rFonts w:ascii="Palatino Linotype" w:eastAsia="Palatino Linotype" w:hAnsi="Palatino Linotype" w:cs="Palatino Linotype"/>
          <w:b/>
          <w:color w:val="000000"/>
        </w:rPr>
        <w:t xml:space="preserve"> de dos mil veinticuatro</w:t>
      </w:r>
      <w:r w:rsidRPr="00B25BED">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w:t>
      </w:r>
      <w:r w:rsidR="00726574" w:rsidRPr="00B25BED">
        <w:rPr>
          <w:rFonts w:ascii="Palatino Linotype" w:eastAsia="Palatino Linotype" w:hAnsi="Palatino Linotype" w:cs="Palatino Linotype"/>
          <w:color w:val="000000"/>
        </w:rPr>
        <w:t>ncia; y ------------</w:t>
      </w:r>
      <w:r w:rsidR="00547008" w:rsidRPr="00B25BED">
        <w:rPr>
          <w:rFonts w:ascii="Palatino Linotype" w:eastAsia="Palatino Linotype" w:hAnsi="Palatino Linotype" w:cs="Palatino Linotype"/>
          <w:color w:val="000000"/>
        </w:rPr>
        <w:t>------------</w:t>
      </w:r>
      <w:r w:rsidR="00951302" w:rsidRPr="00B25BED">
        <w:rPr>
          <w:rFonts w:ascii="Palatino Linotype" w:eastAsia="Palatino Linotype" w:hAnsi="Palatino Linotype" w:cs="Palatino Linotype"/>
          <w:color w:val="000000"/>
        </w:rPr>
        <w:t>--------------------------</w:t>
      </w:r>
      <w:r w:rsidR="00B25BED">
        <w:rPr>
          <w:rFonts w:ascii="Palatino Linotype" w:eastAsia="Palatino Linotype" w:hAnsi="Palatino Linotype" w:cs="Palatino Linotype"/>
          <w:color w:val="000000"/>
        </w:rPr>
        <w:t>------------</w:t>
      </w:r>
    </w:p>
    <w:p w14:paraId="49405815" w14:textId="77777777" w:rsidR="00DA12DB" w:rsidRPr="00B25BED" w:rsidRDefault="00DA12D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3" w:name="_heading=h.1fob9te" w:colFirst="0" w:colLast="0"/>
      <w:bookmarkEnd w:id="3"/>
    </w:p>
    <w:p w14:paraId="447FFD03" w14:textId="77777777" w:rsidR="00DA12DB" w:rsidRPr="00B25BED" w:rsidRDefault="00C47FEF">
      <w:pPr>
        <w:pStyle w:val="Ttulo1"/>
        <w:spacing w:before="0" w:line="360" w:lineRule="auto"/>
        <w:jc w:val="center"/>
        <w:rPr>
          <w:b/>
          <w:color w:val="000000"/>
          <w:szCs w:val="24"/>
        </w:rPr>
      </w:pPr>
      <w:bookmarkStart w:id="4" w:name="_heading=h.3znysh7" w:colFirst="0" w:colLast="0"/>
      <w:bookmarkEnd w:id="4"/>
      <w:r w:rsidRPr="00B25BED">
        <w:rPr>
          <w:b/>
          <w:color w:val="000000"/>
          <w:szCs w:val="24"/>
        </w:rPr>
        <w:t>C O N S I D E R A N D O</w:t>
      </w:r>
    </w:p>
    <w:p w14:paraId="7D1A3EB1" w14:textId="77777777" w:rsidR="00DA12DB" w:rsidRPr="00B25BED" w:rsidRDefault="00DA12DB">
      <w:pPr>
        <w:spacing w:line="360" w:lineRule="auto"/>
        <w:rPr>
          <w:rFonts w:ascii="Palatino Linotype" w:hAnsi="Palatino Linotype"/>
          <w:color w:val="000000"/>
        </w:rPr>
      </w:pPr>
    </w:p>
    <w:p w14:paraId="72E40E00" w14:textId="77777777" w:rsidR="00DA12DB" w:rsidRPr="00B25BED" w:rsidRDefault="00C47FEF">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B25BED">
        <w:rPr>
          <w:rFonts w:ascii="Palatino Linotype" w:eastAsia="Palatino Linotype" w:hAnsi="Palatino Linotype" w:cs="Palatino Linotype"/>
          <w:b/>
          <w:color w:val="000000"/>
          <w:sz w:val="24"/>
          <w:szCs w:val="24"/>
        </w:rPr>
        <w:t>PRIMERO. De la competencia</w:t>
      </w:r>
    </w:p>
    <w:p w14:paraId="5EDFC0EB" w14:textId="3F0D3295" w:rsidR="00DA12DB" w:rsidRPr="00B25BED" w:rsidRDefault="00C47FEF">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B25BED">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726574" w:rsidRPr="00B25BED">
        <w:rPr>
          <w:rFonts w:ascii="Palatino Linotype" w:eastAsia="Palatino Linotype" w:hAnsi="Palatino Linotype" w:cs="Palatino Linotype"/>
          <w:color w:val="000000"/>
        </w:rPr>
        <w:t>pios; y 7, 9 fracciones I y XXIII</w:t>
      </w:r>
      <w:r w:rsidRPr="00B25BED">
        <w:rPr>
          <w:rFonts w:ascii="Palatino Linotype" w:eastAsia="Palatino Linotype" w:hAnsi="Palatino Linotype" w:cs="Palatino Linotype"/>
          <w:color w:val="000000"/>
        </w:rPr>
        <w:t>, y 11 del Reglamento Interior del Instituto de Transparencia, Acceso a la Información Pública y Protección de Datos Personales del Estado de México y Municipios</w:t>
      </w:r>
      <w:r w:rsidRPr="00B25BED">
        <w:rPr>
          <w:rFonts w:ascii="Palatino Linotype" w:eastAsia="Palatino Linotype" w:hAnsi="Palatino Linotype" w:cs="Palatino Linotype"/>
          <w:b/>
          <w:color w:val="000000"/>
        </w:rPr>
        <w:t>.</w:t>
      </w:r>
    </w:p>
    <w:p w14:paraId="0C4DF87E" w14:textId="77777777" w:rsidR="00DA12DB" w:rsidRPr="00B25BED" w:rsidRDefault="00C47FEF">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B25BED">
        <w:rPr>
          <w:rFonts w:ascii="Palatino Linotype" w:eastAsia="Palatino Linotype" w:hAnsi="Palatino Linotype" w:cs="Palatino Linotype"/>
          <w:b/>
          <w:color w:val="000000"/>
          <w:sz w:val="24"/>
          <w:szCs w:val="24"/>
        </w:rPr>
        <w:lastRenderedPageBreak/>
        <w:t>SEGUNDO. De la oportunidad y procedencia.</w:t>
      </w:r>
    </w:p>
    <w:p w14:paraId="65EC2E35" w14:textId="6649E02E" w:rsidR="00DA12DB" w:rsidRPr="00B25BED" w:rsidRDefault="00C47FEF">
      <w:pPr>
        <w:numPr>
          <w:ilvl w:val="0"/>
          <w:numId w:val="7"/>
        </w:numPr>
        <w:tabs>
          <w:tab w:val="left" w:pos="426"/>
        </w:tabs>
        <w:spacing w:line="360" w:lineRule="auto"/>
        <w:ind w:right="49"/>
        <w:jc w:val="both"/>
        <w:rPr>
          <w:rFonts w:ascii="Palatino Linotype" w:eastAsia="Palatino Linotype" w:hAnsi="Palatino Linotype" w:cs="Palatino Linotype"/>
        </w:rPr>
      </w:pPr>
      <w:r w:rsidRPr="00B25BED">
        <w:rPr>
          <w:rFonts w:ascii="Palatino Linotype" w:eastAsia="Palatino Linotype" w:hAnsi="Palatino Linotype" w:cs="Palatino Linotype"/>
          <w:color w:val="000000"/>
        </w:rPr>
        <w:t xml:space="preserve">El </w:t>
      </w:r>
      <w:r w:rsidRPr="00B25BED">
        <w:rPr>
          <w:rFonts w:ascii="Palatino Linotype" w:eastAsia="Palatino Linotype" w:hAnsi="Palatino Linotype" w:cs="Palatino Linotype"/>
        </w:rPr>
        <w:t>medio de impugnación fue presentado a través del SAIMEX</w:t>
      </w:r>
      <w:r w:rsidRPr="00B25BED">
        <w:rPr>
          <w:rFonts w:ascii="Palatino Linotype" w:eastAsia="Palatino Linotype" w:hAnsi="Palatino Linotype" w:cs="Palatino Linotype"/>
          <w:b/>
        </w:rPr>
        <w:t>,</w:t>
      </w:r>
      <w:r w:rsidRPr="00B25BED">
        <w:rPr>
          <w:rFonts w:ascii="Palatino Linotype" w:eastAsia="Palatino Linotype" w:hAnsi="Palatino Linotype" w:cs="Palatino Linotype"/>
        </w:rPr>
        <w:t xml:space="preserve"> en el formato previamente aprobado para tal efecto y dentro del plazo legal de 15 días hábiles otorgados; para el caso en particular es de señalar que si el </w:t>
      </w:r>
      <w:r w:rsidRPr="00B25BED">
        <w:rPr>
          <w:rFonts w:ascii="Palatino Linotype" w:eastAsia="Palatino Linotype" w:hAnsi="Palatino Linotype" w:cs="Palatino Linotype"/>
          <w:b/>
        </w:rPr>
        <w:t>SUJETO OBLIGADO</w:t>
      </w:r>
      <w:r w:rsidRPr="00B25BED">
        <w:rPr>
          <w:rFonts w:ascii="Palatino Linotype" w:eastAsia="Palatino Linotype" w:hAnsi="Palatino Linotype" w:cs="Palatino Linotype"/>
        </w:rPr>
        <w:t xml:space="preserve"> entregó respuesta el </w:t>
      </w:r>
      <w:r w:rsidR="00951302" w:rsidRPr="00B25BED">
        <w:rPr>
          <w:rFonts w:ascii="Palatino Linotype" w:eastAsia="Palatino Linotype" w:hAnsi="Palatino Linotype" w:cs="Palatino Linotype"/>
          <w:b/>
        </w:rPr>
        <w:t>diecinueve de abril</w:t>
      </w:r>
      <w:r w:rsidR="00726574" w:rsidRPr="00B25BED">
        <w:rPr>
          <w:rFonts w:ascii="Palatino Linotype" w:eastAsia="Palatino Linotype" w:hAnsi="Palatino Linotype" w:cs="Palatino Linotype"/>
          <w:b/>
        </w:rPr>
        <w:t xml:space="preserve"> de do mil veinticuatro</w:t>
      </w:r>
      <w:r w:rsidRPr="00B25BED">
        <w:rPr>
          <w:rFonts w:ascii="Palatino Linotype" w:eastAsia="Palatino Linotype" w:hAnsi="Palatino Linotype" w:cs="Palatino Linotype"/>
        </w:rPr>
        <w:t>, el plazo para interponer el recurso de revisión tra</w:t>
      </w:r>
      <w:r w:rsidR="00B420FF" w:rsidRPr="00B25BED">
        <w:rPr>
          <w:rFonts w:ascii="Palatino Linotype" w:eastAsia="Palatino Linotype" w:hAnsi="Palatino Linotype" w:cs="Palatino Linotype"/>
        </w:rPr>
        <w:t>n</w:t>
      </w:r>
      <w:r w:rsidRPr="00B25BED">
        <w:rPr>
          <w:rFonts w:ascii="Palatino Linotype" w:eastAsia="Palatino Linotype" w:hAnsi="Palatino Linotype" w:cs="Palatino Linotype"/>
        </w:rPr>
        <w:t xml:space="preserve">scurrió del </w:t>
      </w:r>
      <w:r w:rsidR="00951302" w:rsidRPr="00B25BED">
        <w:rPr>
          <w:rFonts w:ascii="Palatino Linotype" w:eastAsia="Palatino Linotype" w:hAnsi="Palatino Linotype" w:cs="Palatino Linotype"/>
          <w:b/>
        </w:rPr>
        <w:t>veintidós de abril</w:t>
      </w:r>
      <w:r w:rsidR="00547008" w:rsidRPr="00B25BED">
        <w:rPr>
          <w:rFonts w:ascii="Palatino Linotype" w:eastAsia="Palatino Linotype" w:hAnsi="Palatino Linotype" w:cs="Palatino Linotype"/>
          <w:b/>
        </w:rPr>
        <w:t xml:space="preserve"> al </w:t>
      </w:r>
      <w:r w:rsidR="00951302" w:rsidRPr="00B25BED">
        <w:rPr>
          <w:rFonts w:ascii="Palatino Linotype" w:eastAsia="Palatino Linotype" w:hAnsi="Palatino Linotype" w:cs="Palatino Linotype"/>
          <w:b/>
        </w:rPr>
        <w:t>catorce de mayo</w:t>
      </w:r>
      <w:r w:rsidR="00726574" w:rsidRPr="00B25BED">
        <w:rPr>
          <w:rFonts w:ascii="Palatino Linotype" w:eastAsia="Palatino Linotype" w:hAnsi="Palatino Linotype" w:cs="Palatino Linotype"/>
          <w:b/>
        </w:rPr>
        <w:t xml:space="preserve"> de dos mil veinticuatro</w:t>
      </w:r>
      <w:r w:rsidRPr="00B25BED">
        <w:rPr>
          <w:rFonts w:ascii="Palatino Linotype" w:eastAsia="Palatino Linotype" w:hAnsi="Palatino Linotype" w:cs="Palatino Linotype"/>
        </w:rPr>
        <w:t>; sin contemplar en el cómputo los sábados, domingos y días inhábiles, en términos del artículo 3, fracción X, de la Ley de Transparencia y Acceso a la Información Pública del Estado de México y Municipios.</w:t>
      </w:r>
    </w:p>
    <w:p w14:paraId="30B58883" w14:textId="77777777" w:rsidR="00DA12DB" w:rsidRPr="00B25BED" w:rsidRDefault="00DA12DB">
      <w:pPr>
        <w:tabs>
          <w:tab w:val="left" w:pos="426"/>
        </w:tabs>
        <w:spacing w:line="360" w:lineRule="auto"/>
        <w:ind w:right="49"/>
        <w:jc w:val="both"/>
        <w:rPr>
          <w:rFonts w:ascii="Palatino Linotype" w:eastAsia="Palatino Linotype" w:hAnsi="Palatino Linotype" w:cs="Palatino Linotype"/>
        </w:rPr>
      </w:pPr>
    </w:p>
    <w:p w14:paraId="3F42DA96" w14:textId="50CFE92A" w:rsidR="00DA12DB" w:rsidRPr="00B25BED" w:rsidRDefault="00C47FEF">
      <w:pPr>
        <w:numPr>
          <w:ilvl w:val="0"/>
          <w:numId w:val="7"/>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De las constancias que obran dentro del expediente digital formado en el </w:t>
      </w:r>
      <w:r w:rsidRPr="00B25BED">
        <w:rPr>
          <w:rFonts w:ascii="Palatino Linotype" w:eastAsia="Palatino Linotype" w:hAnsi="Palatino Linotype" w:cs="Palatino Linotype"/>
          <w:b/>
          <w:bCs/>
          <w:color w:val="000000"/>
        </w:rPr>
        <w:t>SAIMEX,</w:t>
      </w:r>
      <w:r w:rsidRPr="00B25BED">
        <w:rPr>
          <w:rFonts w:ascii="Palatino Linotype" w:eastAsia="Palatino Linotype" w:hAnsi="Palatino Linotype" w:cs="Palatino Linotype"/>
          <w:color w:val="000000"/>
        </w:rPr>
        <w:t xml:space="preserve"> se advierte que el particular presentó el recurso de revisión </w:t>
      </w:r>
      <w:r w:rsidR="00547008" w:rsidRPr="00B25BED">
        <w:rPr>
          <w:rFonts w:ascii="Palatino Linotype" w:eastAsia="Palatino Linotype" w:hAnsi="Palatino Linotype" w:cs="Palatino Linotype"/>
          <w:b/>
          <w:color w:val="000000"/>
        </w:rPr>
        <w:t>0</w:t>
      </w:r>
      <w:r w:rsidR="00951302" w:rsidRPr="00B25BED">
        <w:rPr>
          <w:rFonts w:ascii="Palatino Linotype" w:eastAsia="Palatino Linotype" w:hAnsi="Palatino Linotype" w:cs="Palatino Linotype"/>
          <w:b/>
          <w:color w:val="000000"/>
        </w:rPr>
        <w:t>2568</w:t>
      </w:r>
      <w:r w:rsidRPr="00B25BED">
        <w:rPr>
          <w:rFonts w:ascii="Palatino Linotype" w:eastAsia="Palatino Linotype" w:hAnsi="Palatino Linotype" w:cs="Palatino Linotype"/>
          <w:b/>
          <w:color w:val="000000"/>
        </w:rPr>
        <w:t>/I</w:t>
      </w:r>
      <w:r w:rsidR="00726574" w:rsidRPr="00B25BED">
        <w:rPr>
          <w:rFonts w:ascii="Palatino Linotype" w:eastAsia="Palatino Linotype" w:hAnsi="Palatino Linotype" w:cs="Palatino Linotype"/>
          <w:b/>
          <w:color w:val="000000"/>
        </w:rPr>
        <w:t>NFOEM/IP/RR/2024</w:t>
      </w:r>
      <w:r w:rsidRPr="00B25BED">
        <w:rPr>
          <w:rFonts w:ascii="Palatino Linotype" w:eastAsia="Palatino Linotype" w:hAnsi="Palatino Linotype" w:cs="Palatino Linotype"/>
          <w:color w:val="000000"/>
        </w:rPr>
        <w:t xml:space="preserve"> el </w:t>
      </w:r>
      <w:r w:rsidR="00951302" w:rsidRPr="00B25BED">
        <w:rPr>
          <w:rFonts w:ascii="Palatino Linotype" w:eastAsia="Palatino Linotype" w:hAnsi="Palatino Linotype" w:cs="Palatino Linotype"/>
          <w:b/>
          <w:color w:val="000000"/>
        </w:rPr>
        <w:t>siete de mayo</w:t>
      </w:r>
      <w:r w:rsidR="00726574" w:rsidRPr="00B25BED">
        <w:rPr>
          <w:rFonts w:ascii="Palatino Linotype" w:eastAsia="Palatino Linotype" w:hAnsi="Palatino Linotype" w:cs="Palatino Linotype"/>
          <w:b/>
          <w:color w:val="000000"/>
        </w:rPr>
        <w:t xml:space="preserve"> de dos mil veinticuatro</w:t>
      </w:r>
      <w:r w:rsidRPr="00B25BED">
        <w:rPr>
          <w:rFonts w:ascii="Palatino Linotype" w:eastAsia="Palatino Linotype" w:hAnsi="Palatino Linotype" w:cs="Palatino Linotype"/>
          <w:color w:val="000000"/>
        </w:rPr>
        <w:t>; por ende, éste se encuentra dentro del plazo legalmente establecido en el artículo 178</w:t>
      </w:r>
      <w:r w:rsidRPr="00B25BED">
        <w:rPr>
          <w:rFonts w:ascii="Palatino Linotype" w:eastAsia="Palatino Linotype" w:hAnsi="Palatino Linotype" w:cs="Palatino Linotype"/>
          <w:color w:val="000000"/>
          <w:vertAlign w:val="superscript"/>
        </w:rPr>
        <w:footnoteReference w:id="1"/>
      </w:r>
      <w:r w:rsidRPr="00B25BED">
        <w:rPr>
          <w:rFonts w:ascii="Palatino Linotype" w:eastAsia="Palatino Linotype" w:hAnsi="Palatino Linotype" w:cs="Palatino Linotype"/>
          <w:color w:val="000000"/>
        </w:rPr>
        <w:t xml:space="preserve"> de la Ley de Transparencia y Acceso a la Información Pública del Estado de México y Municipios.</w:t>
      </w:r>
    </w:p>
    <w:p w14:paraId="02C893E6" w14:textId="77777777" w:rsidR="00DA12DB" w:rsidRPr="00B25BED" w:rsidRDefault="00DA12DB">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63DE8524" w14:textId="5330BE7B" w:rsidR="00DA12DB" w:rsidRPr="00B25BED" w:rsidRDefault="00C47FEF">
      <w:pPr>
        <w:numPr>
          <w:ilvl w:val="0"/>
          <w:numId w:val="7"/>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Por otro lado, de la revisión al expediente electrónico contenido en el </w:t>
      </w:r>
      <w:r w:rsidRPr="00B25BED">
        <w:rPr>
          <w:rFonts w:ascii="Palatino Linotype" w:eastAsia="Palatino Linotype" w:hAnsi="Palatino Linotype" w:cs="Palatino Linotype"/>
          <w:b/>
          <w:bCs/>
          <w:color w:val="000000"/>
        </w:rPr>
        <w:t>SAIMEX,</w:t>
      </w:r>
      <w:r w:rsidRPr="00B25BED">
        <w:rPr>
          <w:rFonts w:ascii="Palatino Linotype" w:eastAsia="Palatino Linotype" w:hAnsi="Palatino Linotype" w:cs="Palatino Linotype"/>
          <w:color w:val="000000"/>
        </w:rPr>
        <w:t xml:space="preserve"> se desprende que la parte solicitante, en ejercicio de su derecho de acceso a la información pública en el expediente que se revisa, tanto en la solicitud de información como en el recurso de revisión, </w:t>
      </w:r>
      <w:r w:rsidRPr="00B25BED">
        <w:rPr>
          <w:rFonts w:ascii="Palatino Linotype" w:eastAsia="Palatino Linotype" w:hAnsi="Palatino Linotype" w:cs="Palatino Linotype"/>
          <w:b/>
          <w:color w:val="000000"/>
        </w:rPr>
        <w:t>no señaló su nombre, ni se tiene certeza de su identidad</w:t>
      </w:r>
      <w:r w:rsidRPr="00B25BED">
        <w:rPr>
          <w:rFonts w:ascii="Palatino Linotype" w:eastAsia="Palatino Linotype" w:hAnsi="Palatino Linotype" w:cs="Palatino Linotype"/>
          <w:color w:val="000000"/>
        </w:rPr>
        <w:t xml:space="preserve">; sin embargo, es importante señalar que el nombre de los Solicitantes y Recurrentes no es un requisito </w:t>
      </w:r>
      <w:r w:rsidRPr="00B25BED">
        <w:rPr>
          <w:rFonts w:ascii="Palatino Linotype" w:eastAsia="Palatino Linotype" w:hAnsi="Palatino Linotype" w:cs="Palatino Linotype"/>
          <w:color w:val="000000"/>
        </w:rPr>
        <w:lastRenderedPageBreak/>
        <w:t>indispensable para la tramitación del acto procesal específico en materia de acceso a la información, ello en estricto apego al numeral 155 párrafo tercero de la Ley de la materia, en concatenación con el 180 del mismo ordenamiento.</w:t>
      </w:r>
    </w:p>
    <w:p w14:paraId="6AA6A4D2" w14:textId="77777777" w:rsidR="00DA12DB" w:rsidRPr="00B25BED" w:rsidRDefault="00DA12DB">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160E0EF8" w14:textId="77777777" w:rsidR="00DA12DB" w:rsidRPr="00B25BED" w:rsidRDefault="00C47FEF">
      <w:pPr>
        <w:numPr>
          <w:ilvl w:val="0"/>
          <w:numId w:val="7"/>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Esto es así, ya que de conformidad 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3460EB2E" w14:textId="77777777" w:rsidR="00DA12DB" w:rsidRPr="00B25BED" w:rsidRDefault="00DA12DB">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052B0833" w14:textId="77777777" w:rsidR="00DA12DB" w:rsidRPr="00B25BED" w:rsidRDefault="00C47FEF">
      <w:pPr>
        <w:numPr>
          <w:ilvl w:val="0"/>
          <w:numId w:val="7"/>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EE640C0" w14:textId="77777777" w:rsidR="00DA12DB" w:rsidRPr="00B25BED" w:rsidRDefault="00DA12DB">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424EF6BE" w14:textId="77777777" w:rsidR="00DA12DB" w:rsidRPr="00B25BED" w:rsidRDefault="00C47FEF">
      <w:pPr>
        <w:numPr>
          <w:ilvl w:val="0"/>
          <w:numId w:val="7"/>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lastRenderedPageBreak/>
        <w:t>Así mismo, como lo establece la Convención Americana, en su artículo 13, el derecho de acceso a la información es un derecho humano universal y, en consecuencia, toda persona tiene derecho a solicitar acceso a la información.</w:t>
      </w:r>
    </w:p>
    <w:p w14:paraId="6A5CAD90" w14:textId="77777777" w:rsidR="00DA12DB" w:rsidRPr="00B25BED" w:rsidRDefault="00DA12DB">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007B65A7" w14:textId="77777777" w:rsidR="00DA12DB" w:rsidRPr="00B25BED" w:rsidRDefault="00C47FEF">
      <w:pPr>
        <w:numPr>
          <w:ilvl w:val="0"/>
          <w:numId w:val="7"/>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18F76035" w14:textId="77777777" w:rsidR="00DA12DB" w:rsidRPr="00B25BED" w:rsidRDefault="00DA12DB">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5FA4A563" w14:textId="3B2A3A0D" w:rsidR="00DA12DB" w:rsidRPr="00B25BED" w:rsidRDefault="00C47FEF" w:rsidP="00951302">
      <w:pPr>
        <w:numPr>
          <w:ilvl w:val="0"/>
          <w:numId w:val="7"/>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Por lo tanto, el nombre del </w:t>
      </w:r>
      <w:r w:rsidRPr="00B25BED">
        <w:rPr>
          <w:rFonts w:ascii="Palatino Linotype" w:eastAsia="Palatino Linotype" w:hAnsi="Palatino Linotype" w:cs="Palatino Linotype"/>
          <w:b/>
          <w:color w:val="000000"/>
        </w:rPr>
        <w:t>SOLICITANTE</w:t>
      </w:r>
      <w:r w:rsidRPr="00B25BED">
        <w:rPr>
          <w:rFonts w:ascii="Palatino Linotype" w:eastAsia="Palatino Linotype" w:hAnsi="Palatino Linotype" w:cs="Palatino Linotype"/>
          <w:color w:val="000000"/>
        </w:rPr>
        <w:t xml:space="preserve"> y subsecuente </w:t>
      </w:r>
      <w:r w:rsidRPr="00B25BED">
        <w:rPr>
          <w:rFonts w:ascii="Palatino Linotype" w:eastAsia="Palatino Linotype" w:hAnsi="Palatino Linotype" w:cs="Palatino Linotype"/>
          <w:b/>
          <w:color w:val="000000"/>
        </w:rPr>
        <w:t>R</w:t>
      </w:r>
      <w:r w:rsidR="006979C4" w:rsidRPr="00B25BED">
        <w:rPr>
          <w:rFonts w:ascii="Palatino Linotype" w:eastAsia="Palatino Linotype" w:hAnsi="Palatino Linotype" w:cs="Palatino Linotype"/>
          <w:b/>
          <w:color w:val="000000"/>
        </w:rPr>
        <w:t>ecurrente</w:t>
      </w:r>
      <w:r w:rsidRPr="00B25BED">
        <w:rPr>
          <w:rFonts w:ascii="Palatino Linotype" w:eastAsia="Palatino Linotype" w:hAnsi="Palatino Linotype" w:cs="Palatino Linotype"/>
          <w:color w:val="000000"/>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5E01C96E" w14:textId="77777777" w:rsidR="00B420FF" w:rsidRPr="00B25BED" w:rsidRDefault="00B420FF" w:rsidP="00B420FF">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550DC52F" w14:textId="3F862638" w:rsidR="00DA12DB" w:rsidRPr="00B25BED" w:rsidRDefault="00C47FEF" w:rsidP="002C2CED">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C5275FE" w14:textId="77777777" w:rsidR="00DA12DB" w:rsidRPr="00B25BED" w:rsidRDefault="00DA12DB">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bookmarkStart w:id="7" w:name="_heading=h.3dy6vkm" w:colFirst="0" w:colLast="0"/>
      <w:bookmarkEnd w:id="7"/>
    </w:p>
    <w:p w14:paraId="5285438D" w14:textId="77777777" w:rsidR="00DA12DB" w:rsidRPr="00B25BED" w:rsidRDefault="00C47FEF">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B25BED">
        <w:rPr>
          <w:rFonts w:ascii="Palatino Linotype" w:eastAsia="Palatino Linotype" w:hAnsi="Palatino Linotype" w:cs="Palatino Linotype"/>
          <w:b/>
          <w:color w:val="000000"/>
          <w:sz w:val="24"/>
          <w:szCs w:val="24"/>
        </w:rPr>
        <w:t>TERCERO. De las causales de sobreseimiento.</w:t>
      </w:r>
    </w:p>
    <w:p w14:paraId="2BBD398C" w14:textId="61AE0D31" w:rsidR="00DA12DB" w:rsidRPr="00B25BED" w:rsidRDefault="00C47FEF" w:rsidP="00547008">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bookmarkStart w:id="9" w:name="_heading=h.4d34og8" w:colFirst="0" w:colLast="0"/>
      <w:bookmarkEnd w:id="9"/>
      <w:r w:rsidRPr="00B25BED">
        <w:rPr>
          <w:rFonts w:ascii="Palatino Linotype" w:eastAsia="Palatino Linotype" w:hAnsi="Palatino Linotype" w:cs="Palatino Linotype"/>
          <w:color w:val="000000"/>
        </w:rPr>
        <w:t xml:space="preserve">La Ley de Transparencia y Acceso a la Información Pública del Estado de México y Municipios, en su artículo 150, establece que el procedimiento de acceso a la información es la garantía primaria del derecho en cuestión y se rige por los principios de simplicidad, </w:t>
      </w:r>
      <w:r w:rsidRPr="00B25BED">
        <w:rPr>
          <w:rFonts w:ascii="Palatino Linotype" w:eastAsia="Palatino Linotype" w:hAnsi="Palatino Linotype" w:cs="Palatino Linotype"/>
          <w:color w:val="000000"/>
        </w:rPr>
        <w:lastRenderedPageBreak/>
        <w:t>rapidez gratuidad del procedimiento, auxilio y orientación a los particulares, así como atención adecuada a las personas con discapacidad y a los hablantes de lengua indígena con el objeto de otorgar la protección más amplia del derecho de las personas.</w:t>
      </w:r>
    </w:p>
    <w:p w14:paraId="6D3D0636" w14:textId="77777777" w:rsidR="00951302" w:rsidRPr="00B25BED" w:rsidRDefault="00951302" w:rsidP="0095130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5556C41" w14:textId="77777777" w:rsidR="00DA12DB" w:rsidRPr="00B25BED" w:rsidRDefault="00C47FE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Para atender las solicitudes de información, los Sujetos Obligados contarán con un área denominada </w:t>
      </w:r>
      <w:r w:rsidRPr="00B25BED">
        <w:rPr>
          <w:rFonts w:ascii="Palatino Linotype" w:eastAsia="Palatino Linotype" w:hAnsi="Palatino Linotype" w:cs="Palatino Linotype"/>
          <w:b/>
          <w:color w:val="000000"/>
        </w:rPr>
        <w:t>Unidad de Transparencia</w:t>
      </w:r>
      <w:r w:rsidRPr="00B25BED">
        <w:rPr>
          <w:rFonts w:ascii="Palatino Linotype" w:eastAsia="Palatino Linotype" w:hAnsi="Palatino Linotype" w:cs="Palatino Linotype"/>
          <w:color w:val="000000"/>
          <w:vertAlign w:val="superscript"/>
        </w:rPr>
        <w:footnoteReference w:id="2"/>
      </w:r>
      <w:r w:rsidRPr="00B25BED">
        <w:rPr>
          <w:rFonts w:ascii="Palatino Linotype" w:eastAsia="Palatino Linotype" w:hAnsi="Palatino Linotype" w:cs="Palatino Linotype"/>
          <w:color w:val="000000"/>
        </w:rPr>
        <w:t xml:space="preserve">, la cual será presidida por un Titular, quien fungirá como enlace entre éstos y los solicitantes. Dicha Unidad </w:t>
      </w:r>
      <w:r w:rsidRPr="00B25BED">
        <w:rPr>
          <w:rFonts w:ascii="Palatino Linotype" w:eastAsia="Palatino Linotype" w:hAnsi="Palatino Linotype" w:cs="Palatino Linotype"/>
          <w:b/>
          <w:color w:val="000000"/>
        </w:rPr>
        <w:t>será la encargada de tramitar internamente la solicitud de información</w:t>
      </w:r>
      <w:r w:rsidRPr="00B25BED">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sidRPr="00B25BED">
        <w:rPr>
          <w:rFonts w:ascii="Palatino Linotype" w:eastAsia="Palatino Linotype" w:hAnsi="Palatino Linotype" w:cs="Palatino Linotype"/>
          <w:b/>
          <w:color w:val="000000"/>
        </w:rPr>
        <w:t xml:space="preserve">gestionar la atención a las solicitudes de información </w:t>
      </w:r>
      <w:r w:rsidRPr="00B25BED">
        <w:rPr>
          <w:rFonts w:ascii="Palatino Linotype" w:eastAsia="Palatino Linotype" w:hAnsi="Palatino Linotype" w:cs="Palatino Linotype"/>
          <w:color w:val="000000"/>
        </w:rPr>
        <w:t>en los términos de la Ley General y la Ley de Transparencia y Acceso a la Información Pública del Estado de México y Municipios</w:t>
      </w:r>
      <w:r w:rsidRPr="00B25BED">
        <w:rPr>
          <w:rFonts w:ascii="Palatino Linotype" w:eastAsia="Palatino Linotype" w:hAnsi="Palatino Linotype" w:cs="Palatino Linotype"/>
          <w:color w:val="000000"/>
          <w:vertAlign w:val="superscript"/>
        </w:rPr>
        <w:footnoteReference w:id="3"/>
      </w:r>
      <w:r w:rsidRPr="00B25BED">
        <w:rPr>
          <w:rFonts w:ascii="Palatino Linotype" w:eastAsia="Palatino Linotype" w:hAnsi="Palatino Linotype" w:cs="Palatino Linotype"/>
          <w:color w:val="000000"/>
        </w:rPr>
        <w:t>.</w:t>
      </w:r>
    </w:p>
    <w:p w14:paraId="0926BC87" w14:textId="77777777" w:rsidR="00DA12DB" w:rsidRPr="00B25BED" w:rsidRDefault="00DA12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E1B4263" w14:textId="77777777" w:rsidR="00DA12DB" w:rsidRPr="00B25BED" w:rsidRDefault="00C47FE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14:paraId="66CEA468" w14:textId="77777777" w:rsidR="00DA12DB" w:rsidRPr="00B25BED" w:rsidRDefault="00C47FEF" w:rsidP="00B25BED">
      <w:pPr>
        <w:numPr>
          <w:ilvl w:val="1"/>
          <w:numId w:val="1"/>
        </w:numPr>
        <w:pBdr>
          <w:top w:val="nil"/>
          <w:left w:val="nil"/>
          <w:bottom w:val="nil"/>
          <w:right w:val="nil"/>
          <w:between w:val="nil"/>
        </w:pBdr>
        <w:tabs>
          <w:tab w:val="left" w:pos="426"/>
        </w:tabs>
        <w:spacing w:line="360" w:lineRule="auto"/>
        <w:ind w:left="1134" w:right="1134"/>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color w:val="000000"/>
          <w:sz w:val="22"/>
        </w:rPr>
        <w:t>Recibir, tramitar y dar respuesta a las solicitudes de acceso a la información;</w:t>
      </w:r>
    </w:p>
    <w:p w14:paraId="20861ED2" w14:textId="77777777" w:rsidR="00DA12DB" w:rsidRPr="00B25BED" w:rsidRDefault="00C47FEF" w:rsidP="00B25BED">
      <w:pPr>
        <w:numPr>
          <w:ilvl w:val="1"/>
          <w:numId w:val="1"/>
        </w:numPr>
        <w:pBdr>
          <w:top w:val="nil"/>
          <w:left w:val="nil"/>
          <w:bottom w:val="nil"/>
          <w:right w:val="nil"/>
          <w:between w:val="nil"/>
        </w:pBdr>
        <w:tabs>
          <w:tab w:val="left" w:pos="426"/>
        </w:tabs>
        <w:spacing w:line="360" w:lineRule="auto"/>
        <w:ind w:left="1134" w:right="1134"/>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color w:val="000000"/>
          <w:sz w:val="22"/>
        </w:rPr>
        <w:t xml:space="preserve">Realizar, con efectividad, los trámites internos necesarios para la atención de las solicitudes de acceso a la información; </w:t>
      </w:r>
    </w:p>
    <w:p w14:paraId="54592D7D" w14:textId="77777777" w:rsidR="00DA12DB" w:rsidRPr="00B25BED" w:rsidRDefault="00C47FEF" w:rsidP="00B25BED">
      <w:pPr>
        <w:numPr>
          <w:ilvl w:val="1"/>
          <w:numId w:val="1"/>
        </w:numPr>
        <w:pBdr>
          <w:top w:val="nil"/>
          <w:left w:val="nil"/>
          <w:bottom w:val="nil"/>
          <w:right w:val="nil"/>
          <w:between w:val="nil"/>
        </w:pBdr>
        <w:tabs>
          <w:tab w:val="left" w:pos="426"/>
        </w:tabs>
        <w:spacing w:line="360" w:lineRule="auto"/>
        <w:ind w:left="1134" w:right="1134"/>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color w:val="000000"/>
          <w:sz w:val="22"/>
        </w:rPr>
        <w:t xml:space="preserve">Entregar, en su caso, a los particulares la información solicitada; y </w:t>
      </w:r>
    </w:p>
    <w:p w14:paraId="7C32EE05" w14:textId="77777777" w:rsidR="00DA12DB" w:rsidRPr="00B25BED" w:rsidRDefault="00C47FEF" w:rsidP="00B25BED">
      <w:pPr>
        <w:numPr>
          <w:ilvl w:val="1"/>
          <w:numId w:val="1"/>
        </w:numPr>
        <w:pBdr>
          <w:top w:val="nil"/>
          <w:left w:val="nil"/>
          <w:bottom w:val="nil"/>
          <w:right w:val="nil"/>
          <w:between w:val="nil"/>
        </w:pBdr>
        <w:tabs>
          <w:tab w:val="left" w:pos="426"/>
        </w:tabs>
        <w:spacing w:line="360" w:lineRule="auto"/>
        <w:ind w:left="1134" w:right="1134"/>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color w:val="000000"/>
          <w:sz w:val="22"/>
        </w:rPr>
        <w:t>Efectuar las notificaciones a los solicitantes.</w:t>
      </w:r>
    </w:p>
    <w:p w14:paraId="48E23F4F" w14:textId="77777777" w:rsidR="00DA12DB" w:rsidRPr="00B25BED" w:rsidRDefault="00DA12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AA39F87" w14:textId="77777777" w:rsidR="00DA12DB" w:rsidRPr="00B25BED" w:rsidRDefault="00C47FE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lastRenderedPageBreak/>
        <w:t xml:space="preserve">Otros sujetos del proceso de atención a las solicitudes de información son los servidores públicos habilitados, quienes serán designados por la o el Titular del </w:t>
      </w:r>
      <w:r w:rsidRPr="00B25BED">
        <w:rPr>
          <w:rFonts w:ascii="Palatino Linotype" w:eastAsia="Palatino Linotype" w:hAnsi="Palatino Linotype" w:cs="Palatino Linotype"/>
          <w:b/>
          <w:color w:val="000000"/>
        </w:rPr>
        <w:t>SUJETO OBLIGADO</w:t>
      </w:r>
      <w:r w:rsidRPr="00B25BED">
        <w:rPr>
          <w:rFonts w:ascii="Palatino Linotype" w:eastAsia="Palatino Linotype" w:hAnsi="Palatino Linotype" w:cs="Palatino Linotype"/>
          <w:color w:val="000000"/>
        </w:rPr>
        <w:t xml:space="preserve"> a propuesta del responsable de la Unidad de Transparencia</w:t>
      </w:r>
      <w:r w:rsidRPr="00B25BED">
        <w:rPr>
          <w:rFonts w:ascii="Palatino Linotype" w:eastAsia="Palatino Linotype" w:hAnsi="Palatino Linotype" w:cs="Palatino Linotype"/>
          <w:color w:val="000000"/>
          <w:vertAlign w:val="superscript"/>
        </w:rPr>
        <w:footnoteReference w:id="4"/>
      </w:r>
      <w:r w:rsidRPr="00B25BED">
        <w:rPr>
          <w:rFonts w:ascii="Palatino Linotype" w:eastAsia="Palatino Linotype" w:hAnsi="Palatino Linotype" w:cs="Palatino Linotype"/>
          <w:color w:val="000000"/>
        </w:rPr>
        <w:t xml:space="preserve"> y tendrán, entre sus atribuciones, las siguientes</w:t>
      </w:r>
      <w:r w:rsidRPr="00B25BED">
        <w:rPr>
          <w:rFonts w:ascii="Palatino Linotype" w:eastAsia="Palatino Linotype" w:hAnsi="Palatino Linotype" w:cs="Palatino Linotype"/>
          <w:color w:val="000000"/>
          <w:vertAlign w:val="superscript"/>
        </w:rPr>
        <w:footnoteReference w:id="5"/>
      </w:r>
      <w:r w:rsidRPr="00B25BED">
        <w:rPr>
          <w:rFonts w:ascii="Palatino Linotype" w:eastAsia="Palatino Linotype" w:hAnsi="Palatino Linotype" w:cs="Palatino Linotype"/>
          <w:color w:val="000000"/>
        </w:rPr>
        <w:t>:</w:t>
      </w:r>
    </w:p>
    <w:p w14:paraId="622BD21C" w14:textId="77777777" w:rsidR="00DA12DB" w:rsidRPr="00B25BED" w:rsidRDefault="00C47FEF" w:rsidP="00B25BED">
      <w:pPr>
        <w:numPr>
          <w:ilvl w:val="1"/>
          <w:numId w:val="2"/>
        </w:numPr>
        <w:pBdr>
          <w:top w:val="nil"/>
          <w:left w:val="nil"/>
          <w:bottom w:val="nil"/>
          <w:right w:val="nil"/>
          <w:between w:val="nil"/>
        </w:pBdr>
        <w:tabs>
          <w:tab w:val="left" w:pos="426"/>
        </w:tabs>
        <w:spacing w:line="360" w:lineRule="auto"/>
        <w:ind w:left="1134" w:right="992"/>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color w:val="000000"/>
          <w:sz w:val="22"/>
        </w:rPr>
        <w:t>Localizar la información que le solicite la Unidad de Transparencia; y</w:t>
      </w:r>
    </w:p>
    <w:p w14:paraId="462874BB" w14:textId="77777777" w:rsidR="00DA12DB" w:rsidRPr="00B25BED" w:rsidRDefault="00C47FEF" w:rsidP="00B25BED">
      <w:pPr>
        <w:numPr>
          <w:ilvl w:val="1"/>
          <w:numId w:val="2"/>
        </w:numPr>
        <w:pBdr>
          <w:top w:val="nil"/>
          <w:left w:val="nil"/>
          <w:bottom w:val="nil"/>
          <w:right w:val="nil"/>
          <w:between w:val="nil"/>
        </w:pBdr>
        <w:tabs>
          <w:tab w:val="left" w:pos="426"/>
        </w:tabs>
        <w:spacing w:line="360" w:lineRule="auto"/>
        <w:ind w:left="1134" w:right="992"/>
        <w:jc w:val="both"/>
        <w:rPr>
          <w:rFonts w:ascii="Palatino Linotype" w:eastAsia="Palatino Linotype" w:hAnsi="Palatino Linotype" w:cs="Palatino Linotype"/>
          <w:color w:val="000000"/>
          <w:sz w:val="22"/>
        </w:rPr>
      </w:pPr>
      <w:r w:rsidRPr="00B25BED">
        <w:rPr>
          <w:rFonts w:ascii="Palatino Linotype" w:eastAsia="Palatino Linotype" w:hAnsi="Palatino Linotype" w:cs="Palatino Linotype"/>
          <w:color w:val="000000"/>
          <w:sz w:val="22"/>
        </w:rPr>
        <w:t>Proporcionar la información que obre en los archivos y que le sea solicitada por la Unidad de Transparencia.</w:t>
      </w:r>
    </w:p>
    <w:p w14:paraId="19130DBE" w14:textId="77777777" w:rsidR="00DA12DB" w:rsidRPr="00B25BED" w:rsidRDefault="00DA12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B02E368" w14:textId="77777777" w:rsidR="00DA12DB" w:rsidRPr="00B25BED" w:rsidRDefault="00C47FE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De tal manera que cada una de las áreas administrativas del </w:t>
      </w:r>
      <w:r w:rsidRPr="00B25BED">
        <w:rPr>
          <w:rFonts w:ascii="Palatino Linotype" w:eastAsia="Palatino Linotype" w:hAnsi="Palatino Linotype" w:cs="Palatino Linotype"/>
          <w:b/>
          <w:color w:val="000000"/>
        </w:rPr>
        <w:t>SUJETO OBLIGADO</w:t>
      </w:r>
      <w:r w:rsidRPr="00B25BED">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08DAB4CC" w14:textId="77777777" w:rsidR="00DA12DB" w:rsidRPr="00B25BED" w:rsidRDefault="00DA12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E709DDD" w14:textId="3C032D72" w:rsidR="00DA12DB" w:rsidRDefault="00C47FEF" w:rsidP="00547008">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Establecido lo anterior, de la lectura a la solicitud de información </w:t>
      </w:r>
      <w:r w:rsidR="00547008" w:rsidRPr="00B25BED">
        <w:rPr>
          <w:rFonts w:ascii="Palatino Linotype" w:eastAsia="Palatino Linotype" w:hAnsi="Palatino Linotype" w:cs="Palatino Linotype"/>
          <w:b/>
          <w:bCs/>
          <w:color w:val="000000"/>
        </w:rPr>
        <w:t>0</w:t>
      </w:r>
      <w:r w:rsidR="00B246B8" w:rsidRPr="00B25BED">
        <w:rPr>
          <w:rFonts w:ascii="Palatino Linotype" w:eastAsia="Palatino Linotype" w:hAnsi="Palatino Linotype" w:cs="Palatino Linotype"/>
          <w:b/>
          <w:bCs/>
          <w:color w:val="000000"/>
        </w:rPr>
        <w:t>0185</w:t>
      </w:r>
      <w:r w:rsidR="00547008" w:rsidRPr="00B25BED">
        <w:rPr>
          <w:rFonts w:ascii="Palatino Linotype" w:eastAsia="Palatino Linotype" w:hAnsi="Palatino Linotype" w:cs="Palatino Linotype"/>
          <w:b/>
          <w:bCs/>
          <w:color w:val="000000"/>
        </w:rPr>
        <w:t>/</w:t>
      </w:r>
      <w:r w:rsidR="00B246B8" w:rsidRPr="00B25BED">
        <w:rPr>
          <w:rFonts w:ascii="Palatino Linotype" w:eastAsia="Palatino Linotype" w:hAnsi="Palatino Linotype" w:cs="Palatino Linotype"/>
          <w:b/>
          <w:bCs/>
          <w:color w:val="000000"/>
        </w:rPr>
        <w:t>OASATIZARA</w:t>
      </w:r>
      <w:r w:rsidR="00547008" w:rsidRPr="00B25BED">
        <w:rPr>
          <w:rFonts w:ascii="Palatino Linotype" w:eastAsia="Palatino Linotype" w:hAnsi="Palatino Linotype" w:cs="Palatino Linotype"/>
          <w:b/>
          <w:bCs/>
          <w:color w:val="000000"/>
        </w:rPr>
        <w:t>/IP/2024</w:t>
      </w:r>
      <w:r w:rsidRPr="00B25BED">
        <w:rPr>
          <w:rFonts w:ascii="Palatino Linotype" w:eastAsia="Palatino Linotype" w:hAnsi="Palatino Linotype" w:cs="Palatino Linotype"/>
          <w:color w:val="000000"/>
        </w:rPr>
        <w:t xml:space="preserve">, se advierte que el entonces </w:t>
      </w:r>
      <w:r w:rsidRPr="00B25BED">
        <w:rPr>
          <w:rFonts w:ascii="Palatino Linotype" w:eastAsia="Palatino Linotype" w:hAnsi="Palatino Linotype" w:cs="Palatino Linotype"/>
          <w:b/>
          <w:color w:val="000000"/>
        </w:rPr>
        <w:t>SOLICITANTE</w:t>
      </w:r>
      <w:r w:rsidRPr="00B25BED">
        <w:rPr>
          <w:rFonts w:ascii="Palatino Linotype" w:eastAsia="Palatino Linotype" w:hAnsi="Palatino Linotype" w:cs="Palatino Linotype"/>
          <w:color w:val="000000"/>
        </w:rPr>
        <w:t xml:space="preserve"> requirió acceder a la siguiente información:</w:t>
      </w:r>
    </w:p>
    <w:p w14:paraId="0D5D5340" w14:textId="77777777" w:rsidR="00B25BED" w:rsidRPr="00B25BED" w:rsidRDefault="00B25BED" w:rsidP="00B25BE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32A01F4" w14:textId="77777777" w:rsidR="00B246B8" w:rsidRPr="00B25BED" w:rsidRDefault="00B246B8" w:rsidP="00B25BED">
      <w:pPr>
        <w:pBdr>
          <w:top w:val="nil"/>
          <w:left w:val="nil"/>
          <w:bottom w:val="nil"/>
          <w:right w:val="nil"/>
          <w:between w:val="nil"/>
        </w:pBdr>
        <w:ind w:left="567" w:right="992"/>
        <w:jc w:val="both"/>
        <w:rPr>
          <w:rFonts w:ascii="Palatino Linotype" w:eastAsia="Palatino Linotype" w:hAnsi="Palatino Linotype" w:cs="Palatino Linotype"/>
          <w:i/>
          <w:color w:val="000000"/>
          <w:sz w:val="22"/>
        </w:rPr>
      </w:pPr>
      <w:r w:rsidRPr="00B25BED">
        <w:rPr>
          <w:rFonts w:ascii="Palatino Linotype" w:eastAsia="Palatino Linotype" w:hAnsi="Palatino Linotype" w:cs="Palatino Linotype"/>
          <w:i/>
          <w:color w:val="000000"/>
          <w:sz w:val="22"/>
        </w:rPr>
        <w:t>“</w:t>
      </w:r>
      <w:r w:rsidRPr="00B25BED">
        <w:rPr>
          <w:rFonts w:ascii="Palatino Linotype" w:hAnsi="Palatino Linotype"/>
          <w:i/>
          <w:color w:val="000000"/>
          <w:sz w:val="22"/>
        </w:rPr>
        <w:t xml:space="preserve">su organismo tiene proyectado promover durante el 2024 temas que promuevan la ètica, la transparencia, el acceso a la informaciòn con el objetivo de generar confianza a la ciudadnia </w:t>
      </w:r>
      <w:r w:rsidRPr="00B25BED">
        <w:rPr>
          <w:rFonts w:ascii="Palatino Linotype" w:hAnsi="Palatino Linotype"/>
          <w:b/>
          <w:bCs/>
          <w:i/>
          <w:color w:val="000000"/>
          <w:sz w:val="22"/>
        </w:rPr>
        <w:t xml:space="preserve">si es si que se va a llevar a cabo de lo mencionado si es no, porque no se tiene nada para REALIZAR ESTOS ACTOS QUE REFLEJARIAN UN ORGANISMO CONFIABLE. </w:t>
      </w:r>
      <w:r w:rsidRPr="00B25BED">
        <w:rPr>
          <w:rFonts w:ascii="Palatino Linotype" w:hAnsi="Palatino Linotype"/>
          <w:i/>
          <w:color w:val="000000"/>
          <w:sz w:val="22"/>
        </w:rPr>
        <w:t>.</w:t>
      </w:r>
      <w:r w:rsidRPr="00B25BED">
        <w:rPr>
          <w:rFonts w:ascii="Palatino Linotype" w:eastAsia="Palatino Linotype" w:hAnsi="Palatino Linotype" w:cs="Palatino Linotype"/>
          <w:i/>
          <w:color w:val="000000"/>
          <w:sz w:val="22"/>
        </w:rPr>
        <w:t>” (Sic).</w:t>
      </w:r>
    </w:p>
    <w:p w14:paraId="2AEB14BD" w14:textId="77777777" w:rsidR="00547008" w:rsidRPr="00B25BED" w:rsidRDefault="00547008" w:rsidP="0054700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9C30CB3" w14:textId="4B55D50D" w:rsidR="00B420FF" w:rsidRPr="00B25BED" w:rsidRDefault="002C2CED" w:rsidP="00B420F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lastRenderedPageBreak/>
        <w:t>En respuesta</w:t>
      </w:r>
      <w:r w:rsidR="00C47FEF" w:rsidRPr="00B25BED">
        <w:rPr>
          <w:rFonts w:ascii="Palatino Linotype" w:eastAsia="Palatino Linotype" w:hAnsi="Palatino Linotype" w:cs="Palatino Linotype"/>
          <w:color w:val="000000"/>
        </w:rPr>
        <w:t xml:space="preserve">, el </w:t>
      </w:r>
      <w:r w:rsidR="00C47FEF" w:rsidRPr="00B25BED">
        <w:rPr>
          <w:rFonts w:ascii="Palatino Linotype" w:eastAsia="Palatino Linotype" w:hAnsi="Palatino Linotype" w:cs="Palatino Linotype"/>
          <w:b/>
          <w:color w:val="000000"/>
        </w:rPr>
        <w:t>SUJETO OBLIGADO</w:t>
      </w:r>
      <w:r w:rsidR="00547008" w:rsidRPr="00B25BED">
        <w:rPr>
          <w:rFonts w:ascii="Palatino Linotype" w:eastAsia="Palatino Linotype" w:hAnsi="Palatino Linotype" w:cs="Palatino Linotype"/>
          <w:b/>
          <w:color w:val="000000"/>
        </w:rPr>
        <w:t xml:space="preserve"> </w:t>
      </w:r>
      <w:r w:rsidR="00547008" w:rsidRPr="00B25BED">
        <w:rPr>
          <w:rFonts w:ascii="Palatino Linotype" w:eastAsia="Palatino Linotype" w:hAnsi="Palatino Linotype" w:cs="Palatino Linotype"/>
          <w:color w:val="000000"/>
        </w:rPr>
        <w:t xml:space="preserve">por medio del </w:t>
      </w:r>
      <w:r w:rsidR="00B246B8" w:rsidRPr="00B25BED">
        <w:rPr>
          <w:rFonts w:ascii="Palatino Linotype" w:eastAsia="Palatino Linotype" w:hAnsi="Palatino Linotype" w:cs="Palatino Linotype"/>
          <w:color w:val="000000"/>
        </w:rPr>
        <w:t xml:space="preserve">Titular de la Unidad de Transparencia, informó que se tenía programado </w:t>
      </w:r>
      <w:r w:rsidR="00B246B8" w:rsidRPr="00B25BED">
        <w:rPr>
          <w:rFonts w:ascii="Palatino Linotype" w:hAnsi="Palatino Linotype"/>
        </w:rPr>
        <w:t>proporcionar capacitaciones continuas a los Servidores Públicos Habilitados, con el fin de constituir y mantener actu</w:t>
      </w:r>
      <w:r w:rsidR="00B420FF" w:rsidRPr="00B25BED">
        <w:rPr>
          <w:rFonts w:ascii="Palatino Linotype" w:hAnsi="Palatino Linotype"/>
        </w:rPr>
        <w:t>a</w:t>
      </w:r>
      <w:r w:rsidR="00B246B8" w:rsidRPr="00B25BED">
        <w:rPr>
          <w:rFonts w:ascii="Palatino Linotype" w:hAnsi="Palatino Linotype"/>
        </w:rPr>
        <w:t>lizados los Sistemas de Información, atender oportunamente los requerimientos y difundir información de int</w:t>
      </w:r>
      <w:r w:rsidR="00B420FF" w:rsidRPr="00B25BED">
        <w:rPr>
          <w:rFonts w:ascii="Palatino Linotype" w:hAnsi="Palatino Linotype"/>
        </w:rPr>
        <w:t>e</w:t>
      </w:r>
      <w:r w:rsidR="00B246B8" w:rsidRPr="00B25BED">
        <w:rPr>
          <w:rFonts w:ascii="Palatino Linotype" w:hAnsi="Palatino Linotype"/>
        </w:rPr>
        <w:t>rés público con el fin de garantizar y respetar el Derecho a la Información Pública.</w:t>
      </w:r>
    </w:p>
    <w:p w14:paraId="36DB37C1" w14:textId="77777777" w:rsidR="00B420FF" w:rsidRPr="00B25BED" w:rsidRDefault="00B420FF" w:rsidP="00B420F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CAFBAC8" w14:textId="11AB2AB1" w:rsidR="00043434" w:rsidRPr="00B25BED" w:rsidRDefault="00043434" w:rsidP="002C2CED">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Inconforme con la respuesta, el </w:t>
      </w:r>
      <w:r w:rsidRPr="00B25BED">
        <w:rPr>
          <w:rFonts w:ascii="Palatino Linotype" w:eastAsia="Palatino Linotype" w:hAnsi="Palatino Linotype" w:cs="Palatino Linotype"/>
          <w:b/>
          <w:color w:val="000000"/>
        </w:rPr>
        <w:t>R</w:t>
      </w:r>
      <w:r w:rsidR="006979C4" w:rsidRPr="00B25BED">
        <w:rPr>
          <w:rFonts w:ascii="Palatino Linotype" w:eastAsia="Palatino Linotype" w:hAnsi="Palatino Linotype" w:cs="Palatino Linotype"/>
          <w:b/>
          <w:color w:val="000000"/>
        </w:rPr>
        <w:t>ecurrente</w:t>
      </w:r>
      <w:r w:rsidRPr="00B25BED">
        <w:rPr>
          <w:rFonts w:ascii="Palatino Linotype" w:eastAsia="Palatino Linotype" w:hAnsi="Palatino Linotype" w:cs="Palatino Linotype"/>
          <w:b/>
          <w:color w:val="000000"/>
        </w:rPr>
        <w:t xml:space="preserve"> </w:t>
      </w:r>
      <w:r w:rsidRPr="00B25BED">
        <w:rPr>
          <w:rFonts w:ascii="Palatino Linotype" w:eastAsia="Palatino Linotype" w:hAnsi="Palatino Linotype" w:cs="Palatino Linotype"/>
          <w:color w:val="000000"/>
        </w:rPr>
        <w:t xml:space="preserve">interpuso el recurso de revisión </w:t>
      </w:r>
      <w:r w:rsidRPr="00B25BED">
        <w:rPr>
          <w:rFonts w:ascii="Palatino Linotype" w:eastAsia="Palatino Linotype" w:hAnsi="Palatino Linotype" w:cs="Palatino Linotype"/>
          <w:b/>
        </w:rPr>
        <w:t>0</w:t>
      </w:r>
      <w:r w:rsidR="00B246B8" w:rsidRPr="00B25BED">
        <w:rPr>
          <w:rFonts w:ascii="Palatino Linotype" w:eastAsia="Palatino Linotype" w:hAnsi="Palatino Linotype" w:cs="Palatino Linotype"/>
          <w:b/>
        </w:rPr>
        <w:t>2568</w:t>
      </w:r>
      <w:r w:rsidRPr="00B25BED">
        <w:rPr>
          <w:rFonts w:ascii="Palatino Linotype" w:eastAsia="Palatino Linotype" w:hAnsi="Palatino Linotype" w:cs="Palatino Linotype"/>
          <w:b/>
        </w:rPr>
        <w:t xml:space="preserve">/INFOEM/IP/RR/2024, </w:t>
      </w:r>
      <w:r w:rsidR="00B246B8" w:rsidRPr="00B25BED">
        <w:rPr>
          <w:rFonts w:ascii="Palatino Linotype" w:eastAsia="Palatino Linotype" w:hAnsi="Palatino Linotype" w:cs="Palatino Linotype"/>
        </w:rPr>
        <w:t xml:space="preserve">mediante el cual señaló, </w:t>
      </w:r>
      <w:r w:rsidR="00B246B8" w:rsidRPr="00B25BED">
        <w:rPr>
          <w:rFonts w:ascii="Palatino Linotype" w:eastAsia="Palatino Linotype" w:hAnsi="Palatino Linotype" w:cs="Palatino Linotype"/>
          <w:b/>
          <w:bCs/>
        </w:rPr>
        <w:t>la negativa de la información solicitada.</w:t>
      </w:r>
      <w:r w:rsidRPr="00B25BED">
        <w:rPr>
          <w:rFonts w:ascii="Palatino Linotype" w:eastAsia="Palatino Linotype" w:hAnsi="Palatino Linotype" w:cs="Palatino Linotype"/>
          <w:b/>
          <w:bCs/>
        </w:rPr>
        <w:t xml:space="preserve"> </w:t>
      </w:r>
    </w:p>
    <w:p w14:paraId="4C9D343E" w14:textId="77777777" w:rsidR="00043434" w:rsidRPr="00B25BED" w:rsidRDefault="00043434" w:rsidP="00043434">
      <w:pPr>
        <w:rPr>
          <w:rFonts w:ascii="Palatino Linotype" w:eastAsia="Palatino Linotype" w:hAnsi="Palatino Linotype" w:cs="Palatino Linotype"/>
          <w:color w:val="000000"/>
        </w:rPr>
      </w:pPr>
    </w:p>
    <w:p w14:paraId="308A803B" w14:textId="4D6DE2BA" w:rsidR="005F0D91" w:rsidRPr="00B25BED" w:rsidRDefault="005F0D91" w:rsidP="005F0D91">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Precisado lo anterior, </w:t>
      </w:r>
      <w:r w:rsidRPr="00B25BED">
        <w:rPr>
          <w:rFonts w:ascii="Palatino Linotype" w:eastAsiaTheme="minorEastAsia" w:hAnsi="Palatino Linotype" w:cs="Arial"/>
          <w:lang w:val="es-ES_tradnl" w:eastAsia="es-ES"/>
        </w:rPr>
        <w:t>se aprecia a simple vista que, el requerimiento no constituye un derecho de acceso a la información pública, por lo tanto, no es atendible mediante una solicitud de Acceso a la Información, porque se trata de manifestaciones, interrogantes y declaraciones que, en efecto, no se colman con la entrega de documentos, situación que conlleva a afirmar que se está en presencia del ejercicio del derecho de petición</w:t>
      </w:r>
      <w:r w:rsidR="006979C4" w:rsidRPr="00B25BED">
        <w:rPr>
          <w:rFonts w:ascii="Palatino Linotype" w:eastAsiaTheme="minorEastAsia" w:hAnsi="Palatino Linotype" w:cs="Arial"/>
          <w:lang w:val="es-ES_tradnl" w:eastAsia="es-ES"/>
        </w:rPr>
        <w:t>.</w:t>
      </w:r>
    </w:p>
    <w:p w14:paraId="4A1A4DB5" w14:textId="77777777" w:rsidR="005F0D91" w:rsidRPr="00B25BED" w:rsidRDefault="005F0D91" w:rsidP="005F0D9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E2946F9" w14:textId="77777777" w:rsidR="005F0D91" w:rsidRPr="00B25BED" w:rsidRDefault="005F0D91" w:rsidP="005F0D91">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Tahoma"/>
          <w:color w:val="000000"/>
          <w:lang w:val="es-ES"/>
        </w:rPr>
        <w:t>Por lo que,</w:t>
      </w:r>
      <w:r w:rsidRPr="00B25BED">
        <w:rPr>
          <w:rFonts w:ascii="Palatino Linotype" w:eastAsia="MS Mincho" w:hAnsi="Palatino Linotype" w:cstheme="majorBidi"/>
          <w:lang w:val="es-ES_tradnl" w:eastAsia="es-ES"/>
        </w:rPr>
        <w:t xml:space="preserve"> la entrega de una razón o un razonamiento por parte del </w:t>
      </w:r>
      <w:r w:rsidRPr="00B25BED">
        <w:rPr>
          <w:rFonts w:ascii="Palatino Linotype" w:eastAsia="MS Mincho" w:hAnsi="Palatino Linotype" w:cstheme="majorBidi"/>
          <w:b/>
          <w:bCs/>
          <w:lang w:val="es-ES_tradnl" w:eastAsia="es-ES"/>
        </w:rPr>
        <w:t>SUJETO OBLIGADO</w:t>
      </w:r>
      <w:r w:rsidRPr="00B25BED">
        <w:rPr>
          <w:rFonts w:ascii="Palatino Linotype" w:eastAsia="MS Mincho" w:hAnsi="Palatino Linotype" w:cstheme="majorBidi"/>
          <w:lang w:val="es-ES_tradnl" w:eastAsia="es-ES"/>
        </w:rPr>
        <w:t xml:space="preserve"> no es algo que la ley establezca como atribución, derecho, o facultad; pues ello implicaría un juicio de valor referente a un cuestionamiento realizado, el cual, al constituir interrogantes, inquietudes y manifestaciones se satisfacen vía </w:t>
      </w:r>
      <w:r w:rsidRPr="00B25BED">
        <w:rPr>
          <w:rFonts w:ascii="Palatino Linotype" w:eastAsia="MS Mincho" w:hAnsi="Palatino Linotype" w:cstheme="majorBidi"/>
          <w:b/>
          <w:bCs/>
          <w:lang w:val="es-ES_tradnl" w:eastAsia="es-ES"/>
        </w:rPr>
        <w:t>derecho de petición.</w:t>
      </w:r>
    </w:p>
    <w:p w14:paraId="5064BB42" w14:textId="77777777" w:rsidR="005F0D91" w:rsidRPr="00B25BED" w:rsidRDefault="005F0D91" w:rsidP="005F0D9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BEA4BEE" w14:textId="34691652" w:rsidR="005F0D91" w:rsidRPr="00B25BED" w:rsidRDefault="005F0D91" w:rsidP="005F0D91">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Tahoma"/>
          <w:color w:val="000000"/>
          <w:lang w:val="es-ES"/>
        </w:rPr>
        <w:t xml:space="preserve">En este sentido, </w:t>
      </w:r>
      <w:r w:rsidRPr="00B25BED">
        <w:rPr>
          <w:rFonts w:ascii="Palatino Linotype" w:eastAsia="MS Mincho" w:hAnsi="Palatino Linotype" w:cstheme="majorBidi"/>
          <w:lang w:val="es-ES_tradnl" w:eastAsia="es-ES"/>
        </w:rPr>
        <w:t>es importante dejar en claro lo que debe entenderse por derecho de petición y por derecho de acceso a la información pública.</w:t>
      </w:r>
    </w:p>
    <w:p w14:paraId="077C1FF8" w14:textId="6DB1E4CF" w:rsidR="005F0D91" w:rsidRPr="00B25BED" w:rsidRDefault="005F0D91" w:rsidP="005F0D9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A97D826" w14:textId="332C5F5A" w:rsidR="005F0D91" w:rsidRPr="00B25BED" w:rsidRDefault="005F0D91" w:rsidP="005F0D91">
      <w:pPr>
        <w:pStyle w:val="Prrafodelista"/>
        <w:numPr>
          <w:ilvl w:val="0"/>
          <w:numId w:val="14"/>
        </w:numPr>
        <w:spacing w:line="360" w:lineRule="auto"/>
        <w:ind w:right="49"/>
        <w:jc w:val="both"/>
        <w:rPr>
          <w:rFonts w:ascii="Palatino Linotype" w:eastAsia="Calibri" w:hAnsi="Palatino Linotype" w:cs="Tahoma"/>
          <w:b/>
          <w:bCs/>
          <w:i/>
          <w:iCs/>
          <w:color w:val="000000"/>
          <w:lang w:val="es-ES"/>
        </w:rPr>
      </w:pPr>
      <w:r w:rsidRPr="00B25BED">
        <w:rPr>
          <w:rFonts w:ascii="Palatino Linotype" w:eastAsia="Calibri" w:hAnsi="Palatino Linotype" w:cs="Tahoma"/>
          <w:b/>
          <w:bCs/>
          <w:i/>
          <w:iCs/>
          <w:color w:val="000000"/>
          <w:lang w:val="es-ES"/>
        </w:rPr>
        <w:lastRenderedPageBreak/>
        <w:t>El derecho de petición y acceso a la información pública.</w:t>
      </w:r>
    </w:p>
    <w:p w14:paraId="36831819" w14:textId="77777777" w:rsidR="0032148F" w:rsidRPr="00B25BED" w:rsidRDefault="005F0D91" w:rsidP="0032148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Por lo </w:t>
      </w:r>
      <w:r w:rsidR="0032148F" w:rsidRPr="00B25BED">
        <w:rPr>
          <w:rFonts w:ascii="Palatino Linotype" w:eastAsia="MS Mincho" w:hAnsi="Palatino Linotype" w:cstheme="majorBidi"/>
          <w:lang w:val="es-ES_tradnl" w:eastAsia="es-ES"/>
        </w:rPr>
        <w:t>que respecta a la definición de derecho de petición, el Maestro Ignacio Burgoa Orihuela refiere: “…</w:t>
      </w:r>
      <w:r w:rsidR="0032148F" w:rsidRPr="00B25BED">
        <w:rPr>
          <w:rFonts w:ascii="Palatino Linotype" w:eastAsia="MS Mincho" w:hAnsi="Palatino Linotype" w:cstheme="majorBidi"/>
          <w:i/>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0032148F" w:rsidRPr="00B25BED">
        <w:rPr>
          <w:rStyle w:val="Refdenotaalpie"/>
          <w:rFonts w:ascii="Palatino Linotype" w:eastAsia="MS Mincho" w:hAnsi="Palatino Linotype" w:cstheme="majorBidi"/>
          <w:i/>
          <w:lang w:val="es-ES_tradnl" w:eastAsia="es-ES"/>
        </w:rPr>
        <w:footnoteReference w:id="6"/>
      </w:r>
      <w:r w:rsidR="0032148F" w:rsidRPr="00B25BED">
        <w:rPr>
          <w:rFonts w:ascii="Palatino Linotype" w:eastAsia="MS Mincho" w:hAnsi="Palatino Linotype" w:cstheme="majorBidi"/>
          <w:i/>
          <w:lang w:val="es-ES_tradnl" w:eastAsia="es-ES"/>
        </w:rPr>
        <w:t xml:space="preserve">  “.</w:t>
      </w:r>
    </w:p>
    <w:p w14:paraId="6156C2F8" w14:textId="77777777" w:rsidR="0032148F" w:rsidRPr="00B25BED" w:rsidRDefault="0032148F" w:rsidP="0032148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829E07C" w14:textId="77777777" w:rsidR="0032148F" w:rsidRPr="00B25BED" w:rsidRDefault="0032148F" w:rsidP="0032148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Tahoma"/>
          <w:color w:val="000000"/>
          <w:lang w:val="es-ES"/>
        </w:rPr>
        <w:t xml:space="preserve">Por su parte, </w:t>
      </w:r>
      <w:r w:rsidRPr="00B25BED">
        <w:rPr>
          <w:rFonts w:ascii="Palatino Linotype" w:eastAsia="MS Mincho" w:hAnsi="Palatino Linotype" w:cstheme="majorBidi"/>
          <w:lang w:val="es-ES_tradnl" w:eastAsia="es-ES"/>
        </w:rPr>
        <w:t xml:space="preserve">David Cienfuegos Salgado, concibe al derecho de petición como </w:t>
      </w:r>
      <w:r w:rsidRPr="00B25BED">
        <w:rPr>
          <w:rFonts w:ascii="Palatino Linotype" w:eastAsia="MS Mincho" w:hAnsi="Palatino Linotype" w:cstheme="majorBidi"/>
          <w:i/>
          <w:lang w:val="es-ES_tradnl" w:eastAsia="es-ES"/>
        </w:rPr>
        <w:t xml:space="preserve">“el derecho de toda persona a ser escuchado por quienes ejercen el poder público. </w:t>
      </w:r>
      <w:r w:rsidRPr="00B25BED">
        <w:rPr>
          <w:rStyle w:val="Refdenotaalpie"/>
          <w:rFonts w:ascii="Palatino Linotype" w:eastAsia="MS Mincho" w:hAnsi="Palatino Linotype" w:cstheme="majorBidi"/>
          <w:i/>
          <w:lang w:val="es-ES_tradnl" w:eastAsia="es-ES"/>
        </w:rPr>
        <w:footnoteReference w:id="7"/>
      </w:r>
      <w:r w:rsidRPr="00B25BED">
        <w:rPr>
          <w:rFonts w:ascii="Palatino Linotype" w:eastAsia="MS Mincho" w:hAnsi="Palatino Linotype" w:cstheme="majorBidi"/>
          <w:i/>
          <w:lang w:val="es-ES_tradnl" w:eastAsia="es-ES"/>
        </w:rPr>
        <w:t>” (Sic)</w:t>
      </w:r>
    </w:p>
    <w:p w14:paraId="2995DEEC" w14:textId="77777777" w:rsidR="0032148F" w:rsidRPr="00B25BED" w:rsidRDefault="0032148F" w:rsidP="0032148F">
      <w:pPr>
        <w:rPr>
          <w:rFonts w:ascii="Palatino Linotype" w:eastAsia="Calibri" w:hAnsi="Palatino Linotype" w:cs="Tahoma"/>
          <w:color w:val="000000"/>
          <w:lang w:val="es-ES"/>
        </w:rPr>
      </w:pPr>
    </w:p>
    <w:p w14:paraId="591FC88B" w14:textId="77777777" w:rsidR="0032148F" w:rsidRPr="00B25BED" w:rsidRDefault="0032148F" w:rsidP="0032148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Tahoma"/>
          <w:color w:val="000000"/>
          <w:lang w:val="es-ES"/>
        </w:rPr>
        <w:t xml:space="preserve">Luego entonces, </w:t>
      </w:r>
      <w:r w:rsidRPr="00B25BED">
        <w:rPr>
          <w:rFonts w:ascii="Palatino Linotype" w:eastAsia="MS Mincho" w:hAnsi="Palatino Linotype" w:cstheme="majorBidi"/>
          <w:lang w:val="es-ES_tradnl" w:eastAsia="es-ES"/>
        </w:rPr>
        <w:t xml:space="preserve">para diferenciar el derecho de petición al derecho de acceso a la información, resulta conducente señalar que José Guadalupe Robles, conceptualiza el derecho a la información como </w:t>
      </w:r>
      <w:r w:rsidRPr="00B25BED">
        <w:rPr>
          <w:rFonts w:ascii="Palatino Linotype" w:eastAsia="MS Mincho" w:hAnsi="Palatino Linotype" w:cstheme="majorBidi"/>
          <w:i/>
          <w:lang w:val="es-ES_tradnl" w:eastAsia="es-ES"/>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B25BED">
        <w:rPr>
          <w:rStyle w:val="Refdenotaalpie"/>
          <w:rFonts w:ascii="Palatino Linotype" w:eastAsia="MS Mincho" w:hAnsi="Palatino Linotype" w:cstheme="majorBidi"/>
          <w:i/>
          <w:lang w:val="es-ES_tradnl" w:eastAsia="es-ES"/>
        </w:rPr>
        <w:footnoteReference w:id="8"/>
      </w:r>
      <w:r w:rsidRPr="00B25BED">
        <w:rPr>
          <w:rFonts w:ascii="Palatino Linotype" w:eastAsia="MS Mincho" w:hAnsi="Palatino Linotype" w:cstheme="majorBidi"/>
          <w:i/>
          <w:lang w:val="es-ES_tradnl" w:eastAsia="es-ES"/>
        </w:rPr>
        <w:t>“(Sic)</w:t>
      </w:r>
    </w:p>
    <w:p w14:paraId="212B0CCB" w14:textId="77777777" w:rsidR="0032148F" w:rsidRPr="00B25BED" w:rsidRDefault="0032148F" w:rsidP="0032148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A8D50EA" w14:textId="77777777" w:rsidR="0032148F" w:rsidRPr="00B25BED" w:rsidRDefault="0032148F" w:rsidP="0032148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Tahoma"/>
          <w:color w:val="000000"/>
          <w:lang w:val="es-ES"/>
        </w:rPr>
        <w:t xml:space="preserve">Además, </w:t>
      </w:r>
      <w:r w:rsidRPr="00B25BED">
        <w:rPr>
          <w:rFonts w:ascii="Palatino Linotype" w:eastAsia="MS Mincho" w:hAnsi="Palatino Linotype" w:cstheme="majorBidi"/>
          <w:lang w:val="es-ES_tradnl" w:eastAsia="es-ES"/>
        </w:rPr>
        <w:t xml:space="preserve">el derecho a la información constituye una prerrogativa a acceder a documentación en poder de los Sujetos Obligados, no así a realizar cuestionamientos, o manifestaciones subjetivas. Sirve de apoyo a lo anterior la definición de derecho a la </w:t>
      </w:r>
      <w:r w:rsidRPr="00B25BED">
        <w:rPr>
          <w:rFonts w:ascii="Palatino Linotype" w:eastAsia="MS Mincho" w:hAnsi="Palatino Linotype" w:cstheme="majorBidi"/>
          <w:lang w:val="es-ES_tradnl" w:eastAsia="es-ES"/>
        </w:rPr>
        <w:lastRenderedPageBreak/>
        <w:t>información de Ernesto Villanueva Villanueva que dice:</w:t>
      </w:r>
      <w:r w:rsidRPr="00B25BED">
        <w:rPr>
          <w:rFonts w:ascii="Palatino Linotype" w:eastAsia="MS Mincho" w:hAnsi="Palatino Linotype" w:cstheme="majorBidi"/>
          <w:i/>
          <w:lang w:val="es-ES_tradnl" w:eastAsia="es-ES"/>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B25BED">
        <w:rPr>
          <w:rStyle w:val="Refdenotaalpie"/>
          <w:rFonts w:ascii="Palatino Linotype" w:eastAsia="MS Mincho" w:hAnsi="Palatino Linotype" w:cstheme="majorBidi"/>
          <w:i/>
          <w:lang w:val="es-ES_tradnl" w:eastAsia="es-ES"/>
        </w:rPr>
        <w:footnoteReference w:id="9"/>
      </w:r>
      <w:r w:rsidRPr="00B25BED">
        <w:rPr>
          <w:rFonts w:ascii="Palatino Linotype" w:eastAsia="MS Mincho" w:hAnsi="Palatino Linotype" w:cstheme="majorBidi"/>
          <w:i/>
          <w:lang w:val="es-ES_tradnl" w:eastAsia="es-ES"/>
        </w:rPr>
        <w:t xml:space="preserve">” (Sic) </w:t>
      </w:r>
    </w:p>
    <w:p w14:paraId="4A661E10" w14:textId="77777777" w:rsidR="0032148F" w:rsidRPr="00B25BED" w:rsidRDefault="0032148F" w:rsidP="0032148F">
      <w:pPr>
        <w:rPr>
          <w:rFonts w:ascii="Palatino Linotype" w:eastAsia="Calibri" w:hAnsi="Palatino Linotype" w:cs="Tahoma"/>
          <w:color w:val="000000"/>
          <w:lang w:val="es-ES"/>
        </w:rPr>
      </w:pPr>
    </w:p>
    <w:p w14:paraId="1615E0FA" w14:textId="1C66E412" w:rsidR="006979C4" w:rsidRPr="00B25BED" w:rsidRDefault="006979C4" w:rsidP="006979C4">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hAnsi="Palatino Linotype"/>
        </w:rPr>
        <w:t xml:space="preserve">Al respecto, es conveniente señalar que los Sujetos Obligados, no están constreñidos a generar documentos </w:t>
      </w:r>
      <w:r w:rsidRPr="00B25BED">
        <w:rPr>
          <w:rFonts w:ascii="Palatino Linotype" w:hAnsi="Palatino Linotype"/>
          <w:b/>
          <w:i/>
        </w:rPr>
        <w:t>ad hoc</w:t>
      </w:r>
      <w:r w:rsidRPr="00B25BED">
        <w:rPr>
          <w:rFonts w:ascii="Palatino Linotype" w:hAnsi="Palatino Linotype"/>
        </w:rPr>
        <w:t>, para responder a las solicitud</w:t>
      </w:r>
      <w:r w:rsidR="00B420FF" w:rsidRPr="00B25BED">
        <w:rPr>
          <w:rFonts w:ascii="Palatino Linotype" w:hAnsi="Palatino Linotype"/>
        </w:rPr>
        <w:t>es</w:t>
      </w:r>
      <w:r w:rsidRPr="00B25BED">
        <w:rPr>
          <w:rFonts w:ascii="Palatino Linotype" w:hAnsi="Palatino Linotype"/>
        </w:rPr>
        <w:t xml:space="preserve"> de información que les sean formuladas.</w:t>
      </w:r>
    </w:p>
    <w:p w14:paraId="60649A1B" w14:textId="77777777" w:rsidR="006979C4" w:rsidRPr="00B25BED" w:rsidRDefault="006979C4" w:rsidP="006979C4">
      <w:pPr>
        <w:rPr>
          <w:rFonts w:ascii="Palatino Linotype" w:eastAsia="Calibri" w:hAnsi="Palatino Linotype" w:cs="Tahoma"/>
          <w:color w:val="000000"/>
          <w:lang w:val="es-ES"/>
        </w:rPr>
      </w:pPr>
    </w:p>
    <w:p w14:paraId="311BB961" w14:textId="4A1B5843" w:rsidR="0032148F" w:rsidRPr="00B25BED" w:rsidRDefault="0032148F" w:rsidP="0032148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Tahoma"/>
          <w:color w:val="000000"/>
          <w:lang w:val="es-ES"/>
        </w:rPr>
        <w:t xml:space="preserve">Ahora bien, </w:t>
      </w:r>
      <w:r w:rsidRPr="00B25BED">
        <w:rPr>
          <w:rFonts w:ascii="Palatino Linotype" w:eastAsia="MS Mincho" w:hAnsi="Palatino Linotype" w:cstheme="majorBidi"/>
          <w:lang w:val="es-ES_tradnl" w:eastAsia="es-ES"/>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C8B101C" w14:textId="77777777" w:rsidR="0032148F" w:rsidRPr="00B25BED" w:rsidRDefault="0032148F" w:rsidP="00B25BED">
      <w:pPr>
        <w:tabs>
          <w:tab w:val="left" w:pos="8222"/>
        </w:tabs>
        <w:ind w:left="567" w:right="1134"/>
        <w:contextualSpacing/>
        <w:jc w:val="center"/>
        <w:rPr>
          <w:rFonts w:ascii="Palatino Linotype" w:eastAsia="MS Mincho" w:hAnsi="Palatino Linotype" w:cstheme="majorBidi"/>
          <w:b/>
          <w:i/>
          <w:sz w:val="22"/>
          <w:lang w:val="es-ES_tradnl" w:eastAsia="es-ES"/>
        </w:rPr>
      </w:pPr>
      <w:r w:rsidRPr="00B25BED">
        <w:rPr>
          <w:rFonts w:ascii="Palatino Linotype" w:eastAsia="MS Mincho" w:hAnsi="Palatino Linotype" w:cstheme="majorBidi"/>
          <w:b/>
          <w:i/>
          <w:sz w:val="22"/>
          <w:lang w:val="es-ES_tradnl" w:eastAsia="es-ES"/>
        </w:rPr>
        <w:t>“CRITERIO 0002-11</w:t>
      </w:r>
    </w:p>
    <w:p w14:paraId="0DF5D44C" w14:textId="77777777" w:rsidR="0032148F" w:rsidRPr="00B25BED" w:rsidRDefault="0032148F" w:rsidP="00B25BED">
      <w:pPr>
        <w:tabs>
          <w:tab w:val="left" w:pos="8222"/>
        </w:tabs>
        <w:ind w:left="567" w:right="1134"/>
        <w:contextualSpacing/>
        <w:jc w:val="both"/>
        <w:rPr>
          <w:rFonts w:ascii="Palatino Linotype" w:eastAsia="MS Mincho" w:hAnsi="Palatino Linotype" w:cstheme="majorBidi"/>
          <w:i/>
          <w:sz w:val="22"/>
          <w:lang w:val="es-ES_tradnl" w:eastAsia="es-ES"/>
        </w:rPr>
      </w:pPr>
      <w:r w:rsidRPr="00B25BED">
        <w:rPr>
          <w:rFonts w:ascii="Palatino Linotype" w:eastAsia="MS Mincho" w:hAnsi="Palatino Linotype" w:cstheme="majorBidi"/>
          <w:b/>
          <w:i/>
          <w:sz w:val="22"/>
          <w:lang w:val="es-ES_tradnl" w:eastAsia="es-ES"/>
        </w:rPr>
        <w:t>INFORMACIÓN PÚBLICA, CONCEPTO DE, EN MATERIA DE TRANSPARENCIA. INTERPRETACIÓN TEMÁTICA DE LOS ARTÍCULOS 2, FRACCIÓN V, XV, Y XVI, 3, 4, 11 Y 41.</w:t>
      </w:r>
      <w:r w:rsidRPr="00B25BED">
        <w:rPr>
          <w:rFonts w:ascii="Palatino Linotype" w:eastAsia="MS Mincho" w:hAnsi="Palatino Linotype" w:cstheme="majorBidi"/>
          <w:i/>
          <w:sz w:val="22"/>
          <w:lang w:val="es-ES_tradnl"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ADE1E15" w14:textId="77777777" w:rsidR="0032148F" w:rsidRPr="00B25BED" w:rsidRDefault="0032148F" w:rsidP="00B25BED">
      <w:pPr>
        <w:tabs>
          <w:tab w:val="left" w:pos="8222"/>
        </w:tabs>
        <w:ind w:left="567" w:right="1134"/>
        <w:contextualSpacing/>
        <w:jc w:val="both"/>
        <w:rPr>
          <w:rFonts w:ascii="Palatino Linotype" w:eastAsia="MS Mincho" w:hAnsi="Palatino Linotype" w:cstheme="majorBidi"/>
          <w:i/>
          <w:sz w:val="22"/>
          <w:lang w:val="es-ES_tradnl" w:eastAsia="es-ES"/>
        </w:rPr>
      </w:pPr>
      <w:r w:rsidRPr="00B25BED">
        <w:rPr>
          <w:rFonts w:ascii="Palatino Linotype" w:eastAsia="MS Mincho" w:hAnsi="Palatino Linotype" w:cstheme="majorBidi"/>
          <w:i/>
          <w:sz w:val="22"/>
          <w:lang w:val="es-ES_tradnl" w:eastAsia="es-ES"/>
        </w:rPr>
        <w:t>En consecuencia el acceso a la información se refiere a que se cumplan cualquiera de los siguientes tres supuestos:</w:t>
      </w:r>
    </w:p>
    <w:p w14:paraId="2634E77E" w14:textId="77777777" w:rsidR="0032148F" w:rsidRPr="00B25BED" w:rsidRDefault="0032148F" w:rsidP="00B25BED">
      <w:pPr>
        <w:tabs>
          <w:tab w:val="left" w:pos="8222"/>
        </w:tabs>
        <w:ind w:left="567" w:right="1134"/>
        <w:contextualSpacing/>
        <w:jc w:val="both"/>
        <w:rPr>
          <w:rFonts w:ascii="Palatino Linotype" w:eastAsia="MS Mincho" w:hAnsi="Palatino Linotype" w:cstheme="majorBidi"/>
          <w:i/>
          <w:sz w:val="22"/>
          <w:lang w:val="es-ES_tradnl" w:eastAsia="es-ES"/>
        </w:rPr>
      </w:pPr>
    </w:p>
    <w:p w14:paraId="56A19AC6" w14:textId="77777777" w:rsidR="0032148F" w:rsidRPr="00B25BED" w:rsidRDefault="0032148F" w:rsidP="00B25BED">
      <w:pPr>
        <w:tabs>
          <w:tab w:val="left" w:pos="8222"/>
        </w:tabs>
        <w:ind w:left="567" w:right="1134"/>
        <w:contextualSpacing/>
        <w:jc w:val="both"/>
        <w:rPr>
          <w:rFonts w:ascii="Palatino Linotype" w:eastAsia="MS Mincho" w:hAnsi="Palatino Linotype" w:cstheme="majorBidi"/>
          <w:i/>
          <w:sz w:val="22"/>
          <w:lang w:val="es-ES_tradnl" w:eastAsia="es-ES"/>
        </w:rPr>
      </w:pPr>
      <w:r w:rsidRPr="00B25BED">
        <w:rPr>
          <w:rFonts w:ascii="Palatino Linotype" w:eastAsia="MS Mincho" w:hAnsi="Palatino Linotype" w:cstheme="majorBidi"/>
          <w:i/>
          <w:sz w:val="22"/>
          <w:lang w:val="es-ES_tradnl" w:eastAsia="es-ES"/>
        </w:rPr>
        <w:t>Que se trate de información registrada en cualquier soporte documental, que en ejercicio de las atribuciones conferidas, sea generada por los Sujetos Obligados;</w:t>
      </w:r>
    </w:p>
    <w:p w14:paraId="10BB7B25" w14:textId="77777777" w:rsidR="0032148F" w:rsidRPr="00B25BED" w:rsidRDefault="0032148F" w:rsidP="00B25BED">
      <w:pPr>
        <w:tabs>
          <w:tab w:val="left" w:pos="8222"/>
        </w:tabs>
        <w:ind w:left="567" w:right="1134"/>
        <w:contextualSpacing/>
        <w:jc w:val="both"/>
        <w:rPr>
          <w:rFonts w:ascii="Palatino Linotype" w:eastAsia="MS Mincho" w:hAnsi="Palatino Linotype" w:cstheme="majorBidi"/>
          <w:i/>
          <w:sz w:val="22"/>
          <w:lang w:val="es-ES_tradnl" w:eastAsia="es-ES"/>
        </w:rPr>
      </w:pPr>
    </w:p>
    <w:p w14:paraId="036FEC6C" w14:textId="77777777" w:rsidR="0032148F" w:rsidRPr="00B25BED" w:rsidRDefault="0032148F" w:rsidP="00B25BED">
      <w:pPr>
        <w:tabs>
          <w:tab w:val="left" w:pos="8222"/>
        </w:tabs>
        <w:ind w:left="567" w:right="1134"/>
        <w:contextualSpacing/>
        <w:jc w:val="both"/>
        <w:rPr>
          <w:rFonts w:ascii="Palatino Linotype" w:eastAsia="MS Mincho" w:hAnsi="Palatino Linotype" w:cstheme="majorBidi"/>
          <w:i/>
          <w:sz w:val="22"/>
          <w:lang w:val="es-ES_tradnl" w:eastAsia="es-ES"/>
        </w:rPr>
      </w:pPr>
      <w:r w:rsidRPr="00B25BED">
        <w:rPr>
          <w:rFonts w:ascii="Palatino Linotype" w:eastAsia="MS Mincho" w:hAnsi="Palatino Linotype" w:cstheme="majorBidi"/>
          <w:i/>
          <w:sz w:val="22"/>
          <w:lang w:val="es-ES_tradnl" w:eastAsia="es-ES"/>
        </w:rPr>
        <w:lastRenderedPageBreak/>
        <w:t>Que se trate de información registrada en cualquier soporte documental, que en ejercicio de las atribuciones conferidas, sea administrada por los Sujetos Obligados, y</w:t>
      </w:r>
    </w:p>
    <w:p w14:paraId="77CDA4A0" w14:textId="77777777" w:rsidR="0032148F" w:rsidRPr="00B25BED" w:rsidRDefault="0032148F" w:rsidP="00B25BED">
      <w:pPr>
        <w:tabs>
          <w:tab w:val="left" w:pos="8222"/>
        </w:tabs>
        <w:ind w:left="567" w:right="1134"/>
        <w:contextualSpacing/>
        <w:jc w:val="both"/>
        <w:rPr>
          <w:rFonts w:ascii="Palatino Linotype" w:eastAsia="MS Mincho" w:hAnsi="Palatino Linotype" w:cstheme="majorBidi"/>
          <w:i/>
          <w:sz w:val="22"/>
          <w:lang w:val="es-ES_tradnl" w:eastAsia="es-ES"/>
        </w:rPr>
      </w:pPr>
    </w:p>
    <w:p w14:paraId="4A19599F" w14:textId="2DC1250C" w:rsidR="0032148F" w:rsidRPr="00B25BED" w:rsidRDefault="0032148F" w:rsidP="00B25BED">
      <w:pPr>
        <w:ind w:left="567" w:right="1134"/>
        <w:contextualSpacing/>
        <w:jc w:val="both"/>
        <w:rPr>
          <w:rFonts w:ascii="Palatino Linotype" w:eastAsia="Calibri" w:hAnsi="Palatino Linotype" w:cs="Tahoma"/>
          <w:color w:val="000000"/>
          <w:sz w:val="22"/>
          <w:lang w:val="es-ES"/>
        </w:rPr>
      </w:pPr>
      <w:r w:rsidRPr="00B25BED">
        <w:rPr>
          <w:rFonts w:ascii="Palatino Linotype" w:eastAsia="MS Mincho" w:hAnsi="Palatino Linotype" w:cstheme="majorBidi"/>
          <w:i/>
          <w:sz w:val="22"/>
          <w:lang w:val="es-ES_tradnl" w:eastAsia="es-ES"/>
        </w:rPr>
        <w:t>Que se trate de información registrada en cualquier soporte documental, que en ejercicio de las atribuciones conferidas, se encuentre en posesión de los Sujetos Obligados</w:t>
      </w:r>
      <w:r w:rsidRPr="00B25BED">
        <w:rPr>
          <w:rFonts w:ascii="Palatino Linotype" w:eastAsia="MS Mincho" w:hAnsi="Palatino Linotype" w:cstheme="majorBidi"/>
          <w:sz w:val="22"/>
          <w:lang w:val="es-ES_tradnl" w:eastAsia="es-ES"/>
        </w:rPr>
        <w:t>.”</w:t>
      </w:r>
    </w:p>
    <w:p w14:paraId="374426A3" w14:textId="77777777" w:rsidR="0032148F" w:rsidRPr="00B25BED" w:rsidRDefault="0032148F" w:rsidP="0032148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765E6F0" w14:textId="3C895851" w:rsidR="0032148F" w:rsidRPr="00B25BED" w:rsidRDefault="0032148F" w:rsidP="0032148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Tahoma"/>
          <w:color w:val="000000"/>
          <w:lang w:val="es-ES"/>
        </w:rPr>
        <w:t xml:space="preserve">De </w:t>
      </w:r>
      <w:r w:rsidRPr="00B25BED">
        <w:rPr>
          <w:rFonts w:ascii="Palatino Linotype" w:eastAsia="MS Mincho" w:hAnsi="Palatino Linotype" w:cstheme="majorBidi"/>
          <w:lang w:val="es-ES_tradnl" w:eastAsia="es-ES"/>
        </w:rPr>
        <w:t>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w:t>
      </w:r>
    </w:p>
    <w:p w14:paraId="7C0DF7CF" w14:textId="77777777" w:rsidR="006979C4" w:rsidRPr="00B25BED" w:rsidRDefault="006979C4" w:rsidP="006979C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3EBFA49" w14:textId="32483AFD" w:rsidR="006979C4" w:rsidRPr="00B25BED" w:rsidRDefault="006979C4" w:rsidP="006979C4">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hAnsi="Palatino Linotype" w:cs="Arial"/>
        </w:rPr>
        <w:t>Así las cosas, se re</w:t>
      </w:r>
      <w:r w:rsidR="00B420FF" w:rsidRPr="00B25BED">
        <w:rPr>
          <w:rFonts w:ascii="Palatino Linotype" w:hAnsi="Palatino Linotype" w:cs="Arial"/>
        </w:rPr>
        <w:t>i</w:t>
      </w:r>
      <w:r w:rsidRPr="00B25BED">
        <w:rPr>
          <w:rFonts w:ascii="Palatino Linotype" w:hAnsi="Palatino Linotype" w:cs="Arial"/>
        </w:rPr>
        <w:t>tera que en la solicitud de información presentada en el</w:t>
      </w:r>
      <w:r w:rsidRPr="00B25BED">
        <w:rPr>
          <w:rFonts w:ascii="Palatino Linotype" w:hAnsi="Palatino Linotype" w:cs="Arial"/>
          <w:b/>
        </w:rPr>
        <w:t xml:space="preserve"> SAIMEX,</w:t>
      </w:r>
      <w:r w:rsidRPr="00B25BED">
        <w:rPr>
          <w:rFonts w:ascii="Palatino Linotype" w:hAnsi="Palatino Linotype" w:cs="Arial"/>
        </w:rPr>
        <w:t xml:space="preserve"> </w:t>
      </w:r>
      <w:r w:rsidRPr="00B25BED">
        <w:rPr>
          <w:rFonts w:ascii="Palatino Linotype" w:hAnsi="Palatino Linotype" w:cs="Arial"/>
          <w:bCs/>
        </w:rPr>
        <w:t xml:space="preserve">el </w:t>
      </w:r>
      <w:r w:rsidRPr="00B25BED">
        <w:rPr>
          <w:rFonts w:ascii="Palatino Linotype" w:hAnsi="Palatino Linotype" w:cs="Arial"/>
          <w:b/>
        </w:rPr>
        <w:t>Recurrente</w:t>
      </w:r>
      <w:r w:rsidRPr="00B25BED">
        <w:rPr>
          <w:rFonts w:ascii="Palatino Linotype" w:hAnsi="Palatino Linotype" w:cs="Arial"/>
        </w:rPr>
        <w:t xml:space="preserve"> requirió una razón, o bien, un razonamiento por parte del</w:t>
      </w:r>
      <w:r w:rsidRPr="00B25BED">
        <w:rPr>
          <w:rFonts w:ascii="Palatino Linotype" w:hAnsi="Palatino Linotype" w:cs="Arial"/>
          <w:b/>
        </w:rPr>
        <w:t xml:space="preserve"> SUJETO OBLIGADO</w:t>
      </w:r>
      <w:r w:rsidRPr="00B25BED">
        <w:rPr>
          <w:rFonts w:ascii="Palatino Linotype" w:hAnsi="Palatino Linotype" w:cs="Arial"/>
        </w:rPr>
        <w:t>.</w:t>
      </w:r>
    </w:p>
    <w:p w14:paraId="4EED9B89" w14:textId="77777777" w:rsidR="006979C4" w:rsidRPr="00B25BED" w:rsidRDefault="006979C4" w:rsidP="006979C4">
      <w:pPr>
        <w:pStyle w:val="Prrafodelista"/>
        <w:rPr>
          <w:rFonts w:ascii="Palatino Linotype" w:hAnsi="Palatino Linotype" w:cs="Arial"/>
        </w:rPr>
      </w:pPr>
    </w:p>
    <w:p w14:paraId="2CCCB296" w14:textId="3C5C327D" w:rsidR="006979C4" w:rsidRPr="00B25BED" w:rsidRDefault="006979C4" w:rsidP="006979C4">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hAnsi="Palatino Linotype" w:cs="Arial"/>
        </w:rPr>
        <w:t>Por lo que, la entrega de una razón o un razonamiento por parte del</w:t>
      </w:r>
      <w:r w:rsidRPr="00B25BED">
        <w:rPr>
          <w:rFonts w:ascii="Palatino Linotype" w:hAnsi="Palatino Linotype" w:cs="Arial"/>
          <w:b/>
        </w:rPr>
        <w:t xml:space="preserve"> SUJETO OBLIGADO</w:t>
      </w:r>
      <w:r w:rsidRPr="00B25BED">
        <w:rPr>
          <w:rFonts w:ascii="Palatino Linotype" w:hAnsi="Palatino Linotype" w:cs="Arial"/>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 y no así, a través del ejercicio del derecho a acceder a información pública.</w:t>
      </w:r>
    </w:p>
    <w:p w14:paraId="2A88B004" w14:textId="77777777" w:rsidR="008A1EB7" w:rsidRPr="00B25BED" w:rsidRDefault="008A1EB7" w:rsidP="008A1EB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2C332FF" w14:textId="77777777" w:rsidR="008A1EB7" w:rsidRPr="00B25BED" w:rsidRDefault="008A1EB7" w:rsidP="008A1EB7">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hAnsi="Palatino Linotype" w:cs="Arial"/>
          <w:color w:val="000000"/>
        </w:rPr>
        <w:t xml:space="preserve">Entonces, al tratarse de un derecho de petición estamos en presencia de una consulta que se aleja del derecho de acceso a la información pública, actualizando lo dispuesto en el </w:t>
      </w:r>
      <w:r w:rsidRPr="00B25BED">
        <w:rPr>
          <w:rFonts w:ascii="Palatino Linotype" w:hAnsi="Palatino Linotype" w:cs="Arial"/>
          <w:color w:val="000000"/>
        </w:rPr>
        <w:lastRenderedPageBreak/>
        <w:t xml:space="preserve">artículo 191 fracción VI </w:t>
      </w:r>
      <w:r w:rsidRPr="00B25BED">
        <w:rPr>
          <w:rFonts w:ascii="Palatino Linotype" w:eastAsia="Calibri" w:hAnsi="Palatino Linotype" w:cs="Arial"/>
        </w:rPr>
        <w:t>de la Ley de Transparencia y Acceso a la Información Pública del Estado de México y Municipios, el cual dispone lo siguiente:</w:t>
      </w:r>
    </w:p>
    <w:p w14:paraId="1682A1C5" w14:textId="77777777" w:rsidR="008A1EB7" w:rsidRPr="00B25BED" w:rsidRDefault="008A1EB7" w:rsidP="00B25BED">
      <w:pPr>
        <w:pStyle w:val="Prrafodelista"/>
        <w:ind w:left="567" w:right="1134"/>
        <w:jc w:val="both"/>
        <w:rPr>
          <w:rFonts w:ascii="Palatino Linotype" w:hAnsi="Palatino Linotype"/>
          <w:i/>
          <w:sz w:val="22"/>
        </w:rPr>
      </w:pPr>
      <w:r w:rsidRPr="00B25BED">
        <w:rPr>
          <w:rFonts w:ascii="Palatino Linotype" w:hAnsi="Palatino Linotype"/>
          <w:b/>
          <w:bCs/>
          <w:i/>
          <w:sz w:val="22"/>
        </w:rPr>
        <w:t>“Artículo 191.</w:t>
      </w:r>
      <w:r w:rsidRPr="00B25BED">
        <w:rPr>
          <w:rFonts w:ascii="Palatino Linotype" w:hAnsi="Palatino Linotype"/>
          <w:i/>
          <w:sz w:val="22"/>
        </w:rPr>
        <w:t xml:space="preserve"> El recurso será desechado por improcedente cuando:</w:t>
      </w:r>
    </w:p>
    <w:p w14:paraId="2C84B213" w14:textId="77777777" w:rsidR="008A1EB7" w:rsidRPr="00B25BED" w:rsidRDefault="008A1EB7" w:rsidP="00B25BED">
      <w:pPr>
        <w:pStyle w:val="Prrafodelista"/>
        <w:ind w:left="567" w:right="1134"/>
        <w:jc w:val="both"/>
        <w:rPr>
          <w:rFonts w:ascii="Palatino Linotype" w:hAnsi="Palatino Linotype"/>
          <w:i/>
          <w:sz w:val="22"/>
        </w:rPr>
      </w:pPr>
      <w:r w:rsidRPr="00B25BED">
        <w:rPr>
          <w:rFonts w:ascii="Palatino Linotype" w:hAnsi="Palatino Linotype"/>
          <w:i/>
          <w:sz w:val="22"/>
        </w:rPr>
        <w:t xml:space="preserve">I. Sea extemporáneo por haber transcurrido el plazo establecido en la presente Ley, a partir de la respuesta; </w:t>
      </w:r>
    </w:p>
    <w:p w14:paraId="79B03C85" w14:textId="77777777" w:rsidR="008A1EB7" w:rsidRPr="00B25BED" w:rsidRDefault="008A1EB7" w:rsidP="00B25BED">
      <w:pPr>
        <w:pStyle w:val="Prrafodelista"/>
        <w:ind w:left="567" w:right="1134"/>
        <w:jc w:val="both"/>
        <w:rPr>
          <w:rFonts w:ascii="Palatino Linotype" w:hAnsi="Palatino Linotype"/>
          <w:i/>
          <w:sz w:val="22"/>
        </w:rPr>
      </w:pPr>
      <w:r w:rsidRPr="00B25BED">
        <w:rPr>
          <w:rFonts w:ascii="Palatino Linotype" w:hAnsi="Palatino Linotype"/>
          <w:i/>
          <w:sz w:val="22"/>
        </w:rPr>
        <w:t xml:space="preserve">II. Se esté tramitando ante el Poder Judicial de la Federación algún recurso o medio de defensa interpuesto por el recurrente; </w:t>
      </w:r>
    </w:p>
    <w:p w14:paraId="790EAE4D" w14:textId="77777777" w:rsidR="008A1EB7" w:rsidRPr="00B25BED" w:rsidRDefault="008A1EB7" w:rsidP="00B25BED">
      <w:pPr>
        <w:pStyle w:val="Prrafodelista"/>
        <w:ind w:left="567" w:right="1134"/>
        <w:jc w:val="both"/>
        <w:rPr>
          <w:rFonts w:ascii="Palatino Linotype" w:hAnsi="Palatino Linotype"/>
          <w:i/>
          <w:sz w:val="22"/>
        </w:rPr>
      </w:pPr>
      <w:r w:rsidRPr="00B25BED">
        <w:rPr>
          <w:rFonts w:ascii="Palatino Linotype" w:hAnsi="Palatino Linotype"/>
          <w:i/>
          <w:sz w:val="22"/>
        </w:rPr>
        <w:t xml:space="preserve">III. No actualice alguno de los supuestos previstos en la presente Ley; </w:t>
      </w:r>
    </w:p>
    <w:p w14:paraId="4341C712" w14:textId="77777777" w:rsidR="008A1EB7" w:rsidRPr="00B25BED" w:rsidRDefault="008A1EB7" w:rsidP="00B25BED">
      <w:pPr>
        <w:pStyle w:val="Prrafodelista"/>
        <w:ind w:left="567" w:right="1134"/>
        <w:jc w:val="both"/>
        <w:rPr>
          <w:rFonts w:ascii="Palatino Linotype" w:hAnsi="Palatino Linotype"/>
          <w:i/>
          <w:sz w:val="22"/>
        </w:rPr>
      </w:pPr>
      <w:r w:rsidRPr="00B25BED">
        <w:rPr>
          <w:rFonts w:ascii="Palatino Linotype" w:hAnsi="Palatino Linotype"/>
          <w:i/>
          <w:sz w:val="22"/>
        </w:rPr>
        <w:t xml:space="preserve">IV. No se haya desahogado la prevención en los términos establecidos en la presente Ley; </w:t>
      </w:r>
    </w:p>
    <w:p w14:paraId="4D7EC432" w14:textId="77777777" w:rsidR="008A1EB7" w:rsidRPr="00B25BED" w:rsidRDefault="008A1EB7" w:rsidP="00B25BED">
      <w:pPr>
        <w:pStyle w:val="Prrafodelista"/>
        <w:ind w:left="567" w:right="1134"/>
        <w:jc w:val="both"/>
        <w:rPr>
          <w:rFonts w:ascii="Palatino Linotype" w:hAnsi="Palatino Linotype"/>
          <w:i/>
          <w:sz w:val="22"/>
        </w:rPr>
      </w:pPr>
      <w:r w:rsidRPr="00B25BED">
        <w:rPr>
          <w:rFonts w:ascii="Palatino Linotype" w:hAnsi="Palatino Linotype"/>
          <w:i/>
          <w:sz w:val="22"/>
        </w:rPr>
        <w:t xml:space="preserve">V. Se impugne la veracidad de la información proporcionada; </w:t>
      </w:r>
    </w:p>
    <w:p w14:paraId="13399705" w14:textId="77777777" w:rsidR="008A1EB7" w:rsidRPr="00B25BED" w:rsidRDefault="008A1EB7" w:rsidP="00B25BED">
      <w:pPr>
        <w:pStyle w:val="Prrafodelista"/>
        <w:ind w:left="567" w:right="1134"/>
        <w:jc w:val="both"/>
        <w:rPr>
          <w:rFonts w:ascii="Palatino Linotype" w:hAnsi="Palatino Linotype"/>
          <w:b/>
          <w:i/>
          <w:sz w:val="22"/>
        </w:rPr>
      </w:pPr>
      <w:r w:rsidRPr="00B25BED">
        <w:rPr>
          <w:rFonts w:ascii="Palatino Linotype" w:hAnsi="Palatino Linotype"/>
          <w:b/>
          <w:i/>
          <w:sz w:val="22"/>
        </w:rPr>
        <w:t xml:space="preserve">VI. Se trate de una consulta, o trámite en específico; y </w:t>
      </w:r>
    </w:p>
    <w:p w14:paraId="7D327BF0" w14:textId="23636107" w:rsidR="008A1EB7" w:rsidRPr="00B25BED" w:rsidRDefault="008A1EB7" w:rsidP="00B25BED">
      <w:pPr>
        <w:pBdr>
          <w:top w:val="nil"/>
          <w:left w:val="nil"/>
          <w:bottom w:val="nil"/>
          <w:right w:val="nil"/>
          <w:between w:val="nil"/>
        </w:pBdr>
        <w:tabs>
          <w:tab w:val="left" w:pos="426"/>
        </w:tabs>
        <w:ind w:left="567" w:right="1134"/>
        <w:jc w:val="both"/>
        <w:rPr>
          <w:rFonts w:ascii="Palatino Linotype" w:eastAsia="Calibri" w:hAnsi="Palatino Linotype" w:cs="Arial"/>
          <w:sz w:val="22"/>
        </w:rPr>
      </w:pPr>
      <w:r w:rsidRPr="00B25BED">
        <w:rPr>
          <w:rFonts w:ascii="Palatino Linotype" w:hAnsi="Palatino Linotype"/>
          <w:i/>
          <w:sz w:val="22"/>
        </w:rPr>
        <w:t>VII. El recurrente amplíe su solicitud en el recurso de revisión, únicamente respecto de los nuevos contenidos.”</w:t>
      </w:r>
    </w:p>
    <w:p w14:paraId="14C9A319" w14:textId="77777777" w:rsidR="008A1EB7" w:rsidRPr="00B25BED" w:rsidRDefault="008A1EB7" w:rsidP="008A1EB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763A1DF" w14:textId="354E37C3" w:rsidR="008A1EB7" w:rsidRPr="00B25BED" w:rsidRDefault="008A1EB7" w:rsidP="008A1EB7">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Arial"/>
        </w:rPr>
        <w:t>La fracción VI del citado precepto legal, contempla la improcedencia del recurso de revisión cuando se trate de una consulta, lo cual se relaciona con la solicitud de acceso a la información públic</w:t>
      </w:r>
      <w:r w:rsidR="00B420FF" w:rsidRPr="00B25BED">
        <w:rPr>
          <w:rFonts w:ascii="Palatino Linotype" w:eastAsia="Palatino Linotype" w:hAnsi="Palatino Linotype" w:cs="Palatino Linotype"/>
          <w:color w:val="000000"/>
        </w:rPr>
        <w:t>a.</w:t>
      </w:r>
    </w:p>
    <w:p w14:paraId="224E8898" w14:textId="77777777" w:rsidR="0032148F" w:rsidRPr="00B25BED" w:rsidRDefault="0032148F" w:rsidP="0032148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9BA5D08" w14:textId="257B5ACA" w:rsidR="008A1EB7" w:rsidRPr="00B25BED" w:rsidRDefault="008A1EB7" w:rsidP="008A1EB7">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Arial"/>
        </w:rPr>
        <w:t>Sin embargo, al haber sido admitido el recurso de revisión, aún y cuando actualiza una causal de improcedencia, es necesario traer a contexto el artículo 192 fracción IV, de la multicitada Ley de Transparencia:</w:t>
      </w:r>
    </w:p>
    <w:p w14:paraId="54588B8F" w14:textId="77777777" w:rsidR="008A1EB7" w:rsidRPr="00B25BED" w:rsidRDefault="008A1EB7" w:rsidP="00B25BED">
      <w:pPr>
        <w:pStyle w:val="Prrafodelista"/>
        <w:tabs>
          <w:tab w:val="left" w:pos="567"/>
        </w:tabs>
        <w:ind w:left="567" w:right="822"/>
        <w:jc w:val="both"/>
        <w:rPr>
          <w:rFonts w:ascii="Palatino Linotype" w:eastAsia="Calibri" w:hAnsi="Palatino Linotype" w:cs="Arial"/>
          <w:i/>
        </w:rPr>
      </w:pPr>
      <w:r w:rsidRPr="00B25BED">
        <w:rPr>
          <w:rFonts w:ascii="Palatino Linotype" w:hAnsi="Palatino Linotype"/>
          <w:i/>
        </w:rPr>
        <w:t>“</w:t>
      </w:r>
      <w:r w:rsidRPr="00B25BED">
        <w:rPr>
          <w:rFonts w:ascii="Palatino Linotype" w:hAnsi="Palatino Linotype"/>
          <w:b/>
          <w:bCs/>
          <w:i/>
        </w:rPr>
        <w:t>Artículo 192.</w:t>
      </w:r>
      <w:r w:rsidRPr="00B25BED">
        <w:rPr>
          <w:rFonts w:ascii="Palatino Linotype" w:hAnsi="Palatino Linotype"/>
          <w:i/>
        </w:rPr>
        <w:t xml:space="preserve"> El recurso será sobreseído, en todo o en parte, cuando una vez admitido, se actualicen alguno de los siguientes supuestos:</w:t>
      </w:r>
    </w:p>
    <w:p w14:paraId="63EED6D2" w14:textId="77777777" w:rsidR="008A1EB7" w:rsidRPr="00B25BED" w:rsidRDefault="008A1EB7" w:rsidP="00B25BED">
      <w:pPr>
        <w:pStyle w:val="Prrafodelista"/>
        <w:tabs>
          <w:tab w:val="left" w:pos="851"/>
        </w:tabs>
        <w:ind w:left="567" w:right="616"/>
        <w:jc w:val="both"/>
        <w:rPr>
          <w:rFonts w:ascii="Palatino Linotype" w:hAnsi="Palatino Linotype"/>
          <w:i/>
        </w:rPr>
      </w:pPr>
      <w:r w:rsidRPr="00B25BED">
        <w:rPr>
          <w:rFonts w:ascii="Palatino Linotype" w:hAnsi="Palatino Linotype"/>
          <w:i/>
        </w:rPr>
        <w:t xml:space="preserve">I. El recurrente se desista expresamente del recurso; </w:t>
      </w:r>
    </w:p>
    <w:p w14:paraId="5CB42961" w14:textId="77777777" w:rsidR="008A1EB7" w:rsidRPr="00B25BED" w:rsidRDefault="008A1EB7" w:rsidP="00B25BED">
      <w:pPr>
        <w:pStyle w:val="Prrafodelista"/>
        <w:tabs>
          <w:tab w:val="left" w:pos="851"/>
        </w:tabs>
        <w:ind w:left="567" w:right="616"/>
        <w:jc w:val="both"/>
        <w:rPr>
          <w:rFonts w:ascii="Palatino Linotype" w:hAnsi="Palatino Linotype"/>
          <w:i/>
        </w:rPr>
      </w:pPr>
      <w:r w:rsidRPr="00B25BED">
        <w:rPr>
          <w:rFonts w:ascii="Palatino Linotype" w:hAnsi="Palatino Linotype"/>
          <w:i/>
        </w:rPr>
        <w:t xml:space="preserve">II. El recurrente fallezca o, tratándose de personas jurídicas colectivas, se disuelva; </w:t>
      </w:r>
    </w:p>
    <w:p w14:paraId="06A44815" w14:textId="77777777" w:rsidR="008A1EB7" w:rsidRPr="00B25BED" w:rsidRDefault="008A1EB7" w:rsidP="00B25BED">
      <w:pPr>
        <w:pStyle w:val="Prrafodelista"/>
        <w:tabs>
          <w:tab w:val="left" w:pos="851"/>
        </w:tabs>
        <w:ind w:left="567" w:right="616"/>
        <w:jc w:val="both"/>
        <w:rPr>
          <w:rFonts w:ascii="Palatino Linotype" w:hAnsi="Palatino Linotype"/>
          <w:i/>
        </w:rPr>
      </w:pPr>
      <w:r w:rsidRPr="00B25BED">
        <w:rPr>
          <w:rFonts w:ascii="Palatino Linotype" w:hAnsi="Palatino Linotype"/>
          <w:i/>
        </w:rPr>
        <w:t xml:space="preserve">III. El sujeto obligado responsable del acto lo modifique o revoque de tal manera que el recurso de revisión quede sin materia; </w:t>
      </w:r>
    </w:p>
    <w:p w14:paraId="676DF8EF" w14:textId="77777777" w:rsidR="008A1EB7" w:rsidRPr="00B25BED" w:rsidRDefault="008A1EB7" w:rsidP="00B25BED">
      <w:pPr>
        <w:pStyle w:val="Prrafodelista"/>
        <w:tabs>
          <w:tab w:val="left" w:pos="851"/>
        </w:tabs>
        <w:ind w:left="567" w:right="616"/>
        <w:jc w:val="both"/>
        <w:rPr>
          <w:rFonts w:ascii="Palatino Linotype" w:hAnsi="Palatino Linotype"/>
          <w:b/>
          <w:i/>
        </w:rPr>
      </w:pPr>
      <w:r w:rsidRPr="00B25BED">
        <w:rPr>
          <w:rFonts w:ascii="Palatino Linotype" w:hAnsi="Palatino Linotype"/>
          <w:b/>
          <w:i/>
        </w:rPr>
        <w:t xml:space="preserve">IV. Admitido el recurso de revisión, aparezca alguna causal de improcedencia en los términos de la presente Ley; y </w:t>
      </w:r>
    </w:p>
    <w:p w14:paraId="00612609" w14:textId="282E43FE" w:rsidR="008A1EB7" w:rsidRPr="00B25BED" w:rsidRDefault="008A1EB7" w:rsidP="00B25BED">
      <w:pPr>
        <w:pBdr>
          <w:top w:val="nil"/>
          <w:left w:val="nil"/>
          <w:bottom w:val="nil"/>
          <w:right w:val="nil"/>
          <w:between w:val="nil"/>
        </w:pBdr>
        <w:tabs>
          <w:tab w:val="left" w:pos="426"/>
          <w:tab w:val="left" w:pos="851"/>
        </w:tabs>
        <w:spacing w:line="360" w:lineRule="auto"/>
        <w:ind w:left="567" w:right="616"/>
        <w:jc w:val="both"/>
        <w:rPr>
          <w:rFonts w:ascii="Palatino Linotype" w:eastAsia="Palatino Linotype" w:hAnsi="Palatino Linotype" w:cs="Palatino Linotype"/>
          <w:color w:val="000000"/>
        </w:rPr>
      </w:pPr>
      <w:r w:rsidRPr="00B25BED">
        <w:rPr>
          <w:rFonts w:ascii="Palatino Linotype" w:hAnsi="Palatino Linotype"/>
          <w:i/>
        </w:rPr>
        <w:t>V. Cuando por cualquier motivo quede sin materia el recurso.</w:t>
      </w:r>
    </w:p>
    <w:p w14:paraId="29FCE8E9" w14:textId="77777777" w:rsidR="008A1EB7" w:rsidRPr="00B25BED" w:rsidRDefault="008A1EB7" w:rsidP="008A1EB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92CBF27" w14:textId="77777777" w:rsidR="008A1EB7" w:rsidRPr="00B25BED" w:rsidRDefault="008A1EB7" w:rsidP="008A1EB7">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Arial"/>
        </w:rPr>
        <w:lastRenderedPageBreak/>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14:paraId="37572928" w14:textId="77777777" w:rsidR="008A1EB7" w:rsidRPr="00B25BED" w:rsidRDefault="008A1EB7" w:rsidP="008A1EB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8FB97F7" w14:textId="0B9FC746" w:rsidR="008A1EB7" w:rsidRPr="00B25BED" w:rsidRDefault="008A1EB7" w:rsidP="008A1EB7">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hAnsi="Palatino Linotype" w:cs="Arial"/>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7F792AF8" w14:textId="77777777" w:rsidR="008A1EB7" w:rsidRPr="00B25BED" w:rsidRDefault="008A1EB7" w:rsidP="008A1EB7">
      <w:pPr>
        <w:ind w:left="567" w:right="567"/>
        <w:jc w:val="both"/>
        <w:rPr>
          <w:rFonts w:ascii="Palatino Linotype" w:hAnsi="Palatino Linotype" w:cs="Arial"/>
          <w:i/>
          <w:sz w:val="22"/>
        </w:rPr>
      </w:pPr>
      <w:r w:rsidRPr="00B25BED">
        <w:rPr>
          <w:rFonts w:ascii="Palatino Linotype" w:hAnsi="Palatino Linotype" w:cs="Arial"/>
          <w:i/>
          <w:sz w:val="22"/>
        </w:rPr>
        <w:t>“</w:t>
      </w:r>
      <w:r w:rsidRPr="00B25BED">
        <w:rPr>
          <w:rFonts w:ascii="Palatino Linotype" w:hAnsi="Palatino Linotype" w:cs="Arial"/>
          <w:b/>
          <w:i/>
          <w:sz w:val="22"/>
        </w:rPr>
        <w:t>SOBRESEIMIENTO EN EL JUICIO DE AMPARO DIRECTO. IMPIDE EL ESTUDIO DE LAS VIOLACIONES PROCESALES PLANTEADAS EN LOS CONCEPTOS DE VIOLACIÓN.</w:t>
      </w:r>
      <w:r w:rsidRPr="00B25BED">
        <w:rPr>
          <w:rFonts w:ascii="Palatino Linotype" w:hAnsi="Palatino Linotype" w:cs="Arial"/>
          <w:i/>
          <w:sz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66726A32" w14:textId="77777777" w:rsidR="008A1EB7" w:rsidRPr="00B25BED" w:rsidRDefault="008A1EB7" w:rsidP="008A1EB7">
      <w:pPr>
        <w:ind w:left="567" w:right="567"/>
        <w:jc w:val="both"/>
        <w:rPr>
          <w:rFonts w:ascii="Palatino Linotype" w:hAnsi="Palatino Linotype" w:cs="Arial"/>
          <w:i/>
          <w:sz w:val="22"/>
        </w:rPr>
      </w:pPr>
      <w:r w:rsidRPr="00B25BED">
        <w:rPr>
          <w:rFonts w:ascii="Palatino Linotype" w:hAnsi="Palatino Linotype" w:cs="Arial"/>
          <w:i/>
          <w:sz w:val="22"/>
        </w:rPr>
        <w:t>SEPTIMO TRIBUNAL COLEGIADO EN MATERIA CIVIL DEL PRIMER CIRCUITO</w:t>
      </w:r>
    </w:p>
    <w:p w14:paraId="077AF37A" w14:textId="1F965D4D" w:rsidR="008A1EB7" w:rsidRPr="00B25BED" w:rsidRDefault="008A1EB7" w:rsidP="008A1EB7">
      <w:pPr>
        <w:ind w:left="567" w:right="567"/>
        <w:jc w:val="both"/>
        <w:rPr>
          <w:rFonts w:ascii="Palatino Linotype" w:hAnsi="Palatino Linotype" w:cs="Arial"/>
          <w:i/>
          <w:sz w:val="22"/>
        </w:rPr>
      </w:pPr>
      <w:r w:rsidRPr="00B25BED">
        <w:rPr>
          <w:rFonts w:ascii="Palatino Linotype" w:hAnsi="Palatino Linotype" w:cs="Arial"/>
          <w:i/>
          <w:sz w:val="22"/>
        </w:rPr>
        <w:t>Amparo directo 699/2008. Mariana Leticia González Steele. 13 de noviembre de 2008. Unanimidad de votos. Ponente: Sara Judith Montalvo Trejo. Secretario: Arnulfo Mateos García.”</w:t>
      </w:r>
    </w:p>
    <w:p w14:paraId="12DB3B28" w14:textId="77777777" w:rsidR="008A1EB7" w:rsidRPr="00B25BED" w:rsidRDefault="008A1EB7" w:rsidP="008A1EB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4D0AA77" w14:textId="77777777" w:rsidR="008A1EB7" w:rsidRPr="00B25BED" w:rsidRDefault="008A1EB7" w:rsidP="008A1EB7">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Calibri" w:hAnsi="Palatino Linotype" w:cs="Arial"/>
        </w:rPr>
        <w:t xml:space="preserve">No obstante, a efecto de no vulnerar los derechos del </w:t>
      </w:r>
      <w:r w:rsidRPr="00B25BED">
        <w:rPr>
          <w:rFonts w:ascii="Palatino Linotype" w:eastAsia="Calibri" w:hAnsi="Palatino Linotype" w:cs="Arial"/>
          <w:b/>
          <w:bCs/>
        </w:rPr>
        <w:t>Recurrente</w:t>
      </w:r>
      <w:r w:rsidRPr="00B25BED">
        <w:rPr>
          <w:rFonts w:ascii="Palatino Linotype" w:eastAsia="Calibri" w:hAnsi="Palatino Linotype" w:cs="Arial"/>
        </w:rPr>
        <w:t>, este Órgano Garante deja a salvo sus derechos para que, si así lo desea, presente una nueva solicitud de acceso a la información requiriendo información que sea de su interés.</w:t>
      </w:r>
    </w:p>
    <w:p w14:paraId="20AB98A9" w14:textId="77777777" w:rsidR="008A1EB7" w:rsidRPr="00B25BED" w:rsidRDefault="008A1EB7" w:rsidP="008A1EB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FEAB22B" w14:textId="114DD6B6" w:rsidR="00DA12DB" w:rsidRPr="00B25BED" w:rsidRDefault="008A1EB7" w:rsidP="008A1EB7">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hAnsi="Palatino Linotype" w:cs="Arial"/>
        </w:rPr>
        <w:t xml:space="preserve">Bajo esas consideraciones, se afirma que en el recurso de revisión sujeto a estudio se actualiza la hipótesis jurídica citada, toda vez que quedó probado que la solicitud de acceso </w:t>
      </w:r>
      <w:r w:rsidRPr="00B25BED">
        <w:rPr>
          <w:rFonts w:ascii="Palatino Linotype" w:hAnsi="Palatino Linotype" w:cs="Arial"/>
        </w:rPr>
        <w:lastRenderedPageBreak/>
        <w:t xml:space="preserve">a la información que promovió el </w:t>
      </w:r>
      <w:r w:rsidRPr="00B25BED">
        <w:rPr>
          <w:rFonts w:ascii="Palatino Linotype" w:hAnsi="Palatino Linotype" w:cs="Arial"/>
          <w:b/>
          <w:bCs/>
        </w:rPr>
        <w:t>Recurrente</w:t>
      </w:r>
      <w:r w:rsidRPr="00B25BED">
        <w:rPr>
          <w:rFonts w:ascii="Palatino Linotype" w:hAnsi="Palatino Linotype" w:cs="Arial"/>
        </w:rPr>
        <w:t xml:space="preserve"> corresponde al ejercicio de un derecho de petición y no al derecho de acceso a la información pública.</w:t>
      </w:r>
    </w:p>
    <w:p w14:paraId="7232B558" w14:textId="77777777" w:rsidR="008A1EB7" w:rsidRPr="00B25BED" w:rsidRDefault="008A1EB7" w:rsidP="008A1EB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9C1D16C" w14:textId="471B122D" w:rsidR="00DA12DB" w:rsidRPr="00B25BED" w:rsidRDefault="00C47FEF">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color w:val="000000"/>
        </w:rPr>
        <w:t xml:space="preserve">Por lo anteriormente expuesto y fundado, este </w:t>
      </w:r>
      <w:r w:rsidRPr="00B25BED">
        <w:rPr>
          <w:rFonts w:ascii="Palatino Linotype" w:eastAsia="Palatino Linotype" w:hAnsi="Palatino Linotype" w:cs="Palatino Linotype"/>
          <w:b/>
          <w:color w:val="000000"/>
        </w:rPr>
        <w:t>ÓRGANO GARANTE</w:t>
      </w:r>
      <w:r w:rsidRPr="00B25BED">
        <w:rPr>
          <w:rFonts w:ascii="Palatino Linotype" w:eastAsia="Palatino Linotype" w:hAnsi="Palatino Linotype" w:cs="Palatino Linotype"/>
          <w:color w:val="000000"/>
        </w:rPr>
        <w:t xml:space="preserve"> emite los siguientes: ---------------------------------------------------------------------------------------------------------</w:t>
      </w:r>
      <w:r w:rsidR="001116BB">
        <w:rPr>
          <w:rFonts w:ascii="Palatino Linotype" w:eastAsia="Palatino Linotype" w:hAnsi="Palatino Linotype" w:cs="Palatino Linotype"/>
          <w:color w:val="000000"/>
        </w:rPr>
        <w:t>--</w:t>
      </w:r>
    </w:p>
    <w:p w14:paraId="5B8BDFBE" w14:textId="77777777" w:rsidR="00DA12DB" w:rsidRPr="00B25BED" w:rsidRDefault="00DA12DB">
      <w:pPr>
        <w:spacing w:line="360" w:lineRule="auto"/>
        <w:rPr>
          <w:rFonts w:ascii="Palatino Linotype" w:eastAsia="Palatino Linotype" w:hAnsi="Palatino Linotype" w:cs="Palatino Linotype"/>
          <w:color w:val="000000"/>
        </w:rPr>
      </w:pPr>
    </w:p>
    <w:p w14:paraId="20136F1E" w14:textId="77777777" w:rsidR="00DA12DB" w:rsidRPr="00B25BED" w:rsidRDefault="00C47FEF">
      <w:pPr>
        <w:pStyle w:val="Ttulo1"/>
        <w:spacing w:before="0" w:line="360" w:lineRule="auto"/>
        <w:jc w:val="center"/>
        <w:rPr>
          <w:b/>
          <w:color w:val="000000"/>
          <w:szCs w:val="24"/>
        </w:rPr>
      </w:pPr>
      <w:bookmarkStart w:id="10" w:name="_heading=h.17dp8vu" w:colFirst="0" w:colLast="0"/>
      <w:bookmarkEnd w:id="10"/>
      <w:r w:rsidRPr="00B25BED">
        <w:rPr>
          <w:b/>
          <w:color w:val="000000"/>
          <w:szCs w:val="24"/>
        </w:rPr>
        <w:t>R E S O L U T I V O S</w:t>
      </w:r>
    </w:p>
    <w:p w14:paraId="249A8560" w14:textId="77777777" w:rsidR="00DA12DB" w:rsidRPr="00B25BED" w:rsidRDefault="00DA12DB">
      <w:pPr>
        <w:spacing w:line="360" w:lineRule="auto"/>
        <w:jc w:val="both"/>
        <w:rPr>
          <w:rFonts w:ascii="Palatino Linotype" w:eastAsia="Palatino Linotype" w:hAnsi="Palatino Linotype" w:cs="Palatino Linotype"/>
          <w:b/>
        </w:rPr>
      </w:pPr>
    </w:p>
    <w:p w14:paraId="56FB858C" w14:textId="64AA7AD2" w:rsidR="00DA12DB" w:rsidRPr="00B25BED" w:rsidRDefault="00C47FEF">
      <w:pPr>
        <w:spacing w:line="360" w:lineRule="auto"/>
        <w:jc w:val="both"/>
        <w:rPr>
          <w:rFonts w:ascii="Palatino Linotype" w:eastAsia="Palatino Linotype" w:hAnsi="Palatino Linotype" w:cs="Palatino Linotype"/>
          <w:b/>
        </w:rPr>
      </w:pPr>
      <w:r w:rsidRPr="00B25BED">
        <w:rPr>
          <w:rFonts w:ascii="Palatino Linotype" w:eastAsia="Palatino Linotype" w:hAnsi="Palatino Linotype" w:cs="Palatino Linotype"/>
          <w:b/>
        </w:rPr>
        <w:t xml:space="preserve">PRIMERO. Se SOBRESEE </w:t>
      </w:r>
      <w:r w:rsidRPr="00B25BED">
        <w:rPr>
          <w:rFonts w:ascii="Palatino Linotype" w:eastAsia="Palatino Linotype" w:hAnsi="Palatino Linotype" w:cs="Palatino Linotype"/>
        </w:rPr>
        <w:t>el recurso de revisión número</w:t>
      </w:r>
      <w:r w:rsidR="008A1EB7" w:rsidRPr="00B25BED">
        <w:rPr>
          <w:rFonts w:ascii="Palatino Linotype" w:eastAsia="Palatino Linotype" w:hAnsi="Palatino Linotype" w:cs="Palatino Linotype"/>
          <w:b/>
        </w:rPr>
        <w:t xml:space="preserve"> 0</w:t>
      </w:r>
      <w:r w:rsidR="00DB51E0" w:rsidRPr="00B25BED">
        <w:rPr>
          <w:rFonts w:ascii="Palatino Linotype" w:eastAsia="Palatino Linotype" w:hAnsi="Palatino Linotype" w:cs="Palatino Linotype"/>
          <w:b/>
        </w:rPr>
        <w:t>2568</w:t>
      </w:r>
      <w:r w:rsidR="00CE2531" w:rsidRPr="00B25BED">
        <w:rPr>
          <w:rFonts w:ascii="Palatino Linotype" w:eastAsia="Palatino Linotype" w:hAnsi="Palatino Linotype" w:cs="Palatino Linotype"/>
          <w:b/>
        </w:rPr>
        <w:t>/INFOEM/IP/RR/2024</w:t>
      </w:r>
      <w:r w:rsidRPr="00B25BED">
        <w:rPr>
          <w:rFonts w:ascii="Palatino Linotype" w:eastAsia="Palatino Linotype" w:hAnsi="Palatino Linotype" w:cs="Palatino Linotype"/>
          <w:b/>
        </w:rPr>
        <w:t xml:space="preserve">, </w:t>
      </w:r>
      <w:r w:rsidRPr="00B25BED">
        <w:rPr>
          <w:rFonts w:ascii="Palatino Linotype" w:eastAsia="Palatino Linotype" w:hAnsi="Palatino Linotype" w:cs="Palatino Linotype"/>
        </w:rPr>
        <w:t xml:space="preserve">con fundamento en </w:t>
      </w:r>
      <w:r w:rsidR="00F06003" w:rsidRPr="00B25BED">
        <w:rPr>
          <w:rFonts w:ascii="Palatino Linotype" w:eastAsia="Palatino Linotype" w:hAnsi="Palatino Linotype" w:cs="Palatino Linotype"/>
        </w:rPr>
        <w:t>los</w:t>
      </w:r>
      <w:r w:rsidRPr="00B25BED">
        <w:rPr>
          <w:rFonts w:ascii="Palatino Linotype" w:eastAsia="Palatino Linotype" w:hAnsi="Palatino Linotype" w:cs="Palatino Linotype"/>
        </w:rPr>
        <w:t xml:space="preserve"> artículo</w:t>
      </w:r>
      <w:r w:rsidR="00F06003" w:rsidRPr="00B25BED">
        <w:rPr>
          <w:rFonts w:ascii="Palatino Linotype" w:eastAsia="Palatino Linotype" w:hAnsi="Palatino Linotype" w:cs="Palatino Linotype"/>
        </w:rPr>
        <w:t>s 191, fracción VI y,</w:t>
      </w:r>
      <w:r w:rsidRPr="00B25BED">
        <w:rPr>
          <w:rFonts w:ascii="Palatino Linotype" w:eastAsia="Palatino Linotype" w:hAnsi="Palatino Linotype" w:cs="Palatino Linotype"/>
        </w:rPr>
        <w:t xml:space="preserve"> 192, fracción </w:t>
      </w:r>
      <w:r w:rsidR="00F06003" w:rsidRPr="00B25BED">
        <w:rPr>
          <w:rFonts w:ascii="Palatino Linotype" w:eastAsia="Palatino Linotype" w:hAnsi="Palatino Linotype" w:cs="Palatino Linotype"/>
        </w:rPr>
        <w:t>IV</w:t>
      </w:r>
      <w:r w:rsidRPr="00B25BED">
        <w:rPr>
          <w:rFonts w:ascii="Palatino Linotype" w:eastAsia="Palatino Linotype" w:hAnsi="Palatino Linotype" w:cs="Palatino Linotype"/>
        </w:rPr>
        <w:t xml:space="preserve">, de la Ley de Transparencia y Acceso a la Información Pública del Estado de México y Municipios, </w:t>
      </w:r>
      <w:r w:rsidR="00F06003" w:rsidRPr="00B25BED">
        <w:rPr>
          <w:rFonts w:ascii="Palatino Linotype" w:eastAsia="Palatino Linotype" w:hAnsi="Palatino Linotype" w:cs="Palatino Linotype"/>
        </w:rPr>
        <w:t>al tratarse de una consulta</w:t>
      </w:r>
      <w:r w:rsidRPr="00B25BED">
        <w:rPr>
          <w:rFonts w:ascii="Palatino Linotype" w:eastAsia="Palatino Linotype" w:hAnsi="Palatino Linotype" w:cs="Palatino Linotype"/>
        </w:rPr>
        <w:t xml:space="preserve">, en términos del </w:t>
      </w:r>
      <w:r w:rsidRPr="00B25BED">
        <w:rPr>
          <w:rFonts w:ascii="Palatino Linotype" w:eastAsia="Palatino Linotype" w:hAnsi="Palatino Linotype" w:cs="Palatino Linotype"/>
          <w:b/>
        </w:rPr>
        <w:t>Considerando TERCERO</w:t>
      </w:r>
      <w:r w:rsidRPr="00B25BED">
        <w:rPr>
          <w:rFonts w:ascii="Palatino Linotype" w:eastAsia="Palatino Linotype" w:hAnsi="Palatino Linotype" w:cs="Palatino Linotype"/>
        </w:rPr>
        <w:t xml:space="preserve"> de la presente resolución.</w:t>
      </w:r>
    </w:p>
    <w:p w14:paraId="0A3F2541" w14:textId="77777777" w:rsidR="00DA12DB" w:rsidRPr="00B25BED" w:rsidRDefault="00DA12DB">
      <w:pPr>
        <w:spacing w:line="360" w:lineRule="auto"/>
        <w:jc w:val="both"/>
        <w:rPr>
          <w:rFonts w:ascii="Palatino Linotype" w:eastAsia="Palatino Linotype" w:hAnsi="Palatino Linotype" w:cs="Palatino Linotype"/>
        </w:rPr>
      </w:pPr>
    </w:p>
    <w:p w14:paraId="3384D67A" w14:textId="77777777" w:rsidR="00DA12DB" w:rsidRPr="00B25BED" w:rsidRDefault="00C47FE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B25BED">
        <w:rPr>
          <w:rFonts w:ascii="Palatino Linotype" w:eastAsia="Palatino Linotype" w:hAnsi="Palatino Linotype" w:cs="Palatino Linotype"/>
          <w:b/>
          <w:color w:val="000000"/>
        </w:rPr>
        <w:t xml:space="preserve">SEGUNDO. Notifíquese </w:t>
      </w:r>
      <w:r w:rsidRPr="00B25BED">
        <w:rPr>
          <w:rFonts w:ascii="Palatino Linotype" w:eastAsia="Palatino Linotype" w:hAnsi="Palatino Linotype" w:cs="Palatino Linotype"/>
          <w:color w:val="000000"/>
        </w:rPr>
        <w:t>a través del Sistema de Acceso a la Información Mexiquense (SAIMEX) la presente resolución a la Titular de la Unidad de Transparencia del</w:t>
      </w:r>
      <w:r w:rsidRPr="00B25BED">
        <w:rPr>
          <w:rFonts w:ascii="Palatino Linotype" w:eastAsia="Palatino Linotype" w:hAnsi="Palatino Linotype" w:cs="Palatino Linotype"/>
          <w:b/>
          <w:color w:val="000000"/>
        </w:rPr>
        <w:t xml:space="preserve"> SUJETO OBLIGADO. </w:t>
      </w:r>
    </w:p>
    <w:p w14:paraId="0A24D214" w14:textId="77777777" w:rsidR="00DA12DB" w:rsidRPr="00B25BED" w:rsidRDefault="00DA12D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19BEEE1" w14:textId="22BB045B" w:rsidR="00DA12DB" w:rsidRPr="00B25BED" w:rsidRDefault="00C47FEF">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sidRPr="00B25BED">
        <w:rPr>
          <w:rFonts w:ascii="Palatino Linotype" w:eastAsia="Palatino Linotype" w:hAnsi="Palatino Linotype" w:cs="Palatino Linotype"/>
          <w:b/>
          <w:color w:val="000000"/>
        </w:rPr>
        <w:t xml:space="preserve">TERCERO. </w:t>
      </w:r>
      <w:r w:rsidRPr="00B25BED">
        <w:rPr>
          <w:rFonts w:ascii="Palatino Linotype" w:eastAsia="Palatino Linotype" w:hAnsi="Palatino Linotype" w:cs="Palatino Linotype"/>
          <w:b/>
          <w:color w:val="222222"/>
        </w:rPr>
        <w:t xml:space="preserve">Notifíquese </w:t>
      </w:r>
      <w:r w:rsidRPr="00B25BED">
        <w:rPr>
          <w:rFonts w:ascii="Palatino Linotype" w:eastAsia="Palatino Linotype" w:hAnsi="Palatino Linotype" w:cs="Palatino Linotype"/>
          <w:color w:val="222222"/>
        </w:rPr>
        <w:t xml:space="preserve">al </w:t>
      </w:r>
      <w:r w:rsidRPr="00B25BED">
        <w:rPr>
          <w:rFonts w:ascii="Palatino Linotype" w:eastAsia="Palatino Linotype" w:hAnsi="Palatino Linotype" w:cs="Palatino Linotype"/>
          <w:b/>
          <w:color w:val="000000"/>
        </w:rPr>
        <w:t>R</w:t>
      </w:r>
      <w:r w:rsidR="006979C4" w:rsidRPr="00B25BED">
        <w:rPr>
          <w:rFonts w:ascii="Palatino Linotype" w:eastAsia="Palatino Linotype" w:hAnsi="Palatino Linotype" w:cs="Palatino Linotype"/>
          <w:b/>
          <w:color w:val="000000"/>
        </w:rPr>
        <w:t>ecurrente</w:t>
      </w:r>
      <w:r w:rsidRPr="00B25BED">
        <w:rPr>
          <w:rFonts w:ascii="Palatino Linotype" w:eastAsia="Palatino Linotype" w:hAnsi="Palatino Linotype" w:cs="Palatino Linotype"/>
          <w:b/>
          <w:color w:val="000000"/>
        </w:rPr>
        <w:t xml:space="preserve"> </w:t>
      </w:r>
      <w:r w:rsidRPr="00B25BED">
        <w:rPr>
          <w:rFonts w:ascii="Palatino Linotype" w:eastAsia="Palatino Linotype" w:hAnsi="Palatino Linotype" w:cs="Palatino Linotype"/>
          <w:color w:val="222222"/>
        </w:rPr>
        <w:t xml:space="preserve">la presente resolución vía Sistema de Acceso a la Información Mexiquense </w:t>
      </w:r>
      <w:r w:rsidRPr="00B25BED">
        <w:rPr>
          <w:rFonts w:ascii="Palatino Linotype" w:eastAsia="Palatino Linotype" w:hAnsi="Palatino Linotype" w:cs="Palatino Linotype"/>
          <w:b/>
          <w:bCs/>
          <w:color w:val="222222"/>
        </w:rPr>
        <w:t>(SAIMEX).</w:t>
      </w:r>
    </w:p>
    <w:p w14:paraId="16280EA0" w14:textId="77777777" w:rsidR="00DA12DB" w:rsidRPr="00B25BED" w:rsidRDefault="00DA12DB">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19C5BE49" w14:textId="5ED810FA" w:rsidR="00DA12DB" w:rsidRPr="00B25BED" w:rsidRDefault="00C47F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25BED">
        <w:rPr>
          <w:rFonts w:ascii="Palatino Linotype" w:eastAsia="Palatino Linotype" w:hAnsi="Palatino Linotype" w:cs="Palatino Linotype"/>
          <w:b/>
          <w:color w:val="000000"/>
        </w:rPr>
        <w:t>CUARTO.</w:t>
      </w:r>
      <w:r w:rsidRPr="00B25BED">
        <w:rPr>
          <w:rFonts w:ascii="Palatino Linotype" w:eastAsia="Palatino Linotype" w:hAnsi="Palatino Linotype" w:cs="Palatino Linotype"/>
          <w:color w:val="000000"/>
        </w:rPr>
        <w:t xml:space="preserve"> Se hace del conocimiento del </w:t>
      </w:r>
      <w:r w:rsidRPr="00B25BED">
        <w:rPr>
          <w:rFonts w:ascii="Palatino Linotype" w:eastAsia="Palatino Linotype" w:hAnsi="Palatino Linotype" w:cs="Palatino Linotype"/>
          <w:b/>
          <w:color w:val="000000"/>
        </w:rPr>
        <w:t>R</w:t>
      </w:r>
      <w:r w:rsidR="006979C4" w:rsidRPr="00B25BED">
        <w:rPr>
          <w:rFonts w:ascii="Palatino Linotype" w:eastAsia="Palatino Linotype" w:hAnsi="Palatino Linotype" w:cs="Palatino Linotype"/>
          <w:b/>
          <w:color w:val="000000"/>
        </w:rPr>
        <w:t>ecurrente</w:t>
      </w:r>
      <w:r w:rsidRPr="00B25BED">
        <w:rPr>
          <w:rFonts w:ascii="Palatino Linotype" w:eastAsia="Palatino Linotype" w:hAnsi="Palatino Linotype" w:cs="Palatino Linotype"/>
          <w:b/>
          <w:color w:val="000000"/>
        </w:rPr>
        <w:t xml:space="preserve"> </w:t>
      </w:r>
      <w:r w:rsidRPr="00B25BED">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221A5CC" w14:textId="77777777" w:rsidR="00DA12DB" w:rsidRPr="00B25BED" w:rsidRDefault="00DA12DB">
      <w:pPr>
        <w:spacing w:line="360" w:lineRule="auto"/>
        <w:jc w:val="both"/>
        <w:rPr>
          <w:rFonts w:ascii="Palatino Linotype" w:eastAsia="Palatino Linotype" w:hAnsi="Palatino Linotype" w:cs="Palatino Linotype"/>
          <w:color w:val="000000"/>
        </w:rPr>
      </w:pPr>
    </w:p>
    <w:p w14:paraId="53CE2058" w14:textId="77777777" w:rsidR="00E22BCA" w:rsidRPr="003C7186" w:rsidRDefault="00E22BCA" w:rsidP="00E22BC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PRIMERA </w:t>
      </w:r>
      <w:r w:rsidRPr="003C7186">
        <w:rPr>
          <w:rFonts w:ascii="Palatino Linotype" w:hAnsi="Palatino Linotype"/>
        </w:rPr>
        <w:t xml:space="preserve">SESIÓN ORDINARIA CELEBRADA EL </w:t>
      </w:r>
      <w:r>
        <w:rPr>
          <w:rFonts w:ascii="Palatino Linotype" w:hAnsi="Palatino Linotype"/>
        </w:rPr>
        <w:t>VEINTISIETE</w:t>
      </w:r>
      <w:r w:rsidRPr="003C7186">
        <w:rPr>
          <w:rFonts w:ascii="Palatino Linotype" w:hAnsi="Palatino Linotype"/>
        </w:rPr>
        <w:t xml:space="preserve"> </w:t>
      </w:r>
      <w:r>
        <w:rPr>
          <w:rFonts w:ascii="Palatino Linotype" w:hAnsi="Palatino Linotype"/>
        </w:rPr>
        <w:t>(27) DE NOVIEMBRE</w:t>
      </w:r>
      <w:r w:rsidRPr="003C7186">
        <w:rPr>
          <w:rFonts w:ascii="Palatino Linotype" w:hAnsi="Palatino Linotype"/>
        </w:rPr>
        <w:t xml:space="preserve"> DE DOS MIL VEINTICUATRO, ANTE EL SECRETARIO TÉCNICO DEL PLENO ALEXIS TAPIA RAMÍREZ. </w:t>
      </w:r>
    </w:p>
    <w:p w14:paraId="61671C83" w14:textId="77777777" w:rsidR="001116BB" w:rsidRDefault="001116BB">
      <w:pPr>
        <w:spacing w:line="360" w:lineRule="auto"/>
        <w:rPr>
          <w:rFonts w:ascii="Palatino Linotype" w:eastAsia="Palatino Linotype" w:hAnsi="Palatino Linotype" w:cs="Palatino Linotype"/>
          <w:color w:val="000000"/>
        </w:rPr>
      </w:pPr>
    </w:p>
    <w:p w14:paraId="4BBDC6AC" w14:textId="77777777" w:rsidR="001116BB" w:rsidRDefault="001116BB">
      <w:pPr>
        <w:spacing w:line="360" w:lineRule="auto"/>
        <w:rPr>
          <w:rFonts w:ascii="Palatino Linotype" w:eastAsia="Palatino Linotype" w:hAnsi="Palatino Linotype" w:cs="Palatino Linotype"/>
          <w:color w:val="000000"/>
        </w:rPr>
      </w:pPr>
    </w:p>
    <w:p w14:paraId="4A7BA2B4" w14:textId="77777777" w:rsidR="001116BB" w:rsidRDefault="001116BB">
      <w:pPr>
        <w:spacing w:line="360" w:lineRule="auto"/>
        <w:rPr>
          <w:rFonts w:ascii="Palatino Linotype" w:eastAsia="Palatino Linotype" w:hAnsi="Palatino Linotype" w:cs="Palatino Linotype"/>
          <w:color w:val="000000"/>
        </w:rPr>
      </w:pPr>
    </w:p>
    <w:p w14:paraId="041DB4A7" w14:textId="77777777" w:rsidR="001116BB" w:rsidRDefault="001116BB">
      <w:pPr>
        <w:spacing w:line="360" w:lineRule="auto"/>
        <w:rPr>
          <w:rFonts w:ascii="Palatino Linotype" w:eastAsia="Palatino Linotype" w:hAnsi="Palatino Linotype" w:cs="Palatino Linotype"/>
          <w:color w:val="000000"/>
        </w:rPr>
      </w:pPr>
    </w:p>
    <w:p w14:paraId="02A8154E" w14:textId="77777777" w:rsidR="001116BB" w:rsidRDefault="001116BB">
      <w:pPr>
        <w:spacing w:line="360" w:lineRule="auto"/>
        <w:rPr>
          <w:rFonts w:ascii="Palatino Linotype" w:eastAsia="Palatino Linotype" w:hAnsi="Palatino Linotype" w:cs="Palatino Linotype"/>
          <w:color w:val="000000"/>
        </w:rPr>
      </w:pPr>
    </w:p>
    <w:p w14:paraId="05461261" w14:textId="77777777" w:rsidR="001116BB" w:rsidRDefault="001116BB">
      <w:pPr>
        <w:spacing w:line="360" w:lineRule="auto"/>
        <w:rPr>
          <w:rFonts w:ascii="Palatino Linotype" w:eastAsia="Palatino Linotype" w:hAnsi="Palatino Linotype" w:cs="Palatino Linotype"/>
          <w:color w:val="000000"/>
        </w:rPr>
      </w:pPr>
    </w:p>
    <w:p w14:paraId="6C3BB9D4" w14:textId="77777777" w:rsidR="001116BB" w:rsidRDefault="001116BB">
      <w:pPr>
        <w:spacing w:line="360" w:lineRule="auto"/>
        <w:rPr>
          <w:rFonts w:ascii="Palatino Linotype" w:eastAsia="Palatino Linotype" w:hAnsi="Palatino Linotype" w:cs="Palatino Linotype"/>
          <w:color w:val="000000"/>
        </w:rPr>
      </w:pPr>
    </w:p>
    <w:p w14:paraId="4A54D964" w14:textId="77777777" w:rsidR="001116BB" w:rsidRDefault="001116BB">
      <w:pPr>
        <w:spacing w:line="360" w:lineRule="auto"/>
        <w:rPr>
          <w:rFonts w:ascii="Palatino Linotype" w:eastAsia="Palatino Linotype" w:hAnsi="Palatino Linotype" w:cs="Palatino Linotype"/>
          <w:color w:val="000000"/>
        </w:rPr>
      </w:pPr>
    </w:p>
    <w:p w14:paraId="3424A4B9" w14:textId="77777777" w:rsidR="001116BB" w:rsidRPr="00B25BED" w:rsidRDefault="001116BB">
      <w:pPr>
        <w:spacing w:line="360" w:lineRule="auto"/>
        <w:rPr>
          <w:rFonts w:ascii="Palatino Linotype" w:eastAsia="Palatino Linotype" w:hAnsi="Palatino Linotype" w:cs="Palatino Linotype"/>
          <w:color w:val="000000"/>
        </w:rPr>
      </w:pPr>
    </w:p>
    <w:sectPr w:rsidR="001116BB" w:rsidRPr="00B25BED" w:rsidSect="005263F9">
      <w:headerReference w:type="default" r:id="rId9"/>
      <w:footerReference w:type="default" r:id="rId10"/>
      <w:headerReference w:type="first" r:id="rId11"/>
      <w:footerReference w:type="first" r:id="rId12"/>
      <w:pgSz w:w="12240" w:h="15840"/>
      <w:pgMar w:top="2021" w:right="758"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3AF01" w14:textId="77777777" w:rsidR="002218DE" w:rsidRDefault="002218DE">
      <w:r>
        <w:separator/>
      </w:r>
    </w:p>
  </w:endnote>
  <w:endnote w:type="continuationSeparator" w:id="0">
    <w:p w14:paraId="4E02F717" w14:textId="77777777" w:rsidR="002218DE" w:rsidRDefault="0022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0F1DB" w14:textId="77777777" w:rsidR="00547008" w:rsidRDefault="0054700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E22BCA">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E22BCA">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p>
  <w:p w14:paraId="5F2B3D44" w14:textId="77777777" w:rsidR="00547008" w:rsidRDefault="0054700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DE135" w14:textId="77777777" w:rsidR="00547008" w:rsidRDefault="0054700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22BC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22BCA">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p w14:paraId="1595B4AE" w14:textId="77777777" w:rsidR="00547008" w:rsidRDefault="0054700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73470" w14:textId="77777777" w:rsidR="002218DE" w:rsidRDefault="002218DE">
      <w:r>
        <w:separator/>
      </w:r>
    </w:p>
  </w:footnote>
  <w:footnote w:type="continuationSeparator" w:id="0">
    <w:p w14:paraId="7E4BD282" w14:textId="77777777" w:rsidR="002218DE" w:rsidRDefault="002218DE">
      <w:r>
        <w:continuationSeparator/>
      </w:r>
    </w:p>
  </w:footnote>
  <w:footnote w:id="1">
    <w:p w14:paraId="14F455C5" w14:textId="77777777" w:rsidR="00547008" w:rsidRDefault="0054700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Artículo 178.</w:t>
      </w:r>
      <w:r>
        <w:rPr>
          <w:color w:val="000000"/>
          <w:sz w:val="20"/>
          <w:szCs w:val="20"/>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C8B1C70" w14:textId="77777777" w:rsidR="00547008" w:rsidRDefault="00547008">
      <w:pPr>
        <w:pBdr>
          <w:top w:val="nil"/>
          <w:left w:val="nil"/>
          <w:bottom w:val="nil"/>
          <w:right w:val="nil"/>
          <w:between w:val="nil"/>
        </w:pBdr>
        <w:jc w:val="both"/>
        <w:rPr>
          <w:color w:val="000000"/>
          <w:sz w:val="20"/>
          <w:szCs w:val="20"/>
        </w:rPr>
      </w:pPr>
      <w:r>
        <w:rPr>
          <w:color w:val="000000"/>
          <w:sz w:val="20"/>
          <w:szCs w:val="20"/>
        </w:rPr>
        <w:t>(…)”</w:t>
      </w:r>
    </w:p>
  </w:footnote>
  <w:footnote w:id="2">
    <w:p w14:paraId="7FCEE587" w14:textId="77777777" w:rsidR="00547008" w:rsidRDefault="005470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3">
    <w:p w14:paraId="3F485B29" w14:textId="77777777" w:rsidR="00547008" w:rsidRDefault="005470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4">
    <w:p w14:paraId="55DE1C1E" w14:textId="77777777" w:rsidR="00547008" w:rsidRDefault="005470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5">
    <w:p w14:paraId="44E99E23" w14:textId="77777777" w:rsidR="00547008" w:rsidRDefault="005470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6">
    <w:p w14:paraId="1CAF8C0A" w14:textId="77777777" w:rsidR="0032148F" w:rsidRDefault="0032148F" w:rsidP="0032148F">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7">
    <w:p w14:paraId="159C0A2B" w14:textId="77777777" w:rsidR="0032148F" w:rsidRDefault="0032148F" w:rsidP="0032148F">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8">
    <w:p w14:paraId="1E3EBF62" w14:textId="77777777" w:rsidR="0032148F" w:rsidRDefault="0032148F" w:rsidP="0032148F">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9">
    <w:p w14:paraId="6840C913" w14:textId="77777777" w:rsidR="0032148F" w:rsidRDefault="0032148F" w:rsidP="0032148F">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8476" w:type="dxa"/>
      <w:tblInd w:w="1491" w:type="dxa"/>
      <w:tblBorders>
        <w:top w:val="nil"/>
        <w:left w:val="nil"/>
        <w:bottom w:val="nil"/>
        <w:right w:val="nil"/>
        <w:insideH w:val="nil"/>
        <w:insideV w:val="nil"/>
      </w:tblBorders>
      <w:tblLayout w:type="fixed"/>
      <w:tblLook w:val="0400" w:firstRow="0" w:lastRow="0" w:firstColumn="0" w:lastColumn="0" w:noHBand="0" w:noVBand="1"/>
    </w:tblPr>
    <w:tblGrid>
      <w:gridCol w:w="3815"/>
      <w:gridCol w:w="4661"/>
    </w:tblGrid>
    <w:tr w:rsidR="00547008" w:rsidRPr="005263F9" w14:paraId="5A796223" w14:textId="77777777" w:rsidTr="005263F9">
      <w:trPr>
        <w:trHeight w:val="112"/>
      </w:trPr>
      <w:tc>
        <w:tcPr>
          <w:tcW w:w="3815" w:type="dxa"/>
          <w:vAlign w:val="center"/>
        </w:tcPr>
        <w:p w14:paraId="30CF4F09" w14:textId="77777777" w:rsidR="00547008" w:rsidRPr="005263F9" w:rsidRDefault="00547008">
          <w:pPr>
            <w:ind w:right="34"/>
            <w:jc w:val="right"/>
            <w:rPr>
              <w:rFonts w:ascii="Palatino Linotype" w:eastAsia="Palatino Linotype" w:hAnsi="Palatino Linotype" w:cs="Palatino Linotype"/>
              <w:b/>
              <w:szCs w:val="20"/>
            </w:rPr>
          </w:pPr>
          <w:r w:rsidRPr="005263F9">
            <w:rPr>
              <w:rFonts w:ascii="Palatino Linotype" w:eastAsia="Palatino Linotype" w:hAnsi="Palatino Linotype" w:cs="Palatino Linotype"/>
              <w:b/>
              <w:szCs w:val="20"/>
            </w:rPr>
            <w:t>RECURSO DE REVISIÓN:</w:t>
          </w:r>
        </w:p>
      </w:tc>
      <w:tc>
        <w:tcPr>
          <w:tcW w:w="4661" w:type="dxa"/>
          <w:vAlign w:val="center"/>
        </w:tcPr>
        <w:p w14:paraId="1C17DCAC" w14:textId="0176C1C2" w:rsidR="00547008" w:rsidRPr="005263F9" w:rsidRDefault="00547008" w:rsidP="005263F9">
          <w:pPr>
            <w:pBdr>
              <w:top w:val="nil"/>
              <w:left w:val="nil"/>
              <w:bottom w:val="nil"/>
              <w:right w:val="nil"/>
              <w:between w:val="nil"/>
            </w:pBdr>
            <w:tabs>
              <w:tab w:val="right" w:pos="8504"/>
            </w:tabs>
            <w:rPr>
              <w:rFonts w:ascii="Palatino Linotype" w:eastAsia="Palatino Linotype" w:hAnsi="Palatino Linotype" w:cs="Palatino Linotype"/>
              <w:szCs w:val="20"/>
            </w:rPr>
          </w:pPr>
          <w:r w:rsidRPr="005263F9">
            <w:rPr>
              <w:rFonts w:ascii="Palatino Linotype" w:eastAsia="Palatino Linotype" w:hAnsi="Palatino Linotype" w:cs="Palatino Linotype"/>
              <w:szCs w:val="20"/>
            </w:rPr>
            <w:t>0</w:t>
          </w:r>
          <w:r w:rsidR="00CA3612" w:rsidRPr="005263F9">
            <w:rPr>
              <w:rFonts w:ascii="Palatino Linotype" w:eastAsia="Palatino Linotype" w:hAnsi="Palatino Linotype" w:cs="Palatino Linotype"/>
              <w:szCs w:val="20"/>
            </w:rPr>
            <w:t>256</w:t>
          </w:r>
          <w:r w:rsidRPr="005263F9">
            <w:rPr>
              <w:rFonts w:ascii="Palatino Linotype" w:eastAsia="Palatino Linotype" w:hAnsi="Palatino Linotype" w:cs="Palatino Linotype"/>
              <w:szCs w:val="20"/>
            </w:rPr>
            <w:t>8/INFOEM/IP/RR/2024</w:t>
          </w:r>
        </w:p>
      </w:tc>
    </w:tr>
    <w:tr w:rsidR="00547008" w:rsidRPr="005263F9" w14:paraId="5BC26F36" w14:textId="77777777" w:rsidTr="005263F9">
      <w:trPr>
        <w:trHeight w:val="190"/>
      </w:trPr>
      <w:tc>
        <w:tcPr>
          <w:tcW w:w="3815" w:type="dxa"/>
          <w:vAlign w:val="center"/>
        </w:tcPr>
        <w:p w14:paraId="7DB6C6A2" w14:textId="77777777" w:rsidR="00547008" w:rsidRPr="005263F9" w:rsidRDefault="00547008">
          <w:pPr>
            <w:ind w:right="34"/>
            <w:jc w:val="right"/>
            <w:rPr>
              <w:rFonts w:ascii="Palatino Linotype" w:eastAsia="Palatino Linotype" w:hAnsi="Palatino Linotype" w:cs="Palatino Linotype"/>
              <w:b/>
              <w:szCs w:val="20"/>
            </w:rPr>
          </w:pPr>
          <w:r w:rsidRPr="005263F9">
            <w:rPr>
              <w:rFonts w:ascii="Palatino Linotype" w:eastAsia="Palatino Linotype" w:hAnsi="Palatino Linotype" w:cs="Palatino Linotype"/>
              <w:b/>
              <w:szCs w:val="20"/>
            </w:rPr>
            <w:t>SUJETO OBLIGADO:</w:t>
          </w:r>
        </w:p>
      </w:tc>
      <w:tc>
        <w:tcPr>
          <w:tcW w:w="4661" w:type="dxa"/>
          <w:vAlign w:val="center"/>
        </w:tcPr>
        <w:p w14:paraId="67EF2099" w14:textId="406370F4" w:rsidR="00547008" w:rsidRPr="005263F9" w:rsidRDefault="00CA3612" w:rsidP="005263F9">
          <w:pPr>
            <w:pBdr>
              <w:top w:val="nil"/>
              <w:left w:val="nil"/>
              <w:bottom w:val="nil"/>
              <w:right w:val="nil"/>
              <w:between w:val="nil"/>
            </w:pBdr>
            <w:tabs>
              <w:tab w:val="right" w:pos="8504"/>
            </w:tabs>
            <w:rPr>
              <w:rFonts w:ascii="Palatino Linotype" w:eastAsia="Palatino Linotype" w:hAnsi="Palatino Linotype" w:cs="Palatino Linotype"/>
              <w:szCs w:val="20"/>
            </w:rPr>
          </w:pPr>
          <w:r w:rsidRPr="005263F9">
            <w:rPr>
              <w:rFonts w:ascii="Palatino Linotype" w:hAnsi="Palatino Linotype"/>
              <w:bCs/>
              <w:szCs w:val="20"/>
            </w:rPr>
            <w:t>Organismo Público Descentralizado para la Prestación de Los Servicios de Agua Potable Alcantarillado y Saneamiento de Atizapán de Zaragoza por sus siglas S.A.P.A.S.A.</w:t>
          </w:r>
        </w:p>
      </w:tc>
    </w:tr>
    <w:tr w:rsidR="00547008" w:rsidRPr="005263F9" w14:paraId="26CA35CD" w14:textId="77777777" w:rsidTr="005263F9">
      <w:trPr>
        <w:trHeight w:val="262"/>
      </w:trPr>
      <w:tc>
        <w:tcPr>
          <w:tcW w:w="3815" w:type="dxa"/>
          <w:vAlign w:val="center"/>
        </w:tcPr>
        <w:p w14:paraId="4D315E75" w14:textId="77777777" w:rsidR="00547008" w:rsidRPr="005263F9" w:rsidRDefault="00547008">
          <w:pPr>
            <w:ind w:right="34"/>
            <w:jc w:val="right"/>
            <w:rPr>
              <w:rFonts w:ascii="Palatino Linotype" w:eastAsia="Palatino Linotype" w:hAnsi="Palatino Linotype" w:cs="Palatino Linotype"/>
              <w:b/>
              <w:szCs w:val="20"/>
            </w:rPr>
          </w:pPr>
          <w:r w:rsidRPr="005263F9">
            <w:rPr>
              <w:rFonts w:ascii="Palatino Linotype" w:eastAsia="Palatino Linotype" w:hAnsi="Palatino Linotype" w:cs="Palatino Linotype"/>
              <w:b/>
              <w:szCs w:val="20"/>
            </w:rPr>
            <w:t>COMISIONADA PONENTE:</w:t>
          </w:r>
        </w:p>
      </w:tc>
      <w:tc>
        <w:tcPr>
          <w:tcW w:w="4661" w:type="dxa"/>
          <w:vAlign w:val="center"/>
        </w:tcPr>
        <w:p w14:paraId="7A01814C" w14:textId="77777777" w:rsidR="00547008" w:rsidRPr="005263F9" w:rsidRDefault="00547008" w:rsidP="005263F9">
          <w:pPr>
            <w:pBdr>
              <w:top w:val="nil"/>
              <w:left w:val="nil"/>
              <w:bottom w:val="nil"/>
              <w:right w:val="nil"/>
              <w:between w:val="nil"/>
            </w:pBdr>
            <w:tabs>
              <w:tab w:val="right" w:pos="8504"/>
            </w:tabs>
            <w:rPr>
              <w:rFonts w:ascii="Palatino Linotype" w:eastAsia="Palatino Linotype" w:hAnsi="Palatino Linotype" w:cs="Palatino Linotype"/>
              <w:szCs w:val="20"/>
            </w:rPr>
          </w:pPr>
          <w:r w:rsidRPr="005263F9">
            <w:rPr>
              <w:rFonts w:ascii="Palatino Linotype" w:eastAsia="Palatino Linotype" w:hAnsi="Palatino Linotype" w:cs="Palatino Linotype"/>
              <w:szCs w:val="20"/>
            </w:rPr>
            <w:t>María del Rosario Mejía Ayala</w:t>
          </w:r>
        </w:p>
      </w:tc>
    </w:tr>
  </w:tbl>
  <w:p w14:paraId="367EB03F" w14:textId="77777777" w:rsidR="00547008" w:rsidRDefault="00547008">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671EE07F" wp14:editId="7D831652">
          <wp:simplePos x="0" y="0"/>
          <wp:positionH relativeFrom="margin">
            <wp:posOffset>-1243282</wp:posOffset>
          </wp:positionH>
          <wp:positionV relativeFrom="page">
            <wp:align>top</wp:align>
          </wp:positionV>
          <wp:extent cx="7694930" cy="10020300"/>
          <wp:effectExtent l="0" t="0" r="127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8505" w:type="dxa"/>
      <w:tblInd w:w="1478" w:type="dxa"/>
      <w:tblBorders>
        <w:top w:val="nil"/>
        <w:left w:val="nil"/>
        <w:bottom w:val="nil"/>
        <w:right w:val="nil"/>
        <w:insideH w:val="nil"/>
        <w:insideV w:val="nil"/>
      </w:tblBorders>
      <w:tblLayout w:type="fixed"/>
      <w:tblLook w:val="0400" w:firstRow="0" w:lastRow="0" w:firstColumn="0" w:lastColumn="0" w:noHBand="0" w:noVBand="1"/>
    </w:tblPr>
    <w:tblGrid>
      <w:gridCol w:w="3828"/>
      <w:gridCol w:w="4677"/>
    </w:tblGrid>
    <w:tr w:rsidR="00547008" w:rsidRPr="005263F9" w14:paraId="5315105A" w14:textId="77777777" w:rsidTr="005263F9">
      <w:trPr>
        <w:trHeight w:val="138"/>
      </w:trPr>
      <w:tc>
        <w:tcPr>
          <w:tcW w:w="3828" w:type="dxa"/>
          <w:vAlign w:val="center"/>
        </w:tcPr>
        <w:p w14:paraId="108762C6" w14:textId="77777777" w:rsidR="00547008" w:rsidRPr="005263F9" w:rsidRDefault="00547008" w:rsidP="00CA3612">
          <w:pPr>
            <w:jc w:val="right"/>
            <w:rPr>
              <w:rFonts w:ascii="Palatino Linotype" w:eastAsia="Palatino Linotype" w:hAnsi="Palatino Linotype" w:cs="Palatino Linotype"/>
              <w:b/>
              <w:szCs w:val="20"/>
            </w:rPr>
          </w:pPr>
          <w:r w:rsidRPr="005263F9">
            <w:rPr>
              <w:rFonts w:ascii="Palatino Linotype" w:hAnsi="Palatino Linotype"/>
              <w:szCs w:val="20"/>
            </w:rPr>
            <w:tab/>
          </w:r>
          <w:r w:rsidRPr="005263F9">
            <w:rPr>
              <w:rFonts w:ascii="Palatino Linotype" w:eastAsia="Palatino Linotype" w:hAnsi="Palatino Linotype" w:cs="Palatino Linotype"/>
              <w:b/>
              <w:szCs w:val="20"/>
            </w:rPr>
            <w:t>RECURSO DE REVISIÓN:</w:t>
          </w:r>
        </w:p>
      </w:tc>
      <w:tc>
        <w:tcPr>
          <w:tcW w:w="4677" w:type="dxa"/>
          <w:vAlign w:val="center"/>
        </w:tcPr>
        <w:p w14:paraId="34E512F5" w14:textId="11565160" w:rsidR="00547008" w:rsidRPr="005263F9" w:rsidRDefault="00547008" w:rsidP="005263F9">
          <w:pPr>
            <w:pBdr>
              <w:top w:val="nil"/>
              <w:left w:val="nil"/>
              <w:bottom w:val="nil"/>
              <w:right w:val="nil"/>
              <w:between w:val="nil"/>
            </w:pBdr>
            <w:tabs>
              <w:tab w:val="right" w:pos="8504"/>
            </w:tabs>
            <w:rPr>
              <w:rFonts w:ascii="Palatino Linotype" w:eastAsia="Palatino Linotype" w:hAnsi="Palatino Linotype" w:cs="Palatino Linotype"/>
              <w:szCs w:val="20"/>
            </w:rPr>
          </w:pPr>
          <w:r w:rsidRPr="005263F9">
            <w:rPr>
              <w:rFonts w:ascii="Palatino Linotype" w:eastAsia="Palatino Linotype" w:hAnsi="Palatino Linotype" w:cs="Palatino Linotype"/>
              <w:szCs w:val="20"/>
            </w:rPr>
            <w:t>0</w:t>
          </w:r>
          <w:r w:rsidR="00CA3612" w:rsidRPr="005263F9">
            <w:rPr>
              <w:rFonts w:ascii="Palatino Linotype" w:eastAsia="Palatino Linotype" w:hAnsi="Palatino Linotype" w:cs="Palatino Linotype"/>
              <w:szCs w:val="20"/>
            </w:rPr>
            <w:t>2568</w:t>
          </w:r>
          <w:r w:rsidRPr="005263F9">
            <w:rPr>
              <w:rFonts w:ascii="Palatino Linotype" w:eastAsia="Palatino Linotype" w:hAnsi="Palatino Linotype" w:cs="Palatino Linotype"/>
              <w:szCs w:val="20"/>
            </w:rPr>
            <w:t>/INFOEM/IP/RR/2024</w:t>
          </w:r>
        </w:p>
      </w:tc>
    </w:tr>
    <w:tr w:rsidR="00547008" w:rsidRPr="005263F9" w14:paraId="64DBA56E" w14:textId="77777777" w:rsidTr="005263F9">
      <w:trPr>
        <w:trHeight w:val="233"/>
      </w:trPr>
      <w:tc>
        <w:tcPr>
          <w:tcW w:w="3828" w:type="dxa"/>
          <w:vAlign w:val="center"/>
        </w:tcPr>
        <w:p w14:paraId="6A21343E" w14:textId="77777777" w:rsidR="00547008" w:rsidRPr="005263F9" w:rsidRDefault="00547008" w:rsidP="00CA3612">
          <w:pPr>
            <w:jc w:val="right"/>
            <w:rPr>
              <w:rFonts w:ascii="Palatino Linotype" w:eastAsia="Palatino Linotype" w:hAnsi="Palatino Linotype" w:cs="Palatino Linotype"/>
              <w:b/>
              <w:szCs w:val="20"/>
            </w:rPr>
          </w:pPr>
          <w:r w:rsidRPr="005263F9">
            <w:rPr>
              <w:rFonts w:ascii="Palatino Linotype" w:eastAsia="Palatino Linotype" w:hAnsi="Palatino Linotype" w:cs="Palatino Linotype"/>
              <w:b/>
              <w:szCs w:val="20"/>
            </w:rPr>
            <w:t>RECURRENTE:</w:t>
          </w:r>
        </w:p>
      </w:tc>
      <w:tc>
        <w:tcPr>
          <w:tcW w:w="4677" w:type="dxa"/>
        </w:tcPr>
        <w:p w14:paraId="16DE2FC7" w14:textId="377C8620" w:rsidR="00547008" w:rsidRPr="005263F9" w:rsidRDefault="00547008" w:rsidP="005263F9">
          <w:pPr>
            <w:pBdr>
              <w:top w:val="nil"/>
              <w:left w:val="nil"/>
              <w:bottom w:val="nil"/>
              <w:right w:val="nil"/>
              <w:between w:val="nil"/>
            </w:pBdr>
            <w:tabs>
              <w:tab w:val="right" w:pos="8504"/>
            </w:tabs>
            <w:rPr>
              <w:rFonts w:ascii="Palatino Linotype" w:eastAsia="Palatino Linotype" w:hAnsi="Palatino Linotype" w:cs="Palatino Linotype"/>
              <w:szCs w:val="20"/>
            </w:rPr>
          </w:pPr>
        </w:p>
      </w:tc>
    </w:tr>
    <w:tr w:rsidR="00547008" w:rsidRPr="005263F9" w14:paraId="319111B7" w14:textId="77777777" w:rsidTr="005263F9">
      <w:trPr>
        <w:trHeight w:val="321"/>
      </w:trPr>
      <w:tc>
        <w:tcPr>
          <w:tcW w:w="3828" w:type="dxa"/>
          <w:vAlign w:val="center"/>
        </w:tcPr>
        <w:p w14:paraId="59665962" w14:textId="77777777" w:rsidR="00547008" w:rsidRPr="005263F9" w:rsidRDefault="00547008" w:rsidP="00CA3612">
          <w:pPr>
            <w:jc w:val="right"/>
            <w:rPr>
              <w:rFonts w:ascii="Palatino Linotype" w:eastAsia="Palatino Linotype" w:hAnsi="Palatino Linotype" w:cs="Palatino Linotype"/>
              <w:b/>
              <w:szCs w:val="20"/>
            </w:rPr>
          </w:pPr>
          <w:r w:rsidRPr="005263F9">
            <w:rPr>
              <w:rFonts w:ascii="Palatino Linotype" w:eastAsia="Palatino Linotype" w:hAnsi="Palatino Linotype" w:cs="Palatino Linotype"/>
              <w:b/>
              <w:szCs w:val="20"/>
            </w:rPr>
            <w:t>SUJETO OBLIGADO:</w:t>
          </w:r>
        </w:p>
      </w:tc>
      <w:tc>
        <w:tcPr>
          <w:tcW w:w="4677" w:type="dxa"/>
          <w:vAlign w:val="center"/>
        </w:tcPr>
        <w:p w14:paraId="467FD812" w14:textId="30371056" w:rsidR="00547008" w:rsidRPr="005263F9" w:rsidRDefault="00CA3612" w:rsidP="005263F9">
          <w:pPr>
            <w:pBdr>
              <w:top w:val="nil"/>
              <w:left w:val="nil"/>
              <w:bottom w:val="nil"/>
              <w:right w:val="nil"/>
              <w:between w:val="nil"/>
            </w:pBdr>
            <w:tabs>
              <w:tab w:val="right" w:pos="8504"/>
            </w:tabs>
            <w:rPr>
              <w:rFonts w:ascii="Palatino Linotype" w:eastAsia="Palatino Linotype" w:hAnsi="Palatino Linotype" w:cs="Palatino Linotype"/>
              <w:szCs w:val="20"/>
            </w:rPr>
          </w:pPr>
          <w:r w:rsidRPr="005263F9">
            <w:rPr>
              <w:rFonts w:ascii="Palatino Linotype" w:hAnsi="Palatino Linotype"/>
              <w:bCs/>
              <w:szCs w:val="20"/>
            </w:rPr>
            <w:t>Organismo Público Descentralizado para la Prestación de Los Servicios de Agua Potable Alcantarillado y Saneamiento de Atizapán de Zaragoza por sus siglas S.A.P.A.S.A.</w:t>
          </w:r>
        </w:p>
      </w:tc>
    </w:tr>
    <w:tr w:rsidR="00547008" w:rsidRPr="005263F9" w14:paraId="0C70DD97" w14:textId="77777777" w:rsidTr="005263F9">
      <w:trPr>
        <w:trHeight w:val="321"/>
      </w:trPr>
      <w:tc>
        <w:tcPr>
          <w:tcW w:w="3828" w:type="dxa"/>
          <w:vAlign w:val="center"/>
        </w:tcPr>
        <w:p w14:paraId="256177E4" w14:textId="77777777" w:rsidR="00547008" w:rsidRPr="005263F9" w:rsidRDefault="00547008" w:rsidP="00CA3612">
          <w:pPr>
            <w:jc w:val="right"/>
            <w:rPr>
              <w:rFonts w:ascii="Palatino Linotype" w:eastAsia="Palatino Linotype" w:hAnsi="Palatino Linotype" w:cs="Palatino Linotype"/>
              <w:b/>
              <w:szCs w:val="20"/>
            </w:rPr>
          </w:pPr>
          <w:r w:rsidRPr="005263F9">
            <w:rPr>
              <w:rFonts w:ascii="Palatino Linotype" w:eastAsia="Palatino Linotype" w:hAnsi="Palatino Linotype" w:cs="Palatino Linotype"/>
              <w:b/>
              <w:szCs w:val="20"/>
            </w:rPr>
            <w:t>COMISIONADA PONENTE:</w:t>
          </w:r>
        </w:p>
      </w:tc>
      <w:tc>
        <w:tcPr>
          <w:tcW w:w="4677" w:type="dxa"/>
          <w:vAlign w:val="center"/>
        </w:tcPr>
        <w:p w14:paraId="27413A93" w14:textId="77777777" w:rsidR="00547008" w:rsidRPr="005263F9" w:rsidRDefault="00547008" w:rsidP="005263F9">
          <w:pPr>
            <w:pBdr>
              <w:top w:val="nil"/>
              <w:left w:val="nil"/>
              <w:bottom w:val="nil"/>
              <w:right w:val="nil"/>
              <w:between w:val="nil"/>
            </w:pBdr>
            <w:tabs>
              <w:tab w:val="right" w:pos="8504"/>
            </w:tabs>
            <w:ind w:left="33"/>
            <w:rPr>
              <w:rFonts w:ascii="Palatino Linotype" w:eastAsia="Palatino Linotype" w:hAnsi="Palatino Linotype" w:cs="Palatino Linotype"/>
              <w:szCs w:val="20"/>
            </w:rPr>
          </w:pPr>
          <w:r w:rsidRPr="005263F9">
            <w:rPr>
              <w:rFonts w:ascii="Palatino Linotype" w:eastAsia="Palatino Linotype" w:hAnsi="Palatino Linotype" w:cs="Palatino Linotype"/>
              <w:szCs w:val="20"/>
            </w:rPr>
            <w:t>María del Rosario Mejía Ayala</w:t>
          </w:r>
        </w:p>
      </w:tc>
    </w:tr>
  </w:tbl>
  <w:p w14:paraId="60F1A892" w14:textId="77777777" w:rsidR="00547008" w:rsidRDefault="002218DE">
    <w:pPr>
      <w:pBdr>
        <w:top w:val="nil"/>
        <w:left w:val="nil"/>
        <w:bottom w:val="nil"/>
        <w:right w:val="nil"/>
        <w:between w:val="nil"/>
      </w:pBdr>
      <w:tabs>
        <w:tab w:val="center" w:pos="4252"/>
        <w:tab w:val="right" w:pos="8504"/>
        <w:tab w:val="left" w:pos="3103"/>
      </w:tabs>
      <w:rPr>
        <w:color w:val="000000"/>
      </w:rPr>
    </w:pPr>
    <w:r>
      <w:rPr>
        <w:color w:val="000000"/>
      </w:rPr>
      <w:pict w14:anchorId="13FEA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99.4pt;margin-top:-154.6pt;width:663.5pt;height:12in;z-index:-251658240;mso-wrap-edited:f;mso-width-percent:0;mso-height-percent:0;mso-position-horizontal-relative:margin;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39E"/>
    <w:multiLevelType w:val="hybridMultilevel"/>
    <w:tmpl w:val="075A7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423053"/>
    <w:multiLevelType w:val="multilevel"/>
    <w:tmpl w:val="38A6847C"/>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10691"/>
    <w:multiLevelType w:val="hybridMultilevel"/>
    <w:tmpl w:val="64324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B27A6E"/>
    <w:multiLevelType w:val="multilevel"/>
    <w:tmpl w:val="669E278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5B662E0C"/>
    <w:multiLevelType w:val="multilevel"/>
    <w:tmpl w:val="73B2032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7417FE"/>
    <w:multiLevelType w:val="multilevel"/>
    <w:tmpl w:val="23249B9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0B4DA4"/>
    <w:multiLevelType w:val="hybridMultilevel"/>
    <w:tmpl w:val="8BD02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C30B16"/>
    <w:multiLevelType w:val="multilevel"/>
    <w:tmpl w:val="1654EE2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07380F"/>
    <w:multiLevelType w:val="hybridMultilevel"/>
    <w:tmpl w:val="96245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15292C"/>
    <w:multiLevelType w:val="multilevel"/>
    <w:tmpl w:val="66CE7CA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6D2190"/>
    <w:multiLevelType w:val="multilevel"/>
    <w:tmpl w:val="6D5820A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C80C39"/>
    <w:multiLevelType w:val="multilevel"/>
    <w:tmpl w:val="382A0FF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EF28BF"/>
    <w:multiLevelType w:val="multilevel"/>
    <w:tmpl w:val="A836ADF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E069A7"/>
    <w:multiLevelType w:val="hybridMultilevel"/>
    <w:tmpl w:val="7B5E6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11"/>
  </w:num>
  <w:num w:numId="5">
    <w:abstractNumId w:val="6"/>
  </w:num>
  <w:num w:numId="6">
    <w:abstractNumId w:val="14"/>
  </w:num>
  <w:num w:numId="7">
    <w:abstractNumId w:val="9"/>
  </w:num>
  <w:num w:numId="8">
    <w:abstractNumId w:val="5"/>
  </w:num>
  <w:num w:numId="9">
    <w:abstractNumId w:val="15"/>
  </w:num>
  <w:num w:numId="10">
    <w:abstractNumId w:val="0"/>
  </w:num>
  <w:num w:numId="11">
    <w:abstractNumId w:val="10"/>
  </w:num>
  <w:num w:numId="12">
    <w:abstractNumId w:val="2"/>
  </w:num>
  <w:num w:numId="13">
    <w:abstractNumId w:val="12"/>
  </w:num>
  <w:num w:numId="14">
    <w:abstractNumId w:val="8"/>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DB"/>
    <w:rsid w:val="00043434"/>
    <w:rsid w:val="001116BB"/>
    <w:rsid w:val="0012743D"/>
    <w:rsid w:val="002218DE"/>
    <w:rsid w:val="00276A2A"/>
    <w:rsid w:val="002C2CED"/>
    <w:rsid w:val="002D0A17"/>
    <w:rsid w:val="0032148F"/>
    <w:rsid w:val="003C6D5F"/>
    <w:rsid w:val="00422B6C"/>
    <w:rsid w:val="004860D8"/>
    <w:rsid w:val="005263F9"/>
    <w:rsid w:val="00547008"/>
    <w:rsid w:val="005F0D91"/>
    <w:rsid w:val="00634164"/>
    <w:rsid w:val="00664DD0"/>
    <w:rsid w:val="006979C4"/>
    <w:rsid w:val="00702D58"/>
    <w:rsid w:val="0071284C"/>
    <w:rsid w:val="00726574"/>
    <w:rsid w:val="007D5DE6"/>
    <w:rsid w:val="00802E79"/>
    <w:rsid w:val="008A1EB7"/>
    <w:rsid w:val="00900CFA"/>
    <w:rsid w:val="00951302"/>
    <w:rsid w:val="009A7D2D"/>
    <w:rsid w:val="00A6245A"/>
    <w:rsid w:val="00B246B8"/>
    <w:rsid w:val="00B25BED"/>
    <w:rsid w:val="00B420FF"/>
    <w:rsid w:val="00BF7C1E"/>
    <w:rsid w:val="00C47FEF"/>
    <w:rsid w:val="00C95452"/>
    <w:rsid w:val="00CA3612"/>
    <w:rsid w:val="00CE2531"/>
    <w:rsid w:val="00DA12DB"/>
    <w:rsid w:val="00DB51E0"/>
    <w:rsid w:val="00DC711C"/>
    <w:rsid w:val="00E22BCA"/>
    <w:rsid w:val="00F06003"/>
    <w:rsid w:val="00FA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18AFB9"/>
  <w15:docId w15:val="{B539336D-F100-400A-ABAF-052C7224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B5543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12927"/>
    <w:pPr>
      <w:contextualSpacing/>
    </w:pPr>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PuestoCar">
    <w:name w:val="Puesto Car"/>
    <w:basedOn w:val="Fuentedeprrafopredeter"/>
    <w:link w:val="Puest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3Car">
    <w:name w:val="Título 3 Car"/>
    <w:basedOn w:val="Fuentedeprrafopredeter"/>
    <w:link w:val="Ttulo3"/>
    <w:uiPriority w:val="9"/>
    <w:semiHidden/>
    <w:rsid w:val="00B5543F"/>
    <w:rPr>
      <w:rFonts w:asciiTheme="majorHAnsi" w:eastAsiaTheme="majorEastAsia" w:hAnsiTheme="majorHAnsi" w:cstheme="majorBidi"/>
      <w:color w:val="243F60" w:themeColor="accent1" w:themeShade="7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rPr>
      <w:color w:val="000000"/>
      <w:sz w:val="22"/>
      <w:szCs w:val="22"/>
    </w:rPr>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1116B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511501">
      <w:bodyDiv w:val="1"/>
      <w:marLeft w:val="0"/>
      <w:marRight w:val="0"/>
      <w:marTop w:val="0"/>
      <w:marBottom w:val="0"/>
      <w:divBdr>
        <w:top w:val="none" w:sz="0" w:space="0" w:color="auto"/>
        <w:left w:val="none" w:sz="0" w:space="0" w:color="auto"/>
        <w:bottom w:val="none" w:sz="0" w:space="0" w:color="auto"/>
        <w:right w:val="none" w:sz="0" w:space="0" w:color="auto"/>
      </w:divBdr>
    </w:div>
    <w:div w:id="179243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39833.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iHf00iZW2mdm7/GXZyBNgMi+w==">CgMxLjAyCGguZ2pkZ3hzMgloLjMwajB6bGwyCWguMWZvYjl0ZTIJaC4zem55c2g3MgloLjJldDkycDAyCGgudHlqY3d0MgloLjNkeTZ2a20yCWguMXQzaDVzZjIJaC40ZDM0b2c4MgloLjJzOGV5bzEyCWguMTdkcDh2dTgAciExQVBrRDdiWlJScG1GX0Jkc3FNRkhiTllpakZVYVY4dVo=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4533</Words>
  <Characters>24936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INFOEM403</cp:lastModifiedBy>
  <cp:revision>7</cp:revision>
  <dcterms:created xsi:type="dcterms:W3CDTF">2024-11-21T05:59:00Z</dcterms:created>
  <dcterms:modified xsi:type="dcterms:W3CDTF">2024-11-27T19:00:00Z</dcterms:modified>
</cp:coreProperties>
</file>