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D98B2"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diecisiete de enero de dos mil veinticuatro. </w:t>
      </w:r>
    </w:p>
    <w:p w14:paraId="3937D3DC" w14:textId="17DDD01C" w:rsidR="003707B3" w:rsidRPr="00B05A03" w:rsidRDefault="009B445B">
      <w:pPr>
        <w:spacing w:before="240" w:after="240" w:line="360" w:lineRule="auto"/>
        <w:jc w:val="both"/>
        <w:rPr>
          <w:rFonts w:ascii="Palatino Linotype" w:eastAsia="Palatino Linotype" w:hAnsi="Palatino Linotype" w:cs="Palatino Linotype"/>
          <w:b/>
        </w:rPr>
      </w:pPr>
      <w:r w:rsidRPr="00B05A03">
        <w:rPr>
          <w:rFonts w:ascii="Palatino Linotype" w:eastAsia="Palatino Linotype" w:hAnsi="Palatino Linotype" w:cs="Palatino Linotype"/>
          <w:b/>
        </w:rPr>
        <w:t>VISTO</w:t>
      </w:r>
      <w:r w:rsidRPr="00B05A03">
        <w:rPr>
          <w:rFonts w:ascii="Palatino Linotype" w:eastAsia="Palatino Linotype" w:hAnsi="Palatino Linotype" w:cs="Palatino Linotype"/>
        </w:rPr>
        <w:t xml:space="preserve"> el expediente formado con motivo del recurso de revisión</w:t>
      </w:r>
      <w:r w:rsidRPr="00B05A03">
        <w:rPr>
          <w:rFonts w:ascii="Palatino Linotype" w:eastAsia="Palatino Linotype" w:hAnsi="Palatino Linotype" w:cs="Palatino Linotype"/>
          <w:b/>
        </w:rPr>
        <w:t xml:space="preserve"> 03699/INFOEM/IP/RR/2023</w:t>
      </w:r>
      <w:r w:rsidRPr="00B05A03">
        <w:rPr>
          <w:rFonts w:ascii="Palatino Linotype" w:eastAsia="Palatino Linotype" w:hAnsi="Palatino Linotype" w:cs="Palatino Linotype"/>
        </w:rPr>
        <w:t xml:space="preserve">, interpuesto por </w:t>
      </w:r>
      <w:r w:rsidR="00BE7F84">
        <w:rPr>
          <w:rFonts w:ascii="Palatino Linotype" w:eastAsia="Palatino Linotype" w:hAnsi="Palatino Linotype" w:cs="Palatino Linotype"/>
          <w:b/>
        </w:rPr>
        <w:t>XXXXX</w:t>
      </w:r>
      <w:bookmarkStart w:id="0" w:name="_GoBack"/>
      <w:bookmarkEnd w:id="0"/>
      <w:r w:rsidRPr="00B05A03">
        <w:rPr>
          <w:rFonts w:ascii="Palatino Linotype" w:eastAsia="Palatino Linotype" w:hAnsi="Palatino Linotype" w:cs="Palatino Linotype"/>
          <w:b/>
        </w:rPr>
        <w:t>,</w:t>
      </w:r>
      <w:r w:rsidRPr="00B05A03">
        <w:rPr>
          <w:rFonts w:ascii="Palatino Linotype" w:eastAsia="Palatino Linotype" w:hAnsi="Palatino Linotype" w:cs="Palatino Linotype"/>
        </w:rPr>
        <w:t xml:space="preserve"> en lo sucesivo</w:t>
      </w:r>
      <w:r w:rsidRPr="00B05A03">
        <w:rPr>
          <w:rFonts w:ascii="Palatino Linotype" w:eastAsia="Palatino Linotype" w:hAnsi="Palatino Linotype" w:cs="Palatino Linotype"/>
          <w:b/>
        </w:rPr>
        <w:t xml:space="preserve"> </w:t>
      </w:r>
      <w:r w:rsidRPr="00B05A03">
        <w:rPr>
          <w:rFonts w:ascii="Palatino Linotype" w:eastAsia="Palatino Linotype" w:hAnsi="Palatino Linotype" w:cs="Palatino Linotype"/>
        </w:rPr>
        <w:t xml:space="preserve">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xml:space="preserve"> en contra de la respuesta a su solicitud por parte del </w:t>
      </w:r>
      <w:r w:rsidRPr="00B05A03">
        <w:rPr>
          <w:rFonts w:ascii="Palatino Linotype" w:eastAsia="Palatino Linotype" w:hAnsi="Palatino Linotype" w:cs="Palatino Linotype"/>
          <w:b/>
        </w:rPr>
        <w:t xml:space="preserve">Ayuntamiento de Cuautitlán Izcalli, </w:t>
      </w:r>
      <w:r w:rsidRPr="00B05A03">
        <w:rPr>
          <w:rFonts w:ascii="Palatino Linotype" w:eastAsia="Palatino Linotype" w:hAnsi="Palatino Linotype" w:cs="Palatino Linotype"/>
        </w:rPr>
        <w:t xml:space="preserve">en lo sucesivo el </w:t>
      </w:r>
      <w:r w:rsidRPr="00B05A03">
        <w:rPr>
          <w:rFonts w:ascii="Palatino Linotype" w:eastAsia="Palatino Linotype" w:hAnsi="Palatino Linotype" w:cs="Palatino Linotype"/>
          <w:b/>
        </w:rPr>
        <w:t xml:space="preserve">Sujeto Obligado, </w:t>
      </w:r>
      <w:r w:rsidRPr="00B05A03">
        <w:rPr>
          <w:rFonts w:ascii="Palatino Linotype" w:eastAsia="Palatino Linotype" w:hAnsi="Palatino Linotype" w:cs="Palatino Linotype"/>
        </w:rPr>
        <w:t xml:space="preserve">se procede a dictar la presente resolución con base en los siguientes: </w:t>
      </w:r>
    </w:p>
    <w:p w14:paraId="2DC767AE" w14:textId="77777777" w:rsidR="003707B3" w:rsidRPr="00B05A03" w:rsidRDefault="009B445B">
      <w:pPr>
        <w:spacing w:before="240" w:after="240" w:line="360" w:lineRule="auto"/>
        <w:jc w:val="center"/>
        <w:rPr>
          <w:rFonts w:ascii="Palatino Linotype" w:eastAsia="Palatino Linotype" w:hAnsi="Palatino Linotype" w:cs="Palatino Linotype"/>
          <w:b/>
        </w:rPr>
      </w:pPr>
      <w:r w:rsidRPr="00B05A03">
        <w:rPr>
          <w:rFonts w:ascii="Palatino Linotype" w:eastAsia="Palatino Linotype" w:hAnsi="Palatino Linotype" w:cs="Palatino Linotype"/>
          <w:b/>
        </w:rPr>
        <w:t>I. A N T E C E D E N T E S</w:t>
      </w:r>
    </w:p>
    <w:p w14:paraId="55E13FFF"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b/>
        </w:rPr>
        <w:t>1. Solicitud de acceso a la información.</w:t>
      </w:r>
      <w:r w:rsidRPr="00B05A03">
        <w:rPr>
          <w:rFonts w:ascii="Palatino Linotype" w:eastAsia="Palatino Linotype" w:hAnsi="Palatino Linotype" w:cs="Palatino Linotype"/>
        </w:rPr>
        <w:t xml:space="preserve"> Con fecha </w:t>
      </w:r>
      <w:r w:rsidRPr="00B05A03">
        <w:rPr>
          <w:rFonts w:ascii="Palatino Linotype" w:eastAsia="Palatino Linotype" w:hAnsi="Palatino Linotype" w:cs="Palatino Linotype"/>
          <w:b/>
        </w:rPr>
        <w:t>veintidós de mayo de</w:t>
      </w:r>
      <w:r w:rsidRPr="00B05A03">
        <w:rPr>
          <w:rFonts w:ascii="Palatino Linotype" w:eastAsia="Palatino Linotype" w:hAnsi="Palatino Linotype" w:cs="Palatino Linotype"/>
        </w:rPr>
        <w:t xml:space="preserve"> </w:t>
      </w:r>
      <w:r w:rsidRPr="00B05A03">
        <w:rPr>
          <w:rFonts w:ascii="Palatino Linotype" w:eastAsia="Palatino Linotype" w:hAnsi="Palatino Linotype" w:cs="Palatino Linotype"/>
          <w:b/>
        </w:rPr>
        <w:t>dos mil veintitrés,</w:t>
      </w:r>
      <w:r w:rsidRPr="00B05A03">
        <w:rPr>
          <w:rFonts w:ascii="Palatino Linotype" w:eastAsia="Palatino Linotype" w:hAnsi="Palatino Linotype" w:cs="Palatino Linotype"/>
        </w:rPr>
        <w:t xml:space="preserve"> la parte </w:t>
      </w:r>
      <w:r w:rsidRPr="00B05A03">
        <w:rPr>
          <w:rFonts w:ascii="Palatino Linotype" w:eastAsia="Palatino Linotype" w:hAnsi="Palatino Linotype" w:cs="Palatino Linotype"/>
          <w:b/>
        </w:rPr>
        <w:t xml:space="preserve">Recurrente </w:t>
      </w:r>
      <w:r w:rsidRPr="00B05A03">
        <w:rPr>
          <w:rFonts w:ascii="Palatino Linotype" w:eastAsia="Palatino Linotype" w:hAnsi="Palatino Linotype" w:cs="Palatino Linotype"/>
        </w:rPr>
        <w:t xml:space="preserve">presentó, a través del Sistema de Acceso a la Información Mexiquense, en lo subsecuente el </w:t>
      </w:r>
      <w:r w:rsidRPr="00B05A03">
        <w:rPr>
          <w:rFonts w:ascii="Palatino Linotype" w:eastAsia="Palatino Linotype" w:hAnsi="Palatino Linotype" w:cs="Palatino Linotype"/>
          <w:b/>
        </w:rPr>
        <w:t>SAIMEX,</w:t>
      </w:r>
      <w:r w:rsidRPr="00B05A03">
        <w:rPr>
          <w:rFonts w:ascii="Palatino Linotype" w:eastAsia="Palatino Linotype" w:hAnsi="Palatino Linotype" w:cs="Palatino Linotype"/>
        </w:rPr>
        <w:t xml:space="preserve"> ante el </w:t>
      </w:r>
      <w:r w:rsidRPr="00B05A03">
        <w:rPr>
          <w:rFonts w:ascii="Palatino Linotype" w:eastAsia="Palatino Linotype" w:hAnsi="Palatino Linotype" w:cs="Palatino Linotype"/>
          <w:b/>
        </w:rPr>
        <w:t>Sujeto Obligado</w:t>
      </w:r>
      <w:r w:rsidRPr="00B05A03">
        <w:rPr>
          <w:rFonts w:ascii="Palatino Linotype" w:eastAsia="Palatino Linotype" w:hAnsi="Palatino Linotype" w:cs="Palatino Linotype"/>
        </w:rPr>
        <w:t>, la solicitud de acceso a la información pública, a la que se le asignó el número</w:t>
      </w:r>
      <w:r w:rsidRPr="00B05A03">
        <w:rPr>
          <w:rFonts w:ascii="Palatino Linotype" w:eastAsia="Palatino Linotype" w:hAnsi="Palatino Linotype" w:cs="Palatino Linotype"/>
          <w:b/>
        </w:rPr>
        <w:t xml:space="preserve"> 00333/CUAUTIZC/IP/2023, </w:t>
      </w:r>
      <w:r w:rsidRPr="00B05A03">
        <w:rPr>
          <w:rFonts w:ascii="Palatino Linotype" w:eastAsia="Palatino Linotype" w:hAnsi="Palatino Linotype" w:cs="Palatino Linotype"/>
        </w:rPr>
        <w:t xml:space="preserve">mediante la cual requirió la información siguiente: </w:t>
      </w:r>
    </w:p>
    <w:p w14:paraId="3D6105E9" w14:textId="77777777" w:rsidR="003707B3" w:rsidRPr="00B05A03" w:rsidRDefault="009B445B">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B05A03">
        <w:rPr>
          <w:rFonts w:ascii="Palatino Linotype" w:eastAsia="Palatino Linotype" w:hAnsi="Palatino Linotype" w:cs="Palatino Linotype"/>
          <w:i/>
          <w:sz w:val="22"/>
          <w:szCs w:val="22"/>
        </w:rPr>
        <w:t>“Solicito, atentamente, tenga a bien darme información sobre el presupuesto público que recibieron durante el año 2022, en que lo ejercieron y que resultados obtuvieron, por atención a la alerta de violencia de género contra las mujeres.</w:t>
      </w:r>
      <w:r w:rsidRPr="00B05A03">
        <w:rPr>
          <w:rFonts w:ascii="Palatino Linotype" w:eastAsia="Palatino Linotype" w:hAnsi="Palatino Linotype" w:cs="Palatino Linotype"/>
          <w:b/>
          <w:i/>
          <w:sz w:val="22"/>
          <w:szCs w:val="22"/>
        </w:rPr>
        <w:t>”</w:t>
      </w:r>
      <w:r w:rsidRPr="00B05A03">
        <w:rPr>
          <w:rFonts w:ascii="Palatino Linotype" w:eastAsia="Palatino Linotype" w:hAnsi="Palatino Linotype" w:cs="Palatino Linotype"/>
          <w:i/>
          <w:sz w:val="22"/>
          <w:szCs w:val="22"/>
        </w:rPr>
        <w:t xml:space="preserve"> (</w:t>
      </w:r>
      <w:proofErr w:type="gramStart"/>
      <w:r w:rsidRPr="00B05A03">
        <w:rPr>
          <w:rFonts w:ascii="Palatino Linotype" w:eastAsia="Palatino Linotype" w:hAnsi="Palatino Linotype" w:cs="Palatino Linotype"/>
          <w:i/>
          <w:sz w:val="22"/>
          <w:szCs w:val="22"/>
        </w:rPr>
        <w:t>sic</w:t>
      </w:r>
      <w:proofErr w:type="gramEnd"/>
      <w:r w:rsidRPr="00B05A03">
        <w:rPr>
          <w:rFonts w:ascii="Palatino Linotype" w:eastAsia="Palatino Linotype" w:hAnsi="Palatino Linotype" w:cs="Palatino Linotype"/>
          <w:i/>
          <w:sz w:val="22"/>
          <w:szCs w:val="22"/>
        </w:rPr>
        <w:t xml:space="preserve">) </w:t>
      </w:r>
    </w:p>
    <w:p w14:paraId="4E2C812D" w14:textId="77777777" w:rsidR="003707B3" w:rsidRPr="00B05A03" w:rsidRDefault="009B445B">
      <w:pPr>
        <w:spacing w:before="240" w:after="240" w:line="360" w:lineRule="auto"/>
        <w:ind w:right="49"/>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xml:space="preserve"> no adjuntó archivos:</w:t>
      </w:r>
    </w:p>
    <w:p w14:paraId="1C648AC5"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b/>
        </w:rPr>
        <w:t>Modalidad de Entrega:</w:t>
      </w:r>
      <w:r w:rsidRPr="00B05A03">
        <w:rPr>
          <w:rFonts w:ascii="Palatino Linotype" w:eastAsia="Palatino Linotype" w:hAnsi="Palatino Linotype" w:cs="Palatino Linotype"/>
        </w:rPr>
        <w:t xml:space="preserve"> a través </w:t>
      </w:r>
      <w:r w:rsidRPr="00B05A03">
        <w:rPr>
          <w:rFonts w:ascii="Palatino Linotype" w:eastAsia="Palatino Linotype" w:hAnsi="Palatino Linotype" w:cs="Palatino Linotype"/>
          <w:b/>
        </w:rPr>
        <w:t>de SAIMEX</w:t>
      </w:r>
    </w:p>
    <w:p w14:paraId="582C5EDD" w14:textId="77777777" w:rsidR="003707B3" w:rsidRPr="00B05A03" w:rsidRDefault="009B445B">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B05A03">
        <w:rPr>
          <w:rFonts w:ascii="Palatino Linotype" w:eastAsia="Palatino Linotype" w:hAnsi="Palatino Linotype" w:cs="Palatino Linotype"/>
          <w:b/>
        </w:rPr>
        <w:lastRenderedPageBreak/>
        <w:t xml:space="preserve">2. Respuesta. </w:t>
      </w:r>
      <w:r w:rsidRPr="00B05A03">
        <w:rPr>
          <w:rFonts w:ascii="Palatino Linotype" w:eastAsia="Palatino Linotype" w:hAnsi="Palatino Linotype" w:cs="Palatino Linotype"/>
        </w:rPr>
        <w:t>Con fecha</w:t>
      </w:r>
      <w:r w:rsidRPr="00B05A03">
        <w:rPr>
          <w:rFonts w:ascii="Palatino Linotype" w:eastAsia="Palatino Linotype" w:hAnsi="Palatino Linotype" w:cs="Palatino Linotype"/>
          <w:b/>
        </w:rPr>
        <w:t xml:space="preserve"> nueve de junio de dos mil veintitrés</w:t>
      </w:r>
      <w:r w:rsidRPr="00B05A03">
        <w:rPr>
          <w:rFonts w:ascii="Palatino Linotype" w:eastAsia="Palatino Linotype" w:hAnsi="Palatino Linotype" w:cs="Palatino Linotype"/>
        </w:rPr>
        <w:t xml:space="preserve">, el </w:t>
      </w:r>
      <w:r w:rsidRPr="00B05A03">
        <w:rPr>
          <w:rFonts w:ascii="Palatino Linotype" w:eastAsia="Palatino Linotype" w:hAnsi="Palatino Linotype" w:cs="Palatino Linotype"/>
          <w:b/>
        </w:rPr>
        <w:t xml:space="preserve">Sujeto Obligado </w:t>
      </w:r>
      <w:r w:rsidRPr="00B05A03">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9402013" w14:textId="77777777" w:rsidR="003707B3" w:rsidRPr="00B05A03" w:rsidRDefault="009B445B">
      <w:pPr>
        <w:spacing w:before="240" w:after="240"/>
        <w:ind w:left="851" w:right="902"/>
        <w:jc w:val="both"/>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i/>
          <w:sz w:val="22"/>
          <w:szCs w:val="22"/>
        </w:rPr>
        <w:t xml:space="preserve">“…ANEXO EL OFICIO DE RESPUESTA QUE A SU SOLICITUD LE ENTREGA LA (1) INSTITUTO MUNICIPAL PARA LA EQUIDAD DE GENERO Y EL DESARROLLO MUNICIPAL DE LAS MUJERES 1 “Por medio de la presente, reciba un cordial saludo, al mismo tiempo y en atención al seguimiento de la información solicitada, mediante el Sistema de Acceso a la Información Mexiquense SAIMEX, con folio de solicitud 00333/CUAUTIZC/IP/2023, la cual dice: “Solicito atentamente tenga a bien darme información sobre el presupuesto público que recibieron durante el año 2022, en que lo ejercieron y que resultados obtuvieron, por atención a la alerta de violencia de género contra las mujeres” (SIC). Respecto a lo que la letra dice: en que lo ejercieron y que resultados obtuvieron, por atención a la alerta de violencia de género contra las mujeres Con fundamento en el artículo 12 de la Ley de Transparencia y Acceso a la Información Pública del Estado de México y sus Municipios me permito informar lo siguiente: Durante el 2022 se ingresaron tres proyectos los cuales se describen a continuación: • </w:t>
      </w:r>
      <w:r w:rsidRPr="00B05A03">
        <w:rPr>
          <w:rFonts w:ascii="Palatino Linotype" w:eastAsia="Palatino Linotype" w:hAnsi="Palatino Linotype" w:cs="Palatino Linotype"/>
          <w:b/>
          <w:i/>
          <w:sz w:val="22"/>
          <w:szCs w:val="22"/>
        </w:rPr>
        <w:t xml:space="preserve">PROYECTO DE OPERACIÓN PARA LA MITIGACIÓN DE LA ALERTA DE VIOLENCIA DE GÉNERO POR FEMINICIDIO (ESTATAL) $4,982,618.78 (Cuatro millones Novecientos Ochenta y Dos mil Seiscientos Dieciocho pesos 78/100 M.N) </w:t>
      </w:r>
      <w:r w:rsidRPr="00B05A03">
        <w:rPr>
          <w:rFonts w:ascii="Palatino Linotype" w:eastAsia="Palatino Linotype" w:hAnsi="Palatino Linotype" w:cs="Palatino Linotype"/>
          <w:i/>
          <w:sz w:val="22"/>
          <w:szCs w:val="22"/>
        </w:rPr>
        <w:t xml:space="preserve">1. COMPRA DE TRES PATRULLAS Brindar vigilancia permanente en las zonas de mayor índice de violencia a las mujeres, proyectando la adquisición de tres vehículos (patrullas) para ser operadas por la Unidad de Atención a Víctimas del Delito de Violencia a Mujeres por Razón de Género en conjunto con la Comisaría de Seguridad Ciudadana. RESULTADOS Se fortaleció la capacidad de respuesta inmediata de la Unidad de Atención a Víctimas del Delito de Violencia a Mujeres por Razón de Género, para atender la violencia de género en contra de las Niñas, Adolescentes y Mujeres. Siendo posible a través de un correcto equipamiento para la eficacia y la rápida actuación en los protocolos. 2. COMPRA DE EQUIPAMIENTO TECNÓLOGICO A LA UNIDAD DE ANÁLISIS Y CONTEXTO Equipamiento Tecnológico adecuado para la Unidad de Análisis y Contexto que se encuentra adscrita a la Comisaría de Seguridad Ciudadana para el fortalecimiento de la atención a las víctimas de delitos de género y coordinar los trabajos de mapeo comunitario, georreferenciación municipal, manejo de base de </w:t>
      </w:r>
      <w:r w:rsidRPr="00B05A03">
        <w:rPr>
          <w:rFonts w:ascii="Palatino Linotype" w:eastAsia="Palatino Linotype" w:hAnsi="Palatino Linotype" w:cs="Palatino Linotype"/>
          <w:i/>
          <w:sz w:val="22"/>
          <w:szCs w:val="22"/>
        </w:rPr>
        <w:lastRenderedPageBreak/>
        <w:t xml:space="preserve">datos, planes de seguimiento, análisis estadístico, reclasificación de delitos para su judicialización y mapas de delitos vinculados a género. RESULTADOS El fortalecimiento de las acciones y la operación de los Protocolos Alba y </w:t>
      </w:r>
      <w:proofErr w:type="spellStart"/>
      <w:r w:rsidRPr="00B05A03">
        <w:rPr>
          <w:rFonts w:ascii="Palatino Linotype" w:eastAsia="Palatino Linotype" w:hAnsi="Palatino Linotype" w:cs="Palatino Linotype"/>
          <w:i/>
          <w:sz w:val="22"/>
          <w:szCs w:val="22"/>
        </w:rPr>
        <w:t>Amber</w:t>
      </w:r>
      <w:proofErr w:type="spellEnd"/>
      <w:r w:rsidRPr="00B05A03">
        <w:rPr>
          <w:rFonts w:ascii="Palatino Linotype" w:eastAsia="Palatino Linotype" w:hAnsi="Palatino Linotype" w:cs="Palatino Linotype"/>
          <w:i/>
          <w:sz w:val="22"/>
          <w:szCs w:val="22"/>
        </w:rPr>
        <w:t xml:space="preserve">, la coordinación entre la Comisaría de Seguridad Ciudadana, la Unidad de análisis y contexto, la Unidad de Atención a Víctimas del Delito de Violencia a Mujeres por Razón de Género y la Célula de Búsqueda Municipal. Incrementando la capacidad de respuesta obteniendo una mayor posibilidad a un pronóstico positivo ante la violencia en contra de las mujeres por desaparición. 1 EQUIPO DE COMPUTO PORTATIL EQUIPO DE COMPUTO PORTATIL (LAPTOP) HP OMEN 15_DH0003LA PIEZA 2 2 DISCO DURO EXTERNO DISCO DURO EXTERNO PIEZA 5 3. CAPACITACIÓN Y CERTIFICACIÓN A 30 SERVIDORAS Y SERVIDORES PÚBLICOS Profesionalizar y Certificar a Servidoras y Servidores Públicos en Atención de Primer Contacto a Mujeres Víctimas de Violencia de Género y Orientación Telefónica a Mujeres y Víctimas de Violencia, en los Estándar de </w:t>
      </w:r>
      <w:proofErr w:type="spellStart"/>
      <w:r w:rsidRPr="00B05A03">
        <w:rPr>
          <w:rFonts w:ascii="Palatino Linotype" w:eastAsia="Palatino Linotype" w:hAnsi="Palatino Linotype" w:cs="Palatino Linotype"/>
          <w:i/>
          <w:sz w:val="22"/>
          <w:szCs w:val="22"/>
        </w:rPr>
        <w:t>Comepetencia</w:t>
      </w:r>
      <w:proofErr w:type="spellEnd"/>
      <w:r w:rsidRPr="00B05A03">
        <w:rPr>
          <w:rFonts w:ascii="Palatino Linotype" w:eastAsia="Palatino Linotype" w:hAnsi="Palatino Linotype" w:cs="Palatino Linotype"/>
          <w:i/>
          <w:sz w:val="22"/>
          <w:szCs w:val="22"/>
        </w:rPr>
        <w:t xml:space="preserve"> EC0539 y EC0497 RESULTADOS La Capacitación de Servidoras y Servidores Públicos que brindan servicios a Mujeres víctimas de violencia de género, dio como resultado el garantizar el cumplimiento de los protocolos de manera rápida, evitando la </w:t>
      </w:r>
      <w:proofErr w:type="spellStart"/>
      <w:r w:rsidRPr="00B05A03">
        <w:rPr>
          <w:rFonts w:ascii="Palatino Linotype" w:eastAsia="Palatino Linotype" w:hAnsi="Palatino Linotype" w:cs="Palatino Linotype"/>
          <w:i/>
          <w:sz w:val="22"/>
          <w:szCs w:val="22"/>
        </w:rPr>
        <w:t>revictimización</w:t>
      </w:r>
      <w:proofErr w:type="spellEnd"/>
      <w:r w:rsidRPr="00B05A03">
        <w:rPr>
          <w:rFonts w:ascii="Palatino Linotype" w:eastAsia="Palatino Linotype" w:hAnsi="Palatino Linotype" w:cs="Palatino Linotype"/>
          <w:i/>
          <w:sz w:val="22"/>
          <w:szCs w:val="22"/>
        </w:rPr>
        <w:t xml:space="preserve"> de las personas. No. progresivo Concepto Descripción Unidad de Medida Cantidad 1 CERTIFICACIÓN Y CAPACITACIÓN EC0539 CAPACITACIÓN EC0539 ATENCIÓN DE PRIMER CONTACTO A MUJERES VÍCTIMAS DE VIOLENCIA CAPACITACIÓN 30 2 CERTIFICACIÓN Y CAPACITACIÓN EC0497 CAPACITACIÓN EC0497 ORIENTACIÓN TELEFÓNICA PARA MUJERES VÍCTIMAS DE VIOLENCIA BASADA EN EL GÉNERO CAPACITACIÓN 30 NOTA: No omito hacer mención que ya se realizó la comprobación de dicho recurso. </w:t>
      </w:r>
      <w:r w:rsidRPr="00B05A03">
        <w:rPr>
          <w:rFonts w:ascii="Palatino Linotype" w:eastAsia="Palatino Linotype" w:hAnsi="Palatino Linotype" w:cs="Palatino Linotype"/>
          <w:b/>
          <w:i/>
          <w:sz w:val="22"/>
          <w:szCs w:val="22"/>
        </w:rPr>
        <w:t>• PROYECTO DE OPERACIÓN PARA LA MITIGACIÓN DE LA ALERTA DE VIOELNCIA DE GÉNERO POR DESAPARICIÓN DE NIÑAS, ADOLESCENTES Y MUJERES (ESTATAL) $2,177,668.28 (Dos Millones Ciento Setenta y Siete Mil Seiscientos Sesenta y ocho pesos 28/100)</w:t>
      </w:r>
      <w:r w:rsidRPr="00B05A03">
        <w:rPr>
          <w:rFonts w:ascii="Palatino Linotype" w:eastAsia="Palatino Linotype" w:hAnsi="Palatino Linotype" w:cs="Palatino Linotype"/>
          <w:i/>
          <w:sz w:val="22"/>
          <w:szCs w:val="22"/>
        </w:rPr>
        <w:t xml:space="preserve"> 1. ADQUISICIÓN DE UNIDAD MÓVIL PARA EL INSTITUTO MUNICIPAL PARA LA EQUIDAD DE GÉNERO Y EL DESARROLLO DE LAS MUJERES Con la adquisición de la unidad móvil se fortalecerán las acciones de atención y prevención de delitos en materia de género, la atención de emergencia de manera eficaz, rápida y de calidad a las víctimas, un traslado digno con el acompañamiento del personal multidisciplinario necesario para cumplir con los protocolos establecidos de acompañamiento RESULTADOS Fortalecer e incrementar la capacidad de respuesta, a través del equipamiento óptimo para el traslado de la víctima y su familia, así como del personal necesario para la </w:t>
      </w:r>
      <w:r w:rsidRPr="00B05A03">
        <w:rPr>
          <w:rFonts w:ascii="Palatino Linotype" w:eastAsia="Palatino Linotype" w:hAnsi="Palatino Linotype" w:cs="Palatino Linotype"/>
          <w:i/>
          <w:sz w:val="22"/>
          <w:szCs w:val="22"/>
        </w:rPr>
        <w:lastRenderedPageBreak/>
        <w:t xml:space="preserve">atención y operación de los protocolos para salvaguardar la integridad de la víctima. No. progresivo Concepto Descripción Unidad de Medida Cantidad 1 CAMIONETA DE 17 PASAJEROS CAMIONETA CON ASIENTOS PARA 17 PASAJEROS UNIDAD 1 2. COMPRA DE EQUIPAMIENTO TECNÓLOGICO A LA UNIDAD DE ANÁLISIS Y CONTEXTO Fortalecer la Unidad de Análisis y Contexto, con el fin de garantizar la información sobre el delito de feminicidio, georreferenciación con la adquisición de Equipamiento tecnológico especializado para atender la violencia en contra de Niñas, Adolescentes y Mujeres. El incremento de la información de los posibles patrones del delito de feminicidio, los perfiles de las víctimas y victimarios, el modus operandi de los victimarios, el estudio de las posibles líneas de investigación y análisis de telefonía, el contar con un equipo tecnológico y de vanguardia es fundamental. RESULTADOS Realización de un diagnóstico adecuado de georreferenciación municipal en donde se incluya un análisis estadístico, el manejo de bases de datos, los mapeos comunitarios y los mapas de rutas de las zonas de mayor incidencia de violencia de género, desapariciones, feminicidios y delitos vinculados a estos. Con la elaboración de planes de seguimiento, patrones de desaparición, perfiles de víctimas y victimarios, líneas de investigación, análisis de telefonía y modus ‘operandi, en coordinación con la Comisaría de Seguridad Ciudadana, la Unidad de Atención a Víctimas del Delito de Violencia a Mujeres por Razón de Género y la Célula de Búsqueda Municipal. No. Progresivo Concepto Descripción Unidad de Medida Cantidad 1 EQUIPO DE COMPUTO DE ESCRITORIO EQUIPO DE COMPUTO DE ESCRITORIO (ALL IN ONE HP PAVILON 24-K0000LA) PIEZA 5 2 DISCO DURO EXTERNO DISCO DURO EXTERNO PIEZA 5 3 QUEMADOR DE BLUE-RAY QUEMADOR DE BLUE RAY EXTERNO BUFFALO USB, COMPATIBLE CON BULUE RAY,DVD Y CD´S PIEZA 1 4 NO BREAK NO BREAK BASIC 480 VA, 8 CONTACTOS PIEZA 5 5 ROUTEADOR INALAMBRICO ROUTEADOR INALAMBRICO TP-LINK ARHCER AX6000 WI-FI6 PIEZA 1 6 SILLA EJECUTIVA SILLA EJECUTIVA PIEZA 5 7 IMPRESORA A COLOR IMPRESORA HP COLOR LASERJET PRO M454DW PIEZA 1 8 PLOTER A COLOR PLOTER HP DESIGNJET T830 A COLOR PIEZA 1 9 PANTALLA DE 65” PANTALLA DE 65” SONYX900 H LED 4K PIEZA 1 10 AURICULARES (DIADEMA) DIADEMA OMEN BY HP 800 PIEZA 5 11 REPODUCTOR DE BLUE RAY REPRODUCTOR DE BLUE RAY DISC WIFI SONY PIEZA 1 12 PANTALLA INTERACTIVA WIEWSONIC PANTALLA INTERACTIVE LED 55” 4K PIEZA 1 13 VIDEO CAMARA VIDEO CAMARA SONY AX700 4K HDR PIEZA 1 14 CAMÁRA FOTOGRÁFICA CAMARA CANON 60 MARK CON LETE EF 24-105 MM </w:t>
      </w:r>
      <w:r w:rsidRPr="00B05A03">
        <w:rPr>
          <w:rFonts w:ascii="Palatino Linotype" w:eastAsia="Palatino Linotype" w:hAnsi="Palatino Linotype" w:cs="Palatino Linotype"/>
          <w:i/>
          <w:sz w:val="22"/>
          <w:szCs w:val="22"/>
        </w:rPr>
        <w:lastRenderedPageBreak/>
        <w:t xml:space="preserve">USM PIEZA 1 15 ESCANER </w:t>
      </w:r>
      <w:proofErr w:type="spellStart"/>
      <w:r w:rsidRPr="00B05A03">
        <w:rPr>
          <w:rFonts w:ascii="Palatino Linotype" w:eastAsia="Palatino Linotype" w:hAnsi="Palatino Linotype" w:cs="Palatino Linotype"/>
          <w:i/>
          <w:sz w:val="22"/>
          <w:szCs w:val="22"/>
        </w:rPr>
        <w:t>ESCANER</w:t>
      </w:r>
      <w:proofErr w:type="spellEnd"/>
      <w:r w:rsidRPr="00B05A03">
        <w:rPr>
          <w:rFonts w:ascii="Palatino Linotype" w:eastAsia="Palatino Linotype" w:hAnsi="Palatino Linotype" w:cs="Palatino Linotype"/>
          <w:i/>
          <w:sz w:val="22"/>
          <w:szCs w:val="22"/>
        </w:rPr>
        <w:t xml:space="preserve"> HP SCAN JET ENTERPRISE FLOW 700 USB PIEZA 1 16 KIT DE CAMARAS DE SEGURIDAD KIT IP INALAMBRICO 4 MEGAPIXEL/NVR 4 CANALES/4 CAMARAS BALA PARA EXTERIOR/ 1 HDD DE 1 TB/ MODO REPRODUCTOR NK44WOH-IT (WD)(D) PIEZA 1 17 TELÉFONO IP TELEFÓNO IP POLY COM SOUNDSTATION IP 6000 PARA CONFERENCIA, 14000HZ PIEZA 1 3. FORTALECIMIENTO DEL EQUIPO MULTIDISCIPLINARIO, DEL EQUIPO DE PROXIMIDAD Y EQUIPO TECNOLÓGICO Un equipamiento adecuado para la atención de primer contacto psicológico y de servicios especializados a las mujeres víctimas de violencia de género y en riesgo de ser víctimas de feminicidio. Es necesario la adquisición del mobiliario y equipo necesario para poder realizar sus actividades y acciones que garanticen </w:t>
      </w:r>
      <w:proofErr w:type="gramStart"/>
      <w:r w:rsidRPr="00B05A03">
        <w:rPr>
          <w:rFonts w:ascii="Palatino Linotype" w:eastAsia="Palatino Linotype" w:hAnsi="Palatino Linotype" w:cs="Palatino Linotype"/>
          <w:i/>
          <w:sz w:val="22"/>
          <w:szCs w:val="22"/>
        </w:rPr>
        <w:t>un servicio esencial, urgente e inmediatos</w:t>
      </w:r>
      <w:proofErr w:type="gramEnd"/>
      <w:r w:rsidRPr="00B05A03">
        <w:rPr>
          <w:rFonts w:ascii="Palatino Linotype" w:eastAsia="Palatino Linotype" w:hAnsi="Palatino Linotype" w:cs="Palatino Linotype"/>
          <w:i/>
          <w:sz w:val="22"/>
          <w:szCs w:val="22"/>
        </w:rPr>
        <w:t xml:space="preserve"> en situaciones de riesgo. Salvaguardando la integridad física de las mujeres, hijas e hijos con el servicio psicológico y jurídico especializados que se otorgan de manera gratuita en el Instituto Municipal para la Equidad de Género y el Desarrollo de las Mujeres, asimismo, en su cede Centro de Desarrollo Comunitario con Atención a la Mujer "Leona Vicario”. La movilidad del equipo multidisciplinario y el equipo de proximidad tiene el fin de brindar atención de calidad a mujeres en situación de vulnerabilidad a nivel comunitario. Teniendo como prioridad el mecanismo, la atención, prevención y protección a mujeres, sus hijas e hijos que se encuentren bajo una situación de violencia de género y/o cualquier delito vinculado a esta. Este servicio es para atender principalmente a las mujeres que viven en las zonas más alejadas que se encuentren en situación de riesgo y no cuentan con la economía para moverse y se requiera del servicio especializado del equipo multidisciplinario Dicho equipo acude en binomio (licenciada o licenciado en derecho y licenciada en psicología) para poder brindar un servicio integral a las ciudadanas que así lo requieran. RESULTADOS La ampliación de los servicios especializados y gratuitos a las mujeres y niñas víctimas de violencia que lo requieran, además de apoyarlas para que las instituciones correspondientes les den las medidas de protección y seguridad que requieran, en este contexto se habilitarán dos consultorios de psicología dentro del Instituto Municipal para la Equidad de Género y el Desarrollo de las Mujeres, con el fin de poder garantizar un servicio de calidad a las mujeres víctimas de violencia de género y a sus familias (Tres consultorios psicología) Además de fortalecer la capacidad de respuesta inmediata por parte del equipo multidisciplinario y de proximidad a la ciudadanía del Instituto Municipal para la Equidad de Género en materia de prevención de violencia de género, tipos y modalidades y/o algún delito vinculado a esta en el que se deba salvaguardar la integridad física y mental de las víctimas por </w:t>
      </w:r>
      <w:r w:rsidRPr="00B05A03">
        <w:rPr>
          <w:rFonts w:ascii="Palatino Linotype" w:eastAsia="Palatino Linotype" w:hAnsi="Palatino Linotype" w:cs="Palatino Linotype"/>
          <w:i/>
          <w:sz w:val="22"/>
          <w:szCs w:val="22"/>
        </w:rPr>
        <w:lastRenderedPageBreak/>
        <w:t xml:space="preserve">violencia. No. Progresivo Concepto Descripción Unidad de Medida Cantidad 1 DIVÁN </w:t>
      </w:r>
      <w:proofErr w:type="spellStart"/>
      <w:r w:rsidRPr="00B05A03">
        <w:rPr>
          <w:rFonts w:ascii="Palatino Linotype" w:eastAsia="Palatino Linotype" w:hAnsi="Palatino Linotype" w:cs="Palatino Linotype"/>
          <w:i/>
          <w:sz w:val="22"/>
          <w:szCs w:val="22"/>
        </w:rPr>
        <w:t>DIVÁN</w:t>
      </w:r>
      <w:proofErr w:type="spellEnd"/>
      <w:r w:rsidRPr="00B05A03">
        <w:rPr>
          <w:rFonts w:ascii="Palatino Linotype" w:eastAsia="Palatino Linotype" w:hAnsi="Palatino Linotype" w:cs="Palatino Linotype"/>
          <w:i/>
          <w:sz w:val="22"/>
          <w:szCs w:val="22"/>
        </w:rPr>
        <w:t xml:space="preserve"> HOMETRENDS CAPITONADO EN COLOR ROSA PIEZA 3 2 SCANNER </w:t>
      </w:r>
      <w:proofErr w:type="spellStart"/>
      <w:r w:rsidRPr="00B05A03">
        <w:rPr>
          <w:rFonts w:ascii="Palatino Linotype" w:eastAsia="Palatino Linotype" w:hAnsi="Palatino Linotype" w:cs="Palatino Linotype"/>
          <w:i/>
          <w:sz w:val="22"/>
          <w:szCs w:val="22"/>
        </w:rPr>
        <w:t>SCANNER</w:t>
      </w:r>
      <w:proofErr w:type="spellEnd"/>
      <w:r w:rsidRPr="00B05A03">
        <w:rPr>
          <w:rFonts w:ascii="Palatino Linotype" w:eastAsia="Palatino Linotype" w:hAnsi="Palatino Linotype" w:cs="Palatino Linotype"/>
          <w:i/>
          <w:sz w:val="22"/>
          <w:szCs w:val="22"/>
        </w:rPr>
        <w:t xml:space="preserve"> PIEZA 2 3 ROUTER INALAMBRICO ROUTER INALAMBRICO TP-LINK ARCHER AX6000 WI FI 6 PIEZA 2 4 COMPUTADORA LAPTOP DELL COMPUTADORA LAPTOP DEL INSPIRON G15 5500 INTEL CORE i7 10XXX 16GB 512 GB SSD GEFORECE PIEZA 4 5 COMPUTADORA LAPTOP HP COMPUTADORA LAPTOP HP 240 G8 INTEL CORE i3 GEN 10 TH 4GB RAM 500 GB DD PIEZA 4 6 COMPUTADORA DE ESCRITORIO EQUIPO DESKTOP ALL IN ONE HP INTEL CORE i7 RAM 8 GB RAM 2TB PIEZA 3 7 MULTIFUNCIONAL A COLOR (IMPRESORA) MULTIFUNCIONAL (IMPRESORA) BROTHER MFC-T920DW A COLOR PIEZA 4 8 EQUIPO DE PROYECCIÓN Y VIDEO EQUIPO DE PROYECCIÓN Y VIDEO (PROYECTOR) PIEZA 2 9 EQUIPO DE PERIFONEO EQUIPO PROFESIONAL DE PERIFONEO PIEZA 1 10 MOTONETA </w:t>
      </w:r>
      <w:proofErr w:type="spellStart"/>
      <w:r w:rsidRPr="00B05A03">
        <w:rPr>
          <w:rFonts w:ascii="Palatino Linotype" w:eastAsia="Palatino Linotype" w:hAnsi="Palatino Linotype" w:cs="Palatino Linotype"/>
          <w:i/>
          <w:sz w:val="22"/>
          <w:szCs w:val="22"/>
        </w:rPr>
        <w:t>MOTONETA</w:t>
      </w:r>
      <w:proofErr w:type="spellEnd"/>
      <w:r w:rsidRPr="00B05A03">
        <w:rPr>
          <w:rFonts w:ascii="Palatino Linotype" w:eastAsia="Palatino Linotype" w:hAnsi="Palatino Linotype" w:cs="Palatino Linotype"/>
          <w:i/>
          <w:sz w:val="22"/>
          <w:szCs w:val="22"/>
        </w:rPr>
        <w:t xml:space="preserve"> DE 150 CC PIEZA 1 11 CASCO PROTECTOR DE MOTOCICLISTA CASCO PROTECTOR DE MOTOCICLISTA PIEZA 4 12 CHALECOS CHALECO AZUL MARINO EN TELA CON BORDADO DE LOGOTIPO DE IMEGDEM Y LOGOTIPO INSTITUCIONAL PIEZA 30 4. MEDIDAS DE ATENCIÓN (CAMPAÑAS DE DIFUSIÓN) Realizar jornadas informativas, campañas de Difusión y/</w:t>
      </w:r>
      <w:proofErr w:type="spellStart"/>
      <w:r w:rsidRPr="00B05A03">
        <w:rPr>
          <w:rFonts w:ascii="Palatino Linotype" w:eastAsia="Palatino Linotype" w:hAnsi="Palatino Linotype" w:cs="Palatino Linotype"/>
          <w:i/>
          <w:sz w:val="22"/>
          <w:szCs w:val="22"/>
        </w:rPr>
        <w:t>o</w:t>
      </w:r>
      <w:proofErr w:type="spellEnd"/>
      <w:r w:rsidRPr="00B05A03">
        <w:rPr>
          <w:rFonts w:ascii="Palatino Linotype" w:eastAsia="Palatino Linotype" w:hAnsi="Palatino Linotype" w:cs="Palatino Linotype"/>
          <w:i/>
          <w:sz w:val="22"/>
          <w:szCs w:val="22"/>
        </w:rPr>
        <w:t xml:space="preserve"> operativos de género al transporte público a nivel municipal y comunitario para la prevención de la Violencia de Género contra las mujeres en las zonas de mayor índice de violencia; asimismo en todo el territorio municipal. Con el fin de que las personas puedan visibilizar los tipos de violencia y sus modalidades y prevenir el feminicidio, los alcances de la alerta de género y los servicios especializados con los que cuenta el Instituto Municipal para la Equidad de Género y el Desarrollo de las Mujeres. RESULTADOS La difusión de la existencia de servicios especializados y de las instituciones que se dedican a la defensa de los derechos de las mujeres, los cuales tienen como eje vector el apoyo tanto de las víctimas como de su familia. Una población informada va visibilizar la violencia de género en contra de Niñas, Adolescentes y Mujeres y como consecuencia generar la conciencia social de la prevención, atención y denuncia, mitigando y en su momento erradicando el feminicidio en el municipio. No. Progresivo Concepto Descripción Unidad de Medida Cantidad 1 VIOLENTOMETROS (SEPARADORES) IMPRESOS SEPARADORES DE VIOLENTOMETROS A COLOR MILLAR 47 2 TRIPTICOS IMPRESOS TRIPTICOS IMPRESOS A COLOR MILLAR 53 3 BANNER “TIPOS Y MODALIDADES” BANNER DE 80X80 MTS CON ESTRUCTURA PIEZA 100 4 BANNER “VIOLENTOMETRO” BANNER </w:t>
      </w:r>
      <w:r w:rsidRPr="00B05A03">
        <w:rPr>
          <w:rFonts w:ascii="Palatino Linotype" w:eastAsia="Palatino Linotype" w:hAnsi="Palatino Linotype" w:cs="Palatino Linotype"/>
          <w:i/>
          <w:sz w:val="22"/>
          <w:szCs w:val="22"/>
        </w:rPr>
        <w:lastRenderedPageBreak/>
        <w:t xml:space="preserve">DE 80X80 MTS CON ESTRUCTURA PIEZA 100 5 BANNER”CICLO DE VIOLENCIA” BANNER DE 80X80 MTS CON ESTRUCTURA PIEZA 100 6 BANNER “TIPO DE ALERTAS” BANNER DE 80X80 MTS CON ESTRUCTURA PIEZA 50 7 CUADERNILLOS INFORMATIVOS CUADERNILLOS INFORMATIVOS, FORMA FRANCESA, CON IMPRESIÓN EN SELECCIÓN DE COLOR EN PORTADA Y CONTRAPORTADA E INTERIORES CON IMPRESIÓN Y FONDA DE AGUA, TERMINANDO CON ESPIRAL Y PORTADA EN BARNIZ UV PIEZA 5500 8 LONA “CICLO DE VIOLENCIA” LONAS DE 2X2 PIEZA 100 5. MEDIDAS DE ATENCIÓN, ASISTENCIA Y REPARACIÓN A VÍCTIMAS (MEMORAIAL A VÍCTIMAS DE FEMINICIDIO Y DESAPARICIÓN) La realización de un Memorial. Un Mural y una placa Conmemorativa con la leyenda “CUAUTITLÁN IZCALLI NO LAS VA A OLVIDAR” con el objetivo de recordar los feminicidios de Niñas, Adolescentes y Mujeres, en el que se realizaran prácticas de conmemoración y memoria, relacionado a los acontecimientos que constituyen una violación a los derechos humanos y que generen el recordatorio a las autoridades y la sociedad en general, la no repetición de estos hechos. RESULTADOS La media de la restitución integral de las víctimas y sus familias, en atención al artículo 63.1 de la Convención Interamericana sobre Derechos Humanos (CADH), así como contar con un espacio en el cual no se olviden las medidas de restitución integral, por motivo de violencia en razón de género. 6. RESCATE DE ESPACIOS PÚBLICOS (SENDA ILUMINADA MUJER SEGURA) La implementación de equipos de iluminación de manera focalizada para intervenir los espacios con menos alumbrado público y que derivado de esto, son lugares con alto índice delictivo en razón de género. Realizando un diagnóstico en conjunto con la Comisaría de Seguridad Pública, la Unidad de Atención a Víctimas del Delito de Violencia a Mujeres por Razón de Género, la Dirección de Servicios Públicos (alumbrado) y el Instituto Municipal para la Equidad de Género y el Desarrollo de las Mujeres. IMEGDEM, con la finalidad de identificar dichos lugares públicos. La percepción de inseguridad, el haber sido víctima de algún delito o la posible amenaza de poder serlo, modifica el comportamiento cotidiano y los hábitos de la población principalmente en las Mujeres, Adolescentes y Niñas, derivando consecuencias graves en su ritmo de entorno social y de familia. RESULTADOS La intervención de espacios públicos tuvo dos perspectivas para contribuir a un modelo de recuperación de espacios públicos: 1) desde el Enfoque de Seguridad y 2) El Enfoque de Género. La intervención de alumbrado retoma ambas perspectivas, al haberse proyectado de manera coordinada y transversal con el Instituto Municipal para la Equidad de Género y el Desarrollo de las </w:t>
      </w:r>
      <w:r w:rsidRPr="00B05A03">
        <w:rPr>
          <w:rFonts w:ascii="Palatino Linotype" w:eastAsia="Palatino Linotype" w:hAnsi="Palatino Linotype" w:cs="Palatino Linotype"/>
          <w:i/>
          <w:sz w:val="22"/>
          <w:szCs w:val="22"/>
        </w:rPr>
        <w:lastRenderedPageBreak/>
        <w:t xml:space="preserve">Mujeres IMEGDEM, la Comisaría de Seguridad Ciudadana, la Unidad de Atención a Víctimas del Delito a Mujeres por Razón de Género y la Dirección de Servicios Públicos. Un espacio con perspectiva de género resulta prioritario, el comprender los sentimientos de la percepción de un lugar seguro de las Mujeres, Adolescentes y Niñas, y la realización de acciones para la mitigación y prevención de la violencia y los delitos que de ella se derivan en todos los ámbitos de la vida de las mujeres. Y con esto se propicia la disminución de los delitos en razón de género. Calles y Avenidas que han tenido alta incidencia delictiva y que han tenido algún tipo de violencia por razón de género por falta de equipo de iluminación. • A continuación, se numeran las zonas a </w:t>
      </w:r>
      <w:proofErr w:type="gramStart"/>
      <w:r w:rsidRPr="00B05A03">
        <w:rPr>
          <w:rFonts w:ascii="Palatino Linotype" w:eastAsia="Palatino Linotype" w:hAnsi="Palatino Linotype" w:cs="Palatino Linotype"/>
          <w:i/>
          <w:sz w:val="22"/>
          <w:szCs w:val="22"/>
        </w:rPr>
        <w:t>intervenir :</w:t>
      </w:r>
      <w:proofErr w:type="gramEnd"/>
      <w:r w:rsidRPr="00B05A03">
        <w:rPr>
          <w:rFonts w:ascii="Palatino Linotype" w:eastAsia="Palatino Linotype" w:hAnsi="Palatino Linotype" w:cs="Palatino Linotype"/>
          <w:i/>
          <w:sz w:val="22"/>
          <w:szCs w:val="22"/>
        </w:rPr>
        <w:t xml:space="preserve"> Proyecto 1 • Calle 28 de julio Colonia plan de Guadalupe • Calle Torre Omega Colonia Santa María Guadalupe las Torres 1ª. Sección • Calle Hacienda Gladiolas Jardines de la Hacienda Proyecto 2 • Calle </w:t>
      </w:r>
      <w:proofErr w:type="spellStart"/>
      <w:r w:rsidRPr="00B05A03">
        <w:rPr>
          <w:rFonts w:ascii="Palatino Linotype" w:eastAsia="Palatino Linotype" w:hAnsi="Palatino Linotype" w:cs="Palatino Linotype"/>
          <w:i/>
          <w:sz w:val="22"/>
          <w:szCs w:val="22"/>
        </w:rPr>
        <w:t>Axayacatl</w:t>
      </w:r>
      <w:proofErr w:type="spellEnd"/>
      <w:r w:rsidRPr="00B05A03">
        <w:rPr>
          <w:rFonts w:ascii="Palatino Linotype" w:eastAsia="Palatino Linotype" w:hAnsi="Palatino Linotype" w:cs="Palatino Linotype"/>
          <w:i/>
          <w:sz w:val="22"/>
          <w:szCs w:val="22"/>
        </w:rPr>
        <w:t xml:space="preserve"> Pueblo de </w:t>
      </w:r>
      <w:proofErr w:type="spellStart"/>
      <w:r w:rsidRPr="00B05A03">
        <w:rPr>
          <w:rFonts w:ascii="Palatino Linotype" w:eastAsia="Palatino Linotype" w:hAnsi="Palatino Linotype" w:cs="Palatino Linotype"/>
          <w:i/>
          <w:sz w:val="22"/>
          <w:szCs w:val="22"/>
        </w:rPr>
        <w:t>Axotlan</w:t>
      </w:r>
      <w:proofErr w:type="spellEnd"/>
      <w:r w:rsidRPr="00B05A03">
        <w:rPr>
          <w:rFonts w:ascii="Palatino Linotype" w:eastAsia="Palatino Linotype" w:hAnsi="Palatino Linotype" w:cs="Palatino Linotype"/>
          <w:i/>
          <w:sz w:val="22"/>
          <w:szCs w:val="22"/>
        </w:rPr>
        <w:t xml:space="preserve"> • Calle Real del Monte Colonia Santa Rosa de Lima • Avenida Huehuetoca Jardines de la Hacienda • Calle Río Verde Colonia Ejidos del Socorro • Calle Río Azul Colonia Ejidos del Socorro • Calle Miguel Gómez Morín Ejidos del Socorro • Camino a San Francisco </w:t>
      </w:r>
      <w:proofErr w:type="spellStart"/>
      <w:r w:rsidRPr="00B05A03">
        <w:rPr>
          <w:rFonts w:ascii="Palatino Linotype" w:eastAsia="Palatino Linotype" w:hAnsi="Palatino Linotype" w:cs="Palatino Linotype"/>
          <w:i/>
          <w:sz w:val="22"/>
          <w:szCs w:val="22"/>
        </w:rPr>
        <w:t>Tepojaco</w:t>
      </w:r>
      <w:proofErr w:type="spellEnd"/>
      <w:r w:rsidRPr="00B05A03">
        <w:rPr>
          <w:rFonts w:ascii="Palatino Linotype" w:eastAsia="Palatino Linotype" w:hAnsi="Palatino Linotype" w:cs="Palatino Linotype"/>
          <w:i/>
          <w:sz w:val="22"/>
          <w:szCs w:val="22"/>
        </w:rPr>
        <w:t xml:space="preserve"> Pueblo de la Aurora • Calle Guadalupe Victoria Pueblo de San Francisco </w:t>
      </w:r>
      <w:proofErr w:type="spellStart"/>
      <w:r w:rsidRPr="00B05A03">
        <w:rPr>
          <w:rFonts w:ascii="Palatino Linotype" w:eastAsia="Palatino Linotype" w:hAnsi="Palatino Linotype" w:cs="Palatino Linotype"/>
          <w:i/>
          <w:sz w:val="22"/>
          <w:szCs w:val="22"/>
        </w:rPr>
        <w:t>Tepojaco</w:t>
      </w:r>
      <w:proofErr w:type="spellEnd"/>
      <w:r w:rsidRPr="00B05A03">
        <w:rPr>
          <w:rFonts w:ascii="Palatino Linotype" w:eastAsia="Palatino Linotype" w:hAnsi="Palatino Linotype" w:cs="Palatino Linotype"/>
          <w:i/>
          <w:sz w:val="22"/>
          <w:szCs w:val="22"/>
        </w:rPr>
        <w:t xml:space="preserve"> • Calle del Árbol Pueblo de San Francisco </w:t>
      </w:r>
      <w:proofErr w:type="spellStart"/>
      <w:r w:rsidRPr="00B05A03">
        <w:rPr>
          <w:rFonts w:ascii="Palatino Linotype" w:eastAsia="Palatino Linotype" w:hAnsi="Palatino Linotype" w:cs="Palatino Linotype"/>
          <w:i/>
          <w:sz w:val="22"/>
          <w:szCs w:val="22"/>
        </w:rPr>
        <w:t>Tepojaco</w:t>
      </w:r>
      <w:proofErr w:type="spellEnd"/>
      <w:r w:rsidRPr="00B05A03">
        <w:rPr>
          <w:rFonts w:ascii="Palatino Linotype" w:eastAsia="Palatino Linotype" w:hAnsi="Palatino Linotype" w:cs="Palatino Linotype"/>
          <w:i/>
          <w:sz w:val="22"/>
          <w:szCs w:val="22"/>
        </w:rPr>
        <w:t xml:space="preserve"> • Calle Manzanas Pueblo de San Francisco </w:t>
      </w:r>
      <w:proofErr w:type="spellStart"/>
      <w:r w:rsidRPr="00B05A03">
        <w:rPr>
          <w:rFonts w:ascii="Palatino Linotype" w:eastAsia="Palatino Linotype" w:hAnsi="Palatino Linotype" w:cs="Palatino Linotype"/>
          <w:i/>
          <w:sz w:val="22"/>
          <w:szCs w:val="22"/>
        </w:rPr>
        <w:t>Tepojaco</w:t>
      </w:r>
      <w:proofErr w:type="spellEnd"/>
      <w:r w:rsidRPr="00B05A03">
        <w:rPr>
          <w:rFonts w:ascii="Palatino Linotype" w:eastAsia="Palatino Linotype" w:hAnsi="Palatino Linotype" w:cs="Palatino Linotype"/>
          <w:i/>
          <w:sz w:val="22"/>
          <w:szCs w:val="22"/>
        </w:rPr>
        <w:t xml:space="preserve"> • Calle </w:t>
      </w:r>
      <w:proofErr w:type="spellStart"/>
      <w:r w:rsidRPr="00B05A03">
        <w:rPr>
          <w:rFonts w:ascii="Palatino Linotype" w:eastAsia="Palatino Linotype" w:hAnsi="Palatino Linotype" w:cs="Palatino Linotype"/>
          <w:i/>
          <w:sz w:val="22"/>
          <w:szCs w:val="22"/>
        </w:rPr>
        <w:t>Cuitlahuac</w:t>
      </w:r>
      <w:proofErr w:type="spellEnd"/>
      <w:r w:rsidRPr="00B05A03">
        <w:rPr>
          <w:rFonts w:ascii="Palatino Linotype" w:eastAsia="Palatino Linotype" w:hAnsi="Palatino Linotype" w:cs="Palatino Linotype"/>
          <w:i/>
          <w:sz w:val="22"/>
          <w:szCs w:val="22"/>
        </w:rPr>
        <w:t xml:space="preserve"> Colonia Fidel Velázquez Proyecto 3 • Desde Av. Huehuetoca – Entrada al Pueblo de Santa Bárbara (3.8 </w:t>
      </w:r>
      <w:proofErr w:type="spellStart"/>
      <w:r w:rsidRPr="00B05A03">
        <w:rPr>
          <w:rFonts w:ascii="Palatino Linotype" w:eastAsia="Palatino Linotype" w:hAnsi="Palatino Linotype" w:cs="Palatino Linotype"/>
          <w:i/>
          <w:sz w:val="22"/>
          <w:szCs w:val="22"/>
        </w:rPr>
        <w:t>kilometros</w:t>
      </w:r>
      <w:proofErr w:type="spellEnd"/>
      <w:r w:rsidRPr="00B05A03">
        <w:rPr>
          <w:rFonts w:ascii="Palatino Linotype" w:eastAsia="Palatino Linotype" w:hAnsi="Palatino Linotype" w:cs="Palatino Linotype"/>
          <w:i/>
          <w:sz w:val="22"/>
          <w:szCs w:val="22"/>
        </w:rPr>
        <w:t xml:space="preserve"> de iluminación) Proyecto 1 MUJER SEGURA No. Progresivo Concepto Descripción Unidad de Medida Cantidad 1 LUMINARIA DE VIALIDAD LUMINARIA DE VIALIDAD MODELO T2Q-1-36-400-75 VOLTAJE DE ENTRADA 100-277 V. POTENCIA 95WATTS CHIP LUMILED LUXEON 5050 FLUJO LUMINOSO 12,375 LÚMENES EFICIENCIA 150 165 MODULO IP68 (SUMERGIBLE) RESISTENCIA CONTRA IMPACTOS IK-10(ANTIVANDALISMO) PIEZA 10 2 LUMINARIA DE VIALIDAD LUMINARIA DE VIALIDAD MODELO T2Q-1-36-400-95 VOLTAJE DE ENTRADA 100-277 V. POTENCIA 95WATTS CHIP LUMILED LUXEON 5050 FLUJO LUMINOSO 14,725 LÚMENES EFICIENCIA 150 165 MODULO IP68 (SUMERGIBLE) RESISTENCIA CONTRA IMPACTOS IK-10(ANTIVANDALISMO) PIEZA 59 3 POSTES COLOR BLANCO POSTES 9 METROS RECTO CIRCULAR COLOR BLANCO PIEZA 12 4 REFLECTOR DE LED REFLECTOR DE LED 100W 100-240V 6500K P.F 0.9 120º 35000 HR PIEZA 2 5 SLP UFO LED SLP UFO LED HIGHBAY 100W 100-277V 120º IP65 P.F. 0.95 IRC MAYOR A 80 50,000 HR PIEZA 2 6 SLPL LUMINARIO PUNTA DE POSTE SLP LUMINARIO PUNTA DE POSTE LED 60W 100-277K IP65 P.F. 0.95 IRC MAYOR 70 CON FOTOCELDA 7200LM CUERPO DE ALUMINIO </w:t>
      </w:r>
      <w:r w:rsidRPr="00B05A03">
        <w:rPr>
          <w:rFonts w:ascii="Palatino Linotype" w:eastAsia="Palatino Linotype" w:hAnsi="Palatino Linotype" w:cs="Palatino Linotype"/>
          <w:i/>
          <w:sz w:val="22"/>
          <w:szCs w:val="22"/>
        </w:rPr>
        <w:lastRenderedPageBreak/>
        <w:t xml:space="preserve">TEMINADO EN COLOR NEGRO 35,000HR. PIEZA 2 7 CABLE DE COBRE CABLE DE COBRE PIEZA 4 8 BOBINAS </w:t>
      </w:r>
      <w:proofErr w:type="spellStart"/>
      <w:r w:rsidRPr="00B05A03">
        <w:rPr>
          <w:rFonts w:ascii="Palatino Linotype" w:eastAsia="Palatino Linotype" w:hAnsi="Palatino Linotype" w:cs="Palatino Linotype"/>
          <w:i/>
          <w:sz w:val="22"/>
          <w:szCs w:val="22"/>
        </w:rPr>
        <w:t>BOBINAS</w:t>
      </w:r>
      <w:proofErr w:type="spellEnd"/>
      <w:r w:rsidRPr="00B05A03">
        <w:rPr>
          <w:rFonts w:ascii="Palatino Linotype" w:eastAsia="Palatino Linotype" w:hAnsi="Palatino Linotype" w:cs="Palatino Linotype"/>
          <w:i/>
          <w:sz w:val="22"/>
          <w:szCs w:val="22"/>
        </w:rPr>
        <w:t xml:space="preserve"> PIEZA 2 9 BASE DE CONCRETO BASE DE CONCRETO TIPO PIRAMIDAL PARA POSTE PIEZA 4 Proyecto 2 MUJER SEGURA No. Progresivo Concepto Descripción Unidad de Medida Cantidad 1 LUMINARIA DE VIALIDAD LUMINARIA DE VIALIDAD RAYHUNTERS VOLTAJE DE ENTRADA 100-277 V POTENCIA 75 WATTS CHIP LUMILEDS LUXEON 5050, FLUJO LUMINOSO 12,375 LÚMENES, EFICACIA 150, 165 LM/WATTS, SUPRESOR DE PICOS 10 KV PROTECCIÓN DE MÓDULO IP68M SUMERGIBLE, RESISTENCIA CONTRA IMPACTOS IK-10 (ANTIVANDALISMO) 10 AÑOS DE GARANTIA EN SISTEMA, INCLUYE FOTOSENSOR PIEZA 52 2 POSTE METALICO CONICO POSTE METALICO CONICO CIRCULAR ACABADO FONDEADO ANTICORROSIVO O GALVANIZADO POR INMERSIÓN EN CALIENTE 7 METROS DE ALTURA PIEZA 10 3 BASE DE CONCRETO TIPO PIRAMIDAL BASE DE CONCRETO TIPO PIRAMIDAL PARA POSTE METALICO DE 40X40X60 CM PIEZA 10 4 ABRAZADERA DE 6” DIAMETRO ABRAZADERA DE 6” DE DIAMETRO FABRICADA CON SOTERA A-36 DE ¼ X 1 ½ GALVANIZADA POR INMERSIÓN EN CALIENTE,INCLUYE TORNILLO TUERCA Y RONDANA PIEZA 42 5 BRAZO GALVANIZADO TIPO I BRAZO GALVANIZADO TIPO I CON PATÍN PARA MONTAJE DE LUMINARIA EN POSTE DE CONCRETO FABRICADO CON TUBO DE 1.20 METROS PIEZA 52 6 CABLE DE COBRE CABLE DE COBRE MONOPOLAR CAL. 12 AWG CON FORRO DE POLICLORURO DE VINILO (PVC9 TIPOS THW-LS 90º C 600V EN CAJA DE 100M MARCA CONDULAC PIEZA 4 7 CABLE DE ALUMINIO CABLE DE ALUMINIO NEUTRNEL PARA 600 V DE 2+1 CAL 6 MARCA VIAKON CARRETE DE 300M PIEZA 11 8 FOTOCELDA </w:t>
      </w:r>
      <w:proofErr w:type="spellStart"/>
      <w:r w:rsidRPr="00B05A03">
        <w:rPr>
          <w:rFonts w:ascii="Palatino Linotype" w:eastAsia="Palatino Linotype" w:hAnsi="Palatino Linotype" w:cs="Palatino Linotype"/>
          <w:i/>
          <w:sz w:val="22"/>
          <w:szCs w:val="22"/>
        </w:rPr>
        <w:t>FOTOCELDA</w:t>
      </w:r>
      <w:proofErr w:type="spellEnd"/>
      <w:r w:rsidRPr="00B05A03">
        <w:rPr>
          <w:rFonts w:ascii="Palatino Linotype" w:eastAsia="Palatino Linotype" w:hAnsi="Palatino Linotype" w:cs="Palatino Linotype"/>
          <w:i/>
          <w:sz w:val="22"/>
          <w:szCs w:val="22"/>
        </w:rPr>
        <w:t xml:space="preserve"> MULTIVOLTAJE (120,240VCA) PIEZA 52 Proyecto 3 MUJER SEGURA No. Progresivo Concepto Descripción Unidad de Medida Cantidad 1 LUMINARIA DE VIALIDAD LUMINARIA DE VIALIDAD RAYHUNTERS MODELO t2q-1-36-4000-75 VOLTAJE DE ENTRADA 100-277V POTENCIA 75 WATTS CHIP LUMILEDS LUXEON 5050, FLUJO LUMINOSO 12,375 LÚMENES EFICACIA 150, 165 LM/WATT SUPRESOR DE PICOS 10 KV PROTECCIÓN DE MÓDULO IP68 (SUMERGIBLE), RESISTENCIA CONTRA IMPACTOS IK-10 (ANTIVANDALISMO) 10 AÑOS DE GARANTÍA EN SISTEMA PIEZA 70 2 POSTE METÁLICO POSTE METALICO CONICO CIRCULAR ACABADO FONDEADO ANTICORROSIVO O GALVANIZADO POR INMERSIÓN EN CALIENTE </w:t>
      </w:r>
      <w:r w:rsidRPr="00B05A03">
        <w:rPr>
          <w:rFonts w:ascii="Palatino Linotype" w:eastAsia="Palatino Linotype" w:hAnsi="Palatino Linotype" w:cs="Palatino Linotype"/>
          <w:i/>
          <w:sz w:val="22"/>
          <w:szCs w:val="22"/>
        </w:rPr>
        <w:lastRenderedPageBreak/>
        <w:t xml:space="preserve">7 METROS DE ALTURA PIEZA 14 3 BASE DE CONCRETO BASE DE CONCRETO TIPO PIRAMIDAL PARA POSTE METALICO DE 40X40X60 CM PIEZA 14 4 ABRAZADERA </w:t>
      </w:r>
      <w:proofErr w:type="spellStart"/>
      <w:r w:rsidRPr="00B05A03">
        <w:rPr>
          <w:rFonts w:ascii="Palatino Linotype" w:eastAsia="Palatino Linotype" w:hAnsi="Palatino Linotype" w:cs="Palatino Linotype"/>
          <w:i/>
          <w:sz w:val="22"/>
          <w:szCs w:val="22"/>
        </w:rPr>
        <w:t>ABRAZADERA</w:t>
      </w:r>
      <w:proofErr w:type="spellEnd"/>
      <w:r w:rsidRPr="00B05A03">
        <w:rPr>
          <w:rFonts w:ascii="Palatino Linotype" w:eastAsia="Palatino Linotype" w:hAnsi="Palatino Linotype" w:cs="Palatino Linotype"/>
          <w:i/>
          <w:sz w:val="22"/>
          <w:szCs w:val="22"/>
        </w:rPr>
        <w:t xml:space="preserve"> DEL 6” DE DIAMETRO FABRICADA CON SOLERA A-36 DE ¼ “X1 ½ “ GALVANIZADA POR INMERSIÓN EN CALIENTE INCLUYE TORNILLO, TUERCA RONDANA PIEZA 29 5 BRAZO GALVANIZADO BRAZO GALVANIZADO TIPO “I” CON PATÍN PARA MONTAJE DE LUMINARIA EN POSTE DE CONCRETO FABRICADO EN TUBO DE 1.20 METROS PIEZA 38 6 CABLE DE COBRE CABLE DE COBRE MONOPOLAR CAT 12 AWG CON FORRO DE POLICLORURO DE VINILO (PVC) TIPOS THW-LS 90º C 600V EN CAJA DE 100M MARCA CONDULAC PIEZA 2 7 CABLE DE ALUMINIO CABLE DE ALUMINIO NEUTRNET PARA 600V DE 2+1 CAL 6 MARCA VIAKON CARRETE DE 300M PIEZA 6 8 FOTOCELDA MULTIVOLTAJE FOTOCELDA MULTIVOLTAJE (120,240VCA) PIEZA 70 NOTA: No omito hacer mención que ya se realizó la comprobación de dicho recurso. • </w:t>
      </w:r>
      <w:r w:rsidRPr="00B05A03">
        <w:rPr>
          <w:rFonts w:ascii="Palatino Linotype" w:eastAsia="Palatino Linotype" w:hAnsi="Palatino Linotype" w:cs="Palatino Linotype"/>
          <w:b/>
          <w:i/>
          <w:sz w:val="22"/>
          <w:szCs w:val="22"/>
        </w:rPr>
        <w:t xml:space="preserve">CONAVIM (FEDERAL) $2,000,000.00 (Dos millones de pesos 00/100 M.N) </w:t>
      </w:r>
      <w:r w:rsidRPr="00B05A03">
        <w:rPr>
          <w:rFonts w:ascii="Palatino Linotype" w:eastAsia="Palatino Linotype" w:hAnsi="Palatino Linotype" w:cs="Palatino Linotype"/>
          <w:i/>
          <w:sz w:val="22"/>
          <w:szCs w:val="22"/>
        </w:rPr>
        <w:t>• INTEGRACIÓN DE ULA´S (UNIDADES DE ATENCIÓN) Se gestionó la integración y equipamiento tecnológico de tres ULA´S (UNIDADES LOCALES DE ATENCIÓN) con las que se contrataron 10 profesionales (en psicología, derecho y trabajo social) creando 3 sedes (planetas IMEGDEM, Universidad Politécnica y comisaría), mismos profesionales que fueron certificados en la EC0539 en Atención de Primer Contacto a Mujeres Víctimas de Violencia de Género. RESULTADO Aumento de atención en asesorías Psicológicas y Jurídicas a la población, logrando con esto el aumento de denuncias ante la fiscalía en delitos relacionados con género. Además de lograr una contención inmediata a víctimas. • MATERIAL DE DIFUSIÓN Realizar jornadas informativas, campañas de Difusión y/</w:t>
      </w:r>
      <w:proofErr w:type="spellStart"/>
      <w:r w:rsidRPr="00B05A03">
        <w:rPr>
          <w:rFonts w:ascii="Palatino Linotype" w:eastAsia="Palatino Linotype" w:hAnsi="Palatino Linotype" w:cs="Palatino Linotype"/>
          <w:i/>
          <w:sz w:val="22"/>
          <w:szCs w:val="22"/>
        </w:rPr>
        <w:t>o</w:t>
      </w:r>
      <w:proofErr w:type="spellEnd"/>
      <w:r w:rsidRPr="00B05A03">
        <w:rPr>
          <w:rFonts w:ascii="Palatino Linotype" w:eastAsia="Palatino Linotype" w:hAnsi="Palatino Linotype" w:cs="Palatino Linotype"/>
          <w:i/>
          <w:sz w:val="22"/>
          <w:szCs w:val="22"/>
        </w:rPr>
        <w:t xml:space="preserve"> operativos de género al transporte público a nivel municipal y comunitario para la prevención de la Violencia de Género contra las mujeres en las zonas de mayor índice de violencia; RESULTADO Informar a la población en referencia a los servicios con los que cuenta el Instituto Municipal para la Equidad de Género y el Desarrollo de las Mujeres, además de las diferentes estancias gubernamentales a las que pueden acudir cuando se encuentren en situación de violencia de género. • COMPRA DE UNA CAMIONETA DE TRASLADO La adquisición de una camioneta de traslado para víctimas y sus familias con el equipo disciplinario que pertenece al Instituto Municipal para la Equidad de Género y el Desarrollo de las Mujeres. RESULTADO Realizar un traslado digno para las víctimas y sus familias ha sido prioridad para el Instituto Municipal para la Equidad de Género y el Desarrollo de las mujeres, a las diferentes instancias gubernamentales o bien a sus redes de </w:t>
      </w:r>
      <w:r w:rsidRPr="00B05A03">
        <w:rPr>
          <w:rFonts w:ascii="Palatino Linotype" w:eastAsia="Palatino Linotype" w:hAnsi="Palatino Linotype" w:cs="Palatino Linotype"/>
          <w:i/>
          <w:sz w:val="22"/>
          <w:szCs w:val="22"/>
        </w:rPr>
        <w:lastRenderedPageBreak/>
        <w:t xml:space="preserve">apoyo. NOTA: No omito hacer mención que ya se realizó la comprobación de dicho recurso. • Municipal A nivel municipal se realizaron las siguientes acciones mismas que se encuentran dentro de la Coordinación de atención a la Alerta de Género contra las Mujeres. NOMBRE DE LA ACTIVDAD CANTIDAD REALIZADAS SESIONES CON GRUPOS INTERINSTITUCIONALES Y MULTIDISCIPLINARIOS 4 CAPACITACIONES PREVENTIVAS DE SEGURIDAD Y JUSTICIA 24 REPORTES ESPECIALES SOBRE LA ZONA Y EL COMPORTAMIENT DE LOS INDICADORES 4 CAMPAÑAS DE SEGURIDAD Y DERECHOS HUMANOS PARA EL CESE DE LA VIOLENCIA 4 CAPACITACIONES EN TEMAS DE CULTUA DE IGUALDAD Y PREVENCION DE LA VIOLENCIA DE GÉNERO 6 ASESORÍAS DE ATENCIÓN Y SEGUIMIENTO A GRUPOS TERAPÉUTICOS 12 PLÁTICAS EN TEMAS DE DESARROLLO HUMANO 10 PLÁTICAS EN TEMAS DE DESARROLLO HUMANO 10 PLATICAS CON PERSPECTIVA DE GÉNERO EN MATERIA LEGAL Y PSICOLÓGICA 65 ASESORÍAS JURÍDICAS APERSONAS EN SITUACIÓN DE VIOLENCIA DE GÉNERO 1007 ASESORÍAS PSICOLÓGICAS A PERSONAS EN SITUACIÓN DE VIOLENCIA DE GÉNERO 2075 ASESORÍAS EN TRABAJO SOCIAL A LA POBLACIÓN QUE LO SOLICITA 124 RED PRO-MUJER (REUNIONES EN COMUNIDAD) 6 CERTIFICACIÓN A SERVIDORES PÚBLICOS EN ATENCIÓN Y ORIENTACIÓN A MUJERES VÍCTIMAS DE VIOLENCIA 60 GESTIÓN DE PROGRAMAS ESTATALES 1 GESTIÓN DE PROGRAMAS FEDERALES 1 No omito hacer mención que el presupuesto es general para las acciones y metas de todas las áreas adscritas al Instituto Municipal para la Equidad de Género y el Desarrollo de las Mujeres, y las acciones antes descritas son las que se realizan para atención a las Alertas de Género. Mismo que se puede consultar en el siguiente link. http://conac.izcalli.gob.mx/#Inicio%2F2022 RESULTADO El aumento de las denuncias por violencia en razón de género, </w:t>
      </w:r>
      <w:proofErr w:type="spellStart"/>
      <w:r w:rsidRPr="00B05A03">
        <w:rPr>
          <w:rFonts w:ascii="Palatino Linotype" w:eastAsia="Palatino Linotype" w:hAnsi="Palatino Linotype" w:cs="Palatino Linotype"/>
          <w:i/>
          <w:sz w:val="22"/>
          <w:szCs w:val="22"/>
        </w:rPr>
        <w:t>asicomo</w:t>
      </w:r>
      <w:proofErr w:type="spellEnd"/>
      <w:r w:rsidRPr="00B05A03">
        <w:rPr>
          <w:rFonts w:ascii="Palatino Linotype" w:eastAsia="Palatino Linotype" w:hAnsi="Palatino Linotype" w:cs="Palatino Linotype"/>
          <w:i/>
          <w:sz w:val="22"/>
          <w:szCs w:val="22"/>
        </w:rPr>
        <w:t xml:space="preserve"> el apoyo psicológico y jurídico que las personas requieren ya sea en las oficinas (planetas) o en las dos Centros de Desarrollo Comunitario de Atención a la Mujer (Leona Vicario y </w:t>
      </w:r>
      <w:proofErr w:type="spellStart"/>
      <w:r w:rsidRPr="00B05A03">
        <w:rPr>
          <w:rFonts w:ascii="Palatino Linotype" w:eastAsia="Palatino Linotype" w:hAnsi="Palatino Linotype" w:cs="Palatino Linotype"/>
          <w:i/>
          <w:sz w:val="22"/>
          <w:szCs w:val="22"/>
        </w:rPr>
        <w:t>Hermila</w:t>
      </w:r>
      <w:proofErr w:type="spellEnd"/>
      <w:r w:rsidRPr="00B05A03">
        <w:rPr>
          <w:rFonts w:ascii="Palatino Linotype" w:eastAsia="Palatino Linotype" w:hAnsi="Palatino Linotype" w:cs="Palatino Linotype"/>
          <w:i/>
          <w:sz w:val="22"/>
          <w:szCs w:val="22"/>
        </w:rPr>
        <w:t xml:space="preserve"> Galindo) en donde se cuenta con el equipo multidisciplinario pero también el integral. Además de realizar diferentes pláticas en las escuelas con lo que hemos apoyado a disminuir la violencia en todos sus aspectos. Por lo anterior expuesto, atentamente solicito se sirva: ÚNICO.- Tenerme por presentada en tiempo y forma; atendiendo la solicitud de información con el folio 00333/CUAUTIZC/IP/20223, recibida mediante el Sistema de Acceso a la Información Mexiquense SAIMEX...” (</w:t>
      </w:r>
      <w:proofErr w:type="gramStart"/>
      <w:r w:rsidRPr="00B05A03">
        <w:rPr>
          <w:rFonts w:ascii="Palatino Linotype" w:eastAsia="Palatino Linotype" w:hAnsi="Palatino Linotype" w:cs="Palatino Linotype"/>
          <w:i/>
          <w:sz w:val="22"/>
          <w:szCs w:val="22"/>
        </w:rPr>
        <w:t>sic</w:t>
      </w:r>
      <w:proofErr w:type="gramEnd"/>
      <w:r w:rsidRPr="00B05A03">
        <w:rPr>
          <w:rFonts w:ascii="Palatino Linotype" w:eastAsia="Palatino Linotype" w:hAnsi="Palatino Linotype" w:cs="Palatino Linotype"/>
          <w:i/>
          <w:sz w:val="22"/>
          <w:szCs w:val="22"/>
        </w:rPr>
        <w:t>)</w:t>
      </w:r>
    </w:p>
    <w:p w14:paraId="6C1B3FEF" w14:textId="77777777" w:rsidR="003707B3" w:rsidRPr="00B05A03" w:rsidRDefault="009B445B">
      <w:pPr>
        <w:spacing w:before="240" w:after="240" w:line="360" w:lineRule="auto"/>
        <w:ind w:right="49"/>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 xml:space="preserve">El </w:t>
      </w:r>
      <w:r w:rsidRPr="00B05A03">
        <w:rPr>
          <w:rFonts w:ascii="Palatino Linotype" w:eastAsia="Palatino Linotype" w:hAnsi="Palatino Linotype" w:cs="Palatino Linotype"/>
          <w:b/>
        </w:rPr>
        <w:t xml:space="preserve">Sujeto Obligado </w:t>
      </w:r>
      <w:r w:rsidRPr="00B05A03">
        <w:rPr>
          <w:rFonts w:ascii="Palatino Linotype" w:eastAsia="Palatino Linotype" w:hAnsi="Palatino Linotype" w:cs="Palatino Linotype"/>
        </w:rPr>
        <w:t>adjuntó lo siguiente:</w:t>
      </w:r>
    </w:p>
    <w:p w14:paraId="6C709527" w14:textId="77777777" w:rsidR="003707B3" w:rsidRPr="00B05A03" w:rsidRDefault="009B445B">
      <w:pPr>
        <w:spacing w:before="240" w:after="240" w:line="360" w:lineRule="auto"/>
        <w:ind w:right="49"/>
        <w:jc w:val="both"/>
        <w:rPr>
          <w:rFonts w:ascii="Palatino Linotype" w:eastAsia="Palatino Linotype" w:hAnsi="Palatino Linotype" w:cs="Palatino Linotype"/>
        </w:rPr>
      </w:pPr>
      <w:r w:rsidRPr="00B05A03">
        <w:rPr>
          <w:rFonts w:ascii="Palatino Linotype" w:eastAsia="Palatino Linotype" w:hAnsi="Palatino Linotype" w:cs="Palatino Linotype"/>
        </w:rPr>
        <w:t>- Oficio número IMEGDEM/681/2022 de fecha ocho de junio de dos mil veintitrés, signado por la Directora del Instituto Municipal para la Equidad de Género y el Desarrollo de las Mujeres, mediante el cual refiere que durante el ejercicio 2022 se ingresaron tres proyectos, mismos que describen señalando nombre del proyecto, presupuesto ejercido, acciones realizadas y resultados obtenidos, como se advierte en el párrafo anterior, y como se ilustra a continuación, respecto del primer programa, para mejor referencia:</w:t>
      </w:r>
    </w:p>
    <w:p w14:paraId="3616F793" w14:textId="77777777" w:rsidR="003707B3" w:rsidRPr="00B05A03" w:rsidRDefault="009B445B">
      <w:pPr>
        <w:spacing w:before="240" w:after="240" w:line="360" w:lineRule="auto"/>
        <w:ind w:right="49"/>
        <w:jc w:val="center"/>
        <w:rPr>
          <w:rFonts w:ascii="Palatino Linotype" w:eastAsia="Palatino Linotype" w:hAnsi="Palatino Linotype" w:cs="Palatino Linotype"/>
        </w:rPr>
      </w:pPr>
      <w:r w:rsidRPr="00B05A03">
        <w:rPr>
          <w:rFonts w:ascii="Palatino Linotype" w:eastAsia="Palatino Linotype" w:hAnsi="Palatino Linotype" w:cs="Palatino Linotype"/>
          <w:noProof/>
        </w:rPr>
        <w:drawing>
          <wp:inline distT="0" distB="0" distL="0" distR="0" wp14:anchorId="07125C1C" wp14:editId="66645E29">
            <wp:extent cx="4860000" cy="1731629"/>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860000" cy="1731629"/>
                    </a:xfrm>
                    <a:prstGeom prst="rect">
                      <a:avLst/>
                    </a:prstGeom>
                    <a:ln/>
                  </pic:spPr>
                </pic:pic>
              </a:graphicData>
            </a:graphic>
          </wp:inline>
        </w:drawing>
      </w:r>
      <w:r w:rsidRPr="00B05A03">
        <w:rPr>
          <w:rFonts w:ascii="Palatino Linotype" w:eastAsia="Palatino Linotype" w:hAnsi="Palatino Linotype" w:cs="Palatino Linotype"/>
          <w:noProof/>
        </w:rPr>
        <w:drawing>
          <wp:inline distT="0" distB="0" distL="0" distR="0" wp14:anchorId="337D2961" wp14:editId="63A949F3">
            <wp:extent cx="4860000" cy="2744277"/>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b="53931"/>
                    <a:stretch>
                      <a:fillRect/>
                    </a:stretch>
                  </pic:blipFill>
                  <pic:spPr>
                    <a:xfrm>
                      <a:off x="0" y="0"/>
                      <a:ext cx="4860000" cy="2744277"/>
                    </a:xfrm>
                    <a:prstGeom prst="rect">
                      <a:avLst/>
                    </a:prstGeom>
                    <a:ln/>
                  </pic:spPr>
                </pic:pic>
              </a:graphicData>
            </a:graphic>
          </wp:inline>
        </w:drawing>
      </w:r>
    </w:p>
    <w:p w14:paraId="2A24865D" w14:textId="77777777" w:rsidR="003707B3" w:rsidRPr="00B05A03" w:rsidRDefault="009B445B">
      <w:pPr>
        <w:spacing w:before="240" w:after="240" w:line="360" w:lineRule="auto"/>
        <w:ind w:right="49"/>
        <w:jc w:val="center"/>
        <w:rPr>
          <w:rFonts w:ascii="Palatino Linotype" w:eastAsia="Palatino Linotype" w:hAnsi="Palatino Linotype" w:cs="Palatino Linotype"/>
        </w:rPr>
      </w:pPr>
      <w:r w:rsidRPr="00B05A03">
        <w:rPr>
          <w:rFonts w:ascii="Palatino Linotype" w:eastAsia="Palatino Linotype" w:hAnsi="Palatino Linotype" w:cs="Palatino Linotype"/>
          <w:noProof/>
        </w:rPr>
        <w:lastRenderedPageBreak/>
        <w:drawing>
          <wp:inline distT="0" distB="0" distL="0" distR="0" wp14:anchorId="7086D5B4" wp14:editId="7FC13FD7">
            <wp:extent cx="4860000" cy="3135998"/>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t="47356" b="1"/>
                    <a:stretch>
                      <a:fillRect/>
                    </a:stretch>
                  </pic:blipFill>
                  <pic:spPr>
                    <a:xfrm>
                      <a:off x="0" y="0"/>
                      <a:ext cx="4860000" cy="3135998"/>
                    </a:xfrm>
                    <a:prstGeom prst="rect">
                      <a:avLst/>
                    </a:prstGeom>
                    <a:ln/>
                  </pic:spPr>
                </pic:pic>
              </a:graphicData>
            </a:graphic>
          </wp:inline>
        </w:drawing>
      </w:r>
      <w:r w:rsidRPr="00B05A03">
        <w:rPr>
          <w:rFonts w:ascii="Palatino Linotype" w:eastAsia="Palatino Linotype" w:hAnsi="Palatino Linotype" w:cs="Palatino Linotype"/>
          <w:noProof/>
        </w:rPr>
        <w:drawing>
          <wp:inline distT="0" distB="0" distL="0" distR="0" wp14:anchorId="33BB1936" wp14:editId="2BC2FB12">
            <wp:extent cx="4860000" cy="2384358"/>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860000" cy="2384358"/>
                    </a:xfrm>
                    <a:prstGeom prst="rect">
                      <a:avLst/>
                    </a:prstGeom>
                    <a:ln/>
                  </pic:spPr>
                </pic:pic>
              </a:graphicData>
            </a:graphic>
          </wp:inline>
        </w:drawing>
      </w:r>
    </w:p>
    <w:p w14:paraId="56436DF5" w14:textId="77777777" w:rsidR="003707B3" w:rsidRPr="00B05A03" w:rsidRDefault="009B445B">
      <w:pPr>
        <w:spacing w:before="240" w:after="240" w:line="360" w:lineRule="auto"/>
        <w:ind w:right="49"/>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Asimismo, señaló las acciones que se realizaron a nivel municipal, las cuales se encuentran dentro de la Coordinación de Atención a la Alerta de Género contra las Mujeres, el resultado de dichas acciones, y refirió que el presupuesto es general para las acciones y metas de todas las áreas adscritas al Instituto Municipal para la Equidad de Género y el Desarrollo de las Mujeres, el cual puede consultarse en la </w:t>
      </w:r>
      <w:r w:rsidRPr="00B05A03">
        <w:rPr>
          <w:rFonts w:ascii="Palatino Linotype" w:eastAsia="Palatino Linotype" w:hAnsi="Palatino Linotype" w:cs="Palatino Linotype"/>
        </w:rPr>
        <w:lastRenderedPageBreak/>
        <w:t xml:space="preserve">dirección electrónica </w:t>
      </w:r>
      <w:hyperlink r:id="rId11" w:anchor="Inicio%2F2022">
        <w:r w:rsidRPr="00B05A03">
          <w:rPr>
            <w:rFonts w:ascii="Palatino Linotype" w:eastAsia="Palatino Linotype" w:hAnsi="Palatino Linotype" w:cs="Palatino Linotype"/>
            <w:u w:val="single"/>
          </w:rPr>
          <w:t>http://conac.izcalli.gob.mx/#Inicio%2F2022</w:t>
        </w:r>
      </w:hyperlink>
      <w:r w:rsidRPr="00B05A03">
        <w:rPr>
          <w:rFonts w:ascii="Palatino Linotype" w:eastAsia="Palatino Linotype" w:hAnsi="Palatino Linotype" w:cs="Palatino Linotype"/>
        </w:rPr>
        <w:t>, como se observa a continuación:</w:t>
      </w:r>
    </w:p>
    <w:p w14:paraId="73DE377A" w14:textId="77777777" w:rsidR="003707B3" w:rsidRPr="00B05A03" w:rsidRDefault="009B445B">
      <w:pPr>
        <w:spacing w:before="240" w:after="240" w:line="360" w:lineRule="auto"/>
        <w:ind w:right="49"/>
        <w:jc w:val="center"/>
        <w:rPr>
          <w:rFonts w:ascii="Palatino Linotype" w:eastAsia="Palatino Linotype" w:hAnsi="Palatino Linotype" w:cs="Palatino Linotype"/>
          <w:b/>
        </w:rPr>
      </w:pPr>
      <w:r w:rsidRPr="00B05A03">
        <w:rPr>
          <w:rFonts w:ascii="Palatino Linotype" w:eastAsia="Palatino Linotype" w:hAnsi="Palatino Linotype" w:cs="Palatino Linotype"/>
          <w:noProof/>
        </w:rPr>
        <w:drawing>
          <wp:inline distT="0" distB="0" distL="0" distR="0" wp14:anchorId="72269BD5" wp14:editId="4E35205B">
            <wp:extent cx="3600000" cy="304816"/>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b="94652"/>
                    <a:stretch>
                      <a:fillRect/>
                    </a:stretch>
                  </pic:blipFill>
                  <pic:spPr>
                    <a:xfrm>
                      <a:off x="0" y="0"/>
                      <a:ext cx="3600000" cy="304816"/>
                    </a:xfrm>
                    <a:prstGeom prst="rect">
                      <a:avLst/>
                    </a:prstGeom>
                    <a:ln/>
                  </pic:spPr>
                </pic:pic>
              </a:graphicData>
            </a:graphic>
          </wp:inline>
        </w:drawing>
      </w:r>
      <w:r w:rsidRPr="00B05A03">
        <w:rPr>
          <w:rFonts w:ascii="Palatino Linotype" w:eastAsia="Palatino Linotype" w:hAnsi="Palatino Linotype" w:cs="Palatino Linotype"/>
          <w:noProof/>
        </w:rPr>
        <w:drawing>
          <wp:inline distT="0" distB="0" distL="0" distR="0" wp14:anchorId="67272523" wp14:editId="63C8A700">
            <wp:extent cx="3600000" cy="3669978"/>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35607"/>
                    <a:stretch>
                      <a:fillRect/>
                    </a:stretch>
                  </pic:blipFill>
                  <pic:spPr>
                    <a:xfrm>
                      <a:off x="0" y="0"/>
                      <a:ext cx="3600000" cy="3669978"/>
                    </a:xfrm>
                    <a:prstGeom prst="rect">
                      <a:avLst/>
                    </a:prstGeom>
                    <a:ln/>
                  </pic:spPr>
                </pic:pic>
              </a:graphicData>
            </a:graphic>
          </wp:inline>
        </w:drawing>
      </w:r>
      <w:r w:rsidRPr="00B05A03">
        <w:rPr>
          <w:noProof/>
        </w:rPr>
        <w:drawing>
          <wp:inline distT="0" distB="0" distL="0" distR="0" wp14:anchorId="23BB8B6F" wp14:editId="6CE0F265">
            <wp:extent cx="3600000" cy="76904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600000" cy="769043"/>
                    </a:xfrm>
                    <a:prstGeom prst="rect">
                      <a:avLst/>
                    </a:prstGeom>
                    <a:ln/>
                  </pic:spPr>
                </pic:pic>
              </a:graphicData>
            </a:graphic>
          </wp:inline>
        </w:drawing>
      </w:r>
      <w:r w:rsidRPr="00B05A03">
        <w:rPr>
          <w:noProof/>
        </w:rPr>
        <w:drawing>
          <wp:inline distT="0" distB="0" distL="0" distR="0" wp14:anchorId="0CBFFB10" wp14:editId="3C0F5DB8">
            <wp:extent cx="3600000" cy="752662"/>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b="66046"/>
                    <a:stretch>
                      <a:fillRect/>
                    </a:stretch>
                  </pic:blipFill>
                  <pic:spPr>
                    <a:xfrm>
                      <a:off x="0" y="0"/>
                      <a:ext cx="3600000" cy="752662"/>
                    </a:xfrm>
                    <a:prstGeom prst="rect">
                      <a:avLst/>
                    </a:prstGeom>
                    <a:ln/>
                  </pic:spPr>
                </pic:pic>
              </a:graphicData>
            </a:graphic>
          </wp:inline>
        </w:drawing>
      </w:r>
      <w:r w:rsidRPr="00B05A03">
        <w:rPr>
          <w:noProof/>
        </w:rPr>
        <w:drawing>
          <wp:inline distT="0" distB="0" distL="0" distR="0" wp14:anchorId="348B2B92" wp14:editId="5A133DB4">
            <wp:extent cx="3600000" cy="282645"/>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87249"/>
                    <a:stretch>
                      <a:fillRect/>
                    </a:stretch>
                  </pic:blipFill>
                  <pic:spPr>
                    <a:xfrm>
                      <a:off x="0" y="0"/>
                      <a:ext cx="3600000" cy="282645"/>
                    </a:xfrm>
                    <a:prstGeom prst="rect">
                      <a:avLst/>
                    </a:prstGeom>
                    <a:ln/>
                  </pic:spPr>
                </pic:pic>
              </a:graphicData>
            </a:graphic>
          </wp:inline>
        </w:drawing>
      </w:r>
    </w:p>
    <w:p w14:paraId="2F033D9B" w14:textId="77777777" w:rsidR="003707B3" w:rsidRPr="00B05A03" w:rsidRDefault="009B445B">
      <w:pPr>
        <w:spacing w:before="240" w:after="240" w:line="360" w:lineRule="auto"/>
        <w:ind w:right="49"/>
        <w:jc w:val="both"/>
        <w:rPr>
          <w:rFonts w:ascii="Palatino Linotype" w:eastAsia="Palatino Linotype" w:hAnsi="Palatino Linotype" w:cs="Palatino Linotype"/>
          <w:b/>
        </w:rPr>
      </w:pPr>
      <w:r w:rsidRPr="00B05A03">
        <w:rPr>
          <w:rFonts w:ascii="Palatino Linotype" w:eastAsia="Palatino Linotype" w:hAnsi="Palatino Linotype" w:cs="Palatino Linotype"/>
          <w:b/>
        </w:rPr>
        <w:lastRenderedPageBreak/>
        <w:t xml:space="preserve">3. Interposición del recurso de revisión. </w:t>
      </w:r>
      <w:r w:rsidRPr="00B05A03">
        <w:rPr>
          <w:rFonts w:ascii="Palatino Linotype" w:eastAsia="Palatino Linotype" w:hAnsi="Palatino Linotype" w:cs="Palatino Linotype"/>
        </w:rPr>
        <w:t xml:space="preserve">Inconforme con los términos de la respuesta emitida por parte del </w:t>
      </w:r>
      <w:r w:rsidRPr="00B05A03">
        <w:rPr>
          <w:rFonts w:ascii="Palatino Linotype" w:eastAsia="Palatino Linotype" w:hAnsi="Palatino Linotype" w:cs="Palatino Linotype"/>
          <w:b/>
        </w:rPr>
        <w:t>Sujeto Obligado</w:t>
      </w:r>
      <w:r w:rsidRPr="00B05A03">
        <w:rPr>
          <w:rFonts w:ascii="Palatino Linotype" w:eastAsia="Palatino Linotype" w:hAnsi="Palatino Linotype" w:cs="Palatino Linotype"/>
        </w:rPr>
        <w:t>, el</w:t>
      </w:r>
      <w:r w:rsidRPr="00B05A03">
        <w:rPr>
          <w:rFonts w:ascii="Palatino Linotype" w:eastAsia="Palatino Linotype" w:hAnsi="Palatino Linotype" w:cs="Palatino Linotype"/>
          <w:b/>
        </w:rPr>
        <w:t xml:space="preserve"> veintisiete de junio de dos mil veintitrés,</w:t>
      </w:r>
      <w:r w:rsidRPr="00B05A03">
        <w:rPr>
          <w:rFonts w:ascii="Palatino Linotype" w:eastAsia="Palatino Linotype" w:hAnsi="Palatino Linotype" w:cs="Palatino Linotype"/>
        </w:rPr>
        <w:t xml:space="preserve"> 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xml:space="preserve"> interpuso el recurso de revisión a través de </w:t>
      </w:r>
      <w:r w:rsidRPr="00B05A03">
        <w:rPr>
          <w:rFonts w:ascii="Palatino Linotype" w:eastAsia="Palatino Linotype" w:hAnsi="Palatino Linotype" w:cs="Palatino Linotype"/>
          <w:b/>
        </w:rPr>
        <w:t xml:space="preserve">SAIMEX, </w:t>
      </w:r>
      <w:r w:rsidRPr="00B05A03">
        <w:rPr>
          <w:rFonts w:ascii="Palatino Linotype" w:eastAsia="Palatino Linotype" w:hAnsi="Palatino Linotype" w:cs="Palatino Linotype"/>
        </w:rPr>
        <w:t>en donde se manifestó de la siguiente manera:</w:t>
      </w:r>
    </w:p>
    <w:p w14:paraId="2A5F2792" w14:textId="77777777" w:rsidR="003707B3" w:rsidRPr="00B05A03" w:rsidRDefault="009B445B">
      <w:pPr>
        <w:tabs>
          <w:tab w:val="left" w:pos="2745"/>
        </w:tabs>
        <w:spacing w:before="240" w:after="240" w:line="360" w:lineRule="auto"/>
        <w:jc w:val="both"/>
        <w:rPr>
          <w:rFonts w:ascii="Palatino Linotype" w:eastAsia="Palatino Linotype" w:hAnsi="Palatino Linotype" w:cs="Palatino Linotype"/>
          <w:b/>
        </w:rPr>
      </w:pPr>
      <w:r w:rsidRPr="00B05A03">
        <w:rPr>
          <w:rFonts w:ascii="Palatino Linotype" w:eastAsia="Palatino Linotype" w:hAnsi="Palatino Linotype" w:cs="Palatino Linotype"/>
          <w:b/>
        </w:rPr>
        <w:t xml:space="preserve">Acto impugnado: </w:t>
      </w:r>
    </w:p>
    <w:p w14:paraId="1F7DD1BA" w14:textId="77777777" w:rsidR="003707B3" w:rsidRPr="00B05A03" w:rsidRDefault="009B445B">
      <w:pPr>
        <w:tabs>
          <w:tab w:val="left" w:pos="2745"/>
        </w:tabs>
        <w:spacing w:before="240" w:after="240"/>
        <w:ind w:left="851" w:right="900"/>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“El acto que se recurre es la incompleta respuesta a la información que se solicitó, toda vez que requiero conocer que presupuesto se le asignó al municipio de Cuautitlán Izcalli, para combatir la violencia de género contra las mujeres, en que sé gasto dicho recurso, cuánto se gastó en cada rubro mencionado y cuáles fueron los beneficios o resultados obtenidos." (</w:t>
      </w:r>
      <w:proofErr w:type="gramStart"/>
      <w:r w:rsidRPr="00B05A03">
        <w:rPr>
          <w:rFonts w:ascii="Palatino Linotype" w:eastAsia="Palatino Linotype" w:hAnsi="Palatino Linotype" w:cs="Palatino Linotype"/>
          <w:i/>
          <w:sz w:val="22"/>
          <w:szCs w:val="22"/>
        </w:rPr>
        <w:t>sic</w:t>
      </w:r>
      <w:proofErr w:type="gramEnd"/>
      <w:r w:rsidRPr="00B05A03">
        <w:rPr>
          <w:rFonts w:ascii="Palatino Linotype" w:eastAsia="Palatino Linotype" w:hAnsi="Palatino Linotype" w:cs="Palatino Linotype"/>
          <w:i/>
          <w:sz w:val="22"/>
          <w:szCs w:val="22"/>
        </w:rPr>
        <w:t>)</w:t>
      </w:r>
    </w:p>
    <w:p w14:paraId="38E37D33" w14:textId="77777777" w:rsidR="003707B3" w:rsidRPr="00B05A03" w:rsidRDefault="009B445B">
      <w:pPr>
        <w:spacing w:line="360" w:lineRule="auto"/>
        <w:jc w:val="both"/>
        <w:rPr>
          <w:rFonts w:ascii="Palatino Linotype" w:eastAsia="Palatino Linotype" w:hAnsi="Palatino Linotype" w:cs="Palatino Linotype"/>
        </w:rPr>
      </w:pPr>
      <w:bookmarkStart w:id="3" w:name="_heading=h.30j0zll" w:colFirst="0" w:colLast="0"/>
      <w:bookmarkEnd w:id="3"/>
      <w:r w:rsidRPr="00B05A03">
        <w:rPr>
          <w:rFonts w:ascii="Palatino Linotype" w:eastAsia="Palatino Linotype" w:hAnsi="Palatino Linotype" w:cs="Palatino Linotype"/>
          <w:b/>
        </w:rPr>
        <w:t>Y Razones o motivos de inconformidad</w:t>
      </w:r>
      <w:r w:rsidRPr="00B05A03">
        <w:rPr>
          <w:rFonts w:ascii="Palatino Linotype" w:eastAsia="Palatino Linotype" w:hAnsi="Palatino Linotype" w:cs="Palatino Linotype"/>
        </w:rPr>
        <w:t xml:space="preserve">: </w:t>
      </w:r>
    </w:p>
    <w:p w14:paraId="0A46E2F3" w14:textId="77777777" w:rsidR="003707B3" w:rsidRPr="00B05A03" w:rsidRDefault="009B445B">
      <w:pPr>
        <w:tabs>
          <w:tab w:val="left" w:pos="2745"/>
        </w:tabs>
        <w:spacing w:before="240" w:after="240"/>
        <w:ind w:left="851" w:right="900"/>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“es la incompleta respuesta a la información que se solicitó, toda vez que requiero conocer que presupuesto se le asignó al municipio de Cuautitlán Izcalli, para combatir la violencia de género contra las mujeres, en que sé gasto dicho recurso, cuánto se gastó en cada rubro mencionado y cuáles fueron los beneficios o resultados obtenidos. Asimismo, solicito de la manera más atenta del sujeto obligado, tenga a bien informarme en dónde puedo consultar de manera periódica la información requerida." (</w:t>
      </w:r>
      <w:proofErr w:type="gramStart"/>
      <w:r w:rsidRPr="00B05A03">
        <w:rPr>
          <w:rFonts w:ascii="Palatino Linotype" w:eastAsia="Palatino Linotype" w:hAnsi="Palatino Linotype" w:cs="Palatino Linotype"/>
          <w:i/>
          <w:sz w:val="22"/>
          <w:szCs w:val="22"/>
        </w:rPr>
        <w:t>sic</w:t>
      </w:r>
      <w:proofErr w:type="gramEnd"/>
      <w:r w:rsidRPr="00B05A03">
        <w:rPr>
          <w:rFonts w:ascii="Palatino Linotype" w:eastAsia="Palatino Linotype" w:hAnsi="Palatino Linotype" w:cs="Palatino Linotype"/>
          <w:i/>
          <w:sz w:val="22"/>
          <w:szCs w:val="22"/>
        </w:rPr>
        <w:t>)</w:t>
      </w:r>
    </w:p>
    <w:p w14:paraId="5C7D3A73" w14:textId="77777777" w:rsidR="003707B3" w:rsidRPr="00B05A03" w:rsidRDefault="009B445B">
      <w:pPr>
        <w:spacing w:before="240" w:after="240" w:line="360" w:lineRule="auto"/>
        <w:ind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 xml:space="preserve">4. Turno. </w:t>
      </w:r>
      <w:r w:rsidRPr="00B05A0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05A03">
        <w:rPr>
          <w:rFonts w:ascii="Palatino Linotype" w:eastAsia="Palatino Linotype" w:hAnsi="Palatino Linotype" w:cs="Palatino Linotype"/>
          <w:b/>
        </w:rPr>
        <w:t xml:space="preserve">Guadalupe Ramírez Peña, </w:t>
      </w:r>
      <w:r w:rsidRPr="00B05A03">
        <w:rPr>
          <w:rFonts w:ascii="Palatino Linotype" w:eastAsia="Palatino Linotype" w:hAnsi="Palatino Linotype" w:cs="Palatino Linotype"/>
        </w:rPr>
        <w:t xml:space="preserve">a efecto de que analizara sobre su admisión o su </w:t>
      </w:r>
      <w:proofErr w:type="spellStart"/>
      <w:r w:rsidRPr="00B05A03">
        <w:rPr>
          <w:rFonts w:ascii="Palatino Linotype" w:eastAsia="Palatino Linotype" w:hAnsi="Palatino Linotype" w:cs="Palatino Linotype"/>
        </w:rPr>
        <w:t>desechamiento</w:t>
      </w:r>
      <w:proofErr w:type="spellEnd"/>
      <w:r w:rsidRPr="00B05A03">
        <w:rPr>
          <w:rFonts w:ascii="Palatino Linotype" w:eastAsia="Palatino Linotype" w:hAnsi="Palatino Linotype" w:cs="Palatino Linotype"/>
        </w:rPr>
        <w:t>.</w:t>
      </w:r>
    </w:p>
    <w:p w14:paraId="4B383421"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b/>
        </w:rPr>
        <w:t>5. Admisión del Recurso de revisión.</w:t>
      </w:r>
      <w:r w:rsidRPr="00B05A03">
        <w:rPr>
          <w:rFonts w:ascii="Palatino Linotype" w:eastAsia="Palatino Linotype" w:hAnsi="Palatino Linotype" w:cs="Palatino Linotype"/>
        </w:rPr>
        <w:t xml:space="preserve"> Con fecha</w:t>
      </w:r>
      <w:r w:rsidRPr="00B05A03">
        <w:rPr>
          <w:rFonts w:ascii="Palatino Linotype" w:eastAsia="Palatino Linotype" w:hAnsi="Palatino Linotype" w:cs="Palatino Linotype"/>
          <w:b/>
        </w:rPr>
        <w:t xml:space="preserve"> treinta de junio de dos mil veintitrés, </w:t>
      </w:r>
      <w:r w:rsidRPr="00B05A03">
        <w:rPr>
          <w:rFonts w:ascii="Palatino Linotype" w:eastAsia="Palatino Linotype" w:hAnsi="Palatino Linotype" w:cs="Palatino Linotype"/>
        </w:rPr>
        <w:t xml:space="preserve">este Instituto de Transparencia, Acceso a la Información Pública y </w:t>
      </w:r>
      <w:r w:rsidRPr="00B05A03">
        <w:rPr>
          <w:rFonts w:ascii="Palatino Linotype" w:eastAsia="Palatino Linotype" w:hAnsi="Palatino Linotype" w:cs="Palatino Linotype"/>
        </w:rPr>
        <w:lastRenderedPageBreak/>
        <w:t xml:space="preserve">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05A03">
        <w:rPr>
          <w:rFonts w:ascii="Palatino Linotype" w:eastAsia="Palatino Linotype" w:hAnsi="Palatino Linotype" w:cs="Palatino Linotype"/>
          <w:b/>
        </w:rPr>
        <w:t xml:space="preserve">Sujeto Obligado </w:t>
      </w:r>
      <w:r w:rsidRPr="00B05A03">
        <w:rPr>
          <w:rFonts w:ascii="Palatino Linotype" w:eastAsia="Palatino Linotype" w:hAnsi="Palatino Linotype" w:cs="Palatino Linotype"/>
        </w:rPr>
        <w:t>presentara su informe justificado.</w:t>
      </w:r>
    </w:p>
    <w:p w14:paraId="4634B479" w14:textId="77777777" w:rsidR="003707B3" w:rsidRPr="00B05A03" w:rsidRDefault="009B445B">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B05A03">
        <w:rPr>
          <w:rFonts w:ascii="Palatino Linotype" w:eastAsia="Palatino Linotype" w:hAnsi="Palatino Linotype" w:cs="Palatino Linotype"/>
          <w:b/>
        </w:rPr>
        <w:t>6. Manifestaciones</w:t>
      </w:r>
      <w:r w:rsidRPr="00B05A03">
        <w:rPr>
          <w:rFonts w:ascii="Palatino Linotype" w:eastAsia="Palatino Linotype" w:hAnsi="Palatino Linotype" w:cs="Palatino Linotype"/>
        </w:rPr>
        <w:t xml:space="preserve">. En fecha </w:t>
      </w:r>
      <w:r w:rsidRPr="00B05A03">
        <w:rPr>
          <w:rFonts w:ascii="Palatino Linotype" w:eastAsia="Palatino Linotype" w:hAnsi="Palatino Linotype" w:cs="Palatino Linotype"/>
          <w:b/>
        </w:rPr>
        <w:t>once de julio de dos mil veintitrés,</w:t>
      </w:r>
      <w:r w:rsidRPr="00B05A03">
        <w:rPr>
          <w:rFonts w:ascii="Palatino Linotype" w:eastAsia="Palatino Linotype" w:hAnsi="Palatino Linotype" w:cs="Palatino Linotype"/>
        </w:rPr>
        <w:t xml:space="preserve"> el S</w:t>
      </w:r>
      <w:r w:rsidRPr="00B05A03">
        <w:rPr>
          <w:rFonts w:ascii="Palatino Linotype" w:eastAsia="Palatino Linotype" w:hAnsi="Palatino Linotype" w:cs="Palatino Linotype"/>
          <w:b/>
        </w:rPr>
        <w:t xml:space="preserve">ujeto Obligado </w:t>
      </w:r>
      <w:r w:rsidRPr="00B05A03">
        <w:rPr>
          <w:rFonts w:ascii="Palatino Linotype" w:eastAsia="Palatino Linotype" w:hAnsi="Palatino Linotype" w:cs="Palatino Linotype"/>
        </w:rPr>
        <w:t xml:space="preserve">remitió, a través de SAIMEX, su informe justificado, mediante el cual, con relación a los motivos de inconformidad alegados por 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xml:space="preserve"> el Instituto Municipal para la Equidad de Género y el Desarrollo de las Mujeres, señala que la respuesta proporcionada a la solicitud fue de acuerdo a sus funciones y atribuciones, reiterando en sus términos la respuesta proporcionada en primera instancia.</w:t>
      </w:r>
    </w:p>
    <w:p w14:paraId="6EFC61AB"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No obstante, dicho documento se hizo del conocimiento de 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con la finalidad de que manifestara lo que a su derecho estimara conveniente, siendo omisa en ejercer dicha prerrogativa.</w:t>
      </w:r>
    </w:p>
    <w:p w14:paraId="633BC38C"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b/>
        </w:rPr>
        <w:t>7. Ampliación del término para resolver</w:t>
      </w:r>
      <w:r w:rsidRPr="00B05A03">
        <w:rPr>
          <w:rFonts w:ascii="Palatino Linotype" w:eastAsia="Palatino Linotype" w:hAnsi="Palatino Linotype" w:cs="Palatino Linotype"/>
        </w:rPr>
        <w:t xml:space="preserve">. En fecha </w:t>
      </w:r>
      <w:r w:rsidRPr="00B05A03">
        <w:rPr>
          <w:rFonts w:ascii="Palatino Linotype" w:eastAsia="Palatino Linotype" w:hAnsi="Palatino Linotype" w:cs="Palatino Linotype"/>
          <w:b/>
        </w:rPr>
        <w:t>nueve de octubre de dos mil veintitrés</w:t>
      </w:r>
      <w:r w:rsidRPr="00B05A03">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06C9B764"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circunstancia atípica que ha rebasado las capacidades técnicas </w:t>
      </w:r>
      <w:r w:rsidRPr="00B05A03">
        <w:rPr>
          <w:rFonts w:ascii="Palatino Linotype" w:eastAsia="Palatino Linotype" w:hAnsi="Palatino Linotype" w:cs="Palatino Linotype"/>
        </w:rPr>
        <w:lastRenderedPageBreak/>
        <w:t>y humanas del personal encargado de la proyección de las resoluciones a dichos medios de impugnación.</w:t>
      </w:r>
    </w:p>
    <w:p w14:paraId="038D2F87"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w:t>
      </w:r>
      <w:r w:rsidRPr="00B05A03">
        <w:rPr>
          <w:rFonts w:ascii="Palatino Linotype" w:eastAsia="Palatino Linotype" w:hAnsi="Palatino Linotype" w:cs="Palatino Linotype"/>
          <w:sz w:val="22"/>
          <w:szCs w:val="22"/>
        </w:rPr>
        <w:t>ju</w:t>
      </w:r>
      <w:r w:rsidRPr="00B05A03">
        <w:rPr>
          <w:rFonts w:ascii="Palatino Linotype" w:eastAsia="Palatino Linotype" w:hAnsi="Palatino Linotype" w:cs="Palatino Linotype"/>
        </w:rPr>
        <w:t xml:space="preserve"> en los elementos para medir la razonabilidad de asuntos conforme a los parámetros establecidos por diversos órganos jurisdiccionales federales, aplicables también en procedimientos análogos, como el que nos ocupa.</w:t>
      </w:r>
    </w:p>
    <w:p w14:paraId="5A650A5C"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4B4DBA"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F1BE65" w14:textId="77777777" w:rsidR="003707B3" w:rsidRPr="00B05A03" w:rsidRDefault="009B445B">
      <w:pPr>
        <w:spacing w:before="240" w:after="240" w:line="360" w:lineRule="auto"/>
        <w:jc w:val="both"/>
        <w:rPr>
          <w:rFonts w:ascii="Palatino Linotype" w:eastAsia="Palatino Linotype" w:hAnsi="Palatino Linotype" w:cs="Palatino Linotype"/>
          <w:strike/>
        </w:rPr>
      </w:pPr>
      <w:r w:rsidRPr="00B05A0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B05A03">
        <w:rPr>
          <w:rFonts w:ascii="Palatino Linotype" w:eastAsia="Palatino Linotype" w:hAnsi="Palatino Linotype" w:cs="Palatino Linotype"/>
        </w:rPr>
        <w:t>su resolución atentos</w:t>
      </w:r>
      <w:proofErr w:type="gramEnd"/>
      <w:r w:rsidRPr="00B05A03">
        <w:rPr>
          <w:rFonts w:ascii="Palatino Linotype" w:eastAsia="Palatino Linotype" w:hAnsi="Palatino Linotype" w:cs="Palatino Linotype"/>
        </w:rPr>
        <w:t xml:space="preserve"> a los siguientes criterios: </w:t>
      </w:r>
    </w:p>
    <w:p w14:paraId="05222334" w14:textId="77777777" w:rsidR="003707B3" w:rsidRPr="00B05A03" w:rsidRDefault="009B445B">
      <w:pPr>
        <w:numPr>
          <w:ilvl w:val="0"/>
          <w:numId w:val="3"/>
        </w:numPr>
        <w:tabs>
          <w:tab w:val="left" w:pos="993"/>
        </w:tabs>
        <w:spacing w:before="240" w:after="240" w:line="360" w:lineRule="auto"/>
        <w:ind w:left="567" w:firstLine="0"/>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09AD34C5" w14:textId="77777777" w:rsidR="003707B3" w:rsidRPr="00B05A03" w:rsidRDefault="009B445B">
      <w:pPr>
        <w:numPr>
          <w:ilvl w:val="0"/>
          <w:numId w:val="3"/>
        </w:numPr>
        <w:tabs>
          <w:tab w:val="left" w:pos="993"/>
        </w:tabs>
        <w:spacing w:before="240" w:after="240" w:line="360" w:lineRule="auto"/>
        <w:ind w:left="567" w:firstLine="0"/>
        <w:jc w:val="both"/>
        <w:rPr>
          <w:rFonts w:ascii="Palatino Linotype" w:eastAsia="Palatino Linotype" w:hAnsi="Palatino Linotype" w:cs="Palatino Linotype"/>
        </w:rPr>
      </w:pPr>
      <w:r w:rsidRPr="00B05A03">
        <w:rPr>
          <w:rFonts w:ascii="Palatino Linotype" w:eastAsia="Palatino Linotype" w:hAnsi="Palatino Linotype" w:cs="Palatino Linotype"/>
        </w:rPr>
        <w:t>Actividad Procesal del interesado. Acciones u omisiones del interesado.</w:t>
      </w:r>
    </w:p>
    <w:p w14:paraId="54CE29DB" w14:textId="77777777" w:rsidR="003707B3" w:rsidRPr="00B05A03" w:rsidRDefault="009B445B">
      <w:pPr>
        <w:numPr>
          <w:ilvl w:val="0"/>
          <w:numId w:val="3"/>
        </w:numPr>
        <w:tabs>
          <w:tab w:val="left" w:pos="993"/>
        </w:tabs>
        <w:spacing w:before="240" w:after="240" w:line="360" w:lineRule="auto"/>
        <w:ind w:left="567" w:firstLine="0"/>
        <w:jc w:val="both"/>
        <w:rPr>
          <w:rFonts w:ascii="Palatino Linotype" w:eastAsia="Palatino Linotype" w:hAnsi="Palatino Linotype" w:cs="Palatino Linotype"/>
        </w:rPr>
      </w:pPr>
      <w:r w:rsidRPr="00B05A03">
        <w:rPr>
          <w:rFonts w:ascii="Palatino Linotype" w:eastAsia="Palatino Linotype" w:hAnsi="Palatino Linotype" w:cs="Palatino Linotype"/>
        </w:rPr>
        <w:t>Conducta de la Autoridad: Las Acciones u omisiones realizadas en el procedimiento. Así como si la autoridad actuó con la debida diligencia.</w:t>
      </w:r>
    </w:p>
    <w:p w14:paraId="04288A8F" w14:textId="77777777" w:rsidR="003707B3" w:rsidRPr="00B05A03" w:rsidRDefault="009B445B">
      <w:pPr>
        <w:numPr>
          <w:ilvl w:val="0"/>
          <w:numId w:val="3"/>
        </w:numPr>
        <w:tabs>
          <w:tab w:val="left" w:pos="993"/>
        </w:tabs>
        <w:spacing w:before="240" w:after="240" w:line="360" w:lineRule="auto"/>
        <w:ind w:left="567" w:firstLine="0"/>
        <w:jc w:val="both"/>
        <w:rPr>
          <w:rFonts w:ascii="Palatino Linotype" w:eastAsia="Palatino Linotype" w:hAnsi="Palatino Linotype" w:cs="Palatino Linotype"/>
        </w:rPr>
      </w:pPr>
      <w:r w:rsidRPr="00B05A03">
        <w:rPr>
          <w:rFonts w:ascii="Palatino Linotype" w:eastAsia="Palatino Linotype" w:hAnsi="Palatino Linotype" w:cs="Palatino Linotype"/>
        </w:rPr>
        <w:t>La afectación generada en la situación jurídica de la persona involucrada en el proceso: Violación a sus derechos humanos.</w:t>
      </w:r>
    </w:p>
    <w:p w14:paraId="225834D1"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EEF77D" w14:textId="77777777" w:rsidR="003707B3" w:rsidRPr="00B05A03" w:rsidRDefault="009B445B">
      <w:pPr>
        <w:spacing w:before="240" w:after="240" w:line="360" w:lineRule="auto"/>
        <w:jc w:val="both"/>
        <w:rPr>
          <w:rFonts w:ascii="Palatino Linotype" w:eastAsia="Palatino Linotype" w:hAnsi="Palatino Linotype" w:cs="Palatino Linotype"/>
          <w:b/>
        </w:rPr>
      </w:pPr>
      <w:r w:rsidRPr="00B05A03">
        <w:rPr>
          <w:rFonts w:ascii="Palatino Linotype" w:eastAsia="Palatino Linotype" w:hAnsi="Palatino Linotype" w:cs="Palatino Linotype"/>
        </w:rPr>
        <w:t>Argumento que encuentra sustento en la jurisprudencia P</w:t>
      </w:r>
      <w:proofErr w:type="gramStart"/>
      <w:r w:rsidRPr="00B05A03">
        <w:rPr>
          <w:rFonts w:ascii="Palatino Linotype" w:eastAsia="Palatino Linotype" w:hAnsi="Palatino Linotype" w:cs="Palatino Linotype"/>
        </w:rPr>
        <w:t>./</w:t>
      </w:r>
      <w:proofErr w:type="gramEnd"/>
      <w:r w:rsidRPr="00B05A03">
        <w:rPr>
          <w:rFonts w:ascii="Palatino Linotype" w:eastAsia="Palatino Linotype" w:hAnsi="Palatino Linotype" w:cs="Palatino Linotype"/>
        </w:rPr>
        <w:t xml:space="preserve">J. 32/92 emitida por el Pleno de la Suprema Corte de Justicia de la Nación de rubro </w:t>
      </w:r>
      <w:r w:rsidRPr="00B05A0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05A03">
        <w:rPr>
          <w:rFonts w:ascii="Palatino Linotype" w:eastAsia="Palatino Linotype" w:hAnsi="Palatino Linotype" w:cs="Palatino Linotype"/>
        </w:rPr>
        <w:t>, visible en la Gaceta del Seminario Judicial de la Federación con el registro digital 205635.</w:t>
      </w:r>
    </w:p>
    <w:p w14:paraId="66994DC6"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499D31"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D2028BB" w14:textId="77777777" w:rsidR="003707B3" w:rsidRPr="00B05A03" w:rsidRDefault="009B445B">
      <w:pPr>
        <w:spacing w:before="240" w:after="240"/>
        <w:ind w:left="851" w:right="900"/>
        <w:jc w:val="both"/>
        <w:rPr>
          <w:rFonts w:ascii="Palatino Linotype" w:eastAsia="Palatino Linotype" w:hAnsi="Palatino Linotype" w:cs="Palatino Linotype"/>
          <w:sz w:val="22"/>
          <w:szCs w:val="22"/>
        </w:rPr>
      </w:pPr>
      <w:r w:rsidRPr="00B05A03">
        <w:rPr>
          <w:rFonts w:ascii="Palatino Linotype" w:eastAsia="Palatino Linotype" w:hAnsi="Palatino Linotype" w:cs="Palatino Linotype"/>
          <w:sz w:val="22"/>
          <w:szCs w:val="22"/>
        </w:rPr>
        <w:t xml:space="preserve"> </w:t>
      </w:r>
      <w:r w:rsidRPr="00B05A03">
        <w:rPr>
          <w:rFonts w:ascii="Palatino Linotype" w:eastAsia="Palatino Linotype" w:hAnsi="Palatino Linotype" w:cs="Palatino Linotype"/>
          <w:b/>
          <w:i/>
          <w:sz w:val="22"/>
          <w:szCs w:val="22"/>
        </w:rPr>
        <w:t>“PLAZO RAZONABLE PARA RESOLVER. DIMENSIÓN Y EFECTOS DE ESTE CONCEPTO CUANDO SE ADUCE EXCESIVA CARGA DE TRABAJO</w:t>
      </w: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sz w:val="22"/>
          <w:szCs w:val="22"/>
        </w:rPr>
        <w:t xml:space="preserve"> consultable en el Seminario Judicial de la Federación y su gaceta, con el registro digital 2002351.</w:t>
      </w:r>
    </w:p>
    <w:p w14:paraId="55C77628" w14:textId="77777777" w:rsidR="003707B3" w:rsidRPr="00B05A03" w:rsidRDefault="009B445B">
      <w:pPr>
        <w:spacing w:before="240" w:after="240"/>
        <w:ind w:left="851" w:right="900"/>
        <w:jc w:val="both"/>
        <w:rPr>
          <w:rFonts w:ascii="Palatino Linotype" w:eastAsia="Palatino Linotype" w:hAnsi="Palatino Linotype" w:cs="Palatino Linotype"/>
          <w:sz w:val="22"/>
          <w:szCs w:val="22"/>
        </w:rPr>
      </w:pPr>
      <w:r w:rsidRPr="00B05A03">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05A03">
        <w:rPr>
          <w:rFonts w:ascii="Palatino Linotype" w:eastAsia="Palatino Linotype" w:hAnsi="Palatino Linotype" w:cs="Palatino Linotype"/>
          <w:sz w:val="22"/>
          <w:szCs w:val="22"/>
        </w:rPr>
        <w:t>, visible en el Seminario Judicial de la Federación y su gaceta, con el registro digital 2002350.</w:t>
      </w:r>
    </w:p>
    <w:p w14:paraId="600CCFD8"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68E8036" w14:textId="38C873FD"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b/>
        </w:rPr>
        <w:lastRenderedPageBreak/>
        <w:t xml:space="preserve">8. Cierre de instrucción. </w:t>
      </w:r>
      <w:r w:rsidRPr="00B05A03">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B05A03">
        <w:rPr>
          <w:rFonts w:ascii="Palatino Linotype" w:eastAsia="Palatino Linotype" w:hAnsi="Palatino Linotype" w:cs="Palatino Linotype"/>
          <w:b/>
        </w:rPr>
        <w:t>seis de diciembre de dos mil veintitrés</w:t>
      </w:r>
      <w:r w:rsidRPr="00B05A0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3D9834B"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A8E8865" w14:textId="77777777" w:rsidR="003707B3" w:rsidRPr="00B05A03" w:rsidRDefault="009B445B">
      <w:pPr>
        <w:widowControl w:val="0"/>
        <w:spacing w:before="240" w:after="240" w:line="360" w:lineRule="auto"/>
        <w:jc w:val="center"/>
        <w:rPr>
          <w:rFonts w:ascii="Palatino Linotype" w:eastAsia="Palatino Linotype" w:hAnsi="Palatino Linotype" w:cs="Palatino Linotype"/>
          <w:b/>
        </w:rPr>
      </w:pPr>
      <w:r w:rsidRPr="00B05A03">
        <w:rPr>
          <w:rFonts w:ascii="Palatino Linotype" w:eastAsia="Palatino Linotype" w:hAnsi="Palatino Linotype" w:cs="Palatino Linotype"/>
          <w:b/>
        </w:rPr>
        <w:t>II. C O N S I D E R A N D O S</w:t>
      </w:r>
    </w:p>
    <w:p w14:paraId="591374B7"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b/>
        </w:rPr>
        <w:t>Primero. Competencia.</w:t>
      </w:r>
      <w:r w:rsidRPr="00B05A0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A716B24" w14:textId="77777777" w:rsidR="003707B3" w:rsidRPr="00B05A03" w:rsidRDefault="009B445B">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B05A03">
        <w:rPr>
          <w:rFonts w:ascii="Palatino Linotype" w:eastAsia="Palatino Linotype" w:hAnsi="Palatino Linotype" w:cs="Palatino Linotype"/>
          <w:b/>
        </w:rPr>
        <w:lastRenderedPageBreak/>
        <w:t xml:space="preserve">Segundo. Oportunidad y </w:t>
      </w:r>
      <w:proofErr w:type="spellStart"/>
      <w:r w:rsidRPr="00B05A03">
        <w:rPr>
          <w:rFonts w:ascii="Palatino Linotype" w:eastAsia="Palatino Linotype" w:hAnsi="Palatino Linotype" w:cs="Palatino Linotype"/>
          <w:b/>
        </w:rPr>
        <w:t>Procedibilidad</w:t>
      </w:r>
      <w:proofErr w:type="spellEnd"/>
      <w:r w:rsidRPr="00B05A03">
        <w:rPr>
          <w:rFonts w:ascii="Palatino Linotype" w:eastAsia="Palatino Linotype" w:hAnsi="Palatino Linotype" w:cs="Palatino Linotype"/>
          <w:b/>
        </w:rPr>
        <w:t xml:space="preserve"> del Recurso de Revisión</w:t>
      </w:r>
      <w:r w:rsidRPr="00B05A03">
        <w:rPr>
          <w:rFonts w:ascii="Palatino Linotype" w:eastAsia="Palatino Linotype" w:hAnsi="Palatino Linotype" w:cs="Palatino Linotype"/>
        </w:rPr>
        <w:t xml:space="preserve">. Previo al estudio del fondo del asunto, se procede a analizar los requisitos de oportunidad y </w:t>
      </w:r>
      <w:proofErr w:type="spellStart"/>
      <w:r w:rsidRPr="00B05A03">
        <w:rPr>
          <w:rFonts w:ascii="Palatino Linotype" w:eastAsia="Palatino Linotype" w:hAnsi="Palatino Linotype" w:cs="Palatino Linotype"/>
        </w:rPr>
        <w:t>procedibilidad</w:t>
      </w:r>
      <w:proofErr w:type="spellEnd"/>
      <w:r w:rsidRPr="00B05A03">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4C283C0A"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05A03">
        <w:rPr>
          <w:rFonts w:ascii="Palatino Linotype" w:eastAsia="Palatino Linotype" w:hAnsi="Palatino Linotype" w:cs="Palatino Linotype"/>
          <w:b/>
        </w:rPr>
        <w:t xml:space="preserve">Sujeto Obligado </w:t>
      </w:r>
      <w:r w:rsidRPr="00B05A03">
        <w:rPr>
          <w:rFonts w:ascii="Palatino Linotype" w:eastAsia="Palatino Linotype" w:hAnsi="Palatino Linotype" w:cs="Palatino Linotype"/>
        </w:rPr>
        <w:t xml:space="preserve">remitió la respuesta a la solicitud de información el día </w:t>
      </w:r>
      <w:r w:rsidRPr="00B05A03">
        <w:rPr>
          <w:rFonts w:ascii="Palatino Linotype" w:eastAsia="Palatino Linotype" w:hAnsi="Palatino Linotype" w:cs="Palatino Linotype"/>
          <w:b/>
        </w:rPr>
        <w:t xml:space="preserve">nueve de junio de dos mil veintitrés, </w:t>
      </w:r>
      <w:r w:rsidRPr="00B05A03">
        <w:rPr>
          <w:rFonts w:ascii="Palatino Linotype" w:eastAsia="Palatino Linotype" w:hAnsi="Palatino Linotype" w:cs="Palatino Linotype"/>
        </w:rPr>
        <w:t xml:space="preserve">mientras que el recurso de revisión interpuesto por 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xml:space="preserve">, se tuvo por presentado el día </w:t>
      </w:r>
      <w:r w:rsidRPr="00B05A03">
        <w:rPr>
          <w:rFonts w:ascii="Palatino Linotype" w:eastAsia="Palatino Linotype" w:hAnsi="Palatino Linotype" w:cs="Palatino Linotype"/>
          <w:b/>
        </w:rPr>
        <w:t xml:space="preserve">veintisiete de junio de dos mil veintitrés, </w:t>
      </w:r>
      <w:r w:rsidRPr="00B05A03">
        <w:rPr>
          <w:rFonts w:ascii="Palatino Linotype" w:eastAsia="Palatino Linotype" w:hAnsi="Palatino Linotype" w:cs="Palatino Linotype"/>
        </w:rPr>
        <w:t>esto es, al décimo segundo día hábil posterior en que tuvo conocimiento de la respuesta impugnada. En este sentido, se concluye que el presente recurso de revisión se encuentra dentro de los márgenes temporales previstos en las disposiciones legales referidas.</w:t>
      </w:r>
    </w:p>
    <w:p w14:paraId="3E941E0E" w14:textId="77777777" w:rsidR="003707B3" w:rsidRPr="00B05A03" w:rsidRDefault="009B445B">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B05A03">
        <w:rPr>
          <w:rFonts w:ascii="Palatino Linotype" w:eastAsia="Palatino Linotype" w:hAnsi="Palatino Linotype" w:cs="Palatino Linotype"/>
        </w:rPr>
        <w:t xml:space="preserve">Al mismo tiempo, por cuanto hace a la </w:t>
      </w:r>
      <w:proofErr w:type="spellStart"/>
      <w:r w:rsidRPr="00B05A03">
        <w:rPr>
          <w:rFonts w:ascii="Palatino Linotype" w:eastAsia="Palatino Linotype" w:hAnsi="Palatino Linotype" w:cs="Palatino Linotype"/>
        </w:rPr>
        <w:t>procedibilidad</w:t>
      </w:r>
      <w:proofErr w:type="spellEnd"/>
      <w:r w:rsidRPr="00B05A03">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351D16E"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A efecto de sustentar lo anterior, es de suma importancia mencionar que si bien la persona solicitante </w:t>
      </w:r>
      <w:r w:rsidRPr="00B05A03">
        <w:rPr>
          <w:rFonts w:ascii="Palatino Linotype" w:eastAsia="Palatino Linotype" w:hAnsi="Palatino Linotype" w:cs="Palatino Linotype"/>
          <w:b/>
        </w:rPr>
        <w:t xml:space="preserve">no proporcionó nombre completo, </w:t>
      </w:r>
      <w:r w:rsidRPr="00B05A03">
        <w:rPr>
          <w:rFonts w:ascii="Palatino Linotype" w:eastAsia="Palatino Linotype" w:hAnsi="Palatino Linotype" w:cs="Palatino Linotype"/>
        </w:rPr>
        <w:t xml:space="preserve">como se advierte en el detalle </w:t>
      </w:r>
      <w:r w:rsidRPr="00B05A03">
        <w:rPr>
          <w:rFonts w:ascii="Palatino Linotype" w:eastAsia="Palatino Linotype" w:hAnsi="Palatino Linotype" w:cs="Palatino Linotype"/>
        </w:rPr>
        <w:lastRenderedPageBreak/>
        <w:t>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4DC5AB5" w14:textId="77777777" w:rsidR="003707B3" w:rsidRPr="00B05A03" w:rsidRDefault="009B445B">
      <w:pPr>
        <w:spacing w:before="120" w:after="120"/>
        <w:ind w:left="851" w:right="902"/>
        <w:jc w:val="both"/>
        <w:rPr>
          <w:rFonts w:ascii="Palatino Linotype" w:eastAsia="Palatino Linotype" w:hAnsi="Palatino Linotype" w:cs="Palatino Linotype"/>
          <w:sz w:val="22"/>
          <w:szCs w:val="22"/>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Las solicitudes anónimas</w:t>
      </w:r>
      <w:r w:rsidRPr="00B05A03">
        <w:rPr>
          <w:rFonts w:ascii="Palatino Linotype" w:eastAsia="Palatino Linotype" w:hAnsi="Palatino Linotype" w:cs="Palatino Linotype"/>
          <w:i/>
          <w:sz w:val="22"/>
          <w:szCs w:val="22"/>
        </w:rPr>
        <w:t xml:space="preserve">, con nombre incompleto o seudónimo </w:t>
      </w:r>
      <w:r w:rsidRPr="00B05A03">
        <w:rPr>
          <w:rFonts w:ascii="Palatino Linotype" w:eastAsia="Palatino Linotype" w:hAnsi="Palatino Linotype" w:cs="Palatino Linotype"/>
          <w:b/>
          <w:i/>
          <w:sz w:val="22"/>
          <w:szCs w:val="22"/>
        </w:rPr>
        <w:t>serán procedentes para su trámite por parte del sujeto obligado ante quien se presente</w:t>
      </w:r>
      <w:r w:rsidRPr="00B05A03">
        <w:rPr>
          <w:rFonts w:ascii="Palatino Linotype" w:eastAsia="Palatino Linotype" w:hAnsi="Palatino Linotype" w:cs="Palatino Linotype"/>
          <w:i/>
          <w:sz w:val="22"/>
          <w:szCs w:val="22"/>
        </w:rPr>
        <w:t>. No podrá requerirse información adicional con motivo del nombre proporcionado por el solicitante."</w:t>
      </w:r>
    </w:p>
    <w:p w14:paraId="14907AE4"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por lo que, en el presente caso, al haber sido presentado el recurso de revisión vía SAIMEX, dicho requisito resulta innecesario.</w:t>
      </w:r>
    </w:p>
    <w:p w14:paraId="05C74BF5"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Finalmente, se advierte que resulta procedente la interposición del recurso, según lo manifestado por 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xml:space="preserve"> en sus motivos de inconformidad, de acuerdo al artículo 179, fracción I del ordenamiento legal citado, que a la letra dice: </w:t>
      </w:r>
    </w:p>
    <w:p w14:paraId="49B9A249"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Artículo 179.</w:t>
      </w:r>
      <w:r w:rsidRPr="00B05A0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193B1C5" w14:textId="77777777" w:rsidR="003707B3" w:rsidRPr="00B05A03" w:rsidRDefault="009B445B">
      <w:pPr>
        <w:spacing w:before="120" w:after="120"/>
        <w:ind w:left="1134"/>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xml:space="preserve"> La negativa a la información solicitada;</w:t>
      </w:r>
    </w:p>
    <w:p w14:paraId="4A17B7F2"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b/>
        </w:rPr>
        <w:t xml:space="preserve">Tercero. Materia de la revisión. </w:t>
      </w:r>
      <w:r w:rsidRPr="00B05A03">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05A03">
        <w:rPr>
          <w:rFonts w:ascii="Palatino Linotype" w:eastAsia="Palatino Linotype" w:hAnsi="Palatino Linotype" w:cs="Palatino Linotype"/>
          <w:b/>
        </w:rPr>
        <w:lastRenderedPageBreak/>
        <w:t xml:space="preserve">verificar si la información otorgada por el Sujeto Obligado es adecuada y suficiente para satisfacer el derecho de acceso a la información pública </w:t>
      </w:r>
      <w:r w:rsidRPr="00B05A03">
        <w:rPr>
          <w:rFonts w:ascii="Palatino Linotype" w:eastAsia="Palatino Linotype" w:hAnsi="Palatino Linotype" w:cs="Palatino Linotype"/>
        </w:rPr>
        <w:t xml:space="preserve">de 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o en su defecto, en caso de ser procedente, ordenar la entrega de información oportuna.</w:t>
      </w:r>
    </w:p>
    <w:p w14:paraId="0AF88F9E"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b/>
        </w:rPr>
        <w:t xml:space="preserve">Cuarto. Estudio del asunto. </w:t>
      </w:r>
      <w:r w:rsidRPr="00B05A03">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CAA458F"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Artículo 4</w:t>
      </w:r>
      <w:r w:rsidRPr="00B05A0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B3B82C0"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05A0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513C6B6"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05A03">
        <w:rPr>
          <w:rFonts w:ascii="Palatino Linotype" w:eastAsia="Palatino Linotype" w:hAnsi="Palatino Linotype" w:cs="Palatino Linotype"/>
          <w:i/>
          <w:sz w:val="22"/>
          <w:szCs w:val="22"/>
        </w:rPr>
        <w:t>.”(Sic)</w:t>
      </w:r>
    </w:p>
    <w:p w14:paraId="02BAE81F"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767A2FC"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12.-</w:t>
      </w:r>
      <w:r w:rsidRPr="00B05A0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DE48074"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05A03">
        <w:rPr>
          <w:rFonts w:ascii="Palatino Linotype" w:eastAsia="Palatino Linotype" w:hAnsi="Palatino Linotype" w:cs="Palatino Linotype"/>
          <w:i/>
          <w:sz w:val="22"/>
          <w:szCs w:val="22"/>
        </w:rPr>
        <w:t xml:space="preserve">. </w:t>
      </w:r>
      <w:r w:rsidRPr="00B05A0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220C9FF" w14:textId="77777777" w:rsidR="003707B3" w:rsidRPr="00B05A03" w:rsidRDefault="009B445B">
      <w:pPr>
        <w:spacing w:before="240" w:after="240" w:line="360" w:lineRule="auto"/>
        <w:ind w:right="-93"/>
        <w:jc w:val="both"/>
        <w:rPr>
          <w:rFonts w:ascii="Palatino Linotype" w:eastAsia="Palatino Linotype" w:hAnsi="Palatino Linotype" w:cs="Palatino Linotype"/>
        </w:rPr>
      </w:pPr>
      <w:r w:rsidRPr="00B05A03">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EF1E5AC" w14:textId="77777777" w:rsidR="003707B3" w:rsidRPr="00B05A03" w:rsidRDefault="009B445B">
      <w:pPr>
        <w:spacing w:before="240" w:after="240" w:line="360" w:lineRule="auto"/>
        <w:jc w:val="both"/>
        <w:rPr>
          <w:rFonts w:ascii="Palatino Linotype" w:eastAsia="Palatino Linotype" w:hAnsi="Palatino Linotype" w:cs="Palatino Linotype"/>
          <w:b/>
        </w:rPr>
      </w:pPr>
      <w:r w:rsidRPr="00B05A03">
        <w:rPr>
          <w:rFonts w:ascii="Palatino Linotype" w:eastAsia="Palatino Linotype" w:hAnsi="Palatino Linotype" w:cs="Palatino Linotype"/>
        </w:rPr>
        <w:t>Sirve de apoyo a lo anterior, el criterio 03/17, emitido por el Instituto Nacional de Transparencia, Acceso a la Información y Protección de Datos Personales, que por rubro y texto, dispone lo siguiente:</w:t>
      </w:r>
      <w:r w:rsidRPr="00B05A03">
        <w:rPr>
          <w:rFonts w:ascii="Palatino Linotype" w:eastAsia="Palatino Linotype" w:hAnsi="Palatino Linotype" w:cs="Palatino Linotype"/>
          <w:b/>
        </w:rPr>
        <w:t xml:space="preserve"> </w:t>
      </w:r>
    </w:p>
    <w:p w14:paraId="6104CD81"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lastRenderedPageBreak/>
        <w:t>“</w:t>
      </w:r>
      <w:r w:rsidRPr="00B05A03">
        <w:rPr>
          <w:rFonts w:ascii="Palatino Linotype" w:eastAsia="Palatino Linotype" w:hAnsi="Palatino Linotype" w:cs="Palatino Linotype"/>
          <w:b/>
          <w:i/>
          <w:sz w:val="22"/>
          <w:szCs w:val="22"/>
        </w:rPr>
        <w:t>No existe obligación de elaborar documentos ad hoc para atender las solicitudes de acceso a la información.</w:t>
      </w:r>
      <w:r w:rsidRPr="00B05A0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04CAC6D" w14:textId="77777777" w:rsidR="003707B3" w:rsidRPr="00B05A03" w:rsidRDefault="009B445B">
      <w:pPr>
        <w:spacing w:before="120" w:after="12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87F8DEA" w14:textId="77777777" w:rsidR="003707B3" w:rsidRPr="00B05A03" w:rsidRDefault="009B445B">
      <w:pPr>
        <w:spacing w:before="120" w:after="12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0742C51"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 xml:space="preserve">Artículo 3. </w:t>
      </w:r>
      <w:r w:rsidRPr="00B05A03">
        <w:rPr>
          <w:rFonts w:ascii="Palatino Linotype" w:eastAsia="Palatino Linotype" w:hAnsi="Palatino Linotype" w:cs="Palatino Linotype"/>
          <w:i/>
          <w:sz w:val="22"/>
          <w:szCs w:val="22"/>
        </w:rPr>
        <w:t>Para los efectos de la presente Ley se entenderá por:</w:t>
      </w:r>
    </w:p>
    <w:p w14:paraId="03D4DEE5"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lastRenderedPageBreak/>
        <w:t>…</w:t>
      </w:r>
    </w:p>
    <w:p w14:paraId="1877A4E7"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XI. Documento:</w:t>
      </w:r>
      <w:r w:rsidRPr="00B05A03">
        <w:rPr>
          <w:rFonts w:ascii="Palatino Linotype" w:eastAsia="Palatino Linotype" w:hAnsi="Palatino Linotype" w:cs="Palatino Linotype"/>
          <w:i/>
          <w:sz w:val="22"/>
          <w:szCs w:val="22"/>
        </w:rPr>
        <w:t xml:space="preserve"> Los expedientes, reportes, estudios, actas</w:t>
      </w:r>
      <w:r w:rsidRPr="00B05A03">
        <w:rPr>
          <w:rFonts w:ascii="Palatino Linotype" w:eastAsia="Palatino Linotype" w:hAnsi="Palatino Linotype" w:cs="Palatino Linotype"/>
          <w:b/>
          <w:i/>
          <w:sz w:val="22"/>
          <w:szCs w:val="22"/>
        </w:rPr>
        <w:t>,</w:t>
      </w:r>
      <w:r w:rsidRPr="00B05A0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0FDE940"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7EA00B7"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sz w:val="22"/>
          <w:szCs w:val="22"/>
        </w:rPr>
        <w:t>“</w:t>
      </w:r>
      <w:r w:rsidRPr="00B05A0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05A0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2A4EF0"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D231A97"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6BFDEAF"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19CEB286"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lastRenderedPageBreak/>
        <w:t>3) Que se trate de información registrada en cualquier soporte documental, que en ejercicio de las atribuciones conferidas, se encuentre en posesión de los Sujetos Obligados.” (Sic)</w:t>
      </w:r>
    </w:p>
    <w:p w14:paraId="29A37514" w14:textId="77777777" w:rsidR="003707B3" w:rsidRPr="00B05A03" w:rsidRDefault="009B445B">
      <w:pPr>
        <w:spacing w:before="240" w:after="240" w:line="360" w:lineRule="auto"/>
        <w:ind w:right="51"/>
        <w:jc w:val="both"/>
        <w:rPr>
          <w:rFonts w:ascii="Palatino Linotype" w:eastAsia="Palatino Linotype" w:hAnsi="Palatino Linotype" w:cs="Palatino Linotype"/>
        </w:rPr>
      </w:pPr>
      <w:r w:rsidRPr="00B05A03">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ECF5528"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302D803"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persona solicitante requirió al </w:t>
      </w:r>
      <w:r w:rsidRPr="00B05A03">
        <w:rPr>
          <w:rFonts w:ascii="Palatino Linotype" w:eastAsia="Palatino Linotype" w:hAnsi="Palatino Linotype" w:cs="Palatino Linotype"/>
          <w:b/>
        </w:rPr>
        <w:t xml:space="preserve">Sujeto Obligado </w:t>
      </w:r>
      <w:r w:rsidRPr="00B05A03">
        <w:rPr>
          <w:rFonts w:ascii="Palatino Linotype" w:eastAsia="Palatino Linotype" w:hAnsi="Palatino Linotype" w:cs="Palatino Linotype"/>
        </w:rPr>
        <w:t>le proporcione información que consiste en lo siguiente:</w:t>
      </w:r>
    </w:p>
    <w:p w14:paraId="4F25EE4A" w14:textId="77777777" w:rsidR="003707B3" w:rsidRPr="00B05A03" w:rsidRDefault="009B445B">
      <w:pPr>
        <w:spacing w:before="240" w:after="240" w:line="360" w:lineRule="auto"/>
        <w:ind w:left="426"/>
        <w:jc w:val="both"/>
        <w:rPr>
          <w:rFonts w:ascii="Palatino Linotype" w:eastAsia="Palatino Linotype" w:hAnsi="Palatino Linotype" w:cs="Palatino Linotype"/>
          <w:sz w:val="28"/>
          <w:szCs w:val="28"/>
        </w:rPr>
      </w:pPr>
      <w:r w:rsidRPr="00B05A03">
        <w:rPr>
          <w:rFonts w:ascii="Palatino Linotype" w:eastAsia="Palatino Linotype" w:hAnsi="Palatino Linotype" w:cs="Palatino Linotype"/>
        </w:rPr>
        <w:t>1. Información sobre el presupuesto público que recibieron durante el año 2022, por atención a la Alerta de Violencia de Género contra las mujeres.</w:t>
      </w:r>
    </w:p>
    <w:p w14:paraId="7D3368D1" w14:textId="77777777" w:rsidR="003707B3" w:rsidRPr="00B05A03" w:rsidRDefault="009B445B">
      <w:pPr>
        <w:spacing w:before="240" w:after="240" w:line="360" w:lineRule="auto"/>
        <w:ind w:left="426"/>
        <w:jc w:val="both"/>
        <w:rPr>
          <w:rFonts w:ascii="Palatino Linotype" w:eastAsia="Palatino Linotype" w:hAnsi="Palatino Linotype" w:cs="Palatino Linotype"/>
        </w:rPr>
      </w:pPr>
      <w:r w:rsidRPr="00B05A03">
        <w:rPr>
          <w:rFonts w:ascii="Palatino Linotype" w:eastAsia="Palatino Linotype" w:hAnsi="Palatino Linotype" w:cs="Palatino Linotype"/>
        </w:rPr>
        <w:t>2. En qué se ejerció dicho presupuesto.</w:t>
      </w:r>
    </w:p>
    <w:p w14:paraId="38491542" w14:textId="77777777" w:rsidR="003707B3" w:rsidRPr="00B05A03" w:rsidRDefault="009B445B">
      <w:pPr>
        <w:spacing w:before="240" w:after="240" w:line="360" w:lineRule="auto"/>
        <w:ind w:left="426"/>
        <w:jc w:val="both"/>
        <w:rPr>
          <w:rFonts w:ascii="Palatino Linotype" w:eastAsia="Palatino Linotype" w:hAnsi="Palatino Linotype" w:cs="Palatino Linotype"/>
        </w:rPr>
      </w:pPr>
      <w:r w:rsidRPr="00B05A03">
        <w:rPr>
          <w:rFonts w:ascii="Palatino Linotype" w:eastAsia="Palatino Linotype" w:hAnsi="Palatino Linotype" w:cs="Palatino Linotype"/>
        </w:rPr>
        <w:t>3. Resultados obtenidos.</w:t>
      </w:r>
    </w:p>
    <w:p w14:paraId="66C15E37"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En respuesta, el </w:t>
      </w:r>
      <w:r w:rsidRPr="00B05A03">
        <w:rPr>
          <w:rFonts w:ascii="Palatino Linotype" w:eastAsia="Palatino Linotype" w:hAnsi="Palatino Linotype" w:cs="Palatino Linotype"/>
          <w:b/>
        </w:rPr>
        <w:t xml:space="preserve">Sujeto Obligado, </w:t>
      </w:r>
      <w:r w:rsidRPr="00B05A03">
        <w:rPr>
          <w:rFonts w:ascii="Palatino Linotype" w:eastAsia="Palatino Linotype" w:hAnsi="Palatino Linotype" w:cs="Palatino Linotype"/>
        </w:rPr>
        <w:t xml:space="preserve">a través de la Unidad de Transparencia hizo del conocimiento de la persona solicitante el pronunciamiento emitido por la Directora del Instituto Municipal para la Equidad de Género y el Desarrollo de las Mujeres, quien refirió que durante el ejercicio 2022 se ingresaron tres proyectos, siendo estos: </w:t>
      </w:r>
    </w:p>
    <w:p w14:paraId="23484AA2" w14:textId="77777777" w:rsidR="003707B3" w:rsidRPr="00B05A03" w:rsidRDefault="009B445B">
      <w:pPr>
        <w:spacing w:before="240" w:after="240" w:line="360" w:lineRule="auto"/>
        <w:ind w:left="426"/>
        <w:jc w:val="both"/>
        <w:rPr>
          <w:rFonts w:ascii="Palatino Linotype" w:eastAsia="Palatino Linotype" w:hAnsi="Palatino Linotype" w:cs="Palatino Linotype"/>
        </w:rPr>
      </w:pPr>
      <w:r w:rsidRPr="00B05A03">
        <w:rPr>
          <w:rFonts w:ascii="Palatino Linotype" w:eastAsia="Palatino Linotype" w:hAnsi="Palatino Linotype" w:cs="Palatino Linotype"/>
        </w:rPr>
        <w:t>- PROYECTO DE OPERACIÓN PARA LA MITIGACIÓN DE LA ALERTA DE VIOLENCIA DE GÉNERO POR FEMINICIDIO (ESTATAL) $4</w:t>
      </w:r>
      <w:proofErr w:type="gramStart"/>
      <w:r w:rsidRPr="00B05A03">
        <w:rPr>
          <w:rFonts w:ascii="Palatino Linotype" w:eastAsia="Palatino Linotype" w:hAnsi="Palatino Linotype" w:cs="Palatino Linotype"/>
        </w:rPr>
        <w:t>,982,618.78</w:t>
      </w:r>
      <w:proofErr w:type="gramEnd"/>
      <w:r w:rsidRPr="00B05A03">
        <w:rPr>
          <w:rFonts w:ascii="Palatino Linotype" w:eastAsia="Palatino Linotype" w:hAnsi="Palatino Linotype" w:cs="Palatino Linotype"/>
        </w:rPr>
        <w:t xml:space="preserve"> (Cuatro millones Novecientos Ochenta y Dos mil Seiscientos Dieciocho pesos 78/100 M.N).</w:t>
      </w:r>
    </w:p>
    <w:p w14:paraId="2763FCD9" w14:textId="77777777" w:rsidR="003707B3" w:rsidRPr="00B05A03" w:rsidRDefault="009B445B">
      <w:pPr>
        <w:spacing w:before="240" w:after="240" w:line="360" w:lineRule="auto"/>
        <w:ind w:left="426"/>
        <w:jc w:val="both"/>
        <w:rPr>
          <w:rFonts w:ascii="Palatino Linotype" w:eastAsia="Palatino Linotype" w:hAnsi="Palatino Linotype" w:cs="Palatino Linotype"/>
        </w:rPr>
      </w:pPr>
      <w:r w:rsidRPr="00B05A03">
        <w:rPr>
          <w:rFonts w:ascii="Palatino Linotype" w:eastAsia="Palatino Linotype" w:hAnsi="Palatino Linotype" w:cs="Palatino Linotype"/>
        </w:rPr>
        <w:t>- PROYECTO DE OPERACIÓN PARA LA MITIGACIÓN DE LA ALERTA DE VIOLENCIA DE GÉNERO POR DESAPARICIÓN DE NIÑAS, ADOLESCENTES Y MUJERES (ESTATAL) $2,177,668.28 (Dos Millones Ciento Setenta y Siete Mil Seiscientos Sesenta y ocho pesos 28/100).</w:t>
      </w:r>
    </w:p>
    <w:p w14:paraId="41E7DC0F" w14:textId="77777777" w:rsidR="003707B3" w:rsidRPr="00B05A03" w:rsidRDefault="009B445B">
      <w:pPr>
        <w:spacing w:before="240" w:after="240" w:line="360" w:lineRule="auto"/>
        <w:ind w:left="426"/>
        <w:jc w:val="both"/>
        <w:rPr>
          <w:rFonts w:ascii="Palatino Linotype" w:eastAsia="Palatino Linotype" w:hAnsi="Palatino Linotype" w:cs="Palatino Linotype"/>
        </w:rPr>
      </w:pPr>
      <w:r w:rsidRPr="00B05A03">
        <w:rPr>
          <w:rFonts w:ascii="Palatino Linotype" w:eastAsia="Palatino Linotype" w:hAnsi="Palatino Linotype" w:cs="Palatino Linotype"/>
        </w:rPr>
        <w:t>- CONAVIM (FEDERAL) $2</w:t>
      </w:r>
      <w:proofErr w:type="gramStart"/>
      <w:r w:rsidRPr="00B05A03">
        <w:rPr>
          <w:rFonts w:ascii="Palatino Linotype" w:eastAsia="Palatino Linotype" w:hAnsi="Palatino Linotype" w:cs="Palatino Linotype"/>
        </w:rPr>
        <w:t>,000,000.00</w:t>
      </w:r>
      <w:proofErr w:type="gramEnd"/>
      <w:r w:rsidRPr="00B05A03">
        <w:rPr>
          <w:rFonts w:ascii="Palatino Linotype" w:eastAsia="Palatino Linotype" w:hAnsi="Palatino Linotype" w:cs="Palatino Linotype"/>
        </w:rPr>
        <w:t xml:space="preserve"> (Dos millones de pesos 00/100 M.N).</w:t>
      </w:r>
    </w:p>
    <w:p w14:paraId="76F2135F"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Asimismo, describió las acciones realizadas y resultados obtenidos por cada programa como se ilustró en el antecedente 2 de la presente resolución respecto al primer proyecto, y como se ilustra a continuación respecto del tercer proyecto:</w:t>
      </w:r>
    </w:p>
    <w:p w14:paraId="3FDE213E" w14:textId="77777777" w:rsidR="003707B3" w:rsidRPr="00B05A03" w:rsidRDefault="009B445B">
      <w:pPr>
        <w:spacing w:before="240" w:after="240" w:line="360" w:lineRule="auto"/>
        <w:jc w:val="center"/>
        <w:rPr>
          <w:rFonts w:ascii="Palatino Linotype" w:eastAsia="Palatino Linotype" w:hAnsi="Palatino Linotype" w:cs="Palatino Linotype"/>
        </w:rPr>
      </w:pPr>
      <w:r w:rsidRPr="00B05A03">
        <w:rPr>
          <w:rFonts w:ascii="Palatino Linotype" w:eastAsia="Palatino Linotype" w:hAnsi="Palatino Linotype" w:cs="Palatino Linotype"/>
          <w:noProof/>
        </w:rPr>
        <w:drawing>
          <wp:inline distT="0" distB="0" distL="0" distR="0" wp14:anchorId="2F330F0A" wp14:editId="54D4B4A5">
            <wp:extent cx="4500000" cy="1595723"/>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500000" cy="1595723"/>
                    </a:xfrm>
                    <a:prstGeom prst="rect">
                      <a:avLst/>
                    </a:prstGeom>
                    <a:ln/>
                  </pic:spPr>
                </pic:pic>
              </a:graphicData>
            </a:graphic>
          </wp:inline>
        </w:drawing>
      </w:r>
      <w:r w:rsidRPr="00B05A03">
        <w:rPr>
          <w:rFonts w:ascii="Palatino Linotype" w:eastAsia="Palatino Linotype" w:hAnsi="Palatino Linotype" w:cs="Palatino Linotype"/>
          <w:noProof/>
        </w:rPr>
        <w:drawing>
          <wp:inline distT="0" distB="0" distL="0" distR="0" wp14:anchorId="7F22F8C0" wp14:editId="7BADE3A5">
            <wp:extent cx="4500000" cy="4288697"/>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500000" cy="4288697"/>
                    </a:xfrm>
                    <a:prstGeom prst="rect">
                      <a:avLst/>
                    </a:prstGeom>
                    <a:ln/>
                  </pic:spPr>
                </pic:pic>
              </a:graphicData>
            </a:graphic>
          </wp:inline>
        </w:drawing>
      </w:r>
    </w:p>
    <w:p w14:paraId="47AE1992"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 xml:space="preserve">Y, finalmente, refirió las acciones que se realizaron a nivel municipal, las cuales se encuentran dentro de la Coordinación de Atención a la Alerta de Género contra las Mujeres, el resultado de dichas acciones, y refirió que el presupuesto es general para las acciones y metas de todas las áreas adscritas al Instituto Municipal para la Equidad de Género y el Desarrollo de las Mujeres, el cual puede consultarse en la dirección electrónica </w:t>
      </w:r>
      <w:hyperlink r:id="rId17" w:anchor="Inicio%2F2022">
        <w:r w:rsidRPr="00B05A03">
          <w:rPr>
            <w:rFonts w:ascii="Palatino Linotype" w:eastAsia="Palatino Linotype" w:hAnsi="Palatino Linotype" w:cs="Palatino Linotype"/>
            <w:u w:val="single"/>
          </w:rPr>
          <w:t>http://conac.izcalli.gob.mx/#Inicio%2F2022</w:t>
        </w:r>
      </w:hyperlink>
      <w:r w:rsidRPr="00B05A03">
        <w:rPr>
          <w:rFonts w:ascii="Palatino Linotype" w:eastAsia="Palatino Linotype" w:hAnsi="Palatino Linotype" w:cs="Palatino Linotype"/>
        </w:rPr>
        <w:t xml:space="preserve">. </w:t>
      </w:r>
    </w:p>
    <w:p w14:paraId="7D17CBE7" w14:textId="77777777" w:rsidR="003707B3" w:rsidRPr="00B05A03" w:rsidRDefault="009B445B">
      <w:pPr>
        <w:spacing w:before="240" w:after="240" w:line="360" w:lineRule="auto"/>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rPr>
        <w:t xml:space="preserve">Una vez notificada la respuesta, la persona solicitante interpuso el recurso de revisión que nos ocupa, en el cual señaló como motivo de inconformidad: </w:t>
      </w: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i/>
        </w:rPr>
        <w:t>es la incompleta respuesta a la información que se solicitó, toda vez que requiero conocer que presupuesto se le asignó al municipio de Cuautitlán Izcalli, para combatir la violencia de género contra las mujeres, en que sé gasto dicho recurso, cuánto se gastó en cada rubro mencionado y cuáles fueron los beneficios o resultados obtenidos. Asimismo, solicito de la manera más atenta del sujeto obligado, tenga a bien informarme en dónde puedo consultar de manera periódica la información requerida.</w:t>
      </w:r>
      <w:r w:rsidRPr="00B05A03">
        <w:rPr>
          <w:rFonts w:ascii="Palatino Linotype" w:eastAsia="Palatino Linotype" w:hAnsi="Palatino Linotype" w:cs="Palatino Linotype"/>
          <w:i/>
          <w:sz w:val="22"/>
          <w:szCs w:val="22"/>
        </w:rPr>
        <w:t>" (</w:t>
      </w:r>
      <w:proofErr w:type="gramStart"/>
      <w:r w:rsidRPr="00B05A03">
        <w:rPr>
          <w:rFonts w:ascii="Palatino Linotype" w:eastAsia="Palatino Linotype" w:hAnsi="Palatino Linotype" w:cs="Palatino Linotype"/>
          <w:i/>
          <w:sz w:val="22"/>
          <w:szCs w:val="22"/>
        </w:rPr>
        <w:t>sic</w:t>
      </w:r>
      <w:proofErr w:type="gramEnd"/>
      <w:r w:rsidRPr="00B05A03">
        <w:rPr>
          <w:rFonts w:ascii="Palatino Linotype" w:eastAsia="Palatino Linotype" w:hAnsi="Palatino Linotype" w:cs="Palatino Linotype"/>
          <w:i/>
          <w:sz w:val="22"/>
          <w:szCs w:val="22"/>
        </w:rPr>
        <w:t>)</w:t>
      </w:r>
    </w:p>
    <w:p w14:paraId="14F66344" w14:textId="77777777" w:rsidR="003707B3" w:rsidRPr="00B05A03" w:rsidRDefault="009B445B">
      <w:pPr>
        <w:spacing w:before="240" w:after="240" w:line="360" w:lineRule="auto"/>
        <w:ind w:right="51"/>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En este sentido, no escapa de la óptica de este Organismo Garante que la persona solicitante pretendió ampliar su solicitud a través de su recurso de revisión, pues solicitó se le informara </w:t>
      </w:r>
      <w:r w:rsidRPr="00B05A03">
        <w:rPr>
          <w:rFonts w:ascii="Palatino Linotype" w:eastAsia="Palatino Linotype" w:hAnsi="Palatino Linotype" w:cs="Palatino Linotype"/>
          <w:i/>
        </w:rPr>
        <w:t>en donde puede consultar de manera periódica la información requerida</w:t>
      </w:r>
      <w:r w:rsidRPr="00B05A03">
        <w:rPr>
          <w:rFonts w:ascii="Palatino Linotype" w:eastAsia="Palatino Linotype" w:hAnsi="Palatino Linotype" w:cs="Palatino Linotype"/>
        </w:rPr>
        <w:t xml:space="preserve">, no obstante, como se advierte en el antecedente 1 de la presente resolución, dicha información no fue solicitada, es decir, no fue requerida en un primer momento en dichos términos. En este sentido, dichos pronunciamientos se traducen como una </w:t>
      </w:r>
      <w:r w:rsidRPr="00B05A03">
        <w:rPr>
          <w:rFonts w:ascii="Palatino Linotype" w:eastAsia="Palatino Linotype" w:hAnsi="Palatino Linotype" w:cs="Palatino Linotype"/>
          <w:i/>
        </w:rPr>
        <w:t xml:space="preserve">plus </w:t>
      </w:r>
      <w:proofErr w:type="spellStart"/>
      <w:r w:rsidRPr="00B05A03">
        <w:rPr>
          <w:rFonts w:ascii="Palatino Linotype" w:eastAsia="Palatino Linotype" w:hAnsi="Palatino Linotype" w:cs="Palatino Linotype"/>
          <w:i/>
        </w:rPr>
        <w:t>petitio</w:t>
      </w:r>
      <w:proofErr w:type="spellEnd"/>
      <w:r w:rsidRPr="00B05A03">
        <w:rPr>
          <w:rFonts w:ascii="Palatino Linotype" w:eastAsia="Palatino Linotype" w:hAnsi="Palatino Linotype" w:cs="Palatino Linotype"/>
          <w:b/>
          <w:i/>
        </w:rPr>
        <w:t xml:space="preserve">, </w:t>
      </w:r>
      <w:r w:rsidRPr="00B05A03">
        <w:rPr>
          <w:rFonts w:ascii="Palatino Linotype" w:eastAsia="Palatino Linotype" w:hAnsi="Palatino Linotype" w:cs="Palatino Linotype"/>
        </w:rPr>
        <w:t xml:space="preserve">y por tanto inatendibles a través del recurso de revisión. </w:t>
      </w:r>
    </w:p>
    <w:p w14:paraId="4B4AF567"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En este orden de ideas, una vez formulada su solicitud inicial,</w:t>
      </w:r>
      <w:r w:rsidRPr="00B05A03">
        <w:rPr>
          <w:rFonts w:ascii="Palatino Linotype" w:eastAsia="Palatino Linotype" w:hAnsi="Palatino Linotype" w:cs="Palatino Linotype"/>
          <w:i/>
        </w:rPr>
        <w:t xml:space="preserve"> </w:t>
      </w:r>
      <w:r w:rsidRPr="00B05A03">
        <w:rPr>
          <w:rFonts w:ascii="Palatino Linotype" w:eastAsia="Palatino Linotype" w:hAnsi="Palatino Linotype" w:cs="Palatino Linotype"/>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15B5581F" w14:textId="77777777" w:rsidR="003707B3" w:rsidRPr="00B05A03" w:rsidRDefault="009B445B">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69025FB9" w14:textId="77777777" w:rsidR="003707B3" w:rsidRPr="00B05A03" w:rsidRDefault="009B445B">
      <w:pPr>
        <w:spacing w:before="240" w:after="240"/>
        <w:ind w:left="851" w:right="900"/>
        <w:jc w:val="both"/>
        <w:rPr>
          <w:rFonts w:ascii="Palatino Linotype" w:eastAsia="Palatino Linotype" w:hAnsi="Palatino Linotype" w:cs="Palatino Linotype"/>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B05A03">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B05A03">
        <w:rPr>
          <w:rFonts w:ascii="Palatino Linotype" w:eastAsia="Palatino Linotype" w:hAnsi="Palatino Linotype" w:cs="Palatino Linotype"/>
          <w:b/>
          <w:i/>
          <w:sz w:val="22"/>
          <w:szCs w:val="22"/>
        </w:rPr>
        <w:t>.</w:t>
      </w:r>
      <w:r w:rsidRPr="00B05A03">
        <w:rPr>
          <w:rFonts w:ascii="Palatino Linotype" w:eastAsia="Palatino Linotype" w:hAnsi="Palatino Linotype" w:cs="Palatino Linotype"/>
          <w:i/>
          <w:sz w:val="22"/>
          <w:szCs w:val="22"/>
        </w:rPr>
        <w:t>”</w:t>
      </w:r>
    </w:p>
    <w:p w14:paraId="1B1F1A78"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No obstante, de lo anterior, se dejan a salvo los derechos de la persona solicitante, para que, en caso de considerar conveniente a sus intereses, el conocer la información que fue señalada, la solicite a través de una nueva solicitud de información.</w:t>
      </w:r>
    </w:p>
    <w:p w14:paraId="13473467"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En la etapa de manifestaciones, el Instituto Municipal para la Equidad de Género y el Desarrollo de las Mujeres reiteró en sus términos la información proporcionada, precisando los montos del presupuesto, en los siguientes términos:</w:t>
      </w:r>
    </w:p>
    <w:p w14:paraId="2DB21FD9" w14:textId="77777777" w:rsidR="003707B3" w:rsidRPr="00B05A03" w:rsidRDefault="009B445B">
      <w:pPr>
        <w:spacing w:before="240" w:after="240" w:line="360" w:lineRule="auto"/>
        <w:jc w:val="center"/>
        <w:rPr>
          <w:rFonts w:ascii="Palatino Linotype" w:eastAsia="Palatino Linotype" w:hAnsi="Palatino Linotype" w:cs="Palatino Linotype"/>
        </w:rPr>
      </w:pPr>
      <w:r w:rsidRPr="00B05A03">
        <w:rPr>
          <w:noProof/>
        </w:rPr>
        <w:drawing>
          <wp:inline distT="0" distB="0" distL="0" distR="0" wp14:anchorId="5903218F" wp14:editId="682B4516">
            <wp:extent cx="4500000" cy="193279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500000" cy="1932790"/>
                    </a:xfrm>
                    <a:prstGeom prst="rect">
                      <a:avLst/>
                    </a:prstGeom>
                    <a:ln/>
                  </pic:spPr>
                </pic:pic>
              </a:graphicData>
            </a:graphic>
          </wp:inline>
        </w:drawing>
      </w:r>
      <w:r w:rsidRPr="00B05A03">
        <w:rPr>
          <w:noProof/>
        </w:rPr>
        <w:drawing>
          <wp:inline distT="0" distB="0" distL="0" distR="0" wp14:anchorId="5F064A89" wp14:editId="0F66590B">
            <wp:extent cx="4500000" cy="380346"/>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4500000" cy="380346"/>
                    </a:xfrm>
                    <a:prstGeom prst="rect">
                      <a:avLst/>
                    </a:prstGeom>
                    <a:ln/>
                  </pic:spPr>
                </pic:pic>
              </a:graphicData>
            </a:graphic>
          </wp:inline>
        </w:drawing>
      </w:r>
      <w:r w:rsidRPr="00B05A03">
        <w:rPr>
          <w:noProof/>
        </w:rPr>
        <w:drawing>
          <wp:inline distT="0" distB="0" distL="0" distR="0" wp14:anchorId="6472A45B" wp14:editId="1D181B17">
            <wp:extent cx="4500000" cy="1155295"/>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4500000" cy="1155295"/>
                    </a:xfrm>
                    <a:prstGeom prst="rect">
                      <a:avLst/>
                    </a:prstGeom>
                    <a:ln/>
                  </pic:spPr>
                </pic:pic>
              </a:graphicData>
            </a:graphic>
          </wp:inline>
        </w:drawing>
      </w:r>
    </w:p>
    <w:p w14:paraId="257C85CD"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Ahora bien, tomando en consideración la naturaleza de la información solicitada, es preciso traer a colación el contenido de la Ley General de Acceso de las Mujeres a una Vida Libre de Violencia, la cual tiene por objeto establecer la coordinación entre la Federación, las entidades federativas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así como para garantizar la democracia, el desarrollo integral y sustentable que fortalezca la </w:t>
      </w:r>
      <w:r w:rsidRPr="00B05A03">
        <w:rPr>
          <w:rFonts w:ascii="Palatino Linotype" w:eastAsia="Palatino Linotype" w:hAnsi="Palatino Linotype" w:cs="Palatino Linotype"/>
        </w:rPr>
        <w:lastRenderedPageBreak/>
        <w:t xml:space="preserve">soberanía y el régimen democrático establecidos en la Constitución Política de los Estados Unidos Mexicanos. </w:t>
      </w:r>
    </w:p>
    <w:p w14:paraId="3525C544"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En este tenor, el artículo 5 de la Ley General de Acceso de las Mujeres a una Vida Libre de Violencia, la </w:t>
      </w:r>
      <w:r w:rsidRPr="00B05A03">
        <w:rPr>
          <w:rFonts w:ascii="Palatino Linotype" w:eastAsia="Palatino Linotype" w:hAnsi="Palatino Linotype" w:cs="Palatino Linotype"/>
          <w:i/>
        </w:rPr>
        <w:t>violencia contra las mujeres</w:t>
      </w:r>
      <w:r w:rsidRPr="00B05A03">
        <w:rPr>
          <w:rFonts w:ascii="Palatino Linotype" w:eastAsia="Palatino Linotype" w:hAnsi="Palatino Linotype" w:cs="Palatino Linotype"/>
        </w:rPr>
        <w:t xml:space="preserve"> es concebida como cualquier acción u omisión, basada en su género, que les cause daño o sufrimiento psicológico, físico, patrimonial, económico, sexual o la muerte tanto en el ámbito privado como en el público. </w:t>
      </w:r>
    </w:p>
    <w:p w14:paraId="050D9999"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Los tipos de violencia contra las mujeres y sus modalidades se encuentran establecidos en los artículos 6, 7, 10, 16, 18, 20 Bis, 20 </w:t>
      </w:r>
      <w:proofErr w:type="spellStart"/>
      <w:r w:rsidRPr="00B05A03">
        <w:rPr>
          <w:rFonts w:ascii="Palatino Linotype" w:eastAsia="Palatino Linotype" w:hAnsi="Palatino Linotype" w:cs="Palatino Linotype"/>
        </w:rPr>
        <w:t>Quárter</w:t>
      </w:r>
      <w:proofErr w:type="spellEnd"/>
      <w:r w:rsidRPr="00B05A03">
        <w:rPr>
          <w:rFonts w:ascii="Palatino Linotype" w:eastAsia="Palatino Linotype" w:hAnsi="Palatino Linotype" w:cs="Palatino Linotype"/>
        </w:rPr>
        <w:t xml:space="preserve">, 21, de la Ley General: </w:t>
      </w:r>
    </w:p>
    <w:p w14:paraId="75CA3887"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ARTÍCULO 6</w:t>
      </w:r>
      <w:r w:rsidRPr="00B05A03">
        <w:rPr>
          <w:rFonts w:ascii="Palatino Linotype" w:eastAsia="Palatino Linotype" w:hAnsi="Palatino Linotype" w:cs="Palatino Linotype"/>
          <w:i/>
          <w:sz w:val="22"/>
          <w:szCs w:val="22"/>
        </w:rPr>
        <w:t>.- Los tipos de Violencia contra las Mujeres son:</w:t>
      </w:r>
    </w:p>
    <w:p w14:paraId="69E78ADA"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 La violencia psicológica</w:t>
      </w:r>
      <w:r w:rsidRPr="00B05A03">
        <w:rPr>
          <w:rFonts w:ascii="Palatino Linotype" w:eastAsia="Palatino Linotype" w:hAnsi="Palatino Linotype" w:cs="Palatino Linotype"/>
          <w:i/>
          <w:sz w:val="22"/>
          <w:szCs w:val="22"/>
        </w:rPr>
        <w:t>.- Es cualquier acto u omisión que dañe la estabilidad psicológica, que puede consistir en: negligencia, abandono, descuido reiterado, celotipia, insultos, humillaciones, devaluación, marginación, desamor, indiferencia, infidelidad, comparaciones destructivas, rechazo, restricción a la autodeterminación y amenazas, las cuales conllevan a la víctima a la depresión, al aislamiento, a la devaluación de su autoestima e incluso al suicidio;</w:t>
      </w:r>
    </w:p>
    <w:p w14:paraId="72C6B81D"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 La violencia física.-</w:t>
      </w:r>
      <w:r w:rsidRPr="00B05A03">
        <w:rPr>
          <w:rFonts w:ascii="Palatino Linotype" w:eastAsia="Palatino Linotype" w:hAnsi="Palatino Linotype" w:cs="Palatino Linotype"/>
          <w:i/>
          <w:sz w:val="22"/>
          <w:szCs w:val="22"/>
        </w:rPr>
        <w:t xml:space="preserve"> Es cualquier acto que inflige daño no accidental, usando la fuerza física o algún tipo de arma u objeto que pueda provocar o no lesiones ya sean internas, externas, o ambas;</w:t>
      </w:r>
    </w:p>
    <w:p w14:paraId="4C923874"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III. La violencia patrimonial.-</w:t>
      </w:r>
      <w:r w:rsidRPr="00B05A03">
        <w:rPr>
          <w:rFonts w:ascii="Palatino Linotype" w:eastAsia="Palatino Linotype" w:hAnsi="Palatino Linotype" w:cs="Palatino Linotype"/>
          <w:i/>
          <w:sz w:val="22"/>
          <w:szCs w:val="22"/>
        </w:rPr>
        <w:t xml:space="preserve"> Es cualquier acto u omisión que afecta la supervivencia de la víctima. Se manifiesta en: la transformación, sustracción, destrucción, retención o distracción de objetos, documentos personales, bienes y valores, derechos patrimoniales o recursos económicos destinados a satisfacer sus necesidades y puede abarcar los daños a los bienes comunes o propios de la víctima;</w:t>
      </w:r>
    </w:p>
    <w:p w14:paraId="208CA72A"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 xml:space="preserve"> IV. Violencia económica</w:t>
      </w:r>
      <w:r w:rsidRPr="00B05A03">
        <w:rPr>
          <w:rFonts w:ascii="Palatino Linotype" w:eastAsia="Palatino Linotype" w:hAnsi="Palatino Linotype" w:cs="Palatino Linotype"/>
          <w:i/>
          <w:sz w:val="22"/>
          <w:szCs w:val="22"/>
        </w:rPr>
        <w:t xml:space="preserve">.- Es toda acción u omisión del Agresor que afecta la supervivencia económica de la víctima. Se manifiesta a través de limitaciones encaminadas a controlar el ingreso de sus percepciones </w:t>
      </w:r>
      <w:r w:rsidRPr="00B05A03">
        <w:rPr>
          <w:rFonts w:ascii="Palatino Linotype" w:eastAsia="Palatino Linotype" w:hAnsi="Palatino Linotype" w:cs="Palatino Linotype"/>
          <w:i/>
          <w:sz w:val="22"/>
          <w:szCs w:val="22"/>
        </w:rPr>
        <w:lastRenderedPageBreak/>
        <w:t>económicas, así como la percepción de un salario menor por igual trabajo, dentro de un mismo centro laboral;</w:t>
      </w:r>
    </w:p>
    <w:p w14:paraId="4EF5B4BF"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 </w:t>
      </w:r>
      <w:r w:rsidRPr="00B05A03">
        <w:rPr>
          <w:rFonts w:ascii="Palatino Linotype" w:eastAsia="Palatino Linotype" w:hAnsi="Palatino Linotype" w:cs="Palatino Linotype"/>
          <w:b/>
          <w:i/>
          <w:sz w:val="22"/>
          <w:szCs w:val="22"/>
        </w:rPr>
        <w:t>V. La violencia sexual</w:t>
      </w:r>
      <w:r w:rsidRPr="00B05A03">
        <w:rPr>
          <w:rFonts w:ascii="Palatino Linotype" w:eastAsia="Palatino Linotype" w:hAnsi="Palatino Linotype" w:cs="Palatino Linotype"/>
          <w:i/>
          <w:sz w:val="22"/>
          <w:szCs w:val="22"/>
        </w:rPr>
        <w:t>.- Es cualquier acto que degrada o daña el cuerpo y/o la sexualidad de la Víctima y que por tanto atenta contra su libertad, dignidad e integridad física. Es una expresión de abuso de poder que implica la supremacía masculina sobre la mujer, al denigrarla y concebirla como objeto, y</w:t>
      </w:r>
    </w:p>
    <w:p w14:paraId="4323EFF5"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 xml:space="preserve"> VI.</w:t>
      </w:r>
      <w:r w:rsidRPr="00B05A03">
        <w:rPr>
          <w:rFonts w:ascii="Palatino Linotype" w:eastAsia="Palatino Linotype" w:hAnsi="Palatino Linotype" w:cs="Palatino Linotype"/>
          <w:i/>
          <w:sz w:val="22"/>
          <w:szCs w:val="22"/>
        </w:rPr>
        <w:t xml:space="preserve"> Cualesquiera otras formas análogas que lesionen o sean susceptibles de dañar la dignidad, integridad o libertad de las mujeres.</w:t>
      </w:r>
    </w:p>
    <w:p w14:paraId="54B96B69"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w:t>
      </w:r>
      <w:r w:rsidRPr="00B05A03">
        <w:rPr>
          <w:rFonts w:ascii="Palatino Linotype" w:eastAsia="Palatino Linotype" w:hAnsi="Palatino Linotype" w:cs="Palatino Linotype"/>
          <w:i/>
          <w:sz w:val="22"/>
          <w:szCs w:val="22"/>
        </w:rPr>
        <w:t>..</w:t>
      </w:r>
    </w:p>
    <w:p w14:paraId="685A7A14"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7.- Violencia familiar</w:t>
      </w:r>
      <w:r w:rsidRPr="00B05A03">
        <w:rPr>
          <w:rFonts w:ascii="Palatino Linotype" w:eastAsia="Palatino Linotype" w:hAnsi="Palatino Linotype" w:cs="Palatino Linotype"/>
          <w:i/>
          <w:sz w:val="22"/>
          <w:szCs w:val="22"/>
        </w:rPr>
        <w:t xml:space="preserve">: Es el acto abusivo de poder u omisión intencional, dirigido a dominar, someter, controlar, o agredir de manera física, verbal, psicológica, patrimonial, económica y sexual a las mujeres, dentro o fuera del domicilio familiar, cuya persona agresora tenga o haya tenido relación de parentesco por consanguinidad o afinidad, de matrimonio, concubinato o mantengan o hayan mantenido una relación de hecho. </w:t>
      </w:r>
    </w:p>
    <w:p w14:paraId="720A306C"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También se considera violencia familiar cuando la persona agresora tenga responsabilidades de cuidado o de apoyo, aunque no tenga una relación de parentesco.</w:t>
      </w:r>
    </w:p>
    <w:p w14:paraId="0BF0934D"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274FB263"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10.- Violencia Laboral y Docente</w:t>
      </w:r>
      <w:r w:rsidRPr="00B05A03">
        <w:rPr>
          <w:rFonts w:ascii="Palatino Linotype" w:eastAsia="Palatino Linotype" w:hAnsi="Palatino Linotype" w:cs="Palatino Linotype"/>
          <w:i/>
          <w:sz w:val="22"/>
          <w:szCs w:val="22"/>
        </w:rPr>
        <w:t xml:space="preserve">: Se ejerce por las personas que tienen un vínculo laboral, docente o análogo con la víctima, independientemente de la relación jerárquica, consistente en un acto o una omisión en abuso de poder que daña la autoestima, salud, integridad, libertad y seguridad de la víctima, e impide su desarrollo y atenta contra la igualdad. </w:t>
      </w:r>
    </w:p>
    <w:p w14:paraId="377B4965"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Puede consistir en un solo evento dañino o en una serie de eventos cuya suma produce el daño. También incluye el acoso o el hostigamiento sexual.</w:t>
      </w:r>
    </w:p>
    <w:p w14:paraId="0FBB81D5"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27708F90"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16</w:t>
      </w:r>
      <w:r w:rsidRPr="00B05A03">
        <w:rPr>
          <w:rFonts w:ascii="Palatino Linotype" w:eastAsia="Palatino Linotype" w:hAnsi="Palatino Linotype" w:cs="Palatino Linotype"/>
          <w:i/>
          <w:sz w:val="22"/>
          <w:szCs w:val="22"/>
        </w:rPr>
        <w:t xml:space="preserve">.- </w:t>
      </w:r>
      <w:r w:rsidRPr="00B05A03">
        <w:rPr>
          <w:rFonts w:ascii="Palatino Linotype" w:eastAsia="Palatino Linotype" w:hAnsi="Palatino Linotype" w:cs="Palatino Linotype"/>
          <w:b/>
          <w:i/>
          <w:sz w:val="22"/>
          <w:szCs w:val="22"/>
        </w:rPr>
        <w:t>Violencia en la Comunidad</w:t>
      </w:r>
      <w:r w:rsidRPr="00B05A03">
        <w:rPr>
          <w:rFonts w:ascii="Palatino Linotype" w:eastAsia="Palatino Linotype" w:hAnsi="Palatino Linotype" w:cs="Palatino Linotype"/>
          <w:i/>
          <w:sz w:val="22"/>
          <w:szCs w:val="22"/>
        </w:rPr>
        <w:t>: Son los actos individuales o colectivos que transgreden derechos fundamentales de las mujeres y propician su denigración, discriminación, marginación o exclusión en el ámbito público.</w:t>
      </w:r>
    </w:p>
    <w:p w14:paraId="24405038"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52524411"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18.- Violencia Institucional</w:t>
      </w:r>
      <w:r w:rsidRPr="00B05A03">
        <w:rPr>
          <w:rFonts w:ascii="Palatino Linotype" w:eastAsia="Palatino Linotype" w:hAnsi="Palatino Linotype" w:cs="Palatino Linotype"/>
          <w:i/>
          <w:sz w:val="22"/>
          <w:szCs w:val="22"/>
        </w:rPr>
        <w:t xml:space="preserve">: Son los actos u omisiones de las y los servidores públicos de cualquier orden de gobierno que discriminen, utilicen </w:t>
      </w:r>
      <w:r w:rsidRPr="00B05A03">
        <w:rPr>
          <w:rFonts w:ascii="Palatino Linotype" w:eastAsia="Palatino Linotype" w:hAnsi="Palatino Linotype" w:cs="Palatino Linotype"/>
          <w:i/>
          <w:sz w:val="22"/>
          <w:szCs w:val="22"/>
        </w:rPr>
        <w:lastRenderedPageBreak/>
        <w:t>estereotipos de género o tengan como fin dilatar, obstaculizar o impedir el goce y ejercicio de los derechos humanos de las mujeres así como su acceso al disfrute de políticas públicas destinadas a prevenir, atender, investigar, sancionar y erradicar los diferentes tipos de violencia.</w:t>
      </w:r>
    </w:p>
    <w:p w14:paraId="390A2435"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551BCB89"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20 Bis.- La violencia política contra las mujeres en razón de género:</w:t>
      </w:r>
      <w:r w:rsidRPr="00B05A03">
        <w:rPr>
          <w:rFonts w:ascii="Palatino Linotype" w:eastAsia="Palatino Linotype" w:hAnsi="Palatino Linotype" w:cs="Palatino Linotype"/>
          <w:i/>
          <w:sz w:val="22"/>
          <w:szCs w:val="22"/>
        </w:rPr>
        <w:t xml:space="preserve">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14:paraId="265C2F26"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Se entenderá que las acciones u omisiones se basan en elementos de género, cuando se dirijan a una mujer por su condición de mujer; le afecten desproporcionadamente o tengan un impacto diferenciado en ella. </w:t>
      </w:r>
    </w:p>
    <w:p w14:paraId="39897941"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14:paraId="69FD9225" w14:textId="77777777" w:rsidR="003707B3" w:rsidRPr="00B05A03" w:rsidRDefault="009B445B">
      <w:pPr>
        <w:spacing w:before="120" w:after="120"/>
        <w:ind w:left="851" w:right="902"/>
        <w:jc w:val="both"/>
        <w:rPr>
          <w:rFonts w:ascii="Palatino Linotype" w:eastAsia="Palatino Linotype" w:hAnsi="Palatino Linotype" w:cs="Palatino Linotype"/>
          <w:i/>
          <w:sz w:val="20"/>
          <w:szCs w:val="20"/>
        </w:rPr>
      </w:pPr>
      <w:r w:rsidRPr="00B05A03">
        <w:rPr>
          <w:rFonts w:ascii="Palatino Linotype" w:eastAsia="Palatino Linotype" w:hAnsi="Palatino Linotype" w:cs="Palatino Linotype"/>
          <w:i/>
          <w:sz w:val="22"/>
          <w:szCs w:val="22"/>
        </w:rPr>
        <w:t>...</w:t>
      </w:r>
    </w:p>
    <w:p w14:paraId="3FDC85FC"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 </w:t>
      </w:r>
      <w:r w:rsidRPr="00B05A03">
        <w:rPr>
          <w:rFonts w:ascii="Palatino Linotype" w:eastAsia="Palatino Linotype" w:hAnsi="Palatino Linotype" w:cs="Palatino Linotype"/>
          <w:b/>
          <w:i/>
          <w:sz w:val="22"/>
          <w:szCs w:val="22"/>
        </w:rPr>
        <w:t xml:space="preserve">ARTÍCULO 20 </w:t>
      </w:r>
      <w:proofErr w:type="spellStart"/>
      <w:r w:rsidRPr="00B05A03">
        <w:rPr>
          <w:rFonts w:ascii="Palatino Linotype" w:eastAsia="Palatino Linotype" w:hAnsi="Palatino Linotype" w:cs="Palatino Linotype"/>
          <w:b/>
          <w:i/>
          <w:sz w:val="22"/>
          <w:szCs w:val="22"/>
        </w:rPr>
        <w:t>Quáter</w:t>
      </w:r>
      <w:proofErr w:type="spellEnd"/>
      <w:r w:rsidRPr="00B05A03">
        <w:rPr>
          <w:rFonts w:ascii="Palatino Linotype" w:eastAsia="Palatino Linotype" w:hAnsi="Palatino Linotype" w:cs="Palatino Linotype"/>
          <w:b/>
          <w:i/>
          <w:sz w:val="22"/>
          <w:szCs w:val="22"/>
        </w:rPr>
        <w:t>.-</w:t>
      </w:r>
      <w:r w:rsidRPr="00B05A03">
        <w:rPr>
          <w:rFonts w:ascii="Palatino Linotype" w:eastAsia="Palatino Linotype" w:hAnsi="Palatino Linotype" w:cs="Palatino Linotype"/>
          <w:i/>
          <w:sz w:val="22"/>
          <w:szCs w:val="22"/>
        </w:rPr>
        <w:t xml:space="preserve"> Violencia digital es toda acción dolosa realizada mediante el uso de tecnologías de la información y la comunicación, por la que se exponga, distribuya, difunda, exhiba, transmita, comercialice, oferte, intercambie o comparta imágenes, audios o videos reales o simulados de contenido íntimo sexual de una persona sin su consentimiento, sin su aprobación o sin su autorización y que le cause daño psicológico, emocional, en cualquier ámbito de su vida privada o en su imagen propia.</w:t>
      </w:r>
    </w:p>
    <w:p w14:paraId="0A0CE7A5"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Así como aquellos actos dolosos que causen daño a la intimidad, privacidad y/o dignidad de las mujeres, que se cometan por medio de las tecnologías de la información y la comunicación.</w:t>
      </w:r>
    </w:p>
    <w:p w14:paraId="2C1F6947"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lastRenderedPageBreak/>
        <w:t>Para efectos del presente Capítulo se entenderá por Tecnologías de la Información y la Comunicación aquellos recursos, herramientas y programas que se utilizan para procesar, administrar y compartir la información mediante diversos soportes tecnológicos.</w:t>
      </w:r>
    </w:p>
    <w:p w14:paraId="4C169572"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1970094A"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La violencia digital será sancionada en la forma y términos que establezca el Código Penal Federal.</w:t>
      </w:r>
    </w:p>
    <w:p w14:paraId="7A210B4F"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 xml:space="preserve">ARTÍCULO 21.- Violencia </w:t>
      </w:r>
      <w:proofErr w:type="spellStart"/>
      <w:r w:rsidRPr="00B05A03">
        <w:rPr>
          <w:rFonts w:ascii="Palatino Linotype" w:eastAsia="Palatino Linotype" w:hAnsi="Palatino Linotype" w:cs="Palatino Linotype"/>
          <w:b/>
          <w:i/>
          <w:sz w:val="22"/>
          <w:szCs w:val="22"/>
        </w:rPr>
        <w:t>Feminicida</w:t>
      </w:r>
      <w:proofErr w:type="spellEnd"/>
      <w:r w:rsidRPr="00B05A03">
        <w:rPr>
          <w:rFonts w:ascii="Palatino Linotype" w:eastAsia="Palatino Linotype" w:hAnsi="Palatino Linotype" w:cs="Palatino Linotype"/>
          <w:i/>
          <w:sz w:val="22"/>
          <w:szCs w:val="22"/>
        </w:rPr>
        <w:t xml:space="preserve">: Es la forma extrema de violencia de género contra las mujeres, las adolescentes y las niñas, producto de la violación de sus derechos humanos y del ejercicio abusivo del poder, tanto en los ámbitos público y privado, que puede conllevar impunidad social y del Estado. Se manifiesta a través de conductas de odio y discriminación que ponen en riesgo sus vidas o culminan en muertes violentas como el feminicidio, el suicidio y el homicidio, u otras formas de muertes evitables y en conductas que afectan gravemente la integridad, la seguridad, la libertad personal y el libre desarrollo de las mujeres, las adolescentes y las niñas. </w:t>
      </w:r>
    </w:p>
    <w:p w14:paraId="60BBD513"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En los casos de feminicidio se aplicarán las sanciones previstas en la legislación penal sustantiva.”</w:t>
      </w:r>
    </w:p>
    <w:p w14:paraId="20EA3204"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De los preceptos citados se desprende que la violencia de género se encuentra en diferentes tipos y modalidades. La ley en análisis garantiza la prevención, atención, sanción y erradicación de todos los tipos de violencia contra las mujeres durante su ciclo de vida y para promover su desarrollo integral y su plena participación en todas las esferas de la vida.</w:t>
      </w:r>
    </w:p>
    <w:p w14:paraId="538D7D72"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El tema de la violencia de género, ha tenido un gran impacto en la sociedad, siendo necesaria la creación de mecanismos que ayuden a localizar zonas o lugares con más alto índice de violencia, para implementar estrategias o acciones que coadyuven a prevenir y combatir la violencia contra las mujeres, tal es el caso de la llamada Alerta de Violencia de Género, que consiste en lo siguiente, de conformidad con la Ley General de Acceso de las Mujeres a una vida libre de violencia, </w:t>
      </w:r>
    </w:p>
    <w:p w14:paraId="76126EE1"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lastRenderedPageBreak/>
        <w:t>ARTÍCULO 22.- Alerta de Violencia de Género contra las mujeres</w:t>
      </w:r>
      <w:r w:rsidRPr="00B05A03">
        <w:rPr>
          <w:rFonts w:ascii="Palatino Linotype" w:eastAsia="Palatino Linotype" w:hAnsi="Palatino Linotype" w:cs="Palatino Linotype"/>
          <w:i/>
          <w:sz w:val="22"/>
          <w:szCs w:val="22"/>
        </w:rPr>
        <w:t xml:space="preserve">: Es el conjunto de acciones gubernamentales coordinadas, integrales, de emergencia y temporales realizadas entre las autoridades de los tres órdenes y niveles de gobierno, para enfrentar y erradicar la violencia </w:t>
      </w:r>
      <w:proofErr w:type="spellStart"/>
      <w:r w:rsidRPr="00B05A03">
        <w:rPr>
          <w:rFonts w:ascii="Palatino Linotype" w:eastAsia="Palatino Linotype" w:hAnsi="Palatino Linotype" w:cs="Palatino Linotype"/>
          <w:i/>
          <w:sz w:val="22"/>
          <w:szCs w:val="22"/>
        </w:rPr>
        <w:t>feminicida</w:t>
      </w:r>
      <w:proofErr w:type="spellEnd"/>
      <w:r w:rsidRPr="00B05A03">
        <w:rPr>
          <w:rFonts w:ascii="Palatino Linotype" w:eastAsia="Palatino Linotype" w:hAnsi="Palatino Linotype" w:cs="Palatino Linotype"/>
          <w:i/>
          <w:sz w:val="22"/>
          <w:szCs w:val="22"/>
        </w:rPr>
        <w:t xml:space="preserve"> en un territorio determinado; así como para eliminar el agravio comparado, resultado de las desigualdades producidas por ordenamientos jurídicos o políticas públicas que impiden el reconocimiento o ejercicio de los derechos humanos de las mujeres, las adolescentes y las niñas, a fin de garantizar su pleno acceso al derecho a una vida libre de violencias.</w:t>
      </w:r>
    </w:p>
    <w:p w14:paraId="3C34A03B"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El procedimiento para la emisión de la Alerta de Violencia de Género contra las mujeres deberá ser pronto y expedito, atendiendo a la situación de urgencia de los hechos documentados que motiva su solicitud y al territorio especificado en la misma, así como al principio de debida diligencia. </w:t>
      </w:r>
    </w:p>
    <w:p w14:paraId="49F3BFE4"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23</w:t>
      </w:r>
      <w:r w:rsidRPr="00B05A03">
        <w:rPr>
          <w:rFonts w:ascii="Palatino Linotype" w:eastAsia="Palatino Linotype" w:hAnsi="Palatino Linotype" w:cs="Palatino Linotype"/>
          <w:i/>
          <w:sz w:val="22"/>
          <w:szCs w:val="22"/>
        </w:rPr>
        <w:t xml:space="preserve">.- La Alerta de Violencia de Género contra las mujeres tendrá como objetivos: </w:t>
      </w:r>
    </w:p>
    <w:p w14:paraId="27155A1B"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xml:space="preserve"> Garantizar la vida, la integridad, la libertad y la seguridad, así como el acceso a la justicia de las mujeres, adolescentes y niñas; </w:t>
      </w:r>
    </w:p>
    <w:p w14:paraId="792E9433"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w:t>
      </w:r>
      <w:r w:rsidRPr="00B05A03">
        <w:rPr>
          <w:rFonts w:ascii="Palatino Linotype" w:eastAsia="Palatino Linotype" w:hAnsi="Palatino Linotype" w:cs="Palatino Linotype"/>
          <w:i/>
          <w:sz w:val="22"/>
          <w:szCs w:val="22"/>
        </w:rPr>
        <w:t xml:space="preserve"> Generar las condiciones y políticas públicas que contribuyan a la disminución y cese de la violencia </w:t>
      </w:r>
      <w:proofErr w:type="spellStart"/>
      <w:r w:rsidRPr="00B05A03">
        <w:rPr>
          <w:rFonts w:ascii="Palatino Linotype" w:eastAsia="Palatino Linotype" w:hAnsi="Palatino Linotype" w:cs="Palatino Linotype"/>
          <w:i/>
          <w:sz w:val="22"/>
          <w:szCs w:val="22"/>
        </w:rPr>
        <w:t>feminicida</w:t>
      </w:r>
      <w:proofErr w:type="spellEnd"/>
      <w:r w:rsidRPr="00B05A03">
        <w:rPr>
          <w:rFonts w:ascii="Palatino Linotype" w:eastAsia="Palatino Linotype" w:hAnsi="Palatino Linotype" w:cs="Palatino Linotype"/>
          <w:i/>
          <w:sz w:val="22"/>
          <w:szCs w:val="22"/>
        </w:rPr>
        <w:t xml:space="preserve"> en su contra, y </w:t>
      </w:r>
    </w:p>
    <w:p w14:paraId="0AF852EE"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III</w:t>
      </w:r>
      <w:r w:rsidRPr="00B05A03">
        <w:rPr>
          <w:rFonts w:ascii="Palatino Linotype" w:eastAsia="Palatino Linotype" w:hAnsi="Palatino Linotype" w:cs="Palatino Linotype"/>
          <w:i/>
          <w:sz w:val="22"/>
          <w:szCs w:val="22"/>
        </w:rPr>
        <w:t xml:space="preserve">. Eliminar la desigualdad y discriminación producidas por ordenamientos jurídicos o políticas públicas que agravian los derechos humanos de las mujeres, adolescentes y niñas. </w:t>
      </w:r>
    </w:p>
    <w:p w14:paraId="7392253D"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Para cumplir con estos objetivos, las autoridades correspondientes, en el ámbito de sus competencias deberán: </w:t>
      </w:r>
    </w:p>
    <w:p w14:paraId="48AB7884" w14:textId="77777777" w:rsidR="003707B3" w:rsidRPr="00B05A03" w:rsidRDefault="009B445B">
      <w:pPr>
        <w:spacing w:before="120" w:after="12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w:t>
      </w:r>
      <w:r w:rsidRPr="00B05A03">
        <w:rPr>
          <w:rFonts w:ascii="Palatino Linotype" w:eastAsia="Palatino Linotype" w:hAnsi="Palatino Linotype" w:cs="Palatino Linotype"/>
          <w:i/>
          <w:sz w:val="22"/>
          <w:szCs w:val="22"/>
        </w:rPr>
        <w:t xml:space="preserve">. Hacer del conocimiento público el motivo de la Alerta de Violencia de Género contra las mujeres, y la zona territorial que abarquen las acciones que deberán realizarse; </w:t>
      </w:r>
    </w:p>
    <w:p w14:paraId="753B3465" w14:textId="77777777" w:rsidR="003707B3" w:rsidRPr="00B05A03" w:rsidRDefault="009B445B">
      <w:pPr>
        <w:spacing w:before="120" w:after="12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B</w:t>
      </w:r>
      <w:r w:rsidRPr="00B05A03">
        <w:rPr>
          <w:rFonts w:ascii="Palatino Linotype" w:eastAsia="Palatino Linotype" w:hAnsi="Palatino Linotype" w:cs="Palatino Linotype"/>
          <w:i/>
          <w:sz w:val="22"/>
          <w:szCs w:val="22"/>
        </w:rPr>
        <w:t xml:space="preserve">. Implementar las acciones y medidas preventivas, correctivas, de atención, de seguridad, de procuración e impartición de justicia, de reparación del daño y legislativas que correspondan; </w:t>
      </w:r>
    </w:p>
    <w:p w14:paraId="7B55FBBA" w14:textId="77777777" w:rsidR="003707B3" w:rsidRPr="00B05A03" w:rsidRDefault="009B445B">
      <w:pPr>
        <w:spacing w:before="120" w:after="12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C</w:t>
      </w:r>
      <w:r w:rsidRPr="00B05A03">
        <w:rPr>
          <w:rFonts w:ascii="Palatino Linotype" w:eastAsia="Palatino Linotype" w:hAnsi="Palatino Linotype" w:cs="Palatino Linotype"/>
          <w:i/>
          <w:sz w:val="22"/>
          <w:szCs w:val="22"/>
        </w:rPr>
        <w:t xml:space="preserve">. Elaborar un Programa de Acciones Estratégicas de cumplimiento, que deberá hacerse del conocimiento público y que contendrá: </w:t>
      </w:r>
    </w:p>
    <w:p w14:paraId="2CA70449" w14:textId="77777777" w:rsidR="003707B3" w:rsidRPr="00B05A03" w:rsidRDefault="009B445B">
      <w:pPr>
        <w:spacing w:before="120" w:after="120"/>
        <w:ind w:left="170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w:t>
      </w:r>
      <w:r w:rsidRPr="00B05A03">
        <w:rPr>
          <w:rFonts w:ascii="Palatino Linotype" w:eastAsia="Palatino Linotype" w:hAnsi="Palatino Linotype" w:cs="Palatino Linotype"/>
          <w:i/>
          <w:sz w:val="22"/>
          <w:szCs w:val="22"/>
        </w:rPr>
        <w:t xml:space="preserve"> El motivo de la Alerta de Violencia de Género contra las mujeres;</w:t>
      </w:r>
    </w:p>
    <w:p w14:paraId="1E5C25C9" w14:textId="77777777" w:rsidR="003707B3" w:rsidRPr="00B05A03" w:rsidRDefault="009B445B">
      <w:pPr>
        <w:spacing w:before="120" w:after="120"/>
        <w:ind w:left="170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lastRenderedPageBreak/>
        <w:t>b)</w:t>
      </w:r>
      <w:r w:rsidRPr="00B05A03">
        <w:rPr>
          <w:rFonts w:ascii="Palatino Linotype" w:eastAsia="Palatino Linotype" w:hAnsi="Palatino Linotype" w:cs="Palatino Linotype"/>
          <w:i/>
          <w:sz w:val="22"/>
          <w:szCs w:val="22"/>
        </w:rPr>
        <w:t xml:space="preserve"> Las acciones que deberán desempeñar para hacer frente a la violencia </w:t>
      </w:r>
      <w:proofErr w:type="spellStart"/>
      <w:r w:rsidRPr="00B05A03">
        <w:rPr>
          <w:rFonts w:ascii="Palatino Linotype" w:eastAsia="Palatino Linotype" w:hAnsi="Palatino Linotype" w:cs="Palatino Linotype"/>
          <w:i/>
          <w:sz w:val="22"/>
          <w:szCs w:val="22"/>
        </w:rPr>
        <w:t>feminicida</w:t>
      </w:r>
      <w:proofErr w:type="spellEnd"/>
      <w:r w:rsidRPr="00B05A03">
        <w:rPr>
          <w:rFonts w:ascii="Palatino Linotype" w:eastAsia="Palatino Linotype" w:hAnsi="Palatino Linotype" w:cs="Palatino Linotype"/>
          <w:i/>
          <w:sz w:val="22"/>
          <w:szCs w:val="22"/>
        </w:rPr>
        <w:t xml:space="preserve"> o al agravio comparado, la ruta de acción, los plazos para su ejecución y la asignación de responsabilidades definidas para cada uno de los poderes y órdenes de gobierno, según corresponda; </w:t>
      </w:r>
    </w:p>
    <w:p w14:paraId="50224B83" w14:textId="77777777" w:rsidR="003707B3" w:rsidRPr="00B05A03" w:rsidRDefault="009B445B">
      <w:pPr>
        <w:spacing w:before="120" w:after="120"/>
        <w:ind w:left="170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c)</w:t>
      </w:r>
      <w:r w:rsidRPr="00B05A03">
        <w:rPr>
          <w:rFonts w:ascii="Palatino Linotype" w:eastAsia="Palatino Linotype" w:hAnsi="Palatino Linotype" w:cs="Palatino Linotype"/>
          <w:i/>
          <w:sz w:val="22"/>
          <w:szCs w:val="22"/>
        </w:rPr>
        <w:t xml:space="preserve"> Los indicadores de seguimiento y cumplimiento de las acciones que deben realizar las autoridades federales, de las entidades federativas, municipios o demarcaciones territoriales de la Ciudad de México; </w:t>
      </w:r>
    </w:p>
    <w:p w14:paraId="4EB7C2F8" w14:textId="77777777" w:rsidR="003707B3" w:rsidRPr="00B05A03" w:rsidRDefault="009B445B">
      <w:pPr>
        <w:spacing w:before="120" w:after="12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D</w:t>
      </w:r>
      <w:r w:rsidRPr="00B05A03">
        <w:rPr>
          <w:rFonts w:ascii="Palatino Linotype" w:eastAsia="Palatino Linotype" w:hAnsi="Palatino Linotype" w:cs="Palatino Linotype"/>
          <w:i/>
          <w:sz w:val="22"/>
          <w:szCs w:val="22"/>
        </w:rPr>
        <w:t xml:space="preserve">. Elaborar informes por lo menos cada seis meses para dar cuenta de los avances en el cumplimiento de las medidas establecidas en la Declaratoria, y </w:t>
      </w:r>
    </w:p>
    <w:p w14:paraId="7ABF90E3" w14:textId="77777777" w:rsidR="003707B3" w:rsidRPr="00B05A03" w:rsidRDefault="009B445B">
      <w:pPr>
        <w:spacing w:before="120" w:after="12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E</w:t>
      </w:r>
      <w:r w:rsidRPr="00B05A03">
        <w:rPr>
          <w:rFonts w:ascii="Palatino Linotype" w:eastAsia="Palatino Linotype" w:hAnsi="Palatino Linotype" w:cs="Palatino Linotype"/>
          <w:i/>
          <w:sz w:val="22"/>
          <w:szCs w:val="22"/>
        </w:rPr>
        <w:t xml:space="preserve">. Asignar los recursos presupuestales necesarios y suficientes para hacer frente a la Declaratoria de Alerta de Violencia de Género contra las mujeres; para tal efecto la Cámara de Diputados y los Congresos Estatales deberán aprobar una partida presupuestal para este fin y darán seguimiento a su ejercicio efectivo. </w:t>
      </w:r>
    </w:p>
    <w:p w14:paraId="22264AC7"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El procedimiento de la Alerta de Violencia de Género contra las mujeres deberá observar en todo momento los principios de transparencia, máxima publicidad y acceso a la información, así como la protección de datos personales, durante la totalidad de las etapas del procedimiento. </w:t>
      </w:r>
    </w:p>
    <w:p w14:paraId="320F86F1"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 xml:space="preserve">ARTÍCULO 24.- </w:t>
      </w:r>
      <w:r w:rsidRPr="00B05A03">
        <w:rPr>
          <w:rFonts w:ascii="Palatino Linotype" w:eastAsia="Palatino Linotype" w:hAnsi="Palatino Linotype" w:cs="Palatino Linotype"/>
          <w:i/>
          <w:sz w:val="22"/>
          <w:szCs w:val="22"/>
        </w:rPr>
        <w:t>La Alerta de Violencia de Género contra las mujeres, se emitirá cuando:</w:t>
      </w:r>
    </w:p>
    <w:p w14:paraId="18B88C71"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xml:space="preserve"> Exista un contexto de violencia </w:t>
      </w:r>
      <w:proofErr w:type="spellStart"/>
      <w:r w:rsidRPr="00B05A03">
        <w:rPr>
          <w:rFonts w:ascii="Palatino Linotype" w:eastAsia="Palatino Linotype" w:hAnsi="Palatino Linotype" w:cs="Palatino Linotype"/>
          <w:i/>
          <w:sz w:val="22"/>
          <w:szCs w:val="22"/>
        </w:rPr>
        <w:t>feminicida</w:t>
      </w:r>
      <w:proofErr w:type="spellEnd"/>
      <w:r w:rsidRPr="00B05A03">
        <w:rPr>
          <w:rFonts w:ascii="Palatino Linotype" w:eastAsia="Palatino Linotype" w:hAnsi="Palatino Linotype" w:cs="Palatino Linotype"/>
          <w:i/>
          <w:sz w:val="22"/>
          <w:szCs w:val="22"/>
        </w:rPr>
        <w:t xml:space="preserve"> caracterizado por el incremento persistente de hechos o delitos que involucren violaciones a los derechos a la vida, la libertad, la integridad y la seguridad de las mujeres, adolescentes y niñas en un territorio determinado; </w:t>
      </w:r>
    </w:p>
    <w:p w14:paraId="7AF08A10"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w:t>
      </w:r>
      <w:r w:rsidRPr="00B05A03">
        <w:rPr>
          <w:rFonts w:ascii="Palatino Linotype" w:eastAsia="Palatino Linotype" w:hAnsi="Palatino Linotype" w:cs="Palatino Linotype"/>
          <w:i/>
          <w:sz w:val="22"/>
          <w:szCs w:val="22"/>
        </w:rPr>
        <w:t xml:space="preserve">. Existan omisiones documentadas y reiteradas por parte de las autoridades gubernamentales del cumplimiento de sus obligaciones en materia de prevención, atención, sanción, y acceso a la justicia para las mujeres, adolescentes y niñas, de conformidad con lo establecido en esta ley, y </w:t>
      </w:r>
    </w:p>
    <w:p w14:paraId="78ED7ECC"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III</w:t>
      </w:r>
      <w:r w:rsidRPr="00B05A03">
        <w:rPr>
          <w:rFonts w:ascii="Palatino Linotype" w:eastAsia="Palatino Linotype" w:hAnsi="Palatino Linotype" w:cs="Palatino Linotype"/>
          <w:i/>
          <w:sz w:val="22"/>
          <w:szCs w:val="22"/>
        </w:rPr>
        <w:t>. Exista un agravio comparado que impida el ejercicio pleno de los derechos humanos de las mujeres, adolescentes y niñas.</w:t>
      </w:r>
    </w:p>
    <w:p w14:paraId="4A264308"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25</w:t>
      </w:r>
      <w:r w:rsidRPr="00B05A03">
        <w:rPr>
          <w:rFonts w:ascii="Palatino Linotype" w:eastAsia="Palatino Linotype" w:hAnsi="Palatino Linotype" w:cs="Palatino Linotype"/>
          <w:i/>
          <w:sz w:val="22"/>
          <w:szCs w:val="22"/>
        </w:rPr>
        <w:t>.- Corresponderá al gobierno federal, a través de la Secretaría de Gobernación, declarar la Alerta de Violencia de Género contra las mujeres.</w:t>
      </w:r>
    </w:p>
    <w:p w14:paraId="38E66B8A"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La persona titular de la Secretaría de Gobernación notificará a las personas titulares de los poderes Ejecutivo, Legislativo y Judicial, así como a la instancia </w:t>
      </w:r>
      <w:r w:rsidRPr="00B05A03">
        <w:rPr>
          <w:rFonts w:ascii="Palatino Linotype" w:eastAsia="Palatino Linotype" w:hAnsi="Palatino Linotype" w:cs="Palatino Linotype"/>
          <w:i/>
          <w:sz w:val="22"/>
          <w:szCs w:val="22"/>
        </w:rPr>
        <w:lastRenderedPageBreak/>
        <w:t xml:space="preserve">de procuración de justicia de las demarcaciones territoriales de la Ciudad de México, o de los municipios de la entidad federativa en que se emita la Alerta de Violencia de Género contra las mujeres. </w:t>
      </w:r>
    </w:p>
    <w:p w14:paraId="7AB85A9B"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Una vez notificada la Alerta, las autoridades federales, de las entidades federativas, municipios o demarcaciones territoriales de la Ciudad de México, deberán, de manera inmediata y coordinada con el Grupo Interinstitucional y Multidisciplinario, implementar el Programa de Acciones Estratégicas de cumplimiento.</w:t>
      </w:r>
    </w:p>
    <w:p w14:paraId="0D78E579"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El Programa de Acciones Estratégicas deberá contener, al menos las siguientes características: </w:t>
      </w:r>
    </w:p>
    <w:p w14:paraId="7207FB7E"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xml:space="preserve"> Estar alineado a la política integral y programas locales para prevenir, atender, sancionar y erradicar la violencia contra las mujeres; </w:t>
      </w:r>
    </w:p>
    <w:p w14:paraId="3747F4E1"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w:t>
      </w:r>
      <w:r w:rsidRPr="00B05A03">
        <w:rPr>
          <w:rFonts w:ascii="Palatino Linotype" w:eastAsia="Palatino Linotype" w:hAnsi="Palatino Linotype" w:cs="Palatino Linotype"/>
          <w:i/>
          <w:sz w:val="22"/>
          <w:szCs w:val="22"/>
        </w:rPr>
        <w:t xml:space="preserve"> Las acciones para hacer frente a la violencia </w:t>
      </w:r>
      <w:proofErr w:type="spellStart"/>
      <w:r w:rsidRPr="00B05A03">
        <w:rPr>
          <w:rFonts w:ascii="Palatino Linotype" w:eastAsia="Palatino Linotype" w:hAnsi="Palatino Linotype" w:cs="Palatino Linotype"/>
          <w:i/>
          <w:sz w:val="22"/>
          <w:szCs w:val="22"/>
        </w:rPr>
        <w:t>feminicida</w:t>
      </w:r>
      <w:proofErr w:type="spellEnd"/>
      <w:r w:rsidRPr="00B05A03">
        <w:rPr>
          <w:rFonts w:ascii="Palatino Linotype" w:eastAsia="Palatino Linotype" w:hAnsi="Palatino Linotype" w:cs="Palatino Linotype"/>
          <w:i/>
          <w:sz w:val="22"/>
          <w:szCs w:val="22"/>
        </w:rPr>
        <w:t xml:space="preserve"> o al agravio comparado; </w:t>
      </w:r>
    </w:p>
    <w:p w14:paraId="5E8A28FD"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III</w:t>
      </w:r>
      <w:r w:rsidRPr="00B05A03">
        <w:rPr>
          <w:rFonts w:ascii="Palatino Linotype" w:eastAsia="Palatino Linotype" w:hAnsi="Palatino Linotype" w:cs="Palatino Linotype"/>
          <w:i/>
          <w:sz w:val="22"/>
          <w:szCs w:val="22"/>
        </w:rPr>
        <w:t xml:space="preserve">. Los plazos para su ejecución; </w:t>
      </w:r>
    </w:p>
    <w:p w14:paraId="75535629"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IV</w:t>
      </w:r>
      <w:r w:rsidRPr="00B05A03">
        <w:rPr>
          <w:rFonts w:ascii="Palatino Linotype" w:eastAsia="Palatino Linotype" w:hAnsi="Palatino Linotype" w:cs="Palatino Linotype"/>
          <w:i/>
          <w:sz w:val="22"/>
          <w:szCs w:val="22"/>
        </w:rPr>
        <w:t xml:space="preserve">. La asignación de responsabilidades a las autoridades competentes; </w:t>
      </w:r>
    </w:p>
    <w:p w14:paraId="191D6473"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V.</w:t>
      </w:r>
      <w:r w:rsidRPr="00B05A03">
        <w:rPr>
          <w:rFonts w:ascii="Palatino Linotype" w:eastAsia="Palatino Linotype" w:hAnsi="Palatino Linotype" w:cs="Palatino Linotype"/>
          <w:i/>
          <w:sz w:val="22"/>
          <w:szCs w:val="22"/>
        </w:rPr>
        <w:t xml:space="preserve"> Los recursos presupuestales destinados para dichas actividades;</w:t>
      </w:r>
    </w:p>
    <w:p w14:paraId="17A34581"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VI</w:t>
      </w:r>
      <w:r w:rsidRPr="00B05A03">
        <w:rPr>
          <w:rFonts w:ascii="Palatino Linotype" w:eastAsia="Palatino Linotype" w:hAnsi="Palatino Linotype" w:cs="Palatino Linotype"/>
          <w:i/>
          <w:sz w:val="22"/>
          <w:szCs w:val="22"/>
        </w:rPr>
        <w:t xml:space="preserve">. Los indicadores de evaluación, seguimiento y cumplimiento de las acciones, o </w:t>
      </w:r>
    </w:p>
    <w:p w14:paraId="6DAE2267"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VII</w:t>
      </w:r>
      <w:r w:rsidRPr="00B05A03">
        <w:rPr>
          <w:rFonts w:ascii="Palatino Linotype" w:eastAsia="Palatino Linotype" w:hAnsi="Palatino Linotype" w:cs="Palatino Linotype"/>
          <w:i/>
          <w:sz w:val="22"/>
          <w:szCs w:val="22"/>
        </w:rPr>
        <w:t>. La estrategia de difusión en la entidad federativa de los resultados alcanzados.</w:t>
      </w:r>
    </w:p>
    <w:p w14:paraId="4C6AC0A1"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26</w:t>
      </w:r>
      <w:r w:rsidRPr="00B05A03">
        <w:rPr>
          <w:rFonts w:ascii="Palatino Linotype" w:eastAsia="Palatino Linotype" w:hAnsi="Palatino Linotype" w:cs="Palatino Linotype"/>
          <w:i/>
          <w:sz w:val="22"/>
          <w:szCs w:val="22"/>
        </w:rPr>
        <w:t xml:space="preserve">.- Ante la violencia </w:t>
      </w:r>
      <w:proofErr w:type="spellStart"/>
      <w:r w:rsidRPr="00B05A03">
        <w:rPr>
          <w:rFonts w:ascii="Palatino Linotype" w:eastAsia="Palatino Linotype" w:hAnsi="Palatino Linotype" w:cs="Palatino Linotype"/>
          <w:i/>
          <w:sz w:val="22"/>
          <w:szCs w:val="22"/>
        </w:rPr>
        <w:t>feminicida</w:t>
      </w:r>
      <w:proofErr w:type="spellEnd"/>
      <w:r w:rsidRPr="00B05A03">
        <w:rPr>
          <w:rFonts w:ascii="Palatino Linotype" w:eastAsia="Palatino Linotype" w:hAnsi="Palatino Linotype" w:cs="Palatino Linotype"/>
          <w:i/>
          <w:sz w:val="22"/>
          <w:szCs w:val="22"/>
        </w:rPr>
        <w:t xml:space="preserve">, el Estado mexicano deberá resarcir el daño conforme a los parámetros establecidos en los Tratados Internacionales en materia de derechos humanos en los que el Estado mexicano sea parte, y en la Ley General de Víctimas y considerar como reparación: </w:t>
      </w:r>
    </w:p>
    <w:p w14:paraId="366CBA07"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xml:space="preserve"> El derecho a la justicia pronta, expedita e imparcial: Se deben investigar todas las violaciones a derechos humanos vinculadas a la violencia </w:t>
      </w:r>
      <w:proofErr w:type="spellStart"/>
      <w:r w:rsidRPr="00B05A03">
        <w:rPr>
          <w:rFonts w:ascii="Palatino Linotype" w:eastAsia="Palatino Linotype" w:hAnsi="Palatino Linotype" w:cs="Palatino Linotype"/>
          <w:i/>
          <w:sz w:val="22"/>
          <w:szCs w:val="22"/>
        </w:rPr>
        <w:t>feminicida</w:t>
      </w:r>
      <w:proofErr w:type="spellEnd"/>
      <w:r w:rsidRPr="00B05A03">
        <w:rPr>
          <w:rFonts w:ascii="Palatino Linotype" w:eastAsia="Palatino Linotype" w:hAnsi="Palatino Linotype" w:cs="Palatino Linotype"/>
          <w:i/>
          <w:sz w:val="22"/>
          <w:szCs w:val="22"/>
        </w:rPr>
        <w:t xml:space="preserve">, sancionar a las personas responsables y reparar el daño; </w:t>
      </w:r>
    </w:p>
    <w:p w14:paraId="04297AB5"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w:t>
      </w:r>
      <w:r w:rsidRPr="00B05A03">
        <w:rPr>
          <w:rFonts w:ascii="Palatino Linotype" w:eastAsia="Palatino Linotype" w:hAnsi="Palatino Linotype" w:cs="Palatino Linotype"/>
          <w:i/>
          <w:sz w:val="22"/>
          <w:szCs w:val="22"/>
        </w:rPr>
        <w:t xml:space="preserve"> La rehabilitación: Se debe garantizar la prestación de servicios jurídicos, médicos y psicológicos especializados y gratuitos para la recuperación de las víctimas directas o indirectas; </w:t>
      </w:r>
    </w:p>
    <w:p w14:paraId="46553544"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III.</w:t>
      </w:r>
      <w:r w:rsidRPr="00B05A03">
        <w:rPr>
          <w:rFonts w:ascii="Palatino Linotype" w:eastAsia="Palatino Linotype" w:hAnsi="Palatino Linotype" w:cs="Palatino Linotype"/>
          <w:i/>
          <w:sz w:val="22"/>
          <w:szCs w:val="22"/>
        </w:rPr>
        <w:t xml:space="preserve"> La satisfacción y no repetición: Son las medidas que buscan una reparación orientada a la prevención de violaciones y erradicación de la </w:t>
      </w:r>
      <w:r w:rsidRPr="00B05A03">
        <w:rPr>
          <w:rFonts w:ascii="Palatino Linotype" w:eastAsia="Palatino Linotype" w:hAnsi="Palatino Linotype" w:cs="Palatino Linotype"/>
          <w:i/>
          <w:sz w:val="22"/>
          <w:szCs w:val="22"/>
        </w:rPr>
        <w:lastRenderedPageBreak/>
        <w:t>impunidad ante la violencia contra las mujeres. Entre las medidas a adoptar se encuentran:</w:t>
      </w:r>
    </w:p>
    <w:p w14:paraId="4DE93E6E" w14:textId="77777777" w:rsidR="003707B3" w:rsidRPr="00B05A03" w:rsidRDefault="009B445B">
      <w:pPr>
        <w:pBdr>
          <w:top w:val="nil"/>
          <w:left w:val="nil"/>
          <w:bottom w:val="nil"/>
          <w:right w:val="nil"/>
          <w:between w:val="nil"/>
        </w:pBdr>
        <w:spacing w:before="120" w:after="12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w:t>
      </w:r>
      <w:r w:rsidRPr="00B05A03">
        <w:rPr>
          <w:rFonts w:ascii="Palatino Linotype" w:eastAsia="Palatino Linotype" w:hAnsi="Palatino Linotype" w:cs="Palatino Linotype"/>
          <w:i/>
          <w:sz w:val="22"/>
          <w:szCs w:val="22"/>
        </w:rPr>
        <w:t xml:space="preserve"> La aceptación del Estado de su responsabilidad ante el daño causado y su compromiso de repararlo;</w:t>
      </w:r>
    </w:p>
    <w:p w14:paraId="080CDBCE" w14:textId="77777777" w:rsidR="003707B3" w:rsidRPr="00B05A03" w:rsidRDefault="009B445B">
      <w:pPr>
        <w:pBdr>
          <w:top w:val="nil"/>
          <w:left w:val="nil"/>
          <w:bottom w:val="nil"/>
          <w:right w:val="nil"/>
          <w:between w:val="nil"/>
        </w:pBdr>
        <w:spacing w:before="120" w:after="12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b)</w:t>
      </w:r>
      <w:r w:rsidRPr="00B05A03">
        <w:rPr>
          <w:rFonts w:ascii="Palatino Linotype" w:eastAsia="Palatino Linotype" w:hAnsi="Palatino Linotype" w:cs="Palatino Linotype"/>
          <w:i/>
          <w:sz w:val="22"/>
          <w:szCs w:val="22"/>
        </w:rPr>
        <w:t xml:space="preserve"> La investigación de las personas servidoras públicas cuyas acciones u omisiones conllevaron a la violación de los derechos humanos de las víctimas y la impunidad, para sancionarlos conforme a la normatividad correspondiente; </w:t>
      </w:r>
    </w:p>
    <w:p w14:paraId="70591924" w14:textId="77777777" w:rsidR="003707B3" w:rsidRPr="00B05A03" w:rsidRDefault="009B445B">
      <w:pPr>
        <w:pBdr>
          <w:top w:val="nil"/>
          <w:left w:val="nil"/>
          <w:bottom w:val="nil"/>
          <w:right w:val="nil"/>
          <w:between w:val="nil"/>
        </w:pBdr>
        <w:spacing w:before="120" w:after="12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c)</w:t>
      </w:r>
      <w:r w:rsidRPr="00B05A03">
        <w:rPr>
          <w:rFonts w:ascii="Palatino Linotype" w:eastAsia="Palatino Linotype" w:hAnsi="Palatino Linotype" w:cs="Palatino Linotype"/>
          <w:i/>
          <w:sz w:val="22"/>
          <w:szCs w:val="22"/>
        </w:rPr>
        <w:t xml:space="preserve"> El diseño e instrumentación de políticas públicas enfocadas a la prevención, persecución, y seguimiento de la comisión de delitos cometidos contra las mujeres. Asimismo, las relativas a garantizar los derechos de los familiares a ser informados de manera oportuna de las acciones que las autoridades realicen tendientes a sancionar a los presuntos responsables, y</w:t>
      </w:r>
    </w:p>
    <w:p w14:paraId="252679D5" w14:textId="77777777" w:rsidR="003707B3" w:rsidRPr="00B05A03" w:rsidRDefault="009B445B">
      <w:pPr>
        <w:pBdr>
          <w:top w:val="nil"/>
          <w:left w:val="nil"/>
          <w:bottom w:val="nil"/>
          <w:right w:val="nil"/>
          <w:between w:val="nil"/>
        </w:pBdr>
        <w:spacing w:before="120" w:after="12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d)</w:t>
      </w:r>
      <w:r w:rsidRPr="00B05A03">
        <w:rPr>
          <w:rFonts w:ascii="Palatino Linotype" w:eastAsia="Palatino Linotype" w:hAnsi="Palatino Linotype" w:cs="Palatino Linotype"/>
          <w:i/>
          <w:sz w:val="22"/>
          <w:szCs w:val="22"/>
        </w:rPr>
        <w:t xml:space="preserve"> La verificación de los hechos y la publicidad de la verdad.</w:t>
      </w:r>
    </w:p>
    <w:p w14:paraId="501CAEAE"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Toda medida </w:t>
      </w:r>
      <w:proofErr w:type="spellStart"/>
      <w:r w:rsidRPr="00B05A03">
        <w:rPr>
          <w:rFonts w:ascii="Palatino Linotype" w:eastAsia="Palatino Linotype" w:hAnsi="Palatino Linotype" w:cs="Palatino Linotype"/>
          <w:i/>
          <w:sz w:val="22"/>
          <w:szCs w:val="22"/>
        </w:rPr>
        <w:t>reparatoria</w:t>
      </w:r>
      <w:proofErr w:type="spellEnd"/>
      <w:r w:rsidRPr="00B05A03">
        <w:rPr>
          <w:rFonts w:ascii="Palatino Linotype" w:eastAsia="Palatino Linotype" w:hAnsi="Palatino Linotype" w:cs="Palatino Linotype"/>
          <w:i/>
          <w:sz w:val="22"/>
          <w:szCs w:val="22"/>
        </w:rPr>
        <w:t xml:space="preserve"> deberá tener un enfoque transformador del contexto y cultura discriminatoria, siempre con el objetivo de erradicarla.”</w:t>
      </w:r>
    </w:p>
    <w:p w14:paraId="77661BEE"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Asimismo, es de señalar que se ha creado el Sistema de Alerta de Género, el cual consiste en tomar acciones gubernamentales de emergencia para enfrentar y erradicar la violencia de género en un territorio determinado. En el Estado de México, la Secretaría de Gobernación, en acuerdo a la Comisión Nacional para Prevenir y Erradicar la Violencia contra las Mujeres, emitieron la “Alerta de Violencia de Género contra las Mujeres, AVGM; a la fecha se han declarado 25 AVGM en 22 entidades del país, en las que se incluyen 643 municipios, entre los que se encuentran los siguientes:</w:t>
      </w:r>
    </w:p>
    <w:p w14:paraId="234A67AF" w14:textId="77777777" w:rsidR="003707B3" w:rsidRPr="00B05A03" w:rsidRDefault="009B445B">
      <w:pPr>
        <w:tabs>
          <w:tab w:val="left" w:pos="1134"/>
        </w:tabs>
        <w:spacing w:before="240" w:after="240"/>
        <w:ind w:left="851" w:right="900"/>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Entidades con AVGM</w:t>
      </w:r>
    </w:p>
    <w:p w14:paraId="78785F8A" w14:textId="77777777" w:rsidR="003707B3" w:rsidRPr="00B05A03" w:rsidRDefault="009B445B">
      <w:pPr>
        <w:tabs>
          <w:tab w:val="left" w:pos="1134"/>
        </w:tabs>
        <w:spacing w:before="240" w:after="240"/>
        <w:ind w:left="851" w:right="900"/>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1.</w:t>
      </w:r>
      <w:r w:rsidRPr="00B05A03">
        <w:rPr>
          <w:rFonts w:ascii="Palatino Linotype" w:eastAsia="Palatino Linotype" w:hAnsi="Palatino Linotype" w:cs="Palatino Linotype"/>
          <w:b/>
          <w:i/>
          <w:sz w:val="22"/>
          <w:szCs w:val="22"/>
        </w:rPr>
        <w:tab/>
        <w:t>Estado de México</w:t>
      </w:r>
      <w:r w:rsidRPr="00B05A03">
        <w:rPr>
          <w:rFonts w:ascii="Palatino Linotype" w:eastAsia="Palatino Linotype" w:hAnsi="Palatino Linotype" w:cs="Palatino Linotype"/>
          <w:i/>
          <w:sz w:val="22"/>
          <w:szCs w:val="22"/>
        </w:rPr>
        <w:t xml:space="preserve">: Se declaró el 31 de julio de 2015 en 11 municipios: Ecatepec de Morelos, Nezahualcóyotl, Tlalnepantla de Baz, Toluca de Lerdo, Chalco, Chimalhuacán, Naucalpan de Juárez, Tultitlán, Ixtapaluca, Valle de Chalco y </w:t>
      </w:r>
      <w:r w:rsidRPr="00B05A03">
        <w:rPr>
          <w:rFonts w:ascii="Palatino Linotype" w:eastAsia="Palatino Linotype" w:hAnsi="Palatino Linotype" w:cs="Palatino Linotype"/>
          <w:b/>
          <w:i/>
          <w:sz w:val="22"/>
          <w:szCs w:val="22"/>
          <w:u w:val="single"/>
        </w:rPr>
        <w:t xml:space="preserve">Cuautitlán </w:t>
      </w:r>
      <w:proofErr w:type="spellStart"/>
      <w:r w:rsidRPr="00B05A03">
        <w:rPr>
          <w:rFonts w:ascii="Palatino Linotype" w:eastAsia="Palatino Linotype" w:hAnsi="Palatino Linotype" w:cs="Palatino Linotype"/>
          <w:b/>
          <w:i/>
          <w:sz w:val="22"/>
          <w:szCs w:val="22"/>
          <w:u w:val="single"/>
        </w:rPr>
        <w:t>Izcallí</w:t>
      </w:r>
      <w:proofErr w:type="spellEnd"/>
      <w:r w:rsidRPr="00B05A03">
        <w:rPr>
          <w:rFonts w:ascii="Palatino Linotype" w:eastAsia="Palatino Linotype" w:hAnsi="Palatino Linotype" w:cs="Palatino Linotype"/>
          <w:i/>
          <w:sz w:val="22"/>
          <w:szCs w:val="22"/>
        </w:rPr>
        <w:t>.</w:t>
      </w:r>
    </w:p>
    <w:p w14:paraId="3CF62F76"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 xml:space="preserve">Como se advierte, el municipio de Cuautitlán Izcalli, cuenta con Alerta de Violencia de Género contra las Mujeres, derivado de los altos índices de violencia </w:t>
      </w:r>
      <w:proofErr w:type="spellStart"/>
      <w:r w:rsidRPr="00B05A03">
        <w:rPr>
          <w:rFonts w:ascii="Palatino Linotype" w:eastAsia="Palatino Linotype" w:hAnsi="Palatino Linotype" w:cs="Palatino Linotype"/>
        </w:rPr>
        <w:t>feminicida</w:t>
      </w:r>
      <w:proofErr w:type="spellEnd"/>
      <w:r w:rsidRPr="00B05A03">
        <w:rPr>
          <w:rFonts w:ascii="Palatino Linotype" w:eastAsia="Palatino Linotype" w:hAnsi="Palatino Linotype" w:cs="Palatino Linotype"/>
        </w:rPr>
        <w:t xml:space="preserve"> caracteriza por el incremento persistente de hechos o delitos que involucren violaciones a los derechos a la vida, la libertad, la integridad y la seguridad de las mujeres, adolescentes y niñas en dicho municipio.</w:t>
      </w:r>
    </w:p>
    <w:p w14:paraId="4B87A54C"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En este sentido la Ley de Acceso de las Mujeres a una vida libre de violencia del Estado de México, en su artículo 54, confiere a los municipios en materia de prevención, atención, sanción y erradicación de la violencia de género, las siguientes atribuciones:</w:t>
      </w:r>
    </w:p>
    <w:p w14:paraId="2DDD2FE0"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I.</w:t>
      </w:r>
      <w:r w:rsidRPr="00B05A03">
        <w:rPr>
          <w:rFonts w:ascii="Palatino Linotype" w:eastAsia="Palatino Linotype" w:hAnsi="Palatino Linotype" w:cs="Palatino Linotype"/>
        </w:rPr>
        <w:t xml:space="preserve"> Coordinar medidas y acciones con el Gobierno Estatal en la integración y funcionamiento del Sistema Municipal, así como con el mecanismo. </w:t>
      </w:r>
    </w:p>
    <w:p w14:paraId="198260FF"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II.</w:t>
      </w:r>
      <w:r w:rsidRPr="00B05A03">
        <w:rPr>
          <w:rFonts w:ascii="Palatino Linotype" w:eastAsia="Palatino Linotype" w:hAnsi="Palatino Linotype" w:cs="Palatino Linotype"/>
        </w:rPr>
        <w:t xml:space="preserve"> Instrumentar y articular, en concordancia con la política Estatal, la política Municipal orientada a erradicar la violencia contra niñas, adolescentes y mujeres; </w:t>
      </w:r>
    </w:p>
    <w:p w14:paraId="39CFC817"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III.</w:t>
      </w:r>
      <w:r w:rsidRPr="00B05A03">
        <w:rPr>
          <w:rFonts w:ascii="Palatino Linotype" w:eastAsia="Palatino Linotype" w:hAnsi="Palatino Linotype" w:cs="Palatino Linotype"/>
        </w:rPr>
        <w:t xml:space="preserve"> Garantizar la formación, especialización y actualización constante de las personas que integran la corporación policíaca para el cumplimiento eficiente de sus responsabilidades; </w:t>
      </w:r>
    </w:p>
    <w:p w14:paraId="733BEFB2"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IV</w:t>
      </w:r>
      <w:r w:rsidRPr="00B05A03">
        <w:rPr>
          <w:rFonts w:ascii="Palatino Linotype" w:eastAsia="Palatino Linotype" w:hAnsi="Palatino Linotype" w:cs="Palatino Linotype"/>
        </w:rPr>
        <w:t xml:space="preserve">. Garantizar que la corporación policiaca actúe con diligencia en la ejecución de las Órdenes de Protección de Emergencia y de Prevención, así como el estricto cumplimiento en la ejecución de los Protocolos de Actuación Policial. </w:t>
      </w:r>
    </w:p>
    <w:p w14:paraId="5D677B98"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V.</w:t>
      </w:r>
      <w:r w:rsidRPr="00B05A03">
        <w:rPr>
          <w:rFonts w:ascii="Palatino Linotype" w:eastAsia="Palatino Linotype" w:hAnsi="Palatino Linotype" w:cs="Palatino Linotype"/>
        </w:rPr>
        <w:t xml:space="preserve"> Expedir las disposiciones jurídicas municipales encaminadas a lograr la participación conjunta y coordinada de la administración pública municipal para </w:t>
      </w:r>
      <w:r w:rsidRPr="00B05A03">
        <w:rPr>
          <w:rFonts w:ascii="Palatino Linotype" w:eastAsia="Palatino Linotype" w:hAnsi="Palatino Linotype" w:cs="Palatino Linotype"/>
        </w:rPr>
        <w:lastRenderedPageBreak/>
        <w:t xml:space="preserve">garantizar el derecho de las mujeres a una vida libre de violencia en su ámbito territorial; </w:t>
      </w:r>
    </w:p>
    <w:p w14:paraId="65FD60D7"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VI.</w:t>
      </w:r>
      <w:r w:rsidRPr="00B05A03">
        <w:rPr>
          <w:rFonts w:ascii="Palatino Linotype" w:eastAsia="Palatino Linotype" w:hAnsi="Palatino Linotype" w:cs="Palatino Linotype"/>
        </w:rPr>
        <w:t xml:space="preserve"> Formular, ejecutar y evaluar el Programa Municipal para la Igualdad de Trato y Oportunidades entre Mujeres y Hombres y para Prevenir, Atender, Sancionar y Erradicar la Violencia contra las Mujeres, mismo que será remitido al Sistema Estatal y a la Legislatura del Estado, dentro de los primeros tres meses de la gestión municipal para los efectos conducentes; </w:t>
      </w:r>
    </w:p>
    <w:p w14:paraId="44790427"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VII.</w:t>
      </w:r>
      <w:r w:rsidRPr="00B05A03">
        <w:rPr>
          <w:rFonts w:ascii="Palatino Linotype" w:eastAsia="Palatino Linotype" w:hAnsi="Palatino Linotype" w:cs="Palatino Linotype"/>
        </w:rPr>
        <w:t xml:space="preserve"> Promover, en coordinación con el Gobierno Estatal, cursos de formación, especialización y actualización constante sobre violencia de género y Derechos Humanos de las niñas, adolescentes y mujeres; a las personas que atienden a las mujeres víctimas de violencia, en los términos de la presente Ley; </w:t>
      </w:r>
    </w:p>
    <w:p w14:paraId="71A12328"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VIII</w:t>
      </w:r>
      <w:r w:rsidRPr="00B05A03">
        <w:rPr>
          <w:rFonts w:ascii="Palatino Linotype" w:eastAsia="Palatino Linotype" w:hAnsi="Palatino Linotype" w:cs="Palatino Linotype"/>
        </w:rPr>
        <w:t>. Apoyar los programas de reeducación integral para las personas agresoras en los términos previstos en la Ley;</w:t>
      </w:r>
    </w:p>
    <w:p w14:paraId="4DCEB150"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IX.</w:t>
      </w:r>
      <w:r w:rsidRPr="00B05A03">
        <w:rPr>
          <w:rFonts w:ascii="Palatino Linotype" w:eastAsia="Palatino Linotype" w:hAnsi="Palatino Linotype" w:cs="Palatino Linotype"/>
        </w:rPr>
        <w:t xml:space="preserve"> Promover programas educativos sobre la igualdad y la equidad entre los géneros para eliminar la violencia contra las niñas, adolescentes y mujeres; </w:t>
      </w:r>
    </w:p>
    <w:p w14:paraId="0D75269A"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X.</w:t>
      </w:r>
      <w:r w:rsidRPr="00B05A03">
        <w:rPr>
          <w:rFonts w:ascii="Palatino Linotype" w:eastAsia="Palatino Linotype" w:hAnsi="Palatino Linotype" w:cs="Palatino Linotype"/>
        </w:rPr>
        <w:t xml:space="preserve"> Apoyar la creación de las Unidades de Atención de las víctimas de violencia garantizando que la atención a las niñas, adolescentes y mujeres indígenas sea realizada por mujeres y en su propia lengua; </w:t>
      </w:r>
    </w:p>
    <w:p w14:paraId="6256A1EF"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X Bis</w:t>
      </w:r>
      <w:r w:rsidRPr="00B05A03">
        <w:rPr>
          <w:rFonts w:ascii="Palatino Linotype" w:eastAsia="Palatino Linotype" w:hAnsi="Palatino Linotype" w:cs="Palatino Linotype"/>
        </w:rPr>
        <w:t>. Crear Unidades de Igualdad de Género y Erradicación de la Violencia, en términos de lo previsto en el Capítulo Noveno Bis de la Ley de Igualdad de Trato y Oportunidades entre Mujeres y Hombres del Estado de México;</w:t>
      </w:r>
    </w:p>
    <w:p w14:paraId="308F2C4F"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lastRenderedPageBreak/>
        <w:t>X. Ter</w:t>
      </w:r>
      <w:r w:rsidRPr="00B05A03">
        <w:rPr>
          <w:rFonts w:ascii="Palatino Linotype" w:eastAsia="Palatino Linotype" w:hAnsi="Palatino Linotype" w:cs="Palatino Linotype"/>
        </w:rPr>
        <w:t>. Crear una Dirección de las Mujeres o, en su caso, un Instituto Municipal de las Mujeres, para promover y fomentar las condiciones que faciliten el pleno ejercicio de los derechos humanos, la igualdad, el desarrollo económico, social, político y cultural, la no discriminación y la erradicación de la violencia contra las niñas, las adolescentes y las mujeres, en concordancia con la Constitución Política de los Estados Unidos Mexicanos, las leyes generales y las estatales, las políticas, nacional y estatal, así como los tratados internacionales en la materia;</w:t>
      </w:r>
    </w:p>
    <w:p w14:paraId="7FA3AE68"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XI.</w:t>
      </w:r>
      <w:r w:rsidRPr="00B05A03">
        <w:rPr>
          <w:rFonts w:ascii="Palatino Linotype" w:eastAsia="Palatino Linotype" w:hAnsi="Palatino Linotype" w:cs="Palatino Linotype"/>
        </w:rPr>
        <w:t xml:space="preserve"> Apoyar la creación de refugios seguros para las víctimas; </w:t>
      </w:r>
    </w:p>
    <w:p w14:paraId="4566D892"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XII.</w:t>
      </w:r>
      <w:r w:rsidRPr="00B05A03">
        <w:rPr>
          <w:rFonts w:ascii="Palatino Linotype" w:eastAsia="Palatino Linotype" w:hAnsi="Palatino Linotype" w:cs="Palatino Linotype"/>
        </w:rPr>
        <w:t xml:space="preserve"> Realizar, de acuerdo con el Sistema Estatal, programas de información a la sociedad sobre los Derechos Humanos de las niñas, adolescentes y mujeres, y sobre la prevención atención, sanción y erradicación de la violencia contra las niñas, adolescentes y mujeres;</w:t>
      </w:r>
    </w:p>
    <w:p w14:paraId="158F3E92"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XIII.</w:t>
      </w:r>
      <w:r w:rsidRPr="00B05A03">
        <w:rPr>
          <w:rFonts w:ascii="Palatino Linotype" w:eastAsia="Palatino Linotype" w:hAnsi="Palatino Linotype" w:cs="Palatino Linotype"/>
        </w:rPr>
        <w:t xml:space="preserve"> Celebrar convenios de cooperación, coordinación y concertación en la materia; y </w:t>
      </w:r>
    </w:p>
    <w:p w14:paraId="33601F3D"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XIV.</w:t>
      </w:r>
      <w:r w:rsidRPr="00B05A03">
        <w:rPr>
          <w:rFonts w:ascii="Palatino Linotype" w:eastAsia="Palatino Linotype" w:hAnsi="Palatino Linotype" w:cs="Palatino Linotype"/>
        </w:rPr>
        <w:t xml:space="preserve"> Conformar y garantizar la especialización y actualización constante de células de reacción inmediata, así como de células para la búsqueda y localización de niñas, adolescentes y mujeres desaparecidas dentro de su territorio de conformidad con los protocolos que al efecto se emitan. </w:t>
      </w:r>
    </w:p>
    <w:p w14:paraId="099B237B"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XV.</w:t>
      </w:r>
      <w:r w:rsidRPr="00B05A03">
        <w:rPr>
          <w:rFonts w:ascii="Palatino Linotype" w:eastAsia="Palatino Linotype" w:hAnsi="Palatino Linotype" w:cs="Palatino Linotype"/>
        </w:rPr>
        <w:t xml:space="preserve"> Establecer programas de capacitación dirigidos a las y los servidores públicos municipales en materia de prevención, atención, sanción y erradicación de la violencia de género, así como en temas de igualdad, equidad y perspectiva de género. </w:t>
      </w:r>
    </w:p>
    <w:p w14:paraId="1FACE1A1"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lastRenderedPageBreak/>
        <w:t>XVI.</w:t>
      </w:r>
      <w:r w:rsidRPr="00B05A03">
        <w:rPr>
          <w:rFonts w:ascii="Palatino Linotype" w:eastAsia="Palatino Linotype" w:hAnsi="Palatino Linotype" w:cs="Palatino Linotype"/>
        </w:rPr>
        <w:t xml:space="preserve"> Crear, operar y mantener actualizada una página web de acceso público, donde se brinde información sobre los servicios que se ofrecen por parte del municipio en materia de violencia de género y atención a víctimas. </w:t>
      </w:r>
    </w:p>
    <w:p w14:paraId="46589CF4"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XVII.</w:t>
      </w:r>
      <w:r w:rsidRPr="00B05A03">
        <w:rPr>
          <w:rFonts w:ascii="Palatino Linotype" w:eastAsia="Palatino Linotype" w:hAnsi="Palatino Linotype" w:cs="Palatino Linotype"/>
        </w:rPr>
        <w:t xml:space="preserve"> Proporcionar a la Secretaría de Seguridad información actualizada sobre las zonas delictivas consideradas como de alto riesgo y datos verídicos en el llenado del Banco de Datos e Información del Estado de México sobre Casos de Violencia contra las Mujeres (BADAEMVIM). </w:t>
      </w:r>
    </w:p>
    <w:p w14:paraId="508A10B6" w14:textId="77777777" w:rsidR="003707B3" w:rsidRPr="00B05A03" w:rsidRDefault="009B445B">
      <w:pPr>
        <w:spacing w:before="120" w:after="120" w:line="360"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b/>
        </w:rPr>
        <w:t>XVIII</w:t>
      </w:r>
      <w:r w:rsidRPr="00B05A03">
        <w:rPr>
          <w:rFonts w:ascii="Palatino Linotype" w:eastAsia="Palatino Linotype" w:hAnsi="Palatino Linotype" w:cs="Palatino Linotype"/>
        </w:rPr>
        <w:t>. Las demás previstas en esta Ley y en otras disposiciones legales aplicables.</w:t>
      </w:r>
    </w:p>
    <w:p w14:paraId="5BAFE850"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Del precepto citado se colige que los municipios, cuentan con el deber de crear Unidades de Igualdad de Género y Erradicación de la Violencia; así como una Dirección de las Mujeres o, en su caso, un Instituto Municipal de las Mujeres, para promover y fomentar las condiciones que faciliten el pleno ejercicio de los derechos humanos, la igualdad, el desarrollo económico, social, político y cultural, la no discriminación y la erradicación de la violencia contra las niñas, las adolescentes y las mujeres; p</w:t>
      </w:r>
      <w:r w:rsidRPr="00B05A03">
        <w:t>roporcionar a la Secretaría de Seguridad información actualizada sobre las zonas delictivas consideradas como de alto riesgo y datos verídicos en el llenado del Banco de Datos e Información del Estado de México sobre Casos de Violencia contra las Mujeres</w:t>
      </w:r>
      <w:r w:rsidRPr="00B05A03">
        <w:rPr>
          <w:rFonts w:ascii="Palatino Linotype" w:eastAsia="Palatino Linotype" w:hAnsi="Palatino Linotype" w:cs="Palatino Linotype"/>
        </w:rPr>
        <w:t xml:space="preserve"> entre otras atribuciones.</w:t>
      </w:r>
    </w:p>
    <w:p w14:paraId="067028DF"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Las atribuciones que se les confieren a las Unidades de Igualdad de </w:t>
      </w:r>
      <w:proofErr w:type="spellStart"/>
      <w:r w:rsidRPr="00B05A03">
        <w:rPr>
          <w:rFonts w:ascii="Palatino Linotype" w:eastAsia="Palatino Linotype" w:hAnsi="Palatino Linotype" w:cs="Palatino Linotype"/>
        </w:rPr>
        <w:t>Genero</w:t>
      </w:r>
      <w:proofErr w:type="spellEnd"/>
      <w:r w:rsidRPr="00B05A03">
        <w:rPr>
          <w:rFonts w:ascii="Palatino Linotype" w:eastAsia="Palatino Linotype" w:hAnsi="Palatino Linotype" w:cs="Palatino Linotype"/>
        </w:rPr>
        <w:t xml:space="preserve"> y Erradicación de la Violencia se encuentran en la Ley de Igualdad de Trato y Oportunidades entre Mujeres y Hombres del Estado de México, en el Capítulo Noveno Bis, artículo 34 Ter, a saber:</w:t>
      </w:r>
    </w:p>
    <w:p w14:paraId="17DCA464" w14:textId="77777777" w:rsidR="003707B3" w:rsidRPr="00B05A03" w:rsidRDefault="009B445B">
      <w:pPr>
        <w:spacing w:before="240" w:after="240" w:line="360" w:lineRule="auto"/>
        <w:ind w:left="284"/>
        <w:jc w:val="both"/>
        <w:rPr>
          <w:rFonts w:ascii="Palatino Linotype" w:eastAsia="Palatino Linotype" w:hAnsi="Palatino Linotype" w:cs="Palatino Linotype"/>
        </w:rPr>
      </w:pPr>
      <w:r w:rsidRPr="00B05A03">
        <w:rPr>
          <w:rFonts w:ascii="Palatino Linotype" w:eastAsia="Palatino Linotype" w:hAnsi="Palatino Linotype" w:cs="Palatino Linotype"/>
          <w:b/>
        </w:rPr>
        <w:lastRenderedPageBreak/>
        <w:t>I.</w:t>
      </w:r>
      <w:r w:rsidRPr="00B05A03">
        <w:rPr>
          <w:rFonts w:ascii="Palatino Linotype" w:eastAsia="Palatino Linotype" w:hAnsi="Palatino Linotype" w:cs="Palatino Linotype"/>
        </w:rPr>
        <w:t xml:space="preserve"> Promover y vigilar que sus planes, programas y acciones sean realizados con perspectiva de género;</w:t>
      </w:r>
    </w:p>
    <w:p w14:paraId="069B5EB5" w14:textId="77777777" w:rsidR="003707B3" w:rsidRPr="00B05A03" w:rsidRDefault="009B445B">
      <w:pPr>
        <w:spacing w:before="240" w:after="240" w:line="360" w:lineRule="auto"/>
        <w:ind w:left="284"/>
        <w:jc w:val="both"/>
        <w:rPr>
          <w:rFonts w:ascii="Palatino Linotype" w:eastAsia="Palatino Linotype" w:hAnsi="Palatino Linotype" w:cs="Palatino Linotype"/>
        </w:rPr>
      </w:pPr>
      <w:r w:rsidRPr="00B05A03">
        <w:rPr>
          <w:rFonts w:ascii="Palatino Linotype" w:eastAsia="Palatino Linotype" w:hAnsi="Palatino Linotype" w:cs="Palatino Linotype"/>
          <w:b/>
        </w:rPr>
        <w:t>II</w:t>
      </w:r>
      <w:r w:rsidRPr="00B05A03">
        <w:rPr>
          <w:rFonts w:ascii="Palatino Linotype" w:eastAsia="Palatino Linotype" w:hAnsi="Palatino Linotype" w:cs="Palatino Linotype"/>
        </w:rPr>
        <w:t>. Generar acciones con perspectiva de género que garanticen el acceso de las mujeres a una vida libre de violencia, promuevan la igualdad, el empoderamiento de las mujeres, el respeto a los derechos humanos y la eliminación de la discriminación;</w:t>
      </w:r>
    </w:p>
    <w:p w14:paraId="118CF915" w14:textId="77777777" w:rsidR="003707B3" w:rsidRPr="00B05A03" w:rsidRDefault="009B445B">
      <w:pPr>
        <w:spacing w:before="240" w:after="240" w:line="360" w:lineRule="auto"/>
        <w:ind w:left="284"/>
        <w:jc w:val="both"/>
        <w:rPr>
          <w:rFonts w:ascii="Palatino Linotype" w:eastAsia="Palatino Linotype" w:hAnsi="Palatino Linotype" w:cs="Palatino Linotype"/>
        </w:rPr>
      </w:pPr>
      <w:r w:rsidRPr="00B05A03">
        <w:rPr>
          <w:rFonts w:ascii="Palatino Linotype" w:eastAsia="Palatino Linotype" w:hAnsi="Palatino Linotype" w:cs="Palatino Linotype"/>
          <w:b/>
        </w:rPr>
        <w:t>III</w:t>
      </w:r>
      <w:r w:rsidRPr="00B05A03">
        <w:rPr>
          <w:rFonts w:ascii="Palatino Linotype" w:eastAsia="Palatino Linotype" w:hAnsi="Palatino Linotype" w:cs="Palatino Linotype"/>
        </w:rPr>
        <w:t xml:space="preserve">. Dar cumplimiento a los instrumentos internacionales, nacionales y estatales en materia de derechos humanos garantizando en todo momento la igualdad de trato y oportunidades entre mujeres y hombres; así como prevenir, atender, sancionar y erradicar la violencia contra las mujeres en el ámbito de su competencia; </w:t>
      </w:r>
    </w:p>
    <w:p w14:paraId="683C5E5D" w14:textId="77777777" w:rsidR="003707B3" w:rsidRPr="00B05A03" w:rsidRDefault="009B445B">
      <w:pPr>
        <w:spacing w:before="240" w:after="240" w:line="360" w:lineRule="auto"/>
        <w:ind w:left="284"/>
        <w:jc w:val="both"/>
        <w:rPr>
          <w:rFonts w:ascii="Palatino Linotype" w:eastAsia="Palatino Linotype" w:hAnsi="Palatino Linotype" w:cs="Palatino Linotype"/>
        </w:rPr>
      </w:pPr>
      <w:r w:rsidRPr="00B05A03">
        <w:rPr>
          <w:rFonts w:ascii="Palatino Linotype" w:eastAsia="Palatino Linotype" w:hAnsi="Palatino Linotype" w:cs="Palatino Linotype"/>
          <w:b/>
        </w:rPr>
        <w:t>IV.</w:t>
      </w:r>
      <w:r w:rsidRPr="00B05A03">
        <w:rPr>
          <w:rFonts w:ascii="Palatino Linotype" w:eastAsia="Palatino Linotype" w:hAnsi="Palatino Linotype" w:cs="Palatino Linotype"/>
        </w:rPr>
        <w:t xml:space="preserve"> Coadyuvar en la </w:t>
      </w:r>
      <w:r w:rsidRPr="00B05A03">
        <w:rPr>
          <w:rFonts w:ascii="Palatino Linotype" w:eastAsia="Palatino Linotype" w:hAnsi="Palatino Linotype" w:cs="Palatino Linotype"/>
          <w:b/>
        </w:rPr>
        <w:t>elaboración de sus presupuestos con perspectiva de género</w:t>
      </w:r>
      <w:r w:rsidRPr="00B05A03">
        <w:rPr>
          <w:rFonts w:ascii="Palatino Linotype" w:eastAsia="Palatino Linotype" w:hAnsi="Palatino Linotype" w:cs="Palatino Linotype"/>
        </w:rPr>
        <w:t xml:space="preserve">, con la finalidad de incorporar acciones relacionadas con la materia; </w:t>
      </w:r>
    </w:p>
    <w:p w14:paraId="6EFCF76A" w14:textId="77777777" w:rsidR="003707B3" w:rsidRPr="00B05A03" w:rsidRDefault="009B445B">
      <w:pPr>
        <w:spacing w:before="240" w:after="240" w:line="360" w:lineRule="auto"/>
        <w:ind w:left="284"/>
        <w:jc w:val="both"/>
        <w:rPr>
          <w:rFonts w:ascii="Palatino Linotype" w:eastAsia="Palatino Linotype" w:hAnsi="Palatino Linotype" w:cs="Palatino Linotype"/>
          <w:b/>
        </w:rPr>
      </w:pPr>
      <w:r w:rsidRPr="00B05A03">
        <w:rPr>
          <w:rFonts w:ascii="Palatino Linotype" w:eastAsia="Palatino Linotype" w:hAnsi="Palatino Linotype" w:cs="Palatino Linotype"/>
          <w:b/>
        </w:rPr>
        <w:t>V</w:t>
      </w:r>
      <w:r w:rsidRPr="00B05A03">
        <w:rPr>
          <w:rFonts w:ascii="Palatino Linotype" w:eastAsia="Palatino Linotype" w:hAnsi="Palatino Linotype" w:cs="Palatino Linotype"/>
        </w:rPr>
        <w:t>. Informar periódicamente, en el marco del Sistema Estatal</w:t>
      </w:r>
      <w:r w:rsidRPr="00B05A03">
        <w:rPr>
          <w:rFonts w:ascii="Palatino Linotype" w:eastAsia="Palatino Linotype" w:hAnsi="Palatino Linotype" w:cs="Palatino Linotype"/>
          <w:b/>
        </w:rPr>
        <w:t xml:space="preserve">, los resultados de la ejecución de sus planes y programas, con el propósito de integrar y rendir el informe anual correspondiente; </w:t>
      </w:r>
    </w:p>
    <w:p w14:paraId="79AC9158" w14:textId="77777777" w:rsidR="003707B3" w:rsidRPr="00B05A03" w:rsidRDefault="009B445B">
      <w:pPr>
        <w:spacing w:before="240" w:after="240" w:line="360" w:lineRule="auto"/>
        <w:ind w:left="284"/>
        <w:jc w:val="both"/>
        <w:rPr>
          <w:rFonts w:ascii="Palatino Linotype" w:eastAsia="Palatino Linotype" w:hAnsi="Palatino Linotype" w:cs="Palatino Linotype"/>
        </w:rPr>
      </w:pPr>
      <w:r w:rsidRPr="00B05A03">
        <w:rPr>
          <w:rFonts w:ascii="Palatino Linotype" w:eastAsia="Palatino Linotype" w:hAnsi="Palatino Linotype" w:cs="Palatino Linotype"/>
          <w:b/>
        </w:rPr>
        <w:t>VI</w:t>
      </w:r>
      <w:r w:rsidRPr="00B05A03">
        <w:rPr>
          <w:rFonts w:ascii="Palatino Linotype" w:eastAsia="Palatino Linotype" w:hAnsi="Palatino Linotype" w:cs="Palatino Linotype"/>
        </w:rPr>
        <w:t xml:space="preserve">. Ser el primer punto de contacto para los casos de acoso y hostigamiento sexual; y </w:t>
      </w:r>
    </w:p>
    <w:p w14:paraId="6C50D646" w14:textId="77777777" w:rsidR="003707B3" w:rsidRPr="00B05A03" w:rsidRDefault="009B445B">
      <w:pPr>
        <w:spacing w:before="240" w:after="240" w:line="360" w:lineRule="auto"/>
        <w:ind w:left="284"/>
        <w:jc w:val="both"/>
        <w:rPr>
          <w:rFonts w:ascii="Palatino Linotype" w:eastAsia="Palatino Linotype" w:hAnsi="Palatino Linotype" w:cs="Palatino Linotype"/>
        </w:rPr>
      </w:pPr>
      <w:r w:rsidRPr="00B05A03">
        <w:rPr>
          <w:rFonts w:ascii="Palatino Linotype" w:eastAsia="Palatino Linotype" w:hAnsi="Palatino Linotype" w:cs="Palatino Linotype"/>
          <w:b/>
        </w:rPr>
        <w:t>VII.</w:t>
      </w:r>
      <w:r w:rsidRPr="00B05A03">
        <w:rPr>
          <w:rFonts w:ascii="Palatino Linotype" w:eastAsia="Palatino Linotype" w:hAnsi="Palatino Linotype" w:cs="Palatino Linotype"/>
        </w:rPr>
        <w:t xml:space="preserve"> </w:t>
      </w:r>
      <w:r w:rsidRPr="00B05A03">
        <w:rPr>
          <w:rFonts w:ascii="Palatino Linotype" w:eastAsia="Palatino Linotype" w:hAnsi="Palatino Linotype" w:cs="Palatino Linotype"/>
          <w:b/>
        </w:rPr>
        <w:t xml:space="preserve">Brindar asesoramiento especializado, en la materia que le corresponde, al enlace designado ante el mecanismo interinstitucional de seguimiento de las medidas de seguridad, prevención y justicia, para atender y erradicar la </w:t>
      </w:r>
      <w:r w:rsidRPr="00B05A03">
        <w:rPr>
          <w:rFonts w:ascii="Palatino Linotype" w:eastAsia="Palatino Linotype" w:hAnsi="Palatino Linotype" w:cs="Palatino Linotype"/>
          <w:b/>
        </w:rPr>
        <w:lastRenderedPageBreak/>
        <w:t xml:space="preserve">violencia contra las niñas, adolescentes y mujeres, previsto en la Ley de Acceso de las Mujeres a una Vida Libre de Violencia del Estado de México, </w:t>
      </w:r>
      <w:r w:rsidRPr="00B05A03">
        <w:rPr>
          <w:rFonts w:ascii="Palatino Linotype" w:eastAsia="Palatino Linotype" w:hAnsi="Palatino Linotype" w:cs="Palatino Linotype"/>
        </w:rPr>
        <w:t xml:space="preserve">así como coadyuvar con aquél en las responsabilidades que se le encomienden para el cumplimiento de las acciones y acuerdos que se determinen en sus sesiones, y </w:t>
      </w:r>
    </w:p>
    <w:p w14:paraId="74393EA0" w14:textId="77777777" w:rsidR="003707B3" w:rsidRPr="00B05A03" w:rsidRDefault="009B445B">
      <w:pPr>
        <w:spacing w:before="240" w:after="240" w:line="360" w:lineRule="auto"/>
        <w:ind w:left="284"/>
        <w:jc w:val="both"/>
        <w:rPr>
          <w:rFonts w:ascii="Palatino Linotype" w:eastAsia="Palatino Linotype" w:hAnsi="Palatino Linotype" w:cs="Palatino Linotype"/>
        </w:rPr>
      </w:pPr>
      <w:r w:rsidRPr="00B05A03">
        <w:rPr>
          <w:rFonts w:ascii="Palatino Linotype" w:eastAsia="Palatino Linotype" w:hAnsi="Palatino Linotype" w:cs="Palatino Linotype"/>
          <w:b/>
        </w:rPr>
        <w:t>VIII</w:t>
      </w:r>
      <w:r w:rsidRPr="00B05A03">
        <w:rPr>
          <w:rFonts w:ascii="Palatino Linotype" w:eastAsia="Palatino Linotype" w:hAnsi="Palatino Linotype" w:cs="Palatino Linotype"/>
        </w:rPr>
        <w:t>. Las demás que se establezcan en otras disposiciones jurídicas.</w:t>
      </w:r>
    </w:p>
    <w:p w14:paraId="5324826D" w14:textId="77777777" w:rsidR="003707B3" w:rsidRPr="00B05A03" w:rsidRDefault="009B445B">
      <w:pPr>
        <w:pBdr>
          <w:top w:val="nil"/>
          <w:left w:val="nil"/>
          <w:bottom w:val="nil"/>
          <w:right w:val="nil"/>
          <w:between w:val="nil"/>
        </w:pBdr>
        <w:spacing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Por su parte la Ley Orgánica Municipal del Estado de México en el artículo 96 </w:t>
      </w:r>
      <w:proofErr w:type="spellStart"/>
      <w:r w:rsidRPr="00B05A03">
        <w:rPr>
          <w:rFonts w:ascii="Palatino Linotype" w:eastAsia="Palatino Linotype" w:hAnsi="Palatino Linotype" w:cs="Palatino Linotype"/>
        </w:rPr>
        <w:t>Quaterdecies</w:t>
      </w:r>
      <w:proofErr w:type="spellEnd"/>
      <w:r w:rsidRPr="00B05A03">
        <w:rPr>
          <w:rFonts w:ascii="Palatino Linotype" w:eastAsia="Palatino Linotype" w:hAnsi="Palatino Linotype" w:cs="Palatino Linotype"/>
        </w:rPr>
        <w:t>, fracciones II, VI, VIII, IX, X, XII, XIII y XIV establece lo siguiente:</w:t>
      </w:r>
    </w:p>
    <w:p w14:paraId="3AAC64A4"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 xml:space="preserve">Artículo 96 </w:t>
      </w:r>
      <w:proofErr w:type="spellStart"/>
      <w:r w:rsidRPr="00B05A03">
        <w:rPr>
          <w:rFonts w:ascii="Palatino Linotype" w:eastAsia="Palatino Linotype" w:hAnsi="Palatino Linotype" w:cs="Palatino Linotype"/>
          <w:b/>
          <w:i/>
          <w:sz w:val="22"/>
          <w:szCs w:val="22"/>
        </w:rPr>
        <w:t>Quaterdecies</w:t>
      </w:r>
      <w:proofErr w:type="spellEnd"/>
      <w:r w:rsidRPr="00B05A03">
        <w:rPr>
          <w:rFonts w:ascii="Palatino Linotype" w:eastAsia="Palatino Linotype" w:hAnsi="Palatino Linotype" w:cs="Palatino Linotype"/>
          <w:i/>
          <w:sz w:val="22"/>
          <w:szCs w:val="22"/>
        </w:rPr>
        <w:t>.- La Dirección de las Mujeres, tiene las siguientes atribuciones:</w:t>
      </w:r>
    </w:p>
    <w:p w14:paraId="029DC7A4"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7A008CCE"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w:t>
      </w:r>
      <w:r w:rsidRPr="00B05A03">
        <w:rPr>
          <w:rFonts w:ascii="Palatino Linotype" w:eastAsia="Palatino Linotype" w:hAnsi="Palatino Linotype" w:cs="Palatino Linotype"/>
          <w:i/>
          <w:sz w:val="22"/>
          <w:szCs w:val="22"/>
        </w:rPr>
        <w:t>. Promover la cultura de la atención, prevención, sanción y erradicación de los tipos y modalidades de la violencia, la igualdad, así como la no discriminación contra las mujeres, en sus distintas etapas de la vida;</w:t>
      </w:r>
    </w:p>
    <w:p w14:paraId="0226BDD1"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234CB299"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VI.</w:t>
      </w:r>
      <w:r w:rsidRPr="00B05A03">
        <w:rPr>
          <w:rFonts w:ascii="Palatino Linotype" w:eastAsia="Palatino Linotype" w:hAnsi="Palatino Linotype" w:cs="Palatino Linotype"/>
          <w:i/>
          <w:sz w:val="22"/>
          <w:szCs w:val="22"/>
        </w:rPr>
        <w:t xml:space="preserve"> Brindar capacitación y asesoría, en materia de derechos humanos de las mujeres, igualdad, no discriminación, así como los tipos y las modalidades de la violencia contra las mujeres, en sus distintas etapas de la vida;</w:t>
      </w:r>
    </w:p>
    <w:p w14:paraId="506C6FD9"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6B0BC79F"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VIII.</w:t>
      </w:r>
      <w:r w:rsidRPr="00B05A03">
        <w:rPr>
          <w:rFonts w:ascii="Palatino Linotype" w:eastAsia="Palatino Linotype" w:hAnsi="Palatino Linotype" w:cs="Palatino Linotype"/>
          <w:i/>
          <w:sz w:val="22"/>
          <w:szCs w:val="22"/>
        </w:rPr>
        <w:t xml:space="preserve"> Brindar orientación, atención de primer nivel, asesoramiento y acompañamiento multidisciplinarios y, en su caso, la canalización correspondiente de las niñas, adolescentes y mujeres, víctimas de violencia, que tengan acercamiento a la Dirección;</w:t>
      </w:r>
    </w:p>
    <w:p w14:paraId="3DF61F44"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IX</w:t>
      </w:r>
      <w:r w:rsidRPr="00B05A03">
        <w:rPr>
          <w:rFonts w:ascii="Palatino Linotype" w:eastAsia="Palatino Linotype" w:hAnsi="Palatino Linotype" w:cs="Palatino Linotype"/>
          <w:i/>
          <w:sz w:val="22"/>
          <w:szCs w:val="22"/>
        </w:rPr>
        <w:t>. Establecer programas de sensibilización, reeducación, de construcción y capacitación dirigidos a la población en general con el fin de eliminar los roles y estereotipos que reproduzcan los tipos y modalidades de la violencia contra las mujeres, en todas las etapas de su vida;</w:t>
      </w:r>
    </w:p>
    <w:p w14:paraId="261A3AF6"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X</w:t>
      </w:r>
      <w:r w:rsidRPr="00B05A03">
        <w:rPr>
          <w:rFonts w:ascii="Palatino Linotype" w:eastAsia="Palatino Linotype" w:hAnsi="Palatino Linotype" w:cs="Palatino Linotype"/>
          <w:i/>
          <w:sz w:val="22"/>
          <w:szCs w:val="22"/>
        </w:rPr>
        <w:t>. Vigilar, orientar, promover y proponer que la planeación presupuestal de la administración pública municipal y la Dirección incorpore la perspectiva de género;</w:t>
      </w:r>
    </w:p>
    <w:p w14:paraId="5754BF3D" w14:textId="77777777" w:rsidR="003707B3" w:rsidRPr="00B05A03" w:rsidRDefault="009B445B">
      <w:pPr>
        <w:spacing w:before="120" w:after="120"/>
        <w:ind w:left="1134" w:right="902"/>
        <w:jc w:val="both"/>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b/>
          <w:i/>
          <w:sz w:val="22"/>
          <w:szCs w:val="22"/>
        </w:rPr>
        <w:lastRenderedPageBreak/>
        <w:t>...</w:t>
      </w:r>
    </w:p>
    <w:p w14:paraId="69397920"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XII</w:t>
      </w:r>
      <w:r w:rsidRPr="00B05A03">
        <w:rPr>
          <w:rFonts w:ascii="Palatino Linotype" w:eastAsia="Palatino Linotype" w:hAnsi="Palatino Linotype" w:cs="Palatino Linotype"/>
          <w:i/>
          <w:sz w:val="22"/>
          <w:szCs w:val="22"/>
        </w:rPr>
        <w:t xml:space="preserve">. Fomentar y apoyar la creación de albergues, casas de pernocta, refugios o similares para las mujeres y sus hijas e hijos en situación de violencia; </w:t>
      </w:r>
    </w:p>
    <w:p w14:paraId="5CE8A507"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XIII</w:t>
      </w:r>
      <w:r w:rsidRPr="00B05A03">
        <w:rPr>
          <w:rFonts w:ascii="Palatino Linotype" w:eastAsia="Palatino Linotype" w:hAnsi="Palatino Linotype" w:cs="Palatino Linotype"/>
          <w:i/>
          <w:sz w:val="22"/>
          <w:szCs w:val="22"/>
        </w:rPr>
        <w:t xml:space="preserve">. Fungir, a través de su titular, como coordinadora para el seguimiento, cumplimiento y evaluación de las acciones para mitigar las Declaratorias de Alerta de Violencia de Género contra las Mujeres; </w:t>
      </w:r>
    </w:p>
    <w:p w14:paraId="640FE6AA"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XIV.</w:t>
      </w:r>
      <w:r w:rsidRPr="00B05A03">
        <w:rPr>
          <w:rFonts w:ascii="Palatino Linotype" w:eastAsia="Palatino Linotype" w:hAnsi="Palatino Linotype" w:cs="Palatino Linotype"/>
          <w:i/>
          <w:sz w:val="22"/>
          <w:szCs w:val="22"/>
        </w:rPr>
        <w:t xml:space="preserve"> Promover y coordinar la profesionalización permanente del personal de la administración municipal en los temas de prevención, atención integral y erradicación de la violencia contra las niñas, adolescentes y mujeres, igualdad sustantiva o materias afines;</w:t>
      </w:r>
    </w:p>
    <w:p w14:paraId="511101E4"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Es así, que la Dirección de Atención a la Mujer o equivalente tiene como principal responsabilidad conforme a la Ley de Acceso a las Mujeres a una Vida Libre de Violencia del Estado de México, la Ley de Igualdad de Trato y Oportunidades entre mujeres y hombres del Estado de México, y la Ley Orgánica Municipal del Estado de México, tiene como propósito prevenir, atender, sancionar y erradicar la violencia contra las Mujeres, las adolescentes y las niñas.</w:t>
      </w:r>
    </w:p>
    <w:p w14:paraId="14826484"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En este tenor, de conformidad con el Capítulo Segundo de la Administración Pública Municipal, del Bando Municipal de Cuautitlán Izcalli, el municipio cuenta con el Instituto Municipal para la Equidad de Género y el Desarrollo de las Mujeres de Cuautitlán Izcalli, IMEGDEM, como un organismo desconcentrado:</w:t>
      </w:r>
    </w:p>
    <w:p w14:paraId="6956E9E0"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Artículo 28.</w:t>
      </w:r>
      <w:r w:rsidRPr="00B05A03">
        <w:rPr>
          <w:rFonts w:ascii="Palatino Linotype" w:eastAsia="Palatino Linotype" w:hAnsi="Palatino Linotype" w:cs="Palatino Linotype"/>
          <w:i/>
          <w:sz w:val="22"/>
          <w:szCs w:val="22"/>
        </w:rPr>
        <w:t xml:space="preserve"> Son órganos desconcentrados de la administración pública municipal los siguientes: </w:t>
      </w:r>
    </w:p>
    <w:p w14:paraId="465732FB"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Instituto Municipal para la Equidad de Género y el Desarrollo de las Mujeres de Cuautitlán Izcalli IMEGDEM;”</w:t>
      </w:r>
    </w:p>
    <w:p w14:paraId="1A4BA3A6"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La administración pública municipal, cuenta con el Instituto Municipal para la Equidad de Género y el Desarrollo de las Mujeres de Cuautitlán Izcalli, IMEGDEM, </w:t>
      </w:r>
      <w:r w:rsidRPr="00B05A03">
        <w:rPr>
          <w:rFonts w:ascii="Palatino Linotype" w:eastAsia="Palatino Linotype" w:hAnsi="Palatino Linotype" w:cs="Palatino Linotype"/>
        </w:rPr>
        <w:lastRenderedPageBreak/>
        <w:t xml:space="preserve">para lograr la igualdad de trato y oportunidades entre mujeres y hombres, y, en coordinación con instancias federales y estatales planeará, organiza, coordina y difunde políticas, programas, campañas y acciones afirmativas, así como programas de capacitación relacionados con la promoción de los derechos de las mujeres, </w:t>
      </w:r>
      <w:r w:rsidRPr="00B05A03">
        <w:rPr>
          <w:rFonts w:ascii="Palatino Linotype" w:eastAsia="Palatino Linotype" w:hAnsi="Palatino Linotype" w:cs="Palatino Linotype"/>
          <w:b/>
        </w:rPr>
        <w:t>prevención de la violencia de género</w:t>
      </w:r>
      <w:r w:rsidRPr="00B05A03">
        <w:rPr>
          <w:rFonts w:ascii="Palatino Linotype" w:eastAsia="Palatino Linotype" w:hAnsi="Palatino Linotype" w:cs="Palatino Linotype"/>
        </w:rPr>
        <w:t>, igualdad y equidad entre mujeres y hombres y respeto a la diversidad social, cultural y sexual, para concientizar a las personas en la eliminación de todo tipo de discriminación, desigualdad y violencia.</w:t>
      </w:r>
    </w:p>
    <w:p w14:paraId="62D1D053"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Por su parte, los artículos 75 y 76 del Bando municipal establece que el gobierno municipal contemplará medidas para prevenir, atender y sancionar la violencia de género, como un eje transversal a través de la instrumentación, articulación y evaluación de la Política Municipal para Erradicar la Violencia en contra de las Mujeres, de manera que el ayuntamiento en concordancia con la política estatal y nacional en la materia, diseñará, formulará y ordenará la aplicación de campañas informativas y de concientización permanentes, así como programas de desarrollo, que promuevan la igualdad de trato y oportunidades entre mujeres y hombres, la prevención, atención adecuada y erradicación de cualquier tipo de violencia contra mujeres y niñas, así como el respeto de los derechos humanos de las personas </w:t>
      </w:r>
      <w:proofErr w:type="spellStart"/>
      <w:r w:rsidRPr="00B05A03">
        <w:rPr>
          <w:rFonts w:ascii="Palatino Linotype" w:eastAsia="Palatino Linotype" w:hAnsi="Palatino Linotype" w:cs="Palatino Linotype"/>
        </w:rPr>
        <w:t>izcallenses</w:t>
      </w:r>
      <w:proofErr w:type="spellEnd"/>
      <w:r w:rsidRPr="00B05A03">
        <w:rPr>
          <w:rFonts w:ascii="Palatino Linotype" w:eastAsia="Palatino Linotype" w:hAnsi="Palatino Linotype" w:cs="Palatino Linotype"/>
        </w:rPr>
        <w:t xml:space="preserve"> desde la perspectiva de género.</w:t>
      </w:r>
    </w:p>
    <w:p w14:paraId="2631E2C3"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La administración pública municipal en coordinación con el Gobierno Estatal, cuenta con el deber de fomentar y promover cursos de formación, especialización y actualización, sobre violencia de género y derechos humanos de las mujeres y hombres, a las personas servidoras públicas que atienden a víctimas de violencia, según establece el artículo 77 del Bando Municipal</w:t>
      </w:r>
      <w:r w:rsidRPr="00B05A03">
        <w:t xml:space="preserve">. </w:t>
      </w:r>
    </w:p>
    <w:p w14:paraId="62D507D0"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 xml:space="preserve">Atento a lo anterior, se colige que la solicitud fue atendida por el área competente para generar, administrar o poseer la información que es del interés de la persona solicitante, esto es, el Instituto Municipal para la Equidad de Género y el Desarrollo de las Mujeres, cuya servidora pública habilitada en atención a la solicitud, proporcionó información relacionada con dos proyectos estatales, un proyecto federal, consistente en nombre del proyecto, presupuesto, acciones realizadas y resultados obtenidos; así como las acciones realizadas a nivel municipal, los resultados obtenidos, y, respecto del presupuesto para dichas acciones, señaló que estese asignaba de manera general para las acciones y metas de todas las áreas adscritas al Instituto Municipal para la Equidad de Género y Desarrollo de las Mujeres, mismo que se podía consultar a través de la liga electrónica: </w:t>
      </w:r>
      <w:hyperlink r:id="rId21" w:anchor="Inicio%2F2022">
        <w:r w:rsidRPr="00B05A03">
          <w:rPr>
            <w:rFonts w:ascii="Palatino Linotype" w:eastAsia="Palatino Linotype" w:hAnsi="Palatino Linotype" w:cs="Palatino Linotype"/>
            <w:u w:val="single"/>
          </w:rPr>
          <w:t>http://conac.izcalli.gob.mx/#Inicio%2F2022</w:t>
        </w:r>
      </w:hyperlink>
      <w:r w:rsidRPr="00B05A03">
        <w:rPr>
          <w:rFonts w:ascii="Palatino Linotype" w:eastAsia="Palatino Linotype" w:hAnsi="Palatino Linotype" w:cs="Palatino Linotype"/>
        </w:rPr>
        <w:t>, cuyo contendido es el siguiente:</w:t>
      </w:r>
    </w:p>
    <w:p w14:paraId="2199A083"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noProof/>
        </w:rPr>
        <w:drawing>
          <wp:inline distT="0" distB="0" distL="0" distR="0" wp14:anchorId="40D407A3" wp14:editId="2135E098">
            <wp:extent cx="5610225" cy="2428875"/>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610225" cy="2428875"/>
                    </a:xfrm>
                    <a:prstGeom prst="rect">
                      <a:avLst/>
                    </a:prstGeom>
                    <a:ln/>
                  </pic:spPr>
                </pic:pic>
              </a:graphicData>
            </a:graphic>
          </wp:inline>
        </w:drawing>
      </w:r>
    </w:p>
    <w:p w14:paraId="1DAF954A"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 Derivado de lo anterior, se concluye lo siguiente:</w:t>
      </w:r>
    </w:p>
    <w:p w14:paraId="73FEE73C" w14:textId="77777777" w:rsidR="003707B3" w:rsidRPr="00B05A03" w:rsidRDefault="009B445B">
      <w:pPr>
        <w:spacing w:before="240" w:after="240" w:line="360" w:lineRule="auto"/>
        <w:ind w:left="284"/>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1. La información proporcionada respecto de los programas estatales, y el programa federal por Atención a la Alerta de violencia de Género contra las mujeres, colma el requerimiento de información al señalar el presupuesto ejercido, las acciones realizadas y los resultados obtenidos.</w:t>
      </w:r>
    </w:p>
    <w:p w14:paraId="14F9E136" w14:textId="77777777" w:rsidR="003707B3" w:rsidRPr="00B05A03" w:rsidRDefault="009B445B">
      <w:pPr>
        <w:spacing w:before="240" w:after="240" w:line="360" w:lineRule="auto"/>
        <w:ind w:left="284"/>
        <w:jc w:val="both"/>
        <w:rPr>
          <w:rFonts w:ascii="Palatino Linotype" w:eastAsia="Palatino Linotype" w:hAnsi="Palatino Linotype" w:cs="Palatino Linotype"/>
        </w:rPr>
      </w:pPr>
      <w:r w:rsidRPr="00B05A03">
        <w:rPr>
          <w:rFonts w:ascii="Palatino Linotype" w:eastAsia="Palatino Linotype" w:hAnsi="Palatino Linotype" w:cs="Palatino Linotype"/>
        </w:rPr>
        <w:t>2. Respecto de las acciones que se realizaron a nivel municipal a través de la Coordinación de Atención a la Alerta de Género contra las Mujeres, se precisó el resultado de dichas acciones, no obstante, respecto del presupuesto ejercido, la servidora pública habilitada señaló que éste se asignaba de manera general, y proporcionó un link para la consulta, sin embargo, como se advierte en la imagen inserta en la página anterior, la misma no cumple con las formalidades que establece el artículo 161 de la Ley de Transparencia y Acceso a la Información Pública del Estado de México y Municipios, 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1418432" w14:textId="77777777" w:rsidR="003707B3" w:rsidRPr="00B05A03" w:rsidRDefault="009B445B">
      <w:pPr>
        <w:spacing w:before="120" w:after="120" w:line="276"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rPr>
        <w:t>a) La fuente</w:t>
      </w:r>
    </w:p>
    <w:p w14:paraId="5979591D" w14:textId="77777777" w:rsidR="003707B3" w:rsidRPr="00B05A03" w:rsidRDefault="009B445B">
      <w:pPr>
        <w:spacing w:before="120" w:after="120" w:line="276"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rPr>
        <w:t>b) El lugar y</w:t>
      </w:r>
    </w:p>
    <w:p w14:paraId="1F5C9D68" w14:textId="77777777" w:rsidR="003707B3" w:rsidRPr="00B05A03" w:rsidRDefault="009B445B">
      <w:pPr>
        <w:spacing w:before="120" w:after="120" w:line="276"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rPr>
        <w:t>c) La forma</w:t>
      </w:r>
    </w:p>
    <w:p w14:paraId="3F0F5987" w14:textId="77777777" w:rsidR="003707B3" w:rsidRPr="00B05A03" w:rsidRDefault="009B445B">
      <w:pPr>
        <w:spacing w:before="240" w:after="240" w:line="360" w:lineRule="auto"/>
        <w:ind w:right="49"/>
        <w:jc w:val="both"/>
        <w:rPr>
          <w:rFonts w:ascii="Palatino Linotype" w:eastAsia="Palatino Linotype" w:hAnsi="Palatino Linotype" w:cs="Palatino Linotype"/>
        </w:rPr>
      </w:pPr>
      <w:r w:rsidRPr="00B05A03">
        <w:rPr>
          <w:rFonts w:ascii="Palatino Linotype" w:eastAsia="Palatino Linotype" w:hAnsi="Palatino Linotype" w:cs="Palatino Linotype"/>
        </w:rPr>
        <w:t>Asimismo, se establece que la fuente de la información deberá ser:</w:t>
      </w:r>
    </w:p>
    <w:p w14:paraId="4AEA531A" w14:textId="77777777" w:rsidR="003707B3" w:rsidRPr="00B05A03" w:rsidRDefault="009B445B">
      <w:pPr>
        <w:spacing w:before="120" w:after="120" w:line="276"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a) Precisa</w:t>
      </w:r>
    </w:p>
    <w:p w14:paraId="1A82FC17" w14:textId="77777777" w:rsidR="003707B3" w:rsidRPr="00B05A03" w:rsidRDefault="009B445B">
      <w:pPr>
        <w:spacing w:before="120" w:after="120" w:line="276"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rPr>
        <w:t>b) Concreta</w:t>
      </w:r>
    </w:p>
    <w:p w14:paraId="2E0DCA8F" w14:textId="77777777" w:rsidR="003707B3" w:rsidRPr="00B05A03" w:rsidRDefault="009B445B">
      <w:pPr>
        <w:spacing w:before="120" w:after="120" w:line="276" w:lineRule="auto"/>
        <w:ind w:left="284" w:right="51"/>
        <w:jc w:val="both"/>
        <w:rPr>
          <w:rFonts w:ascii="Palatino Linotype" w:eastAsia="Palatino Linotype" w:hAnsi="Palatino Linotype" w:cs="Palatino Linotype"/>
        </w:rPr>
      </w:pPr>
      <w:r w:rsidRPr="00B05A03">
        <w:rPr>
          <w:rFonts w:ascii="Palatino Linotype" w:eastAsia="Palatino Linotype" w:hAnsi="Palatino Linotype" w:cs="Palatino Linotype"/>
        </w:rPr>
        <w:t>c) Y no debe implicar que el solicitante realice una búsqueda en toda la información que se encuentre disponible.</w:t>
      </w:r>
    </w:p>
    <w:p w14:paraId="62209F5F" w14:textId="77777777" w:rsidR="003707B3" w:rsidRPr="00B05A03" w:rsidRDefault="009B445B">
      <w:pPr>
        <w:spacing w:before="240" w:after="240" w:line="360" w:lineRule="auto"/>
        <w:ind w:right="49"/>
        <w:jc w:val="both"/>
        <w:rPr>
          <w:rFonts w:ascii="Palatino Linotype" w:eastAsia="Palatino Linotype" w:hAnsi="Palatino Linotype" w:cs="Palatino Linotype"/>
        </w:rPr>
      </w:pPr>
      <w:r w:rsidRPr="00B05A03">
        <w:rPr>
          <w:rFonts w:ascii="Palatino Linotype" w:eastAsia="Palatino Linotype" w:hAnsi="Palatino Linotype" w:cs="Palatino Linotype"/>
        </w:rPr>
        <w:t>En este sentido, la orientación proporcionada no puede ser tomada como válida, en virtud de que no es concreta ni precisa, por lo que es necesario que la persona solicitante efectúe una búsqueda en toda la información disponible en el portal.</w:t>
      </w:r>
    </w:p>
    <w:p w14:paraId="188EEE09" w14:textId="77777777" w:rsidR="003707B3" w:rsidRPr="00B05A03" w:rsidRDefault="009B445B">
      <w:pPr>
        <w:spacing w:before="240" w:after="240" w:line="360" w:lineRule="auto"/>
        <w:ind w:right="49"/>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Derivado de lo anterior, se estima que para tener por colmado el Derecho de Acceso a la Información de la persona solicitante, es necesario que el </w:t>
      </w:r>
      <w:r w:rsidRPr="00B05A03">
        <w:rPr>
          <w:rFonts w:ascii="Palatino Linotype" w:eastAsia="Palatino Linotype" w:hAnsi="Palatino Linotype" w:cs="Palatino Linotype"/>
          <w:b/>
        </w:rPr>
        <w:t xml:space="preserve">Sujeto Obligado </w:t>
      </w:r>
      <w:r w:rsidRPr="00B05A03">
        <w:rPr>
          <w:rFonts w:ascii="Palatino Linotype" w:eastAsia="Palatino Linotype" w:hAnsi="Palatino Linotype" w:cs="Palatino Linotype"/>
        </w:rPr>
        <w:t>proporcione el soporte documental que dé cuenta del presupuesto que se ejerció en las acciones y metas implementadas a nivel municipal durante el ejercicio 2022, en atención a la Alerta de Violencia de Genero contra de las Mujeres, de ser procedente en versión pública conforme al considerando siguiente.</w:t>
      </w:r>
    </w:p>
    <w:p w14:paraId="3E4E7FAC"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Para efectos de lo anterior, no obsta mencionar que la Tesorería Municipal, que de conformidad con los artículos artículo 93 y 95, fracciones I y IV de la Ley Orgánica Municipal del Estado de México, es el órgano de la administración pública municipal autorizado para la recaudación de los impuestos, derechos municipales y demás contribuciones de los particulares, así mismo es </w:t>
      </w:r>
      <w:r w:rsidRPr="00B05A03">
        <w:rPr>
          <w:rFonts w:ascii="Palatino Linotype" w:eastAsia="Palatino Linotype" w:hAnsi="Palatino Linotype" w:cs="Palatino Linotype"/>
          <w:b/>
        </w:rPr>
        <w:t>responsable de efectuar las erogaciones</w:t>
      </w:r>
      <w:r w:rsidRPr="00B05A03">
        <w:rPr>
          <w:rFonts w:ascii="Palatino Linotype" w:eastAsia="Palatino Linotype" w:hAnsi="Palatino Linotype" w:cs="Palatino Linotype"/>
        </w:rPr>
        <w:t xml:space="preserve"> que realice con cargo al presupuesto aprobado por el Ayuntamiento, a saber:</w:t>
      </w:r>
    </w:p>
    <w:p w14:paraId="6484D05C"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Artículo 93.-</w:t>
      </w:r>
      <w:r w:rsidRPr="00B05A03">
        <w:rPr>
          <w:rFonts w:ascii="Palatino Linotype" w:eastAsia="Palatino Linotype" w:hAnsi="Palatino Linotype" w:cs="Palatino Linotype"/>
          <w:i/>
          <w:sz w:val="22"/>
          <w:szCs w:val="22"/>
        </w:rPr>
        <w:t xml:space="preserve"> La tesorería municipal es el órgano encargado de la recaudación de los ingresos municipales y responsable de realizar las erogaciones que haga el ayuntamiento.</w:t>
      </w:r>
    </w:p>
    <w:p w14:paraId="563A4252"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lastRenderedPageBreak/>
        <w:t>…</w:t>
      </w:r>
    </w:p>
    <w:p w14:paraId="140F2905"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95</w:t>
      </w:r>
      <w:r w:rsidRPr="00B05A03">
        <w:rPr>
          <w:rFonts w:ascii="Palatino Linotype" w:eastAsia="Palatino Linotype" w:hAnsi="Palatino Linotype" w:cs="Palatino Linotype"/>
          <w:i/>
          <w:sz w:val="22"/>
          <w:szCs w:val="22"/>
        </w:rPr>
        <w:t xml:space="preserve">.- Son atribuciones del tesorero municipal: </w:t>
      </w:r>
    </w:p>
    <w:p w14:paraId="24A56781"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xml:space="preserve"> Administrar la hacienda pública municipal, de conformidad con las disposiciones legales aplicables;</w:t>
      </w:r>
    </w:p>
    <w:p w14:paraId="78808CA9"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76A13690"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IV</w:t>
      </w:r>
      <w:r w:rsidRPr="00B05A03">
        <w:rPr>
          <w:rFonts w:ascii="Palatino Linotype" w:eastAsia="Palatino Linotype" w:hAnsi="Palatino Linotype" w:cs="Palatino Linotype"/>
          <w:i/>
          <w:sz w:val="22"/>
          <w:szCs w:val="22"/>
        </w:rPr>
        <w:t>. Llevar los registros contables, financieros y administrativos de los ingresos, egresos, e inventarios;”</w:t>
      </w:r>
    </w:p>
    <w:p w14:paraId="21B7263B"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Asimismo, es preciso mencionar que en términos del artículo 134 de la Constitución Política de los Estados Unidos Mexicanos, se encomienda a los Municipios administrar con eficiencia, eficacia, economía, transparencia y honradez los recursos económicos a fin de satisfacer los objetivos a que estén destinados.</w:t>
      </w:r>
    </w:p>
    <w:p w14:paraId="0A4258EA"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Por ello, el artículo 61, fracción II de la Ley General de Contabilidad Gubernamental establece las bases del presupuesto de egresos, conforme a lo siguiente:</w:t>
      </w:r>
    </w:p>
    <w:p w14:paraId="2E59B451" w14:textId="77777777" w:rsidR="003707B3" w:rsidRPr="00B05A03" w:rsidRDefault="009B445B">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61.-</w:t>
      </w:r>
      <w:r w:rsidRPr="00B05A03">
        <w:rPr>
          <w:rFonts w:ascii="Palatino Linotype" w:eastAsia="Palatino Linotype" w:hAnsi="Palatino Linotype" w:cs="Palatino Linotype"/>
          <w:i/>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426760D1" w14:textId="77777777" w:rsidR="003707B3" w:rsidRPr="00B05A03" w:rsidRDefault="009B445B">
      <w:pPr>
        <w:spacing w:before="240" w:after="24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12FA0027" w14:textId="77777777" w:rsidR="003707B3" w:rsidRPr="00B05A03" w:rsidRDefault="009B445B">
      <w:pPr>
        <w:spacing w:before="240" w:after="240"/>
        <w:ind w:left="1134" w:right="902"/>
        <w:jc w:val="both"/>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b/>
          <w:i/>
          <w:sz w:val="22"/>
          <w:szCs w:val="22"/>
        </w:rPr>
        <w:t xml:space="preserve">II. Presupuestos de Egresos: </w:t>
      </w:r>
    </w:p>
    <w:p w14:paraId="1BE4A3EC" w14:textId="77777777" w:rsidR="003707B3" w:rsidRPr="00B05A03" w:rsidRDefault="009B445B">
      <w:pPr>
        <w:spacing w:before="240" w:after="24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w:t>
      </w:r>
      <w:r w:rsidRPr="00B05A03">
        <w:rPr>
          <w:rFonts w:ascii="Palatino Linotype" w:eastAsia="Palatino Linotype" w:hAnsi="Palatino Linotype" w:cs="Palatino Linotype"/>
          <w:i/>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2D7160B7" w14:textId="77777777" w:rsidR="003707B3" w:rsidRPr="00B05A03" w:rsidRDefault="009B445B">
      <w:pPr>
        <w:spacing w:before="240" w:after="24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lastRenderedPageBreak/>
        <w:t>b)</w:t>
      </w:r>
      <w:r w:rsidRPr="00B05A03">
        <w:rPr>
          <w:rFonts w:ascii="Palatino Linotype" w:eastAsia="Palatino Linotype" w:hAnsi="Palatino Linotype" w:cs="Palatino Linotype"/>
          <w:i/>
          <w:sz w:val="22"/>
          <w:szCs w:val="22"/>
        </w:rPr>
        <w:t xml:space="preserve"> El listado de programas así como sus indicadores estratégicos y de gestión aprobados, y </w:t>
      </w:r>
    </w:p>
    <w:p w14:paraId="719806FF" w14:textId="77777777" w:rsidR="003707B3" w:rsidRPr="00B05A03" w:rsidRDefault="009B445B">
      <w:pPr>
        <w:spacing w:before="240" w:after="240"/>
        <w:ind w:left="1418"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c)</w:t>
      </w:r>
      <w:r w:rsidRPr="00B05A03">
        <w:rPr>
          <w:rFonts w:ascii="Palatino Linotype" w:eastAsia="Palatino Linotype" w:hAnsi="Palatino Linotype" w:cs="Palatino Linotype"/>
          <w:i/>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70515F84" w14:textId="77777777" w:rsidR="003707B3" w:rsidRPr="00B05A03" w:rsidRDefault="009B445B">
      <w:pPr>
        <w:spacing w:before="240" w:after="240" w:line="360" w:lineRule="auto"/>
        <w:ind w:right="-91"/>
        <w:jc w:val="both"/>
        <w:rPr>
          <w:rFonts w:ascii="Palatino Linotype" w:eastAsia="Palatino Linotype" w:hAnsi="Palatino Linotype" w:cs="Palatino Linotype"/>
        </w:rPr>
      </w:pPr>
      <w:r w:rsidRPr="00B05A03">
        <w:rPr>
          <w:rFonts w:ascii="Palatino Linotype" w:eastAsia="Palatino Linotype" w:hAnsi="Palatino Linotype" w:cs="Palatino Linotype"/>
        </w:rPr>
        <w:t>En términos del artículo en cita, los ayuntamientos y a las entidades públicas municipales, aplicaran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de acuerdo con la siguiente distribución:</w:t>
      </w:r>
    </w:p>
    <w:p w14:paraId="7CCA46F5" w14:textId="77777777" w:rsidR="003707B3" w:rsidRPr="00B05A03" w:rsidRDefault="009B445B">
      <w:pPr>
        <w:spacing w:after="120"/>
        <w:ind w:left="851" w:right="900"/>
        <w:jc w:val="both"/>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b/>
          <w:i/>
          <w:sz w:val="22"/>
          <w:szCs w:val="22"/>
        </w:rPr>
        <w:t>Código Financiero del Estado de México y Municipios</w:t>
      </w:r>
    </w:p>
    <w:p w14:paraId="77111684" w14:textId="77777777" w:rsidR="003707B3" w:rsidRPr="00B05A03" w:rsidRDefault="009B445B">
      <w:pPr>
        <w:spacing w:after="120"/>
        <w:ind w:left="851" w:right="900"/>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292</w:t>
      </w:r>
      <w:r w:rsidRPr="00B05A03">
        <w:rPr>
          <w:rFonts w:ascii="Palatino Linotype" w:eastAsia="Palatino Linotype" w:hAnsi="Palatino Linotype" w:cs="Palatino Linotype"/>
          <w:i/>
          <w:sz w:val="22"/>
          <w:szCs w:val="22"/>
        </w:rPr>
        <w:t xml:space="preserv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6599CD59" w14:textId="77777777" w:rsidR="003707B3" w:rsidRPr="00B05A03" w:rsidRDefault="009B445B">
      <w:pPr>
        <w:spacing w:after="120"/>
        <w:ind w:left="851" w:right="900"/>
        <w:jc w:val="both"/>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b/>
          <w:i/>
          <w:sz w:val="22"/>
          <w:szCs w:val="22"/>
        </w:rPr>
        <w:t xml:space="preserve">Para el caso de los Municipios, el Proyecto de Presupuesto se integrará con los recursos que se destinen al Ayuntamiento y a los organismos municipales. </w:t>
      </w:r>
    </w:p>
    <w:p w14:paraId="5867B1DD" w14:textId="77777777" w:rsidR="003707B3" w:rsidRPr="00B05A03" w:rsidRDefault="009B445B">
      <w:pPr>
        <w:spacing w:after="120"/>
        <w:ind w:left="851" w:right="900"/>
        <w:jc w:val="both"/>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i/>
          <w:sz w:val="22"/>
          <w:szCs w:val="22"/>
        </w:rPr>
        <w:t>La distribución será conforme a lo siguiente:</w:t>
      </w:r>
    </w:p>
    <w:p w14:paraId="1D1F3FA8" w14:textId="77777777" w:rsidR="003707B3" w:rsidRPr="00B05A03" w:rsidRDefault="009B445B">
      <w:pPr>
        <w:spacing w:after="120"/>
        <w:ind w:left="1134" w:right="900"/>
        <w:jc w:val="both"/>
        <w:rPr>
          <w:rFonts w:ascii="Palatino Linotype" w:eastAsia="Palatino Linotype" w:hAnsi="Palatino Linotype" w:cs="Palatino Linotype"/>
        </w:rPr>
      </w:pPr>
      <w:r w:rsidRPr="00B05A03">
        <w:rPr>
          <w:rFonts w:ascii="Palatino Linotype" w:eastAsia="Palatino Linotype" w:hAnsi="Palatino Linotype" w:cs="Palatino Linotype"/>
          <w:b/>
        </w:rPr>
        <w:t>I.</w:t>
      </w:r>
      <w:r w:rsidRPr="00B05A03">
        <w:rPr>
          <w:rFonts w:ascii="Palatino Linotype" w:eastAsia="Palatino Linotype" w:hAnsi="Palatino Linotype" w:cs="Palatino Linotype"/>
        </w:rPr>
        <w:t xml:space="preserve"> El gasto programable comprende los siguientes capítulos: </w:t>
      </w:r>
    </w:p>
    <w:p w14:paraId="52D9D7BD" w14:textId="77777777" w:rsidR="003707B3" w:rsidRPr="00B05A03" w:rsidRDefault="009B445B">
      <w:pPr>
        <w:spacing w:after="120"/>
        <w:ind w:left="1418" w:right="900"/>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a). 1000 Servicios Personales. </w:t>
      </w:r>
    </w:p>
    <w:p w14:paraId="0A3640FC" w14:textId="77777777" w:rsidR="003707B3" w:rsidRPr="00B05A03" w:rsidRDefault="009B445B">
      <w:pPr>
        <w:spacing w:after="120"/>
        <w:ind w:left="1418" w:right="900"/>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 xml:space="preserve">b). 2000 Materiales y Suministros. </w:t>
      </w:r>
    </w:p>
    <w:p w14:paraId="5E67B66C" w14:textId="77777777" w:rsidR="003707B3" w:rsidRPr="00B05A03" w:rsidRDefault="009B445B">
      <w:pPr>
        <w:spacing w:after="120"/>
        <w:ind w:left="1418" w:right="900"/>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c). 3000 Servicios Generales. </w:t>
      </w:r>
    </w:p>
    <w:p w14:paraId="4BCE33E3" w14:textId="77777777" w:rsidR="003707B3" w:rsidRPr="00B05A03" w:rsidRDefault="009B445B">
      <w:pPr>
        <w:spacing w:after="120"/>
        <w:ind w:left="1418" w:right="900"/>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d).4000 Transferencias, Asignaciones, Subsidios y otras ayudas. </w:t>
      </w:r>
    </w:p>
    <w:p w14:paraId="40A95F76" w14:textId="77777777" w:rsidR="003707B3" w:rsidRPr="00B05A03" w:rsidRDefault="009B445B">
      <w:pPr>
        <w:spacing w:after="120"/>
        <w:ind w:left="1418" w:right="900"/>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 5000 Bienes Muebles, Inmuebles e Intangibles. </w:t>
      </w:r>
    </w:p>
    <w:p w14:paraId="3CBFFD19" w14:textId="77777777" w:rsidR="003707B3" w:rsidRPr="00B05A03" w:rsidRDefault="009B445B">
      <w:pPr>
        <w:spacing w:after="120"/>
        <w:ind w:left="1418" w:right="900"/>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f). 6000 Inversión Pública. </w:t>
      </w:r>
    </w:p>
    <w:p w14:paraId="2C5D69A5" w14:textId="77777777" w:rsidR="003707B3" w:rsidRPr="00B05A03" w:rsidRDefault="009B445B">
      <w:pPr>
        <w:spacing w:after="120"/>
        <w:ind w:left="1418" w:right="900"/>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g). 7000 Inversiones Financieras y otras provisiones. </w:t>
      </w:r>
    </w:p>
    <w:p w14:paraId="16AAB650" w14:textId="77777777" w:rsidR="003707B3" w:rsidRPr="00B05A03" w:rsidRDefault="009B445B">
      <w:pPr>
        <w:spacing w:after="120"/>
        <w:ind w:left="1134" w:right="900"/>
        <w:jc w:val="both"/>
        <w:rPr>
          <w:rFonts w:ascii="Palatino Linotype" w:eastAsia="Palatino Linotype" w:hAnsi="Palatino Linotype" w:cs="Palatino Linotype"/>
        </w:rPr>
      </w:pPr>
      <w:r w:rsidRPr="00B05A03">
        <w:rPr>
          <w:rFonts w:ascii="Palatino Linotype" w:eastAsia="Palatino Linotype" w:hAnsi="Palatino Linotype" w:cs="Palatino Linotype"/>
          <w:b/>
        </w:rPr>
        <w:t>II</w:t>
      </w:r>
      <w:r w:rsidRPr="00B05A03">
        <w:rPr>
          <w:rFonts w:ascii="Palatino Linotype" w:eastAsia="Palatino Linotype" w:hAnsi="Palatino Linotype" w:cs="Palatino Linotype"/>
        </w:rPr>
        <w:t xml:space="preserve">. El gasto no programable comprende los siguientes capítulos: </w:t>
      </w:r>
    </w:p>
    <w:p w14:paraId="2E20C699" w14:textId="77777777" w:rsidR="003707B3" w:rsidRPr="00B05A03" w:rsidRDefault="009B445B">
      <w:pPr>
        <w:spacing w:after="120"/>
        <w:ind w:left="1418" w:right="900"/>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a). 8000 Participaciones y Aportaciones. </w:t>
      </w:r>
    </w:p>
    <w:p w14:paraId="3A6FA384" w14:textId="77777777" w:rsidR="003707B3" w:rsidRPr="00B05A03" w:rsidRDefault="009B445B">
      <w:pPr>
        <w:pBdr>
          <w:top w:val="nil"/>
          <w:left w:val="nil"/>
          <w:bottom w:val="nil"/>
          <w:right w:val="nil"/>
          <w:between w:val="nil"/>
        </w:pBdr>
        <w:spacing w:after="120"/>
        <w:ind w:left="1418" w:right="900"/>
        <w:jc w:val="both"/>
        <w:rPr>
          <w:rFonts w:ascii="Palatino Linotype" w:eastAsia="Palatino Linotype" w:hAnsi="Palatino Linotype" w:cs="Palatino Linotype"/>
        </w:rPr>
      </w:pPr>
      <w:r w:rsidRPr="00B05A03">
        <w:rPr>
          <w:rFonts w:ascii="Palatino Linotype" w:eastAsia="Palatino Linotype" w:hAnsi="Palatino Linotype" w:cs="Palatino Linotype"/>
        </w:rPr>
        <w:t>b). 9000 Deuda Pública.</w:t>
      </w:r>
    </w:p>
    <w:p w14:paraId="67E0C0D0"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En este mismo sentido, el Manual para la Planeación, Programación y </w:t>
      </w:r>
      <w:proofErr w:type="spellStart"/>
      <w:r w:rsidRPr="00B05A03">
        <w:rPr>
          <w:rFonts w:ascii="Palatino Linotype" w:eastAsia="Palatino Linotype" w:hAnsi="Palatino Linotype" w:cs="Palatino Linotype"/>
        </w:rPr>
        <w:t>Presupuestación</w:t>
      </w:r>
      <w:proofErr w:type="spellEnd"/>
      <w:r w:rsidRPr="00B05A03">
        <w:rPr>
          <w:rFonts w:ascii="Palatino Linotype" w:eastAsia="Palatino Linotype" w:hAnsi="Palatino Linotype" w:cs="Palatino Linotype"/>
        </w:rPr>
        <w:t xml:space="preserve"> Municipal para el ejercicio fiscal 2022, en el marco conceptual, numeral 1.2, define al presupuesto como:</w:t>
      </w:r>
    </w:p>
    <w:p w14:paraId="3451DECE"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43DD4640"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14:paraId="1ADCCEAF" w14:textId="77777777" w:rsidR="003707B3" w:rsidRPr="00B05A03" w:rsidRDefault="009B445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Por su parte, el Código Financiero del Estado de México, señala que el presupuesto de egresos de los municipios constituye el instrumento jurídico, de política económica y de política de gasto, que aprueba el Ayuntamiento en el cual se establece el ejercicio, control y evaluación del gasto público, divido en concepto, partida genérica y partida específica, que representan las autorizaciones específicas del presupuesto.</w:t>
      </w:r>
    </w:p>
    <w:p w14:paraId="23F1C35A"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Así que, este Instituto precisa que, para el cumplimiento de las obligaciones constitucionales, legales y administrativas, el </w:t>
      </w:r>
      <w:r w:rsidRPr="00B05A03">
        <w:rPr>
          <w:rFonts w:ascii="Palatino Linotype" w:eastAsia="Palatino Linotype" w:hAnsi="Palatino Linotype" w:cs="Palatino Linotype"/>
          <w:b/>
        </w:rPr>
        <w:t xml:space="preserve">Sujeto Obligado </w:t>
      </w:r>
      <w:r w:rsidRPr="00B05A03">
        <w:rPr>
          <w:rFonts w:ascii="Palatino Linotype" w:eastAsia="Palatino Linotype" w:hAnsi="Palatino Linotype" w:cs="Palatino Linotype"/>
        </w:rPr>
        <w:t>debe contar con documentos que contengan la información precisa sobre el uso de recursos públicos, tal es el caso del presupuesto ejercido en las acciones que hace alusión la persona solicitante.</w:t>
      </w:r>
    </w:p>
    <w:p w14:paraId="0CE01AE1" w14:textId="77777777" w:rsidR="003707B3" w:rsidRPr="00B05A03" w:rsidRDefault="009B445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B05A03">
        <w:rPr>
          <w:rFonts w:ascii="Palatino Linotype" w:eastAsia="Palatino Linotype" w:hAnsi="Palatino Linotype" w:cs="Palatino Linotype"/>
        </w:rPr>
        <w:t>Abundando en el tema, cabe señalar que el artículo 293 del Código Financiero del Estado de México</w:t>
      </w:r>
      <w:r w:rsidRPr="00B05A03">
        <w:rPr>
          <w:rFonts w:ascii="Palatino Linotype" w:eastAsia="Palatino Linotype" w:hAnsi="Palatino Linotype" w:cs="Palatino Linotype"/>
          <w:i/>
        </w:rPr>
        <w:t xml:space="preserve"> </w:t>
      </w:r>
      <w:r w:rsidRPr="00B05A03">
        <w:rPr>
          <w:rFonts w:ascii="Palatino Linotype" w:eastAsia="Palatino Linotype" w:hAnsi="Palatino Linotype" w:cs="Palatino Linotype"/>
        </w:rPr>
        <w:t xml:space="preserve">establece que los capítulos de gasto se dividirán en </w:t>
      </w:r>
      <w:r w:rsidRPr="00B05A03">
        <w:rPr>
          <w:rFonts w:ascii="Palatino Linotype" w:eastAsia="Palatino Linotype" w:hAnsi="Palatino Linotype" w:cs="Palatino Linotype"/>
          <w:b/>
        </w:rPr>
        <w:t>concepto, partida genérica y partida específica,</w:t>
      </w:r>
      <w:r w:rsidRPr="00B05A03">
        <w:rPr>
          <w:rFonts w:ascii="Palatino Linotype" w:eastAsia="Palatino Linotype" w:hAnsi="Palatino Linotype" w:cs="Palatino Linotype"/>
        </w:rPr>
        <w:t xml:space="preserve"> que representarán las autorizaciones específicas del presupuesto, las cuales se encuentran contenidas en </w:t>
      </w:r>
      <w:r w:rsidRPr="00B05A03">
        <w:rPr>
          <w:rFonts w:ascii="Palatino Linotype" w:eastAsia="Palatino Linotype" w:hAnsi="Palatino Linotype" w:cs="Palatino Linotype"/>
          <w:i/>
        </w:rPr>
        <w:t>el clasificador por objeto de gasto</w:t>
      </w:r>
      <w:r w:rsidRPr="00B05A03">
        <w:rPr>
          <w:rFonts w:ascii="Palatino Linotype" w:eastAsia="Palatino Linotype" w:hAnsi="Palatino Linotype" w:cs="Palatino Linotype"/>
        </w:rPr>
        <w:t xml:space="preserve"> que debe emitir la Tesorería, mismo que debe guardar congruencia con el clasificador que emita el Consejo Nacional de Armonización Contable y el Consejo de Armonización Contable del Estado de México, a saber:</w:t>
      </w:r>
    </w:p>
    <w:p w14:paraId="0C73F2A6"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Artículo 293</w:t>
      </w:r>
      <w:r w:rsidRPr="00B05A03">
        <w:rPr>
          <w:rFonts w:ascii="Palatino Linotype" w:eastAsia="Palatino Linotype" w:hAnsi="Palatino Linotype" w:cs="Palatino Linotype"/>
          <w:i/>
          <w:sz w:val="22"/>
          <w:szCs w:val="22"/>
        </w:rPr>
        <w:t xml:space="preserve">.- </w:t>
      </w:r>
      <w:r w:rsidRPr="00B05A03">
        <w:rPr>
          <w:rFonts w:ascii="Palatino Linotype" w:eastAsia="Palatino Linotype" w:hAnsi="Palatino Linotype" w:cs="Palatino Linotype"/>
          <w:b/>
          <w:i/>
          <w:sz w:val="22"/>
          <w:szCs w:val="22"/>
        </w:rPr>
        <w:t xml:space="preserve">Los capítulos de gasto se dividirán en </w:t>
      </w:r>
      <w:r w:rsidRPr="00B05A03">
        <w:rPr>
          <w:rFonts w:ascii="Palatino Linotype" w:eastAsia="Palatino Linotype" w:hAnsi="Palatino Linotype" w:cs="Palatino Linotype"/>
          <w:b/>
          <w:i/>
          <w:sz w:val="22"/>
          <w:szCs w:val="22"/>
          <w:u w:val="single"/>
        </w:rPr>
        <w:t>concepto, partida genérica y partida específica</w:t>
      </w:r>
      <w:r w:rsidRPr="00B05A03">
        <w:rPr>
          <w:rFonts w:ascii="Palatino Linotype" w:eastAsia="Palatino Linotype" w:hAnsi="Palatino Linotype" w:cs="Palatino Linotype"/>
          <w:i/>
          <w:sz w:val="22"/>
          <w:szCs w:val="22"/>
        </w:rPr>
        <w:t xml:space="preserve">,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573073AA"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lastRenderedPageBreak/>
        <w:t>En el caso de los municipios,</w:t>
      </w:r>
      <w:r w:rsidRPr="00B05A03">
        <w:rPr>
          <w:rFonts w:ascii="Palatino Linotype" w:eastAsia="Palatino Linotype" w:hAnsi="Palatino Linotype" w:cs="Palatino Linotype"/>
          <w:b/>
          <w:i/>
          <w:sz w:val="22"/>
          <w:szCs w:val="22"/>
        </w:rPr>
        <w:t xml:space="preserve"> corresponderá a su Tesorería emitir el Clasificador por Objeto del Gasto</w:t>
      </w:r>
      <w:r w:rsidRPr="00B05A03">
        <w:rPr>
          <w:rFonts w:ascii="Palatino Linotype" w:eastAsia="Palatino Linotype" w:hAnsi="Palatino Linotype" w:cs="Palatino Linotype"/>
          <w:i/>
          <w:sz w:val="22"/>
          <w:szCs w:val="22"/>
        </w:rPr>
        <w:t>, el cual deberá guardar congruencia y homogeneidad con el señalado en el párrafo anterior.”</w:t>
      </w:r>
    </w:p>
    <w:p w14:paraId="78D224C9" w14:textId="77777777" w:rsidR="003707B3" w:rsidRPr="00B05A03" w:rsidRDefault="009B445B">
      <w:pPr>
        <w:spacing w:before="280" w:after="28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Con base en lo anterior el </w:t>
      </w:r>
      <w:r w:rsidRPr="00B05A03">
        <w:rPr>
          <w:rFonts w:ascii="Palatino Linotype" w:eastAsia="Palatino Linotype" w:hAnsi="Palatino Linotype" w:cs="Palatino Linotype"/>
          <w:i/>
        </w:rPr>
        <w:t>Clasificador por objeto del gasto,</w:t>
      </w:r>
      <w:r w:rsidRPr="00B05A03">
        <w:rPr>
          <w:rFonts w:ascii="Palatino Linotype" w:eastAsia="Palatino Linotype" w:hAnsi="Palatino Linotype" w:cs="Palatino Linotype"/>
        </w:rPr>
        <w:t xml:space="preserve">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w:t>
      </w:r>
      <w:r w:rsidRPr="00B05A03">
        <w:rPr>
          <w:rFonts w:ascii="Palatino Linotype" w:eastAsia="Palatino Linotype" w:hAnsi="Palatino Linotype" w:cs="Palatino Linotype"/>
          <w:b/>
        </w:rPr>
        <w:t>para que éstos cuenten con un catálogo de partidas presupuestarias que se alinean al Clasificador por Objeto del Gasto autorizado por el CONAC,</w:t>
      </w:r>
      <w:r w:rsidRPr="00B05A03">
        <w:rPr>
          <w:rFonts w:ascii="Palatino Linotype" w:eastAsia="Palatino Linotype" w:hAnsi="Palatino Linotype" w:cs="Palatino Linotype"/>
        </w:rPr>
        <w:t xml:space="preserve"> en la reunión celebrada el 28 de mayo del 2010 y que fue publicado en Gaceta del Gobierno del estado de México No. 118 del 23 de junio de 2010.</w:t>
      </w:r>
    </w:p>
    <w:p w14:paraId="30DA1FAB" w14:textId="77777777" w:rsidR="003707B3" w:rsidRPr="00B05A03" w:rsidRDefault="009B445B">
      <w:pPr>
        <w:spacing w:before="280" w:after="28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3AFDA549" w14:textId="77777777" w:rsidR="003707B3" w:rsidRPr="00B05A03" w:rsidRDefault="009B445B">
      <w:pPr>
        <w:numPr>
          <w:ilvl w:val="0"/>
          <w:numId w:val="6"/>
        </w:numPr>
        <w:pBdr>
          <w:top w:val="nil"/>
          <w:left w:val="nil"/>
          <w:bottom w:val="nil"/>
          <w:right w:val="nil"/>
          <w:between w:val="nil"/>
        </w:pBdr>
        <w:spacing w:before="28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Ofrecer información valiosa de la demanda de bienes y servicios que realiza el Sector Público.</w:t>
      </w:r>
    </w:p>
    <w:p w14:paraId="2FBAA3E8" w14:textId="77777777" w:rsidR="003707B3" w:rsidRPr="00B05A03" w:rsidRDefault="009B445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Permite identificar con claridad y transparencia los bienes y servicios que se adquieren, las transferencias que se realizan y las aplicaciones previstas en el presupuesto.</w:t>
      </w:r>
    </w:p>
    <w:p w14:paraId="262ED293" w14:textId="77777777" w:rsidR="003707B3" w:rsidRPr="00B05A03" w:rsidRDefault="009B445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Facilitar la programación de las adquisiciones de bienes y servicios y otras acciones relacionadas con administración de bienes del Estado.</w:t>
      </w:r>
    </w:p>
    <w:p w14:paraId="6D511C54" w14:textId="77777777" w:rsidR="003707B3" w:rsidRPr="00B05A03" w:rsidRDefault="009B445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En el marco del sistema de cuentas gubernamentales, integradas e interrelacionadas, el Clasificador por Objeto del Gasto es uno de los principales elementos para obtener clasificaciones agregadas.</w:t>
      </w:r>
    </w:p>
    <w:p w14:paraId="5BB8B4EE" w14:textId="77777777" w:rsidR="003707B3" w:rsidRPr="00B05A03" w:rsidRDefault="009B445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Facilitar el ejercicio del control interno y externo de las transacciones de los entes públicos.</w:t>
      </w:r>
    </w:p>
    <w:p w14:paraId="5801F663" w14:textId="77777777" w:rsidR="003707B3" w:rsidRPr="00B05A03" w:rsidRDefault="009B445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Promover el desarrollo y aplicación de los sistemas de programación y gestión del gasto público.</w:t>
      </w:r>
    </w:p>
    <w:p w14:paraId="5E560B54" w14:textId="77777777" w:rsidR="003707B3" w:rsidRPr="00B05A03" w:rsidRDefault="009B445B">
      <w:pPr>
        <w:numPr>
          <w:ilvl w:val="0"/>
          <w:numId w:val="6"/>
        </w:numPr>
        <w:pBdr>
          <w:top w:val="nil"/>
          <w:left w:val="nil"/>
          <w:bottom w:val="nil"/>
          <w:right w:val="nil"/>
          <w:between w:val="nil"/>
        </w:pBdr>
        <w:spacing w:after="28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Permitir el análisis de los efectos del gasto público y la proyección del mismo.</w:t>
      </w:r>
    </w:p>
    <w:p w14:paraId="25FD8DC7"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Asimismo, cabe señalar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 es de observancia obligatoria para las dependencias, entidades públicas y los Municipios, por lo que para la integración de la clave presupuestaria debe considerarse el Clasificador.</w:t>
      </w:r>
    </w:p>
    <w:p w14:paraId="0B34D33A"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 xml:space="preserve">Consecuentemente para identificar el gasto público por su naturaleza económica, durante el proceso de programación e integración del Anteproyecto de Presupuesto, así como para su ejercicio, </w:t>
      </w:r>
      <w:r w:rsidRPr="00B05A03">
        <w:rPr>
          <w:rFonts w:ascii="Palatino Linotype" w:eastAsia="Palatino Linotype" w:hAnsi="Palatino Linotype" w:cs="Palatino Linotype"/>
          <w:b/>
        </w:rPr>
        <w:t xml:space="preserve">las unidades ejecutoras deben </w:t>
      </w:r>
      <w:r w:rsidRPr="00B05A03">
        <w:rPr>
          <w:rFonts w:ascii="Palatino Linotype" w:eastAsia="Palatino Linotype" w:hAnsi="Palatino Linotype" w:cs="Palatino Linotype"/>
          <w:b/>
          <w:u w:val="single"/>
        </w:rPr>
        <w:t>establecer el vínculo</w:t>
      </w:r>
      <w:r w:rsidRPr="00B05A03">
        <w:rPr>
          <w:rFonts w:ascii="Palatino Linotype" w:eastAsia="Palatino Linotype" w:hAnsi="Palatino Linotype" w:cs="Palatino Linotype"/>
          <w:b/>
        </w:rPr>
        <w:t>, por capítulo, subcapítulo, partida de gasto genérica y partida de gasto específica,</w:t>
      </w:r>
      <w:r w:rsidRPr="00B05A03">
        <w:rPr>
          <w:rFonts w:ascii="Palatino Linotype" w:eastAsia="Palatino Linotype" w:hAnsi="Palatino Linotype" w:cs="Palatino Linotype"/>
        </w:rPr>
        <w:t xml:space="preserve"> con el componente de la </w:t>
      </w:r>
      <w:r w:rsidRPr="00B05A03">
        <w:rPr>
          <w:rFonts w:ascii="Palatino Linotype" w:eastAsia="Palatino Linotype" w:hAnsi="Palatino Linotype" w:cs="Palatino Linotype"/>
          <w:b/>
          <w:u w:val="single"/>
        </w:rPr>
        <w:t>clave presupuestaria</w:t>
      </w:r>
      <w:r w:rsidRPr="00B05A03">
        <w:rPr>
          <w:rFonts w:ascii="Palatino Linotype" w:eastAsia="Palatino Linotype" w:hAnsi="Palatino Linotype" w:cs="Palatino Linotype"/>
        </w:rPr>
        <w:t xml:space="preserve"> correspondiente.</w:t>
      </w:r>
    </w:p>
    <w:p w14:paraId="049819F0"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Para tal efecto, el Manual para la Planeación, Programación y Presupuesto de Egresos Municipal para el Ejercicio Fiscal 2022</w:t>
      </w:r>
      <w:r w:rsidRPr="00B05A03">
        <w:rPr>
          <w:rFonts w:ascii="Palatino Linotype" w:eastAsia="Palatino Linotype" w:hAnsi="Palatino Linotype" w:cs="Palatino Linotype"/>
          <w:vertAlign w:val="superscript"/>
        </w:rPr>
        <w:footnoteReference w:id="1"/>
      </w:r>
      <w:r w:rsidRPr="00B05A03">
        <w:rPr>
          <w:rFonts w:ascii="Palatino Linotype" w:eastAsia="Palatino Linotype" w:hAnsi="Palatino Linotype" w:cs="Palatino Linotype"/>
        </w:rPr>
        <w:t>, 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5A27B2B3" w14:textId="77777777" w:rsidR="003707B3" w:rsidRPr="00B05A03" w:rsidRDefault="009B445B">
      <w:pPr>
        <w:spacing w:before="280" w:after="28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3FFF64CE"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noProof/>
        </w:rPr>
        <w:lastRenderedPageBreak/>
        <w:drawing>
          <wp:inline distT="0" distB="0" distL="0" distR="0" wp14:anchorId="2AF5DBAC" wp14:editId="34F90EA8">
            <wp:extent cx="5610225" cy="93345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610225" cy="933450"/>
                    </a:xfrm>
                    <a:prstGeom prst="rect">
                      <a:avLst/>
                    </a:prstGeom>
                    <a:ln/>
                  </pic:spPr>
                </pic:pic>
              </a:graphicData>
            </a:graphic>
          </wp:inline>
        </w:drawing>
      </w:r>
    </w:p>
    <w:p w14:paraId="43CAFC44" w14:textId="77777777" w:rsidR="003707B3" w:rsidRPr="00B05A03" w:rsidRDefault="009B445B">
      <w:pPr>
        <w:spacing w:before="280" w:after="28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Debiendo definir cada una de las partes que lo integran como sigue:</w:t>
      </w:r>
    </w:p>
    <w:p w14:paraId="5D3C96D7" w14:textId="77777777" w:rsidR="003707B3" w:rsidRPr="00B05A03" w:rsidRDefault="009B445B">
      <w:pPr>
        <w:numPr>
          <w:ilvl w:val="0"/>
          <w:numId w:val="4"/>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B05A03">
        <w:rPr>
          <w:rFonts w:ascii="Palatino Linotype" w:eastAsia="Palatino Linotype" w:hAnsi="Palatino Linotype" w:cs="Palatino Linotype"/>
          <w:b/>
        </w:rPr>
        <w:t>Capítulo:</w:t>
      </w:r>
      <w:r w:rsidRPr="00B05A03">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7873A3A6" w14:textId="77777777" w:rsidR="003707B3" w:rsidRPr="00B05A03" w:rsidRDefault="009B445B">
      <w:pPr>
        <w:numPr>
          <w:ilvl w:val="0"/>
          <w:numId w:val="4"/>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B05A03">
        <w:rPr>
          <w:rFonts w:ascii="Palatino Linotype" w:eastAsia="Palatino Linotype" w:hAnsi="Palatino Linotype" w:cs="Palatino Linotype"/>
          <w:b/>
        </w:rPr>
        <w:t>Concepto:</w:t>
      </w:r>
      <w:r w:rsidRPr="00B05A03">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075A0694" w14:textId="77777777" w:rsidR="003707B3" w:rsidRPr="00B05A03" w:rsidRDefault="009B445B">
      <w:pPr>
        <w:numPr>
          <w:ilvl w:val="0"/>
          <w:numId w:val="4"/>
        </w:numPr>
        <w:pBdr>
          <w:top w:val="nil"/>
          <w:left w:val="nil"/>
          <w:bottom w:val="nil"/>
          <w:right w:val="nil"/>
          <w:between w:val="nil"/>
        </w:pBdr>
        <w:spacing w:before="120" w:after="120" w:line="360" w:lineRule="auto"/>
        <w:ind w:hanging="357"/>
        <w:jc w:val="both"/>
        <w:rPr>
          <w:rFonts w:ascii="Palatino Linotype" w:eastAsia="Palatino Linotype" w:hAnsi="Palatino Linotype" w:cs="Palatino Linotype"/>
        </w:rPr>
      </w:pPr>
      <w:r w:rsidRPr="00B05A03">
        <w:rPr>
          <w:rFonts w:ascii="Palatino Linotype" w:eastAsia="Palatino Linotype" w:hAnsi="Palatino Linotype" w:cs="Palatino Linotype"/>
          <w:b/>
        </w:rPr>
        <w:t>Partida:</w:t>
      </w:r>
      <w:r w:rsidRPr="00B05A03">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23BB0534" w14:textId="77777777" w:rsidR="003707B3" w:rsidRPr="00B05A03" w:rsidRDefault="009B445B">
      <w:pPr>
        <w:numPr>
          <w:ilvl w:val="0"/>
          <w:numId w:val="5"/>
        </w:numPr>
        <w:pBdr>
          <w:top w:val="nil"/>
          <w:left w:val="nil"/>
          <w:bottom w:val="nil"/>
          <w:right w:val="nil"/>
          <w:between w:val="nil"/>
        </w:pBdr>
        <w:spacing w:before="12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b/>
        </w:rPr>
        <w:t>La Partida Genérica</w:t>
      </w:r>
      <w:r w:rsidRPr="00B05A03">
        <w:rPr>
          <w:rFonts w:ascii="Palatino Linotype" w:eastAsia="Palatino Linotype" w:hAnsi="Palatino Linotype" w:cs="Palatino Linotype"/>
        </w:rPr>
        <w:t xml:space="preserve"> se refiere al tercer dígito, el cual logrará la armonización a todos los niveles de gobierno.</w:t>
      </w:r>
    </w:p>
    <w:p w14:paraId="58C36086" w14:textId="77777777" w:rsidR="003707B3" w:rsidRPr="00B05A03" w:rsidRDefault="009B445B">
      <w:pPr>
        <w:numPr>
          <w:ilvl w:val="0"/>
          <w:numId w:val="5"/>
        </w:numPr>
        <w:pBdr>
          <w:top w:val="nil"/>
          <w:left w:val="nil"/>
          <w:bottom w:val="nil"/>
          <w:right w:val="nil"/>
          <w:between w:val="nil"/>
        </w:pBdr>
        <w:spacing w:after="120" w:line="360" w:lineRule="auto"/>
        <w:ind w:hanging="357"/>
        <w:jc w:val="both"/>
        <w:rPr>
          <w:rFonts w:ascii="Palatino Linotype" w:eastAsia="Palatino Linotype" w:hAnsi="Palatino Linotype" w:cs="Palatino Linotype"/>
        </w:rPr>
      </w:pPr>
      <w:r w:rsidRPr="00B05A03">
        <w:rPr>
          <w:rFonts w:ascii="Palatino Linotype" w:eastAsia="Palatino Linotype" w:hAnsi="Palatino Linotype" w:cs="Palatino Linotype"/>
          <w:b/>
        </w:rPr>
        <w:t>La Partida Específica</w:t>
      </w:r>
      <w:r w:rsidRPr="00B05A03">
        <w:rPr>
          <w:rFonts w:ascii="Palatino Linotype" w:eastAsia="Palatino Linotype" w:hAnsi="Palatino Linotype" w:cs="Palatino Linotype"/>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5A5ADD34"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 xml:space="preserve">De acuerdo con este nivel de desagregación del Clasificador por Objeto del Gasto Estatal y Municipal, la definición de los Capítulos de gasto es la siguiente: </w:t>
      </w:r>
    </w:p>
    <w:p w14:paraId="6AE4FCA3" w14:textId="77777777" w:rsidR="003707B3" w:rsidRPr="00B05A03" w:rsidRDefault="009B445B">
      <w:pPr>
        <w:spacing w:before="240" w:after="240"/>
        <w:ind w:left="426" w:right="49"/>
        <w:jc w:val="both"/>
        <w:rPr>
          <w:rFonts w:ascii="Palatino Linotype" w:eastAsia="Palatino Linotype" w:hAnsi="Palatino Linotype" w:cs="Palatino Linotype"/>
        </w:rPr>
      </w:pPr>
      <w:r w:rsidRPr="00B05A03">
        <w:rPr>
          <w:rFonts w:ascii="Palatino Linotype" w:eastAsia="Palatino Linotype" w:hAnsi="Palatino Linotype" w:cs="Palatino Linotype"/>
          <w:b/>
        </w:rPr>
        <w:t>1000 SERVICIOS PERSONALES.</w:t>
      </w:r>
      <w:r w:rsidRPr="00B05A03">
        <w:rPr>
          <w:rFonts w:ascii="Palatino Linotype" w:eastAsia="Palatino Linotype" w:hAnsi="Palatino Linotype" w:cs="Palatino Linotype"/>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6DBCF6DE" w14:textId="77777777" w:rsidR="003707B3" w:rsidRPr="00B05A03" w:rsidRDefault="009B445B">
      <w:pPr>
        <w:spacing w:before="240" w:after="240"/>
        <w:ind w:left="426" w:right="49"/>
        <w:jc w:val="both"/>
        <w:rPr>
          <w:rFonts w:ascii="Palatino Linotype" w:eastAsia="Palatino Linotype" w:hAnsi="Palatino Linotype" w:cs="Palatino Linotype"/>
        </w:rPr>
      </w:pPr>
      <w:r w:rsidRPr="00B05A03">
        <w:rPr>
          <w:rFonts w:ascii="Palatino Linotype" w:eastAsia="Palatino Linotype" w:hAnsi="Palatino Linotype" w:cs="Palatino Linotype"/>
          <w:b/>
        </w:rPr>
        <w:t>2000 MATERIALES Y SUMINISTROS</w:t>
      </w:r>
      <w:r w:rsidRPr="00B05A03">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 </w:t>
      </w:r>
    </w:p>
    <w:p w14:paraId="05579405" w14:textId="77777777" w:rsidR="003707B3" w:rsidRPr="00B05A03" w:rsidRDefault="009B445B">
      <w:pPr>
        <w:spacing w:before="240" w:after="240"/>
        <w:ind w:left="426" w:right="49"/>
        <w:jc w:val="both"/>
        <w:rPr>
          <w:rFonts w:ascii="Palatino Linotype" w:eastAsia="Palatino Linotype" w:hAnsi="Palatino Linotype" w:cs="Palatino Linotype"/>
          <w:b/>
          <w:i/>
        </w:rPr>
      </w:pPr>
      <w:r w:rsidRPr="00B05A03">
        <w:rPr>
          <w:rFonts w:ascii="Palatino Linotype" w:eastAsia="Palatino Linotype" w:hAnsi="Palatino Linotype" w:cs="Palatino Linotype"/>
          <w:b/>
        </w:rPr>
        <w:t>3000 SERVICIOS GENERALES</w:t>
      </w:r>
      <w:r w:rsidRPr="00B05A03">
        <w:rPr>
          <w:rFonts w:ascii="Palatino Linotype" w:eastAsia="Palatino Linotype" w:hAnsi="Palatino Linotype" w:cs="Palatino Linotype"/>
          <w:b/>
          <w:i/>
        </w:rPr>
        <w:t xml:space="preserve">. </w:t>
      </w:r>
      <w:r w:rsidRPr="00B05A03">
        <w:rPr>
          <w:rFonts w:ascii="Palatino Linotype" w:eastAsia="Palatino Linotype" w:hAnsi="Palatino Linotype" w:cs="Palatino Linotype"/>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Pr="00B05A03">
        <w:rPr>
          <w:rFonts w:ascii="Palatino Linotype" w:eastAsia="Palatino Linotype" w:hAnsi="Palatino Linotype" w:cs="Palatino Linotype"/>
          <w:b/>
          <w:i/>
        </w:rPr>
        <w:t xml:space="preserve">. </w:t>
      </w:r>
    </w:p>
    <w:p w14:paraId="0BD6308D" w14:textId="77777777" w:rsidR="003707B3" w:rsidRPr="00B05A03" w:rsidRDefault="009B445B">
      <w:pPr>
        <w:spacing w:before="240" w:after="240"/>
        <w:ind w:left="426" w:right="49"/>
        <w:jc w:val="both"/>
        <w:rPr>
          <w:rFonts w:ascii="Palatino Linotype" w:eastAsia="Palatino Linotype" w:hAnsi="Palatino Linotype" w:cs="Palatino Linotype"/>
          <w:b/>
          <w:i/>
        </w:rPr>
      </w:pPr>
      <w:r w:rsidRPr="00B05A03">
        <w:rPr>
          <w:rFonts w:ascii="Palatino Linotype" w:eastAsia="Palatino Linotype" w:hAnsi="Palatino Linotype" w:cs="Palatino Linotype"/>
          <w:b/>
        </w:rPr>
        <w:t>4000 TRANSFERENCIAS, ASIGNACIONES, SUBSIDIOS Y OTRAS AYUDAS</w:t>
      </w:r>
      <w:r w:rsidRPr="00B05A03">
        <w:rPr>
          <w:rFonts w:ascii="Palatino Linotype" w:eastAsia="Palatino Linotype" w:hAnsi="Palatino Linotype" w:cs="Palatino Linotype"/>
        </w:rPr>
        <w:t xml:space="preserve">. </w:t>
      </w:r>
      <w:r w:rsidRPr="00B05A03">
        <w:rPr>
          <w:rFonts w:ascii="Palatino Linotype" w:eastAsia="Palatino Linotype" w:hAnsi="Palatino Linotype" w:cs="Palatino Linotype"/>
          <w:b/>
          <w:i/>
        </w:rPr>
        <w:t>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3311558F" w14:textId="77777777" w:rsidR="003707B3" w:rsidRPr="00B05A03" w:rsidRDefault="009B445B">
      <w:pPr>
        <w:spacing w:before="240" w:after="240"/>
        <w:ind w:left="426" w:right="49"/>
        <w:jc w:val="both"/>
        <w:rPr>
          <w:rFonts w:ascii="Palatino Linotype" w:eastAsia="Palatino Linotype" w:hAnsi="Palatino Linotype" w:cs="Palatino Linotype"/>
        </w:rPr>
      </w:pPr>
      <w:r w:rsidRPr="00B05A03">
        <w:rPr>
          <w:rFonts w:ascii="Palatino Linotype" w:eastAsia="Palatino Linotype" w:hAnsi="Palatino Linotype" w:cs="Palatino Linotype"/>
          <w:b/>
        </w:rPr>
        <w:t>5000 BIENES MUEBLES, INMUEBLES E INTANGIBLES</w:t>
      </w:r>
      <w:r w:rsidRPr="00B05A03">
        <w:rPr>
          <w:rFonts w:ascii="Palatino Linotype" w:eastAsia="Palatino Linotype" w:hAnsi="Palatino Linotype" w:cs="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3B0C1B9A" w14:textId="77777777" w:rsidR="003707B3" w:rsidRPr="00B05A03" w:rsidRDefault="009B445B">
      <w:pPr>
        <w:spacing w:before="240" w:after="240"/>
        <w:ind w:left="426" w:right="49"/>
        <w:jc w:val="both"/>
        <w:rPr>
          <w:rFonts w:ascii="Palatino Linotype" w:eastAsia="Palatino Linotype" w:hAnsi="Palatino Linotype" w:cs="Palatino Linotype"/>
        </w:rPr>
      </w:pPr>
      <w:r w:rsidRPr="00B05A03">
        <w:rPr>
          <w:rFonts w:ascii="Palatino Linotype" w:eastAsia="Palatino Linotype" w:hAnsi="Palatino Linotype" w:cs="Palatino Linotype"/>
          <w:b/>
        </w:rPr>
        <w:t>6000 INVERSIÓN PÚBLICA.</w:t>
      </w:r>
      <w:r w:rsidRPr="00B05A03">
        <w:rPr>
          <w:rFonts w:ascii="Palatino Linotype" w:eastAsia="Palatino Linotype" w:hAnsi="Palatino Linotype" w:cs="Palatino Linotype"/>
        </w:rPr>
        <w:t xml:space="preserve"> Asignaciones destinadas a obras por contrato y proyectos productivos y acciones de fomento. Incluye los gastos en estudios de pre‐inversión y preparación del proyecto. </w:t>
      </w:r>
    </w:p>
    <w:p w14:paraId="5A8BB5D1" w14:textId="77777777" w:rsidR="003707B3" w:rsidRPr="00B05A03" w:rsidRDefault="009B445B">
      <w:pPr>
        <w:spacing w:before="240" w:after="240"/>
        <w:ind w:left="426" w:right="49"/>
        <w:jc w:val="both"/>
        <w:rPr>
          <w:rFonts w:ascii="Palatino Linotype" w:eastAsia="Palatino Linotype" w:hAnsi="Palatino Linotype" w:cs="Palatino Linotype"/>
        </w:rPr>
      </w:pPr>
      <w:r w:rsidRPr="00B05A03">
        <w:rPr>
          <w:rFonts w:ascii="Palatino Linotype" w:eastAsia="Palatino Linotype" w:hAnsi="Palatino Linotype" w:cs="Palatino Linotype"/>
          <w:b/>
        </w:rPr>
        <w:lastRenderedPageBreak/>
        <w:t>7000 INVERSIONES FINANCIERAS Y OTRAS PROVISIONES</w:t>
      </w:r>
      <w:r w:rsidRPr="00B05A03">
        <w:rPr>
          <w:rFonts w:ascii="Palatino Linotype" w:eastAsia="Palatino Linotype" w:hAnsi="Palatino Linotype" w:cs="Palatino Linotype"/>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3CCAE8B8" w14:textId="77777777" w:rsidR="003707B3" w:rsidRPr="00B05A03" w:rsidRDefault="009B445B">
      <w:pPr>
        <w:spacing w:before="240" w:after="240"/>
        <w:ind w:left="426" w:right="49"/>
        <w:jc w:val="both"/>
        <w:rPr>
          <w:rFonts w:ascii="Palatino Linotype" w:eastAsia="Palatino Linotype" w:hAnsi="Palatino Linotype" w:cs="Palatino Linotype"/>
        </w:rPr>
      </w:pPr>
      <w:r w:rsidRPr="00B05A03">
        <w:rPr>
          <w:rFonts w:ascii="Palatino Linotype" w:eastAsia="Palatino Linotype" w:hAnsi="Palatino Linotype" w:cs="Palatino Linotype"/>
          <w:b/>
        </w:rPr>
        <w:t>8000 PARTICIPACIONES Y APORTACIONES.</w:t>
      </w:r>
      <w:r w:rsidRPr="00B05A03">
        <w:rPr>
          <w:rFonts w:ascii="Palatino Linotype" w:eastAsia="Palatino Linotype" w:hAnsi="Palatino Linotype" w:cs="Palatino Linotype"/>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4F4EB3DC" w14:textId="77777777" w:rsidR="003707B3" w:rsidRPr="00B05A03" w:rsidRDefault="009B445B">
      <w:pPr>
        <w:spacing w:before="240" w:after="240"/>
        <w:ind w:left="426" w:right="49"/>
        <w:jc w:val="both"/>
        <w:rPr>
          <w:rFonts w:ascii="Palatino Linotype" w:eastAsia="Palatino Linotype" w:hAnsi="Palatino Linotype" w:cs="Palatino Linotype"/>
        </w:rPr>
      </w:pPr>
      <w:r w:rsidRPr="00B05A03">
        <w:rPr>
          <w:rFonts w:ascii="Palatino Linotype" w:eastAsia="Palatino Linotype" w:hAnsi="Palatino Linotype" w:cs="Palatino Linotype"/>
          <w:b/>
        </w:rPr>
        <w:t>9000 DEUDA PÚBLICA</w:t>
      </w:r>
      <w:r w:rsidRPr="00B05A03">
        <w:rPr>
          <w:rFonts w:ascii="Palatino Linotype" w:eastAsia="Palatino Linotype" w:hAnsi="Palatino Linotype" w:cs="Palatino Linotype"/>
        </w:rPr>
        <w:t xml:space="preserve">.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1956D0AC"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De igual forma, los propósitos del referido Manual establecen que los ayuntamientos y sus organismos descentralizados, a través de la aplicación de los recursos públicos, operan el programa anual mediante la clasificación funcional-programática para ser identificable y así dar un seguimiento y evaluación respectiva, lo que se transcribe en seguida para mejor entendimiento:</w:t>
      </w:r>
    </w:p>
    <w:p w14:paraId="3290107B" w14:textId="77777777" w:rsidR="003707B3" w:rsidRPr="00B05A03" w:rsidRDefault="009B445B">
      <w:pPr>
        <w:ind w:left="567" w:right="616"/>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“En el segundo capítulo se describe la Clasificación Funcional-</w:t>
      </w:r>
      <w:r w:rsidRPr="00B05A03">
        <w:rPr>
          <w:rFonts w:ascii="Palatino Linotype" w:eastAsia="Palatino Linotype" w:hAnsi="Palatino Linotype" w:cs="Palatino Linotype"/>
          <w:b/>
          <w:i/>
          <w:sz w:val="22"/>
          <w:szCs w:val="22"/>
        </w:rPr>
        <w:t xml:space="preserve">Programática (estructura programática) Municipal con la que han de </w:t>
      </w:r>
      <w:r w:rsidRPr="00B05A03">
        <w:rPr>
          <w:rFonts w:ascii="Palatino Linotype" w:eastAsia="Palatino Linotype" w:hAnsi="Palatino Linotype" w:cs="Palatino Linotype"/>
          <w:b/>
          <w:i/>
          <w:sz w:val="22"/>
          <w:szCs w:val="22"/>
          <w:u w:val="single"/>
        </w:rPr>
        <w:t>operar</w:t>
      </w:r>
      <w:r w:rsidRPr="00B05A03">
        <w:rPr>
          <w:rFonts w:ascii="Palatino Linotype" w:eastAsia="Palatino Linotype" w:hAnsi="Palatino Linotype" w:cs="Palatino Linotype"/>
          <w:i/>
          <w:sz w:val="22"/>
          <w:szCs w:val="22"/>
        </w:rPr>
        <w:t xml:space="preserve"> </w:t>
      </w:r>
      <w:r w:rsidRPr="00B05A03">
        <w:rPr>
          <w:rFonts w:ascii="Palatino Linotype" w:eastAsia="Palatino Linotype" w:hAnsi="Palatino Linotype" w:cs="Palatino Linotype"/>
          <w:b/>
          <w:i/>
          <w:sz w:val="22"/>
          <w:szCs w:val="22"/>
        </w:rPr>
        <w:t>los Ayuntamientos</w:t>
      </w:r>
      <w:r w:rsidRPr="00B05A03">
        <w:rPr>
          <w:rFonts w:ascii="Palatino Linotype" w:eastAsia="Palatino Linotype" w:hAnsi="Palatino Linotype" w:cs="Palatino Linotype"/>
          <w:i/>
          <w:sz w:val="22"/>
          <w:szCs w:val="22"/>
        </w:rPr>
        <w:t xml:space="preserve">, misma que se define como un instrumento fundamental para la planeación, programación, elaboración del presupuesto, </w:t>
      </w:r>
      <w:r w:rsidRPr="00B05A03">
        <w:rPr>
          <w:rFonts w:ascii="Palatino Linotype" w:eastAsia="Palatino Linotype" w:hAnsi="Palatino Linotype" w:cs="Palatino Linotype"/>
          <w:b/>
          <w:i/>
          <w:sz w:val="22"/>
          <w:szCs w:val="22"/>
        </w:rPr>
        <w:t>seguimiento y evaluación</w:t>
      </w:r>
      <w:r w:rsidRPr="00B05A03">
        <w:rPr>
          <w:rFonts w:ascii="Palatino Linotype" w:eastAsia="Palatino Linotype" w:hAnsi="Palatino Linotype" w:cs="Palatino Linotype"/>
          <w:i/>
          <w:sz w:val="22"/>
          <w:szCs w:val="22"/>
        </w:rPr>
        <w:t xml:space="preserve"> del desempeño. La aplicación de los recursos apoya a la identificación y vinculación que el presupuesto tiene con otros elementos </w:t>
      </w:r>
      <w:r w:rsidRPr="00B05A03">
        <w:rPr>
          <w:rFonts w:ascii="Palatino Linotype" w:eastAsia="Palatino Linotype" w:hAnsi="Palatino Linotype" w:cs="Palatino Linotype"/>
          <w:b/>
          <w:i/>
          <w:sz w:val="22"/>
          <w:szCs w:val="22"/>
        </w:rPr>
        <w:t>de la planeación municipal</w:t>
      </w:r>
      <w:r w:rsidRPr="00B05A03">
        <w:rPr>
          <w:rFonts w:ascii="Palatino Linotype" w:eastAsia="Palatino Linotype" w:hAnsi="Palatino Linotype" w:cs="Palatino Linotype"/>
          <w:i/>
          <w:sz w:val="22"/>
          <w:szCs w:val="22"/>
        </w:rPr>
        <w:t xml:space="preserve">, como son el Plan </w:t>
      </w:r>
      <w:r w:rsidRPr="00B05A03">
        <w:rPr>
          <w:rFonts w:ascii="Palatino Linotype" w:eastAsia="Palatino Linotype" w:hAnsi="Palatino Linotype" w:cs="Palatino Linotype"/>
          <w:i/>
          <w:sz w:val="22"/>
          <w:szCs w:val="22"/>
        </w:rPr>
        <w:lastRenderedPageBreak/>
        <w:t>de Desarrollo Municipal y el Programa Anual, donde se derivan los componentes de la estructura programática municipal” (Sic)</w:t>
      </w:r>
    </w:p>
    <w:p w14:paraId="5BD508C9"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Las categorías programáticas se integran por seis diferentes niveles de agrupación, según lo previsto en el “Acuerdo por el que se emite la Clasificación Funcional del Gasto”. </w:t>
      </w:r>
    </w:p>
    <w:p w14:paraId="16BEF983"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En el Estado de México, la Clasificación Funcional del Gasto armonizada está estructurada en 4 finalidades identificadas por el primer par de dígitos de la clasificación de 28 funciones identificadas por el segundo par de dígitos, 111 </w:t>
      </w:r>
      <w:proofErr w:type="spellStart"/>
      <w:r w:rsidRPr="00B05A03">
        <w:rPr>
          <w:rFonts w:ascii="Palatino Linotype" w:eastAsia="Palatino Linotype" w:hAnsi="Palatino Linotype" w:cs="Palatino Linotype"/>
        </w:rPr>
        <w:t>subfunciones</w:t>
      </w:r>
      <w:proofErr w:type="spellEnd"/>
      <w:r w:rsidRPr="00B05A03">
        <w:rPr>
          <w:rFonts w:ascii="Palatino Linotype" w:eastAsia="Palatino Linotype" w:hAnsi="Palatino Linotype" w:cs="Palatino Linotype"/>
        </w:rPr>
        <w:t xml:space="preserve"> correspondientes al tercer par de dígitos, 74 Programas presupuestarios que se identifican con el cuarto par, 107 subprogramas, el quinto par y 192 proyectos que pueden visualizarse en el sexto par, como se ilustra a continuación:</w:t>
      </w:r>
    </w:p>
    <w:p w14:paraId="3776DF0C"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noProof/>
        </w:rPr>
        <w:drawing>
          <wp:inline distT="0" distB="0" distL="0" distR="0" wp14:anchorId="51B40D36" wp14:editId="036BA3B7">
            <wp:extent cx="5610225" cy="3305175"/>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610225" cy="3305175"/>
                    </a:xfrm>
                    <a:prstGeom prst="rect">
                      <a:avLst/>
                    </a:prstGeom>
                    <a:ln/>
                  </pic:spPr>
                </pic:pic>
              </a:graphicData>
            </a:graphic>
          </wp:inline>
        </w:drawing>
      </w:r>
    </w:p>
    <w:p w14:paraId="66579BA2"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La totalidad de categorías que integrarán la Estructura Programática son:</w:t>
      </w:r>
    </w:p>
    <w:p w14:paraId="49FA929B" w14:textId="77777777" w:rsidR="003707B3" w:rsidRPr="00B05A03" w:rsidRDefault="009B445B">
      <w:pPr>
        <w:numPr>
          <w:ilvl w:val="0"/>
          <w:numId w:val="1"/>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sidRPr="00B05A03">
        <w:rPr>
          <w:rFonts w:ascii="Palatino Linotype" w:eastAsia="Palatino Linotype" w:hAnsi="Palatino Linotype" w:cs="Palatino Linotype"/>
          <w:b/>
        </w:rPr>
        <w:t>Finalidad:</w:t>
      </w:r>
      <w:r w:rsidRPr="00B05A03">
        <w:rPr>
          <w:rFonts w:ascii="Palatino Linotype" w:eastAsia="Palatino Linotype" w:hAnsi="Palatino Linotype" w:cs="Palatino Linotype"/>
        </w:rPr>
        <w:t xml:space="preserve"> agrupa los gastos según los propósitos u objetivos socioeconómicos que persiguen los diferentes entes públicos, es decir que presenta el gasto público según la naturaleza de los servicios gubernamentales brindados a la población, mismas que se dividen en:</w:t>
      </w:r>
    </w:p>
    <w:p w14:paraId="2CD72EB5" w14:textId="77777777" w:rsidR="003707B3" w:rsidRPr="00B05A03" w:rsidRDefault="009B445B">
      <w:pPr>
        <w:numPr>
          <w:ilvl w:val="0"/>
          <w:numId w:val="2"/>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B05A03">
        <w:rPr>
          <w:rFonts w:ascii="Palatino Linotype" w:eastAsia="Palatino Linotype" w:hAnsi="Palatino Linotype" w:cs="Palatino Linotype"/>
        </w:rPr>
        <w:t>1er finalidad “</w:t>
      </w:r>
      <w:r w:rsidRPr="00B05A03">
        <w:rPr>
          <w:rFonts w:ascii="Palatino Linotype" w:eastAsia="Palatino Linotype" w:hAnsi="Palatino Linotype" w:cs="Palatino Linotype"/>
          <w:i/>
        </w:rPr>
        <w:t>Gobierno</w:t>
      </w:r>
      <w:r w:rsidRPr="00B05A03">
        <w:rPr>
          <w:rFonts w:ascii="Palatino Linotype" w:eastAsia="Palatino Linotype" w:hAnsi="Palatino Linotype" w:cs="Palatino Linotype"/>
        </w:rPr>
        <w:t>”: comprende las acciones propias de gobierno.</w:t>
      </w:r>
    </w:p>
    <w:p w14:paraId="5627ACE5" w14:textId="77777777" w:rsidR="003707B3" w:rsidRPr="00B05A03" w:rsidRDefault="009B445B">
      <w:pPr>
        <w:numPr>
          <w:ilvl w:val="0"/>
          <w:numId w:val="2"/>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B05A03">
        <w:rPr>
          <w:rFonts w:ascii="Palatino Linotype" w:eastAsia="Palatino Linotype" w:hAnsi="Palatino Linotype" w:cs="Palatino Linotype"/>
        </w:rPr>
        <w:t>2da finalidad “</w:t>
      </w:r>
      <w:r w:rsidRPr="00B05A03">
        <w:rPr>
          <w:rFonts w:ascii="Palatino Linotype" w:eastAsia="Palatino Linotype" w:hAnsi="Palatino Linotype" w:cs="Palatino Linotype"/>
          <w:i/>
        </w:rPr>
        <w:t>Desarrollo Social</w:t>
      </w:r>
      <w:r w:rsidRPr="00B05A03">
        <w:rPr>
          <w:rFonts w:ascii="Palatino Linotype" w:eastAsia="Palatino Linotype" w:hAnsi="Palatino Linotype" w:cs="Palatino Linotype"/>
        </w:rPr>
        <w:t>”: incluye las actividades relacionadas con la prestación de servicios sociales en beneficio de la población.</w:t>
      </w:r>
    </w:p>
    <w:p w14:paraId="4B20B08C" w14:textId="77777777" w:rsidR="003707B3" w:rsidRPr="00B05A03" w:rsidRDefault="009B445B">
      <w:pPr>
        <w:numPr>
          <w:ilvl w:val="0"/>
          <w:numId w:val="2"/>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B05A03">
        <w:rPr>
          <w:rFonts w:ascii="Palatino Linotype" w:eastAsia="Palatino Linotype" w:hAnsi="Palatino Linotype" w:cs="Palatino Linotype"/>
        </w:rPr>
        <w:t>3er finalidad “</w:t>
      </w:r>
      <w:r w:rsidRPr="00B05A03">
        <w:rPr>
          <w:rFonts w:ascii="Palatino Linotype" w:eastAsia="Palatino Linotype" w:hAnsi="Palatino Linotype" w:cs="Palatino Linotype"/>
          <w:i/>
        </w:rPr>
        <w:t>Desarrollo Económico</w:t>
      </w:r>
      <w:r w:rsidRPr="00B05A03">
        <w:rPr>
          <w:rFonts w:ascii="Palatino Linotype" w:eastAsia="Palatino Linotype" w:hAnsi="Palatino Linotype" w:cs="Palatino Linotype"/>
        </w:rPr>
        <w:t>”: comprende las actividades orientadas al desarrollo económico, fomento de la producción y prestación de bienes y servicios públicos.</w:t>
      </w:r>
    </w:p>
    <w:p w14:paraId="4021BF27" w14:textId="77777777" w:rsidR="003707B3" w:rsidRPr="00B05A03" w:rsidRDefault="009B445B">
      <w:pPr>
        <w:numPr>
          <w:ilvl w:val="0"/>
          <w:numId w:val="2"/>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4ta finalidad </w:t>
      </w:r>
      <w:r w:rsidRPr="00B05A03">
        <w:rPr>
          <w:rFonts w:ascii="Palatino Linotype" w:eastAsia="Palatino Linotype" w:hAnsi="Palatino Linotype" w:cs="Palatino Linotype"/>
          <w:i/>
        </w:rPr>
        <w:t xml:space="preserve">“Otras no clasificadas en funciones anteriores”: </w:t>
      </w:r>
      <w:r w:rsidRPr="00B05A03">
        <w:rPr>
          <w:rFonts w:ascii="Palatino Linotype" w:eastAsia="Palatino Linotype" w:hAnsi="Palatino Linotype" w:cs="Palatino Linotype"/>
        </w:rPr>
        <w:t>comprende los pagos de compromisos inherentes a la contratación de deuda; las transferencias entre diferentes niveles y órdenes de gobierno, así como aquellas actividades no susceptibles de etiquetar en las funciones existentes.</w:t>
      </w:r>
    </w:p>
    <w:p w14:paraId="69AF2244" w14:textId="77777777" w:rsidR="003707B3" w:rsidRPr="00B05A03" w:rsidRDefault="009B445B">
      <w:pPr>
        <w:numPr>
          <w:ilvl w:val="0"/>
          <w:numId w:val="1"/>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sidRPr="00B05A03">
        <w:rPr>
          <w:rFonts w:ascii="Palatino Linotype" w:eastAsia="Palatino Linotype" w:hAnsi="Palatino Linotype" w:cs="Palatino Linotype"/>
          <w:b/>
        </w:rPr>
        <w:t>Función</w:t>
      </w:r>
      <w:r w:rsidRPr="00B05A03">
        <w:rPr>
          <w:rFonts w:ascii="Palatino Linotype" w:eastAsia="Palatino Linotype" w:hAnsi="Palatino Linotype" w:cs="Palatino Linotype"/>
        </w:rPr>
        <w:t>: nivel de agregación del destino de los recursos del sector público, que se identifica con los campos de acción que el marco jurídico le establece al sector público. Tiene por objeto agrupar los gastos del sector público con base en los objetivos de corto, mediano y largo plazo que se persiguen, lo que contribuye al logro de objetivos generales de acción.</w:t>
      </w:r>
    </w:p>
    <w:p w14:paraId="7EC28881" w14:textId="77777777" w:rsidR="003707B3" w:rsidRPr="00B05A03" w:rsidRDefault="009B445B">
      <w:pPr>
        <w:numPr>
          <w:ilvl w:val="0"/>
          <w:numId w:val="1"/>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proofErr w:type="spellStart"/>
      <w:r w:rsidRPr="00B05A03">
        <w:rPr>
          <w:rFonts w:ascii="Palatino Linotype" w:eastAsia="Palatino Linotype" w:hAnsi="Palatino Linotype" w:cs="Palatino Linotype"/>
          <w:b/>
        </w:rPr>
        <w:lastRenderedPageBreak/>
        <w:t>Subfunción</w:t>
      </w:r>
      <w:proofErr w:type="spellEnd"/>
      <w:r w:rsidRPr="00B05A03">
        <w:rPr>
          <w:rFonts w:ascii="Palatino Linotype" w:eastAsia="Palatino Linotype" w:hAnsi="Palatino Linotype" w:cs="Palatino Linotype"/>
          <w:b/>
        </w:rPr>
        <w:t>: c</w:t>
      </w:r>
      <w:r w:rsidRPr="00B05A03">
        <w:rPr>
          <w:rFonts w:ascii="Palatino Linotype" w:eastAsia="Palatino Linotype" w:hAnsi="Palatino Linotype" w:cs="Palatino Linotype"/>
        </w:rPr>
        <w:t>orresponde a un desglose pormenorizado de la Función, para identificar con mayor detalle la participación del sector público. Muestra un conjunto de acciones que persiguen objetivos y metas específicas que favorecen el logro del objetivo de la Función, y comprende por lo general, más de un programa.</w:t>
      </w:r>
    </w:p>
    <w:p w14:paraId="07FBBC18" w14:textId="77777777" w:rsidR="003707B3" w:rsidRPr="00B05A03" w:rsidRDefault="009B445B">
      <w:pPr>
        <w:numPr>
          <w:ilvl w:val="0"/>
          <w:numId w:val="1"/>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B05A03">
        <w:rPr>
          <w:rFonts w:ascii="Palatino Linotype" w:eastAsia="Palatino Linotype" w:hAnsi="Palatino Linotype" w:cs="Palatino Linotype"/>
          <w:b/>
        </w:rPr>
        <w:t xml:space="preserve">Programa: </w:t>
      </w:r>
      <w:r w:rsidRPr="00B05A03">
        <w:rPr>
          <w:rFonts w:ascii="Palatino Linotype" w:eastAsia="Palatino Linotype" w:hAnsi="Palatino Linotype" w:cs="Palatino Linotype"/>
        </w:rPr>
        <w:t>es un conjunto organizado de proyectos agrupados en Subprogramas, que satisfacen un objetivo específico de las dependencias o entidades públicas para alcanzar varias metas.</w:t>
      </w:r>
    </w:p>
    <w:p w14:paraId="5F6BA8AD" w14:textId="77777777" w:rsidR="003707B3" w:rsidRPr="00B05A03" w:rsidRDefault="009B445B">
      <w:pPr>
        <w:numPr>
          <w:ilvl w:val="0"/>
          <w:numId w:val="1"/>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B05A03">
        <w:rPr>
          <w:rFonts w:ascii="Palatino Linotype" w:eastAsia="Palatino Linotype" w:hAnsi="Palatino Linotype" w:cs="Palatino Linotype"/>
          <w:b/>
        </w:rPr>
        <w:t xml:space="preserve">Subprograma: </w:t>
      </w:r>
      <w:r w:rsidRPr="00B05A03">
        <w:rPr>
          <w:rFonts w:ascii="Palatino Linotype" w:eastAsia="Palatino Linotype" w:hAnsi="Palatino Linotype" w:cs="Palatino Linotype"/>
        </w:rPr>
        <w:t>subconjunto del programa que reviste las mismas características y tiene la finalidad de agrupar los proyectos con base en objetivos y metas específicas, que identifican un logro o un beneficio producto del programa.</w:t>
      </w:r>
    </w:p>
    <w:p w14:paraId="4032EB62" w14:textId="77777777" w:rsidR="003707B3" w:rsidRPr="00B05A03" w:rsidRDefault="009B445B">
      <w:pPr>
        <w:numPr>
          <w:ilvl w:val="0"/>
          <w:numId w:val="1"/>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b/>
        </w:rPr>
      </w:pPr>
      <w:r w:rsidRPr="00B05A03">
        <w:rPr>
          <w:rFonts w:ascii="Palatino Linotype" w:eastAsia="Palatino Linotype" w:hAnsi="Palatino Linotype" w:cs="Palatino Linotype"/>
          <w:b/>
        </w:rPr>
        <w:t xml:space="preserve">Proyecto: </w:t>
      </w:r>
      <w:r w:rsidRPr="00B05A03">
        <w:rPr>
          <w:rFonts w:ascii="Palatino Linotype" w:eastAsia="Palatino Linotype" w:hAnsi="Palatino Linotype" w:cs="Palatino Linotype"/>
        </w:rPr>
        <w:t>conjunto de actividades afines y coherentes que responden al logro de los objetivos del Programa y del Subprograma, en el que se definen metas y recursos para cada unidad ejecutora que lo lleva a cabo.</w:t>
      </w:r>
    </w:p>
    <w:p w14:paraId="7C7CF613"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Conforme a lo anterior, se advierte que el presupuesto de egresos, para la clasificación de los gastos debe utilizar como herramienta la estructura programática sugerida por el Acuerdo de clasificación funcional, para lo cual se deben identificar las funciones que tendrán los egresos conforme a la estructura programática propuesta.</w:t>
      </w:r>
    </w:p>
    <w:p w14:paraId="60F9312F"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En ese sentido la clasificación programática tiene por objeto establecer la clasificación de los programas presupuestarios de los entes públicos la cual permitirá organizar las asignaciones de los recursos de forma representativa y homogénea, conforme al siguiente formato:</w:t>
      </w:r>
    </w:p>
    <w:p w14:paraId="52E0C2B2" w14:textId="77777777" w:rsidR="003707B3" w:rsidRPr="00B05A03" w:rsidRDefault="009B445B">
      <w:pPr>
        <w:spacing w:before="360" w:after="360" w:line="360" w:lineRule="auto"/>
        <w:jc w:val="center"/>
        <w:rPr>
          <w:rFonts w:ascii="Palatino Linotype" w:eastAsia="Palatino Linotype" w:hAnsi="Palatino Linotype" w:cs="Palatino Linotype"/>
        </w:rPr>
      </w:pPr>
      <w:r w:rsidRPr="00B05A03">
        <w:rPr>
          <w:rFonts w:ascii="Palatino Linotype" w:eastAsia="Palatino Linotype" w:hAnsi="Palatino Linotype" w:cs="Palatino Linotype"/>
          <w:noProof/>
        </w:rPr>
        <w:drawing>
          <wp:inline distT="0" distB="0" distL="0" distR="0" wp14:anchorId="537467D0" wp14:editId="33BF8994">
            <wp:extent cx="4854673" cy="1519723"/>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4854673" cy="1519723"/>
                    </a:xfrm>
                    <a:prstGeom prst="rect">
                      <a:avLst/>
                    </a:prstGeom>
                    <a:ln/>
                  </pic:spPr>
                </pic:pic>
              </a:graphicData>
            </a:graphic>
          </wp:inline>
        </w:drawing>
      </w:r>
      <w:r w:rsidRPr="00B05A03">
        <w:rPr>
          <w:rFonts w:ascii="Palatino Linotype" w:eastAsia="Palatino Linotype" w:hAnsi="Palatino Linotype" w:cs="Palatino Linotype"/>
          <w:noProof/>
        </w:rPr>
        <w:drawing>
          <wp:inline distT="0" distB="0" distL="0" distR="0" wp14:anchorId="560DC5A3" wp14:editId="6963D401">
            <wp:extent cx="4858222" cy="1425623"/>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4858222" cy="1425623"/>
                    </a:xfrm>
                    <a:prstGeom prst="rect">
                      <a:avLst/>
                    </a:prstGeom>
                    <a:ln/>
                  </pic:spPr>
                </pic:pic>
              </a:graphicData>
            </a:graphic>
          </wp:inline>
        </w:drawing>
      </w:r>
    </w:p>
    <w:p w14:paraId="139A12B7" w14:textId="77777777" w:rsidR="003707B3" w:rsidRPr="00B05A03" w:rsidRDefault="009B445B">
      <w:pPr>
        <w:spacing w:before="360" w:after="36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Estructurándose la referida clasificación de la siguiente forma:</w:t>
      </w:r>
    </w:p>
    <w:p w14:paraId="18CCA71D" w14:textId="77777777" w:rsidR="003707B3" w:rsidRPr="00B05A03" w:rsidRDefault="009B445B">
      <w:pPr>
        <w:spacing w:before="360" w:after="360" w:line="360" w:lineRule="auto"/>
        <w:jc w:val="center"/>
        <w:rPr>
          <w:rFonts w:ascii="Palatino Linotype" w:eastAsia="Palatino Linotype" w:hAnsi="Palatino Linotype" w:cs="Palatino Linotype"/>
        </w:rPr>
      </w:pPr>
      <w:r w:rsidRPr="00B05A03">
        <w:rPr>
          <w:rFonts w:ascii="Palatino Linotype" w:eastAsia="Palatino Linotype" w:hAnsi="Palatino Linotype" w:cs="Palatino Linotype"/>
          <w:noProof/>
        </w:rPr>
        <w:drawing>
          <wp:inline distT="0" distB="0" distL="0" distR="0" wp14:anchorId="35C929BE" wp14:editId="01532FC6">
            <wp:extent cx="5040000" cy="1855161"/>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5040000" cy="1855161"/>
                    </a:xfrm>
                    <a:prstGeom prst="rect">
                      <a:avLst/>
                    </a:prstGeom>
                    <a:ln/>
                  </pic:spPr>
                </pic:pic>
              </a:graphicData>
            </a:graphic>
          </wp:inline>
        </w:drawing>
      </w:r>
    </w:p>
    <w:p w14:paraId="7E33B296" w14:textId="77777777" w:rsidR="003707B3" w:rsidRPr="00B05A03" w:rsidRDefault="009B445B">
      <w:pPr>
        <w:spacing w:before="240" w:after="240" w:line="360" w:lineRule="auto"/>
        <w:jc w:val="both"/>
        <w:rPr>
          <w:rFonts w:ascii="Palatino Linotype" w:eastAsia="Palatino Linotype" w:hAnsi="Palatino Linotype" w:cs="Palatino Linotype"/>
          <w:i/>
        </w:rPr>
      </w:pPr>
      <w:r w:rsidRPr="00B05A03">
        <w:rPr>
          <w:rFonts w:ascii="Palatino Linotype" w:eastAsia="Palatino Linotype" w:hAnsi="Palatino Linotype" w:cs="Palatino Linotype"/>
        </w:rPr>
        <w:lastRenderedPageBreak/>
        <w:t xml:space="preserve">Respecto al tema que nos ocupa, el Manual para la Planeación, Programación y Presupuesto de Egresos contempla el proyecto </w:t>
      </w:r>
      <w:r w:rsidRPr="00B05A03">
        <w:rPr>
          <w:rFonts w:ascii="Palatino Linotype" w:eastAsia="Palatino Linotype" w:hAnsi="Palatino Linotype" w:cs="Palatino Linotype"/>
          <w:i/>
        </w:rPr>
        <w:t xml:space="preserve">Cultura de igualdad y prevención de la violencia de género, </w:t>
      </w:r>
      <w:r w:rsidRPr="00B05A03">
        <w:rPr>
          <w:rFonts w:ascii="Palatino Linotype" w:eastAsia="Palatino Linotype" w:hAnsi="Palatino Linotype" w:cs="Palatino Linotype"/>
        </w:rPr>
        <w:t>cuyo objeto consiste en incorporar las actividades enfocadas a promover, fomentar y consolidar la igualdad de derechos entre hombres y mujeres, a través de valores de convivencia y ayuda mutua, para contribuir a mejorar la situación social, cuya clave programática se integra de la siguiente forma:</w:t>
      </w:r>
    </w:p>
    <w:p w14:paraId="20572765"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noProof/>
        </w:rPr>
        <w:drawing>
          <wp:inline distT="0" distB="0" distL="0" distR="0" wp14:anchorId="6F5C78EC" wp14:editId="4997E634">
            <wp:extent cx="5612130" cy="3365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612130" cy="336550"/>
                    </a:xfrm>
                    <a:prstGeom prst="rect">
                      <a:avLst/>
                    </a:prstGeom>
                    <a:ln/>
                  </pic:spPr>
                </pic:pic>
              </a:graphicData>
            </a:graphic>
          </wp:inline>
        </w:drawing>
      </w:r>
      <w:r w:rsidRPr="00B05A03">
        <w:rPr>
          <w:noProof/>
        </w:rPr>
        <w:drawing>
          <wp:inline distT="0" distB="0" distL="0" distR="0" wp14:anchorId="636730A1" wp14:editId="08C1853B">
            <wp:extent cx="5612130" cy="41465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612130" cy="414655"/>
                    </a:xfrm>
                    <a:prstGeom prst="rect">
                      <a:avLst/>
                    </a:prstGeom>
                    <a:ln/>
                  </pic:spPr>
                </pic:pic>
              </a:graphicData>
            </a:graphic>
          </wp:inline>
        </w:drawing>
      </w:r>
      <w:r w:rsidRPr="00B05A03">
        <w:rPr>
          <w:noProof/>
        </w:rPr>
        <w:drawing>
          <wp:inline distT="0" distB="0" distL="0" distR="0" wp14:anchorId="0320DBC3" wp14:editId="1E9B8B94">
            <wp:extent cx="5612130" cy="27114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612130" cy="271145"/>
                    </a:xfrm>
                    <a:prstGeom prst="rect">
                      <a:avLst/>
                    </a:prstGeom>
                    <a:ln/>
                  </pic:spPr>
                </pic:pic>
              </a:graphicData>
            </a:graphic>
          </wp:inline>
        </w:drawing>
      </w:r>
      <w:r w:rsidRPr="00B05A03">
        <w:rPr>
          <w:noProof/>
        </w:rPr>
        <w:drawing>
          <wp:inline distT="0" distB="0" distL="0" distR="0" wp14:anchorId="50466809" wp14:editId="381205C0">
            <wp:extent cx="5612130" cy="138811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612130" cy="1388110"/>
                    </a:xfrm>
                    <a:prstGeom prst="rect">
                      <a:avLst/>
                    </a:prstGeom>
                    <a:ln/>
                  </pic:spPr>
                </pic:pic>
              </a:graphicData>
            </a:graphic>
          </wp:inline>
        </w:drawing>
      </w:r>
    </w:p>
    <w:p w14:paraId="4A8F0DC1" w14:textId="77777777" w:rsidR="003707B3" w:rsidRPr="00B05A03" w:rsidRDefault="009B445B">
      <w:pPr>
        <w:spacing w:before="240" w:after="240" w:line="360" w:lineRule="auto"/>
        <w:ind w:right="49"/>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Con base en lo expuesto se reitera que para tener por colmada la solicitud de información, el </w:t>
      </w:r>
      <w:r w:rsidRPr="00B05A03">
        <w:rPr>
          <w:rFonts w:ascii="Palatino Linotype" w:eastAsia="Palatino Linotype" w:hAnsi="Palatino Linotype" w:cs="Palatino Linotype"/>
          <w:b/>
        </w:rPr>
        <w:t xml:space="preserve">Sujeto Obligado </w:t>
      </w:r>
      <w:r w:rsidRPr="00B05A03">
        <w:rPr>
          <w:rFonts w:ascii="Palatino Linotype" w:eastAsia="Palatino Linotype" w:hAnsi="Palatino Linotype" w:cs="Palatino Linotype"/>
        </w:rPr>
        <w:t>deberá proporcionar el o los documentos donde conste el presupuesto ejercido en las acciones y metas implementadas por la Coordinación de Atención a la Alerta de Género contra las Mujeres, durante el ejercicio 2022, en atención a la Alerta de Violencia de Genero contra de las Mujeres, al mayor grado de desagregación posible.</w:t>
      </w:r>
    </w:p>
    <w:p w14:paraId="6D0F8A90"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lastRenderedPageBreak/>
        <w:t xml:space="preserve">De lo hasta aquí expuesto, se concluye que los motivos de inconformidad de la parte </w:t>
      </w:r>
      <w:r w:rsidRPr="00B05A03">
        <w:rPr>
          <w:rFonts w:ascii="Palatino Linotype" w:eastAsia="Palatino Linotype" w:hAnsi="Palatino Linotype" w:cs="Palatino Linotype"/>
          <w:b/>
        </w:rPr>
        <w:t xml:space="preserve">Recurrente </w:t>
      </w:r>
      <w:r w:rsidRPr="00B05A03">
        <w:rPr>
          <w:rFonts w:ascii="Palatino Linotype" w:eastAsia="Palatino Linotype" w:hAnsi="Palatino Linotype" w:cs="Palatino Linotype"/>
        </w:rPr>
        <w:t xml:space="preserve">devienen fundados, siendo procedente </w:t>
      </w:r>
      <w:r w:rsidRPr="00B05A03">
        <w:rPr>
          <w:rFonts w:ascii="Palatino Linotype" w:eastAsia="Palatino Linotype" w:hAnsi="Palatino Linotype" w:cs="Palatino Linotype"/>
          <w:i/>
        </w:rPr>
        <w:t xml:space="preserve">Modificar </w:t>
      </w:r>
      <w:r w:rsidRPr="00B05A03">
        <w:rPr>
          <w:rFonts w:ascii="Palatino Linotype" w:eastAsia="Palatino Linotype" w:hAnsi="Palatino Linotype" w:cs="Palatino Linotype"/>
        </w:rPr>
        <w:t xml:space="preserve">la respuesta proporcionada por el </w:t>
      </w:r>
      <w:r w:rsidRPr="00B05A03">
        <w:rPr>
          <w:rFonts w:ascii="Palatino Linotype" w:eastAsia="Palatino Linotype" w:hAnsi="Palatino Linotype" w:cs="Palatino Linotype"/>
          <w:b/>
        </w:rPr>
        <w:t xml:space="preserve">Sujeto Obligado </w:t>
      </w:r>
      <w:r w:rsidRPr="00B05A03">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0843B445"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b/>
        </w:rPr>
        <w:t>Quinto. Versión Pública.</w:t>
      </w:r>
      <w:r w:rsidRPr="00B05A03">
        <w:rPr>
          <w:rFonts w:ascii="Palatino Linotype" w:eastAsia="Palatino Linotype" w:hAnsi="Palatino Linotype" w:cs="Palatino Linotype"/>
          <w:sz w:val="28"/>
          <w:szCs w:val="28"/>
        </w:rPr>
        <w:t xml:space="preserve"> </w:t>
      </w:r>
      <w:r w:rsidRPr="00B05A03">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B05A03">
        <w:rPr>
          <w:rFonts w:ascii="Palatino Linotype" w:eastAsia="Palatino Linotype" w:hAnsi="Palatino Linotype" w:cs="Palatino Linotype"/>
          <w:b/>
        </w:rPr>
        <w:t>Sujeto Obligado</w:t>
      </w:r>
      <w:r w:rsidRPr="00B05A03">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xml:space="preserve"> sin menoscabo al derecho a la protección de los datos personales de terceros.</w:t>
      </w:r>
    </w:p>
    <w:p w14:paraId="28677B95"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B05A03">
        <w:rPr>
          <w:rFonts w:ascii="Palatino Linotype" w:eastAsia="Palatino Linotype" w:hAnsi="Palatino Linotype" w:cs="Palatino Linotype"/>
        </w:rPr>
        <w:t>fracción</w:t>
      </w:r>
      <w:proofErr w:type="gramEnd"/>
      <w:r w:rsidRPr="00B05A03">
        <w:rPr>
          <w:rFonts w:ascii="Palatino Linotype" w:eastAsia="Palatino Linotype" w:hAnsi="Palatino Linotype" w:cs="Palatino Linotype"/>
        </w:rPr>
        <w:t xml:space="preserve"> I de la Ley de Transparencia y Acceso a la Información Pública del Estado de México y Municipios que establecen:</w:t>
      </w:r>
    </w:p>
    <w:p w14:paraId="24FCC5AB"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Artículo 3</w:t>
      </w:r>
      <w:r w:rsidRPr="00B05A03">
        <w:rPr>
          <w:rFonts w:ascii="Palatino Linotype" w:eastAsia="Palatino Linotype" w:hAnsi="Palatino Linotype" w:cs="Palatino Linotype"/>
          <w:i/>
          <w:sz w:val="22"/>
          <w:szCs w:val="22"/>
        </w:rPr>
        <w:t>. Para los efectos de la presente Ley se entenderá por:</w:t>
      </w:r>
    </w:p>
    <w:p w14:paraId="1037EFFD"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4CFE7F99"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IX. Datos personales</w:t>
      </w:r>
      <w:r w:rsidRPr="00B05A0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A71DD62"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XX. Información clasificada</w:t>
      </w:r>
      <w:r w:rsidRPr="00B05A03">
        <w:rPr>
          <w:rFonts w:ascii="Palatino Linotype" w:eastAsia="Palatino Linotype" w:hAnsi="Palatino Linotype" w:cs="Palatino Linotype"/>
          <w:i/>
          <w:sz w:val="22"/>
          <w:szCs w:val="22"/>
        </w:rPr>
        <w:t>: Aquella considerada por la presente Ley como reservada o confidencial;</w:t>
      </w:r>
    </w:p>
    <w:p w14:paraId="5D46D968"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 xml:space="preserve">XXI. Información confidencial: </w:t>
      </w:r>
      <w:r w:rsidRPr="00B05A03">
        <w:rPr>
          <w:rFonts w:ascii="Palatino Linotype" w:eastAsia="Palatino Linotype" w:hAnsi="Palatino Linotype" w:cs="Palatino Linotype"/>
          <w:i/>
          <w:sz w:val="22"/>
          <w:szCs w:val="22"/>
        </w:rPr>
        <w:t xml:space="preserve">Se considera como información confidencial los secretos bancario, fiduciario, industrial, comercial, fiscal, bursátil y postal, cuya titularidad corresponda a particulares, sujetos de </w:t>
      </w:r>
      <w:r w:rsidRPr="00B05A03">
        <w:rPr>
          <w:rFonts w:ascii="Palatino Linotype" w:eastAsia="Palatino Linotype" w:hAnsi="Palatino Linotype" w:cs="Palatino Linotype"/>
          <w:i/>
          <w:sz w:val="22"/>
          <w:szCs w:val="22"/>
        </w:rPr>
        <w:lastRenderedPageBreak/>
        <w:t>derecho internacional o a sujetos obligados cuando no involucren el ejercicio de recursos públicos;</w:t>
      </w:r>
    </w:p>
    <w:p w14:paraId="020F5EB3"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XLV. Versión pública:</w:t>
      </w:r>
      <w:r w:rsidRPr="00B05A0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2B0AC6E"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6ED3C2AA"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91.</w:t>
      </w:r>
      <w:r w:rsidRPr="00B05A03">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CDFE845"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132.</w:t>
      </w:r>
      <w:r w:rsidRPr="00B05A03">
        <w:rPr>
          <w:rFonts w:ascii="Palatino Linotype" w:eastAsia="Palatino Linotype" w:hAnsi="Palatino Linotype" w:cs="Palatino Linotype"/>
          <w:i/>
          <w:sz w:val="22"/>
          <w:szCs w:val="22"/>
        </w:rPr>
        <w:t xml:space="preserve"> La clasificación de la información se llevará a cabo en el momento en que:</w:t>
      </w:r>
    </w:p>
    <w:p w14:paraId="44DE8A4A"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Se reciba una solicitud de acceso a la información;</w:t>
      </w:r>
    </w:p>
    <w:p w14:paraId="286C0FF4"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w:t>
      </w:r>
      <w:r w:rsidRPr="00B05A03">
        <w:rPr>
          <w:rFonts w:ascii="Palatino Linotype" w:eastAsia="Palatino Linotype" w:hAnsi="Palatino Linotype" w:cs="Palatino Linotype"/>
          <w:i/>
          <w:sz w:val="22"/>
          <w:szCs w:val="22"/>
        </w:rPr>
        <w:t xml:space="preserve"> Se determine mediante resolución de autoridad competente; o</w:t>
      </w:r>
    </w:p>
    <w:p w14:paraId="54ACB9AA"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III.</w:t>
      </w:r>
      <w:r w:rsidRPr="00B05A03">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15B872D"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2F5D89B6"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Artículo 143</w:t>
      </w:r>
      <w:r w:rsidRPr="00B05A0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278E615"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B05A03">
        <w:rPr>
          <w:rFonts w:ascii="Palatino Linotype" w:eastAsia="Palatino Linotype" w:hAnsi="Palatino Linotype" w:cs="Palatino Linotype"/>
          <w:i/>
          <w:sz w:val="22"/>
          <w:szCs w:val="22"/>
        </w:rPr>
        <w:t>jurídico</w:t>
      </w:r>
      <w:proofErr w:type="gramEnd"/>
      <w:r w:rsidRPr="00B05A03">
        <w:rPr>
          <w:rFonts w:ascii="Palatino Linotype" w:eastAsia="Palatino Linotype" w:hAnsi="Palatino Linotype" w:cs="Palatino Linotype"/>
          <w:i/>
          <w:sz w:val="22"/>
          <w:szCs w:val="22"/>
        </w:rPr>
        <w:t xml:space="preserve"> colectiva identificada o identificable;</w:t>
      </w:r>
    </w:p>
    <w:p w14:paraId="631F863C"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w:t>
      </w:r>
      <w:r w:rsidRPr="00B05A0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B6DA2BF"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III.</w:t>
      </w:r>
      <w:r w:rsidRPr="00B05A03">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8094D9B"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7F31372"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33DB19D"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w:t>
      </w:r>
      <w:r w:rsidRPr="00B05A03">
        <w:rPr>
          <w:rFonts w:ascii="Palatino Linotype" w:eastAsia="Palatino Linotype" w:hAnsi="Palatino Linotype" w:cs="Palatino Linotype"/>
        </w:rPr>
        <w:lastRenderedPageBreak/>
        <w:t>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0D3AC86" w14:textId="77777777" w:rsidR="003707B3" w:rsidRPr="00B05A03" w:rsidRDefault="009B445B">
      <w:pPr>
        <w:spacing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B05A03">
        <w:rPr>
          <w:rFonts w:ascii="Palatino Linotype" w:eastAsia="Palatino Linotype" w:hAnsi="Palatino Linotype" w:cs="Palatino Linotype"/>
          <w:b/>
        </w:rPr>
        <w:t>Sujeto Obligado</w:t>
      </w:r>
      <w:r w:rsidRPr="00B05A03">
        <w:rPr>
          <w:rFonts w:ascii="Palatino Linotype" w:eastAsia="Palatino Linotype" w:hAnsi="Palatino Linotype" w:cs="Palatino Linotype"/>
        </w:rPr>
        <w:t>, siendo estas las siguientes:</w:t>
      </w:r>
    </w:p>
    <w:p w14:paraId="338E7E60"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 xml:space="preserve"> “Quincuagésimo. </w:t>
      </w:r>
      <w:r w:rsidRPr="00B05A03">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C92FFB7"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 xml:space="preserve">Quincuagésimo primero. </w:t>
      </w:r>
      <w:r w:rsidRPr="00B05A03">
        <w:rPr>
          <w:rFonts w:ascii="Palatino Linotype" w:eastAsia="Palatino Linotype" w:hAnsi="Palatino Linotype" w:cs="Palatino Linotype"/>
          <w:i/>
          <w:sz w:val="22"/>
          <w:szCs w:val="22"/>
        </w:rPr>
        <w:t xml:space="preserve">Toda acta del Comité de Transparencia deberá contener: </w:t>
      </w:r>
    </w:p>
    <w:p w14:paraId="2E68FD54"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xml:space="preserve"> El número de sesión y fecha; </w:t>
      </w:r>
    </w:p>
    <w:p w14:paraId="0CCB3E16"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w:t>
      </w:r>
      <w:r w:rsidRPr="00B05A03">
        <w:rPr>
          <w:rFonts w:ascii="Palatino Linotype" w:eastAsia="Palatino Linotype" w:hAnsi="Palatino Linotype" w:cs="Palatino Linotype"/>
          <w:i/>
          <w:sz w:val="22"/>
          <w:szCs w:val="22"/>
        </w:rPr>
        <w:t xml:space="preserve">. El nombre del área que solicitó la clasificación de información; </w:t>
      </w:r>
    </w:p>
    <w:p w14:paraId="6C1978CD"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III</w:t>
      </w:r>
      <w:r w:rsidRPr="00B05A03">
        <w:rPr>
          <w:rFonts w:ascii="Palatino Linotype" w:eastAsia="Palatino Linotype" w:hAnsi="Palatino Linotype" w:cs="Palatino Linotype"/>
          <w:i/>
          <w:sz w:val="22"/>
          <w:szCs w:val="22"/>
        </w:rPr>
        <w:t xml:space="preserve">. La fundamentación legal y motivación correspondiente; </w:t>
      </w:r>
    </w:p>
    <w:p w14:paraId="283C5420"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IV</w:t>
      </w:r>
      <w:r w:rsidRPr="00B05A03">
        <w:rPr>
          <w:rFonts w:ascii="Palatino Linotype" w:eastAsia="Palatino Linotype" w:hAnsi="Palatino Linotype" w:cs="Palatino Linotype"/>
          <w:i/>
          <w:sz w:val="22"/>
          <w:szCs w:val="22"/>
        </w:rPr>
        <w:t xml:space="preserve">. La resolución o resoluciones aprobadas; y </w:t>
      </w:r>
    </w:p>
    <w:p w14:paraId="2D7408A6"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V</w:t>
      </w:r>
      <w:r w:rsidRPr="00B05A03">
        <w:rPr>
          <w:rFonts w:ascii="Palatino Linotype" w:eastAsia="Palatino Linotype" w:hAnsi="Palatino Linotype" w:cs="Palatino Linotype"/>
          <w:i/>
          <w:sz w:val="22"/>
          <w:szCs w:val="22"/>
        </w:rPr>
        <w:t xml:space="preserve">. La rúbrica o firma digital de cada integrante del Comité de Transparencia. </w:t>
      </w:r>
    </w:p>
    <w:p w14:paraId="577C848C"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EF5CA32"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lastRenderedPageBreak/>
        <w:t>I.</w:t>
      </w:r>
      <w:r w:rsidRPr="00B05A03">
        <w:rPr>
          <w:rFonts w:ascii="Palatino Linotype" w:eastAsia="Palatino Linotype" w:hAnsi="Palatino Linotype" w:cs="Palatino Linotype"/>
          <w:i/>
          <w:sz w:val="22"/>
          <w:szCs w:val="22"/>
        </w:rPr>
        <w:t xml:space="preserve"> Los motivos y razonamientos que sustenten la confirmación o modificación de la prueba de daño;</w:t>
      </w:r>
    </w:p>
    <w:p w14:paraId="165ACA1E"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b/>
          <w:i/>
          <w:sz w:val="22"/>
          <w:szCs w:val="22"/>
        </w:rPr>
        <w:t>II</w:t>
      </w:r>
      <w:r w:rsidRPr="00B05A03">
        <w:rPr>
          <w:rFonts w:ascii="Palatino Linotype" w:eastAsia="Palatino Linotype" w:hAnsi="Palatino Linotype" w:cs="Palatino Linotype"/>
          <w:i/>
          <w:sz w:val="22"/>
          <w:szCs w:val="22"/>
        </w:rPr>
        <w:t>. Descripción de las partes o secciones reservadas, en caso de clasificación parcial</w:t>
      </w:r>
      <w:r w:rsidRPr="00B05A03">
        <w:rPr>
          <w:rFonts w:ascii="Palatino Linotype" w:eastAsia="Palatino Linotype" w:hAnsi="Palatino Linotype" w:cs="Palatino Linotype"/>
          <w:b/>
          <w:i/>
          <w:sz w:val="22"/>
          <w:szCs w:val="22"/>
        </w:rPr>
        <w:t xml:space="preserve">; </w:t>
      </w:r>
    </w:p>
    <w:p w14:paraId="34088E3B"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III.</w:t>
      </w:r>
      <w:r w:rsidRPr="00B05A03">
        <w:rPr>
          <w:rFonts w:ascii="Palatino Linotype" w:eastAsia="Palatino Linotype" w:hAnsi="Palatino Linotype" w:cs="Palatino Linotype"/>
          <w:i/>
          <w:sz w:val="22"/>
          <w:szCs w:val="22"/>
        </w:rPr>
        <w:t xml:space="preserve"> El periodo por el que mantendrá su clasificación y fecha de expiración; y </w:t>
      </w:r>
    </w:p>
    <w:p w14:paraId="47454327" w14:textId="77777777" w:rsidR="003707B3" w:rsidRPr="00B05A03" w:rsidRDefault="009B445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IV.</w:t>
      </w:r>
      <w:r w:rsidRPr="00B05A03">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472E0137"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AF170D9" w14:textId="77777777" w:rsidR="003707B3" w:rsidRPr="00B05A03" w:rsidRDefault="009B44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B8314D1" w14:textId="77777777" w:rsidR="003707B3" w:rsidRPr="00B05A03" w:rsidRDefault="009B445B">
      <w:pPr>
        <w:spacing w:before="120" w:after="120"/>
        <w:ind w:left="851" w:right="900"/>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Quincuagésimo segundo</w:t>
      </w:r>
      <w:r w:rsidRPr="00B05A03">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B05A03">
        <w:rPr>
          <w:rFonts w:ascii="Palatino Linotype" w:eastAsia="Palatino Linotype" w:hAnsi="Palatino Linotype" w:cs="Palatino Linotype"/>
          <w:i/>
          <w:sz w:val="22"/>
          <w:szCs w:val="22"/>
        </w:rPr>
        <w:t>sobreposición</w:t>
      </w:r>
      <w:proofErr w:type="spellEnd"/>
      <w:r w:rsidRPr="00B05A03">
        <w:rPr>
          <w:rFonts w:ascii="Palatino Linotype" w:eastAsia="Palatino Linotype" w:hAnsi="Palatino Linotype" w:cs="Palatino Linotype"/>
          <w:i/>
          <w:sz w:val="22"/>
          <w:szCs w:val="22"/>
        </w:rPr>
        <w:t xml:space="preserve"> de contenido distinto al autorizado por el Comité.</w:t>
      </w:r>
    </w:p>
    <w:p w14:paraId="5EC2638D" w14:textId="77777777" w:rsidR="003707B3" w:rsidRPr="00B05A03" w:rsidRDefault="009B445B">
      <w:pPr>
        <w:spacing w:before="120" w:after="120"/>
        <w:ind w:left="851" w:right="900"/>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 xml:space="preserve">En el caso </w:t>
      </w:r>
      <w:proofErr w:type="spellStart"/>
      <w:r w:rsidRPr="00B05A03">
        <w:rPr>
          <w:rFonts w:ascii="Palatino Linotype" w:eastAsia="Palatino Linotype" w:hAnsi="Palatino Linotype" w:cs="Palatino Linotype"/>
          <w:i/>
          <w:sz w:val="22"/>
          <w:szCs w:val="22"/>
        </w:rPr>
        <w:t>especifico</w:t>
      </w:r>
      <w:proofErr w:type="spellEnd"/>
      <w:r w:rsidRPr="00B05A03">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6271F8F4" w14:textId="77777777" w:rsidR="003707B3" w:rsidRPr="00B05A03" w:rsidRDefault="009B445B">
      <w:pPr>
        <w:spacing w:before="120" w:after="120"/>
        <w:ind w:left="1134" w:right="900"/>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49689596" w14:textId="77777777" w:rsidR="003707B3" w:rsidRPr="00B05A03" w:rsidRDefault="009B445B">
      <w:pPr>
        <w:spacing w:before="120" w:after="120"/>
        <w:ind w:left="1134" w:right="900"/>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w:t>
      </w:r>
      <w:r w:rsidRPr="00B05A03">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C3F7960" w14:textId="77777777" w:rsidR="003707B3" w:rsidRPr="00B05A03" w:rsidRDefault="009B445B">
      <w:pPr>
        <w:spacing w:before="120" w:after="120"/>
        <w:ind w:left="1134" w:right="900"/>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III.</w:t>
      </w:r>
      <w:r w:rsidRPr="00B05A03">
        <w:rPr>
          <w:rFonts w:ascii="Palatino Linotype" w:eastAsia="Palatino Linotype" w:hAnsi="Palatino Linotype" w:cs="Palatino Linotype"/>
          <w:i/>
          <w:sz w:val="22"/>
          <w:szCs w:val="22"/>
        </w:rPr>
        <w:t xml:space="preserve"> Señalar las personas o instancias autorizadas a acceder a la información clasificada.</w:t>
      </w:r>
    </w:p>
    <w:p w14:paraId="3A204891" w14:textId="77777777" w:rsidR="003707B3" w:rsidRPr="00B05A03" w:rsidRDefault="009B445B">
      <w:pPr>
        <w:spacing w:before="120" w:after="120"/>
        <w:ind w:left="851" w:right="900"/>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38CC3B6" w14:textId="77777777" w:rsidR="003707B3" w:rsidRPr="00B05A03" w:rsidRDefault="009B445B">
      <w:pPr>
        <w:spacing w:before="240" w:after="240" w:line="360" w:lineRule="auto"/>
        <w:ind w:right="50"/>
        <w:jc w:val="both"/>
        <w:rPr>
          <w:rFonts w:ascii="Palatino Linotype" w:eastAsia="Palatino Linotype" w:hAnsi="Palatino Linotype" w:cs="Palatino Linotype"/>
          <w:sz w:val="22"/>
          <w:szCs w:val="22"/>
        </w:rPr>
      </w:pPr>
      <w:r w:rsidRPr="00B05A03">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w:t>
      </w:r>
      <w:r w:rsidRPr="00B05A03">
        <w:rPr>
          <w:rFonts w:ascii="Palatino Linotype" w:eastAsia="Palatino Linotype" w:hAnsi="Palatino Linotype" w:cs="Palatino Linotype"/>
        </w:rPr>
        <w:lastRenderedPageBreak/>
        <w:t xml:space="preserve">Información </w:t>
      </w:r>
      <w:proofErr w:type="spellStart"/>
      <w:r w:rsidRPr="00B05A03">
        <w:rPr>
          <w:rFonts w:ascii="Palatino Linotype" w:eastAsia="Palatino Linotype" w:hAnsi="Palatino Linotype" w:cs="Palatino Linotype"/>
        </w:rPr>
        <w:t>supraindicados</w:t>
      </w:r>
      <w:proofErr w:type="spellEnd"/>
      <w:r w:rsidRPr="00B05A03">
        <w:rPr>
          <w:rFonts w:ascii="Palatino Linotype" w:eastAsia="Palatino Linotype" w:hAnsi="Palatino Linotype" w:cs="Palatino Linotype"/>
        </w:rPr>
        <w:t xml:space="preserve">, que establece los formatos para la clasificación de los documentos, conforme a lo siguiente: </w:t>
      </w:r>
    </w:p>
    <w:p w14:paraId="4A3CD936" w14:textId="77777777" w:rsidR="003707B3" w:rsidRPr="00B05A03" w:rsidRDefault="009B445B">
      <w:pPr>
        <w:ind w:left="851" w:right="900"/>
        <w:jc w:val="center"/>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b/>
          <w:i/>
          <w:sz w:val="22"/>
          <w:szCs w:val="22"/>
        </w:rPr>
        <w:t>CAPÍTULO VIII</w:t>
      </w:r>
    </w:p>
    <w:p w14:paraId="1B65BA05" w14:textId="77777777" w:rsidR="003707B3" w:rsidRPr="00B05A03" w:rsidRDefault="009B445B">
      <w:pPr>
        <w:ind w:left="851" w:right="900"/>
        <w:jc w:val="center"/>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b/>
          <w:i/>
          <w:sz w:val="22"/>
          <w:szCs w:val="22"/>
        </w:rPr>
        <w:t xml:space="preserve">DE LOS ELEMENTOS PARA LA CLASIFICACIÓN </w:t>
      </w:r>
    </w:p>
    <w:p w14:paraId="289E1DA5" w14:textId="77777777" w:rsidR="003707B3" w:rsidRPr="00B05A03" w:rsidRDefault="009B445B">
      <w:pPr>
        <w:ind w:left="851" w:right="900"/>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w:t>
      </w:r>
    </w:p>
    <w:p w14:paraId="54E415E3"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 xml:space="preserve">Quincuagésimo tercero. </w:t>
      </w:r>
      <w:r w:rsidRPr="00B05A03">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B05A03">
        <w:rPr>
          <w:rFonts w:ascii="Palatino Linotype" w:eastAsia="Palatino Linotype" w:hAnsi="Palatino Linotype" w:cs="Palatino Linotype"/>
          <w:b/>
          <w:i/>
          <w:sz w:val="22"/>
          <w:szCs w:val="22"/>
        </w:rPr>
        <w:t xml:space="preserve">, </w:t>
      </w:r>
      <w:r w:rsidRPr="00B05A03">
        <w:rPr>
          <w:rFonts w:ascii="Palatino Linotype" w:eastAsia="Palatino Linotype" w:hAnsi="Palatino Linotype" w:cs="Palatino Linotype"/>
          <w:i/>
          <w:sz w:val="22"/>
          <w:szCs w:val="22"/>
        </w:rPr>
        <w:t xml:space="preserve">es el siguiente: </w:t>
      </w:r>
    </w:p>
    <w:p w14:paraId="4D28823A" w14:textId="77777777" w:rsidR="003707B3" w:rsidRPr="00B05A03" w:rsidRDefault="009B445B">
      <w:pPr>
        <w:spacing w:before="120" w:after="120"/>
        <w:ind w:left="851" w:right="902"/>
        <w:jc w:val="both"/>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b/>
          <w:i/>
          <w:noProof/>
          <w:sz w:val="22"/>
          <w:szCs w:val="22"/>
        </w:rPr>
        <w:drawing>
          <wp:inline distT="0" distB="0" distL="0" distR="0" wp14:anchorId="2673607B" wp14:editId="33491E55">
            <wp:extent cx="4295775" cy="295275"/>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b="95731"/>
                    <a:stretch>
                      <a:fillRect/>
                    </a:stretch>
                  </pic:blipFill>
                  <pic:spPr>
                    <a:xfrm>
                      <a:off x="0" y="0"/>
                      <a:ext cx="4295775" cy="295275"/>
                    </a:xfrm>
                    <a:prstGeom prst="rect">
                      <a:avLst/>
                    </a:prstGeom>
                    <a:ln/>
                  </pic:spPr>
                </pic:pic>
              </a:graphicData>
            </a:graphic>
          </wp:inline>
        </w:drawing>
      </w:r>
    </w:p>
    <w:p w14:paraId="2618BFF7" w14:textId="77777777" w:rsidR="003707B3" w:rsidRPr="00B05A03" w:rsidRDefault="009B445B">
      <w:pPr>
        <w:spacing w:before="120" w:after="120"/>
        <w:ind w:left="851" w:right="902"/>
        <w:jc w:val="both"/>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b/>
          <w:i/>
          <w:noProof/>
          <w:sz w:val="22"/>
          <w:szCs w:val="22"/>
        </w:rPr>
        <w:drawing>
          <wp:inline distT="0" distB="0" distL="0" distR="0" wp14:anchorId="171D7FF1" wp14:editId="61C20AF4">
            <wp:extent cx="4333875" cy="4772025"/>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t="30908"/>
                    <a:stretch>
                      <a:fillRect/>
                    </a:stretch>
                  </pic:blipFill>
                  <pic:spPr>
                    <a:xfrm>
                      <a:off x="0" y="0"/>
                      <a:ext cx="4333875" cy="4772025"/>
                    </a:xfrm>
                    <a:prstGeom prst="rect">
                      <a:avLst/>
                    </a:prstGeom>
                    <a:ln/>
                  </pic:spPr>
                </pic:pic>
              </a:graphicData>
            </a:graphic>
          </wp:inline>
        </w:drawing>
      </w:r>
    </w:p>
    <w:p w14:paraId="1E8938DB"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lastRenderedPageBreak/>
        <w:t>Los documentos que integren un expediente reservado en su totalidad no deberán marcarse en lo individual.</w:t>
      </w:r>
    </w:p>
    <w:p w14:paraId="1156E009"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4CDD6EC5"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65EF4991" w14:textId="77777777" w:rsidR="003707B3" w:rsidRPr="00B05A03" w:rsidRDefault="009B445B">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i/>
          <w:sz w:val="22"/>
          <w:szCs w:val="22"/>
        </w:rPr>
        <w:t>“</w:t>
      </w:r>
      <w:r w:rsidRPr="00B05A03">
        <w:rPr>
          <w:rFonts w:ascii="Palatino Linotype" w:eastAsia="Palatino Linotype" w:hAnsi="Palatino Linotype" w:cs="Palatino Linotype"/>
          <w:b/>
          <w:i/>
          <w:sz w:val="22"/>
          <w:szCs w:val="22"/>
        </w:rPr>
        <w:t xml:space="preserve">Quincuagésimo cuarto. </w:t>
      </w:r>
      <w:r w:rsidRPr="00B05A03">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B05A03">
        <w:rPr>
          <w:rFonts w:ascii="Palatino Linotype" w:eastAsia="Palatino Linotype" w:hAnsi="Palatino Linotype" w:cs="Palatino Linotype"/>
          <w:b/>
          <w:i/>
          <w:sz w:val="22"/>
          <w:szCs w:val="22"/>
        </w:rPr>
        <w:t xml:space="preserve"> </w:t>
      </w:r>
    </w:p>
    <w:p w14:paraId="27E61CE3"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 xml:space="preserve">Quincuagésimo quinto. </w:t>
      </w:r>
      <w:r w:rsidRPr="00B05A03">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B05A03">
        <w:rPr>
          <w:rFonts w:ascii="Palatino Linotype" w:eastAsia="Palatino Linotype" w:hAnsi="Palatino Linotype" w:cs="Palatino Linotype"/>
          <w:i/>
          <w:sz w:val="22"/>
          <w:szCs w:val="22"/>
        </w:rPr>
        <w:t>testado</w:t>
      </w:r>
      <w:proofErr w:type="spellEnd"/>
      <w:r w:rsidRPr="00B05A03">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1EF08CE" w14:textId="77777777" w:rsidR="003707B3" w:rsidRPr="00B05A03" w:rsidRDefault="009B445B">
      <w:pPr>
        <w:spacing w:before="120" w:after="120"/>
        <w:ind w:left="851" w:right="902"/>
        <w:jc w:val="both"/>
        <w:rPr>
          <w:rFonts w:ascii="Palatino Linotype" w:eastAsia="Palatino Linotype" w:hAnsi="Palatino Linotype" w:cs="Palatino Linotype"/>
          <w:b/>
          <w:i/>
          <w:sz w:val="22"/>
          <w:szCs w:val="22"/>
        </w:rPr>
      </w:pPr>
      <w:r w:rsidRPr="00B05A03">
        <w:rPr>
          <w:rFonts w:ascii="Palatino Linotype" w:eastAsia="Palatino Linotype" w:hAnsi="Palatino Linotype" w:cs="Palatino Linotype"/>
          <w:b/>
          <w:i/>
          <w:sz w:val="22"/>
          <w:szCs w:val="22"/>
        </w:rPr>
        <w:t>...</w:t>
      </w:r>
    </w:p>
    <w:p w14:paraId="0A31A699"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Quincuagésimo séptimo</w:t>
      </w:r>
      <w:r w:rsidRPr="00B05A03">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DD0F44E"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w:t>
      </w:r>
      <w:r w:rsidRPr="00B05A03">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4391B11"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w:t>
      </w:r>
      <w:r w:rsidRPr="00B05A03">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DD046FF" w14:textId="77777777" w:rsidR="003707B3" w:rsidRPr="00B05A03" w:rsidRDefault="009B445B">
      <w:pPr>
        <w:spacing w:before="120" w:after="120"/>
        <w:ind w:left="1134"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III</w:t>
      </w:r>
      <w:r w:rsidRPr="00B05A03">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A408D17"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internacionales suscritas por el Estado mexicano.  </w:t>
      </w:r>
    </w:p>
    <w:p w14:paraId="397166C6" w14:textId="77777777" w:rsidR="003707B3" w:rsidRPr="00B05A03" w:rsidRDefault="009B445B">
      <w:pPr>
        <w:spacing w:before="120" w:after="120"/>
        <w:ind w:left="851" w:right="902"/>
        <w:jc w:val="both"/>
        <w:rPr>
          <w:rFonts w:ascii="Palatino Linotype" w:eastAsia="Palatino Linotype" w:hAnsi="Palatino Linotype" w:cs="Palatino Linotype"/>
          <w:i/>
          <w:sz w:val="22"/>
          <w:szCs w:val="22"/>
        </w:rPr>
      </w:pPr>
      <w:r w:rsidRPr="00B05A03">
        <w:rPr>
          <w:rFonts w:ascii="Palatino Linotype" w:eastAsia="Palatino Linotype" w:hAnsi="Palatino Linotype" w:cs="Palatino Linotype"/>
          <w:b/>
          <w:i/>
          <w:sz w:val="22"/>
          <w:szCs w:val="22"/>
        </w:rPr>
        <w:t>Quincuagésimo octavo</w:t>
      </w:r>
      <w:r w:rsidRPr="00B05A03">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E809557"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05A03">
        <w:rPr>
          <w:rFonts w:ascii="Palatino Linotype" w:eastAsia="Palatino Linotype" w:hAnsi="Palatino Linotype" w:cs="Palatino Linotype"/>
          <w:b/>
        </w:rPr>
        <w:t>Sujeto Obligado</w:t>
      </w:r>
      <w:r w:rsidRPr="00B05A03">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5EE1B86" w14:textId="77777777" w:rsidR="003707B3" w:rsidRPr="00B05A03" w:rsidRDefault="009B44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1A692F2C" w14:textId="77777777" w:rsidR="00D27D53" w:rsidRPr="00B05A03" w:rsidRDefault="00D27D5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5043728A" w14:textId="77777777" w:rsidR="00D27D53" w:rsidRPr="00B05A03" w:rsidRDefault="00D27D5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0AA2B342" w14:textId="77777777" w:rsidR="003707B3" w:rsidRPr="00B05A03" w:rsidRDefault="009B445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05A03">
        <w:rPr>
          <w:rFonts w:ascii="Palatino Linotype" w:eastAsia="Palatino Linotype" w:hAnsi="Palatino Linotype" w:cs="Palatino Linotype"/>
          <w:b/>
        </w:rPr>
        <w:lastRenderedPageBreak/>
        <w:t>III. R E S U E L V E</w:t>
      </w:r>
    </w:p>
    <w:p w14:paraId="1EC39AB5" w14:textId="77777777" w:rsidR="003707B3" w:rsidRPr="00B05A03" w:rsidRDefault="009B445B">
      <w:pPr>
        <w:spacing w:before="240" w:after="240" w:line="360" w:lineRule="auto"/>
        <w:jc w:val="both"/>
        <w:rPr>
          <w:rFonts w:ascii="Palatino Linotype" w:eastAsia="Palatino Linotype" w:hAnsi="Palatino Linotype" w:cs="Palatino Linotype"/>
          <w:b/>
        </w:rPr>
      </w:pPr>
      <w:bookmarkStart w:id="7" w:name="_heading=h.26in1rg" w:colFirst="0" w:colLast="0"/>
      <w:bookmarkEnd w:id="7"/>
      <w:r w:rsidRPr="00B05A03">
        <w:rPr>
          <w:rFonts w:ascii="Palatino Linotype" w:eastAsia="Palatino Linotype" w:hAnsi="Palatino Linotype" w:cs="Palatino Linotype"/>
          <w:b/>
        </w:rPr>
        <w:t xml:space="preserve">Primero. </w:t>
      </w:r>
      <w:r w:rsidRPr="00B05A03">
        <w:rPr>
          <w:rFonts w:ascii="Palatino Linotype" w:eastAsia="Palatino Linotype" w:hAnsi="Palatino Linotype" w:cs="Palatino Linotype"/>
        </w:rPr>
        <w:t>Resultan</w:t>
      </w:r>
      <w:r w:rsidRPr="00B05A03">
        <w:rPr>
          <w:rFonts w:ascii="Palatino Linotype" w:eastAsia="Palatino Linotype" w:hAnsi="Palatino Linotype" w:cs="Palatino Linotype"/>
          <w:b/>
        </w:rPr>
        <w:t xml:space="preserve"> parcialmente fundados</w:t>
      </w:r>
      <w:r w:rsidRPr="00B05A03">
        <w:rPr>
          <w:rFonts w:ascii="Palatino Linotype" w:eastAsia="Palatino Linotype" w:hAnsi="Palatino Linotype" w:cs="Palatino Linotype"/>
        </w:rPr>
        <w:t xml:space="preserve"> los motivos de inconformidad hechos valer por la parte </w:t>
      </w:r>
      <w:r w:rsidRPr="00B05A03">
        <w:rPr>
          <w:rFonts w:ascii="Palatino Linotype" w:eastAsia="Palatino Linotype" w:hAnsi="Palatino Linotype" w:cs="Palatino Linotype"/>
          <w:b/>
        </w:rPr>
        <w:t xml:space="preserve">Recurrente </w:t>
      </w:r>
      <w:r w:rsidRPr="00B05A03">
        <w:rPr>
          <w:rFonts w:ascii="Palatino Linotype" w:eastAsia="Palatino Linotype" w:hAnsi="Palatino Linotype" w:cs="Palatino Linotype"/>
        </w:rPr>
        <w:t xml:space="preserve">en el recurso de revisión </w:t>
      </w:r>
      <w:r w:rsidRPr="00B05A03">
        <w:rPr>
          <w:rFonts w:ascii="Palatino Linotype" w:eastAsia="Palatino Linotype" w:hAnsi="Palatino Linotype" w:cs="Palatino Linotype"/>
          <w:b/>
        </w:rPr>
        <w:t xml:space="preserve">03699/INFOEM/IP/RR/2023, </w:t>
      </w:r>
      <w:r w:rsidRPr="00B05A03">
        <w:rPr>
          <w:rFonts w:ascii="Palatino Linotype" w:eastAsia="Palatino Linotype" w:hAnsi="Palatino Linotype" w:cs="Palatino Linotype"/>
        </w:rPr>
        <w:t xml:space="preserve">por lo que, en términos del Considerando </w:t>
      </w:r>
      <w:r w:rsidRPr="00B05A03">
        <w:rPr>
          <w:rFonts w:ascii="Palatino Linotype" w:eastAsia="Palatino Linotype" w:hAnsi="Palatino Linotype" w:cs="Palatino Linotype"/>
          <w:b/>
        </w:rPr>
        <w:t>Cuarto</w:t>
      </w:r>
      <w:r w:rsidRPr="00B05A03">
        <w:rPr>
          <w:rFonts w:ascii="Palatino Linotype" w:eastAsia="Palatino Linotype" w:hAnsi="Palatino Linotype" w:cs="Palatino Linotype"/>
        </w:rPr>
        <w:t xml:space="preserve"> de la presente resolución, se</w:t>
      </w:r>
      <w:r w:rsidRPr="00B05A03">
        <w:rPr>
          <w:rFonts w:ascii="Palatino Linotype" w:eastAsia="Palatino Linotype" w:hAnsi="Palatino Linotype" w:cs="Palatino Linotype"/>
          <w:b/>
        </w:rPr>
        <w:t xml:space="preserve"> Modifica </w:t>
      </w:r>
      <w:r w:rsidRPr="00B05A03">
        <w:rPr>
          <w:rFonts w:ascii="Palatino Linotype" w:eastAsia="Palatino Linotype" w:hAnsi="Palatino Linotype" w:cs="Palatino Linotype"/>
        </w:rPr>
        <w:t>la respuesta</w:t>
      </w:r>
      <w:r w:rsidRPr="00B05A03">
        <w:rPr>
          <w:rFonts w:ascii="Palatino Linotype" w:eastAsia="Palatino Linotype" w:hAnsi="Palatino Linotype" w:cs="Palatino Linotype"/>
          <w:b/>
        </w:rPr>
        <w:t xml:space="preserve"> </w:t>
      </w:r>
      <w:r w:rsidRPr="00B05A03">
        <w:rPr>
          <w:rFonts w:ascii="Palatino Linotype" w:eastAsia="Palatino Linotype" w:hAnsi="Palatino Linotype" w:cs="Palatino Linotype"/>
        </w:rPr>
        <w:t xml:space="preserve">del </w:t>
      </w:r>
      <w:r w:rsidRPr="00B05A03">
        <w:rPr>
          <w:rFonts w:ascii="Palatino Linotype" w:eastAsia="Palatino Linotype" w:hAnsi="Palatino Linotype" w:cs="Palatino Linotype"/>
          <w:b/>
        </w:rPr>
        <w:t>Sujeto Obligado.</w:t>
      </w:r>
    </w:p>
    <w:p w14:paraId="5112E047" w14:textId="77777777" w:rsidR="003707B3" w:rsidRPr="00B05A03" w:rsidRDefault="009B445B">
      <w:pPr>
        <w:spacing w:before="240" w:after="240" w:line="360" w:lineRule="auto"/>
        <w:jc w:val="both"/>
        <w:rPr>
          <w:rFonts w:ascii="Palatino Linotype" w:eastAsia="Palatino Linotype" w:hAnsi="Palatino Linotype" w:cs="Palatino Linotype"/>
        </w:rPr>
      </w:pPr>
      <w:bookmarkStart w:id="8" w:name="_heading=h.44sinio" w:colFirst="0" w:colLast="0"/>
      <w:bookmarkEnd w:id="8"/>
      <w:r w:rsidRPr="00B05A03">
        <w:rPr>
          <w:rFonts w:ascii="Palatino Linotype" w:eastAsia="Palatino Linotype" w:hAnsi="Palatino Linotype" w:cs="Palatino Linotype"/>
          <w:b/>
        </w:rPr>
        <w:t xml:space="preserve">Segundo. </w:t>
      </w:r>
      <w:r w:rsidRPr="00B05A03">
        <w:rPr>
          <w:rFonts w:ascii="Palatino Linotype" w:eastAsia="Palatino Linotype" w:hAnsi="Palatino Linotype" w:cs="Palatino Linotype"/>
        </w:rPr>
        <w:t xml:space="preserve">Se </w:t>
      </w:r>
      <w:r w:rsidRPr="00B05A03">
        <w:rPr>
          <w:rFonts w:ascii="Palatino Linotype" w:eastAsia="Palatino Linotype" w:hAnsi="Palatino Linotype" w:cs="Palatino Linotype"/>
          <w:b/>
        </w:rPr>
        <w:t>Ordena</w:t>
      </w:r>
      <w:r w:rsidRPr="00B05A03">
        <w:rPr>
          <w:rFonts w:ascii="Palatino Linotype" w:eastAsia="Palatino Linotype" w:hAnsi="Palatino Linotype" w:cs="Palatino Linotype"/>
        </w:rPr>
        <w:t xml:space="preserve"> al </w:t>
      </w:r>
      <w:r w:rsidRPr="00B05A03">
        <w:rPr>
          <w:rFonts w:ascii="Palatino Linotype" w:eastAsia="Palatino Linotype" w:hAnsi="Palatino Linotype" w:cs="Palatino Linotype"/>
          <w:b/>
        </w:rPr>
        <w:t>Sujeto Obligado</w:t>
      </w:r>
      <w:r w:rsidRPr="00B05A03">
        <w:rPr>
          <w:rFonts w:ascii="Palatino Linotype" w:eastAsia="Palatino Linotype" w:hAnsi="Palatino Linotype" w:cs="Palatino Linotype"/>
        </w:rPr>
        <w:t xml:space="preserve">, en términos de los Considerandos </w:t>
      </w:r>
      <w:r w:rsidRPr="00B05A03">
        <w:rPr>
          <w:rFonts w:ascii="Palatino Linotype" w:eastAsia="Palatino Linotype" w:hAnsi="Palatino Linotype" w:cs="Palatino Linotype"/>
          <w:b/>
        </w:rPr>
        <w:t xml:space="preserve">Cuarto </w:t>
      </w:r>
      <w:r w:rsidRPr="00B05A03">
        <w:rPr>
          <w:rFonts w:ascii="Palatino Linotype" w:eastAsia="Palatino Linotype" w:hAnsi="Palatino Linotype" w:cs="Palatino Linotype"/>
        </w:rPr>
        <w:t>y</w:t>
      </w:r>
      <w:r w:rsidRPr="00B05A03">
        <w:rPr>
          <w:rFonts w:ascii="Palatino Linotype" w:eastAsia="Palatino Linotype" w:hAnsi="Palatino Linotype" w:cs="Palatino Linotype"/>
          <w:b/>
        </w:rPr>
        <w:t xml:space="preserve"> Quinto </w:t>
      </w:r>
      <w:r w:rsidRPr="00B05A03">
        <w:rPr>
          <w:rFonts w:ascii="Palatino Linotype" w:eastAsia="Palatino Linotype" w:hAnsi="Palatino Linotype" w:cs="Palatino Linotype"/>
        </w:rPr>
        <w:t>de esta resolución, haga entrega, vía SAIMEX, en versión pública de ser procedente, del o los documentos donde conste lo siguiente:</w:t>
      </w:r>
    </w:p>
    <w:p w14:paraId="5C32EB6B" w14:textId="77777777" w:rsidR="003707B3" w:rsidRPr="00B05A03" w:rsidRDefault="009B445B">
      <w:pPr>
        <w:spacing w:line="360" w:lineRule="auto"/>
        <w:ind w:left="426" w:right="49"/>
        <w:jc w:val="both"/>
        <w:rPr>
          <w:rFonts w:ascii="Palatino Linotype" w:eastAsia="Palatino Linotype" w:hAnsi="Palatino Linotype" w:cs="Palatino Linotype"/>
        </w:rPr>
      </w:pPr>
      <w:bookmarkStart w:id="9" w:name="_heading=h.4d34og8" w:colFirst="0" w:colLast="0"/>
      <w:bookmarkEnd w:id="9"/>
      <w:r w:rsidRPr="00B05A03">
        <w:rPr>
          <w:rFonts w:ascii="Palatino Linotype" w:eastAsia="Palatino Linotype" w:hAnsi="Palatino Linotype" w:cs="Palatino Linotype"/>
        </w:rPr>
        <w:t>1. Presupuesto ejercido en las acciones y metas implementadas a nivel municipal durante el ejercicio 2022, en atención a la Alerta de Violencia de Genero contra de las Mujeres, al mayor grado de desagregación posible.</w:t>
      </w:r>
    </w:p>
    <w:p w14:paraId="287E49BB" w14:textId="77777777" w:rsidR="003707B3" w:rsidRPr="00B05A03" w:rsidRDefault="009B445B">
      <w:pPr>
        <w:spacing w:before="240" w:after="240"/>
        <w:ind w:left="426" w:right="49"/>
        <w:jc w:val="both"/>
        <w:rPr>
          <w:rFonts w:ascii="Palatino Linotype" w:eastAsia="Palatino Linotype" w:hAnsi="Palatino Linotype" w:cs="Palatino Linotype"/>
          <w:i/>
          <w:sz w:val="20"/>
          <w:szCs w:val="20"/>
        </w:rPr>
      </w:pPr>
      <w:r w:rsidRPr="00B05A03">
        <w:rPr>
          <w:rFonts w:ascii="Palatino Linotype" w:eastAsia="Palatino Linotype" w:hAnsi="Palatino Linotype" w:cs="Palatino Linotype"/>
          <w:i/>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B05A03">
        <w:rPr>
          <w:rFonts w:ascii="Palatino Linotype" w:eastAsia="Palatino Linotype" w:hAnsi="Palatino Linotype" w:cs="Palatino Linotype"/>
          <w:b/>
          <w:i/>
          <w:sz w:val="20"/>
          <w:szCs w:val="20"/>
        </w:rPr>
        <w:t>Recurrente,</w:t>
      </w:r>
      <w:r w:rsidRPr="00B05A03">
        <w:rPr>
          <w:rFonts w:ascii="Palatino Linotype" w:eastAsia="Palatino Linotype" w:hAnsi="Palatino Linotype" w:cs="Palatino Linotype"/>
          <w:i/>
          <w:sz w:val="20"/>
          <w:szCs w:val="20"/>
        </w:rPr>
        <w:t xml:space="preserve"> mismo que igualmente hará de su conocimiento.</w:t>
      </w:r>
    </w:p>
    <w:p w14:paraId="0FDF46F4" w14:textId="77777777" w:rsidR="003707B3" w:rsidRPr="00B05A03" w:rsidRDefault="009B445B">
      <w:pPr>
        <w:spacing w:before="240" w:after="240" w:line="360" w:lineRule="auto"/>
        <w:jc w:val="both"/>
        <w:rPr>
          <w:rFonts w:ascii="Palatino Linotype" w:eastAsia="Palatino Linotype" w:hAnsi="Palatino Linotype" w:cs="Palatino Linotype"/>
          <w:b/>
        </w:rPr>
      </w:pPr>
      <w:r w:rsidRPr="00B05A03">
        <w:rPr>
          <w:rFonts w:ascii="Palatino Linotype" w:eastAsia="Palatino Linotype" w:hAnsi="Palatino Linotype" w:cs="Palatino Linotype"/>
          <w:b/>
        </w:rPr>
        <w:t xml:space="preserve">Tercero. Notifíquese, </w:t>
      </w:r>
      <w:r w:rsidRPr="00B05A03">
        <w:rPr>
          <w:rFonts w:ascii="Palatino Linotype" w:eastAsia="Palatino Linotype" w:hAnsi="Palatino Linotype" w:cs="Palatino Linotype"/>
        </w:rPr>
        <w:t xml:space="preserve">vía </w:t>
      </w:r>
      <w:r w:rsidRPr="00B05A03">
        <w:rPr>
          <w:rFonts w:ascii="Palatino Linotype" w:eastAsia="Palatino Linotype" w:hAnsi="Palatino Linotype" w:cs="Palatino Linotype"/>
          <w:b/>
        </w:rPr>
        <w:t>SAIMEX</w:t>
      </w:r>
      <w:r w:rsidRPr="00B05A03">
        <w:rPr>
          <w:rFonts w:ascii="Palatino Linotype" w:eastAsia="Palatino Linotype" w:hAnsi="Palatino Linotype" w:cs="Palatino Linotype"/>
        </w:rPr>
        <w:t xml:space="preserve">, al Titular de la Unidad de Transparencia del </w:t>
      </w:r>
      <w:r w:rsidRPr="00B05A03">
        <w:rPr>
          <w:rFonts w:ascii="Palatino Linotype" w:eastAsia="Palatino Linotype" w:hAnsi="Palatino Linotype" w:cs="Palatino Linotype"/>
          <w:b/>
        </w:rPr>
        <w:t>Sujeto Obligado,</w:t>
      </w:r>
      <w:r w:rsidRPr="00B05A03">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B05A03">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03B1C514" w14:textId="77777777" w:rsidR="003707B3" w:rsidRPr="00B05A03" w:rsidRDefault="009B445B">
      <w:pPr>
        <w:spacing w:before="240" w:after="240" w:line="360" w:lineRule="auto"/>
        <w:jc w:val="both"/>
        <w:rPr>
          <w:rFonts w:ascii="Palatino Linotype" w:eastAsia="Palatino Linotype" w:hAnsi="Palatino Linotype" w:cs="Palatino Linotype"/>
        </w:rPr>
      </w:pPr>
      <w:bookmarkStart w:id="10" w:name="_heading=h.17dp8vu" w:colFirst="0" w:colLast="0"/>
      <w:bookmarkEnd w:id="10"/>
      <w:r w:rsidRPr="00B05A0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05A03">
        <w:rPr>
          <w:rFonts w:ascii="Palatino Linotype" w:eastAsia="Palatino Linotype" w:hAnsi="Palatino Linotype" w:cs="Palatino Linotype"/>
          <w:b/>
        </w:rPr>
        <w:t>Sujeto Obligado</w:t>
      </w:r>
      <w:r w:rsidRPr="00B05A03">
        <w:rPr>
          <w:rFonts w:ascii="Palatino Linotype" w:eastAsia="Palatino Linotype" w:hAnsi="Palatino Linotype" w:cs="Palatino Linotype"/>
        </w:rPr>
        <w:t xml:space="preserve"> de manera fundada y motivada, podrá solicitar una ampliación de plazo para el cumplimiento de la presente resolución.</w:t>
      </w:r>
    </w:p>
    <w:p w14:paraId="55E239DA" w14:textId="77777777" w:rsidR="003707B3" w:rsidRPr="00B05A03" w:rsidRDefault="009B445B">
      <w:pPr>
        <w:spacing w:before="240" w:after="240"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b/>
        </w:rPr>
        <w:t xml:space="preserve">Cuarto.  Notifíquese, </w:t>
      </w:r>
      <w:r w:rsidRPr="00B05A03">
        <w:rPr>
          <w:rFonts w:ascii="Palatino Linotype" w:eastAsia="Palatino Linotype" w:hAnsi="Palatino Linotype" w:cs="Palatino Linotype"/>
        </w:rPr>
        <w:t xml:space="preserve">vía </w:t>
      </w:r>
      <w:r w:rsidRPr="00B05A03">
        <w:rPr>
          <w:rFonts w:ascii="Palatino Linotype" w:eastAsia="Palatino Linotype" w:hAnsi="Palatino Linotype" w:cs="Palatino Linotype"/>
          <w:b/>
        </w:rPr>
        <w:t>SAIMEX</w:t>
      </w:r>
      <w:r w:rsidRPr="00B05A03">
        <w:rPr>
          <w:rFonts w:ascii="Palatino Linotype" w:eastAsia="Palatino Linotype" w:hAnsi="Palatino Linotype" w:cs="Palatino Linotype"/>
        </w:rPr>
        <w:t xml:space="preserve">, a la parte </w:t>
      </w:r>
      <w:r w:rsidRPr="00B05A03">
        <w:rPr>
          <w:rFonts w:ascii="Palatino Linotype" w:eastAsia="Palatino Linotype" w:hAnsi="Palatino Linotype" w:cs="Palatino Linotype"/>
          <w:b/>
        </w:rPr>
        <w:t>Recurrente</w:t>
      </w:r>
      <w:r w:rsidRPr="00B05A0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4F2697D" w14:textId="3AF604B2" w:rsidR="003707B3" w:rsidRPr="00B05A03" w:rsidRDefault="009B445B" w:rsidP="00B05A03">
      <w:pPr>
        <w:spacing w:line="360" w:lineRule="auto"/>
        <w:jc w:val="both"/>
        <w:rPr>
          <w:rFonts w:ascii="Palatino Linotype" w:eastAsia="Palatino Linotype" w:hAnsi="Palatino Linotype" w:cs="Palatino Linotype"/>
        </w:rPr>
      </w:pPr>
      <w:r w:rsidRPr="00B05A0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w:t>
      </w:r>
      <w:bookmarkStart w:id="11" w:name="_heading=h.2et92p0" w:colFirst="0" w:colLast="0"/>
      <w:bookmarkEnd w:id="11"/>
      <w:r w:rsidRPr="00B05A03">
        <w:rPr>
          <w:rFonts w:ascii="Palatino Linotype" w:eastAsia="Palatino Linotype" w:hAnsi="Palatino Linotype" w:cs="Palatino Linotype"/>
        </w:rPr>
        <w:t>DIECISIETE DE ENERO DE DOS MIL VEINTICUATRO, ANTE EL SECRETARIO TÉCNICO DEL PLENO ALEXIS TAPIA RAMÍREZ.</w:t>
      </w:r>
    </w:p>
    <w:p w14:paraId="52C5A38C" w14:textId="77777777" w:rsidR="003707B3" w:rsidRPr="00B05A03" w:rsidRDefault="003707B3">
      <w:pPr>
        <w:spacing w:line="360" w:lineRule="auto"/>
        <w:jc w:val="both"/>
        <w:rPr>
          <w:rFonts w:ascii="Palatino Linotype" w:eastAsia="Palatino Linotype" w:hAnsi="Palatino Linotype" w:cs="Palatino Linotype"/>
        </w:rPr>
      </w:pPr>
      <w:bookmarkStart w:id="12" w:name="_heading=h.1fob9te" w:colFirst="0" w:colLast="0"/>
      <w:bookmarkEnd w:id="12"/>
    </w:p>
    <w:p w14:paraId="0320021D" w14:textId="77777777" w:rsidR="003707B3" w:rsidRPr="00B05A03" w:rsidRDefault="003707B3">
      <w:pPr>
        <w:rPr>
          <w:rFonts w:ascii="Palatino Linotype" w:eastAsia="Palatino Linotype" w:hAnsi="Palatino Linotype" w:cs="Palatino Linotype"/>
        </w:rPr>
      </w:pPr>
    </w:p>
    <w:p w14:paraId="7DFDB440" w14:textId="77777777" w:rsidR="003707B3" w:rsidRPr="00B05A03" w:rsidRDefault="009B445B">
      <w:pPr>
        <w:tabs>
          <w:tab w:val="left" w:pos="2220"/>
        </w:tabs>
        <w:rPr>
          <w:rFonts w:ascii="Palatino Linotype" w:eastAsia="Palatino Linotype" w:hAnsi="Palatino Linotype" w:cs="Palatino Linotype"/>
        </w:rPr>
      </w:pPr>
      <w:r w:rsidRPr="00B05A03">
        <w:rPr>
          <w:rFonts w:ascii="Palatino Linotype" w:eastAsia="Palatino Linotype" w:hAnsi="Palatino Linotype" w:cs="Palatino Linotype"/>
        </w:rPr>
        <w:tab/>
      </w:r>
    </w:p>
    <w:p w14:paraId="08F8F16B" w14:textId="77777777" w:rsidR="003707B3" w:rsidRPr="00B05A03" w:rsidRDefault="003707B3">
      <w:pPr>
        <w:rPr>
          <w:rFonts w:ascii="Palatino Linotype" w:eastAsia="Palatino Linotype" w:hAnsi="Palatino Linotype" w:cs="Palatino Linotype"/>
        </w:rPr>
      </w:pPr>
    </w:p>
    <w:p w14:paraId="51524B25" w14:textId="77777777" w:rsidR="003707B3" w:rsidRPr="00B05A03" w:rsidRDefault="003707B3">
      <w:pPr>
        <w:rPr>
          <w:rFonts w:ascii="Palatino Linotype" w:eastAsia="Palatino Linotype" w:hAnsi="Palatino Linotype" w:cs="Palatino Linotype"/>
        </w:rPr>
      </w:pPr>
    </w:p>
    <w:p w14:paraId="5D19A9E6" w14:textId="77777777" w:rsidR="003707B3" w:rsidRPr="00B05A03" w:rsidRDefault="003707B3">
      <w:pPr>
        <w:rPr>
          <w:rFonts w:ascii="Palatino Linotype" w:eastAsia="Palatino Linotype" w:hAnsi="Palatino Linotype" w:cs="Palatino Linotype"/>
        </w:rPr>
      </w:pPr>
    </w:p>
    <w:p w14:paraId="3C97C621" w14:textId="77777777" w:rsidR="003707B3" w:rsidRPr="00B05A03" w:rsidRDefault="003707B3">
      <w:pPr>
        <w:rPr>
          <w:rFonts w:ascii="Palatino Linotype" w:eastAsia="Palatino Linotype" w:hAnsi="Palatino Linotype" w:cs="Palatino Linotype"/>
        </w:rPr>
      </w:pPr>
    </w:p>
    <w:p w14:paraId="2598B735" w14:textId="77777777" w:rsidR="003707B3" w:rsidRPr="00B05A03" w:rsidRDefault="003707B3">
      <w:pPr>
        <w:rPr>
          <w:rFonts w:ascii="Palatino Linotype" w:eastAsia="Palatino Linotype" w:hAnsi="Palatino Linotype" w:cs="Palatino Linotype"/>
        </w:rPr>
      </w:pPr>
    </w:p>
    <w:p w14:paraId="6EB93036" w14:textId="77777777" w:rsidR="003707B3" w:rsidRPr="00B05A03" w:rsidRDefault="003707B3">
      <w:pPr>
        <w:rPr>
          <w:rFonts w:ascii="Palatino Linotype" w:eastAsia="Palatino Linotype" w:hAnsi="Palatino Linotype" w:cs="Palatino Linotype"/>
        </w:rPr>
      </w:pPr>
    </w:p>
    <w:p w14:paraId="517B7E27" w14:textId="77777777" w:rsidR="003707B3" w:rsidRPr="00B05A03" w:rsidRDefault="003707B3">
      <w:pPr>
        <w:rPr>
          <w:rFonts w:ascii="Palatino Linotype" w:eastAsia="Palatino Linotype" w:hAnsi="Palatino Linotype" w:cs="Palatino Linotype"/>
        </w:rPr>
      </w:pPr>
    </w:p>
    <w:p w14:paraId="09A385CC" w14:textId="77777777" w:rsidR="003707B3" w:rsidRPr="00B05A03" w:rsidRDefault="003707B3">
      <w:pPr>
        <w:rPr>
          <w:rFonts w:ascii="Palatino Linotype" w:eastAsia="Palatino Linotype" w:hAnsi="Palatino Linotype" w:cs="Palatino Linotype"/>
        </w:rPr>
      </w:pPr>
    </w:p>
    <w:p w14:paraId="61509E9A" w14:textId="77777777" w:rsidR="003707B3" w:rsidRPr="00B05A03" w:rsidRDefault="003707B3">
      <w:pPr>
        <w:rPr>
          <w:rFonts w:ascii="Palatino Linotype" w:eastAsia="Palatino Linotype" w:hAnsi="Palatino Linotype" w:cs="Palatino Linotype"/>
        </w:rPr>
      </w:pPr>
    </w:p>
    <w:p w14:paraId="6CE15C53" w14:textId="77777777" w:rsidR="003707B3" w:rsidRPr="00B05A03" w:rsidRDefault="003707B3">
      <w:pPr>
        <w:spacing w:line="360" w:lineRule="auto"/>
        <w:jc w:val="both"/>
        <w:rPr>
          <w:rFonts w:ascii="Palatino Linotype" w:eastAsia="Palatino Linotype" w:hAnsi="Palatino Linotype" w:cs="Palatino Linotype"/>
        </w:rPr>
      </w:pPr>
      <w:bookmarkStart w:id="13" w:name="_heading=h.3rdcrjn" w:colFirst="0" w:colLast="0"/>
      <w:bookmarkEnd w:id="13"/>
    </w:p>
    <w:p w14:paraId="1C9FC8F3" w14:textId="77777777" w:rsidR="003707B3" w:rsidRPr="00B05A03" w:rsidRDefault="003707B3">
      <w:pPr>
        <w:spacing w:line="360" w:lineRule="auto"/>
        <w:jc w:val="both"/>
        <w:rPr>
          <w:rFonts w:ascii="Palatino Linotype" w:eastAsia="Palatino Linotype" w:hAnsi="Palatino Linotype" w:cs="Palatino Linotype"/>
        </w:rPr>
      </w:pPr>
    </w:p>
    <w:p w14:paraId="38ECE23A" w14:textId="77777777" w:rsidR="003707B3" w:rsidRPr="00B05A03" w:rsidRDefault="003707B3">
      <w:pPr>
        <w:spacing w:line="360" w:lineRule="auto"/>
        <w:jc w:val="both"/>
        <w:rPr>
          <w:rFonts w:ascii="Palatino Linotype" w:eastAsia="Palatino Linotype" w:hAnsi="Palatino Linotype" w:cs="Palatino Linotype"/>
        </w:rPr>
      </w:pPr>
    </w:p>
    <w:p w14:paraId="72AF9DA3" w14:textId="77777777" w:rsidR="003707B3" w:rsidRPr="00B05A03" w:rsidRDefault="003707B3">
      <w:pPr>
        <w:spacing w:line="360" w:lineRule="auto"/>
        <w:jc w:val="both"/>
        <w:rPr>
          <w:rFonts w:ascii="Palatino Linotype" w:eastAsia="Palatino Linotype" w:hAnsi="Palatino Linotype" w:cs="Palatino Linotype"/>
        </w:rPr>
      </w:pPr>
      <w:bookmarkStart w:id="14" w:name="_heading=h.1t3h5sf" w:colFirst="0" w:colLast="0"/>
      <w:bookmarkEnd w:id="14"/>
    </w:p>
    <w:p w14:paraId="563F7CDC" w14:textId="77777777" w:rsidR="003707B3" w:rsidRPr="00B05A03" w:rsidRDefault="003707B3">
      <w:pPr>
        <w:spacing w:line="360" w:lineRule="auto"/>
        <w:jc w:val="both"/>
        <w:rPr>
          <w:rFonts w:ascii="Palatino Linotype" w:eastAsia="Palatino Linotype" w:hAnsi="Palatino Linotype" w:cs="Palatino Linotype"/>
        </w:rPr>
      </w:pPr>
    </w:p>
    <w:p w14:paraId="5CA5ED7F" w14:textId="77777777" w:rsidR="003707B3" w:rsidRPr="00B05A03" w:rsidRDefault="003707B3">
      <w:pPr>
        <w:spacing w:line="360" w:lineRule="auto"/>
        <w:jc w:val="both"/>
        <w:rPr>
          <w:rFonts w:ascii="Palatino Linotype" w:eastAsia="Palatino Linotype" w:hAnsi="Palatino Linotype" w:cs="Palatino Linotype"/>
        </w:rPr>
      </w:pPr>
    </w:p>
    <w:p w14:paraId="6494F85A" w14:textId="77777777" w:rsidR="003707B3" w:rsidRPr="00B05A03" w:rsidRDefault="003707B3">
      <w:pPr>
        <w:spacing w:line="360" w:lineRule="auto"/>
        <w:jc w:val="both"/>
        <w:rPr>
          <w:rFonts w:ascii="Palatino Linotype" w:eastAsia="Palatino Linotype" w:hAnsi="Palatino Linotype" w:cs="Palatino Linotype"/>
        </w:rPr>
      </w:pPr>
    </w:p>
    <w:p w14:paraId="42087F05" w14:textId="77777777" w:rsidR="003707B3" w:rsidRPr="00B05A03" w:rsidRDefault="003707B3">
      <w:pPr>
        <w:spacing w:line="360" w:lineRule="auto"/>
        <w:jc w:val="both"/>
        <w:rPr>
          <w:rFonts w:ascii="Palatino Linotype" w:eastAsia="Palatino Linotype" w:hAnsi="Palatino Linotype" w:cs="Palatino Linotype"/>
        </w:rPr>
      </w:pPr>
    </w:p>
    <w:p w14:paraId="5AFDB2FD" w14:textId="77777777" w:rsidR="003707B3" w:rsidRPr="00B05A03" w:rsidRDefault="003707B3">
      <w:pPr>
        <w:spacing w:line="360" w:lineRule="auto"/>
        <w:jc w:val="both"/>
        <w:rPr>
          <w:rFonts w:ascii="Palatino Linotype" w:eastAsia="Palatino Linotype" w:hAnsi="Palatino Linotype" w:cs="Palatino Linotype"/>
        </w:rPr>
      </w:pPr>
    </w:p>
    <w:p w14:paraId="51C87B63" w14:textId="77777777" w:rsidR="003707B3" w:rsidRPr="00B05A03" w:rsidRDefault="003707B3">
      <w:pPr>
        <w:spacing w:line="360" w:lineRule="auto"/>
        <w:jc w:val="both"/>
        <w:rPr>
          <w:rFonts w:ascii="Palatino Linotype" w:eastAsia="Palatino Linotype" w:hAnsi="Palatino Linotype" w:cs="Palatino Linotype"/>
        </w:rPr>
      </w:pPr>
    </w:p>
    <w:p w14:paraId="133258E3" w14:textId="77777777" w:rsidR="003707B3" w:rsidRPr="00B05A03" w:rsidRDefault="003707B3">
      <w:pPr>
        <w:spacing w:line="360" w:lineRule="auto"/>
        <w:jc w:val="both"/>
        <w:rPr>
          <w:rFonts w:ascii="Palatino Linotype" w:eastAsia="Palatino Linotype" w:hAnsi="Palatino Linotype" w:cs="Palatino Linotype"/>
        </w:rPr>
      </w:pPr>
    </w:p>
    <w:p w14:paraId="0D88C0BA" w14:textId="77777777" w:rsidR="003707B3" w:rsidRPr="00B05A03" w:rsidRDefault="003707B3">
      <w:pPr>
        <w:spacing w:line="360" w:lineRule="auto"/>
        <w:jc w:val="both"/>
        <w:rPr>
          <w:rFonts w:ascii="Palatino Linotype" w:eastAsia="Palatino Linotype" w:hAnsi="Palatino Linotype" w:cs="Palatino Linotype"/>
        </w:rPr>
      </w:pPr>
    </w:p>
    <w:p w14:paraId="52566541" w14:textId="77777777" w:rsidR="003707B3" w:rsidRPr="00B05A03" w:rsidRDefault="003707B3">
      <w:pPr>
        <w:spacing w:line="360" w:lineRule="auto"/>
        <w:jc w:val="both"/>
        <w:rPr>
          <w:rFonts w:ascii="Palatino Linotype" w:eastAsia="Palatino Linotype" w:hAnsi="Palatino Linotype" w:cs="Palatino Linotype"/>
        </w:rPr>
      </w:pPr>
    </w:p>
    <w:p w14:paraId="5777459B" w14:textId="77777777" w:rsidR="003707B3" w:rsidRPr="00B05A03" w:rsidRDefault="003707B3">
      <w:pPr>
        <w:spacing w:line="360" w:lineRule="auto"/>
        <w:jc w:val="both"/>
        <w:rPr>
          <w:rFonts w:ascii="Palatino Linotype" w:eastAsia="Palatino Linotype" w:hAnsi="Palatino Linotype" w:cs="Palatino Linotype"/>
        </w:rPr>
      </w:pPr>
    </w:p>
    <w:p w14:paraId="15B620BB" w14:textId="77777777" w:rsidR="003707B3" w:rsidRPr="00B05A03" w:rsidRDefault="003707B3">
      <w:pPr>
        <w:spacing w:line="360" w:lineRule="auto"/>
        <w:jc w:val="both"/>
        <w:rPr>
          <w:rFonts w:ascii="Palatino Linotype" w:eastAsia="Palatino Linotype" w:hAnsi="Palatino Linotype" w:cs="Palatino Linotype"/>
        </w:rPr>
      </w:pPr>
    </w:p>
    <w:sectPr w:rsidR="003707B3" w:rsidRPr="00B05A03">
      <w:headerReference w:type="default" r:id="rId33"/>
      <w:footerReference w:type="default" r:id="rId34"/>
      <w:headerReference w:type="first" r:id="rId35"/>
      <w:footerReference w:type="first" r:id="rId3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82FDC" w14:textId="77777777" w:rsidR="00F04DF9" w:rsidRDefault="00F04DF9">
      <w:r>
        <w:separator/>
      </w:r>
    </w:p>
  </w:endnote>
  <w:endnote w:type="continuationSeparator" w:id="0">
    <w:p w14:paraId="72AFBC41" w14:textId="77777777" w:rsidR="00F04DF9" w:rsidRDefault="00F04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27184" w14:textId="0217182C" w:rsidR="003707B3" w:rsidRDefault="009B445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E7F84">
      <w:rPr>
        <w:rFonts w:ascii="Palatino Linotype" w:eastAsia="Palatino Linotype" w:hAnsi="Palatino Linotype" w:cs="Palatino Linotype"/>
        <w:b/>
        <w:noProof/>
        <w:color w:val="000000"/>
        <w:sz w:val="20"/>
        <w:szCs w:val="20"/>
      </w:rPr>
      <w:t>16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E7F84">
      <w:rPr>
        <w:rFonts w:ascii="Palatino Linotype" w:eastAsia="Palatino Linotype" w:hAnsi="Palatino Linotype" w:cs="Palatino Linotype"/>
        <w:b/>
        <w:noProof/>
        <w:color w:val="000000"/>
        <w:sz w:val="20"/>
        <w:szCs w:val="20"/>
      </w:rPr>
      <w:t>76</w:t>
    </w:r>
    <w:r>
      <w:rPr>
        <w:rFonts w:ascii="Palatino Linotype" w:eastAsia="Palatino Linotype" w:hAnsi="Palatino Linotype" w:cs="Palatino Linotype"/>
        <w:b/>
        <w:color w:val="000000"/>
        <w:sz w:val="20"/>
        <w:szCs w:val="20"/>
      </w:rPr>
      <w:fldChar w:fldCharType="end"/>
    </w:r>
  </w:p>
  <w:p w14:paraId="3E59B430" w14:textId="77777777" w:rsidR="003707B3" w:rsidRDefault="003707B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8D286" w14:textId="77777777" w:rsidR="003707B3" w:rsidRDefault="009B445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E7F8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E7F84">
      <w:rPr>
        <w:rFonts w:ascii="Palatino Linotype" w:eastAsia="Palatino Linotype" w:hAnsi="Palatino Linotype" w:cs="Palatino Linotype"/>
        <w:b/>
        <w:noProof/>
        <w:color w:val="000000"/>
        <w:sz w:val="20"/>
        <w:szCs w:val="20"/>
      </w:rPr>
      <w:t>76</w:t>
    </w:r>
    <w:r>
      <w:rPr>
        <w:rFonts w:ascii="Palatino Linotype" w:eastAsia="Palatino Linotype" w:hAnsi="Palatino Linotype" w:cs="Palatino Linotype"/>
        <w:b/>
        <w:color w:val="000000"/>
        <w:sz w:val="20"/>
        <w:szCs w:val="20"/>
      </w:rPr>
      <w:fldChar w:fldCharType="end"/>
    </w:r>
  </w:p>
  <w:p w14:paraId="7B912A21" w14:textId="77777777" w:rsidR="003707B3" w:rsidRDefault="003707B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04737" w14:textId="77777777" w:rsidR="00F04DF9" w:rsidRDefault="00F04DF9">
      <w:r>
        <w:separator/>
      </w:r>
    </w:p>
  </w:footnote>
  <w:footnote w:type="continuationSeparator" w:id="0">
    <w:p w14:paraId="5365E778" w14:textId="77777777" w:rsidR="00F04DF9" w:rsidRDefault="00F04DF9">
      <w:r>
        <w:continuationSeparator/>
      </w:r>
    </w:p>
  </w:footnote>
  <w:footnote w:id="1">
    <w:p w14:paraId="21D5AFE5" w14:textId="77777777" w:rsidR="003707B3" w:rsidRDefault="009B445B">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https://legislacion.edomex.gob.mx/sites/legislacion.edomex.gob.mx/files/files/pdf/gct/2021/octubre/oct141/oct141b.pdf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B1783" w14:textId="77777777" w:rsidR="003707B3" w:rsidRDefault="009B445B">
    <w:pPr>
      <w:rPr>
        <w:rFonts w:ascii="Cambria" w:eastAsia="Cambria" w:hAnsi="Cambria" w:cs="Cambria"/>
        <w:color w:val="000000"/>
      </w:rPr>
    </w:pPr>
    <w:r>
      <w:rPr>
        <w:noProof/>
      </w:rPr>
      <w:drawing>
        <wp:anchor distT="0" distB="0" distL="0" distR="0" simplePos="0" relativeHeight="251658240" behindDoc="1" locked="0" layoutInCell="1" hidden="0" allowOverlap="1" wp14:anchorId="0C93D703" wp14:editId="1EAC4337">
          <wp:simplePos x="0" y="0"/>
          <wp:positionH relativeFrom="column">
            <wp:posOffset>-1080116</wp:posOffset>
          </wp:positionH>
          <wp:positionV relativeFrom="paragraph">
            <wp:posOffset>-488294</wp:posOffset>
          </wp:positionV>
          <wp:extent cx="7809865" cy="10165715"/>
          <wp:effectExtent l="0" t="0" r="0" b="0"/>
          <wp:wrapNone/>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3707B3" w14:paraId="772DC701" w14:textId="77777777">
      <w:tc>
        <w:tcPr>
          <w:tcW w:w="2489" w:type="dxa"/>
          <w:shd w:val="clear" w:color="auto" w:fill="auto"/>
        </w:tcPr>
        <w:p w14:paraId="7671C63E"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5CF2792" w14:textId="77777777" w:rsidR="003707B3" w:rsidRDefault="009B445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03699/INFOEM/IP/RR/2023</w:t>
          </w:r>
        </w:p>
      </w:tc>
    </w:tr>
    <w:tr w:rsidR="003707B3" w14:paraId="3B522D32" w14:textId="77777777">
      <w:trPr>
        <w:trHeight w:val="228"/>
      </w:trPr>
      <w:tc>
        <w:tcPr>
          <w:tcW w:w="2489" w:type="dxa"/>
          <w:shd w:val="clear" w:color="auto" w:fill="auto"/>
          <w:vAlign w:val="center"/>
        </w:tcPr>
        <w:p w14:paraId="32386FB2"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A21BCBB" w14:textId="77777777" w:rsidR="003707B3" w:rsidRDefault="009B445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3707B3" w14:paraId="4BD6BA52" w14:textId="77777777">
      <w:tc>
        <w:tcPr>
          <w:tcW w:w="2489" w:type="dxa"/>
          <w:shd w:val="clear" w:color="auto" w:fill="auto"/>
          <w:vAlign w:val="center"/>
        </w:tcPr>
        <w:p w14:paraId="5A9CBA25" w14:textId="77777777" w:rsidR="003707B3" w:rsidRDefault="009B445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99DF542" w14:textId="77777777" w:rsidR="003707B3" w:rsidRDefault="009B445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B6B15C" w14:textId="77777777" w:rsidR="003707B3" w:rsidRDefault="009B445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D7163" w14:textId="77777777" w:rsidR="003707B3" w:rsidRDefault="009B445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19B6680" wp14:editId="51B82E51">
          <wp:simplePos x="0" y="0"/>
          <wp:positionH relativeFrom="column">
            <wp:posOffset>-1080133</wp:posOffset>
          </wp:positionH>
          <wp:positionV relativeFrom="paragraph">
            <wp:posOffset>-328924</wp:posOffset>
          </wp:positionV>
          <wp:extent cx="7809865" cy="10165715"/>
          <wp:effectExtent l="0" t="0" r="0" b="0"/>
          <wp:wrapNone/>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5670" w:type="dxa"/>
      <w:tblInd w:w="3261" w:type="dxa"/>
      <w:tblLayout w:type="fixed"/>
      <w:tblLook w:val="0400" w:firstRow="0" w:lastRow="0" w:firstColumn="0" w:lastColumn="0" w:noHBand="0" w:noVBand="1"/>
    </w:tblPr>
    <w:tblGrid>
      <w:gridCol w:w="2551"/>
      <w:gridCol w:w="3119"/>
    </w:tblGrid>
    <w:tr w:rsidR="003707B3" w14:paraId="287CAC34" w14:textId="77777777">
      <w:tc>
        <w:tcPr>
          <w:tcW w:w="2551" w:type="dxa"/>
          <w:shd w:val="clear" w:color="auto" w:fill="auto"/>
          <w:vAlign w:val="center"/>
        </w:tcPr>
        <w:p w14:paraId="2143CC2B"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0FC41FF" w14:textId="77777777" w:rsidR="003707B3" w:rsidRDefault="009B445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03699/INFOEM/IP/RR/2023</w:t>
          </w:r>
        </w:p>
      </w:tc>
    </w:tr>
    <w:tr w:rsidR="003707B3" w14:paraId="03A09B8A" w14:textId="77777777">
      <w:trPr>
        <w:trHeight w:val="130"/>
      </w:trPr>
      <w:tc>
        <w:tcPr>
          <w:tcW w:w="2551" w:type="dxa"/>
          <w:shd w:val="clear" w:color="auto" w:fill="auto"/>
          <w:vAlign w:val="center"/>
        </w:tcPr>
        <w:p w14:paraId="51E71531"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924CB86" w14:textId="07D50E43" w:rsidR="003707B3" w:rsidRDefault="00BE7F84" w:rsidP="00BE7F84">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w:t>
          </w:r>
        </w:p>
      </w:tc>
    </w:tr>
    <w:tr w:rsidR="003707B3" w14:paraId="18F45689" w14:textId="77777777">
      <w:trPr>
        <w:trHeight w:val="228"/>
      </w:trPr>
      <w:tc>
        <w:tcPr>
          <w:tcW w:w="2551" w:type="dxa"/>
          <w:shd w:val="clear" w:color="auto" w:fill="auto"/>
          <w:vAlign w:val="center"/>
        </w:tcPr>
        <w:p w14:paraId="437BB807"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C4FB589" w14:textId="77777777" w:rsidR="003707B3" w:rsidRDefault="009B445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3707B3" w14:paraId="5224E550" w14:textId="77777777">
      <w:tc>
        <w:tcPr>
          <w:tcW w:w="2551" w:type="dxa"/>
          <w:shd w:val="clear" w:color="auto" w:fill="auto"/>
          <w:vAlign w:val="center"/>
        </w:tcPr>
        <w:p w14:paraId="70A892B8" w14:textId="77777777" w:rsidR="003707B3" w:rsidRDefault="009B44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E118B97" w14:textId="77777777" w:rsidR="003707B3" w:rsidRDefault="009B445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C7E1683" w14:textId="77777777" w:rsidR="003707B3" w:rsidRDefault="003707B3">
    <w:pPr>
      <w:pBdr>
        <w:top w:val="nil"/>
        <w:left w:val="nil"/>
        <w:bottom w:val="nil"/>
        <w:right w:val="nil"/>
        <w:between w:val="nil"/>
      </w:pBdr>
      <w:tabs>
        <w:tab w:val="center" w:pos="4252"/>
        <w:tab w:val="right" w:pos="8504"/>
      </w:tabs>
      <w:rPr>
        <w:rFonts w:ascii="Cambria" w:eastAsia="Cambria" w:hAnsi="Cambria" w:cs="Cambria"/>
        <w:color w:val="000000"/>
      </w:rPr>
    </w:pPr>
  </w:p>
  <w:p w14:paraId="3C32815F" w14:textId="77777777" w:rsidR="003707B3" w:rsidRDefault="003707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3587"/>
    <w:multiLevelType w:val="multilevel"/>
    <w:tmpl w:val="92C4CD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03496D"/>
    <w:multiLevelType w:val="multilevel"/>
    <w:tmpl w:val="3E0CA86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36CB3786"/>
    <w:multiLevelType w:val="multilevel"/>
    <w:tmpl w:val="9CD0576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4402475C"/>
    <w:multiLevelType w:val="multilevel"/>
    <w:tmpl w:val="C3CE3B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786C0896"/>
    <w:multiLevelType w:val="multilevel"/>
    <w:tmpl w:val="114CF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9643CE"/>
    <w:multiLevelType w:val="multilevel"/>
    <w:tmpl w:val="EF8ED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7B3"/>
    <w:rsid w:val="003707B3"/>
    <w:rsid w:val="003A3E68"/>
    <w:rsid w:val="009B445B"/>
    <w:rsid w:val="00B05A03"/>
    <w:rsid w:val="00BE7F84"/>
    <w:rsid w:val="00C534C2"/>
    <w:rsid w:val="00D27D53"/>
    <w:rsid w:val="00DA40E7"/>
    <w:rsid w:val="00F04DF9"/>
    <w:rsid w:val="00F142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8C2CE"/>
  <w15:docId w15:val="{2A5D33D1-F8F1-4BF5-BFA0-C55963A9D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E7F84"/>
    <w:pPr>
      <w:tabs>
        <w:tab w:val="center" w:pos="4419"/>
        <w:tab w:val="right" w:pos="8838"/>
      </w:tabs>
    </w:pPr>
  </w:style>
  <w:style w:type="character" w:customStyle="1" w:styleId="EncabezadoCar">
    <w:name w:val="Encabezado Car"/>
    <w:basedOn w:val="Fuentedeprrafopredeter"/>
    <w:link w:val="Encabezado"/>
    <w:uiPriority w:val="99"/>
    <w:rsid w:val="00BE7F84"/>
  </w:style>
  <w:style w:type="paragraph" w:styleId="Piedepgina">
    <w:name w:val="footer"/>
    <w:basedOn w:val="Normal"/>
    <w:link w:val="PiedepginaCar"/>
    <w:uiPriority w:val="99"/>
    <w:unhideWhenUsed/>
    <w:rsid w:val="00BE7F84"/>
    <w:pPr>
      <w:tabs>
        <w:tab w:val="center" w:pos="4419"/>
        <w:tab w:val="right" w:pos="8838"/>
      </w:tabs>
    </w:pPr>
  </w:style>
  <w:style w:type="character" w:customStyle="1" w:styleId="PiedepginaCar">
    <w:name w:val="Pie de página Car"/>
    <w:basedOn w:val="Fuentedeprrafopredeter"/>
    <w:link w:val="Piedepgina"/>
    <w:uiPriority w:val="99"/>
    <w:rsid w:val="00BE7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21" Type="http://schemas.openxmlformats.org/officeDocument/2006/relationships/hyperlink" Target="http://conac.izcalli.gob.m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onac.izcalli.gob.mx/" TargetMode="External"/><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ac.izcalli.gob.mx/"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166A3g5i3VtAMLuuyyjbQAkl5g==">CgMxLjAyCGguZ2pkZ3hzMgloLjNkeTZ2a20yCWguMzBqMHpsbDIJaC4yczhleW8xMghoLnR5amN3dDIJaC4zem55c2g3MgloLjI2aW4xcmcyCWguNDRzaW5pbzIJaC40ZDM0b2c4MgloLjE3ZHA4dnUyCWguMmV0OTJwMDIJaC4xZm9iOXRlMgloLjNyZGNyam4yCWguMXQzaDVzZjgAciExTHlOQkxYOXk4RXIxOFNtU202bDdndkZMdmVXLXVDS28=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19389</Words>
  <Characters>106641</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2024-01-19T16:25:00Z</cp:lastPrinted>
  <dcterms:created xsi:type="dcterms:W3CDTF">2024-01-24T19:43:00Z</dcterms:created>
  <dcterms:modified xsi:type="dcterms:W3CDTF">2024-01-24T19:43:00Z</dcterms:modified>
</cp:coreProperties>
</file>