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444A7" w14:textId="77777777" w:rsidR="00BD3657" w:rsidRDefault="00BD3657" w:rsidP="00A634B5">
      <w:pPr>
        <w:spacing w:line="360" w:lineRule="auto"/>
        <w:ind w:right="-28"/>
        <w:contextualSpacing/>
        <w:jc w:val="both"/>
        <w:rPr>
          <w:rFonts w:ascii="Palatino Linotype" w:hAnsi="Palatino Linotype" w:cs="Tahoma"/>
          <w:bCs/>
          <w:sz w:val="22"/>
          <w:szCs w:val="22"/>
        </w:rPr>
      </w:pPr>
    </w:p>
    <w:p w14:paraId="7C4A9A59" w14:textId="77777777" w:rsidR="00BD3657" w:rsidRPr="00EB0799" w:rsidRDefault="00BD3657" w:rsidP="00A634B5">
      <w:pPr>
        <w:spacing w:line="360" w:lineRule="auto"/>
        <w:ind w:right="-28"/>
        <w:contextualSpacing/>
        <w:jc w:val="both"/>
        <w:rPr>
          <w:rFonts w:ascii="Palatino Linotype" w:hAnsi="Palatino Linotype"/>
          <w:noProof/>
          <w:sz w:val="22"/>
          <w:szCs w:val="22"/>
          <w:lang w:val="es-ES"/>
        </w:rPr>
      </w:pPr>
      <w:r w:rsidRPr="00EB0799">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 veintisiete de noviembre de dos mil veinticuatro.</w:t>
      </w:r>
    </w:p>
    <w:p w14:paraId="551046CF" w14:textId="77777777" w:rsidR="00BD3657" w:rsidRPr="00EB0799" w:rsidRDefault="00BD3657" w:rsidP="00A634B5">
      <w:pPr>
        <w:spacing w:line="360" w:lineRule="auto"/>
        <w:ind w:right="-28"/>
        <w:contextualSpacing/>
        <w:jc w:val="both"/>
        <w:rPr>
          <w:rFonts w:ascii="Palatino Linotype" w:hAnsi="Palatino Linotype"/>
          <w:noProof/>
          <w:sz w:val="22"/>
          <w:szCs w:val="22"/>
          <w:lang w:val="es-ES"/>
        </w:rPr>
      </w:pPr>
    </w:p>
    <w:p w14:paraId="6C79646A" w14:textId="09CD1CCF" w:rsidR="00BD3657" w:rsidRPr="00EB0799" w:rsidRDefault="00BD3657" w:rsidP="00A634B5">
      <w:pPr>
        <w:spacing w:line="360" w:lineRule="auto"/>
        <w:ind w:right="-28"/>
        <w:contextualSpacing/>
        <w:jc w:val="both"/>
        <w:rPr>
          <w:rFonts w:ascii="Palatino Linotype" w:hAnsi="Palatino Linotype" w:cs="Tahoma"/>
          <w:bCs/>
          <w:sz w:val="22"/>
          <w:szCs w:val="22"/>
        </w:rPr>
      </w:pPr>
      <w:r w:rsidRPr="00EB0799">
        <w:rPr>
          <w:rFonts w:ascii="Palatino Linotype" w:hAnsi="Palatino Linotype" w:cs="Tahoma"/>
          <w:b/>
          <w:bCs/>
          <w:sz w:val="22"/>
          <w:szCs w:val="22"/>
        </w:rPr>
        <w:t xml:space="preserve">VISTO </w:t>
      </w:r>
      <w:r w:rsidRPr="00EB0799">
        <w:rPr>
          <w:rFonts w:ascii="Palatino Linotype" w:hAnsi="Palatino Linotype" w:cs="Tahoma"/>
          <w:bCs/>
          <w:sz w:val="22"/>
          <w:szCs w:val="22"/>
        </w:rPr>
        <w:t xml:space="preserve">el expediente conformado con motivo del Recurso de Revisión </w:t>
      </w:r>
      <w:r w:rsidRPr="00833E07">
        <w:rPr>
          <w:rFonts w:ascii="Palatino Linotype" w:hAnsi="Palatino Linotype" w:cs="Tahoma"/>
          <w:b/>
          <w:color w:val="0D0D0D" w:themeColor="text1" w:themeTint="F2"/>
          <w:sz w:val="22"/>
          <w:szCs w:val="22"/>
        </w:rPr>
        <w:t>06871/INFOEM/IP/RR/2024</w:t>
      </w:r>
      <w:r w:rsidRPr="00EB0799">
        <w:rPr>
          <w:rFonts w:ascii="Palatino Linotype" w:hAnsi="Palatino Linotype" w:cs="Tahoma"/>
          <w:sz w:val="22"/>
          <w:szCs w:val="22"/>
        </w:rPr>
        <w:t xml:space="preserve">, interpuesto por el Recurrente o Particular, en contra de la respuesta del Sujeto Obligado, </w:t>
      </w:r>
      <w:r w:rsidRPr="00833E07">
        <w:rPr>
          <w:rFonts w:ascii="Palatino Linotype" w:hAnsi="Palatino Linotype"/>
          <w:b/>
          <w:sz w:val="22"/>
          <w:szCs w:val="22"/>
        </w:rPr>
        <w:t>Ayuntamiento de Temamatla</w:t>
      </w:r>
      <w:r w:rsidRPr="00EB0799">
        <w:rPr>
          <w:rFonts w:ascii="Palatino Linotype" w:hAnsi="Palatino Linotype" w:cs="Tahoma"/>
          <w:sz w:val="22"/>
          <w:szCs w:val="22"/>
        </w:rPr>
        <w:t>, a la solicitud de acceso a la información pública</w:t>
      </w:r>
      <w:r w:rsidRPr="00EB0799">
        <w:rPr>
          <w:rFonts w:ascii="Palatino Linotype" w:hAnsi="Palatino Linotype" w:cs="Tahoma"/>
          <w:bCs/>
          <w:sz w:val="22"/>
          <w:szCs w:val="22"/>
        </w:rPr>
        <w:t xml:space="preserve"> con número de folio </w:t>
      </w:r>
      <w:r w:rsidRPr="00EB0799">
        <w:rPr>
          <w:rFonts w:ascii="Palatino Linotype" w:hAnsi="Palatino Linotype"/>
          <w:sz w:val="22"/>
          <w:szCs w:val="22"/>
        </w:rPr>
        <w:t>00681/TEMAMATL/IP/2024</w:t>
      </w:r>
      <w:r w:rsidRPr="00EB0799">
        <w:rPr>
          <w:rFonts w:ascii="Palatino Linotype" w:hAnsi="Palatino Linotype" w:cs="Tahoma"/>
          <w:bCs/>
          <w:sz w:val="22"/>
          <w:szCs w:val="22"/>
        </w:rPr>
        <w:t>, se emite la presente Resolución, con base en los Antecedentes y Considerandos que se exponen a continuación:</w:t>
      </w:r>
    </w:p>
    <w:p w14:paraId="080E21F5" w14:textId="77777777" w:rsidR="00BD3657" w:rsidRPr="00EB0799" w:rsidRDefault="00BD3657" w:rsidP="00A634B5">
      <w:pPr>
        <w:spacing w:line="360" w:lineRule="auto"/>
        <w:ind w:right="-28"/>
        <w:contextualSpacing/>
        <w:jc w:val="both"/>
        <w:rPr>
          <w:rFonts w:ascii="Palatino Linotype" w:hAnsi="Palatino Linotype" w:cs="Tahoma"/>
          <w:b/>
          <w:bCs/>
          <w:color w:val="0D0D0D" w:themeColor="text1" w:themeTint="F2"/>
          <w:sz w:val="22"/>
          <w:szCs w:val="22"/>
        </w:rPr>
      </w:pPr>
    </w:p>
    <w:p w14:paraId="213979C4" w14:textId="77777777" w:rsidR="00BD3657" w:rsidRPr="00EB0799" w:rsidRDefault="00BD3657" w:rsidP="00A634B5">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EB0799">
        <w:rPr>
          <w:rFonts w:ascii="Palatino Linotype" w:hAnsi="Palatino Linotype" w:cs="Tahoma"/>
          <w:b/>
          <w:sz w:val="22"/>
          <w:szCs w:val="22"/>
        </w:rPr>
        <w:t>A N T E C E D E N T E S</w:t>
      </w:r>
    </w:p>
    <w:p w14:paraId="35010BCD" w14:textId="77777777" w:rsidR="00BD3657" w:rsidRPr="00EB0799" w:rsidRDefault="00BD3657" w:rsidP="00A634B5">
      <w:pPr>
        <w:tabs>
          <w:tab w:val="center" w:pos="4522"/>
          <w:tab w:val="left" w:pos="7245"/>
          <w:tab w:val="right" w:pos="9044"/>
        </w:tabs>
        <w:spacing w:line="360" w:lineRule="auto"/>
        <w:ind w:right="-28"/>
        <w:contextualSpacing/>
        <w:rPr>
          <w:rFonts w:ascii="Palatino Linotype" w:hAnsi="Palatino Linotype" w:cs="Tahoma"/>
          <w:b/>
          <w:sz w:val="22"/>
          <w:szCs w:val="22"/>
        </w:rPr>
      </w:pPr>
    </w:p>
    <w:p w14:paraId="042E88C6" w14:textId="77777777" w:rsidR="00BD3657" w:rsidRPr="00EB0799" w:rsidRDefault="00BD3657" w:rsidP="00A634B5">
      <w:pPr>
        <w:pStyle w:val="Prrafodelista"/>
        <w:tabs>
          <w:tab w:val="left" w:pos="567"/>
        </w:tabs>
        <w:spacing w:line="360" w:lineRule="auto"/>
        <w:ind w:left="0" w:right="-28"/>
        <w:jc w:val="both"/>
        <w:rPr>
          <w:rFonts w:ascii="Palatino Linotype" w:hAnsi="Palatino Linotype" w:cs="Tahoma"/>
          <w:b/>
          <w:szCs w:val="22"/>
        </w:rPr>
      </w:pPr>
      <w:r w:rsidRPr="00EB0799">
        <w:rPr>
          <w:rFonts w:ascii="Palatino Linotype" w:hAnsi="Palatino Linotype" w:cs="Tahoma"/>
          <w:b/>
          <w:szCs w:val="22"/>
        </w:rPr>
        <w:t>I. Presentación de la solicitud de información</w:t>
      </w:r>
    </w:p>
    <w:p w14:paraId="0841CA7B" w14:textId="77777777" w:rsidR="00BD3657" w:rsidRPr="00EB0799" w:rsidRDefault="00BD3657" w:rsidP="00A634B5">
      <w:pPr>
        <w:pStyle w:val="Prrafodelista"/>
        <w:tabs>
          <w:tab w:val="left" w:pos="1050"/>
        </w:tabs>
        <w:spacing w:line="360" w:lineRule="auto"/>
        <w:ind w:left="0" w:right="-28"/>
        <w:jc w:val="both"/>
        <w:rPr>
          <w:rFonts w:ascii="Palatino Linotype" w:hAnsi="Palatino Linotype" w:cs="Tahoma"/>
          <w:szCs w:val="22"/>
        </w:rPr>
      </w:pPr>
    </w:p>
    <w:p w14:paraId="5F018D26" w14:textId="06707119" w:rsidR="00BD3657" w:rsidRPr="00EB0799" w:rsidRDefault="00BD3657" w:rsidP="00A634B5">
      <w:pPr>
        <w:autoSpaceDE w:val="0"/>
        <w:autoSpaceDN w:val="0"/>
        <w:adjustRightInd w:val="0"/>
        <w:spacing w:line="360" w:lineRule="auto"/>
        <w:contextualSpacing/>
        <w:jc w:val="both"/>
        <w:rPr>
          <w:rFonts w:ascii="Palatino Linotype" w:hAnsi="Palatino Linotype" w:cs="Tahoma"/>
          <w:sz w:val="22"/>
          <w:szCs w:val="22"/>
          <w:lang w:val="es-ES"/>
        </w:rPr>
      </w:pPr>
      <w:r w:rsidRPr="00EB0799">
        <w:rPr>
          <w:rFonts w:ascii="Palatino Linotype" w:hAnsi="Palatino Linotype" w:cs="Tahoma"/>
          <w:sz w:val="22"/>
          <w:szCs w:val="22"/>
        </w:rPr>
        <w:t xml:space="preserve">Con fecha ocho de octubre de dos mil veinticuatro, el Particular presentó una solicitud de acceso a la información pública, a través del Sistema de Acceso a la Información Mexiquense (SAIMEX), ante el </w:t>
      </w:r>
      <w:r w:rsidRPr="00EB0799">
        <w:rPr>
          <w:rFonts w:ascii="Palatino Linotype" w:hAnsi="Palatino Linotype"/>
          <w:sz w:val="22"/>
          <w:szCs w:val="22"/>
        </w:rPr>
        <w:t>Ayuntamiento de Temamatla</w:t>
      </w:r>
      <w:r w:rsidRPr="00EB0799">
        <w:rPr>
          <w:rFonts w:ascii="Palatino Linotype" w:hAnsi="Palatino Linotype" w:cs="Tahoma"/>
          <w:b/>
          <w:bCs/>
          <w:sz w:val="22"/>
          <w:szCs w:val="22"/>
        </w:rPr>
        <w:t xml:space="preserve">, </w:t>
      </w:r>
      <w:r w:rsidRPr="00EB0799">
        <w:rPr>
          <w:rFonts w:ascii="Palatino Linotype" w:hAnsi="Palatino Linotype" w:cs="Tahoma"/>
          <w:sz w:val="22"/>
          <w:szCs w:val="22"/>
          <w:lang w:val="es-ES"/>
        </w:rPr>
        <w:t>mediante la cual requirió lo siguiente:</w:t>
      </w:r>
    </w:p>
    <w:p w14:paraId="5990DB0C" w14:textId="77777777" w:rsidR="00BD3657" w:rsidRPr="00EB0799" w:rsidRDefault="00BD3657" w:rsidP="00A634B5">
      <w:pPr>
        <w:tabs>
          <w:tab w:val="left" w:pos="4667"/>
        </w:tabs>
        <w:spacing w:line="360" w:lineRule="auto"/>
        <w:ind w:right="567"/>
        <w:contextualSpacing/>
        <w:jc w:val="both"/>
        <w:rPr>
          <w:rFonts w:ascii="Palatino Linotype" w:hAnsi="Palatino Linotype" w:cs="Tahoma"/>
          <w:b/>
          <w:bCs/>
          <w:i/>
        </w:rPr>
      </w:pPr>
    </w:p>
    <w:p w14:paraId="253038F2" w14:textId="77777777" w:rsidR="00BD3657" w:rsidRPr="00EB0799" w:rsidRDefault="00BD3657" w:rsidP="00A634B5">
      <w:pPr>
        <w:tabs>
          <w:tab w:val="left" w:pos="4667"/>
        </w:tabs>
        <w:spacing w:line="360" w:lineRule="auto"/>
        <w:ind w:left="567" w:right="567"/>
        <w:contextualSpacing/>
        <w:jc w:val="both"/>
        <w:rPr>
          <w:rFonts w:ascii="Palatino Linotype" w:hAnsi="Palatino Linotype" w:cs="Tahoma"/>
          <w:b/>
          <w:bCs/>
          <w:i/>
        </w:rPr>
      </w:pPr>
      <w:bookmarkStart w:id="0" w:name="_Hlk182343885"/>
      <w:r w:rsidRPr="00EB0799">
        <w:rPr>
          <w:rFonts w:ascii="Palatino Linotype" w:hAnsi="Palatino Linotype" w:cs="Tahoma"/>
          <w:b/>
          <w:bCs/>
          <w:i/>
        </w:rPr>
        <w:t>“DESCRIPCIÓN CLARA Y PRECISA DE LA INFORMACIÓN SOLICITADA:</w:t>
      </w:r>
    </w:p>
    <w:p w14:paraId="460570BC" w14:textId="3C768DD3" w:rsidR="00BD3657" w:rsidRPr="00EB0799" w:rsidRDefault="00BD3657" w:rsidP="00A634B5">
      <w:pPr>
        <w:widowControl w:val="0"/>
        <w:tabs>
          <w:tab w:val="left" w:pos="4667"/>
        </w:tabs>
        <w:spacing w:line="360" w:lineRule="auto"/>
        <w:ind w:left="567" w:right="567"/>
        <w:contextualSpacing/>
        <w:jc w:val="both"/>
        <w:rPr>
          <w:rFonts w:ascii="Palatino Linotype" w:hAnsi="Palatino Linotype" w:cs="Tahoma"/>
          <w:bCs/>
          <w:i/>
        </w:rPr>
      </w:pPr>
      <w:r w:rsidRPr="00EB0799">
        <w:rPr>
          <w:rFonts w:ascii="Palatino Linotype" w:hAnsi="Palatino Linotype"/>
          <w:i/>
          <w:color w:val="000000"/>
        </w:rPr>
        <w:t>SOLICITO LAS ACTAS DE TODAS Y CADA UNA DE LAS SESONES CELEBRADAS POR LA COMISION PERMANENTE DE PLANEACION PARA EL DESARROLLO DEL MUNICIPIO DE TEMAMATLA DURANTE EL PERIODO 2022-2024.</w:t>
      </w:r>
      <w:r w:rsidRPr="00EB0799">
        <w:rPr>
          <w:rFonts w:ascii="Palatino Linotype" w:hAnsi="Palatino Linotype" w:cs="Tahoma"/>
          <w:bCs/>
          <w:i/>
        </w:rPr>
        <w:t xml:space="preserve">” </w:t>
      </w:r>
    </w:p>
    <w:p w14:paraId="59C2A773" w14:textId="77777777" w:rsidR="00BD3657" w:rsidRPr="00EB0799" w:rsidRDefault="00BD3657" w:rsidP="00A634B5">
      <w:pPr>
        <w:widowControl w:val="0"/>
        <w:tabs>
          <w:tab w:val="left" w:pos="4667"/>
        </w:tabs>
        <w:spacing w:line="360" w:lineRule="auto"/>
        <w:ind w:left="567" w:right="567"/>
        <w:contextualSpacing/>
        <w:jc w:val="both"/>
        <w:rPr>
          <w:rFonts w:ascii="Palatino Linotype" w:hAnsi="Palatino Linotype"/>
          <w:i/>
          <w:lang w:eastAsia="es-MX"/>
        </w:rPr>
      </w:pPr>
      <w:r w:rsidRPr="00EB0799">
        <w:rPr>
          <w:rFonts w:ascii="Palatino Linotype" w:hAnsi="Palatino Linotype" w:cs="Tahoma"/>
          <w:bCs/>
          <w:i/>
        </w:rPr>
        <w:t>(Sic)</w:t>
      </w:r>
    </w:p>
    <w:bookmarkEnd w:id="0"/>
    <w:p w14:paraId="1B9EC7BD" w14:textId="77777777" w:rsidR="00BD3657" w:rsidRPr="00EB0799" w:rsidRDefault="00BD3657" w:rsidP="00A634B5">
      <w:pPr>
        <w:tabs>
          <w:tab w:val="left" w:pos="4667"/>
        </w:tabs>
        <w:spacing w:line="360" w:lineRule="auto"/>
        <w:ind w:left="567" w:right="567"/>
        <w:contextualSpacing/>
        <w:jc w:val="both"/>
        <w:rPr>
          <w:rFonts w:ascii="Palatino Linotype" w:hAnsi="Palatino Linotype" w:cs="Tahoma"/>
          <w:bCs/>
          <w:i/>
        </w:rPr>
      </w:pPr>
    </w:p>
    <w:p w14:paraId="356152C9" w14:textId="77777777" w:rsidR="00BD3657" w:rsidRPr="00EB0799" w:rsidRDefault="00BD3657" w:rsidP="00A634B5">
      <w:pPr>
        <w:tabs>
          <w:tab w:val="left" w:pos="4667"/>
        </w:tabs>
        <w:spacing w:line="360" w:lineRule="auto"/>
        <w:ind w:left="567"/>
        <w:contextualSpacing/>
        <w:jc w:val="both"/>
        <w:rPr>
          <w:rFonts w:ascii="Palatino Linotype" w:hAnsi="Palatino Linotype" w:cs="Tahoma"/>
          <w:b/>
          <w:bCs/>
          <w:i/>
        </w:rPr>
      </w:pPr>
      <w:r w:rsidRPr="00EB0799">
        <w:rPr>
          <w:rFonts w:ascii="Palatino Linotype" w:hAnsi="Palatino Linotype" w:cs="Tahoma"/>
          <w:b/>
          <w:bCs/>
          <w:i/>
        </w:rPr>
        <w:t xml:space="preserve">“Modalidad de Entrega: </w:t>
      </w:r>
    </w:p>
    <w:p w14:paraId="71B1BA8A" w14:textId="77777777" w:rsidR="00BD3657" w:rsidRPr="00EB0799" w:rsidRDefault="00BD3657" w:rsidP="00A634B5">
      <w:pPr>
        <w:tabs>
          <w:tab w:val="left" w:pos="567"/>
        </w:tabs>
        <w:spacing w:line="360" w:lineRule="auto"/>
        <w:ind w:left="567" w:right="-28"/>
        <w:contextualSpacing/>
        <w:jc w:val="both"/>
        <w:rPr>
          <w:rFonts w:ascii="Palatino Linotype" w:hAnsi="Palatino Linotype" w:cs="Tahoma"/>
          <w:bCs/>
          <w:i/>
        </w:rPr>
      </w:pPr>
      <w:r w:rsidRPr="00EB0799" w:rsidDel="006544EC">
        <w:rPr>
          <w:rFonts w:ascii="Palatino Linotype" w:hAnsi="Palatino Linotype" w:cs="Tahoma"/>
          <w:b/>
          <w:bCs/>
          <w:i/>
        </w:rPr>
        <w:t xml:space="preserve"> </w:t>
      </w:r>
      <w:r w:rsidRPr="00EB0799">
        <w:rPr>
          <w:rFonts w:ascii="Palatino Linotype" w:hAnsi="Palatino Linotype" w:cs="Tahoma"/>
          <w:bCs/>
          <w:i/>
        </w:rPr>
        <w:t xml:space="preserve">A través de SAIMEX” </w:t>
      </w:r>
    </w:p>
    <w:p w14:paraId="4A4E31F3" w14:textId="77777777" w:rsidR="00BD3657" w:rsidRPr="00EB0799" w:rsidRDefault="00BD3657" w:rsidP="00A634B5">
      <w:pPr>
        <w:tabs>
          <w:tab w:val="left" w:pos="567"/>
        </w:tabs>
        <w:spacing w:line="360" w:lineRule="auto"/>
        <w:ind w:right="-28"/>
        <w:contextualSpacing/>
        <w:jc w:val="both"/>
        <w:rPr>
          <w:rFonts w:ascii="Palatino Linotype" w:hAnsi="Palatino Linotype" w:cs="Tahoma"/>
          <w:i/>
        </w:rPr>
      </w:pPr>
    </w:p>
    <w:p w14:paraId="34DF0DD2" w14:textId="77777777" w:rsidR="00BD3657" w:rsidRPr="00EB0799" w:rsidRDefault="00BD3657" w:rsidP="00A634B5">
      <w:pPr>
        <w:spacing w:line="360" w:lineRule="auto"/>
        <w:contextualSpacing/>
        <w:rPr>
          <w:rFonts w:ascii="Palatino Linotype" w:hAnsi="Palatino Linotype" w:cs="Tahoma"/>
          <w:b/>
          <w:sz w:val="22"/>
          <w:szCs w:val="22"/>
        </w:rPr>
      </w:pPr>
      <w:bookmarkStart w:id="1" w:name="_Hlk16082333"/>
      <w:r w:rsidRPr="00EB0799">
        <w:rPr>
          <w:rFonts w:ascii="Palatino Linotype" w:eastAsia="Calibri" w:hAnsi="Palatino Linotype" w:cs="Tahoma"/>
          <w:b/>
          <w:bCs/>
          <w:sz w:val="22"/>
          <w:szCs w:val="22"/>
        </w:rPr>
        <w:lastRenderedPageBreak/>
        <w:t xml:space="preserve">II. </w:t>
      </w:r>
      <w:r w:rsidRPr="00EB0799">
        <w:rPr>
          <w:rFonts w:ascii="Palatino Linotype" w:hAnsi="Palatino Linotype" w:cs="Tahoma"/>
          <w:b/>
          <w:sz w:val="22"/>
          <w:szCs w:val="22"/>
        </w:rPr>
        <w:t>Respuesta</w:t>
      </w:r>
      <w:r w:rsidRPr="00EB0799">
        <w:rPr>
          <w:rFonts w:ascii="Palatino Linotype" w:hAnsi="Palatino Linotype" w:cs="Tahoma"/>
          <w:b/>
          <w:bCs/>
          <w:sz w:val="22"/>
          <w:szCs w:val="22"/>
        </w:rPr>
        <w:t xml:space="preserve"> del Sujeto Obligado</w:t>
      </w:r>
    </w:p>
    <w:p w14:paraId="6C220342" w14:textId="77777777" w:rsidR="00BD3657" w:rsidRPr="00EB0799" w:rsidRDefault="00BD3657" w:rsidP="00A634B5">
      <w:pPr>
        <w:tabs>
          <w:tab w:val="left" w:pos="4667"/>
        </w:tabs>
        <w:spacing w:line="360" w:lineRule="auto"/>
        <w:ind w:right="567"/>
        <w:contextualSpacing/>
        <w:jc w:val="both"/>
        <w:rPr>
          <w:rFonts w:ascii="Palatino Linotype" w:hAnsi="Palatino Linotype" w:cs="Tahoma"/>
          <w:b/>
          <w:bCs/>
          <w:sz w:val="22"/>
          <w:szCs w:val="24"/>
        </w:rPr>
      </w:pPr>
    </w:p>
    <w:bookmarkEnd w:id="1"/>
    <w:p w14:paraId="065BF561" w14:textId="77777777" w:rsidR="0051263D" w:rsidRPr="00EB0799" w:rsidRDefault="00BD3657" w:rsidP="00A634B5">
      <w:pPr>
        <w:autoSpaceDE w:val="0"/>
        <w:autoSpaceDN w:val="0"/>
        <w:adjustRightInd w:val="0"/>
        <w:spacing w:line="360" w:lineRule="auto"/>
        <w:contextualSpacing/>
        <w:jc w:val="both"/>
        <w:rPr>
          <w:rFonts w:ascii="Palatino Linotype" w:hAnsi="Palatino Linotype" w:cs="Tahoma"/>
          <w:sz w:val="22"/>
          <w:szCs w:val="22"/>
        </w:rPr>
      </w:pPr>
      <w:r w:rsidRPr="00EB0799">
        <w:rPr>
          <w:rFonts w:ascii="Palatino Linotype" w:hAnsi="Palatino Linotype" w:cs="Tahoma"/>
          <w:bCs/>
          <w:sz w:val="22"/>
          <w:szCs w:val="22"/>
        </w:rPr>
        <w:t>Con fecha veinti</w:t>
      </w:r>
      <w:r w:rsidR="0051263D" w:rsidRPr="00EB0799">
        <w:rPr>
          <w:rFonts w:ascii="Palatino Linotype" w:hAnsi="Palatino Linotype" w:cs="Tahoma"/>
          <w:bCs/>
          <w:sz w:val="22"/>
          <w:szCs w:val="22"/>
        </w:rPr>
        <w:t>cinco</w:t>
      </w:r>
      <w:r w:rsidRPr="00EB0799">
        <w:rPr>
          <w:rFonts w:ascii="Palatino Linotype" w:hAnsi="Palatino Linotype" w:cs="Tahoma"/>
          <w:bCs/>
          <w:sz w:val="22"/>
          <w:szCs w:val="22"/>
        </w:rPr>
        <w:t xml:space="preserve"> de octubre de dos mil veinticuatro, el</w:t>
      </w:r>
      <w:r w:rsidRPr="00EB0799">
        <w:rPr>
          <w:rFonts w:ascii="Palatino Linotype" w:hAnsi="Palatino Linotype" w:cs="Tahoma"/>
          <w:b/>
          <w:sz w:val="22"/>
          <w:szCs w:val="22"/>
        </w:rPr>
        <w:t xml:space="preserve"> </w:t>
      </w:r>
      <w:r w:rsidRPr="00EB0799">
        <w:rPr>
          <w:rFonts w:ascii="Palatino Linotype" w:hAnsi="Palatino Linotype" w:cs="Tahoma"/>
          <w:sz w:val="22"/>
          <w:szCs w:val="22"/>
        </w:rPr>
        <w:t>Sujeto Obligado dio respuesta a la solicitud de acceso a la información a través del Sistema de Acceso a la Información Mexiquense (SAIMEX), por medio de</w:t>
      </w:r>
      <w:r w:rsidR="0051263D" w:rsidRPr="00EB0799">
        <w:rPr>
          <w:rFonts w:ascii="Palatino Linotype" w:hAnsi="Palatino Linotype" w:cs="Tahoma"/>
          <w:sz w:val="22"/>
          <w:szCs w:val="22"/>
        </w:rPr>
        <w:t xml:space="preserve"> la digitalización de los documentos siguientes:</w:t>
      </w:r>
    </w:p>
    <w:p w14:paraId="2A9F3773" w14:textId="77777777" w:rsidR="0051263D" w:rsidRPr="00EB0799" w:rsidRDefault="0051263D" w:rsidP="00A634B5">
      <w:pPr>
        <w:autoSpaceDE w:val="0"/>
        <w:autoSpaceDN w:val="0"/>
        <w:adjustRightInd w:val="0"/>
        <w:spacing w:line="360" w:lineRule="auto"/>
        <w:contextualSpacing/>
        <w:jc w:val="both"/>
        <w:rPr>
          <w:rFonts w:ascii="Palatino Linotype" w:hAnsi="Palatino Linotype" w:cs="Tahoma"/>
          <w:sz w:val="22"/>
          <w:szCs w:val="22"/>
        </w:rPr>
      </w:pPr>
    </w:p>
    <w:p w14:paraId="6FE3F03D" w14:textId="28DB29D1" w:rsidR="00BD3657" w:rsidRPr="00EB0799" w:rsidRDefault="0051263D" w:rsidP="00A634B5">
      <w:pPr>
        <w:autoSpaceDE w:val="0"/>
        <w:autoSpaceDN w:val="0"/>
        <w:adjustRightInd w:val="0"/>
        <w:spacing w:line="360" w:lineRule="auto"/>
        <w:contextualSpacing/>
        <w:jc w:val="both"/>
        <w:rPr>
          <w:rFonts w:ascii="Palatino Linotype" w:hAnsi="Palatino Linotype" w:cs="Tahoma"/>
          <w:sz w:val="22"/>
          <w:szCs w:val="22"/>
        </w:rPr>
      </w:pPr>
      <w:r w:rsidRPr="00EB0799">
        <w:rPr>
          <w:rFonts w:ascii="Palatino Linotype" w:hAnsi="Palatino Linotype" w:cs="Tahoma"/>
          <w:sz w:val="22"/>
          <w:szCs w:val="22"/>
        </w:rPr>
        <w:t>i) Oficio número DGMRIPPE/055/2024, del quince de octubre de dos mil veinticuatro, suscrito por la Titular de la Dirección General de Mejora Regulatoria e Información Programación y Evaluación, dirigido a la Titular de la Unidad de Transparencia y Acceso a la Información Pública, a través del cual manifiesta y expone lo siguiente:</w:t>
      </w:r>
    </w:p>
    <w:p w14:paraId="16843858" w14:textId="77777777" w:rsidR="00BD3657" w:rsidRPr="00EB0799" w:rsidRDefault="00BD3657" w:rsidP="00A634B5">
      <w:pPr>
        <w:spacing w:line="360" w:lineRule="auto"/>
        <w:contextualSpacing/>
      </w:pPr>
    </w:p>
    <w:p w14:paraId="697235E6" w14:textId="77777777" w:rsidR="00BD3657" w:rsidRPr="00EB0799" w:rsidRDefault="00BD3657" w:rsidP="00A634B5">
      <w:pPr>
        <w:spacing w:line="360" w:lineRule="auto"/>
        <w:ind w:left="567" w:right="567"/>
        <w:contextualSpacing/>
        <w:jc w:val="both"/>
        <w:rPr>
          <w:rFonts w:ascii="Palatino Linotype" w:hAnsi="Palatino Linotype"/>
          <w:i/>
          <w:iCs/>
        </w:rPr>
      </w:pPr>
      <w:r w:rsidRPr="00EB0799">
        <w:rPr>
          <w:rFonts w:ascii="Palatino Linotype" w:hAnsi="Palatino Linotype"/>
          <w:i/>
          <w:iCs/>
        </w:rPr>
        <w:t>“…</w:t>
      </w:r>
    </w:p>
    <w:p w14:paraId="5D8A9FA8" w14:textId="77777777" w:rsidR="00BD3657" w:rsidRPr="00EB0799" w:rsidRDefault="00BD3657" w:rsidP="00A634B5">
      <w:pPr>
        <w:spacing w:line="360" w:lineRule="auto"/>
        <w:ind w:left="567" w:right="567"/>
        <w:contextualSpacing/>
        <w:jc w:val="both"/>
        <w:rPr>
          <w:rFonts w:ascii="Palatino Linotype" w:hAnsi="Palatino Linotype"/>
          <w:i/>
          <w:iCs/>
        </w:rPr>
      </w:pPr>
      <w:r w:rsidRPr="00EB0799">
        <w:rPr>
          <w:rFonts w:ascii="Palatino Linotype" w:hAnsi="Palatino Linotype"/>
          <w:b/>
          <w:bCs/>
          <w:i/>
          <w:iCs/>
        </w:rPr>
        <w:t xml:space="preserve">Esta dirección propone la consulta directa derivado de la cantidad, volumen, los recursos materiales y humanos con que cuenta esta dirección son limitados, así como el cambio de administración, la entrega recepción y mesas de transición, por tal motivo, se invoca el numeral </w:t>
      </w:r>
      <w:r w:rsidRPr="00EB0799">
        <w:rPr>
          <w:rFonts w:ascii="Palatino Linotype" w:hAnsi="Palatino Linotype"/>
          <w:i/>
          <w:iCs/>
        </w:rPr>
        <w:t xml:space="preserve">12 segundo párrafo donde se indica… </w:t>
      </w:r>
    </w:p>
    <w:p w14:paraId="2A1BC779" w14:textId="77777777" w:rsidR="00BD3657" w:rsidRPr="00EB0799" w:rsidRDefault="00BD3657" w:rsidP="00A634B5">
      <w:pPr>
        <w:spacing w:line="360" w:lineRule="auto"/>
        <w:ind w:left="567" w:right="567"/>
        <w:contextualSpacing/>
        <w:jc w:val="both"/>
        <w:rPr>
          <w:rFonts w:ascii="Palatino Linotype" w:hAnsi="Palatino Linotype"/>
          <w:i/>
          <w:iCs/>
        </w:rPr>
      </w:pPr>
    </w:p>
    <w:p w14:paraId="06C045D3" w14:textId="5655CB21" w:rsidR="00BD3657" w:rsidRPr="00EB0799" w:rsidRDefault="00BD3657" w:rsidP="00A634B5">
      <w:pPr>
        <w:spacing w:line="360" w:lineRule="auto"/>
        <w:ind w:left="567" w:right="567"/>
        <w:contextualSpacing/>
        <w:jc w:val="both"/>
        <w:rPr>
          <w:rFonts w:ascii="Palatino Linotype" w:hAnsi="Palatino Linotype"/>
          <w:i/>
          <w:iCs/>
        </w:rPr>
      </w:pPr>
      <w:r w:rsidRPr="00EB0799">
        <w:rPr>
          <w:rFonts w:ascii="Palatino Linotype" w:hAnsi="Palatino Linotype"/>
          <w:i/>
          <w:iCs/>
        </w:rPr>
        <w:t>En este sentido y de conformidad con el artículo 158 de la Ley de Transparencia y acceso a la información pública del estado de México y Municipios, para el caso de ser aprobado por el Comité de Transparencia el cambio de modalidad. Se propone las siguientes reglas de operación de conformidad con los Lineamientos Generales en Materia de Clasificación y Desclasificación de la Información, así como para la elaboración de Versiones Públicas</w:t>
      </w:r>
      <w:r w:rsidR="005D7F87" w:rsidRPr="00EB0799">
        <w:rPr>
          <w:rFonts w:ascii="Palatino Linotype" w:hAnsi="Palatino Linotype"/>
          <w:i/>
          <w:iCs/>
        </w:rPr>
        <w:t>…</w:t>
      </w:r>
    </w:p>
    <w:p w14:paraId="19437377" w14:textId="77777777" w:rsidR="00BD3657" w:rsidRPr="00EB0799" w:rsidRDefault="00BD3657" w:rsidP="00A634B5">
      <w:pPr>
        <w:spacing w:line="360" w:lineRule="auto"/>
        <w:ind w:left="567" w:right="567"/>
        <w:contextualSpacing/>
        <w:jc w:val="both"/>
        <w:rPr>
          <w:rFonts w:ascii="Palatino Linotype" w:hAnsi="Palatino Linotype"/>
          <w:i/>
          <w:iCs/>
        </w:rPr>
      </w:pPr>
      <w:r w:rsidRPr="00EB0799">
        <w:rPr>
          <w:rFonts w:ascii="Palatino Linotype" w:hAnsi="Palatino Linotype"/>
          <w:i/>
          <w:iCs/>
        </w:rPr>
        <w:t>…”</w:t>
      </w:r>
    </w:p>
    <w:p w14:paraId="4BB15E77" w14:textId="77777777" w:rsidR="00BD3657" w:rsidRPr="00EB0799" w:rsidRDefault="00BD3657" w:rsidP="00A634B5">
      <w:pPr>
        <w:autoSpaceDE w:val="0"/>
        <w:autoSpaceDN w:val="0"/>
        <w:adjustRightInd w:val="0"/>
        <w:spacing w:line="360" w:lineRule="auto"/>
        <w:contextualSpacing/>
        <w:jc w:val="both"/>
        <w:rPr>
          <w:rFonts w:ascii="Palatino Linotype" w:hAnsi="Palatino Linotype" w:cs="Tahoma"/>
          <w:b/>
          <w:sz w:val="22"/>
          <w:szCs w:val="22"/>
        </w:rPr>
      </w:pPr>
    </w:p>
    <w:p w14:paraId="6E81EAF2" w14:textId="0699E724" w:rsidR="00BD3657" w:rsidRPr="00EB0799" w:rsidRDefault="00BD3657" w:rsidP="00A634B5">
      <w:pPr>
        <w:autoSpaceDE w:val="0"/>
        <w:autoSpaceDN w:val="0"/>
        <w:adjustRightInd w:val="0"/>
        <w:spacing w:line="360" w:lineRule="auto"/>
        <w:contextualSpacing/>
        <w:jc w:val="both"/>
        <w:rPr>
          <w:rFonts w:ascii="Palatino Linotype" w:hAnsi="Palatino Linotype" w:cs="Tahoma"/>
          <w:sz w:val="22"/>
          <w:szCs w:val="22"/>
        </w:rPr>
      </w:pPr>
      <w:r w:rsidRPr="00EB0799">
        <w:rPr>
          <w:rFonts w:ascii="Palatino Linotype" w:hAnsi="Palatino Linotype" w:cs="Tahoma"/>
          <w:sz w:val="22"/>
          <w:szCs w:val="22"/>
        </w:rPr>
        <w:t xml:space="preserve">ii) Acta de la Octogésima </w:t>
      </w:r>
      <w:r w:rsidR="005D7F87" w:rsidRPr="00EB0799">
        <w:rPr>
          <w:rFonts w:ascii="Palatino Linotype" w:hAnsi="Palatino Linotype" w:cs="Tahoma"/>
          <w:sz w:val="22"/>
          <w:szCs w:val="22"/>
        </w:rPr>
        <w:t>Quin</w:t>
      </w:r>
      <w:r w:rsidRPr="00EB0799">
        <w:rPr>
          <w:rFonts w:ascii="Palatino Linotype" w:hAnsi="Palatino Linotype" w:cs="Tahoma"/>
          <w:sz w:val="22"/>
          <w:szCs w:val="22"/>
        </w:rPr>
        <w:t>ta Sesión Ordinaria del Comité de Transparencia del Ayuntamiento de Temamatla 2022-2024, del veinti</w:t>
      </w:r>
      <w:r w:rsidR="005D7F87" w:rsidRPr="00EB0799">
        <w:rPr>
          <w:rFonts w:ascii="Palatino Linotype" w:hAnsi="Palatino Linotype" w:cs="Tahoma"/>
          <w:sz w:val="22"/>
          <w:szCs w:val="22"/>
        </w:rPr>
        <w:t>cuatro</w:t>
      </w:r>
      <w:r w:rsidRPr="00EB0799">
        <w:rPr>
          <w:rFonts w:ascii="Palatino Linotype" w:hAnsi="Palatino Linotype" w:cs="Tahoma"/>
          <w:sz w:val="22"/>
          <w:szCs w:val="22"/>
        </w:rPr>
        <w:t xml:space="preserve"> de octubre de dos mil veinticuatro, por la que se aprueba la consulta directa de la información solicitada.</w:t>
      </w:r>
    </w:p>
    <w:p w14:paraId="091F3F74" w14:textId="77777777" w:rsidR="00BD3657" w:rsidRPr="00EB0799" w:rsidRDefault="00BD3657" w:rsidP="00A634B5">
      <w:pPr>
        <w:autoSpaceDE w:val="0"/>
        <w:autoSpaceDN w:val="0"/>
        <w:adjustRightInd w:val="0"/>
        <w:spacing w:line="360" w:lineRule="auto"/>
        <w:contextualSpacing/>
        <w:jc w:val="both"/>
        <w:rPr>
          <w:rFonts w:ascii="Palatino Linotype" w:hAnsi="Palatino Linotype" w:cs="Tahoma"/>
          <w:bCs/>
          <w:i/>
        </w:rPr>
      </w:pPr>
    </w:p>
    <w:p w14:paraId="0ED1EA3C" w14:textId="77777777" w:rsidR="00BD3657" w:rsidRPr="00EB0799" w:rsidRDefault="00BD3657" w:rsidP="00A634B5">
      <w:pPr>
        <w:autoSpaceDE w:val="0"/>
        <w:autoSpaceDN w:val="0"/>
        <w:adjustRightInd w:val="0"/>
        <w:spacing w:line="360" w:lineRule="auto"/>
        <w:ind w:right="-28"/>
        <w:contextualSpacing/>
        <w:jc w:val="both"/>
        <w:rPr>
          <w:rFonts w:ascii="Palatino Linotype" w:hAnsi="Palatino Linotype" w:cs="Tahoma"/>
          <w:b/>
          <w:sz w:val="22"/>
          <w:szCs w:val="22"/>
        </w:rPr>
      </w:pPr>
      <w:r w:rsidRPr="00EB0799">
        <w:rPr>
          <w:rFonts w:ascii="Palatino Linotype" w:hAnsi="Palatino Linotype" w:cs="Tahoma"/>
          <w:b/>
          <w:sz w:val="22"/>
          <w:szCs w:val="22"/>
        </w:rPr>
        <w:t>III. Interposición del Recurso de Revisión</w:t>
      </w:r>
    </w:p>
    <w:p w14:paraId="5C4FFBEB" w14:textId="79454359" w:rsidR="00BD3657" w:rsidRPr="00EB0799" w:rsidRDefault="00BD3657" w:rsidP="00A634B5">
      <w:pPr>
        <w:spacing w:line="360" w:lineRule="auto"/>
        <w:contextualSpacing/>
        <w:jc w:val="both"/>
        <w:rPr>
          <w:rFonts w:ascii="Palatino Linotype" w:hAnsi="Palatino Linotype" w:cs="Tahoma"/>
          <w:bCs/>
          <w:sz w:val="22"/>
          <w:szCs w:val="22"/>
          <w:lang w:val="es-ES"/>
        </w:rPr>
      </w:pPr>
      <w:r w:rsidRPr="00EB0799">
        <w:rPr>
          <w:rFonts w:ascii="Palatino Linotype" w:hAnsi="Palatino Linotype" w:cs="Tahoma"/>
          <w:bCs/>
          <w:sz w:val="22"/>
          <w:szCs w:val="22"/>
          <w:lang w:val="es-ES"/>
        </w:rPr>
        <w:lastRenderedPageBreak/>
        <w:t xml:space="preserve">Con fecha </w:t>
      </w:r>
      <w:r w:rsidR="00E6627D" w:rsidRPr="00EB0799">
        <w:rPr>
          <w:rFonts w:ascii="Palatino Linotype" w:hAnsi="Palatino Linotype" w:cs="Tahoma"/>
          <w:bCs/>
          <w:sz w:val="22"/>
          <w:szCs w:val="22"/>
          <w:lang w:val="es-ES"/>
        </w:rPr>
        <w:t>treinta</w:t>
      </w:r>
      <w:r w:rsidRPr="00EB0799">
        <w:rPr>
          <w:rFonts w:ascii="Palatino Linotype" w:hAnsi="Palatino Linotype" w:cs="Tahoma"/>
          <w:bCs/>
          <w:sz w:val="22"/>
          <w:szCs w:val="22"/>
          <w:lang w:val="es-ES"/>
        </w:rPr>
        <w:t xml:space="preserve"> de octubre de dos mil veinticuatro </w:t>
      </w:r>
      <w:r w:rsidRPr="00EB0799">
        <w:rPr>
          <w:rFonts w:ascii="Palatino Linotype" w:hAnsi="Palatino Linotype" w:cs="Tahoma"/>
          <w:bCs/>
          <w:sz w:val="22"/>
          <w:szCs w:val="22"/>
        </w:rPr>
        <w:t xml:space="preserve">se recibió en este Instituto, a través del </w:t>
      </w:r>
      <w:r w:rsidRPr="00EB0799">
        <w:rPr>
          <w:rFonts w:ascii="Palatino Linotype" w:hAnsi="Palatino Linotype" w:cs="Tahoma"/>
          <w:bCs/>
          <w:sz w:val="22"/>
          <w:szCs w:val="22"/>
          <w:lang w:val="es-ES"/>
        </w:rPr>
        <w:t>Sistema de Acceso a la Información Mexiquense (SAIMEX)</w:t>
      </w:r>
      <w:r w:rsidRPr="00EB0799">
        <w:rPr>
          <w:rFonts w:ascii="Palatino Linotype" w:hAnsi="Palatino Linotype" w:cs="Tahoma"/>
          <w:bCs/>
          <w:sz w:val="22"/>
          <w:szCs w:val="22"/>
        </w:rPr>
        <w:t>, el Recurso de Revisión interpuesto por la parte Recurrente, en contra de la respuesta del Sujeto Obligado, en los siguientes términos:</w:t>
      </w:r>
    </w:p>
    <w:p w14:paraId="03805FC2" w14:textId="77777777" w:rsidR="00BD3657" w:rsidRPr="00EB0799" w:rsidRDefault="00BD3657" w:rsidP="00A634B5">
      <w:pPr>
        <w:autoSpaceDE w:val="0"/>
        <w:autoSpaceDN w:val="0"/>
        <w:adjustRightInd w:val="0"/>
        <w:spacing w:line="360" w:lineRule="auto"/>
        <w:ind w:right="-28"/>
        <w:contextualSpacing/>
        <w:jc w:val="both"/>
        <w:rPr>
          <w:rFonts w:ascii="Palatino Linotype" w:hAnsi="Palatino Linotype" w:cs="Tahoma"/>
          <w:i/>
          <w:iCs/>
          <w:lang w:val="es-ES"/>
        </w:rPr>
      </w:pPr>
    </w:p>
    <w:p w14:paraId="6EE652D7" w14:textId="77777777" w:rsidR="00BD3657" w:rsidRPr="00EB0799" w:rsidRDefault="00BD3657" w:rsidP="00A634B5">
      <w:pPr>
        <w:tabs>
          <w:tab w:val="left" w:pos="4667"/>
        </w:tabs>
        <w:spacing w:line="360" w:lineRule="auto"/>
        <w:ind w:left="567" w:right="567"/>
        <w:contextualSpacing/>
        <w:jc w:val="both"/>
        <w:rPr>
          <w:rFonts w:ascii="Palatino Linotype" w:hAnsi="Palatino Linotype" w:cs="Tahoma"/>
          <w:b/>
          <w:bCs/>
          <w:i/>
          <w:iCs/>
        </w:rPr>
      </w:pPr>
      <w:r w:rsidRPr="00EB0799">
        <w:rPr>
          <w:rFonts w:ascii="Palatino Linotype" w:hAnsi="Palatino Linotype" w:cs="Tahoma"/>
          <w:b/>
          <w:bCs/>
          <w:i/>
          <w:iCs/>
        </w:rPr>
        <w:t>“ACTO IMPUGNADO</w:t>
      </w:r>
    </w:p>
    <w:p w14:paraId="1504F93F" w14:textId="77777777" w:rsidR="00BD3657" w:rsidRPr="00EB0799" w:rsidRDefault="00BD3657" w:rsidP="00A634B5">
      <w:pPr>
        <w:tabs>
          <w:tab w:val="left" w:pos="4667"/>
        </w:tabs>
        <w:spacing w:line="360" w:lineRule="auto"/>
        <w:ind w:left="567" w:right="567"/>
        <w:contextualSpacing/>
        <w:jc w:val="both"/>
        <w:rPr>
          <w:rFonts w:ascii="Palatino Linotype" w:hAnsi="Palatino Linotype" w:cs="Tahoma"/>
          <w:bCs/>
          <w:i/>
          <w:iCs/>
        </w:rPr>
      </w:pPr>
      <w:r w:rsidRPr="00EB0799">
        <w:rPr>
          <w:rFonts w:ascii="Palatino Linotype" w:hAnsi="Palatino Linotype"/>
          <w:i/>
          <w:iCs/>
        </w:rPr>
        <w:t>RESPUESTA OTORGADA</w:t>
      </w:r>
      <w:r w:rsidRPr="00EB0799">
        <w:rPr>
          <w:rFonts w:ascii="Palatino Linotype" w:hAnsi="Palatino Linotype" w:cs="Tahoma"/>
          <w:bCs/>
          <w:i/>
          <w:iCs/>
        </w:rPr>
        <w:t>” (Sic.)</w:t>
      </w:r>
    </w:p>
    <w:p w14:paraId="7ADA922B" w14:textId="77777777" w:rsidR="00BD3657" w:rsidRPr="00EB0799" w:rsidRDefault="00BD3657" w:rsidP="00A634B5">
      <w:pPr>
        <w:tabs>
          <w:tab w:val="left" w:pos="4667"/>
        </w:tabs>
        <w:spacing w:line="360" w:lineRule="auto"/>
        <w:ind w:left="567" w:right="567"/>
        <w:contextualSpacing/>
        <w:jc w:val="both"/>
        <w:rPr>
          <w:rFonts w:ascii="Palatino Linotype" w:hAnsi="Palatino Linotype" w:cs="Tahoma"/>
          <w:bCs/>
          <w:i/>
          <w:iCs/>
        </w:rPr>
      </w:pPr>
    </w:p>
    <w:p w14:paraId="2E2662E0" w14:textId="77777777" w:rsidR="00BD3657" w:rsidRPr="00EB0799" w:rsidRDefault="00BD3657" w:rsidP="00A634B5">
      <w:pPr>
        <w:tabs>
          <w:tab w:val="left" w:pos="4667"/>
        </w:tabs>
        <w:spacing w:line="360" w:lineRule="auto"/>
        <w:ind w:left="567" w:right="567"/>
        <w:contextualSpacing/>
        <w:jc w:val="both"/>
        <w:rPr>
          <w:rFonts w:ascii="Palatino Linotype" w:hAnsi="Palatino Linotype" w:cs="Tahoma"/>
          <w:b/>
          <w:bCs/>
          <w:i/>
          <w:iCs/>
        </w:rPr>
      </w:pPr>
      <w:r w:rsidRPr="00EB0799">
        <w:rPr>
          <w:rFonts w:ascii="Palatino Linotype" w:hAnsi="Palatino Linotype" w:cs="Tahoma"/>
          <w:b/>
          <w:bCs/>
          <w:i/>
          <w:iCs/>
        </w:rPr>
        <w:t>“RAZONES O MOTIVOS DE LA INCONFORMIDAD</w:t>
      </w:r>
    </w:p>
    <w:p w14:paraId="11ABEA8B" w14:textId="0AF08356" w:rsidR="00BD3657" w:rsidRPr="00EB0799" w:rsidRDefault="00E6627D" w:rsidP="00A634B5">
      <w:pPr>
        <w:spacing w:line="360" w:lineRule="auto"/>
        <w:ind w:left="567" w:right="567"/>
        <w:contextualSpacing/>
        <w:jc w:val="both"/>
        <w:rPr>
          <w:rFonts w:ascii="Palatino Linotype" w:hAnsi="Palatino Linotype" w:cs="Tahoma"/>
          <w:i/>
          <w:iCs/>
        </w:rPr>
      </w:pPr>
      <w:r w:rsidRPr="00EB0799">
        <w:rPr>
          <w:rFonts w:ascii="Palatino Linotype" w:hAnsi="Palatino Linotype"/>
          <w:i/>
          <w:color w:val="000000"/>
        </w:rPr>
        <w:t xml:space="preserve">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w:t>
      </w:r>
      <w:r w:rsidRPr="00EB0799">
        <w:rPr>
          <w:rFonts w:ascii="Palatino Linotype" w:hAnsi="Palatino Linotype"/>
          <w:i/>
          <w:color w:val="000000"/>
        </w:rPr>
        <w:lastRenderedPageBreak/>
        <w:t>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00BD3657" w:rsidRPr="00EB0799">
        <w:rPr>
          <w:rFonts w:ascii="Palatino Linotype" w:hAnsi="Palatino Linotype" w:cs="Tahoma"/>
          <w:i/>
          <w:iCs/>
        </w:rPr>
        <w:t>” (Sic)</w:t>
      </w:r>
    </w:p>
    <w:p w14:paraId="0B518EB2" w14:textId="77777777" w:rsidR="00BD3657" w:rsidRPr="00EB0799" w:rsidRDefault="00BD3657" w:rsidP="00A634B5">
      <w:pPr>
        <w:autoSpaceDE w:val="0"/>
        <w:autoSpaceDN w:val="0"/>
        <w:adjustRightInd w:val="0"/>
        <w:spacing w:line="360" w:lineRule="auto"/>
        <w:ind w:right="-28"/>
        <w:contextualSpacing/>
        <w:jc w:val="both"/>
        <w:rPr>
          <w:rFonts w:ascii="Palatino Linotype" w:hAnsi="Palatino Linotype" w:cs="Tahoma"/>
          <w:sz w:val="22"/>
          <w:szCs w:val="22"/>
        </w:rPr>
      </w:pPr>
    </w:p>
    <w:p w14:paraId="52DBFEFB" w14:textId="77777777" w:rsidR="00BD3657" w:rsidRPr="00EB0799" w:rsidRDefault="00BD3657" w:rsidP="00A634B5">
      <w:pPr>
        <w:spacing w:line="360" w:lineRule="auto"/>
        <w:ind w:right="-28"/>
        <w:contextualSpacing/>
        <w:jc w:val="both"/>
        <w:rPr>
          <w:rFonts w:ascii="Palatino Linotype" w:eastAsia="Batang" w:hAnsi="Palatino Linotype" w:cs="Tahoma"/>
          <w:b/>
          <w:bCs/>
          <w:sz w:val="22"/>
          <w:szCs w:val="22"/>
        </w:rPr>
      </w:pPr>
      <w:r w:rsidRPr="00EB0799">
        <w:rPr>
          <w:rFonts w:ascii="Palatino Linotype" w:hAnsi="Palatino Linotype" w:cs="Tahoma"/>
          <w:b/>
          <w:sz w:val="22"/>
          <w:szCs w:val="22"/>
        </w:rPr>
        <w:t xml:space="preserve">IV. </w:t>
      </w:r>
      <w:r w:rsidRPr="00EB0799">
        <w:rPr>
          <w:rFonts w:ascii="Palatino Linotype" w:eastAsia="Batang" w:hAnsi="Palatino Linotype" w:cs="Tahoma"/>
          <w:b/>
          <w:bCs/>
          <w:sz w:val="22"/>
          <w:szCs w:val="22"/>
        </w:rPr>
        <w:t xml:space="preserve">Trámite del </w:t>
      </w:r>
      <w:r w:rsidRPr="00EB0799">
        <w:rPr>
          <w:rFonts w:ascii="Palatino Linotype" w:hAnsi="Palatino Linotype" w:cs="Tahoma"/>
          <w:b/>
          <w:sz w:val="22"/>
          <w:szCs w:val="22"/>
        </w:rPr>
        <w:t xml:space="preserve">Recurso de Revisión </w:t>
      </w:r>
      <w:r w:rsidRPr="00EB0799">
        <w:rPr>
          <w:rFonts w:ascii="Palatino Linotype" w:eastAsia="Batang" w:hAnsi="Palatino Linotype" w:cs="Tahoma"/>
          <w:b/>
          <w:bCs/>
          <w:sz w:val="22"/>
          <w:szCs w:val="22"/>
        </w:rPr>
        <w:t>ante el Instituto</w:t>
      </w:r>
    </w:p>
    <w:p w14:paraId="5CD1C57D" w14:textId="77777777" w:rsidR="00BD3657" w:rsidRPr="00EB0799" w:rsidRDefault="00BD3657" w:rsidP="00A634B5">
      <w:pPr>
        <w:spacing w:line="360" w:lineRule="auto"/>
        <w:ind w:right="-28"/>
        <w:contextualSpacing/>
        <w:jc w:val="both"/>
        <w:rPr>
          <w:rFonts w:ascii="Palatino Linotype" w:eastAsia="Batang" w:hAnsi="Palatino Linotype" w:cs="Tahoma"/>
          <w:b/>
          <w:bCs/>
          <w:sz w:val="22"/>
          <w:szCs w:val="22"/>
        </w:rPr>
      </w:pPr>
    </w:p>
    <w:p w14:paraId="7692323C" w14:textId="4F727DCD" w:rsidR="00BD3657" w:rsidRPr="00EB0799" w:rsidRDefault="00BD3657" w:rsidP="00A634B5">
      <w:pPr>
        <w:spacing w:line="360" w:lineRule="auto"/>
        <w:ind w:right="-28"/>
        <w:contextualSpacing/>
        <w:jc w:val="both"/>
        <w:rPr>
          <w:rFonts w:ascii="Palatino Linotype" w:eastAsia="Calibri" w:hAnsi="Palatino Linotype" w:cs="Tahoma"/>
          <w:bCs/>
          <w:sz w:val="22"/>
          <w:szCs w:val="22"/>
          <w:lang w:eastAsia="en-US"/>
        </w:rPr>
      </w:pPr>
      <w:r w:rsidRPr="00EB0799">
        <w:rPr>
          <w:rFonts w:ascii="Palatino Linotype" w:eastAsia="Batang" w:hAnsi="Palatino Linotype" w:cs="Tahoma"/>
          <w:b/>
          <w:bCs/>
          <w:sz w:val="22"/>
          <w:szCs w:val="22"/>
        </w:rPr>
        <w:t xml:space="preserve">a) Turno del </w:t>
      </w:r>
      <w:r w:rsidRPr="00EB0799">
        <w:rPr>
          <w:rFonts w:ascii="Palatino Linotype" w:hAnsi="Palatino Linotype" w:cs="Tahoma"/>
          <w:b/>
          <w:sz w:val="22"/>
          <w:szCs w:val="22"/>
        </w:rPr>
        <w:t>Recurso de Revisión</w:t>
      </w:r>
      <w:r w:rsidRPr="00EB0799">
        <w:rPr>
          <w:rFonts w:ascii="Palatino Linotype" w:eastAsia="Batang" w:hAnsi="Palatino Linotype" w:cs="Tahoma"/>
          <w:b/>
          <w:bCs/>
          <w:sz w:val="22"/>
          <w:szCs w:val="22"/>
        </w:rPr>
        <w:t xml:space="preserve">. </w:t>
      </w:r>
      <w:r w:rsidRPr="00EB0799">
        <w:rPr>
          <w:rFonts w:ascii="Palatino Linotype" w:eastAsia="Batang" w:hAnsi="Palatino Linotype" w:cs="Tahoma"/>
          <w:bCs/>
          <w:sz w:val="22"/>
          <w:szCs w:val="22"/>
        </w:rPr>
        <w:t xml:space="preserve">El treinta de octubre </w:t>
      </w:r>
      <w:r w:rsidRPr="00EB0799">
        <w:rPr>
          <w:rFonts w:ascii="Palatino Linotype" w:hAnsi="Palatino Linotype" w:cs="Tahoma"/>
          <w:sz w:val="22"/>
          <w:szCs w:val="22"/>
        </w:rPr>
        <w:t>de dos mil veinticuatro</w:t>
      </w:r>
      <w:r w:rsidRPr="00EB0799">
        <w:rPr>
          <w:rFonts w:ascii="Palatino Linotype" w:eastAsia="Batang" w:hAnsi="Palatino Linotype" w:cs="Tahoma"/>
          <w:bCs/>
          <w:sz w:val="22"/>
          <w:szCs w:val="22"/>
        </w:rPr>
        <w:t xml:space="preserve">, </w:t>
      </w:r>
      <w:r w:rsidRPr="00EB0799">
        <w:rPr>
          <w:rFonts w:ascii="Palatino Linotype" w:eastAsia="Calibri" w:hAnsi="Palatino Linotype" w:cs="Tahoma"/>
          <w:bCs/>
          <w:sz w:val="22"/>
          <w:szCs w:val="22"/>
          <w:lang w:eastAsia="en-US"/>
        </w:rPr>
        <w:t xml:space="preserve">el Sistema de Acceso a la Información Mexiquense (SAIMEX), asignó el número de expediente </w:t>
      </w:r>
      <w:r w:rsidRPr="00EB0799">
        <w:rPr>
          <w:rFonts w:ascii="Palatino Linotype" w:eastAsia="Calibri" w:hAnsi="Palatino Linotype" w:cs="Tahoma"/>
          <w:b/>
          <w:bCs/>
          <w:sz w:val="22"/>
          <w:szCs w:val="22"/>
          <w:lang w:eastAsia="en-US"/>
        </w:rPr>
        <w:t>06</w:t>
      </w:r>
      <w:r w:rsidR="00E6627D" w:rsidRPr="00EB0799">
        <w:rPr>
          <w:rFonts w:ascii="Palatino Linotype" w:eastAsia="Calibri" w:hAnsi="Palatino Linotype" w:cs="Tahoma"/>
          <w:b/>
          <w:bCs/>
          <w:sz w:val="22"/>
          <w:szCs w:val="22"/>
          <w:lang w:eastAsia="en-US"/>
        </w:rPr>
        <w:t>871</w:t>
      </w:r>
      <w:r w:rsidRPr="00EB0799">
        <w:rPr>
          <w:rFonts w:ascii="Palatino Linotype" w:eastAsia="Calibri" w:hAnsi="Palatino Linotype" w:cs="Tahoma"/>
          <w:b/>
          <w:bCs/>
          <w:sz w:val="22"/>
          <w:szCs w:val="22"/>
          <w:lang w:eastAsia="en-US"/>
        </w:rPr>
        <w:t xml:space="preserve">/INFOEM/IP/RR/2024, </w:t>
      </w:r>
      <w:r w:rsidRPr="00EB0799">
        <w:rPr>
          <w:rFonts w:ascii="Palatino Linotype" w:eastAsia="Calibri" w:hAnsi="Palatino Linotype" w:cs="Tahoma"/>
          <w:bCs/>
          <w:sz w:val="22"/>
          <w:szCs w:val="22"/>
          <w:lang w:eastAsia="en-US"/>
        </w:rPr>
        <w:t xml:space="preserve">al Recurso de Revisión y lo turnó al Comisionado Ponente </w:t>
      </w:r>
      <w:r w:rsidRPr="00EB0799">
        <w:rPr>
          <w:rFonts w:ascii="Palatino Linotype" w:eastAsia="Calibri" w:hAnsi="Palatino Linotype" w:cs="Tahoma"/>
          <w:b/>
          <w:bCs/>
          <w:sz w:val="22"/>
          <w:szCs w:val="22"/>
          <w:lang w:eastAsia="en-US"/>
        </w:rPr>
        <w:t>Luis Gustavo Parra Noriega</w:t>
      </w:r>
      <w:r w:rsidRPr="00EB0799">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619E223A" w14:textId="77777777" w:rsidR="00BD3657" w:rsidRPr="00EB0799" w:rsidRDefault="00BD3657" w:rsidP="00A634B5">
      <w:pPr>
        <w:spacing w:line="360" w:lineRule="auto"/>
        <w:ind w:right="-28"/>
        <w:contextualSpacing/>
        <w:jc w:val="both"/>
        <w:rPr>
          <w:rFonts w:ascii="Palatino Linotype" w:eastAsia="Batang" w:hAnsi="Palatino Linotype" w:cs="Tahoma"/>
          <w:b/>
          <w:bCs/>
          <w:sz w:val="22"/>
          <w:szCs w:val="22"/>
        </w:rPr>
      </w:pPr>
    </w:p>
    <w:p w14:paraId="0A9403C9" w14:textId="3DB408D2" w:rsidR="00BD3657" w:rsidRPr="00EB0799" w:rsidRDefault="00BD3657" w:rsidP="00A634B5">
      <w:pPr>
        <w:spacing w:line="360" w:lineRule="auto"/>
        <w:contextualSpacing/>
        <w:jc w:val="both"/>
        <w:rPr>
          <w:rFonts w:ascii="Palatino Linotype" w:hAnsi="Palatino Linotype" w:cs="Tahoma"/>
          <w:bCs/>
          <w:sz w:val="22"/>
          <w:szCs w:val="22"/>
        </w:rPr>
      </w:pPr>
      <w:r w:rsidRPr="00EB0799">
        <w:rPr>
          <w:rFonts w:ascii="Palatino Linotype" w:eastAsia="Batang" w:hAnsi="Palatino Linotype" w:cs="Tahoma"/>
          <w:b/>
          <w:bCs/>
          <w:sz w:val="22"/>
          <w:szCs w:val="22"/>
        </w:rPr>
        <w:t xml:space="preserve">b) Admisión del </w:t>
      </w:r>
      <w:r w:rsidRPr="00EB0799">
        <w:rPr>
          <w:rFonts w:ascii="Palatino Linotype" w:hAnsi="Palatino Linotype" w:cs="Tahoma"/>
          <w:b/>
          <w:sz w:val="22"/>
          <w:szCs w:val="22"/>
        </w:rPr>
        <w:t>Recurso de Revisión</w:t>
      </w:r>
      <w:r w:rsidRPr="00EB0799">
        <w:rPr>
          <w:rFonts w:ascii="Palatino Linotype" w:eastAsia="Batang" w:hAnsi="Palatino Linotype" w:cs="Tahoma"/>
          <w:b/>
          <w:bCs/>
          <w:sz w:val="22"/>
          <w:szCs w:val="22"/>
          <w:lang w:val="es-ES_tradnl"/>
        </w:rPr>
        <w:t xml:space="preserve">. </w:t>
      </w:r>
      <w:r w:rsidRPr="00EB0799">
        <w:rPr>
          <w:rFonts w:ascii="Palatino Linotype" w:eastAsia="Batang" w:hAnsi="Palatino Linotype" w:cs="Tahoma"/>
          <w:bCs/>
          <w:sz w:val="22"/>
          <w:szCs w:val="22"/>
          <w:lang w:val="es-ES_tradnl"/>
        </w:rPr>
        <w:t xml:space="preserve">El </w:t>
      </w:r>
      <w:r w:rsidR="00E6627D" w:rsidRPr="00EB0799">
        <w:rPr>
          <w:rFonts w:ascii="Palatino Linotype" w:eastAsia="Batang" w:hAnsi="Palatino Linotype" w:cs="Tahoma"/>
          <w:bCs/>
          <w:sz w:val="22"/>
          <w:szCs w:val="22"/>
          <w:lang w:val="es-ES_tradnl"/>
        </w:rPr>
        <w:t>cinco</w:t>
      </w:r>
      <w:r w:rsidRPr="00EB0799">
        <w:rPr>
          <w:rFonts w:ascii="Palatino Linotype" w:eastAsia="Batang" w:hAnsi="Palatino Linotype" w:cs="Tahoma"/>
          <w:bCs/>
          <w:sz w:val="22"/>
          <w:szCs w:val="22"/>
          <w:lang w:val="es-ES_tradnl"/>
        </w:rPr>
        <w:t xml:space="preserve"> de noviembre de dos mil veinticuatro, se acordó la admisión del Recurso de Revisión interpuesto por el Recurrente en contra del Sujeto </w:t>
      </w:r>
      <w:r w:rsidRPr="00EB0799">
        <w:rPr>
          <w:rFonts w:ascii="Palatino Linotype" w:eastAsia="Batang" w:hAnsi="Palatino Linotype" w:cs="Tahoma"/>
          <w:bCs/>
          <w:sz w:val="22"/>
          <w:szCs w:val="22"/>
          <w:lang w:val="es-ES_tradnl"/>
        </w:rPr>
        <w:lastRenderedPageBreak/>
        <w:t>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6B61DB08" w14:textId="77777777" w:rsidR="00BD3657" w:rsidRPr="00EB0799" w:rsidRDefault="00BD3657" w:rsidP="00A634B5">
      <w:pPr>
        <w:spacing w:line="360" w:lineRule="auto"/>
        <w:contextualSpacing/>
        <w:jc w:val="both"/>
        <w:rPr>
          <w:rFonts w:ascii="Palatino Linotype" w:hAnsi="Palatino Linotype" w:cs="Tahoma"/>
          <w:bCs/>
          <w:sz w:val="22"/>
          <w:szCs w:val="22"/>
        </w:rPr>
      </w:pPr>
    </w:p>
    <w:p w14:paraId="241CB7C5" w14:textId="77777777" w:rsidR="00BD3657" w:rsidRPr="00EB0799" w:rsidRDefault="00BD3657" w:rsidP="00A634B5">
      <w:pPr>
        <w:autoSpaceDE w:val="0"/>
        <w:autoSpaceDN w:val="0"/>
        <w:adjustRightInd w:val="0"/>
        <w:spacing w:line="360" w:lineRule="auto"/>
        <w:contextualSpacing/>
        <w:jc w:val="both"/>
        <w:rPr>
          <w:rFonts w:ascii="Palatino Linotype" w:hAnsi="Palatino Linotype" w:cs="Tahoma"/>
          <w:bCs/>
          <w:sz w:val="22"/>
          <w:szCs w:val="22"/>
        </w:rPr>
      </w:pPr>
      <w:r w:rsidRPr="00EB0799">
        <w:rPr>
          <w:rFonts w:ascii="Palatino Linotype" w:eastAsia="Batang" w:hAnsi="Palatino Linotype" w:cs="Tahoma"/>
          <w:b/>
          <w:bCs/>
          <w:sz w:val="22"/>
          <w:szCs w:val="22"/>
        </w:rPr>
        <w:t xml:space="preserve">c) Informe Justificado o Manifestaciones. </w:t>
      </w:r>
      <w:r w:rsidRPr="00EB0799">
        <w:rPr>
          <w:rFonts w:ascii="Palatino Linotype" w:hAnsi="Palatino Linotype" w:cs="Tahoma"/>
          <w:bCs/>
          <w:sz w:val="22"/>
          <w:szCs w:val="22"/>
        </w:rPr>
        <w:t>Las partes fueron omisas en realizar manifestaciones o alegatos.</w:t>
      </w:r>
    </w:p>
    <w:p w14:paraId="7CC2CFC3" w14:textId="77777777" w:rsidR="00BD3657" w:rsidRPr="00EB0799" w:rsidRDefault="00BD3657" w:rsidP="00A634B5">
      <w:pPr>
        <w:autoSpaceDE w:val="0"/>
        <w:autoSpaceDN w:val="0"/>
        <w:adjustRightInd w:val="0"/>
        <w:spacing w:line="360" w:lineRule="auto"/>
        <w:contextualSpacing/>
        <w:jc w:val="both"/>
        <w:rPr>
          <w:rFonts w:ascii="Palatino Linotype" w:hAnsi="Palatino Linotype" w:cs="Tahoma"/>
          <w:bCs/>
          <w:sz w:val="22"/>
          <w:szCs w:val="22"/>
        </w:rPr>
      </w:pPr>
    </w:p>
    <w:p w14:paraId="58A96BD1" w14:textId="5886C9B3" w:rsidR="00BD3657" w:rsidRPr="00EB0799" w:rsidRDefault="00BD3657" w:rsidP="00A634B5">
      <w:pPr>
        <w:autoSpaceDE w:val="0"/>
        <w:autoSpaceDN w:val="0"/>
        <w:adjustRightInd w:val="0"/>
        <w:spacing w:line="360" w:lineRule="auto"/>
        <w:contextualSpacing/>
        <w:jc w:val="both"/>
        <w:rPr>
          <w:rFonts w:ascii="Palatino Linotype" w:hAnsi="Palatino Linotype" w:cs="Tahoma"/>
          <w:b/>
          <w:bCs/>
          <w:sz w:val="22"/>
          <w:szCs w:val="22"/>
        </w:rPr>
      </w:pPr>
      <w:r w:rsidRPr="00EB0799">
        <w:rPr>
          <w:rFonts w:ascii="Palatino Linotype" w:hAnsi="Palatino Linotype" w:cs="Tahoma"/>
          <w:b/>
          <w:bCs/>
          <w:sz w:val="22"/>
          <w:szCs w:val="22"/>
        </w:rPr>
        <w:t xml:space="preserve">d) </w:t>
      </w:r>
      <w:r w:rsidRPr="00EB0799">
        <w:rPr>
          <w:rFonts w:ascii="Palatino Linotype" w:hAnsi="Palatino Linotype" w:cs="Tahoma"/>
          <w:b/>
          <w:sz w:val="22"/>
          <w:szCs w:val="22"/>
        </w:rPr>
        <w:t xml:space="preserve">Cierre de instrucción. </w:t>
      </w:r>
      <w:r w:rsidRPr="00EB0799">
        <w:rPr>
          <w:rFonts w:ascii="Palatino Linotype" w:hAnsi="Palatino Linotype" w:cs="Tahoma"/>
          <w:sz w:val="22"/>
          <w:szCs w:val="22"/>
        </w:rPr>
        <w:t xml:space="preserve">El </w:t>
      </w:r>
      <w:r w:rsidR="00872FA7" w:rsidRPr="00EB0799">
        <w:rPr>
          <w:rFonts w:ascii="Palatino Linotype" w:hAnsi="Palatino Linotype" w:cs="Tahoma"/>
          <w:sz w:val="22"/>
          <w:szCs w:val="22"/>
        </w:rPr>
        <w:t>veintiuno</w:t>
      </w:r>
      <w:r w:rsidRPr="00EB0799">
        <w:rPr>
          <w:rFonts w:ascii="Palatino Linotype" w:hAnsi="Palatino Linotype" w:cs="Tahoma"/>
          <w:sz w:val="22"/>
          <w:szCs w:val="22"/>
        </w:rPr>
        <w:t xml:space="preserve"> de noviembre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w:t>
      </w:r>
      <w:r w:rsidR="003F01FD" w:rsidRPr="00EB0799">
        <w:rPr>
          <w:rFonts w:ascii="Palatino Linotype" w:hAnsi="Palatino Linotype" w:cs="Tahoma"/>
          <w:sz w:val="22"/>
          <w:szCs w:val="22"/>
        </w:rPr>
        <w:t>ficado a las partes el veintidós</w:t>
      </w:r>
      <w:r w:rsidRPr="00EB0799">
        <w:rPr>
          <w:rFonts w:ascii="Palatino Linotype" w:hAnsi="Palatino Linotype" w:cs="Tahoma"/>
          <w:sz w:val="22"/>
          <w:szCs w:val="22"/>
        </w:rPr>
        <w:t xml:space="preserve">, a través del </w:t>
      </w:r>
      <w:r w:rsidRPr="00EB0799">
        <w:rPr>
          <w:rFonts w:ascii="Palatino Linotype" w:hAnsi="Palatino Linotype" w:cs="Tahoma"/>
          <w:sz w:val="22"/>
          <w:szCs w:val="22"/>
          <w:lang w:val="es-ES"/>
        </w:rPr>
        <w:t>Sistema de Acceso a la Información Mexiquense (SAIMEX)</w:t>
      </w:r>
      <w:r w:rsidRPr="00EB0799">
        <w:rPr>
          <w:rFonts w:ascii="Palatino Linotype" w:hAnsi="Palatino Linotype" w:cs="Tahoma"/>
          <w:sz w:val="22"/>
          <w:szCs w:val="22"/>
        </w:rPr>
        <w:t>.</w:t>
      </w:r>
    </w:p>
    <w:p w14:paraId="769A140E" w14:textId="77777777" w:rsidR="00BD3657" w:rsidRPr="00EB0799" w:rsidRDefault="00BD3657" w:rsidP="00A634B5">
      <w:pPr>
        <w:spacing w:line="360" w:lineRule="auto"/>
        <w:ind w:right="-28"/>
        <w:contextualSpacing/>
        <w:jc w:val="both"/>
        <w:rPr>
          <w:rFonts w:ascii="Palatino Linotype" w:hAnsi="Palatino Linotype" w:cs="Tahoma"/>
          <w:sz w:val="22"/>
          <w:szCs w:val="22"/>
          <w:lang w:val="es-ES"/>
        </w:rPr>
      </w:pPr>
    </w:p>
    <w:p w14:paraId="100042D8" w14:textId="77777777" w:rsidR="00BD3657" w:rsidRPr="00EB0799" w:rsidRDefault="00BD3657" w:rsidP="00A634B5">
      <w:pPr>
        <w:spacing w:line="360" w:lineRule="auto"/>
        <w:ind w:right="-28"/>
        <w:contextualSpacing/>
        <w:jc w:val="both"/>
        <w:rPr>
          <w:rFonts w:ascii="Palatino Linotype" w:hAnsi="Palatino Linotype" w:cs="Tahoma"/>
          <w:color w:val="000000"/>
          <w:sz w:val="22"/>
          <w:szCs w:val="22"/>
        </w:rPr>
      </w:pPr>
      <w:r w:rsidRPr="00EB0799">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7510FF5B" w14:textId="77777777" w:rsidR="00BD3657" w:rsidRPr="00EB0799" w:rsidRDefault="00BD3657" w:rsidP="00A634B5">
      <w:pPr>
        <w:spacing w:line="360" w:lineRule="auto"/>
        <w:ind w:right="-28"/>
        <w:contextualSpacing/>
        <w:jc w:val="both"/>
        <w:rPr>
          <w:rFonts w:ascii="Palatino Linotype" w:hAnsi="Palatino Linotype" w:cs="Tahoma"/>
          <w:color w:val="000000"/>
          <w:sz w:val="22"/>
          <w:szCs w:val="22"/>
        </w:rPr>
      </w:pPr>
    </w:p>
    <w:p w14:paraId="28212A50" w14:textId="77777777" w:rsidR="00BD3657" w:rsidRPr="00EB0799" w:rsidRDefault="00BD3657" w:rsidP="00A634B5">
      <w:pPr>
        <w:spacing w:line="360" w:lineRule="auto"/>
        <w:ind w:right="-28"/>
        <w:contextualSpacing/>
        <w:jc w:val="center"/>
        <w:rPr>
          <w:rFonts w:ascii="Palatino Linotype" w:hAnsi="Palatino Linotype" w:cs="Tahoma"/>
          <w:b/>
          <w:sz w:val="22"/>
          <w:szCs w:val="22"/>
          <w:lang w:val="es-ES"/>
        </w:rPr>
      </w:pPr>
      <w:r w:rsidRPr="00EB0799">
        <w:rPr>
          <w:rFonts w:ascii="Palatino Linotype" w:hAnsi="Palatino Linotype" w:cs="Tahoma"/>
          <w:b/>
          <w:sz w:val="22"/>
          <w:szCs w:val="22"/>
          <w:lang w:val="es-ES"/>
        </w:rPr>
        <w:t>C O N S I D E R A N D O S</w:t>
      </w:r>
    </w:p>
    <w:p w14:paraId="1B611A67" w14:textId="77777777" w:rsidR="00BD3657" w:rsidRPr="00EB0799" w:rsidRDefault="00BD3657" w:rsidP="00A634B5">
      <w:pPr>
        <w:spacing w:line="360" w:lineRule="auto"/>
        <w:ind w:right="-28"/>
        <w:contextualSpacing/>
        <w:jc w:val="center"/>
        <w:rPr>
          <w:rFonts w:ascii="Palatino Linotype" w:hAnsi="Palatino Linotype" w:cs="Tahoma"/>
          <w:b/>
          <w:sz w:val="22"/>
          <w:szCs w:val="22"/>
          <w:lang w:val="es-ES"/>
        </w:rPr>
      </w:pPr>
    </w:p>
    <w:p w14:paraId="773EA500" w14:textId="77777777" w:rsidR="00BD3657" w:rsidRPr="00EB0799" w:rsidRDefault="00BD3657" w:rsidP="00A634B5">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EB0799">
        <w:rPr>
          <w:rFonts w:ascii="Palatino Linotype" w:eastAsia="Calibri" w:hAnsi="Palatino Linotype" w:cs="Tahoma"/>
          <w:b/>
          <w:color w:val="000000"/>
          <w:sz w:val="22"/>
          <w:szCs w:val="22"/>
          <w:lang w:val="es-ES" w:eastAsia="es-MX"/>
        </w:rPr>
        <w:t>PRIMERO</w:t>
      </w:r>
      <w:r w:rsidRPr="00EB0799">
        <w:rPr>
          <w:rFonts w:ascii="Palatino Linotype" w:eastAsia="Calibri" w:hAnsi="Palatino Linotype" w:cs="Tahoma"/>
          <w:color w:val="000000"/>
          <w:sz w:val="22"/>
          <w:szCs w:val="22"/>
          <w:lang w:val="es-ES" w:eastAsia="es-MX"/>
        </w:rPr>
        <w:t xml:space="preserve">. </w:t>
      </w:r>
      <w:r w:rsidRPr="00EB0799">
        <w:rPr>
          <w:rFonts w:ascii="Palatino Linotype" w:hAnsi="Palatino Linotype" w:cs="Tahoma"/>
          <w:b/>
          <w:sz w:val="22"/>
          <w:szCs w:val="22"/>
          <w:lang w:val="es-ES"/>
        </w:rPr>
        <w:t>Competencia</w:t>
      </w:r>
    </w:p>
    <w:p w14:paraId="394CEB0F" w14:textId="77777777" w:rsidR="00BD3657" w:rsidRPr="00EB0799" w:rsidRDefault="00BD3657" w:rsidP="00A634B5">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56E2743E" w14:textId="77777777" w:rsidR="00BD3657" w:rsidRPr="00EB0799" w:rsidRDefault="00BD3657" w:rsidP="00A634B5">
      <w:pPr>
        <w:spacing w:line="360" w:lineRule="auto"/>
        <w:ind w:right="-28"/>
        <w:contextualSpacing/>
        <w:jc w:val="both"/>
        <w:rPr>
          <w:rFonts w:ascii="Palatino Linotype" w:hAnsi="Palatino Linotype" w:cs="Tahoma"/>
          <w:color w:val="000000"/>
          <w:sz w:val="22"/>
          <w:szCs w:val="22"/>
        </w:rPr>
      </w:pPr>
      <w:r w:rsidRPr="00EB0799">
        <w:rPr>
          <w:rFonts w:ascii="Palatino Linotype" w:hAnsi="Palatino Linotype" w:cs="Tahoma"/>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EB0799">
        <w:rPr>
          <w:rFonts w:ascii="Palatino Linotype" w:hAnsi="Palatino Linotype" w:cs="Tahoma"/>
          <w:color w:val="000000"/>
          <w:sz w:val="22"/>
          <w:szCs w:val="22"/>
        </w:rPr>
        <w:lastRenderedPageBreak/>
        <w:t>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B0799">
        <w:rPr>
          <w:color w:val="000000"/>
        </w:rPr>
        <w:t xml:space="preserve"> 7°, </w:t>
      </w:r>
      <w:r w:rsidRPr="00EB0799">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4892478A" w14:textId="77777777" w:rsidR="00BD3657" w:rsidRPr="00EB0799" w:rsidRDefault="00BD3657" w:rsidP="00A634B5">
      <w:pPr>
        <w:spacing w:line="360" w:lineRule="auto"/>
        <w:ind w:right="-28"/>
        <w:contextualSpacing/>
        <w:jc w:val="both"/>
        <w:rPr>
          <w:rFonts w:ascii="Palatino Linotype" w:hAnsi="Palatino Linotype" w:cs="Tahoma"/>
          <w:color w:val="000000"/>
          <w:sz w:val="22"/>
          <w:szCs w:val="22"/>
        </w:rPr>
      </w:pPr>
    </w:p>
    <w:p w14:paraId="2ECF4AE2" w14:textId="77777777" w:rsidR="00BD3657" w:rsidRPr="00EB0799" w:rsidRDefault="00BD3657" w:rsidP="00A634B5">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EB0799">
        <w:rPr>
          <w:rFonts w:ascii="Palatino Linotype" w:eastAsia="Calibri" w:hAnsi="Palatino Linotype" w:cs="Tahoma"/>
          <w:b/>
          <w:color w:val="000000"/>
          <w:sz w:val="22"/>
          <w:szCs w:val="22"/>
          <w:lang w:val="es-ES" w:eastAsia="es-MX"/>
        </w:rPr>
        <w:t>SEGUNDO. Causales de improcedencia y sobreseimiento</w:t>
      </w:r>
    </w:p>
    <w:p w14:paraId="61787A18" w14:textId="77777777" w:rsidR="00BD3657" w:rsidRPr="00EB0799" w:rsidRDefault="00BD3657" w:rsidP="00A634B5">
      <w:pPr>
        <w:autoSpaceDE w:val="0"/>
        <w:autoSpaceDN w:val="0"/>
        <w:adjustRightInd w:val="0"/>
        <w:spacing w:line="360" w:lineRule="auto"/>
        <w:contextualSpacing/>
        <w:jc w:val="both"/>
        <w:rPr>
          <w:rFonts w:ascii="Palatino Linotype" w:hAnsi="Palatino Linotype" w:cs="Tahoma"/>
          <w:sz w:val="22"/>
          <w:szCs w:val="22"/>
          <w:lang w:val="es-ES"/>
        </w:rPr>
      </w:pPr>
    </w:p>
    <w:p w14:paraId="65F0DB2F" w14:textId="77777777" w:rsidR="00BD3657" w:rsidRPr="00EB0799" w:rsidRDefault="00BD3657" w:rsidP="00A634B5">
      <w:pPr>
        <w:autoSpaceDE w:val="0"/>
        <w:autoSpaceDN w:val="0"/>
        <w:adjustRightInd w:val="0"/>
        <w:spacing w:line="360" w:lineRule="auto"/>
        <w:contextualSpacing/>
        <w:jc w:val="both"/>
        <w:rPr>
          <w:rFonts w:ascii="Palatino Linotype" w:hAnsi="Palatino Linotype" w:cs="Tahoma"/>
          <w:sz w:val="22"/>
          <w:szCs w:val="22"/>
          <w:lang w:val="es-ES"/>
        </w:rPr>
      </w:pPr>
      <w:r w:rsidRPr="00EB0799">
        <w:rPr>
          <w:rFonts w:ascii="Palatino Linotype" w:hAnsi="Palatino Linotype" w:cs="Tahoma"/>
          <w:sz w:val="22"/>
          <w:szCs w:val="22"/>
          <w:lang w:val="es-ES"/>
        </w:rPr>
        <w:t xml:space="preserve">De las constancias que forma parte del Recurso de Revisión que se analiza, se advierte que previo al estudio del fondo de la </w:t>
      </w:r>
      <w:r w:rsidRPr="00EB0799">
        <w:rPr>
          <w:rFonts w:ascii="Palatino Linotype" w:hAnsi="Palatino Linotype" w:cs="Tahoma"/>
          <w:i/>
          <w:sz w:val="22"/>
          <w:szCs w:val="22"/>
          <w:lang w:val="es-ES"/>
        </w:rPr>
        <w:t>litis</w:t>
      </w:r>
      <w:r w:rsidRPr="00EB0799">
        <w:rPr>
          <w:rFonts w:ascii="Palatino Linotype" w:hAnsi="Palatino Linotype" w:cs="Tahoma"/>
          <w:sz w:val="22"/>
          <w:szCs w:val="22"/>
          <w:lang w:val="es-ES"/>
        </w:rPr>
        <w:t>, es necesario estudiar las causales de improcedencia, para determinar lo que en Derecho proceda.</w:t>
      </w:r>
    </w:p>
    <w:p w14:paraId="64158C90" w14:textId="77777777" w:rsidR="00BD3657" w:rsidRPr="00EB0799" w:rsidRDefault="00BD3657" w:rsidP="00A634B5">
      <w:pPr>
        <w:autoSpaceDE w:val="0"/>
        <w:autoSpaceDN w:val="0"/>
        <w:adjustRightInd w:val="0"/>
        <w:spacing w:line="360" w:lineRule="auto"/>
        <w:contextualSpacing/>
        <w:jc w:val="both"/>
        <w:rPr>
          <w:rFonts w:ascii="Palatino Linotype" w:hAnsi="Palatino Linotype" w:cs="Tahoma"/>
          <w:sz w:val="22"/>
          <w:szCs w:val="22"/>
        </w:rPr>
      </w:pPr>
    </w:p>
    <w:p w14:paraId="29BE5F22" w14:textId="77777777" w:rsidR="00BD3657" w:rsidRPr="00EB0799" w:rsidRDefault="00BD3657" w:rsidP="00A634B5">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EB0799">
        <w:rPr>
          <w:rFonts w:ascii="Palatino Linotype" w:eastAsia="Calibri" w:hAnsi="Palatino Linotype" w:cs="Tahoma"/>
          <w:b/>
          <w:color w:val="000000"/>
          <w:sz w:val="22"/>
          <w:szCs w:val="22"/>
          <w:lang w:val="es-ES" w:eastAsia="es-MX"/>
        </w:rPr>
        <w:t>Causales de improcedencia</w:t>
      </w:r>
    </w:p>
    <w:p w14:paraId="075467A2" w14:textId="77777777" w:rsidR="00BD3657" w:rsidRPr="00EB0799" w:rsidRDefault="00BD3657" w:rsidP="00A634B5">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4C1861E1" w14:textId="77777777" w:rsidR="00BD3657" w:rsidRPr="00EB0799" w:rsidRDefault="00BD3657" w:rsidP="00A634B5">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EB0799">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E6FDF23" w14:textId="77777777" w:rsidR="00BD3657" w:rsidRPr="00EB0799" w:rsidRDefault="00BD3657" w:rsidP="00A634B5">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04D018DC" w14:textId="77777777" w:rsidR="00BD3657" w:rsidRPr="00EB0799" w:rsidRDefault="00BD3657" w:rsidP="00A634B5">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EB0799">
        <w:rPr>
          <w:rFonts w:ascii="Palatino Linotype" w:hAnsi="Palatino Linotype" w:cs="Tahoma"/>
          <w:sz w:val="22"/>
          <w:szCs w:val="24"/>
        </w:rPr>
        <w:lastRenderedPageBreak/>
        <w:t>En el presente caso, </w:t>
      </w:r>
      <w:r w:rsidRPr="00EB0799">
        <w:rPr>
          <w:rFonts w:ascii="Palatino Linotype" w:hAnsi="Palatino Linotype" w:cs="Tahoma"/>
          <w:b/>
          <w:bCs/>
          <w:sz w:val="22"/>
          <w:szCs w:val="24"/>
        </w:rPr>
        <w:t>no se actualiza ninguna de las causales de improcedencia</w:t>
      </w:r>
      <w:r w:rsidRPr="00EB0799">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EB0799">
        <w:rPr>
          <w:rFonts w:ascii="Palatino Linotype" w:hAnsi="Palatino Linotype" w:cs="Tahoma"/>
          <w:sz w:val="22"/>
          <w:szCs w:val="22"/>
          <w:lang w:val="es-ES"/>
        </w:rPr>
        <w:t xml:space="preserve">además de que </w:t>
      </w:r>
      <w:r w:rsidRPr="00EB0799">
        <w:rPr>
          <w:rFonts w:ascii="Palatino Linotype" w:eastAsia="Calibri" w:hAnsi="Palatino Linotype" w:cs="Tahoma"/>
          <w:color w:val="000000"/>
          <w:sz w:val="22"/>
          <w:szCs w:val="22"/>
          <w:lang w:val="es-ES" w:eastAsia="es-MX"/>
        </w:rPr>
        <w:t>el medio de impugnación fue presentado en tiempo.</w:t>
      </w:r>
    </w:p>
    <w:p w14:paraId="3E566CEA" w14:textId="77777777" w:rsidR="00BD3657" w:rsidRPr="00EB0799" w:rsidRDefault="00BD3657" w:rsidP="00A634B5">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49D214E" w14:textId="77777777" w:rsidR="00BD3657" w:rsidRPr="00EB0799" w:rsidRDefault="00BD3657" w:rsidP="00A634B5">
      <w:pPr>
        <w:widowControl w:val="0"/>
        <w:spacing w:line="360" w:lineRule="auto"/>
        <w:contextualSpacing/>
        <w:jc w:val="both"/>
        <w:rPr>
          <w:rFonts w:ascii="Palatino Linotype" w:hAnsi="Palatino Linotype"/>
          <w:color w:val="222222"/>
        </w:rPr>
      </w:pPr>
      <w:r w:rsidRPr="00EB0799">
        <w:rPr>
          <w:rFonts w:ascii="Palatino Linotype" w:hAnsi="Palatino Linotype" w:cs="Tahoma"/>
          <w:sz w:val="22"/>
          <w:szCs w:val="22"/>
        </w:rPr>
        <w:t xml:space="preserve">Asimismo, se actualiza la causal de procedencia del Recurso de Revisión señalada en el artículo 179, fracción VIII, de la Ley en cita, </w:t>
      </w:r>
      <w:r w:rsidRPr="00EB0799">
        <w:rPr>
          <w:rFonts w:ascii="Palatino Linotype" w:eastAsia="Calibri" w:hAnsi="Palatino Linotype" w:cs="Tahoma"/>
          <w:color w:val="000000"/>
          <w:sz w:val="22"/>
          <w:szCs w:val="22"/>
          <w:lang w:eastAsia="es-MX"/>
        </w:rPr>
        <w:t xml:space="preserve">pues el Recurrente se inconformó con </w:t>
      </w:r>
      <w:r w:rsidRPr="00EB0799">
        <w:rPr>
          <w:rFonts w:ascii="Palatino Linotype" w:hAnsi="Palatino Linotype" w:cs="Tahoma"/>
          <w:sz w:val="22"/>
          <w:szCs w:val="22"/>
        </w:rPr>
        <w:t>la entrega o puesta a disposición de la información en un formato distinto a lo solicitado.</w:t>
      </w:r>
    </w:p>
    <w:p w14:paraId="6B136E12" w14:textId="77777777" w:rsidR="00BD3657" w:rsidRPr="00EB0799" w:rsidRDefault="00BD3657" w:rsidP="00A634B5">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6372A658" w14:textId="77777777" w:rsidR="00BD3657" w:rsidRPr="00EB0799" w:rsidRDefault="00BD3657" w:rsidP="00A634B5">
      <w:pPr>
        <w:spacing w:line="360" w:lineRule="auto"/>
        <w:contextualSpacing/>
        <w:jc w:val="both"/>
        <w:rPr>
          <w:rFonts w:ascii="Palatino Linotype" w:hAnsi="Palatino Linotype" w:cs="Tahoma"/>
          <w:sz w:val="22"/>
          <w:szCs w:val="22"/>
        </w:rPr>
      </w:pPr>
      <w:r w:rsidRPr="00EB0799">
        <w:rPr>
          <w:rFonts w:ascii="Palatino Linotype" w:hAnsi="Palatino Linotype" w:cs="Tahoma"/>
          <w:b/>
          <w:bCs/>
          <w:sz w:val="22"/>
          <w:szCs w:val="22"/>
        </w:rPr>
        <w:t>Causales de sobreseimiento.</w:t>
      </w:r>
    </w:p>
    <w:p w14:paraId="406456E9" w14:textId="77777777" w:rsidR="00BD3657" w:rsidRPr="00EB0799" w:rsidRDefault="00BD3657" w:rsidP="00A634B5">
      <w:pPr>
        <w:spacing w:line="360" w:lineRule="auto"/>
        <w:contextualSpacing/>
        <w:jc w:val="both"/>
        <w:rPr>
          <w:rFonts w:ascii="Palatino Linotype" w:hAnsi="Palatino Linotype" w:cs="Tahoma"/>
          <w:sz w:val="22"/>
          <w:szCs w:val="22"/>
        </w:rPr>
      </w:pPr>
    </w:p>
    <w:p w14:paraId="6466F36C" w14:textId="77777777" w:rsidR="00BD3657" w:rsidRPr="00EB0799" w:rsidRDefault="00BD3657" w:rsidP="00A634B5">
      <w:pPr>
        <w:spacing w:line="360" w:lineRule="auto"/>
        <w:contextualSpacing/>
        <w:jc w:val="both"/>
        <w:rPr>
          <w:rFonts w:ascii="Palatino Linotype" w:hAnsi="Palatino Linotype" w:cs="Tahoma"/>
          <w:sz w:val="22"/>
          <w:szCs w:val="22"/>
        </w:rPr>
      </w:pPr>
      <w:r w:rsidRPr="00EB0799">
        <w:rPr>
          <w:rFonts w:ascii="Palatino Linotype" w:hAnsi="Palatino Linotype" w:cs="Tahoma"/>
          <w:sz w:val="22"/>
          <w:szCs w:val="22"/>
        </w:rPr>
        <w:t>Por ser de previo y especial pronunciamiento, este Instituto analiza si se actualiza alguna causal de sobreseimiento.</w:t>
      </w:r>
    </w:p>
    <w:p w14:paraId="5C955AB6" w14:textId="77777777" w:rsidR="00BD3657" w:rsidRPr="00EB0799" w:rsidRDefault="00BD3657" w:rsidP="00A634B5">
      <w:pPr>
        <w:spacing w:line="360" w:lineRule="auto"/>
        <w:contextualSpacing/>
        <w:jc w:val="both"/>
        <w:rPr>
          <w:rFonts w:ascii="Palatino Linotype" w:hAnsi="Palatino Linotype" w:cs="Tahoma"/>
          <w:sz w:val="22"/>
          <w:szCs w:val="22"/>
        </w:rPr>
      </w:pPr>
    </w:p>
    <w:p w14:paraId="68C5E835" w14:textId="77777777" w:rsidR="00BD3657" w:rsidRPr="00EB0799" w:rsidRDefault="00BD3657" w:rsidP="00A634B5">
      <w:pPr>
        <w:spacing w:line="360" w:lineRule="auto"/>
        <w:contextualSpacing/>
        <w:jc w:val="both"/>
        <w:rPr>
          <w:rFonts w:ascii="Palatino Linotype" w:hAnsi="Palatino Linotype" w:cs="Tahoma"/>
          <w:sz w:val="22"/>
          <w:szCs w:val="22"/>
        </w:rPr>
      </w:pPr>
      <w:r w:rsidRPr="00EB0799">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0B6A2F45" w14:textId="77777777" w:rsidR="00BD3657" w:rsidRPr="00EB0799" w:rsidRDefault="00BD3657" w:rsidP="00A634B5">
      <w:pPr>
        <w:spacing w:line="360" w:lineRule="auto"/>
        <w:contextualSpacing/>
        <w:jc w:val="both"/>
        <w:rPr>
          <w:rFonts w:ascii="Palatino Linotype" w:hAnsi="Palatino Linotype" w:cs="Tahoma"/>
          <w:sz w:val="22"/>
          <w:szCs w:val="22"/>
        </w:rPr>
      </w:pPr>
    </w:p>
    <w:p w14:paraId="03A420C5" w14:textId="77777777" w:rsidR="00BD3657" w:rsidRPr="00EB0799" w:rsidRDefault="00BD3657" w:rsidP="00A634B5">
      <w:pPr>
        <w:tabs>
          <w:tab w:val="left" w:pos="4962"/>
        </w:tabs>
        <w:spacing w:line="360" w:lineRule="auto"/>
        <w:contextualSpacing/>
        <w:jc w:val="both"/>
        <w:rPr>
          <w:rFonts w:ascii="Palatino Linotype" w:hAnsi="Palatino Linotype" w:cs="Tahoma"/>
          <w:sz w:val="22"/>
          <w:szCs w:val="22"/>
        </w:rPr>
      </w:pPr>
      <w:r w:rsidRPr="00EB0799">
        <w:rPr>
          <w:rFonts w:ascii="Palatino Linotype" w:hAnsi="Palatino Linotype" w:cs="Tahoma"/>
          <w:bCs/>
          <w:sz w:val="22"/>
          <w:szCs w:val="22"/>
        </w:rPr>
        <w:t xml:space="preserve">Por tales motivos, </w:t>
      </w:r>
      <w:r w:rsidRPr="00EB0799">
        <w:rPr>
          <w:rFonts w:ascii="Palatino Linotype" w:hAnsi="Palatino Linotype" w:cs="Tahoma"/>
          <w:sz w:val="22"/>
          <w:szCs w:val="22"/>
        </w:rPr>
        <w:t xml:space="preserve">se considera procedente entrar al fondo del presente asunto. </w:t>
      </w:r>
    </w:p>
    <w:p w14:paraId="23082750" w14:textId="77777777" w:rsidR="00BD3657" w:rsidRPr="00EB0799" w:rsidRDefault="00BD3657" w:rsidP="00A634B5">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r w:rsidRPr="00EB0799">
        <w:rPr>
          <w:rFonts w:ascii="Palatino Linotype" w:eastAsia="Calibri" w:hAnsi="Palatino Linotype" w:cs="Tahoma"/>
          <w:b/>
          <w:iCs/>
          <w:sz w:val="22"/>
          <w:szCs w:val="22"/>
          <w:lang w:val="es-ES" w:eastAsia="es-ES_tradnl"/>
        </w:rPr>
        <w:lastRenderedPageBreak/>
        <w:t>TERCERO. Determinación de la Controversia</w:t>
      </w:r>
    </w:p>
    <w:p w14:paraId="0AD8E00A" w14:textId="77777777" w:rsidR="00BD3657" w:rsidRPr="00EB0799" w:rsidRDefault="00BD3657" w:rsidP="00A634B5">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p w14:paraId="4AA49FAA" w14:textId="2CE3BF85" w:rsidR="00BD3657" w:rsidRPr="00EB0799" w:rsidRDefault="00BD3657" w:rsidP="00A634B5">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EB0799">
        <w:rPr>
          <w:rFonts w:ascii="Palatino Linotype" w:eastAsia="Calibri" w:hAnsi="Palatino Linotype" w:cs="Tahoma"/>
          <w:sz w:val="22"/>
          <w:szCs w:val="22"/>
          <w:lang w:val="es-ES" w:eastAsia="es-ES_tradnl"/>
        </w:rPr>
        <w:t xml:space="preserve">Una vez realizado el estudio de las constancias que integran el expediente en que se actúa, se desprende que </w:t>
      </w:r>
      <w:r w:rsidRPr="00EB0799">
        <w:rPr>
          <w:rFonts w:ascii="Palatino Linotype" w:eastAsia="Calibri" w:hAnsi="Palatino Linotype" w:cs="Tahoma"/>
          <w:bCs/>
          <w:sz w:val="22"/>
          <w:szCs w:val="22"/>
          <w:lang w:eastAsia="en-US"/>
        </w:rPr>
        <w:t xml:space="preserve">el Particular </w:t>
      </w:r>
      <w:r w:rsidRPr="00EB0799">
        <w:rPr>
          <w:rFonts w:ascii="Palatino Linotype" w:eastAsia="Calibri" w:hAnsi="Palatino Linotype" w:cs="Tahoma"/>
          <w:iCs/>
          <w:sz w:val="22"/>
          <w:szCs w:val="22"/>
          <w:lang w:val="es-ES" w:eastAsia="es-ES_tradnl"/>
        </w:rPr>
        <w:t xml:space="preserve">solicitó, </w:t>
      </w:r>
      <w:r w:rsidR="00E6627D" w:rsidRPr="00EB0799">
        <w:rPr>
          <w:rFonts w:ascii="Palatino Linotype" w:eastAsia="Calibri" w:hAnsi="Palatino Linotype" w:cs="Tahoma"/>
          <w:iCs/>
          <w:sz w:val="22"/>
          <w:szCs w:val="22"/>
          <w:lang w:val="es-ES" w:eastAsia="es-ES_tradnl"/>
        </w:rPr>
        <w:t xml:space="preserve">las actas de la Comisión de Planeación para el </w:t>
      </w:r>
      <w:r w:rsidR="00BA671F" w:rsidRPr="00EB0799">
        <w:rPr>
          <w:rFonts w:ascii="Palatino Linotype" w:eastAsia="Calibri" w:hAnsi="Palatino Linotype" w:cs="Tahoma"/>
          <w:iCs/>
          <w:sz w:val="22"/>
          <w:szCs w:val="22"/>
          <w:lang w:val="es-ES" w:eastAsia="es-ES_tradnl"/>
        </w:rPr>
        <w:t>Desarrollo Municipal de Temamatla del primero de enero de dos mil veintidós, al ocho de octubre de dos mil veinticuatro.</w:t>
      </w:r>
    </w:p>
    <w:p w14:paraId="631C3A26" w14:textId="77777777" w:rsidR="00BD3657" w:rsidRPr="00EB0799" w:rsidRDefault="00BD3657" w:rsidP="00A634B5">
      <w:pPr>
        <w:tabs>
          <w:tab w:val="left" w:pos="4962"/>
        </w:tabs>
        <w:spacing w:line="360" w:lineRule="auto"/>
        <w:ind w:right="-28"/>
        <w:contextualSpacing/>
        <w:jc w:val="both"/>
        <w:rPr>
          <w:rFonts w:ascii="Palatino Linotype" w:eastAsia="Calibri" w:hAnsi="Palatino Linotype" w:cs="Tahoma"/>
          <w:iCs/>
          <w:szCs w:val="22"/>
          <w:lang w:val="es-ES" w:eastAsia="es-ES_tradnl"/>
        </w:rPr>
      </w:pPr>
    </w:p>
    <w:p w14:paraId="4CEFA224" w14:textId="6CA9DB6A" w:rsidR="00BD3657" w:rsidRPr="00EB0799" w:rsidRDefault="00BD3657" w:rsidP="00A634B5">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r w:rsidRPr="00EB0799">
        <w:rPr>
          <w:rFonts w:ascii="Palatino Linotype" w:eastAsia="Calibri" w:hAnsi="Palatino Linotype" w:cs="Tahoma"/>
          <w:iCs/>
          <w:sz w:val="22"/>
          <w:szCs w:val="22"/>
          <w:lang w:val="es-ES" w:eastAsia="es-ES_tradnl"/>
        </w:rPr>
        <w:t xml:space="preserve">En respuesta, el Sujeto Obligado, a través de </w:t>
      </w:r>
      <w:r w:rsidR="00BA671F" w:rsidRPr="00EB0799">
        <w:rPr>
          <w:rFonts w:ascii="Palatino Linotype" w:hAnsi="Palatino Linotype" w:cs="Tahoma"/>
          <w:sz w:val="22"/>
          <w:szCs w:val="22"/>
        </w:rPr>
        <w:t>la Dirección General de Mejora Regulatoria e Información Programación y Evaluación</w:t>
      </w:r>
      <w:r w:rsidRPr="00EB0799">
        <w:rPr>
          <w:rFonts w:ascii="Palatino Linotype" w:eastAsia="Calibri" w:hAnsi="Palatino Linotype" w:cs="Tahoma"/>
          <w:iCs/>
          <w:sz w:val="22"/>
          <w:szCs w:val="22"/>
          <w:lang w:val="es-ES" w:eastAsia="es-ES_tradnl"/>
        </w:rPr>
        <w:t>, propuso el cambio de modalidad de entrega de la información a consulta directa derivado de la entrega recepción y del cambio de administración</w:t>
      </w:r>
      <w:r w:rsidRPr="00EB0799">
        <w:rPr>
          <w:rFonts w:ascii="Palatino Linotype" w:hAnsi="Palatino Linotype" w:cs="Tahoma"/>
          <w:bCs/>
          <w:iCs/>
          <w:sz w:val="22"/>
          <w:szCs w:val="22"/>
          <w:lang w:val="es-ES"/>
        </w:rPr>
        <w:t xml:space="preserve">; </w:t>
      </w:r>
      <w:r w:rsidRPr="00EB0799">
        <w:rPr>
          <w:rFonts w:ascii="Palatino Linotype" w:hAnsi="Palatino Linotype"/>
          <w:iCs/>
          <w:sz w:val="22"/>
          <w:szCs w:val="22"/>
        </w:rPr>
        <w:t>ante dicha circunstancia, la parte Recurrente se inconformó del cambio de modalidad propuesto</w:t>
      </w:r>
      <w:r w:rsidRPr="00EB0799">
        <w:rPr>
          <w:rFonts w:ascii="Palatino Linotype" w:eastAsiaTheme="minorHAnsi" w:hAnsi="Palatino Linotype" w:cs="Tahoma"/>
          <w:bCs/>
          <w:iCs/>
          <w:color w:val="000000" w:themeColor="text1"/>
          <w:sz w:val="22"/>
          <w:szCs w:val="22"/>
          <w:lang w:val="es-ES" w:eastAsia="en-US"/>
        </w:rPr>
        <w:t>, lo cual actualiza el supuesto previsto en el artículo 179, fracción VIII, de la Ley de Transparencia y Acceso a la Información Pública del Estado de México y Municipios</w:t>
      </w:r>
      <w:r w:rsidRPr="00EB0799">
        <w:rPr>
          <w:rFonts w:ascii="Palatino Linotype" w:eastAsia="Calibri" w:hAnsi="Palatino Linotype" w:cs="Tahoma"/>
          <w:bCs/>
          <w:iCs/>
          <w:color w:val="000000"/>
          <w:sz w:val="22"/>
          <w:szCs w:val="22"/>
          <w:lang w:val="es-ES_tradnl" w:eastAsia="en-US"/>
        </w:rPr>
        <w:t xml:space="preserve">. </w:t>
      </w:r>
      <w:r w:rsidRPr="00EB0799">
        <w:rPr>
          <w:rFonts w:ascii="Palatino Linotype" w:eastAsiaTheme="minorHAnsi" w:hAnsi="Palatino Linotype" w:cs="Tahoma"/>
          <w:iCs/>
          <w:color w:val="000000" w:themeColor="text1"/>
          <w:sz w:val="22"/>
          <w:szCs w:val="22"/>
          <w:lang w:val="es-ES" w:eastAsia="en-US"/>
        </w:rPr>
        <w:t xml:space="preserve">Así las cosas, una vez admitido y notificado el Recurso de Revisión a las partes, estas fueron omisas en realizar manifestaciones o alegatos. </w:t>
      </w:r>
    </w:p>
    <w:p w14:paraId="202C0CDB" w14:textId="77777777" w:rsidR="00BD3657" w:rsidRPr="00EB0799" w:rsidRDefault="00BD3657" w:rsidP="00A634B5">
      <w:pPr>
        <w:pStyle w:val="Prrafodelista"/>
        <w:tabs>
          <w:tab w:val="left" w:pos="4962"/>
        </w:tabs>
        <w:spacing w:line="360" w:lineRule="auto"/>
        <w:ind w:left="0" w:right="-28"/>
        <w:jc w:val="both"/>
        <w:rPr>
          <w:rFonts w:ascii="Palatino Linotype" w:eastAsia="Calibri" w:hAnsi="Palatino Linotype" w:cs="Tahoma"/>
          <w:iCs/>
          <w:szCs w:val="22"/>
          <w:lang w:val="es-ES" w:eastAsia="es-ES_tradnl"/>
        </w:rPr>
      </w:pPr>
    </w:p>
    <w:p w14:paraId="54F5F5DD" w14:textId="77777777" w:rsidR="00BD3657" w:rsidRPr="00EB0799" w:rsidRDefault="00BD3657" w:rsidP="00A634B5">
      <w:pPr>
        <w:tabs>
          <w:tab w:val="left" w:pos="4667"/>
        </w:tabs>
        <w:spacing w:line="360" w:lineRule="auto"/>
        <w:contextualSpacing/>
        <w:jc w:val="both"/>
        <w:rPr>
          <w:rFonts w:ascii="Palatino Linotype" w:hAnsi="Palatino Linotype" w:cs="Tahoma"/>
          <w:bCs/>
          <w:iCs/>
          <w:sz w:val="22"/>
          <w:szCs w:val="22"/>
          <w:lang w:val="es-ES"/>
        </w:rPr>
      </w:pPr>
      <w:r w:rsidRPr="00EB0799">
        <w:rPr>
          <w:rFonts w:ascii="Palatino Linotype" w:hAnsi="Palatino Linotype" w:cs="Tahoma"/>
          <w:iCs/>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recursal; </w:t>
      </w:r>
      <w:r w:rsidRPr="00EB0799">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7AE603FC" w14:textId="77777777" w:rsidR="00BD3657" w:rsidRPr="00EB0799" w:rsidRDefault="00BD3657" w:rsidP="00A634B5">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6533DF8B" w14:textId="77777777" w:rsidR="00BD3657" w:rsidRPr="00EB0799" w:rsidRDefault="00BD3657" w:rsidP="00A634B5">
      <w:pPr>
        <w:spacing w:line="360" w:lineRule="auto"/>
        <w:ind w:right="-28"/>
        <w:contextualSpacing/>
        <w:jc w:val="both"/>
        <w:rPr>
          <w:rFonts w:ascii="Palatino Linotype" w:hAnsi="Palatino Linotype" w:cs="Tahoma"/>
          <w:b/>
          <w:sz w:val="22"/>
          <w:szCs w:val="22"/>
        </w:rPr>
      </w:pPr>
      <w:r w:rsidRPr="00EB0799">
        <w:rPr>
          <w:rFonts w:ascii="Palatino Linotype" w:hAnsi="Palatino Linotype" w:cs="Tahoma"/>
          <w:b/>
          <w:sz w:val="22"/>
          <w:szCs w:val="22"/>
          <w:lang w:val="es-ES"/>
        </w:rPr>
        <w:t xml:space="preserve">CUARTO. </w:t>
      </w:r>
      <w:r w:rsidRPr="00EB0799">
        <w:rPr>
          <w:rFonts w:ascii="Palatino Linotype" w:hAnsi="Palatino Linotype" w:cs="Tahoma"/>
          <w:b/>
          <w:sz w:val="22"/>
          <w:szCs w:val="22"/>
        </w:rPr>
        <w:t>Marco normativo aplicable en materia de transparencia y acceso a la información pública</w:t>
      </w:r>
    </w:p>
    <w:p w14:paraId="1213C139"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p>
    <w:p w14:paraId="1AE86680"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r w:rsidRPr="00EB0799">
        <w:rPr>
          <w:rFonts w:ascii="Palatino Linotype" w:hAnsi="Palatino Linotype" w:cs="Tahoma"/>
          <w:bCs/>
          <w:iCs/>
          <w:sz w:val="22"/>
          <w:szCs w:val="22"/>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0B0F837"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p>
    <w:p w14:paraId="002F4D45"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r w:rsidRPr="00EB0799">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1B40A23"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p>
    <w:p w14:paraId="62F5B1C9"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r w:rsidRPr="00EB0799">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6B268C7"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p>
    <w:p w14:paraId="056A5E55"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r w:rsidRPr="00EB0799">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5CB193A8"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p>
    <w:p w14:paraId="237A7763"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r w:rsidRPr="00EB0799">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2C42E543"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p>
    <w:p w14:paraId="1D61FC15"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r w:rsidRPr="00EB0799">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31062B5"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p>
    <w:p w14:paraId="36A7929F" w14:textId="77777777" w:rsidR="00BD3657" w:rsidRPr="00EB0799" w:rsidRDefault="00BD3657" w:rsidP="00A634B5">
      <w:pPr>
        <w:spacing w:line="360" w:lineRule="auto"/>
        <w:ind w:right="-28"/>
        <w:contextualSpacing/>
        <w:jc w:val="both"/>
        <w:rPr>
          <w:rFonts w:ascii="Palatino Linotype" w:hAnsi="Palatino Linotype" w:cs="Tahoma"/>
          <w:bCs/>
          <w:iCs/>
          <w:sz w:val="22"/>
          <w:szCs w:val="22"/>
        </w:rPr>
      </w:pPr>
      <w:r w:rsidRPr="00EB0799">
        <w:rPr>
          <w:rFonts w:ascii="Palatino Linotype" w:hAnsi="Palatino Linotype" w:cs="Tahoma"/>
          <w:bCs/>
          <w:iCs/>
          <w:sz w:val="22"/>
          <w:szCs w:val="22"/>
        </w:rPr>
        <w:t xml:space="preserve">El artículo 19, que, se presume que la información debe existir si se refiere a las facultades, competencias y funciones que los ordenamientos jurídicos aplicables otorgan a los sujetos </w:t>
      </w:r>
      <w:r w:rsidRPr="00EB0799">
        <w:rPr>
          <w:rFonts w:ascii="Palatino Linotype" w:hAnsi="Palatino Linotype" w:cs="Tahoma"/>
          <w:bCs/>
          <w:iCs/>
          <w:sz w:val="22"/>
          <w:szCs w:val="22"/>
        </w:rPr>
        <w:lastRenderedPageBreak/>
        <w:t>obligados y en caso de que dichas facultades no se hayan ejercido, se deberá motivar la respuesta en función de las causas que motivaron tal circunstancia.</w:t>
      </w:r>
    </w:p>
    <w:p w14:paraId="55B0A192" w14:textId="77777777" w:rsidR="00BD3657" w:rsidRPr="00EB0799" w:rsidRDefault="00BD3657" w:rsidP="00A634B5">
      <w:pPr>
        <w:spacing w:line="360" w:lineRule="auto"/>
        <w:ind w:right="-28"/>
        <w:contextualSpacing/>
        <w:jc w:val="both"/>
        <w:rPr>
          <w:rFonts w:ascii="Palatino Linotype" w:hAnsi="Palatino Linotype" w:cs="Tahoma"/>
          <w:b/>
          <w:sz w:val="22"/>
          <w:szCs w:val="22"/>
        </w:rPr>
      </w:pPr>
    </w:p>
    <w:p w14:paraId="743346A3" w14:textId="77777777" w:rsidR="00BD3657" w:rsidRPr="00EB0799" w:rsidRDefault="00BD3657" w:rsidP="00A634B5">
      <w:pPr>
        <w:spacing w:line="360" w:lineRule="auto"/>
        <w:ind w:right="-28"/>
        <w:contextualSpacing/>
        <w:jc w:val="both"/>
        <w:rPr>
          <w:rFonts w:ascii="Palatino Linotype" w:hAnsi="Palatino Linotype" w:cs="Tahoma"/>
          <w:b/>
          <w:sz w:val="22"/>
          <w:szCs w:val="22"/>
        </w:rPr>
      </w:pPr>
      <w:r w:rsidRPr="00EB0799">
        <w:rPr>
          <w:rFonts w:ascii="Palatino Linotype" w:hAnsi="Palatino Linotype" w:cs="Tahoma"/>
          <w:b/>
          <w:sz w:val="22"/>
          <w:szCs w:val="22"/>
        </w:rPr>
        <w:t>QUINTO. Estudio de Fondo</w:t>
      </w:r>
    </w:p>
    <w:p w14:paraId="6E29CAEE" w14:textId="77777777" w:rsidR="00BD3657" w:rsidRPr="00EB0799" w:rsidRDefault="00BD3657" w:rsidP="00A634B5">
      <w:pPr>
        <w:tabs>
          <w:tab w:val="left" w:pos="4962"/>
        </w:tabs>
        <w:spacing w:line="360" w:lineRule="auto"/>
        <w:ind w:right="-28"/>
        <w:contextualSpacing/>
        <w:jc w:val="both"/>
        <w:rPr>
          <w:rFonts w:ascii="Palatino Linotype" w:eastAsia="Calibri" w:hAnsi="Palatino Linotype" w:cs="Tahoma"/>
          <w:iCs/>
          <w:sz w:val="22"/>
          <w:szCs w:val="22"/>
          <w:lang w:eastAsia="es-ES_tradnl"/>
        </w:rPr>
      </w:pPr>
    </w:p>
    <w:p w14:paraId="545B0612" w14:textId="77777777" w:rsidR="00BD3657" w:rsidRPr="00EB0799" w:rsidRDefault="00BD3657" w:rsidP="00A634B5">
      <w:pPr>
        <w:tabs>
          <w:tab w:val="left" w:pos="4962"/>
        </w:tabs>
        <w:spacing w:line="360" w:lineRule="auto"/>
        <w:contextualSpacing/>
        <w:jc w:val="both"/>
        <w:rPr>
          <w:rFonts w:ascii="Palatino Linotype" w:hAnsi="Palatino Linotype" w:cs="Tahoma"/>
          <w:bCs/>
          <w:iCs/>
          <w:sz w:val="22"/>
          <w:szCs w:val="22"/>
        </w:rPr>
      </w:pPr>
      <w:r w:rsidRPr="00EB0799">
        <w:rPr>
          <w:rFonts w:ascii="Palatino Linotype" w:hAnsi="Palatino Linotype" w:cs="Tahoma"/>
          <w:bCs/>
          <w:iCs/>
          <w:sz w:val="22"/>
          <w:szCs w:val="22"/>
        </w:rPr>
        <w:t>Expuestas las posturas de las partes, se procede a realizar el análisis del agravio hecho valer por el ahora Recurrente, concerniente a la entrega o puesta a disposición de la información en un formato distinto al solicitado, para lo cual resulta necesario contextualizar la solicitud de información.</w:t>
      </w:r>
    </w:p>
    <w:p w14:paraId="4304B2E3" w14:textId="77777777" w:rsidR="00BD3657" w:rsidRPr="00EB0799" w:rsidRDefault="00BD3657" w:rsidP="00A634B5">
      <w:pPr>
        <w:spacing w:line="360" w:lineRule="auto"/>
        <w:ind w:right="-28"/>
        <w:contextualSpacing/>
        <w:jc w:val="both"/>
        <w:rPr>
          <w:rFonts w:ascii="Palatino Linotype" w:eastAsia="Calibri" w:hAnsi="Palatino Linotype" w:cs="Tahoma"/>
          <w:bCs/>
          <w:sz w:val="22"/>
          <w:szCs w:val="22"/>
        </w:rPr>
      </w:pPr>
    </w:p>
    <w:p w14:paraId="4743E8C6" w14:textId="77777777" w:rsidR="00B21A4E" w:rsidRPr="00EB0799" w:rsidRDefault="00B21A4E" w:rsidP="00A634B5">
      <w:pPr>
        <w:spacing w:line="360" w:lineRule="auto"/>
        <w:contextualSpacing/>
        <w:jc w:val="both"/>
        <w:rPr>
          <w:rFonts w:ascii="Palatino Linotype" w:hAnsi="Palatino Linotype" w:cs="Tahoma"/>
          <w:b/>
          <w:sz w:val="22"/>
          <w:szCs w:val="22"/>
        </w:rPr>
      </w:pPr>
      <w:r w:rsidRPr="00EB0799">
        <w:rPr>
          <w:rFonts w:ascii="Palatino Linotype" w:eastAsia="Calibri" w:hAnsi="Palatino Linotype" w:cs="Tahoma"/>
          <w:bCs/>
          <w:sz w:val="22"/>
          <w:szCs w:val="22"/>
          <w:lang w:val="es-ES"/>
        </w:rPr>
        <w:t xml:space="preserve">Sobre el tema, cabe precisar que de conformidad con los artículos 6°, apartado A, de la Constitución Política de los Estados Unidos Mexicanos, 5° de la Constitución Política del Estado Libre y Soberano de México, </w:t>
      </w:r>
      <w:r w:rsidRPr="00EB0799">
        <w:rPr>
          <w:rFonts w:ascii="Palatino Linotype" w:hAnsi="Palatino Linotype" w:cs="Tahoma"/>
          <w:bCs/>
          <w:sz w:val="22"/>
          <w:szCs w:val="22"/>
        </w:rPr>
        <w:t xml:space="preserve">4° de la Ley General de Transparencia y Acceso a la Información Pública y 4° de la </w:t>
      </w:r>
      <w:r w:rsidRPr="00EB0799">
        <w:rPr>
          <w:rFonts w:ascii="Palatino Linotype" w:hAnsi="Palatino Linotype" w:cs="Tahoma"/>
          <w:sz w:val="22"/>
          <w:szCs w:val="22"/>
        </w:rPr>
        <w:t xml:space="preserve">Ley </w:t>
      </w:r>
      <w:r w:rsidRPr="00EB0799">
        <w:rPr>
          <w:rFonts w:ascii="Palatino Linotype" w:hAnsi="Palatino Linotype" w:cs="Tahoma"/>
          <w:bCs/>
          <w:sz w:val="22"/>
          <w:szCs w:val="22"/>
        </w:rPr>
        <w:t xml:space="preserve">de Transparencia y Acceso a la Información Pública del Estado de México y Municipios, </w:t>
      </w:r>
      <w:r w:rsidRPr="00EB0799">
        <w:rPr>
          <w:rFonts w:ascii="Palatino Linotype" w:hAnsi="Palatino Linotype" w:cs="Tahoma"/>
          <w:b/>
          <w:sz w:val="22"/>
          <w:szCs w:val="22"/>
        </w:rPr>
        <w:t>toda la información generada, obtenida, adquirida, transformada o en posesión de los sujetos obligados es pública y accesible a cualquier persona.</w:t>
      </w:r>
    </w:p>
    <w:p w14:paraId="1345C096" w14:textId="77777777" w:rsidR="00B21A4E" w:rsidRPr="00EB0799" w:rsidRDefault="00B21A4E" w:rsidP="00A634B5">
      <w:pPr>
        <w:tabs>
          <w:tab w:val="left" w:pos="4962"/>
        </w:tabs>
        <w:spacing w:line="360" w:lineRule="auto"/>
        <w:contextualSpacing/>
        <w:jc w:val="both"/>
        <w:rPr>
          <w:rFonts w:ascii="Palatino Linotype" w:hAnsi="Palatino Linotype" w:cs="Tahoma"/>
          <w:bCs/>
          <w:sz w:val="22"/>
          <w:szCs w:val="22"/>
        </w:rPr>
      </w:pPr>
    </w:p>
    <w:p w14:paraId="75F9E6FF" w14:textId="77777777" w:rsidR="00B21A4E" w:rsidRPr="00EB0799" w:rsidRDefault="00B21A4E" w:rsidP="00A634B5">
      <w:pPr>
        <w:spacing w:line="360" w:lineRule="auto"/>
        <w:contextualSpacing/>
        <w:jc w:val="both"/>
        <w:rPr>
          <w:rFonts w:ascii="Palatino Linotype" w:hAnsi="Palatino Linotype" w:cs="Tahoma"/>
          <w:sz w:val="22"/>
          <w:szCs w:val="22"/>
          <w:lang w:val="es-ES"/>
        </w:rPr>
      </w:pPr>
      <w:r w:rsidRPr="00EB0799">
        <w:rPr>
          <w:rFonts w:ascii="Palatino Linotype" w:hAnsi="Palatino Linotype" w:cs="Segoe UI"/>
          <w:sz w:val="22"/>
          <w:szCs w:val="22"/>
        </w:rPr>
        <w:t xml:space="preserve">En ese contexto, </w:t>
      </w:r>
      <w:r w:rsidRPr="00EB0799">
        <w:rPr>
          <w:rFonts w:ascii="Palatino Linotype" w:hAnsi="Palatino Linotype" w:cs="Tahoma"/>
          <w:sz w:val="22"/>
          <w:szCs w:val="22"/>
          <w:lang w:val="es-ES"/>
        </w:rPr>
        <w:t>el artículo 18 de la Ley de Transparencia y Acceso a la Información Pública del Estado de México y Municipios, contempla que los sujetos obligados deberán documentar todo acto que derive del ejercicio de sus facultades, competencias o funciones.</w:t>
      </w:r>
    </w:p>
    <w:p w14:paraId="0F1FC0CC" w14:textId="77777777" w:rsidR="00B21A4E" w:rsidRPr="00EB0799" w:rsidRDefault="00B21A4E" w:rsidP="00A634B5">
      <w:pPr>
        <w:spacing w:line="360" w:lineRule="auto"/>
        <w:contextualSpacing/>
        <w:jc w:val="both"/>
        <w:rPr>
          <w:rFonts w:ascii="Palatino Linotype" w:hAnsi="Palatino Linotype" w:cs="Tahoma"/>
          <w:sz w:val="22"/>
          <w:szCs w:val="22"/>
          <w:lang w:val="es-ES"/>
        </w:rPr>
      </w:pPr>
    </w:p>
    <w:p w14:paraId="503404D6" w14:textId="77777777" w:rsidR="00B21A4E" w:rsidRPr="00EB0799" w:rsidRDefault="00B21A4E" w:rsidP="00A634B5">
      <w:pPr>
        <w:spacing w:line="360" w:lineRule="auto"/>
        <w:contextualSpacing/>
        <w:jc w:val="both"/>
        <w:rPr>
          <w:rFonts w:ascii="Palatino Linotype" w:eastAsia="Calibri" w:hAnsi="Palatino Linotype" w:cs="Arial"/>
          <w:bCs/>
          <w:color w:val="0D0D0D" w:themeColor="text1" w:themeTint="F2"/>
          <w:sz w:val="22"/>
          <w:szCs w:val="22"/>
          <w:lang w:val="es-ES"/>
        </w:rPr>
      </w:pPr>
      <w:r w:rsidRPr="00EB0799">
        <w:rPr>
          <w:rFonts w:ascii="Palatino Linotype" w:eastAsia="Calibri" w:hAnsi="Palatino Linotype" w:cs="Arial"/>
          <w:bCs/>
          <w:color w:val="0D0D0D" w:themeColor="text1" w:themeTint="F2"/>
          <w:sz w:val="22"/>
          <w:szCs w:val="22"/>
          <w:lang w:val="es-ES"/>
        </w:rPr>
        <w:t xml:space="preserve">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w:t>
      </w:r>
      <w:r w:rsidRPr="00EB0799">
        <w:rPr>
          <w:rFonts w:ascii="Palatino Linotype" w:eastAsia="Calibri" w:hAnsi="Palatino Linotype" w:cs="Arial"/>
          <w:bCs/>
          <w:color w:val="0D0D0D" w:themeColor="text1" w:themeTint="F2"/>
          <w:sz w:val="22"/>
          <w:szCs w:val="22"/>
          <w:lang w:val="es-ES"/>
        </w:rPr>
        <w:lastRenderedPageBreak/>
        <w:t>sus atribuciones de cualquier acto que derive del ejercicio de sus facultades, competencias o funciones.</w:t>
      </w:r>
    </w:p>
    <w:p w14:paraId="76AA5E74" w14:textId="77777777" w:rsidR="00B21A4E" w:rsidRPr="00EB0799" w:rsidRDefault="00B21A4E" w:rsidP="00A634B5">
      <w:pPr>
        <w:spacing w:line="360" w:lineRule="auto"/>
        <w:contextualSpacing/>
        <w:jc w:val="both"/>
        <w:rPr>
          <w:rFonts w:ascii="Palatino Linotype" w:eastAsia="Calibri" w:hAnsi="Palatino Linotype" w:cs="Arial"/>
          <w:bCs/>
          <w:color w:val="0D0D0D" w:themeColor="text1" w:themeTint="F2"/>
          <w:sz w:val="22"/>
          <w:szCs w:val="22"/>
          <w:lang w:val="es-ES"/>
        </w:rPr>
      </w:pPr>
    </w:p>
    <w:p w14:paraId="00F68ABF" w14:textId="77777777" w:rsidR="00B21A4E" w:rsidRPr="00EB0799" w:rsidRDefault="00B21A4E" w:rsidP="00A634B5">
      <w:pPr>
        <w:spacing w:line="360" w:lineRule="auto"/>
        <w:contextualSpacing/>
        <w:jc w:val="both"/>
        <w:rPr>
          <w:rFonts w:ascii="Palatino Linotype" w:eastAsia="Calibri" w:hAnsi="Palatino Linotype" w:cs="Arial"/>
          <w:bCs/>
          <w:color w:val="0D0D0D" w:themeColor="text1" w:themeTint="F2"/>
          <w:sz w:val="22"/>
          <w:szCs w:val="22"/>
          <w:lang w:val="es-ES"/>
        </w:rPr>
      </w:pPr>
      <w:r w:rsidRPr="00EB0799">
        <w:rPr>
          <w:rFonts w:ascii="Palatino Linotype" w:eastAsia="Calibri" w:hAnsi="Palatino Linotype" w:cs="Arial"/>
          <w:bCs/>
          <w:color w:val="0D0D0D" w:themeColor="text1" w:themeTint="F2"/>
          <w:sz w:val="22"/>
          <w:szCs w:val="22"/>
          <w:lang w:val="es-ES"/>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0D356595" w14:textId="77777777" w:rsidR="00B21A4E" w:rsidRPr="00EB0799" w:rsidRDefault="00B21A4E" w:rsidP="00A634B5">
      <w:pPr>
        <w:spacing w:line="360" w:lineRule="auto"/>
        <w:contextualSpacing/>
        <w:jc w:val="both"/>
        <w:rPr>
          <w:rFonts w:ascii="Palatino Linotype" w:eastAsia="Calibri" w:hAnsi="Palatino Linotype" w:cs="Arial"/>
          <w:bCs/>
          <w:color w:val="0D0D0D" w:themeColor="text1" w:themeTint="F2"/>
          <w:sz w:val="22"/>
          <w:szCs w:val="22"/>
          <w:lang w:val="es-ES"/>
        </w:rPr>
      </w:pPr>
    </w:p>
    <w:p w14:paraId="4DDB2133" w14:textId="26C3C858" w:rsidR="00B21A4E" w:rsidRPr="00EB0799" w:rsidRDefault="00B21A4E" w:rsidP="00A634B5">
      <w:pPr>
        <w:spacing w:line="360" w:lineRule="auto"/>
        <w:contextualSpacing/>
        <w:jc w:val="both"/>
        <w:rPr>
          <w:rFonts w:ascii="Palatino Linotype" w:hAnsi="Palatino Linotype"/>
          <w:bCs/>
          <w:sz w:val="22"/>
          <w:szCs w:val="22"/>
        </w:rPr>
      </w:pPr>
      <w:r w:rsidRPr="00EB0799">
        <w:rPr>
          <w:rFonts w:ascii="Palatino Linotype" w:hAnsi="Palatino Linotype"/>
          <w:bCs/>
          <w:sz w:val="22"/>
          <w:szCs w:val="22"/>
        </w:rPr>
        <w:t xml:space="preserve">En ese contexto, los diversos 12 y 24 de dicho ordenamiento jurídico, prevén que, </w:t>
      </w:r>
      <w:r w:rsidRPr="00EB0799">
        <w:rPr>
          <w:rFonts w:ascii="Palatino Linotype" w:hAnsi="Palatino Linotype" w:cs="Tahoma"/>
          <w:sz w:val="22"/>
          <w:szCs w:val="22"/>
        </w:rPr>
        <w:t>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r w:rsidRPr="00EB0799">
        <w:rPr>
          <w:rFonts w:ascii="Palatino Linotype" w:hAnsi="Palatino Linotype"/>
          <w:bCs/>
          <w:sz w:val="22"/>
          <w:szCs w:val="22"/>
        </w:rPr>
        <w:t>.</w:t>
      </w:r>
    </w:p>
    <w:p w14:paraId="3FE98FCA" w14:textId="77777777" w:rsidR="00F101F5" w:rsidRPr="00EB0799" w:rsidRDefault="00F101F5" w:rsidP="00A634B5">
      <w:pPr>
        <w:spacing w:line="360" w:lineRule="auto"/>
        <w:contextualSpacing/>
        <w:jc w:val="both"/>
        <w:rPr>
          <w:rFonts w:ascii="Palatino Linotype" w:hAnsi="Palatino Linotype"/>
          <w:bCs/>
          <w:sz w:val="22"/>
          <w:szCs w:val="22"/>
        </w:rPr>
      </w:pPr>
    </w:p>
    <w:p w14:paraId="774FCED3" w14:textId="10234A63" w:rsidR="00351703" w:rsidRPr="00EB0799" w:rsidRDefault="00F101F5" w:rsidP="00F101F5">
      <w:pPr>
        <w:spacing w:line="360" w:lineRule="auto"/>
        <w:contextualSpacing/>
        <w:jc w:val="both"/>
        <w:rPr>
          <w:rFonts w:ascii="Palatino Linotype" w:eastAsia="Calibri" w:hAnsi="Palatino Linotype"/>
          <w:bCs/>
          <w:sz w:val="22"/>
          <w:szCs w:val="22"/>
        </w:rPr>
      </w:pPr>
      <w:r w:rsidRPr="00EB0799">
        <w:rPr>
          <w:rFonts w:ascii="Palatino Linotype" w:eastAsia="Calibri" w:hAnsi="Palatino Linotype"/>
          <w:bCs/>
          <w:sz w:val="22"/>
          <w:szCs w:val="22"/>
        </w:rPr>
        <w:t xml:space="preserve">Ahora bien, </w:t>
      </w:r>
      <w:r w:rsidR="00351703" w:rsidRPr="00EB0799">
        <w:rPr>
          <w:rFonts w:ascii="Palatino Linotype" w:eastAsia="Calibri" w:hAnsi="Palatino Linotype"/>
          <w:bCs/>
          <w:sz w:val="22"/>
          <w:szCs w:val="22"/>
        </w:rPr>
        <w:t xml:space="preserve">los </w:t>
      </w:r>
      <w:r w:rsidRPr="00EB0799">
        <w:rPr>
          <w:rFonts w:ascii="Palatino Linotype" w:eastAsia="Calibri" w:hAnsi="Palatino Linotype"/>
          <w:bCs/>
          <w:sz w:val="22"/>
          <w:szCs w:val="22"/>
        </w:rPr>
        <w:t>artículo</w:t>
      </w:r>
      <w:r w:rsidR="00351703" w:rsidRPr="00EB0799">
        <w:rPr>
          <w:rFonts w:ascii="Palatino Linotype" w:eastAsia="Calibri" w:hAnsi="Palatino Linotype"/>
          <w:bCs/>
          <w:sz w:val="22"/>
          <w:szCs w:val="22"/>
        </w:rPr>
        <w:t>s</w:t>
      </w:r>
      <w:r w:rsidRPr="00EB0799">
        <w:rPr>
          <w:rFonts w:ascii="Palatino Linotype" w:eastAsia="Calibri" w:hAnsi="Palatino Linotype"/>
          <w:bCs/>
          <w:sz w:val="22"/>
          <w:szCs w:val="22"/>
        </w:rPr>
        <w:t xml:space="preserve"> </w:t>
      </w:r>
      <w:r w:rsidR="00351703" w:rsidRPr="00EB0799">
        <w:rPr>
          <w:rFonts w:ascii="Palatino Linotype" w:eastAsia="Calibri" w:hAnsi="Palatino Linotype"/>
          <w:bCs/>
          <w:sz w:val="22"/>
          <w:szCs w:val="22"/>
        </w:rPr>
        <w:t xml:space="preserve">64, 65, 66, 67, 68, </w:t>
      </w:r>
      <w:r w:rsidRPr="00EB0799">
        <w:rPr>
          <w:rFonts w:ascii="Palatino Linotype" w:eastAsia="Calibri" w:hAnsi="Palatino Linotype"/>
          <w:bCs/>
          <w:sz w:val="22"/>
          <w:szCs w:val="22"/>
        </w:rPr>
        <w:t>69</w:t>
      </w:r>
      <w:r w:rsidR="00351703" w:rsidRPr="00EB0799">
        <w:rPr>
          <w:rFonts w:ascii="Palatino Linotype" w:eastAsia="Calibri" w:hAnsi="Palatino Linotype"/>
          <w:bCs/>
          <w:sz w:val="22"/>
          <w:szCs w:val="22"/>
        </w:rPr>
        <w:t>, 82, 83, 84 y 85</w:t>
      </w:r>
      <w:r w:rsidRPr="00EB0799">
        <w:rPr>
          <w:rFonts w:ascii="Palatino Linotype" w:eastAsia="Calibri" w:hAnsi="Palatino Linotype"/>
          <w:bCs/>
          <w:sz w:val="22"/>
          <w:szCs w:val="22"/>
        </w:rPr>
        <w:t xml:space="preserve"> de la Ley Orgánica Municipal del Estado de México, los cuales establecen que, los Ayuntamientos, para el eficaz desempeño de sus funciones públicas podrán auxiliarse de comisiones, consejos, y organizaciones sociales, responsables de estudiar, examinar, proponer acuerdos, acciones o normas tendientes a mejorar la administración pública municipal. </w:t>
      </w:r>
    </w:p>
    <w:p w14:paraId="61E1068C" w14:textId="77777777" w:rsidR="00351703" w:rsidRPr="00EB0799" w:rsidRDefault="00351703" w:rsidP="00F101F5">
      <w:pPr>
        <w:spacing w:line="360" w:lineRule="auto"/>
        <w:contextualSpacing/>
        <w:jc w:val="both"/>
        <w:rPr>
          <w:rFonts w:ascii="Palatino Linotype" w:eastAsia="Calibri" w:hAnsi="Palatino Linotype"/>
          <w:bCs/>
          <w:sz w:val="22"/>
          <w:szCs w:val="22"/>
        </w:rPr>
      </w:pPr>
    </w:p>
    <w:p w14:paraId="5EFA9E04" w14:textId="2DCFD86C" w:rsidR="00351703" w:rsidRPr="00EB0799" w:rsidRDefault="00351703" w:rsidP="00F101F5">
      <w:pPr>
        <w:spacing w:line="360" w:lineRule="auto"/>
        <w:contextualSpacing/>
        <w:jc w:val="both"/>
        <w:rPr>
          <w:rFonts w:ascii="Palatino Linotype" w:eastAsia="Calibri" w:hAnsi="Palatino Linotype"/>
          <w:bCs/>
          <w:sz w:val="22"/>
          <w:szCs w:val="22"/>
        </w:rPr>
      </w:pPr>
      <w:r w:rsidRPr="00EB0799">
        <w:rPr>
          <w:rFonts w:ascii="Palatino Linotype" w:eastAsia="Calibri" w:hAnsi="Palatino Linotype"/>
          <w:bCs/>
          <w:sz w:val="22"/>
          <w:szCs w:val="22"/>
        </w:rPr>
        <w:t xml:space="preserve">Las comisiones las determinará el ayuntamiento de acuerdo a las necesidades del municipio y podrán ser permanentes o transitorias, entre las transitorias se localiza la </w:t>
      </w:r>
      <w:r w:rsidR="0056030F" w:rsidRPr="00EB0799">
        <w:rPr>
          <w:rFonts w:ascii="Palatino Linotype" w:eastAsia="Calibri" w:hAnsi="Palatino Linotype"/>
          <w:bCs/>
          <w:sz w:val="22"/>
          <w:szCs w:val="22"/>
        </w:rPr>
        <w:t>Comisión de</w:t>
      </w:r>
      <w:r w:rsidRPr="00EB0799">
        <w:rPr>
          <w:rFonts w:ascii="Palatino Linotype" w:eastAsia="Calibri" w:hAnsi="Palatino Linotype"/>
          <w:bCs/>
          <w:sz w:val="22"/>
          <w:szCs w:val="22"/>
        </w:rPr>
        <w:t xml:space="preserve"> Planeación para el Desarrollo, que estará a cargo del presidente municipal. </w:t>
      </w:r>
    </w:p>
    <w:p w14:paraId="34E96E24" w14:textId="77777777" w:rsidR="00351703" w:rsidRPr="00EB0799" w:rsidRDefault="00351703" w:rsidP="00F101F5">
      <w:pPr>
        <w:spacing w:line="360" w:lineRule="auto"/>
        <w:contextualSpacing/>
        <w:jc w:val="both"/>
        <w:rPr>
          <w:rFonts w:ascii="Palatino Linotype" w:eastAsia="Calibri" w:hAnsi="Palatino Linotype"/>
          <w:bCs/>
          <w:sz w:val="22"/>
          <w:szCs w:val="22"/>
        </w:rPr>
      </w:pPr>
    </w:p>
    <w:p w14:paraId="49CFC413" w14:textId="77777777" w:rsidR="00351703" w:rsidRPr="00EB0799" w:rsidRDefault="00351703" w:rsidP="00F101F5">
      <w:pPr>
        <w:spacing w:line="360" w:lineRule="auto"/>
        <w:contextualSpacing/>
        <w:jc w:val="both"/>
        <w:rPr>
          <w:rFonts w:ascii="Palatino Linotype" w:eastAsia="Calibri" w:hAnsi="Palatino Linotype"/>
          <w:bCs/>
          <w:sz w:val="22"/>
          <w:szCs w:val="22"/>
        </w:rPr>
      </w:pPr>
      <w:r w:rsidRPr="00EB0799">
        <w:rPr>
          <w:rFonts w:ascii="Palatino Linotype" w:eastAsia="Calibri" w:hAnsi="Palatino Linotype"/>
          <w:bCs/>
          <w:sz w:val="22"/>
          <w:szCs w:val="22"/>
        </w:rPr>
        <w:t xml:space="preserve">La Comisión de Planeación para el Desarrollo Municipal se integrará con ciudadanos distinguidos del municipio, representativos de los sectores público, social y privado, así como </w:t>
      </w:r>
      <w:r w:rsidRPr="00EB0799">
        <w:rPr>
          <w:rFonts w:ascii="Palatino Linotype" w:eastAsia="Calibri" w:hAnsi="Palatino Linotype"/>
          <w:bCs/>
          <w:sz w:val="22"/>
          <w:szCs w:val="22"/>
        </w:rPr>
        <w:lastRenderedPageBreak/>
        <w:t>de las organizaciones sociales del municipio, a la cual podrán integrarse de igual forma los miembros de los consejos de participación ciudadana.</w:t>
      </w:r>
    </w:p>
    <w:p w14:paraId="569CAA06" w14:textId="77777777" w:rsidR="00351703" w:rsidRPr="00EB0799" w:rsidRDefault="00351703" w:rsidP="00F101F5">
      <w:pPr>
        <w:spacing w:line="360" w:lineRule="auto"/>
        <w:contextualSpacing/>
        <w:jc w:val="both"/>
        <w:rPr>
          <w:rFonts w:ascii="Palatino Linotype" w:eastAsia="Calibri" w:hAnsi="Palatino Linotype"/>
          <w:bCs/>
          <w:sz w:val="22"/>
          <w:szCs w:val="22"/>
        </w:rPr>
      </w:pPr>
    </w:p>
    <w:p w14:paraId="3960EB14" w14:textId="77777777" w:rsidR="003C51E4" w:rsidRPr="00EB0799" w:rsidRDefault="00351703" w:rsidP="00F101F5">
      <w:pPr>
        <w:spacing w:line="360" w:lineRule="auto"/>
        <w:contextualSpacing/>
        <w:jc w:val="both"/>
        <w:rPr>
          <w:rFonts w:ascii="Palatino Linotype" w:eastAsia="Calibri" w:hAnsi="Palatino Linotype"/>
          <w:bCs/>
          <w:sz w:val="22"/>
          <w:szCs w:val="22"/>
        </w:rPr>
      </w:pPr>
      <w:r w:rsidRPr="00EB0799">
        <w:rPr>
          <w:rFonts w:ascii="Palatino Linotype" w:eastAsia="Calibri" w:hAnsi="Palatino Linotype"/>
          <w:bCs/>
          <w:sz w:val="22"/>
          <w:szCs w:val="22"/>
        </w:rPr>
        <w:t>El presidente municipal, al inicio de su periodo constitucional, convocará a las organizaciones sociales de la comunidad para que se integren a la Comisión, esta contará con un mínimo de cinco miembros encabezados por quien designe</w:t>
      </w:r>
      <w:r w:rsidR="003C51E4" w:rsidRPr="00EB0799">
        <w:rPr>
          <w:rFonts w:ascii="Palatino Linotype" w:eastAsia="Calibri" w:hAnsi="Palatino Linotype"/>
          <w:bCs/>
          <w:sz w:val="22"/>
          <w:szCs w:val="22"/>
        </w:rPr>
        <w:t xml:space="preserve"> el ayuntamiento, y podrá tener tantos como se juzgue conveniente para el eficaz desempeño de sus funciones, los cuales durarán en su encargo el periodo municipal correspondiente.</w:t>
      </w:r>
    </w:p>
    <w:p w14:paraId="39FF1137" w14:textId="77777777" w:rsidR="003C51E4" w:rsidRPr="00EB0799" w:rsidRDefault="003C51E4" w:rsidP="00F101F5">
      <w:pPr>
        <w:spacing w:line="360" w:lineRule="auto"/>
        <w:contextualSpacing/>
        <w:jc w:val="both"/>
        <w:rPr>
          <w:rFonts w:ascii="Palatino Linotype" w:eastAsia="Calibri" w:hAnsi="Palatino Linotype"/>
          <w:bCs/>
          <w:sz w:val="22"/>
          <w:szCs w:val="22"/>
        </w:rPr>
      </w:pPr>
    </w:p>
    <w:p w14:paraId="7A331B10" w14:textId="4DCA4EF7" w:rsidR="00351703" w:rsidRPr="00EB0799" w:rsidRDefault="003C51E4" w:rsidP="00F101F5">
      <w:pPr>
        <w:spacing w:line="360" w:lineRule="auto"/>
        <w:contextualSpacing/>
        <w:jc w:val="both"/>
        <w:rPr>
          <w:rFonts w:ascii="Palatino Linotype" w:eastAsia="Calibri" w:hAnsi="Palatino Linotype"/>
          <w:bCs/>
          <w:sz w:val="22"/>
          <w:szCs w:val="22"/>
        </w:rPr>
      </w:pPr>
      <w:r w:rsidRPr="00EB0799">
        <w:rPr>
          <w:rFonts w:ascii="Palatino Linotype" w:eastAsia="Calibri" w:hAnsi="Palatino Linotype"/>
          <w:bCs/>
          <w:sz w:val="22"/>
          <w:szCs w:val="22"/>
        </w:rPr>
        <w:t>Por otro lado, el Plan de Desarrollo Municipal de Temamatla 2022-2024, se establecieron los mecanismos permanentes para la participación social y en materia de revisión del avance y cumplimiento de objetivos en conjunto con los ciudadanos, se conforma el Comité de Planeación para el Desarrollo Municipal.</w:t>
      </w:r>
    </w:p>
    <w:p w14:paraId="7E3E1E95" w14:textId="77777777" w:rsidR="00F101F5" w:rsidRPr="00EB0799" w:rsidRDefault="00F101F5" w:rsidP="00A634B5">
      <w:pPr>
        <w:spacing w:line="360" w:lineRule="auto"/>
        <w:contextualSpacing/>
        <w:jc w:val="both"/>
        <w:rPr>
          <w:rFonts w:ascii="Palatino Linotype" w:hAnsi="Palatino Linotype"/>
          <w:color w:val="000000"/>
          <w:sz w:val="22"/>
          <w:szCs w:val="22"/>
        </w:rPr>
      </w:pPr>
    </w:p>
    <w:p w14:paraId="43D31C61" w14:textId="3CC5CB1A" w:rsidR="00B21A4E" w:rsidRPr="00EB0799" w:rsidRDefault="003C51E4" w:rsidP="00A634B5">
      <w:pPr>
        <w:spacing w:line="360" w:lineRule="auto"/>
        <w:contextualSpacing/>
        <w:jc w:val="both"/>
        <w:rPr>
          <w:rFonts w:ascii="Palatino Linotype" w:hAnsi="Palatino Linotype" w:cs="Tahoma"/>
          <w:iCs/>
          <w:sz w:val="22"/>
          <w:szCs w:val="22"/>
        </w:rPr>
      </w:pPr>
      <w:r w:rsidRPr="00EB0799">
        <w:rPr>
          <w:rFonts w:ascii="Palatino Linotype" w:hAnsi="Palatino Linotype" w:cs="Tahoma"/>
          <w:iCs/>
          <w:sz w:val="22"/>
          <w:szCs w:val="22"/>
        </w:rPr>
        <w:t>Asimismo</w:t>
      </w:r>
      <w:r w:rsidR="00B21A4E" w:rsidRPr="00EB0799">
        <w:rPr>
          <w:rFonts w:ascii="Palatino Linotype" w:hAnsi="Palatino Linotype" w:cs="Tahoma"/>
          <w:iCs/>
          <w:sz w:val="22"/>
          <w:szCs w:val="22"/>
        </w:rPr>
        <w:t xml:space="preserve">, </w:t>
      </w:r>
      <w:r w:rsidR="004031CF" w:rsidRPr="00EB0799">
        <w:rPr>
          <w:rFonts w:ascii="Palatino Linotype" w:hAnsi="Palatino Linotype" w:cs="Tahoma"/>
          <w:iCs/>
          <w:sz w:val="22"/>
          <w:szCs w:val="22"/>
        </w:rPr>
        <w:t>los Bando</w:t>
      </w:r>
      <w:r w:rsidR="00536EF9" w:rsidRPr="00EB0799">
        <w:rPr>
          <w:rFonts w:ascii="Palatino Linotype" w:hAnsi="Palatino Linotype" w:cs="Tahoma"/>
          <w:iCs/>
          <w:sz w:val="22"/>
          <w:szCs w:val="22"/>
        </w:rPr>
        <w:t>s</w:t>
      </w:r>
      <w:r w:rsidR="004031CF" w:rsidRPr="00EB0799">
        <w:rPr>
          <w:rFonts w:ascii="Palatino Linotype" w:hAnsi="Palatino Linotype" w:cs="Tahoma"/>
          <w:iCs/>
          <w:sz w:val="22"/>
          <w:szCs w:val="22"/>
        </w:rPr>
        <w:t xml:space="preserve"> Municipal</w:t>
      </w:r>
      <w:r w:rsidR="00536EF9" w:rsidRPr="00EB0799">
        <w:rPr>
          <w:rFonts w:ascii="Palatino Linotype" w:hAnsi="Palatino Linotype" w:cs="Tahoma"/>
          <w:iCs/>
          <w:sz w:val="22"/>
          <w:szCs w:val="22"/>
        </w:rPr>
        <w:t>es</w:t>
      </w:r>
      <w:r w:rsidR="004031CF" w:rsidRPr="00EB0799">
        <w:rPr>
          <w:rFonts w:ascii="Palatino Linotype" w:hAnsi="Palatino Linotype" w:cs="Tahoma"/>
          <w:iCs/>
          <w:sz w:val="22"/>
          <w:szCs w:val="22"/>
        </w:rPr>
        <w:t xml:space="preserve"> de Temamatla dos mil veintidós,</w:t>
      </w:r>
      <w:r w:rsidR="00536EF9" w:rsidRPr="00EB0799">
        <w:rPr>
          <w:rFonts w:ascii="Palatino Linotype" w:hAnsi="Palatino Linotype" w:cs="Tahoma"/>
          <w:iCs/>
          <w:sz w:val="22"/>
          <w:szCs w:val="22"/>
        </w:rPr>
        <w:t xml:space="preserve"> dos mil veintitrés y dos mil veinticuatro</w:t>
      </w:r>
      <w:r w:rsidR="004031CF" w:rsidRPr="00EB0799">
        <w:rPr>
          <w:rFonts w:ascii="Palatino Linotype" w:hAnsi="Palatino Linotype" w:cs="Tahoma"/>
          <w:iCs/>
          <w:sz w:val="22"/>
          <w:szCs w:val="22"/>
        </w:rPr>
        <w:t xml:space="preserve"> </w:t>
      </w:r>
      <w:r w:rsidR="00536EF9" w:rsidRPr="00EB0799">
        <w:rPr>
          <w:rFonts w:ascii="Palatino Linotype" w:hAnsi="Palatino Linotype" w:cs="Tahoma"/>
          <w:iCs/>
          <w:sz w:val="22"/>
          <w:szCs w:val="22"/>
        </w:rPr>
        <w:t>establecen</w:t>
      </w:r>
      <w:r w:rsidR="004031CF" w:rsidRPr="00EB0799">
        <w:rPr>
          <w:rFonts w:ascii="Palatino Linotype" w:hAnsi="Palatino Linotype" w:cs="Tahoma"/>
          <w:iCs/>
          <w:sz w:val="22"/>
          <w:szCs w:val="22"/>
        </w:rPr>
        <w:t xml:space="preserve"> que se consideran como órganos auxiliares del ayuntamiento, aquellas comisiones, comités, consejos o cuerpos colegiados, con carácter consult</w:t>
      </w:r>
      <w:r w:rsidR="003829AE" w:rsidRPr="00EB0799">
        <w:rPr>
          <w:rFonts w:ascii="Palatino Linotype" w:hAnsi="Palatino Linotype" w:cs="Tahoma"/>
          <w:iCs/>
          <w:sz w:val="22"/>
          <w:szCs w:val="22"/>
        </w:rPr>
        <w:t>ivo y honorífico, para la implementación e instrumentación de políticas y acciones en beneficio del Municipio y de la Ad</w:t>
      </w:r>
      <w:r w:rsidR="00536EF9" w:rsidRPr="00EB0799">
        <w:rPr>
          <w:rFonts w:ascii="Palatino Linotype" w:hAnsi="Palatino Linotype" w:cs="Tahoma"/>
          <w:iCs/>
          <w:sz w:val="22"/>
          <w:szCs w:val="22"/>
        </w:rPr>
        <w:t>ministración Pública Municipal.</w:t>
      </w:r>
    </w:p>
    <w:p w14:paraId="0B0D7260" w14:textId="77777777" w:rsidR="00536EF9" w:rsidRPr="00EB0799" w:rsidRDefault="00536EF9" w:rsidP="00A634B5">
      <w:pPr>
        <w:spacing w:line="360" w:lineRule="auto"/>
        <w:contextualSpacing/>
        <w:jc w:val="both"/>
        <w:rPr>
          <w:rFonts w:ascii="Palatino Linotype" w:hAnsi="Palatino Linotype" w:cs="Tahoma"/>
          <w:iCs/>
          <w:sz w:val="22"/>
          <w:szCs w:val="22"/>
        </w:rPr>
      </w:pPr>
    </w:p>
    <w:p w14:paraId="1DE97CC2" w14:textId="10DA84BC" w:rsidR="00536EF9" w:rsidRPr="00EB0799" w:rsidRDefault="00536EF9" w:rsidP="00A634B5">
      <w:pPr>
        <w:spacing w:line="360" w:lineRule="auto"/>
        <w:contextualSpacing/>
        <w:jc w:val="both"/>
        <w:rPr>
          <w:rFonts w:ascii="Palatino Linotype" w:hAnsi="Palatino Linotype" w:cs="Tahoma"/>
          <w:iCs/>
          <w:sz w:val="22"/>
          <w:szCs w:val="22"/>
        </w:rPr>
      </w:pPr>
      <w:r w:rsidRPr="00EB0799">
        <w:rPr>
          <w:rFonts w:ascii="Palatino Linotype" w:hAnsi="Palatino Linotype" w:cs="Tahoma"/>
          <w:iCs/>
          <w:sz w:val="22"/>
          <w:szCs w:val="22"/>
        </w:rPr>
        <w:t>Las comisiones serán determinadas por el Ayuntamiento, de acuerdo a las necesidades del Municipio y sus integrantes serán nombrados por dicho órgano colegiado, de entre sus miembros a propuesta del presidente municipal, las cuales podrán ser transitorias y permanentes, de entre las cuales se localiza la “Comisión Permanente de Planeación para el Desarrollo.</w:t>
      </w:r>
    </w:p>
    <w:p w14:paraId="2982A326" w14:textId="77777777" w:rsidR="00536EF9" w:rsidRPr="00EB0799" w:rsidRDefault="00536EF9" w:rsidP="00A634B5">
      <w:pPr>
        <w:spacing w:line="360" w:lineRule="auto"/>
        <w:contextualSpacing/>
        <w:jc w:val="both"/>
        <w:rPr>
          <w:rFonts w:ascii="Palatino Linotype" w:hAnsi="Palatino Linotype" w:cs="Tahoma"/>
          <w:iCs/>
          <w:sz w:val="22"/>
          <w:szCs w:val="22"/>
        </w:rPr>
      </w:pPr>
    </w:p>
    <w:p w14:paraId="35F9D644" w14:textId="08B2C770" w:rsidR="00B21A4E" w:rsidRPr="00EB0799" w:rsidRDefault="00B21A4E" w:rsidP="00536EF9">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EB0799">
        <w:rPr>
          <w:rFonts w:ascii="Palatino Linotype" w:eastAsia="Calibri" w:hAnsi="Palatino Linotype" w:cs="Tahoma"/>
          <w:bCs/>
          <w:sz w:val="22"/>
          <w:szCs w:val="22"/>
        </w:rPr>
        <w:lastRenderedPageBreak/>
        <w:t>Conforme a lo anterior, se logra vislumbrar el Sujeto Obligado cuenta con competencia para conocer sobre lo solicitado, y que la pretensión del ahora Recurrente es obtener</w:t>
      </w:r>
      <w:r w:rsidR="00536EF9" w:rsidRPr="00EB0799">
        <w:rPr>
          <w:rFonts w:ascii="Palatino Linotype" w:eastAsia="Calibri" w:hAnsi="Palatino Linotype" w:cs="Tahoma"/>
          <w:bCs/>
          <w:sz w:val="22"/>
          <w:szCs w:val="22"/>
        </w:rPr>
        <w:t xml:space="preserve"> las </w:t>
      </w:r>
      <w:r w:rsidRPr="00EB0799">
        <w:rPr>
          <w:rFonts w:ascii="Palatino Linotype" w:eastAsia="Calibri" w:hAnsi="Palatino Linotype" w:cs="Tahoma"/>
          <w:iCs/>
          <w:sz w:val="22"/>
          <w:szCs w:val="22"/>
          <w:lang w:val="es-ES" w:eastAsia="es-ES_tradnl"/>
        </w:rPr>
        <w:t>actas de</w:t>
      </w:r>
      <w:r w:rsidR="00536EF9" w:rsidRPr="00EB0799">
        <w:rPr>
          <w:rFonts w:ascii="Palatino Linotype" w:eastAsia="Calibri" w:hAnsi="Palatino Linotype" w:cs="Tahoma"/>
          <w:iCs/>
          <w:sz w:val="22"/>
          <w:szCs w:val="22"/>
          <w:lang w:val="es-ES" w:eastAsia="es-ES_tradnl"/>
        </w:rPr>
        <w:t xml:space="preserve"> </w:t>
      </w:r>
      <w:r w:rsidRPr="00EB0799">
        <w:rPr>
          <w:rFonts w:ascii="Palatino Linotype" w:eastAsia="Calibri" w:hAnsi="Palatino Linotype" w:cs="Tahoma"/>
          <w:iCs/>
          <w:sz w:val="22"/>
          <w:szCs w:val="22"/>
          <w:lang w:val="es-ES" w:eastAsia="es-ES_tradnl"/>
        </w:rPr>
        <w:t>l</w:t>
      </w:r>
      <w:r w:rsidR="00536EF9" w:rsidRPr="00EB0799">
        <w:rPr>
          <w:rFonts w:ascii="Palatino Linotype" w:eastAsia="Calibri" w:hAnsi="Palatino Linotype" w:cs="Tahoma"/>
          <w:iCs/>
          <w:sz w:val="22"/>
          <w:szCs w:val="22"/>
          <w:lang w:val="es-ES" w:eastAsia="es-ES_tradnl"/>
        </w:rPr>
        <w:t>a</w:t>
      </w:r>
      <w:r w:rsidRPr="00EB0799">
        <w:rPr>
          <w:rFonts w:ascii="Palatino Linotype" w:eastAsia="Calibri" w:hAnsi="Palatino Linotype" w:cs="Tahoma"/>
          <w:iCs/>
          <w:sz w:val="22"/>
          <w:szCs w:val="22"/>
          <w:lang w:val="es-ES" w:eastAsia="es-ES_tradnl"/>
        </w:rPr>
        <w:t xml:space="preserve"> </w:t>
      </w:r>
      <w:r w:rsidR="00536EF9" w:rsidRPr="00EB0799">
        <w:rPr>
          <w:rFonts w:ascii="Palatino Linotype" w:eastAsia="Calibri" w:hAnsi="Palatino Linotype" w:cs="Tahoma"/>
          <w:iCs/>
          <w:sz w:val="22"/>
          <w:szCs w:val="22"/>
          <w:lang w:val="es-ES" w:eastAsia="es-ES_tradnl"/>
        </w:rPr>
        <w:t>Comisión Permanente</w:t>
      </w:r>
      <w:r w:rsidRPr="00EB0799">
        <w:rPr>
          <w:rFonts w:ascii="Palatino Linotype" w:eastAsia="Calibri" w:hAnsi="Palatino Linotype" w:cs="Tahoma"/>
          <w:iCs/>
          <w:sz w:val="22"/>
          <w:szCs w:val="22"/>
          <w:lang w:val="es-ES" w:eastAsia="es-ES_tradnl"/>
        </w:rPr>
        <w:t xml:space="preserve"> de Planeación para el Desarrollo Municipal de Temamatla</w:t>
      </w:r>
      <w:r w:rsidR="00536EF9" w:rsidRPr="00EB0799">
        <w:rPr>
          <w:rFonts w:ascii="Palatino Linotype" w:eastAsia="Calibri" w:hAnsi="Palatino Linotype" w:cs="Tahoma"/>
          <w:iCs/>
          <w:sz w:val="22"/>
          <w:szCs w:val="22"/>
          <w:lang w:val="es-ES" w:eastAsia="es-ES_tradnl"/>
        </w:rPr>
        <w:t>,</w:t>
      </w:r>
      <w:r w:rsidR="0078356A" w:rsidRPr="00EB0799">
        <w:rPr>
          <w:rFonts w:ascii="Palatino Linotype" w:eastAsia="Calibri" w:hAnsi="Palatino Linotype" w:cs="Tahoma"/>
          <w:iCs/>
          <w:sz w:val="22"/>
          <w:szCs w:val="22"/>
          <w:lang w:val="es-ES" w:eastAsia="es-ES_tradnl"/>
        </w:rPr>
        <w:t xml:space="preserve"> generadas</w:t>
      </w:r>
      <w:r w:rsidRPr="00EB0799">
        <w:rPr>
          <w:rFonts w:ascii="Palatino Linotype" w:eastAsia="Calibri" w:hAnsi="Palatino Linotype" w:cs="Tahoma"/>
          <w:iCs/>
          <w:sz w:val="22"/>
          <w:szCs w:val="22"/>
          <w:lang w:val="es-ES" w:eastAsia="es-ES_tradnl"/>
        </w:rPr>
        <w:t xml:space="preserve"> del primero de enero</w:t>
      </w:r>
      <w:r w:rsidR="00536EF9" w:rsidRPr="00EB0799">
        <w:rPr>
          <w:rFonts w:ascii="Palatino Linotype" w:eastAsia="Calibri" w:hAnsi="Palatino Linotype" w:cs="Tahoma"/>
          <w:iCs/>
          <w:sz w:val="22"/>
          <w:szCs w:val="22"/>
          <w:lang w:val="es-ES" w:eastAsia="es-ES_tradnl"/>
        </w:rPr>
        <w:t xml:space="preserve"> de dos mil veintidós</w:t>
      </w:r>
      <w:r w:rsidR="00894ED5" w:rsidRPr="00EB0799">
        <w:rPr>
          <w:rFonts w:ascii="Palatino Linotype" w:eastAsia="Calibri" w:hAnsi="Palatino Linotype" w:cs="Tahoma"/>
          <w:iCs/>
          <w:sz w:val="22"/>
          <w:szCs w:val="22"/>
          <w:lang w:val="es-ES" w:eastAsia="es-ES_tradnl"/>
        </w:rPr>
        <w:t xml:space="preserve">, al </w:t>
      </w:r>
      <w:r w:rsidR="00536EF9" w:rsidRPr="00EB0799">
        <w:rPr>
          <w:rFonts w:ascii="Palatino Linotype" w:eastAsia="Calibri" w:hAnsi="Palatino Linotype" w:cs="Tahoma"/>
          <w:iCs/>
          <w:sz w:val="22"/>
          <w:szCs w:val="22"/>
          <w:lang w:val="es-ES" w:eastAsia="es-ES_tradnl"/>
        </w:rPr>
        <w:t xml:space="preserve">ocho de octubre </w:t>
      </w:r>
      <w:r w:rsidR="00894ED5" w:rsidRPr="00EB0799">
        <w:rPr>
          <w:rFonts w:ascii="Palatino Linotype" w:eastAsia="Calibri" w:hAnsi="Palatino Linotype" w:cs="Tahoma"/>
          <w:iCs/>
          <w:sz w:val="22"/>
          <w:szCs w:val="22"/>
          <w:lang w:val="es-ES" w:eastAsia="es-ES_tradnl"/>
        </w:rPr>
        <w:t xml:space="preserve">de dos mil </w:t>
      </w:r>
      <w:r w:rsidR="00536EF9" w:rsidRPr="00EB0799">
        <w:rPr>
          <w:rFonts w:ascii="Palatino Linotype" w:eastAsia="Calibri" w:hAnsi="Palatino Linotype" w:cs="Tahoma"/>
          <w:iCs/>
          <w:sz w:val="22"/>
          <w:szCs w:val="22"/>
          <w:lang w:val="es-ES" w:eastAsia="es-ES_tradnl"/>
        </w:rPr>
        <w:t>veinticuatro.</w:t>
      </w:r>
    </w:p>
    <w:p w14:paraId="29971AB4" w14:textId="77777777" w:rsidR="00B21A4E" w:rsidRPr="00EB0799" w:rsidRDefault="00B21A4E" w:rsidP="00A634B5">
      <w:pPr>
        <w:spacing w:line="360" w:lineRule="auto"/>
        <w:contextualSpacing/>
        <w:jc w:val="both"/>
        <w:rPr>
          <w:rFonts w:ascii="Palatino Linotype" w:eastAsia="Batang" w:hAnsi="Palatino Linotype" w:cs="Tahoma"/>
          <w:bCs/>
          <w:sz w:val="22"/>
          <w:szCs w:val="22"/>
        </w:rPr>
      </w:pPr>
    </w:p>
    <w:p w14:paraId="17296A2D" w14:textId="317236AB" w:rsidR="00991FA2" w:rsidRPr="00EB0799" w:rsidRDefault="00991FA2" w:rsidP="00991FA2">
      <w:pPr>
        <w:spacing w:line="360" w:lineRule="auto"/>
        <w:ind w:right="-28"/>
        <w:contextualSpacing/>
        <w:jc w:val="both"/>
        <w:rPr>
          <w:rFonts w:ascii="Palatino Linotype" w:eastAsia="Batang" w:hAnsi="Palatino Linotype" w:cs="Tahoma"/>
          <w:bCs/>
          <w:sz w:val="22"/>
          <w:szCs w:val="22"/>
        </w:rPr>
      </w:pPr>
      <w:r w:rsidRPr="00EB0799">
        <w:rPr>
          <w:rFonts w:ascii="Palatino Linotype" w:eastAsia="Batang" w:hAnsi="Palatino Linotype" w:cs="Tahoma"/>
          <w:bCs/>
          <w:sz w:val="22"/>
          <w:szCs w:val="22"/>
        </w:rPr>
        <w:t>Ahora bien, de las constancias que obran en el expediente se advierte que el Sujeto Obligado turno el requerimiento de información a</w:t>
      </w:r>
      <w:r w:rsidR="007E071C" w:rsidRPr="00EB0799">
        <w:rPr>
          <w:rFonts w:ascii="Palatino Linotype" w:eastAsia="Batang" w:hAnsi="Palatino Linotype" w:cs="Tahoma"/>
          <w:bCs/>
          <w:sz w:val="22"/>
          <w:szCs w:val="22"/>
        </w:rPr>
        <w:t xml:space="preserve"> </w:t>
      </w:r>
      <w:r w:rsidRPr="00EB0799">
        <w:rPr>
          <w:rFonts w:ascii="Palatino Linotype" w:eastAsia="Batang" w:hAnsi="Palatino Linotype" w:cs="Tahoma"/>
          <w:bCs/>
          <w:sz w:val="22"/>
          <w:szCs w:val="22"/>
        </w:rPr>
        <w:t>l</w:t>
      </w:r>
      <w:r w:rsidR="007E071C" w:rsidRPr="00EB0799">
        <w:rPr>
          <w:rFonts w:ascii="Palatino Linotype" w:eastAsia="Batang" w:hAnsi="Palatino Linotype" w:cs="Tahoma"/>
          <w:bCs/>
          <w:sz w:val="22"/>
          <w:szCs w:val="22"/>
        </w:rPr>
        <w:t>a</w:t>
      </w:r>
      <w:r w:rsidRPr="00EB0799">
        <w:rPr>
          <w:rFonts w:ascii="Palatino Linotype" w:eastAsia="Batang" w:hAnsi="Palatino Linotype" w:cs="Tahoma"/>
          <w:bCs/>
          <w:sz w:val="22"/>
          <w:szCs w:val="22"/>
        </w:rPr>
        <w:t xml:space="preserve"> </w:t>
      </w:r>
      <w:r w:rsidRPr="00EB0799">
        <w:rPr>
          <w:rFonts w:ascii="Palatino Linotype" w:hAnsi="Palatino Linotype" w:cs="Tahoma"/>
          <w:sz w:val="22"/>
          <w:szCs w:val="22"/>
        </w:rPr>
        <w:t>Dirección General de Mejora Regulatoria e Información Programación y Evaluación</w:t>
      </w:r>
      <w:r w:rsidRPr="00EB0799">
        <w:rPr>
          <w:rFonts w:ascii="Palatino Linotype" w:eastAsia="Batang" w:hAnsi="Palatino Linotype" w:cs="Tahoma"/>
          <w:bCs/>
          <w:sz w:val="22"/>
          <w:szCs w:val="22"/>
        </w:rPr>
        <w:t>, por lo que, 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DC2CC13" w14:textId="77777777" w:rsidR="00991FA2" w:rsidRPr="00EB0799" w:rsidRDefault="00991FA2" w:rsidP="00991FA2">
      <w:pPr>
        <w:spacing w:line="360" w:lineRule="auto"/>
        <w:ind w:right="-28"/>
        <w:contextualSpacing/>
        <w:jc w:val="both"/>
        <w:rPr>
          <w:rFonts w:ascii="Palatino Linotype" w:eastAsia="Batang" w:hAnsi="Palatino Linotype" w:cs="Tahoma"/>
          <w:bCs/>
          <w:sz w:val="22"/>
          <w:szCs w:val="22"/>
        </w:rPr>
      </w:pPr>
    </w:p>
    <w:p w14:paraId="046510F0" w14:textId="77777777" w:rsidR="00991FA2" w:rsidRPr="00EB0799" w:rsidRDefault="00991FA2" w:rsidP="00991FA2">
      <w:pPr>
        <w:pStyle w:val="Prrafodelista"/>
        <w:numPr>
          <w:ilvl w:val="0"/>
          <w:numId w:val="13"/>
        </w:numPr>
        <w:spacing w:line="360" w:lineRule="auto"/>
        <w:ind w:right="-28"/>
        <w:jc w:val="both"/>
        <w:rPr>
          <w:rFonts w:ascii="Palatino Linotype" w:eastAsia="Batang" w:hAnsi="Palatino Linotype" w:cs="Tahoma"/>
          <w:bCs/>
          <w:szCs w:val="22"/>
        </w:rPr>
      </w:pPr>
      <w:r w:rsidRPr="00EB0799">
        <w:rPr>
          <w:rFonts w:ascii="Palatino Linotype" w:eastAsia="Batang" w:hAnsi="Palatino Linotype" w:cs="Tahoma"/>
          <w:bCs/>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3B58EE4" w14:textId="77777777" w:rsidR="00991FA2" w:rsidRPr="00EB0799" w:rsidRDefault="00991FA2" w:rsidP="00991FA2">
      <w:pPr>
        <w:pStyle w:val="Prrafodelista"/>
        <w:spacing w:line="360" w:lineRule="auto"/>
        <w:ind w:right="-28"/>
        <w:jc w:val="both"/>
        <w:rPr>
          <w:rFonts w:ascii="Palatino Linotype" w:eastAsia="Batang" w:hAnsi="Palatino Linotype" w:cs="Tahoma"/>
          <w:bCs/>
          <w:szCs w:val="22"/>
        </w:rPr>
      </w:pPr>
    </w:p>
    <w:p w14:paraId="3D1B2E33" w14:textId="3447708D" w:rsidR="00991FA2" w:rsidRPr="00EB0799" w:rsidRDefault="00991FA2" w:rsidP="00991FA2">
      <w:pPr>
        <w:pStyle w:val="Prrafodelista"/>
        <w:numPr>
          <w:ilvl w:val="0"/>
          <w:numId w:val="13"/>
        </w:numPr>
        <w:spacing w:line="360" w:lineRule="auto"/>
        <w:ind w:right="-28"/>
        <w:jc w:val="both"/>
        <w:rPr>
          <w:rFonts w:ascii="Palatino Linotype" w:eastAsia="Batang" w:hAnsi="Palatino Linotype" w:cs="Tahoma"/>
          <w:bCs/>
          <w:szCs w:val="22"/>
        </w:rPr>
      </w:pPr>
      <w:r w:rsidRPr="00EB0799">
        <w:rPr>
          <w:rFonts w:ascii="Palatino Linotype" w:eastAsia="Batang" w:hAnsi="Palatino Linotype" w:cs="Tahoma"/>
          <w:bCs/>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6C83A5C" w14:textId="77777777" w:rsidR="00991FA2" w:rsidRPr="00EB0799" w:rsidRDefault="00991FA2" w:rsidP="00991FA2">
      <w:pPr>
        <w:spacing w:line="360" w:lineRule="auto"/>
        <w:ind w:right="-28"/>
        <w:contextualSpacing/>
        <w:jc w:val="both"/>
        <w:rPr>
          <w:rFonts w:ascii="Palatino Linotype" w:eastAsia="Batang" w:hAnsi="Palatino Linotype" w:cs="Tahoma"/>
          <w:bCs/>
          <w:sz w:val="22"/>
          <w:szCs w:val="22"/>
        </w:rPr>
      </w:pPr>
    </w:p>
    <w:p w14:paraId="5CAF044A" w14:textId="77777777" w:rsidR="0056030F" w:rsidRPr="00EB0799" w:rsidRDefault="00991FA2" w:rsidP="00991FA2">
      <w:pPr>
        <w:spacing w:line="360" w:lineRule="auto"/>
        <w:ind w:right="-28"/>
        <w:contextualSpacing/>
        <w:jc w:val="both"/>
        <w:rPr>
          <w:rFonts w:ascii="Palatino Linotype" w:eastAsia="Batang" w:hAnsi="Palatino Linotype" w:cs="Tahoma"/>
          <w:bCs/>
          <w:sz w:val="22"/>
          <w:szCs w:val="22"/>
        </w:rPr>
      </w:pPr>
      <w:r w:rsidRPr="00EB0799">
        <w:rPr>
          <w:rFonts w:ascii="Palatino Linotype" w:eastAsia="Batang" w:hAnsi="Palatino Linotype" w:cs="Tahoma"/>
          <w:bCs/>
          <w:sz w:val="22"/>
          <w:szCs w:val="22"/>
        </w:rPr>
        <w:t>Así, a efecto de verificar que el Sujeto Obligado cumplió con dicho procedimiento, es necesario traer a colac</w:t>
      </w:r>
      <w:r w:rsidR="007E071C" w:rsidRPr="00EB0799">
        <w:rPr>
          <w:rFonts w:ascii="Palatino Linotype" w:eastAsia="Batang" w:hAnsi="Palatino Linotype" w:cs="Tahoma"/>
          <w:bCs/>
          <w:sz w:val="22"/>
          <w:szCs w:val="22"/>
        </w:rPr>
        <w:t xml:space="preserve">ión </w:t>
      </w:r>
      <w:r w:rsidRPr="00EB0799">
        <w:rPr>
          <w:rFonts w:ascii="Palatino Linotype" w:eastAsia="Batang" w:hAnsi="Palatino Linotype" w:cs="Tahoma"/>
          <w:bCs/>
          <w:sz w:val="22"/>
          <w:szCs w:val="22"/>
        </w:rPr>
        <w:t>l</w:t>
      </w:r>
      <w:r w:rsidR="007E071C" w:rsidRPr="00EB0799">
        <w:rPr>
          <w:rFonts w:ascii="Palatino Linotype" w:eastAsia="Batang" w:hAnsi="Palatino Linotype" w:cs="Tahoma"/>
          <w:bCs/>
          <w:sz w:val="22"/>
          <w:szCs w:val="22"/>
        </w:rPr>
        <w:t>os</w:t>
      </w:r>
      <w:r w:rsidRPr="00EB0799">
        <w:rPr>
          <w:rFonts w:ascii="Palatino Linotype" w:eastAsia="Batang" w:hAnsi="Palatino Linotype" w:cs="Tahoma"/>
          <w:bCs/>
          <w:sz w:val="22"/>
          <w:szCs w:val="22"/>
        </w:rPr>
        <w:t xml:space="preserve"> artículo</w:t>
      </w:r>
      <w:r w:rsidR="007E071C" w:rsidRPr="00EB0799">
        <w:rPr>
          <w:rFonts w:ascii="Palatino Linotype" w:eastAsia="Batang" w:hAnsi="Palatino Linotype" w:cs="Tahoma"/>
          <w:bCs/>
          <w:sz w:val="22"/>
          <w:szCs w:val="22"/>
        </w:rPr>
        <w:t>s</w:t>
      </w:r>
      <w:r w:rsidRPr="00EB0799">
        <w:rPr>
          <w:rFonts w:ascii="Palatino Linotype" w:eastAsia="Batang" w:hAnsi="Palatino Linotype" w:cs="Tahoma"/>
          <w:bCs/>
          <w:sz w:val="22"/>
          <w:szCs w:val="22"/>
        </w:rPr>
        <w:t xml:space="preserve"> </w:t>
      </w:r>
      <w:r w:rsidR="007E071C" w:rsidRPr="00EB0799">
        <w:rPr>
          <w:rFonts w:ascii="Palatino Linotype" w:eastAsia="Batang" w:hAnsi="Palatino Linotype" w:cs="Tahoma"/>
          <w:bCs/>
          <w:sz w:val="22"/>
          <w:szCs w:val="22"/>
        </w:rPr>
        <w:t xml:space="preserve">42 fracción </w:t>
      </w:r>
      <w:r w:rsidR="0056030F" w:rsidRPr="00EB0799">
        <w:rPr>
          <w:rFonts w:ascii="Palatino Linotype" w:eastAsia="Batang" w:hAnsi="Palatino Linotype" w:cs="Tahoma"/>
          <w:bCs/>
          <w:sz w:val="22"/>
          <w:szCs w:val="22"/>
        </w:rPr>
        <w:t>I</w:t>
      </w:r>
      <w:r w:rsidR="007E071C" w:rsidRPr="00EB0799">
        <w:rPr>
          <w:rFonts w:ascii="Palatino Linotype" w:eastAsia="Batang" w:hAnsi="Palatino Linotype" w:cs="Tahoma"/>
          <w:bCs/>
          <w:sz w:val="22"/>
          <w:szCs w:val="22"/>
        </w:rPr>
        <w:t xml:space="preserve">, 43, </w:t>
      </w:r>
      <w:r w:rsidRPr="00EB0799">
        <w:rPr>
          <w:rFonts w:ascii="Palatino Linotype" w:eastAsia="Batang" w:hAnsi="Palatino Linotype" w:cs="Tahoma"/>
          <w:bCs/>
          <w:sz w:val="22"/>
          <w:szCs w:val="22"/>
        </w:rPr>
        <w:t xml:space="preserve">44 fracción </w:t>
      </w:r>
      <w:r w:rsidR="0056030F" w:rsidRPr="00EB0799">
        <w:rPr>
          <w:rFonts w:ascii="Palatino Linotype" w:eastAsia="Batang" w:hAnsi="Palatino Linotype" w:cs="Tahoma"/>
          <w:bCs/>
          <w:sz w:val="22"/>
          <w:szCs w:val="22"/>
        </w:rPr>
        <w:t>X</w:t>
      </w:r>
      <w:r w:rsidRPr="00EB0799">
        <w:rPr>
          <w:rFonts w:ascii="Palatino Linotype" w:eastAsia="Batang" w:hAnsi="Palatino Linotype" w:cs="Tahoma"/>
          <w:bCs/>
          <w:sz w:val="22"/>
          <w:szCs w:val="22"/>
        </w:rPr>
        <w:t>I</w:t>
      </w:r>
      <w:r w:rsidR="0056030F" w:rsidRPr="00EB0799">
        <w:rPr>
          <w:rFonts w:ascii="Palatino Linotype" w:eastAsia="Batang" w:hAnsi="Palatino Linotype" w:cs="Tahoma"/>
          <w:bCs/>
          <w:sz w:val="22"/>
          <w:szCs w:val="22"/>
        </w:rPr>
        <w:t>V</w:t>
      </w:r>
      <w:r w:rsidRPr="00EB0799">
        <w:rPr>
          <w:rFonts w:ascii="Palatino Linotype" w:eastAsia="Batang" w:hAnsi="Palatino Linotype" w:cs="Tahoma"/>
          <w:bCs/>
          <w:sz w:val="22"/>
          <w:szCs w:val="22"/>
        </w:rPr>
        <w:t xml:space="preserve"> del Bando Municipal de </w:t>
      </w:r>
      <w:r w:rsidR="00E514C1" w:rsidRPr="00EB0799">
        <w:rPr>
          <w:rFonts w:ascii="Palatino Linotype" w:eastAsia="Batang" w:hAnsi="Palatino Linotype" w:cs="Tahoma"/>
          <w:bCs/>
          <w:sz w:val="22"/>
          <w:szCs w:val="22"/>
        </w:rPr>
        <w:t>Temamatla</w:t>
      </w:r>
      <w:r w:rsidRPr="00EB0799">
        <w:rPr>
          <w:rFonts w:ascii="Palatino Linotype" w:eastAsia="Batang" w:hAnsi="Palatino Linotype" w:cs="Tahoma"/>
          <w:bCs/>
          <w:sz w:val="22"/>
          <w:szCs w:val="22"/>
        </w:rPr>
        <w:t xml:space="preserve">, </w:t>
      </w:r>
      <w:r w:rsidR="00E514C1" w:rsidRPr="00EB0799">
        <w:rPr>
          <w:rFonts w:ascii="Palatino Linotype" w:eastAsia="Batang" w:hAnsi="Palatino Linotype" w:cs="Tahoma"/>
          <w:bCs/>
          <w:sz w:val="22"/>
          <w:szCs w:val="22"/>
        </w:rPr>
        <w:t>dos mil veinticuatro</w:t>
      </w:r>
      <w:r w:rsidRPr="00EB0799">
        <w:rPr>
          <w:rFonts w:ascii="Palatino Linotype" w:eastAsia="Batang" w:hAnsi="Palatino Linotype" w:cs="Tahoma"/>
          <w:bCs/>
          <w:sz w:val="22"/>
          <w:szCs w:val="22"/>
        </w:rPr>
        <w:t xml:space="preserve">, en los cuales se establece que el Sujeto Obligado, para el </w:t>
      </w:r>
      <w:r w:rsidRPr="00EB0799">
        <w:rPr>
          <w:rFonts w:ascii="Palatino Linotype" w:eastAsia="Batang" w:hAnsi="Palatino Linotype" w:cs="Tahoma"/>
          <w:bCs/>
          <w:sz w:val="22"/>
          <w:szCs w:val="22"/>
        </w:rPr>
        <w:lastRenderedPageBreak/>
        <w:t>ejercicio de sus atribuciones cuenta con diversas unidades administrativas</w:t>
      </w:r>
      <w:r w:rsidR="00E514C1" w:rsidRPr="00EB0799">
        <w:rPr>
          <w:rFonts w:ascii="Palatino Linotype" w:eastAsia="Batang" w:hAnsi="Palatino Linotype" w:cs="Tahoma"/>
          <w:bCs/>
          <w:sz w:val="22"/>
          <w:szCs w:val="22"/>
        </w:rPr>
        <w:t xml:space="preserve">, entre otras </w:t>
      </w:r>
      <w:r w:rsidR="0056030F" w:rsidRPr="00EB0799">
        <w:rPr>
          <w:rFonts w:ascii="Palatino Linotype" w:hAnsi="Palatino Linotype" w:cs="Tahoma"/>
          <w:sz w:val="22"/>
          <w:szCs w:val="22"/>
        </w:rPr>
        <w:t>la Dirección General de Mejora Regulatoria e Información Programación y Evaluación</w:t>
      </w:r>
      <w:r w:rsidR="00E514C1" w:rsidRPr="00EB0799">
        <w:rPr>
          <w:rFonts w:ascii="Palatino Linotype" w:eastAsia="Batang" w:hAnsi="Palatino Linotype" w:cs="Tahoma"/>
          <w:bCs/>
          <w:sz w:val="22"/>
          <w:szCs w:val="22"/>
        </w:rPr>
        <w:t>: Encargada</w:t>
      </w:r>
      <w:r w:rsidRPr="00EB0799">
        <w:rPr>
          <w:rFonts w:ascii="Palatino Linotype" w:eastAsia="Batang" w:hAnsi="Palatino Linotype" w:cs="Tahoma"/>
          <w:bCs/>
          <w:sz w:val="22"/>
          <w:szCs w:val="22"/>
        </w:rPr>
        <w:t xml:space="preserve"> de realizar diversas funciones entre otras</w:t>
      </w:r>
      <w:r w:rsidR="0056030F" w:rsidRPr="00EB0799">
        <w:rPr>
          <w:rFonts w:ascii="Palatino Linotype" w:eastAsia="Batang" w:hAnsi="Palatino Linotype" w:cs="Tahoma"/>
          <w:bCs/>
          <w:sz w:val="22"/>
          <w:szCs w:val="22"/>
        </w:rPr>
        <w:t xml:space="preserve"> las siguientes:</w:t>
      </w:r>
    </w:p>
    <w:p w14:paraId="0A52C1A9" w14:textId="3D642A46" w:rsidR="00991FA2" w:rsidRPr="00EB0799" w:rsidRDefault="00991FA2" w:rsidP="00991FA2">
      <w:pPr>
        <w:spacing w:line="360" w:lineRule="auto"/>
        <w:ind w:right="-28"/>
        <w:contextualSpacing/>
        <w:jc w:val="both"/>
        <w:rPr>
          <w:rFonts w:ascii="Palatino Linotype" w:eastAsia="Batang" w:hAnsi="Palatino Linotype" w:cs="Tahoma"/>
          <w:bCs/>
          <w:sz w:val="22"/>
          <w:szCs w:val="22"/>
        </w:rPr>
      </w:pPr>
    </w:p>
    <w:p w14:paraId="669E582D" w14:textId="492FF2B4" w:rsidR="0056030F" w:rsidRPr="00EB0799" w:rsidRDefault="0056030F" w:rsidP="0056030F">
      <w:pPr>
        <w:pStyle w:val="Prrafodelista"/>
        <w:numPr>
          <w:ilvl w:val="0"/>
          <w:numId w:val="14"/>
        </w:numPr>
        <w:spacing w:line="360" w:lineRule="auto"/>
        <w:ind w:right="-28"/>
        <w:jc w:val="both"/>
        <w:rPr>
          <w:rFonts w:ascii="Palatino Linotype" w:eastAsia="Batang" w:hAnsi="Palatino Linotype" w:cs="Tahoma"/>
          <w:bCs/>
          <w:szCs w:val="22"/>
        </w:rPr>
      </w:pPr>
      <w:r w:rsidRPr="00EB0799">
        <w:rPr>
          <w:rFonts w:ascii="Palatino Linotype" w:eastAsia="Batang" w:hAnsi="Palatino Linotype" w:cs="Tahoma"/>
          <w:bCs/>
          <w:szCs w:val="22"/>
        </w:rPr>
        <w:t>Establecer acciones, estrategias y lineamientos bajo los cuales se regirá la política de mejora regulatoria municipal de conformidad con la Ley y la Ley General;</w:t>
      </w:r>
    </w:p>
    <w:p w14:paraId="33E7699D" w14:textId="6F79C6ED" w:rsidR="0056030F" w:rsidRPr="00EB0799" w:rsidRDefault="0056030F" w:rsidP="0056030F">
      <w:pPr>
        <w:pStyle w:val="Prrafodelista"/>
        <w:numPr>
          <w:ilvl w:val="0"/>
          <w:numId w:val="14"/>
        </w:numPr>
        <w:spacing w:line="360" w:lineRule="auto"/>
        <w:ind w:right="-28"/>
        <w:jc w:val="both"/>
        <w:rPr>
          <w:rFonts w:ascii="Palatino Linotype" w:eastAsia="Batang" w:hAnsi="Palatino Linotype" w:cs="Tahoma"/>
          <w:bCs/>
          <w:szCs w:val="22"/>
        </w:rPr>
      </w:pPr>
      <w:r w:rsidRPr="00EB0799">
        <w:rPr>
          <w:rFonts w:ascii="Palatino Linotype" w:eastAsia="Batang" w:hAnsi="Palatino Linotype" w:cs="Tahoma"/>
          <w:bCs/>
          <w:szCs w:val="22"/>
        </w:rPr>
        <w:t>Coordinar a las unidades administrativas o servidores públicos municipales con los sujetos obligados, entidades públicas, organismos estatales y federales, en los programas y acciones que lleven a cabo para lograr el cumplimiento de la Ley;</w:t>
      </w:r>
    </w:p>
    <w:p w14:paraId="7E049391" w14:textId="470CE6E7" w:rsidR="0056030F" w:rsidRPr="00EB0799" w:rsidRDefault="009059EC" w:rsidP="0056030F">
      <w:pPr>
        <w:pStyle w:val="Prrafodelista"/>
        <w:numPr>
          <w:ilvl w:val="0"/>
          <w:numId w:val="14"/>
        </w:numPr>
        <w:spacing w:line="360" w:lineRule="auto"/>
        <w:ind w:right="-28"/>
        <w:jc w:val="both"/>
        <w:rPr>
          <w:rFonts w:ascii="Palatino Linotype" w:eastAsia="Batang" w:hAnsi="Palatino Linotype" w:cs="Tahoma"/>
          <w:bCs/>
          <w:szCs w:val="22"/>
        </w:rPr>
      </w:pPr>
      <w:r w:rsidRPr="00EB0799">
        <w:rPr>
          <w:rFonts w:ascii="Palatino Linotype" w:eastAsia="Batang" w:hAnsi="Palatino Linotype" w:cs="Tahoma"/>
          <w:bCs/>
          <w:szCs w:val="22"/>
        </w:rPr>
        <w:t>Elaborar e implementar los programas, acciones y mecanismos de evaluación para lograr una mejora regulatoria integral, bajo los principios de máxima utilidad para la sociedad y la transparencia en su elaboración;</w:t>
      </w:r>
    </w:p>
    <w:p w14:paraId="2476A6AC" w14:textId="1C262152" w:rsidR="009059EC" w:rsidRPr="00EB0799" w:rsidRDefault="009059EC" w:rsidP="0056030F">
      <w:pPr>
        <w:pStyle w:val="Prrafodelista"/>
        <w:numPr>
          <w:ilvl w:val="0"/>
          <w:numId w:val="14"/>
        </w:numPr>
        <w:spacing w:line="360" w:lineRule="auto"/>
        <w:ind w:right="-28"/>
        <w:jc w:val="both"/>
        <w:rPr>
          <w:rFonts w:ascii="Palatino Linotype" w:eastAsia="Batang" w:hAnsi="Palatino Linotype" w:cs="Tahoma"/>
          <w:bCs/>
          <w:szCs w:val="22"/>
        </w:rPr>
      </w:pPr>
      <w:r w:rsidRPr="00EB0799">
        <w:rPr>
          <w:rFonts w:ascii="Palatino Linotype" w:eastAsia="Batang" w:hAnsi="Palatino Linotype" w:cs="Tahoma"/>
          <w:bCs/>
          <w:szCs w:val="22"/>
        </w:rPr>
        <w:t>Establecer Comités Internos en cada dependencia, los cuales se 42 encargarán de elaborar y aprobar los programas anuales de mejora regulatoria municipal, así como las propuestas de creación de regulaciones o de reforma específica, con base en los objetivos, estrategias y líneas de acción de los programas sectoriales, especiales, regionales e institucionales derivados del Plan Municipal de Desarrollo; y</w:t>
      </w:r>
    </w:p>
    <w:p w14:paraId="22979B8F" w14:textId="45526DA3" w:rsidR="009059EC" w:rsidRPr="00EB0799" w:rsidRDefault="009059EC" w:rsidP="009059EC">
      <w:pPr>
        <w:pStyle w:val="Prrafodelista"/>
        <w:numPr>
          <w:ilvl w:val="0"/>
          <w:numId w:val="14"/>
        </w:numPr>
        <w:spacing w:line="360" w:lineRule="auto"/>
        <w:ind w:right="-28"/>
        <w:jc w:val="both"/>
        <w:rPr>
          <w:rFonts w:ascii="Palatino Linotype" w:eastAsia="Batang" w:hAnsi="Palatino Linotype" w:cs="Tahoma"/>
          <w:bCs/>
          <w:szCs w:val="22"/>
        </w:rPr>
      </w:pPr>
      <w:r w:rsidRPr="00EB0799">
        <w:rPr>
          <w:rFonts w:ascii="Palatino Linotype" w:eastAsia="Batang" w:hAnsi="Palatino Linotype" w:cs="Tahoma"/>
          <w:bCs/>
          <w:szCs w:val="22"/>
        </w:rPr>
        <w:t>Participar en las sesiones de las Comisiones Temáticas de Mejora Regulatoria a las que sea convocado por parte de la Comisión.</w:t>
      </w:r>
    </w:p>
    <w:p w14:paraId="633E91C8" w14:textId="77777777" w:rsidR="00991FA2" w:rsidRPr="00EB0799" w:rsidRDefault="00991FA2" w:rsidP="00991FA2">
      <w:pPr>
        <w:spacing w:line="360" w:lineRule="auto"/>
        <w:ind w:right="-28"/>
        <w:contextualSpacing/>
        <w:jc w:val="both"/>
        <w:rPr>
          <w:rFonts w:ascii="Palatino Linotype" w:eastAsia="Batang" w:hAnsi="Palatino Linotype" w:cs="Tahoma"/>
          <w:bCs/>
          <w:sz w:val="22"/>
          <w:szCs w:val="22"/>
        </w:rPr>
      </w:pPr>
    </w:p>
    <w:p w14:paraId="7063B486" w14:textId="3D9B30DC" w:rsidR="00B855B5" w:rsidRPr="00EB0799" w:rsidRDefault="00DB1834" w:rsidP="00B855B5">
      <w:pPr>
        <w:spacing w:line="360" w:lineRule="auto"/>
        <w:ind w:right="-28"/>
        <w:contextualSpacing/>
        <w:jc w:val="both"/>
        <w:rPr>
          <w:rFonts w:ascii="Palatino Linotype" w:eastAsia="Batang" w:hAnsi="Palatino Linotype" w:cs="Tahoma"/>
          <w:bCs/>
          <w:sz w:val="22"/>
          <w:szCs w:val="22"/>
        </w:rPr>
      </w:pPr>
      <w:r w:rsidRPr="00EB0799">
        <w:rPr>
          <w:rFonts w:ascii="Palatino Linotype" w:eastAsia="Batang" w:hAnsi="Palatino Linotype" w:cs="Tahoma"/>
          <w:bCs/>
          <w:sz w:val="22"/>
          <w:szCs w:val="22"/>
        </w:rPr>
        <w:t>Por otra parte,</w:t>
      </w:r>
      <w:r w:rsidR="00B855B5" w:rsidRPr="00EB0799">
        <w:rPr>
          <w:rFonts w:ascii="Palatino Linotype" w:eastAsia="Batang" w:hAnsi="Palatino Linotype" w:cs="Tahoma"/>
          <w:bCs/>
          <w:sz w:val="22"/>
          <w:szCs w:val="22"/>
        </w:rPr>
        <w:t xml:space="preserve"> el artículo 2º, fracciones I y IV, del Reglamento Cabildo 2022.2024, de Temamatla, que establece que la Comisión Permanente, es aquella conformada por los miembros del Ayuntamiento (Presidente o Síndico Municipal o Regidores)</w:t>
      </w:r>
      <w:r w:rsidR="00B855B5" w:rsidRPr="00EB0799">
        <w:t xml:space="preserve"> R</w:t>
      </w:r>
      <w:r w:rsidR="00B855B5" w:rsidRPr="00EB0799">
        <w:rPr>
          <w:rFonts w:ascii="Palatino Linotype" w:eastAsia="Batang" w:hAnsi="Palatino Linotype" w:cs="Tahoma"/>
          <w:bCs/>
          <w:sz w:val="22"/>
          <w:szCs w:val="22"/>
        </w:rPr>
        <w:t xml:space="preserve">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w:t>
      </w:r>
      <w:r w:rsidRPr="00EB0799">
        <w:rPr>
          <w:rFonts w:ascii="Palatino Linotype" w:eastAsia="Batang" w:hAnsi="Palatino Linotype" w:cs="Tahoma"/>
          <w:bCs/>
          <w:sz w:val="22"/>
          <w:szCs w:val="22"/>
        </w:rPr>
        <w:t>C</w:t>
      </w:r>
      <w:r w:rsidR="00B855B5" w:rsidRPr="00EB0799">
        <w:rPr>
          <w:rFonts w:ascii="Palatino Linotype" w:eastAsia="Batang" w:hAnsi="Palatino Linotype" w:cs="Tahoma"/>
          <w:bCs/>
          <w:sz w:val="22"/>
          <w:szCs w:val="22"/>
        </w:rPr>
        <w:t>abildo.</w:t>
      </w:r>
    </w:p>
    <w:p w14:paraId="3F6486E9" w14:textId="77777777" w:rsidR="00DB1834" w:rsidRPr="00EB0799" w:rsidRDefault="00DB1834" w:rsidP="00B855B5">
      <w:pPr>
        <w:spacing w:line="360" w:lineRule="auto"/>
        <w:ind w:right="-28"/>
        <w:contextualSpacing/>
        <w:jc w:val="both"/>
        <w:rPr>
          <w:rFonts w:ascii="Palatino Linotype" w:eastAsia="Batang" w:hAnsi="Palatino Linotype" w:cs="Tahoma"/>
          <w:bCs/>
          <w:sz w:val="22"/>
          <w:szCs w:val="22"/>
        </w:rPr>
      </w:pPr>
    </w:p>
    <w:p w14:paraId="05AE40DE" w14:textId="63A5B281" w:rsidR="00DB1834" w:rsidRPr="00EB0799" w:rsidRDefault="00DB1834" w:rsidP="00DB1834">
      <w:pPr>
        <w:spacing w:line="360" w:lineRule="auto"/>
        <w:ind w:right="-28"/>
        <w:contextualSpacing/>
        <w:jc w:val="both"/>
        <w:rPr>
          <w:rFonts w:ascii="Palatino Linotype" w:eastAsia="Batang" w:hAnsi="Palatino Linotype" w:cs="Tahoma"/>
          <w:bCs/>
          <w:sz w:val="22"/>
          <w:szCs w:val="22"/>
        </w:rPr>
      </w:pPr>
      <w:r w:rsidRPr="00EB0799">
        <w:rPr>
          <w:rFonts w:ascii="Palatino Linotype" w:eastAsia="Batang" w:hAnsi="Palatino Linotype" w:cs="Tahoma"/>
          <w:bCs/>
          <w:sz w:val="22"/>
          <w:szCs w:val="22"/>
        </w:rPr>
        <w:t xml:space="preserve">De tal circunstancia, se logra colegir que el Sujeto Obligado incumplió con el procedimiento de búsqueda establecido en el artículo 162 de la Ley de Transparencia y Acceso a la Información Pública del Estado de México y Municipios, pues turnó la solicitud de información a la </w:t>
      </w:r>
      <w:r w:rsidRPr="00EB0799">
        <w:rPr>
          <w:rFonts w:ascii="Palatino Linotype" w:hAnsi="Palatino Linotype" w:cs="Tahoma"/>
          <w:sz w:val="22"/>
          <w:szCs w:val="22"/>
        </w:rPr>
        <w:t>Dirección General de Mejora Regulatoria e Información Programación y Evaluación</w:t>
      </w:r>
      <w:r w:rsidRPr="00EB0799">
        <w:rPr>
          <w:rFonts w:ascii="Palatino Linotype" w:eastAsia="Batang" w:hAnsi="Palatino Linotype" w:cs="Tahoma"/>
          <w:bCs/>
          <w:sz w:val="22"/>
          <w:szCs w:val="22"/>
        </w:rPr>
        <w:t>, que carece de atribuciones para conocer de lo peticionado; toda vez que los competentes para atender la solicitud serían los miembros del Cabildo que forman parte de la Comisión referida en la solicitud.</w:t>
      </w:r>
    </w:p>
    <w:p w14:paraId="4BE49BB2" w14:textId="77777777" w:rsidR="009059EC" w:rsidRPr="00EB0799" w:rsidRDefault="009059EC" w:rsidP="00A634B5">
      <w:pPr>
        <w:spacing w:line="360" w:lineRule="auto"/>
        <w:contextualSpacing/>
        <w:jc w:val="both"/>
        <w:rPr>
          <w:rFonts w:ascii="Palatino Linotype" w:hAnsi="Palatino Linotype" w:cs="Tahoma"/>
          <w:color w:val="0D0D0D" w:themeColor="text1" w:themeTint="F2"/>
          <w:sz w:val="22"/>
          <w:szCs w:val="22"/>
        </w:rPr>
      </w:pPr>
    </w:p>
    <w:p w14:paraId="559451D1" w14:textId="1A71E9EE" w:rsidR="00BD3657" w:rsidRPr="00EB0799" w:rsidRDefault="00DB1834" w:rsidP="00A634B5">
      <w:pPr>
        <w:spacing w:line="360" w:lineRule="auto"/>
        <w:contextualSpacing/>
        <w:jc w:val="both"/>
        <w:rPr>
          <w:rFonts w:ascii="Palatino Linotype" w:hAnsi="Palatino Linotype"/>
          <w:bCs/>
          <w:sz w:val="22"/>
          <w:szCs w:val="22"/>
        </w:rPr>
      </w:pPr>
      <w:r w:rsidRPr="00EB0799">
        <w:rPr>
          <w:rFonts w:ascii="Palatino Linotype" w:eastAsia="Batang" w:hAnsi="Palatino Linotype" w:cs="Tahoma"/>
          <w:bCs/>
          <w:sz w:val="22"/>
          <w:szCs w:val="22"/>
        </w:rPr>
        <w:t>Sin menoscabar lo anterior, la</w:t>
      </w:r>
      <w:r w:rsidRPr="00EB0799">
        <w:rPr>
          <w:rFonts w:ascii="Palatino Linotype" w:hAnsi="Palatino Linotype" w:cs="Tahoma"/>
          <w:sz w:val="22"/>
          <w:szCs w:val="22"/>
        </w:rPr>
        <w:t xml:space="preserve"> Dirección General de Mejora Regulatoria e Información Programación y Evaluación</w:t>
      </w:r>
      <w:r w:rsidR="00BD3657" w:rsidRPr="00EB0799">
        <w:rPr>
          <w:rFonts w:ascii="Palatino Linotype" w:hAnsi="Palatino Linotype"/>
          <w:bCs/>
          <w:sz w:val="22"/>
          <w:szCs w:val="22"/>
        </w:rPr>
        <w:t xml:space="preserve"> propuso el cambio de modalidad de entrega de la información a consulta directa en virtud de que no contaba con los recursos materiales y humanos suficientes, así como el cambio de administración</w:t>
      </w:r>
      <w:r w:rsidR="00506CBB" w:rsidRPr="00EB0799">
        <w:rPr>
          <w:rFonts w:ascii="Palatino Linotype" w:hAnsi="Palatino Linotype"/>
          <w:bCs/>
          <w:sz w:val="22"/>
          <w:szCs w:val="22"/>
        </w:rPr>
        <w:t xml:space="preserve">, </w:t>
      </w:r>
      <w:r w:rsidR="00506CBB" w:rsidRPr="00EB0799">
        <w:rPr>
          <w:rFonts w:ascii="Palatino Linotype" w:hAnsi="Palatino Linotype"/>
          <w:sz w:val="22"/>
          <w:szCs w:val="22"/>
        </w:rPr>
        <w:t>situación que fue sustentada mediante</w:t>
      </w:r>
      <w:r w:rsidR="00506CBB" w:rsidRPr="00EB0799">
        <w:rPr>
          <w:rFonts w:ascii="Palatino Linotype" w:eastAsia="Calibri" w:hAnsi="Palatino Linotype" w:cs="Tahoma"/>
          <w:bCs/>
          <w:color w:val="000000"/>
          <w:sz w:val="22"/>
          <w:szCs w:val="22"/>
          <w:lang w:val="es-ES"/>
        </w:rPr>
        <w:t xml:space="preserve"> el </w:t>
      </w:r>
      <w:r w:rsidR="00506CBB" w:rsidRPr="00EB0799">
        <w:rPr>
          <w:rFonts w:ascii="Palatino Linotype" w:hAnsi="Palatino Linotype" w:cs="Tahoma"/>
          <w:sz w:val="22"/>
          <w:szCs w:val="22"/>
        </w:rPr>
        <w:t>Acta de la Octogésima Quinta Sesión Ordinaria del Comité de Transparencia del Ayuntamiento de Temamatla</w:t>
      </w:r>
      <w:r w:rsidR="00506CBB" w:rsidRPr="00EB0799">
        <w:rPr>
          <w:rFonts w:ascii="Palatino Linotype" w:hAnsi="Palatino Linotype"/>
          <w:bCs/>
          <w:sz w:val="22"/>
          <w:szCs w:val="22"/>
        </w:rPr>
        <w:t xml:space="preserve">, </w:t>
      </w:r>
      <w:r w:rsidR="00BD3657" w:rsidRPr="00EB0799">
        <w:rPr>
          <w:rFonts w:ascii="Palatino Linotype" w:hAnsi="Palatino Linotype"/>
          <w:bCs/>
          <w:sz w:val="22"/>
          <w:szCs w:val="22"/>
        </w:rPr>
        <w:t>por lo que se procede analizar el cambio de modalidad propuesto.</w:t>
      </w:r>
    </w:p>
    <w:p w14:paraId="3613AD99" w14:textId="77777777" w:rsidR="00BD3657" w:rsidRPr="00EB0799" w:rsidRDefault="00BD3657" w:rsidP="00A634B5">
      <w:pPr>
        <w:spacing w:line="360" w:lineRule="auto"/>
        <w:contextualSpacing/>
        <w:jc w:val="both"/>
        <w:rPr>
          <w:rFonts w:ascii="Palatino Linotype" w:hAnsi="Palatino Linotype"/>
          <w:bCs/>
          <w:sz w:val="22"/>
          <w:szCs w:val="22"/>
        </w:rPr>
      </w:pPr>
    </w:p>
    <w:p w14:paraId="2BF784ED" w14:textId="77777777" w:rsidR="00BD3657" w:rsidRPr="00EB0799" w:rsidRDefault="00BD3657" w:rsidP="00A634B5">
      <w:pPr>
        <w:spacing w:line="360" w:lineRule="auto"/>
        <w:contextualSpacing/>
        <w:jc w:val="both"/>
        <w:rPr>
          <w:rFonts w:ascii="Palatino Linotype" w:eastAsia="Calibri" w:hAnsi="Palatino Linotype" w:cs="Tahoma"/>
          <w:bCs/>
          <w:sz w:val="22"/>
          <w:szCs w:val="22"/>
        </w:rPr>
      </w:pPr>
      <w:r w:rsidRPr="00EB0799">
        <w:rPr>
          <w:rFonts w:ascii="Palatino Linotype" w:hAnsi="Palatino Linotype" w:cs="Tahoma"/>
          <w:bCs/>
          <w:color w:val="0D0D0D"/>
          <w:sz w:val="22"/>
          <w:szCs w:val="22"/>
        </w:rPr>
        <w:t>En ese sentido,</w:t>
      </w:r>
      <w:r w:rsidRPr="00EB0799">
        <w:rPr>
          <w:rFonts w:ascii="Palatino Linotype" w:eastAsia="Calibri" w:hAnsi="Palatino Linotype" w:cs="Tahoma"/>
          <w:bCs/>
          <w:sz w:val="22"/>
          <w:szCs w:val="22"/>
          <w:lang w:val="es-ES"/>
        </w:rPr>
        <w:t xml:space="preserve"> el artículo 155, fracción V, de la Ley de Transparencia y Acceso a la Información Pública del Estado de México y Municipios, precisa que </w:t>
      </w:r>
      <w:r w:rsidRPr="00EB0799">
        <w:rPr>
          <w:rFonts w:ascii="Palatino Linotype" w:eastAsia="Calibri" w:hAnsi="Palatino Linotype" w:cs="Tahoma"/>
          <w:bCs/>
          <w:sz w:val="22"/>
          <w:szCs w:val="22"/>
        </w:rPr>
        <w:t xml:space="preserve">para presentar una solicitud, la particular podrá señalar </w:t>
      </w:r>
      <w:r w:rsidRPr="00EB0799">
        <w:rPr>
          <w:rFonts w:ascii="Palatino Linotype" w:eastAsia="Calibri" w:hAnsi="Palatino Linotype" w:cs="Tahoma"/>
          <w:b/>
          <w:bCs/>
          <w:sz w:val="22"/>
          <w:szCs w:val="22"/>
        </w:rPr>
        <w:t>la modalidad en la que prefiere se otorgue el acceso a la información</w:t>
      </w:r>
      <w:r w:rsidRPr="00EB0799">
        <w:rPr>
          <w:rFonts w:ascii="Palatino Linotype" w:eastAsia="Calibri" w:hAnsi="Palatino Linotype" w:cs="Tahoma"/>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51B3305E" w14:textId="77777777" w:rsidR="00BD3657" w:rsidRPr="00EB0799" w:rsidRDefault="00BD3657" w:rsidP="00A634B5">
      <w:pPr>
        <w:spacing w:line="360" w:lineRule="auto"/>
        <w:contextualSpacing/>
        <w:jc w:val="both"/>
        <w:rPr>
          <w:rFonts w:ascii="Palatino Linotype" w:eastAsia="Calibri" w:hAnsi="Palatino Linotype" w:cs="Tahoma"/>
          <w:bCs/>
          <w:sz w:val="22"/>
          <w:szCs w:val="22"/>
          <w:lang w:val="es-ES"/>
        </w:rPr>
      </w:pPr>
    </w:p>
    <w:p w14:paraId="62536FCC" w14:textId="77777777" w:rsidR="00BD3657" w:rsidRPr="00EB0799" w:rsidRDefault="00BD3657" w:rsidP="00A634B5">
      <w:pPr>
        <w:spacing w:line="360" w:lineRule="auto"/>
        <w:contextualSpacing/>
        <w:jc w:val="both"/>
        <w:rPr>
          <w:rFonts w:ascii="Palatino Linotype" w:eastAsia="Calibri" w:hAnsi="Palatino Linotype" w:cs="Tahoma"/>
          <w:b/>
          <w:bCs/>
          <w:sz w:val="22"/>
          <w:szCs w:val="22"/>
          <w:lang w:val="es-ES"/>
        </w:rPr>
      </w:pPr>
      <w:r w:rsidRPr="00EB0799">
        <w:rPr>
          <w:rFonts w:ascii="Palatino Linotype" w:eastAsia="Calibri" w:hAnsi="Palatino Linotype" w:cs="Tahoma"/>
          <w:bCs/>
          <w:sz w:val="22"/>
          <w:szCs w:val="22"/>
          <w:lang w:val="es-ES"/>
        </w:rPr>
        <w:t xml:space="preserve">El artículo 158, dispone que, de manera excepcional, cuando de manera fundada y motivada lo determine el Sujeto Obligado, </w:t>
      </w:r>
      <w:r w:rsidRPr="00EB0799">
        <w:rPr>
          <w:rFonts w:ascii="Palatino Linotype" w:eastAsia="Calibri" w:hAnsi="Palatino Linotype" w:cs="Tahoma"/>
          <w:b/>
          <w:bCs/>
          <w:sz w:val="22"/>
          <w:szCs w:val="22"/>
          <w:lang w:val="es-ES"/>
        </w:rPr>
        <w:t xml:space="preserve">en los casos en que la entrega de la información que se encuentre a su disposición, sobrepase las capacidades técnicas, administrativas y humanas </w:t>
      </w:r>
      <w:r w:rsidRPr="00EB0799">
        <w:rPr>
          <w:rFonts w:ascii="Palatino Linotype" w:eastAsia="Calibri" w:hAnsi="Palatino Linotype" w:cs="Tahoma"/>
          <w:b/>
          <w:bCs/>
          <w:sz w:val="22"/>
          <w:szCs w:val="22"/>
          <w:lang w:val="es-ES"/>
        </w:rPr>
        <w:lastRenderedPageBreak/>
        <w:t>del Sujeto Obligado para cumplir con la solicitud, se podrá poner a disposición del solicitante la información en consulta directa.</w:t>
      </w:r>
    </w:p>
    <w:p w14:paraId="35F4C34C" w14:textId="77777777" w:rsidR="00BD3657" w:rsidRPr="00EB0799" w:rsidRDefault="00BD3657" w:rsidP="00A634B5">
      <w:pPr>
        <w:spacing w:line="360" w:lineRule="auto"/>
        <w:contextualSpacing/>
        <w:jc w:val="both"/>
        <w:rPr>
          <w:rFonts w:ascii="Palatino Linotype" w:eastAsia="Calibri" w:hAnsi="Palatino Linotype" w:cs="Tahoma"/>
          <w:bCs/>
          <w:sz w:val="22"/>
          <w:szCs w:val="22"/>
          <w:lang w:val="es-ES"/>
        </w:rPr>
      </w:pPr>
    </w:p>
    <w:p w14:paraId="09F4FA74" w14:textId="77777777" w:rsidR="00BD3657" w:rsidRPr="00EB0799" w:rsidRDefault="00BD3657" w:rsidP="00A634B5">
      <w:pPr>
        <w:spacing w:line="360" w:lineRule="auto"/>
        <w:contextualSpacing/>
        <w:jc w:val="both"/>
        <w:rPr>
          <w:rFonts w:ascii="Palatino Linotype" w:eastAsia="Calibri" w:hAnsi="Palatino Linotype" w:cs="Tahoma"/>
          <w:bCs/>
          <w:sz w:val="22"/>
          <w:szCs w:val="22"/>
        </w:rPr>
      </w:pPr>
      <w:r w:rsidRPr="00EB0799">
        <w:rPr>
          <w:rFonts w:ascii="Palatino Linotype" w:eastAsia="Calibri" w:hAnsi="Palatino Linotype" w:cs="Tahoma"/>
          <w:bCs/>
          <w:sz w:val="22"/>
          <w:szCs w:val="22"/>
          <w:lang w:val="es-ES"/>
        </w:rPr>
        <w:t xml:space="preserve">En ese orden de ideas, el artículo 164 de dicho ordenamiento jurídico, prevé que </w:t>
      </w:r>
      <w:r w:rsidRPr="00EB0799">
        <w:rPr>
          <w:rFonts w:ascii="Palatino Linotype" w:eastAsia="Calibri" w:hAnsi="Palatino Linotype" w:cs="Tahoma"/>
          <w:bCs/>
          <w:sz w:val="22"/>
          <w:szCs w:val="22"/>
        </w:rPr>
        <w:t xml:space="preserve">el acceso se dará en la modalidad de entrega y, en su caso, de envío elegidos por al solicitante. </w:t>
      </w:r>
      <w:r w:rsidRPr="00EB0799">
        <w:rPr>
          <w:rFonts w:ascii="Palatino Linotype" w:eastAsia="Calibri" w:hAnsi="Palatino Linotype" w:cs="Tahoma"/>
          <w:b/>
          <w:bCs/>
          <w:sz w:val="22"/>
          <w:szCs w:val="22"/>
        </w:rPr>
        <w:t>Cuando la información no pueda entregarse o enviarse en la modalidad elegida, el sujeto obligado deberá ofrecer otra u otras modalidades de entrega.</w:t>
      </w:r>
      <w:r w:rsidRPr="00EB0799">
        <w:rPr>
          <w:rFonts w:ascii="Palatino Linotype" w:eastAsia="Calibri" w:hAnsi="Palatino Linotype" w:cs="Tahoma"/>
          <w:bCs/>
          <w:sz w:val="22"/>
          <w:szCs w:val="22"/>
        </w:rPr>
        <w:t xml:space="preserve"> En cualquier caso, </w:t>
      </w:r>
      <w:r w:rsidRPr="00EB0799">
        <w:rPr>
          <w:rFonts w:ascii="Palatino Linotype" w:eastAsia="Calibri" w:hAnsi="Palatino Linotype" w:cs="Tahoma"/>
          <w:b/>
          <w:bCs/>
          <w:sz w:val="22"/>
          <w:szCs w:val="22"/>
        </w:rPr>
        <w:t>se deberá fundar y motivar</w:t>
      </w:r>
      <w:r w:rsidRPr="00EB0799">
        <w:rPr>
          <w:rFonts w:ascii="Palatino Linotype" w:eastAsia="Calibri" w:hAnsi="Palatino Linotype" w:cs="Tahoma"/>
          <w:bCs/>
          <w:sz w:val="22"/>
          <w:szCs w:val="22"/>
        </w:rPr>
        <w:t xml:space="preserve"> la necesidad de ofrecer otras modalidades.</w:t>
      </w:r>
    </w:p>
    <w:p w14:paraId="1638DE54" w14:textId="77777777" w:rsidR="00BD3657" w:rsidRPr="00EB0799" w:rsidRDefault="00BD3657" w:rsidP="00A634B5">
      <w:pPr>
        <w:spacing w:line="360" w:lineRule="auto"/>
        <w:contextualSpacing/>
        <w:jc w:val="both"/>
        <w:rPr>
          <w:rFonts w:ascii="Palatino Linotype" w:eastAsia="Calibri" w:hAnsi="Palatino Linotype" w:cs="Tahoma"/>
          <w:bCs/>
          <w:sz w:val="22"/>
          <w:szCs w:val="22"/>
        </w:rPr>
      </w:pPr>
    </w:p>
    <w:p w14:paraId="1EB5FA1C" w14:textId="77777777" w:rsidR="00BD3657" w:rsidRPr="00EB0799" w:rsidRDefault="00BD3657" w:rsidP="00A634B5">
      <w:pPr>
        <w:spacing w:line="360" w:lineRule="auto"/>
        <w:contextualSpacing/>
        <w:jc w:val="both"/>
        <w:rPr>
          <w:rFonts w:ascii="Palatino Linotype" w:eastAsia="Calibri" w:hAnsi="Palatino Linotype" w:cs="Tahoma"/>
          <w:bCs/>
          <w:sz w:val="22"/>
          <w:szCs w:val="22"/>
          <w:lang w:val="es-ES"/>
        </w:rPr>
      </w:pPr>
      <w:r w:rsidRPr="00EB0799">
        <w:rPr>
          <w:rFonts w:ascii="Palatino Linotype" w:eastAsia="Calibri" w:hAnsi="Palatino Linotype" w:cs="Tahoma"/>
          <w:bCs/>
          <w:sz w:val="22"/>
          <w:szCs w:val="22"/>
          <w:lang w:val="es-E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EB0799">
        <w:rPr>
          <w:rFonts w:ascii="Palatino Linotype" w:eastAsia="Calibri" w:hAnsi="Palatino Linotype" w:cs="Tahoma"/>
          <w:b/>
          <w:bCs/>
          <w:sz w:val="22"/>
          <w:szCs w:val="22"/>
          <w:lang w:val="es-ES"/>
        </w:rPr>
        <w:t>en la medida de lo posible, en la forma solicitada por el interesado, salvo que exista un impedimento justificado para atenderla</w:t>
      </w:r>
      <w:r w:rsidRPr="00EB0799">
        <w:rPr>
          <w:rFonts w:ascii="Palatino Linotype" w:eastAsia="Calibri" w:hAnsi="Palatino Linotype" w:cs="Tahoma"/>
          <w:bCs/>
          <w:sz w:val="22"/>
          <w:szCs w:val="22"/>
          <w:lang w:val="es-ES"/>
        </w:rPr>
        <w:t xml:space="preserve">, en cuyo caso, deberán exponerse las razones por las cuales no es posible utilizar el medio de reproducción solicitado; en este sentido, la entrega de la información en una modalidad distinta a la elegida por la particular </w:t>
      </w:r>
      <w:r w:rsidRPr="00EB0799">
        <w:rPr>
          <w:rFonts w:ascii="Palatino Linotype" w:eastAsia="Calibri" w:hAnsi="Palatino Linotype" w:cs="Tahoma"/>
          <w:b/>
          <w:bCs/>
          <w:sz w:val="22"/>
          <w:szCs w:val="22"/>
          <w:lang w:val="es-ES"/>
        </w:rPr>
        <w:t>sólo procede, en caso de que se acredite la imposibilidad de atenderla.</w:t>
      </w:r>
      <w:r w:rsidRPr="00EB0799">
        <w:rPr>
          <w:rFonts w:ascii="Palatino Linotype" w:eastAsia="Calibri" w:hAnsi="Palatino Linotype" w:cs="Tahoma"/>
          <w:bCs/>
          <w:sz w:val="22"/>
          <w:szCs w:val="22"/>
          <w:lang w:val="es-ES"/>
        </w:rPr>
        <w:t xml:space="preserve"> </w:t>
      </w:r>
    </w:p>
    <w:p w14:paraId="4648C37C" w14:textId="77777777" w:rsidR="00BD3657" w:rsidRPr="00EB0799" w:rsidRDefault="00BD3657" w:rsidP="00A634B5">
      <w:pPr>
        <w:spacing w:line="360" w:lineRule="auto"/>
        <w:contextualSpacing/>
        <w:jc w:val="both"/>
        <w:rPr>
          <w:rFonts w:ascii="Palatino Linotype" w:eastAsia="Calibri" w:hAnsi="Palatino Linotype" w:cs="Tahoma"/>
          <w:bCs/>
          <w:sz w:val="22"/>
          <w:szCs w:val="22"/>
          <w:lang w:val="es-ES"/>
        </w:rPr>
      </w:pPr>
    </w:p>
    <w:p w14:paraId="7080588A" w14:textId="77777777" w:rsidR="00BD3657" w:rsidRPr="00EB0799" w:rsidRDefault="00BD3657" w:rsidP="00A634B5">
      <w:pPr>
        <w:spacing w:line="360" w:lineRule="auto"/>
        <w:contextualSpacing/>
        <w:jc w:val="both"/>
        <w:rPr>
          <w:rFonts w:ascii="Palatino Linotype" w:eastAsia="Calibri" w:hAnsi="Palatino Linotype" w:cs="Tahoma"/>
          <w:b/>
          <w:sz w:val="22"/>
          <w:szCs w:val="22"/>
          <w:lang w:val="es-ES"/>
        </w:rPr>
      </w:pPr>
      <w:r w:rsidRPr="00EB0799">
        <w:rPr>
          <w:rFonts w:ascii="Palatino Linotype" w:eastAsia="Calibri" w:hAnsi="Palatino Linotype" w:cs="Tahoma"/>
          <w:bCs/>
          <w:color w:val="000000"/>
          <w:sz w:val="22"/>
          <w:szCs w:val="22"/>
          <w:lang w:val="es-ES"/>
        </w:rPr>
        <w:t xml:space="preserve">Así, cuando se justifique el impedimento, los </w:t>
      </w:r>
      <w:r w:rsidRPr="00EB0799">
        <w:rPr>
          <w:rFonts w:ascii="Palatino Linotype" w:eastAsia="Calibri" w:hAnsi="Palatino Linotype" w:cs="Tahoma"/>
          <w:b/>
          <w:bCs/>
          <w:color w:val="000000"/>
          <w:sz w:val="22"/>
          <w:szCs w:val="22"/>
          <w:lang w:val="es-ES"/>
        </w:rPr>
        <w:t>Sujetos Obligados deberán ofrecer al particular otras modalidades de entrega que permita la información</w:t>
      </w:r>
      <w:r w:rsidRPr="00EB0799">
        <w:rPr>
          <w:rFonts w:ascii="Palatino Linotype" w:eastAsia="Calibri" w:hAnsi="Palatino Linotype" w:cs="Tahoma"/>
          <w:bCs/>
          <w:color w:val="000000"/>
          <w:sz w:val="22"/>
          <w:szCs w:val="22"/>
          <w:lang w:val="es-ES"/>
        </w:rPr>
        <w:t xml:space="preserve">, como consulta directa en las oficinas de la Unidad de Transparencia; lo anterior, es robustecido con el Criterio de interpretación, con clave de control </w:t>
      </w:r>
      <w:r w:rsidRPr="00EB0799">
        <w:rPr>
          <w:rFonts w:ascii="Palatino Linotype" w:hAnsi="Palatino Linotype"/>
          <w:sz w:val="22"/>
          <w:szCs w:val="22"/>
        </w:rPr>
        <w:t>SO/008/2017</w:t>
      </w:r>
      <w:r w:rsidRPr="00EB0799">
        <w:rPr>
          <w:rFonts w:ascii="Palatino Linotype" w:eastAsia="Calibri" w:hAnsi="Palatino Linotype" w:cs="Tahoma"/>
          <w:bCs/>
          <w:color w:val="000000"/>
          <w:sz w:val="22"/>
          <w:szCs w:val="22"/>
          <w:lang w:val="es-ES"/>
        </w:rPr>
        <w:t xml:space="preserve">, emitido por el Pleno del Instituto Nacional de Transparencia, Acceso a la Información y Protección de Datos Personales, el cual establece </w:t>
      </w:r>
      <w:r w:rsidRPr="00EB0799">
        <w:rPr>
          <w:rFonts w:ascii="Palatino Linotype" w:eastAsia="Calibri" w:hAnsi="Palatino Linotype" w:cs="Tahoma"/>
          <w:bCs/>
          <w:sz w:val="22"/>
          <w:szCs w:val="22"/>
          <w:lang w:val="es-ES"/>
        </w:rPr>
        <w:t xml:space="preserve">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EB0799">
        <w:rPr>
          <w:rFonts w:ascii="Palatino Linotype" w:eastAsia="Calibri" w:hAnsi="Palatino Linotype" w:cs="Tahoma"/>
          <w:b/>
          <w:sz w:val="22"/>
          <w:szCs w:val="22"/>
          <w:lang w:val="es-ES"/>
        </w:rPr>
        <w:lastRenderedPageBreak/>
        <w:t>información en todas las modalidades que lo permitan, procurando reducir los costos de entrega.</w:t>
      </w:r>
    </w:p>
    <w:p w14:paraId="06D1A6F0" w14:textId="77777777" w:rsidR="00BD3657" w:rsidRPr="00EB0799" w:rsidRDefault="00BD3657" w:rsidP="00A634B5">
      <w:pPr>
        <w:widowControl w:val="0"/>
        <w:spacing w:line="360" w:lineRule="auto"/>
        <w:contextualSpacing/>
        <w:jc w:val="both"/>
        <w:rPr>
          <w:rFonts w:ascii="Palatino Linotype" w:eastAsia="Calibri" w:hAnsi="Palatino Linotype" w:cs="Tahoma"/>
          <w:bCs/>
          <w:sz w:val="22"/>
          <w:szCs w:val="22"/>
          <w:lang w:val="es-ES"/>
        </w:rPr>
      </w:pPr>
    </w:p>
    <w:p w14:paraId="33FE01F5" w14:textId="77777777" w:rsidR="00BD3657" w:rsidRPr="00EB0799" w:rsidRDefault="00BD3657" w:rsidP="00A634B5">
      <w:pPr>
        <w:widowControl w:val="0"/>
        <w:spacing w:line="360" w:lineRule="auto"/>
        <w:contextualSpacing/>
        <w:jc w:val="both"/>
        <w:rPr>
          <w:rFonts w:ascii="Palatino Linotype" w:eastAsia="Calibri" w:hAnsi="Palatino Linotype" w:cs="Tahoma"/>
          <w:bCs/>
          <w:sz w:val="22"/>
          <w:szCs w:val="22"/>
          <w:lang w:val="es-ES"/>
        </w:rPr>
      </w:pPr>
      <w:r w:rsidRPr="00EB0799">
        <w:rPr>
          <w:rFonts w:ascii="Palatino Linotype" w:eastAsia="Calibri" w:hAnsi="Palatino Linotype" w:cs="Tahoma"/>
          <w:bCs/>
          <w:sz w:val="22"/>
          <w:szCs w:val="22"/>
          <w:lang w:val="es-ES"/>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29DD365" w14:textId="77777777" w:rsidR="00BD3657" w:rsidRPr="00EB0799" w:rsidRDefault="00BD3657" w:rsidP="00A634B5">
      <w:pPr>
        <w:spacing w:line="360" w:lineRule="auto"/>
        <w:contextualSpacing/>
        <w:jc w:val="both"/>
        <w:rPr>
          <w:rFonts w:ascii="Palatino Linotype" w:eastAsia="Calibri" w:hAnsi="Palatino Linotype" w:cs="Tahoma"/>
          <w:bCs/>
          <w:sz w:val="22"/>
          <w:szCs w:val="22"/>
          <w:lang w:val="es-ES"/>
        </w:rPr>
      </w:pPr>
    </w:p>
    <w:p w14:paraId="497CC010" w14:textId="4E584DA1" w:rsidR="00BD3657" w:rsidRPr="00EB0799" w:rsidRDefault="00BD3657" w:rsidP="00A634B5">
      <w:pPr>
        <w:numPr>
          <w:ilvl w:val="0"/>
          <w:numId w:val="3"/>
        </w:numPr>
        <w:spacing w:line="360" w:lineRule="auto"/>
        <w:contextualSpacing/>
        <w:jc w:val="both"/>
        <w:rPr>
          <w:rFonts w:ascii="Palatino Linotype" w:eastAsia="Calibri" w:hAnsi="Palatino Linotype" w:cs="Tahoma"/>
          <w:bCs/>
          <w:sz w:val="22"/>
          <w:szCs w:val="22"/>
          <w:lang w:val="es-ES" w:eastAsia="es-MX"/>
        </w:rPr>
      </w:pPr>
      <w:r w:rsidRPr="00EB0799">
        <w:rPr>
          <w:rFonts w:ascii="Palatino Linotype" w:eastAsia="Calibri" w:hAnsi="Palatino Linotype" w:cs="Tahoma"/>
          <w:bCs/>
          <w:sz w:val="22"/>
          <w:szCs w:val="22"/>
          <w:lang w:val="es-ES" w:eastAsia="es-MX"/>
        </w:rPr>
        <w:t>Las razones por las cuales la información implicaba un análisis, estudio o procesamiento de datos;</w:t>
      </w:r>
    </w:p>
    <w:p w14:paraId="247C079F" w14:textId="77777777" w:rsidR="00160CFE" w:rsidRPr="00EB0799" w:rsidRDefault="00160CFE" w:rsidP="00A634B5">
      <w:pPr>
        <w:spacing w:line="360" w:lineRule="auto"/>
        <w:ind w:left="720"/>
        <w:contextualSpacing/>
        <w:jc w:val="both"/>
        <w:rPr>
          <w:rFonts w:ascii="Palatino Linotype" w:eastAsia="Calibri" w:hAnsi="Palatino Linotype" w:cs="Tahoma"/>
          <w:bCs/>
          <w:sz w:val="22"/>
          <w:szCs w:val="22"/>
          <w:lang w:val="es-ES" w:eastAsia="es-MX"/>
        </w:rPr>
      </w:pPr>
    </w:p>
    <w:p w14:paraId="412C6AC9" w14:textId="4D5F4A17" w:rsidR="00BD3657" w:rsidRPr="00EB0799" w:rsidRDefault="00BD3657" w:rsidP="00A634B5">
      <w:pPr>
        <w:numPr>
          <w:ilvl w:val="0"/>
          <w:numId w:val="3"/>
        </w:numPr>
        <w:spacing w:line="360" w:lineRule="auto"/>
        <w:contextualSpacing/>
        <w:jc w:val="both"/>
        <w:rPr>
          <w:rFonts w:ascii="Palatino Linotype" w:eastAsia="Calibri" w:hAnsi="Palatino Linotype" w:cs="Tahoma"/>
          <w:bCs/>
          <w:sz w:val="22"/>
          <w:szCs w:val="22"/>
          <w:lang w:val="es-ES" w:eastAsia="es-MX"/>
        </w:rPr>
      </w:pPr>
      <w:r w:rsidRPr="00EB0799">
        <w:rPr>
          <w:rFonts w:ascii="Palatino Linotype" w:hAnsi="Palatino Linotype" w:cs="Tahoma"/>
          <w:iCs/>
          <w:sz w:val="22"/>
          <w:szCs w:val="22"/>
          <w:lang w:eastAsia="es-MX"/>
        </w:rPr>
        <w:t>Por qué motivo el tiempo, que se le otorga al Sujeto Obligado para dar respuesta, en la modalidad elegida a la solicitud de información, no le es suficiente</w:t>
      </w:r>
      <w:r w:rsidRPr="00EB0799">
        <w:rPr>
          <w:rFonts w:ascii="Palatino Linotype" w:eastAsia="Calibri" w:hAnsi="Palatino Linotype" w:cs="Tahoma"/>
          <w:bCs/>
          <w:sz w:val="22"/>
          <w:szCs w:val="22"/>
          <w:lang w:val="es-ES" w:eastAsia="es-MX"/>
        </w:rPr>
        <w:t>, y</w:t>
      </w:r>
    </w:p>
    <w:p w14:paraId="453D1AEE" w14:textId="77777777" w:rsidR="00160CFE" w:rsidRPr="00EB0799" w:rsidRDefault="00160CFE" w:rsidP="00A634B5">
      <w:pPr>
        <w:spacing w:line="360" w:lineRule="auto"/>
        <w:contextualSpacing/>
        <w:jc w:val="both"/>
        <w:rPr>
          <w:rFonts w:ascii="Palatino Linotype" w:eastAsia="Calibri" w:hAnsi="Palatino Linotype" w:cs="Tahoma"/>
          <w:bCs/>
          <w:sz w:val="22"/>
          <w:szCs w:val="22"/>
          <w:lang w:val="es-ES" w:eastAsia="es-MX"/>
        </w:rPr>
      </w:pPr>
    </w:p>
    <w:p w14:paraId="60098400" w14:textId="77777777" w:rsidR="00BD3657" w:rsidRPr="00EB0799" w:rsidRDefault="00BD3657" w:rsidP="00A634B5">
      <w:pPr>
        <w:numPr>
          <w:ilvl w:val="0"/>
          <w:numId w:val="3"/>
        </w:numPr>
        <w:spacing w:line="360" w:lineRule="auto"/>
        <w:contextualSpacing/>
        <w:jc w:val="both"/>
        <w:rPr>
          <w:rFonts w:ascii="Palatino Linotype" w:eastAsia="Calibri" w:hAnsi="Palatino Linotype" w:cs="Tahoma"/>
          <w:bCs/>
          <w:sz w:val="22"/>
          <w:szCs w:val="22"/>
          <w:lang w:val="es-ES" w:eastAsia="es-MX"/>
        </w:rPr>
      </w:pPr>
      <w:r w:rsidRPr="00EB0799">
        <w:rPr>
          <w:rFonts w:ascii="Palatino Linotype" w:eastAsia="Calibri" w:hAnsi="Palatino Linotype" w:cs="Tahoma"/>
          <w:bCs/>
          <w:sz w:val="22"/>
          <w:szCs w:val="22"/>
          <w:lang w:val="es-ES" w:eastAsia="es-MX"/>
        </w:rPr>
        <w:t>La cantidad de recursos humanos y materiales con los que cuenta el Sujeto Obligado son insuficientes.</w:t>
      </w:r>
    </w:p>
    <w:p w14:paraId="6819CBD0" w14:textId="77777777" w:rsidR="00BD3657" w:rsidRPr="00EB0799" w:rsidRDefault="00BD3657" w:rsidP="00A634B5">
      <w:pPr>
        <w:spacing w:line="360" w:lineRule="auto"/>
        <w:contextualSpacing/>
        <w:jc w:val="both"/>
        <w:rPr>
          <w:rFonts w:ascii="Palatino Linotype" w:hAnsi="Palatino Linotype"/>
          <w:bCs/>
          <w:sz w:val="22"/>
          <w:szCs w:val="22"/>
        </w:rPr>
      </w:pPr>
    </w:p>
    <w:p w14:paraId="40ACE645" w14:textId="00EE003D" w:rsidR="00BD3657" w:rsidRPr="00EB0799" w:rsidRDefault="00BD3657" w:rsidP="00A634B5">
      <w:pPr>
        <w:tabs>
          <w:tab w:val="left" w:pos="4667"/>
        </w:tabs>
        <w:spacing w:line="360" w:lineRule="auto"/>
        <w:contextualSpacing/>
        <w:jc w:val="both"/>
        <w:rPr>
          <w:rFonts w:ascii="Palatino Linotype" w:hAnsi="Palatino Linotype"/>
          <w:sz w:val="22"/>
          <w:szCs w:val="22"/>
        </w:rPr>
      </w:pPr>
      <w:bookmarkStart w:id="2" w:name="_Hlk144895931"/>
      <w:r w:rsidRPr="00EB0799">
        <w:rPr>
          <w:rFonts w:ascii="Palatino Linotype" w:hAnsi="Palatino Linotype"/>
          <w:color w:val="000000"/>
          <w:sz w:val="22"/>
          <w:szCs w:val="22"/>
          <w:lang w:eastAsia="en-US"/>
        </w:rPr>
        <w:t xml:space="preserve">Ahora bien, el Ente Recurrido precisó </w:t>
      </w:r>
      <w:bookmarkEnd w:id="2"/>
      <w:r w:rsidRPr="00EB0799">
        <w:rPr>
          <w:rFonts w:ascii="Palatino Linotype" w:hAnsi="Palatino Linotype"/>
          <w:color w:val="000000"/>
          <w:sz w:val="22"/>
          <w:szCs w:val="22"/>
          <w:lang w:eastAsia="en-US"/>
        </w:rPr>
        <w:t xml:space="preserve">que ponía a disposición del Recurrente la información mediante consulta directa, </w:t>
      </w:r>
      <w:r w:rsidRPr="00EB0799">
        <w:rPr>
          <w:rFonts w:ascii="Palatino Linotype" w:hAnsi="Palatino Linotype"/>
          <w:sz w:val="22"/>
          <w:szCs w:val="22"/>
        </w:rPr>
        <w:t>derivado de los procesos de entrega recepción, la falta de personal, y capacidad técnica, situación que fue sustentada mediante e</w:t>
      </w:r>
      <w:r w:rsidRPr="00EB0799">
        <w:rPr>
          <w:rFonts w:ascii="Palatino Linotype" w:eastAsia="Calibri" w:hAnsi="Palatino Linotype" w:cs="Tahoma"/>
          <w:bCs/>
          <w:color w:val="000000"/>
          <w:sz w:val="22"/>
          <w:szCs w:val="22"/>
          <w:lang w:val="es-ES"/>
        </w:rPr>
        <w:t xml:space="preserve">l </w:t>
      </w:r>
      <w:r w:rsidRPr="00EB0799">
        <w:rPr>
          <w:rFonts w:ascii="Palatino Linotype" w:hAnsi="Palatino Linotype" w:cs="Tahoma"/>
          <w:sz w:val="22"/>
          <w:szCs w:val="22"/>
        </w:rPr>
        <w:t xml:space="preserve">Acta de la Octogésima </w:t>
      </w:r>
      <w:r w:rsidR="00003B0F" w:rsidRPr="00EB0799">
        <w:rPr>
          <w:rFonts w:ascii="Palatino Linotype" w:hAnsi="Palatino Linotype" w:cs="Tahoma"/>
          <w:sz w:val="22"/>
          <w:szCs w:val="22"/>
        </w:rPr>
        <w:t>Quin</w:t>
      </w:r>
      <w:r w:rsidRPr="00EB0799">
        <w:rPr>
          <w:rFonts w:ascii="Palatino Linotype" w:hAnsi="Palatino Linotype" w:cs="Tahoma"/>
          <w:sz w:val="22"/>
          <w:szCs w:val="22"/>
        </w:rPr>
        <w:t>ta Sesión del Comité de Transparencia del Ayuntamiento de Temamatla</w:t>
      </w:r>
      <w:r w:rsidRPr="00EB0799">
        <w:rPr>
          <w:rFonts w:ascii="Palatino Linotype" w:hAnsi="Palatino Linotype"/>
          <w:sz w:val="22"/>
          <w:szCs w:val="22"/>
        </w:rPr>
        <w:t>.</w:t>
      </w:r>
    </w:p>
    <w:p w14:paraId="440ABAA2" w14:textId="77777777" w:rsidR="00BD3657" w:rsidRPr="00EB0799" w:rsidRDefault="00BD3657" w:rsidP="00A634B5">
      <w:pPr>
        <w:tabs>
          <w:tab w:val="left" w:pos="4667"/>
        </w:tabs>
        <w:spacing w:line="360" w:lineRule="auto"/>
        <w:contextualSpacing/>
        <w:jc w:val="both"/>
        <w:rPr>
          <w:rFonts w:ascii="Palatino Linotype" w:hAnsi="Palatino Linotype"/>
          <w:sz w:val="22"/>
          <w:szCs w:val="22"/>
        </w:rPr>
      </w:pPr>
    </w:p>
    <w:p w14:paraId="6AA6C353" w14:textId="77777777" w:rsidR="00BD3657" w:rsidRPr="00EB0799" w:rsidRDefault="00BD3657" w:rsidP="00A634B5">
      <w:pPr>
        <w:spacing w:line="360" w:lineRule="auto"/>
        <w:ind w:right="-28"/>
        <w:contextualSpacing/>
        <w:jc w:val="both"/>
        <w:rPr>
          <w:rFonts w:ascii="Palatino Linotype" w:eastAsia="Calibri" w:hAnsi="Palatino Linotype" w:cs="Tahoma"/>
          <w:bCs/>
          <w:color w:val="000000"/>
          <w:sz w:val="22"/>
          <w:szCs w:val="22"/>
        </w:rPr>
      </w:pPr>
      <w:r w:rsidRPr="00EB0799">
        <w:rPr>
          <w:rFonts w:ascii="Palatino Linotype" w:eastAsia="Calibri" w:hAnsi="Palatino Linotype" w:cs="Tahoma"/>
          <w:bCs/>
          <w:color w:val="000000"/>
          <w:sz w:val="22"/>
          <w:szCs w:val="22"/>
        </w:rPr>
        <w:t>Conforme a lo anterior, se logra vislumbrar que si bien, el Ente Recurrido precisó en respuesta que ponía a disposición del ahora Recurrente la documentación peticionada en consulta directa, en las oficinas del Sujeto Obligado; sin embargo, este Instituto considera que omitió fundar y motivar el cambio de modalidad, pues no precisó las siguientes circunstancias:</w:t>
      </w:r>
    </w:p>
    <w:p w14:paraId="1AA02544" w14:textId="77777777" w:rsidR="00BD3657" w:rsidRPr="00EB0799" w:rsidRDefault="00BD3657" w:rsidP="00A634B5">
      <w:pPr>
        <w:spacing w:line="360" w:lineRule="auto"/>
        <w:ind w:right="-28"/>
        <w:contextualSpacing/>
        <w:jc w:val="both"/>
        <w:rPr>
          <w:rFonts w:ascii="Palatino Linotype" w:eastAsia="Calibri" w:hAnsi="Palatino Linotype" w:cs="Tahoma"/>
          <w:bCs/>
          <w:color w:val="000000"/>
          <w:sz w:val="22"/>
          <w:szCs w:val="22"/>
        </w:rPr>
      </w:pPr>
    </w:p>
    <w:p w14:paraId="0CC25A94" w14:textId="77777777" w:rsidR="00BD3657" w:rsidRPr="00EB0799" w:rsidRDefault="00BD3657" w:rsidP="00A634B5">
      <w:pPr>
        <w:pStyle w:val="Prrafodelista"/>
        <w:numPr>
          <w:ilvl w:val="0"/>
          <w:numId w:val="4"/>
        </w:numPr>
        <w:spacing w:line="360" w:lineRule="auto"/>
        <w:jc w:val="both"/>
        <w:rPr>
          <w:rFonts w:ascii="Palatino Linotype" w:eastAsia="Calibri" w:hAnsi="Palatino Linotype" w:cs="Tahoma"/>
          <w:bCs/>
          <w:color w:val="000000"/>
          <w:szCs w:val="22"/>
          <w:lang w:val="es-ES" w:eastAsia="en-US"/>
        </w:rPr>
      </w:pPr>
      <w:r w:rsidRPr="00EB0799">
        <w:rPr>
          <w:rFonts w:ascii="Palatino Linotype" w:eastAsia="Calibri" w:hAnsi="Palatino Linotype" w:cs="Tahoma"/>
          <w:bCs/>
          <w:color w:val="000000"/>
          <w:szCs w:val="22"/>
          <w:lang w:val="es-ES" w:eastAsia="en-US"/>
        </w:rPr>
        <w:t>El total de hojas que daban cuenta de las actas por todas las áreas;</w:t>
      </w:r>
    </w:p>
    <w:p w14:paraId="17198E13" w14:textId="77777777" w:rsidR="00BD3657" w:rsidRPr="00EB0799" w:rsidRDefault="00BD3657" w:rsidP="00A634B5">
      <w:pPr>
        <w:pStyle w:val="Prrafodelista"/>
        <w:numPr>
          <w:ilvl w:val="0"/>
          <w:numId w:val="4"/>
        </w:numPr>
        <w:spacing w:line="360" w:lineRule="auto"/>
        <w:jc w:val="both"/>
        <w:rPr>
          <w:rFonts w:ascii="Palatino Linotype" w:eastAsia="Calibri" w:hAnsi="Palatino Linotype" w:cs="Tahoma"/>
          <w:bCs/>
          <w:color w:val="000000"/>
          <w:szCs w:val="22"/>
          <w:lang w:val="es-ES" w:eastAsia="en-US"/>
        </w:rPr>
      </w:pPr>
      <w:r w:rsidRPr="00EB0799">
        <w:rPr>
          <w:rFonts w:ascii="Palatino Linotype" w:eastAsia="Calibri" w:hAnsi="Palatino Linotype" w:cs="Tahoma"/>
          <w:bCs/>
          <w:color w:val="000000"/>
          <w:szCs w:val="22"/>
          <w:lang w:val="es-ES" w:eastAsia="en-US"/>
        </w:rPr>
        <w:t>La ubicación de los documentos que daban cuenta de la información solicitada;</w:t>
      </w:r>
    </w:p>
    <w:p w14:paraId="4A6C2C1E" w14:textId="77777777" w:rsidR="00BD3657" w:rsidRPr="00EB0799" w:rsidRDefault="00BD3657" w:rsidP="00A634B5">
      <w:pPr>
        <w:pStyle w:val="Prrafodelista"/>
        <w:numPr>
          <w:ilvl w:val="0"/>
          <w:numId w:val="4"/>
        </w:numPr>
        <w:spacing w:line="360" w:lineRule="auto"/>
        <w:jc w:val="both"/>
        <w:rPr>
          <w:rFonts w:ascii="Palatino Linotype" w:eastAsia="Calibri" w:hAnsi="Palatino Linotype" w:cs="Tahoma"/>
          <w:bCs/>
          <w:color w:val="000000"/>
          <w:szCs w:val="22"/>
          <w:lang w:val="es-ES" w:eastAsia="en-US"/>
        </w:rPr>
      </w:pPr>
      <w:r w:rsidRPr="00EB0799">
        <w:rPr>
          <w:rFonts w:ascii="Palatino Linotype" w:eastAsia="Calibri" w:hAnsi="Palatino Linotype" w:cs="Tahoma"/>
          <w:bCs/>
          <w:color w:val="000000"/>
          <w:szCs w:val="22"/>
          <w:lang w:val="es-ES" w:eastAsia="en-US"/>
        </w:rPr>
        <w:t>La forma en que se encontraba la información (físico o digital);</w:t>
      </w:r>
    </w:p>
    <w:p w14:paraId="32E56419" w14:textId="77777777" w:rsidR="00BD3657" w:rsidRPr="00EB0799" w:rsidRDefault="00BD3657" w:rsidP="00A634B5">
      <w:pPr>
        <w:pStyle w:val="Prrafodelista"/>
        <w:numPr>
          <w:ilvl w:val="0"/>
          <w:numId w:val="4"/>
        </w:numPr>
        <w:spacing w:line="360" w:lineRule="auto"/>
        <w:jc w:val="both"/>
        <w:rPr>
          <w:rFonts w:ascii="Palatino Linotype" w:eastAsia="Calibri" w:hAnsi="Palatino Linotype" w:cs="Tahoma"/>
          <w:bCs/>
          <w:color w:val="000000"/>
          <w:szCs w:val="22"/>
          <w:lang w:val="es-ES" w:eastAsia="en-US"/>
        </w:rPr>
      </w:pPr>
      <w:r w:rsidRPr="00EB0799">
        <w:rPr>
          <w:rFonts w:ascii="Palatino Linotype" w:eastAsia="Calibri" w:hAnsi="Palatino Linotype" w:cs="Tahoma"/>
          <w:bCs/>
          <w:color w:val="000000"/>
          <w:szCs w:val="22"/>
          <w:lang w:val="es-ES" w:eastAsia="en-US"/>
        </w:rPr>
        <w:t>Las capacidades técnicas y humanas con las que contaba el Sujeto Obligado.</w:t>
      </w:r>
    </w:p>
    <w:p w14:paraId="253DEDD2" w14:textId="77777777" w:rsidR="00BD3657" w:rsidRPr="00EB0799" w:rsidRDefault="00BD3657" w:rsidP="00A634B5">
      <w:pPr>
        <w:tabs>
          <w:tab w:val="left" w:pos="4667"/>
        </w:tabs>
        <w:spacing w:line="360" w:lineRule="auto"/>
        <w:contextualSpacing/>
        <w:jc w:val="both"/>
        <w:rPr>
          <w:rFonts w:ascii="Palatino Linotype" w:hAnsi="Palatino Linotype"/>
          <w:sz w:val="22"/>
          <w:szCs w:val="22"/>
        </w:rPr>
      </w:pPr>
    </w:p>
    <w:p w14:paraId="04D37B39" w14:textId="5DA8A675" w:rsidR="00C83AA4" w:rsidRPr="00EB0799" w:rsidRDefault="00C83AA4" w:rsidP="00A634B5">
      <w:pPr>
        <w:spacing w:line="360" w:lineRule="auto"/>
        <w:contextualSpacing/>
        <w:jc w:val="both"/>
        <w:rPr>
          <w:rFonts w:ascii="Palatino Linotype" w:hAnsi="Palatino Linotype" w:cs="Tahoma"/>
          <w:sz w:val="22"/>
          <w:szCs w:val="22"/>
          <w:lang w:val="es-ES"/>
        </w:rPr>
      </w:pPr>
      <w:r w:rsidRPr="00EB0799">
        <w:rPr>
          <w:rFonts w:ascii="Palatino Linotype" w:eastAsia="Calibri" w:hAnsi="Palatino Linotype" w:cs="Tahoma"/>
          <w:bCs/>
          <w:color w:val="000000"/>
          <w:sz w:val="22"/>
          <w:szCs w:val="22"/>
          <w:lang w:val="es-ES"/>
        </w:rPr>
        <w:t xml:space="preserve">Lo anterior se robustece con la </w:t>
      </w:r>
      <w:r w:rsidRPr="00EB0799">
        <w:rPr>
          <w:rFonts w:ascii="Palatino Linotype" w:eastAsia="Calibri" w:hAnsi="Palatino Linotype" w:cs="Tahoma"/>
          <w:bCs/>
          <w:sz w:val="22"/>
          <w:szCs w:val="22"/>
          <w:lang w:val="es-ES"/>
        </w:rPr>
        <w:t xml:space="preserve">Resolución del Recurso de Revisión con número </w:t>
      </w:r>
      <w:r w:rsidRPr="00EB0799">
        <w:rPr>
          <w:rFonts w:ascii="Palatino Linotype" w:hAnsi="Palatino Linotype"/>
          <w:sz w:val="22"/>
          <w:szCs w:val="22"/>
          <w:lang w:val="es-ES"/>
        </w:rPr>
        <w:t>05936/INFOEM/IP/RR/2024 y acumulados</w:t>
      </w:r>
      <w:r w:rsidRPr="00EB0799">
        <w:rPr>
          <w:rFonts w:ascii="Palatino Linotype" w:eastAsia="Calibri" w:hAnsi="Palatino Linotype" w:cs="Tahoma"/>
          <w:bCs/>
          <w:sz w:val="22"/>
          <w:szCs w:val="22"/>
          <w:lang w:val="es-ES"/>
        </w:rPr>
        <w:t xml:space="preserve">, aprobada por el pleno de este Instituto durante la Trigésima Novena Sesión Ordinaria, del trece de noviembre de la presente anualidad, </w:t>
      </w:r>
      <w:r w:rsidR="00E514C1" w:rsidRPr="00EB0799">
        <w:rPr>
          <w:rFonts w:ascii="Palatino Linotype" w:eastAsia="Calibri" w:hAnsi="Palatino Linotype" w:cs="Tahoma"/>
          <w:bCs/>
          <w:sz w:val="22"/>
          <w:szCs w:val="22"/>
          <w:lang w:val="es-ES"/>
        </w:rPr>
        <w:t xml:space="preserve">en </w:t>
      </w:r>
      <w:r w:rsidRPr="00EB0799">
        <w:rPr>
          <w:rFonts w:ascii="Palatino Linotype" w:eastAsia="Calibri" w:hAnsi="Palatino Linotype" w:cs="Tahoma"/>
          <w:bCs/>
          <w:sz w:val="22"/>
          <w:szCs w:val="22"/>
          <w:lang w:val="es-ES"/>
        </w:rPr>
        <w:t xml:space="preserve">la </w:t>
      </w:r>
      <w:r w:rsidRPr="00EB0799">
        <w:rPr>
          <w:rFonts w:ascii="Palatino Linotype" w:hAnsi="Palatino Linotype" w:cs="Tahoma"/>
          <w:sz w:val="22"/>
          <w:szCs w:val="22"/>
          <w:lang w:val="es-ES"/>
        </w:rPr>
        <w:t xml:space="preserve">cual se logró </w:t>
      </w:r>
      <w:r w:rsidR="00E514C1" w:rsidRPr="00EB0799">
        <w:rPr>
          <w:rFonts w:ascii="Palatino Linotype" w:hAnsi="Palatino Linotype" w:cs="Tahoma"/>
          <w:sz w:val="22"/>
          <w:szCs w:val="22"/>
          <w:lang w:val="es-ES"/>
        </w:rPr>
        <w:t>advertir</w:t>
      </w:r>
      <w:r w:rsidRPr="00EB0799">
        <w:rPr>
          <w:rFonts w:ascii="Palatino Linotype" w:hAnsi="Palatino Linotype" w:cs="Tahoma"/>
          <w:sz w:val="22"/>
          <w:szCs w:val="22"/>
          <w:lang w:val="es-ES"/>
        </w:rPr>
        <w:t>, que</w:t>
      </w:r>
      <w:r w:rsidR="00E514C1" w:rsidRPr="00EB0799">
        <w:rPr>
          <w:rFonts w:ascii="Palatino Linotype" w:hAnsi="Palatino Linotype" w:cs="Tahoma"/>
          <w:sz w:val="22"/>
          <w:szCs w:val="22"/>
          <w:lang w:val="es-ES"/>
        </w:rPr>
        <w:t xml:space="preserve"> el Sujeto Obligado cuenta con diversas comisiones, comités y consejos municipales que auxilian al ayuntamiento en la consecución de sus diversas actividades</w:t>
      </w:r>
      <w:r w:rsidR="00E36524" w:rsidRPr="00EB0799">
        <w:rPr>
          <w:rFonts w:ascii="Palatino Linotype" w:hAnsi="Palatino Linotype" w:cs="Tahoma"/>
          <w:sz w:val="22"/>
          <w:szCs w:val="22"/>
          <w:lang w:val="es-ES"/>
        </w:rPr>
        <w:t xml:space="preserve">, </w:t>
      </w:r>
      <w:r w:rsidR="00E514C1" w:rsidRPr="00EB0799">
        <w:rPr>
          <w:rFonts w:ascii="Palatino Linotype" w:hAnsi="Palatino Linotype" w:cs="Tahoma"/>
          <w:sz w:val="22"/>
          <w:szCs w:val="22"/>
          <w:lang w:val="es-ES"/>
        </w:rPr>
        <w:t>las cuales sus órganos colegiados sesionan y generan las actas</w:t>
      </w:r>
      <w:r w:rsidR="00E36524" w:rsidRPr="00EB0799">
        <w:rPr>
          <w:rFonts w:ascii="Palatino Linotype" w:hAnsi="Palatino Linotype" w:cs="Tahoma"/>
          <w:sz w:val="22"/>
          <w:szCs w:val="22"/>
          <w:lang w:val="es-ES"/>
        </w:rPr>
        <w:t xml:space="preserve"> derivadas de sus funciones, </w:t>
      </w:r>
      <w:r w:rsidR="00E514C1" w:rsidRPr="00EB0799">
        <w:rPr>
          <w:rFonts w:ascii="Palatino Linotype" w:hAnsi="Palatino Linotype" w:cs="Tahoma"/>
          <w:sz w:val="22"/>
          <w:szCs w:val="22"/>
          <w:lang w:val="es-ES"/>
        </w:rPr>
        <w:t>de las cuales se logró advertir que los documentos generados no sobrepasa</w:t>
      </w:r>
      <w:r w:rsidR="00E36524" w:rsidRPr="00EB0799">
        <w:rPr>
          <w:rFonts w:ascii="Palatino Linotype" w:hAnsi="Palatino Linotype" w:cs="Tahoma"/>
          <w:sz w:val="22"/>
          <w:szCs w:val="22"/>
          <w:lang w:val="es-ES"/>
        </w:rPr>
        <w:t>ban</w:t>
      </w:r>
      <w:r w:rsidR="00E514C1" w:rsidRPr="00EB0799">
        <w:rPr>
          <w:rFonts w:ascii="Palatino Linotype" w:hAnsi="Palatino Linotype" w:cs="Tahoma"/>
          <w:sz w:val="22"/>
          <w:szCs w:val="22"/>
          <w:lang w:val="es-ES"/>
        </w:rPr>
        <w:t xml:space="preserve"> las capacidades </w:t>
      </w:r>
      <w:r w:rsidR="00506CBB" w:rsidRPr="00EB0799">
        <w:rPr>
          <w:rFonts w:ascii="Palatino Linotype" w:eastAsia="Calibri" w:hAnsi="Palatino Linotype" w:cs="Tahoma"/>
          <w:bCs/>
          <w:sz w:val="22"/>
          <w:szCs w:val="22"/>
          <w:lang w:val="es-ES"/>
        </w:rPr>
        <w:t xml:space="preserve">del SAIMEX, </w:t>
      </w:r>
      <w:r w:rsidR="00E514C1" w:rsidRPr="00EB0799">
        <w:rPr>
          <w:rFonts w:ascii="Palatino Linotype" w:eastAsia="Calibri" w:hAnsi="Palatino Linotype" w:cs="Tahoma"/>
          <w:bCs/>
          <w:sz w:val="22"/>
          <w:szCs w:val="22"/>
          <w:lang w:val="es-ES"/>
        </w:rPr>
        <w:t>aún y cuando se trataba de actas</w:t>
      </w:r>
      <w:r w:rsidR="00E36524" w:rsidRPr="00EB0799">
        <w:rPr>
          <w:rFonts w:ascii="Palatino Linotype" w:eastAsia="Calibri" w:hAnsi="Palatino Linotype" w:cs="Tahoma"/>
          <w:bCs/>
          <w:sz w:val="22"/>
          <w:szCs w:val="22"/>
          <w:lang w:val="es-ES"/>
        </w:rPr>
        <w:t xml:space="preserve"> generadas por cuatro órganos colegiados, situación que toma relevancia, pues </w:t>
      </w:r>
      <w:r w:rsidR="00B218C9" w:rsidRPr="00EB0799">
        <w:rPr>
          <w:rFonts w:ascii="Palatino Linotype" w:eastAsia="Calibri" w:hAnsi="Palatino Linotype" w:cs="Tahoma"/>
          <w:bCs/>
          <w:sz w:val="22"/>
          <w:szCs w:val="22"/>
          <w:lang w:val="es-ES"/>
        </w:rPr>
        <w:t xml:space="preserve">este Organismo Garante </w:t>
      </w:r>
      <w:r w:rsidR="00E36524" w:rsidRPr="00EB0799">
        <w:rPr>
          <w:rFonts w:ascii="Palatino Linotype" w:eastAsia="Calibri" w:hAnsi="Palatino Linotype" w:cs="Tahoma"/>
          <w:bCs/>
          <w:sz w:val="22"/>
          <w:szCs w:val="22"/>
          <w:lang w:val="es-ES"/>
        </w:rPr>
        <w:t xml:space="preserve">considera que la cantidad de información generada de las actas de la </w:t>
      </w:r>
      <w:r w:rsidR="00E36524" w:rsidRPr="00EB0799">
        <w:rPr>
          <w:rFonts w:ascii="Palatino Linotype" w:eastAsia="Calibri" w:hAnsi="Palatino Linotype" w:cs="Tahoma"/>
          <w:iCs/>
          <w:sz w:val="22"/>
          <w:szCs w:val="22"/>
          <w:lang w:val="es-ES" w:eastAsia="es-ES_tradnl"/>
        </w:rPr>
        <w:t>Comisión Permanente de Planeación para el Desarrollo Municipal tampoco debe sobrepasar el referido sistema, por lo que no procede convalidar el cambio de modalidad</w:t>
      </w:r>
      <w:r w:rsidR="00B218C9" w:rsidRPr="00EB0799">
        <w:rPr>
          <w:rFonts w:ascii="Palatino Linotype" w:eastAsia="Calibri" w:hAnsi="Palatino Linotype" w:cs="Tahoma"/>
          <w:iCs/>
          <w:sz w:val="22"/>
          <w:szCs w:val="22"/>
          <w:lang w:val="es-ES" w:eastAsia="es-ES_tradnl"/>
        </w:rPr>
        <w:t xml:space="preserve"> propuesto</w:t>
      </w:r>
      <w:r w:rsidR="00E36524" w:rsidRPr="00EB0799">
        <w:rPr>
          <w:rFonts w:ascii="Palatino Linotype" w:eastAsia="Calibri" w:hAnsi="Palatino Linotype" w:cs="Tahoma"/>
          <w:iCs/>
          <w:sz w:val="22"/>
          <w:szCs w:val="22"/>
          <w:lang w:val="es-ES" w:eastAsia="es-ES_tradnl"/>
        </w:rPr>
        <w:t>.</w:t>
      </w:r>
    </w:p>
    <w:p w14:paraId="402AF833" w14:textId="77777777" w:rsidR="00C83AA4" w:rsidRPr="00EB0799" w:rsidRDefault="00C83AA4" w:rsidP="00A634B5">
      <w:pPr>
        <w:spacing w:line="360" w:lineRule="auto"/>
        <w:contextualSpacing/>
        <w:jc w:val="both"/>
        <w:rPr>
          <w:rFonts w:ascii="Palatino Linotype" w:eastAsia="Calibri" w:hAnsi="Palatino Linotype" w:cs="Tahoma"/>
          <w:b/>
          <w:bCs/>
          <w:sz w:val="22"/>
          <w:szCs w:val="22"/>
          <w:lang w:val="es-ES"/>
        </w:rPr>
      </w:pPr>
    </w:p>
    <w:p w14:paraId="4B8082BC" w14:textId="77777777" w:rsidR="00C83AA4" w:rsidRPr="00EB0799" w:rsidRDefault="00C83AA4" w:rsidP="00A634B5">
      <w:pPr>
        <w:spacing w:line="360" w:lineRule="auto"/>
        <w:contextualSpacing/>
        <w:jc w:val="both"/>
        <w:rPr>
          <w:rFonts w:ascii="Palatino Linotype" w:eastAsia="Calibri" w:hAnsi="Palatino Linotype" w:cs="Tahoma"/>
          <w:bCs/>
          <w:sz w:val="22"/>
          <w:szCs w:val="22"/>
          <w:lang w:val="es-ES"/>
        </w:rPr>
      </w:pPr>
      <w:r w:rsidRPr="00EB0799">
        <w:rPr>
          <w:rFonts w:ascii="Palatino Linotype" w:hAnsi="Palatino Linotype" w:cs="Tahoma"/>
          <w:sz w:val="22"/>
          <w:szCs w:val="22"/>
          <w:shd w:val="clear" w:color="auto" w:fill="FFFFFF"/>
          <w:lang w:val="es-ES"/>
        </w:rPr>
        <w:t xml:space="preserve">Lo </w:t>
      </w:r>
      <w:r w:rsidRPr="00EB0799">
        <w:rPr>
          <w:rFonts w:ascii="Palatino Linotype" w:eastAsia="Calibri" w:hAnsi="Palatino Linotype" w:cs="Tahoma"/>
          <w:bCs/>
          <w:sz w:val="22"/>
          <w:szCs w:val="22"/>
          <w:lang w:val="es-ES"/>
        </w:rPr>
        <w:t>anterior, se trae como hecho notorio,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14:paraId="56BEC4DC" w14:textId="77777777" w:rsidR="00BD3657" w:rsidRPr="00EB0799" w:rsidRDefault="00BD3657" w:rsidP="00A634B5">
      <w:pPr>
        <w:tabs>
          <w:tab w:val="left" w:pos="4667"/>
        </w:tabs>
        <w:spacing w:line="360" w:lineRule="auto"/>
        <w:contextualSpacing/>
        <w:jc w:val="both"/>
        <w:rPr>
          <w:rFonts w:ascii="Palatino Linotype" w:hAnsi="Palatino Linotype"/>
          <w:sz w:val="22"/>
          <w:szCs w:val="22"/>
        </w:rPr>
      </w:pPr>
    </w:p>
    <w:p w14:paraId="6F92FEA4" w14:textId="77777777" w:rsidR="00BD3657" w:rsidRPr="00EB0799" w:rsidRDefault="00BD3657" w:rsidP="00A634B5">
      <w:pPr>
        <w:spacing w:line="360" w:lineRule="auto"/>
        <w:ind w:right="-28"/>
        <w:contextualSpacing/>
        <w:jc w:val="both"/>
        <w:rPr>
          <w:rFonts w:ascii="Palatino Linotype" w:hAnsi="Palatino Linotype" w:cs="Tahoma"/>
          <w:iCs/>
          <w:sz w:val="22"/>
          <w:szCs w:val="22"/>
        </w:rPr>
      </w:pPr>
      <w:r w:rsidRPr="00EB0799">
        <w:rPr>
          <w:rFonts w:ascii="Palatino Linotype" w:eastAsia="Calibri" w:hAnsi="Palatino Linotype" w:cs="Tahoma"/>
          <w:bCs/>
          <w:color w:val="000000"/>
          <w:sz w:val="22"/>
          <w:szCs w:val="22"/>
          <w:lang w:val="es-ES"/>
        </w:rPr>
        <w:t>Conforme a lo anterior, el Ayuntamiento de Temamatla</w:t>
      </w:r>
      <w:r w:rsidRPr="00EB0799">
        <w:rPr>
          <w:rFonts w:ascii="Palatino Linotype" w:hAnsi="Palatino Linotype" w:cs="Tahoma"/>
          <w:iCs/>
          <w:sz w:val="22"/>
          <w:szCs w:val="22"/>
        </w:rPr>
        <w:t xml:space="preserve">, no acreditó la imposibilidad técnica para acreditar el cambio de modalidad a consulta directa, lo cual da como resultado que el agravio resulte </w:t>
      </w:r>
      <w:r w:rsidRPr="00EB0799">
        <w:rPr>
          <w:rFonts w:ascii="Palatino Linotype" w:hAnsi="Palatino Linotype" w:cs="Tahoma"/>
          <w:b/>
          <w:bCs/>
          <w:iCs/>
          <w:sz w:val="22"/>
          <w:szCs w:val="22"/>
        </w:rPr>
        <w:t xml:space="preserve">FUNDADO, </w:t>
      </w:r>
      <w:r w:rsidRPr="00EB0799">
        <w:rPr>
          <w:rFonts w:ascii="Palatino Linotype" w:hAnsi="Palatino Linotype" w:cs="Tahoma"/>
          <w:iCs/>
          <w:sz w:val="22"/>
          <w:szCs w:val="22"/>
        </w:rPr>
        <w:t>pues en el presente caso, la cantidad de hojas no sobrepasa las capacidades del SAIMEX.</w:t>
      </w:r>
    </w:p>
    <w:p w14:paraId="753FC7CB" w14:textId="77777777" w:rsidR="00BD3657" w:rsidRPr="00EB0799" w:rsidRDefault="00BD3657" w:rsidP="00A634B5">
      <w:pPr>
        <w:spacing w:line="360" w:lineRule="auto"/>
        <w:contextualSpacing/>
        <w:jc w:val="both"/>
        <w:rPr>
          <w:rFonts w:ascii="Palatino Linotype" w:hAnsi="Palatino Linotype"/>
          <w:bCs/>
          <w:sz w:val="22"/>
          <w:szCs w:val="22"/>
        </w:rPr>
      </w:pPr>
    </w:p>
    <w:p w14:paraId="2AE0BE71" w14:textId="77777777" w:rsidR="00BD3657" w:rsidRPr="00EB0799" w:rsidRDefault="00BD3657" w:rsidP="00A634B5">
      <w:pPr>
        <w:spacing w:line="360" w:lineRule="auto"/>
        <w:contextualSpacing/>
        <w:jc w:val="both"/>
        <w:rPr>
          <w:rFonts w:ascii="Palatino Linotype" w:eastAsia="Calibri" w:hAnsi="Palatino Linotype" w:cs="Tahoma"/>
          <w:color w:val="000000"/>
          <w:sz w:val="22"/>
          <w:szCs w:val="22"/>
          <w:lang w:eastAsia="en-US"/>
        </w:rPr>
      </w:pPr>
      <w:r w:rsidRPr="00EB0799">
        <w:rPr>
          <w:rFonts w:ascii="Palatino Linotype" w:eastAsia="Calibri" w:hAnsi="Palatino Linotype" w:cs="Tahoma"/>
          <w:sz w:val="22"/>
          <w:szCs w:val="22"/>
        </w:rPr>
        <w:t>Lo anterior, toma sustento en</w:t>
      </w:r>
      <w:r w:rsidRPr="00EB0799">
        <w:rPr>
          <w:rFonts w:ascii="Palatino Linotype" w:eastAsia="Calibri" w:hAnsi="Palatino Linotype" w:cs="Tahoma"/>
          <w:bCs/>
          <w:iCs/>
          <w:color w:val="000000"/>
          <w:sz w:val="22"/>
          <w:szCs w:val="22"/>
          <w:lang w:eastAsia="en-US"/>
        </w:rPr>
        <w:t xml:space="preserve"> </w:t>
      </w:r>
      <w:r w:rsidRPr="00EB0799">
        <w:rPr>
          <w:rFonts w:ascii="Palatino Linotype" w:eastAsia="Calibri" w:hAnsi="Palatino Linotype" w:cs="Tahoma"/>
          <w:color w:val="000000"/>
          <w:sz w:val="22"/>
          <w:szCs w:val="22"/>
          <w:lang w:eastAsia="en-US"/>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0AF6CD18" w14:textId="77777777" w:rsidR="00BD3657" w:rsidRPr="00EB0799" w:rsidRDefault="00BD3657" w:rsidP="00A634B5">
      <w:pPr>
        <w:spacing w:line="360" w:lineRule="auto"/>
        <w:contextualSpacing/>
        <w:jc w:val="both"/>
        <w:rPr>
          <w:rFonts w:ascii="Palatino Linotype" w:eastAsia="Calibri" w:hAnsi="Palatino Linotype" w:cs="Tahoma"/>
          <w:color w:val="000000"/>
          <w:sz w:val="22"/>
          <w:szCs w:val="22"/>
          <w:lang w:eastAsia="en-US"/>
        </w:rPr>
      </w:pPr>
    </w:p>
    <w:p w14:paraId="18E45A91" w14:textId="7FD88581" w:rsidR="00DB1834" w:rsidRPr="00EB0799" w:rsidRDefault="00BD3657" w:rsidP="00A634B5">
      <w:pPr>
        <w:tabs>
          <w:tab w:val="left" w:pos="4962"/>
        </w:tabs>
        <w:spacing w:line="360" w:lineRule="auto"/>
        <w:ind w:right="-28"/>
        <w:contextualSpacing/>
        <w:jc w:val="both"/>
        <w:rPr>
          <w:rFonts w:ascii="Palatino Linotype" w:eastAsia="Calibri" w:hAnsi="Palatino Linotype" w:cs="Tahoma"/>
          <w:bCs/>
          <w:sz w:val="22"/>
          <w:szCs w:val="22"/>
        </w:rPr>
      </w:pPr>
      <w:r w:rsidRPr="00EB0799">
        <w:rPr>
          <w:rFonts w:ascii="Palatino Linotype" w:eastAsia="Calibri" w:hAnsi="Palatino Linotype" w:cs="Tahoma"/>
          <w:bCs/>
          <w:sz w:val="22"/>
          <w:szCs w:val="22"/>
        </w:rPr>
        <w:t xml:space="preserve">Por lo tanto, se considera que el Sujeto Obligado a través de sus unidades administrativas competentes deberá proporcionar las </w:t>
      </w:r>
      <w:r w:rsidR="00803F71" w:rsidRPr="00EB0799">
        <w:rPr>
          <w:rFonts w:ascii="Palatino Linotype" w:hAnsi="Palatino Linotype" w:cs="Tahoma"/>
          <w:sz w:val="22"/>
          <w:szCs w:val="22"/>
        </w:rPr>
        <w:t>Actas de</w:t>
      </w:r>
      <w:r w:rsidR="00E36524" w:rsidRPr="00EB0799">
        <w:rPr>
          <w:rFonts w:ascii="Palatino Linotype" w:hAnsi="Palatino Linotype" w:cs="Tahoma"/>
          <w:sz w:val="22"/>
          <w:szCs w:val="22"/>
        </w:rPr>
        <w:t xml:space="preserve"> </w:t>
      </w:r>
      <w:r w:rsidR="00803F71" w:rsidRPr="00EB0799">
        <w:rPr>
          <w:rFonts w:ascii="Palatino Linotype" w:hAnsi="Palatino Linotype" w:cs="Tahoma"/>
          <w:sz w:val="22"/>
          <w:szCs w:val="22"/>
        </w:rPr>
        <w:t>l</w:t>
      </w:r>
      <w:r w:rsidR="00E36524" w:rsidRPr="00EB0799">
        <w:rPr>
          <w:rFonts w:ascii="Palatino Linotype" w:hAnsi="Palatino Linotype" w:cs="Tahoma"/>
          <w:sz w:val="22"/>
          <w:szCs w:val="22"/>
        </w:rPr>
        <w:t>a</w:t>
      </w:r>
      <w:r w:rsidR="00803F71" w:rsidRPr="00EB0799">
        <w:rPr>
          <w:rFonts w:ascii="Palatino Linotype" w:hAnsi="Palatino Linotype" w:cs="Tahoma"/>
          <w:sz w:val="22"/>
          <w:szCs w:val="22"/>
        </w:rPr>
        <w:t xml:space="preserve"> </w:t>
      </w:r>
      <w:r w:rsidR="00E36524" w:rsidRPr="00EB0799">
        <w:rPr>
          <w:rFonts w:ascii="Palatino Linotype" w:eastAsia="Calibri" w:hAnsi="Palatino Linotype" w:cs="Tahoma"/>
          <w:iCs/>
          <w:sz w:val="22"/>
          <w:szCs w:val="22"/>
          <w:lang w:val="es-ES" w:eastAsia="es-ES_tradnl"/>
        </w:rPr>
        <w:t>Comisión Permanente de Planeación para el Desarrollo Municipal</w:t>
      </w:r>
      <w:r w:rsidRPr="00EB0799">
        <w:rPr>
          <w:rFonts w:ascii="Palatino Linotype" w:eastAsia="Calibri" w:hAnsi="Palatino Linotype" w:cs="Tahoma"/>
          <w:bCs/>
          <w:sz w:val="22"/>
          <w:szCs w:val="22"/>
        </w:rPr>
        <w:t xml:space="preserve">, para los ejercicios fiscales dos mil veintidós, dos mil veintitrés y dos mil veinticuatro, ya que como se señaló en párrafos anteriores, </w:t>
      </w:r>
      <w:r w:rsidR="00803F71" w:rsidRPr="00EB0799">
        <w:rPr>
          <w:rFonts w:ascii="Palatino Linotype" w:eastAsia="Calibri" w:hAnsi="Palatino Linotype" w:cs="Tahoma"/>
          <w:bCs/>
          <w:sz w:val="22"/>
          <w:szCs w:val="22"/>
        </w:rPr>
        <w:t>la información no sobrepasa las capacidades del Sistema de Acceso a la Información Mexiquense (SAIMEX)</w:t>
      </w:r>
      <w:r w:rsidR="00DB1834" w:rsidRPr="00EB0799">
        <w:rPr>
          <w:rFonts w:ascii="Palatino Linotype" w:eastAsia="Calibri" w:hAnsi="Palatino Linotype" w:cs="Tahoma"/>
          <w:bCs/>
          <w:sz w:val="22"/>
          <w:szCs w:val="22"/>
        </w:rPr>
        <w:t>; aunado al hecho de que no se turno la solicitud a los miembros del Cabildo, que formaban parte de la Comisión, que son los competentes para conocer y contar con lo peticionado.</w:t>
      </w:r>
    </w:p>
    <w:p w14:paraId="5C65B5AA" w14:textId="77777777" w:rsidR="00DB1834" w:rsidRPr="00EB0799" w:rsidRDefault="00DB1834" w:rsidP="00A634B5">
      <w:pPr>
        <w:tabs>
          <w:tab w:val="left" w:pos="4962"/>
        </w:tabs>
        <w:spacing w:line="360" w:lineRule="auto"/>
        <w:ind w:right="-28"/>
        <w:contextualSpacing/>
        <w:jc w:val="both"/>
        <w:rPr>
          <w:rFonts w:ascii="Palatino Linotype" w:eastAsia="Calibri" w:hAnsi="Palatino Linotype" w:cs="Tahoma"/>
          <w:bCs/>
          <w:sz w:val="22"/>
          <w:szCs w:val="22"/>
        </w:rPr>
      </w:pPr>
    </w:p>
    <w:p w14:paraId="3926D59B" w14:textId="573133FE" w:rsidR="00BD3657" w:rsidRPr="00EB0799" w:rsidRDefault="00E36524" w:rsidP="00A634B5">
      <w:pPr>
        <w:tabs>
          <w:tab w:val="left" w:pos="4962"/>
        </w:tabs>
        <w:spacing w:line="360" w:lineRule="auto"/>
        <w:ind w:right="-28"/>
        <w:contextualSpacing/>
        <w:jc w:val="both"/>
        <w:rPr>
          <w:rFonts w:ascii="Palatino Linotype" w:eastAsia="Calibri" w:hAnsi="Palatino Linotype" w:cs="Tahoma"/>
          <w:bCs/>
          <w:sz w:val="22"/>
          <w:szCs w:val="22"/>
        </w:rPr>
      </w:pPr>
      <w:r w:rsidRPr="00EB0799">
        <w:rPr>
          <w:rFonts w:ascii="Palatino Linotype" w:eastAsia="Calibri" w:hAnsi="Palatino Linotype" w:cs="Tahoma"/>
          <w:bCs/>
          <w:sz w:val="22"/>
          <w:szCs w:val="22"/>
        </w:rPr>
        <w:t>D</w:t>
      </w:r>
      <w:r w:rsidR="00BD3657" w:rsidRPr="00EB0799">
        <w:rPr>
          <w:rFonts w:ascii="Palatino Linotype" w:hAnsi="Palatino Linotype" w:cs="Tahoma"/>
          <w:bCs/>
          <w:sz w:val="22"/>
          <w:szCs w:val="22"/>
        </w:rPr>
        <w:t xml:space="preserve">icha circunstancia toma sustento </w:t>
      </w:r>
      <w:r w:rsidR="00BD3657" w:rsidRPr="00EB0799">
        <w:rPr>
          <w:rFonts w:ascii="Palatino Linotype" w:hAnsi="Palatino Linotype" w:cs="Tahoma"/>
          <w:iCs/>
          <w:sz w:val="22"/>
          <w:szCs w:val="22"/>
          <w:lang w:val="es-ES"/>
        </w:rPr>
        <w:t>conforme al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1DD6484" w14:textId="77777777" w:rsidR="00BD3657" w:rsidRPr="00EB0799" w:rsidRDefault="00BD3657" w:rsidP="00A634B5">
      <w:pPr>
        <w:spacing w:line="360" w:lineRule="auto"/>
        <w:contextualSpacing/>
        <w:jc w:val="both"/>
        <w:rPr>
          <w:rFonts w:ascii="Palatino Linotype" w:hAnsi="Palatino Linotype" w:cs="Tahoma"/>
          <w:iCs/>
          <w:sz w:val="22"/>
          <w:szCs w:val="22"/>
          <w:lang w:val="es-ES"/>
        </w:rPr>
      </w:pPr>
    </w:p>
    <w:p w14:paraId="4565E130" w14:textId="77777777" w:rsidR="00BD3657" w:rsidRPr="00EB0799" w:rsidRDefault="00BD3657" w:rsidP="00A634B5">
      <w:pPr>
        <w:spacing w:line="360" w:lineRule="auto"/>
        <w:contextualSpacing/>
        <w:jc w:val="both"/>
        <w:rPr>
          <w:rFonts w:ascii="Palatino Linotype" w:hAnsi="Palatino Linotype" w:cs="Tahoma"/>
          <w:iCs/>
          <w:sz w:val="22"/>
          <w:szCs w:val="22"/>
          <w:lang w:val="es-ES"/>
        </w:rPr>
      </w:pPr>
      <w:r w:rsidRPr="00EB0799">
        <w:rPr>
          <w:rFonts w:ascii="Palatino Linotype" w:hAnsi="Palatino Linotype" w:cs="Tahoma"/>
          <w:iCs/>
          <w:sz w:val="22"/>
          <w:szCs w:val="22"/>
          <w:lang w:val="es-ES"/>
        </w:rPr>
        <w:t xml:space="preserve">De esta manera, el derecho de acceso a la información pública se satisface en aquellos casos en que se entregue el soporte documental en el que conste la información solicitada, sin necesidad de elaborar documentos </w:t>
      </w:r>
      <w:r w:rsidRPr="00EB0799">
        <w:rPr>
          <w:rFonts w:ascii="Palatino Linotype" w:hAnsi="Palatino Linotype" w:cs="Tahoma"/>
          <w:i/>
          <w:iCs/>
          <w:sz w:val="22"/>
          <w:szCs w:val="22"/>
          <w:lang w:val="es-ES"/>
        </w:rPr>
        <w:t>ad hoc;</w:t>
      </w:r>
      <w:r w:rsidRPr="00EB0799">
        <w:rPr>
          <w:rFonts w:ascii="Palatino Linotype" w:hAnsi="Palatino Linotype" w:cs="Tahoma"/>
          <w:iCs/>
          <w:sz w:val="22"/>
          <w:szCs w:val="22"/>
          <w:lang w:val="es-ES"/>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707CC1FB" w14:textId="77777777" w:rsidR="00BD3657" w:rsidRPr="00EB0799" w:rsidRDefault="00BD3657" w:rsidP="00A634B5">
      <w:pPr>
        <w:spacing w:line="360" w:lineRule="auto"/>
        <w:contextualSpacing/>
        <w:jc w:val="both"/>
        <w:rPr>
          <w:rFonts w:ascii="Palatino Linotype" w:hAnsi="Palatino Linotype" w:cs="Tahoma"/>
          <w:bCs/>
          <w:iCs/>
          <w:sz w:val="22"/>
          <w:szCs w:val="22"/>
        </w:rPr>
      </w:pPr>
    </w:p>
    <w:p w14:paraId="7D2AA853" w14:textId="77777777" w:rsidR="00BD3657" w:rsidRPr="00EB0799" w:rsidRDefault="00BD3657" w:rsidP="00A634B5">
      <w:pPr>
        <w:spacing w:line="360" w:lineRule="auto"/>
        <w:contextualSpacing/>
        <w:jc w:val="both"/>
        <w:rPr>
          <w:rFonts w:ascii="Palatino Linotype" w:hAnsi="Palatino Linotype" w:cs="Tahoma"/>
          <w:iCs/>
          <w:sz w:val="22"/>
          <w:szCs w:val="22"/>
          <w:lang w:val="es-ES"/>
        </w:rPr>
      </w:pPr>
      <w:r w:rsidRPr="00EB0799">
        <w:rPr>
          <w:rFonts w:ascii="Palatino Linotype" w:hAnsi="Palatino Linotype" w:cs="Tahoma"/>
          <w:iCs/>
          <w:sz w:val="22"/>
          <w:szCs w:val="22"/>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los documentos donde conste la información peticionada.</w:t>
      </w:r>
    </w:p>
    <w:p w14:paraId="2EF16A52" w14:textId="77777777" w:rsidR="00BD3657" w:rsidRPr="00EB0799" w:rsidRDefault="00BD3657" w:rsidP="00A634B5">
      <w:pPr>
        <w:tabs>
          <w:tab w:val="left" w:pos="4667"/>
        </w:tabs>
        <w:spacing w:line="360" w:lineRule="auto"/>
        <w:contextualSpacing/>
        <w:jc w:val="both"/>
        <w:rPr>
          <w:rFonts w:ascii="Palatino Linotype" w:eastAsia="Calibri" w:hAnsi="Palatino Linotype"/>
          <w:sz w:val="22"/>
          <w:szCs w:val="22"/>
          <w:lang w:val="es-ES"/>
        </w:rPr>
      </w:pPr>
    </w:p>
    <w:p w14:paraId="7E8898E3" w14:textId="77777777" w:rsidR="00BD3657" w:rsidRPr="00EB0799" w:rsidRDefault="00BD3657" w:rsidP="00A634B5">
      <w:pPr>
        <w:spacing w:line="360" w:lineRule="auto"/>
        <w:contextualSpacing/>
        <w:jc w:val="both"/>
        <w:rPr>
          <w:rFonts w:ascii="Palatino Linotype" w:hAnsi="Palatino Linotype" w:cs="Tahoma"/>
          <w:bCs/>
          <w:iCs/>
          <w:sz w:val="22"/>
          <w:szCs w:val="22"/>
          <w:lang w:val="es-ES"/>
        </w:rPr>
      </w:pPr>
      <w:r w:rsidRPr="00EB0799">
        <w:rPr>
          <w:rFonts w:ascii="Palatino Linotype" w:hAnsi="Palatino Linotype" w:cs="Tahoma"/>
          <w:bCs/>
          <w:iCs/>
          <w:sz w:val="22"/>
          <w:szCs w:val="22"/>
          <w:lang w:val="es-ES_tradnl"/>
        </w:rPr>
        <w:t>No pasa desapercibido para este Instituto que los documentos que den cuenta de lo solicitado, pudieran contener datos o información clasificada, como pudiera ser datos bancarios de los proveedores o prestadores de servicios; a</w:t>
      </w:r>
      <w:r w:rsidRPr="00EB0799">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595E3925" w14:textId="77777777" w:rsidR="00BD3657" w:rsidRPr="00EB0799" w:rsidRDefault="00BD3657" w:rsidP="00A634B5">
      <w:pPr>
        <w:spacing w:line="360" w:lineRule="auto"/>
        <w:contextualSpacing/>
        <w:jc w:val="both"/>
        <w:rPr>
          <w:rFonts w:ascii="Palatino Linotype" w:hAnsi="Palatino Linotype" w:cs="Tahoma"/>
          <w:bCs/>
          <w:iCs/>
          <w:sz w:val="22"/>
          <w:szCs w:val="22"/>
          <w:lang w:val="es-ES"/>
        </w:rPr>
      </w:pPr>
    </w:p>
    <w:p w14:paraId="0EC323E0" w14:textId="77777777" w:rsidR="00BD3657" w:rsidRPr="00EB0799" w:rsidRDefault="00BD3657" w:rsidP="00A634B5">
      <w:pPr>
        <w:spacing w:line="360" w:lineRule="auto"/>
        <w:contextualSpacing/>
        <w:jc w:val="both"/>
        <w:rPr>
          <w:rFonts w:ascii="Palatino Linotype" w:hAnsi="Palatino Linotype" w:cs="Tahoma"/>
          <w:bCs/>
          <w:iCs/>
          <w:sz w:val="22"/>
          <w:szCs w:val="22"/>
          <w:lang w:val="es-ES"/>
        </w:rPr>
      </w:pPr>
      <w:r w:rsidRPr="00EB0799">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F43FD46" w14:textId="77777777" w:rsidR="00BD3657" w:rsidRPr="00EB0799" w:rsidRDefault="00BD3657" w:rsidP="00A634B5">
      <w:pPr>
        <w:tabs>
          <w:tab w:val="left" w:pos="4962"/>
        </w:tabs>
        <w:spacing w:line="360" w:lineRule="auto"/>
        <w:ind w:right="-28"/>
        <w:contextualSpacing/>
        <w:jc w:val="both"/>
        <w:rPr>
          <w:rFonts w:ascii="Palatino Linotype" w:hAnsi="Palatino Linotype" w:cs="Tahoma"/>
          <w:bCs/>
          <w:iCs/>
          <w:sz w:val="22"/>
          <w:szCs w:val="22"/>
          <w:lang w:eastAsia="es-MX"/>
        </w:rPr>
      </w:pPr>
    </w:p>
    <w:p w14:paraId="1E58496A" w14:textId="77777777" w:rsidR="00BD3657" w:rsidRPr="00EB0799" w:rsidRDefault="00BD3657" w:rsidP="00A634B5">
      <w:pPr>
        <w:spacing w:line="360" w:lineRule="auto"/>
        <w:contextualSpacing/>
        <w:jc w:val="both"/>
        <w:rPr>
          <w:rFonts w:ascii="Palatino Linotype" w:hAnsi="Palatino Linotype" w:cs="Tahoma"/>
          <w:b/>
          <w:sz w:val="22"/>
          <w:szCs w:val="22"/>
        </w:rPr>
      </w:pPr>
      <w:r w:rsidRPr="00EB0799">
        <w:rPr>
          <w:rFonts w:ascii="Palatino Linotype" w:hAnsi="Palatino Linotype" w:cs="Tahoma"/>
          <w:b/>
          <w:sz w:val="22"/>
          <w:szCs w:val="22"/>
        </w:rPr>
        <w:t>SEXTO. Decisión</w:t>
      </w:r>
    </w:p>
    <w:p w14:paraId="3C051909" w14:textId="77777777" w:rsidR="00BD3657" w:rsidRPr="00EB0799" w:rsidRDefault="00BD3657" w:rsidP="00A634B5">
      <w:pPr>
        <w:spacing w:line="360" w:lineRule="auto"/>
        <w:contextualSpacing/>
        <w:jc w:val="both"/>
        <w:rPr>
          <w:rFonts w:ascii="Palatino Linotype" w:hAnsi="Palatino Linotype" w:cs="Tahoma"/>
          <w:b/>
          <w:sz w:val="22"/>
          <w:szCs w:val="22"/>
        </w:rPr>
      </w:pPr>
      <w:r w:rsidRPr="00EB0799">
        <w:rPr>
          <w:rFonts w:ascii="Palatino Linotype" w:hAnsi="Palatino Linotype" w:cs="Tahoma"/>
          <w:b/>
          <w:sz w:val="22"/>
          <w:szCs w:val="22"/>
        </w:rPr>
        <w:t xml:space="preserve"> </w:t>
      </w:r>
    </w:p>
    <w:p w14:paraId="2A9E4A95" w14:textId="77777777" w:rsidR="00BD3657" w:rsidRPr="00EB0799" w:rsidRDefault="00BD3657" w:rsidP="00A634B5">
      <w:pPr>
        <w:spacing w:line="360" w:lineRule="auto"/>
        <w:contextualSpacing/>
        <w:jc w:val="both"/>
        <w:rPr>
          <w:rFonts w:ascii="Palatino Linotype" w:hAnsi="Palatino Linotype" w:cs="Tahoma"/>
          <w:bCs/>
          <w:iCs/>
          <w:sz w:val="22"/>
          <w:szCs w:val="22"/>
        </w:rPr>
      </w:pPr>
      <w:r w:rsidRPr="00EB0799">
        <w:rPr>
          <w:rFonts w:ascii="Palatino Linotype" w:hAnsi="Palatino Linotype" w:cs="Arial"/>
          <w:sz w:val="22"/>
          <w:szCs w:val="22"/>
        </w:rPr>
        <w:t xml:space="preserve">Con </w:t>
      </w:r>
      <w:r w:rsidRPr="00EB0799">
        <w:rPr>
          <w:rFonts w:ascii="Palatino Linotype" w:hAnsi="Palatino Linotype" w:cs="Tahoma"/>
          <w:sz w:val="22"/>
          <w:szCs w:val="22"/>
        </w:rPr>
        <w:t xml:space="preserve">fundamento en el artículo 186, fracción III, de la Ley de Transparencia y Acceso a la Información Pública del Estado de México y Municipios, este Instituto considera procedente </w:t>
      </w:r>
      <w:r w:rsidRPr="00EB0799">
        <w:rPr>
          <w:rFonts w:ascii="Palatino Linotype" w:hAnsi="Palatino Linotype" w:cs="Tahoma"/>
          <w:b/>
          <w:sz w:val="22"/>
          <w:szCs w:val="22"/>
        </w:rPr>
        <w:t>REVOCAR</w:t>
      </w:r>
      <w:r w:rsidRPr="00EB0799">
        <w:rPr>
          <w:rFonts w:ascii="Palatino Linotype" w:hAnsi="Palatino Linotype" w:cs="Tahoma"/>
          <w:sz w:val="22"/>
          <w:szCs w:val="22"/>
        </w:rPr>
        <w:t xml:space="preserve"> la respuesta otorgada a la solicitud de información</w:t>
      </w:r>
      <w:r w:rsidRPr="00EB0799">
        <w:rPr>
          <w:rFonts w:ascii="Palatino Linotype" w:hAnsi="Palatino Linotype" w:cs="Tahoma"/>
          <w:bCs/>
          <w:sz w:val="22"/>
          <w:szCs w:val="22"/>
        </w:rPr>
        <w:t xml:space="preserve">, a efecto de que previa búsqueda exhaustiva y razonable </w:t>
      </w:r>
      <w:r w:rsidRPr="00EB0799">
        <w:rPr>
          <w:rFonts w:ascii="Palatino Linotype" w:hAnsi="Palatino Linotype" w:cs="Tahoma"/>
          <w:sz w:val="22"/>
          <w:szCs w:val="22"/>
        </w:rPr>
        <w:t>en los archivos del</w:t>
      </w:r>
      <w:r w:rsidRPr="00EB0799">
        <w:rPr>
          <w:rFonts w:ascii="Palatino Linotype" w:hAnsi="Palatino Linotype" w:cs="Tahoma"/>
          <w:sz w:val="22"/>
          <w:szCs w:val="22"/>
          <w:lang w:val="es-ES"/>
        </w:rPr>
        <w:t xml:space="preserve"> Sujeto Obligado</w:t>
      </w:r>
      <w:r w:rsidRPr="00EB0799">
        <w:rPr>
          <w:rFonts w:ascii="Palatino Linotype" w:hAnsi="Palatino Linotype" w:cs="Tahoma"/>
          <w:bCs/>
          <w:sz w:val="22"/>
          <w:szCs w:val="22"/>
        </w:rPr>
        <w:t>, entregue, la información solicitada de manera completa.</w:t>
      </w:r>
      <w:r w:rsidRPr="00EB0799">
        <w:rPr>
          <w:rFonts w:ascii="Palatino Linotype" w:hAnsi="Palatino Linotype" w:cs="Tahoma"/>
          <w:bCs/>
          <w:iCs/>
          <w:sz w:val="22"/>
          <w:szCs w:val="22"/>
        </w:rPr>
        <w:t xml:space="preserve"> </w:t>
      </w:r>
    </w:p>
    <w:p w14:paraId="15A00794" w14:textId="77777777" w:rsidR="00BD3657" w:rsidRPr="00EB0799" w:rsidRDefault="00BD3657" w:rsidP="00A634B5">
      <w:pPr>
        <w:spacing w:line="360" w:lineRule="auto"/>
        <w:contextualSpacing/>
        <w:jc w:val="both"/>
        <w:rPr>
          <w:rFonts w:ascii="Palatino Linotype" w:hAnsi="Palatino Linotype" w:cs="Tahoma"/>
          <w:bCs/>
          <w:iCs/>
          <w:sz w:val="22"/>
          <w:szCs w:val="22"/>
        </w:rPr>
      </w:pPr>
    </w:p>
    <w:p w14:paraId="374F7D40" w14:textId="22036779" w:rsidR="00BD3657" w:rsidRPr="00EB0799" w:rsidRDefault="00BD3657" w:rsidP="00A634B5">
      <w:pPr>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sidRPr="00EB0799">
        <w:rPr>
          <w:rFonts w:ascii="Palatino Linotype" w:eastAsia="Calibri" w:hAnsi="Palatino Linotype" w:cs="Tahoma"/>
          <w:b/>
          <w:bCs/>
          <w:iCs/>
          <w:sz w:val="22"/>
          <w:szCs w:val="22"/>
          <w:lang w:val="es-ES" w:eastAsia="en-US"/>
        </w:rPr>
        <w:t>Términos de la Resolución p</w:t>
      </w:r>
      <w:r w:rsidR="003F01FD" w:rsidRPr="00EB0799">
        <w:rPr>
          <w:rFonts w:ascii="Palatino Linotype" w:eastAsia="Calibri" w:hAnsi="Palatino Linotype" w:cs="Tahoma"/>
          <w:b/>
          <w:bCs/>
          <w:iCs/>
          <w:sz w:val="22"/>
          <w:szCs w:val="22"/>
          <w:lang w:val="es-ES" w:eastAsia="en-US"/>
        </w:rPr>
        <w:t>ara conocimiento del Particular</w:t>
      </w:r>
    </w:p>
    <w:p w14:paraId="7F84DAD6" w14:textId="77777777" w:rsidR="00BD3657" w:rsidRPr="00EB0799" w:rsidRDefault="00BD3657" w:rsidP="00A634B5">
      <w:pPr>
        <w:spacing w:line="360" w:lineRule="auto"/>
        <w:contextualSpacing/>
        <w:jc w:val="both"/>
        <w:rPr>
          <w:rFonts w:ascii="Palatino Linotype" w:eastAsia="Calibri" w:hAnsi="Palatino Linotype" w:cs="Tahoma"/>
          <w:bCs/>
          <w:sz w:val="22"/>
          <w:szCs w:val="22"/>
        </w:rPr>
      </w:pPr>
    </w:p>
    <w:p w14:paraId="48413DCC" w14:textId="63FB645B" w:rsidR="00A634B5" w:rsidRPr="00EB0799" w:rsidRDefault="00BD3657" w:rsidP="00A634B5">
      <w:pPr>
        <w:spacing w:line="360" w:lineRule="auto"/>
        <w:contextualSpacing/>
        <w:jc w:val="both"/>
        <w:rPr>
          <w:rFonts w:ascii="Palatino Linotype" w:hAnsi="Palatino Linotype"/>
          <w:sz w:val="22"/>
          <w:szCs w:val="22"/>
        </w:rPr>
      </w:pPr>
      <w:r w:rsidRPr="00EB0799">
        <w:rPr>
          <w:rFonts w:ascii="Palatino Linotype" w:hAnsi="Palatino Linotype"/>
          <w:sz w:val="22"/>
          <w:szCs w:val="22"/>
        </w:rPr>
        <w:t>Se le hace del conocimiento al ahora Recurrente que, en el presente asunto, se le concede la razón, pues el Sujeto Obligado no acreditó el cambio de modalidad propuesto</w:t>
      </w:r>
      <w:r w:rsidR="00DB1834" w:rsidRPr="00EB0799">
        <w:rPr>
          <w:rFonts w:ascii="Palatino Linotype" w:hAnsi="Palatino Linotype"/>
          <w:sz w:val="22"/>
          <w:szCs w:val="22"/>
        </w:rPr>
        <w:t>, ni cumplió con el procedimiento de búsqueda</w:t>
      </w:r>
      <w:r w:rsidRPr="00EB0799">
        <w:rPr>
          <w:rFonts w:ascii="Palatino Linotype" w:hAnsi="Palatino Linotype"/>
          <w:sz w:val="22"/>
          <w:szCs w:val="22"/>
        </w:rPr>
        <w:t>, po</w:t>
      </w:r>
      <w:r w:rsidR="00803F71" w:rsidRPr="00EB0799">
        <w:rPr>
          <w:rFonts w:ascii="Palatino Linotype" w:hAnsi="Palatino Linotype"/>
          <w:sz w:val="22"/>
          <w:szCs w:val="22"/>
        </w:rPr>
        <w:t>r lo que deberá proporcionar las</w:t>
      </w:r>
      <w:r w:rsidRPr="00EB0799">
        <w:rPr>
          <w:rFonts w:ascii="Palatino Linotype" w:hAnsi="Palatino Linotype"/>
          <w:sz w:val="22"/>
          <w:szCs w:val="22"/>
        </w:rPr>
        <w:t xml:space="preserve"> </w:t>
      </w:r>
      <w:r w:rsidR="00DB1834" w:rsidRPr="00EB0799">
        <w:rPr>
          <w:rFonts w:ascii="Palatino Linotype" w:hAnsi="Palatino Linotype"/>
          <w:sz w:val="22"/>
          <w:szCs w:val="22"/>
        </w:rPr>
        <w:t>A</w:t>
      </w:r>
      <w:r w:rsidR="00803F71" w:rsidRPr="00EB0799">
        <w:rPr>
          <w:rFonts w:ascii="Palatino Linotype" w:hAnsi="Palatino Linotype"/>
          <w:sz w:val="22"/>
          <w:szCs w:val="22"/>
        </w:rPr>
        <w:t>ctas solicitada</w:t>
      </w:r>
      <w:r w:rsidRPr="00EB0799">
        <w:rPr>
          <w:rFonts w:ascii="Palatino Linotype" w:hAnsi="Palatino Linotype"/>
          <w:sz w:val="22"/>
          <w:szCs w:val="22"/>
        </w:rPr>
        <w:t>s</w:t>
      </w:r>
      <w:r w:rsidR="00DB1834" w:rsidRPr="00EB0799">
        <w:rPr>
          <w:rFonts w:ascii="Palatino Linotype" w:hAnsi="Palatino Linotype" w:cs="Tahoma"/>
          <w:sz w:val="22"/>
          <w:szCs w:val="22"/>
        </w:rPr>
        <w:t>, por medio del Sistema de Acceso a la Información Mexiquense.</w:t>
      </w:r>
    </w:p>
    <w:p w14:paraId="51A85C24" w14:textId="77777777" w:rsidR="00A634B5" w:rsidRPr="00EB0799" w:rsidRDefault="00A634B5" w:rsidP="00A634B5">
      <w:pPr>
        <w:spacing w:line="360" w:lineRule="auto"/>
        <w:contextualSpacing/>
        <w:jc w:val="both"/>
        <w:rPr>
          <w:rFonts w:ascii="Palatino Linotype" w:hAnsi="Palatino Linotype"/>
          <w:sz w:val="22"/>
          <w:szCs w:val="22"/>
        </w:rPr>
      </w:pPr>
    </w:p>
    <w:p w14:paraId="14179814" w14:textId="09EC849E" w:rsidR="00BD3657" w:rsidRPr="00EB0799" w:rsidRDefault="00BD3657" w:rsidP="00A634B5">
      <w:pPr>
        <w:spacing w:line="360" w:lineRule="auto"/>
        <w:contextualSpacing/>
        <w:jc w:val="both"/>
        <w:rPr>
          <w:rFonts w:ascii="Palatino Linotype" w:hAnsi="Palatino Linotype"/>
          <w:sz w:val="22"/>
          <w:szCs w:val="22"/>
        </w:rPr>
      </w:pPr>
      <w:r w:rsidRPr="00EB0799">
        <w:rPr>
          <w:rFonts w:ascii="Palatino Linotype" w:eastAsia="Calibri" w:hAnsi="Palatino Linotype" w:cs="Tahoma"/>
          <w:bCs/>
          <w:iCs/>
          <w:sz w:val="22"/>
          <w:szCs w:val="22"/>
        </w:rPr>
        <w:t xml:space="preserve">Finalmente, se le informa que la labor de este </w:t>
      </w:r>
      <w:r w:rsidRPr="00EB0799">
        <w:rPr>
          <w:rFonts w:ascii="Palatino Linotype" w:eastAsia="Calibri" w:hAnsi="Palatino Linotype" w:cs="Tahoma"/>
          <w:bCs/>
          <w:iCs/>
          <w:sz w:val="22"/>
          <w:szCs w:val="22"/>
          <w:lang w:val="es-ES_tradnl" w:eastAsia="en-US"/>
        </w:rPr>
        <w:t>Instituto de Transparencia, Acceso a la Información Pública y Protección de Datos Personales del Estado de México y Municipios, es apoyar a la población a acceder a la información pública y garantizar la protección de los datos personales.</w:t>
      </w:r>
    </w:p>
    <w:p w14:paraId="6832062A" w14:textId="77777777" w:rsidR="00BD3657" w:rsidRPr="00EB0799" w:rsidRDefault="00BD3657" w:rsidP="00A634B5">
      <w:pPr>
        <w:spacing w:line="360" w:lineRule="auto"/>
        <w:contextualSpacing/>
        <w:jc w:val="both"/>
        <w:rPr>
          <w:rFonts w:ascii="Palatino Linotype" w:hAnsi="Palatino Linotype"/>
          <w:sz w:val="22"/>
          <w:szCs w:val="22"/>
        </w:rPr>
      </w:pPr>
      <w:r w:rsidRPr="00EB0799">
        <w:rPr>
          <w:rFonts w:ascii="Palatino Linotype" w:hAnsi="Palatino Linotype"/>
          <w:sz w:val="22"/>
          <w:szCs w:val="22"/>
        </w:rPr>
        <w:t xml:space="preserve"> </w:t>
      </w:r>
    </w:p>
    <w:p w14:paraId="6223745D" w14:textId="77777777" w:rsidR="00BD3657" w:rsidRPr="00EB0799" w:rsidRDefault="00BD3657" w:rsidP="00A634B5">
      <w:pPr>
        <w:spacing w:line="360" w:lineRule="auto"/>
        <w:contextualSpacing/>
        <w:jc w:val="both"/>
        <w:rPr>
          <w:rFonts w:ascii="Palatino Linotype" w:hAnsi="Palatino Linotype"/>
          <w:sz w:val="22"/>
          <w:szCs w:val="22"/>
        </w:rPr>
      </w:pPr>
      <w:r w:rsidRPr="00EB0799">
        <w:rPr>
          <w:rFonts w:ascii="Palatino Linotype" w:hAnsi="Palatino Linotype"/>
          <w:sz w:val="22"/>
          <w:szCs w:val="22"/>
        </w:rPr>
        <w:t>Por lo expuesto y fundado, este Pleno:</w:t>
      </w:r>
    </w:p>
    <w:p w14:paraId="0533FE56" w14:textId="77777777" w:rsidR="00BD3657" w:rsidRPr="00EB0799" w:rsidRDefault="00BD3657" w:rsidP="00A634B5">
      <w:pPr>
        <w:spacing w:line="360" w:lineRule="auto"/>
        <w:contextualSpacing/>
        <w:jc w:val="both"/>
        <w:rPr>
          <w:rFonts w:ascii="Palatino Linotype" w:hAnsi="Palatino Linotype"/>
          <w:sz w:val="22"/>
          <w:szCs w:val="22"/>
        </w:rPr>
      </w:pPr>
    </w:p>
    <w:p w14:paraId="36B0E7F5" w14:textId="77777777" w:rsidR="00BD3657" w:rsidRPr="00EB0799" w:rsidRDefault="00BD3657" w:rsidP="00A634B5">
      <w:pPr>
        <w:spacing w:line="360" w:lineRule="auto"/>
        <w:contextualSpacing/>
        <w:jc w:val="center"/>
        <w:rPr>
          <w:rFonts w:ascii="Palatino Linotype" w:hAnsi="Palatino Linotype"/>
          <w:b/>
          <w:bCs/>
          <w:sz w:val="22"/>
          <w:szCs w:val="22"/>
        </w:rPr>
      </w:pPr>
      <w:r w:rsidRPr="00EB0799">
        <w:rPr>
          <w:rFonts w:ascii="Palatino Linotype" w:hAnsi="Palatino Linotype"/>
          <w:b/>
          <w:bCs/>
          <w:sz w:val="22"/>
          <w:szCs w:val="22"/>
        </w:rPr>
        <w:t>R E S U E L V E</w:t>
      </w:r>
    </w:p>
    <w:p w14:paraId="3BBF7D1E" w14:textId="77777777" w:rsidR="00BD3657" w:rsidRPr="00EB0799" w:rsidRDefault="00BD3657" w:rsidP="00A634B5">
      <w:pPr>
        <w:spacing w:line="360" w:lineRule="auto"/>
        <w:contextualSpacing/>
        <w:jc w:val="both"/>
        <w:rPr>
          <w:rFonts w:ascii="Palatino Linotype" w:hAnsi="Palatino Linotype"/>
          <w:sz w:val="22"/>
          <w:szCs w:val="22"/>
        </w:rPr>
      </w:pPr>
      <w:r w:rsidRPr="00EB0799">
        <w:rPr>
          <w:rFonts w:ascii="Palatino Linotype" w:hAnsi="Palatino Linotype"/>
          <w:sz w:val="22"/>
          <w:szCs w:val="22"/>
        </w:rPr>
        <w:t xml:space="preserve"> </w:t>
      </w:r>
    </w:p>
    <w:p w14:paraId="3C2FBCF1" w14:textId="41F0F4FE" w:rsidR="00BD3657" w:rsidRPr="00EB0799" w:rsidRDefault="00BD3657" w:rsidP="00A634B5">
      <w:pPr>
        <w:spacing w:line="360" w:lineRule="auto"/>
        <w:contextualSpacing/>
        <w:jc w:val="both"/>
        <w:rPr>
          <w:rFonts w:ascii="Palatino Linotype" w:hAnsi="Palatino Linotype"/>
          <w:b/>
          <w:bCs/>
          <w:sz w:val="22"/>
          <w:szCs w:val="22"/>
        </w:rPr>
      </w:pPr>
      <w:r w:rsidRPr="00EB0799">
        <w:rPr>
          <w:rFonts w:ascii="Palatino Linotype" w:hAnsi="Palatino Linotype"/>
          <w:b/>
          <w:bCs/>
          <w:sz w:val="22"/>
          <w:szCs w:val="22"/>
        </w:rPr>
        <w:t xml:space="preserve">PRIMERO. </w:t>
      </w:r>
      <w:r w:rsidRPr="00EB0799">
        <w:rPr>
          <w:rFonts w:ascii="Palatino Linotype" w:hAnsi="Palatino Linotype"/>
          <w:sz w:val="22"/>
          <w:szCs w:val="22"/>
        </w:rPr>
        <w:t xml:space="preserve">Se </w:t>
      </w:r>
      <w:r w:rsidRPr="00EB0799">
        <w:rPr>
          <w:rFonts w:ascii="Palatino Linotype" w:hAnsi="Palatino Linotype"/>
          <w:b/>
          <w:bCs/>
          <w:sz w:val="22"/>
          <w:szCs w:val="22"/>
        </w:rPr>
        <w:t xml:space="preserve">REVOCA </w:t>
      </w:r>
      <w:r w:rsidRPr="00EB0799">
        <w:rPr>
          <w:rFonts w:ascii="Palatino Linotype" w:hAnsi="Palatino Linotype"/>
          <w:bCs/>
          <w:sz w:val="22"/>
          <w:szCs w:val="22"/>
        </w:rPr>
        <w:t>la</w:t>
      </w:r>
      <w:r w:rsidRPr="00EB0799">
        <w:rPr>
          <w:rFonts w:ascii="Palatino Linotype" w:hAnsi="Palatino Linotype"/>
          <w:b/>
          <w:bCs/>
          <w:sz w:val="22"/>
          <w:szCs w:val="22"/>
        </w:rPr>
        <w:t xml:space="preserve"> </w:t>
      </w:r>
      <w:r w:rsidRPr="00EB0799">
        <w:rPr>
          <w:rFonts w:ascii="Palatino Linotype" w:hAnsi="Palatino Linotype"/>
          <w:sz w:val="22"/>
          <w:szCs w:val="22"/>
        </w:rPr>
        <w:t>respuesta entregada por el Ayuntamiento de Temamatla</w:t>
      </w:r>
      <w:r w:rsidRPr="00EB0799">
        <w:rPr>
          <w:rFonts w:ascii="Palatino Linotype" w:hAnsi="Palatino Linotype" w:cs="Tahoma"/>
          <w:sz w:val="22"/>
          <w:szCs w:val="22"/>
        </w:rPr>
        <w:t>,</w:t>
      </w:r>
      <w:r w:rsidRPr="00EB0799">
        <w:rPr>
          <w:rFonts w:ascii="Palatino Linotype" w:hAnsi="Palatino Linotype"/>
          <w:sz w:val="22"/>
          <w:szCs w:val="22"/>
        </w:rPr>
        <w:t xml:space="preserve"> a la solicitud de información</w:t>
      </w:r>
      <w:r w:rsidRPr="00EB0799">
        <w:rPr>
          <w:rFonts w:ascii="Palatino Linotype" w:hAnsi="Palatino Linotype"/>
          <w:b/>
          <w:bCs/>
          <w:sz w:val="22"/>
          <w:szCs w:val="22"/>
        </w:rPr>
        <w:t xml:space="preserve"> </w:t>
      </w:r>
      <w:r w:rsidR="00160CFE" w:rsidRPr="00EB0799">
        <w:rPr>
          <w:rFonts w:ascii="Palatino Linotype" w:hAnsi="Palatino Linotype"/>
          <w:sz w:val="22"/>
          <w:szCs w:val="22"/>
        </w:rPr>
        <w:t>0681</w:t>
      </w:r>
      <w:r w:rsidRPr="00EB0799">
        <w:rPr>
          <w:rFonts w:ascii="Palatino Linotype" w:hAnsi="Palatino Linotype"/>
          <w:sz w:val="22"/>
          <w:szCs w:val="22"/>
        </w:rPr>
        <w:t xml:space="preserve">/TEMAMATL/IP/2024, por resultar </w:t>
      </w:r>
      <w:r w:rsidRPr="00EB0799">
        <w:rPr>
          <w:rFonts w:ascii="Palatino Linotype" w:hAnsi="Palatino Linotype"/>
          <w:b/>
          <w:bCs/>
          <w:sz w:val="22"/>
          <w:szCs w:val="22"/>
        </w:rPr>
        <w:t>FUNDADAS</w:t>
      </w:r>
      <w:r w:rsidRPr="00EB0799">
        <w:rPr>
          <w:rFonts w:ascii="Palatino Linotype" w:hAnsi="Palatino Linotype"/>
          <w:sz w:val="22"/>
          <w:szCs w:val="22"/>
        </w:rPr>
        <w:t xml:space="preserve"> las razones o </w:t>
      </w:r>
      <w:r w:rsidRPr="00EB0799">
        <w:rPr>
          <w:rFonts w:ascii="Palatino Linotype" w:hAnsi="Palatino Linotype"/>
          <w:sz w:val="22"/>
          <w:szCs w:val="22"/>
        </w:rPr>
        <w:lastRenderedPageBreak/>
        <w:t>motivos de inconformidad hechos valer por el Recurrente, en términos de los considerandos QUINTO y SEXTO de la presente Resolución.</w:t>
      </w:r>
    </w:p>
    <w:p w14:paraId="76102B57" w14:textId="77777777" w:rsidR="009059EC" w:rsidRPr="00EB0799" w:rsidRDefault="009059EC" w:rsidP="00A634B5">
      <w:pPr>
        <w:tabs>
          <w:tab w:val="left" w:pos="4962"/>
        </w:tabs>
        <w:spacing w:line="360" w:lineRule="auto"/>
        <w:ind w:right="-28"/>
        <w:contextualSpacing/>
        <w:jc w:val="both"/>
        <w:rPr>
          <w:rFonts w:ascii="Palatino Linotype" w:hAnsi="Palatino Linotype" w:cs="Tahoma"/>
          <w:b/>
          <w:bCs/>
          <w:sz w:val="22"/>
          <w:szCs w:val="22"/>
        </w:rPr>
      </w:pPr>
    </w:p>
    <w:p w14:paraId="0A2A9F51" w14:textId="4B32C72F" w:rsidR="00BD3657" w:rsidRPr="00EB0799" w:rsidRDefault="00BD3657" w:rsidP="00A634B5">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EB0799">
        <w:rPr>
          <w:rFonts w:ascii="Palatino Linotype" w:hAnsi="Palatino Linotype" w:cs="Tahoma"/>
          <w:b/>
          <w:bCs/>
          <w:sz w:val="22"/>
          <w:szCs w:val="22"/>
        </w:rPr>
        <w:t xml:space="preserve">SEGUNDO. </w:t>
      </w:r>
      <w:r w:rsidRPr="00EB0799">
        <w:rPr>
          <w:rFonts w:ascii="Palatino Linotype" w:hAnsi="Palatino Linotype" w:cs="Tahoma"/>
          <w:sz w:val="22"/>
          <w:szCs w:val="22"/>
        </w:rPr>
        <w:t xml:space="preserve">Se </w:t>
      </w:r>
      <w:r w:rsidRPr="00EB0799">
        <w:rPr>
          <w:rFonts w:ascii="Palatino Linotype" w:hAnsi="Palatino Linotype" w:cs="Tahoma"/>
          <w:b/>
          <w:sz w:val="22"/>
          <w:szCs w:val="22"/>
        </w:rPr>
        <w:t xml:space="preserve">ORDENA </w:t>
      </w:r>
      <w:r w:rsidRPr="00EB0799">
        <w:rPr>
          <w:rFonts w:ascii="Palatino Linotype" w:hAnsi="Palatino Linotype" w:cs="Tahoma"/>
          <w:sz w:val="22"/>
          <w:szCs w:val="22"/>
        </w:rPr>
        <w:t xml:space="preserve">al </w:t>
      </w:r>
      <w:r w:rsidRPr="00EB0799">
        <w:rPr>
          <w:rFonts w:ascii="Palatino Linotype" w:hAnsi="Palatino Linotype" w:cs="Tahoma"/>
          <w:color w:val="0C0C0C"/>
          <w:sz w:val="22"/>
          <w:szCs w:val="22"/>
        </w:rPr>
        <w:t>Sujeto Obligado</w:t>
      </w:r>
      <w:r w:rsidRPr="00EB0799">
        <w:rPr>
          <w:rFonts w:ascii="Palatino Linotype" w:hAnsi="Palatino Linotype" w:cs="Tahoma"/>
          <w:sz w:val="22"/>
          <w:szCs w:val="22"/>
        </w:rPr>
        <w:t xml:space="preserve">, a efecto de que previa búsqueda exhaustiva y razonable en todas las unidades administrativas competentes, entregue </w:t>
      </w:r>
      <w:r w:rsidRPr="00EB0799">
        <w:rPr>
          <w:rFonts w:ascii="Palatino Linotype" w:hAnsi="Palatino Linotype" w:cs="Tahoma"/>
          <w:bCs/>
          <w:iCs/>
          <w:sz w:val="22"/>
          <w:szCs w:val="22"/>
        </w:rPr>
        <w:t xml:space="preserve">a través del Sistema de Acceso a la Información Mexiquense (SAIMEX), </w:t>
      </w:r>
      <w:r w:rsidR="00160CFE" w:rsidRPr="00EB0799">
        <w:rPr>
          <w:rFonts w:ascii="Palatino Linotype" w:hAnsi="Palatino Linotype" w:cs="Tahoma"/>
          <w:bCs/>
          <w:iCs/>
          <w:sz w:val="22"/>
          <w:szCs w:val="22"/>
        </w:rPr>
        <w:t>en su caso, en versión pública</w:t>
      </w:r>
      <w:r w:rsidRPr="00EB0799">
        <w:rPr>
          <w:rFonts w:ascii="Palatino Linotype" w:hAnsi="Palatino Linotype" w:cs="Tahoma"/>
          <w:bCs/>
          <w:iCs/>
          <w:sz w:val="22"/>
          <w:szCs w:val="22"/>
        </w:rPr>
        <w:t>, l</w:t>
      </w:r>
      <w:r w:rsidR="00160CFE" w:rsidRPr="00EB0799">
        <w:rPr>
          <w:rFonts w:ascii="Palatino Linotype" w:eastAsia="Calibri" w:hAnsi="Palatino Linotype" w:cs="Tahoma"/>
          <w:iCs/>
          <w:sz w:val="22"/>
          <w:szCs w:val="22"/>
          <w:lang w:val="es-ES" w:eastAsia="es-ES_tradnl"/>
        </w:rPr>
        <w:t>o siguiente:</w:t>
      </w:r>
    </w:p>
    <w:p w14:paraId="326EDCFD" w14:textId="77777777" w:rsidR="00160CFE" w:rsidRPr="00EB0799" w:rsidRDefault="00160CFE" w:rsidP="00A634B5">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7519722A" w14:textId="0CBE5091" w:rsidR="00160CFE" w:rsidRPr="00EB0799" w:rsidRDefault="00160CFE" w:rsidP="00A634B5">
      <w:pPr>
        <w:pStyle w:val="Prrafodelista"/>
        <w:numPr>
          <w:ilvl w:val="0"/>
          <w:numId w:val="11"/>
        </w:numPr>
        <w:tabs>
          <w:tab w:val="left" w:pos="4962"/>
        </w:tabs>
        <w:spacing w:line="360" w:lineRule="auto"/>
        <w:ind w:right="-28"/>
        <w:jc w:val="both"/>
        <w:rPr>
          <w:rFonts w:ascii="Palatino Linotype" w:eastAsia="Calibri" w:hAnsi="Palatino Linotype" w:cs="Tahoma"/>
          <w:iCs/>
          <w:szCs w:val="22"/>
          <w:lang w:val="es-ES" w:eastAsia="es-ES_tradnl"/>
        </w:rPr>
      </w:pPr>
      <w:r w:rsidRPr="00EB0799">
        <w:rPr>
          <w:rFonts w:ascii="Palatino Linotype" w:eastAsia="Calibri" w:hAnsi="Palatino Linotype" w:cs="Tahoma"/>
          <w:iCs/>
          <w:szCs w:val="22"/>
          <w:lang w:val="es-ES" w:eastAsia="es-ES_tradnl"/>
        </w:rPr>
        <w:t xml:space="preserve">Las </w:t>
      </w:r>
      <w:r w:rsidR="007648EC" w:rsidRPr="00EB0799">
        <w:rPr>
          <w:rFonts w:ascii="Palatino Linotype" w:eastAsia="Calibri" w:hAnsi="Palatino Linotype" w:cs="Tahoma"/>
          <w:iCs/>
          <w:szCs w:val="22"/>
          <w:lang w:val="es-ES" w:eastAsia="es-ES_tradnl"/>
        </w:rPr>
        <w:t>A</w:t>
      </w:r>
      <w:r w:rsidRPr="00EB0799">
        <w:rPr>
          <w:rFonts w:ascii="Palatino Linotype" w:eastAsia="Calibri" w:hAnsi="Palatino Linotype" w:cs="Tahoma"/>
          <w:iCs/>
          <w:szCs w:val="22"/>
          <w:lang w:val="es-ES" w:eastAsia="es-ES_tradnl"/>
        </w:rPr>
        <w:t>ctas de</w:t>
      </w:r>
      <w:r w:rsidR="007648EC" w:rsidRPr="00EB0799">
        <w:rPr>
          <w:rFonts w:ascii="Palatino Linotype" w:eastAsia="Calibri" w:hAnsi="Palatino Linotype" w:cs="Tahoma"/>
          <w:iCs/>
          <w:szCs w:val="22"/>
          <w:lang w:val="es-ES" w:eastAsia="es-ES_tradnl"/>
        </w:rPr>
        <w:t xml:space="preserve"> las Sesiones de</w:t>
      </w:r>
      <w:r w:rsidR="00E36524" w:rsidRPr="00EB0799">
        <w:rPr>
          <w:rFonts w:ascii="Palatino Linotype" w:eastAsia="Calibri" w:hAnsi="Palatino Linotype" w:cs="Tahoma"/>
          <w:iCs/>
          <w:szCs w:val="22"/>
          <w:lang w:val="es-ES" w:eastAsia="es-ES_tradnl"/>
        </w:rPr>
        <w:t xml:space="preserve"> </w:t>
      </w:r>
      <w:r w:rsidRPr="00EB0799">
        <w:rPr>
          <w:rFonts w:ascii="Palatino Linotype" w:eastAsia="Calibri" w:hAnsi="Palatino Linotype" w:cs="Tahoma"/>
          <w:iCs/>
          <w:szCs w:val="22"/>
          <w:lang w:val="es-ES" w:eastAsia="es-ES_tradnl"/>
        </w:rPr>
        <w:t>l</w:t>
      </w:r>
      <w:r w:rsidR="00E36524" w:rsidRPr="00EB0799">
        <w:rPr>
          <w:rFonts w:ascii="Palatino Linotype" w:eastAsia="Calibri" w:hAnsi="Palatino Linotype" w:cs="Tahoma"/>
          <w:iCs/>
          <w:szCs w:val="22"/>
          <w:lang w:val="es-ES" w:eastAsia="es-ES_tradnl"/>
        </w:rPr>
        <w:t>a Comisión Permanente de Planeación para el Desarrollo Municipal</w:t>
      </w:r>
      <w:r w:rsidRPr="00EB0799">
        <w:rPr>
          <w:rFonts w:ascii="Palatino Linotype" w:eastAsia="Calibri" w:hAnsi="Palatino Linotype" w:cs="Tahoma"/>
          <w:iCs/>
          <w:szCs w:val="22"/>
          <w:lang w:val="es-ES" w:eastAsia="es-ES_tradnl"/>
        </w:rPr>
        <w:t xml:space="preserve"> de Temamatla</w:t>
      </w:r>
      <w:r w:rsidR="007648EC" w:rsidRPr="00EB0799">
        <w:rPr>
          <w:rFonts w:ascii="Palatino Linotype" w:eastAsia="Calibri" w:hAnsi="Palatino Linotype" w:cs="Tahoma"/>
          <w:iCs/>
          <w:szCs w:val="22"/>
          <w:lang w:val="es-ES" w:eastAsia="es-ES_tradnl"/>
        </w:rPr>
        <w:t xml:space="preserve">, realizadas del primero de enero de dos mil veintidós </w:t>
      </w:r>
      <w:r w:rsidRPr="00EB0799">
        <w:rPr>
          <w:rFonts w:ascii="Palatino Linotype" w:eastAsia="Calibri" w:hAnsi="Palatino Linotype" w:cs="Tahoma"/>
          <w:iCs/>
          <w:szCs w:val="22"/>
          <w:lang w:val="es-ES" w:eastAsia="es-ES_tradnl"/>
        </w:rPr>
        <w:t>al ocho de octubre de dos mil veinticuatro.</w:t>
      </w:r>
    </w:p>
    <w:p w14:paraId="39BE62F7" w14:textId="77777777" w:rsidR="00BD3657" w:rsidRPr="00EB0799" w:rsidRDefault="00BD3657" w:rsidP="00A634B5">
      <w:pPr>
        <w:tabs>
          <w:tab w:val="left" w:pos="4962"/>
        </w:tabs>
        <w:spacing w:line="360" w:lineRule="auto"/>
        <w:ind w:right="-28"/>
        <w:contextualSpacing/>
        <w:jc w:val="both"/>
        <w:rPr>
          <w:rFonts w:ascii="Palatino Linotype" w:hAnsi="Palatino Linotype" w:cs="Tahoma"/>
          <w:bCs/>
          <w:iCs/>
          <w:sz w:val="22"/>
          <w:szCs w:val="22"/>
        </w:rPr>
      </w:pPr>
    </w:p>
    <w:p w14:paraId="57E779D1" w14:textId="77777777" w:rsidR="00BD3657" w:rsidRPr="00EB0799" w:rsidRDefault="00BD3657" w:rsidP="00A634B5">
      <w:pPr>
        <w:autoSpaceDE w:val="0"/>
        <w:autoSpaceDN w:val="0"/>
        <w:adjustRightInd w:val="0"/>
        <w:spacing w:line="360" w:lineRule="auto"/>
        <w:ind w:right="-28"/>
        <w:contextualSpacing/>
        <w:jc w:val="both"/>
        <w:rPr>
          <w:rFonts w:ascii="Palatino Linotype" w:hAnsi="Palatino Linotype" w:cs="Tahoma"/>
          <w:bCs/>
          <w:iCs/>
          <w:sz w:val="22"/>
          <w:szCs w:val="22"/>
        </w:rPr>
      </w:pPr>
      <w:r w:rsidRPr="00EB0799">
        <w:rPr>
          <w:rFonts w:ascii="Palatino Linotype" w:hAnsi="Palatino Linotype" w:cs="Tahoma"/>
          <w:bCs/>
          <w:iCs/>
          <w:sz w:val="22"/>
          <w:szCs w:val="22"/>
        </w:rPr>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14:paraId="2B640789" w14:textId="77777777" w:rsidR="00BD3657" w:rsidRPr="00EB0799" w:rsidRDefault="00BD3657" w:rsidP="00A634B5">
      <w:pPr>
        <w:autoSpaceDE w:val="0"/>
        <w:autoSpaceDN w:val="0"/>
        <w:adjustRightInd w:val="0"/>
        <w:spacing w:line="360" w:lineRule="auto"/>
        <w:ind w:right="-28"/>
        <w:contextualSpacing/>
        <w:jc w:val="both"/>
        <w:rPr>
          <w:rFonts w:ascii="Palatino Linotype" w:hAnsi="Palatino Linotype" w:cs="Tahoma"/>
          <w:bCs/>
          <w:iCs/>
          <w:sz w:val="22"/>
          <w:szCs w:val="22"/>
        </w:rPr>
      </w:pPr>
    </w:p>
    <w:p w14:paraId="3781E7F7" w14:textId="77777777" w:rsidR="00BD3657" w:rsidRPr="00EB0799" w:rsidRDefault="00BD3657" w:rsidP="00A634B5">
      <w:pPr>
        <w:spacing w:line="360" w:lineRule="auto"/>
        <w:contextualSpacing/>
        <w:jc w:val="both"/>
        <w:rPr>
          <w:rFonts w:ascii="Palatino Linotype" w:hAnsi="Palatino Linotype" w:cs="Tahoma"/>
          <w:bCs/>
          <w:iCs/>
          <w:sz w:val="22"/>
          <w:szCs w:val="22"/>
        </w:rPr>
      </w:pPr>
      <w:r w:rsidRPr="00EB0799">
        <w:rPr>
          <w:rFonts w:ascii="Palatino Linotype" w:hAnsi="Palatino Linotype" w:cs="Tahoma"/>
          <w:b/>
          <w:bCs/>
          <w:iCs/>
          <w:sz w:val="22"/>
          <w:szCs w:val="22"/>
        </w:rPr>
        <w:t>TERCERO</w:t>
      </w:r>
      <w:r w:rsidRPr="00EB0799">
        <w:rPr>
          <w:rFonts w:ascii="Palatino Linotype" w:hAnsi="Palatino Linotype" w:cs="Tahoma"/>
          <w:b/>
          <w:bCs/>
          <w:sz w:val="22"/>
          <w:szCs w:val="22"/>
        </w:rPr>
        <w:t xml:space="preserve">. </w:t>
      </w:r>
      <w:r w:rsidRPr="00EB0799">
        <w:rPr>
          <w:rFonts w:ascii="Palatino Linotype" w:hAnsi="Palatino Linotype" w:cs="Tahoma"/>
          <w:b/>
          <w:sz w:val="22"/>
          <w:szCs w:val="22"/>
        </w:rPr>
        <w:t xml:space="preserve">NOTIFÍQUESE POR SAIMEX </w:t>
      </w:r>
      <w:r w:rsidRPr="00EB0799">
        <w:rPr>
          <w:rFonts w:ascii="Palatino Linotype" w:hAnsi="Palatino Linotype" w:cs="Tahoma"/>
          <w:b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DACB65E" w14:textId="77777777" w:rsidR="00BD3657" w:rsidRPr="00EB0799" w:rsidRDefault="00BD3657" w:rsidP="00A634B5">
      <w:pPr>
        <w:spacing w:line="360" w:lineRule="auto"/>
        <w:contextualSpacing/>
        <w:jc w:val="both"/>
        <w:rPr>
          <w:rFonts w:ascii="Palatino Linotype" w:hAnsi="Palatino Linotype" w:cs="Tahoma"/>
          <w:sz w:val="22"/>
          <w:szCs w:val="22"/>
        </w:rPr>
      </w:pPr>
    </w:p>
    <w:p w14:paraId="35DCDA23" w14:textId="77777777" w:rsidR="00BD3657" w:rsidRPr="00EB0799" w:rsidRDefault="00BD3657" w:rsidP="00A634B5">
      <w:pPr>
        <w:spacing w:line="360" w:lineRule="auto"/>
        <w:contextualSpacing/>
        <w:jc w:val="both"/>
        <w:rPr>
          <w:rFonts w:ascii="Palatino Linotype" w:hAnsi="Palatino Linotype" w:cs="Tahoma"/>
          <w:iCs/>
          <w:sz w:val="22"/>
          <w:szCs w:val="22"/>
        </w:rPr>
      </w:pPr>
      <w:r w:rsidRPr="00EB0799">
        <w:rPr>
          <w:rFonts w:ascii="Palatino Linotype" w:hAnsi="Palatino Linotype" w:cs="Tahoma"/>
          <w:iCs/>
          <w:sz w:val="22"/>
          <w:szCs w:val="22"/>
        </w:rPr>
        <w:lastRenderedPageBreak/>
        <w:t xml:space="preserve">De conformidad con el artículo 198 de la </w:t>
      </w:r>
      <w:r w:rsidRPr="00EB0799">
        <w:rPr>
          <w:rFonts w:ascii="Palatino Linotype" w:hAnsi="Palatino Linotype" w:cs="Tahoma"/>
          <w:bCs/>
          <w:sz w:val="22"/>
          <w:szCs w:val="22"/>
        </w:rPr>
        <w:t>Ley de Transparencia y Acceso a la Información Pública del Estado de México y Municipios</w:t>
      </w:r>
      <w:r w:rsidRPr="00EB0799">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74A94E13" w14:textId="77777777" w:rsidR="00BD3657" w:rsidRPr="00EB0799" w:rsidRDefault="00BD3657" w:rsidP="00A634B5">
      <w:pPr>
        <w:spacing w:line="360" w:lineRule="auto"/>
        <w:contextualSpacing/>
        <w:jc w:val="both"/>
        <w:rPr>
          <w:rFonts w:ascii="Palatino Linotype" w:hAnsi="Palatino Linotype" w:cs="Tahoma"/>
          <w:iCs/>
          <w:sz w:val="22"/>
          <w:szCs w:val="22"/>
        </w:rPr>
      </w:pPr>
    </w:p>
    <w:p w14:paraId="1E25152F" w14:textId="77777777" w:rsidR="00BD3657" w:rsidRPr="00EB0799" w:rsidRDefault="00BD3657" w:rsidP="00A634B5">
      <w:pPr>
        <w:shd w:val="clear" w:color="auto" w:fill="FFFFFF"/>
        <w:spacing w:line="360" w:lineRule="auto"/>
        <w:ind w:right="-28"/>
        <w:contextualSpacing/>
        <w:jc w:val="both"/>
        <w:rPr>
          <w:rFonts w:ascii="Palatino Linotype" w:hAnsi="Palatino Linotype" w:cs="Tahoma"/>
          <w:sz w:val="22"/>
          <w:szCs w:val="22"/>
        </w:rPr>
      </w:pPr>
      <w:r w:rsidRPr="00EB0799">
        <w:rPr>
          <w:rFonts w:ascii="Palatino Linotype" w:hAnsi="Palatino Linotype" w:cs="Tahoma"/>
          <w:b/>
          <w:sz w:val="22"/>
          <w:szCs w:val="22"/>
        </w:rPr>
        <w:t>CUARTO</w:t>
      </w:r>
      <w:r w:rsidRPr="00EB0799">
        <w:rPr>
          <w:rFonts w:ascii="Palatino Linotype" w:hAnsi="Palatino Linotype" w:cs="Tahoma"/>
          <w:b/>
          <w:bCs/>
          <w:sz w:val="22"/>
          <w:szCs w:val="22"/>
        </w:rPr>
        <w:t xml:space="preserve">. </w:t>
      </w:r>
      <w:r w:rsidRPr="00EB0799">
        <w:rPr>
          <w:rFonts w:ascii="Palatino Linotype" w:hAnsi="Palatino Linotype" w:cs="Tahoma"/>
          <w:b/>
          <w:sz w:val="22"/>
          <w:szCs w:val="22"/>
        </w:rPr>
        <w:t>NOTIFÍQUESE POR SAIMEX</w:t>
      </w:r>
      <w:r w:rsidRPr="00EB0799">
        <w:rPr>
          <w:rFonts w:ascii="Palatino Linotype" w:hAnsi="Palatino Linotype" w:cs="Tahoma"/>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FAA5D4E" w14:textId="77777777" w:rsidR="00BD3657" w:rsidRPr="00EB0799" w:rsidRDefault="00BD3657" w:rsidP="00A634B5">
      <w:pPr>
        <w:spacing w:line="360" w:lineRule="auto"/>
        <w:contextualSpacing/>
        <w:jc w:val="both"/>
        <w:rPr>
          <w:rFonts w:ascii="Palatino Linotype" w:hAnsi="Palatino Linotype"/>
          <w:sz w:val="22"/>
          <w:szCs w:val="22"/>
        </w:rPr>
      </w:pPr>
      <w:r w:rsidRPr="00EB0799">
        <w:rPr>
          <w:rFonts w:ascii="Palatino Linotype" w:hAnsi="Palatino Linotype"/>
          <w:sz w:val="22"/>
          <w:szCs w:val="22"/>
        </w:rPr>
        <w:t xml:space="preserve"> </w:t>
      </w:r>
    </w:p>
    <w:p w14:paraId="15CA39C7" w14:textId="6450C11A" w:rsidR="00BD3657" w:rsidRPr="00734ED9" w:rsidRDefault="00BD3657" w:rsidP="00A634B5">
      <w:pPr>
        <w:spacing w:line="360" w:lineRule="auto"/>
        <w:contextualSpacing/>
        <w:jc w:val="both"/>
        <w:rPr>
          <w:rFonts w:ascii="Palatino Linotype" w:hAnsi="Palatino Linotype"/>
          <w:sz w:val="22"/>
          <w:szCs w:val="22"/>
        </w:rPr>
      </w:pPr>
      <w:r w:rsidRPr="00EB0799">
        <w:rPr>
          <w:rFonts w:ascii="Palatino Linotype" w:hAnsi="Palatino Linotype"/>
          <w:sz w:val="22"/>
          <w:szCs w:val="22"/>
        </w:rPr>
        <w:t xml:space="preserve">ASÍ LO RESUELVE, POR </w:t>
      </w:r>
      <w:r w:rsidRPr="00833E07">
        <w:rPr>
          <w:rFonts w:ascii="Palatino Linotype" w:hAnsi="Palatino Linotype"/>
          <w:b/>
          <w:sz w:val="22"/>
          <w:szCs w:val="22"/>
        </w:rPr>
        <w:t>UNANIMIDAD</w:t>
      </w:r>
      <w:r w:rsidRPr="00EB0799">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w:t>
      </w:r>
      <w:r w:rsidR="00833E07">
        <w:rPr>
          <w:rFonts w:ascii="Palatino Linotype" w:hAnsi="Palatino Linotype"/>
          <w:sz w:val="22"/>
          <w:szCs w:val="22"/>
        </w:rPr>
        <w:t xml:space="preserve"> PRIMERA</w:t>
      </w:r>
      <w:r w:rsidRPr="00EB0799">
        <w:rPr>
          <w:rFonts w:ascii="Palatino Linotype" w:hAnsi="Palatino Linotype"/>
          <w:sz w:val="22"/>
          <w:szCs w:val="22"/>
        </w:rPr>
        <w:t xml:space="preserve"> SESIÓN ORDINARIA, CELEBRADA EL VEINTISIETE DE NOVIEMBRE DE DOS MIL VEINTICUATRO, ANTE EL SECRETARIO TÉCNICO DEL PLENO, ALEXIS TAPIA RAMÍREZ.</w:t>
      </w:r>
    </w:p>
    <w:p w14:paraId="6A663B38" w14:textId="57DE0327" w:rsidR="008C3865" w:rsidRPr="009579E6" w:rsidRDefault="008C3865" w:rsidP="009579E6">
      <w:pPr>
        <w:spacing w:line="360" w:lineRule="auto"/>
        <w:contextualSpacing/>
        <w:jc w:val="both"/>
        <w:rPr>
          <w:rFonts w:ascii="Palatino Linotype" w:hAnsi="Palatino Linotype" w:cs="Tahoma"/>
          <w:sz w:val="22"/>
          <w:szCs w:val="22"/>
        </w:rPr>
      </w:pPr>
      <w:bookmarkStart w:id="3" w:name="_GoBack"/>
      <w:bookmarkEnd w:id="3"/>
    </w:p>
    <w:sectPr w:rsidR="008C3865" w:rsidRPr="009579E6" w:rsidSect="00BD3657">
      <w:headerReference w:type="even" r:id="rId8"/>
      <w:headerReference w:type="default" r:id="rId9"/>
      <w:footerReference w:type="default" r:id="rId10"/>
      <w:headerReference w:type="first" r:id="rId11"/>
      <w:footerReference w:type="first" r:id="rId12"/>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A76B7" w14:textId="77777777" w:rsidR="00B87149" w:rsidRDefault="00B87149" w:rsidP="00BD3657">
      <w:r>
        <w:separator/>
      </w:r>
    </w:p>
  </w:endnote>
  <w:endnote w:type="continuationSeparator" w:id="0">
    <w:p w14:paraId="28DDEC1A" w14:textId="77777777" w:rsidR="00B87149" w:rsidRDefault="00B87149" w:rsidP="00BD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09D7BC71" w14:textId="77777777" w:rsidR="00536EF9" w:rsidRPr="00C13895" w:rsidRDefault="00536EF9">
            <w:pPr>
              <w:pStyle w:val="Piedepgina"/>
              <w:jc w:val="right"/>
              <w:rPr>
                <w:sz w:val="26"/>
                <w:szCs w:val="26"/>
              </w:rPr>
            </w:pPr>
          </w:p>
          <w:p w14:paraId="3464E742" w14:textId="77777777" w:rsidR="00536EF9" w:rsidRDefault="00536EF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579E6">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579E6">
              <w:rPr>
                <w:b/>
                <w:bCs/>
                <w:noProof/>
              </w:rPr>
              <w:t>23</w:t>
            </w:r>
            <w:r>
              <w:rPr>
                <w:b/>
                <w:bCs/>
                <w:sz w:val="24"/>
                <w:szCs w:val="24"/>
              </w:rPr>
              <w:fldChar w:fldCharType="end"/>
            </w:r>
          </w:p>
        </w:sdtContent>
      </w:sdt>
    </w:sdtContent>
  </w:sdt>
  <w:p w14:paraId="1E08AF43" w14:textId="77777777" w:rsidR="00536EF9" w:rsidRDefault="00536E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0A010B9C" w14:textId="77777777" w:rsidR="00536EF9" w:rsidRDefault="00536EF9">
            <w:pPr>
              <w:pStyle w:val="Piedepgina"/>
              <w:jc w:val="right"/>
            </w:pPr>
          </w:p>
          <w:p w14:paraId="65272115" w14:textId="77777777" w:rsidR="00536EF9" w:rsidRDefault="00536EF9">
            <w:pPr>
              <w:pStyle w:val="Piedepgina"/>
              <w:jc w:val="right"/>
            </w:pPr>
          </w:p>
          <w:p w14:paraId="292D126C" w14:textId="77777777" w:rsidR="00536EF9" w:rsidRDefault="00536EF9">
            <w:pPr>
              <w:pStyle w:val="Piedepgina"/>
              <w:jc w:val="right"/>
            </w:pPr>
          </w:p>
          <w:p w14:paraId="41289360" w14:textId="77777777" w:rsidR="00536EF9" w:rsidRDefault="00536EF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579E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579E6">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DCAB9" w14:textId="77777777" w:rsidR="00B87149" w:rsidRDefault="00B87149" w:rsidP="00BD3657">
      <w:r>
        <w:separator/>
      </w:r>
    </w:p>
  </w:footnote>
  <w:footnote w:type="continuationSeparator" w:id="0">
    <w:p w14:paraId="3666BF38" w14:textId="77777777" w:rsidR="00B87149" w:rsidRDefault="00B87149" w:rsidP="00BD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46026" w14:textId="77777777" w:rsidR="00536EF9" w:rsidRDefault="00B87149">
    <w:pPr>
      <w:pStyle w:val="Encabezado"/>
    </w:pPr>
    <w:r>
      <w:rPr>
        <w:noProof/>
        <w:lang w:eastAsia="es-MX"/>
      </w:rPr>
      <w:pict w14:anchorId="6499B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6681" w14:textId="77777777" w:rsidR="00536EF9" w:rsidRPr="009E6858" w:rsidRDefault="00B87149" w:rsidP="00506CBB">
    <w:pPr>
      <w:tabs>
        <w:tab w:val="left" w:pos="3416"/>
      </w:tabs>
      <w:rPr>
        <w:sz w:val="22"/>
        <w:szCs w:val="22"/>
      </w:rPr>
    </w:pPr>
    <w:r>
      <w:rPr>
        <w:noProof/>
        <w:sz w:val="14"/>
        <w:lang w:eastAsia="es-MX"/>
      </w:rPr>
      <w:pict w14:anchorId="78E4E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536EF9" w:rsidRPr="005C106F" w14:paraId="771A6F31" w14:textId="77777777" w:rsidTr="00506CBB">
      <w:trPr>
        <w:trHeight w:val="70"/>
      </w:trPr>
      <w:tc>
        <w:tcPr>
          <w:tcW w:w="2268" w:type="dxa"/>
          <w:shd w:val="clear" w:color="auto" w:fill="auto"/>
        </w:tcPr>
        <w:p w14:paraId="2E672686" w14:textId="77777777" w:rsidR="00536EF9" w:rsidRPr="005C106F" w:rsidRDefault="00536EF9" w:rsidP="00506CBB">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536EF9" w14:paraId="0DBD4F1A" w14:textId="77777777" w:rsidTr="00506CBB">
            <w:trPr>
              <w:trHeight w:val="128"/>
            </w:trPr>
            <w:tc>
              <w:tcPr>
                <w:tcW w:w="3726" w:type="dxa"/>
                <w:vAlign w:val="bottom"/>
              </w:tcPr>
              <w:p w14:paraId="463DBD58" w14:textId="77777777" w:rsidR="00536EF9" w:rsidRPr="008B41A2" w:rsidRDefault="00536EF9" w:rsidP="00506CBB">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tcPr>
              <w:p w14:paraId="4995AA91" w14:textId="1E61696A" w:rsidR="00536EF9" w:rsidRPr="00651A13" w:rsidRDefault="00536EF9" w:rsidP="00506CBB">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6871/INFOEM/IP/RR/2024</w:t>
                </w:r>
              </w:p>
            </w:tc>
          </w:tr>
          <w:tr w:rsidR="00536EF9" w14:paraId="3EC0081B" w14:textId="77777777" w:rsidTr="00506CBB">
            <w:trPr>
              <w:trHeight w:val="251"/>
            </w:trPr>
            <w:tc>
              <w:tcPr>
                <w:tcW w:w="3726" w:type="dxa"/>
              </w:tcPr>
              <w:p w14:paraId="3290446E" w14:textId="77777777" w:rsidR="00536EF9" w:rsidRPr="008B41A2" w:rsidRDefault="00536EF9" w:rsidP="00506CBB">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639DFB56" w14:textId="77777777" w:rsidR="00536EF9" w:rsidRPr="008B41A2" w:rsidRDefault="00536EF9" w:rsidP="00506CBB">
                <w:pPr>
                  <w:tabs>
                    <w:tab w:val="right" w:pos="8838"/>
                  </w:tabs>
                  <w:ind w:right="1008"/>
                  <w:jc w:val="both"/>
                  <w:rPr>
                    <w:rFonts w:ascii="Palatino Linotype" w:eastAsia="Calibri" w:hAnsi="Palatino Linotype" w:cs="Tahoma"/>
                    <w:sz w:val="22"/>
                    <w:szCs w:val="22"/>
                    <w:lang w:val="es-MX"/>
                  </w:rPr>
                </w:pPr>
                <w:r>
                  <w:rPr>
                    <w:rFonts w:ascii="Palatino Linotype" w:hAnsi="Palatino Linotype"/>
                    <w:sz w:val="22"/>
                    <w:szCs w:val="22"/>
                  </w:rPr>
                  <w:t>Ayuntamiento de Temamatla</w:t>
                </w:r>
              </w:p>
            </w:tc>
          </w:tr>
          <w:tr w:rsidR="00536EF9" w14:paraId="63296BD8" w14:textId="77777777" w:rsidTr="00506CBB">
            <w:trPr>
              <w:trHeight w:val="251"/>
            </w:trPr>
            <w:tc>
              <w:tcPr>
                <w:tcW w:w="3726" w:type="dxa"/>
              </w:tcPr>
              <w:p w14:paraId="6803C2EE" w14:textId="77777777" w:rsidR="00536EF9" w:rsidRPr="008B41A2" w:rsidRDefault="00536EF9" w:rsidP="00506CBB">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735A1D78" w14:textId="77777777" w:rsidR="00536EF9" w:rsidRPr="008B41A2" w:rsidRDefault="00536EF9" w:rsidP="00506CBB">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471B22FF" w14:textId="77777777" w:rsidR="00536EF9" w:rsidRPr="005C106F" w:rsidRDefault="00536EF9" w:rsidP="00506CBB">
          <w:pPr>
            <w:tabs>
              <w:tab w:val="right" w:pos="8838"/>
            </w:tabs>
            <w:ind w:left="-28"/>
            <w:rPr>
              <w:rFonts w:ascii="Arial" w:eastAsia="Calibri" w:hAnsi="Arial" w:cs="Arial"/>
              <w:b/>
            </w:rPr>
          </w:pPr>
        </w:p>
      </w:tc>
    </w:tr>
  </w:tbl>
  <w:p w14:paraId="4C28B3D8" w14:textId="77777777" w:rsidR="00536EF9" w:rsidRDefault="00536EF9" w:rsidP="00506CBB">
    <w:pPr>
      <w:pStyle w:val="Encabezado"/>
      <w:rPr>
        <w:sz w:val="14"/>
      </w:rPr>
    </w:pPr>
  </w:p>
  <w:p w14:paraId="508847D9" w14:textId="77777777" w:rsidR="00536EF9" w:rsidRPr="00443C6B" w:rsidRDefault="00536EF9" w:rsidP="00506CBB">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3118"/>
    </w:tblGrid>
    <w:tr w:rsidR="00536EF9" w:rsidRPr="00264223" w14:paraId="75FA920F" w14:textId="77777777" w:rsidTr="00506CBB">
      <w:trPr>
        <w:trHeight w:val="302"/>
      </w:trPr>
      <w:tc>
        <w:tcPr>
          <w:tcW w:w="3828" w:type="dxa"/>
        </w:tcPr>
        <w:p w14:paraId="63D9F891" w14:textId="77777777" w:rsidR="00536EF9" w:rsidRPr="00D3618F" w:rsidRDefault="00536EF9" w:rsidP="00506CBB">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3C21C11F" w14:textId="225E9B0A" w:rsidR="00536EF9" w:rsidRPr="00651A13" w:rsidRDefault="00536EF9" w:rsidP="00506CBB">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6871</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536EF9" w:rsidRPr="00264223" w14:paraId="15829CF1" w14:textId="77777777" w:rsidTr="00506CBB">
      <w:trPr>
        <w:trHeight w:val="110"/>
      </w:trPr>
      <w:tc>
        <w:tcPr>
          <w:tcW w:w="3828" w:type="dxa"/>
        </w:tcPr>
        <w:p w14:paraId="28C23473" w14:textId="77777777" w:rsidR="00536EF9" w:rsidRPr="00D3618F" w:rsidRDefault="00536EF9" w:rsidP="00506CBB">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3D62E1F1" w14:textId="77777777" w:rsidR="00536EF9" w:rsidRPr="00E22A9C" w:rsidRDefault="00536EF9" w:rsidP="00506CBB">
          <w:pPr>
            <w:jc w:val="both"/>
            <w:rPr>
              <w:rFonts w:ascii="Palatino Linotype" w:hAnsi="Palatino Linotype"/>
              <w:sz w:val="22"/>
              <w:szCs w:val="22"/>
              <w:lang w:eastAsia="es-MX"/>
            </w:rPr>
          </w:pPr>
        </w:p>
      </w:tc>
    </w:tr>
    <w:tr w:rsidR="00536EF9" w:rsidRPr="00264223" w14:paraId="34C6D217" w14:textId="77777777" w:rsidTr="00506CBB">
      <w:trPr>
        <w:trHeight w:val="248"/>
      </w:trPr>
      <w:tc>
        <w:tcPr>
          <w:tcW w:w="3828" w:type="dxa"/>
        </w:tcPr>
        <w:p w14:paraId="4ECB7A7A" w14:textId="77777777" w:rsidR="00536EF9" w:rsidRPr="00D3618F" w:rsidRDefault="00536EF9" w:rsidP="00506CBB">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6F268B9C" w14:textId="77777777" w:rsidR="00536EF9" w:rsidRPr="00651A13" w:rsidRDefault="00536EF9" w:rsidP="00506CBB">
          <w:pPr>
            <w:tabs>
              <w:tab w:val="right" w:pos="8838"/>
            </w:tabs>
            <w:jc w:val="both"/>
            <w:rPr>
              <w:rFonts w:ascii="Palatino Linotype" w:eastAsia="Calibri" w:hAnsi="Palatino Linotype" w:cs="Tahoma"/>
              <w:sz w:val="22"/>
              <w:szCs w:val="22"/>
              <w:lang w:val="es-MX" w:eastAsia="en-US"/>
            </w:rPr>
          </w:pPr>
          <w:r>
            <w:rPr>
              <w:rFonts w:ascii="Palatino Linotype" w:hAnsi="Palatino Linotype"/>
              <w:sz w:val="22"/>
              <w:szCs w:val="22"/>
            </w:rPr>
            <w:t>Ayuntamiento de Temamatla</w:t>
          </w:r>
        </w:p>
      </w:tc>
    </w:tr>
    <w:tr w:rsidR="00536EF9" w:rsidRPr="00264223" w14:paraId="52035F8E" w14:textId="77777777" w:rsidTr="00506CBB">
      <w:trPr>
        <w:trHeight w:val="248"/>
      </w:trPr>
      <w:tc>
        <w:tcPr>
          <w:tcW w:w="3828" w:type="dxa"/>
        </w:tcPr>
        <w:p w14:paraId="4A767DEB" w14:textId="77777777" w:rsidR="00536EF9" w:rsidRPr="00D3618F" w:rsidRDefault="00536EF9" w:rsidP="00506CBB">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3EC977BD" w14:textId="77777777" w:rsidR="00536EF9" w:rsidRPr="00D3618F" w:rsidRDefault="00536EF9" w:rsidP="00506CBB">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6675B8E1" w14:textId="77777777" w:rsidR="00536EF9" w:rsidRDefault="00B87149" w:rsidP="00506CBB">
    <w:pPr>
      <w:ind w:right="-312"/>
    </w:pPr>
    <w:r>
      <w:rPr>
        <w:noProof/>
        <w:lang w:eastAsia="es-MX"/>
      </w:rPr>
      <w:pict w14:anchorId="0141C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7E1D"/>
    <w:multiLevelType w:val="hybridMultilevel"/>
    <w:tmpl w:val="75047C00"/>
    <w:lvl w:ilvl="0" w:tplc="A170BDDE">
      <w:start w:val="1"/>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19F44AE3"/>
    <w:multiLevelType w:val="hybridMultilevel"/>
    <w:tmpl w:val="49861438"/>
    <w:lvl w:ilvl="0" w:tplc="0FEE5F58">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101E14"/>
    <w:multiLevelType w:val="multilevel"/>
    <w:tmpl w:val="2138B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4865FB"/>
    <w:multiLevelType w:val="hybridMultilevel"/>
    <w:tmpl w:val="D7FA0EC8"/>
    <w:lvl w:ilvl="0" w:tplc="3D9E653A">
      <w:start w:val="1"/>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8E68B7"/>
    <w:multiLevelType w:val="hybridMultilevel"/>
    <w:tmpl w:val="6F48A06A"/>
    <w:lvl w:ilvl="0" w:tplc="F00A59CC">
      <w:start w:val="6886"/>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8B36FC"/>
    <w:multiLevelType w:val="hybridMultilevel"/>
    <w:tmpl w:val="22F0A0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21F1831"/>
    <w:multiLevelType w:val="hybridMultilevel"/>
    <w:tmpl w:val="88E8D31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754678"/>
    <w:multiLevelType w:val="hybridMultilevel"/>
    <w:tmpl w:val="406E45C0"/>
    <w:lvl w:ilvl="0" w:tplc="58B80E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D76727"/>
    <w:multiLevelType w:val="hybridMultilevel"/>
    <w:tmpl w:val="1D2A4B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25C1495"/>
    <w:multiLevelType w:val="hybridMultilevel"/>
    <w:tmpl w:val="B0509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7B931387"/>
    <w:multiLevelType w:val="hybridMultilevel"/>
    <w:tmpl w:val="AC2A4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590C1A"/>
    <w:multiLevelType w:val="hybridMultilevel"/>
    <w:tmpl w:val="999EAD2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
  </w:num>
  <w:num w:numId="5">
    <w:abstractNumId w:val="6"/>
  </w:num>
  <w:num w:numId="6">
    <w:abstractNumId w:val="13"/>
  </w:num>
  <w:num w:numId="7">
    <w:abstractNumId w:val="10"/>
  </w:num>
  <w:num w:numId="8">
    <w:abstractNumId w:val="8"/>
  </w:num>
  <w:num w:numId="9">
    <w:abstractNumId w:val="0"/>
  </w:num>
  <w:num w:numId="10">
    <w:abstractNumId w:val="2"/>
  </w:num>
  <w:num w:numId="11">
    <w:abstractNumId w:val="7"/>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57"/>
    <w:rsid w:val="00003B0F"/>
    <w:rsid w:val="000B1E9A"/>
    <w:rsid w:val="00160CFE"/>
    <w:rsid w:val="0019102C"/>
    <w:rsid w:val="00340D40"/>
    <w:rsid w:val="00347633"/>
    <w:rsid w:val="00351703"/>
    <w:rsid w:val="003829AE"/>
    <w:rsid w:val="003C51E4"/>
    <w:rsid w:val="003F01FD"/>
    <w:rsid w:val="004031CF"/>
    <w:rsid w:val="00506CBB"/>
    <w:rsid w:val="0051263D"/>
    <w:rsid w:val="00532E6C"/>
    <w:rsid w:val="00536EF9"/>
    <w:rsid w:val="0056030F"/>
    <w:rsid w:val="00563DE5"/>
    <w:rsid w:val="005D071A"/>
    <w:rsid w:val="005D7F87"/>
    <w:rsid w:val="00692AE9"/>
    <w:rsid w:val="007648EC"/>
    <w:rsid w:val="0078356A"/>
    <w:rsid w:val="007B077A"/>
    <w:rsid w:val="007E071C"/>
    <w:rsid w:val="00803F71"/>
    <w:rsid w:val="00833E07"/>
    <w:rsid w:val="00862575"/>
    <w:rsid w:val="00872FA7"/>
    <w:rsid w:val="00894ED5"/>
    <w:rsid w:val="008C3865"/>
    <w:rsid w:val="00902FEA"/>
    <w:rsid w:val="009059EC"/>
    <w:rsid w:val="00916F63"/>
    <w:rsid w:val="009579E6"/>
    <w:rsid w:val="00991FA2"/>
    <w:rsid w:val="009B6569"/>
    <w:rsid w:val="00A634B5"/>
    <w:rsid w:val="00B218C9"/>
    <w:rsid w:val="00B21A4E"/>
    <w:rsid w:val="00B855B5"/>
    <w:rsid w:val="00B87149"/>
    <w:rsid w:val="00BA671F"/>
    <w:rsid w:val="00BD3657"/>
    <w:rsid w:val="00C83AA4"/>
    <w:rsid w:val="00D44C73"/>
    <w:rsid w:val="00DB1834"/>
    <w:rsid w:val="00E36524"/>
    <w:rsid w:val="00E514C1"/>
    <w:rsid w:val="00E6627D"/>
    <w:rsid w:val="00E87C58"/>
    <w:rsid w:val="00EB0799"/>
    <w:rsid w:val="00F101F5"/>
    <w:rsid w:val="00F95AFB"/>
    <w:rsid w:val="00FB1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5A73D3"/>
  <w15:chartTrackingRefBased/>
  <w15:docId w15:val="{C8DCB6E8-27B4-4D43-90E5-11CA4AE5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57"/>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3657"/>
    <w:pPr>
      <w:tabs>
        <w:tab w:val="center" w:pos="4419"/>
        <w:tab w:val="right" w:pos="8838"/>
      </w:tabs>
    </w:pPr>
  </w:style>
  <w:style w:type="character" w:customStyle="1" w:styleId="EncabezadoCar">
    <w:name w:val="Encabezado Car"/>
    <w:basedOn w:val="Fuentedeprrafopredeter"/>
    <w:link w:val="Encabezado"/>
    <w:uiPriority w:val="99"/>
    <w:rsid w:val="00BD3657"/>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BD3657"/>
    <w:pPr>
      <w:tabs>
        <w:tab w:val="center" w:pos="4419"/>
        <w:tab w:val="right" w:pos="8838"/>
      </w:tabs>
    </w:pPr>
  </w:style>
  <w:style w:type="character" w:customStyle="1" w:styleId="PiedepginaCar">
    <w:name w:val="Pie de página Car"/>
    <w:basedOn w:val="Fuentedeprrafopredeter"/>
    <w:link w:val="Piedepgina"/>
    <w:uiPriority w:val="99"/>
    <w:rsid w:val="00BD3657"/>
    <w:rPr>
      <w:rFonts w:ascii="Times New Roman" w:eastAsia="Times New Roman" w:hAnsi="Times New Roman" w:cs="Times New Roman"/>
      <w:kern w:val="0"/>
      <w:sz w:val="20"/>
      <w:szCs w:val="20"/>
      <w:lang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3657"/>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D3657"/>
    <w:rPr>
      <w:rFonts w:ascii="Century Gothic" w:eastAsia="Times New Roman" w:hAnsi="Century Gothic" w:cs="Times New Roman"/>
      <w:kern w:val="0"/>
      <w:szCs w:val="24"/>
      <w:lang w:eastAsia="es-ES"/>
      <w14:ligatures w14:val="none"/>
    </w:rPr>
  </w:style>
  <w:style w:type="table" w:styleId="Tablaconcuadrcula">
    <w:name w:val="Table Grid"/>
    <w:basedOn w:val="Tablanormal"/>
    <w:uiPriority w:val="39"/>
    <w:rsid w:val="00BD3657"/>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A0E3E-2FBC-4F49-9C78-0ABD72DE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6135</Words>
  <Characters>33745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4</cp:revision>
  <cp:lastPrinted>2024-11-29T00:05:00Z</cp:lastPrinted>
  <dcterms:created xsi:type="dcterms:W3CDTF">2024-11-29T00:05:00Z</dcterms:created>
  <dcterms:modified xsi:type="dcterms:W3CDTF">2025-02-05T16:35:00Z</dcterms:modified>
</cp:coreProperties>
</file>