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1C8C" w14:textId="77777777" w:rsidR="00EC154B" w:rsidRPr="00F30A3D" w:rsidRDefault="002A4CEB">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F30A3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F30A3D">
        <w:rPr>
          <w:rFonts w:ascii="Palatino Linotype" w:eastAsia="Palatino Linotype" w:hAnsi="Palatino Linotype" w:cs="Palatino Linotype"/>
          <w:b/>
          <w:sz w:val="22"/>
          <w:szCs w:val="22"/>
        </w:rPr>
        <w:t>a once de septiembre</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de dos mil veinticuatro</w:t>
      </w:r>
      <w:r w:rsidRPr="00F30A3D">
        <w:rPr>
          <w:rFonts w:ascii="Palatino Linotype" w:eastAsia="Palatino Linotype" w:hAnsi="Palatino Linotype" w:cs="Palatino Linotype"/>
          <w:sz w:val="22"/>
          <w:szCs w:val="22"/>
        </w:rPr>
        <w:t xml:space="preserve">. </w:t>
      </w:r>
    </w:p>
    <w:p w14:paraId="7E90F801" w14:textId="1A91E3DF" w:rsidR="00EC154B" w:rsidRPr="00F30A3D" w:rsidRDefault="002A4CEB">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F30A3D">
        <w:rPr>
          <w:rFonts w:ascii="Palatino Linotype" w:eastAsia="Palatino Linotype" w:hAnsi="Palatino Linotype" w:cs="Palatino Linotype"/>
          <w:b/>
          <w:sz w:val="22"/>
          <w:szCs w:val="22"/>
        </w:rPr>
        <w:t>Visto</w:t>
      </w:r>
      <w:r w:rsidRPr="00F30A3D">
        <w:rPr>
          <w:rFonts w:ascii="Palatino Linotype" w:eastAsia="Palatino Linotype" w:hAnsi="Palatino Linotype" w:cs="Palatino Linotype"/>
          <w:sz w:val="22"/>
          <w:szCs w:val="22"/>
        </w:rPr>
        <w:t xml:space="preserve"> el expediente formado con motivo del recurso de revisión </w:t>
      </w:r>
      <w:r w:rsidRPr="00F30A3D">
        <w:rPr>
          <w:rFonts w:ascii="Palatino Linotype" w:eastAsia="Palatino Linotype" w:hAnsi="Palatino Linotype" w:cs="Palatino Linotype"/>
          <w:b/>
          <w:sz w:val="22"/>
          <w:szCs w:val="22"/>
        </w:rPr>
        <w:t>01424/INFOEM/IP/RR/2024</w:t>
      </w:r>
      <w:r w:rsidRPr="00F30A3D">
        <w:rPr>
          <w:rFonts w:ascii="Palatino Linotype" w:eastAsia="Palatino Linotype" w:hAnsi="Palatino Linotype" w:cs="Palatino Linotype"/>
          <w:sz w:val="22"/>
          <w:szCs w:val="22"/>
        </w:rPr>
        <w:t>, interpuesto por</w:t>
      </w:r>
      <w:r w:rsidRPr="00F30A3D">
        <w:t xml:space="preserve"> </w:t>
      </w:r>
      <w:r w:rsidR="00646037" w:rsidRPr="00646037">
        <w:rPr>
          <w:rFonts w:ascii="Palatino Linotype" w:eastAsia="Palatino Linotype" w:hAnsi="Palatino Linotype" w:cs="Palatino Linotype"/>
          <w:b/>
          <w:sz w:val="22"/>
          <w:szCs w:val="22"/>
        </w:rPr>
        <w:t>XXXXXX XXXX XXXXX</w:t>
      </w:r>
      <w:r w:rsidRPr="00F30A3D">
        <w:rPr>
          <w:rFonts w:ascii="Palatino Linotype" w:eastAsia="Palatino Linotype" w:hAnsi="Palatino Linotype" w:cs="Palatino Linotype"/>
          <w:b/>
          <w:sz w:val="22"/>
          <w:szCs w:val="22"/>
        </w:rPr>
        <w:t>,</w:t>
      </w:r>
      <w:r w:rsidRPr="00F30A3D">
        <w:rPr>
          <w:rFonts w:ascii="Palatino Linotype" w:eastAsia="Palatino Linotype" w:hAnsi="Palatino Linotype" w:cs="Palatino Linotype"/>
          <w:sz w:val="22"/>
          <w:szCs w:val="22"/>
        </w:rPr>
        <w:t xml:space="preserve"> en lo sucesivo</w:t>
      </w:r>
      <w:r w:rsidRPr="00F30A3D">
        <w:rPr>
          <w:rFonts w:ascii="Palatino Linotype" w:eastAsia="Palatino Linotype" w:hAnsi="Palatino Linotype" w:cs="Palatino Linotype"/>
          <w:b/>
          <w:sz w:val="22"/>
          <w:szCs w:val="22"/>
        </w:rPr>
        <w:t xml:space="preserve"> la parte</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Recurrente,</w:t>
      </w:r>
      <w:r w:rsidRPr="00F30A3D">
        <w:rPr>
          <w:rFonts w:ascii="Palatino Linotype" w:eastAsia="Palatino Linotype" w:hAnsi="Palatino Linotype" w:cs="Palatino Linotype"/>
          <w:sz w:val="22"/>
          <w:szCs w:val="22"/>
        </w:rPr>
        <w:t xml:space="preserve"> en contra de la respuesta a su solicitud por parte del</w:t>
      </w:r>
      <w:r w:rsidRPr="00F30A3D">
        <w:rPr>
          <w:rFonts w:ascii="Palatino Linotype" w:eastAsia="Palatino Linotype" w:hAnsi="Palatino Linotype" w:cs="Palatino Linotype"/>
          <w:b/>
          <w:sz w:val="22"/>
          <w:szCs w:val="22"/>
        </w:rPr>
        <w:t xml:space="preserve"> Universidad Tecnológica del Sur del Estado de México, </w:t>
      </w:r>
      <w:r w:rsidRPr="00F30A3D">
        <w:rPr>
          <w:rFonts w:ascii="Palatino Linotype" w:eastAsia="Palatino Linotype" w:hAnsi="Palatino Linotype" w:cs="Palatino Linotype"/>
          <w:sz w:val="22"/>
          <w:szCs w:val="22"/>
        </w:rPr>
        <w:t xml:space="preserve">en lo sucesivo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se procede a dictar la presente resolución con base en los siguientes: </w:t>
      </w:r>
    </w:p>
    <w:p w14:paraId="1A8733B4" w14:textId="77777777" w:rsidR="00EC154B" w:rsidRPr="00F30A3D" w:rsidRDefault="002A4CEB">
      <w:pPr>
        <w:spacing w:before="240" w:after="240" w:line="360" w:lineRule="auto"/>
        <w:jc w:val="center"/>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I. A N T E C E D E N T E S</w:t>
      </w:r>
    </w:p>
    <w:p w14:paraId="4FD74519" w14:textId="77777777" w:rsidR="00EC154B" w:rsidRPr="00F30A3D" w:rsidRDefault="002A4CEB">
      <w:pPr>
        <w:spacing w:before="240" w:after="240"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1. Solicitud de acceso a la información.</w:t>
      </w:r>
      <w:r w:rsidRPr="00F30A3D">
        <w:rPr>
          <w:rFonts w:ascii="Palatino Linotype" w:eastAsia="Palatino Linotype" w:hAnsi="Palatino Linotype" w:cs="Palatino Linotype"/>
          <w:sz w:val="22"/>
          <w:szCs w:val="22"/>
        </w:rPr>
        <w:t xml:space="preserve"> El </w:t>
      </w:r>
      <w:r w:rsidRPr="00F30A3D">
        <w:rPr>
          <w:rFonts w:ascii="Palatino Linotype" w:eastAsia="Palatino Linotype" w:hAnsi="Palatino Linotype" w:cs="Palatino Linotype"/>
          <w:b/>
          <w:sz w:val="22"/>
          <w:szCs w:val="22"/>
        </w:rPr>
        <w:t>ocho de febrero de dos mil veinticuatro,</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la parte</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 xml:space="preserve">Recurrente </w:t>
      </w:r>
      <w:r w:rsidRPr="00F30A3D">
        <w:rPr>
          <w:rFonts w:ascii="Palatino Linotype" w:eastAsia="Palatino Linotype" w:hAnsi="Palatino Linotype" w:cs="Palatino Linotype"/>
          <w:sz w:val="22"/>
          <w:szCs w:val="22"/>
        </w:rPr>
        <w:t xml:space="preserve">presentó, a través del Sistema de Acceso a la Información Mexiquense, en lo subsecuente el </w:t>
      </w:r>
      <w:r w:rsidRPr="00F30A3D">
        <w:rPr>
          <w:rFonts w:ascii="Palatino Linotype" w:eastAsia="Palatino Linotype" w:hAnsi="Palatino Linotype" w:cs="Palatino Linotype"/>
          <w:b/>
          <w:sz w:val="22"/>
          <w:szCs w:val="22"/>
        </w:rPr>
        <w:t>SAIMEX,</w:t>
      </w:r>
      <w:r w:rsidRPr="00F30A3D">
        <w:rPr>
          <w:rFonts w:ascii="Palatino Linotype" w:eastAsia="Palatino Linotype" w:hAnsi="Palatino Linotype" w:cs="Palatino Linotype"/>
          <w:sz w:val="22"/>
          <w:szCs w:val="22"/>
        </w:rPr>
        <w:t xml:space="preserve"> ante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la solicitud de acceso a la información pública, a la que se le asignó el número</w:t>
      </w:r>
      <w:r w:rsidRPr="00F30A3D">
        <w:t xml:space="preserve"> </w:t>
      </w:r>
      <w:r w:rsidRPr="00F30A3D">
        <w:rPr>
          <w:rFonts w:ascii="Palatino Linotype" w:eastAsia="Palatino Linotype" w:hAnsi="Palatino Linotype" w:cs="Palatino Linotype"/>
          <w:b/>
          <w:sz w:val="22"/>
          <w:szCs w:val="22"/>
        </w:rPr>
        <w:t xml:space="preserve">00004/UTSEM/IP/2024, </w:t>
      </w:r>
      <w:r w:rsidRPr="00F30A3D">
        <w:rPr>
          <w:rFonts w:ascii="Palatino Linotype" w:eastAsia="Palatino Linotype" w:hAnsi="Palatino Linotype" w:cs="Palatino Linotype"/>
          <w:sz w:val="22"/>
          <w:szCs w:val="22"/>
        </w:rPr>
        <w:t xml:space="preserve">mediante la cual requirió la información siguiente: </w:t>
      </w:r>
    </w:p>
    <w:p w14:paraId="1082BF94" w14:textId="77777777" w:rsidR="00EC154B" w:rsidRPr="00F30A3D" w:rsidRDefault="002A4CEB">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F30A3D">
        <w:rPr>
          <w:rFonts w:ascii="Palatino Linotype" w:eastAsia="Palatino Linotype" w:hAnsi="Palatino Linotype" w:cs="Palatino Linotype"/>
          <w:i/>
          <w:sz w:val="22"/>
          <w:szCs w:val="22"/>
        </w:rPr>
        <w:t xml:space="preserve">“Solicito el documento donde se refleje el presupuesto (monto) asignado para las 3 obras que se llevan a cabo en su centro de trabajo, tanto de paneles solares, red de internet como de la cafetería. De igual manera solicito información sobre los gastos realizados desde el inicio de las 3 obras hasta el día de hoy 08 de febrero de 2024. Es decir, solicito imágenes de los cheques emitidos, facturas de compras, pagos a trabajadores de las obras, todo comprobante de los gastos realizados hasta el día de hoy. Solicito para finalizar la evidencia fotografica del avance y/o conclusión de las 3 obras.” (Sic) </w:t>
      </w:r>
    </w:p>
    <w:p w14:paraId="02FC4F09" w14:textId="77777777" w:rsidR="00EC154B" w:rsidRPr="00F30A3D" w:rsidRDefault="002A4CEB">
      <w:pPr>
        <w:spacing w:before="240" w:after="240" w:line="360" w:lineRule="auto"/>
        <w:ind w:right="902"/>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Modalidad de Entrega:</w:t>
      </w:r>
      <w:r w:rsidRPr="00F30A3D">
        <w:rPr>
          <w:rFonts w:ascii="Palatino Linotype" w:eastAsia="Palatino Linotype" w:hAnsi="Palatino Linotype" w:cs="Palatino Linotype"/>
          <w:sz w:val="22"/>
          <w:szCs w:val="22"/>
        </w:rPr>
        <w:t xml:space="preserve"> A través de SAIMEX</w:t>
      </w:r>
    </w:p>
    <w:p w14:paraId="2470BD93" w14:textId="77777777" w:rsidR="00EC154B" w:rsidRPr="00F30A3D" w:rsidRDefault="002A4CEB">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F30A3D">
        <w:rPr>
          <w:rFonts w:ascii="Palatino Linotype" w:eastAsia="Palatino Linotype" w:hAnsi="Palatino Linotype" w:cs="Palatino Linotype"/>
          <w:b/>
          <w:sz w:val="22"/>
          <w:szCs w:val="22"/>
        </w:rPr>
        <w:lastRenderedPageBreak/>
        <w:t xml:space="preserve">2. Respuesta. </w:t>
      </w:r>
      <w:r w:rsidRPr="00F30A3D">
        <w:rPr>
          <w:rFonts w:ascii="Palatino Linotype" w:eastAsia="Palatino Linotype" w:hAnsi="Palatino Linotype" w:cs="Palatino Linotype"/>
          <w:sz w:val="22"/>
          <w:szCs w:val="22"/>
        </w:rPr>
        <w:t xml:space="preserve">El </w:t>
      </w:r>
      <w:r w:rsidRPr="00F30A3D">
        <w:rPr>
          <w:rFonts w:ascii="Palatino Linotype" w:eastAsia="Palatino Linotype" w:hAnsi="Palatino Linotype" w:cs="Palatino Linotype"/>
          <w:b/>
          <w:sz w:val="22"/>
          <w:szCs w:val="22"/>
        </w:rPr>
        <w:t>veintinueve de febrero de dos mil veinticuatro</w:t>
      </w:r>
      <w:r w:rsidRPr="00F30A3D">
        <w:rPr>
          <w:rFonts w:ascii="Palatino Linotype" w:eastAsia="Palatino Linotype" w:hAnsi="Palatino Linotype" w:cs="Palatino Linotype"/>
          <w:sz w:val="22"/>
          <w:szCs w:val="22"/>
        </w:rPr>
        <w:t xml:space="preserve">,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42577D0" w14:textId="77777777" w:rsidR="00EC154B" w:rsidRPr="00F30A3D" w:rsidRDefault="002A4CEB">
      <w:pPr>
        <w:spacing w:before="240" w:after="24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723502" w14:textId="77777777" w:rsidR="00EC154B" w:rsidRPr="00F30A3D" w:rsidRDefault="002A4CEB">
      <w:pPr>
        <w:spacing w:before="240" w:after="24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En atención a su solicitud me permito manifestar que con fundamento en el artículo 12 de la Ley de Transparencia y Acceso a la Información Pública del Estado de México y Municipios que a la letra dice: “… los sujetos obligados sólo proporcionarán la información pública que se les requiere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antes expuesto, me permito emitir a usted la siguiente respuesta (anexa) que envía el Departamento de Programación y Presupuesto de la Universidad Tecnológica del Sur del Estado de México” (Sic)</w:t>
      </w:r>
    </w:p>
    <w:p w14:paraId="446894BF" w14:textId="77777777" w:rsidR="00EC154B" w:rsidRPr="00F30A3D" w:rsidRDefault="002A4CEB">
      <w:pPr>
        <w:spacing w:before="240" w:after="240"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Adjunto a la respuesta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aportó los archivos electrónicos que contienen la información siguiente:</w:t>
      </w:r>
    </w:p>
    <w:p w14:paraId="7B1F495C" w14:textId="77777777" w:rsidR="00EC154B" w:rsidRPr="00F30A3D" w:rsidRDefault="002A4CEB">
      <w:pPr>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PRESUPUESTO CALENDARIZADO 2023.pdf: </w:t>
      </w:r>
      <w:r w:rsidRPr="00F30A3D">
        <w:rPr>
          <w:rFonts w:ascii="Palatino Linotype" w:eastAsia="Palatino Linotype" w:hAnsi="Palatino Linotype" w:cs="Palatino Linotype"/>
          <w:sz w:val="22"/>
          <w:szCs w:val="22"/>
        </w:rPr>
        <w:t>Documento que consta de una foja, la cual contiene el presupuesto calendarizado por centro de costo, de fecha veintidós de diciembre del año dos mil veintidós, correspondiente al ejercicio 2023:</w:t>
      </w:r>
    </w:p>
    <w:p w14:paraId="7A4E56CA" w14:textId="77777777" w:rsidR="00EC154B" w:rsidRPr="00F30A3D" w:rsidRDefault="00EC154B">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2A6473B4" w14:textId="77777777" w:rsidR="00EC154B" w:rsidRPr="00F30A3D" w:rsidRDefault="002A4CEB">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noProof/>
          <w:sz w:val="22"/>
          <w:szCs w:val="22"/>
        </w:rPr>
        <w:drawing>
          <wp:inline distT="0" distB="0" distL="0" distR="0" wp14:anchorId="56B4E60E" wp14:editId="74EA8EEF">
            <wp:extent cx="5612130" cy="1402080"/>
            <wp:effectExtent l="3175" t="3175" r="3175" b="3175"/>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612130" cy="1402080"/>
                    </a:xfrm>
                    <a:prstGeom prst="rect">
                      <a:avLst/>
                    </a:prstGeom>
                    <a:ln w="3175">
                      <a:solidFill>
                        <a:srgbClr val="000000"/>
                      </a:solidFill>
                      <a:prstDash val="solid"/>
                    </a:ln>
                  </pic:spPr>
                </pic:pic>
              </a:graphicData>
            </a:graphic>
          </wp:inline>
        </w:drawing>
      </w:r>
    </w:p>
    <w:p w14:paraId="6AB77EA7" w14:textId="77777777" w:rsidR="00EC154B" w:rsidRPr="00F30A3D" w:rsidRDefault="00EC154B">
      <w:p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p>
    <w:p w14:paraId="1C82CAB3" w14:textId="77777777" w:rsidR="00EC154B" w:rsidRPr="00F30A3D" w:rsidRDefault="002A4CEB">
      <w:pPr>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lastRenderedPageBreak/>
        <w:t>Por duplicado, el documento denominado “</w:t>
      </w:r>
      <w:r w:rsidRPr="00F30A3D">
        <w:rPr>
          <w:rFonts w:ascii="Palatino Linotype" w:eastAsia="Palatino Linotype" w:hAnsi="Palatino Linotype" w:cs="Palatino Linotype"/>
          <w:b/>
          <w:i/>
          <w:sz w:val="22"/>
          <w:szCs w:val="22"/>
        </w:rPr>
        <w:t xml:space="preserve">Presupuesto Calendarizado 2024.pdf”: </w:t>
      </w:r>
      <w:r w:rsidRPr="00F30A3D">
        <w:rPr>
          <w:rFonts w:ascii="Palatino Linotype" w:eastAsia="Palatino Linotype" w:hAnsi="Palatino Linotype" w:cs="Palatino Linotype"/>
          <w:sz w:val="22"/>
          <w:szCs w:val="22"/>
        </w:rPr>
        <w:t>Documento que consta de una foja, la cual contiene el presupuesto calendarizado por centro de costo, de fecha treinta de enero de dos mil veinticuatro, correspondiente al ejercicio 2024:</w:t>
      </w:r>
    </w:p>
    <w:p w14:paraId="60A6FC6F" w14:textId="77777777" w:rsidR="00EC154B" w:rsidRPr="00F30A3D" w:rsidRDefault="00EC154B">
      <w:pPr>
        <w:pBdr>
          <w:top w:val="nil"/>
          <w:left w:val="nil"/>
          <w:bottom w:val="nil"/>
          <w:right w:val="nil"/>
          <w:between w:val="nil"/>
        </w:pBdr>
        <w:ind w:left="720"/>
        <w:rPr>
          <w:rFonts w:ascii="Palatino Linotype" w:eastAsia="Palatino Linotype" w:hAnsi="Palatino Linotype" w:cs="Palatino Linotype"/>
          <w:b/>
          <w:sz w:val="22"/>
          <w:szCs w:val="22"/>
        </w:rPr>
      </w:pPr>
    </w:p>
    <w:p w14:paraId="012F0C23" w14:textId="77777777" w:rsidR="00EC154B" w:rsidRPr="00F30A3D" w:rsidRDefault="002A4CEB">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noProof/>
          <w:sz w:val="22"/>
          <w:szCs w:val="22"/>
        </w:rPr>
        <w:drawing>
          <wp:inline distT="0" distB="0" distL="0" distR="0" wp14:anchorId="657A5D95" wp14:editId="22651996">
            <wp:extent cx="5295900" cy="1458595"/>
            <wp:effectExtent l="3175" t="3175" r="3175" b="3175"/>
            <wp:docPr id="4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295900" cy="1458595"/>
                    </a:xfrm>
                    <a:prstGeom prst="rect">
                      <a:avLst/>
                    </a:prstGeom>
                    <a:ln w="3175">
                      <a:solidFill>
                        <a:srgbClr val="000000"/>
                      </a:solidFill>
                      <a:prstDash val="solid"/>
                    </a:ln>
                  </pic:spPr>
                </pic:pic>
              </a:graphicData>
            </a:graphic>
          </wp:inline>
        </w:drawing>
      </w:r>
    </w:p>
    <w:p w14:paraId="04F15E14" w14:textId="77777777" w:rsidR="00EC154B" w:rsidRPr="00F30A3D" w:rsidRDefault="00EC154B">
      <w:p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p>
    <w:p w14:paraId="3AB2E40F" w14:textId="77777777" w:rsidR="00EC154B" w:rsidRPr="00F30A3D" w:rsidRDefault="002A4CEB">
      <w:pPr>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Oficio.pdf: </w:t>
      </w:r>
      <w:r w:rsidRPr="00F30A3D">
        <w:rPr>
          <w:rFonts w:ascii="Palatino Linotype" w:eastAsia="Palatino Linotype" w:hAnsi="Palatino Linotype" w:cs="Palatino Linotype"/>
          <w:sz w:val="22"/>
          <w:szCs w:val="22"/>
        </w:rPr>
        <w:t xml:space="preserve">Oficio número 228C0901020001L/038/2024, de fecha veintisiete de febrero de dos mil veinticuatro, a través del cual la Jefa del Departamento de Programación y Presupuesto, manifiesta que en su presupuesto de egresos no contempla la partida referente a obra, por lo que al día de dicha contestación no se ha realizado ningún tipo de obra que haya sido erogada a través de ese concepto, indicando que remitía los presupuestos calendarizados 2023 y 2024 por el que se observa que no se cuenta con suficiencia presupuestal para el capítulo 6000, correspondiente a obras públicas, de acuerdo con lo dispuesto con el artículo 12 de la Ley de Transparencia Local. </w:t>
      </w:r>
    </w:p>
    <w:p w14:paraId="7BE3DAAA" w14:textId="77777777" w:rsidR="00EC154B" w:rsidRPr="00F30A3D" w:rsidRDefault="00EC154B">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6F48B1BA" w14:textId="77777777" w:rsidR="00EC154B" w:rsidRPr="00F30A3D" w:rsidRDefault="002A4CEB">
      <w:pPr>
        <w:spacing w:before="240" w:after="240" w:line="360" w:lineRule="auto"/>
        <w:ind w:right="49"/>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 xml:space="preserve">3. Interposición del recurso de revisión. </w:t>
      </w:r>
      <w:r w:rsidRPr="00F30A3D">
        <w:rPr>
          <w:rFonts w:ascii="Palatino Linotype" w:eastAsia="Palatino Linotype" w:hAnsi="Palatino Linotype" w:cs="Palatino Linotype"/>
          <w:sz w:val="22"/>
          <w:szCs w:val="22"/>
        </w:rPr>
        <w:t xml:space="preserve">Inconforme con los términos de la respuesta emitida por parte del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el</w:t>
      </w:r>
      <w:r w:rsidRPr="00F30A3D">
        <w:rPr>
          <w:rFonts w:ascii="Palatino Linotype" w:eastAsia="Palatino Linotype" w:hAnsi="Palatino Linotype" w:cs="Palatino Linotype"/>
          <w:b/>
          <w:sz w:val="22"/>
          <w:szCs w:val="22"/>
        </w:rPr>
        <w:t xml:space="preserve"> catorce de marzo de dos mil veinticuatro,</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la parte</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Recurrente</w:t>
      </w:r>
      <w:r w:rsidRPr="00F30A3D">
        <w:rPr>
          <w:rFonts w:ascii="Palatino Linotype" w:eastAsia="Palatino Linotype" w:hAnsi="Palatino Linotype" w:cs="Palatino Linotype"/>
          <w:sz w:val="22"/>
          <w:szCs w:val="22"/>
        </w:rPr>
        <w:t xml:space="preserve"> interpuso el recurso de revisión a través de </w:t>
      </w:r>
      <w:r w:rsidRPr="00F30A3D">
        <w:rPr>
          <w:rFonts w:ascii="Palatino Linotype" w:eastAsia="Palatino Linotype" w:hAnsi="Palatino Linotype" w:cs="Palatino Linotype"/>
          <w:b/>
          <w:sz w:val="22"/>
          <w:szCs w:val="22"/>
        </w:rPr>
        <w:t xml:space="preserve">SAIMEX, </w:t>
      </w:r>
      <w:r w:rsidRPr="00F30A3D">
        <w:rPr>
          <w:rFonts w:ascii="Palatino Linotype" w:eastAsia="Palatino Linotype" w:hAnsi="Palatino Linotype" w:cs="Palatino Linotype"/>
          <w:sz w:val="22"/>
          <w:szCs w:val="22"/>
        </w:rPr>
        <w:t>en donde se manifestó de la siguiente manera:</w:t>
      </w:r>
    </w:p>
    <w:p w14:paraId="52D72415" w14:textId="77777777" w:rsidR="00EC154B" w:rsidRPr="00F30A3D" w:rsidRDefault="002A4CEB">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 xml:space="preserve">a) Acto impugnado: </w:t>
      </w:r>
      <w:r w:rsidRPr="00F30A3D">
        <w:rPr>
          <w:rFonts w:ascii="Palatino Linotype" w:eastAsia="Palatino Linotype" w:hAnsi="Palatino Linotype" w:cs="Palatino Linotype"/>
          <w:i/>
          <w:sz w:val="22"/>
          <w:szCs w:val="22"/>
        </w:rPr>
        <w:t>“No informan sobre lo solicitado, sobre las tres obras realizadas en su Centro de Trabajo (UTSEM).” (Sic)</w:t>
      </w:r>
    </w:p>
    <w:p w14:paraId="229008AE"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F30A3D">
        <w:rPr>
          <w:rFonts w:ascii="Palatino Linotype" w:eastAsia="Palatino Linotype" w:hAnsi="Palatino Linotype" w:cs="Palatino Linotype"/>
          <w:b/>
          <w:sz w:val="22"/>
          <w:szCs w:val="22"/>
        </w:rPr>
        <w:t>b) Razones o motivos de inconformidad</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i/>
          <w:sz w:val="22"/>
          <w:szCs w:val="22"/>
        </w:rPr>
        <w:t xml:space="preserve">“No se informa sobre lo solicitado, informar por qué no lo realizan. Sólo mencionan que no está en el capítulo 6000, más </w:t>
      </w:r>
      <w:r w:rsidRPr="00F30A3D">
        <w:rPr>
          <w:rFonts w:ascii="Palatino Linotype" w:eastAsia="Palatino Linotype" w:hAnsi="Palatino Linotype" w:cs="Palatino Linotype"/>
          <w:i/>
          <w:sz w:val="22"/>
          <w:szCs w:val="22"/>
        </w:rPr>
        <w:lastRenderedPageBreak/>
        <w:t>sin embargo existen tres obras que "se realizaron" en la Universidad, la información que se solicita es clara, las obras "hechas" fueron las siguientes: 1. Paneles Solares (Sistema Fotovoltaico). 2. Remodelación de Cafetería. 3. Internet inalámbrico en todos los espacios de la Universidad. Dichas obras se las presentaron como "terminadas" al Mtro. Miguel Ángel Hernández Espejel el día 28 de febrero del año en curso (2024).” (Sic)</w:t>
      </w:r>
    </w:p>
    <w:p w14:paraId="0AA9C6E4" w14:textId="77777777" w:rsidR="00EC154B" w:rsidRPr="00F30A3D" w:rsidRDefault="00EC154B">
      <w:pPr>
        <w:spacing w:line="276" w:lineRule="auto"/>
        <w:jc w:val="both"/>
        <w:rPr>
          <w:rFonts w:ascii="Palatino Linotype" w:eastAsia="Palatino Linotype" w:hAnsi="Palatino Linotype" w:cs="Palatino Linotype"/>
          <w:sz w:val="22"/>
          <w:szCs w:val="22"/>
        </w:rPr>
      </w:pPr>
    </w:p>
    <w:p w14:paraId="2E3FDDD7" w14:textId="77777777" w:rsidR="00EC154B" w:rsidRPr="00F30A3D" w:rsidRDefault="002A4CEB">
      <w:pPr>
        <w:spacing w:before="240" w:after="240" w:line="360" w:lineRule="auto"/>
        <w:ind w:right="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4. Turno. </w:t>
      </w:r>
      <w:r w:rsidRPr="00F30A3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30A3D">
        <w:rPr>
          <w:rFonts w:ascii="Palatino Linotype" w:eastAsia="Palatino Linotype" w:hAnsi="Palatino Linotype" w:cs="Palatino Linotype"/>
          <w:b/>
          <w:sz w:val="22"/>
          <w:szCs w:val="22"/>
        </w:rPr>
        <w:t xml:space="preserve">Guadalupe Ramírez Peña, </w:t>
      </w:r>
      <w:r w:rsidRPr="00F30A3D">
        <w:rPr>
          <w:rFonts w:ascii="Palatino Linotype" w:eastAsia="Palatino Linotype" w:hAnsi="Palatino Linotype" w:cs="Palatino Linotype"/>
          <w:sz w:val="22"/>
          <w:szCs w:val="22"/>
        </w:rPr>
        <w:t>a efecto de que analizara sobre su admisión o su desechamiento.</w:t>
      </w:r>
    </w:p>
    <w:p w14:paraId="632E3FBE"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5. Admisión del Recurso de revisión.</w:t>
      </w:r>
      <w:r w:rsidRPr="00F30A3D">
        <w:rPr>
          <w:rFonts w:ascii="Palatino Linotype" w:eastAsia="Palatino Linotype" w:hAnsi="Palatino Linotype" w:cs="Palatino Linotype"/>
          <w:sz w:val="22"/>
          <w:szCs w:val="22"/>
        </w:rPr>
        <w:t xml:space="preserve"> El </w:t>
      </w:r>
      <w:r w:rsidRPr="00F30A3D">
        <w:rPr>
          <w:rFonts w:ascii="Palatino Linotype" w:eastAsia="Palatino Linotype" w:hAnsi="Palatino Linotype" w:cs="Palatino Linotype"/>
          <w:b/>
          <w:sz w:val="22"/>
          <w:szCs w:val="22"/>
        </w:rPr>
        <w:t xml:space="preserve">veinte de marzo de dos mil veinticuatro, </w:t>
      </w:r>
      <w:r w:rsidRPr="00F30A3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presentara su informe justificado.</w:t>
      </w:r>
    </w:p>
    <w:p w14:paraId="00505689"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5147893" w14:textId="77777777" w:rsidR="00EC154B" w:rsidRPr="00F30A3D" w:rsidRDefault="002A4CE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F30A3D">
        <w:rPr>
          <w:rFonts w:ascii="Palatino Linotype" w:eastAsia="Palatino Linotype" w:hAnsi="Palatino Linotype" w:cs="Palatino Linotype"/>
          <w:b/>
          <w:sz w:val="22"/>
          <w:szCs w:val="22"/>
        </w:rPr>
        <w:t>6. Manifestaciones</w:t>
      </w:r>
      <w:r w:rsidRPr="00F30A3D">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en fecha </w:t>
      </w:r>
      <w:r w:rsidRPr="00F30A3D">
        <w:rPr>
          <w:rFonts w:ascii="Palatino Linotype" w:eastAsia="Palatino Linotype" w:hAnsi="Palatino Linotype" w:cs="Palatino Linotype"/>
          <w:b/>
          <w:sz w:val="22"/>
          <w:szCs w:val="22"/>
        </w:rPr>
        <w:t xml:space="preserve">cuatro de abril de dos mil veinticuatro </w:t>
      </w:r>
      <w:r w:rsidRPr="00F30A3D">
        <w:rPr>
          <w:rFonts w:ascii="Palatino Linotype" w:eastAsia="Palatino Linotype" w:hAnsi="Palatino Linotype" w:cs="Palatino Linotype"/>
          <w:sz w:val="22"/>
          <w:szCs w:val="22"/>
        </w:rPr>
        <w:t>rindió su informe justificado, a través de los archivos electrónicos que contiene la información siguiente:</w:t>
      </w:r>
    </w:p>
    <w:p w14:paraId="1D6258BA"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GCI121128HW6_Factura__648_2DCA9DE7-E46A-4141-B7F3-1B5508B73FF7.pdf:</w:t>
      </w:r>
      <w:r w:rsidRPr="00F30A3D">
        <w:rPr>
          <w:rFonts w:ascii="Palatino Linotype" w:eastAsia="Palatino Linotype" w:hAnsi="Palatino Linotype" w:cs="Palatino Linotype"/>
          <w:sz w:val="22"/>
          <w:szCs w:val="22"/>
        </w:rPr>
        <w:t xml:space="preserve"> En versión íntegra, factura 648, de fecha de emisión dieciséis de noviembre de dos mil </w:t>
      </w:r>
      <w:r w:rsidRPr="00F30A3D">
        <w:rPr>
          <w:rFonts w:ascii="Palatino Linotype" w:eastAsia="Palatino Linotype" w:hAnsi="Palatino Linotype" w:cs="Palatino Linotype"/>
          <w:sz w:val="22"/>
          <w:szCs w:val="22"/>
        </w:rPr>
        <w:lastRenderedPageBreak/>
        <w:t>veintitrés, por concepto “Avance 30% del contrato IR/UTSEM/01/2023 por servicio de reparación y mantenimiento de inmuebles”, expedido por una persona moral a favor de la Universidad Tecnológica del Sur del Estado de México.</w:t>
      </w:r>
    </w:p>
    <w:p w14:paraId="60F297B5"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F0000000022.pdf:</w:t>
      </w:r>
      <w:r w:rsidRPr="00F30A3D">
        <w:rPr>
          <w:rFonts w:ascii="Palatino Linotype" w:eastAsia="Palatino Linotype" w:hAnsi="Palatino Linotype" w:cs="Palatino Linotype"/>
          <w:sz w:val="22"/>
          <w:szCs w:val="22"/>
        </w:rPr>
        <w:t xml:space="preserve"> En versión íntegra, factura folio 22, de fecha veintidós de diciembre de dos mil veintitrés, por concepto “Nota de Anticipo 4”, expedida por una persona moral a favor de la Universidad Tecnológica del Sur del Estado de México.</w:t>
      </w:r>
    </w:p>
    <w:p w14:paraId="55B2E72D"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GCI121128HW6_Factura_641_B9B3FC98-BB33-441D-B394-3198D02EE332.pdf:</w:t>
      </w:r>
      <w:r w:rsidRPr="00F30A3D">
        <w:rPr>
          <w:rFonts w:ascii="Palatino Linotype" w:eastAsia="Palatino Linotype" w:hAnsi="Palatino Linotype" w:cs="Palatino Linotype"/>
          <w:sz w:val="22"/>
          <w:szCs w:val="22"/>
        </w:rPr>
        <w:t xml:space="preserve"> En versión íntegra, factura 641, con fecha de emisión cinco de octubre de dos mil veintitrés, por concepto de Anticipo del 50% por contrato IR/UTSEM/02/2023 por servicios de reparación, instalación y mantenimiento de bienes informáticos, microfilmación y tecnologías de la información, expedida por una persona moral a favor de la Universidad Tecnológica del Sur del Estado de México.</w:t>
      </w:r>
    </w:p>
    <w:p w14:paraId="4B5B7CD1"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Oficio de ampliación.pdf:</w:t>
      </w:r>
      <w:r w:rsidRPr="00F30A3D">
        <w:rPr>
          <w:rFonts w:ascii="Palatino Linotype" w:eastAsia="Palatino Linotype" w:hAnsi="Palatino Linotype" w:cs="Palatino Linotype"/>
          <w:sz w:val="22"/>
          <w:szCs w:val="22"/>
        </w:rPr>
        <w:t xml:space="preserve"> Oficio número 207A 00000-0321/2023, de fecha dieciocho de julio de dos mil veintitrés, a través del cual el Secretario de Finanzas autoriza al Sujeto Obligado una ampliación presupuestal liquida en cantidad de $31’845,853.99, para el capítulo 3000 por concepto de “Servicios generales”, cuya fuente de financiamiento fue “Recursos Fiscales: Transferencias Estatales a Organismos Descentralizados”.</w:t>
      </w:r>
    </w:p>
    <w:p w14:paraId="0FD0451B"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Oficio de atención a RR.pdf:</w:t>
      </w:r>
      <w:r w:rsidRPr="00F30A3D">
        <w:rPr>
          <w:rFonts w:ascii="Palatino Linotype" w:eastAsia="Palatino Linotype" w:hAnsi="Palatino Linotype" w:cs="Palatino Linotype"/>
          <w:sz w:val="22"/>
          <w:szCs w:val="22"/>
        </w:rPr>
        <w:t xml:space="preserve"> Oficio número 228C0901000101L/011/2024, de fecha veintidós de marzo de dos mil veinticuatro, a través del cual el Jefe de Departamento de Información y Estadística y Titular de la Unidad de Transparencia, solicita a la Jefa del Departamento de Programación y Presupuesto, la información requerida con motivo del recurso de revisión que nos ocupa.  </w:t>
      </w:r>
    </w:p>
    <w:p w14:paraId="43F7D4DB"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GCI121128HW6_Factura_640_05B07D80-CCE0-4D67-B780-2C051FFD6AFC.pdf:</w:t>
      </w:r>
      <w:r w:rsidRPr="00F30A3D">
        <w:rPr>
          <w:rFonts w:ascii="Palatino Linotype" w:eastAsia="Palatino Linotype" w:hAnsi="Palatino Linotype" w:cs="Palatino Linotype"/>
          <w:sz w:val="22"/>
          <w:szCs w:val="22"/>
        </w:rPr>
        <w:t xml:space="preserve"> En versión íntegra, la factura 640, de fecha de emisión cinco de octubre de dos mil veintitrés, por concepto “Avance 50% del contrato IR/UTSEM/01/2023 por servicio de </w:t>
      </w:r>
      <w:r w:rsidRPr="00F30A3D">
        <w:rPr>
          <w:rFonts w:ascii="Palatino Linotype" w:eastAsia="Palatino Linotype" w:hAnsi="Palatino Linotype" w:cs="Palatino Linotype"/>
          <w:sz w:val="22"/>
          <w:szCs w:val="22"/>
        </w:rPr>
        <w:lastRenderedPageBreak/>
        <w:t>reparación y mantenimiento de inmuebles”, expedido por una persona moral a favor de la Universidad Tecnológica del Sur del Estado de México.</w:t>
      </w:r>
    </w:p>
    <w:p w14:paraId="15ADAA4E"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FAG0000000111.pdf:</w:t>
      </w:r>
      <w:r w:rsidRPr="00F30A3D">
        <w:rPr>
          <w:rFonts w:ascii="Palatino Linotype" w:eastAsia="Palatino Linotype" w:hAnsi="Palatino Linotype" w:cs="Palatino Linotype"/>
          <w:sz w:val="22"/>
          <w:szCs w:val="22"/>
        </w:rPr>
        <w:t xml:space="preserve"> En versión íntegra, la factura con folio 111, de fecha diecisiete de noviembre de dos mil veintitrés, por concepto de “Pago del 30% del importe total del contrato de prestación de servicios derivado de la invitación restringida IR/UTSEM/03/2023, referente a la adaptación de locales, almacenes, bodegas y edificios; por avance de servicio”, expedido por una persona moral a favor de la Universidad Tecnológica del Sur del Estado de México.</w:t>
      </w:r>
    </w:p>
    <w:p w14:paraId="426B3685"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0254 UTS TRES A.L. SOPORTE (2).pdf:</w:t>
      </w:r>
      <w:r w:rsidRPr="00F30A3D">
        <w:rPr>
          <w:rFonts w:ascii="Palatino Linotype" w:eastAsia="Palatino Linotype" w:hAnsi="Palatino Linotype" w:cs="Palatino Linotype"/>
          <w:sz w:val="22"/>
          <w:szCs w:val="22"/>
        </w:rPr>
        <w:t xml:space="preserve"> Documento que contiene la siguiente información:</w:t>
      </w:r>
    </w:p>
    <w:p w14:paraId="26177166" w14:textId="77777777" w:rsidR="00EC154B" w:rsidRPr="00F30A3D" w:rsidRDefault="002A4CEB">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Oficio número 210C09010000000/0308/2023, de fecha cinco de julio de dos mil veintitrés, a través del cual la Rectora de la Universidad solicitó al Subsecretario de Administración y Finanzas su apoyo e intervención para gestionar ante las instancias correspondientes ampliaciones presupuestales líquidas por la cantidad de $20,259,335.04 para la implementación del sistema fotovoltaico, según el acuerdo UTSEM EXT-LVI-002-2023; por la cantidad de $6´296,852.13 para aplicarlos a la remodelación de la cafetería de la Universidad según el acuerdo UTSEM EXT-LVI-003-2023; y, la cantidad de $5,289,666.82, para implementar el internet inalámbrico según el acuerdo UTSEM EXT-LVI-004-2023, aprobados en el Acta de la Quincuagésima Sexta Sesión Extraordinaria del Consejo Directivo de la Universidad Tecnológica del Sur del Estado de México.</w:t>
      </w:r>
    </w:p>
    <w:p w14:paraId="6C660ACD" w14:textId="77777777" w:rsidR="00EC154B" w:rsidRPr="00F30A3D" w:rsidRDefault="002A4CEB">
      <w:pPr>
        <w:numPr>
          <w:ilvl w:val="0"/>
          <w:numId w:val="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Adecuaciones presupuestarias sobre las ampliaciones liquidas referidas en el punto anterior.</w:t>
      </w:r>
    </w:p>
    <w:p w14:paraId="21B955E2" w14:textId="77777777" w:rsidR="00EC154B" w:rsidRPr="00F30A3D" w:rsidRDefault="002A4CEB">
      <w:pPr>
        <w:numPr>
          <w:ilvl w:val="0"/>
          <w:numId w:val="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Dictámenes de reconducción y actualización programática presupuestal las ampliaciones liquidas referidas.</w:t>
      </w:r>
    </w:p>
    <w:p w14:paraId="5E2078DF" w14:textId="77777777" w:rsidR="00EC154B" w:rsidRPr="00F30A3D" w:rsidRDefault="002A4CEB">
      <w:pPr>
        <w:numPr>
          <w:ilvl w:val="0"/>
          <w:numId w:val="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Acta de la Quincuagésima Sexta Sesión Extraordinaria del Consejo Directivo de la Universidad Tecnológica del Sur del Estado de México, celebrada el cinco de junio de dos mil veintitrés, a través del cual mediante los acuerdos UTSEM EXT-LVI-002-</w:t>
      </w:r>
      <w:r w:rsidRPr="00F30A3D">
        <w:rPr>
          <w:rFonts w:ascii="Palatino Linotype" w:eastAsia="Palatino Linotype" w:hAnsi="Palatino Linotype" w:cs="Palatino Linotype"/>
          <w:sz w:val="22"/>
          <w:szCs w:val="22"/>
        </w:rPr>
        <w:lastRenderedPageBreak/>
        <w:t>2023, UTSEM EXT-LVI-003-2023 y UTSEM EXT-LVI-002-2023, respectivamente, se autorizó tramitar ante la Secretaría de Finanzas las ampliaciones presupuestales indicadas para los servicios indicados en el inciso a).</w:t>
      </w:r>
    </w:p>
    <w:p w14:paraId="1EC9DE94"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FAG0000000101.pdf:</w:t>
      </w:r>
      <w:r w:rsidRPr="00F30A3D">
        <w:rPr>
          <w:rFonts w:ascii="Palatino Linotype" w:eastAsia="Palatino Linotype" w:hAnsi="Palatino Linotype" w:cs="Palatino Linotype"/>
          <w:sz w:val="22"/>
          <w:szCs w:val="22"/>
        </w:rPr>
        <w:t xml:space="preserve"> En versión íntegra, la factura con folio 101, de fecha cinco de octubre de dos mil veintitrés, por concepto de “Pago del 50% del importe total del contrato de prestación de servicios derivado de la invitación restringida IR/UTSEM/03/2023, referente a la adaptación de locales, almacenes, bodegas y edificios; por avance de servicio”, expedido por una persona moral a favor de la Universidad Tecnológica del Sur del Estado de México.</w:t>
      </w:r>
    </w:p>
    <w:p w14:paraId="416C85E5"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GCI121128HW6_Factura__658_BFA1D264-DA1F-43BA-8A0C-8E4B38A13C79.pdf:</w:t>
      </w:r>
      <w:r w:rsidRPr="00F30A3D">
        <w:rPr>
          <w:rFonts w:ascii="Palatino Linotype" w:eastAsia="Palatino Linotype" w:hAnsi="Palatino Linotype" w:cs="Palatino Linotype"/>
          <w:sz w:val="22"/>
          <w:szCs w:val="22"/>
        </w:rPr>
        <w:t xml:space="preserve"> En versión íntegra, la factura 658, con fecha de emisión diecinueve de diciembre de dos mil veintitrés, por concepto “Finiquito del 20% del importe total del contrato de prestación de servicios derivado de la invitación restringida IR/UTSEM/02/2023, referente a la reparación, instalación y mantenimiento de bienes informáticos, microfilmación y tecnologías de la información; por avance de servicio.”, expedido por una persona moral a favor de la Universidad Tecnológica del Sur del Estado de México.</w:t>
      </w:r>
    </w:p>
    <w:p w14:paraId="7B596985"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FAG0000000117.pdf:</w:t>
      </w:r>
      <w:r w:rsidRPr="00F30A3D">
        <w:rPr>
          <w:rFonts w:ascii="Palatino Linotype" w:eastAsia="Palatino Linotype" w:hAnsi="Palatino Linotype" w:cs="Palatino Linotype"/>
          <w:sz w:val="22"/>
          <w:szCs w:val="22"/>
        </w:rPr>
        <w:t xml:space="preserve"> En versión íntegra, la factura con folio 117, de fecha veintidós de enero de dos mil veintitrés, por concepto “Contrato de prestación de servicios derivado de la invitación restringida IR/UTSEM/03/2023, referente a la adaptación de locales, almacenes, bodegas y edificios”, expedido por una persona moral a favor de la Universidad Tecnológica del Sur del Estado de México.</w:t>
      </w:r>
    </w:p>
    <w:p w14:paraId="30321086"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GCI121128HW6_Factura__657_A122D3DB-2C38-48BF-91BC-1ED9E5CB24B0.pdf:</w:t>
      </w:r>
      <w:r w:rsidRPr="00F30A3D">
        <w:rPr>
          <w:rFonts w:ascii="Palatino Linotype" w:eastAsia="Palatino Linotype" w:hAnsi="Palatino Linotype" w:cs="Palatino Linotype"/>
          <w:sz w:val="22"/>
          <w:szCs w:val="22"/>
        </w:rPr>
        <w:t xml:space="preserve"> En versión íntegra, la factura 657, de fecha de emisión diecinueve de diciembre de dos mil veintitrés, por concepto “Finiquito del 20% del importe total del contrato de prestación de servicios derivado de la invitación restringida IR/UTSEM/01/2023, referente a la </w:t>
      </w:r>
      <w:r w:rsidRPr="00F30A3D">
        <w:rPr>
          <w:rFonts w:ascii="Palatino Linotype" w:eastAsia="Palatino Linotype" w:hAnsi="Palatino Linotype" w:cs="Palatino Linotype"/>
          <w:sz w:val="22"/>
          <w:szCs w:val="22"/>
        </w:rPr>
        <w:lastRenderedPageBreak/>
        <w:t>reparación y mantenimiento de inmuebles; por avance de servicio.”, expedido por una persona moral a favor de la Universidad Tecnológica del Sur del Estado de México.</w:t>
      </w:r>
    </w:p>
    <w:p w14:paraId="0BB0AC3D"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GCI121128HW6_Factura__649_8F3667DA-24CC-4A08-B0D5-0C198202E94D.pdf:</w:t>
      </w:r>
      <w:r w:rsidRPr="00F30A3D">
        <w:rPr>
          <w:rFonts w:ascii="Palatino Linotype" w:eastAsia="Palatino Linotype" w:hAnsi="Palatino Linotype" w:cs="Palatino Linotype"/>
          <w:sz w:val="22"/>
          <w:szCs w:val="22"/>
        </w:rPr>
        <w:t xml:space="preserve"> Factura 649, de fecha de emisión dieciséis de noviembre de dos mil veintitrés, por concepto “Avance del 30% por contrato IR/UTSEM/02/2023 por servicios de reparación, instalación y mantenimiento de bienes informáticos, microfilmación y tecnologías de la información”, expedido por una persona moral a favor de la Universidad Tecnológica del Sur del Estado de México.</w:t>
      </w:r>
    </w:p>
    <w:p w14:paraId="13CC658C" w14:textId="77777777" w:rsidR="00EC154B" w:rsidRPr="00F30A3D" w:rsidRDefault="002A4CE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Informe.pdf:</w:t>
      </w:r>
      <w:r w:rsidRPr="00F30A3D">
        <w:rPr>
          <w:rFonts w:ascii="Palatino Linotype" w:eastAsia="Palatino Linotype" w:hAnsi="Palatino Linotype" w:cs="Palatino Linotype"/>
          <w:sz w:val="22"/>
          <w:szCs w:val="22"/>
        </w:rPr>
        <w:t xml:space="preserve"> Oficio número 228C09010200001L/060/2024, de fecha uno de abril de dos mil veinticuatro, signado por la Jefa de Departamento de Programación y Presupuesto, mediante el cual rinde manifestaciones y hace la precisión de que no son obras sino servicios los que fueron realizados a los que se refiere el particular indicando el nombre correcto:</w:t>
      </w:r>
      <w:r w:rsidRPr="00F30A3D">
        <w:t xml:space="preserve"> </w:t>
      </w:r>
      <w:r w:rsidRPr="00F30A3D">
        <w:rPr>
          <w:rFonts w:ascii="Palatino Linotype" w:eastAsia="Palatino Linotype" w:hAnsi="Palatino Linotype" w:cs="Palatino Linotype"/>
          <w:sz w:val="22"/>
          <w:szCs w:val="22"/>
        </w:rPr>
        <w:t>ADAPTACIÓN DE LOCALES, ALMACENES, BODEGAS Y EDIFICIOS (sistema fotovoltaico) REPARACIÓN, INSTALACIÓN Y MANTENIMIENTO DE BIENES INFORMÁTICOS, MICROFILMACIÓN Y TECNOLOGÍAS DE LA INFORMACIÓN (servicio de internet) REPARACIÓN Y MANTENIMIENTO DE INMUEBLES (mantenimiento de cafetería).</w:t>
      </w:r>
    </w:p>
    <w:p w14:paraId="236066FB" w14:textId="77777777" w:rsidR="00EC154B" w:rsidRPr="00F30A3D" w:rsidRDefault="00EC154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p>
    <w:p w14:paraId="445B6AB9"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Asimismo, que el 5 de junio de 2023, a través de los acuerdos UTSEM EXT-LVI-002-2023, UTSEM EXT-LVI-003-2023 y UTSEM EXT-LVI-004-2023, aprobados en la Quincuagésima Sexta Sesión Extraordinaria del H. Consejo Directivo de la Universidad Tecnológica del Sur del Estado de México, se autorizó tramitar ante la Secretaría de Finanzas </w:t>
      </w:r>
      <w:r w:rsidRPr="00F30A3D">
        <w:rPr>
          <w:rFonts w:ascii="Palatino Linotype" w:eastAsia="Palatino Linotype" w:hAnsi="Palatino Linotype" w:cs="Palatino Linotype"/>
          <w:b/>
          <w:sz w:val="22"/>
          <w:szCs w:val="22"/>
        </w:rPr>
        <w:t>una ampliación presupuestal líquida por la cantidad total de $31, 845,853.99</w:t>
      </w:r>
      <w:r w:rsidRPr="00F30A3D">
        <w:rPr>
          <w:rFonts w:ascii="Palatino Linotype" w:eastAsia="Palatino Linotype" w:hAnsi="Palatino Linotype" w:cs="Palatino Linotype"/>
          <w:sz w:val="22"/>
          <w:szCs w:val="22"/>
        </w:rPr>
        <w:t xml:space="preserve"> para llevar a cabo los servicios referentes a los rubras de ADAPTACIÓN DE LOCALES, ALMACENES, BODEGAS Y EDIFICIOS (sistema fotovoltaico) REPARACIÓN, </w:t>
      </w:r>
      <w:r w:rsidRPr="00F30A3D">
        <w:rPr>
          <w:rFonts w:ascii="Palatino Linotype" w:eastAsia="Palatino Linotype" w:hAnsi="Palatino Linotype" w:cs="Palatino Linotype"/>
          <w:sz w:val="22"/>
          <w:szCs w:val="22"/>
        </w:rPr>
        <w:lastRenderedPageBreak/>
        <w:t>INSTALACIÓN Y MANTENIMIENTO DE BIENES INFORMÁTICOS, MICROFILMACIÓN Y TECNOLOGÍAS DE LA INFORMACIÓN (servicio de internet) REPARACIÓN Y MANTENIMIENTO DE INMUEBLES (mantenimiento de cafetería), respectivamente.</w:t>
      </w:r>
    </w:p>
    <w:p w14:paraId="021A1640" w14:textId="77777777" w:rsidR="00EC154B" w:rsidRPr="00F30A3D" w:rsidRDefault="00EC154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p>
    <w:p w14:paraId="3DD43CF6"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Consecuentemente se indicó que, los servicios se llevaron a cabo mediante las licitaciones públicas y adjudicaciones correspondientes, aportando un link en formato cerrado donde refiere se puede verificar el procedimiento y los pasos a ingresar:</w:t>
      </w:r>
    </w:p>
    <w:p w14:paraId="12338D8D"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noProof/>
          <w:sz w:val="22"/>
          <w:szCs w:val="22"/>
        </w:rPr>
        <w:drawing>
          <wp:inline distT="0" distB="0" distL="0" distR="0" wp14:anchorId="1B935E05" wp14:editId="7F8AA713">
            <wp:extent cx="5382745" cy="1242752"/>
            <wp:effectExtent l="3175" t="3175" r="3175" b="3175"/>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5357"/>
                    <a:stretch>
                      <a:fillRect/>
                    </a:stretch>
                  </pic:blipFill>
                  <pic:spPr>
                    <a:xfrm>
                      <a:off x="0" y="0"/>
                      <a:ext cx="5382745" cy="1242752"/>
                    </a:xfrm>
                    <a:prstGeom prst="rect">
                      <a:avLst/>
                    </a:prstGeom>
                    <a:ln w="3175">
                      <a:solidFill>
                        <a:srgbClr val="000000"/>
                      </a:solidFill>
                      <a:prstDash val="solid"/>
                    </a:ln>
                  </pic:spPr>
                </pic:pic>
              </a:graphicData>
            </a:graphic>
          </wp:inline>
        </w:drawing>
      </w:r>
    </w:p>
    <w:p w14:paraId="5ECA1F15" w14:textId="77777777" w:rsidR="00EC154B" w:rsidRPr="00F30A3D" w:rsidRDefault="00EC154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p>
    <w:p w14:paraId="0B173FB3"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Finalmente, en el oficio de referencia se indica que con la finalidad de garantizar el derecho de acceso a la información del particular hace entrega de lo siguiente:</w:t>
      </w:r>
    </w:p>
    <w:p w14:paraId="15F36C0E"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 El monto asignado para las tres obras, con la aclaración que fueron servicios.</w:t>
      </w:r>
    </w:p>
    <w:p w14:paraId="36850724"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b) Respecto a las facturas señaladas en la solicitud, informó que se agregan en copia simple.</w:t>
      </w:r>
    </w:p>
    <w:p w14:paraId="286FB071"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c) Con respecto a cheques emitidos, es de señalar, que los pagos fueron realizados a través de transferencia.</w:t>
      </w:r>
    </w:p>
    <w:p w14:paraId="5FD0BA03"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 Respecto al pago de trabajadores, se indicó que al momento de la firma de los convenios respectivos, la universidad se deslindó de la contratación de la responsabilidad patronal.</w:t>
      </w:r>
    </w:p>
    <w:p w14:paraId="657CF28F" w14:textId="77777777" w:rsidR="00EC154B" w:rsidRPr="00F30A3D" w:rsidRDefault="002A4CEB">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 Por último, con respecto a las fotografías solicitadas, no es parte de la función del servidor público habilitado de ese Departamento de Programación y Presupuesto.</w:t>
      </w:r>
    </w:p>
    <w:p w14:paraId="05724041" w14:textId="77777777" w:rsidR="00EC154B" w:rsidRPr="00F30A3D" w:rsidRDefault="00EC154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B17AB19" w14:textId="77777777" w:rsidR="00EC154B" w:rsidRPr="00F30A3D" w:rsidRDefault="002A4CE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Documentos que fueron puestos a la vista de la parte </w:t>
      </w:r>
      <w:r w:rsidRPr="00F30A3D">
        <w:rPr>
          <w:rFonts w:ascii="Palatino Linotype" w:eastAsia="Palatino Linotype" w:hAnsi="Palatino Linotype" w:cs="Palatino Linotype"/>
          <w:b/>
          <w:sz w:val="22"/>
          <w:szCs w:val="22"/>
        </w:rPr>
        <w:t>Recurrente</w:t>
      </w:r>
      <w:r w:rsidRPr="00F30A3D">
        <w:rPr>
          <w:rFonts w:ascii="Palatino Linotype" w:eastAsia="Palatino Linotype" w:hAnsi="Palatino Linotype" w:cs="Palatino Linotype"/>
          <w:sz w:val="22"/>
          <w:szCs w:val="22"/>
        </w:rPr>
        <w:t xml:space="preserve"> en fecha quince de julio de dos mil veinticuatro, a fin de que hiciera valer manifestaciones o rindiera alegatos que conforme a derecho resultaran procedentes, no obstante fue omisa en hacer valer dicha prerrogativa.</w:t>
      </w:r>
    </w:p>
    <w:p w14:paraId="260B9B60" w14:textId="77777777" w:rsidR="00EC154B" w:rsidRPr="00F30A3D" w:rsidRDefault="00EC154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6547BAE" w14:textId="77777777" w:rsidR="00EC154B" w:rsidRPr="00F30A3D" w:rsidRDefault="002A4CEB">
      <w:pPr>
        <w:widowControl w:val="0"/>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7. Ampliación del plazo para resolver el recurso.</w:t>
      </w:r>
      <w:r w:rsidRPr="00F30A3D">
        <w:rPr>
          <w:rFonts w:ascii="Palatino Linotype" w:eastAsia="Palatino Linotype" w:hAnsi="Palatino Linotype" w:cs="Palatino Linotype"/>
          <w:sz w:val="22"/>
          <w:szCs w:val="22"/>
        </w:rPr>
        <w:t xml:space="preserve"> El</w:t>
      </w:r>
      <w:r w:rsidRPr="00F30A3D">
        <w:rPr>
          <w:rFonts w:ascii="Palatino Linotype" w:eastAsia="Palatino Linotype" w:hAnsi="Palatino Linotype" w:cs="Palatino Linotype"/>
          <w:b/>
          <w:sz w:val="22"/>
          <w:szCs w:val="22"/>
        </w:rPr>
        <w:t xml:space="preserve"> cinco de septiembre de dos mil veinticuatro</w:t>
      </w:r>
      <w:r w:rsidRPr="00F30A3D">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121998D5" w14:textId="77777777" w:rsidR="00EC154B" w:rsidRPr="00F30A3D" w:rsidRDefault="00EC154B">
      <w:pPr>
        <w:widowControl w:val="0"/>
        <w:spacing w:line="360" w:lineRule="auto"/>
        <w:jc w:val="both"/>
        <w:rPr>
          <w:rFonts w:ascii="Palatino Linotype" w:eastAsia="Palatino Linotype" w:hAnsi="Palatino Linotype" w:cs="Palatino Linotype"/>
          <w:sz w:val="22"/>
          <w:szCs w:val="22"/>
        </w:rPr>
      </w:pPr>
    </w:p>
    <w:p w14:paraId="7B08D5F4"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D04E2C9"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w:t>
      </w:r>
    </w:p>
    <w:p w14:paraId="5F7CF722"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821C371"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w:t>
      </w:r>
    </w:p>
    <w:p w14:paraId="2253BC11"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F30A3D">
        <w:rPr>
          <w:rFonts w:ascii="Palatino Linotype" w:eastAsia="Palatino Linotype" w:hAnsi="Palatino Linotype" w:cs="Palatino Linotype"/>
          <w:sz w:val="22"/>
          <w:szCs w:val="22"/>
        </w:rPr>
        <w:lastRenderedPageBreak/>
        <w:t>posible, tomando en consideración la dilación total del procedimiento; esto es, en un plazo razonable.</w:t>
      </w:r>
    </w:p>
    <w:p w14:paraId="01628EE1"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3D0FF1C8"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BB474C"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56AAF20B"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7147C1D"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67EA68DB" w14:textId="77777777" w:rsidR="00EC154B" w:rsidRPr="00F30A3D" w:rsidRDefault="002A4CEB">
      <w:pPr>
        <w:tabs>
          <w:tab w:val="left" w:pos="709"/>
        </w:tabs>
        <w:spacing w:line="360"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a)    Complejidad del asunto:</w:t>
      </w:r>
      <w:r w:rsidRPr="00F30A3D">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26C59139" w14:textId="77777777" w:rsidR="00EC154B" w:rsidRPr="00F30A3D" w:rsidRDefault="002A4CEB">
      <w:pPr>
        <w:tabs>
          <w:tab w:val="left" w:pos="709"/>
        </w:tabs>
        <w:spacing w:line="360"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b)   Actividad Procesal del interesado</w:t>
      </w:r>
      <w:r w:rsidRPr="00F30A3D">
        <w:rPr>
          <w:rFonts w:ascii="Palatino Linotype" w:eastAsia="Palatino Linotype" w:hAnsi="Palatino Linotype" w:cs="Palatino Linotype"/>
          <w:sz w:val="22"/>
          <w:szCs w:val="22"/>
        </w:rPr>
        <w:t>: Acciones u omisiones del interesado.</w:t>
      </w:r>
    </w:p>
    <w:p w14:paraId="0460EE42" w14:textId="77777777" w:rsidR="00EC154B" w:rsidRPr="00F30A3D" w:rsidRDefault="002A4CEB">
      <w:pPr>
        <w:tabs>
          <w:tab w:val="left" w:pos="851"/>
        </w:tabs>
        <w:spacing w:line="360"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c)  Conducta de la Autoridad:</w:t>
      </w:r>
      <w:r w:rsidRPr="00F30A3D">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15A11672" w14:textId="77777777" w:rsidR="00EC154B" w:rsidRPr="00F30A3D" w:rsidRDefault="002A4CEB">
      <w:pPr>
        <w:tabs>
          <w:tab w:val="left" w:pos="851"/>
        </w:tabs>
        <w:spacing w:line="360"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d) La afectación generada en la situación jurídica de la persona involucrada en el proceso:</w:t>
      </w:r>
      <w:r w:rsidRPr="00F30A3D">
        <w:rPr>
          <w:rFonts w:ascii="Palatino Linotype" w:eastAsia="Palatino Linotype" w:hAnsi="Palatino Linotype" w:cs="Palatino Linotype"/>
          <w:sz w:val="22"/>
          <w:szCs w:val="22"/>
        </w:rPr>
        <w:t xml:space="preserve"> Violación a sus derechos humanos.</w:t>
      </w:r>
    </w:p>
    <w:p w14:paraId="5FE6DD4B" w14:textId="77777777" w:rsidR="00EC154B" w:rsidRPr="00F30A3D" w:rsidRDefault="00EC154B">
      <w:pPr>
        <w:tabs>
          <w:tab w:val="left" w:pos="851"/>
        </w:tabs>
        <w:spacing w:line="360" w:lineRule="auto"/>
        <w:ind w:left="567" w:right="560"/>
        <w:jc w:val="both"/>
        <w:rPr>
          <w:rFonts w:ascii="Palatino Linotype" w:eastAsia="Palatino Linotype" w:hAnsi="Palatino Linotype" w:cs="Palatino Linotype"/>
          <w:sz w:val="22"/>
          <w:szCs w:val="22"/>
        </w:rPr>
      </w:pPr>
    </w:p>
    <w:p w14:paraId="36C463D5"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F30A3D">
        <w:rPr>
          <w:rFonts w:ascii="Palatino Linotype" w:eastAsia="Palatino Linotype" w:hAnsi="Palatino Linotype" w:cs="Palatino Linotype"/>
          <w:sz w:val="22"/>
          <w:szCs w:val="22"/>
        </w:rPr>
        <w:lastRenderedPageBreak/>
        <w:t>debe concluirse que es una excluyente de responsabilidad en relación con la actuación del funcionario, como ha acontecido en el caso que nos ocupa.</w:t>
      </w:r>
    </w:p>
    <w:p w14:paraId="2736B733"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w:t>
      </w:r>
    </w:p>
    <w:p w14:paraId="791EEAAD"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Argumento que encuentra sustento en la jurisprudencia P./J. 32/92 emitida por el Pleno de la Suprema Corte de Justicia de la Nación de rubro “</w:t>
      </w:r>
      <w:r w:rsidRPr="00F30A3D">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F30A3D">
        <w:rPr>
          <w:rFonts w:ascii="Palatino Linotype" w:eastAsia="Palatino Linotype" w:hAnsi="Palatino Linotype" w:cs="Palatino Linotype"/>
          <w:sz w:val="22"/>
          <w:szCs w:val="22"/>
        </w:rPr>
        <w:t>, visible en la Gaceta del Seminario Judicial de la Federación con el registro digital 205635.</w:t>
      </w:r>
    </w:p>
    <w:p w14:paraId="321DF62B"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w:t>
      </w:r>
    </w:p>
    <w:p w14:paraId="4279AB1C"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0A622B1"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108DD21F"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BC29F5E"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w:t>
      </w:r>
    </w:p>
    <w:p w14:paraId="6468A426" w14:textId="77777777" w:rsidR="00EC154B" w:rsidRPr="00F30A3D" w:rsidRDefault="002A4CEB">
      <w:pPr>
        <w:spacing w:line="276"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 “PLAZO RAZONABLE PARA RESOLVER. DIMENSIÓN Y EFECTOS DE ESTE CONCEPTO CUANDO SE ADUCE EXCESIVA CARGA DE </w:t>
      </w:r>
      <w:r w:rsidRPr="00F30A3D">
        <w:rPr>
          <w:rFonts w:ascii="Palatino Linotype" w:eastAsia="Palatino Linotype" w:hAnsi="Palatino Linotype" w:cs="Palatino Linotype"/>
          <w:b/>
          <w:sz w:val="22"/>
          <w:szCs w:val="22"/>
        </w:rPr>
        <w:lastRenderedPageBreak/>
        <w:t>TRABAJO.”</w:t>
      </w:r>
      <w:r w:rsidRPr="00F30A3D">
        <w:rPr>
          <w:rFonts w:ascii="Palatino Linotype" w:eastAsia="Palatino Linotype" w:hAnsi="Palatino Linotype" w:cs="Palatino Linotype"/>
          <w:sz w:val="22"/>
          <w:szCs w:val="22"/>
        </w:rPr>
        <w:t xml:space="preserve"> consultable en el Seminario Judicial de la Federación y su gaceta, con el registro digital 2002351.</w:t>
      </w:r>
    </w:p>
    <w:p w14:paraId="1D6E3F31" w14:textId="77777777" w:rsidR="00EC154B" w:rsidRPr="00F30A3D" w:rsidRDefault="002A4CEB">
      <w:pPr>
        <w:spacing w:line="276"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 </w:t>
      </w:r>
    </w:p>
    <w:p w14:paraId="297AF82B" w14:textId="77777777" w:rsidR="00EC154B" w:rsidRPr="00F30A3D" w:rsidRDefault="002A4CEB">
      <w:pPr>
        <w:spacing w:line="276" w:lineRule="auto"/>
        <w:ind w:left="567" w:right="56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F30A3D">
        <w:rPr>
          <w:rFonts w:ascii="Palatino Linotype" w:eastAsia="Palatino Linotype" w:hAnsi="Palatino Linotype" w:cs="Palatino Linotype"/>
          <w:sz w:val="22"/>
          <w:szCs w:val="22"/>
        </w:rPr>
        <w:t xml:space="preserve"> visible en el Seminario Judicial de la Federación y su gaceta, con el registro digital 2002350.</w:t>
      </w:r>
    </w:p>
    <w:p w14:paraId="6D8F5A64" w14:textId="77777777" w:rsidR="00EC154B" w:rsidRPr="00F30A3D" w:rsidRDefault="00EC154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F8BA730" w14:textId="77777777" w:rsidR="00EC154B" w:rsidRPr="00F30A3D" w:rsidRDefault="002A4CE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1B99B5D4" w14:textId="77777777" w:rsidR="00EC154B" w:rsidRPr="00F30A3D" w:rsidRDefault="00EC154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b/>
          <w:sz w:val="22"/>
          <w:szCs w:val="22"/>
        </w:rPr>
      </w:pPr>
    </w:p>
    <w:p w14:paraId="72E1543D" w14:textId="77777777" w:rsidR="00EC154B" w:rsidRPr="00F30A3D" w:rsidRDefault="002A4CE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8. Cierre de instrucción. </w:t>
      </w:r>
      <w:r w:rsidRPr="00F30A3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F30A3D">
        <w:rPr>
          <w:rFonts w:ascii="Palatino Linotype" w:eastAsia="Palatino Linotype" w:hAnsi="Palatino Linotype" w:cs="Palatino Linotype"/>
          <w:b/>
          <w:sz w:val="22"/>
          <w:szCs w:val="22"/>
        </w:rPr>
        <w:t>cinco de septiembre de dos mil veinticuatro,</w:t>
      </w:r>
      <w:r w:rsidRPr="00F30A3D">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9699A47" w14:textId="77777777" w:rsidR="00EC154B" w:rsidRPr="00F30A3D" w:rsidRDefault="00EC154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35061D8" w14:textId="77777777" w:rsidR="00EC154B" w:rsidRPr="00F30A3D" w:rsidRDefault="002A4CE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DC68351" w14:textId="77777777" w:rsidR="00EC154B" w:rsidRPr="00F30A3D" w:rsidRDefault="002A4CEB">
      <w:pPr>
        <w:widowControl w:val="0"/>
        <w:spacing w:before="240" w:after="240" w:line="360" w:lineRule="auto"/>
        <w:jc w:val="center"/>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II. C O N S I D E R A N D O S</w:t>
      </w:r>
    </w:p>
    <w:p w14:paraId="73A8B12F" w14:textId="77777777" w:rsidR="00EC154B" w:rsidRPr="00F30A3D" w:rsidRDefault="002A4CEB">
      <w:pPr>
        <w:spacing w:line="360" w:lineRule="auto"/>
        <w:jc w:val="both"/>
        <w:rPr>
          <w:rFonts w:ascii="Palatino Linotype" w:eastAsia="Palatino Linotype" w:hAnsi="Palatino Linotype" w:cs="Palatino Linotype"/>
          <w:sz w:val="22"/>
          <w:szCs w:val="22"/>
        </w:rPr>
      </w:pPr>
      <w:bookmarkStart w:id="6" w:name="_heading=h.17dp8vu" w:colFirst="0" w:colLast="0"/>
      <w:bookmarkEnd w:id="6"/>
      <w:r w:rsidRPr="00F30A3D">
        <w:rPr>
          <w:rFonts w:ascii="Palatino Linotype" w:eastAsia="Palatino Linotype" w:hAnsi="Palatino Linotype" w:cs="Palatino Linotype"/>
          <w:b/>
          <w:sz w:val="22"/>
          <w:szCs w:val="22"/>
        </w:rPr>
        <w:t>Primero. Competencia.</w:t>
      </w:r>
      <w:r w:rsidRPr="00F30A3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F30A3D">
        <w:rPr>
          <w:rFonts w:ascii="Palatino Linotype" w:eastAsia="Palatino Linotype" w:hAnsi="Palatino Linotype" w:cs="Palatino Linotype"/>
          <w:sz w:val="22"/>
          <w:szCs w:val="22"/>
        </w:rPr>
        <w:lastRenderedPageBreak/>
        <w:t>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A25488"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391B401" w14:textId="77777777" w:rsidR="00EC154B" w:rsidRPr="00F30A3D" w:rsidRDefault="002A4CEB">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F30A3D">
        <w:rPr>
          <w:rFonts w:ascii="Palatino Linotype" w:eastAsia="Palatino Linotype" w:hAnsi="Palatino Linotype" w:cs="Palatino Linotype"/>
          <w:b/>
          <w:sz w:val="22"/>
          <w:szCs w:val="22"/>
        </w:rPr>
        <w:t>Segundo. Oportunidad y Procedibilidad del Recurso de Revisión</w:t>
      </w:r>
      <w:r w:rsidRPr="00F30A3D">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7B378F6"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B342CBD"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remitió la respuesta a la solicitud de información el </w:t>
      </w:r>
      <w:r w:rsidRPr="00F30A3D">
        <w:rPr>
          <w:rFonts w:ascii="Palatino Linotype" w:eastAsia="Palatino Linotype" w:hAnsi="Palatino Linotype" w:cs="Palatino Linotype"/>
          <w:b/>
          <w:sz w:val="22"/>
          <w:szCs w:val="22"/>
        </w:rPr>
        <w:t xml:space="preserve">veintinueve de febrero de dos mil veinticuatro, </w:t>
      </w:r>
      <w:r w:rsidRPr="00F30A3D">
        <w:rPr>
          <w:rFonts w:ascii="Palatino Linotype" w:eastAsia="Palatino Linotype" w:hAnsi="Palatino Linotype" w:cs="Palatino Linotype"/>
          <w:sz w:val="22"/>
          <w:szCs w:val="22"/>
        </w:rPr>
        <w:t xml:space="preserve">mientras que el recurso de revisión interpuesto por </w:t>
      </w:r>
      <w:r w:rsidRPr="00F30A3D">
        <w:rPr>
          <w:rFonts w:ascii="Palatino Linotype" w:eastAsia="Palatino Linotype" w:hAnsi="Palatino Linotype" w:cs="Palatino Linotype"/>
          <w:b/>
          <w:sz w:val="22"/>
          <w:szCs w:val="22"/>
        </w:rPr>
        <w:t>la parte</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Recurrente</w:t>
      </w:r>
      <w:r w:rsidRPr="00F30A3D">
        <w:rPr>
          <w:rFonts w:ascii="Palatino Linotype" w:eastAsia="Palatino Linotype" w:hAnsi="Palatino Linotype" w:cs="Palatino Linotype"/>
          <w:sz w:val="22"/>
          <w:szCs w:val="22"/>
        </w:rPr>
        <w:t xml:space="preserve">, se tuvo por presentado el </w:t>
      </w:r>
      <w:r w:rsidRPr="00F30A3D">
        <w:rPr>
          <w:rFonts w:ascii="Palatino Linotype" w:eastAsia="Palatino Linotype" w:hAnsi="Palatino Linotype" w:cs="Palatino Linotype"/>
          <w:b/>
          <w:sz w:val="22"/>
          <w:szCs w:val="22"/>
        </w:rPr>
        <w:t xml:space="preserve">catorce de marzo de dos mil veinticuatro, </w:t>
      </w:r>
      <w:r w:rsidRPr="00F30A3D">
        <w:rPr>
          <w:rFonts w:ascii="Palatino Linotype" w:eastAsia="Palatino Linotype" w:hAnsi="Palatino Linotype" w:cs="Palatino Linotype"/>
          <w:sz w:val="22"/>
          <w:szCs w:val="22"/>
        </w:rPr>
        <w:t xml:space="preserve">esto es, al noveno día hábil siguiente a aquel en </w:t>
      </w:r>
      <w:r w:rsidRPr="00F30A3D">
        <w:rPr>
          <w:rFonts w:ascii="Palatino Linotype" w:eastAsia="Palatino Linotype" w:hAnsi="Palatino Linotype" w:cs="Palatino Linotype"/>
          <w:b/>
          <w:sz w:val="22"/>
          <w:szCs w:val="22"/>
        </w:rPr>
        <w:t>que se tuvo conocimiento de la respuesta impugnada</w:t>
      </w:r>
      <w:r w:rsidRPr="00F30A3D">
        <w:rPr>
          <w:rFonts w:ascii="Palatino Linotype" w:eastAsia="Palatino Linotype" w:hAnsi="Palatino Linotype" w:cs="Palatino Linotype"/>
          <w:sz w:val="22"/>
          <w:szCs w:val="22"/>
        </w:rPr>
        <w:t xml:space="preserve">. </w:t>
      </w:r>
    </w:p>
    <w:p w14:paraId="7BA5316A"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B6598C9"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3A31270"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32072E1A" w14:textId="77777777" w:rsidR="00EC154B" w:rsidRPr="00F30A3D" w:rsidRDefault="002A4CEB">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F30A3D">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w:t>
      </w:r>
      <w:r w:rsidRPr="00F30A3D">
        <w:rPr>
          <w:rFonts w:ascii="Palatino Linotype" w:eastAsia="Palatino Linotype" w:hAnsi="Palatino Linotype" w:cs="Palatino Linotype"/>
          <w:sz w:val="22"/>
          <w:szCs w:val="22"/>
        </w:rPr>
        <w:lastRenderedPageBreak/>
        <w:t>plena de los elementos formales precisados por el artículo 180 de la Ley de Transparencia y Acceso a la Información Pública del Estado de México y Municipios, en atención a que fue presentado mediante el formato visible en el SAIMEX.</w:t>
      </w:r>
    </w:p>
    <w:p w14:paraId="588065FF" w14:textId="77777777" w:rsidR="00EC154B" w:rsidRPr="00F30A3D" w:rsidRDefault="00EC154B">
      <w:pPr>
        <w:tabs>
          <w:tab w:val="left" w:pos="7938"/>
        </w:tabs>
        <w:spacing w:line="360" w:lineRule="auto"/>
        <w:jc w:val="both"/>
        <w:rPr>
          <w:rFonts w:ascii="Palatino Linotype" w:eastAsia="Palatino Linotype" w:hAnsi="Palatino Linotype" w:cs="Palatino Linotype"/>
          <w:sz w:val="22"/>
          <w:szCs w:val="22"/>
        </w:rPr>
      </w:pPr>
    </w:p>
    <w:p w14:paraId="50D5DD93"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Finalmente, se advierte que resulta procedente la interposición del recurso, según lo manifestado por </w:t>
      </w:r>
      <w:r w:rsidRPr="00F30A3D">
        <w:rPr>
          <w:rFonts w:ascii="Palatino Linotype" w:eastAsia="Palatino Linotype" w:hAnsi="Palatino Linotype" w:cs="Palatino Linotype"/>
          <w:b/>
          <w:sz w:val="22"/>
          <w:szCs w:val="22"/>
        </w:rPr>
        <w:t>la parte</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Recurrente</w:t>
      </w:r>
      <w:r w:rsidRPr="00F30A3D">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37A2267F"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2ABA4A9" w14:textId="77777777" w:rsidR="00EC154B" w:rsidRPr="00F30A3D" w:rsidRDefault="002A4CEB">
      <w:pPr>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Artículo 179.</w:t>
      </w:r>
      <w:r w:rsidRPr="00F30A3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DD8CF05" w14:textId="77777777" w:rsidR="00EC154B" w:rsidRPr="00F30A3D" w:rsidRDefault="002A4CEB">
      <w:pPr>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318AD4AD" w14:textId="77777777" w:rsidR="00EC154B" w:rsidRPr="00F30A3D" w:rsidRDefault="002A4CEB">
      <w:pPr>
        <w:ind w:left="567"/>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 La negativa a la información solicitada;”</w:t>
      </w:r>
    </w:p>
    <w:p w14:paraId="360DACDE" w14:textId="77777777" w:rsidR="00EC154B" w:rsidRPr="00F30A3D" w:rsidRDefault="00EC154B">
      <w:pPr>
        <w:ind w:left="567"/>
        <w:rPr>
          <w:rFonts w:ascii="Palatino Linotype" w:eastAsia="Palatino Linotype" w:hAnsi="Palatino Linotype" w:cs="Palatino Linotype"/>
          <w:b/>
          <w:i/>
          <w:sz w:val="22"/>
          <w:szCs w:val="22"/>
        </w:rPr>
      </w:pPr>
    </w:p>
    <w:p w14:paraId="45AD8715" w14:textId="77777777" w:rsidR="00EC154B" w:rsidRPr="00F30A3D" w:rsidRDefault="002A4CEB">
      <w:pPr>
        <w:ind w:left="567"/>
        <w:jc w:val="right"/>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 </w:t>
      </w:r>
      <w:r w:rsidRPr="00F30A3D">
        <w:rPr>
          <w:rFonts w:ascii="Palatino Linotype" w:eastAsia="Palatino Linotype" w:hAnsi="Palatino Linotype" w:cs="Palatino Linotype"/>
          <w:i/>
          <w:sz w:val="22"/>
          <w:szCs w:val="22"/>
        </w:rPr>
        <w:t>(Énfasis añadido)</w:t>
      </w:r>
    </w:p>
    <w:p w14:paraId="2D240094" w14:textId="77777777" w:rsidR="00EC154B" w:rsidRPr="00F30A3D" w:rsidRDefault="00EC154B">
      <w:pPr>
        <w:spacing w:line="360" w:lineRule="auto"/>
        <w:jc w:val="both"/>
        <w:rPr>
          <w:rFonts w:ascii="Palatino Linotype" w:eastAsia="Palatino Linotype" w:hAnsi="Palatino Linotype" w:cs="Palatino Linotype"/>
          <w:b/>
          <w:sz w:val="22"/>
          <w:szCs w:val="22"/>
        </w:rPr>
      </w:pPr>
    </w:p>
    <w:p w14:paraId="59370056" w14:textId="77777777" w:rsidR="00EC154B" w:rsidRPr="00F30A3D" w:rsidRDefault="002A4CEB">
      <w:pP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 xml:space="preserve">Tercero. Materia de la revisión. </w:t>
      </w:r>
      <w:r w:rsidRPr="00F30A3D">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F30A3D">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F30A3D">
        <w:rPr>
          <w:rFonts w:ascii="Palatino Linotype" w:eastAsia="Palatino Linotype" w:hAnsi="Palatino Linotype" w:cs="Palatino Linotype"/>
          <w:sz w:val="22"/>
          <w:szCs w:val="22"/>
        </w:rPr>
        <w:t xml:space="preserve"> o en su defecto, en caso de ser procedente, ordenar la entrega de información oportuna.</w:t>
      </w:r>
    </w:p>
    <w:p w14:paraId="2E14C387"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D9DD52D"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Cuarto. Estudio del asunto. </w:t>
      </w:r>
      <w:r w:rsidRPr="00F30A3D">
        <w:rPr>
          <w:rFonts w:ascii="Palatino Linotype" w:eastAsia="Palatino Linotype" w:hAnsi="Palatino Linotype" w:cs="Palatino Linotype"/>
          <w:sz w:val="22"/>
          <w:szCs w:val="22"/>
        </w:rPr>
        <w:t xml:space="preserve">Antes de entrar al análisis de los pronunciamientos del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F30A3D">
        <w:rPr>
          <w:rFonts w:ascii="Palatino Linotype" w:eastAsia="Palatino Linotype" w:hAnsi="Palatino Linotype" w:cs="Palatino Linotype"/>
          <w:sz w:val="22"/>
          <w:szCs w:val="22"/>
        </w:rPr>
        <w:lastRenderedPageBreak/>
        <w:t>lo prevén los arábigos 1 párrafos primero, segundo y tercero y 6 apartado A fracciones I, II, III, IV, V, VI y VII que a la letra señalan:</w:t>
      </w:r>
    </w:p>
    <w:p w14:paraId="5B0815F5"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03F4686" w14:textId="77777777" w:rsidR="00EC154B" w:rsidRPr="00F30A3D" w:rsidRDefault="002A4CE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30A3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6815972" w14:textId="77777777" w:rsidR="00EC154B" w:rsidRPr="00F30A3D" w:rsidRDefault="002A4CE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B51514A" w14:textId="77777777" w:rsidR="00EC154B" w:rsidRPr="00F30A3D" w:rsidRDefault="002A4CE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30A3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9A86CDB" w14:textId="77777777" w:rsidR="00EC154B" w:rsidRPr="00F30A3D" w:rsidRDefault="002A4CE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w:t>
      </w:r>
    </w:p>
    <w:p w14:paraId="2D64F9C2" w14:textId="77777777" w:rsidR="00EC154B" w:rsidRPr="00F30A3D" w:rsidRDefault="002A4CE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“Artículo 6o.</w:t>
      </w:r>
    </w:p>
    <w:p w14:paraId="15CE460B" w14:textId="77777777" w:rsidR="00EC154B" w:rsidRPr="00F30A3D" w:rsidRDefault="002A4CE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w:t>
      </w:r>
    </w:p>
    <w:p w14:paraId="2561E12D"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 xml:space="preserve">A. Para el ejercicio del derecho de acceso a la información, la Federación y </w:t>
      </w:r>
      <w:r w:rsidRPr="00F30A3D">
        <w:rPr>
          <w:rFonts w:ascii="Palatino Linotype" w:eastAsia="Palatino Linotype" w:hAnsi="Palatino Linotype" w:cs="Palatino Linotype"/>
          <w:b/>
          <w:i/>
          <w:sz w:val="22"/>
          <w:szCs w:val="22"/>
          <w:u w:val="single"/>
        </w:rPr>
        <w:t>las entidades federativas</w:t>
      </w:r>
      <w:r w:rsidRPr="00F30A3D">
        <w:rPr>
          <w:rFonts w:ascii="Palatino Linotype" w:eastAsia="Palatino Linotype" w:hAnsi="Palatino Linotype" w:cs="Palatino Linotype"/>
          <w:b/>
          <w:i/>
          <w:sz w:val="22"/>
          <w:szCs w:val="22"/>
        </w:rPr>
        <w:t>,</w:t>
      </w:r>
      <w:r w:rsidRPr="00F30A3D">
        <w:rPr>
          <w:rFonts w:ascii="Palatino Linotype" w:eastAsia="Palatino Linotype" w:hAnsi="Palatino Linotype" w:cs="Palatino Linotype"/>
          <w:i/>
          <w:sz w:val="22"/>
          <w:szCs w:val="22"/>
        </w:rPr>
        <w:t xml:space="preserve"> en el ámbito de sus respectivas competencias, se regirán por los siguientes principios y bases:</w:t>
      </w:r>
    </w:p>
    <w:p w14:paraId="37083245"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 </w:t>
      </w:r>
      <w:r w:rsidRPr="00F30A3D">
        <w:rPr>
          <w:rFonts w:ascii="Palatino Linotype" w:eastAsia="Palatino Linotype" w:hAnsi="Palatino Linotype" w:cs="Palatino Linotype"/>
          <w:b/>
          <w:i/>
          <w:sz w:val="22"/>
          <w:szCs w:val="22"/>
        </w:rPr>
        <w:t xml:space="preserve">I. </w:t>
      </w:r>
      <w:r w:rsidRPr="00F30A3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30A3D">
        <w:rPr>
          <w:rFonts w:ascii="Palatino Linotype" w:eastAsia="Palatino Linotype" w:hAnsi="Palatino Linotype" w:cs="Palatino Linotype"/>
          <w:i/>
          <w:sz w:val="22"/>
          <w:szCs w:val="22"/>
        </w:rPr>
        <w:t xml:space="preserve"> Ejecutivo, Legislativo </w:t>
      </w:r>
      <w:r w:rsidRPr="00F30A3D">
        <w:rPr>
          <w:rFonts w:ascii="Palatino Linotype" w:eastAsia="Palatino Linotype" w:hAnsi="Palatino Linotype" w:cs="Palatino Linotype"/>
          <w:b/>
          <w:i/>
          <w:sz w:val="22"/>
          <w:szCs w:val="22"/>
          <w:u w:val="single"/>
        </w:rPr>
        <w:t>y Judicial</w:t>
      </w:r>
      <w:r w:rsidRPr="00F30A3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30A3D">
        <w:rPr>
          <w:rFonts w:ascii="Palatino Linotype" w:eastAsia="Palatino Linotype" w:hAnsi="Palatino Linotype" w:cs="Palatino Linotype"/>
          <w:b/>
          <w:i/>
          <w:sz w:val="22"/>
          <w:szCs w:val="22"/>
        </w:rPr>
        <w:t>es pública y sólo podrá ser reservada temporalmente por razones de interés público y seguridad nacional,</w:t>
      </w:r>
      <w:r w:rsidRPr="00F30A3D">
        <w:rPr>
          <w:rFonts w:ascii="Palatino Linotype" w:eastAsia="Palatino Linotype" w:hAnsi="Palatino Linotype" w:cs="Palatino Linotype"/>
          <w:i/>
          <w:sz w:val="22"/>
          <w:szCs w:val="22"/>
        </w:rPr>
        <w:t xml:space="preserve"> en los términos que fijen las leyes. En la interpretación de </w:t>
      </w:r>
      <w:r w:rsidRPr="00F30A3D">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7D6060"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 </w:t>
      </w:r>
      <w:r w:rsidRPr="00F30A3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4E71E82"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 </w:t>
      </w:r>
      <w:r w:rsidRPr="00F30A3D">
        <w:rPr>
          <w:rFonts w:ascii="Palatino Linotype" w:eastAsia="Palatino Linotype" w:hAnsi="Palatino Linotype" w:cs="Palatino Linotype"/>
          <w:b/>
          <w:i/>
          <w:sz w:val="22"/>
          <w:szCs w:val="22"/>
        </w:rPr>
        <w:t xml:space="preserve">III. </w:t>
      </w:r>
      <w:r w:rsidRPr="00F30A3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30A3D">
        <w:rPr>
          <w:rFonts w:ascii="Palatino Linotype" w:eastAsia="Palatino Linotype" w:hAnsi="Palatino Linotype" w:cs="Palatino Linotype"/>
          <w:i/>
          <w:sz w:val="22"/>
          <w:szCs w:val="22"/>
        </w:rPr>
        <w:t xml:space="preserve"> a sus datos personales o a la rectificación de éstos.</w:t>
      </w:r>
    </w:p>
    <w:p w14:paraId="618A670C"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 </w:t>
      </w:r>
      <w:r w:rsidRPr="00F30A3D">
        <w:rPr>
          <w:rFonts w:ascii="Palatino Linotype" w:eastAsia="Palatino Linotype" w:hAnsi="Palatino Linotype" w:cs="Palatino Linotype"/>
          <w:b/>
          <w:i/>
          <w:sz w:val="22"/>
          <w:szCs w:val="22"/>
        </w:rPr>
        <w:t xml:space="preserve">IV. </w:t>
      </w:r>
      <w:r w:rsidRPr="00F30A3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5A020F0"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 xml:space="preserve">V. </w:t>
      </w:r>
      <w:r w:rsidRPr="00F30A3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B1C480B"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 </w:t>
      </w:r>
      <w:r w:rsidRPr="00F30A3D">
        <w:rPr>
          <w:rFonts w:ascii="Palatino Linotype" w:eastAsia="Palatino Linotype" w:hAnsi="Palatino Linotype" w:cs="Palatino Linotype"/>
          <w:b/>
          <w:i/>
          <w:sz w:val="22"/>
          <w:szCs w:val="22"/>
        </w:rPr>
        <w:t xml:space="preserve">VI. </w:t>
      </w:r>
      <w:r w:rsidRPr="00F30A3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70491F5" w14:textId="77777777" w:rsidR="00EC154B" w:rsidRPr="00F30A3D" w:rsidRDefault="002A4CEB">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w:t>
      </w:r>
      <w:r w:rsidRPr="00F30A3D">
        <w:rPr>
          <w:rFonts w:ascii="Palatino Linotype" w:eastAsia="Palatino Linotype" w:hAnsi="Palatino Linotype" w:cs="Palatino Linotype"/>
          <w:b/>
          <w:i/>
          <w:sz w:val="22"/>
          <w:szCs w:val="22"/>
        </w:rPr>
        <w:t xml:space="preserve">VII. </w:t>
      </w:r>
      <w:r w:rsidRPr="00F30A3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560342E" w14:textId="77777777" w:rsidR="00EC154B" w:rsidRPr="00F30A3D" w:rsidRDefault="00EC154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26BE89D3"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F30A3D">
        <w:rPr>
          <w:rFonts w:ascii="Palatino Linotype" w:eastAsia="Palatino Linotype" w:hAnsi="Palatino Linotype" w:cs="Palatino Linotype"/>
          <w:sz w:val="22"/>
          <w:szCs w:val="22"/>
        </w:rPr>
        <w:lastRenderedPageBreak/>
        <w:t>lo establece dicha determinación, que a continuación se transcribe para un mejor entendimiento:</w:t>
      </w:r>
    </w:p>
    <w:p w14:paraId="76BA3792"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0F2C6A9"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Artículo 4</w:t>
      </w:r>
      <w:r w:rsidRPr="00F30A3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CBC2D84" w14:textId="77777777" w:rsidR="00EC154B" w:rsidRPr="00F30A3D" w:rsidRDefault="00EC154B">
      <w:pPr>
        <w:spacing w:line="276" w:lineRule="auto"/>
        <w:ind w:left="567" w:right="616"/>
        <w:jc w:val="both"/>
        <w:rPr>
          <w:rFonts w:ascii="Palatino Linotype" w:eastAsia="Palatino Linotype" w:hAnsi="Palatino Linotype" w:cs="Palatino Linotype"/>
          <w:i/>
          <w:sz w:val="22"/>
          <w:szCs w:val="22"/>
        </w:rPr>
      </w:pPr>
    </w:p>
    <w:p w14:paraId="3A2AFEEA"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30A3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E82284F" w14:textId="77777777" w:rsidR="00EC154B" w:rsidRPr="00F30A3D" w:rsidRDefault="00EC154B">
      <w:pPr>
        <w:spacing w:line="276" w:lineRule="auto"/>
        <w:ind w:left="567" w:right="616"/>
        <w:jc w:val="both"/>
        <w:rPr>
          <w:rFonts w:ascii="Palatino Linotype" w:eastAsia="Palatino Linotype" w:hAnsi="Palatino Linotype" w:cs="Palatino Linotype"/>
          <w:i/>
          <w:sz w:val="22"/>
          <w:szCs w:val="22"/>
        </w:rPr>
      </w:pPr>
    </w:p>
    <w:p w14:paraId="02511540"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30A3D">
        <w:rPr>
          <w:rFonts w:ascii="Palatino Linotype" w:eastAsia="Palatino Linotype" w:hAnsi="Palatino Linotype" w:cs="Palatino Linotype"/>
          <w:i/>
          <w:sz w:val="22"/>
          <w:szCs w:val="22"/>
        </w:rPr>
        <w:t>.”</w:t>
      </w:r>
    </w:p>
    <w:p w14:paraId="7BA8F4B7"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1BC100BA"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645ADB8"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A2656FE"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lastRenderedPageBreak/>
        <w:t>“Artículo 12.-</w:t>
      </w:r>
      <w:r w:rsidRPr="00F30A3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BE41E5F" w14:textId="77777777" w:rsidR="00EC154B" w:rsidRPr="00F30A3D" w:rsidRDefault="00EC154B">
      <w:pPr>
        <w:spacing w:line="276" w:lineRule="auto"/>
        <w:ind w:left="567" w:right="616"/>
        <w:jc w:val="both"/>
        <w:rPr>
          <w:rFonts w:ascii="Palatino Linotype" w:eastAsia="Palatino Linotype" w:hAnsi="Palatino Linotype" w:cs="Palatino Linotype"/>
          <w:i/>
          <w:sz w:val="22"/>
          <w:szCs w:val="22"/>
        </w:rPr>
      </w:pPr>
    </w:p>
    <w:p w14:paraId="396E0305" w14:textId="77777777" w:rsidR="00EC154B" w:rsidRPr="00F30A3D" w:rsidRDefault="002A4CEB">
      <w:pPr>
        <w:spacing w:line="276" w:lineRule="auto"/>
        <w:ind w:left="567" w:right="616"/>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30A3D">
        <w:rPr>
          <w:rFonts w:ascii="Palatino Linotype" w:eastAsia="Palatino Linotype" w:hAnsi="Palatino Linotype" w:cs="Palatino Linotype"/>
          <w:i/>
          <w:sz w:val="22"/>
          <w:szCs w:val="22"/>
        </w:rPr>
        <w:t xml:space="preserve">. </w:t>
      </w:r>
      <w:r w:rsidRPr="00F30A3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C76AEDB" w14:textId="77777777" w:rsidR="00EC154B" w:rsidRPr="00F30A3D" w:rsidRDefault="00EC154B">
      <w:pPr>
        <w:spacing w:line="360" w:lineRule="auto"/>
        <w:ind w:left="567" w:right="616"/>
        <w:jc w:val="both"/>
        <w:rPr>
          <w:rFonts w:ascii="Palatino Linotype" w:eastAsia="Palatino Linotype" w:hAnsi="Palatino Linotype" w:cs="Palatino Linotype"/>
          <w:i/>
          <w:sz w:val="22"/>
          <w:szCs w:val="22"/>
        </w:rPr>
      </w:pPr>
    </w:p>
    <w:p w14:paraId="001EF1D0" w14:textId="77777777" w:rsidR="00EC154B" w:rsidRPr="00F30A3D" w:rsidRDefault="002A4CEB">
      <w:pPr>
        <w:spacing w:line="360" w:lineRule="auto"/>
        <w:ind w:right="-93"/>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E2F5B68" w14:textId="77777777" w:rsidR="00EC154B" w:rsidRPr="00F30A3D" w:rsidRDefault="00EC154B">
      <w:pPr>
        <w:spacing w:line="360" w:lineRule="auto"/>
        <w:ind w:right="-93"/>
        <w:jc w:val="both"/>
        <w:rPr>
          <w:rFonts w:ascii="Palatino Linotype" w:eastAsia="Palatino Linotype" w:hAnsi="Palatino Linotype" w:cs="Palatino Linotype"/>
          <w:sz w:val="22"/>
          <w:szCs w:val="22"/>
        </w:rPr>
      </w:pPr>
    </w:p>
    <w:p w14:paraId="39D26A04" w14:textId="77777777" w:rsidR="00EC154B" w:rsidRPr="00F30A3D" w:rsidRDefault="002A4CEB">
      <w:pP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F30A3D">
        <w:rPr>
          <w:rFonts w:ascii="Palatino Linotype" w:eastAsia="Palatino Linotype" w:hAnsi="Palatino Linotype" w:cs="Palatino Linotype"/>
          <w:b/>
          <w:sz w:val="22"/>
          <w:szCs w:val="22"/>
        </w:rPr>
        <w:t xml:space="preserve"> </w:t>
      </w:r>
    </w:p>
    <w:p w14:paraId="5839FD62" w14:textId="77777777" w:rsidR="00EC154B" w:rsidRPr="00F30A3D" w:rsidRDefault="00EC154B">
      <w:pPr>
        <w:spacing w:line="360" w:lineRule="auto"/>
        <w:jc w:val="both"/>
        <w:rPr>
          <w:rFonts w:ascii="Palatino Linotype" w:eastAsia="Palatino Linotype" w:hAnsi="Palatino Linotype" w:cs="Palatino Linotype"/>
          <w:b/>
          <w:sz w:val="22"/>
          <w:szCs w:val="22"/>
        </w:rPr>
      </w:pPr>
    </w:p>
    <w:p w14:paraId="43BA81F3"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No existe obligación de elaborar documentos ad hoc para atender las solicitudes de acceso a la información.</w:t>
      </w:r>
      <w:r w:rsidRPr="00F30A3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w:t>
      </w:r>
      <w:r w:rsidRPr="00F30A3D">
        <w:rPr>
          <w:rFonts w:ascii="Palatino Linotype" w:eastAsia="Palatino Linotype" w:hAnsi="Palatino Linotype" w:cs="Palatino Linotype"/>
          <w:i/>
          <w:sz w:val="22"/>
          <w:szCs w:val="22"/>
        </w:rPr>
        <w:lastRenderedPageBreak/>
        <w:t xml:space="preserve">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5182FF3" w14:textId="77777777" w:rsidR="00EC154B" w:rsidRPr="00F30A3D" w:rsidRDefault="00EC154B">
      <w:pPr>
        <w:spacing w:line="360" w:lineRule="auto"/>
        <w:ind w:right="-93"/>
        <w:jc w:val="both"/>
        <w:rPr>
          <w:rFonts w:ascii="Palatino Linotype" w:eastAsia="Palatino Linotype" w:hAnsi="Palatino Linotype" w:cs="Palatino Linotype"/>
          <w:sz w:val="22"/>
          <w:szCs w:val="22"/>
        </w:rPr>
      </w:pPr>
    </w:p>
    <w:p w14:paraId="6BF473F6"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C1199C8"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A455968"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83DD20"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3AC6CF2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0592F5" w14:textId="77777777" w:rsidR="00EC154B" w:rsidRPr="00F30A3D" w:rsidRDefault="00EC154B">
      <w:pPr>
        <w:spacing w:line="360" w:lineRule="auto"/>
        <w:ind w:left="851" w:right="899"/>
        <w:jc w:val="both"/>
        <w:rPr>
          <w:rFonts w:ascii="Palatino Linotype" w:eastAsia="Palatino Linotype" w:hAnsi="Palatino Linotype" w:cs="Palatino Linotype"/>
          <w:i/>
          <w:sz w:val="22"/>
          <w:szCs w:val="22"/>
        </w:rPr>
      </w:pPr>
    </w:p>
    <w:p w14:paraId="08E3C87A"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 xml:space="preserve">Artículo 3. </w:t>
      </w:r>
      <w:r w:rsidRPr="00F30A3D">
        <w:rPr>
          <w:rFonts w:ascii="Palatino Linotype" w:eastAsia="Palatino Linotype" w:hAnsi="Palatino Linotype" w:cs="Palatino Linotype"/>
          <w:i/>
          <w:sz w:val="22"/>
          <w:szCs w:val="22"/>
        </w:rPr>
        <w:t>Para los efectos de la presente Ley se entenderá por:</w:t>
      </w:r>
    </w:p>
    <w:p w14:paraId="258EB362"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6E847FE1"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XI. Documento:</w:t>
      </w:r>
      <w:r w:rsidRPr="00F30A3D">
        <w:rPr>
          <w:rFonts w:ascii="Palatino Linotype" w:eastAsia="Palatino Linotype" w:hAnsi="Palatino Linotype" w:cs="Palatino Linotype"/>
          <w:i/>
          <w:sz w:val="22"/>
          <w:szCs w:val="22"/>
        </w:rPr>
        <w:t xml:space="preserve"> Los expedientes, reportes, estudios, actas</w:t>
      </w:r>
      <w:r w:rsidRPr="00F30A3D">
        <w:rPr>
          <w:rFonts w:ascii="Palatino Linotype" w:eastAsia="Palatino Linotype" w:hAnsi="Palatino Linotype" w:cs="Palatino Linotype"/>
          <w:b/>
          <w:i/>
          <w:sz w:val="22"/>
          <w:szCs w:val="22"/>
        </w:rPr>
        <w:t>,</w:t>
      </w:r>
      <w:r w:rsidRPr="00F30A3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C2ACD4D" w14:textId="77777777" w:rsidR="00EC154B" w:rsidRPr="00F30A3D" w:rsidRDefault="00EC154B">
      <w:pPr>
        <w:spacing w:line="360" w:lineRule="auto"/>
        <w:ind w:left="851" w:right="899"/>
        <w:jc w:val="both"/>
        <w:rPr>
          <w:rFonts w:ascii="Palatino Linotype" w:eastAsia="Palatino Linotype" w:hAnsi="Palatino Linotype" w:cs="Palatino Linotype"/>
          <w:sz w:val="22"/>
          <w:szCs w:val="22"/>
        </w:rPr>
      </w:pPr>
    </w:p>
    <w:p w14:paraId="4112F8D6"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E0F8F2"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4BB0F2A" w14:textId="77777777" w:rsidR="00EC154B" w:rsidRPr="00F30A3D" w:rsidRDefault="002A4CEB">
      <w:pPr>
        <w:spacing w:line="276" w:lineRule="auto"/>
        <w:ind w:left="567" w:right="616"/>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sz w:val="22"/>
          <w:szCs w:val="22"/>
        </w:rPr>
        <w:t>“</w:t>
      </w:r>
      <w:r w:rsidRPr="00F30A3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30A3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41A163"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BD938B9"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761B7F2" w14:textId="77777777" w:rsidR="00EC154B" w:rsidRPr="00F30A3D" w:rsidRDefault="002A4CEB">
      <w:pPr>
        <w:spacing w:line="276" w:lineRule="auto"/>
        <w:ind w:left="567" w:right="616"/>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6ADA953B" w14:textId="77777777" w:rsidR="00EC154B" w:rsidRPr="00F30A3D" w:rsidRDefault="002A4CEB">
      <w:pPr>
        <w:spacing w:line="276" w:lineRule="auto"/>
        <w:ind w:left="567" w:right="616"/>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E9BDBDD" w14:textId="77777777" w:rsidR="00EC154B" w:rsidRPr="00F30A3D" w:rsidRDefault="00EC154B">
      <w:pPr>
        <w:spacing w:line="276" w:lineRule="auto"/>
        <w:ind w:left="567" w:right="616"/>
        <w:jc w:val="both"/>
        <w:rPr>
          <w:rFonts w:ascii="Palatino Linotype" w:eastAsia="Palatino Linotype" w:hAnsi="Palatino Linotype" w:cs="Palatino Linotype"/>
          <w:b/>
          <w:i/>
          <w:sz w:val="22"/>
          <w:szCs w:val="22"/>
        </w:rPr>
      </w:pPr>
    </w:p>
    <w:p w14:paraId="1C4E88A0"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De ahí que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F30A3D">
        <w:rPr>
          <w:rFonts w:ascii="Palatino Linotype" w:eastAsia="Palatino Linotype" w:hAnsi="Palatino Linotype" w:cs="Palatino Linotype"/>
          <w:sz w:val="22"/>
          <w:szCs w:val="22"/>
          <w:vertAlign w:val="superscript"/>
        </w:rPr>
        <w:footnoteReference w:id="1"/>
      </w:r>
      <w:r w:rsidRPr="00F30A3D">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30A3D">
        <w:rPr>
          <w:rFonts w:ascii="Palatino Linotype" w:eastAsia="Palatino Linotype" w:hAnsi="Palatino Linotype" w:cs="Palatino Linotype"/>
          <w:sz w:val="22"/>
          <w:szCs w:val="22"/>
          <w:vertAlign w:val="superscript"/>
        </w:rPr>
        <w:footnoteReference w:id="2"/>
      </w:r>
      <w:r w:rsidRPr="00F30A3D">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BDC25B7" w14:textId="77777777" w:rsidR="00EC154B" w:rsidRPr="00F30A3D" w:rsidRDefault="00EC154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79F8AD1" w14:textId="77777777" w:rsidR="00EC154B" w:rsidRPr="00F30A3D" w:rsidRDefault="002A4CE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F30A3D">
        <w:rPr>
          <w:rFonts w:ascii="Palatino Linotype" w:eastAsia="Palatino Linotype" w:hAnsi="Palatino Linotype" w:cs="Palatino Linotype"/>
          <w:sz w:val="22"/>
          <w:szCs w:val="22"/>
        </w:rPr>
        <w:t xml:space="preserve">Conviene iniciar el presente estudio señalando que del análisis a la solicitud de información, se advierte que la persona solicitante requirió del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respecto de tres obras que se llevan en su centro de trabajo (paneles solares, red de internet, y cafetería), a la fecha de la solicitud -08 de febrero de 2024-, lo siguiente:</w:t>
      </w:r>
    </w:p>
    <w:p w14:paraId="5E9D2347" w14:textId="77777777" w:rsidR="00EC154B" w:rsidRPr="00F30A3D" w:rsidRDefault="00EC154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D5F5334" w14:textId="77777777" w:rsidR="00EC154B" w:rsidRPr="00F30A3D" w:rsidRDefault="002A4CEB">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Presupuesto o monto asignado a dichas obras;</w:t>
      </w:r>
    </w:p>
    <w:p w14:paraId="5D07C7C2" w14:textId="77777777" w:rsidR="00EC154B" w:rsidRPr="00F30A3D" w:rsidRDefault="002A4CEB">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Comprobantes de los gastos realizados (cheques, facturas de compras, pagos a trabajadores).</w:t>
      </w:r>
    </w:p>
    <w:p w14:paraId="0E873D77" w14:textId="77777777" w:rsidR="00EC154B" w:rsidRPr="00F30A3D" w:rsidRDefault="002A4CEB">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Evidencia fotográfica del avance y/o conclusión de las obras.</w:t>
      </w:r>
    </w:p>
    <w:p w14:paraId="754DA57D" w14:textId="77777777" w:rsidR="00EC154B" w:rsidRPr="00F30A3D" w:rsidRDefault="00EC154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D2B382" w14:textId="77777777" w:rsidR="00EC154B" w:rsidRPr="00F30A3D" w:rsidRDefault="002A4CE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respuesta,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por conducto de la Jefa del Departamento de Programación y Presupuesto informó que, en su presupuesto de egresos no contempla la partida referente a obra, y que al día de su respuesta no se ha realizado ningún tipo de obra que haya sido erogada a través de ese concepto, indicando que remitía los presupuestos calendarizados 2023 y 2024 donde se observa que no se cuenta con suficiencia presupuestal para el capítulo 6000, correspondiente a obras públicas.</w:t>
      </w:r>
    </w:p>
    <w:p w14:paraId="343D48E3" w14:textId="77777777" w:rsidR="00EC154B" w:rsidRPr="00F30A3D" w:rsidRDefault="00EC154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E21EAF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Una vez conocida la respuesta, </w:t>
      </w:r>
      <w:r w:rsidRPr="00F30A3D">
        <w:rPr>
          <w:rFonts w:ascii="Palatino Linotype" w:eastAsia="Palatino Linotype" w:hAnsi="Palatino Linotype" w:cs="Palatino Linotype"/>
          <w:b/>
          <w:sz w:val="22"/>
          <w:szCs w:val="22"/>
        </w:rPr>
        <w:t>la parte Recurrente</w:t>
      </w:r>
      <w:r w:rsidRPr="00F30A3D">
        <w:rPr>
          <w:rFonts w:ascii="Palatino Linotype" w:eastAsia="Palatino Linotype" w:hAnsi="Palatino Linotype" w:cs="Palatino Linotype"/>
          <w:sz w:val="22"/>
          <w:szCs w:val="22"/>
        </w:rPr>
        <w:t xml:space="preserve"> al no estar conforme con los términos de la misma, interpuso el recurso de revisión que nos ocupa, </w:t>
      </w:r>
      <w:r w:rsidRPr="00F30A3D">
        <w:rPr>
          <w:rFonts w:ascii="Palatino Linotype" w:eastAsia="Palatino Linotype" w:hAnsi="Palatino Linotype" w:cs="Palatino Linotype"/>
          <w:b/>
          <w:sz w:val="22"/>
          <w:szCs w:val="22"/>
        </w:rPr>
        <w:t>inconformándose medularmente de la negativa a la entrega de la información, ya que refiere que si existen las obras que señala y que corresponden a: Paneles Solares (Sistema Fotovoltaico);  Remodelación de Cafetería; e, Internet inalámbrico en todos los espacios de la Universidad; obras que refiere el particular fueron presentadas al Titular de la Secretaría de Educación, Ciencia, Tecnología e Innovación.</w:t>
      </w:r>
    </w:p>
    <w:p w14:paraId="663F7F36"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D001C07"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Así las cosas, de las constancias que obran en el expediente en que se actúa se desprende que,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rindió su informe justificado en el que por conducto de la Jefa del Departamento de Programación y Presupuesto hace la aclaración de que las obras a las que se refiere el particular, no son obras sino servicios, indicando el monto que fue autorizado </w:t>
      </w:r>
      <w:r w:rsidRPr="00F30A3D">
        <w:rPr>
          <w:rFonts w:ascii="Palatino Linotype" w:eastAsia="Palatino Linotype" w:hAnsi="Palatino Linotype" w:cs="Palatino Linotype"/>
          <w:sz w:val="22"/>
          <w:szCs w:val="22"/>
        </w:rPr>
        <w:lastRenderedPageBreak/>
        <w:t>solicitar a la Secretaría de Finanzas mediante ampliaciones líquidas en cantidad total de $31,845,853.99 para llevar a cabo los servicios de los que se requiere la información; servicios que indica se llevaron a cabo mediante las licitaciones públicas y adjudicaciones correspondientes aportando un link en formato cerrado donde refiere se puede verificar el procedimiento, indicando los pasos para ingresar al mismo.</w:t>
      </w:r>
    </w:p>
    <w:p w14:paraId="783FF11C"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811C4B2"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Asimismo, con la finalidad de garantizar el derecho de acceso a la información del particular, la Jefa del Departamento de Programación y Presupuesto indicó que hacía entrega, del monto asignado para los servicios requeridos por el particular; que se entregan las facturas requeridas, precisando que no hubo cheques porque los pagos fueron mediante transferencia; que sobre el pago de trabajadores, al momento de la firma de los convenios respectivos, la universidad se deslindó de la contratación de la responsabilidad patronal; y, con respecto a las fotografías solicitadas, no es parte de la función del servidor público habilitado de ese Departamento de Programación y Presupuesto.</w:t>
      </w:r>
    </w:p>
    <w:p w14:paraId="6CB3AE5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4350D7C" w14:textId="77777777" w:rsidR="00EC154B" w:rsidRPr="00F30A3D" w:rsidRDefault="002A4CEB">
      <w:pP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t xml:space="preserve">Por su lado, </w:t>
      </w:r>
      <w:r w:rsidRPr="00F30A3D">
        <w:rPr>
          <w:rFonts w:ascii="Palatino Linotype" w:eastAsia="Palatino Linotype" w:hAnsi="Palatino Linotype" w:cs="Palatino Linotype"/>
          <w:b/>
          <w:sz w:val="22"/>
          <w:szCs w:val="22"/>
        </w:rPr>
        <w:t xml:space="preserve">la parte Recurrente </w:t>
      </w:r>
      <w:r w:rsidRPr="00F30A3D">
        <w:rPr>
          <w:rFonts w:ascii="Palatino Linotype" w:eastAsia="Palatino Linotype" w:hAnsi="Palatino Linotype" w:cs="Palatino Linotype"/>
          <w:sz w:val="22"/>
          <w:szCs w:val="22"/>
        </w:rPr>
        <w:t>fue omisa en realizar manifestaciones o rendir alegatos que conforme a derecho resultaran procedentes.</w:t>
      </w:r>
    </w:p>
    <w:p w14:paraId="425336DF"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D6CE746"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 lo anterior, para efectos del cumplimiento de la presente resolución, dada la aclaración del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con relación a que fueron tres servicios a los que se refiere el particular en sus motivos de inconformidad, indicando el nombre correcto, se considera dable tener que los servicios respecto de los que se pide la información indicada corresponden a los siguientes:</w:t>
      </w:r>
    </w:p>
    <w:p w14:paraId="25F12F3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30AE0397" w14:textId="77777777" w:rsidR="00EC154B" w:rsidRPr="00F30A3D" w:rsidRDefault="002A4CEB">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ADAPTACIÓN DE LOCALES, ALMACENES, BODEGAS Y EDIFICIOS (sistema fotovoltaico) </w:t>
      </w:r>
    </w:p>
    <w:p w14:paraId="1ECC75D3" w14:textId="77777777" w:rsidR="00EC154B" w:rsidRPr="00F30A3D" w:rsidRDefault="002A4CEB">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REPARACIÓN, INSTALACIÓN Y MANTENIMIENTO DE BIENES INFORMÁTICOS, MICROFILMACIÓN Y TECNOLOGÍAS DE LA INFORMACIÓN (servicio de internet).</w:t>
      </w:r>
    </w:p>
    <w:p w14:paraId="24D0DB72" w14:textId="77777777" w:rsidR="00EC154B" w:rsidRPr="00F30A3D" w:rsidRDefault="002A4CEB">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REPARACIÓN Y MANTENIMIENTO DE INMUEBLES (mantenimiento de cafetería).</w:t>
      </w:r>
    </w:p>
    <w:p w14:paraId="7B7F7C4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4D098A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Expuesto lo anterior, se procede a señalar que el 29 de agosto de 1997 se publicó en la Gaceta del Gobierno, el Decreto No. 44, del Ejecutivo del Estado por el que se crea el Organismo Público Descentralizado de carácter Estatal denominado Universidad Tecnológica del Sur del Estado de México.</w:t>
      </w:r>
    </w:p>
    <w:p w14:paraId="317CE9C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020559A"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Consecuentemente, </w:t>
      </w:r>
      <w:r w:rsidRPr="00F30A3D">
        <w:rPr>
          <w:rFonts w:ascii="Palatino Linotype" w:eastAsia="Palatino Linotype" w:hAnsi="Palatino Linotype" w:cs="Palatino Linotype"/>
          <w:b/>
          <w:sz w:val="22"/>
          <w:szCs w:val="22"/>
        </w:rPr>
        <w:t>la Universidad Tecnológica del Sur del Estado de México</w:t>
      </w:r>
      <w:r w:rsidRPr="00F30A3D">
        <w:rPr>
          <w:rFonts w:ascii="Palatino Linotype" w:eastAsia="Palatino Linotype" w:hAnsi="Palatino Linotype" w:cs="Palatino Linotype"/>
          <w:sz w:val="22"/>
          <w:szCs w:val="22"/>
        </w:rPr>
        <w:t xml:space="preserve"> al ser un organismo descentralizado, conforme el tercer párrafo del artículo 1 de la Ley Orgánica de la Administración Pública del Estado de México, dicha Universidad funge como organismo auxiliar, como se sigue:</w:t>
      </w:r>
    </w:p>
    <w:p w14:paraId="1380A92C"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9E6C79D" w14:textId="77777777" w:rsidR="00EC154B" w:rsidRPr="00F30A3D" w:rsidRDefault="002A4CEB">
      <w:pPr>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Artículo 1. […] </w:t>
      </w:r>
    </w:p>
    <w:p w14:paraId="3584A894" w14:textId="77777777" w:rsidR="00EC154B" w:rsidRPr="00F30A3D" w:rsidRDefault="002A4CEB">
      <w:pPr>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Los organismos públicos descentralizados</w:t>
      </w:r>
      <w:r w:rsidRPr="00F30A3D">
        <w:rPr>
          <w:rFonts w:ascii="Palatino Linotype" w:eastAsia="Palatino Linotype" w:hAnsi="Palatino Linotype" w:cs="Palatino Linotype"/>
          <w:i/>
          <w:sz w:val="22"/>
          <w:szCs w:val="22"/>
        </w:rPr>
        <w:t xml:space="preserve">, las empresas de participación estatal mayoritaria, los fideicomisos públicos, las comisiones y demás órganos de carácter público que funcionen en el Estado, </w:t>
      </w:r>
      <w:r w:rsidRPr="00F30A3D">
        <w:rPr>
          <w:rFonts w:ascii="Palatino Linotype" w:eastAsia="Palatino Linotype" w:hAnsi="Palatino Linotype" w:cs="Palatino Linotype"/>
          <w:b/>
          <w:i/>
          <w:sz w:val="22"/>
          <w:szCs w:val="22"/>
          <w:u w:val="single"/>
        </w:rPr>
        <w:t>conforman la Administración Pública Paraestatal. A estas unidades administrativas se les denominará organismos auxiliares</w:t>
      </w:r>
      <w:r w:rsidRPr="00F30A3D">
        <w:rPr>
          <w:rFonts w:ascii="Palatino Linotype" w:eastAsia="Palatino Linotype" w:hAnsi="Palatino Linotype" w:cs="Palatino Linotype"/>
          <w:i/>
          <w:sz w:val="22"/>
          <w:szCs w:val="22"/>
        </w:rPr>
        <w:t>. […]”</w:t>
      </w:r>
    </w:p>
    <w:p w14:paraId="3D4407B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75E9AC8F" w14:textId="77777777" w:rsidR="00EC154B" w:rsidRPr="00F30A3D" w:rsidRDefault="002A4CEB">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Por lo tanto, atendiendo a la naturaleza de la información, conviene realizar el análisis de los artículos 1°, fracción IV y 4° de la Ley de Contratación Pública del Estado de México y Municipios, que especifica que, </w:t>
      </w:r>
      <w:r w:rsidRPr="00F30A3D">
        <w:rPr>
          <w:rFonts w:ascii="Palatino Linotype" w:eastAsia="Palatino Linotype" w:hAnsi="Palatino Linotype" w:cs="Palatino Linotype"/>
          <w:b/>
          <w:sz w:val="22"/>
          <w:szCs w:val="22"/>
        </w:rPr>
        <w:t>los organismos auxiliares públicos de carácter estatal, como el caso de la Universidad Tecnológica del Sur del Estado de México,</w:t>
      </w:r>
      <w:r w:rsidRPr="00F30A3D">
        <w:rPr>
          <w:rFonts w:ascii="Palatino Linotype" w:eastAsia="Palatino Linotype" w:hAnsi="Palatino Linotype" w:cs="Palatino Linotype"/>
          <w:sz w:val="22"/>
          <w:szCs w:val="22"/>
        </w:rPr>
        <w:t xml:space="preserve"> serán los </w:t>
      </w:r>
      <w:r w:rsidRPr="00F30A3D">
        <w:rPr>
          <w:rFonts w:ascii="Palatino Linotype" w:eastAsia="Palatino Linotype" w:hAnsi="Palatino Linotype" w:cs="Palatino Linotype"/>
          <w:sz w:val="22"/>
          <w:szCs w:val="22"/>
        </w:rPr>
        <w:lastRenderedPageBreak/>
        <w:t xml:space="preserve">encargados de realizar los actos relativos a la planeación, programación, presupuestación, ejecución y </w:t>
      </w:r>
      <w:r w:rsidRPr="00F30A3D">
        <w:rPr>
          <w:rFonts w:ascii="Palatino Linotype" w:eastAsia="Palatino Linotype" w:hAnsi="Palatino Linotype" w:cs="Palatino Linotype"/>
          <w:b/>
          <w:sz w:val="22"/>
          <w:szCs w:val="22"/>
        </w:rPr>
        <w:t>control de la adquisición</w:t>
      </w:r>
      <w:r w:rsidRPr="00F30A3D">
        <w:rPr>
          <w:rFonts w:ascii="Palatino Linotype" w:eastAsia="Palatino Linotype" w:hAnsi="Palatino Linotype" w:cs="Palatino Linotype"/>
          <w:sz w:val="22"/>
          <w:szCs w:val="22"/>
        </w:rPr>
        <w:t xml:space="preserve"> (bienes muebles e inmuebles), arrendamiento (bienes muebles e inmuebles), y </w:t>
      </w:r>
      <w:r w:rsidRPr="00F30A3D">
        <w:rPr>
          <w:rFonts w:ascii="Palatino Linotype" w:eastAsia="Palatino Linotype" w:hAnsi="Palatino Linotype" w:cs="Palatino Linotype"/>
          <w:b/>
          <w:sz w:val="22"/>
          <w:szCs w:val="22"/>
        </w:rPr>
        <w:t>la contratación de servicios de cualquier naturaleza</w:t>
      </w:r>
      <w:r w:rsidRPr="00F30A3D">
        <w:rPr>
          <w:rFonts w:ascii="Palatino Linotype" w:eastAsia="Palatino Linotype" w:hAnsi="Palatino Linotype" w:cs="Palatino Linotype"/>
          <w:sz w:val="22"/>
          <w:szCs w:val="22"/>
        </w:rPr>
        <w:t xml:space="preserve">, los cuales se adjudicarán a través de </w:t>
      </w:r>
      <w:r w:rsidRPr="00F30A3D">
        <w:rPr>
          <w:rFonts w:ascii="Palatino Linotype" w:eastAsia="Palatino Linotype" w:hAnsi="Palatino Linotype" w:cs="Palatino Linotype"/>
          <w:b/>
          <w:sz w:val="22"/>
          <w:szCs w:val="22"/>
          <w:u w:val="single"/>
        </w:rPr>
        <w:t>licitaciones públicas, invitación restringida o adjudicación directa, mediante convocatoria pública</w:t>
      </w:r>
      <w:r w:rsidRPr="00F30A3D">
        <w:rPr>
          <w:rFonts w:ascii="Palatino Linotype" w:eastAsia="Palatino Linotype" w:hAnsi="Palatino Linotype" w:cs="Palatino Linotype"/>
          <w:sz w:val="22"/>
          <w:szCs w:val="22"/>
        </w:rPr>
        <w:t>, que señalan al respecto lo siguiente:</w:t>
      </w:r>
    </w:p>
    <w:p w14:paraId="208DCE0E" w14:textId="77777777" w:rsidR="00EC154B" w:rsidRPr="00F30A3D" w:rsidRDefault="00EC154B">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7B26BC55"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1.-</w:t>
      </w:r>
      <w:r w:rsidRPr="00F30A3D">
        <w:rPr>
          <w:rFonts w:ascii="Palatino Linotype" w:eastAsia="Palatino Linotype" w:hAnsi="Palatino Linotype" w:cs="Palatino Linotype"/>
          <w:i/>
          <w:sz w:val="22"/>
          <w:szCs w:val="22"/>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18141380"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553CCA53" w14:textId="77777777" w:rsidR="00EC154B" w:rsidRPr="00F30A3D" w:rsidRDefault="002A4CEB">
      <w:pPr>
        <w:ind w:left="851" w:right="89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IV. Los organismos auxiliares </w:t>
      </w:r>
      <w:r w:rsidRPr="00F30A3D">
        <w:rPr>
          <w:rFonts w:ascii="Palatino Linotype" w:eastAsia="Palatino Linotype" w:hAnsi="Palatino Linotype" w:cs="Palatino Linotype"/>
          <w:i/>
          <w:sz w:val="22"/>
          <w:szCs w:val="22"/>
        </w:rPr>
        <w:t>y fideicomisos</w:t>
      </w:r>
      <w:r w:rsidRPr="00F30A3D">
        <w:rPr>
          <w:rFonts w:ascii="Palatino Linotype" w:eastAsia="Palatino Linotype" w:hAnsi="Palatino Linotype" w:cs="Palatino Linotype"/>
          <w:b/>
          <w:i/>
          <w:sz w:val="22"/>
          <w:szCs w:val="22"/>
        </w:rPr>
        <w:t xml:space="preserve"> públicos, de carácter estatal </w:t>
      </w:r>
      <w:r w:rsidRPr="00F30A3D">
        <w:rPr>
          <w:rFonts w:ascii="Palatino Linotype" w:eastAsia="Palatino Linotype" w:hAnsi="Palatino Linotype" w:cs="Palatino Linotype"/>
          <w:i/>
          <w:sz w:val="22"/>
          <w:szCs w:val="22"/>
        </w:rPr>
        <w:t>o municipal.</w:t>
      </w:r>
    </w:p>
    <w:p w14:paraId="182AAE2B"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38685D32"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4.-</w:t>
      </w:r>
      <w:r w:rsidRPr="00F30A3D">
        <w:rPr>
          <w:rFonts w:ascii="Palatino Linotype" w:eastAsia="Palatino Linotype" w:hAnsi="Palatino Linotype" w:cs="Palatino Linotype"/>
          <w:i/>
          <w:sz w:val="22"/>
          <w:szCs w:val="22"/>
        </w:rPr>
        <w:t xml:space="preserve"> Para los efectos de esta Ley, en las adquisiciones, enajenaciones, arrendamientos y servicios, quedan comprendidos:</w:t>
      </w:r>
    </w:p>
    <w:p w14:paraId="16CC1C23"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 La adquisición de bienes muebles. </w:t>
      </w:r>
    </w:p>
    <w:p w14:paraId="2F601D71"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II. La adquisición de bienes inmuebles, a través de compraventa. </w:t>
      </w:r>
    </w:p>
    <w:p w14:paraId="155650C5"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III. La enajenación de bienes muebles e inmuebles. </w:t>
      </w:r>
    </w:p>
    <w:p w14:paraId="2B654B71"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IV. El arrendamiento de bienes muebles e inmuebles. </w:t>
      </w:r>
    </w:p>
    <w:p w14:paraId="680BF887"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2E4A4203"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VI. La contratación de los servicios de reconstrucción y mantenimiento de bienes muebles. </w:t>
      </w:r>
    </w:p>
    <w:p w14:paraId="71D3474D"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VII. La contratación de los servicios de maquila, seguros y transportación, así como de los de limpieza y vigilancia de bienes inmuebles. </w:t>
      </w:r>
    </w:p>
    <w:p w14:paraId="5163497C"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69070544" w14:textId="77777777" w:rsidR="00EC154B" w:rsidRPr="00F30A3D" w:rsidRDefault="002A4CEB">
      <w:pPr>
        <w:ind w:left="851" w:right="899"/>
        <w:jc w:val="both"/>
        <w:rPr>
          <w:rFonts w:ascii="Palatino Linotype" w:eastAsia="Palatino Linotype" w:hAnsi="Palatino Linotype" w:cs="Palatino Linotype"/>
          <w:b/>
          <w:i/>
          <w:sz w:val="22"/>
          <w:szCs w:val="22"/>
          <w:u w:val="single"/>
        </w:rPr>
      </w:pPr>
      <w:r w:rsidRPr="00F30A3D">
        <w:rPr>
          <w:rFonts w:ascii="Palatino Linotype" w:eastAsia="Palatino Linotype" w:hAnsi="Palatino Linotype" w:cs="Palatino Linotype"/>
          <w:b/>
          <w:i/>
          <w:sz w:val="22"/>
          <w:szCs w:val="22"/>
          <w:u w:val="single"/>
        </w:rPr>
        <w:t>En general, otros actos que impliquen la contratación de servicios de cualquier naturaleza. “</w:t>
      </w:r>
    </w:p>
    <w:p w14:paraId="4D61FF22" w14:textId="77777777" w:rsidR="00EC154B" w:rsidRPr="00F30A3D" w:rsidRDefault="00EC154B">
      <w:pPr>
        <w:ind w:left="851" w:right="899"/>
        <w:jc w:val="both"/>
        <w:rPr>
          <w:rFonts w:ascii="Palatino Linotype" w:eastAsia="Palatino Linotype" w:hAnsi="Palatino Linotype" w:cs="Palatino Linotype"/>
          <w:b/>
          <w:i/>
          <w:sz w:val="22"/>
          <w:szCs w:val="22"/>
          <w:u w:val="single"/>
        </w:rPr>
      </w:pPr>
    </w:p>
    <w:p w14:paraId="438597BD" w14:textId="77777777" w:rsidR="00EC154B" w:rsidRPr="00F30A3D" w:rsidRDefault="002A4CEB">
      <w:pPr>
        <w:ind w:left="851" w:right="899"/>
        <w:jc w:val="right"/>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(Énfasis añadido)</w:t>
      </w:r>
    </w:p>
    <w:p w14:paraId="771B0613" w14:textId="77777777" w:rsidR="00EC154B" w:rsidRPr="00F30A3D" w:rsidRDefault="002A4CEB">
      <w:pPr>
        <w:spacing w:before="240" w:after="240"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En ese contexto, conforme a los artículos 26 y 27 de dicho ordenamiento jurídico, se establece que las </w:t>
      </w:r>
      <w:r w:rsidRPr="00F30A3D">
        <w:rPr>
          <w:rFonts w:ascii="Palatino Linotype" w:eastAsia="Palatino Linotype" w:hAnsi="Palatino Linotype" w:cs="Palatino Linotype"/>
          <w:b/>
          <w:sz w:val="22"/>
          <w:szCs w:val="22"/>
        </w:rPr>
        <w:t>adquisiciones</w:t>
      </w:r>
      <w:r w:rsidRPr="00F30A3D">
        <w:rPr>
          <w:rFonts w:ascii="Palatino Linotype" w:eastAsia="Palatino Linotype" w:hAnsi="Palatino Linotype" w:cs="Palatino Linotype"/>
          <w:sz w:val="22"/>
          <w:szCs w:val="22"/>
        </w:rPr>
        <w:t xml:space="preserve">, arrendamientos y servicios, </w:t>
      </w:r>
      <w:r w:rsidRPr="00F30A3D">
        <w:rPr>
          <w:rFonts w:ascii="Palatino Linotype" w:eastAsia="Palatino Linotype" w:hAnsi="Palatino Linotype" w:cs="Palatino Linotype"/>
          <w:b/>
          <w:sz w:val="22"/>
          <w:szCs w:val="22"/>
          <w:u w:val="single"/>
        </w:rPr>
        <w:t>se adjudicarán a través de procedimientos de licitación pública, invitación restringida y adjudicación directa</w:t>
      </w:r>
      <w:r w:rsidRPr="00F30A3D">
        <w:rPr>
          <w:rFonts w:ascii="Palatino Linotype" w:eastAsia="Palatino Linotype" w:hAnsi="Palatino Linotype" w:cs="Palatino Linotype"/>
          <w:sz w:val="22"/>
          <w:szCs w:val="22"/>
        </w:rPr>
        <w:t>, que señalan:</w:t>
      </w:r>
    </w:p>
    <w:p w14:paraId="62C4EDA1" w14:textId="77777777" w:rsidR="00EC154B" w:rsidRPr="00F30A3D" w:rsidRDefault="002A4CEB">
      <w:pPr>
        <w:ind w:left="851" w:right="89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i/>
          <w:sz w:val="22"/>
          <w:szCs w:val="22"/>
        </w:rPr>
        <w:t xml:space="preserve">“Artículo 26.- Las </w:t>
      </w:r>
      <w:r w:rsidRPr="00F30A3D">
        <w:rPr>
          <w:rFonts w:ascii="Palatino Linotype" w:eastAsia="Palatino Linotype" w:hAnsi="Palatino Linotype" w:cs="Palatino Linotype"/>
          <w:b/>
          <w:i/>
          <w:sz w:val="22"/>
          <w:szCs w:val="22"/>
        </w:rPr>
        <w:t>adquisiciones</w:t>
      </w:r>
      <w:r w:rsidRPr="00F30A3D">
        <w:rPr>
          <w:rFonts w:ascii="Palatino Linotype" w:eastAsia="Palatino Linotype" w:hAnsi="Palatino Linotype" w:cs="Palatino Linotype"/>
          <w:i/>
          <w:sz w:val="22"/>
          <w:szCs w:val="22"/>
        </w:rPr>
        <w:t xml:space="preserve">, arrendamientos y servicios se adjudicarán a través de </w:t>
      </w:r>
      <w:r w:rsidRPr="00F30A3D">
        <w:rPr>
          <w:rFonts w:ascii="Palatino Linotype" w:eastAsia="Palatino Linotype" w:hAnsi="Palatino Linotype" w:cs="Palatino Linotype"/>
          <w:b/>
          <w:i/>
          <w:sz w:val="22"/>
          <w:szCs w:val="22"/>
        </w:rPr>
        <w:t>licitaciones públicas</w:t>
      </w:r>
      <w:r w:rsidRPr="00F30A3D">
        <w:rPr>
          <w:rFonts w:ascii="Palatino Linotype" w:eastAsia="Palatino Linotype" w:hAnsi="Palatino Linotype" w:cs="Palatino Linotype"/>
          <w:i/>
          <w:sz w:val="22"/>
          <w:szCs w:val="22"/>
        </w:rPr>
        <w:t xml:space="preserve">, </w:t>
      </w:r>
      <w:r w:rsidRPr="00F30A3D">
        <w:rPr>
          <w:rFonts w:ascii="Palatino Linotype" w:eastAsia="Palatino Linotype" w:hAnsi="Palatino Linotype" w:cs="Palatino Linotype"/>
          <w:b/>
          <w:i/>
          <w:sz w:val="22"/>
          <w:szCs w:val="22"/>
        </w:rPr>
        <w:t xml:space="preserve">mediante convocatoria pública. </w:t>
      </w:r>
    </w:p>
    <w:p w14:paraId="37DD1487" w14:textId="77777777" w:rsidR="00EC154B" w:rsidRPr="00F30A3D" w:rsidRDefault="00EC154B">
      <w:pPr>
        <w:ind w:left="851" w:right="899"/>
        <w:jc w:val="both"/>
        <w:rPr>
          <w:rFonts w:ascii="Palatino Linotype" w:eastAsia="Palatino Linotype" w:hAnsi="Palatino Linotype" w:cs="Palatino Linotype"/>
          <w:i/>
          <w:sz w:val="22"/>
          <w:szCs w:val="22"/>
        </w:rPr>
      </w:pPr>
    </w:p>
    <w:p w14:paraId="37694D1E" w14:textId="77777777" w:rsidR="00EC154B" w:rsidRPr="00F30A3D" w:rsidRDefault="002A4CEB">
      <w:pPr>
        <w:ind w:left="851" w:right="899"/>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Artículo 27.- La Oficialía Mayor, las entidades, los tribunales administrativos y los </w:t>
      </w:r>
      <w:r w:rsidRPr="00F30A3D">
        <w:rPr>
          <w:rFonts w:ascii="Palatino Linotype" w:eastAsia="Palatino Linotype" w:hAnsi="Palatino Linotype" w:cs="Palatino Linotype"/>
          <w:b/>
          <w:i/>
          <w:sz w:val="22"/>
          <w:szCs w:val="22"/>
        </w:rPr>
        <w:t>ayuntamientos podrán adjudicar adquisiciones, arrendamientos y servicios</w:t>
      </w:r>
      <w:r w:rsidRPr="00F30A3D">
        <w:rPr>
          <w:rFonts w:ascii="Palatino Linotype" w:eastAsia="Palatino Linotype" w:hAnsi="Palatino Linotype" w:cs="Palatino Linotype"/>
          <w:i/>
          <w:sz w:val="22"/>
          <w:szCs w:val="22"/>
        </w:rPr>
        <w:t xml:space="preserve">, mediante las excepciones al procedimiento de licitación que a continuación se señalan: </w:t>
      </w:r>
    </w:p>
    <w:p w14:paraId="5DC05C13" w14:textId="77777777" w:rsidR="00EC154B" w:rsidRPr="00F30A3D" w:rsidRDefault="002A4CEB">
      <w:pPr>
        <w:ind w:left="851" w:right="89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I. Invitación restringida. </w:t>
      </w:r>
    </w:p>
    <w:p w14:paraId="37993F7C" w14:textId="77777777" w:rsidR="00EC154B" w:rsidRPr="00F30A3D" w:rsidRDefault="002A4CEB">
      <w:pPr>
        <w:ind w:left="851" w:right="899"/>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II. Adjudicación directa”</w:t>
      </w:r>
    </w:p>
    <w:p w14:paraId="0D25582F" w14:textId="77777777" w:rsidR="00EC154B" w:rsidRPr="00F30A3D" w:rsidRDefault="00EC154B">
      <w:pPr>
        <w:ind w:left="851" w:right="899"/>
        <w:jc w:val="both"/>
        <w:rPr>
          <w:rFonts w:ascii="Palatino Linotype" w:eastAsia="Palatino Linotype" w:hAnsi="Palatino Linotype" w:cs="Palatino Linotype"/>
          <w:i/>
          <w:sz w:val="22"/>
          <w:szCs w:val="22"/>
        </w:rPr>
      </w:pPr>
    </w:p>
    <w:p w14:paraId="6CB4B845" w14:textId="77777777" w:rsidR="00EC154B" w:rsidRPr="00F30A3D" w:rsidRDefault="002A4CEB">
      <w:pPr>
        <w:ind w:left="851" w:right="899"/>
        <w:jc w:val="right"/>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sz w:val="22"/>
          <w:szCs w:val="22"/>
        </w:rPr>
        <w:t>Énfasis añadido</w:t>
      </w:r>
      <w:r w:rsidRPr="00F30A3D">
        <w:rPr>
          <w:rFonts w:ascii="Palatino Linotype" w:eastAsia="Palatino Linotype" w:hAnsi="Palatino Linotype" w:cs="Palatino Linotype"/>
          <w:i/>
          <w:sz w:val="22"/>
          <w:szCs w:val="22"/>
        </w:rPr>
        <w:t>)</w:t>
      </w:r>
    </w:p>
    <w:p w14:paraId="6C0E2DEB" w14:textId="77777777" w:rsidR="00EC154B" w:rsidRPr="00F30A3D" w:rsidRDefault="00EC154B">
      <w:pPr>
        <w:ind w:left="851" w:right="899"/>
        <w:jc w:val="both"/>
        <w:rPr>
          <w:rFonts w:ascii="Palatino Linotype" w:eastAsia="Palatino Linotype" w:hAnsi="Palatino Linotype" w:cs="Palatino Linotype"/>
          <w:i/>
          <w:sz w:val="22"/>
          <w:szCs w:val="22"/>
        </w:rPr>
      </w:pPr>
    </w:p>
    <w:p w14:paraId="77047E23"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026808F8"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C2CB622"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0A541E5C"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81D57F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78C4361B" w14:textId="77777777" w:rsidR="00EC154B" w:rsidRPr="00F30A3D" w:rsidRDefault="00EC154B">
      <w:pPr>
        <w:jc w:val="both"/>
        <w:rPr>
          <w:rFonts w:ascii="Palatino Linotype" w:eastAsia="Palatino Linotype" w:hAnsi="Palatino Linotype" w:cs="Palatino Linotype"/>
          <w:sz w:val="22"/>
          <w:szCs w:val="22"/>
        </w:rPr>
      </w:pPr>
    </w:p>
    <w:p w14:paraId="1A5C9D6D"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lastRenderedPageBreak/>
        <w:t>“Artículo 35</w:t>
      </w:r>
      <w:r w:rsidRPr="00F30A3D">
        <w:rPr>
          <w:rFonts w:ascii="Palatino Linotype" w:eastAsia="Palatino Linotype" w:hAnsi="Palatino Linotype" w:cs="Palatino Linotype"/>
          <w:i/>
          <w:sz w:val="22"/>
          <w:szCs w:val="22"/>
        </w:rPr>
        <w:t>.- En los procedimientos de licitación pública se observará lo siguiente:</w:t>
      </w:r>
    </w:p>
    <w:p w14:paraId="6E101C90" w14:textId="77777777" w:rsidR="00EC154B" w:rsidRPr="00F30A3D" w:rsidRDefault="00EC154B">
      <w:pPr>
        <w:ind w:left="567" w:right="567"/>
        <w:jc w:val="both"/>
        <w:rPr>
          <w:rFonts w:ascii="Palatino Linotype" w:eastAsia="Palatino Linotype" w:hAnsi="Palatino Linotype" w:cs="Palatino Linotype"/>
          <w:i/>
          <w:sz w:val="22"/>
          <w:szCs w:val="22"/>
        </w:rPr>
      </w:pPr>
    </w:p>
    <w:p w14:paraId="7B24A277"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4779AD7C"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22014A70"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26915CBE"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319FA563"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5498A1ED"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7E88EE90"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VII. Se emitirá el fallo dentro de los 15 días hábiles siguientes a la publicación de la convocatoria.</w:t>
      </w:r>
    </w:p>
    <w:p w14:paraId="663518F9"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F30A3D">
        <w:rPr>
          <w:rFonts w:ascii="Palatino Linotype" w:eastAsia="Palatino Linotype" w:hAnsi="Palatino Linotype" w:cs="Palatino Linotype"/>
          <w:b/>
          <w:i/>
          <w:sz w:val="22"/>
          <w:szCs w:val="22"/>
        </w:rPr>
        <w:t>”</w:t>
      </w:r>
    </w:p>
    <w:p w14:paraId="1E0C02AB" w14:textId="77777777" w:rsidR="00EC154B" w:rsidRPr="00F30A3D" w:rsidRDefault="002A4CEB">
      <w:pPr>
        <w:ind w:left="567" w:right="567"/>
        <w:jc w:val="right"/>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(Énfasis añadido)</w:t>
      </w:r>
    </w:p>
    <w:p w14:paraId="4DCF1769" w14:textId="77777777" w:rsidR="00EC154B" w:rsidRPr="00F30A3D" w:rsidRDefault="00EC154B">
      <w:pPr>
        <w:ind w:left="851" w:right="902"/>
        <w:jc w:val="both"/>
        <w:rPr>
          <w:rFonts w:ascii="Palatino Linotype" w:eastAsia="Palatino Linotype" w:hAnsi="Palatino Linotype" w:cs="Palatino Linotype"/>
          <w:sz w:val="22"/>
          <w:szCs w:val="22"/>
        </w:rPr>
      </w:pPr>
    </w:p>
    <w:p w14:paraId="1CC20751"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5A9F5EAE"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F001227"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Además, respecto al dictamen y el fallo de la adjudicación, es de señalar que los artículos 37 y 38 de la Ley en mención indican lo siguiente:</w:t>
      </w:r>
    </w:p>
    <w:p w14:paraId="30C52CF3" w14:textId="77777777" w:rsidR="00EC154B" w:rsidRPr="00F30A3D" w:rsidRDefault="00EC154B">
      <w:pPr>
        <w:jc w:val="both"/>
        <w:rPr>
          <w:rFonts w:ascii="Palatino Linotype" w:eastAsia="Palatino Linotype" w:hAnsi="Palatino Linotype" w:cs="Palatino Linotype"/>
          <w:sz w:val="22"/>
          <w:szCs w:val="22"/>
        </w:rPr>
      </w:pPr>
    </w:p>
    <w:p w14:paraId="175A2465"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37.-</w:t>
      </w:r>
      <w:r w:rsidRPr="00F30A3D">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7833006B" w14:textId="77777777" w:rsidR="00EC154B" w:rsidRPr="00F30A3D" w:rsidRDefault="00EC154B">
      <w:pPr>
        <w:ind w:left="567" w:right="567"/>
        <w:jc w:val="both"/>
        <w:rPr>
          <w:rFonts w:ascii="Palatino Linotype" w:eastAsia="Palatino Linotype" w:hAnsi="Palatino Linotype" w:cs="Palatino Linotype"/>
          <w:b/>
          <w:i/>
          <w:sz w:val="22"/>
          <w:szCs w:val="22"/>
        </w:rPr>
      </w:pPr>
    </w:p>
    <w:p w14:paraId="57A3FEE2"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38.-</w:t>
      </w:r>
      <w:r w:rsidRPr="00F30A3D">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4976013D"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F30A3D">
        <w:rPr>
          <w:rFonts w:ascii="Palatino Linotype" w:eastAsia="Palatino Linotype" w:hAnsi="Palatino Linotype" w:cs="Palatino Linotype"/>
          <w:b/>
          <w:i/>
          <w:sz w:val="22"/>
          <w:szCs w:val="22"/>
        </w:rPr>
        <w:t>”</w:t>
      </w:r>
      <w:r w:rsidRPr="00F30A3D">
        <w:rPr>
          <w:rFonts w:ascii="Palatino Linotype" w:eastAsia="Palatino Linotype" w:hAnsi="Palatino Linotype" w:cs="Palatino Linotype"/>
          <w:i/>
          <w:sz w:val="22"/>
          <w:szCs w:val="22"/>
        </w:rPr>
        <w:t xml:space="preserve"> </w:t>
      </w:r>
    </w:p>
    <w:p w14:paraId="4F1A5288" w14:textId="77777777" w:rsidR="00EC154B" w:rsidRPr="00F30A3D" w:rsidRDefault="00EC154B">
      <w:pPr>
        <w:ind w:left="851" w:right="902"/>
        <w:jc w:val="both"/>
        <w:rPr>
          <w:rFonts w:ascii="Palatino Linotype" w:eastAsia="Palatino Linotype" w:hAnsi="Palatino Linotype" w:cs="Palatino Linotype"/>
          <w:i/>
          <w:sz w:val="22"/>
          <w:szCs w:val="22"/>
        </w:rPr>
      </w:pPr>
    </w:p>
    <w:p w14:paraId="3FDD0F49"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1EA0423B"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5199BB1"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 el artículo 46 de la misma Ley, que literalmente establece lo siguiente:</w:t>
      </w:r>
    </w:p>
    <w:p w14:paraId="42768900"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872AB93"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46.-</w:t>
      </w:r>
      <w:r w:rsidRPr="00F30A3D">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422D19CB"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57435018"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Por ello, el Reglamento de la Ley en comento, en su artículo 90, indica cuales son los supuestos que deberán observarse para llevar a cabo dicho procedimiento:</w:t>
      </w:r>
    </w:p>
    <w:p w14:paraId="4C649045" w14:textId="77777777" w:rsidR="00EC154B" w:rsidRPr="00F30A3D" w:rsidRDefault="00EC154B">
      <w:pPr>
        <w:ind w:left="567" w:right="567"/>
        <w:jc w:val="both"/>
        <w:rPr>
          <w:rFonts w:ascii="Palatino Linotype" w:eastAsia="Palatino Linotype" w:hAnsi="Palatino Linotype" w:cs="Palatino Linotype"/>
          <w:b/>
          <w:i/>
          <w:sz w:val="22"/>
          <w:szCs w:val="22"/>
        </w:rPr>
      </w:pPr>
    </w:p>
    <w:p w14:paraId="48FF81F4"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90.-</w:t>
      </w:r>
      <w:r w:rsidRPr="00F30A3D">
        <w:rPr>
          <w:rFonts w:ascii="Palatino Linotype" w:eastAsia="Palatino Linotype" w:hAnsi="Palatino Linotype" w:cs="Palatino Linotype"/>
          <w:i/>
          <w:sz w:val="22"/>
          <w:szCs w:val="22"/>
        </w:rPr>
        <w:t xml:space="preserve"> En el procedimiento de invitación restringida se deberá observar lo siguiente:</w:t>
      </w:r>
    </w:p>
    <w:p w14:paraId="0D295425" w14:textId="77777777" w:rsidR="00EC154B" w:rsidRPr="00F30A3D" w:rsidRDefault="00EC154B">
      <w:pPr>
        <w:ind w:left="567" w:right="567"/>
        <w:jc w:val="both"/>
        <w:rPr>
          <w:rFonts w:ascii="Palatino Linotype" w:eastAsia="Palatino Linotype" w:hAnsi="Palatino Linotype" w:cs="Palatino Linotype"/>
          <w:i/>
          <w:sz w:val="22"/>
          <w:szCs w:val="22"/>
        </w:rPr>
      </w:pPr>
    </w:p>
    <w:p w14:paraId="058DD581"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2D4462F9"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3395AB45"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II. Las bases de la invitación restringida indicarán los aspectos de la adquisición o contratación; y</w:t>
      </w:r>
    </w:p>
    <w:p w14:paraId="0FD8547B" w14:textId="77777777" w:rsidR="00EC154B" w:rsidRPr="00F30A3D" w:rsidRDefault="002A4CEB">
      <w:pPr>
        <w:ind w:left="567" w:right="567"/>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i/>
          <w:sz w:val="22"/>
          <w:szCs w:val="22"/>
        </w:rPr>
        <w:t>III. Serán aplicables, en lo conducente, las disposiciones de la licitación pública.</w:t>
      </w:r>
      <w:r w:rsidRPr="00F30A3D">
        <w:rPr>
          <w:rFonts w:ascii="Palatino Linotype" w:eastAsia="Palatino Linotype" w:hAnsi="Palatino Linotype" w:cs="Palatino Linotype"/>
          <w:b/>
          <w:i/>
          <w:sz w:val="22"/>
          <w:szCs w:val="22"/>
        </w:rPr>
        <w:t>”</w:t>
      </w:r>
    </w:p>
    <w:p w14:paraId="792DA110" w14:textId="77777777" w:rsidR="00EC154B" w:rsidRPr="00F30A3D" w:rsidRDefault="00EC154B">
      <w:pPr>
        <w:ind w:left="709" w:right="760"/>
        <w:jc w:val="both"/>
        <w:rPr>
          <w:rFonts w:ascii="Palatino Linotype" w:eastAsia="Palatino Linotype" w:hAnsi="Palatino Linotype" w:cs="Palatino Linotype"/>
          <w:i/>
          <w:sz w:val="22"/>
          <w:szCs w:val="22"/>
        </w:rPr>
      </w:pPr>
    </w:p>
    <w:p w14:paraId="6688CD5C"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93B2780"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5D67349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B5A4014" w14:textId="77777777" w:rsidR="00EC154B" w:rsidRPr="00F30A3D" w:rsidRDefault="002A4CEB">
      <w:pPr>
        <w:spacing w:line="360" w:lineRule="auto"/>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sz w:val="22"/>
          <w:szCs w:val="22"/>
          <w:u w:val="single"/>
        </w:rPr>
        <w:t>Por último, y en cuanto hace a la adjudicación directa, el artículo 48 de la Ley de la Contratación Pública del Estado de México y Municipios y 91 del Reglamento de dicha Ley, indican en qué supuestos puede llevarse a cabo este procedimiento.</w:t>
      </w:r>
    </w:p>
    <w:p w14:paraId="30591F53" w14:textId="77777777" w:rsidR="00EC154B" w:rsidRPr="00F30A3D" w:rsidRDefault="00EC154B">
      <w:pPr>
        <w:spacing w:line="360" w:lineRule="auto"/>
        <w:jc w:val="both"/>
        <w:rPr>
          <w:rFonts w:ascii="Palatino Linotype" w:eastAsia="Palatino Linotype" w:hAnsi="Palatino Linotype" w:cs="Palatino Linotype"/>
          <w:b/>
          <w:sz w:val="22"/>
          <w:szCs w:val="22"/>
          <w:u w:val="single"/>
        </w:rPr>
      </w:pPr>
    </w:p>
    <w:p w14:paraId="661387BF"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164B8700"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A86D1F4"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Además, el artículo 94 del referido Reglamento, detalla el procedimiento que se llevará a cabo en la adjudicación directa, de la siguiente manera: </w:t>
      </w:r>
    </w:p>
    <w:p w14:paraId="51317E5E" w14:textId="77777777" w:rsidR="00EC154B" w:rsidRPr="00F30A3D" w:rsidRDefault="00EC154B">
      <w:pPr>
        <w:jc w:val="both"/>
        <w:rPr>
          <w:rFonts w:ascii="Palatino Linotype" w:eastAsia="Palatino Linotype" w:hAnsi="Palatino Linotype" w:cs="Palatino Linotype"/>
          <w:sz w:val="22"/>
          <w:szCs w:val="22"/>
        </w:rPr>
      </w:pPr>
    </w:p>
    <w:p w14:paraId="72C9B83C" w14:textId="77777777" w:rsidR="00EC154B" w:rsidRPr="00F30A3D" w:rsidRDefault="002A4CEB">
      <w:pPr>
        <w:ind w:left="567" w:right="567"/>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“Artículo 94.- </w:t>
      </w:r>
      <w:r w:rsidRPr="00F30A3D">
        <w:rPr>
          <w:rFonts w:ascii="Palatino Linotype" w:eastAsia="Palatino Linotype" w:hAnsi="Palatino Linotype" w:cs="Palatino Linotype"/>
          <w:i/>
          <w:sz w:val="22"/>
          <w:szCs w:val="22"/>
        </w:rPr>
        <w:t>En el procedimiento de adjudicación directa se observará lo siguiente:</w:t>
      </w:r>
      <w:r w:rsidRPr="00F30A3D">
        <w:rPr>
          <w:rFonts w:ascii="Palatino Linotype" w:eastAsia="Palatino Linotype" w:hAnsi="Palatino Linotype" w:cs="Palatino Linotype"/>
          <w:b/>
          <w:i/>
          <w:sz w:val="22"/>
          <w:szCs w:val="22"/>
        </w:rPr>
        <w:t xml:space="preserve"> </w:t>
      </w:r>
    </w:p>
    <w:p w14:paraId="3FADB8B4"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w:t>
      </w:r>
      <w:r w:rsidRPr="00F30A3D">
        <w:rPr>
          <w:rFonts w:ascii="Palatino Linotype" w:eastAsia="Palatino Linotype" w:hAnsi="Palatino Linotype" w:cs="Palatino Linotype"/>
          <w:i/>
          <w:sz w:val="22"/>
          <w:szCs w:val="22"/>
        </w:rPr>
        <w:t xml:space="preserve"> </w:t>
      </w:r>
      <w:r w:rsidRPr="00F30A3D">
        <w:rPr>
          <w:rFonts w:ascii="Palatino Linotype" w:eastAsia="Palatino Linotype" w:hAnsi="Palatino Linotype" w:cs="Palatino Linotype"/>
          <w:b/>
          <w:i/>
          <w:sz w:val="22"/>
          <w:szCs w:val="22"/>
        </w:rPr>
        <w:t>Las adquisiciones de bienes</w:t>
      </w:r>
      <w:r w:rsidRPr="00F30A3D">
        <w:rPr>
          <w:rFonts w:ascii="Palatino Linotype" w:eastAsia="Palatino Linotype" w:hAnsi="Palatino Linotype" w:cs="Palatino Linotype"/>
          <w:i/>
          <w:sz w:val="22"/>
          <w:szCs w:val="22"/>
        </w:rPr>
        <w:t xml:space="preserve">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0693A23E"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w:t>
      </w:r>
      <w:r w:rsidRPr="00F30A3D">
        <w:rPr>
          <w:rFonts w:ascii="Palatino Linotype" w:eastAsia="Palatino Linotype" w:hAnsi="Palatino Linotype" w:cs="Palatino Linotype"/>
          <w:i/>
          <w:sz w:val="22"/>
          <w:szCs w:val="22"/>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68C3D79F" w14:textId="77777777" w:rsidR="00EC154B" w:rsidRPr="00F30A3D" w:rsidRDefault="002A4CEB">
      <w:pPr>
        <w:ind w:left="567" w:right="567"/>
        <w:jc w:val="both"/>
        <w:rPr>
          <w:rFonts w:ascii="Palatino Linotype" w:eastAsia="Palatino Linotype" w:hAnsi="Palatino Linotype" w:cs="Palatino Linotype"/>
          <w:b/>
          <w:i/>
          <w:sz w:val="22"/>
          <w:szCs w:val="22"/>
          <w:u w:val="single"/>
        </w:rPr>
      </w:pPr>
      <w:r w:rsidRPr="00F30A3D">
        <w:rPr>
          <w:rFonts w:ascii="Palatino Linotype" w:eastAsia="Palatino Linotype" w:hAnsi="Palatino Linotype" w:cs="Palatino Linotype"/>
          <w:b/>
          <w:i/>
          <w:sz w:val="22"/>
          <w:szCs w:val="22"/>
        </w:rPr>
        <w:t>III.</w:t>
      </w:r>
      <w:r w:rsidRPr="00F30A3D">
        <w:rPr>
          <w:rFonts w:ascii="Palatino Linotype" w:eastAsia="Palatino Linotype" w:hAnsi="Palatino Linotype" w:cs="Palatino Linotype"/>
          <w:i/>
          <w:sz w:val="22"/>
          <w:szCs w:val="22"/>
        </w:rPr>
        <w:t xml:space="preserve"> </w:t>
      </w:r>
      <w:r w:rsidRPr="00F30A3D">
        <w:rPr>
          <w:rFonts w:ascii="Palatino Linotype" w:eastAsia="Palatino Linotype" w:hAnsi="Palatino Linotype" w:cs="Palatino Linotype"/>
          <w:b/>
          <w:i/>
          <w:sz w:val="22"/>
          <w:szCs w:val="22"/>
          <w:u w:val="single"/>
        </w:rPr>
        <w:t>La solicitud de participación contendrá, como mínimo, la descripción y cantidad de los bienes o servicios requeridos, lugar, plazo de entrega o duración del servicio y forma de pago;</w:t>
      </w:r>
    </w:p>
    <w:p w14:paraId="3C33EA52" w14:textId="77777777" w:rsidR="00EC154B" w:rsidRPr="00F30A3D" w:rsidRDefault="002A4CEB">
      <w:pPr>
        <w:ind w:left="567" w:right="567"/>
        <w:jc w:val="both"/>
        <w:rPr>
          <w:rFonts w:ascii="Palatino Linotype" w:eastAsia="Palatino Linotype" w:hAnsi="Palatino Linotype" w:cs="Palatino Linotype"/>
          <w:b/>
          <w:i/>
          <w:sz w:val="22"/>
          <w:szCs w:val="22"/>
          <w:u w:val="single"/>
        </w:rPr>
      </w:pPr>
      <w:r w:rsidRPr="00F30A3D">
        <w:rPr>
          <w:rFonts w:ascii="Palatino Linotype" w:eastAsia="Palatino Linotype" w:hAnsi="Palatino Linotype" w:cs="Palatino Linotype"/>
          <w:b/>
          <w:i/>
          <w:sz w:val="22"/>
          <w:szCs w:val="22"/>
        </w:rPr>
        <w:t>IV</w:t>
      </w:r>
      <w:r w:rsidRPr="00F30A3D">
        <w:rPr>
          <w:rFonts w:ascii="Palatino Linotype" w:eastAsia="Palatino Linotype" w:hAnsi="Palatino Linotype" w:cs="Palatino Linotype"/>
          <w:b/>
          <w:i/>
          <w:sz w:val="22"/>
          <w:szCs w:val="22"/>
          <w:u w:val="single"/>
        </w:rPr>
        <w:t>. La solicitud de participación deberá señalar el día, hora y lugar en que tendrá verificativo el acto de presentación y apertura de ofertas;</w:t>
      </w:r>
    </w:p>
    <w:p w14:paraId="2EB1136C"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V.</w:t>
      </w:r>
      <w:r w:rsidRPr="00F30A3D">
        <w:rPr>
          <w:rFonts w:ascii="Palatino Linotype" w:eastAsia="Palatino Linotype" w:hAnsi="Palatino Linotype" w:cs="Palatino Linotype"/>
          <w:i/>
          <w:sz w:val="22"/>
          <w:szCs w:val="22"/>
        </w:rPr>
        <w:t xml:space="preserve"> Atendiendo a la naturaleza de los bienes o servicios, la convocante podrá optar entre celebrar o no junta de aclaraciones, en términos de lo dispuesto por este Reglamento;</w:t>
      </w:r>
    </w:p>
    <w:p w14:paraId="5A42E296"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VI.</w:t>
      </w:r>
      <w:r w:rsidRPr="00F30A3D">
        <w:rPr>
          <w:rFonts w:ascii="Palatino Linotype" w:eastAsia="Palatino Linotype" w:hAnsi="Palatino Linotype" w:cs="Palatino Linotype"/>
          <w:i/>
          <w:sz w:val="22"/>
          <w:szCs w:val="22"/>
        </w:rPr>
        <w:t xml:space="preserve"> El servidor público designado por la convocante será el responsable de llevar a cabo el acto de presentación y apertura de propuestas;</w:t>
      </w:r>
    </w:p>
    <w:p w14:paraId="52FB71DA"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VII.</w:t>
      </w:r>
      <w:r w:rsidRPr="00F30A3D">
        <w:rPr>
          <w:rFonts w:ascii="Palatino Linotype" w:eastAsia="Palatino Linotype" w:hAnsi="Palatino Linotype" w:cs="Palatino Linotype"/>
          <w:i/>
          <w:sz w:val="22"/>
          <w:szCs w:val="22"/>
        </w:rPr>
        <w:t xml:space="preserve"> Se observarán, en lo conducente, las disposiciones relativas a la contraoferta; y</w:t>
      </w:r>
    </w:p>
    <w:p w14:paraId="134B9E7A" w14:textId="77777777" w:rsidR="00EC154B" w:rsidRPr="00F30A3D" w:rsidRDefault="002A4CEB">
      <w:pPr>
        <w:ind w:left="567" w:righ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VIII.</w:t>
      </w:r>
      <w:r w:rsidRPr="00F30A3D">
        <w:rPr>
          <w:rFonts w:ascii="Palatino Linotype" w:eastAsia="Palatino Linotype" w:hAnsi="Palatino Linotype" w:cs="Palatino Linotype"/>
          <w:i/>
          <w:sz w:val="22"/>
          <w:szCs w:val="22"/>
        </w:rPr>
        <w:t xml:space="preserve"> El comité será responsable de emitir el dictamen de adjudicación que servirá de base para el fallo de adjudicación; correspondiendo a la convocante emitir dicho fallo, quien lo hará del conocimiento de los licitantes.</w:t>
      </w:r>
      <w:r w:rsidRPr="00F30A3D">
        <w:rPr>
          <w:rFonts w:ascii="Palatino Linotype" w:eastAsia="Palatino Linotype" w:hAnsi="Palatino Linotype" w:cs="Palatino Linotype"/>
          <w:b/>
          <w:i/>
          <w:sz w:val="22"/>
          <w:szCs w:val="22"/>
        </w:rPr>
        <w:t>”</w:t>
      </w:r>
      <w:r w:rsidRPr="00F30A3D">
        <w:rPr>
          <w:rFonts w:ascii="Palatino Linotype" w:eastAsia="Palatino Linotype" w:hAnsi="Palatino Linotype" w:cs="Palatino Linotype"/>
          <w:i/>
          <w:sz w:val="22"/>
          <w:szCs w:val="22"/>
        </w:rPr>
        <w:t xml:space="preserve"> </w:t>
      </w:r>
    </w:p>
    <w:p w14:paraId="570B5F79" w14:textId="77777777" w:rsidR="00EC154B" w:rsidRPr="00F30A3D" w:rsidRDefault="002A4CEB">
      <w:pPr>
        <w:ind w:left="567" w:right="567"/>
        <w:jc w:val="right"/>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(Énfasis añadido)</w:t>
      </w:r>
    </w:p>
    <w:p w14:paraId="6A5A84CA" w14:textId="77777777" w:rsidR="00EC154B" w:rsidRPr="00F30A3D" w:rsidRDefault="00EC154B">
      <w:pPr>
        <w:ind w:left="851" w:right="851"/>
        <w:jc w:val="both"/>
        <w:rPr>
          <w:rFonts w:ascii="Palatino Linotype" w:eastAsia="Palatino Linotype" w:hAnsi="Palatino Linotype" w:cs="Palatino Linotype"/>
          <w:i/>
          <w:sz w:val="22"/>
          <w:szCs w:val="22"/>
        </w:rPr>
      </w:pPr>
    </w:p>
    <w:p w14:paraId="2DA51F70"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este sentido, debe decirse que la información sobre los </w:t>
      </w:r>
      <w:r w:rsidRPr="00F30A3D">
        <w:rPr>
          <w:rFonts w:ascii="Palatino Linotype" w:eastAsia="Palatino Linotype" w:hAnsi="Palatino Linotype" w:cs="Palatino Linotype"/>
          <w:b/>
          <w:sz w:val="22"/>
          <w:szCs w:val="22"/>
        </w:rPr>
        <w:t xml:space="preserve">procesos y resultados sobre procedimientos adquisitivos por las modalidades de adjudicación directa, invitación restringida y licitación de cualquier naturaleza, </w:t>
      </w:r>
      <w:r w:rsidRPr="00F30A3D">
        <w:rPr>
          <w:rFonts w:ascii="Palatino Linotype" w:eastAsia="Palatino Linotype" w:hAnsi="Palatino Linotype" w:cs="Palatino Linotype"/>
          <w:sz w:val="22"/>
          <w:szCs w:val="22"/>
        </w:rPr>
        <w:t xml:space="preserve">se encuentra considerada como una obligación de transparencia común que los Sujetos Obligados tienen el deber de poner a disposición del público de manera permanente y actualizada de forma sencilla, precisa y </w:t>
      </w:r>
      <w:r w:rsidRPr="00F30A3D">
        <w:rPr>
          <w:rFonts w:ascii="Palatino Linotype" w:eastAsia="Palatino Linotype" w:hAnsi="Palatino Linotype" w:cs="Palatino Linotype"/>
          <w:sz w:val="22"/>
          <w:szCs w:val="22"/>
        </w:rPr>
        <w:lastRenderedPageBreak/>
        <w:t>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que en su fracción XXIX, dispone lo siguiente:</w:t>
      </w:r>
    </w:p>
    <w:p w14:paraId="32B3CE4D" w14:textId="77777777" w:rsidR="00EC154B" w:rsidRPr="00F30A3D" w:rsidRDefault="00EC154B">
      <w:pPr>
        <w:jc w:val="both"/>
        <w:rPr>
          <w:rFonts w:ascii="Palatino Linotype" w:eastAsia="Palatino Linotype" w:hAnsi="Palatino Linotype" w:cs="Palatino Linotype"/>
          <w:sz w:val="22"/>
          <w:szCs w:val="22"/>
        </w:rPr>
      </w:pPr>
    </w:p>
    <w:p w14:paraId="36FE25CF"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“Artículo 92. </w:t>
      </w:r>
      <w:r w:rsidRPr="00F30A3D">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EFD34C4"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w:t>
      </w:r>
    </w:p>
    <w:p w14:paraId="62DE1061"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XXIX. </w:t>
      </w:r>
      <w:r w:rsidRPr="00F30A3D">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F30A3D">
        <w:rPr>
          <w:rFonts w:ascii="Palatino Linotype" w:eastAsia="Palatino Linotype" w:hAnsi="Palatino Linotype" w:cs="Palatino Linotype"/>
          <w:b/>
          <w:i/>
          <w:sz w:val="22"/>
          <w:szCs w:val="22"/>
          <w:u w:val="single"/>
        </w:rPr>
        <w:t xml:space="preserve">incluyendo la versión pública del expediente respectivo y de los contratos celebrados, </w:t>
      </w:r>
      <w:r w:rsidRPr="00F30A3D">
        <w:rPr>
          <w:rFonts w:ascii="Palatino Linotype" w:eastAsia="Palatino Linotype" w:hAnsi="Palatino Linotype" w:cs="Palatino Linotype"/>
          <w:i/>
          <w:sz w:val="22"/>
          <w:szCs w:val="22"/>
        </w:rPr>
        <w:t>que deberán contener, por los menos, lo siguiente:</w:t>
      </w:r>
    </w:p>
    <w:p w14:paraId="7C273685" w14:textId="77777777" w:rsidR="00EC154B" w:rsidRPr="00F30A3D" w:rsidRDefault="002A4CEB">
      <w:pPr>
        <w:ind w:left="567" w:right="567"/>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i/>
          <w:sz w:val="22"/>
          <w:szCs w:val="22"/>
          <w:u w:val="single"/>
        </w:rPr>
        <w:t>a) De licitaciones públicas o procedimientos de invitación restringida:</w:t>
      </w:r>
    </w:p>
    <w:p w14:paraId="076391FE" w14:textId="77777777" w:rsidR="00EC154B" w:rsidRPr="00F30A3D" w:rsidRDefault="002A4CEB">
      <w:pPr>
        <w:ind w:left="567" w:right="567"/>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i/>
          <w:sz w:val="22"/>
          <w:szCs w:val="22"/>
        </w:rPr>
        <w:t>1) </w:t>
      </w:r>
      <w:r w:rsidRPr="00F30A3D">
        <w:rPr>
          <w:rFonts w:ascii="Palatino Linotype" w:eastAsia="Palatino Linotype" w:hAnsi="Palatino Linotype" w:cs="Palatino Linotype"/>
          <w:i/>
          <w:sz w:val="22"/>
          <w:szCs w:val="22"/>
        </w:rPr>
        <w:t>La convocatoria o invitación emitida, así como los fundamentos legales aplicados para llevarla a cabo;</w:t>
      </w:r>
    </w:p>
    <w:p w14:paraId="11E4728D"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2) </w:t>
      </w:r>
      <w:r w:rsidRPr="00F30A3D">
        <w:rPr>
          <w:rFonts w:ascii="Palatino Linotype" w:eastAsia="Palatino Linotype" w:hAnsi="Palatino Linotype" w:cs="Palatino Linotype"/>
          <w:i/>
          <w:sz w:val="22"/>
          <w:szCs w:val="22"/>
        </w:rPr>
        <w:t>Los nombres de los participantes o invitados;</w:t>
      </w:r>
    </w:p>
    <w:p w14:paraId="040B4452"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3)</w:t>
      </w:r>
      <w:r w:rsidRPr="00F30A3D">
        <w:rPr>
          <w:rFonts w:ascii="Palatino Linotype" w:eastAsia="Palatino Linotype" w:hAnsi="Palatino Linotype" w:cs="Palatino Linotype"/>
          <w:i/>
          <w:sz w:val="22"/>
          <w:szCs w:val="22"/>
        </w:rPr>
        <w:t> El nombre del ganador y las razones que lo justifican;</w:t>
      </w:r>
    </w:p>
    <w:p w14:paraId="3F48C100"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4) </w:t>
      </w:r>
      <w:r w:rsidRPr="00F30A3D">
        <w:rPr>
          <w:rFonts w:ascii="Palatino Linotype" w:eastAsia="Palatino Linotype" w:hAnsi="Palatino Linotype" w:cs="Palatino Linotype"/>
          <w:i/>
          <w:sz w:val="22"/>
          <w:szCs w:val="22"/>
        </w:rPr>
        <w:t>El área solicitante y la responsable de su ejecución;</w:t>
      </w:r>
    </w:p>
    <w:p w14:paraId="6520F437"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5) </w:t>
      </w:r>
      <w:r w:rsidRPr="00F30A3D">
        <w:rPr>
          <w:rFonts w:ascii="Palatino Linotype" w:eastAsia="Palatino Linotype" w:hAnsi="Palatino Linotype" w:cs="Palatino Linotype"/>
          <w:i/>
          <w:sz w:val="22"/>
          <w:szCs w:val="22"/>
        </w:rPr>
        <w:t>Las convocatorias e invitaciones emitidas;</w:t>
      </w:r>
    </w:p>
    <w:p w14:paraId="3C45CC4E"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6)</w:t>
      </w:r>
      <w:r w:rsidRPr="00F30A3D">
        <w:rPr>
          <w:rFonts w:ascii="Palatino Linotype" w:eastAsia="Palatino Linotype" w:hAnsi="Palatino Linotype" w:cs="Palatino Linotype"/>
          <w:i/>
          <w:sz w:val="22"/>
          <w:szCs w:val="22"/>
        </w:rPr>
        <w:t> Los dictámenes y fallo de adjudicación;</w:t>
      </w:r>
    </w:p>
    <w:p w14:paraId="5CBB9C82"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7)</w:t>
      </w:r>
      <w:r w:rsidRPr="00F30A3D">
        <w:rPr>
          <w:rFonts w:ascii="Palatino Linotype" w:eastAsia="Palatino Linotype" w:hAnsi="Palatino Linotype" w:cs="Palatino Linotype"/>
          <w:i/>
          <w:sz w:val="22"/>
          <w:szCs w:val="22"/>
        </w:rPr>
        <w:t> El contrato y, en su caso, sus anexos;</w:t>
      </w:r>
    </w:p>
    <w:p w14:paraId="24700EB4"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8) </w:t>
      </w:r>
      <w:r w:rsidRPr="00F30A3D">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79F0E34F"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9) La partida presupuestal, de conformidad con el clasificador por objeto del gasto, en el caso de ser aplicable;</w:t>
      </w:r>
    </w:p>
    <w:p w14:paraId="294D3853"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10) Origen de los recursos especificando si son federales, estatales o municipales</w:t>
      </w:r>
      <w:r w:rsidRPr="00F30A3D">
        <w:rPr>
          <w:rFonts w:ascii="Palatino Linotype" w:eastAsia="Palatino Linotype" w:hAnsi="Palatino Linotype" w:cs="Palatino Linotype"/>
          <w:b/>
          <w:i/>
          <w:sz w:val="22"/>
          <w:szCs w:val="22"/>
        </w:rPr>
        <w:t xml:space="preserve">, </w:t>
      </w:r>
      <w:r w:rsidRPr="00F30A3D">
        <w:rPr>
          <w:rFonts w:ascii="Palatino Linotype" w:eastAsia="Palatino Linotype" w:hAnsi="Palatino Linotype" w:cs="Palatino Linotype"/>
          <w:i/>
          <w:sz w:val="22"/>
          <w:szCs w:val="22"/>
        </w:rPr>
        <w:t>así como el tipo de fondo de participación o aportación respectiva;</w:t>
      </w:r>
    </w:p>
    <w:p w14:paraId="12768DEA"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11) </w:t>
      </w:r>
      <w:r w:rsidRPr="00F30A3D">
        <w:rPr>
          <w:rFonts w:ascii="Palatino Linotype" w:eastAsia="Palatino Linotype" w:hAnsi="Palatino Linotype" w:cs="Palatino Linotype"/>
          <w:i/>
          <w:sz w:val="22"/>
          <w:szCs w:val="22"/>
        </w:rPr>
        <w:t>Los convenios modificatorios que, en su caso, sean firmados, precisando el objeto y la fecha de celebración;</w:t>
      </w:r>
    </w:p>
    <w:p w14:paraId="692F019A" w14:textId="77777777" w:rsidR="00EC154B" w:rsidRPr="00F30A3D" w:rsidRDefault="002A4CEB">
      <w:pPr>
        <w:ind w:left="567" w:right="567"/>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i/>
          <w:sz w:val="22"/>
          <w:szCs w:val="22"/>
          <w:u w:val="single"/>
        </w:rPr>
        <w:t>12) Los informes de avance físico y financiero sobre las obras o servicios contratados;</w:t>
      </w:r>
    </w:p>
    <w:p w14:paraId="4B5D689B"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13) </w:t>
      </w:r>
      <w:r w:rsidRPr="00F30A3D">
        <w:rPr>
          <w:rFonts w:ascii="Palatino Linotype" w:eastAsia="Palatino Linotype" w:hAnsi="Palatino Linotype" w:cs="Palatino Linotype"/>
          <w:i/>
          <w:sz w:val="22"/>
          <w:szCs w:val="22"/>
        </w:rPr>
        <w:t>El convenio de terminación; y</w:t>
      </w:r>
    </w:p>
    <w:p w14:paraId="5982DF38"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14) </w:t>
      </w:r>
      <w:r w:rsidRPr="00F30A3D">
        <w:rPr>
          <w:rFonts w:ascii="Palatino Linotype" w:eastAsia="Palatino Linotype" w:hAnsi="Palatino Linotype" w:cs="Palatino Linotype"/>
          <w:i/>
          <w:sz w:val="22"/>
          <w:szCs w:val="22"/>
        </w:rPr>
        <w:t>El finiquito.</w:t>
      </w:r>
    </w:p>
    <w:p w14:paraId="0CBA4A2D" w14:textId="77777777" w:rsidR="00EC154B" w:rsidRPr="00F30A3D" w:rsidRDefault="002A4CEB">
      <w:pPr>
        <w:ind w:left="567" w:right="567"/>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i/>
          <w:sz w:val="22"/>
          <w:szCs w:val="22"/>
        </w:rPr>
        <w:lastRenderedPageBreak/>
        <w:t>b) De las adjudicaciones directas:</w:t>
      </w:r>
    </w:p>
    <w:p w14:paraId="61BC6A3A"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1) La propuesta enviada por el participante;</w:t>
      </w:r>
    </w:p>
    <w:p w14:paraId="144410A9"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2) </w:t>
      </w:r>
      <w:r w:rsidRPr="00F30A3D">
        <w:rPr>
          <w:rFonts w:ascii="Palatino Linotype" w:eastAsia="Palatino Linotype" w:hAnsi="Palatino Linotype" w:cs="Palatino Linotype"/>
          <w:i/>
          <w:sz w:val="22"/>
          <w:szCs w:val="22"/>
        </w:rPr>
        <w:t>Los motivos y fundamentos legales aplicados para llevarla a cabo;</w:t>
      </w:r>
    </w:p>
    <w:p w14:paraId="123FD1DA"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3) </w:t>
      </w:r>
      <w:r w:rsidRPr="00F30A3D">
        <w:rPr>
          <w:rFonts w:ascii="Palatino Linotype" w:eastAsia="Palatino Linotype" w:hAnsi="Palatino Linotype" w:cs="Palatino Linotype"/>
          <w:i/>
          <w:sz w:val="22"/>
          <w:szCs w:val="22"/>
        </w:rPr>
        <w:t>La autorización del ejercicio de la opción;</w:t>
      </w:r>
    </w:p>
    <w:p w14:paraId="35626359"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4)</w:t>
      </w:r>
      <w:r w:rsidRPr="00F30A3D">
        <w:rPr>
          <w:rFonts w:ascii="Palatino Linotype" w:eastAsia="Palatino Linotype" w:hAnsi="Palatino Linotype" w:cs="Palatino Linotype"/>
          <w:i/>
          <w:sz w:val="22"/>
          <w:szCs w:val="22"/>
        </w:rPr>
        <w:t> En su caso, las cotizaciones consideradas, especificando los nombres de los proveedores y sus montos;</w:t>
      </w:r>
    </w:p>
    <w:p w14:paraId="1A8A2E4B"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5) </w:t>
      </w:r>
      <w:r w:rsidRPr="00F30A3D">
        <w:rPr>
          <w:rFonts w:ascii="Palatino Linotype" w:eastAsia="Palatino Linotype" w:hAnsi="Palatino Linotype" w:cs="Palatino Linotype"/>
          <w:i/>
          <w:sz w:val="22"/>
          <w:szCs w:val="22"/>
        </w:rPr>
        <w:t>El nombre de la persona física o jurídica colectiva adjudicada;</w:t>
      </w:r>
    </w:p>
    <w:p w14:paraId="421EA85F"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6) </w:t>
      </w:r>
      <w:r w:rsidRPr="00F30A3D">
        <w:rPr>
          <w:rFonts w:ascii="Palatino Linotype" w:eastAsia="Palatino Linotype" w:hAnsi="Palatino Linotype" w:cs="Palatino Linotype"/>
          <w:i/>
          <w:sz w:val="22"/>
          <w:szCs w:val="22"/>
        </w:rPr>
        <w:t>La unidad administrativa solicitante y la responsable de su ejecución;</w:t>
      </w:r>
    </w:p>
    <w:p w14:paraId="2D2E1609"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7)</w:t>
      </w:r>
      <w:r w:rsidRPr="00F30A3D">
        <w:rPr>
          <w:rFonts w:ascii="Palatino Linotype" w:eastAsia="Palatino Linotype" w:hAnsi="Palatino Linotype" w:cs="Palatino Linotype"/>
          <w:i/>
          <w:sz w:val="22"/>
          <w:szCs w:val="22"/>
        </w:rPr>
        <w:t> El número, fecha, el monto del contrato y el plazo de entrega o de ejecución de los servicios u obra;</w:t>
      </w:r>
    </w:p>
    <w:p w14:paraId="5C1022B9"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8) </w:t>
      </w:r>
      <w:r w:rsidRPr="00F30A3D">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7210E9AC" w14:textId="77777777" w:rsidR="00EC154B" w:rsidRPr="00F30A3D" w:rsidRDefault="002A4CEB">
      <w:pPr>
        <w:ind w:left="567" w:right="567"/>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i/>
          <w:sz w:val="22"/>
          <w:szCs w:val="22"/>
          <w:u w:val="single"/>
        </w:rPr>
        <w:t>9) Los informes de avance sobre las obras o servicios contratados;</w:t>
      </w:r>
    </w:p>
    <w:p w14:paraId="0DE15CDB" w14:textId="77777777" w:rsidR="00EC154B" w:rsidRPr="00F30A3D" w:rsidRDefault="002A4CEB">
      <w:pPr>
        <w:ind w:left="567" w:right="567"/>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10) </w:t>
      </w:r>
      <w:r w:rsidRPr="00F30A3D">
        <w:rPr>
          <w:rFonts w:ascii="Palatino Linotype" w:eastAsia="Palatino Linotype" w:hAnsi="Palatino Linotype" w:cs="Palatino Linotype"/>
          <w:i/>
          <w:sz w:val="22"/>
          <w:szCs w:val="22"/>
        </w:rPr>
        <w:t>El convenio de terminación; y</w:t>
      </w:r>
    </w:p>
    <w:p w14:paraId="19B3EA4B" w14:textId="77777777" w:rsidR="00EC154B" w:rsidRPr="00F30A3D" w:rsidRDefault="002A4CEB">
      <w:pPr>
        <w:ind w:left="567" w:right="567"/>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11) </w:t>
      </w:r>
      <w:r w:rsidRPr="00F30A3D">
        <w:rPr>
          <w:rFonts w:ascii="Palatino Linotype" w:eastAsia="Palatino Linotype" w:hAnsi="Palatino Linotype" w:cs="Palatino Linotype"/>
          <w:i/>
          <w:sz w:val="22"/>
          <w:szCs w:val="22"/>
        </w:rPr>
        <w:t>El finiquito.</w:t>
      </w:r>
      <w:r w:rsidRPr="00F30A3D">
        <w:rPr>
          <w:rFonts w:ascii="Palatino Linotype" w:eastAsia="Palatino Linotype" w:hAnsi="Palatino Linotype" w:cs="Palatino Linotype"/>
          <w:b/>
          <w:i/>
          <w:sz w:val="22"/>
          <w:szCs w:val="22"/>
        </w:rPr>
        <w:t>”</w:t>
      </w:r>
    </w:p>
    <w:p w14:paraId="26300395" w14:textId="77777777" w:rsidR="00EC154B" w:rsidRPr="00F30A3D" w:rsidRDefault="00EC154B">
      <w:pPr>
        <w:ind w:left="567" w:right="567"/>
        <w:jc w:val="both"/>
        <w:rPr>
          <w:rFonts w:ascii="Palatino Linotype" w:eastAsia="Palatino Linotype" w:hAnsi="Palatino Linotype" w:cs="Palatino Linotype"/>
          <w:b/>
          <w:i/>
          <w:sz w:val="22"/>
          <w:szCs w:val="22"/>
        </w:rPr>
      </w:pPr>
    </w:p>
    <w:p w14:paraId="1B0637C8" w14:textId="77777777" w:rsidR="00EC154B" w:rsidRPr="00F30A3D" w:rsidRDefault="002A4CEB">
      <w:pPr>
        <w:ind w:left="567" w:right="567"/>
        <w:jc w:val="right"/>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(Énfasis añadido)</w:t>
      </w:r>
    </w:p>
    <w:p w14:paraId="5896C687" w14:textId="77777777" w:rsidR="00EC154B" w:rsidRPr="00F30A3D" w:rsidRDefault="00EC154B">
      <w:pPr>
        <w:ind w:left="851" w:right="850"/>
        <w:jc w:val="both"/>
        <w:rPr>
          <w:rFonts w:ascii="Palatino Linotype" w:eastAsia="Palatino Linotype" w:hAnsi="Palatino Linotype" w:cs="Palatino Linotype"/>
          <w:sz w:val="22"/>
          <w:szCs w:val="22"/>
        </w:rPr>
      </w:pPr>
    </w:p>
    <w:p w14:paraId="2B4AFED6" w14:textId="77777777" w:rsidR="00EC154B" w:rsidRPr="00F30A3D" w:rsidRDefault="00EC154B">
      <w:pPr>
        <w:ind w:left="851" w:right="850"/>
        <w:jc w:val="both"/>
        <w:rPr>
          <w:rFonts w:ascii="Palatino Linotype" w:eastAsia="Palatino Linotype" w:hAnsi="Palatino Linotype" w:cs="Palatino Linotype"/>
          <w:sz w:val="22"/>
          <w:szCs w:val="22"/>
        </w:rPr>
      </w:pPr>
    </w:p>
    <w:p w14:paraId="771F30C1"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De lo anterior, se logra vislumbrar que la pretensión del particular es acceder a documentos que den cuenta del presupuesto que fue asignado a los servicios indicados, los comprobantes de los gastos efectuados con motivo de los mismos; información que se encuentra relacionada con obligaciones de transparencia común relativas a los documentos que forman parte de los procesos de adquisición.</w:t>
      </w:r>
    </w:p>
    <w:p w14:paraId="029E543A"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F11EF2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Ahora, en el caso es de recordar que quien se pronunció sobre lo requerido fue la Jefa del Departamento de Programación y Presupuesto dependiente de la Dirección de Administración y Finanzas, quien conforme el </w:t>
      </w:r>
      <w:r w:rsidRPr="00F30A3D">
        <w:rPr>
          <w:rFonts w:ascii="Palatino Linotype" w:eastAsia="Palatino Linotype" w:hAnsi="Palatino Linotype" w:cs="Palatino Linotype"/>
          <w:b/>
          <w:sz w:val="22"/>
          <w:szCs w:val="22"/>
        </w:rPr>
        <w:t>Manual General de Organización de la Universidad</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 xml:space="preserve">Tecnológica del Sur del Estado de México, </w:t>
      </w:r>
      <w:r w:rsidRPr="00F30A3D">
        <w:rPr>
          <w:rFonts w:ascii="Palatino Linotype" w:eastAsia="Palatino Linotype" w:hAnsi="Palatino Linotype" w:cs="Palatino Linotype"/>
          <w:sz w:val="22"/>
          <w:szCs w:val="22"/>
        </w:rPr>
        <w:t>tiene como objetivo y dentro de sus funciones las siguientes:</w:t>
      </w:r>
    </w:p>
    <w:p w14:paraId="3E100927"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83BFC2E"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205017001 DEPARTAMENTO DE PROGRAMACIÓN Y PRESUPUESTO</w:t>
      </w:r>
      <w:r w:rsidRPr="00F30A3D">
        <w:rPr>
          <w:rFonts w:ascii="Palatino Linotype" w:eastAsia="Palatino Linotype" w:hAnsi="Palatino Linotype" w:cs="Palatino Linotype"/>
          <w:i/>
          <w:sz w:val="22"/>
          <w:szCs w:val="22"/>
        </w:rPr>
        <w:t xml:space="preserve"> </w:t>
      </w:r>
    </w:p>
    <w:p w14:paraId="0046307B"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lastRenderedPageBreak/>
        <w:t>OBJETIVO:</w:t>
      </w:r>
      <w:r w:rsidRPr="00F30A3D">
        <w:rPr>
          <w:rFonts w:ascii="Palatino Linotype" w:eastAsia="Palatino Linotype" w:hAnsi="Palatino Linotype" w:cs="Palatino Linotype"/>
          <w:i/>
          <w:sz w:val="22"/>
          <w:szCs w:val="22"/>
        </w:rPr>
        <w:t xml:space="preserve"> Elaborar, operar y controlar el presupuesto por programas; supervisar el correcto y oportuno registro de operaciones y estados financieros que realice la Universidad, a fin de cumplir con los objetivos institucionales establecidos. </w:t>
      </w:r>
    </w:p>
    <w:p w14:paraId="1FBE81E7" w14:textId="77777777" w:rsidR="00EC154B" w:rsidRPr="00F30A3D" w:rsidRDefault="002A4CEB">
      <w:pPr>
        <w:spacing w:line="276" w:lineRule="auto"/>
        <w:ind w:left="567" w:right="616"/>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FUNCIONES: </w:t>
      </w:r>
    </w:p>
    <w:p w14:paraId="6A8A3CA1"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-Participar en el proceso de programación y presupuestación de gasto corriente y de inversión de los recursos estatales y federales, así como controlar su ejercicio y congruencia con los planes a corto, mediano y largo plazo, y someterlo a la consideración de la Dirección de Administración y Finanzas. </w:t>
      </w:r>
    </w:p>
    <w:p w14:paraId="5444E02D"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-Realizar las afectaciones presupuestales, ampliaciones, transferencias y conciliaciones bancarias que sean necesarias para el óptimo manejo de los recursos financieros asignados a la Universidad.”</w:t>
      </w:r>
    </w:p>
    <w:p w14:paraId="7159099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7FD0FD1A"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F8AD133"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De lo anterior, se desprende que el Departamento de Programación y Presupuesto, es la unidad administrativa encargada de elaborar, operar y controlar el presupuesto por programas; supervisar el correcto y oportuno registro de operaciones y estados financieros que realice la Universidad, a fin de cumplir con los objetivos institucionales establecidos; asimismo, tiene atribuciones para realizar las afectaciones presupuestales, ampliaciones, transferencias y conciliaciones bancarias que sean necesarias para el óptimo manejo de los recursos financieros.</w:t>
      </w:r>
    </w:p>
    <w:p w14:paraId="5B8843A7"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15984B5E"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Por tanto, dicha área tiene atribuciones para conocer lo relacionado </w:t>
      </w:r>
      <w:r w:rsidRPr="00F30A3D">
        <w:rPr>
          <w:rFonts w:ascii="Palatino Linotype" w:eastAsia="Palatino Linotype" w:hAnsi="Palatino Linotype" w:cs="Palatino Linotype"/>
          <w:b/>
          <w:sz w:val="22"/>
          <w:szCs w:val="22"/>
          <w:u w:val="single"/>
        </w:rPr>
        <w:t>al presupuesto asignado a los servicios de los que el particular concretamente quiere la información, así como los comprobantes de los gastos realizados</w:t>
      </w:r>
      <w:r w:rsidRPr="00F30A3D">
        <w:rPr>
          <w:rFonts w:ascii="Palatino Linotype" w:eastAsia="Palatino Linotype" w:hAnsi="Palatino Linotype" w:cs="Palatino Linotype"/>
          <w:sz w:val="22"/>
          <w:szCs w:val="22"/>
        </w:rPr>
        <w:t>; pues dicha unidad administrativa se encarga de controlar el presupuesto, solicitar ampliaciones, y realizar las transferencias bancarias para el óptimo manejo de los recursos que cuentan con una asignación presupuestaria.</w:t>
      </w:r>
    </w:p>
    <w:p w14:paraId="0E9005A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634B8F8"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No obstante, si bien en el caso se pronunció el Titular del Departamento  de Programación y Presupuesto, no se puede tener por atendido el requisito de haber turnado la solicitud de información a las unidades administrativas que por sus atribuciones puedan poseer, generar y/o administrar la información solicitada.</w:t>
      </w:r>
    </w:p>
    <w:p w14:paraId="6FA8E6DF"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3DADDE9D"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Se afirma lo anterior, pues con relación al requerimiento relativo a la evidencia fotográfica del avance y/o conclusión de los servicios indicados por el particular, la Titular del Departamento  de Programación y Presupuesto se limitó a indicar que no es parte de la función del servidor público habilitado; pronunciamiento que carece de los principios de congruencia y exhaustividad como se precisará más adelante.</w:t>
      </w:r>
    </w:p>
    <w:p w14:paraId="52421290"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BCEFCDF"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Además que, del análisis al marco normativo que regula al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se desprende que existe otro departamento dependiente de la Dirección de Administración y Finanzas que pudiera conocer de la información a la que pretende acceder el particular, relativo al requerimiento de la evidencia fotográfica del avance y/o conclusión de los servicios aludidos por el particular.</w:t>
      </w:r>
    </w:p>
    <w:p w14:paraId="5EC7D9B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33F73D9C"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Se afirma lo anterior, pues conforme el </w:t>
      </w:r>
      <w:r w:rsidRPr="00F30A3D">
        <w:rPr>
          <w:rFonts w:ascii="Palatino Linotype" w:eastAsia="Palatino Linotype" w:hAnsi="Palatino Linotype" w:cs="Palatino Linotype"/>
          <w:b/>
          <w:sz w:val="22"/>
          <w:szCs w:val="22"/>
        </w:rPr>
        <w:t>Manual General de Organización de la Universidad</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 xml:space="preserve">Tecnológica del Sur del Estado de México, </w:t>
      </w:r>
      <w:r w:rsidRPr="00F30A3D">
        <w:rPr>
          <w:rFonts w:ascii="Palatino Linotype" w:eastAsia="Palatino Linotype" w:hAnsi="Palatino Linotype" w:cs="Palatino Linotype"/>
          <w:sz w:val="22"/>
          <w:szCs w:val="22"/>
        </w:rPr>
        <w:t>el Departamento de Recursos Materiales y Servicios Generales, tiene como objetivo y funciones principales las siguientes:</w:t>
      </w:r>
    </w:p>
    <w:p w14:paraId="2F034923"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C1997C9"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“205017006 DEPARTAMENTO DE RECURSOS MATERIALES Y SERVICIOS GENERALES </w:t>
      </w:r>
    </w:p>
    <w:p w14:paraId="6CE0CC37" w14:textId="77777777" w:rsidR="00EC154B" w:rsidRPr="00F30A3D" w:rsidRDefault="00EC154B">
      <w:pPr>
        <w:spacing w:line="276" w:lineRule="auto"/>
        <w:ind w:left="567" w:right="616"/>
        <w:jc w:val="both"/>
        <w:rPr>
          <w:rFonts w:ascii="Palatino Linotype" w:eastAsia="Palatino Linotype" w:hAnsi="Palatino Linotype" w:cs="Palatino Linotype"/>
          <w:i/>
          <w:sz w:val="22"/>
          <w:szCs w:val="22"/>
        </w:rPr>
      </w:pPr>
    </w:p>
    <w:p w14:paraId="07073DCA"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OBJETIVO: Gestionar, adquirir, almacenar, suministrar y controlar los enseres, bienes, artículos y servicios, de acuerdo a la normatividad establecida, así como implantar los sistemas de control de inventario de bienes muebles e inmuebles y prestar los servicios </w:t>
      </w:r>
      <w:r w:rsidRPr="00F30A3D">
        <w:rPr>
          <w:rFonts w:ascii="Palatino Linotype" w:eastAsia="Palatino Linotype" w:hAnsi="Palatino Linotype" w:cs="Palatino Linotype"/>
          <w:i/>
          <w:sz w:val="22"/>
          <w:szCs w:val="22"/>
        </w:rPr>
        <w:lastRenderedPageBreak/>
        <w:t xml:space="preserve">generales requeridos por las unidades administrativas adscritas a la Universidad para el logro de los objetivos establecidos. </w:t>
      </w:r>
    </w:p>
    <w:p w14:paraId="3BDA1FC3" w14:textId="77777777" w:rsidR="00EC154B" w:rsidRPr="00F30A3D" w:rsidRDefault="00EC154B">
      <w:pPr>
        <w:spacing w:line="276" w:lineRule="auto"/>
        <w:ind w:left="567" w:right="616"/>
        <w:jc w:val="both"/>
        <w:rPr>
          <w:rFonts w:ascii="Palatino Linotype" w:eastAsia="Palatino Linotype" w:hAnsi="Palatino Linotype" w:cs="Palatino Linotype"/>
          <w:i/>
          <w:sz w:val="22"/>
          <w:szCs w:val="22"/>
        </w:rPr>
      </w:pPr>
    </w:p>
    <w:p w14:paraId="3A014A37" w14:textId="77777777" w:rsidR="00EC154B" w:rsidRPr="00F30A3D" w:rsidRDefault="002A4CEB">
      <w:pP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FUNCIONES: </w:t>
      </w:r>
    </w:p>
    <w:p w14:paraId="5E88F9AB" w14:textId="77777777" w:rsidR="00EC154B" w:rsidRPr="00F30A3D" w:rsidRDefault="002A4CEB">
      <w:pPr>
        <w:numPr>
          <w:ilvl w:val="0"/>
          <w:numId w:val="1"/>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Elaborar el Programa Anual de Adquisiciones de bienes y servicios de consumo, así como tramitar su requisición, autorización, control y suministro, con base en los programas anuales de trabajo y el presupuesto anual autorizado. </w:t>
      </w:r>
    </w:p>
    <w:p w14:paraId="47DEFF38" w14:textId="77777777" w:rsidR="00EC154B" w:rsidRPr="00F30A3D" w:rsidRDefault="00EC154B">
      <w:pPr>
        <w:spacing w:line="276" w:lineRule="auto"/>
        <w:ind w:left="993" w:right="616"/>
        <w:jc w:val="both"/>
        <w:rPr>
          <w:rFonts w:ascii="Palatino Linotype" w:eastAsia="Palatino Linotype" w:hAnsi="Palatino Linotype" w:cs="Palatino Linotype"/>
          <w:i/>
          <w:sz w:val="22"/>
          <w:szCs w:val="22"/>
        </w:rPr>
      </w:pPr>
    </w:p>
    <w:p w14:paraId="50F1E8F9" w14:textId="77777777" w:rsidR="00EC154B" w:rsidRPr="00F30A3D" w:rsidRDefault="002A4CEB">
      <w:pPr>
        <w:numPr>
          <w:ilvl w:val="0"/>
          <w:numId w:val="1"/>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Tramitar la obtención de cotizaciones de bienes o servicios requeridos, así como evaluar las especificaciones técnicas y financieras ofertadas, a fin de seleccionar al proveedor con la mejor propuesta, de conformidad con la normatividad vigente en la materia y las bases establecidas por la Universidad.</w:t>
      </w:r>
    </w:p>
    <w:p w14:paraId="6B838C4B" w14:textId="77777777" w:rsidR="00EC154B" w:rsidRPr="00F30A3D" w:rsidRDefault="00EC154B">
      <w:pPr>
        <w:spacing w:line="276" w:lineRule="auto"/>
        <w:ind w:left="993" w:right="616"/>
        <w:jc w:val="both"/>
        <w:rPr>
          <w:rFonts w:ascii="Palatino Linotype" w:eastAsia="Palatino Linotype" w:hAnsi="Palatino Linotype" w:cs="Palatino Linotype"/>
          <w:i/>
          <w:sz w:val="22"/>
          <w:szCs w:val="22"/>
        </w:rPr>
      </w:pPr>
    </w:p>
    <w:p w14:paraId="30AA1268" w14:textId="77777777" w:rsidR="00EC154B" w:rsidRPr="00F30A3D" w:rsidRDefault="002A4CEB">
      <w:pPr>
        <w:numPr>
          <w:ilvl w:val="0"/>
          <w:numId w:val="1"/>
        </w:num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Llevar los registros actualizados sobre las adquisiciones realizadas, de acuerdo al Programa Anual de Adquisiciones, así como de aquellas no contempladas en el mismo.”</w:t>
      </w:r>
    </w:p>
    <w:p w14:paraId="0790EEAF"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E216D50"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De lo anterior, se advierte que el </w:t>
      </w:r>
      <w:r w:rsidRPr="00F30A3D">
        <w:rPr>
          <w:rFonts w:ascii="Palatino Linotype" w:eastAsia="Palatino Linotype" w:hAnsi="Palatino Linotype" w:cs="Palatino Linotype"/>
          <w:b/>
          <w:sz w:val="22"/>
          <w:szCs w:val="22"/>
        </w:rPr>
        <w:t>Departamento de Recursos Materiales y Servicios Generales</w:t>
      </w:r>
      <w:r w:rsidRPr="00F30A3D">
        <w:rPr>
          <w:rFonts w:ascii="Palatino Linotype" w:eastAsia="Palatino Linotype" w:hAnsi="Palatino Linotype" w:cs="Palatino Linotype"/>
          <w:sz w:val="22"/>
          <w:szCs w:val="22"/>
        </w:rPr>
        <w:t xml:space="preserve"> es el encargado de gestionar y controlar la adquisición de servicios, así como llevar los registros actualizados sobre las adquisiciones realizadas; </w:t>
      </w:r>
      <w:r w:rsidRPr="00F30A3D">
        <w:rPr>
          <w:rFonts w:ascii="Palatino Linotype" w:eastAsia="Palatino Linotype" w:hAnsi="Palatino Linotype" w:cs="Palatino Linotype"/>
          <w:sz w:val="22"/>
          <w:szCs w:val="22"/>
          <w:u w:val="single"/>
        </w:rPr>
        <w:t>por lo tanto, al encargarse dicha unidad administrativa de la gestión y control de los servicios adquiridos, de manera enunciativa más no limitativa podría tener acceso a los documentos comprobatorios del avance y/ ejecución de los trabajos llevados a cabo por los contratistas, entre los que se pudiera encontrar la evidencia fotográfica a la que pretende acceder el particular.</w:t>
      </w:r>
    </w:p>
    <w:p w14:paraId="436B89A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F8D961B"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Sin embargo, al omitirse turnar la solicitud de información al departamento indicado en el párrafo que antecede, no se tiene la certeza de que se generó o no la información a la que se pretende acceder –evidencia fotográfica-.</w:t>
      </w:r>
    </w:p>
    <w:p w14:paraId="45C43EA2" w14:textId="77777777" w:rsidR="00EC154B" w:rsidRPr="00F30A3D" w:rsidRDefault="002A4CEB">
      <w:pPr>
        <w:widowControl w:val="0"/>
        <w:tabs>
          <w:tab w:val="left" w:pos="1701"/>
          <w:tab w:val="left" w:pos="1843"/>
        </w:tabs>
        <w:spacing w:line="360" w:lineRule="auto"/>
        <w:ind w:right="49"/>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lastRenderedPageBreak/>
        <w:t xml:space="preserve">En virtud de lo anterior, se tiene que en el caso concreto, </w:t>
      </w:r>
      <w:r w:rsidRPr="00F30A3D">
        <w:rPr>
          <w:rFonts w:ascii="Palatino Linotype" w:eastAsia="Palatino Linotype" w:hAnsi="Palatino Linotype" w:cs="Palatino Linotype"/>
          <w:b/>
          <w:sz w:val="22"/>
          <w:szCs w:val="22"/>
        </w:rPr>
        <w:t>no se cumplió con el requisito de turnar la solicitud a todas las unidades administrativas competentes</w:t>
      </w:r>
      <w:r w:rsidRPr="00F30A3D">
        <w:rPr>
          <w:rFonts w:ascii="Palatino Linotype" w:eastAsia="Palatino Linotype" w:hAnsi="Palatino Linotype" w:cs="Palatino Linotype"/>
          <w:sz w:val="22"/>
          <w:szCs w:val="22"/>
        </w:rPr>
        <w:t>.</w:t>
      </w:r>
    </w:p>
    <w:p w14:paraId="14A3A8DE" w14:textId="77777777" w:rsidR="00EC154B" w:rsidRPr="00F30A3D" w:rsidRDefault="00EC154B">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65920238"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D6C19AD" w14:textId="77777777" w:rsidR="00EC154B" w:rsidRPr="00F30A3D" w:rsidRDefault="00EC154B">
      <w:pPr>
        <w:spacing w:line="360" w:lineRule="auto"/>
        <w:rPr>
          <w:rFonts w:ascii="Palatino Linotype" w:eastAsia="Palatino Linotype" w:hAnsi="Palatino Linotype" w:cs="Palatino Linotype"/>
          <w:sz w:val="22"/>
          <w:szCs w:val="22"/>
        </w:rPr>
      </w:pPr>
    </w:p>
    <w:p w14:paraId="2721DAF0" w14:textId="77777777" w:rsidR="00EC154B" w:rsidRPr="00F30A3D" w:rsidRDefault="002A4CE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8D901E7" w14:textId="77777777" w:rsidR="00EC154B" w:rsidRPr="00F30A3D" w:rsidRDefault="00EC154B">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182AD728" w14:textId="77777777" w:rsidR="00EC154B" w:rsidRPr="00F30A3D" w:rsidRDefault="002A4CE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E8CE403" w14:textId="77777777" w:rsidR="00EC154B" w:rsidRPr="00F30A3D" w:rsidRDefault="00EC154B">
      <w:pPr>
        <w:pBdr>
          <w:top w:val="nil"/>
          <w:left w:val="nil"/>
          <w:bottom w:val="nil"/>
          <w:right w:val="nil"/>
          <w:between w:val="nil"/>
        </w:pBdr>
        <w:ind w:left="720"/>
        <w:rPr>
          <w:rFonts w:ascii="Palatino Linotype" w:eastAsia="Palatino Linotype" w:hAnsi="Palatino Linotype" w:cs="Palatino Linotype"/>
          <w:sz w:val="22"/>
          <w:szCs w:val="22"/>
        </w:rPr>
      </w:pPr>
    </w:p>
    <w:p w14:paraId="3E140FB2" w14:textId="77777777" w:rsidR="00EC154B" w:rsidRPr="00F30A3D" w:rsidRDefault="002A4CE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F30A3D">
        <w:rPr>
          <w:rFonts w:ascii="Palatino Linotype" w:eastAsia="Palatino Linotype" w:hAnsi="Palatino Linotype" w:cs="Palatino Linotype"/>
          <w:b/>
          <w:sz w:val="22"/>
          <w:szCs w:val="22"/>
        </w:rPr>
        <w:t>quince días, contados a partir del día siguiente a la presentación de ésta.</w:t>
      </w:r>
      <w:r w:rsidRPr="00F30A3D">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22AAF9E1" w14:textId="77777777" w:rsidR="00EC154B" w:rsidRPr="00F30A3D" w:rsidRDefault="00EC154B">
      <w:pPr>
        <w:pBdr>
          <w:top w:val="nil"/>
          <w:left w:val="nil"/>
          <w:bottom w:val="nil"/>
          <w:right w:val="nil"/>
          <w:between w:val="nil"/>
        </w:pBdr>
        <w:ind w:left="720"/>
        <w:rPr>
          <w:rFonts w:ascii="Palatino Linotype" w:eastAsia="Palatino Linotype" w:hAnsi="Palatino Linotype" w:cs="Palatino Linotype"/>
          <w:sz w:val="22"/>
          <w:szCs w:val="22"/>
        </w:rPr>
      </w:pPr>
    </w:p>
    <w:p w14:paraId="1440FAE4" w14:textId="77777777" w:rsidR="00EC154B" w:rsidRPr="00F30A3D" w:rsidRDefault="002A4CE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BE5C19D" w14:textId="77777777" w:rsidR="00EC154B" w:rsidRPr="00F30A3D" w:rsidRDefault="00EC154B">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58417422" w14:textId="77777777" w:rsidR="00EC154B" w:rsidRPr="00F30A3D" w:rsidRDefault="002A4CE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2111CDC" w14:textId="77777777" w:rsidR="00EC154B" w:rsidRPr="00F30A3D" w:rsidRDefault="00EC154B">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458CFBF6" w14:textId="77777777" w:rsidR="00EC154B" w:rsidRPr="00F30A3D" w:rsidRDefault="002A4CE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4CAAF69D" w14:textId="77777777" w:rsidR="00EC154B" w:rsidRPr="00F30A3D" w:rsidRDefault="00EC154B">
      <w:pPr>
        <w:spacing w:line="360" w:lineRule="auto"/>
        <w:rPr>
          <w:rFonts w:ascii="Palatino Linotype" w:eastAsia="Palatino Linotype" w:hAnsi="Palatino Linotype" w:cs="Palatino Linotype"/>
          <w:sz w:val="22"/>
          <w:szCs w:val="22"/>
        </w:rPr>
      </w:pPr>
    </w:p>
    <w:p w14:paraId="55C3D49A" w14:textId="77777777" w:rsidR="00EC154B" w:rsidRPr="00F30A3D" w:rsidRDefault="002A4CE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virtud de lo anterior, </w:t>
      </w:r>
      <w:r w:rsidRPr="00F30A3D">
        <w:rPr>
          <w:rFonts w:ascii="Palatino Linotype" w:eastAsia="Palatino Linotype" w:hAnsi="Palatino Linotype" w:cs="Palatino Linotype"/>
          <w:b/>
          <w:sz w:val="22"/>
          <w:szCs w:val="22"/>
          <w:u w:val="single"/>
        </w:rPr>
        <w:t>el procedimiento de búsqueda de la información NO se tiene por atendido. </w:t>
      </w:r>
    </w:p>
    <w:p w14:paraId="54C0038B"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554BF0A"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Acotado lo anterior, se procede al análisis de la respuesta ante cada requerimiento de información, a fin de verificar si se colmó el derecho de acceso a la información del particular:</w:t>
      </w:r>
    </w:p>
    <w:p w14:paraId="7F31D0C6"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5233C95" w14:textId="77777777" w:rsidR="00EC154B" w:rsidRPr="00F30A3D" w:rsidRDefault="002A4CEB">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sz w:val="22"/>
          <w:szCs w:val="22"/>
          <w:u w:val="single"/>
        </w:rPr>
        <w:lastRenderedPageBreak/>
        <w:t>Presupuesto o monto asignado a los servicios ADAPTACIÓN DE LOCALES, ALMACENES, BODEGAS Y EDIFICIOS (sistema fotovoltaico); REPARACIÓN, INSTALACIÓN Y MANTENIMIENTO DE BIENES INFORMÁTICOS, MICROFILMACIÓN Y TECNOLOGÍAS DE LA INFORMACIÓN (servicio de internet); y, REPARACIÓN Y MANTENIMIENTO DE INMUEBLES (mantenimiento de cafetería).</w:t>
      </w:r>
    </w:p>
    <w:p w14:paraId="23D7F553"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EB38C9"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Al respecto, fue hasta informe justificado que, la Jefa de Departamento de Programación y Presupuesto señaló que el 5 de junio de 2023, a través de los acuerdos UTSEM EXT-LVI-002-2023, UTSEM EXT-LVI-003-2023 y UTSEM EXT-LVI-004-2023, aprobados en la Quincuagésima Sexta Sesión Extraordinaria del H. Consejo Directivo de la Universidad Tecnológica del Sur del Estado de México, se autorizó tramitar ante la Secretaría de Finanzas </w:t>
      </w:r>
      <w:r w:rsidRPr="00F30A3D">
        <w:rPr>
          <w:rFonts w:ascii="Palatino Linotype" w:eastAsia="Palatino Linotype" w:hAnsi="Palatino Linotype" w:cs="Palatino Linotype"/>
          <w:b/>
          <w:sz w:val="22"/>
          <w:szCs w:val="22"/>
        </w:rPr>
        <w:t>una ampliación presupuestal líquida por la cantidad total de $31, 845,853.99</w:t>
      </w:r>
      <w:r w:rsidRPr="00F30A3D">
        <w:rPr>
          <w:rFonts w:ascii="Palatino Linotype" w:eastAsia="Palatino Linotype" w:hAnsi="Palatino Linotype" w:cs="Palatino Linotype"/>
          <w:sz w:val="22"/>
          <w:szCs w:val="22"/>
        </w:rPr>
        <w:t xml:space="preserve"> para llevar a cabo los servicios referentes a los: ADAPTACIÓN DE LOCALES, ALMACENES, BODEGAS Y EDIFICIOS (sistema fotovoltaico) REPARACIÓN, INSTALACIÓN Y MANTENIMIENTO DE BIENES INFORMÁTICOS, MICROFILMACIÓN Y TECNOLOGÍAS DE LA INFORMACIÓN (servicio de internet) REPARACIÓN Y MANTENIMIENTO DE INMUEBLES (mantenimiento de cafetería), respectivamente.</w:t>
      </w:r>
    </w:p>
    <w:p w14:paraId="10EE4360"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9B70E0"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Para demostrar lo anterior, dicha unidad administrativa hizo entrega de la siguiente información:</w:t>
      </w:r>
    </w:p>
    <w:p w14:paraId="2946014A"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DAC4B65" w14:textId="77777777" w:rsidR="00EC154B" w:rsidRPr="00F30A3D" w:rsidRDefault="002A4CEB">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Oficio número 210C09010000000/0308/2023, de fecha cinco de julio de dos mil veintitrés, a través del cual la Rectora de la Universidad solicitó al Subsecretario de Administración y Finanzas su apoyo e intervención para gestionar ante las instancias correspondientes ampliaciones presupuestales líquidas por la cantidad </w:t>
      </w:r>
      <w:r w:rsidRPr="00F30A3D">
        <w:rPr>
          <w:rFonts w:ascii="Palatino Linotype" w:eastAsia="Palatino Linotype" w:hAnsi="Palatino Linotype" w:cs="Palatino Linotype"/>
          <w:sz w:val="22"/>
          <w:szCs w:val="22"/>
        </w:rPr>
        <w:lastRenderedPageBreak/>
        <w:t>de $20,259,335.04 para la implementación del sistema fotovoltaico, según el acuerdo UTSEM EXT-LVI-002-2023; por la cantidad de $6´296,852.13 para aplicarlos a la remodelación de la cafetería de la Universidad según el acuerdo UTSEM EXT-LVI-003-2023; y, la cantidad de $5,289,666.82, para implementar el internet inalámbrico según el acuerdo UTSEM EXT-LVI-004-2023, aprobados en el Acta de la Quincuagésima Sexta Sesión Extraordinaria del Consejo Directivo de la Universidad Tecnológica del Sur del Estado de México.</w:t>
      </w:r>
    </w:p>
    <w:p w14:paraId="55D567E3" w14:textId="77777777" w:rsidR="00EC154B" w:rsidRPr="00F30A3D" w:rsidRDefault="002A4CEB">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Adecuaciones presupuestarias sobre las ampliaciones líquidas referidas en el punto anterior.</w:t>
      </w:r>
    </w:p>
    <w:p w14:paraId="76FF5597" w14:textId="77777777" w:rsidR="00EC154B" w:rsidRPr="00F30A3D" w:rsidRDefault="002A4CEB">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Dictámenes de reconducción y actualización programática presupuestal de las ampliaciones líquidas referidas, por las cantidades de $20,259,335.04, $6´296,852.13 y $5,289,666.82, para implementar los servicios indicados.</w:t>
      </w:r>
    </w:p>
    <w:p w14:paraId="3C8371CD" w14:textId="77777777" w:rsidR="00EC154B" w:rsidRPr="00F30A3D" w:rsidRDefault="002A4CEB">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Acta de la Quincuagésima Sexta Sesión Extraordinaria del Consejo Directivo de la Universidad Tecnológica del Sur del Estado de México, celebrada el cinco de junio de dos mil veintitrés, a través del cual mediante los acuerdos UTSEM EXT-LVI-002-2023, UTSEM EXT-LVI-003-2023 y UTSEM EXT-LVI-002-2023, respectivamente, se autorizó tramitar ante la Secretaría de Finanzas las ampliaciones presupuestales indicadas para los servicios referidos en el inciso a).</w:t>
      </w:r>
    </w:p>
    <w:p w14:paraId="19B18730"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A9BFB60"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t xml:space="preserve">Al respecto, en el caso resultan relevantes los </w:t>
      </w:r>
      <w:r w:rsidRPr="00F30A3D">
        <w:rPr>
          <w:rFonts w:ascii="Palatino Linotype" w:eastAsia="Palatino Linotype" w:hAnsi="Palatino Linotype" w:cs="Palatino Linotype"/>
          <w:b/>
          <w:sz w:val="22"/>
          <w:szCs w:val="22"/>
        </w:rPr>
        <w:t>Dictámenes de reconducción y actualización programática presupuestal de las ampliaciones líquidas referidas</w:t>
      </w:r>
      <w:r w:rsidRPr="00F30A3D">
        <w:rPr>
          <w:rFonts w:ascii="Palatino Linotype" w:eastAsia="Palatino Linotype" w:hAnsi="Palatino Linotype" w:cs="Palatino Linotype"/>
          <w:sz w:val="22"/>
          <w:szCs w:val="22"/>
        </w:rPr>
        <w:t xml:space="preserve">, en virtud de que conforme la Guía Metodológica para el Seguimiento y Evaluación del Plan de Desarrollo Municipal vigente, </w:t>
      </w:r>
      <w:r w:rsidRPr="00F30A3D">
        <w:rPr>
          <w:rFonts w:ascii="Palatino Linotype" w:eastAsia="Palatino Linotype" w:hAnsi="Palatino Linotype" w:cs="Palatino Linotype"/>
          <w:b/>
          <w:sz w:val="22"/>
          <w:szCs w:val="22"/>
        </w:rPr>
        <w:t>dicho dictamen es el instrumento normativo que apoya los procesos de adecuación del presupuesto que se presenta cuando existe, entre otros, ampliación de recursos.</w:t>
      </w:r>
    </w:p>
    <w:p w14:paraId="5D0781E4"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40EF6E0"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Sirve insertar el contenido del instructivo de llenado del dictamen de reconducción y actualización programática presupuestal, contenido en la Guía de referencia:</w:t>
      </w:r>
    </w:p>
    <w:p w14:paraId="4D21AA31"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8B0A32"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30A3D">
        <w:rPr>
          <w:rFonts w:ascii="Palatino Linotype" w:eastAsia="Palatino Linotype" w:hAnsi="Palatino Linotype" w:cs="Palatino Linotype"/>
          <w:noProof/>
          <w:sz w:val="22"/>
          <w:szCs w:val="22"/>
        </w:rPr>
        <w:lastRenderedPageBreak/>
        <w:drawing>
          <wp:inline distT="0" distB="0" distL="0" distR="0" wp14:anchorId="05388C20" wp14:editId="656463A4">
            <wp:extent cx="5191850" cy="1038370"/>
            <wp:effectExtent l="3175" t="3175" r="3175" b="3175"/>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191850" cy="1038370"/>
                    </a:xfrm>
                    <a:prstGeom prst="rect">
                      <a:avLst/>
                    </a:prstGeom>
                    <a:ln w="3175">
                      <a:solidFill>
                        <a:srgbClr val="000000"/>
                      </a:solidFill>
                      <a:prstDash val="solid"/>
                    </a:ln>
                  </pic:spPr>
                </pic:pic>
              </a:graphicData>
            </a:graphic>
          </wp:inline>
        </w:drawing>
      </w:r>
    </w:p>
    <w:p w14:paraId="3412E553"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w:t>
      </w:r>
    </w:p>
    <w:p w14:paraId="53F46DBA"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30A3D">
        <w:rPr>
          <w:rFonts w:ascii="Palatino Linotype" w:eastAsia="Palatino Linotype" w:hAnsi="Palatino Linotype" w:cs="Palatino Linotype"/>
          <w:noProof/>
          <w:sz w:val="22"/>
          <w:szCs w:val="22"/>
        </w:rPr>
        <w:drawing>
          <wp:inline distT="0" distB="0" distL="0" distR="0" wp14:anchorId="574F775F" wp14:editId="1EA36DD3">
            <wp:extent cx="5163325" cy="666850"/>
            <wp:effectExtent l="3175" t="3175" r="3175" b="3175"/>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63325" cy="666850"/>
                    </a:xfrm>
                    <a:prstGeom prst="rect">
                      <a:avLst/>
                    </a:prstGeom>
                    <a:ln w="3175">
                      <a:solidFill>
                        <a:srgbClr val="000000"/>
                      </a:solidFill>
                      <a:prstDash val="solid"/>
                    </a:ln>
                  </pic:spPr>
                </pic:pic>
              </a:graphicData>
            </a:graphic>
          </wp:inline>
        </w:drawing>
      </w:r>
    </w:p>
    <w:p w14:paraId="63226AD6"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w:t>
      </w:r>
    </w:p>
    <w:p w14:paraId="3A696DA8"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30A3D">
        <w:rPr>
          <w:rFonts w:ascii="Palatino Linotype" w:eastAsia="Palatino Linotype" w:hAnsi="Palatino Linotype" w:cs="Palatino Linotype"/>
          <w:noProof/>
          <w:sz w:val="22"/>
          <w:szCs w:val="22"/>
        </w:rPr>
        <w:drawing>
          <wp:inline distT="0" distB="0" distL="0" distR="0" wp14:anchorId="7EB90A38" wp14:editId="1BCA0CFE">
            <wp:extent cx="5194202" cy="1014094"/>
            <wp:effectExtent l="3175" t="3175" r="3175" b="3175"/>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194202" cy="1014094"/>
                    </a:xfrm>
                    <a:prstGeom prst="rect">
                      <a:avLst/>
                    </a:prstGeom>
                    <a:ln w="3175">
                      <a:solidFill>
                        <a:srgbClr val="000000"/>
                      </a:solidFill>
                      <a:prstDash val="solid"/>
                    </a:ln>
                  </pic:spPr>
                </pic:pic>
              </a:graphicData>
            </a:graphic>
          </wp:inline>
        </w:drawing>
      </w:r>
    </w:p>
    <w:p w14:paraId="79A09EAB"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el ámbito presupuestal éste dictamen permite visualizar el presupuesto inicialmente autorizado al proyecto, y el autorizado modificado, refiriéndose al monto autorizado que resulte después de la autorización y aplicación de movimientos como ampliación y asignación de recursos.</w:t>
      </w:r>
    </w:p>
    <w:p w14:paraId="21F401C1"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F417B7"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Por lo que dichas documentales son las idóneas para demostrar el presupuesto o monto que fue asignado para llevar a cabo los servicios de los que se requiere la información.</w:t>
      </w:r>
    </w:p>
    <w:p w14:paraId="373E8FB6"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61C16D9"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sz w:val="22"/>
          <w:szCs w:val="22"/>
        </w:rPr>
        <w:t xml:space="preserve">Sirve insertar el contenido de uno de los dictámenes de reconducción entregados por el </w:t>
      </w:r>
      <w:r w:rsidRPr="00F30A3D">
        <w:rPr>
          <w:rFonts w:ascii="Palatino Linotype" w:eastAsia="Palatino Linotype" w:hAnsi="Palatino Linotype" w:cs="Palatino Linotype"/>
          <w:b/>
          <w:sz w:val="22"/>
          <w:szCs w:val="22"/>
        </w:rPr>
        <w:t>Sujeto Obligado:</w:t>
      </w:r>
    </w:p>
    <w:p w14:paraId="2EA58BF4"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FF6D28E"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noProof/>
          <w:sz w:val="22"/>
          <w:szCs w:val="22"/>
        </w:rPr>
        <w:lastRenderedPageBreak/>
        <w:drawing>
          <wp:inline distT="0" distB="0" distL="0" distR="0" wp14:anchorId="31612F7C" wp14:editId="78677F43">
            <wp:extent cx="5600700" cy="1885950"/>
            <wp:effectExtent l="3175" t="3175" r="3175" b="3175"/>
            <wp:docPr id="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00700" cy="1885950"/>
                    </a:xfrm>
                    <a:prstGeom prst="rect">
                      <a:avLst/>
                    </a:prstGeom>
                    <a:ln w="3175">
                      <a:solidFill>
                        <a:srgbClr val="000000"/>
                      </a:solidFill>
                      <a:prstDash val="solid"/>
                    </a:ln>
                  </pic:spPr>
                </pic:pic>
              </a:graphicData>
            </a:graphic>
          </wp:inline>
        </w:drawing>
      </w:r>
    </w:p>
    <w:p w14:paraId="5AF84CEE"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AC1AE9"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El dictamen de reconducción inserto corresponde al servicio ADAPTACIÓN DE LOCALES, ALMACENES, BODEGAS Y EDIFICIOS (sistema fotovoltaico), del cual se desprende que inicialmente se autorizó el presupuesto por la cantidad de $71,017,199.00, se ejercicio de este la cantidad de $24,509,918.04, quedando previa a la ampliación del presupuesto, la cantidad de $46,507,280.96; sumándole a esta última cantidad, la ampliación liquida realizada por el importe de $20,259,335.04, quedando un presupuesto modificado de $66,766,616.00.</w:t>
      </w:r>
    </w:p>
    <w:p w14:paraId="1F9104F5"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77FA35"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De esta manera, es dable dar por colmado el requerimiento en análisis, en virtud de que se entregaron los dictámenes aludidos de los tres servicios requeridos por el particular, que dan cuenta del presupuesto asignado a cada servicio.</w:t>
      </w:r>
    </w:p>
    <w:p w14:paraId="2AC68D82"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E2F8E4B" w14:textId="77777777" w:rsidR="00EC154B" w:rsidRPr="00F30A3D" w:rsidRDefault="002A4CEB">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Comprobantes de los gastos realizados (cheques, facturas de compras, pagos a trabajadores).</w:t>
      </w:r>
    </w:p>
    <w:p w14:paraId="21729376"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8FE2E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principio, resulta necesario traer a colación, la Resolución Miscelánea Fiscal para el 2024, establece que </w:t>
      </w:r>
      <w:r w:rsidRPr="00F30A3D">
        <w:rPr>
          <w:rFonts w:ascii="Palatino Linotype" w:eastAsia="Palatino Linotype" w:hAnsi="Palatino Linotype" w:cs="Palatino Linotype"/>
          <w:b/>
          <w:sz w:val="22"/>
          <w:szCs w:val="22"/>
        </w:rPr>
        <w:t>la factura es lo mismo, que un Comprobante Fiscal Digital por Internet</w:t>
      </w:r>
      <w:r w:rsidRPr="00F30A3D">
        <w:rPr>
          <w:rFonts w:ascii="Palatino Linotype" w:eastAsia="Palatino Linotype" w:hAnsi="Palatino Linotype" w:cs="Palatino Linotype"/>
          <w:sz w:val="22"/>
          <w:szCs w:val="22"/>
        </w:rPr>
        <w:t xml:space="preserve">, por lo que, se puede considerar como el documento que comprueba la realización de una </w:t>
      </w:r>
      <w:r w:rsidRPr="00F30A3D">
        <w:rPr>
          <w:rFonts w:ascii="Palatino Linotype" w:eastAsia="Palatino Linotype" w:hAnsi="Palatino Linotype" w:cs="Palatino Linotype"/>
          <w:sz w:val="22"/>
          <w:szCs w:val="22"/>
        </w:rPr>
        <w:lastRenderedPageBreak/>
        <w:t>transacción comercial, entre un comprador y un proveedor, mediante el cual, el primero queda obligado a realizar un pago, mientras que el segundo, a entregar o brindar un producto o servicio.</w:t>
      </w:r>
    </w:p>
    <w:p w14:paraId="02003A8B"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D2A7AF"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Sobre este punto, es de recordar que la Jefa del Departamento de Programación y Presupuesto vía informe justificado indicó que hacía entrega de las facturas requeridas,  precisando que no hubo cheques porque los pagos fueron mediante transferencia; que sobre el pago de trabajadores, no hubo, ya que al momento de la firma de los convenios respectivos, la universidad se deslindó de la contratación de la responsabilidad patronal.</w:t>
      </w:r>
    </w:p>
    <w:p w14:paraId="7577BF76"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DF90F60"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Asimismo, de la documentación anexa para atender el requerimiento en análisis, se advierte que respecto cada servicio, se entregaron los siguientes comprobantes expedidos por personas morales contratistas a favor de la Universidad de nuestra atención, entregados en versión íntegra:</w:t>
      </w:r>
    </w:p>
    <w:p w14:paraId="26CF92F2"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5005"/>
      </w:tblGrid>
      <w:tr w:rsidR="00F30A3D" w:rsidRPr="00F30A3D" w14:paraId="68B25667" w14:textId="77777777">
        <w:trPr>
          <w:jc w:val="center"/>
        </w:trPr>
        <w:tc>
          <w:tcPr>
            <w:tcW w:w="704" w:type="dxa"/>
            <w:shd w:val="clear" w:color="auto" w:fill="FFC000"/>
          </w:tcPr>
          <w:p w14:paraId="044502D1" w14:textId="77777777" w:rsidR="00EC154B" w:rsidRPr="00F30A3D" w:rsidRDefault="002A4CEB">
            <w:pPr>
              <w:spacing w:line="360" w:lineRule="auto"/>
              <w:jc w:val="center"/>
              <w:rPr>
                <w:rFonts w:ascii="Palatino Linotype" w:eastAsia="Palatino Linotype" w:hAnsi="Palatino Linotype" w:cs="Palatino Linotype"/>
                <w:b/>
                <w:sz w:val="18"/>
                <w:szCs w:val="18"/>
              </w:rPr>
            </w:pPr>
            <w:r w:rsidRPr="00F30A3D">
              <w:rPr>
                <w:rFonts w:ascii="Palatino Linotype" w:eastAsia="Palatino Linotype" w:hAnsi="Palatino Linotype" w:cs="Palatino Linotype"/>
                <w:b/>
                <w:sz w:val="18"/>
                <w:szCs w:val="18"/>
              </w:rPr>
              <w:t>No.</w:t>
            </w:r>
          </w:p>
        </w:tc>
        <w:tc>
          <w:tcPr>
            <w:tcW w:w="3119" w:type="dxa"/>
            <w:shd w:val="clear" w:color="auto" w:fill="FFC000"/>
          </w:tcPr>
          <w:p w14:paraId="6689C88A" w14:textId="77777777" w:rsidR="00EC154B" w:rsidRPr="00F30A3D" w:rsidRDefault="002A4CEB">
            <w:pPr>
              <w:spacing w:line="360" w:lineRule="auto"/>
              <w:jc w:val="center"/>
              <w:rPr>
                <w:rFonts w:ascii="Palatino Linotype" w:eastAsia="Palatino Linotype" w:hAnsi="Palatino Linotype" w:cs="Palatino Linotype"/>
                <w:b/>
                <w:sz w:val="18"/>
                <w:szCs w:val="18"/>
              </w:rPr>
            </w:pPr>
            <w:r w:rsidRPr="00F30A3D">
              <w:rPr>
                <w:rFonts w:ascii="Palatino Linotype" w:eastAsia="Palatino Linotype" w:hAnsi="Palatino Linotype" w:cs="Palatino Linotype"/>
                <w:b/>
                <w:sz w:val="18"/>
                <w:szCs w:val="18"/>
              </w:rPr>
              <w:t>Servicio</w:t>
            </w:r>
          </w:p>
        </w:tc>
        <w:tc>
          <w:tcPr>
            <w:tcW w:w="5005" w:type="dxa"/>
            <w:shd w:val="clear" w:color="auto" w:fill="FFC000"/>
          </w:tcPr>
          <w:p w14:paraId="4EDF5450" w14:textId="77777777" w:rsidR="00EC154B" w:rsidRPr="00F30A3D" w:rsidRDefault="002A4CEB">
            <w:pPr>
              <w:spacing w:line="360" w:lineRule="auto"/>
              <w:jc w:val="center"/>
              <w:rPr>
                <w:rFonts w:ascii="Palatino Linotype" w:eastAsia="Palatino Linotype" w:hAnsi="Palatino Linotype" w:cs="Palatino Linotype"/>
                <w:b/>
                <w:sz w:val="18"/>
                <w:szCs w:val="18"/>
              </w:rPr>
            </w:pPr>
            <w:r w:rsidRPr="00F30A3D">
              <w:rPr>
                <w:rFonts w:ascii="Palatino Linotype" w:eastAsia="Palatino Linotype" w:hAnsi="Palatino Linotype" w:cs="Palatino Linotype"/>
                <w:b/>
                <w:sz w:val="18"/>
                <w:szCs w:val="18"/>
              </w:rPr>
              <w:t>Comprobantes</w:t>
            </w:r>
          </w:p>
        </w:tc>
      </w:tr>
      <w:tr w:rsidR="00F30A3D" w:rsidRPr="00F30A3D" w14:paraId="443F8F89" w14:textId="77777777">
        <w:trPr>
          <w:jc w:val="center"/>
        </w:trPr>
        <w:tc>
          <w:tcPr>
            <w:tcW w:w="704" w:type="dxa"/>
          </w:tcPr>
          <w:p w14:paraId="1CA9A95A" w14:textId="77777777" w:rsidR="00EC154B" w:rsidRPr="00F30A3D" w:rsidRDefault="002A4CEB">
            <w:pPr>
              <w:spacing w:line="360" w:lineRule="auto"/>
              <w:jc w:val="center"/>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1</w:t>
            </w:r>
          </w:p>
        </w:tc>
        <w:tc>
          <w:tcPr>
            <w:tcW w:w="3119" w:type="dxa"/>
          </w:tcPr>
          <w:p w14:paraId="33D2A5CE" w14:textId="77777777" w:rsidR="00EC154B" w:rsidRPr="00F30A3D" w:rsidRDefault="002A4CEB">
            <w:pPr>
              <w:spacing w:line="360"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ADAPTACIÓN DE LOCALES, ALMACENES, BODEGAS Y EDIFICIOS (sistema fotovoltaico)</w:t>
            </w:r>
          </w:p>
        </w:tc>
        <w:tc>
          <w:tcPr>
            <w:tcW w:w="5005" w:type="dxa"/>
          </w:tcPr>
          <w:p w14:paraId="332FADF2"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con folio 101, de fecha cinco de octubre de dos mil veintitrés, por concepto de “Pago del 50% del importe total del contrato de prestación de servicios derivado de la invitación restringida IR/UTSEM/03/2023, referente a la adaptación de locales, almacenes, bodegas y edificios; por avance de servicio”.</w:t>
            </w:r>
          </w:p>
          <w:p w14:paraId="4730FC26"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con folio 111, de fecha diecisiete de noviembre de dos mil veintitrés, por concepto de “Pago del 30% del importe total del contrato de prestación de servicios derivado de la invitación restringida IR/UTSEM/03/2023, referente a la adaptación de locales, almacenes, bodegas y edificios; por avance de servicio”.</w:t>
            </w:r>
          </w:p>
          <w:p w14:paraId="3D461279"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 xml:space="preserve">Factura con folio 117, de fecha veintidós de enero de dos mil veintitrés, por concepto “Contrato de prestación de servicios derivado de la invitación restringida </w:t>
            </w:r>
            <w:r w:rsidRPr="00F30A3D">
              <w:rPr>
                <w:rFonts w:ascii="Palatino Linotype" w:eastAsia="Palatino Linotype" w:hAnsi="Palatino Linotype" w:cs="Palatino Linotype"/>
                <w:sz w:val="18"/>
                <w:szCs w:val="18"/>
              </w:rPr>
              <w:lastRenderedPageBreak/>
              <w:t>IR/UTSEM/03/2023, referente a la adaptación de locales, almacenes, bodegas y edificios”</w:t>
            </w:r>
          </w:p>
        </w:tc>
      </w:tr>
      <w:tr w:rsidR="00F30A3D" w:rsidRPr="00F30A3D" w14:paraId="06426D40" w14:textId="77777777">
        <w:trPr>
          <w:jc w:val="center"/>
        </w:trPr>
        <w:tc>
          <w:tcPr>
            <w:tcW w:w="704" w:type="dxa"/>
          </w:tcPr>
          <w:p w14:paraId="557263F8" w14:textId="77777777" w:rsidR="00EC154B" w:rsidRPr="00F30A3D" w:rsidRDefault="002A4CEB">
            <w:pPr>
              <w:spacing w:line="360" w:lineRule="auto"/>
              <w:jc w:val="center"/>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lastRenderedPageBreak/>
              <w:t>2</w:t>
            </w:r>
          </w:p>
        </w:tc>
        <w:tc>
          <w:tcPr>
            <w:tcW w:w="3119" w:type="dxa"/>
          </w:tcPr>
          <w:p w14:paraId="2071FBD6" w14:textId="77777777" w:rsidR="00EC154B" w:rsidRPr="00F30A3D" w:rsidRDefault="002A4CEB">
            <w:pPr>
              <w:spacing w:line="360"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REPARACIÓN, INSTALACIÓN Y MANTENIMIENTO DE BIENES INFORMÁTICOS, MICROFILMACIÓN Y TECNOLOGÍAS DE LA INFORMACIÓN (servicio de internet)</w:t>
            </w:r>
          </w:p>
        </w:tc>
        <w:tc>
          <w:tcPr>
            <w:tcW w:w="5005" w:type="dxa"/>
          </w:tcPr>
          <w:p w14:paraId="4FD6F2F2"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 xml:space="preserve">Factura 641, con fecha de emisión cinco de octubre de dos mil veintitrés, por concepto de Anticipo del 50% por contrato IR/UTSEM/02/2023 por servicios de reparación, instalación y mantenimiento de bienes informáticos, microfilmación y tecnologías de la información. </w:t>
            </w:r>
          </w:p>
          <w:p w14:paraId="0432FC38"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658, con fecha de emisión diecinueve de diciembre de dos mil veintitrés, por concepto “Finiquito del 20% del importe total del contrato de prestación de servicios derivado de la invitación restringida IR/UTSEM/02/2023, referente a la reparación, instalación y mantenimiento de bienes informáticos, microfilmación y tecnologías de la información; por avance de servicio.”</w:t>
            </w:r>
          </w:p>
          <w:p w14:paraId="33029CB4"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649, de fecha de emisión dieciséis de noviembre de dos mil veintitrés, por concepto “Avance del 30% por contrato IR/UTSEM/02/2023 por servicios de reparación, instalación y mantenimiento de bienes informáticos, microfilmación y tecnologías de la información”.</w:t>
            </w:r>
          </w:p>
        </w:tc>
      </w:tr>
      <w:tr w:rsidR="00EC154B" w:rsidRPr="00F30A3D" w14:paraId="02BC1E98" w14:textId="77777777">
        <w:trPr>
          <w:jc w:val="center"/>
        </w:trPr>
        <w:tc>
          <w:tcPr>
            <w:tcW w:w="704" w:type="dxa"/>
          </w:tcPr>
          <w:p w14:paraId="3D65EB25" w14:textId="77777777" w:rsidR="00EC154B" w:rsidRPr="00F30A3D" w:rsidRDefault="002A4CEB">
            <w:pPr>
              <w:spacing w:line="360" w:lineRule="auto"/>
              <w:jc w:val="center"/>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3</w:t>
            </w:r>
          </w:p>
        </w:tc>
        <w:tc>
          <w:tcPr>
            <w:tcW w:w="3119" w:type="dxa"/>
          </w:tcPr>
          <w:p w14:paraId="09FABB71" w14:textId="77777777" w:rsidR="00EC154B" w:rsidRPr="00F30A3D" w:rsidRDefault="002A4CEB">
            <w:pPr>
              <w:spacing w:line="360"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REPARACIÓN Y MANTENIMIENTO DE INMUEBLES (mantenimiento de cafetería)</w:t>
            </w:r>
          </w:p>
        </w:tc>
        <w:tc>
          <w:tcPr>
            <w:tcW w:w="5005" w:type="dxa"/>
          </w:tcPr>
          <w:p w14:paraId="72F59F16"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640, de fecha de emisión cinco de octubre de dos mil veintitrés, por concepto “Avance 50% del contrato IR/UTSEM/01/2023 por servicio de reparación y mantenimiento de inmuebles”.</w:t>
            </w:r>
          </w:p>
          <w:p w14:paraId="53E5024E"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648, de fecha de emisión dieciséis de noviembre de dos mil veintitrés, por concepto “Avance 30% del contrato IR/UTSEM/01/2023 por servicio de reparación y mantenimiento de inmuebles”.</w:t>
            </w:r>
          </w:p>
          <w:p w14:paraId="13965928"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folio 22, de fecha veintidós de diciembre de dos mil veintitrés, por concepto “Nota de Anticipo 4”.</w:t>
            </w:r>
          </w:p>
          <w:p w14:paraId="09E71FD0"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18"/>
                <w:szCs w:val="18"/>
              </w:rPr>
            </w:pPr>
            <w:r w:rsidRPr="00F30A3D">
              <w:rPr>
                <w:rFonts w:ascii="Palatino Linotype" w:eastAsia="Palatino Linotype" w:hAnsi="Palatino Linotype" w:cs="Palatino Linotype"/>
                <w:sz w:val="18"/>
                <w:szCs w:val="18"/>
              </w:rPr>
              <w:t>Factura 657, de fecha de emisión diecinueve de diciembre de dos mil veintitrés, por concepto “Finiquito del 20% del importe total del contrato de prestación de servicios derivado de la invitación restringida IR/UTSEM/01/2023, referente a la reparación y mantenimiento de inmuebles; por avance de servicio.”,</w:t>
            </w:r>
          </w:p>
        </w:tc>
      </w:tr>
    </w:tbl>
    <w:p w14:paraId="05EE7142"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7BA1C2"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La información entregada para atender el requerimiento en análisis se advierte que colma la pretensión del particular, en virtud de que se entregaron los comprobantes por los gastos efectuados con motivo de los servicios indicados y con los que cuenta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w:t>
      </w:r>
    </w:p>
    <w:p w14:paraId="4CF96377"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69B62F"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Máxime que de su análisis los datos contenidos en los comprobantes no arrojan ningún dato susceptible de clasificarse.</w:t>
      </w:r>
    </w:p>
    <w:p w14:paraId="707ED667"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CF42980"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Además que se indicaron las razones por las que no se generaron cheques ni se efectuaron pagos a trabajadores; que ha dicho del servidor público habilitado competente fue medularmente porque los pagos de los servicios se hicieron mediante transferencia electrónica y porque no se llevó a cabo la contratación de trabajadores.</w:t>
      </w:r>
    </w:p>
    <w:p w14:paraId="4DE8E58C"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BB01B9"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Se pone de ejemplo la forma de pago de una de las facturas entregadas por el ente público, en la que se indica que el pago fue mediante transferencia electrónica de fondos, como se aprecia:</w:t>
      </w:r>
    </w:p>
    <w:p w14:paraId="733E1C8D"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DA414A"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30A3D">
        <w:rPr>
          <w:rFonts w:ascii="Palatino Linotype" w:eastAsia="Palatino Linotype" w:hAnsi="Palatino Linotype" w:cs="Palatino Linotype"/>
          <w:noProof/>
          <w:sz w:val="22"/>
          <w:szCs w:val="22"/>
        </w:rPr>
        <w:drawing>
          <wp:inline distT="0" distB="0" distL="0" distR="0" wp14:anchorId="358A17AA" wp14:editId="0DBAA502">
            <wp:extent cx="4220164" cy="257211"/>
            <wp:effectExtent l="3175" t="3175" r="3175" b="3175"/>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220164" cy="257211"/>
                    </a:xfrm>
                    <a:prstGeom prst="rect">
                      <a:avLst/>
                    </a:prstGeom>
                    <a:ln w="3175">
                      <a:solidFill>
                        <a:srgbClr val="000000"/>
                      </a:solidFill>
                      <a:prstDash val="solid"/>
                    </a:ln>
                  </pic:spPr>
                </pic:pic>
              </a:graphicData>
            </a:graphic>
          </wp:inline>
        </w:drawing>
      </w:r>
    </w:p>
    <w:p w14:paraId="4007754C"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92BAE09"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De ahí que resulta dable tener por atendido el requerimiento en análisis.</w:t>
      </w:r>
    </w:p>
    <w:p w14:paraId="1BC08FC6"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5586630" w14:textId="77777777" w:rsidR="00EC154B" w:rsidRPr="00F30A3D" w:rsidRDefault="002A4CEB">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Evidencia fotográfica del avance y/o conclusión de los servicios contratados.</w:t>
      </w:r>
    </w:p>
    <w:p w14:paraId="6B550F4F"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9393BAA"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Sobre este punto, es de recordar que la Jefa del Departamento de Programación y Presupuesto informó que</w:t>
      </w:r>
      <w:r w:rsidRPr="00F30A3D">
        <w:t xml:space="preserve"> </w:t>
      </w:r>
      <w:r w:rsidRPr="00F30A3D">
        <w:rPr>
          <w:rFonts w:ascii="Palatino Linotype" w:eastAsia="Palatino Linotype" w:hAnsi="Palatino Linotype" w:cs="Palatino Linotype"/>
          <w:sz w:val="22"/>
          <w:szCs w:val="22"/>
        </w:rPr>
        <w:t>las fotografías solicitadas, no son parte de la función del servidor público habilitado.</w:t>
      </w:r>
    </w:p>
    <w:p w14:paraId="63B2CD3C"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7866E3"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Dicho pronunciamiento a criterio de este Órgano Garante resulta insuficiente para tener por colmado el requerimiento en análisis, en virtud de que en el caso no se agotaron los principios de congruencia y exhaustividad, pues si bien la Jefa del Departamento de Programación y Presupuesto informó que no es función del servidor público habilitado lo relativo a la evidencia fotográfica requerida; también lo es que no se indicó concretamente si ello se debía a que no genera la información.</w:t>
      </w:r>
    </w:p>
    <w:p w14:paraId="6F100879"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220D61"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tal sentido, resulta aplicable el Criterio 02/17 emitido por el Peno del Instituto Nacional de Transparencia y Acceso a la Información y Protección de Datos Personales, de título y texto siguientes:</w:t>
      </w:r>
    </w:p>
    <w:p w14:paraId="16683302" w14:textId="77777777" w:rsidR="00EC154B" w:rsidRPr="00F30A3D" w:rsidRDefault="00EC154B">
      <w:pPr>
        <w:pBdr>
          <w:top w:val="nil"/>
          <w:left w:val="nil"/>
          <w:bottom w:val="nil"/>
          <w:right w:val="nil"/>
          <w:between w:val="nil"/>
        </w:pBdr>
        <w:spacing w:line="360" w:lineRule="auto"/>
        <w:jc w:val="both"/>
      </w:pPr>
    </w:p>
    <w:p w14:paraId="3679955D" w14:textId="77777777" w:rsidR="00EC154B" w:rsidRPr="00F30A3D" w:rsidRDefault="002A4CEB">
      <w:pPr>
        <w:pBdr>
          <w:top w:val="nil"/>
          <w:left w:val="nil"/>
          <w:bottom w:val="nil"/>
          <w:right w:val="nil"/>
          <w:between w:val="nil"/>
        </w:pBdr>
        <w:ind w:left="851" w:right="851"/>
        <w:jc w:val="both"/>
        <w:rPr>
          <w:rFonts w:ascii="Palatino Linotype" w:eastAsia="Palatino Linotype" w:hAnsi="Palatino Linotype" w:cs="Palatino Linotype"/>
          <w:i/>
        </w:rPr>
      </w:pPr>
      <w:r w:rsidRPr="00F30A3D">
        <w:rPr>
          <w:rFonts w:ascii="Palatino Linotype" w:eastAsia="Palatino Linotype" w:hAnsi="Palatino Linotype" w:cs="Palatino Linotype"/>
          <w:b/>
          <w:i/>
        </w:rPr>
        <w:t xml:space="preserve">“Congruencia y exhaustividad. Sus alcances para garantizar el derecho de acceso a la información. </w:t>
      </w:r>
      <w:r w:rsidRPr="00F30A3D">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F30A3D">
        <w:rPr>
          <w:rFonts w:ascii="Palatino Linotype" w:eastAsia="Palatino Linotype" w:hAnsi="Palatino Linotype" w:cs="Palatino Linotype"/>
          <w:b/>
          <w:i/>
        </w:rPr>
        <w:t>la congruencia implica que exista concordancia entre el requerimiento formulado por el particular y la respuesta proporcionada por el sujeto obligado</w:t>
      </w:r>
      <w:r w:rsidRPr="00F30A3D">
        <w:rPr>
          <w:rFonts w:ascii="Palatino Linotype" w:eastAsia="Palatino Linotype" w:hAnsi="Palatino Linotype" w:cs="Palatino Linotype"/>
          <w:i/>
        </w:rPr>
        <w:t xml:space="preserve">; mientras que </w:t>
      </w:r>
      <w:r w:rsidRPr="00F30A3D">
        <w:rPr>
          <w:rFonts w:ascii="Palatino Linotype" w:eastAsia="Palatino Linotype" w:hAnsi="Palatino Linotype" w:cs="Palatino Linotype"/>
          <w:b/>
          <w:i/>
        </w:rPr>
        <w:t>la exhaustividad significa que dicha respuesta se refiera expresamente a cada uno de los puntos solicitados</w:t>
      </w:r>
      <w:r w:rsidRPr="00F30A3D">
        <w:rPr>
          <w:rFonts w:ascii="Palatino Linotype" w:eastAsia="Palatino Linotype" w:hAnsi="Palatino Linotype" w:cs="Palatino Linotype"/>
          <w:i/>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163EF1E" w14:textId="77777777" w:rsidR="00EC154B" w:rsidRPr="00F30A3D" w:rsidRDefault="00EC154B">
      <w:pPr>
        <w:spacing w:line="360" w:lineRule="auto"/>
        <w:ind w:right="-7"/>
        <w:jc w:val="both"/>
        <w:rPr>
          <w:rFonts w:ascii="Palatino Linotype" w:eastAsia="Palatino Linotype" w:hAnsi="Palatino Linotype" w:cs="Palatino Linotype"/>
        </w:rPr>
      </w:pPr>
    </w:p>
    <w:p w14:paraId="21D9460A"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Además que como se precisó en párrafos que anteceden dentro de la estructura orgánica del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existe el </w:t>
      </w:r>
      <w:r w:rsidRPr="00F30A3D">
        <w:rPr>
          <w:rFonts w:ascii="Palatino Linotype" w:eastAsia="Palatino Linotype" w:hAnsi="Palatino Linotype" w:cs="Palatino Linotype"/>
          <w:b/>
          <w:sz w:val="22"/>
          <w:szCs w:val="22"/>
        </w:rPr>
        <w:t>Departamento de Recursos Materiales y Servicios Generales</w:t>
      </w:r>
      <w:r w:rsidRPr="00F30A3D">
        <w:rPr>
          <w:rFonts w:ascii="Palatino Linotype" w:eastAsia="Palatino Linotype" w:hAnsi="Palatino Linotype" w:cs="Palatino Linotype"/>
          <w:sz w:val="22"/>
          <w:szCs w:val="22"/>
        </w:rPr>
        <w:t xml:space="preserve"> quien al ser el encargado de gestionar y controlar la adquisición de servicios, así como llevar los registros actualizados sobre las adquisiciones realizadas; </w:t>
      </w:r>
      <w:r w:rsidRPr="00F30A3D">
        <w:rPr>
          <w:rFonts w:ascii="Palatino Linotype" w:eastAsia="Palatino Linotype" w:hAnsi="Palatino Linotype" w:cs="Palatino Linotype"/>
          <w:sz w:val="22"/>
          <w:szCs w:val="22"/>
          <w:u w:val="single"/>
        </w:rPr>
        <w:t>de manera enunciativa más no limitativa podría tener acceso a los documentos comprobatorios del avance y/ ejecución de los trabajos llevados a cabo por los contratistas, entre los que se pudiera localizar la evidencia fotográfica a la que pretende acceder el particular.</w:t>
      </w:r>
    </w:p>
    <w:p w14:paraId="2760B5F1"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309CE4"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 mayor abundamiento, en el caso es de recordar que los sujetos obligados tienen como obligación de transparencia común, transparentar la información relativa a los procesos y resultados sobre procedimientos de adjudicación directa, invitación restringida y licitación de cualquier naturaleza, en cuyo expediente debe obrar por lo menos, </w:t>
      </w:r>
      <w:r w:rsidRPr="00F30A3D">
        <w:rPr>
          <w:rFonts w:ascii="Palatino Linotype" w:eastAsia="Palatino Linotype" w:hAnsi="Palatino Linotype" w:cs="Palatino Linotype"/>
          <w:b/>
          <w:sz w:val="22"/>
          <w:szCs w:val="22"/>
          <w:u w:val="single"/>
        </w:rPr>
        <w:t>los informes de avance físico sobre los servicios contratados</w:t>
      </w:r>
      <w:r w:rsidRPr="00F30A3D">
        <w:rPr>
          <w:rFonts w:ascii="Palatino Linotype" w:eastAsia="Palatino Linotype" w:hAnsi="Palatino Linotype" w:cs="Palatino Linotype"/>
          <w:sz w:val="22"/>
          <w:szCs w:val="22"/>
        </w:rPr>
        <w:t>, a saber:</w:t>
      </w:r>
    </w:p>
    <w:p w14:paraId="17FFB577"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E15984" w14:textId="77777777" w:rsidR="00EC154B" w:rsidRPr="00F30A3D" w:rsidRDefault="002A4CEB">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92. </w:t>
      </w:r>
      <w:r w:rsidRPr="00F30A3D">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B33FB24" w14:textId="77777777" w:rsidR="00EC154B" w:rsidRPr="00F30A3D" w:rsidRDefault="002A4CEB">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i/>
          <w:sz w:val="22"/>
          <w:szCs w:val="22"/>
        </w:rPr>
        <w:t>[…]</w:t>
      </w:r>
    </w:p>
    <w:p w14:paraId="043653EC" w14:textId="77777777" w:rsidR="00EC154B" w:rsidRPr="00F30A3D" w:rsidRDefault="002A4CEB">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XXIX. </w:t>
      </w:r>
      <w:r w:rsidRPr="00F30A3D">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F30A3D">
        <w:rPr>
          <w:rFonts w:ascii="Palatino Linotype" w:eastAsia="Palatino Linotype" w:hAnsi="Palatino Linotype" w:cs="Palatino Linotype"/>
          <w:b/>
          <w:i/>
          <w:sz w:val="22"/>
          <w:szCs w:val="22"/>
          <w:u w:val="single"/>
        </w:rPr>
        <w:t xml:space="preserve">incluyendo la versión pública del expediente respectivo y de los contratos celebrados, </w:t>
      </w:r>
      <w:r w:rsidRPr="00F30A3D">
        <w:rPr>
          <w:rFonts w:ascii="Palatino Linotype" w:eastAsia="Palatino Linotype" w:hAnsi="Palatino Linotype" w:cs="Palatino Linotype"/>
          <w:i/>
          <w:sz w:val="22"/>
          <w:szCs w:val="22"/>
        </w:rPr>
        <w:t>que deberán contener, por los menos, lo siguiente:</w:t>
      </w:r>
    </w:p>
    <w:p w14:paraId="333E2EEC" w14:textId="77777777" w:rsidR="00EC154B" w:rsidRPr="00F30A3D" w:rsidRDefault="002A4CEB">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w:t>
      </w:r>
    </w:p>
    <w:p w14:paraId="739AD153" w14:textId="77777777" w:rsidR="00EC154B" w:rsidRPr="00F30A3D" w:rsidRDefault="002A4CEB">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u w:val="single"/>
        </w:rPr>
      </w:pPr>
      <w:r w:rsidRPr="00F30A3D">
        <w:rPr>
          <w:rFonts w:ascii="Palatino Linotype" w:eastAsia="Palatino Linotype" w:hAnsi="Palatino Linotype" w:cs="Palatino Linotype"/>
          <w:b/>
          <w:i/>
          <w:sz w:val="22"/>
          <w:szCs w:val="22"/>
          <w:u w:val="single"/>
        </w:rPr>
        <w:t>12) Los informes de avance físico y financiero sobre las obras o servicios contratados</w:t>
      </w:r>
      <w:r w:rsidRPr="00F30A3D">
        <w:rPr>
          <w:rFonts w:ascii="Palatino Linotype" w:eastAsia="Palatino Linotype" w:hAnsi="Palatino Linotype" w:cs="Palatino Linotype"/>
          <w:i/>
          <w:sz w:val="22"/>
          <w:szCs w:val="22"/>
        </w:rPr>
        <w:t>; […]”</w:t>
      </w:r>
    </w:p>
    <w:p w14:paraId="155D42D5"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5D9AB96"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Máxime que conforme el artículo 86 de la Ley de Contratación Pública del Estado de México y Municipios, los contratantes, este caso, la Universidad Tecnológica del Sur del Estado de México, tienen la </w:t>
      </w:r>
      <w:r w:rsidRPr="00F30A3D">
        <w:rPr>
          <w:rFonts w:ascii="Palatino Linotype" w:eastAsia="Palatino Linotype" w:hAnsi="Palatino Linotype" w:cs="Palatino Linotype"/>
          <w:b/>
          <w:i/>
          <w:sz w:val="22"/>
          <w:szCs w:val="22"/>
        </w:rPr>
        <w:t>facultad potestativa</w:t>
      </w:r>
      <w:r w:rsidRPr="00F30A3D">
        <w:rPr>
          <w:rFonts w:ascii="Palatino Linotype" w:eastAsia="Palatino Linotype" w:hAnsi="Palatino Linotype" w:cs="Palatino Linotype"/>
          <w:sz w:val="22"/>
          <w:szCs w:val="22"/>
        </w:rPr>
        <w:t xml:space="preserve"> de, entre otros, requerir los datos e informes que se estimen necesarios, a saber:</w:t>
      </w:r>
    </w:p>
    <w:p w14:paraId="7A987AE5"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AFA87D" w14:textId="77777777" w:rsidR="00EC154B" w:rsidRPr="00F30A3D" w:rsidRDefault="002A4CEB">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“Artículo 86.- Las convocantes y los contratantes podrán verificar, en cualquier tiempo, que los actos, procedimientos y contratos se hayan celebrado conforme a las disposiciones de esta Ley; ordenar visitas de inspección a los establecimientos de los licitantes, proveedores y prestadores de servicios, y requerir los datos e informes que estime necesarios.”</w:t>
      </w:r>
    </w:p>
    <w:p w14:paraId="5BDFA2A5"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D6F689D"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De esta manera, se advierte que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 xml:space="preserve">con motivo de los servicios contratados puede, sin que sea obligatorio, solicitar </w:t>
      </w:r>
      <w:r w:rsidRPr="00F30A3D">
        <w:rPr>
          <w:rFonts w:ascii="Palatino Linotype" w:eastAsia="Palatino Linotype" w:hAnsi="Palatino Linotype" w:cs="Palatino Linotype"/>
          <w:b/>
          <w:sz w:val="22"/>
          <w:szCs w:val="22"/>
        </w:rPr>
        <w:t>informes de avance físico</w:t>
      </w:r>
      <w:r w:rsidRPr="00F30A3D">
        <w:rPr>
          <w:rFonts w:ascii="Palatino Linotype" w:eastAsia="Palatino Linotype" w:hAnsi="Palatino Linotype" w:cs="Palatino Linotype"/>
          <w:sz w:val="22"/>
          <w:szCs w:val="22"/>
        </w:rPr>
        <w:t xml:space="preserve"> de servicios contratados al contratista; documento en el que, sin afirmar, este Órgano Garante considera que de manera enunciativa más no limitativa pudiera obrar la evidencia fotográfica del avance y/o conclusión de los servicios contratados a la que pretende acceder el particular.</w:t>
      </w:r>
    </w:p>
    <w:p w14:paraId="260D0C4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D9BDC73"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Por lo que, a criterio de este Órgano Garante, si bien el </w:t>
      </w:r>
      <w:r w:rsidRPr="00F30A3D">
        <w:rPr>
          <w:rFonts w:ascii="Palatino Linotype" w:eastAsia="Palatino Linotype" w:hAnsi="Palatino Linotype" w:cs="Palatino Linotype"/>
          <w:b/>
          <w:sz w:val="22"/>
          <w:szCs w:val="22"/>
        </w:rPr>
        <w:t xml:space="preserve">Sujeto Obligado </w:t>
      </w:r>
      <w:r w:rsidRPr="00F30A3D">
        <w:rPr>
          <w:rFonts w:ascii="Palatino Linotype" w:eastAsia="Palatino Linotype" w:hAnsi="Palatino Linotype" w:cs="Palatino Linotype"/>
          <w:sz w:val="22"/>
          <w:szCs w:val="22"/>
        </w:rPr>
        <w:t>vía informe justificado pretendió colmar en su totalidad el derecho de acceso a la información del particular, en el caso del requerimiento que nos ocupa, no se agotó el procedimiento de búsqueda exhaustiva y razonable de la información en todas las áreas competentes que pudieran contar con la misma.</w:t>
      </w:r>
    </w:p>
    <w:p w14:paraId="3F650284"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11E5A85"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tal virtud, resulta dable ordenar que en cumplimiento a la presente resolución y con la finalidad de restituir al particular en su derecho de acceso a la información pública se haga entrega, previa búsqueda exhaustiva y razonable, de ser procedente en versión pública, de la siguiente información,:</w:t>
      </w:r>
    </w:p>
    <w:p w14:paraId="24836E9E"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137761E"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El documento donde conste la evidencia fotográfica del avance y/o conclusión de los servicios contratados por: Adaptación de Locales, Almacenes, Bodegas y Edificios (sistema fotovoltaico); Reparación, Instalación y Mantenimiento de Bienes Informáticos, Microfilmación y Tecnologías de la Información (servicio de internet); y, Reparación y Mantenimiento de Inmuebles (mantenimiento de cafetería), al ocho de febrero de dos mil veinticuatro.</w:t>
      </w:r>
    </w:p>
    <w:p w14:paraId="27BB4B1F"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73D9F27" w14:textId="77777777" w:rsidR="00EC154B" w:rsidRPr="00F30A3D" w:rsidRDefault="002A4CEB">
      <w:pPr>
        <w:spacing w:line="360" w:lineRule="auto"/>
        <w:ind w:right="-9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Sin embargo, para el caso de que no se llegara a localizar la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20F9287" w14:textId="77777777" w:rsidR="00EC154B" w:rsidRPr="00F30A3D" w:rsidRDefault="00EC154B">
      <w:pPr>
        <w:spacing w:line="360" w:lineRule="auto"/>
        <w:ind w:right="-91"/>
        <w:jc w:val="both"/>
        <w:rPr>
          <w:rFonts w:ascii="Palatino Linotype" w:eastAsia="Palatino Linotype" w:hAnsi="Palatino Linotype" w:cs="Palatino Linotype"/>
          <w:sz w:val="22"/>
          <w:szCs w:val="22"/>
        </w:rPr>
      </w:pPr>
    </w:p>
    <w:p w14:paraId="5A752C71" w14:textId="77777777" w:rsidR="00EC154B" w:rsidRPr="00F30A3D" w:rsidRDefault="002A4CEB">
      <w:pPr>
        <w:spacing w:line="276" w:lineRule="auto"/>
        <w:ind w:left="851"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Artículo 19</w:t>
      </w:r>
      <w:r w:rsidRPr="00F30A3D">
        <w:rPr>
          <w:rFonts w:ascii="Palatino Linotype" w:eastAsia="Palatino Linotype" w:hAnsi="Palatino Linotype" w:cs="Palatino Linotype"/>
          <w:i/>
          <w:sz w:val="22"/>
          <w:szCs w:val="22"/>
        </w:rPr>
        <w:t>…</w:t>
      </w:r>
    </w:p>
    <w:p w14:paraId="5C36DE5D" w14:textId="77777777" w:rsidR="00EC154B" w:rsidRPr="00F30A3D" w:rsidRDefault="002A4CEB">
      <w:pPr>
        <w:spacing w:line="276" w:lineRule="auto"/>
        <w:ind w:left="851" w:right="616"/>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FFD8488" w14:textId="77777777" w:rsidR="00EC154B" w:rsidRPr="00F30A3D" w:rsidRDefault="00EC154B">
      <w:pPr>
        <w:ind w:left="851" w:right="616"/>
        <w:jc w:val="both"/>
        <w:rPr>
          <w:rFonts w:ascii="Palatino Linotype" w:eastAsia="Palatino Linotype" w:hAnsi="Palatino Linotype" w:cs="Palatino Linotype"/>
          <w:i/>
        </w:rPr>
      </w:pPr>
    </w:p>
    <w:p w14:paraId="7BD21AB6" w14:textId="77777777" w:rsidR="00EC154B" w:rsidRPr="00F30A3D" w:rsidRDefault="002A4CEB">
      <w:pPr>
        <w:spacing w:line="360" w:lineRule="auto"/>
        <w:ind w:right="-9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657B8FE"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E60D24C"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Bajo ese contexto, a criterio de este Órgano Garante resultan </w:t>
      </w:r>
      <w:r w:rsidRPr="00F30A3D">
        <w:rPr>
          <w:rFonts w:ascii="Palatino Linotype" w:eastAsia="Palatino Linotype" w:hAnsi="Palatino Linotype" w:cs="Palatino Linotype"/>
          <w:b/>
          <w:sz w:val="22"/>
          <w:szCs w:val="22"/>
        </w:rPr>
        <w:t>parcialmente fundadas</w:t>
      </w:r>
      <w:r w:rsidRPr="00F30A3D">
        <w:rPr>
          <w:rFonts w:ascii="Palatino Linotype" w:eastAsia="Palatino Linotype" w:hAnsi="Palatino Linotype" w:cs="Palatino Linotype"/>
          <w:sz w:val="22"/>
          <w:szCs w:val="22"/>
        </w:rPr>
        <w:t xml:space="preserve"> las</w:t>
      </w:r>
      <w:r w:rsidRPr="00F30A3D">
        <w:rPr>
          <w:rFonts w:ascii="Palatino Linotype" w:eastAsia="Palatino Linotype" w:hAnsi="Palatino Linotype" w:cs="Palatino Linotype"/>
          <w:b/>
          <w:sz w:val="22"/>
          <w:szCs w:val="22"/>
        </w:rPr>
        <w:t xml:space="preserve"> </w:t>
      </w:r>
      <w:r w:rsidRPr="00F30A3D">
        <w:rPr>
          <w:rFonts w:ascii="Palatino Linotype" w:eastAsia="Palatino Linotype" w:hAnsi="Palatino Linotype" w:cs="Palatino Linotype"/>
          <w:sz w:val="22"/>
          <w:szCs w:val="22"/>
        </w:rPr>
        <w:t xml:space="preserve">razones o motivos de inconformidad hechos valer por la parte </w:t>
      </w:r>
      <w:r w:rsidRPr="00F30A3D">
        <w:rPr>
          <w:rFonts w:ascii="Palatino Linotype" w:eastAsia="Palatino Linotype" w:hAnsi="Palatino Linotype" w:cs="Palatino Linotype"/>
          <w:b/>
          <w:sz w:val="22"/>
          <w:szCs w:val="22"/>
        </w:rPr>
        <w:t>Recurrente</w:t>
      </w:r>
      <w:r w:rsidRPr="00F30A3D">
        <w:rPr>
          <w:rFonts w:ascii="Palatino Linotype" w:eastAsia="Palatino Linotype" w:hAnsi="Palatino Linotype" w:cs="Palatino Linotype"/>
          <w:sz w:val="22"/>
          <w:szCs w:val="22"/>
        </w:rPr>
        <w:t xml:space="preserve"> en el Recurso de </w:t>
      </w:r>
      <w:r w:rsidRPr="00F30A3D">
        <w:rPr>
          <w:rFonts w:ascii="Palatino Linotype" w:eastAsia="Palatino Linotype" w:hAnsi="Palatino Linotype" w:cs="Palatino Linotype"/>
          <w:sz w:val="22"/>
          <w:szCs w:val="22"/>
        </w:rPr>
        <w:lastRenderedPageBreak/>
        <w:t xml:space="preserve">Revisión </w:t>
      </w:r>
      <w:r w:rsidRPr="00F30A3D">
        <w:rPr>
          <w:rFonts w:ascii="Palatino Linotype" w:eastAsia="Palatino Linotype" w:hAnsi="Palatino Linotype" w:cs="Palatino Linotype"/>
          <w:b/>
          <w:sz w:val="22"/>
          <w:szCs w:val="22"/>
        </w:rPr>
        <w:t xml:space="preserve">01424/INFOEM/IP/RR/2024; </w:t>
      </w:r>
      <w:r w:rsidRPr="00F30A3D">
        <w:rPr>
          <w:rFonts w:ascii="Palatino Linotype" w:eastAsia="Palatino Linotype" w:hAnsi="Palatino Linotype" w:cs="Palatino Linotype"/>
          <w:sz w:val="22"/>
          <w:szCs w:val="22"/>
        </w:rPr>
        <w:t xml:space="preserve">siendo procedente </w:t>
      </w:r>
      <w:r w:rsidRPr="00F30A3D">
        <w:rPr>
          <w:rFonts w:ascii="Palatino Linotype" w:eastAsia="Palatino Linotype" w:hAnsi="Palatino Linotype" w:cs="Palatino Linotype"/>
          <w:b/>
          <w:sz w:val="22"/>
          <w:szCs w:val="22"/>
        </w:rPr>
        <w:t xml:space="preserve">Revocar </w:t>
      </w:r>
      <w:r w:rsidRPr="00F30A3D">
        <w:rPr>
          <w:rFonts w:ascii="Palatino Linotype" w:eastAsia="Palatino Linotype" w:hAnsi="Palatino Linotype" w:cs="Palatino Linotype"/>
          <w:sz w:val="22"/>
          <w:szCs w:val="22"/>
        </w:rPr>
        <w:t xml:space="preserve">la respuesta del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y ordenar la entrega de la información antes precisada.</w:t>
      </w:r>
    </w:p>
    <w:p w14:paraId="53708846" w14:textId="77777777" w:rsidR="00EC154B" w:rsidRPr="00F30A3D" w:rsidRDefault="00EC154B">
      <w:pPr>
        <w:spacing w:line="360" w:lineRule="auto"/>
        <w:jc w:val="both"/>
        <w:rPr>
          <w:rFonts w:ascii="Palatino Linotype" w:eastAsia="Palatino Linotype" w:hAnsi="Palatino Linotype" w:cs="Palatino Linotype"/>
          <w:b/>
          <w:sz w:val="22"/>
          <w:szCs w:val="22"/>
        </w:rPr>
      </w:pPr>
    </w:p>
    <w:p w14:paraId="1F28B707"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Quinto. Versión Pública. </w:t>
      </w:r>
      <w:r w:rsidRPr="00F30A3D">
        <w:rPr>
          <w:rFonts w:ascii="Palatino Linotype" w:eastAsia="Palatino Linotype" w:hAnsi="Palatino Linotype" w:cs="Palatino Linotype"/>
          <w:sz w:val="22"/>
          <w:szCs w:val="22"/>
        </w:rPr>
        <w:t xml:space="preserve">Finalmente para la entrega del soporte documental que deberá proporcionar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para dar satisfacción al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80259F6"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0D422B15"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3E7B69B8"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Artículo 3</w:t>
      </w:r>
      <w:r w:rsidRPr="00F30A3D">
        <w:rPr>
          <w:rFonts w:ascii="Palatino Linotype" w:eastAsia="Palatino Linotype" w:hAnsi="Palatino Linotype" w:cs="Palatino Linotype"/>
          <w:i/>
          <w:sz w:val="22"/>
          <w:szCs w:val="22"/>
        </w:rPr>
        <w:t>. Para los efectos de la presente Ley se entenderá por:</w:t>
      </w:r>
    </w:p>
    <w:p w14:paraId="1F938E50"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7AC75E10"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IX. Datos personales:</w:t>
      </w:r>
      <w:r w:rsidRPr="00F30A3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D708532"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XX. Información clasificada</w:t>
      </w:r>
      <w:r w:rsidRPr="00F30A3D">
        <w:rPr>
          <w:rFonts w:ascii="Palatino Linotype" w:eastAsia="Palatino Linotype" w:hAnsi="Palatino Linotype" w:cs="Palatino Linotype"/>
          <w:i/>
          <w:sz w:val="22"/>
          <w:szCs w:val="22"/>
        </w:rPr>
        <w:t>: Aquella considerada por la presente Ley como reservada o confidencial;</w:t>
      </w:r>
    </w:p>
    <w:p w14:paraId="70B2B2E4"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XXI. Información confidencial:</w:t>
      </w:r>
      <w:r w:rsidRPr="00F30A3D">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285CBF8"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lastRenderedPageBreak/>
        <w:t>XLV. Versión pública:</w:t>
      </w:r>
      <w:r w:rsidRPr="00F30A3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1EE953A"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28DFAB63"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 xml:space="preserve">Artículo 91. </w:t>
      </w:r>
      <w:r w:rsidRPr="00F30A3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7BEBC39"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 xml:space="preserve">Artículo 132. </w:t>
      </w:r>
      <w:r w:rsidRPr="00F30A3D">
        <w:rPr>
          <w:rFonts w:ascii="Palatino Linotype" w:eastAsia="Palatino Linotype" w:hAnsi="Palatino Linotype" w:cs="Palatino Linotype"/>
          <w:i/>
          <w:sz w:val="22"/>
          <w:szCs w:val="22"/>
        </w:rPr>
        <w:t>La clasificación de la información se llevará a cabo en el momento en que:</w:t>
      </w:r>
    </w:p>
    <w:p w14:paraId="5B47A694"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w:t>
      </w:r>
      <w:r w:rsidRPr="00F30A3D">
        <w:rPr>
          <w:rFonts w:ascii="Palatino Linotype" w:eastAsia="Palatino Linotype" w:hAnsi="Palatino Linotype" w:cs="Palatino Linotype"/>
          <w:i/>
          <w:sz w:val="22"/>
          <w:szCs w:val="22"/>
        </w:rPr>
        <w:t>. Se reciba una solicitud de acceso a la información;</w:t>
      </w:r>
    </w:p>
    <w:p w14:paraId="66CE6DBB"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w:t>
      </w:r>
      <w:r w:rsidRPr="00F30A3D">
        <w:rPr>
          <w:rFonts w:ascii="Palatino Linotype" w:eastAsia="Palatino Linotype" w:hAnsi="Palatino Linotype" w:cs="Palatino Linotype"/>
          <w:i/>
          <w:sz w:val="22"/>
          <w:szCs w:val="22"/>
        </w:rPr>
        <w:t>. Se determine mediante resolución de autoridad competente; o</w:t>
      </w:r>
    </w:p>
    <w:p w14:paraId="18548357"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III</w:t>
      </w:r>
      <w:r w:rsidRPr="00F30A3D">
        <w:rPr>
          <w:rFonts w:ascii="Palatino Linotype" w:eastAsia="Palatino Linotype" w:hAnsi="Palatino Linotype" w:cs="Palatino Linotype"/>
          <w:i/>
          <w:sz w:val="22"/>
          <w:szCs w:val="22"/>
        </w:rPr>
        <w:t>. Se generen versiones públicas para dar cumplimiento a las obligaciones de transparencia previstas en esta Ley.</w:t>
      </w:r>
    </w:p>
    <w:p w14:paraId="7D3F635D"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03D3E0EC"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Artículo 143</w:t>
      </w:r>
      <w:r w:rsidRPr="00F30A3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268740E"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w:t>
      </w:r>
      <w:r w:rsidRPr="00F30A3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C393160"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w:t>
      </w:r>
      <w:r w:rsidRPr="00F30A3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928061F"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III</w:t>
      </w:r>
      <w:r w:rsidRPr="00F30A3D">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F7F895B"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AC56DCE" w14:textId="77777777" w:rsidR="00EC154B" w:rsidRPr="00F30A3D" w:rsidRDefault="002A4CEB">
      <w:pPr>
        <w:spacing w:before="120" w:after="120"/>
        <w:ind w:left="567"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3125A84"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2275C42"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w:t>
      </w:r>
      <w:r w:rsidRPr="00F30A3D">
        <w:rPr>
          <w:rFonts w:ascii="Palatino Linotype" w:eastAsia="Palatino Linotype" w:hAnsi="Palatino Linotype" w:cs="Palatino Linotype"/>
          <w:sz w:val="22"/>
          <w:szCs w:val="22"/>
        </w:rPr>
        <w:lastRenderedPageBreak/>
        <w:t>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B0B35CE"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81BF3E9"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siendo estas las siguientes:</w:t>
      </w:r>
    </w:p>
    <w:p w14:paraId="3368DD7B"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9057520" w14:textId="77777777" w:rsidR="00EC154B" w:rsidRPr="00F30A3D" w:rsidRDefault="002A4CEB">
      <w:pPr>
        <w:spacing w:line="276" w:lineRule="auto"/>
        <w:ind w:lef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“CAPÍTULO VIII </w:t>
      </w:r>
    </w:p>
    <w:p w14:paraId="416B245E" w14:textId="77777777" w:rsidR="00EC154B" w:rsidRPr="00F30A3D" w:rsidRDefault="002A4CEB">
      <w:pPr>
        <w:spacing w:line="276" w:lineRule="auto"/>
        <w:ind w:left="567"/>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DE LOS ELEMENTOS PARA LA CLASIFICACIÓN </w:t>
      </w:r>
    </w:p>
    <w:p w14:paraId="465EF886"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 xml:space="preserve">Quincuagésimo. </w:t>
      </w:r>
      <w:r w:rsidRPr="00F30A3D">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471065E"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 xml:space="preserve">Quincuagésimo primero. </w:t>
      </w:r>
      <w:r w:rsidRPr="00F30A3D">
        <w:rPr>
          <w:rFonts w:ascii="Palatino Linotype" w:eastAsia="Palatino Linotype" w:hAnsi="Palatino Linotype" w:cs="Palatino Linotype"/>
          <w:i/>
          <w:sz w:val="22"/>
          <w:szCs w:val="22"/>
        </w:rPr>
        <w:t xml:space="preserve">Toda acta del Comité de Transparencia deberá contener: </w:t>
      </w:r>
    </w:p>
    <w:p w14:paraId="3F0E2E3F"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 El número de sesión y fecha; </w:t>
      </w:r>
    </w:p>
    <w:p w14:paraId="1E110885"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II. El nombre del área que solicitó la clasificación de información; </w:t>
      </w:r>
    </w:p>
    <w:p w14:paraId="0E80A3CC"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III. La fundamentación legal y motivación correspondiente; </w:t>
      </w:r>
    </w:p>
    <w:p w14:paraId="7818758A"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IV. La resolución o resoluciones aprobadas; y </w:t>
      </w:r>
    </w:p>
    <w:p w14:paraId="5D622452"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V. La rúbrica o firma digital de cada integrante del Comité de Transparencia. </w:t>
      </w:r>
    </w:p>
    <w:p w14:paraId="19183AED"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p>
    <w:p w14:paraId="51996778"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u w:val="single"/>
        </w:rPr>
      </w:pPr>
      <w:r w:rsidRPr="00F30A3D">
        <w:rPr>
          <w:rFonts w:ascii="Palatino Linotype" w:eastAsia="Palatino Linotype" w:hAnsi="Palatino Linotype" w:cs="Palatino Linotype"/>
          <w:i/>
          <w:sz w:val="22"/>
          <w:szCs w:val="22"/>
        </w:rPr>
        <w:t xml:space="preserve">En los casos de resoluciones del Comité de Transparencia en las que se </w:t>
      </w:r>
      <w:r w:rsidRPr="00F30A3D">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05234A7A"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Quincuagésimo segundo. </w:t>
      </w:r>
      <w:r w:rsidRPr="00F30A3D">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F30A3D">
        <w:rPr>
          <w:rFonts w:ascii="Palatino Linotype" w:eastAsia="Palatino Linotype" w:hAnsi="Palatino Linotype" w:cs="Palatino Linotype"/>
          <w:b/>
          <w:i/>
          <w:sz w:val="22"/>
          <w:szCs w:val="22"/>
        </w:rPr>
        <w:lastRenderedPageBreak/>
        <w:t>confidencial,</w:t>
      </w:r>
      <w:r w:rsidRPr="00F30A3D">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35ECE2AB"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BC08460"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3A330F1"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26994DC4"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III. Señalar las personas o instancias autorizadas a acceder a la información clasificada. </w:t>
      </w:r>
    </w:p>
    <w:p w14:paraId="6249253A"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F30A3D">
        <w:rPr>
          <w:rFonts w:ascii="Palatino Linotype" w:eastAsia="Palatino Linotype" w:hAnsi="Palatino Linotype" w:cs="Palatino Linotype"/>
          <w:b/>
          <w:i/>
          <w:sz w:val="22"/>
          <w:szCs w:val="22"/>
          <w:u w:val="single"/>
        </w:rPr>
        <w:t>información confidencial.</w:t>
      </w:r>
      <w:r w:rsidRPr="00F30A3D">
        <w:rPr>
          <w:rFonts w:ascii="Palatino Linotype" w:eastAsia="Palatino Linotype" w:hAnsi="Palatino Linotype" w:cs="Palatino Linotype"/>
          <w:i/>
          <w:sz w:val="22"/>
          <w:szCs w:val="22"/>
        </w:rPr>
        <w:t xml:space="preserve"> </w:t>
      </w:r>
    </w:p>
    <w:p w14:paraId="2B2617C9"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w:t>
      </w:r>
    </w:p>
    <w:p w14:paraId="6F6B3B34" w14:textId="77777777" w:rsidR="00EC154B" w:rsidRPr="00F30A3D" w:rsidRDefault="002A4CEB">
      <w:pPr>
        <w:spacing w:line="276" w:lineRule="auto"/>
        <w:ind w:left="567" w:right="900"/>
        <w:jc w:val="both"/>
        <w:rPr>
          <w:rFonts w:ascii="Palatino Linotype" w:eastAsia="Palatino Linotype" w:hAnsi="Palatino Linotype" w:cs="Palatino Linotype"/>
          <w:b/>
          <w:i/>
          <w:sz w:val="22"/>
          <w:szCs w:val="22"/>
        </w:rPr>
      </w:pPr>
      <w:r w:rsidRPr="00F30A3D">
        <w:rPr>
          <w:rFonts w:ascii="Palatino Linotype" w:eastAsia="Palatino Linotype" w:hAnsi="Palatino Linotype" w:cs="Palatino Linotype"/>
          <w:b/>
          <w:i/>
          <w:sz w:val="22"/>
          <w:szCs w:val="22"/>
        </w:rPr>
        <w:t xml:space="preserve">Quincuagésimo cuarto. </w:t>
      </w:r>
      <w:r w:rsidRPr="00F30A3D">
        <w:rPr>
          <w:rFonts w:ascii="Palatino Linotype" w:eastAsia="Palatino Linotype" w:hAnsi="Palatino Linotype" w:cs="Palatino Linotype"/>
          <w:i/>
          <w:sz w:val="22"/>
          <w:szCs w:val="22"/>
        </w:rPr>
        <w:t xml:space="preserve">Cuando el Comité de Transparencia confirme la clasificación de documentos reservados y/o </w:t>
      </w:r>
      <w:r w:rsidRPr="00F30A3D">
        <w:rPr>
          <w:rFonts w:ascii="Palatino Linotype" w:eastAsia="Palatino Linotype" w:hAnsi="Palatino Linotype" w:cs="Palatino Linotype"/>
          <w:b/>
          <w:i/>
          <w:sz w:val="22"/>
          <w:szCs w:val="22"/>
        </w:rPr>
        <w:t>confidenciales</w:t>
      </w:r>
      <w:r w:rsidRPr="00F30A3D">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F30A3D">
        <w:rPr>
          <w:rFonts w:ascii="Palatino Linotype" w:eastAsia="Palatino Linotype" w:hAnsi="Palatino Linotype" w:cs="Palatino Linotype"/>
          <w:b/>
          <w:i/>
          <w:sz w:val="22"/>
          <w:szCs w:val="22"/>
        </w:rPr>
        <w:t xml:space="preserve"> </w:t>
      </w:r>
    </w:p>
    <w:p w14:paraId="7FCB3B23" w14:textId="77777777" w:rsidR="00EC154B" w:rsidRPr="00F30A3D" w:rsidRDefault="002A4CEB">
      <w:pPr>
        <w:spacing w:line="276" w:lineRule="auto"/>
        <w:ind w:left="567"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 xml:space="preserve">Quincuagésimo quinto. </w:t>
      </w:r>
      <w:r w:rsidRPr="00F30A3D">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2A8BAA8"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E0D8C23"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38C5CAAB"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16FCE58E" w14:textId="77777777" w:rsidR="00EC154B" w:rsidRPr="00F30A3D" w:rsidRDefault="002A4CEB">
      <w:pPr>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Quincuagésimo sexto.</w:t>
      </w:r>
      <w:r w:rsidRPr="00F30A3D">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EFF2D7B" w14:textId="77777777" w:rsidR="00EC154B" w:rsidRPr="00F30A3D" w:rsidRDefault="002A4CEB">
      <w:pPr>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Quincuagésimo séptimo.</w:t>
      </w:r>
      <w:r w:rsidRPr="00F30A3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E80D108" w14:textId="77777777" w:rsidR="00EC154B" w:rsidRPr="00F30A3D" w:rsidRDefault="002A4CEB">
      <w:pPr>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w:t>
      </w:r>
      <w:r w:rsidRPr="00F30A3D">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EDFD16F" w14:textId="77777777" w:rsidR="00EC154B" w:rsidRPr="00F30A3D" w:rsidRDefault="002A4CEB">
      <w:pPr>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w:t>
      </w:r>
      <w:r w:rsidRPr="00F30A3D">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7B726BA2" w14:textId="77777777" w:rsidR="00EC154B" w:rsidRPr="00F30A3D" w:rsidRDefault="002A4CEB">
      <w:pPr>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III.</w:t>
      </w:r>
      <w:r w:rsidRPr="00F30A3D">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6F981DA9" w14:textId="77777777" w:rsidR="00EC154B" w:rsidRPr="00F30A3D" w:rsidRDefault="002A4CEB">
      <w:pPr>
        <w:spacing w:line="276" w:lineRule="auto"/>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39B6C751" w14:textId="77777777" w:rsidR="00EC154B" w:rsidRPr="00F30A3D" w:rsidRDefault="002A4CEB">
      <w:pPr>
        <w:spacing w:line="276" w:lineRule="auto"/>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Quincuagésimo octavo</w:t>
      </w:r>
      <w:r w:rsidRPr="00F30A3D">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3409500F" w14:textId="77777777" w:rsidR="00EC154B" w:rsidRPr="00F30A3D" w:rsidRDefault="00EC154B">
      <w:pPr>
        <w:spacing w:line="360" w:lineRule="auto"/>
        <w:ind w:left="851" w:right="902"/>
        <w:jc w:val="both"/>
        <w:rPr>
          <w:rFonts w:ascii="Palatino Linotype" w:eastAsia="Palatino Linotype" w:hAnsi="Palatino Linotype" w:cs="Palatino Linotype"/>
          <w:i/>
          <w:sz w:val="22"/>
          <w:szCs w:val="22"/>
        </w:rPr>
      </w:pPr>
    </w:p>
    <w:p w14:paraId="64511CEC"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el número de cuenta bancaria, RFC que sean exclusivamente de particulares, entre otros.</w:t>
      </w:r>
    </w:p>
    <w:p w14:paraId="16CF82E5"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31DD5A04"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lastRenderedPageBreak/>
        <w:t xml:space="preserve">Igualmente, resulta importante destacar que el </w:t>
      </w:r>
      <w:r w:rsidRPr="00F30A3D">
        <w:rPr>
          <w:rFonts w:ascii="Palatino Linotype" w:eastAsia="Palatino Linotype" w:hAnsi="Palatino Linotype" w:cs="Palatino Linotype"/>
          <w:i/>
          <w:sz w:val="22"/>
          <w:szCs w:val="22"/>
        </w:rPr>
        <w:t>número de cuenta bancaria</w:t>
      </w:r>
      <w:r w:rsidRPr="00F30A3D">
        <w:rPr>
          <w:rFonts w:ascii="Palatino Linotype" w:eastAsia="Palatino Linotype" w:hAnsi="Palatino Linotype" w:cs="Palatino Linotype"/>
          <w:sz w:val="22"/>
          <w:szCs w:val="22"/>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3D32898"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26C8FA3B"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73466F4"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005E56FE"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E3BF22A"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1CC60F53"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7546B1C0"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341E0158"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Es por esta razón que se debe omitir el o los números de cuentas bancarias de particulares en las versiones públicas que del contrato y la o las facturas se hagan, para ser entregadas.</w:t>
      </w:r>
    </w:p>
    <w:p w14:paraId="7E266AB3"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22D85E26" w14:textId="77777777" w:rsidR="00EC154B" w:rsidRPr="00F30A3D" w:rsidRDefault="002A4CEB">
      <w:pPr>
        <w:spacing w:line="360" w:lineRule="auto"/>
        <w:ind w:right="50"/>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61A09AB7"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695C402F"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131745E2"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7EE0BDC6" w14:textId="77777777" w:rsidR="00EC154B" w:rsidRPr="00F30A3D" w:rsidRDefault="002A4CEB">
      <w:pPr>
        <w:spacing w:line="276" w:lineRule="auto"/>
        <w:ind w:left="851"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“Cuentas bancarias y/o CLABE interbancaria de personas físicas y morales privadas.</w:t>
      </w:r>
      <w:r w:rsidRPr="00F30A3D">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EDD4A7F" w14:textId="77777777" w:rsidR="00EC154B" w:rsidRPr="00F30A3D" w:rsidRDefault="002A4CEB">
      <w:pPr>
        <w:spacing w:line="276" w:lineRule="auto"/>
        <w:ind w:left="851" w:right="900"/>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F30A3D">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A7F9D76" w14:textId="77777777" w:rsidR="00EC154B" w:rsidRPr="00F30A3D" w:rsidRDefault="00EC154B">
      <w:pPr>
        <w:spacing w:line="360" w:lineRule="auto"/>
        <w:ind w:left="851" w:right="900"/>
        <w:jc w:val="both"/>
        <w:rPr>
          <w:rFonts w:ascii="Palatino Linotype" w:eastAsia="Palatino Linotype" w:hAnsi="Palatino Linotype" w:cs="Palatino Linotype"/>
          <w:i/>
          <w:sz w:val="22"/>
          <w:szCs w:val="22"/>
        </w:rPr>
      </w:pPr>
    </w:p>
    <w:p w14:paraId="6CC8A1F7"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Por cuanto hace al </w:t>
      </w:r>
      <w:r w:rsidRPr="00F30A3D">
        <w:rPr>
          <w:rFonts w:ascii="Palatino Linotype" w:eastAsia="Palatino Linotype" w:hAnsi="Palatino Linotype" w:cs="Palatino Linotype"/>
          <w:b/>
          <w:sz w:val="22"/>
          <w:szCs w:val="22"/>
        </w:rPr>
        <w:t xml:space="preserve">Registro Federal de Contribuyentes (RFC) </w:t>
      </w:r>
      <w:r w:rsidRPr="00F30A3D">
        <w:rPr>
          <w:rFonts w:ascii="Palatino Linotype" w:eastAsia="Palatino Linotype" w:hAnsi="Palatino Linotype" w:cs="Palatino Linotype"/>
          <w:sz w:val="22"/>
          <w:szCs w:val="22"/>
        </w:rPr>
        <w:t>y</w:t>
      </w:r>
      <w:r w:rsidRPr="00F30A3D">
        <w:rPr>
          <w:rFonts w:ascii="Palatino Linotype" w:eastAsia="Palatino Linotype" w:hAnsi="Palatino Linotype" w:cs="Palatino Linotype"/>
          <w:b/>
          <w:sz w:val="22"/>
          <w:szCs w:val="22"/>
        </w:rPr>
        <w:t xml:space="preserve"> el domicilio fiscal </w:t>
      </w:r>
      <w:r w:rsidRPr="00F30A3D">
        <w:rPr>
          <w:rFonts w:ascii="Palatino Linotype" w:eastAsia="Palatino Linotype" w:hAnsi="Palatino Linotype" w:cs="Palatino Linotype"/>
          <w:sz w:val="22"/>
          <w:szCs w:val="22"/>
        </w:rPr>
        <w:t xml:space="preserve">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w:t>
      </w:r>
      <w:r w:rsidRPr="00F30A3D">
        <w:rPr>
          <w:rFonts w:ascii="Palatino Linotype" w:eastAsia="Palatino Linotype" w:hAnsi="Palatino Linotype" w:cs="Palatino Linotype"/>
          <w:sz w:val="22"/>
          <w:szCs w:val="22"/>
        </w:rPr>
        <w:lastRenderedPageBreak/>
        <w:t>prestadores de servicios o contratistas, dichos datos no deben ser suprimidos de las facturas y contratos que vayan a ser entregados.</w:t>
      </w:r>
    </w:p>
    <w:p w14:paraId="67FA625C"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0B9C5757"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07CF5803"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38700F6E" w14:textId="77777777" w:rsidR="00EC154B" w:rsidRPr="00F30A3D" w:rsidRDefault="002A4CEB">
      <w:pPr>
        <w:spacing w:line="360" w:lineRule="auto"/>
        <w:ind w:right="5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F30A3D">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F30A3D">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3E0CCC79" w14:textId="77777777" w:rsidR="00EC154B" w:rsidRPr="00F30A3D" w:rsidRDefault="00EC154B">
      <w:pPr>
        <w:spacing w:line="360" w:lineRule="auto"/>
        <w:ind w:right="50"/>
        <w:jc w:val="both"/>
        <w:rPr>
          <w:rFonts w:ascii="Palatino Linotype" w:eastAsia="Palatino Linotype" w:hAnsi="Palatino Linotype" w:cs="Palatino Linotype"/>
          <w:sz w:val="22"/>
          <w:szCs w:val="22"/>
        </w:rPr>
      </w:pPr>
    </w:p>
    <w:p w14:paraId="0C0D0BD0"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Robustece lo anterior el criterio orientador 04/21 emitido por el Instituto Nacional de Transparencia, Acceso a la Información y Protección de Datos Personales, INAI, el cual refiere:</w:t>
      </w:r>
    </w:p>
    <w:p w14:paraId="6B8AD379"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7DFA98A" w14:textId="77777777" w:rsidR="00EC154B" w:rsidRPr="00F30A3D" w:rsidRDefault="002A4CEB">
      <w:pPr>
        <w:spacing w:line="276" w:lineRule="auto"/>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b/>
          <w:i/>
          <w:sz w:val="22"/>
          <w:szCs w:val="22"/>
        </w:rPr>
        <w:t xml:space="preserve">“Registro Federal de Contribuyentes (RFC) de personas físicas proveedoras o contratistas. </w:t>
      </w:r>
      <w:r w:rsidRPr="00F30A3D">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6A77F237" w14:textId="77777777" w:rsidR="00EC154B" w:rsidRPr="00F30A3D" w:rsidRDefault="00EC154B">
      <w:pPr>
        <w:spacing w:line="360" w:lineRule="auto"/>
        <w:ind w:left="851" w:right="902"/>
        <w:jc w:val="both"/>
        <w:rPr>
          <w:rFonts w:ascii="Palatino Linotype" w:eastAsia="Palatino Linotype" w:hAnsi="Palatino Linotype" w:cs="Palatino Linotype"/>
          <w:i/>
          <w:sz w:val="22"/>
          <w:szCs w:val="22"/>
        </w:rPr>
      </w:pPr>
    </w:p>
    <w:p w14:paraId="16941514" w14:textId="77777777" w:rsidR="00EC154B" w:rsidRPr="00F30A3D" w:rsidRDefault="002A4CEB">
      <w:pPr>
        <w:spacing w:line="360" w:lineRule="auto"/>
        <w:ind w:right="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Relacionado con lo anterior, el </w:t>
      </w:r>
      <w:r w:rsidRPr="00F30A3D">
        <w:rPr>
          <w:rFonts w:ascii="Palatino Linotype" w:eastAsia="Palatino Linotype" w:hAnsi="Palatino Linotype" w:cs="Palatino Linotype"/>
          <w:b/>
          <w:sz w:val="22"/>
          <w:szCs w:val="22"/>
        </w:rPr>
        <w:t>nombre de las personas físicas</w:t>
      </w:r>
      <w:r w:rsidRPr="00F30A3D">
        <w:rPr>
          <w:rFonts w:ascii="Palatino Linotype" w:eastAsia="Palatino Linotype" w:hAnsi="Palatino Linotype" w:cs="Palatino Linotype"/>
          <w:sz w:val="22"/>
          <w:szCs w:val="22"/>
        </w:rPr>
        <w:t xml:space="preserve"> o los </w:t>
      </w:r>
      <w:r w:rsidRPr="00F30A3D">
        <w:rPr>
          <w:rFonts w:ascii="Palatino Linotype" w:eastAsia="Palatino Linotype" w:hAnsi="Palatino Linotype" w:cs="Palatino Linotype"/>
          <w:b/>
          <w:sz w:val="22"/>
          <w:szCs w:val="22"/>
        </w:rPr>
        <w:t>representantes legales de las personas morales</w:t>
      </w:r>
      <w:r w:rsidRPr="00F30A3D">
        <w:rPr>
          <w:rFonts w:ascii="Palatino Linotype" w:eastAsia="Palatino Linotype" w:hAnsi="Palatino Linotype" w:cs="Palatino Linotype"/>
          <w:sz w:val="22"/>
          <w:szCs w:val="22"/>
        </w:rPr>
        <w:t>, en su calidad de proveedores, contratistas o prestadores de servicios, y la firma y rúbrica de estos, que participen en algún  proceso de adjudicación en cualquiera de sus modalidades es pública,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w:t>
      </w:r>
    </w:p>
    <w:p w14:paraId="49F965B9" w14:textId="77777777" w:rsidR="00EC154B" w:rsidRPr="00F30A3D" w:rsidRDefault="00EC154B">
      <w:pPr>
        <w:spacing w:line="360" w:lineRule="auto"/>
        <w:ind w:right="51"/>
        <w:jc w:val="both"/>
        <w:rPr>
          <w:rFonts w:ascii="Palatino Linotype" w:eastAsia="Palatino Linotype" w:hAnsi="Palatino Linotype" w:cs="Palatino Linotype"/>
          <w:sz w:val="22"/>
          <w:szCs w:val="22"/>
        </w:rPr>
      </w:pPr>
    </w:p>
    <w:p w14:paraId="7FC052A7" w14:textId="77777777" w:rsidR="00EC154B" w:rsidRPr="00F30A3D" w:rsidRDefault="002A4CEB">
      <w:pPr>
        <w:spacing w:line="360" w:lineRule="auto"/>
        <w:ind w:right="51"/>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102FD8D1" w14:textId="77777777" w:rsidR="00EC154B" w:rsidRPr="00F30A3D" w:rsidRDefault="00EC154B">
      <w:pPr>
        <w:spacing w:line="360" w:lineRule="auto"/>
        <w:ind w:right="51"/>
        <w:jc w:val="both"/>
        <w:rPr>
          <w:rFonts w:ascii="Palatino Linotype" w:eastAsia="Palatino Linotype" w:hAnsi="Palatino Linotype" w:cs="Palatino Linotype"/>
          <w:sz w:val="22"/>
          <w:szCs w:val="22"/>
        </w:rPr>
      </w:pPr>
    </w:p>
    <w:p w14:paraId="169D7F0E" w14:textId="77777777" w:rsidR="00EC154B" w:rsidRPr="00F30A3D" w:rsidRDefault="002A4CEB">
      <w:pPr>
        <w:spacing w:line="276" w:lineRule="auto"/>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w:t>
      </w:r>
      <w:r w:rsidRPr="00F30A3D">
        <w:rPr>
          <w:rFonts w:ascii="Palatino Linotype" w:eastAsia="Palatino Linotype" w:hAnsi="Palatino Linotype" w:cs="Palatino Linotype"/>
          <w:b/>
          <w:i/>
          <w:sz w:val="22"/>
          <w:szCs w:val="22"/>
        </w:rPr>
        <w:t>Artículo 23.</w:t>
      </w:r>
      <w:r w:rsidRPr="00F30A3D">
        <w:rPr>
          <w:rFonts w:ascii="Palatino Linotype" w:eastAsia="Palatino Linotype" w:hAnsi="Palatino Linotype" w:cs="Palatino Linotype"/>
          <w:i/>
          <w:sz w:val="22"/>
          <w:szCs w:val="22"/>
        </w:rPr>
        <w:t xml:space="preserve"> (…)</w:t>
      </w:r>
    </w:p>
    <w:p w14:paraId="331FE73F" w14:textId="77777777" w:rsidR="00EC154B" w:rsidRPr="00F30A3D" w:rsidRDefault="002A4CEB">
      <w:pPr>
        <w:spacing w:line="276" w:lineRule="auto"/>
        <w:ind w:left="851" w:right="902"/>
        <w:jc w:val="both"/>
        <w:rPr>
          <w:rFonts w:ascii="Palatino Linotype" w:eastAsia="Palatino Linotype" w:hAnsi="Palatino Linotype" w:cs="Palatino Linotype"/>
          <w:i/>
          <w:sz w:val="22"/>
          <w:szCs w:val="22"/>
        </w:rPr>
      </w:pPr>
      <w:r w:rsidRPr="00F30A3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9F72756" w14:textId="77777777" w:rsidR="00EC154B" w:rsidRPr="00F30A3D" w:rsidRDefault="00EC154B">
      <w:pPr>
        <w:spacing w:line="360" w:lineRule="auto"/>
        <w:ind w:left="851" w:right="902"/>
        <w:jc w:val="both"/>
        <w:rPr>
          <w:rFonts w:ascii="Palatino Linotype" w:eastAsia="Palatino Linotype" w:hAnsi="Palatino Linotype" w:cs="Palatino Linotype"/>
          <w:i/>
          <w:sz w:val="22"/>
          <w:szCs w:val="22"/>
        </w:rPr>
      </w:pPr>
    </w:p>
    <w:p w14:paraId="49AD0B13"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0E8EA2E9" w14:textId="77777777" w:rsidR="00EC154B" w:rsidRPr="00F30A3D" w:rsidRDefault="00EC154B">
      <w:pPr>
        <w:spacing w:line="276" w:lineRule="auto"/>
        <w:ind w:left="851" w:right="900"/>
        <w:jc w:val="both"/>
        <w:rPr>
          <w:rFonts w:ascii="Palatino Linotype" w:eastAsia="Palatino Linotype" w:hAnsi="Palatino Linotype" w:cs="Palatino Linotype"/>
          <w:b/>
          <w:i/>
          <w:sz w:val="22"/>
          <w:szCs w:val="22"/>
        </w:rPr>
      </w:pPr>
    </w:p>
    <w:p w14:paraId="110C714E" w14:textId="77777777" w:rsidR="00EC154B" w:rsidRPr="00F30A3D" w:rsidRDefault="002A4CEB">
      <w:pPr>
        <w:spacing w:line="276" w:lineRule="auto"/>
        <w:ind w:left="851" w:right="900"/>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i/>
          <w:sz w:val="22"/>
          <w:szCs w:val="22"/>
        </w:rPr>
        <w:t>“Datos de identificación del representante o apoderado legal.</w:t>
      </w:r>
      <w:r w:rsidRPr="00F30A3D">
        <w:rPr>
          <w:rFonts w:ascii="Palatino Linotype" w:eastAsia="Palatino Linotype" w:hAnsi="Palatino Linotype" w:cs="Palatino Linotype"/>
          <w:i/>
          <w:sz w:val="22"/>
          <w:szCs w:val="22"/>
        </w:rPr>
        <w:t xml:space="preserve"> </w:t>
      </w:r>
      <w:r w:rsidRPr="00F30A3D">
        <w:rPr>
          <w:rFonts w:ascii="Palatino Linotype" w:eastAsia="Palatino Linotype" w:hAnsi="Palatino Linotype" w:cs="Palatino Linotype"/>
          <w:b/>
          <w:i/>
          <w:sz w:val="22"/>
          <w:szCs w:val="22"/>
        </w:rPr>
        <w:t xml:space="preserve">Naturaleza jurídica. </w:t>
      </w:r>
      <w:r w:rsidRPr="00F30A3D">
        <w:rPr>
          <w:rFonts w:ascii="Palatino Linotype" w:eastAsia="Palatino Linotype" w:hAnsi="Palatino Linotype" w:cs="Palatino Linotype"/>
          <w:i/>
          <w:sz w:val="22"/>
          <w:szCs w:val="22"/>
        </w:rPr>
        <w:t xml:space="preserve">El nombre, la firma y la rúbrica de una persona física, que actúe como </w:t>
      </w:r>
      <w:r w:rsidRPr="00F30A3D">
        <w:rPr>
          <w:rFonts w:ascii="Palatino Linotype" w:eastAsia="Palatino Linotype" w:hAnsi="Palatino Linotype" w:cs="Palatino Linotype"/>
          <w:i/>
          <w:sz w:val="22"/>
          <w:szCs w:val="22"/>
        </w:rPr>
        <w:lastRenderedPageBreak/>
        <w:t xml:space="preserve">representante o apoderado legal de un tercero que haya celebrado un acto jurídico, con algún sujeto obligado, </w:t>
      </w:r>
      <w:r w:rsidRPr="00F30A3D">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F30A3D">
        <w:rPr>
          <w:rFonts w:ascii="Palatino Linotype" w:eastAsia="Palatino Linotype" w:hAnsi="Palatino Linotype" w:cs="Palatino Linotype"/>
          <w:i/>
          <w:sz w:val="22"/>
          <w:szCs w:val="22"/>
        </w:rPr>
        <w:t>.”</w:t>
      </w:r>
    </w:p>
    <w:p w14:paraId="25637AB4"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74671C29"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2B049C1" w14:textId="77777777" w:rsidR="00EC154B" w:rsidRPr="00F30A3D" w:rsidRDefault="00EC15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0A4A81" w14:textId="77777777" w:rsidR="00EC154B" w:rsidRPr="00F30A3D" w:rsidRDefault="002A4C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15D90517" w14:textId="77777777" w:rsidR="00EC154B" w:rsidRPr="00F30A3D" w:rsidRDefault="002A4CE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0" w:name="_heading=h.ijv98pntcd5s" w:colFirst="0" w:colLast="0"/>
      <w:bookmarkEnd w:id="10"/>
      <w:r w:rsidRPr="00F30A3D">
        <w:rPr>
          <w:rFonts w:ascii="Palatino Linotype" w:eastAsia="Palatino Linotype" w:hAnsi="Palatino Linotype" w:cs="Palatino Linotype"/>
          <w:b/>
          <w:sz w:val="22"/>
          <w:szCs w:val="22"/>
        </w:rPr>
        <w:t>III. R E S U E L V E</w:t>
      </w:r>
    </w:p>
    <w:p w14:paraId="41A50F1C" w14:textId="77777777" w:rsidR="00EC154B" w:rsidRPr="00F30A3D" w:rsidRDefault="00EC154B">
      <w:pPr>
        <w:spacing w:line="360" w:lineRule="auto"/>
        <w:jc w:val="both"/>
        <w:rPr>
          <w:rFonts w:ascii="Palatino Linotype" w:eastAsia="Palatino Linotype" w:hAnsi="Palatino Linotype" w:cs="Palatino Linotype"/>
          <w:b/>
          <w:sz w:val="22"/>
          <w:szCs w:val="22"/>
        </w:rPr>
      </w:pPr>
    </w:p>
    <w:p w14:paraId="74417125" w14:textId="77777777" w:rsidR="00EC154B" w:rsidRPr="00F30A3D" w:rsidRDefault="002A4CEB">
      <w:pPr>
        <w:spacing w:line="360" w:lineRule="auto"/>
        <w:jc w:val="both"/>
        <w:rPr>
          <w:rFonts w:ascii="Palatino Linotype" w:eastAsia="Palatino Linotype" w:hAnsi="Palatino Linotype" w:cs="Palatino Linotype"/>
          <w:b/>
          <w:sz w:val="22"/>
          <w:szCs w:val="22"/>
        </w:rPr>
      </w:pPr>
      <w:r w:rsidRPr="00F30A3D">
        <w:rPr>
          <w:rFonts w:ascii="Palatino Linotype" w:eastAsia="Palatino Linotype" w:hAnsi="Palatino Linotype" w:cs="Palatino Linotype"/>
          <w:b/>
          <w:sz w:val="22"/>
          <w:szCs w:val="22"/>
        </w:rPr>
        <w:t xml:space="preserve">Primero. </w:t>
      </w:r>
      <w:r w:rsidRPr="00F30A3D">
        <w:rPr>
          <w:rFonts w:ascii="Palatino Linotype" w:eastAsia="Palatino Linotype" w:hAnsi="Palatino Linotype" w:cs="Palatino Linotype"/>
          <w:sz w:val="22"/>
          <w:szCs w:val="22"/>
        </w:rPr>
        <w:t>Resultan</w:t>
      </w:r>
      <w:r w:rsidRPr="00F30A3D">
        <w:rPr>
          <w:rFonts w:ascii="Palatino Linotype" w:eastAsia="Palatino Linotype" w:hAnsi="Palatino Linotype" w:cs="Palatino Linotype"/>
          <w:b/>
          <w:sz w:val="22"/>
          <w:szCs w:val="22"/>
        </w:rPr>
        <w:t xml:space="preserve"> parcialmente fundados</w:t>
      </w:r>
      <w:r w:rsidRPr="00F30A3D">
        <w:rPr>
          <w:rFonts w:ascii="Palatino Linotype" w:eastAsia="Palatino Linotype" w:hAnsi="Palatino Linotype" w:cs="Palatino Linotype"/>
          <w:sz w:val="22"/>
          <w:szCs w:val="22"/>
        </w:rPr>
        <w:t xml:space="preserve"> los motivos de inconformidad hechos valer por la parte </w:t>
      </w:r>
      <w:r w:rsidRPr="00F30A3D">
        <w:rPr>
          <w:rFonts w:ascii="Palatino Linotype" w:eastAsia="Palatino Linotype" w:hAnsi="Palatino Linotype" w:cs="Palatino Linotype"/>
          <w:b/>
          <w:sz w:val="22"/>
          <w:szCs w:val="22"/>
        </w:rPr>
        <w:t xml:space="preserve">Recurrente </w:t>
      </w:r>
      <w:r w:rsidRPr="00F30A3D">
        <w:rPr>
          <w:rFonts w:ascii="Palatino Linotype" w:eastAsia="Palatino Linotype" w:hAnsi="Palatino Linotype" w:cs="Palatino Linotype"/>
          <w:sz w:val="22"/>
          <w:szCs w:val="22"/>
        </w:rPr>
        <w:t xml:space="preserve">en el recurso de revisión </w:t>
      </w:r>
      <w:r w:rsidRPr="00F30A3D">
        <w:rPr>
          <w:rFonts w:ascii="Palatino Linotype" w:eastAsia="Palatino Linotype" w:hAnsi="Palatino Linotype" w:cs="Palatino Linotype"/>
          <w:b/>
          <w:sz w:val="22"/>
          <w:szCs w:val="22"/>
        </w:rPr>
        <w:t xml:space="preserve">01424/INFOEM/IP/RR/2024, </w:t>
      </w:r>
      <w:r w:rsidRPr="00F30A3D">
        <w:rPr>
          <w:rFonts w:ascii="Palatino Linotype" w:eastAsia="Palatino Linotype" w:hAnsi="Palatino Linotype" w:cs="Palatino Linotype"/>
          <w:sz w:val="22"/>
          <w:szCs w:val="22"/>
        </w:rPr>
        <w:t xml:space="preserve">por lo que, en </w:t>
      </w:r>
      <w:r w:rsidRPr="00F30A3D">
        <w:rPr>
          <w:rFonts w:ascii="Palatino Linotype" w:eastAsia="Palatino Linotype" w:hAnsi="Palatino Linotype" w:cs="Palatino Linotype"/>
          <w:sz w:val="22"/>
          <w:szCs w:val="22"/>
        </w:rPr>
        <w:lastRenderedPageBreak/>
        <w:t xml:space="preserve">términos del Considerando </w:t>
      </w:r>
      <w:r w:rsidRPr="00F30A3D">
        <w:rPr>
          <w:rFonts w:ascii="Palatino Linotype" w:eastAsia="Palatino Linotype" w:hAnsi="Palatino Linotype" w:cs="Palatino Linotype"/>
          <w:b/>
          <w:sz w:val="22"/>
          <w:szCs w:val="22"/>
        </w:rPr>
        <w:t>Cuarto</w:t>
      </w:r>
      <w:r w:rsidRPr="00F30A3D">
        <w:rPr>
          <w:rFonts w:ascii="Palatino Linotype" w:eastAsia="Palatino Linotype" w:hAnsi="Palatino Linotype" w:cs="Palatino Linotype"/>
          <w:sz w:val="22"/>
          <w:szCs w:val="22"/>
        </w:rPr>
        <w:t xml:space="preserve"> de la presente resolución, se</w:t>
      </w:r>
      <w:r w:rsidRPr="00F30A3D">
        <w:rPr>
          <w:rFonts w:ascii="Palatino Linotype" w:eastAsia="Palatino Linotype" w:hAnsi="Palatino Linotype" w:cs="Palatino Linotype"/>
          <w:b/>
          <w:sz w:val="22"/>
          <w:szCs w:val="22"/>
        </w:rPr>
        <w:t xml:space="preserve"> Revoca </w:t>
      </w:r>
      <w:r w:rsidRPr="00F30A3D">
        <w:rPr>
          <w:rFonts w:ascii="Palatino Linotype" w:eastAsia="Palatino Linotype" w:hAnsi="Palatino Linotype" w:cs="Palatino Linotype"/>
          <w:sz w:val="22"/>
          <w:szCs w:val="22"/>
        </w:rPr>
        <w:t>la respuesta</w:t>
      </w:r>
      <w:r w:rsidRPr="00F30A3D">
        <w:rPr>
          <w:rFonts w:ascii="Palatino Linotype" w:eastAsia="Palatino Linotype" w:hAnsi="Palatino Linotype" w:cs="Palatino Linotype"/>
          <w:b/>
          <w:sz w:val="22"/>
          <w:szCs w:val="22"/>
        </w:rPr>
        <w:t xml:space="preserve"> </w:t>
      </w:r>
      <w:r w:rsidRPr="00F30A3D">
        <w:rPr>
          <w:rFonts w:ascii="Palatino Linotype" w:eastAsia="Palatino Linotype" w:hAnsi="Palatino Linotype" w:cs="Palatino Linotype"/>
          <w:sz w:val="22"/>
          <w:szCs w:val="22"/>
        </w:rPr>
        <w:t xml:space="preserve">del </w:t>
      </w:r>
      <w:r w:rsidRPr="00F30A3D">
        <w:rPr>
          <w:rFonts w:ascii="Palatino Linotype" w:eastAsia="Palatino Linotype" w:hAnsi="Palatino Linotype" w:cs="Palatino Linotype"/>
          <w:b/>
          <w:sz w:val="22"/>
          <w:szCs w:val="22"/>
        </w:rPr>
        <w:t>Sujeto Obligado.</w:t>
      </w:r>
    </w:p>
    <w:p w14:paraId="0D9E9FB1" w14:textId="77777777" w:rsidR="00EC154B" w:rsidRPr="00F30A3D" w:rsidRDefault="00EC154B">
      <w:pPr>
        <w:spacing w:line="360" w:lineRule="auto"/>
        <w:jc w:val="both"/>
        <w:rPr>
          <w:rFonts w:ascii="Palatino Linotype" w:eastAsia="Palatino Linotype" w:hAnsi="Palatino Linotype" w:cs="Palatino Linotype"/>
          <w:b/>
          <w:sz w:val="22"/>
          <w:szCs w:val="22"/>
        </w:rPr>
      </w:pPr>
    </w:p>
    <w:p w14:paraId="1960F789"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Segundo. </w:t>
      </w:r>
      <w:r w:rsidRPr="00F30A3D">
        <w:rPr>
          <w:rFonts w:ascii="Palatino Linotype" w:eastAsia="Palatino Linotype" w:hAnsi="Palatino Linotype" w:cs="Palatino Linotype"/>
          <w:sz w:val="22"/>
          <w:szCs w:val="22"/>
        </w:rPr>
        <w:t xml:space="preserve">Se </w:t>
      </w:r>
      <w:r w:rsidRPr="00F30A3D">
        <w:rPr>
          <w:rFonts w:ascii="Palatino Linotype" w:eastAsia="Palatino Linotype" w:hAnsi="Palatino Linotype" w:cs="Palatino Linotype"/>
          <w:b/>
          <w:sz w:val="22"/>
          <w:szCs w:val="22"/>
        </w:rPr>
        <w:t>Ordena</w:t>
      </w:r>
      <w:r w:rsidRPr="00F30A3D">
        <w:rPr>
          <w:rFonts w:ascii="Palatino Linotype" w:eastAsia="Palatino Linotype" w:hAnsi="Palatino Linotype" w:cs="Palatino Linotype"/>
          <w:sz w:val="22"/>
          <w:szCs w:val="22"/>
        </w:rPr>
        <w:t xml:space="preserve"> al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en términos de los Considerandos </w:t>
      </w:r>
      <w:r w:rsidRPr="00F30A3D">
        <w:rPr>
          <w:rFonts w:ascii="Palatino Linotype" w:eastAsia="Palatino Linotype" w:hAnsi="Palatino Linotype" w:cs="Palatino Linotype"/>
          <w:b/>
          <w:sz w:val="22"/>
          <w:szCs w:val="22"/>
        </w:rPr>
        <w:t xml:space="preserve">Cuarto y Quinto </w:t>
      </w:r>
      <w:r w:rsidRPr="00F30A3D">
        <w:rPr>
          <w:rFonts w:ascii="Palatino Linotype" w:eastAsia="Palatino Linotype" w:hAnsi="Palatino Linotype" w:cs="Palatino Linotype"/>
          <w:sz w:val="22"/>
          <w:szCs w:val="22"/>
        </w:rPr>
        <w:t xml:space="preserve">de esta resolución, </w:t>
      </w:r>
      <w:r w:rsidRPr="00F30A3D">
        <w:rPr>
          <w:rFonts w:ascii="Palatino Linotype" w:eastAsia="Palatino Linotype" w:hAnsi="Palatino Linotype" w:cs="Palatino Linotype"/>
          <w:b/>
          <w:sz w:val="22"/>
          <w:szCs w:val="22"/>
        </w:rPr>
        <w:t>haga entrega vía Sistema de Acceso a la Información Mexiquense (SAIMEX),</w:t>
      </w:r>
      <w:r w:rsidRPr="00F30A3D">
        <w:rPr>
          <w:rFonts w:ascii="Palatino Linotype" w:eastAsia="Palatino Linotype" w:hAnsi="Palatino Linotype" w:cs="Palatino Linotype"/>
          <w:sz w:val="22"/>
          <w:szCs w:val="22"/>
        </w:rPr>
        <w:t xml:space="preserve"> previa búsqueda exhaustiva y razonable, de ser procedente en versión pública, lo siguiente:</w:t>
      </w:r>
    </w:p>
    <w:p w14:paraId="3804F905" w14:textId="77777777" w:rsidR="00EC154B" w:rsidRPr="00F30A3D" w:rsidRDefault="00EC154B">
      <w:pPr>
        <w:pBdr>
          <w:top w:val="nil"/>
          <w:left w:val="nil"/>
          <w:bottom w:val="nil"/>
          <w:right w:val="nil"/>
          <w:between w:val="nil"/>
        </w:pBdr>
        <w:spacing w:line="276" w:lineRule="auto"/>
        <w:ind w:left="360"/>
        <w:jc w:val="both"/>
        <w:rPr>
          <w:rFonts w:ascii="Palatino Linotype" w:eastAsia="Palatino Linotype" w:hAnsi="Palatino Linotype" w:cs="Palatino Linotype"/>
          <w:b/>
          <w:sz w:val="22"/>
          <w:szCs w:val="22"/>
        </w:rPr>
      </w:pPr>
    </w:p>
    <w:p w14:paraId="31D1FBC6" w14:textId="77777777" w:rsidR="00EC154B" w:rsidRPr="00F30A3D" w:rsidRDefault="002A4CEB">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bookmarkStart w:id="11" w:name="_heading=h.26in1rg" w:colFirst="0" w:colLast="0"/>
      <w:bookmarkEnd w:id="11"/>
      <w:r w:rsidRPr="00F30A3D">
        <w:rPr>
          <w:rFonts w:ascii="Palatino Linotype" w:eastAsia="Palatino Linotype" w:hAnsi="Palatino Linotype" w:cs="Palatino Linotype"/>
          <w:b/>
          <w:sz w:val="22"/>
          <w:szCs w:val="22"/>
        </w:rPr>
        <w:t>El o los documentos donde conste la evidencia fotográfica</w:t>
      </w:r>
      <w:r w:rsidRPr="00F30A3D">
        <w:rPr>
          <w:rFonts w:ascii="Palatino Linotype" w:eastAsia="Palatino Linotype" w:hAnsi="Palatino Linotype" w:cs="Palatino Linotype"/>
          <w:b/>
          <w:sz w:val="32"/>
          <w:szCs w:val="32"/>
        </w:rPr>
        <w:t xml:space="preserve"> </w:t>
      </w:r>
      <w:r w:rsidRPr="00F30A3D">
        <w:rPr>
          <w:rFonts w:ascii="Palatino Linotype" w:eastAsia="Palatino Linotype" w:hAnsi="Palatino Linotype" w:cs="Palatino Linotype"/>
          <w:b/>
          <w:sz w:val="22"/>
          <w:szCs w:val="22"/>
        </w:rPr>
        <w:t>del avance y/o conclusión de los servicios contratados por: Adaptación de Locales, Almacenes, Bodegas y Edificios (sistema fotovoltaico); Reparación, Instalación y Mantenimiento de Bienes Informáticos, Microfilmación y Tecnologías de la Información (servicio de internet); y, Reparación y Mantenimiento de Inmuebles (mantenimiento de cafetería), al ocho de febrero de dos mil veinticuatro.</w:t>
      </w:r>
    </w:p>
    <w:p w14:paraId="5FB4B54B" w14:textId="77777777" w:rsidR="00EC154B" w:rsidRPr="00F30A3D" w:rsidRDefault="00EC154B">
      <w:pPr>
        <w:spacing w:line="276" w:lineRule="auto"/>
        <w:ind w:left="360"/>
        <w:jc w:val="both"/>
        <w:rPr>
          <w:rFonts w:ascii="Palatino Linotype" w:eastAsia="Palatino Linotype" w:hAnsi="Palatino Linotype" w:cs="Palatino Linotype"/>
          <w:b/>
          <w:sz w:val="22"/>
          <w:szCs w:val="22"/>
        </w:rPr>
      </w:pPr>
    </w:p>
    <w:p w14:paraId="329BDA56" w14:textId="77777777" w:rsidR="00EC154B" w:rsidRPr="00F30A3D" w:rsidRDefault="002A4CEB">
      <w:pPr>
        <w:pBdr>
          <w:top w:val="nil"/>
          <w:left w:val="nil"/>
          <w:bottom w:val="nil"/>
          <w:right w:val="nil"/>
          <w:between w:val="nil"/>
        </w:pBdr>
        <w:ind w:left="360"/>
        <w:jc w:val="both"/>
        <w:rPr>
          <w:rFonts w:ascii="Palatino Linotype" w:eastAsia="Palatino Linotype" w:hAnsi="Palatino Linotype" w:cs="Palatino Linotype"/>
          <w:i/>
        </w:rPr>
      </w:pPr>
      <w:r w:rsidRPr="00F30A3D">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F30A3D">
        <w:rPr>
          <w:rFonts w:ascii="Palatino Linotype" w:eastAsia="Palatino Linotype" w:hAnsi="Palatino Linotype" w:cs="Palatino Linotype"/>
          <w:b/>
          <w:i/>
        </w:rPr>
        <w:t>Recurrente,</w:t>
      </w:r>
      <w:r w:rsidRPr="00F30A3D">
        <w:rPr>
          <w:rFonts w:ascii="Palatino Linotype" w:eastAsia="Palatino Linotype" w:hAnsi="Palatino Linotype" w:cs="Palatino Linotype"/>
          <w:i/>
        </w:rPr>
        <w:t xml:space="preserve"> mismo que igualmente hará de su conocimiento.</w:t>
      </w:r>
    </w:p>
    <w:p w14:paraId="2013D1C9" w14:textId="77777777" w:rsidR="00EC154B" w:rsidRPr="00F30A3D" w:rsidRDefault="00EC154B">
      <w:pPr>
        <w:pBdr>
          <w:top w:val="nil"/>
          <w:left w:val="nil"/>
          <w:bottom w:val="nil"/>
          <w:right w:val="nil"/>
          <w:between w:val="nil"/>
        </w:pBdr>
        <w:ind w:left="360"/>
        <w:jc w:val="both"/>
        <w:rPr>
          <w:rFonts w:ascii="Palatino Linotype" w:eastAsia="Palatino Linotype" w:hAnsi="Palatino Linotype" w:cs="Palatino Linotype"/>
          <w:i/>
        </w:rPr>
      </w:pPr>
    </w:p>
    <w:p w14:paraId="3363DCDE" w14:textId="77777777" w:rsidR="00EC154B" w:rsidRPr="00F30A3D" w:rsidRDefault="002A4CEB">
      <w:pPr>
        <w:pBdr>
          <w:top w:val="nil"/>
          <w:left w:val="nil"/>
          <w:bottom w:val="nil"/>
          <w:right w:val="nil"/>
          <w:between w:val="nil"/>
        </w:pBdr>
        <w:ind w:left="360"/>
        <w:jc w:val="both"/>
        <w:rPr>
          <w:rFonts w:ascii="Palatino Linotype" w:eastAsia="Palatino Linotype" w:hAnsi="Palatino Linotype" w:cs="Palatino Linotype"/>
          <w:i/>
        </w:rPr>
      </w:pPr>
      <w:r w:rsidRPr="00F30A3D">
        <w:rPr>
          <w:rFonts w:ascii="Palatino Linotype" w:eastAsia="Palatino Linotype" w:hAnsi="Palatino Linotype" w:cs="Palatino Linotype"/>
          <w:i/>
        </w:rPr>
        <w:t xml:space="preserve">Para el caso de que la información ordenada no obre en los archivos del </w:t>
      </w:r>
      <w:r w:rsidRPr="00F30A3D">
        <w:rPr>
          <w:rFonts w:ascii="Palatino Linotype" w:eastAsia="Palatino Linotype" w:hAnsi="Palatino Linotype" w:cs="Palatino Linotype"/>
          <w:b/>
          <w:i/>
        </w:rPr>
        <w:t>Sujeto Obligado</w:t>
      </w:r>
      <w:r w:rsidRPr="00F30A3D">
        <w:rPr>
          <w:rFonts w:ascii="Palatino Linotype" w:eastAsia="Palatino Linotype" w:hAnsi="Palatino Linotype" w:cs="Palatino Linotype"/>
          <w:i/>
        </w:rPr>
        <w:t xml:space="preserve">, por no haberse generado, bastará con que así se haga del conocimiento de la parte Recurrente, en términos del artículo 19, párrafo segundo de la Ley de Transparencia y Acceso a la Información Pública del Estado de México y Municipios. </w:t>
      </w:r>
    </w:p>
    <w:p w14:paraId="191D0A1E"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A19CFBB" w14:textId="77777777" w:rsidR="00EC154B" w:rsidRPr="00F30A3D" w:rsidRDefault="002A4CEB">
      <w:pPr>
        <w:spacing w:line="360" w:lineRule="auto"/>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 xml:space="preserve">Tercero. Notifíquese, </w:t>
      </w:r>
      <w:r w:rsidRPr="00F30A3D">
        <w:rPr>
          <w:rFonts w:ascii="Palatino Linotype" w:eastAsia="Palatino Linotype" w:hAnsi="Palatino Linotype" w:cs="Palatino Linotype"/>
          <w:sz w:val="22"/>
          <w:szCs w:val="22"/>
        </w:rPr>
        <w:t xml:space="preserve">vía </w:t>
      </w:r>
      <w:r w:rsidRPr="00F30A3D">
        <w:rPr>
          <w:rFonts w:ascii="Palatino Linotype" w:eastAsia="Palatino Linotype" w:hAnsi="Palatino Linotype" w:cs="Palatino Linotype"/>
          <w:b/>
          <w:sz w:val="22"/>
          <w:szCs w:val="22"/>
        </w:rPr>
        <w:t>SAIMEX</w:t>
      </w:r>
      <w:r w:rsidRPr="00F30A3D">
        <w:rPr>
          <w:rFonts w:ascii="Palatino Linotype" w:eastAsia="Palatino Linotype" w:hAnsi="Palatino Linotype" w:cs="Palatino Linotype"/>
          <w:sz w:val="22"/>
          <w:szCs w:val="22"/>
        </w:rPr>
        <w:t xml:space="preserve">, al Titular de la Unidad de Transparencia del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w:t>
      </w:r>
      <w:r w:rsidRPr="00F30A3D">
        <w:rPr>
          <w:rFonts w:ascii="Palatino Linotype" w:eastAsia="Palatino Linotype" w:hAnsi="Palatino Linotype" w:cs="Palatino Linotype"/>
          <w:sz w:val="22"/>
          <w:szCs w:val="22"/>
        </w:rPr>
        <w:lastRenderedPageBreak/>
        <w:t>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43009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74798706"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Cuarto.</w:t>
      </w:r>
      <w:r w:rsidRPr="00F30A3D">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F30A3D">
        <w:rPr>
          <w:rFonts w:ascii="Palatino Linotype" w:eastAsia="Palatino Linotype" w:hAnsi="Palatino Linotype" w:cs="Palatino Linotype"/>
          <w:b/>
          <w:sz w:val="22"/>
          <w:szCs w:val="22"/>
        </w:rPr>
        <w:t>Sujeto Obligado</w:t>
      </w:r>
      <w:r w:rsidRPr="00F30A3D">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53DF4E7" w14:textId="77777777" w:rsidR="00EC154B" w:rsidRPr="00F30A3D" w:rsidRDefault="00EC154B">
      <w:pPr>
        <w:spacing w:line="360" w:lineRule="auto"/>
        <w:ind w:right="49"/>
        <w:jc w:val="both"/>
        <w:rPr>
          <w:rFonts w:ascii="Palatino Linotype" w:eastAsia="Palatino Linotype" w:hAnsi="Palatino Linotype" w:cs="Palatino Linotype"/>
          <w:sz w:val="22"/>
          <w:szCs w:val="22"/>
        </w:rPr>
      </w:pPr>
    </w:p>
    <w:p w14:paraId="64E92831" w14:textId="77777777" w:rsidR="00EC154B" w:rsidRPr="00F30A3D" w:rsidRDefault="002A4CEB">
      <w:pPr>
        <w:spacing w:line="360" w:lineRule="auto"/>
        <w:ind w:right="49"/>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b/>
          <w:sz w:val="22"/>
          <w:szCs w:val="22"/>
        </w:rPr>
        <w:t>Quinto.</w:t>
      </w:r>
      <w:r w:rsidRPr="00F30A3D">
        <w:rPr>
          <w:rFonts w:ascii="Palatino Linotype" w:eastAsia="Palatino Linotype" w:hAnsi="Palatino Linotype" w:cs="Palatino Linotype"/>
          <w:sz w:val="22"/>
          <w:szCs w:val="22"/>
        </w:rPr>
        <w:t xml:space="preserve"> </w:t>
      </w:r>
      <w:r w:rsidRPr="00F30A3D">
        <w:rPr>
          <w:rFonts w:ascii="Palatino Linotype" w:eastAsia="Palatino Linotype" w:hAnsi="Palatino Linotype" w:cs="Palatino Linotype"/>
          <w:b/>
          <w:sz w:val="22"/>
          <w:szCs w:val="22"/>
        </w:rPr>
        <w:t>Notifíquese vía SAIMEX</w:t>
      </w:r>
      <w:r w:rsidRPr="00F30A3D">
        <w:rPr>
          <w:rFonts w:ascii="Palatino Linotype" w:eastAsia="Palatino Linotype" w:hAnsi="Palatino Linotype" w:cs="Palatino Linotype"/>
          <w:sz w:val="22"/>
          <w:szCs w:val="22"/>
        </w:rPr>
        <w:t xml:space="preserve"> a la parte </w:t>
      </w:r>
      <w:r w:rsidRPr="00F30A3D">
        <w:rPr>
          <w:rFonts w:ascii="Palatino Linotype" w:eastAsia="Palatino Linotype" w:hAnsi="Palatino Linotype" w:cs="Palatino Linotype"/>
          <w:b/>
          <w:sz w:val="22"/>
          <w:szCs w:val="22"/>
        </w:rPr>
        <w:t xml:space="preserve">Recurrente </w:t>
      </w:r>
      <w:r w:rsidRPr="00F30A3D">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5FB7DDC1" w14:textId="77777777" w:rsidR="00EC154B" w:rsidRPr="00F30A3D" w:rsidRDefault="00EC154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BC31BEB" w14:textId="77777777" w:rsidR="00EC154B" w:rsidRPr="00F30A3D" w:rsidRDefault="002A4CEB">
      <w:pPr>
        <w:spacing w:line="360" w:lineRule="auto"/>
        <w:ind w:right="-93"/>
        <w:jc w:val="both"/>
        <w:rPr>
          <w:rFonts w:ascii="Palatino Linotype" w:eastAsia="Palatino Linotype" w:hAnsi="Palatino Linotype" w:cs="Palatino Linotype"/>
          <w:sz w:val="22"/>
          <w:szCs w:val="22"/>
        </w:rPr>
      </w:pPr>
      <w:r w:rsidRPr="00F30A3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7712C1F0"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25A6FD8A"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12595973"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08C93ABE"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2ADF33B6"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4FCF98CB"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6A258F1E"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3DF056E7"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4842B010"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41692EFA"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7B3C0C80"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49B888FB"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476BD009" w14:textId="77777777" w:rsidR="002A4CEB" w:rsidRPr="00F30A3D" w:rsidRDefault="002A4CEB">
      <w:pPr>
        <w:spacing w:line="360" w:lineRule="auto"/>
        <w:ind w:right="-93"/>
        <w:jc w:val="both"/>
        <w:rPr>
          <w:rFonts w:ascii="Palatino Linotype" w:eastAsia="Palatino Linotype" w:hAnsi="Palatino Linotype" w:cs="Palatino Linotype"/>
          <w:sz w:val="22"/>
          <w:szCs w:val="22"/>
        </w:rPr>
      </w:pPr>
    </w:p>
    <w:p w14:paraId="0E18D4B8"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9A55C73"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07D89E2B"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1C388ACD"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0319046"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87890F1"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545D3A47"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17918FA3"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46400B86"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2206ED12"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7EC199C3" w14:textId="77777777" w:rsidR="00EC154B" w:rsidRPr="00F30A3D" w:rsidRDefault="00EC154B">
      <w:pPr>
        <w:spacing w:line="360" w:lineRule="auto"/>
        <w:jc w:val="both"/>
        <w:rPr>
          <w:rFonts w:ascii="Palatino Linotype" w:eastAsia="Palatino Linotype" w:hAnsi="Palatino Linotype" w:cs="Palatino Linotype"/>
          <w:sz w:val="22"/>
          <w:szCs w:val="22"/>
        </w:rPr>
      </w:pPr>
    </w:p>
    <w:p w14:paraId="6434BFF4" w14:textId="77777777" w:rsidR="00EC154B" w:rsidRPr="00F30A3D" w:rsidRDefault="00EC154B"/>
    <w:sectPr w:rsidR="00EC154B" w:rsidRPr="00F30A3D">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3205" w14:textId="77777777" w:rsidR="00421045" w:rsidRDefault="00421045">
      <w:r>
        <w:separator/>
      </w:r>
    </w:p>
  </w:endnote>
  <w:endnote w:type="continuationSeparator" w:id="0">
    <w:p w14:paraId="0A914CDB" w14:textId="77777777" w:rsidR="00421045" w:rsidRDefault="0042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4A38" w14:textId="77777777" w:rsidR="00EC154B" w:rsidRDefault="002A4CE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616C2">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616C2">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02BAFF5E" w14:textId="77777777" w:rsidR="00EC154B" w:rsidRDefault="00EC154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3A1A" w14:textId="77777777" w:rsidR="00EC154B" w:rsidRDefault="002A4CE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616C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616C2">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7B3DC00C" w14:textId="77777777" w:rsidR="00EC154B" w:rsidRDefault="00EC154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7EA5" w14:textId="77777777" w:rsidR="00421045" w:rsidRDefault="00421045">
      <w:r>
        <w:separator/>
      </w:r>
    </w:p>
  </w:footnote>
  <w:footnote w:type="continuationSeparator" w:id="0">
    <w:p w14:paraId="3821E767" w14:textId="77777777" w:rsidR="00421045" w:rsidRDefault="00421045">
      <w:r>
        <w:continuationSeparator/>
      </w:r>
    </w:p>
  </w:footnote>
  <w:footnote w:id="1">
    <w:p w14:paraId="5D48ECF8" w14:textId="77777777" w:rsidR="00EC154B" w:rsidRDefault="002A4CE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1B7D609" w14:textId="77777777" w:rsidR="00EC154B" w:rsidRDefault="002A4CE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F202" w14:textId="77777777" w:rsidR="00EC154B" w:rsidRDefault="002A4CEB">
    <w:pPr>
      <w:rPr>
        <w:rFonts w:ascii="Cambria" w:eastAsia="Cambria" w:hAnsi="Cambria" w:cs="Cambria"/>
        <w:color w:val="000000"/>
      </w:rPr>
    </w:pPr>
    <w:r>
      <w:rPr>
        <w:noProof/>
      </w:rPr>
      <w:drawing>
        <wp:anchor distT="0" distB="0" distL="0" distR="0" simplePos="0" relativeHeight="251658240" behindDoc="1" locked="0" layoutInCell="1" hidden="0" allowOverlap="1" wp14:anchorId="7E7E4B63" wp14:editId="4E1F0B6D">
          <wp:simplePos x="0" y="0"/>
          <wp:positionH relativeFrom="column">
            <wp:posOffset>-1080110</wp:posOffset>
          </wp:positionH>
          <wp:positionV relativeFrom="paragraph">
            <wp:posOffset>-488285</wp:posOffset>
          </wp:positionV>
          <wp:extent cx="7809865" cy="10165715"/>
          <wp:effectExtent l="0" t="0" r="0" b="0"/>
          <wp:wrapNone/>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7087" w:type="dxa"/>
      <w:tblInd w:w="3261" w:type="dxa"/>
      <w:tblLayout w:type="fixed"/>
      <w:tblLook w:val="0400" w:firstRow="0" w:lastRow="0" w:firstColumn="0" w:lastColumn="0" w:noHBand="0" w:noVBand="1"/>
    </w:tblPr>
    <w:tblGrid>
      <w:gridCol w:w="2489"/>
      <w:gridCol w:w="4598"/>
    </w:tblGrid>
    <w:tr w:rsidR="00EC154B" w14:paraId="12F31271" w14:textId="77777777">
      <w:tc>
        <w:tcPr>
          <w:tcW w:w="2489" w:type="dxa"/>
          <w:shd w:val="clear" w:color="auto" w:fill="auto"/>
        </w:tcPr>
        <w:p w14:paraId="1FBC093A" w14:textId="77777777" w:rsidR="00EC154B" w:rsidRDefault="002A4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BBAA906" w14:textId="77777777" w:rsidR="00EC154B" w:rsidRDefault="002A4CE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01424/INFOEM/IP/RR/2024</w:t>
          </w:r>
        </w:p>
      </w:tc>
    </w:tr>
    <w:tr w:rsidR="00EC154B" w14:paraId="370A2A6A" w14:textId="77777777">
      <w:trPr>
        <w:trHeight w:val="228"/>
      </w:trPr>
      <w:tc>
        <w:tcPr>
          <w:tcW w:w="2489" w:type="dxa"/>
          <w:shd w:val="clear" w:color="auto" w:fill="auto"/>
          <w:vAlign w:val="center"/>
        </w:tcPr>
        <w:p w14:paraId="12172290" w14:textId="77777777" w:rsidR="00EC154B" w:rsidRDefault="002A4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C95B9EB" w14:textId="77777777" w:rsidR="00EC154B" w:rsidRDefault="002A4CE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Tecnológica del Sur del Estado de México</w:t>
          </w:r>
        </w:p>
      </w:tc>
    </w:tr>
    <w:tr w:rsidR="00EC154B" w14:paraId="0F248F6F" w14:textId="77777777">
      <w:tc>
        <w:tcPr>
          <w:tcW w:w="2489" w:type="dxa"/>
          <w:shd w:val="clear" w:color="auto" w:fill="auto"/>
          <w:vAlign w:val="center"/>
        </w:tcPr>
        <w:p w14:paraId="1C09E745" w14:textId="77777777" w:rsidR="00EC154B" w:rsidRDefault="002A4CE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2FA15D6" w14:textId="77777777" w:rsidR="00EC154B" w:rsidRDefault="002A4CE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9F3CE4" w14:textId="77777777" w:rsidR="00EC154B" w:rsidRDefault="002A4CE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58AB" w14:textId="77777777" w:rsidR="00EC154B" w:rsidRDefault="002A4CE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806352F" wp14:editId="413304B8">
          <wp:simplePos x="0" y="0"/>
          <wp:positionH relativeFrom="column">
            <wp:posOffset>-1079488</wp:posOffset>
          </wp:positionH>
          <wp:positionV relativeFrom="paragraph">
            <wp:posOffset>-328917</wp:posOffset>
          </wp:positionV>
          <wp:extent cx="7809865" cy="10165715"/>
          <wp:effectExtent l="0" t="0" r="0" b="0"/>
          <wp:wrapNone/>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551"/>
      <w:gridCol w:w="4394"/>
    </w:tblGrid>
    <w:tr w:rsidR="00EC154B" w14:paraId="7EA7C7ED" w14:textId="77777777">
      <w:tc>
        <w:tcPr>
          <w:tcW w:w="2551" w:type="dxa"/>
          <w:shd w:val="clear" w:color="auto" w:fill="auto"/>
          <w:vAlign w:val="center"/>
        </w:tcPr>
        <w:p w14:paraId="2B2572B6" w14:textId="77777777" w:rsidR="00EC154B" w:rsidRDefault="002A4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56AE7ABF" w14:textId="77777777" w:rsidR="00EC154B" w:rsidRDefault="002A4CE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01424/INFOEM/IP/RR/2024</w:t>
          </w:r>
        </w:p>
      </w:tc>
    </w:tr>
    <w:tr w:rsidR="00EC154B" w14:paraId="0DE9BAD1" w14:textId="77777777">
      <w:trPr>
        <w:trHeight w:val="130"/>
      </w:trPr>
      <w:tc>
        <w:tcPr>
          <w:tcW w:w="2551" w:type="dxa"/>
          <w:shd w:val="clear" w:color="auto" w:fill="auto"/>
          <w:vAlign w:val="center"/>
        </w:tcPr>
        <w:p w14:paraId="05ADC770" w14:textId="77777777" w:rsidR="00EC154B" w:rsidRDefault="002A4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76C8BC38" w14:textId="1D3ED5F4" w:rsidR="00EC154B" w:rsidRDefault="0064603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 XXXXX</w:t>
          </w:r>
        </w:p>
      </w:tc>
    </w:tr>
    <w:tr w:rsidR="00EC154B" w14:paraId="04E5FA1E" w14:textId="77777777">
      <w:trPr>
        <w:trHeight w:val="228"/>
      </w:trPr>
      <w:tc>
        <w:tcPr>
          <w:tcW w:w="2551" w:type="dxa"/>
          <w:shd w:val="clear" w:color="auto" w:fill="auto"/>
          <w:vAlign w:val="center"/>
        </w:tcPr>
        <w:p w14:paraId="5AB08AD0" w14:textId="77777777" w:rsidR="00EC154B" w:rsidRDefault="002A4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1CA31D1" w14:textId="77777777" w:rsidR="00EC154B" w:rsidRDefault="002A4CE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Tecnológica del Sur del Estado de México</w:t>
          </w:r>
        </w:p>
      </w:tc>
    </w:tr>
    <w:tr w:rsidR="00EC154B" w14:paraId="0DEDDB15" w14:textId="77777777">
      <w:tc>
        <w:tcPr>
          <w:tcW w:w="2551" w:type="dxa"/>
          <w:shd w:val="clear" w:color="auto" w:fill="auto"/>
          <w:vAlign w:val="center"/>
        </w:tcPr>
        <w:p w14:paraId="05B9068D" w14:textId="77777777" w:rsidR="00EC154B" w:rsidRDefault="002A4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63D04CC" w14:textId="77777777" w:rsidR="00EC154B" w:rsidRDefault="002A4CE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FA675A" w14:textId="77777777" w:rsidR="00EC154B" w:rsidRDefault="00EC154B">
    <w:pPr>
      <w:pBdr>
        <w:top w:val="nil"/>
        <w:left w:val="nil"/>
        <w:bottom w:val="nil"/>
        <w:right w:val="nil"/>
        <w:between w:val="nil"/>
      </w:pBdr>
      <w:tabs>
        <w:tab w:val="center" w:pos="4252"/>
        <w:tab w:val="right" w:pos="8504"/>
      </w:tabs>
      <w:rPr>
        <w:rFonts w:ascii="Cambria" w:eastAsia="Cambria" w:hAnsi="Cambria" w:cs="Cambria"/>
        <w:color w:val="000000"/>
      </w:rPr>
    </w:pPr>
  </w:p>
  <w:p w14:paraId="395BE6C6" w14:textId="77777777" w:rsidR="00EC154B" w:rsidRDefault="00EC15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CFA"/>
    <w:multiLevelType w:val="multilevel"/>
    <w:tmpl w:val="069629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A951AF6"/>
    <w:multiLevelType w:val="multilevel"/>
    <w:tmpl w:val="0D469E5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5F2D60"/>
    <w:multiLevelType w:val="multilevel"/>
    <w:tmpl w:val="FC9EC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F647A7"/>
    <w:multiLevelType w:val="multilevel"/>
    <w:tmpl w:val="2DA69CCC"/>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A0E0A3A"/>
    <w:multiLevelType w:val="multilevel"/>
    <w:tmpl w:val="2836008A"/>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A414488"/>
    <w:multiLevelType w:val="multilevel"/>
    <w:tmpl w:val="8C7A9C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31921"/>
    <w:multiLevelType w:val="multilevel"/>
    <w:tmpl w:val="6AF2339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6B8D3CBA"/>
    <w:multiLevelType w:val="multilevel"/>
    <w:tmpl w:val="E3783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E2045"/>
    <w:multiLevelType w:val="multilevel"/>
    <w:tmpl w:val="84180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7"/>
  </w:num>
  <w:num w:numId="3">
    <w:abstractNumId w:val="3"/>
  </w:num>
  <w:num w:numId="4">
    <w:abstractNumId w:val="5"/>
  </w:num>
  <w:num w:numId="5">
    <w:abstractNumId w:val="6"/>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4B"/>
    <w:rsid w:val="002A4CEB"/>
    <w:rsid w:val="00421045"/>
    <w:rsid w:val="00646037"/>
    <w:rsid w:val="00B47D57"/>
    <w:rsid w:val="00DE61FE"/>
    <w:rsid w:val="00EC154B"/>
    <w:rsid w:val="00F068CF"/>
    <w:rsid w:val="00F30A3D"/>
    <w:rsid w:val="00F61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1F16"/>
  <w15:docId w15:val="{208B74BF-FA46-4FD9-89D1-7894D1B5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C0"/>
  </w:style>
  <w:style w:type="paragraph" w:styleId="Ttulo1">
    <w:name w:val="heading 1"/>
    <w:basedOn w:val="Normal"/>
    <w:next w:val="Normal"/>
    <w:link w:val="Ttulo1Car"/>
    <w:uiPriority w:val="9"/>
    <w:qFormat/>
    <w:rsid w:val="006443C0"/>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link w:val="Ttulo2Car"/>
    <w:uiPriority w:val="9"/>
    <w:semiHidden/>
    <w:unhideWhenUsed/>
    <w:qFormat/>
    <w:rsid w:val="006443C0"/>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link w:val="Ttulo3Car"/>
    <w:uiPriority w:val="9"/>
    <w:semiHidden/>
    <w:unhideWhenUsed/>
    <w:qFormat/>
    <w:rsid w:val="006443C0"/>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link w:val="Ttulo4Car"/>
    <w:uiPriority w:val="9"/>
    <w:semiHidden/>
    <w:unhideWhenUsed/>
    <w:qFormat/>
    <w:rsid w:val="006443C0"/>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link w:val="Ttulo5Car"/>
    <w:uiPriority w:val="9"/>
    <w:semiHidden/>
    <w:unhideWhenUsed/>
    <w:qFormat/>
    <w:rsid w:val="006443C0"/>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link w:val="Ttulo6Car"/>
    <w:uiPriority w:val="9"/>
    <w:semiHidden/>
    <w:unhideWhenUsed/>
    <w:qFormat/>
    <w:rsid w:val="006443C0"/>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443C0"/>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443C0"/>
    <w:rPr>
      <w:rFonts w:ascii="Calibri" w:eastAsia="Calibri" w:hAnsi="Calibri" w:cs="Calibri"/>
      <w:color w:val="366091"/>
      <w:sz w:val="32"/>
      <w:szCs w:val="32"/>
      <w:lang w:val="es-ES" w:eastAsia="es-MX"/>
    </w:rPr>
  </w:style>
  <w:style w:type="character" w:customStyle="1" w:styleId="Ttulo2Car">
    <w:name w:val="Título 2 Car"/>
    <w:basedOn w:val="Fuentedeprrafopredeter"/>
    <w:link w:val="Ttulo2"/>
    <w:uiPriority w:val="9"/>
    <w:semiHidden/>
    <w:rsid w:val="006443C0"/>
    <w:rPr>
      <w:rFonts w:ascii="Calibri" w:eastAsia="Calibri" w:hAnsi="Calibri" w:cs="Calibri"/>
      <w:color w:val="366091"/>
      <w:sz w:val="26"/>
      <w:szCs w:val="26"/>
      <w:lang w:val="es-ES" w:eastAsia="es-MX"/>
    </w:rPr>
  </w:style>
  <w:style w:type="character" w:customStyle="1" w:styleId="Ttulo3Car">
    <w:name w:val="Título 3 Car"/>
    <w:basedOn w:val="Fuentedeprrafopredeter"/>
    <w:link w:val="Ttulo3"/>
    <w:uiPriority w:val="9"/>
    <w:semiHidden/>
    <w:rsid w:val="006443C0"/>
    <w:rPr>
      <w:rFonts w:ascii="Calibri" w:eastAsia="Calibri" w:hAnsi="Calibri" w:cs="Calibri"/>
      <w:b/>
      <w:sz w:val="26"/>
      <w:szCs w:val="26"/>
      <w:lang w:val="es-ES" w:eastAsia="es-MX"/>
    </w:rPr>
  </w:style>
  <w:style w:type="character" w:customStyle="1" w:styleId="Ttulo4Car">
    <w:name w:val="Título 4 Car"/>
    <w:basedOn w:val="Fuentedeprrafopredeter"/>
    <w:link w:val="Ttulo4"/>
    <w:uiPriority w:val="9"/>
    <w:semiHidden/>
    <w:rsid w:val="006443C0"/>
    <w:rPr>
      <w:rFonts w:ascii="Cambria" w:eastAsia="Cambria" w:hAnsi="Cambria" w:cs="Cambria"/>
      <w:b/>
      <w:sz w:val="28"/>
      <w:szCs w:val="28"/>
      <w:lang w:val="es-ES" w:eastAsia="es-MX"/>
    </w:rPr>
  </w:style>
  <w:style w:type="character" w:customStyle="1" w:styleId="Ttulo5Car">
    <w:name w:val="Título 5 Car"/>
    <w:basedOn w:val="Fuentedeprrafopredeter"/>
    <w:link w:val="Ttulo5"/>
    <w:uiPriority w:val="9"/>
    <w:semiHidden/>
    <w:rsid w:val="006443C0"/>
    <w:rPr>
      <w:rFonts w:ascii="Cambria" w:eastAsia="Cambria" w:hAnsi="Cambria" w:cs="Cambria"/>
      <w:b/>
      <w:i/>
      <w:sz w:val="26"/>
      <w:szCs w:val="26"/>
      <w:lang w:val="es-ES" w:eastAsia="es-MX"/>
    </w:rPr>
  </w:style>
  <w:style w:type="character" w:customStyle="1" w:styleId="Ttulo6Car">
    <w:name w:val="Título 6 Car"/>
    <w:basedOn w:val="Fuentedeprrafopredeter"/>
    <w:link w:val="Ttulo6"/>
    <w:uiPriority w:val="9"/>
    <w:semiHidden/>
    <w:rsid w:val="006443C0"/>
    <w:rPr>
      <w:rFonts w:ascii="Times New Roman" w:eastAsia="Times New Roman" w:hAnsi="Times New Roman" w:cs="Times New Roman"/>
      <w:b/>
      <w:lang w:val="es-ES" w:eastAsia="es-MX"/>
    </w:rPr>
  </w:style>
  <w:style w:type="character" w:customStyle="1" w:styleId="TtuloCar">
    <w:name w:val="Título Car"/>
    <w:basedOn w:val="Fuentedeprrafopredeter"/>
    <w:link w:val="Ttulo"/>
    <w:uiPriority w:val="10"/>
    <w:rsid w:val="006443C0"/>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6443C0"/>
    <w:rPr>
      <w:rFonts w:ascii="Georgia" w:eastAsia="Georgia" w:hAnsi="Georgia" w:cs="Georgia"/>
      <w:i/>
      <w:color w:val="666666"/>
      <w:sz w:val="48"/>
      <w:szCs w:val="48"/>
      <w:lang w:eastAsia="es-MX"/>
    </w:rPr>
  </w:style>
  <w:style w:type="paragraph" w:styleId="Encabezado">
    <w:name w:val="header"/>
    <w:basedOn w:val="Normal"/>
    <w:link w:val="EncabezadoCar"/>
    <w:uiPriority w:val="99"/>
    <w:unhideWhenUsed/>
    <w:rsid w:val="006443C0"/>
    <w:pPr>
      <w:tabs>
        <w:tab w:val="center" w:pos="4419"/>
        <w:tab w:val="right" w:pos="8838"/>
      </w:tabs>
    </w:pPr>
    <w:rPr>
      <w:lang w:val="es-ES"/>
    </w:rPr>
  </w:style>
  <w:style w:type="character" w:customStyle="1" w:styleId="EncabezadoCar">
    <w:name w:val="Encabezado Car"/>
    <w:basedOn w:val="Fuentedeprrafopredeter"/>
    <w:link w:val="Encabezado"/>
    <w:uiPriority w:val="99"/>
    <w:rsid w:val="006443C0"/>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6443C0"/>
    <w:pPr>
      <w:tabs>
        <w:tab w:val="center" w:pos="4419"/>
        <w:tab w:val="right" w:pos="8838"/>
      </w:tabs>
    </w:pPr>
    <w:rPr>
      <w:lang w:val="es-ES"/>
    </w:rPr>
  </w:style>
  <w:style w:type="character" w:customStyle="1" w:styleId="PiedepginaCar">
    <w:name w:val="Pie de página Car"/>
    <w:basedOn w:val="Fuentedeprrafopredeter"/>
    <w:link w:val="Piedepgina"/>
    <w:uiPriority w:val="99"/>
    <w:rsid w:val="006443C0"/>
    <w:rPr>
      <w:rFonts w:ascii="Times New Roman" w:eastAsia="Times New Roman" w:hAnsi="Times New Roman" w:cs="Times New Roman"/>
      <w:sz w:val="24"/>
      <w:szCs w:val="24"/>
      <w:lang w:val="es-ES"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443C0"/>
    <w:pPr>
      <w:ind w:left="720"/>
      <w:contextualSpacing/>
    </w:pPr>
    <w:rPr>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443C0"/>
    <w:rPr>
      <w:rFonts w:ascii="Times New Roman" w:eastAsia="Times New Roman" w:hAnsi="Times New Roman" w:cs="Times New Roman"/>
      <w:sz w:val="24"/>
      <w:szCs w:val="24"/>
      <w:lang w:val="es-ES" w:eastAsia="es-MX"/>
    </w:rPr>
  </w:style>
  <w:style w:type="paragraph" w:styleId="NormalWeb">
    <w:name w:val="Normal (Web)"/>
    <w:basedOn w:val="Normal"/>
    <w:uiPriority w:val="99"/>
    <w:unhideWhenUsed/>
    <w:rsid w:val="006443C0"/>
    <w:pPr>
      <w:spacing w:before="100" w:beforeAutospacing="1" w:after="100" w:afterAutospacing="1"/>
    </w:pPr>
    <w:rPr>
      <w:lang w:val="es-ES"/>
    </w:rPr>
  </w:style>
  <w:style w:type="character" w:customStyle="1" w:styleId="apple-tab-span">
    <w:name w:val="apple-tab-span"/>
    <w:basedOn w:val="Fuentedeprrafopredeter"/>
    <w:rsid w:val="006443C0"/>
  </w:style>
  <w:style w:type="character" w:styleId="Hipervnculo">
    <w:name w:val="Hyperlink"/>
    <w:basedOn w:val="Fuentedeprrafopredeter"/>
    <w:uiPriority w:val="99"/>
    <w:unhideWhenUsed/>
    <w:rsid w:val="006443C0"/>
    <w:rPr>
      <w:color w:val="0563C1" w:themeColor="hyperlink"/>
      <w:u w:val="single"/>
    </w:rPr>
  </w:style>
  <w:style w:type="paragraph" w:styleId="Textonotapie">
    <w:name w:val="footnote text"/>
    <w:basedOn w:val="Normal"/>
    <w:link w:val="TextonotapieCar"/>
    <w:uiPriority w:val="99"/>
    <w:semiHidden/>
    <w:unhideWhenUsed/>
    <w:rsid w:val="006443C0"/>
    <w:rPr>
      <w:sz w:val="20"/>
      <w:szCs w:val="20"/>
    </w:rPr>
  </w:style>
  <w:style w:type="character" w:customStyle="1" w:styleId="TextonotapieCar">
    <w:name w:val="Texto nota pie Car"/>
    <w:basedOn w:val="Fuentedeprrafopredeter"/>
    <w:link w:val="Textonotapie"/>
    <w:uiPriority w:val="99"/>
    <w:semiHidden/>
    <w:rsid w:val="006443C0"/>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6443C0"/>
    <w:rPr>
      <w:vertAlign w:val="superscript"/>
    </w:rPr>
  </w:style>
  <w:style w:type="paragraph" w:styleId="Listaconvietas3">
    <w:name w:val="List Bullet 3"/>
    <w:basedOn w:val="Normal"/>
    <w:uiPriority w:val="99"/>
    <w:unhideWhenUsed/>
    <w:rsid w:val="006443C0"/>
    <w:pPr>
      <w:numPr>
        <w:numId w:val="9"/>
      </w:numPr>
      <w:contextualSpacing/>
    </w:pPr>
    <w:rPr>
      <w:lang w:val="es-ES"/>
    </w:rPr>
  </w:style>
  <w:style w:type="table" w:customStyle="1" w:styleId="Tablaconcuadrcula1">
    <w:name w:val="Tabla con cuadrícula1"/>
    <w:basedOn w:val="Tablanormal"/>
    <w:next w:val="Tablaconcuadrcula"/>
    <w:uiPriority w:val="59"/>
    <w:rsid w:val="006443C0"/>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4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4C2A01"/>
    <w:pPr>
      <w:widowControl w:val="0"/>
      <w:autoSpaceDE w:val="0"/>
      <w:autoSpaceDN w:val="0"/>
    </w:pPr>
    <w:rPr>
      <w:sz w:val="22"/>
      <w:szCs w:val="22"/>
      <w:lang w:val="es-ES" w:eastAsia="en-US"/>
    </w:rPr>
  </w:style>
  <w:style w:type="character" w:customStyle="1" w:styleId="TextoindependienteCar">
    <w:name w:val="Texto independiente Car"/>
    <w:basedOn w:val="Fuentedeprrafopredeter"/>
    <w:link w:val="Textoindependiente"/>
    <w:uiPriority w:val="1"/>
    <w:rsid w:val="004C2A01"/>
    <w:rPr>
      <w:sz w:val="22"/>
      <w:szCs w:val="22"/>
      <w:lang w:val="es-ES" w:eastAsia="en-US"/>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YD2UW3E/MOc/pgR4WL6+ScJJA==">CgMxLjAyCWguMWZvYjl0ZTIJaC40ZDM0b2c4MghoLmdqZGd4czIJaC4zZHk2dmttMgloLjMwajB6bGwyCWguMnM4ZXlvMTIJaC4xN2RwOHZ1MghoLnR5amN3dDIJaC4zem55c2g3MgloLjF5ODEwdHcyDmguaWp2OThwbnRjZDVzMgloLjI2aW4xcmcyCWguMjZpbjFyZzgAciExQVoyS2VfSHh2Z2hkYk95YTU4VUlMRWJJZ2FrT0VsRWQ=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16384</Words>
  <Characters>90113</Characters>
  <Application>Microsoft Office Word</Application>
  <DocSecurity>0</DocSecurity>
  <Lines>750</Lines>
  <Paragraphs>212</Paragraphs>
  <ScaleCrop>false</ScaleCrop>
  <Company>HP Inc.</Company>
  <LinksUpToDate>false</LinksUpToDate>
  <CharactersWithSpaces>106285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INFOEM-411</dc:creator>
  <cp:lastModifiedBy>Maricela Villagómez Martínez</cp:lastModifiedBy>
  <cp:revision>2</cp:revision>
  <cp:lastPrinted>2024-09-13T07:22:00Z</cp:lastPrinted>
  <dcterms:created xsi:type="dcterms:W3CDTF">2024-09-23T18:59:00Z</dcterms:created>
  <dcterms:modified xsi:type="dcterms:W3CDTF">2024-09-23T18:59:00Z</dcterms:modified>
</cp:coreProperties>
</file>