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cs="Times New Roman"/>
          <w:i w:val="0"/>
          <w:iCs w:val="0"/>
          <w:color w:val="auto"/>
          <w:sz w:val="21"/>
          <w:szCs w:val="21"/>
          <w:lang w:val="es-ES"/>
        </w:rPr>
        <w:id w:val="1492215735"/>
        <w:docPartObj>
          <w:docPartGallery w:val="Table of Contents"/>
          <w:docPartUnique/>
        </w:docPartObj>
      </w:sdtPr>
      <w:sdtEndPr>
        <w:rPr>
          <w:b/>
          <w:bCs/>
          <w:sz w:val="22"/>
          <w:szCs w:val="20"/>
        </w:rPr>
      </w:sdtEndPr>
      <w:sdtContent>
        <w:p w14:paraId="1AE18B79" w14:textId="3E807EB5" w:rsidR="00AE3DA7" w:rsidRPr="002870B2" w:rsidRDefault="006C18D8" w:rsidP="002870B2">
          <w:pPr>
            <w:pStyle w:val="Ttulo4"/>
            <w:rPr>
              <w:rStyle w:val="Hipervnculo"/>
              <w:rFonts w:eastAsia="Times New Roman" w:cs="Times New Roman"/>
              <w:i w:val="0"/>
              <w:iCs w:val="0"/>
              <w:noProof/>
              <w:color w:val="auto"/>
              <w:szCs w:val="22"/>
              <w:u w:val="none"/>
            </w:rPr>
          </w:pPr>
          <w:r w:rsidRPr="002870B2">
            <w:rPr>
              <w:rStyle w:val="Hipervnculo"/>
              <w:rFonts w:eastAsia="Times New Roman" w:cs="Times New Roman"/>
              <w:i w:val="0"/>
              <w:iCs w:val="0"/>
              <w:noProof/>
              <w:color w:val="auto"/>
              <w:szCs w:val="22"/>
              <w:u w:val="none"/>
            </w:rPr>
            <w:t>CONTENIDO</w:t>
          </w:r>
        </w:p>
        <w:p w14:paraId="1B664DA3" w14:textId="75C21E9F" w:rsidR="002870B2" w:rsidRDefault="00AE3DA7">
          <w:pPr>
            <w:pStyle w:val="TDC1"/>
            <w:tabs>
              <w:tab w:val="right" w:leader="dot" w:pos="9034"/>
            </w:tabs>
            <w:rPr>
              <w:rFonts w:asciiTheme="minorHAnsi" w:eastAsiaTheme="minorEastAsia" w:hAnsiTheme="minorHAnsi" w:cstheme="minorBidi"/>
              <w:noProof/>
              <w:szCs w:val="22"/>
              <w:lang w:eastAsia="es-MX"/>
            </w:rPr>
          </w:pPr>
          <w:r w:rsidRPr="002870B2">
            <w:rPr>
              <w:szCs w:val="22"/>
            </w:rPr>
            <w:fldChar w:fldCharType="begin"/>
          </w:r>
          <w:r w:rsidRPr="002870B2">
            <w:rPr>
              <w:szCs w:val="22"/>
            </w:rPr>
            <w:instrText xml:space="preserve"> TOC \o "1-3" \h \z \u </w:instrText>
          </w:r>
          <w:r w:rsidRPr="002870B2">
            <w:rPr>
              <w:szCs w:val="22"/>
            </w:rPr>
            <w:fldChar w:fldCharType="separate"/>
          </w:r>
          <w:hyperlink w:anchor="_Toc177658910" w:history="1">
            <w:r w:rsidR="002870B2" w:rsidRPr="003F6853">
              <w:rPr>
                <w:rStyle w:val="Hipervnculo"/>
                <w:noProof/>
              </w:rPr>
              <w:t>ANTECEDENTES</w:t>
            </w:r>
            <w:r w:rsidR="002870B2">
              <w:rPr>
                <w:noProof/>
                <w:webHidden/>
              </w:rPr>
              <w:tab/>
            </w:r>
            <w:r w:rsidR="002870B2">
              <w:rPr>
                <w:noProof/>
                <w:webHidden/>
              </w:rPr>
              <w:fldChar w:fldCharType="begin"/>
            </w:r>
            <w:r w:rsidR="002870B2">
              <w:rPr>
                <w:noProof/>
                <w:webHidden/>
              </w:rPr>
              <w:instrText xml:space="preserve"> PAGEREF _Toc177658910 \h </w:instrText>
            </w:r>
            <w:r w:rsidR="002870B2">
              <w:rPr>
                <w:noProof/>
                <w:webHidden/>
              </w:rPr>
            </w:r>
            <w:r w:rsidR="002870B2">
              <w:rPr>
                <w:noProof/>
                <w:webHidden/>
              </w:rPr>
              <w:fldChar w:fldCharType="separate"/>
            </w:r>
            <w:r w:rsidR="00B046F4">
              <w:rPr>
                <w:noProof/>
                <w:webHidden/>
              </w:rPr>
              <w:t>1</w:t>
            </w:r>
            <w:r w:rsidR="002870B2">
              <w:rPr>
                <w:noProof/>
                <w:webHidden/>
              </w:rPr>
              <w:fldChar w:fldCharType="end"/>
            </w:r>
          </w:hyperlink>
        </w:p>
        <w:p w14:paraId="3EBD32A4" w14:textId="7FF33495" w:rsidR="002870B2" w:rsidRDefault="00C34793">
          <w:pPr>
            <w:pStyle w:val="TDC2"/>
            <w:rPr>
              <w:rFonts w:asciiTheme="minorHAnsi" w:eastAsiaTheme="minorEastAsia" w:hAnsiTheme="minorHAnsi" w:cstheme="minorBidi"/>
              <w:noProof/>
              <w:szCs w:val="22"/>
              <w:lang w:eastAsia="es-MX"/>
            </w:rPr>
          </w:pPr>
          <w:hyperlink w:anchor="_Toc177658911" w:history="1">
            <w:r w:rsidR="002870B2" w:rsidRPr="003F6853">
              <w:rPr>
                <w:rStyle w:val="Hipervnculo"/>
                <w:noProof/>
              </w:rPr>
              <w:t>DE LA SOLICITUD DE INFORMACIÓN</w:t>
            </w:r>
            <w:r w:rsidR="002870B2">
              <w:rPr>
                <w:noProof/>
                <w:webHidden/>
              </w:rPr>
              <w:tab/>
            </w:r>
            <w:r w:rsidR="002870B2">
              <w:rPr>
                <w:noProof/>
                <w:webHidden/>
              </w:rPr>
              <w:fldChar w:fldCharType="begin"/>
            </w:r>
            <w:r w:rsidR="002870B2">
              <w:rPr>
                <w:noProof/>
                <w:webHidden/>
              </w:rPr>
              <w:instrText xml:space="preserve"> PAGEREF _Toc177658911 \h </w:instrText>
            </w:r>
            <w:r w:rsidR="002870B2">
              <w:rPr>
                <w:noProof/>
                <w:webHidden/>
              </w:rPr>
            </w:r>
            <w:r w:rsidR="002870B2">
              <w:rPr>
                <w:noProof/>
                <w:webHidden/>
              </w:rPr>
              <w:fldChar w:fldCharType="separate"/>
            </w:r>
            <w:r w:rsidR="00B046F4">
              <w:rPr>
                <w:noProof/>
                <w:webHidden/>
              </w:rPr>
              <w:t>1</w:t>
            </w:r>
            <w:r w:rsidR="002870B2">
              <w:rPr>
                <w:noProof/>
                <w:webHidden/>
              </w:rPr>
              <w:fldChar w:fldCharType="end"/>
            </w:r>
          </w:hyperlink>
        </w:p>
        <w:p w14:paraId="7B4CA1E7" w14:textId="3B6EEDF7" w:rsidR="002870B2" w:rsidRDefault="00C34793">
          <w:pPr>
            <w:pStyle w:val="TDC3"/>
            <w:rPr>
              <w:rFonts w:asciiTheme="minorHAnsi" w:eastAsiaTheme="minorEastAsia" w:hAnsiTheme="minorHAnsi" w:cstheme="minorBidi"/>
              <w:noProof/>
              <w:szCs w:val="22"/>
              <w:lang w:eastAsia="es-MX"/>
            </w:rPr>
          </w:pPr>
          <w:hyperlink w:anchor="_Toc177658912" w:history="1">
            <w:r w:rsidR="002870B2" w:rsidRPr="003F6853">
              <w:rPr>
                <w:rStyle w:val="Hipervnculo"/>
                <w:noProof/>
              </w:rPr>
              <w:t>a) Solicitud de información</w:t>
            </w:r>
            <w:r w:rsidR="002870B2">
              <w:rPr>
                <w:noProof/>
                <w:webHidden/>
              </w:rPr>
              <w:tab/>
            </w:r>
            <w:r w:rsidR="002870B2">
              <w:rPr>
                <w:noProof/>
                <w:webHidden/>
              </w:rPr>
              <w:fldChar w:fldCharType="begin"/>
            </w:r>
            <w:r w:rsidR="002870B2">
              <w:rPr>
                <w:noProof/>
                <w:webHidden/>
              </w:rPr>
              <w:instrText xml:space="preserve"> PAGEREF _Toc177658912 \h </w:instrText>
            </w:r>
            <w:r w:rsidR="002870B2">
              <w:rPr>
                <w:noProof/>
                <w:webHidden/>
              </w:rPr>
            </w:r>
            <w:r w:rsidR="002870B2">
              <w:rPr>
                <w:noProof/>
                <w:webHidden/>
              </w:rPr>
              <w:fldChar w:fldCharType="separate"/>
            </w:r>
            <w:r w:rsidR="00B046F4">
              <w:rPr>
                <w:noProof/>
                <w:webHidden/>
              </w:rPr>
              <w:t>1</w:t>
            </w:r>
            <w:r w:rsidR="002870B2">
              <w:rPr>
                <w:noProof/>
                <w:webHidden/>
              </w:rPr>
              <w:fldChar w:fldCharType="end"/>
            </w:r>
          </w:hyperlink>
        </w:p>
        <w:p w14:paraId="45EC2370" w14:textId="7F9859A5" w:rsidR="002870B2" w:rsidRDefault="00C34793">
          <w:pPr>
            <w:pStyle w:val="TDC3"/>
            <w:rPr>
              <w:rFonts w:asciiTheme="minorHAnsi" w:eastAsiaTheme="minorEastAsia" w:hAnsiTheme="minorHAnsi" w:cstheme="minorBidi"/>
              <w:noProof/>
              <w:szCs w:val="22"/>
              <w:lang w:eastAsia="es-MX"/>
            </w:rPr>
          </w:pPr>
          <w:hyperlink w:anchor="_Toc177658913" w:history="1">
            <w:r w:rsidR="002870B2" w:rsidRPr="003F6853">
              <w:rPr>
                <w:rStyle w:val="Hipervnculo"/>
                <w:noProof/>
              </w:rPr>
              <w:t>b) Turno de la solicitud de información</w:t>
            </w:r>
            <w:r w:rsidR="002870B2">
              <w:rPr>
                <w:noProof/>
                <w:webHidden/>
              </w:rPr>
              <w:tab/>
            </w:r>
            <w:r w:rsidR="002870B2">
              <w:rPr>
                <w:noProof/>
                <w:webHidden/>
              </w:rPr>
              <w:fldChar w:fldCharType="begin"/>
            </w:r>
            <w:r w:rsidR="002870B2">
              <w:rPr>
                <w:noProof/>
                <w:webHidden/>
              </w:rPr>
              <w:instrText xml:space="preserve"> PAGEREF _Toc177658913 \h </w:instrText>
            </w:r>
            <w:r w:rsidR="002870B2">
              <w:rPr>
                <w:noProof/>
                <w:webHidden/>
              </w:rPr>
            </w:r>
            <w:r w:rsidR="002870B2">
              <w:rPr>
                <w:noProof/>
                <w:webHidden/>
              </w:rPr>
              <w:fldChar w:fldCharType="separate"/>
            </w:r>
            <w:r w:rsidR="00B046F4">
              <w:rPr>
                <w:noProof/>
                <w:webHidden/>
              </w:rPr>
              <w:t>2</w:t>
            </w:r>
            <w:r w:rsidR="002870B2">
              <w:rPr>
                <w:noProof/>
                <w:webHidden/>
              </w:rPr>
              <w:fldChar w:fldCharType="end"/>
            </w:r>
          </w:hyperlink>
        </w:p>
        <w:p w14:paraId="0F1857BB" w14:textId="59776837" w:rsidR="002870B2" w:rsidRDefault="00C34793">
          <w:pPr>
            <w:pStyle w:val="TDC3"/>
            <w:rPr>
              <w:rFonts w:asciiTheme="minorHAnsi" w:eastAsiaTheme="minorEastAsia" w:hAnsiTheme="minorHAnsi" w:cstheme="minorBidi"/>
              <w:noProof/>
              <w:szCs w:val="22"/>
              <w:lang w:eastAsia="es-MX"/>
            </w:rPr>
          </w:pPr>
          <w:hyperlink w:anchor="_Toc177658914" w:history="1">
            <w:r w:rsidR="002870B2" w:rsidRPr="003F6853">
              <w:rPr>
                <w:rStyle w:val="Hipervnculo"/>
                <w:noProof/>
                <w:lang w:val="es-ES"/>
              </w:rPr>
              <w:t xml:space="preserve">c) Respuesta </w:t>
            </w:r>
            <w:r w:rsidR="002870B2" w:rsidRPr="003F6853">
              <w:rPr>
                <w:rStyle w:val="Hipervnculo"/>
                <w:rFonts w:eastAsia="Calibri"/>
                <w:noProof/>
                <w:lang w:eastAsia="en-US"/>
              </w:rPr>
              <w:t>del Sujeto Obligado</w:t>
            </w:r>
            <w:r w:rsidR="002870B2">
              <w:rPr>
                <w:noProof/>
                <w:webHidden/>
              </w:rPr>
              <w:tab/>
            </w:r>
            <w:r w:rsidR="002870B2">
              <w:rPr>
                <w:noProof/>
                <w:webHidden/>
              </w:rPr>
              <w:fldChar w:fldCharType="begin"/>
            </w:r>
            <w:r w:rsidR="002870B2">
              <w:rPr>
                <w:noProof/>
                <w:webHidden/>
              </w:rPr>
              <w:instrText xml:space="preserve"> PAGEREF _Toc177658914 \h </w:instrText>
            </w:r>
            <w:r w:rsidR="002870B2">
              <w:rPr>
                <w:noProof/>
                <w:webHidden/>
              </w:rPr>
            </w:r>
            <w:r w:rsidR="002870B2">
              <w:rPr>
                <w:noProof/>
                <w:webHidden/>
              </w:rPr>
              <w:fldChar w:fldCharType="separate"/>
            </w:r>
            <w:r w:rsidR="00B046F4">
              <w:rPr>
                <w:noProof/>
                <w:webHidden/>
              </w:rPr>
              <w:t>2</w:t>
            </w:r>
            <w:r w:rsidR="002870B2">
              <w:rPr>
                <w:noProof/>
                <w:webHidden/>
              </w:rPr>
              <w:fldChar w:fldCharType="end"/>
            </w:r>
          </w:hyperlink>
        </w:p>
        <w:p w14:paraId="33EA64D2" w14:textId="06A18822" w:rsidR="002870B2" w:rsidRDefault="00C34793">
          <w:pPr>
            <w:pStyle w:val="TDC2"/>
            <w:rPr>
              <w:rFonts w:asciiTheme="minorHAnsi" w:eastAsiaTheme="minorEastAsia" w:hAnsiTheme="minorHAnsi" w:cstheme="minorBidi"/>
              <w:noProof/>
              <w:szCs w:val="22"/>
              <w:lang w:eastAsia="es-MX"/>
            </w:rPr>
          </w:pPr>
          <w:hyperlink w:anchor="_Toc177658915" w:history="1">
            <w:r w:rsidR="002870B2" w:rsidRPr="003F6853">
              <w:rPr>
                <w:rStyle w:val="Hipervnculo"/>
                <w:noProof/>
              </w:rPr>
              <w:t>DEL RECURSO DE REVISIÓN</w:t>
            </w:r>
            <w:r w:rsidR="002870B2">
              <w:rPr>
                <w:noProof/>
                <w:webHidden/>
              </w:rPr>
              <w:tab/>
            </w:r>
            <w:r w:rsidR="002870B2">
              <w:rPr>
                <w:noProof/>
                <w:webHidden/>
              </w:rPr>
              <w:fldChar w:fldCharType="begin"/>
            </w:r>
            <w:r w:rsidR="002870B2">
              <w:rPr>
                <w:noProof/>
                <w:webHidden/>
              </w:rPr>
              <w:instrText xml:space="preserve"> PAGEREF _Toc177658915 \h </w:instrText>
            </w:r>
            <w:r w:rsidR="002870B2">
              <w:rPr>
                <w:noProof/>
                <w:webHidden/>
              </w:rPr>
            </w:r>
            <w:r w:rsidR="002870B2">
              <w:rPr>
                <w:noProof/>
                <w:webHidden/>
              </w:rPr>
              <w:fldChar w:fldCharType="separate"/>
            </w:r>
            <w:r w:rsidR="00B046F4">
              <w:rPr>
                <w:noProof/>
                <w:webHidden/>
              </w:rPr>
              <w:t>3</w:t>
            </w:r>
            <w:r w:rsidR="002870B2">
              <w:rPr>
                <w:noProof/>
                <w:webHidden/>
              </w:rPr>
              <w:fldChar w:fldCharType="end"/>
            </w:r>
          </w:hyperlink>
        </w:p>
        <w:p w14:paraId="422A957F" w14:textId="176AFFE9" w:rsidR="002870B2" w:rsidRDefault="00C34793">
          <w:pPr>
            <w:pStyle w:val="TDC3"/>
            <w:rPr>
              <w:rFonts w:asciiTheme="minorHAnsi" w:eastAsiaTheme="minorEastAsia" w:hAnsiTheme="minorHAnsi" w:cstheme="minorBidi"/>
              <w:noProof/>
              <w:szCs w:val="22"/>
              <w:lang w:eastAsia="es-MX"/>
            </w:rPr>
          </w:pPr>
          <w:hyperlink w:anchor="_Toc177658916" w:history="1">
            <w:r w:rsidR="002870B2" w:rsidRPr="003F6853">
              <w:rPr>
                <w:rStyle w:val="Hipervnculo"/>
                <w:noProof/>
              </w:rPr>
              <w:t>a) Interposición del Recurso de Revisión</w:t>
            </w:r>
            <w:r w:rsidR="002870B2">
              <w:rPr>
                <w:noProof/>
                <w:webHidden/>
              </w:rPr>
              <w:tab/>
            </w:r>
            <w:r w:rsidR="002870B2">
              <w:rPr>
                <w:noProof/>
                <w:webHidden/>
              </w:rPr>
              <w:fldChar w:fldCharType="begin"/>
            </w:r>
            <w:r w:rsidR="002870B2">
              <w:rPr>
                <w:noProof/>
                <w:webHidden/>
              </w:rPr>
              <w:instrText xml:space="preserve"> PAGEREF _Toc177658916 \h </w:instrText>
            </w:r>
            <w:r w:rsidR="002870B2">
              <w:rPr>
                <w:noProof/>
                <w:webHidden/>
              </w:rPr>
            </w:r>
            <w:r w:rsidR="002870B2">
              <w:rPr>
                <w:noProof/>
                <w:webHidden/>
              </w:rPr>
              <w:fldChar w:fldCharType="separate"/>
            </w:r>
            <w:r w:rsidR="00B046F4">
              <w:rPr>
                <w:noProof/>
                <w:webHidden/>
              </w:rPr>
              <w:t>3</w:t>
            </w:r>
            <w:r w:rsidR="002870B2">
              <w:rPr>
                <w:noProof/>
                <w:webHidden/>
              </w:rPr>
              <w:fldChar w:fldCharType="end"/>
            </w:r>
          </w:hyperlink>
        </w:p>
        <w:p w14:paraId="76B5EE5E" w14:textId="5A3B4FF6" w:rsidR="002870B2" w:rsidRDefault="00C34793">
          <w:pPr>
            <w:pStyle w:val="TDC3"/>
            <w:rPr>
              <w:rFonts w:asciiTheme="minorHAnsi" w:eastAsiaTheme="minorEastAsia" w:hAnsiTheme="minorHAnsi" w:cstheme="minorBidi"/>
              <w:noProof/>
              <w:szCs w:val="22"/>
              <w:lang w:eastAsia="es-MX"/>
            </w:rPr>
          </w:pPr>
          <w:hyperlink w:anchor="_Toc177658917" w:history="1">
            <w:r w:rsidR="002870B2" w:rsidRPr="003F6853">
              <w:rPr>
                <w:rStyle w:val="Hipervnculo"/>
                <w:noProof/>
              </w:rPr>
              <w:t>b) Turno del Recurso de Revisión</w:t>
            </w:r>
            <w:r w:rsidR="002870B2">
              <w:rPr>
                <w:noProof/>
                <w:webHidden/>
              </w:rPr>
              <w:tab/>
            </w:r>
            <w:r w:rsidR="002870B2">
              <w:rPr>
                <w:noProof/>
                <w:webHidden/>
              </w:rPr>
              <w:fldChar w:fldCharType="begin"/>
            </w:r>
            <w:r w:rsidR="002870B2">
              <w:rPr>
                <w:noProof/>
                <w:webHidden/>
              </w:rPr>
              <w:instrText xml:space="preserve"> PAGEREF _Toc177658917 \h </w:instrText>
            </w:r>
            <w:r w:rsidR="002870B2">
              <w:rPr>
                <w:noProof/>
                <w:webHidden/>
              </w:rPr>
            </w:r>
            <w:r w:rsidR="002870B2">
              <w:rPr>
                <w:noProof/>
                <w:webHidden/>
              </w:rPr>
              <w:fldChar w:fldCharType="separate"/>
            </w:r>
            <w:r w:rsidR="00B046F4">
              <w:rPr>
                <w:noProof/>
                <w:webHidden/>
              </w:rPr>
              <w:t>4</w:t>
            </w:r>
            <w:r w:rsidR="002870B2">
              <w:rPr>
                <w:noProof/>
                <w:webHidden/>
              </w:rPr>
              <w:fldChar w:fldCharType="end"/>
            </w:r>
          </w:hyperlink>
        </w:p>
        <w:p w14:paraId="3C86860F" w14:textId="1CDD62F0" w:rsidR="002870B2" w:rsidRDefault="00C34793">
          <w:pPr>
            <w:pStyle w:val="TDC3"/>
            <w:rPr>
              <w:rFonts w:asciiTheme="minorHAnsi" w:eastAsiaTheme="minorEastAsia" w:hAnsiTheme="minorHAnsi" w:cstheme="minorBidi"/>
              <w:noProof/>
              <w:szCs w:val="22"/>
              <w:lang w:eastAsia="es-MX"/>
            </w:rPr>
          </w:pPr>
          <w:hyperlink w:anchor="_Toc177658918" w:history="1">
            <w:r w:rsidR="002870B2" w:rsidRPr="003F6853">
              <w:rPr>
                <w:rStyle w:val="Hipervnculo"/>
                <w:noProof/>
              </w:rPr>
              <w:t>c) Admisión del Recurso de Revisión</w:t>
            </w:r>
            <w:r w:rsidR="002870B2">
              <w:rPr>
                <w:noProof/>
                <w:webHidden/>
              </w:rPr>
              <w:tab/>
            </w:r>
            <w:r w:rsidR="002870B2">
              <w:rPr>
                <w:noProof/>
                <w:webHidden/>
              </w:rPr>
              <w:fldChar w:fldCharType="begin"/>
            </w:r>
            <w:r w:rsidR="002870B2">
              <w:rPr>
                <w:noProof/>
                <w:webHidden/>
              </w:rPr>
              <w:instrText xml:space="preserve"> PAGEREF _Toc177658918 \h </w:instrText>
            </w:r>
            <w:r w:rsidR="002870B2">
              <w:rPr>
                <w:noProof/>
                <w:webHidden/>
              </w:rPr>
            </w:r>
            <w:r w:rsidR="002870B2">
              <w:rPr>
                <w:noProof/>
                <w:webHidden/>
              </w:rPr>
              <w:fldChar w:fldCharType="separate"/>
            </w:r>
            <w:r w:rsidR="00B046F4">
              <w:rPr>
                <w:noProof/>
                <w:webHidden/>
              </w:rPr>
              <w:t>4</w:t>
            </w:r>
            <w:r w:rsidR="002870B2">
              <w:rPr>
                <w:noProof/>
                <w:webHidden/>
              </w:rPr>
              <w:fldChar w:fldCharType="end"/>
            </w:r>
          </w:hyperlink>
        </w:p>
        <w:p w14:paraId="0FD1B54F" w14:textId="48960154" w:rsidR="002870B2" w:rsidRDefault="00C34793">
          <w:pPr>
            <w:pStyle w:val="TDC3"/>
            <w:rPr>
              <w:rFonts w:asciiTheme="minorHAnsi" w:eastAsiaTheme="minorEastAsia" w:hAnsiTheme="minorHAnsi" w:cstheme="minorBidi"/>
              <w:noProof/>
              <w:szCs w:val="22"/>
              <w:lang w:eastAsia="es-MX"/>
            </w:rPr>
          </w:pPr>
          <w:hyperlink w:anchor="_Toc177658919" w:history="1">
            <w:r w:rsidR="002870B2" w:rsidRPr="003F6853">
              <w:rPr>
                <w:rStyle w:val="Hipervnculo"/>
                <w:noProof/>
              </w:rPr>
              <w:t>d) Informe Justificado del Sujeto Obligado</w:t>
            </w:r>
            <w:r w:rsidR="002870B2">
              <w:rPr>
                <w:noProof/>
                <w:webHidden/>
              </w:rPr>
              <w:tab/>
            </w:r>
            <w:r w:rsidR="002870B2">
              <w:rPr>
                <w:noProof/>
                <w:webHidden/>
              </w:rPr>
              <w:fldChar w:fldCharType="begin"/>
            </w:r>
            <w:r w:rsidR="002870B2">
              <w:rPr>
                <w:noProof/>
                <w:webHidden/>
              </w:rPr>
              <w:instrText xml:space="preserve"> PAGEREF _Toc177658919 \h </w:instrText>
            </w:r>
            <w:r w:rsidR="002870B2">
              <w:rPr>
                <w:noProof/>
                <w:webHidden/>
              </w:rPr>
            </w:r>
            <w:r w:rsidR="002870B2">
              <w:rPr>
                <w:noProof/>
                <w:webHidden/>
              </w:rPr>
              <w:fldChar w:fldCharType="separate"/>
            </w:r>
            <w:r w:rsidR="00B046F4">
              <w:rPr>
                <w:noProof/>
                <w:webHidden/>
              </w:rPr>
              <w:t>5</w:t>
            </w:r>
            <w:r w:rsidR="002870B2">
              <w:rPr>
                <w:noProof/>
                <w:webHidden/>
              </w:rPr>
              <w:fldChar w:fldCharType="end"/>
            </w:r>
          </w:hyperlink>
        </w:p>
        <w:p w14:paraId="7B255297" w14:textId="648A61A4" w:rsidR="002870B2" w:rsidRDefault="00C34793">
          <w:pPr>
            <w:pStyle w:val="TDC3"/>
            <w:rPr>
              <w:rFonts w:asciiTheme="minorHAnsi" w:eastAsiaTheme="minorEastAsia" w:hAnsiTheme="minorHAnsi" w:cstheme="minorBidi"/>
              <w:noProof/>
              <w:szCs w:val="22"/>
              <w:lang w:eastAsia="es-MX"/>
            </w:rPr>
          </w:pPr>
          <w:hyperlink w:anchor="_Toc177658920" w:history="1">
            <w:r w:rsidR="002870B2" w:rsidRPr="003F6853">
              <w:rPr>
                <w:rStyle w:val="Hipervnculo"/>
                <w:rFonts w:eastAsia="Calibri"/>
                <w:bCs/>
                <w:noProof/>
                <w:lang w:eastAsia="en-US"/>
              </w:rPr>
              <w:t>e)</w:t>
            </w:r>
            <w:r w:rsidR="002870B2" w:rsidRPr="003F6853">
              <w:rPr>
                <w:rStyle w:val="Hipervnculo"/>
                <w:noProof/>
              </w:rPr>
              <w:t xml:space="preserve"> </w:t>
            </w:r>
            <w:r w:rsidR="002870B2" w:rsidRPr="003F6853">
              <w:rPr>
                <w:rStyle w:val="Hipervnculo"/>
                <w:noProof/>
                <w:lang w:val="es-ES"/>
              </w:rPr>
              <w:t>Manifestaciones de la Parte Recurrente</w:t>
            </w:r>
            <w:r w:rsidR="002870B2">
              <w:rPr>
                <w:noProof/>
                <w:webHidden/>
              </w:rPr>
              <w:tab/>
            </w:r>
            <w:r w:rsidR="002870B2">
              <w:rPr>
                <w:noProof/>
                <w:webHidden/>
              </w:rPr>
              <w:fldChar w:fldCharType="begin"/>
            </w:r>
            <w:r w:rsidR="002870B2">
              <w:rPr>
                <w:noProof/>
                <w:webHidden/>
              </w:rPr>
              <w:instrText xml:space="preserve"> PAGEREF _Toc177658920 \h </w:instrText>
            </w:r>
            <w:r w:rsidR="002870B2">
              <w:rPr>
                <w:noProof/>
                <w:webHidden/>
              </w:rPr>
            </w:r>
            <w:r w:rsidR="002870B2">
              <w:rPr>
                <w:noProof/>
                <w:webHidden/>
              </w:rPr>
              <w:fldChar w:fldCharType="separate"/>
            </w:r>
            <w:r w:rsidR="00B046F4">
              <w:rPr>
                <w:noProof/>
                <w:webHidden/>
              </w:rPr>
              <w:t>6</w:t>
            </w:r>
            <w:r w:rsidR="002870B2">
              <w:rPr>
                <w:noProof/>
                <w:webHidden/>
              </w:rPr>
              <w:fldChar w:fldCharType="end"/>
            </w:r>
          </w:hyperlink>
        </w:p>
        <w:p w14:paraId="61DE6237" w14:textId="1D18E130" w:rsidR="002870B2" w:rsidRDefault="00C34793">
          <w:pPr>
            <w:pStyle w:val="TDC3"/>
            <w:rPr>
              <w:rFonts w:asciiTheme="minorHAnsi" w:eastAsiaTheme="minorEastAsia" w:hAnsiTheme="minorHAnsi" w:cstheme="minorBidi"/>
              <w:noProof/>
              <w:szCs w:val="22"/>
              <w:lang w:eastAsia="es-MX"/>
            </w:rPr>
          </w:pPr>
          <w:hyperlink w:anchor="_Toc177658921" w:history="1">
            <w:r w:rsidR="002870B2" w:rsidRPr="003F6853">
              <w:rPr>
                <w:rStyle w:val="Hipervnculo"/>
                <w:rFonts w:eastAsia="Calibri"/>
                <w:noProof/>
              </w:rPr>
              <w:t>f) Desistimiento del Recurso Revisión.</w:t>
            </w:r>
            <w:r w:rsidR="002870B2">
              <w:rPr>
                <w:noProof/>
                <w:webHidden/>
              </w:rPr>
              <w:tab/>
            </w:r>
            <w:r w:rsidR="002870B2">
              <w:rPr>
                <w:noProof/>
                <w:webHidden/>
              </w:rPr>
              <w:fldChar w:fldCharType="begin"/>
            </w:r>
            <w:r w:rsidR="002870B2">
              <w:rPr>
                <w:noProof/>
                <w:webHidden/>
              </w:rPr>
              <w:instrText xml:space="preserve"> PAGEREF _Toc177658921 \h </w:instrText>
            </w:r>
            <w:r w:rsidR="002870B2">
              <w:rPr>
                <w:noProof/>
                <w:webHidden/>
              </w:rPr>
            </w:r>
            <w:r w:rsidR="002870B2">
              <w:rPr>
                <w:noProof/>
                <w:webHidden/>
              </w:rPr>
              <w:fldChar w:fldCharType="separate"/>
            </w:r>
            <w:r w:rsidR="00B046F4">
              <w:rPr>
                <w:noProof/>
                <w:webHidden/>
              </w:rPr>
              <w:t>6</w:t>
            </w:r>
            <w:r w:rsidR="002870B2">
              <w:rPr>
                <w:noProof/>
                <w:webHidden/>
              </w:rPr>
              <w:fldChar w:fldCharType="end"/>
            </w:r>
          </w:hyperlink>
        </w:p>
        <w:p w14:paraId="2B6ABF75" w14:textId="6FE5FED2" w:rsidR="002870B2" w:rsidRDefault="00C34793">
          <w:pPr>
            <w:pStyle w:val="TDC3"/>
            <w:rPr>
              <w:rFonts w:asciiTheme="minorHAnsi" w:eastAsiaTheme="minorEastAsia" w:hAnsiTheme="minorHAnsi" w:cstheme="minorBidi"/>
              <w:noProof/>
              <w:szCs w:val="22"/>
              <w:lang w:eastAsia="es-MX"/>
            </w:rPr>
          </w:pPr>
          <w:hyperlink w:anchor="_Toc177658922" w:history="1">
            <w:r w:rsidR="002870B2" w:rsidRPr="003F6853">
              <w:rPr>
                <w:rStyle w:val="Hipervnculo"/>
                <w:noProof/>
              </w:rPr>
              <w:t>g) Cierre de instrucción</w:t>
            </w:r>
            <w:r w:rsidR="002870B2">
              <w:rPr>
                <w:noProof/>
                <w:webHidden/>
              </w:rPr>
              <w:tab/>
            </w:r>
            <w:r w:rsidR="002870B2">
              <w:rPr>
                <w:noProof/>
                <w:webHidden/>
              </w:rPr>
              <w:fldChar w:fldCharType="begin"/>
            </w:r>
            <w:r w:rsidR="002870B2">
              <w:rPr>
                <w:noProof/>
                <w:webHidden/>
              </w:rPr>
              <w:instrText xml:space="preserve"> PAGEREF _Toc177658922 \h </w:instrText>
            </w:r>
            <w:r w:rsidR="002870B2">
              <w:rPr>
                <w:noProof/>
                <w:webHidden/>
              </w:rPr>
            </w:r>
            <w:r w:rsidR="002870B2">
              <w:rPr>
                <w:noProof/>
                <w:webHidden/>
              </w:rPr>
              <w:fldChar w:fldCharType="separate"/>
            </w:r>
            <w:r w:rsidR="00B046F4">
              <w:rPr>
                <w:noProof/>
                <w:webHidden/>
              </w:rPr>
              <w:t>7</w:t>
            </w:r>
            <w:r w:rsidR="002870B2">
              <w:rPr>
                <w:noProof/>
                <w:webHidden/>
              </w:rPr>
              <w:fldChar w:fldCharType="end"/>
            </w:r>
          </w:hyperlink>
        </w:p>
        <w:p w14:paraId="393FBF6D" w14:textId="26144385" w:rsidR="002870B2" w:rsidRDefault="00C34793">
          <w:pPr>
            <w:pStyle w:val="TDC1"/>
            <w:tabs>
              <w:tab w:val="right" w:leader="dot" w:pos="9034"/>
            </w:tabs>
            <w:rPr>
              <w:rFonts w:asciiTheme="minorHAnsi" w:eastAsiaTheme="minorEastAsia" w:hAnsiTheme="minorHAnsi" w:cstheme="minorBidi"/>
              <w:noProof/>
              <w:szCs w:val="22"/>
              <w:lang w:eastAsia="es-MX"/>
            </w:rPr>
          </w:pPr>
          <w:hyperlink w:anchor="_Toc177658923" w:history="1">
            <w:r w:rsidR="002870B2" w:rsidRPr="003F6853">
              <w:rPr>
                <w:rStyle w:val="Hipervnculo"/>
                <w:rFonts w:eastAsiaTheme="minorHAnsi"/>
                <w:noProof/>
                <w:lang w:eastAsia="en-US"/>
              </w:rPr>
              <w:t>CONSIDERANDOS</w:t>
            </w:r>
            <w:r w:rsidR="002870B2">
              <w:rPr>
                <w:noProof/>
                <w:webHidden/>
              </w:rPr>
              <w:tab/>
            </w:r>
            <w:r w:rsidR="002870B2">
              <w:rPr>
                <w:noProof/>
                <w:webHidden/>
              </w:rPr>
              <w:fldChar w:fldCharType="begin"/>
            </w:r>
            <w:r w:rsidR="002870B2">
              <w:rPr>
                <w:noProof/>
                <w:webHidden/>
              </w:rPr>
              <w:instrText xml:space="preserve"> PAGEREF _Toc177658923 \h </w:instrText>
            </w:r>
            <w:r w:rsidR="002870B2">
              <w:rPr>
                <w:noProof/>
                <w:webHidden/>
              </w:rPr>
            </w:r>
            <w:r w:rsidR="002870B2">
              <w:rPr>
                <w:noProof/>
                <w:webHidden/>
              </w:rPr>
              <w:fldChar w:fldCharType="separate"/>
            </w:r>
            <w:r w:rsidR="00B046F4">
              <w:rPr>
                <w:noProof/>
                <w:webHidden/>
              </w:rPr>
              <w:t>8</w:t>
            </w:r>
            <w:r w:rsidR="002870B2">
              <w:rPr>
                <w:noProof/>
                <w:webHidden/>
              </w:rPr>
              <w:fldChar w:fldCharType="end"/>
            </w:r>
          </w:hyperlink>
        </w:p>
        <w:p w14:paraId="5D9F7CDB" w14:textId="7F76EAF2" w:rsidR="002870B2" w:rsidRDefault="00C34793">
          <w:pPr>
            <w:pStyle w:val="TDC2"/>
            <w:rPr>
              <w:rFonts w:asciiTheme="minorHAnsi" w:eastAsiaTheme="minorEastAsia" w:hAnsiTheme="minorHAnsi" w:cstheme="minorBidi"/>
              <w:noProof/>
              <w:szCs w:val="22"/>
              <w:lang w:eastAsia="es-MX"/>
            </w:rPr>
          </w:pPr>
          <w:hyperlink w:anchor="_Toc177658924" w:history="1">
            <w:r w:rsidR="002870B2" w:rsidRPr="003F6853">
              <w:rPr>
                <w:rStyle w:val="Hipervnculo"/>
                <w:rFonts w:eastAsia="Batang"/>
                <w:noProof/>
              </w:rPr>
              <w:t>PRIMERO. Procedibilidad</w:t>
            </w:r>
            <w:r w:rsidR="002870B2">
              <w:rPr>
                <w:noProof/>
                <w:webHidden/>
              </w:rPr>
              <w:tab/>
            </w:r>
            <w:r w:rsidR="002870B2">
              <w:rPr>
                <w:noProof/>
                <w:webHidden/>
              </w:rPr>
              <w:fldChar w:fldCharType="begin"/>
            </w:r>
            <w:r w:rsidR="002870B2">
              <w:rPr>
                <w:noProof/>
                <w:webHidden/>
              </w:rPr>
              <w:instrText xml:space="preserve"> PAGEREF _Toc177658924 \h </w:instrText>
            </w:r>
            <w:r w:rsidR="002870B2">
              <w:rPr>
                <w:noProof/>
                <w:webHidden/>
              </w:rPr>
            </w:r>
            <w:r w:rsidR="002870B2">
              <w:rPr>
                <w:noProof/>
                <w:webHidden/>
              </w:rPr>
              <w:fldChar w:fldCharType="separate"/>
            </w:r>
            <w:r w:rsidR="00B046F4">
              <w:rPr>
                <w:noProof/>
                <w:webHidden/>
              </w:rPr>
              <w:t>8</w:t>
            </w:r>
            <w:r w:rsidR="002870B2">
              <w:rPr>
                <w:noProof/>
                <w:webHidden/>
              </w:rPr>
              <w:fldChar w:fldCharType="end"/>
            </w:r>
          </w:hyperlink>
        </w:p>
        <w:p w14:paraId="4A85C99B" w14:textId="73121C54" w:rsidR="002870B2" w:rsidRDefault="00C34793">
          <w:pPr>
            <w:pStyle w:val="TDC3"/>
            <w:rPr>
              <w:rFonts w:asciiTheme="minorHAnsi" w:eastAsiaTheme="minorEastAsia" w:hAnsiTheme="minorHAnsi" w:cstheme="minorBidi"/>
              <w:noProof/>
              <w:szCs w:val="22"/>
              <w:lang w:eastAsia="es-MX"/>
            </w:rPr>
          </w:pPr>
          <w:hyperlink w:anchor="_Toc177658925" w:history="1">
            <w:r w:rsidR="002870B2" w:rsidRPr="003F6853">
              <w:rPr>
                <w:rStyle w:val="Hipervnculo"/>
                <w:noProof/>
              </w:rPr>
              <w:t>a) Competencia del Instituto</w:t>
            </w:r>
            <w:r w:rsidR="002870B2">
              <w:rPr>
                <w:noProof/>
                <w:webHidden/>
              </w:rPr>
              <w:tab/>
            </w:r>
            <w:r w:rsidR="002870B2">
              <w:rPr>
                <w:noProof/>
                <w:webHidden/>
              </w:rPr>
              <w:fldChar w:fldCharType="begin"/>
            </w:r>
            <w:r w:rsidR="002870B2">
              <w:rPr>
                <w:noProof/>
                <w:webHidden/>
              </w:rPr>
              <w:instrText xml:space="preserve"> PAGEREF _Toc177658925 \h </w:instrText>
            </w:r>
            <w:r w:rsidR="002870B2">
              <w:rPr>
                <w:noProof/>
                <w:webHidden/>
              </w:rPr>
            </w:r>
            <w:r w:rsidR="002870B2">
              <w:rPr>
                <w:noProof/>
                <w:webHidden/>
              </w:rPr>
              <w:fldChar w:fldCharType="separate"/>
            </w:r>
            <w:r w:rsidR="00B046F4">
              <w:rPr>
                <w:noProof/>
                <w:webHidden/>
              </w:rPr>
              <w:t>8</w:t>
            </w:r>
            <w:r w:rsidR="002870B2">
              <w:rPr>
                <w:noProof/>
                <w:webHidden/>
              </w:rPr>
              <w:fldChar w:fldCharType="end"/>
            </w:r>
          </w:hyperlink>
        </w:p>
        <w:p w14:paraId="0994164E" w14:textId="746F2936" w:rsidR="002870B2" w:rsidRDefault="00C34793">
          <w:pPr>
            <w:pStyle w:val="TDC3"/>
            <w:rPr>
              <w:rFonts w:asciiTheme="minorHAnsi" w:eastAsiaTheme="minorEastAsia" w:hAnsiTheme="minorHAnsi" w:cstheme="minorBidi"/>
              <w:noProof/>
              <w:szCs w:val="22"/>
              <w:lang w:eastAsia="es-MX"/>
            </w:rPr>
          </w:pPr>
          <w:hyperlink w:anchor="_Toc177658926" w:history="1">
            <w:r w:rsidR="002870B2" w:rsidRPr="003F6853">
              <w:rPr>
                <w:rStyle w:val="Hipervnculo"/>
                <w:noProof/>
              </w:rPr>
              <w:t>b) Legitimidad de la parte recurrente</w:t>
            </w:r>
            <w:r w:rsidR="002870B2">
              <w:rPr>
                <w:noProof/>
                <w:webHidden/>
              </w:rPr>
              <w:tab/>
            </w:r>
            <w:r w:rsidR="002870B2">
              <w:rPr>
                <w:noProof/>
                <w:webHidden/>
              </w:rPr>
              <w:fldChar w:fldCharType="begin"/>
            </w:r>
            <w:r w:rsidR="002870B2">
              <w:rPr>
                <w:noProof/>
                <w:webHidden/>
              </w:rPr>
              <w:instrText xml:space="preserve"> PAGEREF _Toc177658926 \h </w:instrText>
            </w:r>
            <w:r w:rsidR="002870B2">
              <w:rPr>
                <w:noProof/>
                <w:webHidden/>
              </w:rPr>
            </w:r>
            <w:r w:rsidR="002870B2">
              <w:rPr>
                <w:noProof/>
                <w:webHidden/>
              </w:rPr>
              <w:fldChar w:fldCharType="separate"/>
            </w:r>
            <w:r w:rsidR="00B046F4">
              <w:rPr>
                <w:noProof/>
                <w:webHidden/>
              </w:rPr>
              <w:t>8</w:t>
            </w:r>
            <w:r w:rsidR="002870B2">
              <w:rPr>
                <w:noProof/>
                <w:webHidden/>
              </w:rPr>
              <w:fldChar w:fldCharType="end"/>
            </w:r>
          </w:hyperlink>
        </w:p>
        <w:p w14:paraId="11285D65" w14:textId="77F016FC" w:rsidR="002870B2" w:rsidRDefault="00C34793">
          <w:pPr>
            <w:pStyle w:val="TDC3"/>
            <w:rPr>
              <w:rFonts w:asciiTheme="minorHAnsi" w:eastAsiaTheme="minorEastAsia" w:hAnsiTheme="minorHAnsi" w:cstheme="minorBidi"/>
              <w:noProof/>
              <w:szCs w:val="22"/>
              <w:lang w:eastAsia="es-MX"/>
            </w:rPr>
          </w:pPr>
          <w:hyperlink w:anchor="_Toc177658927" w:history="1">
            <w:r w:rsidR="002870B2" w:rsidRPr="003F6853">
              <w:rPr>
                <w:rStyle w:val="Hipervnculo"/>
                <w:rFonts w:eastAsia="Calibri"/>
                <w:noProof/>
                <w:lang w:eastAsia="es-ES_tradnl"/>
              </w:rPr>
              <w:t>c) Plazo para interponer el recurso</w:t>
            </w:r>
            <w:r w:rsidR="002870B2">
              <w:rPr>
                <w:noProof/>
                <w:webHidden/>
              </w:rPr>
              <w:tab/>
            </w:r>
            <w:r w:rsidR="002870B2">
              <w:rPr>
                <w:noProof/>
                <w:webHidden/>
              </w:rPr>
              <w:fldChar w:fldCharType="begin"/>
            </w:r>
            <w:r w:rsidR="002870B2">
              <w:rPr>
                <w:noProof/>
                <w:webHidden/>
              </w:rPr>
              <w:instrText xml:space="preserve"> PAGEREF _Toc177658927 \h </w:instrText>
            </w:r>
            <w:r w:rsidR="002870B2">
              <w:rPr>
                <w:noProof/>
                <w:webHidden/>
              </w:rPr>
            </w:r>
            <w:r w:rsidR="002870B2">
              <w:rPr>
                <w:noProof/>
                <w:webHidden/>
              </w:rPr>
              <w:fldChar w:fldCharType="separate"/>
            </w:r>
            <w:r w:rsidR="00B046F4">
              <w:rPr>
                <w:noProof/>
                <w:webHidden/>
              </w:rPr>
              <w:t>8</w:t>
            </w:r>
            <w:r w:rsidR="002870B2">
              <w:rPr>
                <w:noProof/>
                <w:webHidden/>
              </w:rPr>
              <w:fldChar w:fldCharType="end"/>
            </w:r>
          </w:hyperlink>
        </w:p>
        <w:p w14:paraId="5493A1DD" w14:textId="272D2227" w:rsidR="002870B2" w:rsidRDefault="00C34793">
          <w:pPr>
            <w:pStyle w:val="TDC3"/>
            <w:rPr>
              <w:rFonts w:asciiTheme="minorHAnsi" w:eastAsiaTheme="minorEastAsia" w:hAnsiTheme="minorHAnsi" w:cstheme="minorBidi"/>
              <w:noProof/>
              <w:szCs w:val="22"/>
              <w:lang w:eastAsia="es-MX"/>
            </w:rPr>
          </w:pPr>
          <w:hyperlink w:anchor="_Toc177658928" w:history="1">
            <w:r w:rsidR="002870B2" w:rsidRPr="003F6853">
              <w:rPr>
                <w:rStyle w:val="Hipervnculo"/>
                <w:rFonts w:eastAsia="Calibri"/>
                <w:noProof/>
                <w:lang w:eastAsia="es-ES_tradnl"/>
              </w:rPr>
              <w:t>d) Causal de Procedencia</w:t>
            </w:r>
            <w:r w:rsidR="002870B2">
              <w:rPr>
                <w:noProof/>
                <w:webHidden/>
              </w:rPr>
              <w:tab/>
            </w:r>
            <w:r w:rsidR="002870B2">
              <w:rPr>
                <w:noProof/>
                <w:webHidden/>
              </w:rPr>
              <w:fldChar w:fldCharType="begin"/>
            </w:r>
            <w:r w:rsidR="002870B2">
              <w:rPr>
                <w:noProof/>
                <w:webHidden/>
              </w:rPr>
              <w:instrText xml:space="preserve"> PAGEREF _Toc177658928 \h </w:instrText>
            </w:r>
            <w:r w:rsidR="002870B2">
              <w:rPr>
                <w:noProof/>
                <w:webHidden/>
              </w:rPr>
            </w:r>
            <w:r w:rsidR="002870B2">
              <w:rPr>
                <w:noProof/>
                <w:webHidden/>
              </w:rPr>
              <w:fldChar w:fldCharType="separate"/>
            </w:r>
            <w:r w:rsidR="00B046F4">
              <w:rPr>
                <w:noProof/>
                <w:webHidden/>
              </w:rPr>
              <w:t>9</w:t>
            </w:r>
            <w:r w:rsidR="002870B2">
              <w:rPr>
                <w:noProof/>
                <w:webHidden/>
              </w:rPr>
              <w:fldChar w:fldCharType="end"/>
            </w:r>
          </w:hyperlink>
        </w:p>
        <w:p w14:paraId="3EB581A3" w14:textId="3D55E0EA" w:rsidR="002870B2" w:rsidRDefault="00C34793">
          <w:pPr>
            <w:pStyle w:val="TDC3"/>
            <w:rPr>
              <w:rFonts w:asciiTheme="minorHAnsi" w:eastAsiaTheme="minorEastAsia" w:hAnsiTheme="minorHAnsi" w:cstheme="minorBidi"/>
              <w:noProof/>
              <w:szCs w:val="22"/>
              <w:lang w:eastAsia="es-MX"/>
            </w:rPr>
          </w:pPr>
          <w:hyperlink w:anchor="_Toc177658929" w:history="1">
            <w:r w:rsidR="002870B2" w:rsidRPr="003F6853">
              <w:rPr>
                <w:rStyle w:val="Hipervnculo"/>
                <w:noProof/>
              </w:rPr>
              <w:t>e) Requisitos formales para la interposición del recurso</w:t>
            </w:r>
            <w:r w:rsidR="002870B2">
              <w:rPr>
                <w:noProof/>
                <w:webHidden/>
              </w:rPr>
              <w:tab/>
            </w:r>
            <w:r w:rsidR="002870B2">
              <w:rPr>
                <w:noProof/>
                <w:webHidden/>
              </w:rPr>
              <w:fldChar w:fldCharType="begin"/>
            </w:r>
            <w:r w:rsidR="002870B2">
              <w:rPr>
                <w:noProof/>
                <w:webHidden/>
              </w:rPr>
              <w:instrText xml:space="preserve"> PAGEREF _Toc177658929 \h </w:instrText>
            </w:r>
            <w:r w:rsidR="002870B2">
              <w:rPr>
                <w:noProof/>
                <w:webHidden/>
              </w:rPr>
            </w:r>
            <w:r w:rsidR="002870B2">
              <w:rPr>
                <w:noProof/>
                <w:webHidden/>
              </w:rPr>
              <w:fldChar w:fldCharType="separate"/>
            </w:r>
            <w:r w:rsidR="00B046F4">
              <w:rPr>
                <w:noProof/>
                <w:webHidden/>
              </w:rPr>
              <w:t>9</w:t>
            </w:r>
            <w:r w:rsidR="002870B2">
              <w:rPr>
                <w:noProof/>
                <w:webHidden/>
              </w:rPr>
              <w:fldChar w:fldCharType="end"/>
            </w:r>
          </w:hyperlink>
        </w:p>
        <w:p w14:paraId="543B28B3" w14:textId="5C232B05" w:rsidR="002870B2" w:rsidRDefault="00C34793">
          <w:pPr>
            <w:pStyle w:val="TDC2"/>
            <w:rPr>
              <w:rFonts w:asciiTheme="minorHAnsi" w:eastAsiaTheme="minorEastAsia" w:hAnsiTheme="minorHAnsi" w:cstheme="minorBidi"/>
              <w:noProof/>
              <w:szCs w:val="22"/>
              <w:lang w:eastAsia="es-MX"/>
            </w:rPr>
          </w:pPr>
          <w:hyperlink w:anchor="_Toc177658930" w:history="1">
            <w:r w:rsidR="002870B2" w:rsidRPr="003F6853">
              <w:rPr>
                <w:rStyle w:val="Hipervnculo"/>
                <w:noProof/>
              </w:rPr>
              <w:t>SEGUNDO. Estudio de Fondo</w:t>
            </w:r>
            <w:r w:rsidR="002870B2">
              <w:rPr>
                <w:noProof/>
                <w:webHidden/>
              </w:rPr>
              <w:tab/>
            </w:r>
            <w:r w:rsidR="002870B2">
              <w:rPr>
                <w:noProof/>
                <w:webHidden/>
              </w:rPr>
              <w:fldChar w:fldCharType="begin"/>
            </w:r>
            <w:r w:rsidR="002870B2">
              <w:rPr>
                <w:noProof/>
                <w:webHidden/>
              </w:rPr>
              <w:instrText xml:space="preserve"> PAGEREF _Toc177658930 \h </w:instrText>
            </w:r>
            <w:r w:rsidR="002870B2">
              <w:rPr>
                <w:noProof/>
                <w:webHidden/>
              </w:rPr>
            </w:r>
            <w:r w:rsidR="002870B2">
              <w:rPr>
                <w:noProof/>
                <w:webHidden/>
              </w:rPr>
              <w:fldChar w:fldCharType="separate"/>
            </w:r>
            <w:r w:rsidR="00B046F4">
              <w:rPr>
                <w:noProof/>
                <w:webHidden/>
              </w:rPr>
              <w:t>9</w:t>
            </w:r>
            <w:r w:rsidR="002870B2">
              <w:rPr>
                <w:noProof/>
                <w:webHidden/>
              </w:rPr>
              <w:fldChar w:fldCharType="end"/>
            </w:r>
          </w:hyperlink>
        </w:p>
        <w:p w14:paraId="7C9536BC" w14:textId="5FA5D697" w:rsidR="002870B2" w:rsidRDefault="00C34793">
          <w:pPr>
            <w:pStyle w:val="TDC3"/>
            <w:rPr>
              <w:rFonts w:asciiTheme="minorHAnsi" w:eastAsiaTheme="minorEastAsia" w:hAnsiTheme="minorHAnsi" w:cstheme="minorBidi"/>
              <w:noProof/>
              <w:szCs w:val="22"/>
              <w:lang w:eastAsia="es-MX"/>
            </w:rPr>
          </w:pPr>
          <w:hyperlink w:anchor="_Toc177658931" w:history="1">
            <w:r w:rsidR="002870B2" w:rsidRPr="003F6853">
              <w:rPr>
                <w:rStyle w:val="Hipervnculo"/>
                <w:noProof/>
              </w:rPr>
              <w:t>a) Mandato de transparencia y responsabilidad del Sujeto Obligado</w:t>
            </w:r>
            <w:r w:rsidR="002870B2">
              <w:rPr>
                <w:noProof/>
                <w:webHidden/>
              </w:rPr>
              <w:tab/>
            </w:r>
            <w:r w:rsidR="002870B2">
              <w:rPr>
                <w:noProof/>
                <w:webHidden/>
              </w:rPr>
              <w:fldChar w:fldCharType="begin"/>
            </w:r>
            <w:r w:rsidR="002870B2">
              <w:rPr>
                <w:noProof/>
                <w:webHidden/>
              </w:rPr>
              <w:instrText xml:space="preserve"> PAGEREF _Toc177658931 \h </w:instrText>
            </w:r>
            <w:r w:rsidR="002870B2">
              <w:rPr>
                <w:noProof/>
                <w:webHidden/>
              </w:rPr>
            </w:r>
            <w:r w:rsidR="002870B2">
              <w:rPr>
                <w:noProof/>
                <w:webHidden/>
              </w:rPr>
              <w:fldChar w:fldCharType="separate"/>
            </w:r>
            <w:r w:rsidR="00B046F4">
              <w:rPr>
                <w:noProof/>
                <w:webHidden/>
              </w:rPr>
              <w:t>9</w:t>
            </w:r>
            <w:r w:rsidR="002870B2">
              <w:rPr>
                <w:noProof/>
                <w:webHidden/>
              </w:rPr>
              <w:fldChar w:fldCharType="end"/>
            </w:r>
          </w:hyperlink>
        </w:p>
        <w:p w14:paraId="0361D717" w14:textId="2174A16C" w:rsidR="002870B2" w:rsidRDefault="00C34793">
          <w:pPr>
            <w:pStyle w:val="TDC3"/>
            <w:rPr>
              <w:rFonts w:asciiTheme="minorHAnsi" w:eastAsiaTheme="minorEastAsia" w:hAnsiTheme="minorHAnsi" w:cstheme="minorBidi"/>
              <w:noProof/>
              <w:szCs w:val="22"/>
              <w:lang w:eastAsia="es-MX"/>
            </w:rPr>
          </w:pPr>
          <w:hyperlink w:anchor="_Toc177658932" w:history="1">
            <w:r w:rsidR="002870B2" w:rsidRPr="003F6853">
              <w:rPr>
                <w:rStyle w:val="Hipervnculo"/>
                <w:rFonts w:eastAsia="Calibri"/>
                <w:noProof/>
                <w:lang w:eastAsia="es-ES_tradnl"/>
              </w:rPr>
              <w:t>b) Controversia a resolver</w:t>
            </w:r>
            <w:r w:rsidR="002870B2">
              <w:rPr>
                <w:noProof/>
                <w:webHidden/>
              </w:rPr>
              <w:tab/>
            </w:r>
            <w:r w:rsidR="002870B2">
              <w:rPr>
                <w:noProof/>
                <w:webHidden/>
              </w:rPr>
              <w:fldChar w:fldCharType="begin"/>
            </w:r>
            <w:r w:rsidR="002870B2">
              <w:rPr>
                <w:noProof/>
                <w:webHidden/>
              </w:rPr>
              <w:instrText xml:space="preserve"> PAGEREF _Toc177658932 \h </w:instrText>
            </w:r>
            <w:r w:rsidR="002870B2">
              <w:rPr>
                <w:noProof/>
                <w:webHidden/>
              </w:rPr>
            </w:r>
            <w:r w:rsidR="002870B2">
              <w:rPr>
                <w:noProof/>
                <w:webHidden/>
              </w:rPr>
              <w:fldChar w:fldCharType="separate"/>
            </w:r>
            <w:r w:rsidR="00B046F4">
              <w:rPr>
                <w:noProof/>
                <w:webHidden/>
              </w:rPr>
              <w:t>12</w:t>
            </w:r>
            <w:r w:rsidR="002870B2">
              <w:rPr>
                <w:noProof/>
                <w:webHidden/>
              </w:rPr>
              <w:fldChar w:fldCharType="end"/>
            </w:r>
          </w:hyperlink>
        </w:p>
        <w:p w14:paraId="5B854C85" w14:textId="62DDF60F" w:rsidR="002870B2" w:rsidRDefault="00C34793">
          <w:pPr>
            <w:pStyle w:val="TDC3"/>
            <w:rPr>
              <w:rFonts w:asciiTheme="minorHAnsi" w:eastAsiaTheme="minorEastAsia" w:hAnsiTheme="minorHAnsi" w:cstheme="minorBidi"/>
              <w:noProof/>
              <w:szCs w:val="22"/>
              <w:lang w:eastAsia="es-MX"/>
            </w:rPr>
          </w:pPr>
          <w:hyperlink w:anchor="_Toc177658933" w:history="1">
            <w:r w:rsidR="002870B2" w:rsidRPr="003F6853">
              <w:rPr>
                <w:rStyle w:val="Hipervnculo"/>
                <w:noProof/>
              </w:rPr>
              <w:t>c) Estudio de la controversia</w:t>
            </w:r>
            <w:r w:rsidR="002870B2">
              <w:rPr>
                <w:noProof/>
                <w:webHidden/>
              </w:rPr>
              <w:tab/>
            </w:r>
            <w:r w:rsidR="002870B2">
              <w:rPr>
                <w:noProof/>
                <w:webHidden/>
              </w:rPr>
              <w:fldChar w:fldCharType="begin"/>
            </w:r>
            <w:r w:rsidR="002870B2">
              <w:rPr>
                <w:noProof/>
                <w:webHidden/>
              </w:rPr>
              <w:instrText xml:space="preserve"> PAGEREF _Toc177658933 \h </w:instrText>
            </w:r>
            <w:r w:rsidR="002870B2">
              <w:rPr>
                <w:noProof/>
                <w:webHidden/>
              </w:rPr>
            </w:r>
            <w:r w:rsidR="002870B2">
              <w:rPr>
                <w:noProof/>
                <w:webHidden/>
              </w:rPr>
              <w:fldChar w:fldCharType="separate"/>
            </w:r>
            <w:r w:rsidR="00B046F4">
              <w:rPr>
                <w:noProof/>
                <w:webHidden/>
              </w:rPr>
              <w:t>14</w:t>
            </w:r>
            <w:r w:rsidR="002870B2">
              <w:rPr>
                <w:noProof/>
                <w:webHidden/>
              </w:rPr>
              <w:fldChar w:fldCharType="end"/>
            </w:r>
          </w:hyperlink>
        </w:p>
        <w:p w14:paraId="23D568E1" w14:textId="032DEF74" w:rsidR="002870B2" w:rsidRDefault="00C34793">
          <w:pPr>
            <w:pStyle w:val="TDC3"/>
            <w:rPr>
              <w:rFonts w:asciiTheme="minorHAnsi" w:eastAsiaTheme="minorEastAsia" w:hAnsiTheme="minorHAnsi" w:cstheme="minorBidi"/>
              <w:noProof/>
              <w:szCs w:val="22"/>
              <w:lang w:eastAsia="es-MX"/>
            </w:rPr>
          </w:pPr>
          <w:hyperlink w:anchor="_Toc177658934" w:history="1">
            <w:r w:rsidR="002870B2" w:rsidRPr="003F6853">
              <w:rPr>
                <w:rStyle w:val="Hipervnculo"/>
                <w:noProof/>
              </w:rPr>
              <w:t>d) Conclusión</w:t>
            </w:r>
            <w:r w:rsidR="002870B2">
              <w:rPr>
                <w:noProof/>
                <w:webHidden/>
              </w:rPr>
              <w:tab/>
            </w:r>
            <w:r w:rsidR="002870B2">
              <w:rPr>
                <w:noProof/>
                <w:webHidden/>
              </w:rPr>
              <w:fldChar w:fldCharType="begin"/>
            </w:r>
            <w:r w:rsidR="002870B2">
              <w:rPr>
                <w:noProof/>
                <w:webHidden/>
              </w:rPr>
              <w:instrText xml:space="preserve"> PAGEREF _Toc177658934 \h </w:instrText>
            </w:r>
            <w:r w:rsidR="002870B2">
              <w:rPr>
                <w:noProof/>
                <w:webHidden/>
              </w:rPr>
            </w:r>
            <w:r w:rsidR="002870B2">
              <w:rPr>
                <w:noProof/>
                <w:webHidden/>
              </w:rPr>
              <w:fldChar w:fldCharType="separate"/>
            </w:r>
            <w:r w:rsidR="00B046F4">
              <w:rPr>
                <w:noProof/>
                <w:webHidden/>
              </w:rPr>
              <w:t>16</w:t>
            </w:r>
            <w:r w:rsidR="002870B2">
              <w:rPr>
                <w:noProof/>
                <w:webHidden/>
              </w:rPr>
              <w:fldChar w:fldCharType="end"/>
            </w:r>
          </w:hyperlink>
        </w:p>
        <w:p w14:paraId="4D253C0E" w14:textId="30D791C6" w:rsidR="002870B2" w:rsidRDefault="00C34793">
          <w:pPr>
            <w:pStyle w:val="TDC1"/>
            <w:tabs>
              <w:tab w:val="right" w:leader="dot" w:pos="9034"/>
            </w:tabs>
            <w:rPr>
              <w:rFonts w:asciiTheme="minorHAnsi" w:eastAsiaTheme="minorEastAsia" w:hAnsiTheme="minorHAnsi" w:cstheme="minorBidi"/>
              <w:noProof/>
              <w:szCs w:val="22"/>
              <w:lang w:eastAsia="es-MX"/>
            </w:rPr>
          </w:pPr>
          <w:hyperlink w:anchor="_Toc177658935" w:history="1">
            <w:r w:rsidR="002870B2" w:rsidRPr="003F6853">
              <w:rPr>
                <w:rStyle w:val="Hipervnculo"/>
                <w:noProof/>
              </w:rPr>
              <w:t>RESUELVE</w:t>
            </w:r>
            <w:r w:rsidR="002870B2">
              <w:rPr>
                <w:noProof/>
                <w:webHidden/>
              </w:rPr>
              <w:tab/>
            </w:r>
            <w:r w:rsidR="002870B2">
              <w:rPr>
                <w:noProof/>
                <w:webHidden/>
              </w:rPr>
              <w:fldChar w:fldCharType="begin"/>
            </w:r>
            <w:r w:rsidR="002870B2">
              <w:rPr>
                <w:noProof/>
                <w:webHidden/>
              </w:rPr>
              <w:instrText xml:space="preserve"> PAGEREF _Toc177658935 \h </w:instrText>
            </w:r>
            <w:r w:rsidR="002870B2">
              <w:rPr>
                <w:noProof/>
                <w:webHidden/>
              </w:rPr>
            </w:r>
            <w:r w:rsidR="002870B2">
              <w:rPr>
                <w:noProof/>
                <w:webHidden/>
              </w:rPr>
              <w:fldChar w:fldCharType="separate"/>
            </w:r>
            <w:r w:rsidR="00B046F4">
              <w:rPr>
                <w:noProof/>
                <w:webHidden/>
              </w:rPr>
              <w:t>16</w:t>
            </w:r>
            <w:r w:rsidR="002870B2">
              <w:rPr>
                <w:noProof/>
                <w:webHidden/>
              </w:rPr>
              <w:fldChar w:fldCharType="end"/>
            </w:r>
          </w:hyperlink>
        </w:p>
        <w:p w14:paraId="0C82FD7A" w14:textId="287DC765" w:rsidR="009B2945" w:rsidRPr="002870B2" w:rsidRDefault="00AE3DA7" w:rsidP="002870B2">
          <w:pPr>
            <w:pStyle w:val="TDC1"/>
            <w:tabs>
              <w:tab w:val="right" w:leader="dot" w:pos="9034"/>
            </w:tabs>
            <w:rPr>
              <w:b/>
              <w:bCs/>
              <w:lang w:val="es-ES"/>
            </w:rPr>
          </w:pPr>
          <w:r w:rsidRPr="002870B2">
            <w:rPr>
              <w:b/>
              <w:bCs/>
              <w:szCs w:val="22"/>
              <w:lang w:val="es-ES"/>
            </w:rPr>
            <w:fldChar w:fldCharType="end"/>
          </w:r>
        </w:p>
      </w:sdtContent>
    </w:sdt>
    <w:p w14:paraId="603A07E2" w14:textId="77777777" w:rsidR="00646436" w:rsidRPr="002870B2" w:rsidRDefault="00646436" w:rsidP="002870B2">
      <w:pPr>
        <w:rPr>
          <w:rFonts w:cs="Tahoma"/>
          <w:szCs w:val="22"/>
        </w:rPr>
        <w:sectPr w:rsidR="00646436" w:rsidRPr="002870B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2075978" w:rsidR="00775BFC" w:rsidRPr="002870B2" w:rsidRDefault="00775BFC" w:rsidP="002870B2">
      <w:r w:rsidRPr="002870B2">
        <w:lastRenderedPageBreak/>
        <w:t xml:space="preserve">Resolución del Pleno del Instituto de Transparencia, Acceso a la Información Pública y Protección de Datos Personales del Estado de México y Municipios, con domicilio en Metepec, Estado de México, </w:t>
      </w:r>
      <w:r w:rsidR="001D103C" w:rsidRPr="002870B2">
        <w:rPr>
          <w:b/>
          <w:bCs/>
        </w:rPr>
        <w:t xml:space="preserve">el </w:t>
      </w:r>
      <w:r w:rsidR="00E50F55" w:rsidRPr="002870B2">
        <w:rPr>
          <w:b/>
          <w:bCs/>
        </w:rPr>
        <w:t>diecinueve</w:t>
      </w:r>
      <w:r w:rsidR="001D103C" w:rsidRPr="002870B2">
        <w:rPr>
          <w:b/>
          <w:bCs/>
        </w:rPr>
        <w:t xml:space="preserve"> de septiembre</w:t>
      </w:r>
      <w:r w:rsidR="004A4311" w:rsidRPr="002870B2">
        <w:rPr>
          <w:b/>
        </w:rPr>
        <w:t xml:space="preserve"> </w:t>
      </w:r>
      <w:r w:rsidRPr="002870B2">
        <w:rPr>
          <w:b/>
        </w:rPr>
        <w:t xml:space="preserve">de dos mil </w:t>
      </w:r>
      <w:r w:rsidR="004A4311" w:rsidRPr="002870B2">
        <w:rPr>
          <w:b/>
        </w:rPr>
        <w:t>veinticuatro</w:t>
      </w:r>
      <w:r w:rsidRPr="002870B2">
        <w:t>.</w:t>
      </w:r>
    </w:p>
    <w:p w14:paraId="0AF3AAC4" w14:textId="77777777" w:rsidR="00775BFC" w:rsidRPr="002870B2" w:rsidRDefault="00775BFC" w:rsidP="002870B2"/>
    <w:p w14:paraId="40EAE038" w14:textId="3024571E" w:rsidR="00775BFC" w:rsidRPr="002870B2" w:rsidRDefault="00775BFC" w:rsidP="002870B2">
      <w:r w:rsidRPr="002870B2">
        <w:rPr>
          <w:b/>
        </w:rPr>
        <w:t xml:space="preserve">VISTO </w:t>
      </w:r>
      <w:r w:rsidRPr="002870B2">
        <w:t xml:space="preserve">el expediente formado con motivo del Recurso de Revisión </w:t>
      </w:r>
      <w:r w:rsidR="00AF171B" w:rsidRPr="002870B2">
        <w:rPr>
          <w:rFonts w:eastAsia="Calibri"/>
          <w:b/>
          <w:lang w:eastAsia="en-US"/>
        </w:rPr>
        <w:t>04727/INFOEM/IP/RR/2024</w:t>
      </w:r>
      <w:r w:rsidR="006C18D8" w:rsidRPr="002870B2">
        <w:rPr>
          <w:rFonts w:eastAsia="Calibri"/>
          <w:b/>
          <w:lang w:eastAsia="en-US"/>
        </w:rPr>
        <w:t xml:space="preserve">, </w:t>
      </w:r>
      <w:r w:rsidRPr="002870B2">
        <w:t xml:space="preserve">interpuesto por </w:t>
      </w:r>
      <w:r w:rsidR="006C464F">
        <w:rPr>
          <w:b/>
          <w:bCs/>
        </w:rPr>
        <w:t>XXXXX XXXXXXX XXXXXX XXXXXXX</w:t>
      </w:r>
      <w:r w:rsidR="004A4311" w:rsidRPr="002870B2">
        <w:rPr>
          <w:b/>
          <w:bCs/>
        </w:rPr>
        <w:t xml:space="preserve">, </w:t>
      </w:r>
      <w:r w:rsidRPr="002870B2">
        <w:t xml:space="preserve">a quien en lo subsecuente se le denominará </w:t>
      </w:r>
      <w:r w:rsidRPr="002870B2">
        <w:rPr>
          <w:b/>
          <w:bCs/>
        </w:rPr>
        <w:t>LA PARTE RECURRENTE</w:t>
      </w:r>
      <w:r w:rsidRPr="002870B2">
        <w:t>, en contra de la respuesta emitida por</w:t>
      </w:r>
      <w:r w:rsidR="006C18D8" w:rsidRPr="002870B2">
        <w:t xml:space="preserve"> </w:t>
      </w:r>
      <w:r w:rsidR="00A818D2" w:rsidRPr="002870B2">
        <w:t>el</w:t>
      </w:r>
      <w:r w:rsidRPr="002870B2">
        <w:t xml:space="preserve"> </w:t>
      </w:r>
      <w:r w:rsidR="00AF171B" w:rsidRPr="002870B2">
        <w:rPr>
          <w:b/>
          <w:bCs/>
        </w:rPr>
        <w:t>Sistema Municipal Para el Desarrollo Integral de la Familia de Nezahualcóyotl</w:t>
      </w:r>
      <w:r w:rsidR="004A4311" w:rsidRPr="002870B2">
        <w:rPr>
          <w:b/>
          <w:bCs/>
        </w:rPr>
        <w:t xml:space="preserve">, </w:t>
      </w:r>
      <w:r w:rsidRPr="002870B2">
        <w:t xml:space="preserve">en adelante </w:t>
      </w:r>
      <w:r w:rsidRPr="002870B2">
        <w:rPr>
          <w:b/>
          <w:bCs/>
        </w:rPr>
        <w:t>EL SUJETO OBLIGADO</w:t>
      </w:r>
      <w:r w:rsidRPr="002870B2">
        <w:rPr>
          <w:rFonts w:eastAsia="Calibri"/>
          <w:lang w:eastAsia="en-US"/>
        </w:rPr>
        <w:t xml:space="preserve">, </w:t>
      </w:r>
      <w:r w:rsidRPr="002870B2">
        <w:t>se emite la presente Resolución con base en los Antecedentes y Considerandos que se exponen a continuación:</w:t>
      </w:r>
    </w:p>
    <w:p w14:paraId="2116968C" w14:textId="77777777" w:rsidR="00775BFC" w:rsidRPr="002870B2" w:rsidRDefault="00775BFC" w:rsidP="002870B2"/>
    <w:p w14:paraId="5A444FB6" w14:textId="639D3567" w:rsidR="00664420" w:rsidRPr="002870B2" w:rsidRDefault="00664420" w:rsidP="002870B2">
      <w:pPr>
        <w:pStyle w:val="Ttulo1"/>
      </w:pPr>
      <w:bookmarkStart w:id="2" w:name="_Toc177658910"/>
      <w:r w:rsidRPr="002870B2">
        <w:t>ANTECEDENTES</w:t>
      </w:r>
      <w:bookmarkEnd w:id="2"/>
    </w:p>
    <w:p w14:paraId="5CB5034E" w14:textId="77777777" w:rsidR="00AC2DB8" w:rsidRPr="002870B2" w:rsidRDefault="00AC2DB8" w:rsidP="002870B2"/>
    <w:p w14:paraId="09B2D38F" w14:textId="6E49D146" w:rsidR="00664420" w:rsidRPr="002870B2" w:rsidRDefault="00E37A3F" w:rsidP="002870B2">
      <w:pPr>
        <w:pStyle w:val="Ttulo2"/>
      </w:pPr>
      <w:bookmarkStart w:id="3" w:name="_Toc177658911"/>
      <w:r w:rsidRPr="002870B2">
        <w:t>DE LA SOLICITUD DE INFORMACIÓN</w:t>
      </w:r>
      <w:bookmarkEnd w:id="3"/>
    </w:p>
    <w:p w14:paraId="2C6AD1A5" w14:textId="0405B3CD" w:rsidR="00664420" w:rsidRPr="002870B2" w:rsidRDefault="00E37A3F" w:rsidP="002870B2">
      <w:pPr>
        <w:pStyle w:val="Ttulo3"/>
        <w:spacing w:line="360" w:lineRule="auto"/>
      </w:pPr>
      <w:bookmarkStart w:id="4" w:name="_Toc177658912"/>
      <w:r w:rsidRPr="002870B2">
        <w:t xml:space="preserve">a) </w:t>
      </w:r>
      <w:r w:rsidR="006B10B0" w:rsidRPr="002870B2">
        <w:t>S</w:t>
      </w:r>
      <w:r w:rsidR="00664420" w:rsidRPr="002870B2">
        <w:t xml:space="preserve">olicitud de </w:t>
      </w:r>
      <w:r w:rsidR="006B10B0" w:rsidRPr="002870B2">
        <w:t>i</w:t>
      </w:r>
      <w:r w:rsidR="00664420" w:rsidRPr="002870B2">
        <w:t>nformación</w:t>
      </w:r>
      <w:bookmarkEnd w:id="4"/>
    </w:p>
    <w:p w14:paraId="06DCD29D" w14:textId="4A01A706" w:rsidR="009A2D78" w:rsidRPr="002870B2" w:rsidRDefault="006B10B0" w:rsidP="002870B2">
      <w:pPr>
        <w:pStyle w:val="Prrafodelista"/>
        <w:tabs>
          <w:tab w:val="left" w:pos="0"/>
        </w:tabs>
        <w:spacing w:after="240"/>
        <w:ind w:left="0"/>
        <w:contextualSpacing w:val="0"/>
        <w:rPr>
          <w:rFonts w:cs="Tahoma"/>
        </w:rPr>
      </w:pPr>
      <w:r w:rsidRPr="002870B2">
        <w:rPr>
          <w:rFonts w:cs="Tahoma"/>
        </w:rPr>
        <w:t>El</w:t>
      </w:r>
      <w:r w:rsidR="00664420" w:rsidRPr="002870B2">
        <w:rPr>
          <w:rFonts w:cs="Tahoma"/>
        </w:rPr>
        <w:t xml:space="preserve"> </w:t>
      </w:r>
      <w:r w:rsidR="00AF171B" w:rsidRPr="002870B2">
        <w:rPr>
          <w:rFonts w:cs="Tahoma"/>
          <w:b/>
          <w:bCs/>
        </w:rPr>
        <w:t>doce</w:t>
      </w:r>
      <w:r w:rsidR="00A818D2" w:rsidRPr="002870B2">
        <w:rPr>
          <w:rFonts w:cs="Tahoma"/>
          <w:b/>
          <w:bCs/>
        </w:rPr>
        <w:t xml:space="preserve"> de julio</w:t>
      </w:r>
      <w:r w:rsidR="006C18D8" w:rsidRPr="002870B2">
        <w:rPr>
          <w:rFonts w:cs="Tahoma"/>
          <w:b/>
          <w:bCs/>
        </w:rPr>
        <w:t xml:space="preserve"> </w:t>
      </w:r>
      <w:r w:rsidR="00664420" w:rsidRPr="002870B2">
        <w:rPr>
          <w:rFonts w:cs="Tahoma"/>
          <w:b/>
          <w:bCs/>
        </w:rPr>
        <w:t xml:space="preserve">de dos mil </w:t>
      </w:r>
      <w:r w:rsidR="004A4311" w:rsidRPr="002870B2">
        <w:rPr>
          <w:rFonts w:cs="Tahoma"/>
          <w:b/>
          <w:bCs/>
        </w:rPr>
        <w:t xml:space="preserve">veinticuatro, </w:t>
      </w:r>
      <w:r w:rsidRPr="002870B2">
        <w:rPr>
          <w:b/>
          <w:bCs/>
        </w:rPr>
        <w:t>LA PARTE RECURRENTE</w:t>
      </w:r>
      <w:r w:rsidR="00664420" w:rsidRPr="002870B2">
        <w:rPr>
          <w:rFonts w:cs="Tahoma"/>
        </w:rPr>
        <w:t xml:space="preserve"> presentó una solicitud de acceso a la información pública </w:t>
      </w:r>
      <w:r w:rsidR="001F3515" w:rsidRPr="002870B2">
        <w:rPr>
          <w:rFonts w:cs="Tahoma"/>
        </w:rPr>
        <w:t xml:space="preserve">ante el </w:t>
      </w:r>
      <w:r w:rsidR="001F3515" w:rsidRPr="002870B2">
        <w:rPr>
          <w:rFonts w:cs="Tahoma"/>
          <w:b/>
          <w:bCs/>
        </w:rPr>
        <w:t>SUJETO OBLIGADO</w:t>
      </w:r>
      <w:r w:rsidR="001F3515" w:rsidRPr="002870B2">
        <w:rPr>
          <w:rFonts w:cs="Tahoma"/>
        </w:rPr>
        <w:t xml:space="preserve">, </w:t>
      </w:r>
      <w:r w:rsidR="00664420" w:rsidRPr="002870B2">
        <w:rPr>
          <w:rFonts w:cs="Tahoma"/>
        </w:rPr>
        <w:t>a través del Sistema de Acceso a la Información Mexiquense</w:t>
      </w:r>
      <w:r w:rsidRPr="002870B2">
        <w:rPr>
          <w:rFonts w:cs="Tahoma"/>
        </w:rPr>
        <w:t xml:space="preserve"> </w:t>
      </w:r>
      <w:r w:rsidR="009A2D78" w:rsidRPr="002870B2">
        <w:rPr>
          <w:rFonts w:cs="Tahoma"/>
          <w:b/>
          <w:bCs/>
        </w:rPr>
        <w:t>(</w:t>
      </w:r>
      <w:r w:rsidRPr="002870B2">
        <w:rPr>
          <w:rFonts w:cs="Tahoma"/>
          <w:b/>
          <w:bCs/>
        </w:rPr>
        <w:t>SAIMEX</w:t>
      </w:r>
      <w:r w:rsidR="009A2D78" w:rsidRPr="002870B2">
        <w:rPr>
          <w:rFonts w:cs="Tahoma"/>
          <w:b/>
          <w:bCs/>
        </w:rPr>
        <w:t>)</w:t>
      </w:r>
      <w:r w:rsidR="00556E59" w:rsidRPr="002870B2">
        <w:rPr>
          <w:rFonts w:eastAsia="Palatino Linotype" w:cs="Palatino Linotype"/>
        </w:rPr>
        <w:t>.</w:t>
      </w:r>
      <w:r w:rsidR="009A2D78" w:rsidRPr="002870B2">
        <w:rPr>
          <w:rFonts w:cs="Tahoma"/>
        </w:rPr>
        <w:t xml:space="preserve"> Dicha solicitud quedó</w:t>
      </w:r>
      <w:r w:rsidRPr="002870B2">
        <w:rPr>
          <w:rFonts w:cs="Tahoma"/>
        </w:rPr>
        <w:t xml:space="preserve"> registrada c</w:t>
      </w:r>
      <w:r w:rsidR="00664420" w:rsidRPr="002870B2">
        <w:rPr>
          <w:rFonts w:cs="Tahoma"/>
        </w:rPr>
        <w:t>on el número de folio</w:t>
      </w:r>
      <w:r w:rsidR="00664420" w:rsidRPr="002870B2">
        <w:rPr>
          <w:rFonts w:cs="Tahoma"/>
          <w:b/>
          <w:bCs/>
        </w:rPr>
        <w:t xml:space="preserve"> </w:t>
      </w:r>
      <w:r w:rsidR="00AF171B" w:rsidRPr="002870B2">
        <w:rPr>
          <w:rFonts w:cs="Tahoma"/>
          <w:b/>
          <w:bCs/>
        </w:rPr>
        <w:t>00029/DIFNEZA/IP/2024</w:t>
      </w:r>
      <w:r w:rsidR="004A4311" w:rsidRPr="002870B2">
        <w:rPr>
          <w:rFonts w:cs="Tahoma"/>
          <w:b/>
          <w:bCs/>
        </w:rPr>
        <w:t xml:space="preserve"> </w:t>
      </w:r>
      <w:r w:rsidR="002A3601" w:rsidRPr="002870B2">
        <w:rPr>
          <w:rFonts w:cs="Tahoma"/>
        </w:rPr>
        <w:t xml:space="preserve">y en ella </w:t>
      </w:r>
      <w:r w:rsidR="009A2D78" w:rsidRPr="002870B2">
        <w:rPr>
          <w:rFonts w:cs="Tahoma"/>
        </w:rPr>
        <w:t>se requirió la siguiente información:</w:t>
      </w:r>
    </w:p>
    <w:p w14:paraId="179FB369" w14:textId="7FF2EE17" w:rsidR="00664420" w:rsidRPr="002870B2" w:rsidRDefault="006C18D8" w:rsidP="002870B2">
      <w:pPr>
        <w:pStyle w:val="Ttulo"/>
        <w:ind w:left="851" w:right="822"/>
      </w:pPr>
      <w:r w:rsidRPr="002870B2">
        <w:t>“</w:t>
      </w:r>
      <w:r w:rsidR="00AF171B" w:rsidRPr="002870B2">
        <w:t>Buenas tardes. 1.- Quiero saber la lista de abogados adscritos al área jurídica. 2.- Recibos de nomina en versión pública y vía saimex de los abogados adscritos al área jurídica. 3.- Lista de abogados adscritos al área jurídica que pueden participar como Interventores o Salvaguardas. 4.- En caso de tener la lista de abogados que pueden acutar como Interventores o Salvaguardas, dar su fundamento jurídico. 4.- En caso de NO tener la lista de abogados que pueden acutar como Interventores o Salvaguardas, dar su fundamento jurídico</w:t>
      </w:r>
      <w:r w:rsidR="00A818D2" w:rsidRPr="002870B2">
        <w:t>.</w:t>
      </w:r>
      <w:r w:rsidRPr="002870B2">
        <w:t>”</w:t>
      </w:r>
      <w:r w:rsidR="008C322A" w:rsidRPr="002870B2">
        <w:t xml:space="preserve"> (Sic)</w:t>
      </w:r>
    </w:p>
    <w:p w14:paraId="0BD6321D" w14:textId="56D9ABBC" w:rsidR="00664420" w:rsidRPr="002870B2" w:rsidRDefault="009A2D78" w:rsidP="002870B2">
      <w:pPr>
        <w:tabs>
          <w:tab w:val="left" w:pos="4667"/>
        </w:tabs>
        <w:ind w:left="567" w:right="567"/>
        <w:rPr>
          <w:rFonts w:cs="Tahoma"/>
          <w:bCs/>
          <w:szCs w:val="22"/>
        </w:rPr>
      </w:pPr>
      <w:r w:rsidRPr="002870B2">
        <w:rPr>
          <w:rFonts w:cs="Tahoma"/>
          <w:b/>
          <w:bCs/>
          <w:szCs w:val="22"/>
        </w:rPr>
        <w:lastRenderedPageBreak/>
        <w:t>Modalidad de entrega</w:t>
      </w:r>
      <w:r w:rsidRPr="002870B2">
        <w:rPr>
          <w:rFonts w:cs="Tahoma"/>
          <w:bCs/>
          <w:szCs w:val="22"/>
        </w:rPr>
        <w:t>: a</w:t>
      </w:r>
      <w:r w:rsidR="00664420" w:rsidRPr="002870B2">
        <w:rPr>
          <w:rFonts w:cs="Tahoma"/>
          <w:bCs/>
          <w:i/>
          <w:szCs w:val="22"/>
        </w:rPr>
        <w:t xml:space="preserve"> través del </w:t>
      </w:r>
      <w:r w:rsidR="00664420" w:rsidRPr="002870B2">
        <w:rPr>
          <w:rFonts w:cs="Tahoma"/>
          <w:b/>
          <w:bCs/>
          <w:i/>
          <w:szCs w:val="22"/>
        </w:rPr>
        <w:t>SAIMEX</w:t>
      </w:r>
      <w:r w:rsidRPr="002870B2">
        <w:rPr>
          <w:rFonts w:cs="Tahoma"/>
          <w:bCs/>
          <w:i/>
          <w:szCs w:val="22"/>
        </w:rPr>
        <w:t>.</w:t>
      </w:r>
    </w:p>
    <w:p w14:paraId="19CAEC54" w14:textId="721E7B99" w:rsidR="006C18D8" w:rsidRPr="002870B2" w:rsidRDefault="006C18D8" w:rsidP="002870B2"/>
    <w:p w14:paraId="18D909E4" w14:textId="4B869D82" w:rsidR="006C18D8" w:rsidRPr="002870B2" w:rsidRDefault="00AF171B" w:rsidP="002870B2">
      <w:pPr>
        <w:pStyle w:val="Ttulo3"/>
        <w:spacing w:line="360" w:lineRule="auto"/>
      </w:pPr>
      <w:bookmarkStart w:id="5" w:name="_Toc177658913"/>
      <w:r w:rsidRPr="002870B2">
        <w:t>b</w:t>
      </w:r>
      <w:r w:rsidR="006C18D8" w:rsidRPr="002870B2">
        <w:t xml:space="preserve">) </w:t>
      </w:r>
      <w:r w:rsidR="006D4E4A" w:rsidRPr="002870B2">
        <w:t>Turno de la solicitud de información</w:t>
      </w:r>
      <w:bookmarkEnd w:id="5"/>
    </w:p>
    <w:p w14:paraId="0C0A9C1A" w14:textId="78B19D06" w:rsidR="006C18D8" w:rsidRPr="002870B2" w:rsidRDefault="006C18D8" w:rsidP="002870B2">
      <w:r w:rsidRPr="002870B2">
        <w:t xml:space="preserve">En cumplimiento al artículo 162 de la Ley de Transparencia y Acceso a la Información Pública del Estado de México y Municipios, el </w:t>
      </w:r>
      <w:r w:rsidR="00AF171B" w:rsidRPr="002870B2">
        <w:rPr>
          <w:rFonts w:eastAsia="Palatino Linotype" w:cs="Palatino Linotype"/>
          <w:b/>
        </w:rPr>
        <w:t>doce de julio</w:t>
      </w:r>
      <w:r w:rsidRPr="002870B2">
        <w:rPr>
          <w:rFonts w:eastAsia="Palatino Linotype" w:cs="Palatino Linotype"/>
          <w:b/>
        </w:rPr>
        <w:t xml:space="preserve"> de dos mil veinticuatro</w:t>
      </w:r>
      <w:r w:rsidRPr="002870B2">
        <w:t xml:space="preserve">, el Titular de la Unidad de Transparencia del </w:t>
      </w:r>
      <w:r w:rsidRPr="002870B2">
        <w:rPr>
          <w:b/>
        </w:rPr>
        <w:t>SUJETO OBLIGADO</w:t>
      </w:r>
      <w:r w:rsidRPr="002870B2">
        <w:t xml:space="preserve"> turnó la solicitud de información al servidor público habilitado que estimó pertinente.</w:t>
      </w:r>
    </w:p>
    <w:p w14:paraId="6C39A36C" w14:textId="77777777" w:rsidR="006C18D8" w:rsidRPr="002870B2" w:rsidRDefault="006C18D8" w:rsidP="002870B2"/>
    <w:p w14:paraId="3212BA4D" w14:textId="129F3404" w:rsidR="00664420" w:rsidRPr="002870B2" w:rsidRDefault="00AF171B" w:rsidP="002870B2">
      <w:pPr>
        <w:pStyle w:val="Ttulo3"/>
        <w:spacing w:line="360" w:lineRule="auto"/>
        <w:rPr>
          <w:rFonts w:eastAsia="Calibri"/>
          <w:lang w:eastAsia="en-US"/>
        </w:rPr>
      </w:pPr>
      <w:bookmarkStart w:id="6" w:name="_Toc177658914"/>
      <w:r w:rsidRPr="002870B2">
        <w:rPr>
          <w:lang w:val="es-ES"/>
        </w:rPr>
        <w:t>c</w:t>
      </w:r>
      <w:r w:rsidR="00E37A3F" w:rsidRPr="002870B2">
        <w:rPr>
          <w:lang w:val="es-ES"/>
        </w:rPr>
        <w:t xml:space="preserve">) </w:t>
      </w:r>
      <w:r w:rsidR="00664420" w:rsidRPr="002870B2">
        <w:rPr>
          <w:lang w:val="es-ES"/>
        </w:rPr>
        <w:t xml:space="preserve">Respuesta </w:t>
      </w:r>
      <w:r w:rsidR="00664420" w:rsidRPr="002870B2">
        <w:rPr>
          <w:rFonts w:eastAsia="Calibri"/>
          <w:lang w:eastAsia="en-US"/>
        </w:rPr>
        <w:t>del Sujeto Obligado</w:t>
      </w:r>
      <w:bookmarkEnd w:id="6"/>
    </w:p>
    <w:p w14:paraId="79199CC1" w14:textId="43DE46B8" w:rsidR="00664420" w:rsidRPr="002870B2" w:rsidRDefault="00664420" w:rsidP="002870B2">
      <w:pPr>
        <w:pStyle w:val="Sinespaciado"/>
        <w:spacing w:after="240" w:line="360" w:lineRule="auto"/>
        <w:rPr>
          <w:lang w:val="es-ES"/>
        </w:rPr>
      </w:pPr>
      <w:r w:rsidRPr="002870B2">
        <w:rPr>
          <w:lang w:val="es-ES"/>
        </w:rPr>
        <w:t xml:space="preserve">El </w:t>
      </w:r>
      <w:r w:rsidR="00AF171B" w:rsidRPr="002870B2">
        <w:rPr>
          <w:b/>
          <w:bCs/>
          <w:lang w:val="es-ES"/>
        </w:rPr>
        <w:t>veinticuatro de julio</w:t>
      </w:r>
      <w:r w:rsidR="004A4311" w:rsidRPr="002870B2">
        <w:rPr>
          <w:b/>
          <w:bCs/>
          <w:lang w:val="es-ES"/>
        </w:rPr>
        <w:t xml:space="preserve"> </w:t>
      </w:r>
      <w:r w:rsidRPr="002870B2">
        <w:rPr>
          <w:b/>
          <w:bCs/>
          <w:lang w:val="es-ES"/>
        </w:rPr>
        <w:t xml:space="preserve">de dos mil </w:t>
      </w:r>
      <w:r w:rsidR="004A4311" w:rsidRPr="002870B2">
        <w:rPr>
          <w:b/>
          <w:bCs/>
          <w:lang w:val="es-ES"/>
        </w:rPr>
        <w:t xml:space="preserve">veinticuatro, </w:t>
      </w:r>
      <w:r w:rsidR="00F07EE6" w:rsidRPr="002870B2">
        <w:rPr>
          <w:lang w:val="es-ES"/>
        </w:rPr>
        <w:t xml:space="preserve">el Titular de la Unidad de Transparencia del </w:t>
      </w:r>
      <w:r w:rsidR="00F07EE6" w:rsidRPr="002870B2">
        <w:rPr>
          <w:b/>
          <w:lang w:val="es-ES"/>
        </w:rPr>
        <w:t>SUJETO OBLIGADO</w:t>
      </w:r>
      <w:r w:rsidR="00F07EE6" w:rsidRPr="002870B2">
        <w:rPr>
          <w:lang w:val="es-ES"/>
        </w:rPr>
        <w:t xml:space="preserve"> notificó la siguiente respuesta a través del </w:t>
      </w:r>
      <w:r w:rsidRPr="002870B2">
        <w:rPr>
          <w:b/>
          <w:bCs/>
          <w:lang w:val="es-ES"/>
        </w:rPr>
        <w:t>SAIMEX</w:t>
      </w:r>
      <w:r w:rsidR="00F07EE6" w:rsidRPr="002870B2">
        <w:rPr>
          <w:lang w:val="es-ES"/>
        </w:rPr>
        <w:t>:</w:t>
      </w:r>
    </w:p>
    <w:p w14:paraId="102303F7" w14:textId="36A42718" w:rsidR="00AF171B" w:rsidRPr="002870B2" w:rsidRDefault="00886000" w:rsidP="002870B2">
      <w:pPr>
        <w:pStyle w:val="Ttulo"/>
      </w:pPr>
      <w:r w:rsidRPr="002870B2">
        <w:t>“</w:t>
      </w:r>
      <w:r w:rsidR="00AF171B" w:rsidRPr="002870B2">
        <w:t>Folio de la solicitud: 00029/DIFNEZA/IP/2024</w:t>
      </w:r>
    </w:p>
    <w:p w14:paraId="71370B51" w14:textId="77777777" w:rsidR="00864EDB" w:rsidRPr="002870B2" w:rsidRDefault="00864EDB" w:rsidP="002870B2"/>
    <w:p w14:paraId="2A5BC345" w14:textId="77777777" w:rsidR="00AF171B" w:rsidRPr="002870B2" w:rsidRDefault="00AF171B" w:rsidP="002870B2">
      <w:pPr>
        <w:pStyle w:val="Ttulo"/>
      </w:pPr>
      <w:r w:rsidRPr="002870B2">
        <w:t>En respuesta a la solicitud recibida, nos permitimos hacer de su conocimiento que con fundamento en el artículo 53, Fracciones: II, V y VI de la Ley de Transparencia y Acceso a la Información Pública del Estado de México y Municipios, le contestamos que:</w:t>
      </w:r>
    </w:p>
    <w:p w14:paraId="67BA283F" w14:textId="77777777" w:rsidR="00864EDB" w:rsidRPr="002870B2" w:rsidRDefault="00864EDB" w:rsidP="002870B2"/>
    <w:p w14:paraId="1D5EEBCF" w14:textId="77777777" w:rsidR="00AF171B" w:rsidRPr="002870B2" w:rsidRDefault="00AF171B" w:rsidP="002870B2">
      <w:pPr>
        <w:pStyle w:val="Ttulo"/>
      </w:pPr>
      <w:r w:rsidRPr="002870B2">
        <w:t>Estimado solicitante se da respuesta a su solicitud bajo su mas estricta responsabilidad</w:t>
      </w:r>
    </w:p>
    <w:p w14:paraId="6BA6E29C" w14:textId="77777777" w:rsidR="00864EDB" w:rsidRPr="002870B2" w:rsidRDefault="00864EDB" w:rsidP="002870B2"/>
    <w:p w14:paraId="5D893173" w14:textId="77777777" w:rsidR="00AF171B" w:rsidRPr="002870B2" w:rsidRDefault="00AF171B" w:rsidP="002870B2">
      <w:pPr>
        <w:pStyle w:val="Ttulo"/>
      </w:pPr>
      <w:r w:rsidRPr="002870B2">
        <w:t>ATENTAMENTE</w:t>
      </w:r>
    </w:p>
    <w:p w14:paraId="7C505FD2" w14:textId="77777777" w:rsidR="00864EDB" w:rsidRPr="002870B2" w:rsidRDefault="00864EDB" w:rsidP="002870B2"/>
    <w:p w14:paraId="042FE73D" w14:textId="733AED07" w:rsidR="00F07EE6" w:rsidRPr="002870B2" w:rsidRDefault="00AF171B" w:rsidP="002870B2">
      <w:pPr>
        <w:pStyle w:val="Ttulo"/>
      </w:pPr>
      <w:r w:rsidRPr="002870B2">
        <w:t>LIC. LUIS MIGUEL LÒPEZ HERNÀNDEZ</w:t>
      </w:r>
      <w:r w:rsidR="00886000" w:rsidRPr="002870B2">
        <w:t>”</w:t>
      </w:r>
      <w:r w:rsidR="006D4E4A" w:rsidRPr="002870B2">
        <w:t xml:space="preserve"> (Sic)</w:t>
      </w:r>
    </w:p>
    <w:p w14:paraId="5D11024C" w14:textId="77777777" w:rsidR="00664420" w:rsidRPr="002870B2" w:rsidRDefault="00664420" w:rsidP="002870B2">
      <w:pPr>
        <w:autoSpaceDE w:val="0"/>
        <w:autoSpaceDN w:val="0"/>
        <w:adjustRightInd w:val="0"/>
        <w:ind w:right="-28"/>
        <w:rPr>
          <w:rFonts w:cs="Tahoma"/>
          <w:bCs/>
          <w:szCs w:val="22"/>
        </w:rPr>
      </w:pPr>
    </w:p>
    <w:p w14:paraId="68AFCAD1" w14:textId="7E3B6EE0" w:rsidR="004A4311" w:rsidRPr="002870B2" w:rsidRDefault="00F07EE6" w:rsidP="002870B2">
      <w:pPr>
        <w:autoSpaceDE w:val="0"/>
        <w:autoSpaceDN w:val="0"/>
        <w:adjustRightInd w:val="0"/>
        <w:spacing w:after="240"/>
        <w:ind w:right="-28"/>
        <w:rPr>
          <w:rFonts w:cs="Tahoma"/>
          <w:bCs/>
          <w:szCs w:val="22"/>
          <w:lang w:val="es-ES"/>
        </w:rPr>
      </w:pPr>
      <w:r w:rsidRPr="002870B2">
        <w:rPr>
          <w:rFonts w:cs="Tahoma"/>
          <w:bCs/>
          <w:szCs w:val="22"/>
          <w:lang w:val="es-ES"/>
        </w:rPr>
        <w:t xml:space="preserve">Asimismo, </w:t>
      </w:r>
      <w:r w:rsidRPr="002870B2">
        <w:rPr>
          <w:rFonts w:cs="Tahoma"/>
          <w:b/>
          <w:szCs w:val="22"/>
          <w:lang w:val="es-ES"/>
        </w:rPr>
        <w:t xml:space="preserve">EL SUJETO OBLIGADO </w:t>
      </w:r>
      <w:r w:rsidRPr="002870B2">
        <w:rPr>
          <w:rFonts w:cs="Tahoma"/>
          <w:bCs/>
          <w:szCs w:val="22"/>
          <w:lang w:val="es-ES"/>
        </w:rPr>
        <w:t xml:space="preserve">adjuntó a su respuesta </w:t>
      </w:r>
      <w:r w:rsidR="00B807B4" w:rsidRPr="002870B2">
        <w:rPr>
          <w:rFonts w:cs="Tahoma"/>
          <w:bCs/>
          <w:szCs w:val="22"/>
          <w:lang w:val="es-ES"/>
        </w:rPr>
        <w:t>el</w:t>
      </w:r>
      <w:r w:rsidRPr="002870B2">
        <w:rPr>
          <w:rFonts w:cs="Tahoma"/>
          <w:bCs/>
          <w:szCs w:val="22"/>
          <w:lang w:val="es-ES"/>
        </w:rPr>
        <w:t xml:space="preserve"> archivo electrónico </w:t>
      </w:r>
      <w:r w:rsidR="00B807B4" w:rsidRPr="002870B2">
        <w:rPr>
          <w:rFonts w:cs="Tahoma"/>
          <w:bCs/>
          <w:szCs w:val="22"/>
          <w:lang w:val="es-ES"/>
        </w:rPr>
        <w:t xml:space="preserve">denominado </w:t>
      </w:r>
      <w:r w:rsidR="006D4E4A" w:rsidRPr="002870B2">
        <w:rPr>
          <w:rFonts w:cs="Tahoma"/>
          <w:b/>
          <w:bCs/>
          <w:szCs w:val="22"/>
          <w:lang w:val="es-ES"/>
        </w:rPr>
        <w:t>“</w:t>
      </w:r>
      <w:r w:rsidR="00AF171B" w:rsidRPr="002870B2">
        <w:rPr>
          <w:rFonts w:cs="Tahoma"/>
          <w:b/>
          <w:bCs/>
          <w:szCs w:val="22"/>
          <w:lang w:val="es-ES"/>
        </w:rPr>
        <w:t>Respuesta solicitud #29.pdf</w:t>
      </w:r>
      <w:r w:rsidR="006D4E4A" w:rsidRPr="002870B2">
        <w:rPr>
          <w:rFonts w:cs="Tahoma"/>
          <w:b/>
          <w:bCs/>
          <w:szCs w:val="22"/>
          <w:lang w:val="es-ES"/>
        </w:rPr>
        <w:t>”</w:t>
      </w:r>
      <w:r w:rsidR="004A4311" w:rsidRPr="002870B2">
        <w:rPr>
          <w:rFonts w:cs="Tahoma"/>
          <w:b/>
          <w:bCs/>
          <w:szCs w:val="22"/>
          <w:lang w:val="es-ES"/>
        </w:rPr>
        <w:t xml:space="preserve"> </w:t>
      </w:r>
      <w:r w:rsidR="002B6AA4" w:rsidRPr="002870B2">
        <w:rPr>
          <w:rFonts w:cs="Tahoma"/>
          <w:bCs/>
          <w:szCs w:val="22"/>
          <w:lang w:val="es-ES"/>
        </w:rPr>
        <w:t>el</w:t>
      </w:r>
      <w:r w:rsidR="00886000" w:rsidRPr="002870B2">
        <w:rPr>
          <w:rFonts w:cs="Tahoma"/>
          <w:bCs/>
          <w:szCs w:val="22"/>
          <w:lang w:val="es-ES"/>
        </w:rPr>
        <w:t xml:space="preserve"> que consiste en el </w:t>
      </w:r>
      <w:r w:rsidR="006D4E4A" w:rsidRPr="002870B2">
        <w:rPr>
          <w:rFonts w:cs="Tahoma"/>
          <w:bCs/>
          <w:szCs w:val="22"/>
          <w:lang w:val="es-ES"/>
        </w:rPr>
        <w:t xml:space="preserve">oficio número </w:t>
      </w:r>
      <w:r w:rsidR="00AF171B" w:rsidRPr="002870B2">
        <w:rPr>
          <w:rFonts w:cs="Tahoma"/>
          <w:bCs/>
          <w:szCs w:val="22"/>
          <w:lang w:val="es-ES"/>
        </w:rPr>
        <w:t>SMDIF-NEZA/ADMON/</w:t>
      </w:r>
      <w:r w:rsidR="002B6AA4" w:rsidRPr="002870B2">
        <w:rPr>
          <w:rFonts w:cs="Tahoma"/>
          <w:bCs/>
          <w:szCs w:val="22"/>
          <w:lang w:val="es-ES"/>
        </w:rPr>
        <w:t>1046/</w:t>
      </w:r>
      <w:r w:rsidR="00AF171B" w:rsidRPr="002870B2">
        <w:rPr>
          <w:rFonts w:cs="Tahoma"/>
          <w:bCs/>
          <w:szCs w:val="22"/>
          <w:lang w:val="es-ES"/>
        </w:rPr>
        <w:t>2024</w:t>
      </w:r>
      <w:r w:rsidR="006D4E4A" w:rsidRPr="002870B2">
        <w:rPr>
          <w:rFonts w:cs="Tahoma"/>
          <w:bCs/>
          <w:szCs w:val="22"/>
          <w:lang w:val="es-ES"/>
        </w:rPr>
        <w:t xml:space="preserve">, del </w:t>
      </w:r>
      <w:r w:rsidR="00AF171B" w:rsidRPr="002870B2">
        <w:rPr>
          <w:rFonts w:cs="Tahoma"/>
          <w:bCs/>
          <w:szCs w:val="22"/>
          <w:lang w:val="es-ES"/>
        </w:rPr>
        <w:t>diecinueve de julio</w:t>
      </w:r>
      <w:r w:rsidR="00B807B4" w:rsidRPr="002870B2">
        <w:rPr>
          <w:rFonts w:cs="Tahoma"/>
          <w:bCs/>
          <w:szCs w:val="22"/>
          <w:lang w:val="es-ES"/>
        </w:rPr>
        <w:t xml:space="preserve"> de dos mil veinticuatro, </w:t>
      </w:r>
      <w:r w:rsidR="003D0928" w:rsidRPr="002870B2">
        <w:rPr>
          <w:rFonts w:cs="Tahoma"/>
          <w:bCs/>
          <w:szCs w:val="22"/>
          <w:lang w:val="es-ES"/>
        </w:rPr>
        <w:t xml:space="preserve">dirigido </w:t>
      </w:r>
      <w:r w:rsidR="00B807B4" w:rsidRPr="002870B2">
        <w:rPr>
          <w:rFonts w:cs="Tahoma"/>
          <w:bCs/>
          <w:szCs w:val="22"/>
          <w:lang w:val="es-ES"/>
        </w:rPr>
        <w:t xml:space="preserve">al </w:t>
      </w:r>
      <w:r w:rsidR="00AF171B" w:rsidRPr="002870B2">
        <w:rPr>
          <w:rFonts w:cs="Tahoma"/>
          <w:bCs/>
          <w:szCs w:val="22"/>
          <w:lang w:val="es-ES"/>
        </w:rPr>
        <w:t xml:space="preserve">Titular </w:t>
      </w:r>
      <w:r w:rsidR="00AF171B" w:rsidRPr="002870B2">
        <w:rPr>
          <w:rFonts w:cs="Tahoma"/>
          <w:bCs/>
          <w:szCs w:val="22"/>
          <w:lang w:val="es-ES"/>
        </w:rPr>
        <w:lastRenderedPageBreak/>
        <w:t>de la Unidad de Transparencia y Acceso a la información Pública, firmado p</w:t>
      </w:r>
      <w:r w:rsidR="00477FF1" w:rsidRPr="002870B2">
        <w:rPr>
          <w:rFonts w:cs="Tahoma"/>
          <w:bCs/>
          <w:szCs w:val="22"/>
          <w:lang w:val="es-ES"/>
        </w:rPr>
        <w:t xml:space="preserve">or la Titular de Administración, mediante la cual remite </w:t>
      </w:r>
      <w:r w:rsidR="002B6AA4" w:rsidRPr="002870B2">
        <w:rPr>
          <w:rFonts w:cs="Tahoma"/>
          <w:bCs/>
          <w:szCs w:val="22"/>
          <w:lang w:val="es-ES"/>
        </w:rPr>
        <w:t>el oficio SMDIF-NEZA/ADMON/RH/0070/2024, firmado por el Coordinador de Recursos Humano</w:t>
      </w:r>
      <w:r w:rsidR="008D5FFE" w:rsidRPr="002870B2">
        <w:rPr>
          <w:rFonts w:cs="Tahoma"/>
          <w:bCs/>
          <w:szCs w:val="22"/>
          <w:lang w:val="es-ES"/>
        </w:rPr>
        <w:t>s</w:t>
      </w:r>
      <w:r w:rsidR="002B6AA4" w:rsidRPr="002870B2">
        <w:rPr>
          <w:rFonts w:cs="Tahoma"/>
          <w:bCs/>
          <w:szCs w:val="22"/>
          <w:lang w:val="es-ES"/>
        </w:rPr>
        <w:t xml:space="preserve">, mediante el cual hace del conocimiento </w:t>
      </w:r>
      <w:r w:rsidR="00477FF1" w:rsidRPr="002870B2">
        <w:rPr>
          <w:rFonts w:cs="Tahoma"/>
          <w:bCs/>
          <w:szCs w:val="22"/>
          <w:lang w:val="es-ES"/>
        </w:rPr>
        <w:t xml:space="preserve">la lista de abogados adscritos al área jurídica, así como los recibos de nómina de estos, declarándose incompetente por cuanto hace a la lista de abogados adscritos al área jurídica que pueden participar como interventores o salvaguardas y al fundamento jurídico en caso de tener o no tener </w:t>
      </w:r>
      <w:r w:rsidR="008D5FFE" w:rsidRPr="002870B2">
        <w:rPr>
          <w:rFonts w:cs="Tahoma"/>
          <w:bCs/>
          <w:szCs w:val="22"/>
          <w:lang w:val="es-ES"/>
        </w:rPr>
        <w:t>dicha lista</w:t>
      </w:r>
      <w:r w:rsidR="00477FF1" w:rsidRPr="002870B2">
        <w:rPr>
          <w:rFonts w:cs="Tahoma"/>
          <w:bCs/>
          <w:szCs w:val="22"/>
          <w:lang w:val="es-ES"/>
        </w:rPr>
        <w:t>.</w:t>
      </w:r>
    </w:p>
    <w:p w14:paraId="6DC009F2" w14:textId="0C8FCEB0" w:rsidR="00477FF1" w:rsidRPr="002870B2" w:rsidRDefault="00477FF1" w:rsidP="002870B2">
      <w:pPr>
        <w:autoSpaceDE w:val="0"/>
        <w:autoSpaceDN w:val="0"/>
        <w:adjustRightInd w:val="0"/>
        <w:spacing w:after="240"/>
        <w:ind w:right="-28"/>
        <w:rPr>
          <w:rFonts w:cs="Tahoma"/>
          <w:b/>
          <w:bCs/>
          <w:szCs w:val="22"/>
          <w:lang w:val="es-ES"/>
        </w:rPr>
      </w:pPr>
      <w:r w:rsidRPr="002870B2">
        <w:rPr>
          <w:rFonts w:cs="Tahoma"/>
          <w:bCs/>
          <w:szCs w:val="22"/>
          <w:lang w:val="es-ES"/>
        </w:rPr>
        <w:t xml:space="preserve">Así mismo se advierten seis recibos de nómina en versión pública, el acuerdo de </w:t>
      </w:r>
      <w:proofErr w:type="spellStart"/>
      <w:r w:rsidRPr="002870B2">
        <w:rPr>
          <w:rFonts w:cs="Tahoma"/>
          <w:bCs/>
          <w:szCs w:val="22"/>
          <w:lang w:val="es-ES"/>
        </w:rPr>
        <w:t>clasificació</w:t>
      </w:r>
      <w:proofErr w:type="spellEnd"/>
      <w:r w:rsidRPr="002870B2">
        <w:rPr>
          <w:rFonts w:cs="Tahoma"/>
          <w:bCs/>
          <w:szCs w:val="22"/>
          <w:lang w:val="es-ES"/>
        </w:rPr>
        <w:t xml:space="preserve"> y el acta de la Décima Cuarta Sesión Extraordinaria del comité de Transparencia celebrada el veinticuatro de julio de dos mil veinticuatro. </w:t>
      </w:r>
    </w:p>
    <w:p w14:paraId="52460699" w14:textId="0277F32E" w:rsidR="00664420" w:rsidRPr="002870B2" w:rsidRDefault="00664420" w:rsidP="002870B2">
      <w:pPr>
        <w:autoSpaceDE w:val="0"/>
        <w:autoSpaceDN w:val="0"/>
        <w:adjustRightInd w:val="0"/>
        <w:ind w:right="-28"/>
        <w:rPr>
          <w:rFonts w:cs="Tahoma"/>
          <w:bCs/>
          <w:szCs w:val="22"/>
          <w:lang w:val="es-ES"/>
        </w:rPr>
      </w:pPr>
    </w:p>
    <w:p w14:paraId="5A5DAB9E" w14:textId="77777777" w:rsidR="00E37A3F" w:rsidRPr="002870B2" w:rsidRDefault="00E37A3F" w:rsidP="002870B2">
      <w:pPr>
        <w:pStyle w:val="Ttulo2"/>
        <w:jc w:val="left"/>
      </w:pPr>
      <w:bookmarkStart w:id="7" w:name="_Toc177658915"/>
      <w:r w:rsidRPr="002870B2">
        <w:t>DEL RECURSO DE REVISIÓN</w:t>
      </w:r>
      <w:bookmarkEnd w:id="7"/>
    </w:p>
    <w:p w14:paraId="2B216813" w14:textId="61ADBB2B" w:rsidR="00664420" w:rsidRPr="002870B2" w:rsidRDefault="006E25BC" w:rsidP="002870B2">
      <w:pPr>
        <w:pStyle w:val="Ttulo3"/>
        <w:spacing w:line="360" w:lineRule="auto"/>
      </w:pPr>
      <w:bookmarkStart w:id="8" w:name="_Toc177658916"/>
      <w:r w:rsidRPr="002870B2">
        <w:rPr>
          <w:szCs w:val="32"/>
        </w:rPr>
        <w:t>a)</w:t>
      </w:r>
      <w:r w:rsidRPr="002870B2">
        <w:t xml:space="preserve"> </w:t>
      </w:r>
      <w:r w:rsidR="00664420" w:rsidRPr="002870B2">
        <w:t>Interposición del Recurso de Revisión</w:t>
      </w:r>
      <w:bookmarkEnd w:id="8"/>
    </w:p>
    <w:p w14:paraId="6279C622" w14:textId="1D5FD3B4" w:rsidR="00664420" w:rsidRPr="002870B2" w:rsidRDefault="00664420" w:rsidP="002870B2">
      <w:pPr>
        <w:autoSpaceDE w:val="0"/>
        <w:autoSpaceDN w:val="0"/>
        <w:adjustRightInd w:val="0"/>
        <w:ind w:right="-28"/>
        <w:rPr>
          <w:rFonts w:cs="Tahoma"/>
          <w:szCs w:val="22"/>
        </w:rPr>
      </w:pPr>
      <w:r w:rsidRPr="002870B2">
        <w:rPr>
          <w:rFonts w:cs="Tahoma"/>
          <w:szCs w:val="22"/>
        </w:rPr>
        <w:t xml:space="preserve">El </w:t>
      </w:r>
      <w:r w:rsidR="002B6AA4" w:rsidRPr="002870B2">
        <w:rPr>
          <w:rFonts w:cs="Tahoma"/>
          <w:b/>
          <w:szCs w:val="22"/>
        </w:rPr>
        <w:t xml:space="preserve">siete </w:t>
      </w:r>
      <w:r w:rsidR="00B807B4" w:rsidRPr="002870B2">
        <w:rPr>
          <w:rFonts w:cs="Tahoma"/>
          <w:b/>
          <w:szCs w:val="22"/>
        </w:rPr>
        <w:t>de agosto</w:t>
      </w:r>
      <w:r w:rsidR="004D0670" w:rsidRPr="002870B2">
        <w:rPr>
          <w:rFonts w:cs="Tahoma"/>
          <w:b/>
          <w:bCs/>
          <w:szCs w:val="22"/>
        </w:rPr>
        <w:t xml:space="preserve"> </w:t>
      </w:r>
      <w:r w:rsidRPr="002870B2">
        <w:rPr>
          <w:rFonts w:cs="Tahoma"/>
          <w:b/>
          <w:bCs/>
          <w:szCs w:val="22"/>
        </w:rPr>
        <w:t xml:space="preserve">de dos mil </w:t>
      </w:r>
      <w:r w:rsidR="004D0670" w:rsidRPr="002870B2">
        <w:rPr>
          <w:rFonts w:cs="Tahoma"/>
          <w:b/>
          <w:bCs/>
          <w:szCs w:val="22"/>
        </w:rPr>
        <w:t xml:space="preserve">veinticuatro </w:t>
      </w:r>
      <w:r w:rsidR="00F75D23" w:rsidRPr="002870B2">
        <w:rPr>
          <w:rFonts w:cs="Tahoma"/>
          <w:b/>
          <w:bCs/>
          <w:szCs w:val="22"/>
        </w:rPr>
        <w:t>LA PARTE RECURRENTE</w:t>
      </w:r>
      <w:r w:rsidR="00F75D23" w:rsidRPr="002870B2">
        <w:rPr>
          <w:rFonts w:cs="Tahoma"/>
          <w:szCs w:val="22"/>
        </w:rPr>
        <w:t xml:space="preserve"> interpuso el recurso de revisión en contra de la respuesta emitida por el </w:t>
      </w:r>
      <w:r w:rsidR="00F75D23" w:rsidRPr="002870B2">
        <w:rPr>
          <w:rFonts w:cs="Tahoma"/>
          <w:b/>
          <w:bCs/>
          <w:szCs w:val="22"/>
        </w:rPr>
        <w:t>SUJETO OBLIGADO</w:t>
      </w:r>
      <w:r w:rsidR="00953430" w:rsidRPr="002870B2">
        <w:rPr>
          <w:rFonts w:cs="Tahoma"/>
          <w:szCs w:val="22"/>
        </w:rPr>
        <w:t xml:space="preserve">, mismo que fue registrado en el </w:t>
      </w:r>
      <w:r w:rsidR="00953430" w:rsidRPr="002870B2">
        <w:rPr>
          <w:rFonts w:cs="Tahoma"/>
          <w:b/>
          <w:bCs/>
          <w:szCs w:val="22"/>
        </w:rPr>
        <w:t>SAIMEX</w:t>
      </w:r>
      <w:r w:rsidR="00953430" w:rsidRPr="002870B2">
        <w:rPr>
          <w:rFonts w:cs="Tahoma"/>
          <w:szCs w:val="22"/>
        </w:rPr>
        <w:t xml:space="preserve"> con el número de expediente </w:t>
      </w:r>
      <w:r w:rsidR="002B6AA4" w:rsidRPr="002870B2">
        <w:rPr>
          <w:rFonts w:cs="Tahoma"/>
          <w:b/>
          <w:bCs/>
          <w:szCs w:val="22"/>
        </w:rPr>
        <w:t>04727/INFOEM/IP/RR/2024</w:t>
      </w:r>
      <w:r w:rsidR="00953430" w:rsidRPr="002870B2">
        <w:rPr>
          <w:rFonts w:cs="Tahoma"/>
          <w:szCs w:val="22"/>
        </w:rPr>
        <w:t>, y en el cual manifiesta lo siguiente</w:t>
      </w:r>
      <w:r w:rsidRPr="002870B2">
        <w:rPr>
          <w:rFonts w:cs="Tahoma"/>
          <w:szCs w:val="22"/>
        </w:rPr>
        <w:t>:</w:t>
      </w:r>
    </w:p>
    <w:p w14:paraId="74B30008" w14:textId="77777777" w:rsidR="00664420" w:rsidRPr="002870B2" w:rsidRDefault="00664420" w:rsidP="002870B2">
      <w:pPr>
        <w:tabs>
          <w:tab w:val="left" w:pos="4667"/>
        </w:tabs>
        <w:ind w:right="539"/>
        <w:rPr>
          <w:rFonts w:cs="Tahoma"/>
          <w:szCs w:val="22"/>
        </w:rPr>
      </w:pPr>
    </w:p>
    <w:p w14:paraId="12153283" w14:textId="7A3232C3" w:rsidR="00664420" w:rsidRPr="002870B2" w:rsidRDefault="00204AB7" w:rsidP="002870B2">
      <w:pPr>
        <w:tabs>
          <w:tab w:val="left" w:pos="4667"/>
        </w:tabs>
        <w:ind w:left="567" w:right="539"/>
        <w:rPr>
          <w:rFonts w:cs="Tahoma"/>
          <w:b/>
          <w:iCs/>
        </w:rPr>
      </w:pPr>
      <w:r w:rsidRPr="002870B2">
        <w:rPr>
          <w:rFonts w:cs="Tahoma"/>
          <w:b/>
          <w:iCs/>
        </w:rPr>
        <w:t>ACTO IMPUGNADO</w:t>
      </w:r>
    </w:p>
    <w:p w14:paraId="327903E2" w14:textId="77777777" w:rsidR="00864EDB" w:rsidRPr="002870B2" w:rsidRDefault="00864EDB" w:rsidP="002870B2">
      <w:pPr>
        <w:tabs>
          <w:tab w:val="left" w:pos="4667"/>
        </w:tabs>
        <w:ind w:left="567" w:right="539"/>
        <w:rPr>
          <w:rFonts w:cs="Tahoma"/>
          <w:b/>
          <w:iCs/>
        </w:rPr>
      </w:pPr>
    </w:p>
    <w:p w14:paraId="523F8BF4" w14:textId="17B106CC" w:rsidR="00664420" w:rsidRPr="002870B2" w:rsidRDefault="00FD5594" w:rsidP="002870B2">
      <w:pPr>
        <w:tabs>
          <w:tab w:val="left" w:pos="4667"/>
        </w:tabs>
        <w:ind w:left="567" w:right="539"/>
        <w:rPr>
          <w:rFonts w:cs="Tahoma"/>
          <w:i/>
        </w:rPr>
      </w:pPr>
      <w:r w:rsidRPr="002870B2">
        <w:rPr>
          <w:rFonts w:cs="Tahoma"/>
          <w:bCs/>
          <w:i/>
        </w:rPr>
        <w:t>“</w:t>
      </w:r>
      <w:r w:rsidR="002B6AA4" w:rsidRPr="002870B2">
        <w:rPr>
          <w:rFonts w:cs="Tahoma"/>
          <w:bCs/>
          <w:i/>
        </w:rPr>
        <w:t>Falta contestación de una Área.</w:t>
      </w:r>
      <w:r w:rsidRPr="002870B2">
        <w:rPr>
          <w:rFonts w:cs="Tahoma"/>
          <w:b/>
          <w:bCs/>
          <w:i/>
        </w:rPr>
        <w:t xml:space="preserve">” </w:t>
      </w:r>
      <w:r w:rsidRPr="002870B2">
        <w:rPr>
          <w:rFonts w:cs="Tahoma"/>
          <w:i/>
        </w:rPr>
        <w:t>(Sic)</w:t>
      </w:r>
    </w:p>
    <w:p w14:paraId="6AE8EA9A" w14:textId="77777777" w:rsidR="00664420" w:rsidRPr="002870B2" w:rsidRDefault="00664420" w:rsidP="002870B2">
      <w:pPr>
        <w:tabs>
          <w:tab w:val="left" w:pos="4667"/>
        </w:tabs>
        <w:ind w:left="567" w:right="539"/>
        <w:rPr>
          <w:rFonts w:cs="Tahoma"/>
          <w:bCs/>
          <w:i/>
        </w:rPr>
      </w:pPr>
    </w:p>
    <w:p w14:paraId="047D036B" w14:textId="0BE971DA" w:rsidR="00664420" w:rsidRPr="002870B2" w:rsidRDefault="00664420" w:rsidP="002870B2">
      <w:pPr>
        <w:tabs>
          <w:tab w:val="left" w:pos="4667"/>
        </w:tabs>
        <w:ind w:left="567" w:right="539"/>
        <w:rPr>
          <w:rFonts w:cs="Tahoma"/>
          <w:b/>
          <w:iCs/>
        </w:rPr>
      </w:pPr>
      <w:r w:rsidRPr="002870B2">
        <w:rPr>
          <w:rFonts w:cs="Tahoma"/>
          <w:b/>
          <w:iCs/>
        </w:rPr>
        <w:t>RAZONE</w:t>
      </w:r>
      <w:r w:rsidR="00204AB7" w:rsidRPr="002870B2">
        <w:rPr>
          <w:rFonts w:cs="Tahoma"/>
          <w:b/>
          <w:iCs/>
        </w:rPr>
        <w:t>S O MOTIVOS DE LA INCONFORMIDAD</w:t>
      </w:r>
    </w:p>
    <w:p w14:paraId="1DAE2563" w14:textId="27201DA0" w:rsidR="00953430" w:rsidRPr="002870B2" w:rsidRDefault="00FD5594" w:rsidP="002870B2">
      <w:pPr>
        <w:tabs>
          <w:tab w:val="left" w:pos="4667"/>
        </w:tabs>
        <w:spacing w:after="240" w:line="240" w:lineRule="auto"/>
        <w:ind w:left="851" w:right="822"/>
        <w:rPr>
          <w:rFonts w:cs="Tahoma"/>
          <w:bCs/>
          <w:i/>
        </w:rPr>
      </w:pPr>
      <w:r w:rsidRPr="002870B2">
        <w:rPr>
          <w:rFonts w:cs="Tahoma"/>
          <w:bCs/>
          <w:i/>
        </w:rPr>
        <w:lastRenderedPageBreak/>
        <w:t>“</w:t>
      </w:r>
      <w:r w:rsidR="002B6AA4" w:rsidRPr="002870B2">
        <w:rPr>
          <w:rFonts w:cs="Tahoma"/>
          <w:bCs/>
          <w:i/>
        </w:rPr>
        <w:t>Agradezco mucho la información proporcionada por el área de Recursos Humanos, muy completa y entendendible, pero dentro de esa misma respuesta, señalan incompetencia dado quien tiene la información faltante es la Coordinación Jurídica, dentro de la respuesta proporcionada no viene respuesta por parte de esta Área, es la razón del presente recurso. Espero puedan subsanar esa parte, anexo las imagenes de sus respuestas señalando lo anterior.</w:t>
      </w:r>
      <w:r w:rsidRPr="002870B2">
        <w:rPr>
          <w:rFonts w:cs="Tahoma"/>
          <w:bCs/>
          <w:i/>
        </w:rPr>
        <w:t>”(Sic)</w:t>
      </w:r>
    </w:p>
    <w:p w14:paraId="1A7C7B7D" w14:textId="77777777" w:rsidR="002B6AA4" w:rsidRPr="002870B2" w:rsidRDefault="002A7735" w:rsidP="002870B2">
      <w:pPr>
        <w:autoSpaceDE w:val="0"/>
        <w:autoSpaceDN w:val="0"/>
        <w:adjustRightInd w:val="0"/>
        <w:spacing w:after="240"/>
        <w:ind w:right="-28"/>
        <w:rPr>
          <w:rFonts w:cs="Tahoma"/>
          <w:szCs w:val="22"/>
        </w:rPr>
      </w:pPr>
      <w:r w:rsidRPr="002870B2">
        <w:rPr>
          <w:rFonts w:cs="Tahoma"/>
          <w:szCs w:val="22"/>
        </w:rPr>
        <w:t>Así mismo adjuntó a</w:t>
      </w:r>
      <w:r w:rsidR="002B6AA4" w:rsidRPr="002870B2">
        <w:rPr>
          <w:rFonts w:cs="Tahoma"/>
          <w:szCs w:val="22"/>
        </w:rPr>
        <w:t xml:space="preserve"> la presentación de su recurso los siguientes archivos electrónicos:</w:t>
      </w:r>
    </w:p>
    <w:p w14:paraId="056DF391" w14:textId="1FF3641F" w:rsidR="002A7735" w:rsidRPr="002870B2" w:rsidRDefault="002B6AA4" w:rsidP="002870B2">
      <w:pPr>
        <w:pStyle w:val="Prrafodelista"/>
        <w:numPr>
          <w:ilvl w:val="0"/>
          <w:numId w:val="30"/>
        </w:numPr>
        <w:autoSpaceDE w:val="0"/>
        <w:autoSpaceDN w:val="0"/>
        <w:adjustRightInd w:val="0"/>
        <w:ind w:right="-28"/>
        <w:rPr>
          <w:rFonts w:cs="Tahoma"/>
          <w:b/>
          <w:szCs w:val="22"/>
        </w:rPr>
      </w:pPr>
      <w:r w:rsidRPr="002870B2">
        <w:rPr>
          <w:rFonts w:cs="Tahoma"/>
          <w:b/>
          <w:bCs/>
          <w:i/>
          <w:iCs/>
          <w:szCs w:val="22"/>
        </w:rPr>
        <w:t>“Respuesta 1.png”</w:t>
      </w:r>
      <w:r w:rsidR="002A7735" w:rsidRPr="002870B2">
        <w:rPr>
          <w:rFonts w:cs="Tahoma"/>
          <w:b/>
          <w:bCs/>
          <w:i/>
          <w:iCs/>
          <w:szCs w:val="22"/>
        </w:rPr>
        <w:t xml:space="preserve"> </w:t>
      </w:r>
      <w:r w:rsidRPr="002870B2">
        <w:rPr>
          <w:rFonts w:cs="Tahoma"/>
          <w:szCs w:val="22"/>
        </w:rPr>
        <w:t xml:space="preserve">archivo que consiste en una imagen extractada del oficio </w:t>
      </w:r>
      <w:r w:rsidRPr="002870B2">
        <w:rPr>
          <w:rFonts w:cs="Tahoma"/>
          <w:bCs/>
          <w:szCs w:val="22"/>
          <w:lang w:val="es-ES"/>
        </w:rPr>
        <w:t>SMDIF-NEZA/ADMON/</w:t>
      </w:r>
      <w:r w:rsidR="008D5FFE" w:rsidRPr="002870B2">
        <w:rPr>
          <w:rFonts w:cs="Tahoma"/>
          <w:bCs/>
          <w:szCs w:val="22"/>
          <w:lang w:val="es-ES"/>
        </w:rPr>
        <w:t>1046/</w:t>
      </w:r>
      <w:r w:rsidRPr="002870B2">
        <w:rPr>
          <w:rFonts w:cs="Tahoma"/>
          <w:bCs/>
          <w:szCs w:val="22"/>
          <w:lang w:val="es-ES"/>
        </w:rPr>
        <w:t xml:space="preserve">2024, </w:t>
      </w:r>
      <w:r w:rsidRPr="002870B2">
        <w:rPr>
          <w:rFonts w:cs="Tahoma"/>
          <w:szCs w:val="22"/>
        </w:rPr>
        <w:t xml:space="preserve">remitido en respuesta primigenia por </w:t>
      </w:r>
      <w:r w:rsidRPr="002870B2">
        <w:rPr>
          <w:rFonts w:cs="Tahoma"/>
          <w:b/>
          <w:szCs w:val="22"/>
        </w:rPr>
        <w:t>EL SUJETO OBLIGADO</w:t>
      </w:r>
      <w:r w:rsidRPr="002870B2">
        <w:rPr>
          <w:rFonts w:cs="Tahoma"/>
          <w:b/>
          <w:bCs/>
          <w:szCs w:val="22"/>
          <w:lang w:val="es-ES"/>
        </w:rPr>
        <w:t>.</w:t>
      </w:r>
    </w:p>
    <w:p w14:paraId="44E8DFAA" w14:textId="77777777" w:rsidR="008D5FFE" w:rsidRPr="002870B2" w:rsidRDefault="002B6AA4" w:rsidP="002870B2">
      <w:pPr>
        <w:pStyle w:val="Prrafodelista"/>
        <w:numPr>
          <w:ilvl w:val="0"/>
          <w:numId w:val="30"/>
        </w:numPr>
        <w:autoSpaceDE w:val="0"/>
        <w:autoSpaceDN w:val="0"/>
        <w:adjustRightInd w:val="0"/>
        <w:ind w:right="-28"/>
        <w:rPr>
          <w:rFonts w:cs="Tahoma"/>
          <w:b/>
          <w:szCs w:val="22"/>
        </w:rPr>
      </w:pPr>
      <w:r w:rsidRPr="002870B2">
        <w:rPr>
          <w:rFonts w:cs="Tahoma"/>
          <w:b/>
          <w:bCs/>
          <w:i/>
          <w:iCs/>
          <w:szCs w:val="22"/>
        </w:rPr>
        <w:t>“Respuesta 1.png”</w:t>
      </w:r>
      <w:r w:rsidR="008D5FFE" w:rsidRPr="002870B2">
        <w:rPr>
          <w:rFonts w:cs="Tahoma"/>
          <w:b/>
          <w:bCs/>
          <w:i/>
          <w:iCs/>
          <w:szCs w:val="22"/>
        </w:rPr>
        <w:t xml:space="preserve"> </w:t>
      </w:r>
      <w:r w:rsidR="008D5FFE" w:rsidRPr="002870B2">
        <w:rPr>
          <w:rFonts w:cs="Tahoma"/>
          <w:bCs/>
          <w:iCs/>
          <w:szCs w:val="22"/>
        </w:rPr>
        <w:t xml:space="preserve">de cuyo contenido se advierte un imagen con el extracto del oficio </w:t>
      </w:r>
      <w:r w:rsidR="008D5FFE" w:rsidRPr="002870B2">
        <w:rPr>
          <w:rFonts w:cs="Tahoma"/>
          <w:bCs/>
          <w:szCs w:val="22"/>
          <w:lang w:val="es-ES"/>
        </w:rPr>
        <w:t xml:space="preserve">SMDIF-NEZA/ADMON/RH/0070/2024, </w:t>
      </w:r>
      <w:r w:rsidR="008D5FFE" w:rsidRPr="002870B2">
        <w:rPr>
          <w:rFonts w:cs="Tahoma"/>
          <w:szCs w:val="22"/>
        </w:rPr>
        <w:t xml:space="preserve">remitido en respuesta primigenia por </w:t>
      </w:r>
      <w:r w:rsidR="008D5FFE" w:rsidRPr="002870B2">
        <w:rPr>
          <w:rFonts w:cs="Tahoma"/>
          <w:b/>
          <w:szCs w:val="22"/>
        </w:rPr>
        <w:t>EL SUJETO OBLIGADO</w:t>
      </w:r>
      <w:r w:rsidR="008D5FFE" w:rsidRPr="002870B2">
        <w:rPr>
          <w:rFonts w:cs="Tahoma"/>
          <w:b/>
          <w:bCs/>
          <w:szCs w:val="22"/>
          <w:lang w:val="es-ES"/>
        </w:rPr>
        <w:t>.</w:t>
      </w:r>
    </w:p>
    <w:p w14:paraId="5E9B0DF4" w14:textId="7D732127" w:rsidR="002A7735" w:rsidRPr="002870B2" w:rsidRDefault="002A7735" w:rsidP="002870B2">
      <w:pPr>
        <w:tabs>
          <w:tab w:val="left" w:pos="4667"/>
        </w:tabs>
        <w:spacing w:line="240" w:lineRule="auto"/>
        <w:ind w:right="822"/>
        <w:rPr>
          <w:b/>
        </w:rPr>
      </w:pPr>
    </w:p>
    <w:p w14:paraId="6804DEF1" w14:textId="387EF775" w:rsidR="00664420" w:rsidRPr="002870B2" w:rsidRDefault="006E25BC" w:rsidP="002870B2">
      <w:pPr>
        <w:pStyle w:val="Ttulo3"/>
        <w:spacing w:line="360" w:lineRule="auto"/>
      </w:pPr>
      <w:bookmarkStart w:id="9" w:name="_Toc177658917"/>
      <w:r w:rsidRPr="002870B2">
        <w:t>b</w:t>
      </w:r>
      <w:r w:rsidR="00664420" w:rsidRPr="002870B2">
        <w:t>) Turno del Recurso de Revisión</w:t>
      </w:r>
      <w:bookmarkEnd w:id="9"/>
    </w:p>
    <w:p w14:paraId="1173671B" w14:textId="7399B8AB" w:rsidR="00C72DAA" w:rsidRPr="002870B2" w:rsidRDefault="00C72DAA" w:rsidP="002870B2">
      <w:bookmarkStart w:id="10" w:name="_Hlk176869454"/>
      <w:r w:rsidRPr="002870B2">
        <w:t>Con fundamento en el artículo 185, fracción I de la Ley de Transparencia y Acceso a la Información Pública del Estado de México y Municipios, el</w:t>
      </w:r>
      <w:r w:rsidRPr="002870B2">
        <w:rPr>
          <w:b/>
          <w:bCs/>
        </w:rPr>
        <w:t xml:space="preserve"> </w:t>
      </w:r>
      <w:r w:rsidR="008D5FFE" w:rsidRPr="002870B2">
        <w:rPr>
          <w:rFonts w:eastAsia="Palatino Linotype" w:cs="Palatino Linotype"/>
          <w:b/>
        </w:rPr>
        <w:t>siete</w:t>
      </w:r>
      <w:r w:rsidR="002A7735" w:rsidRPr="002870B2">
        <w:rPr>
          <w:rFonts w:eastAsia="Palatino Linotype" w:cs="Palatino Linotype"/>
          <w:b/>
        </w:rPr>
        <w:t xml:space="preserve"> de agosto</w:t>
      </w:r>
      <w:r w:rsidR="007B190D" w:rsidRPr="002870B2">
        <w:rPr>
          <w:rFonts w:eastAsia="Palatino Linotype" w:cs="Palatino Linotype"/>
          <w:b/>
        </w:rPr>
        <w:t xml:space="preserve"> </w:t>
      </w:r>
      <w:r w:rsidRPr="002870B2">
        <w:rPr>
          <w:rFonts w:eastAsia="Palatino Linotype" w:cs="Palatino Linotype"/>
          <w:b/>
        </w:rPr>
        <w:t xml:space="preserve">de dos mil </w:t>
      </w:r>
      <w:bookmarkEnd w:id="10"/>
      <w:r w:rsidR="007B190D" w:rsidRPr="002870B2">
        <w:rPr>
          <w:rFonts w:eastAsia="Palatino Linotype" w:cs="Palatino Linotype"/>
          <w:b/>
        </w:rPr>
        <w:t>veinticuatro</w:t>
      </w:r>
      <w:r w:rsidRPr="002870B2">
        <w:t xml:space="preserve"> se turnó el recurso de revisión a través del</w:t>
      </w:r>
      <w:r w:rsidRPr="002870B2">
        <w:rPr>
          <w:rFonts w:eastAsia="Arial Unicode MS"/>
        </w:rPr>
        <w:t xml:space="preserve"> </w:t>
      </w:r>
      <w:r w:rsidRPr="002870B2">
        <w:rPr>
          <w:rFonts w:eastAsia="Arial Unicode MS"/>
          <w:bCs/>
        </w:rPr>
        <w:t>SAIMEX</w:t>
      </w:r>
      <w:r w:rsidRPr="002870B2">
        <w:t xml:space="preserve"> a la </w:t>
      </w:r>
      <w:r w:rsidRPr="002870B2">
        <w:rPr>
          <w:b/>
        </w:rPr>
        <w:t>Comisionada Sharon Cristina Morales Martínez</w:t>
      </w:r>
      <w:r w:rsidRPr="002870B2">
        <w:rPr>
          <w:bCs/>
        </w:rPr>
        <w:t xml:space="preserve">, </w:t>
      </w:r>
      <w:r w:rsidRPr="002870B2">
        <w:t xml:space="preserve">a efecto de decretar su admisión o desechamiento. </w:t>
      </w:r>
    </w:p>
    <w:p w14:paraId="18F305CB" w14:textId="77777777" w:rsidR="00664420" w:rsidRPr="002870B2" w:rsidRDefault="00664420" w:rsidP="002870B2">
      <w:pPr>
        <w:rPr>
          <w:rFonts w:eastAsia="Batang" w:cs="Tahoma"/>
          <w:bCs/>
          <w:szCs w:val="22"/>
        </w:rPr>
      </w:pPr>
    </w:p>
    <w:p w14:paraId="3E31EC2D" w14:textId="295256A1" w:rsidR="00664420" w:rsidRPr="002870B2" w:rsidRDefault="006E25BC" w:rsidP="002870B2">
      <w:pPr>
        <w:pStyle w:val="Ttulo3"/>
        <w:spacing w:line="360" w:lineRule="auto"/>
      </w:pPr>
      <w:bookmarkStart w:id="11" w:name="_Toc177658918"/>
      <w:r w:rsidRPr="002870B2">
        <w:t>c</w:t>
      </w:r>
      <w:r w:rsidR="00664420" w:rsidRPr="002870B2">
        <w:t>) Admisión del Recurso de Revisión</w:t>
      </w:r>
      <w:bookmarkEnd w:id="11"/>
    </w:p>
    <w:p w14:paraId="49A0BFAC" w14:textId="6A838F01" w:rsidR="007B190D" w:rsidRPr="002870B2" w:rsidRDefault="000E09C4" w:rsidP="002870B2">
      <w:pPr>
        <w:rPr>
          <w:rFonts w:cs="Arial"/>
        </w:rPr>
      </w:pPr>
      <w:r w:rsidRPr="002870B2">
        <w:rPr>
          <w:rFonts w:cs="Arial"/>
        </w:rPr>
        <w:t xml:space="preserve">El </w:t>
      </w:r>
      <w:r w:rsidR="008D5FFE" w:rsidRPr="002870B2">
        <w:rPr>
          <w:rFonts w:eastAsia="Palatino Linotype" w:cs="Palatino Linotype"/>
          <w:b/>
        </w:rPr>
        <w:t>doce</w:t>
      </w:r>
      <w:r w:rsidR="002A7735" w:rsidRPr="002870B2">
        <w:rPr>
          <w:rFonts w:eastAsia="Palatino Linotype" w:cs="Palatino Linotype"/>
          <w:b/>
        </w:rPr>
        <w:t xml:space="preserve"> de agosto</w:t>
      </w:r>
      <w:r w:rsidR="007B190D" w:rsidRPr="002870B2">
        <w:rPr>
          <w:rFonts w:eastAsia="Palatino Linotype" w:cs="Palatino Linotype"/>
          <w:b/>
        </w:rPr>
        <w:t xml:space="preserve"> </w:t>
      </w:r>
      <w:r w:rsidRPr="002870B2">
        <w:rPr>
          <w:rFonts w:eastAsia="Palatino Linotype" w:cs="Palatino Linotype"/>
          <w:b/>
        </w:rPr>
        <w:t xml:space="preserve">de dos mil </w:t>
      </w:r>
      <w:r w:rsidR="007B190D" w:rsidRPr="002870B2">
        <w:rPr>
          <w:rFonts w:eastAsia="Palatino Linotype" w:cs="Palatino Linotype"/>
          <w:b/>
        </w:rPr>
        <w:t>veinticuatro</w:t>
      </w:r>
      <w:r w:rsidR="007B190D" w:rsidRPr="002870B2">
        <w:t xml:space="preserve"> </w:t>
      </w:r>
      <w:r w:rsidRPr="002870B2">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870B2">
        <w:rPr>
          <w:rFonts w:cs="Arial"/>
        </w:rPr>
        <w:t>, fracción II</w:t>
      </w:r>
      <w:r w:rsidRPr="002870B2">
        <w:rPr>
          <w:rFonts w:cs="Arial"/>
        </w:rPr>
        <w:t xml:space="preserve"> de la Ley de Transparencia y Acceso a la Información Pública del Estado de México y Municipios.</w:t>
      </w:r>
    </w:p>
    <w:p w14:paraId="3B820F58" w14:textId="30905F08" w:rsidR="00865CF4" w:rsidRPr="002870B2" w:rsidRDefault="007B190D" w:rsidP="002870B2">
      <w:pPr>
        <w:pStyle w:val="Ttulo3"/>
        <w:spacing w:line="360" w:lineRule="auto"/>
      </w:pPr>
      <w:bookmarkStart w:id="12" w:name="_Toc177658919"/>
      <w:r w:rsidRPr="002870B2">
        <w:lastRenderedPageBreak/>
        <w:t>d</w:t>
      </w:r>
      <w:r w:rsidR="00664420" w:rsidRPr="002870B2">
        <w:t xml:space="preserve">) </w:t>
      </w:r>
      <w:r w:rsidR="00865CF4" w:rsidRPr="002870B2">
        <w:t>Informe Justificado del Sujeto Obligado</w:t>
      </w:r>
      <w:bookmarkEnd w:id="12"/>
    </w:p>
    <w:p w14:paraId="26B5808F" w14:textId="4C7151D8" w:rsidR="008D5FFE" w:rsidRPr="002870B2" w:rsidRDefault="008D5FFE" w:rsidP="002870B2">
      <w:pPr>
        <w:spacing w:after="240"/>
        <w:rPr>
          <w:rFonts w:cs="Tahoma"/>
          <w:bCs/>
          <w:szCs w:val="24"/>
        </w:rPr>
      </w:pPr>
      <w:r w:rsidRPr="002870B2">
        <w:rPr>
          <w:rFonts w:cs="Tahoma"/>
          <w:bCs/>
          <w:szCs w:val="24"/>
        </w:rPr>
        <w:t xml:space="preserve">El </w:t>
      </w:r>
      <w:r w:rsidRPr="002870B2">
        <w:rPr>
          <w:rFonts w:cs="Tahoma"/>
          <w:b/>
          <w:szCs w:val="24"/>
        </w:rPr>
        <w:t>dieciséis de agosto de dos mil veinticuatro EL SUJETO OBLIGADO</w:t>
      </w:r>
      <w:r w:rsidRPr="002870B2">
        <w:rPr>
          <w:rFonts w:cs="Tahoma"/>
          <w:bCs/>
          <w:szCs w:val="24"/>
        </w:rPr>
        <w:t xml:space="preserve"> rindió su informe justificado a través del </w:t>
      </w:r>
      <w:r w:rsidRPr="002870B2">
        <w:rPr>
          <w:rFonts w:cs="Tahoma"/>
          <w:b/>
          <w:bCs/>
          <w:szCs w:val="24"/>
        </w:rPr>
        <w:t xml:space="preserve">SAIMEX, </w:t>
      </w:r>
      <w:r w:rsidRPr="002870B2">
        <w:rPr>
          <w:rFonts w:cs="Tahoma"/>
          <w:bCs/>
          <w:szCs w:val="24"/>
        </w:rPr>
        <w:t>adjuntado los siguientes archivos:</w:t>
      </w:r>
    </w:p>
    <w:p w14:paraId="325DB8F1" w14:textId="2E24E746" w:rsidR="008D5FFE" w:rsidRPr="002870B2" w:rsidRDefault="008D5FFE" w:rsidP="002870B2">
      <w:pPr>
        <w:pStyle w:val="Prrafodelista"/>
        <w:numPr>
          <w:ilvl w:val="0"/>
          <w:numId w:val="31"/>
        </w:numPr>
        <w:rPr>
          <w:rFonts w:cs="Tahoma"/>
          <w:b/>
          <w:bCs/>
          <w:i/>
          <w:szCs w:val="24"/>
        </w:rPr>
      </w:pPr>
      <w:r w:rsidRPr="002870B2">
        <w:rPr>
          <w:rFonts w:cs="Tahoma"/>
          <w:b/>
          <w:bCs/>
          <w:i/>
          <w:szCs w:val="24"/>
        </w:rPr>
        <w:t>“Recurso de revisión #29. (2).pdf”</w:t>
      </w:r>
      <w:r w:rsidRPr="002870B2">
        <w:rPr>
          <w:rFonts w:cs="Tahoma"/>
          <w:bCs/>
          <w:szCs w:val="24"/>
        </w:rPr>
        <w:t xml:space="preserve">, archivo que consiste en el oficio </w:t>
      </w:r>
      <w:r w:rsidRPr="002870B2">
        <w:rPr>
          <w:rFonts w:cs="Tahoma"/>
          <w:bCs/>
          <w:szCs w:val="22"/>
          <w:lang w:val="es-ES"/>
        </w:rPr>
        <w:t xml:space="preserve">SMDIF-NEZA/ADMON/1151/2024, del nueve de  agosto de dos mil veinticuatro, dirigido al Titular de la Unidad de Transparencia y Acceso a la información Pública y firmado por la Titular de la Unidad de Administración, mediante el cual informa </w:t>
      </w:r>
      <w:r w:rsidR="00D90CAE" w:rsidRPr="002870B2">
        <w:rPr>
          <w:rFonts w:cs="Tahoma"/>
          <w:bCs/>
          <w:szCs w:val="22"/>
          <w:lang w:val="es-ES"/>
        </w:rPr>
        <w:t>de manera sustancial que en atención a sus funciones y atribuciones no es de su facultad designar temas jurídicos de participación, designación de actividades o funciones.</w:t>
      </w:r>
    </w:p>
    <w:p w14:paraId="508CB77D" w14:textId="23E34CB3" w:rsidR="008D5FFE" w:rsidRPr="002870B2" w:rsidRDefault="00D90CAE" w:rsidP="002870B2">
      <w:pPr>
        <w:pStyle w:val="Prrafodelista"/>
        <w:numPr>
          <w:ilvl w:val="0"/>
          <w:numId w:val="31"/>
        </w:numPr>
        <w:spacing w:after="240"/>
        <w:rPr>
          <w:rFonts w:cs="Tahoma"/>
          <w:bCs/>
          <w:szCs w:val="24"/>
        </w:rPr>
      </w:pPr>
      <w:r w:rsidRPr="002870B2">
        <w:rPr>
          <w:rFonts w:cs="Tahoma"/>
          <w:b/>
          <w:bCs/>
          <w:i/>
          <w:szCs w:val="24"/>
        </w:rPr>
        <w:t>“Respuesta Recurso De Revisión #29..pdf”,</w:t>
      </w:r>
      <w:r w:rsidRPr="002870B2">
        <w:rPr>
          <w:rFonts w:cs="Tahoma"/>
          <w:bCs/>
          <w:szCs w:val="24"/>
        </w:rPr>
        <w:t xml:space="preserve"> de cuyo contenido se advierte el oficio </w:t>
      </w:r>
      <w:r w:rsidRPr="002870B2">
        <w:rPr>
          <w:rFonts w:cs="Tahoma"/>
          <w:bCs/>
          <w:szCs w:val="22"/>
          <w:lang w:val="es-ES"/>
        </w:rPr>
        <w:t>SMDIF-NEZA/CJ/162/2024, del dieciséis de agosto de dos mil veinticuatro dirigido al Titular de la Unidad de Transparencia y Acceso a la información Pública y firmado por el Coordinador Jurídico, mediante el cual remite la lista de abogados adscritos al área Jurídica, e informa que por cuanto hace a la participación de abogados adscritos a esta área como interventores o salva guardas</w:t>
      </w:r>
      <w:r w:rsidR="00D001B8" w:rsidRPr="002870B2">
        <w:rPr>
          <w:rFonts w:cs="Tahoma"/>
          <w:bCs/>
          <w:szCs w:val="22"/>
          <w:lang w:val="es-ES"/>
        </w:rPr>
        <w:t>, en atención al articulo 3 fracción VI de la Ley que Crea los Organismo Públicos Descentralizados de Asistencia Social, de Carácter Municipal Denominados “Sistemas Municipales Para el Desarrollo Integral de la Familia, no está dentro de sus facultades o atribuciones por lo que no cuenta con personal para fungir como interventor en términos del artículo 4.360 del Código Civil Vigente en el Estado de México.</w:t>
      </w:r>
    </w:p>
    <w:p w14:paraId="0C45033D" w14:textId="229C29D4" w:rsidR="00D001B8" w:rsidRPr="002870B2" w:rsidRDefault="00D001B8" w:rsidP="002870B2">
      <w:pPr>
        <w:rPr>
          <w:rFonts w:eastAsia="Arial Unicode MS" w:cs="Arial"/>
          <w:i/>
        </w:rPr>
      </w:pPr>
      <w:r w:rsidRPr="002870B2">
        <w:rPr>
          <w:rFonts w:cs="Tahoma"/>
          <w:bCs/>
          <w:szCs w:val="24"/>
        </w:rPr>
        <w:t xml:space="preserve">Esta información fue puesta a la vista de </w:t>
      </w:r>
      <w:r w:rsidRPr="002870B2">
        <w:rPr>
          <w:rFonts w:cs="Tahoma"/>
          <w:b/>
          <w:szCs w:val="24"/>
        </w:rPr>
        <w:t xml:space="preserve">LA PARTE RECURRENTE </w:t>
      </w:r>
      <w:r w:rsidRPr="002870B2">
        <w:rPr>
          <w:rFonts w:cs="Tahoma"/>
          <w:bCs/>
          <w:szCs w:val="24"/>
        </w:rPr>
        <w:t xml:space="preserve">el </w:t>
      </w:r>
      <w:r w:rsidRPr="002870B2">
        <w:rPr>
          <w:rFonts w:cs="Tahoma"/>
          <w:b/>
          <w:szCs w:val="24"/>
        </w:rPr>
        <w:t>nueve de septiembre de dos mil veinticuatro</w:t>
      </w:r>
      <w:r w:rsidRPr="002870B2">
        <w:rPr>
          <w:rFonts w:cs="Tahoma"/>
          <w:bCs/>
          <w:szCs w:val="24"/>
        </w:rPr>
        <w:t xml:space="preserve"> para que, en un plazo de tres días hábiles, manifestara lo que a su </w:t>
      </w:r>
      <w:r w:rsidRPr="002870B2">
        <w:rPr>
          <w:rFonts w:cs="Tahoma"/>
          <w:bCs/>
          <w:szCs w:val="24"/>
        </w:rPr>
        <w:lastRenderedPageBreak/>
        <w:t xml:space="preserve">derecho conviniera, de conformidad con lo establecido en el </w:t>
      </w:r>
      <w:r w:rsidRPr="002870B2">
        <w:rPr>
          <w:rFonts w:cs="Arial"/>
        </w:rPr>
        <w:t>artículo 185, fracción III de la Ley de Transparencia y Acceso a la Información Pública del Estado de México y Municipios</w:t>
      </w:r>
      <w:r w:rsidRPr="002870B2">
        <w:rPr>
          <w:rFonts w:cs="Tahoma"/>
          <w:bCs/>
          <w:szCs w:val="24"/>
        </w:rPr>
        <w:t>.</w:t>
      </w:r>
    </w:p>
    <w:p w14:paraId="66BA6FC7" w14:textId="77777777" w:rsidR="00865CF4" w:rsidRPr="002870B2" w:rsidRDefault="00865CF4" w:rsidP="002870B2">
      <w:pPr>
        <w:rPr>
          <w:rFonts w:cs="Tahoma"/>
          <w:bCs/>
          <w:szCs w:val="24"/>
        </w:rPr>
      </w:pPr>
    </w:p>
    <w:p w14:paraId="755B7730" w14:textId="1B2B08C0" w:rsidR="00664420" w:rsidRPr="002870B2" w:rsidRDefault="007B190D" w:rsidP="002870B2">
      <w:pPr>
        <w:pStyle w:val="Ttulo3"/>
        <w:spacing w:line="360" w:lineRule="auto"/>
        <w:rPr>
          <w:lang w:val="es-ES"/>
        </w:rPr>
      </w:pPr>
      <w:bookmarkStart w:id="13" w:name="_Toc177658920"/>
      <w:r w:rsidRPr="002870B2">
        <w:rPr>
          <w:rFonts w:eastAsia="Calibri"/>
          <w:bCs/>
          <w:lang w:eastAsia="en-US"/>
        </w:rPr>
        <w:t>e</w:t>
      </w:r>
      <w:r w:rsidR="00664420" w:rsidRPr="002870B2">
        <w:rPr>
          <w:rFonts w:eastAsia="Calibri"/>
          <w:bCs/>
          <w:lang w:eastAsia="en-US"/>
        </w:rPr>
        <w:t>)</w:t>
      </w:r>
      <w:r w:rsidR="00664420" w:rsidRPr="002870B2">
        <w:t xml:space="preserve"> </w:t>
      </w:r>
      <w:r w:rsidR="00865CF4" w:rsidRPr="002870B2">
        <w:rPr>
          <w:lang w:val="es-ES"/>
        </w:rPr>
        <w:t>Manifestaciones de la Parte Recurrente</w:t>
      </w:r>
      <w:bookmarkEnd w:id="13"/>
    </w:p>
    <w:p w14:paraId="25C9D07A" w14:textId="48EFCE11" w:rsidR="00D001B8" w:rsidRPr="002870B2" w:rsidRDefault="00EA4599" w:rsidP="002870B2">
      <w:pPr>
        <w:spacing w:after="240"/>
        <w:rPr>
          <w:rFonts w:cs="Tahoma"/>
          <w:szCs w:val="24"/>
        </w:rPr>
      </w:pPr>
      <w:r w:rsidRPr="002870B2">
        <w:rPr>
          <w:rFonts w:cs="Tahoma"/>
          <w:szCs w:val="24"/>
        </w:rPr>
        <w:t xml:space="preserve">De las constancias digitales que obran en el expediente electrónico conformado el SAIMEX se desprende que </w:t>
      </w:r>
      <w:r w:rsidRPr="002870B2">
        <w:rPr>
          <w:rFonts w:cs="Tahoma"/>
          <w:b/>
          <w:szCs w:val="24"/>
        </w:rPr>
        <w:t xml:space="preserve">LA PARTE RECURRENTE </w:t>
      </w:r>
      <w:r w:rsidRPr="002870B2">
        <w:rPr>
          <w:rFonts w:cs="Tahoma"/>
          <w:szCs w:val="24"/>
        </w:rPr>
        <w:t xml:space="preserve">el </w:t>
      </w:r>
      <w:r w:rsidRPr="002870B2">
        <w:rPr>
          <w:rFonts w:cs="Tahoma"/>
          <w:b/>
          <w:szCs w:val="24"/>
        </w:rPr>
        <w:t>diecisiete de septiembre de dos mil veinticuatro</w:t>
      </w:r>
      <w:r w:rsidRPr="002870B2">
        <w:rPr>
          <w:rFonts w:cs="Tahoma"/>
          <w:szCs w:val="24"/>
        </w:rPr>
        <w:t xml:space="preserve">, adjuntó el archivo electrónico denominado </w:t>
      </w:r>
      <w:r w:rsidRPr="002870B2">
        <w:rPr>
          <w:rFonts w:cs="Tahoma"/>
          <w:b/>
          <w:i/>
          <w:szCs w:val="24"/>
        </w:rPr>
        <w:t>“Martes.docx”</w:t>
      </w:r>
      <w:r w:rsidRPr="002870B2">
        <w:rPr>
          <w:rFonts w:cs="Tahoma"/>
          <w:szCs w:val="24"/>
        </w:rPr>
        <w:t>, de cuyo contenido se advierte lo siguiente:</w:t>
      </w:r>
    </w:p>
    <w:p w14:paraId="2CA525B5" w14:textId="77777777" w:rsidR="00EA4599" w:rsidRPr="002870B2" w:rsidRDefault="00EA4599" w:rsidP="002870B2">
      <w:pPr>
        <w:spacing w:line="240" w:lineRule="auto"/>
        <w:ind w:left="851" w:right="822"/>
        <w:rPr>
          <w:rFonts w:eastAsia="Arial Unicode MS" w:cs="Arial"/>
          <w:i/>
        </w:rPr>
      </w:pPr>
      <w:r w:rsidRPr="002870B2">
        <w:rPr>
          <w:rFonts w:eastAsia="Arial Unicode MS" w:cs="Arial"/>
          <w:i/>
        </w:rPr>
        <w:t>“Martes, 17 de septiembre del 2024</w:t>
      </w:r>
    </w:p>
    <w:p w14:paraId="56A44C2C" w14:textId="77777777" w:rsidR="00EA4599" w:rsidRPr="002870B2" w:rsidRDefault="00EA4599" w:rsidP="002870B2">
      <w:pPr>
        <w:spacing w:line="240" w:lineRule="auto"/>
        <w:ind w:left="851" w:right="822"/>
        <w:rPr>
          <w:rFonts w:eastAsia="Arial Unicode MS" w:cs="Arial"/>
          <w:i/>
        </w:rPr>
      </w:pPr>
      <w:r w:rsidRPr="002870B2">
        <w:rPr>
          <w:rFonts w:eastAsia="Arial Unicode MS" w:cs="Arial"/>
          <w:i/>
        </w:rPr>
        <w:t>C. Titular de la Unidad de transparencia</w:t>
      </w:r>
    </w:p>
    <w:p w14:paraId="780B0F65" w14:textId="77777777" w:rsidR="00EA4599" w:rsidRPr="002870B2" w:rsidRDefault="00EA4599" w:rsidP="002870B2">
      <w:pPr>
        <w:spacing w:line="240" w:lineRule="auto"/>
        <w:ind w:left="851" w:right="822"/>
        <w:rPr>
          <w:rFonts w:eastAsia="Arial Unicode MS" w:cs="Arial"/>
          <w:i/>
        </w:rPr>
      </w:pPr>
      <w:r w:rsidRPr="002870B2">
        <w:rPr>
          <w:rFonts w:eastAsia="Arial Unicode MS" w:cs="Arial"/>
          <w:i/>
        </w:rPr>
        <w:t>C. Comisionado Poniente.</w:t>
      </w:r>
    </w:p>
    <w:p w14:paraId="5B5A869B" w14:textId="77777777" w:rsidR="00EA4599" w:rsidRPr="002870B2" w:rsidRDefault="00EA4599" w:rsidP="002870B2">
      <w:pPr>
        <w:spacing w:line="240" w:lineRule="auto"/>
        <w:ind w:left="851" w:right="822"/>
        <w:rPr>
          <w:rFonts w:eastAsia="Arial Unicode MS" w:cs="Arial"/>
          <w:i/>
        </w:rPr>
      </w:pPr>
    </w:p>
    <w:p w14:paraId="3AEADE52" w14:textId="77777777" w:rsidR="00EA4599" w:rsidRPr="002870B2" w:rsidRDefault="00EA4599" w:rsidP="002870B2">
      <w:pPr>
        <w:spacing w:line="240" w:lineRule="auto"/>
        <w:ind w:left="851" w:right="822"/>
        <w:rPr>
          <w:rFonts w:eastAsia="Arial Unicode MS" w:cs="Arial"/>
          <w:i/>
        </w:rPr>
      </w:pPr>
    </w:p>
    <w:p w14:paraId="5F5FCCD9" w14:textId="77777777" w:rsidR="00EA4599" w:rsidRPr="002870B2" w:rsidRDefault="00EA4599" w:rsidP="002870B2">
      <w:pPr>
        <w:spacing w:line="240" w:lineRule="auto"/>
        <w:ind w:left="851" w:right="822"/>
        <w:rPr>
          <w:rFonts w:eastAsia="Arial Unicode MS" w:cs="Arial"/>
          <w:i/>
        </w:rPr>
      </w:pPr>
      <w:r w:rsidRPr="002870B2">
        <w:rPr>
          <w:rFonts w:eastAsia="Arial Unicode MS" w:cs="Arial"/>
          <w:i/>
        </w:rPr>
        <w:t xml:space="preserve">Por este medio, les agradezco mucho la última información brindada, excelente atención por parte del titular de la unidad de transparencia y muy atenta su respuesta. </w:t>
      </w:r>
    </w:p>
    <w:p w14:paraId="79429199" w14:textId="77777777" w:rsidR="00EA4599" w:rsidRPr="002870B2" w:rsidRDefault="00EA4599" w:rsidP="002870B2">
      <w:pPr>
        <w:spacing w:line="240" w:lineRule="auto"/>
        <w:ind w:left="851" w:right="822"/>
        <w:rPr>
          <w:rFonts w:eastAsia="Arial Unicode MS" w:cs="Arial"/>
          <w:i/>
        </w:rPr>
      </w:pPr>
      <w:r w:rsidRPr="002870B2">
        <w:rPr>
          <w:rFonts w:eastAsia="Arial Unicode MS" w:cs="Arial"/>
          <w:i/>
        </w:rPr>
        <w:t xml:space="preserve">Sea por este medio darles una felicitación y esperando que su servicio continue así. </w:t>
      </w:r>
    </w:p>
    <w:p w14:paraId="09D88296" w14:textId="77777777" w:rsidR="00EA4599" w:rsidRPr="002870B2" w:rsidRDefault="00EA4599" w:rsidP="002870B2">
      <w:pPr>
        <w:spacing w:line="240" w:lineRule="auto"/>
        <w:ind w:left="851" w:right="822"/>
        <w:rPr>
          <w:rFonts w:eastAsia="Arial Unicode MS" w:cs="Arial"/>
          <w:i/>
        </w:rPr>
      </w:pPr>
    </w:p>
    <w:p w14:paraId="52166C76" w14:textId="77777777" w:rsidR="00EA4599" w:rsidRPr="002870B2" w:rsidRDefault="00EA4599" w:rsidP="002870B2">
      <w:pPr>
        <w:spacing w:line="240" w:lineRule="auto"/>
        <w:ind w:left="851" w:right="822"/>
        <w:rPr>
          <w:rFonts w:eastAsia="Arial Unicode MS" w:cs="Arial"/>
          <w:i/>
        </w:rPr>
      </w:pPr>
      <w:r w:rsidRPr="002870B2">
        <w:rPr>
          <w:rFonts w:eastAsia="Arial Unicode MS" w:cs="Arial"/>
          <w:i/>
        </w:rPr>
        <w:t>Atentamente</w:t>
      </w:r>
    </w:p>
    <w:p w14:paraId="727E43E8" w14:textId="105B32DE" w:rsidR="00EA4599" w:rsidRPr="002870B2" w:rsidRDefault="00EA4599" w:rsidP="002870B2">
      <w:pPr>
        <w:spacing w:line="240" w:lineRule="auto"/>
        <w:ind w:left="851" w:right="822"/>
        <w:rPr>
          <w:rFonts w:eastAsia="Arial Unicode MS" w:cs="Arial"/>
          <w:i/>
        </w:rPr>
      </w:pPr>
      <w:r w:rsidRPr="002870B2">
        <w:rPr>
          <w:rFonts w:eastAsia="Arial Unicode MS" w:cs="Arial"/>
          <w:i/>
        </w:rPr>
        <w:t>C. Solicitante.” (Sic)</w:t>
      </w:r>
    </w:p>
    <w:p w14:paraId="4E8AF011" w14:textId="6B5F0400" w:rsidR="00865CF4" w:rsidRPr="002870B2" w:rsidRDefault="00865CF4" w:rsidP="002870B2">
      <w:pPr>
        <w:tabs>
          <w:tab w:val="left" w:pos="4667"/>
        </w:tabs>
        <w:spacing w:after="240" w:line="240" w:lineRule="auto"/>
        <w:ind w:right="822"/>
        <w:rPr>
          <w:rFonts w:eastAsia="Arial Unicode MS" w:cs="Arial"/>
        </w:rPr>
      </w:pPr>
    </w:p>
    <w:p w14:paraId="4B27E73F" w14:textId="77777777" w:rsidR="003600BB" w:rsidRPr="002870B2" w:rsidRDefault="003600BB" w:rsidP="002870B2">
      <w:pPr>
        <w:pStyle w:val="Ttulo3"/>
        <w:spacing w:line="360" w:lineRule="auto"/>
        <w:rPr>
          <w:rFonts w:eastAsia="Calibri"/>
        </w:rPr>
      </w:pPr>
      <w:bookmarkStart w:id="14" w:name="_Toc171932742"/>
      <w:bookmarkStart w:id="15" w:name="_Toc177547213"/>
      <w:bookmarkStart w:id="16" w:name="_Toc177658921"/>
      <w:r w:rsidRPr="002870B2">
        <w:rPr>
          <w:rFonts w:eastAsia="Calibri"/>
        </w:rPr>
        <w:t>f) Desistimiento del Recurso Revisión.</w:t>
      </w:r>
      <w:bookmarkEnd w:id="14"/>
      <w:bookmarkEnd w:id="15"/>
      <w:bookmarkEnd w:id="16"/>
    </w:p>
    <w:p w14:paraId="54DF2F95" w14:textId="77777777" w:rsidR="003600BB" w:rsidRPr="002870B2" w:rsidRDefault="003600BB" w:rsidP="002870B2">
      <w:pPr>
        <w:tabs>
          <w:tab w:val="left" w:pos="4667"/>
        </w:tabs>
        <w:spacing w:after="240"/>
        <w:ind w:right="-28"/>
        <w:rPr>
          <w:rFonts w:eastAsia="Palatino Linotype" w:cs="Palatino Linotype"/>
        </w:rPr>
      </w:pPr>
      <w:r w:rsidRPr="002870B2">
        <w:rPr>
          <w:rFonts w:eastAsia="Palatino Linotype" w:cs="Palatino Linotype"/>
        </w:rPr>
        <w:t>De las constancias que obran en el expediente electrónico del</w:t>
      </w:r>
      <w:r w:rsidRPr="002870B2">
        <w:rPr>
          <w:rFonts w:eastAsia="Palatino Linotype" w:cs="Palatino Linotype"/>
          <w:b/>
        </w:rPr>
        <w:t xml:space="preserve"> SAIMEX, </w:t>
      </w:r>
      <w:r w:rsidRPr="002870B2">
        <w:rPr>
          <w:rFonts w:eastAsia="Palatino Linotype" w:cs="Palatino Linotype"/>
        </w:rPr>
        <w:t xml:space="preserve">se observa que el </w:t>
      </w:r>
      <w:r w:rsidRPr="002870B2">
        <w:rPr>
          <w:rFonts w:eastAsia="Palatino Linotype" w:cs="Palatino Linotype"/>
          <w:b/>
        </w:rPr>
        <w:t xml:space="preserve">diecisiete de septiembre de dos mil veinticuatro, </w:t>
      </w:r>
      <w:r w:rsidRPr="002870B2">
        <w:rPr>
          <w:rFonts w:eastAsia="Palatino Linotype" w:cs="Palatino Linotype"/>
        </w:rPr>
        <w:t>el Recurso de Revisión</w:t>
      </w:r>
      <w:r w:rsidRPr="002870B2">
        <w:rPr>
          <w:rFonts w:eastAsia="Palatino Linotype" w:cs="Palatino Linotype"/>
          <w:b/>
        </w:rPr>
        <w:t xml:space="preserve"> </w:t>
      </w:r>
      <w:r w:rsidRPr="002870B2">
        <w:rPr>
          <w:rFonts w:eastAsia="Palatino Linotype" w:cs="Palatino Linotype"/>
        </w:rPr>
        <w:t>que nos ocupa fue desistido por</w:t>
      </w:r>
      <w:r w:rsidRPr="002870B2">
        <w:rPr>
          <w:rFonts w:eastAsia="Palatino Linotype" w:cs="Palatino Linotype"/>
          <w:b/>
        </w:rPr>
        <w:t xml:space="preserve"> </w:t>
      </w:r>
      <w:bookmarkStart w:id="17" w:name="_Hlk171924735"/>
      <w:r w:rsidRPr="002870B2">
        <w:rPr>
          <w:b/>
        </w:rPr>
        <w:t>LA PARTE RECURRENTE</w:t>
      </w:r>
      <w:bookmarkEnd w:id="17"/>
      <w:r w:rsidRPr="002870B2">
        <w:rPr>
          <w:rFonts w:eastAsia="Palatino Linotype" w:cs="Palatino Linotype"/>
          <w:b/>
        </w:rPr>
        <w:t xml:space="preserve">, </w:t>
      </w:r>
      <w:r w:rsidRPr="002870B2">
        <w:rPr>
          <w:rFonts w:eastAsia="Palatino Linotype" w:cs="Palatino Linotype"/>
          <w:bCs/>
        </w:rPr>
        <w:t xml:space="preserve">tal y </w:t>
      </w:r>
      <w:r w:rsidRPr="002870B2">
        <w:rPr>
          <w:rFonts w:eastAsia="Palatino Linotype" w:cs="Palatino Linotype"/>
        </w:rPr>
        <w:t>como se puede apreciar en la siguiente</w:t>
      </w:r>
      <w:r w:rsidRPr="002870B2">
        <w:rPr>
          <w:rFonts w:eastAsia="Palatino Linotype" w:cs="Palatino Linotype"/>
          <w:b/>
        </w:rPr>
        <w:t xml:space="preserve"> </w:t>
      </w:r>
      <w:r w:rsidRPr="002870B2">
        <w:rPr>
          <w:rFonts w:eastAsia="Palatino Linotype" w:cs="Palatino Linotype"/>
        </w:rPr>
        <w:t>imagen:</w:t>
      </w:r>
    </w:p>
    <w:p w14:paraId="11313CDA" w14:textId="5CF7CFD8" w:rsidR="003600BB" w:rsidRPr="002870B2" w:rsidRDefault="006C464F" w:rsidP="006C464F">
      <w:pPr>
        <w:tabs>
          <w:tab w:val="left" w:pos="4667"/>
        </w:tabs>
        <w:spacing w:after="240"/>
        <w:ind w:right="-28"/>
        <w:rPr>
          <w:rFonts w:eastAsia="Palatino Linotype" w:cs="Palatino Linotype"/>
        </w:rPr>
      </w:pPr>
      <w:r w:rsidRPr="006C464F">
        <w:rPr>
          <w:rFonts w:eastAsia="Palatino Linotype" w:cs="Palatino Linotype"/>
        </w:rPr>
        <w:lastRenderedPageBreak/>
        <w:drawing>
          <wp:inline distT="0" distB="0" distL="0" distR="0" wp14:anchorId="29ED7E0B" wp14:editId="46917F5A">
            <wp:extent cx="5742940" cy="2781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781935"/>
                    </a:xfrm>
                    <a:prstGeom prst="rect">
                      <a:avLst/>
                    </a:prstGeom>
                  </pic:spPr>
                </pic:pic>
              </a:graphicData>
            </a:graphic>
          </wp:inline>
        </w:drawing>
      </w:r>
      <w:bookmarkStart w:id="18" w:name="_GoBack"/>
      <w:bookmarkEnd w:id="18"/>
    </w:p>
    <w:p w14:paraId="28F822E1" w14:textId="77777777" w:rsidR="003600BB" w:rsidRPr="002870B2" w:rsidRDefault="003600BB" w:rsidP="002870B2">
      <w:pPr>
        <w:spacing w:after="240"/>
        <w:rPr>
          <w:rFonts w:eastAsia="Palatino Linotype" w:cs="Palatino Linotype"/>
        </w:rPr>
      </w:pPr>
      <w:r w:rsidRPr="002870B2">
        <w:rPr>
          <w:rFonts w:eastAsia="Palatino Linotype" w:cs="Palatino Linotype"/>
        </w:rPr>
        <w:t xml:space="preserve">Manifestando </w:t>
      </w:r>
      <w:r w:rsidRPr="002870B2">
        <w:rPr>
          <w:b/>
        </w:rPr>
        <w:t>LA PARTE RECURRENTE</w:t>
      </w:r>
      <w:r w:rsidRPr="002870B2">
        <w:rPr>
          <w:rFonts w:eastAsia="Palatino Linotype" w:cs="Palatino Linotype"/>
        </w:rPr>
        <w:t xml:space="preserve"> lo siguiente: </w:t>
      </w:r>
    </w:p>
    <w:p w14:paraId="525EE79B" w14:textId="77777777" w:rsidR="003600BB" w:rsidRPr="002870B2" w:rsidRDefault="003600BB" w:rsidP="002870B2">
      <w:pPr>
        <w:tabs>
          <w:tab w:val="left" w:pos="7936"/>
        </w:tabs>
        <w:spacing w:line="240" w:lineRule="auto"/>
        <w:ind w:left="851" w:right="902"/>
        <w:rPr>
          <w:rFonts w:cs="Arial"/>
          <w:i/>
          <w:szCs w:val="22"/>
        </w:rPr>
      </w:pPr>
      <w:r w:rsidRPr="002870B2">
        <w:rPr>
          <w:rFonts w:cs="Arial"/>
          <w:i/>
          <w:szCs w:val="22"/>
        </w:rPr>
        <w:t>“Folio de la solicitud: 00029/DIFNEZA/IP/2024</w:t>
      </w:r>
    </w:p>
    <w:p w14:paraId="1DE8054B" w14:textId="77777777" w:rsidR="003600BB" w:rsidRPr="002870B2" w:rsidRDefault="003600BB" w:rsidP="002870B2">
      <w:pPr>
        <w:tabs>
          <w:tab w:val="left" w:pos="7936"/>
        </w:tabs>
        <w:spacing w:line="240" w:lineRule="auto"/>
        <w:ind w:left="851" w:right="902"/>
        <w:rPr>
          <w:rFonts w:cs="Arial"/>
          <w:i/>
          <w:szCs w:val="22"/>
        </w:rPr>
      </w:pPr>
      <w:r w:rsidRPr="002870B2">
        <w:rPr>
          <w:rFonts w:cs="Arial"/>
          <w:i/>
          <w:szCs w:val="22"/>
        </w:rPr>
        <w:t>El Sujeto Público obligado, me envio la información en la parte de alegatos del presente recurso, por lo que ha quedado satisfecho mi derecho a la información</w:t>
      </w:r>
    </w:p>
    <w:p w14:paraId="691FDBDF" w14:textId="77777777" w:rsidR="003600BB" w:rsidRPr="002870B2" w:rsidRDefault="003600BB" w:rsidP="002870B2">
      <w:pPr>
        <w:tabs>
          <w:tab w:val="left" w:pos="7936"/>
        </w:tabs>
        <w:spacing w:line="240" w:lineRule="auto"/>
        <w:ind w:left="851" w:right="902"/>
        <w:rPr>
          <w:rFonts w:cs="Arial"/>
          <w:i/>
          <w:szCs w:val="22"/>
        </w:rPr>
      </w:pPr>
      <w:r w:rsidRPr="002870B2">
        <w:rPr>
          <w:rFonts w:cs="Arial"/>
          <w:i/>
          <w:szCs w:val="22"/>
        </w:rPr>
        <w:t>ATENTAMENTE</w:t>
      </w:r>
    </w:p>
    <w:p w14:paraId="0642DABF" w14:textId="0CA2B2D6" w:rsidR="003600BB" w:rsidRPr="002870B2" w:rsidRDefault="006C464F" w:rsidP="002870B2">
      <w:pPr>
        <w:tabs>
          <w:tab w:val="left" w:pos="7936"/>
        </w:tabs>
        <w:spacing w:after="240" w:line="240" w:lineRule="auto"/>
        <w:ind w:left="851" w:right="902"/>
        <w:rPr>
          <w:rFonts w:cs="Arial"/>
          <w:i/>
          <w:szCs w:val="22"/>
        </w:rPr>
      </w:pPr>
      <w:r>
        <w:rPr>
          <w:rFonts w:cs="Arial"/>
          <w:i/>
          <w:szCs w:val="22"/>
        </w:rPr>
        <w:t>XXXXX XXXXXXX XXXXXX XXXXXXX</w:t>
      </w:r>
      <w:r w:rsidR="003600BB" w:rsidRPr="002870B2">
        <w:rPr>
          <w:rFonts w:cs="Arial"/>
          <w:i/>
          <w:szCs w:val="22"/>
        </w:rPr>
        <w:t>” (Sic)</w:t>
      </w:r>
    </w:p>
    <w:p w14:paraId="4DCE97F8" w14:textId="77777777" w:rsidR="003600BB" w:rsidRPr="002870B2" w:rsidRDefault="003600BB" w:rsidP="002870B2">
      <w:pPr>
        <w:pStyle w:val="Ttulo3"/>
        <w:spacing w:line="360" w:lineRule="auto"/>
      </w:pPr>
      <w:bookmarkStart w:id="19" w:name="_Toc177547214"/>
      <w:bookmarkStart w:id="20" w:name="_Toc177658922"/>
      <w:r w:rsidRPr="002870B2">
        <w:t>g) Cierre de instrucción</w:t>
      </w:r>
      <w:bookmarkEnd w:id="19"/>
      <w:bookmarkEnd w:id="20"/>
    </w:p>
    <w:p w14:paraId="09A8E2FC" w14:textId="77777777" w:rsidR="003600BB" w:rsidRPr="002870B2" w:rsidRDefault="003600BB" w:rsidP="002870B2">
      <w:pPr>
        <w:spacing w:after="240"/>
      </w:pPr>
      <w:r w:rsidRPr="002870B2">
        <w:rPr>
          <w:rFonts w:cs="Tahoma"/>
          <w:szCs w:val="22"/>
        </w:rPr>
        <w:t>Al no existir diligencias pendientes por desahogar</w:t>
      </w:r>
      <w:r w:rsidRPr="002870B2">
        <w:rPr>
          <w:rFonts w:cs="Arial"/>
        </w:rPr>
        <w:t xml:space="preserve">, el </w:t>
      </w:r>
      <w:r w:rsidRPr="002870B2">
        <w:rPr>
          <w:rFonts w:cs="Arial"/>
          <w:b/>
        </w:rPr>
        <w:t xml:space="preserve">dieciocho de septiembre de dos mil veinticuatro, </w:t>
      </w:r>
      <w:r w:rsidRPr="002870B2">
        <w:rPr>
          <w:rFonts w:cs="Arial"/>
        </w:rPr>
        <w:t xml:space="preserve">la </w:t>
      </w:r>
      <w:r w:rsidRPr="002870B2">
        <w:rPr>
          <w:rFonts w:cs="Arial"/>
          <w:b/>
          <w:bCs/>
        </w:rPr>
        <w:t xml:space="preserve">Comisionada </w:t>
      </w:r>
      <w:r w:rsidRPr="002870B2">
        <w:rPr>
          <w:b/>
        </w:rPr>
        <w:t xml:space="preserve">Sharon Cristina Morales Martínez </w:t>
      </w:r>
      <w:r w:rsidRPr="002870B2">
        <w:rPr>
          <w:rFonts w:cs="Arial"/>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2870B2">
        <w:t xml:space="preserve">. Dicho acuerdo </w:t>
      </w:r>
      <w:r w:rsidRPr="002870B2">
        <w:rPr>
          <w:rFonts w:cs="Tahoma"/>
          <w:szCs w:val="22"/>
        </w:rPr>
        <w:t xml:space="preserve">fue notificado a las partes el mismo día a través del </w:t>
      </w:r>
      <w:r w:rsidRPr="002870B2">
        <w:rPr>
          <w:rFonts w:cs="Tahoma"/>
          <w:b/>
          <w:szCs w:val="22"/>
          <w:lang w:val="es-ES"/>
        </w:rPr>
        <w:t>SAIMEX</w:t>
      </w:r>
      <w:r w:rsidRPr="002870B2">
        <w:rPr>
          <w:rFonts w:cs="Tahoma"/>
          <w:b/>
          <w:szCs w:val="22"/>
        </w:rPr>
        <w:t>.</w:t>
      </w:r>
    </w:p>
    <w:p w14:paraId="2F188184" w14:textId="77777777" w:rsidR="003600BB" w:rsidRPr="002870B2" w:rsidRDefault="003600BB" w:rsidP="002870B2">
      <w:pPr>
        <w:pStyle w:val="Ttulo1"/>
        <w:spacing w:after="240"/>
        <w:rPr>
          <w:rFonts w:eastAsiaTheme="minorHAnsi"/>
          <w:lang w:eastAsia="en-US"/>
        </w:rPr>
      </w:pPr>
      <w:bookmarkStart w:id="21" w:name="_Toc177547215"/>
      <w:bookmarkStart w:id="22" w:name="_Toc177658923"/>
      <w:r w:rsidRPr="002870B2">
        <w:rPr>
          <w:rFonts w:eastAsiaTheme="minorHAnsi"/>
          <w:lang w:eastAsia="en-US"/>
        </w:rPr>
        <w:lastRenderedPageBreak/>
        <w:t>CONSIDERANDOS</w:t>
      </w:r>
      <w:bookmarkEnd w:id="21"/>
      <w:bookmarkEnd w:id="22"/>
    </w:p>
    <w:p w14:paraId="5A2D5F9F" w14:textId="77777777" w:rsidR="003600BB" w:rsidRPr="002870B2" w:rsidRDefault="003600BB" w:rsidP="002870B2">
      <w:pPr>
        <w:pStyle w:val="Ttulo2"/>
        <w:rPr>
          <w:rFonts w:eastAsia="Batang"/>
        </w:rPr>
      </w:pPr>
      <w:bookmarkStart w:id="23" w:name="_Toc177547216"/>
      <w:bookmarkStart w:id="24" w:name="_Toc177658924"/>
      <w:r w:rsidRPr="002870B2">
        <w:rPr>
          <w:rFonts w:eastAsia="Batang"/>
        </w:rPr>
        <w:t>PRIMERO. Procedibilidad</w:t>
      </w:r>
      <w:bookmarkEnd w:id="23"/>
      <w:bookmarkEnd w:id="24"/>
    </w:p>
    <w:p w14:paraId="19BA3938" w14:textId="77777777" w:rsidR="003600BB" w:rsidRPr="002870B2" w:rsidRDefault="003600BB" w:rsidP="002870B2">
      <w:pPr>
        <w:pStyle w:val="Ttulo3"/>
        <w:spacing w:line="360" w:lineRule="auto"/>
      </w:pPr>
      <w:bookmarkStart w:id="25" w:name="_Toc177547217"/>
      <w:bookmarkStart w:id="26" w:name="_Toc177658925"/>
      <w:r w:rsidRPr="002870B2">
        <w:t>a) Competencia del Instituto</w:t>
      </w:r>
      <w:bookmarkEnd w:id="25"/>
      <w:bookmarkEnd w:id="26"/>
    </w:p>
    <w:p w14:paraId="1831E6BF" w14:textId="77777777" w:rsidR="003600BB" w:rsidRPr="002870B2" w:rsidRDefault="003600BB" w:rsidP="002870B2">
      <w:pPr>
        <w:rPr>
          <w:rFonts w:cs="Arial"/>
        </w:rPr>
      </w:pPr>
      <w:r w:rsidRPr="002870B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870B2">
        <w:rPr>
          <w:rFonts w:cs="Arial"/>
        </w:rPr>
        <w:t>; y 9, fracciones I y XXIII y 11 del Reglamento Interior del Instituto de Transparencia, Acceso a la Información Pública y Protección de Datos Personales del Estado de México y Municipios.</w:t>
      </w:r>
    </w:p>
    <w:p w14:paraId="4D6DF937" w14:textId="77777777" w:rsidR="003600BB" w:rsidRPr="002870B2" w:rsidRDefault="003600BB" w:rsidP="002870B2">
      <w:pPr>
        <w:rPr>
          <w:rFonts w:cs="Arial"/>
        </w:rPr>
      </w:pPr>
    </w:p>
    <w:p w14:paraId="0EFE85EE" w14:textId="77777777" w:rsidR="003600BB" w:rsidRPr="002870B2" w:rsidRDefault="003600BB" w:rsidP="002870B2">
      <w:pPr>
        <w:pStyle w:val="Ttulo3"/>
        <w:spacing w:line="360" w:lineRule="auto"/>
      </w:pPr>
      <w:bookmarkStart w:id="27" w:name="_Toc177547218"/>
      <w:bookmarkStart w:id="28" w:name="_Toc177658926"/>
      <w:r w:rsidRPr="002870B2">
        <w:t>b) Legitimidad de la parte recurrente</w:t>
      </w:r>
      <w:bookmarkEnd w:id="27"/>
      <w:bookmarkEnd w:id="28"/>
    </w:p>
    <w:p w14:paraId="5564B1DC" w14:textId="77777777" w:rsidR="003600BB" w:rsidRPr="002870B2" w:rsidRDefault="003600BB" w:rsidP="002870B2">
      <w:pPr>
        <w:rPr>
          <w:rFonts w:cs="Arial"/>
          <w:bCs/>
        </w:rPr>
      </w:pPr>
      <w:r w:rsidRPr="002870B2">
        <w:rPr>
          <w:rFonts w:cs="Arial"/>
          <w:bCs/>
        </w:rPr>
        <w:t>El recurso de revisión fue interpuesto por parte legítima, ya que se presentó por la misma persona que formuló la solicitud de acceso a la Información Pública,</w:t>
      </w:r>
      <w:r w:rsidRPr="002870B2">
        <w:rPr>
          <w:rFonts w:cs="Arial"/>
          <w:b/>
          <w:bCs/>
        </w:rPr>
        <w:t xml:space="preserve"> </w:t>
      </w:r>
      <w:r w:rsidRPr="002870B2">
        <w:rPr>
          <w:rFonts w:cs="Arial"/>
        </w:rPr>
        <w:t>debido a que los datos de acceso</w:t>
      </w:r>
      <w:r w:rsidRPr="002870B2">
        <w:rPr>
          <w:rFonts w:cs="Arial"/>
          <w:b/>
          <w:bCs/>
        </w:rPr>
        <w:t xml:space="preserve"> </w:t>
      </w:r>
      <w:r w:rsidRPr="002870B2">
        <w:rPr>
          <w:rFonts w:cs="Arial"/>
          <w:b/>
        </w:rPr>
        <w:t>SAIMEX</w:t>
      </w:r>
      <w:r w:rsidRPr="002870B2">
        <w:rPr>
          <w:rFonts w:eastAsia="Calibri" w:cs="Arial"/>
          <w:lang w:eastAsia="en-US"/>
        </w:rPr>
        <w:t xml:space="preserve"> son personales e irrepetibles.</w:t>
      </w:r>
    </w:p>
    <w:p w14:paraId="130819D2" w14:textId="77777777" w:rsidR="003600BB" w:rsidRPr="002870B2" w:rsidRDefault="003600BB" w:rsidP="002870B2"/>
    <w:p w14:paraId="38D3390C" w14:textId="77777777" w:rsidR="003600BB" w:rsidRPr="002870B2" w:rsidRDefault="003600BB" w:rsidP="002870B2">
      <w:pPr>
        <w:pStyle w:val="Ttulo3"/>
        <w:spacing w:line="360" w:lineRule="auto"/>
        <w:rPr>
          <w:rFonts w:eastAsia="Calibri"/>
          <w:lang w:eastAsia="es-ES_tradnl"/>
        </w:rPr>
      </w:pPr>
      <w:bookmarkStart w:id="29" w:name="_Toc177547219"/>
      <w:bookmarkStart w:id="30" w:name="_Toc177658927"/>
      <w:r w:rsidRPr="002870B2">
        <w:rPr>
          <w:rFonts w:eastAsia="Calibri"/>
          <w:lang w:eastAsia="es-ES_tradnl"/>
        </w:rPr>
        <w:t>c) Plazo para interponer el recurso</w:t>
      </w:r>
      <w:bookmarkEnd w:id="29"/>
      <w:bookmarkEnd w:id="30"/>
    </w:p>
    <w:p w14:paraId="1A405E33" w14:textId="77777777" w:rsidR="003600BB" w:rsidRPr="002870B2" w:rsidRDefault="003600BB" w:rsidP="002870B2">
      <w:pPr>
        <w:rPr>
          <w:rFonts w:eastAsiaTheme="minorEastAsia" w:cs="Arial"/>
          <w:lang w:val="es-ES_tradnl"/>
        </w:rPr>
      </w:pPr>
      <w:r w:rsidRPr="002870B2">
        <w:rPr>
          <w:rFonts w:cs="Arial"/>
          <w:b/>
        </w:rPr>
        <w:t>EL SUJETO OBLIGADO</w:t>
      </w:r>
      <w:r w:rsidRPr="002870B2">
        <w:rPr>
          <w:rFonts w:cs="Arial"/>
        </w:rPr>
        <w:t xml:space="preserve"> notificó la respuesta a la solicitud de acceso a la Información Pública el </w:t>
      </w:r>
      <w:r w:rsidRPr="002870B2">
        <w:rPr>
          <w:rFonts w:eastAsia="Palatino Linotype" w:cs="Palatino Linotype"/>
          <w:b/>
        </w:rPr>
        <w:t>veinticuatro de julio de dos mil veinticuatro</w:t>
      </w:r>
      <w:r w:rsidRPr="002870B2">
        <w:t xml:space="preserve"> </w:t>
      </w:r>
      <w:r w:rsidRPr="002870B2">
        <w:rPr>
          <w:rFonts w:cs="Arial"/>
        </w:rPr>
        <w:t xml:space="preserve">y el recurso </w:t>
      </w:r>
      <w:r w:rsidRPr="002870B2">
        <w:rPr>
          <w:rFonts w:eastAsia="Palatino Linotype" w:cs="Palatino Linotype"/>
        </w:rPr>
        <w:t xml:space="preserve">que nos ocupa se interpuso el </w:t>
      </w:r>
      <w:r w:rsidRPr="002870B2">
        <w:rPr>
          <w:rFonts w:eastAsia="Palatino Linotype" w:cs="Palatino Linotype"/>
          <w:b/>
        </w:rPr>
        <w:t>siete de agosto de dos mil veinticuatro;</w:t>
      </w:r>
      <w:r w:rsidRPr="002870B2">
        <w:t xml:space="preserve"> </w:t>
      </w:r>
      <w:r w:rsidRPr="002870B2">
        <w:rPr>
          <w:rFonts w:eastAsia="Palatino Linotype" w:cs="Palatino Linotype"/>
        </w:rPr>
        <w:t xml:space="preserve">por lo tanto, éste se encuentra dentro del margen </w:t>
      </w:r>
      <w:r w:rsidRPr="002870B2">
        <w:rPr>
          <w:rFonts w:eastAsia="Palatino Linotype" w:cs="Palatino Linotype"/>
        </w:rPr>
        <w:lastRenderedPageBreak/>
        <w:t xml:space="preserve">temporal previsto en el artículo 178 de la </w:t>
      </w:r>
      <w:r w:rsidRPr="002870B2">
        <w:rPr>
          <w:rFonts w:cs="Arial"/>
        </w:rPr>
        <w:t>Ley de Transparencia y Acceso a la Información Pública del Estado de México y Municipios</w:t>
      </w:r>
      <w:r w:rsidRPr="002870B2">
        <w:rPr>
          <w:rFonts w:eastAsiaTheme="minorEastAsia" w:cs="Arial"/>
          <w:lang w:val="es-ES_tradnl"/>
        </w:rPr>
        <w:t>.</w:t>
      </w:r>
    </w:p>
    <w:p w14:paraId="326A8007" w14:textId="77777777" w:rsidR="003600BB" w:rsidRPr="002870B2" w:rsidRDefault="003600BB" w:rsidP="002870B2">
      <w:pPr>
        <w:rPr>
          <w:rFonts w:eastAsia="Palatino Linotype" w:cs="Palatino Linotype"/>
        </w:rPr>
      </w:pPr>
    </w:p>
    <w:p w14:paraId="3ABE5A8B" w14:textId="77777777" w:rsidR="003600BB" w:rsidRPr="002870B2" w:rsidRDefault="003600BB" w:rsidP="002870B2">
      <w:pPr>
        <w:pStyle w:val="Ttulo3"/>
        <w:spacing w:line="360" w:lineRule="auto"/>
        <w:rPr>
          <w:rFonts w:eastAsia="Calibri"/>
          <w:lang w:eastAsia="es-ES_tradnl"/>
        </w:rPr>
      </w:pPr>
      <w:bookmarkStart w:id="31" w:name="_Toc177547220"/>
      <w:bookmarkStart w:id="32" w:name="_Toc177658928"/>
      <w:r w:rsidRPr="002870B2">
        <w:rPr>
          <w:rFonts w:eastAsia="Calibri"/>
          <w:lang w:eastAsia="es-ES_tradnl"/>
        </w:rPr>
        <w:t>d) Causal de Procedencia</w:t>
      </w:r>
      <w:bookmarkEnd w:id="31"/>
      <w:bookmarkEnd w:id="32"/>
    </w:p>
    <w:p w14:paraId="33A463B5" w14:textId="77777777" w:rsidR="003600BB" w:rsidRPr="002870B2" w:rsidRDefault="003600BB" w:rsidP="002870B2">
      <w:r w:rsidRPr="002870B2">
        <w:rPr>
          <w:rFonts w:cs="Arial"/>
        </w:rPr>
        <w:t xml:space="preserve">Resulta procedente la interposición del recurso de revisión, ya que </w:t>
      </w:r>
      <w:r w:rsidRPr="002870B2">
        <w:rPr>
          <w:rFonts w:eastAsia="Calibri" w:cs="Tahoma"/>
          <w:szCs w:val="22"/>
          <w:lang w:eastAsia="es-MX"/>
        </w:rPr>
        <w:t>se actualiza la causal de procedencia señalada en el artículo 179, fracción v</w:t>
      </w:r>
      <w:r w:rsidRPr="002870B2">
        <w:rPr>
          <w:rFonts w:cs="Arial"/>
        </w:rPr>
        <w:t xml:space="preserve"> de la </w:t>
      </w:r>
      <w:r w:rsidRPr="002870B2">
        <w:t>Ley de Transparencia y Acceso a la Información Pública del Estado de México y Municipios.</w:t>
      </w:r>
    </w:p>
    <w:p w14:paraId="4491EF18" w14:textId="77777777" w:rsidR="003600BB" w:rsidRPr="002870B2" w:rsidRDefault="003600BB" w:rsidP="002870B2"/>
    <w:p w14:paraId="2D8E4B7B" w14:textId="77777777" w:rsidR="003600BB" w:rsidRPr="002870B2" w:rsidRDefault="003600BB" w:rsidP="002870B2">
      <w:pPr>
        <w:pStyle w:val="Ttulo3"/>
        <w:spacing w:line="360" w:lineRule="auto"/>
      </w:pPr>
      <w:bookmarkStart w:id="33" w:name="_Toc177547221"/>
      <w:bookmarkStart w:id="34" w:name="_Toc177658929"/>
      <w:r w:rsidRPr="002870B2">
        <w:t>e) Requisitos formales para la interposición del recurso</w:t>
      </w:r>
      <w:bookmarkEnd w:id="33"/>
      <w:bookmarkEnd w:id="34"/>
    </w:p>
    <w:p w14:paraId="46F26667" w14:textId="77777777" w:rsidR="003600BB" w:rsidRPr="002870B2" w:rsidRDefault="003600BB" w:rsidP="002870B2">
      <w:pPr>
        <w:rPr>
          <w:rFonts w:cs="Arial"/>
        </w:rPr>
      </w:pPr>
      <w:r w:rsidRPr="002870B2">
        <w:rPr>
          <w:rFonts w:cs="Arial"/>
          <w:b/>
          <w:bCs/>
        </w:rPr>
        <w:t xml:space="preserve">LA PARTE RECURRENTE </w:t>
      </w:r>
      <w:r w:rsidRPr="002870B2">
        <w:rPr>
          <w:rFonts w:cs="Arial"/>
        </w:rPr>
        <w:t>acreditó todos y cada uno de los elementos formales exigidos por el artículo 180 de la misma normatividad.</w:t>
      </w:r>
    </w:p>
    <w:p w14:paraId="5C4F6A83" w14:textId="77777777" w:rsidR="003600BB" w:rsidRPr="002870B2" w:rsidRDefault="003600BB" w:rsidP="002870B2">
      <w:pPr>
        <w:rPr>
          <w:rFonts w:cs="Arial"/>
        </w:rPr>
      </w:pPr>
    </w:p>
    <w:p w14:paraId="6DB60F69" w14:textId="77777777" w:rsidR="003600BB" w:rsidRPr="002870B2" w:rsidRDefault="003600BB" w:rsidP="002870B2">
      <w:pPr>
        <w:pStyle w:val="Ttulo2"/>
      </w:pPr>
      <w:bookmarkStart w:id="35" w:name="_Toc177547222"/>
      <w:bookmarkStart w:id="36" w:name="_Toc177658930"/>
      <w:r w:rsidRPr="002870B2">
        <w:t>SEGUNDO. Estudio de Fondo</w:t>
      </w:r>
      <w:bookmarkEnd w:id="35"/>
      <w:bookmarkEnd w:id="36"/>
    </w:p>
    <w:p w14:paraId="7C7A1797" w14:textId="77777777" w:rsidR="003600BB" w:rsidRPr="002870B2" w:rsidRDefault="003600BB" w:rsidP="002870B2">
      <w:pPr>
        <w:pStyle w:val="Ttulo3"/>
        <w:spacing w:line="360" w:lineRule="auto"/>
      </w:pPr>
      <w:bookmarkStart w:id="37" w:name="_Toc177547223"/>
      <w:bookmarkStart w:id="38" w:name="_Toc177658931"/>
      <w:r w:rsidRPr="002870B2">
        <w:t>a) Mandato de transparencia y responsabilidad del Sujeto Obligado</w:t>
      </w:r>
      <w:bookmarkEnd w:id="37"/>
      <w:bookmarkEnd w:id="38"/>
    </w:p>
    <w:p w14:paraId="72E80426" w14:textId="77777777" w:rsidR="003600BB" w:rsidRPr="002870B2" w:rsidRDefault="003600BB" w:rsidP="002870B2">
      <w:pPr>
        <w:rPr>
          <w:rFonts w:eastAsia="Palatino Linotype"/>
        </w:rPr>
      </w:pPr>
      <w:r w:rsidRPr="002870B2">
        <w:rPr>
          <w:rFonts w:eastAsia="Palatino Linotype"/>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9F40F3B" w14:textId="77777777" w:rsidR="003600BB" w:rsidRPr="002870B2" w:rsidRDefault="003600BB" w:rsidP="002870B2">
      <w:pPr>
        <w:rPr>
          <w:rFonts w:eastAsia="Palatino Linotype"/>
        </w:rPr>
      </w:pPr>
    </w:p>
    <w:p w14:paraId="32F913CA" w14:textId="77777777" w:rsidR="003600BB" w:rsidRPr="002870B2" w:rsidRDefault="003600BB" w:rsidP="002870B2">
      <w:pPr>
        <w:spacing w:line="240" w:lineRule="auto"/>
        <w:ind w:left="851" w:right="822"/>
        <w:rPr>
          <w:rFonts w:eastAsia="Palatino Linotype"/>
          <w:b/>
          <w:i/>
        </w:rPr>
      </w:pPr>
      <w:r w:rsidRPr="002870B2">
        <w:rPr>
          <w:rFonts w:eastAsia="Palatino Linotype"/>
          <w:b/>
          <w:i/>
        </w:rPr>
        <w:t>Constitución Política de los Estados Unidos Mexicanos</w:t>
      </w:r>
    </w:p>
    <w:p w14:paraId="1878FF8E" w14:textId="77777777" w:rsidR="003600BB" w:rsidRPr="002870B2" w:rsidRDefault="003600BB" w:rsidP="002870B2">
      <w:pPr>
        <w:spacing w:line="240" w:lineRule="auto"/>
        <w:ind w:left="851" w:right="822"/>
        <w:rPr>
          <w:rFonts w:eastAsia="Palatino Linotype"/>
          <w:b/>
          <w:i/>
        </w:rPr>
      </w:pPr>
      <w:r w:rsidRPr="002870B2">
        <w:rPr>
          <w:rFonts w:eastAsia="Palatino Linotype"/>
          <w:b/>
          <w:i/>
        </w:rPr>
        <w:t>“Artículo 6.</w:t>
      </w:r>
    </w:p>
    <w:p w14:paraId="74F0B5E3" w14:textId="77777777" w:rsidR="003600BB" w:rsidRPr="002870B2" w:rsidRDefault="003600BB" w:rsidP="002870B2">
      <w:pPr>
        <w:spacing w:line="240" w:lineRule="auto"/>
        <w:ind w:left="851" w:right="822"/>
        <w:rPr>
          <w:rFonts w:eastAsia="Palatino Linotype"/>
          <w:i/>
        </w:rPr>
      </w:pPr>
      <w:r w:rsidRPr="002870B2">
        <w:rPr>
          <w:rFonts w:eastAsia="Palatino Linotype"/>
          <w:i/>
        </w:rPr>
        <w:t>(…)</w:t>
      </w:r>
    </w:p>
    <w:p w14:paraId="517EB45C" w14:textId="77777777" w:rsidR="003600BB" w:rsidRPr="002870B2" w:rsidRDefault="003600BB" w:rsidP="002870B2">
      <w:pPr>
        <w:spacing w:line="240" w:lineRule="auto"/>
        <w:ind w:left="851" w:right="822"/>
        <w:rPr>
          <w:rFonts w:eastAsia="Palatino Linotype"/>
          <w:i/>
        </w:rPr>
      </w:pPr>
      <w:r w:rsidRPr="002870B2">
        <w:rPr>
          <w:rFonts w:eastAsia="Palatino Linotype"/>
          <w:i/>
        </w:rPr>
        <w:t>Para efectos de lo dispuesto en el presente artículo se observará lo siguiente:</w:t>
      </w:r>
    </w:p>
    <w:p w14:paraId="04DA00AC" w14:textId="77777777" w:rsidR="003600BB" w:rsidRPr="002870B2" w:rsidRDefault="003600BB" w:rsidP="002870B2">
      <w:pPr>
        <w:spacing w:line="240" w:lineRule="auto"/>
        <w:ind w:left="851" w:right="822"/>
        <w:rPr>
          <w:rFonts w:eastAsia="Palatino Linotype"/>
          <w:b/>
          <w:i/>
        </w:rPr>
      </w:pPr>
      <w:r w:rsidRPr="002870B2">
        <w:rPr>
          <w:rFonts w:eastAsia="Palatino Linotype"/>
          <w:b/>
          <w:i/>
        </w:rPr>
        <w:t>A</w:t>
      </w:r>
      <w:r w:rsidRPr="002870B2">
        <w:rPr>
          <w:rFonts w:eastAsia="Palatino Linotype"/>
          <w:i/>
        </w:rPr>
        <w:t xml:space="preserve">. </w:t>
      </w:r>
      <w:r w:rsidRPr="002870B2">
        <w:rPr>
          <w:rFonts w:eastAsia="Palatino Linotype"/>
          <w:b/>
          <w:i/>
        </w:rPr>
        <w:t>Para el ejercicio del derecho de acceso a la información</w:t>
      </w:r>
      <w:r w:rsidRPr="002870B2">
        <w:rPr>
          <w:rFonts w:eastAsia="Palatino Linotype"/>
          <w:i/>
        </w:rPr>
        <w:t xml:space="preserve">, la Federación y </w:t>
      </w:r>
      <w:r w:rsidRPr="002870B2">
        <w:rPr>
          <w:rFonts w:eastAsia="Palatino Linotype"/>
          <w:b/>
          <w:i/>
        </w:rPr>
        <w:t>las entidades federativas, en el ámbito de sus respectivas competencias, se regirán por los siguientes principios y bases:</w:t>
      </w:r>
    </w:p>
    <w:p w14:paraId="3A587265" w14:textId="77777777" w:rsidR="003600BB" w:rsidRPr="002870B2" w:rsidRDefault="003600BB" w:rsidP="002870B2">
      <w:pPr>
        <w:spacing w:line="240" w:lineRule="auto"/>
        <w:ind w:left="851" w:right="822"/>
        <w:rPr>
          <w:rFonts w:eastAsia="Palatino Linotype"/>
          <w:i/>
        </w:rPr>
      </w:pPr>
      <w:r w:rsidRPr="002870B2">
        <w:rPr>
          <w:rFonts w:eastAsia="Palatino Linotype"/>
          <w:b/>
          <w:i/>
        </w:rPr>
        <w:t xml:space="preserve">I. </w:t>
      </w:r>
      <w:r w:rsidRPr="002870B2">
        <w:rPr>
          <w:rFonts w:eastAsia="Palatino Linotype"/>
          <w:b/>
          <w:i/>
        </w:rPr>
        <w:tab/>
        <w:t>Toda la información en posesión de cualquier</w:t>
      </w:r>
      <w:r w:rsidRPr="002870B2">
        <w:rPr>
          <w:rFonts w:eastAsia="Palatino Linotype"/>
          <w:i/>
        </w:rPr>
        <w:t xml:space="preserve"> </w:t>
      </w:r>
      <w:r w:rsidRPr="002870B2">
        <w:rPr>
          <w:rFonts w:eastAsia="Palatino Linotype"/>
          <w:b/>
          <w:i/>
        </w:rPr>
        <w:t>autoridad</w:t>
      </w:r>
      <w:r w:rsidRPr="002870B2">
        <w:rPr>
          <w:rFonts w:eastAsia="Palatino Linotype"/>
          <w:i/>
        </w:rPr>
        <w:t xml:space="preserve">, entidad, órgano y organismo de los Poderes Ejecutivo, Legislativo y Judicial, órganos </w:t>
      </w:r>
      <w:r w:rsidRPr="002870B2">
        <w:rPr>
          <w:rFonts w:eastAsia="Palatino Linotype"/>
          <w:i/>
        </w:rPr>
        <w:lastRenderedPageBreak/>
        <w:t xml:space="preserve">autónomos, partidos políticos, fideicomisos y fondos públicos, así como de cualquier persona física, moral o sindicato que reciba y ejerza recursos públicos o realice actos de autoridad en el ámbito federal, estatal y </w:t>
      </w:r>
      <w:r w:rsidRPr="002870B2">
        <w:rPr>
          <w:rFonts w:eastAsia="Palatino Linotype"/>
          <w:b/>
          <w:i/>
        </w:rPr>
        <w:t>municipal</w:t>
      </w:r>
      <w:r w:rsidRPr="002870B2">
        <w:rPr>
          <w:rFonts w:eastAsia="Palatino Linotype"/>
          <w:i/>
        </w:rPr>
        <w:t xml:space="preserve">, </w:t>
      </w:r>
      <w:r w:rsidRPr="002870B2">
        <w:rPr>
          <w:rFonts w:eastAsia="Palatino Linotype"/>
          <w:b/>
          <w:i/>
        </w:rPr>
        <w:t>es pública</w:t>
      </w:r>
      <w:r w:rsidRPr="002870B2">
        <w:rPr>
          <w:rFonts w:eastAsia="Palatino Linotype"/>
          <w:i/>
        </w:rPr>
        <w:t xml:space="preserve"> y sólo podrá ser reservada temporalmente por razones de interés público y seguridad nacional, en los términos que fijen las leyes. </w:t>
      </w:r>
      <w:r w:rsidRPr="002870B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870B2">
        <w:rPr>
          <w:rFonts w:eastAsia="Palatino Linotype"/>
          <w:i/>
        </w:rPr>
        <w:t>, la ley determinará los supuestos específicos bajo los cuales procederá la declaración de inexistencia de la información.”</w:t>
      </w:r>
    </w:p>
    <w:p w14:paraId="6E295119" w14:textId="77777777" w:rsidR="003600BB" w:rsidRPr="002870B2" w:rsidRDefault="003600BB" w:rsidP="002870B2">
      <w:pPr>
        <w:spacing w:line="240" w:lineRule="auto"/>
        <w:ind w:left="851" w:right="822"/>
        <w:rPr>
          <w:rFonts w:eastAsia="Palatino Linotype"/>
          <w:b/>
          <w:i/>
        </w:rPr>
      </w:pPr>
    </w:p>
    <w:p w14:paraId="42192611" w14:textId="77777777" w:rsidR="003600BB" w:rsidRPr="002870B2" w:rsidRDefault="003600BB" w:rsidP="002870B2">
      <w:pPr>
        <w:spacing w:line="240" w:lineRule="auto"/>
        <w:ind w:left="851" w:right="822"/>
        <w:rPr>
          <w:rFonts w:eastAsia="Palatino Linotype"/>
          <w:b/>
          <w:i/>
        </w:rPr>
      </w:pPr>
      <w:r w:rsidRPr="002870B2">
        <w:rPr>
          <w:rFonts w:eastAsia="Palatino Linotype"/>
          <w:b/>
          <w:i/>
        </w:rPr>
        <w:t>Constitución Política del Estado Libre y Soberano de México</w:t>
      </w:r>
    </w:p>
    <w:p w14:paraId="59D628ED" w14:textId="77777777" w:rsidR="003600BB" w:rsidRPr="002870B2" w:rsidRDefault="003600BB" w:rsidP="002870B2">
      <w:pPr>
        <w:spacing w:line="240" w:lineRule="auto"/>
        <w:ind w:left="851" w:right="822"/>
        <w:rPr>
          <w:rFonts w:eastAsia="Palatino Linotype"/>
          <w:i/>
        </w:rPr>
      </w:pPr>
      <w:r w:rsidRPr="002870B2">
        <w:rPr>
          <w:rFonts w:eastAsia="Palatino Linotype"/>
          <w:b/>
          <w:i/>
        </w:rPr>
        <w:t>“Artículo 5</w:t>
      </w:r>
      <w:r w:rsidRPr="002870B2">
        <w:rPr>
          <w:rFonts w:eastAsia="Palatino Linotype"/>
          <w:i/>
        </w:rPr>
        <w:t xml:space="preserve">.- </w:t>
      </w:r>
    </w:p>
    <w:p w14:paraId="07ECE245" w14:textId="77777777" w:rsidR="003600BB" w:rsidRPr="002870B2" w:rsidRDefault="003600BB" w:rsidP="002870B2">
      <w:pPr>
        <w:spacing w:line="240" w:lineRule="auto"/>
        <w:ind w:left="851" w:right="822"/>
        <w:rPr>
          <w:rFonts w:eastAsia="Palatino Linotype"/>
          <w:i/>
        </w:rPr>
      </w:pPr>
      <w:r w:rsidRPr="002870B2">
        <w:rPr>
          <w:rFonts w:eastAsia="Palatino Linotype"/>
          <w:i/>
        </w:rPr>
        <w:t>(…)</w:t>
      </w:r>
    </w:p>
    <w:p w14:paraId="25B12033" w14:textId="77777777" w:rsidR="003600BB" w:rsidRPr="002870B2" w:rsidRDefault="003600BB" w:rsidP="002870B2">
      <w:pPr>
        <w:spacing w:line="240" w:lineRule="auto"/>
        <w:ind w:left="851" w:right="822"/>
        <w:rPr>
          <w:rFonts w:eastAsia="Palatino Linotype"/>
          <w:i/>
        </w:rPr>
      </w:pPr>
      <w:r w:rsidRPr="002870B2">
        <w:rPr>
          <w:rFonts w:eastAsia="Palatino Linotype"/>
          <w:b/>
          <w:i/>
        </w:rPr>
        <w:t>El derecho a la información será garantizado por el Estado. La ley establecerá las previsiones que permitan asegurar la protección, el respeto y la difusión de este derecho</w:t>
      </w:r>
      <w:r w:rsidRPr="002870B2">
        <w:rPr>
          <w:rFonts w:eastAsia="Palatino Linotype"/>
          <w:i/>
        </w:rPr>
        <w:t>.</w:t>
      </w:r>
    </w:p>
    <w:p w14:paraId="172D01AC" w14:textId="77777777" w:rsidR="003600BB" w:rsidRPr="002870B2" w:rsidRDefault="003600BB" w:rsidP="002870B2">
      <w:pPr>
        <w:spacing w:line="240" w:lineRule="auto"/>
        <w:ind w:left="851" w:right="822"/>
        <w:rPr>
          <w:rFonts w:eastAsia="Palatino Linotype"/>
          <w:i/>
        </w:rPr>
      </w:pPr>
      <w:r w:rsidRPr="002870B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4A5DF5A" w14:textId="77777777" w:rsidR="003600BB" w:rsidRPr="002870B2" w:rsidRDefault="003600BB" w:rsidP="002870B2">
      <w:pPr>
        <w:spacing w:line="240" w:lineRule="auto"/>
        <w:ind w:left="851" w:right="822"/>
        <w:rPr>
          <w:rFonts w:eastAsia="Palatino Linotype"/>
          <w:i/>
        </w:rPr>
      </w:pPr>
      <w:r w:rsidRPr="002870B2">
        <w:rPr>
          <w:rFonts w:eastAsia="Palatino Linotype"/>
          <w:b/>
          <w:i/>
        </w:rPr>
        <w:t>Este derecho se regirá por los principios y bases siguientes</w:t>
      </w:r>
      <w:r w:rsidRPr="002870B2">
        <w:rPr>
          <w:rFonts w:eastAsia="Palatino Linotype"/>
          <w:i/>
        </w:rPr>
        <w:t>:</w:t>
      </w:r>
    </w:p>
    <w:p w14:paraId="5A765E8E" w14:textId="77777777" w:rsidR="003600BB" w:rsidRPr="002870B2" w:rsidRDefault="003600BB" w:rsidP="002870B2">
      <w:pPr>
        <w:spacing w:line="240" w:lineRule="auto"/>
        <w:ind w:left="851" w:right="822"/>
        <w:rPr>
          <w:rFonts w:eastAsia="Palatino Linotype"/>
          <w:i/>
        </w:rPr>
      </w:pPr>
      <w:r w:rsidRPr="002870B2">
        <w:rPr>
          <w:rFonts w:eastAsia="Palatino Linotype"/>
          <w:b/>
          <w:i/>
        </w:rPr>
        <w:t>I. Toda la información en posesión de cualquier autoridad, entidad, órgano y organismos de los</w:t>
      </w:r>
      <w:r w:rsidRPr="002870B2">
        <w:rPr>
          <w:rFonts w:eastAsia="Palatino Linotype"/>
          <w:i/>
        </w:rPr>
        <w:t xml:space="preserve"> Poderes Ejecutivo, Legislativo y Judicial, órganos autónomos, partidos políticos, fideicomisos y fondos públicos estatales y </w:t>
      </w:r>
      <w:r w:rsidRPr="002870B2">
        <w:rPr>
          <w:rFonts w:eastAsia="Palatino Linotype"/>
          <w:b/>
          <w:i/>
        </w:rPr>
        <w:t>municipales</w:t>
      </w:r>
      <w:r w:rsidRPr="002870B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870B2">
        <w:rPr>
          <w:rFonts w:eastAsia="Palatino Linotype"/>
          <w:b/>
          <w:i/>
        </w:rPr>
        <w:t>es pública</w:t>
      </w:r>
      <w:r w:rsidRPr="002870B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870B2">
        <w:rPr>
          <w:rFonts w:eastAsia="Palatino Linotype"/>
          <w:b/>
          <w:i/>
        </w:rPr>
        <w:t>En la interpretación de este derecho deberá prevalecer el principio de máxima publicidad</w:t>
      </w:r>
      <w:r w:rsidRPr="002870B2">
        <w:rPr>
          <w:rFonts w:eastAsia="Palatino Linotype"/>
          <w:i/>
        </w:rPr>
        <w:t xml:space="preserve">. </w:t>
      </w:r>
      <w:r w:rsidRPr="002870B2">
        <w:rPr>
          <w:rFonts w:eastAsia="Palatino Linotype"/>
          <w:b/>
          <w:i/>
        </w:rPr>
        <w:t>Los sujetos obligados deberán documentar todo acto que derive del ejercicio de sus facultades, competencias o funciones</w:t>
      </w:r>
      <w:r w:rsidRPr="002870B2">
        <w:rPr>
          <w:rFonts w:eastAsia="Palatino Linotype"/>
          <w:i/>
        </w:rPr>
        <w:t>, la ley determinará los supuestos específicos bajo los cuales procederá la declaración de inexistencia de la información.”</w:t>
      </w:r>
    </w:p>
    <w:p w14:paraId="0A1645C8" w14:textId="77777777" w:rsidR="003600BB" w:rsidRPr="002870B2" w:rsidRDefault="003600BB" w:rsidP="002870B2">
      <w:pPr>
        <w:rPr>
          <w:rFonts w:eastAsia="Palatino Linotype"/>
          <w:b/>
          <w:i/>
        </w:rPr>
      </w:pPr>
    </w:p>
    <w:p w14:paraId="137FB51E" w14:textId="77777777" w:rsidR="003600BB" w:rsidRPr="002870B2" w:rsidRDefault="003600BB" w:rsidP="002870B2">
      <w:pPr>
        <w:rPr>
          <w:rFonts w:eastAsia="Palatino Linotype"/>
          <w:i/>
        </w:rPr>
      </w:pPr>
      <w:r w:rsidRPr="002870B2">
        <w:rPr>
          <w:rFonts w:eastAsia="Palatino Linotype"/>
        </w:rPr>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870B2">
        <w:rPr>
          <w:rFonts w:eastAsia="Palatino Linotype"/>
          <w:i/>
        </w:rPr>
        <w:t>por los principios de simplicidad, rapidez, gratuidad del procedimiento, auxilio y orientación a los particulares.</w:t>
      </w:r>
    </w:p>
    <w:p w14:paraId="255400DD" w14:textId="77777777" w:rsidR="003600BB" w:rsidRPr="002870B2" w:rsidRDefault="003600BB" w:rsidP="002870B2">
      <w:pPr>
        <w:rPr>
          <w:rFonts w:eastAsia="Palatino Linotype"/>
          <w:i/>
        </w:rPr>
      </w:pPr>
    </w:p>
    <w:p w14:paraId="22B1E445" w14:textId="77777777" w:rsidR="003600BB" w:rsidRPr="002870B2" w:rsidRDefault="003600BB" w:rsidP="002870B2">
      <w:pPr>
        <w:rPr>
          <w:rFonts w:eastAsia="Palatino Linotype" w:cs="Palatino Linotype"/>
          <w:i/>
          <w:szCs w:val="22"/>
        </w:rPr>
      </w:pPr>
      <w:r w:rsidRPr="002870B2">
        <w:rPr>
          <w:rFonts w:eastAsia="Palatino Linotype" w:cs="Palatino Linotype"/>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D8EF792" w14:textId="77777777" w:rsidR="003600BB" w:rsidRPr="002870B2" w:rsidRDefault="003600BB" w:rsidP="002870B2">
      <w:pPr>
        <w:rPr>
          <w:rFonts w:eastAsia="Palatino Linotype" w:cs="Palatino Linotype"/>
        </w:rPr>
      </w:pPr>
      <w:r w:rsidRPr="002870B2">
        <w:rPr>
          <w:rFonts w:eastAsia="Palatino Linotype" w:cs="Palatino Linotype"/>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0BC60FA" w14:textId="77777777" w:rsidR="003600BB" w:rsidRPr="002870B2" w:rsidRDefault="003600BB" w:rsidP="002870B2">
      <w:pPr>
        <w:rPr>
          <w:rFonts w:eastAsia="Palatino Linotype" w:cs="Palatino Linotype"/>
        </w:rPr>
      </w:pPr>
    </w:p>
    <w:p w14:paraId="25E10E7E" w14:textId="77777777" w:rsidR="003600BB" w:rsidRPr="002870B2" w:rsidRDefault="003600BB" w:rsidP="002870B2">
      <w:pPr>
        <w:rPr>
          <w:rFonts w:eastAsia="Palatino Linotype" w:cs="Palatino Linotype"/>
        </w:rPr>
      </w:pPr>
      <w:r w:rsidRPr="002870B2">
        <w:rPr>
          <w:rFonts w:eastAsia="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5F5D00A" w14:textId="77777777" w:rsidR="003600BB" w:rsidRPr="002870B2" w:rsidRDefault="003600BB" w:rsidP="002870B2">
      <w:pPr>
        <w:rPr>
          <w:rFonts w:eastAsia="Palatino Linotype" w:cs="Palatino Linotype"/>
        </w:rPr>
      </w:pPr>
    </w:p>
    <w:p w14:paraId="023AE86D" w14:textId="77777777" w:rsidR="003600BB" w:rsidRPr="002870B2" w:rsidRDefault="003600BB" w:rsidP="002870B2">
      <w:pPr>
        <w:rPr>
          <w:rFonts w:eastAsia="Palatino Linotype" w:cs="Palatino Linotype"/>
        </w:rPr>
      </w:pPr>
      <w:r w:rsidRPr="002870B2">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8F35A71" w14:textId="77777777" w:rsidR="003600BB" w:rsidRPr="002870B2" w:rsidRDefault="003600BB" w:rsidP="002870B2">
      <w:pPr>
        <w:rPr>
          <w:rFonts w:eastAsia="Palatino Linotype" w:cs="Palatino Linotype"/>
        </w:rPr>
      </w:pPr>
    </w:p>
    <w:p w14:paraId="1AE1676A" w14:textId="77777777" w:rsidR="003600BB" w:rsidRPr="002870B2" w:rsidRDefault="003600BB" w:rsidP="002870B2">
      <w:pPr>
        <w:rPr>
          <w:rFonts w:eastAsia="Palatino Linotype"/>
        </w:rPr>
      </w:pPr>
      <w:bookmarkStart w:id="39" w:name="_heading=h.2s8eyo1" w:colFirst="0" w:colLast="0"/>
      <w:bookmarkEnd w:id="39"/>
      <w:r w:rsidRPr="002870B2">
        <w:rPr>
          <w:rFonts w:eastAsia="Palatino Linotype"/>
        </w:rPr>
        <w:t xml:space="preserve">Con base en lo anterior, se considera que </w:t>
      </w:r>
      <w:r w:rsidRPr="002870B2">
        <w:rPr>
          <w:rFonts w:eastAsia="Palatino Linotype"/>
          <w:b/>
          <w:bCs/>
        </w:rPr>
        <w:t>EL</w:t>
      </w:r>
      <w:r w:rsidRPr="002870B2">
        <w:rPr>
          <w:rFonts w:eastAsia="Palatino Linotype"/>
        </w:rPr>
        <w:t xml:space="preserve"> </w:t>
      </w:r>
      <w:r w:rsidRPr="002870B2">
        <w:rPr>
          <w:rFonts w:eastAsia="Palatino Linotype"/>
          <w:b/>
        </w:rPr>
        <w:t>SUJETO OBLIGADO</w:t>
      </w:r>
      <w:r w:rsidRPr="002870B2">
        <w:rPr>
          <w:rFonts w:eastAsia="Palatino Linotype"/>
        </w:rPr>
        <w:t xml:space="preserve"> se encontraba compelido a atender la solicitud de acceso a la información realizada por </w:t>
      </w:r>
      <w:r w:rsidRPr="002870B2">
        <w:rPr>
          <w:rFonts w:eastAsia="Palatino Linotype"/>
          <w:b/>
          <w:bCs/>
        </w:rPr>
        <w:t>LA PARTE RECURRENTE</w:t>
      </w:r>
      <w:r w:rsidRPr="002870B2">
        <w:rPr>
          <w:rFonts w:eastAsia="Palatino Linotype"/>
        </w:rPr>
        <w:t>.</w:t>
      </w:r>
    </w:p>
    <w:p w14:paraId="54490720" w14:textId="77777777" w:rsidR="003600BB" w:rsidRPr="002870B2" w:rsidRDefault="003600BB" w:rsidP="002870B2">
      <w:pPr>
        <w:rPr>
          <w:rFonts w:eastAsia="Palatino Linotype"/>
        </w:rPr>
      </w:pPr>
    </w:p>
    <w:p w14:paraId="10A34A9E" w14:textId="77777777" w:rsidR="003600BB" w:rsidRPr="002870B2" w:rsidRDefault="003600BB" w:rsidP="002870B2">
      <w:pPr>
        <w:pStyle w:val="Ttulo3"/>
        <w:spacing w:line="360" w:lineRule="auto"/>
        <w:rPr>
          <w:rFonts w:eastAsia="Calibri"/>
          <w:lang w:eastAsia="es-ES_tradnl"/>
        </w:rPr>
      </w:pPr>
      <w:bookmarkStart w:id="40" w:name="_Toc177547224"/>
      <w:bookmarkStart w:id="41" w:name="_Toc177658932"/>
      <w:r w:rsidRPr="002870B2">
        <w:rPr>
          <w:rFonts w:eastAsia="Calibri"/>
          <w:lang w:eastAsia="es-ES_tradnl"/>
        </w:rPr>
        <w:t>b) Controversia a resolver</w:t>
      </w:r>
      <w:bookmarkEnd w:id="40"/>
      <w:bookmarkEnd w:id="41"/>
    </w:p>
    <w:p w14:paraId="637249C4" w14:textId="77777777" w:rsidR="003600BB" w:rsidRPr="002870B2" w:rsidRDefault="003600BB" w:rsidP="002870B2">
      <w:pPr>
        <w:rPr>
          <w:rFonts w:eastAsia="Calibri"/>
          <w:lang w:eastAsia="es-ES_tradnl"/>
        </w:rPr>
      </w:pPr>
      <w:r w:rsidRPr="002870B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2870B2">
        <w:rPr>
          <w:rFonts w:eastAsia="Calibri"/>
          <w:b/>
          <w:bCs/>
          <w:lang w:eastAsia="es-ES_tradnl"/>
        </w:rPr>
        <w:t>LA PARTE RECURRENTE</w:t>
      </w:r>
      <w:r w:rsidRPr="002870B2">
        <w:rPr>
          <w:rFonts w:eastAsia="Calibri"/>
          <w:lang w:eastAsia="es-ES_tradnl"/>
        </w:rPr>
        <w:t xml:space="preserve"> solicitó lo siguiente:</w:t>
      </w:r>
    </w:p>
    <w:p w14:paraId="3284D126" w14:textId="77777777" w:rsidR="003600BB" w:rsidRPr="002870B2" w:rsidRDefault="003600BB" w:rsidP="002870B2">
      <w:pPr>
        <w:rPr>
          <w:rFonts w:eastAsia="Calibri"/>
          <w:lang w:eastAsia="es-ES_tradnl"/>
        </w:rPr>
      </w:pPr>
    </w:p>
    <w:p w14:paraId="2C587CB1" w14:textId="77777777" w:rsidR="003600BB" w:rsidRPr="002870B2" w:rsidRDefault="003600BB" w:rsidP="002870B2">
      <w:pPr>
        <w:pStyle w:val="Prrafodelista"/>
        <w:numPr>
          <w:ilvl w:val="0"/>
          <w:numId w:val="8"/>
        </w:numPr>
        <w:tabs>
          <w:tab w:val="left" w:pos="4962"/>
        </w:tabs>
        <w:rPr>
          <w:rFonts w:eastAsia="Calibri"/>
          <w:lang w:eastAsia="es-ES_tradnl"/>
        </w:rPr>
      </w:pPr>
      <w:r w:rsidRPr="002870B2">
        <w:rPr>
          <w:rFonts w:eastAsia="Calibri"/>
          <w:lang w:eastAsia="es-ES_tradnl"/>
        </w:rPr>
        <w:t xml:space="preserve">Lista de abogados adscritos al área jurídica. </w:t>
      </w:r>
    </w:p>
    <w:p w14:paraId="59B45CA1" w14:textId="77777777" w:rsidR="003600BB" w:rsidRPr="002870B2" w:rsidRDefault="003600BB" w:rsidP="002870B2">
      <w:pPr>
        <w:pStyle w:val="Prrafodelista"/>
        <w:numPr>
          <w:ilvl w:val="0"/>
          <w:numId w:val="8"/>
        </w:numPr>
        <w:tabs>
          <w:tab w:val="left" w:pos="4962"/>
        </w:tabs>
        <w:rPr>
          <w:rFonts w:eastAsia="Calibri"/>
          <w:lang w:eastAsia="es-ES_tradnl"/>
        </w:rPr>
      </w:pPr>
      <w:r w:rsidRPr="002870B2">
        <w:rPr>
          <w:rFonts w:eastAsia="Calibri"/>
          <w:lang w:eastAsia="es-ES_tradnl"/>
        </w:rPr>
        <w:t>Recibos de nómina en versión pública y vía SAIMEX de los abogados adscritos al área jurídica.</w:t>
      </w:r>
    </w:p>
    <w:p w14:paraId="77526D84" w14:textId="77777777" w:rsidR="003600BB" w:rsidRPr="002870B2" w:rsidRDefault="003600BB" w:rsidP="002870B2">
      <w:pPr>
        <w:pStyle w:val="Prrafodelista"/>
        <w:numPr>
          <w:ilvl w:val="0"/>
          <w:numId w:val="8"/>
        </w:numPr>
        <w:tabs>
          <w:tab w:val="left" w:pos="4962"/>
        </w:tabs>
        <w:rPr>
          <w:rFonts w:eastAsia="Calibri"/>
          <w:lang w:eastAsia="es-ES_tradnl"/>
        </w:rPr>
      </w:pPr>
      <w:r w:rsidRPr="002870B2">
        <w:rPr>
          <w:rFonts w:eastAsia="Calibri"/>
          <w:lang w:eastAsia="es-ES_tradnl"/>
        </w:rPr>
        <w:t>Lista de abogados adscritos al área jurídica que pueden participar como Interventores o Salvaguardas, en caso de tener la lista de abogados que pueden actuar como Interventores o Salvaguardas, dar su fundamento jurídico, para el caso de NO tener la lista de abogados que pueden actuar como Interventores o Salvaguardas, dar el fundamento jurídico.</w:t>
      </w:r>
    </w:p>
    <w:p w14:paraId="304069C6" w14:textId="77777777" w:rsidR="003600BB" w:rsidRPr="002870B2" w:rsidRDefault="003600BB" w:rsidP="002870B2">
      <w:pPr>
        <w:tabs>
          <w:tab w:val="left" w:pos="4962"/>
        </w:tabs>
        <w:contextualSpacing/>
        <w:rPr>
          <w:rFonts w:ascii="Verdana" w:hAnsi="Verdana"/>
          <w:szCs w:val="22"/>
        </w:rPr>
      </w:pPr>
    </w:p>
    <w:p w14:paraId="32269E7B" w14:textId="77777777" w:rsidR="003600BB" w:rsidRPr="002870B2" w:rsidRDefault="003600BB" w:rsidP="002870B2">
      <w:pPr>
        <w:autoSpaceDE w:val="0"/>
        <w:autoSpaceDN w:val="0"/>
        <w:adjustRightInd w:val="0"/>
        <w:spacing w:after="240"/>
        <w:ind w:right="-28"/>
        <w:rPr>
          <w:rFonts w:cs="Tahoma"/>
          <w:bCs/>
          <w:szCs w:val="22"/>
          <w:lang w:val="es-ES"/>
        </w:rPr>
      </w:pPr>
      <w:r w:rsidRPr="002870B2">
        <w:rPr>
          <w:rFonts w:cs="Tahoma"/>
          <w:b/>
          <w:szCs w:val="22"/>
          <w:lang w:val="es-ES"/>
        </w:rPr>
        <w:lastRenderedPageBreak/>
        <w:t xml:space="preserve">EL SUJETO OBLIGADO </w:t>
      </w:r>
      <w:r w:rsidRPr="002870B2">
        <w:rPr>
          <w:rFonts w:cs="Tahoma"/>
          <w:bCs/>
          <w:szCs w:val="22"/>
          <w:lang w:val="es-ES"/>
        </w:rPr>
        <w:t>emitió su respuesta mediante el oficio SMDIF-NEZA/ADMON/RH/0070/2024, firmado por el Coordinador de Recursos Humanos, mediante el cual hace del conocimiento la lista de abogados adscritos al área jurídica, así como los recibos de nómina de estos en versión pública, el acuerdo de clasificación y el acta de la Décima Cuarta Sesión Extraordinaria del Comité de Transparencia, declarándose incompetente por cuanto hace a la lista de abogados adscritos al área jurídica que pueden participar como interventores o salvaguardas y al fundamento jurídico en caso de tener o no tener dicha lista.</w:t>
      </w:r>
    </w:p>
    <w:p w14:paraId="0E9AAE73" w14:textId="77777777" w:rsidR="003600BB" w:rsidRPr="002870B2" w:rsidRDefault="003600BB" w:rsidP="002870B2">
      <w:pPr>
        <w:tabs>
          <w:tab w:val="left" w:pos="4962"/>
        </w:tabs>
        <w:contextualSpacing/>
        <w:rPr>
          <w:rFonts w:eastAsiaTheme="minorHAnsi" w:cs="Tahoma"/>
          <w:bCs/>
          <w:iCs/>
          <w:szCs w:val="22"/>
          <w:lang w:eastAsia="en-US"/>
        </w:rPr>
      </w:pPr>
      <w:r w:rsidRPr="002870B2">
        <w:rPr>
          <w:rFonts w:eastAsiaTheme="minorHAnsi" w:cs="Tahoma"/>
          <w:bCs/>
          <w:iCs/>
          <w:szCs w:val="22"/>
          <w:lang w:eastAsia="en-US"/>
        </w:rPr>
        <w:t>Ante la respuesta</w:t>
      </w:r>
      <w:r w:rsidRPr="002870B2">
        <w:rPr>
          <w:rFonts w:eastAsiaTheme="minorHAnsi" w:cs="Tahoma"/>
          <w:b/>
          <w:iCs/>
          <w:szCs w:val="22"/>
          <w:lang w:eastAsia="en-US"/>
        </w:rPr>
        <w:t xml:space="preserve"> LA PARTE RECURRENTE</w:t>
      </w:r>
      <w:r w:rsidRPr="002870B2">
        <w:rPr>
          <w:rFonts w:eastAsiaTheme="minorHAnsi" w:cs="Tahoma"/>
          <w:bCs/>
          <w:iCs/>
          <w:szCs w:val="22"/>
          <w:lang w:eastAsia="en-US"/>
        </w:rPr>
        <w:t xml:space="preserve"> en la interposición del presente recurso se inconformó esencialmente del falta de pronunciamiento del área jurídica, es decir la respuesta incompleta, validando la respuesta emitida por la coordinación de recursos humanos.</w:t>
      </w:r>
    </w:p>
    <w:p w14:paraId="5F233C7B" w14:textId="77777777" w:rsidR="003600BB" w:rsidRPr="002870B2" w:rsidRDefault="003600BB" w:rsidP="002870B2">
      <w:pPr>
        <w:spacing w:after="240"/>
        <w:rPr>
          <w:rFonts w:cs="Tahoma"/>
          <w:b/>
          <w:bCs/>
          <w:i/>
          <w:szCs w:val="24"/>
        </w:rPr>
      </w:pPr>
      <w:r w:rsidRPr="002870B2">
        <w:rPr>
          <w:rFonts w:cs="Tahoma"/>
          <w:bCs/>
          <w:szCs w:val="24"/>
        </w:rPr>
        <w:t>Por su parte</w:t>
      </w:r>
      <w:r w:rsidRPr="002870B2">
        <w:rPr>
          <w:rFonts w:cs="Tahoma"/>
          <w:b/>
          <w:szCs w:val="24"/>
        </w:rPr>
        <w:t xml:space="preserve"> EL SUJETO OBLIGADO</w:t>
      </w:r>
      <w:r w:rsidRPr="002870B2">
        <w:rPr>
          <w:rFonts w:cs="Tahoma"/>
          <w:bCs/>
          <w:szCs w:val="24"/>
        </w:rPr>
        <w:t xml:space="preserve"> rindió su informe justificado a través </w:t>
      </w:r>
      <w:r w:rsidRPr="002870B2">
        <w:rPr>
          <w:rFonts w:cs="Tahoma"/>
          <w:iCs/>
          <w:szCs w:val="24"/>
        </w:rPr>
        <w:t>los oficios</w:t>
      </w:r>
      <w:r w:rsidRPr="002870B2">
        <w:rPr>
          <w:rFonts w:cs="Tahoma"/>
          <w:bCs/>
          <w:szCs w:val="24"/>
        </w:rPr>
        <w:t xml:space="preserve"> </w:t>
      </w:r>
      <w:r w:rsidRPr="002870B2">
        <w:rPr>
          <w:rFonts w:cs="Tahoma"/>
          <w:bCs/>
          <w:szCs w:val="22"/>
          <w:lang w:val="es-ES"/>
        </w:rPr>
        <w:t>SMDIF-NEZA/ADMON/1151/2024, dirigido al Titular de la Unidad de Transparencia y Acceso a la información Pública y firmado por la Titular de la Unidad de Administración, mediante el cual informa de manera sustancial que en atención a sus funciones y atribuciones no es de su facultad designar temas jurídicos de participación, designación de actividades o funciones y</w:t>
      </w:r>
      <w:r w:rsidRPr="002870B2">
        <w:rPr>
          <w:rFonts w:cs="Tahoma"/>
          <w:b/>
          <w:bCs/>
          <w:i/>
          <w:szCs w:val="24"/>
        </w:rPr>
        <w:t xml:space="preserve"> </w:t>
      </w:r>
      <w:r w:rsidRPr="002870B2">
        <w:rPr>
          <w:rFonts w:cs="Tahoma"/>
          <w:bCs/>
          <w:szCs w:val="24"/>
        </w:rPr>
        <w:t xml:space="preserve">el oficio </w:t>
      </w:r>
      <w:r w:rsidRPr="002870B2">
        <w:rPr>
          <w:rFonts w:cs="Tahoma"/>
          <w:bCs/>
          <w:szCs w:val="22"/>
          <w:lang w:val="es-ES"/>
        </w:rPr>
        <w:t>SMDIF-NEZA/CJ/162/2024, dirigido al Titular de la Unidad de Transparencia y Acceso a la información Pública y firmado por el Coordinador Jurídico, mediante el cual remite la lista de abogados adscritos al área Jurídica, e informa que por cuanto hace a la participación de abogados adscritos a esta área como interventores o salva guardas, en atención al artículo 3 fracción VI de la Ley que Crea los Organismo Públicos Descentralizados de Asistencia Social, de Carácter Municipal Denominados “Sistemas Municipales Para el Desarrollo Integral de la Familia, no está dentro de sus facultades o atribuciones por lo que no cuenta con personal para fungir como interventor en términos del artículo 4.360 del Código Civil Vigente en el Estado de México.</w:t>
      </w:r>
    </w:p>
    <w:p w14:paraId="65D41831" w14:textId="77777777" w:rsidR="003600BB" w:rsidRPr="002870B2" w:rsidRDefault="003600BB" w:rsidP="002870B2">
      <w:pPr>
        <w:pStyle w:val="Ttulo3"/>
      </w:pPr>
      <w:bookmarkStart w:id="42" w:name="_Toc177547225"/>
      <w:bookmarkStart w:id="43" w:name="_Toc177658933"/>
      <w:r w:rsidRPr="002870B2">
        <w:lastRenderedPageBreak/>
        <w:t>c) Estudio de la controversia</w:t>
      </w:r>
      <w:bookmarkEnd w:id="42"/>
      <w:bookmarkEnd w:id="43"/>
    </w:p>
    <w:p w14:paraId="14B10404" w14:textId="77777777" w:rsidR="003600BB" w:rsidRPr="002870B2" w:rsidRDefault="003600BB" w:rsidP="002870B2">
      <w:pPr>
        <w:pStyle w:val="Prrafodelista"/>
        <w:widowControl w:val="0"/>
        <w:autoSpaceDE w:val="0"/>
        <w:autoSpaceDN w:val="0"/>
        <w:adjustRightInd w:val="0"/>
        <w:ind w:left="0"/>
        <w:rPr>
          <w:lang w:val="es-ES_tradnl"/>
        </w:rPr>
      </w:pPr>
      <w:r w:rsidRPr="002870B2">
        <w:t xml:space="preserve">Determinado lo anterior, es importante señalar que </w:t>
      </w:r>
      <w:r w:rsidRPr="002870B2">
        <w:rPr>
          <w:rFonts w:eastAsiaTheme="minorHAnsi" w:cs="Tahoma"/>
          <w:b/>
          <w:iCs/>
          <w:szCs w:val="22"/>
          <w:lang w:eastAsia="en-US"/>
        </w:rPr>
        <w:t>LA PARTE RECURRENTE</w:t>
      </w:r>
      <w:r w:rsidRPr="002870B2">
        <w:rPr>
          <w:rFonts w:eastAsiaTheme="minorHAnsi" w:cs="Tahoma"/>
          <w:bCs/>
          <w:iCs/>
          <w:szCs w:val="22"/>
          <w:lang w:eastAsia="en-US"/>
        </w:rPr>
        <w:t xml:space="preserve"> </w:t>
      </w:r>
      <w:r w:rsidRPr="002870B2">
        <w:rPr>
          <w:lang w:val="es-ES_tradnl"/>
        </w:rPr>
        <w:t>presentó el desistimiento expreso respecto al medio de impugnación que pretendía, como se aprecia en el análisis de los antecedentes de la presente resolución.</w:t>
      </w:r>
    </w:p>
    <w:p w14:paraId="65F3DCBA" w14:textId="77777777" w:rsidR="003600BB" w:rsidRPr="002870B2" w:rsidRDefault="003600BB" w:rsidP="002870B2">
      <w:pPr>
        <w:spacing w:before="100" w:beforeAutospacing="1" w:after="100" w:afterAutospacing="1"/>
        <w:rPr>
          <w:rFonts w:eastAsia="Calibri" w:cs="Arial"/>
        </w:rPr>
      </w:pPr>
      <w:r w:rsidRPr="002870B2">
        <w:rPr>
          <w:lang w:val="es-ES_tradnl"/>
        </w:rPr>
        <w:t xml:space="preserve">Ante tal circunstancia, </w:t>
      </w:r>
      <w:r w:rsidRPr="002870B2">
        <w:rPr>
          <w:rFonts w:eastAsia="Calibri" w:cs="Arial"/>
        </w:rPr>
        <w:t xml:space="preserve">es pertinente indicar que para que </w:t>
      </w:r>
      <w:r w:rsidRPr="002870B2">
        <w:rPr>
          <w:b/>
        </w:rPr>
        <w:t xml:space="preserve">LA PARTE RECURRENTE </w:t>
      </w:r>
      <w:r w:rsidRPr="002870B2">
        <w:rPr>
          <w:rFonts w:eastAsia="Calibri" w:cs="Arial"/>
        </w:rPr>
        <w:t xml:space="preserve">pueda configurar de manera directa la figura del desistimiento, es necesario que ingrese al </w:t>
      </w:r>
      <w:r w:rsidRPr="002870B2">
        <w:rPr>
          <w:rFonts w:eastAsia="Calibri" w:cs="Arial"/>
          <w:b/>
        </w:rPr>
        <w:t>SAIMEX</w:t>
      </w:r>
      <w:r w:rsidRPr="002870B2">
        <w:rPr>
          <w:rFonts w:eastAsia="Calibri" w:cs="Arial"/>
        </w:rPr>
        <w:t xml:space="preserve"> mediante uso de su clave de usuario y contraseña, razón por la cual, no existe duda de que se trata de un desistimiento expreso.</w:t>
      </w:r>
    </w:p>
    <w:p w14:paraId="5767AC27" w14:textId="77777777" w:rsidR="003600BB" w:rsidRPr="002870B2" w:rsidRDefault="003600BB" w:rsidP="002870B2">
      <w:pPr>
        <w:spacing w:before="100" w:beforeAutospacing="1" w:after="100" w:afterAutospacing="1"/>
        <w:rPr>
          <w:rFonts w:eastAsia="Calibri" w:cs="Arial"/>
        </w:rPr>
      </w:pPr>
      <w:r w:rsidRPr="002870B2">
        <w:rPr>
          <w:rFonts w:eastAsia="Calibri" w:cs="Arial"/>
        </w:rPr>
        <w:t xml:space="preserve">En ese orden de ideas, también es conveniente referir que la palabra desistir significa </w:t>
      </w:r>
      <w:r w:rsidRPr="002870B2">
        <w:rPr>
          <w:rFonts w:eastAsia="Calibri" w:cs="Arial"/>
          <w:i/>
        </w:rPr>
        <w:t>“abdicar o abandonar un derecho o una acción procesal”</w:t>
      </w:r>
      <w:r w:rsidRPr="002870B2">
        <w:rPr>
          <w:rFonts w:eastAsia="Calibri" w:cs="Arial"/>
        </w:rPr>
        <w:t>, tal y como lo señala el Diccionario de la Lengua Española</w:t>
      </w:r>
      <w:r w:rsidRPr="002870B2">
        <w:rPr>
          <w:vertAlign w:val="superscript"/>
        </w:rPr>
        <w:footnoteReference w:id="1"/>
      </w:r>
    </w:p>
    <w:p w14:paraId="3F44332D" w14:textId="77777777" w:rsidR="003600BB" w:rsidRPr="002870B2" w:rsidRDefault="003600BB" w:rsidP="002870B2">
      <w:pPr>
        <w:spacing w:before="100" w:beforeAutospacing="1" w:after="100" w:afterAutospacing="1"/>
        <w:rPr>
          <w:rFonts w:eastAsia="Calibri" w:cs="Arial"/>
        </w:rPr>
      </w:pPr>
      <w:r w:rsidRPr="002870B2">
        <w:rPr>
          <w:rFonts w:eastAsia="Calibri" w:cs="Arial"/>
        </w:rPr>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14:paraId="366C2B7A" w14:textId="77777777" w:rsidR="003600BB" w:rsidRPr="002870B2" w:rsidRDefault="003600BB" w:rsidP="002870B2">
      <w:pPr>
        <w:spacing w:before="240" w:line="240" w:lineRule="auto"/>
        <w:ind w:left="851" w:right="851"/>
        <w:rPr>
          <w:rFonts w:eastAsia="Palatino Linotype" w:cs="Palatino Linotype"/>
          <w:i/>
          <w:szCs w:val="22"/>
        </w:rPr>
      </w:pPr>
      <w:r w:rsidRPr="002870B2">
        <w:rPr>
          <w:rFonts w:eastAsia="Palatino Linotype" w:cs="Palatino Linotype"/>
          <w:i/>
          <w:szCs w:val="22"/>
        </w:rPr>
        <w:t>“</w:t>
      </w:r>
      <w:r w:rsidRPr="002870B2">
        <w:rPr>
          <w:rFonts w:eastAsia="Palatino Linotype" w:cs="Palatino Linotype"/>
          <w:b/>
          <w:bCs/>
          <w:i/>
          <w:szCs w:val="22"/>
        </w:rPr>
        <w:t>DESISTIMIENTOS DE LA ACCION Y DE LA DEMANDA. DIFERENCIAS</w:t>
      </w:r>
      <w:r w:rsidRPr="002870B2">
        <w:rPr>
          <w:rFonts w:eastAsia="Palatino Linotype" w:cs="Palatino Linotype"/>
          <w:i/>
          <w:szCs w:val="22"/>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6ECCB0E6" w14:textId="77777777" w:rsidR="003600BB" w:rsidRPr="002870B2" w:rsidRDefault="003600BB" w:rsidP="002870B2">
      <w:pPr>
        <w:spacing w:before="100" w:beforeAutospacing="1" w:after="100" w:afterAutospacing="1"/>
        <w:rPr>
          <w:rFonts w:eastAsia="Calibri" w:cs="Arial"/>
        </w:rPr>
      </w:pPr>
      <w:r w:rsidRPr="002870B2">
        <w:rPr>
          <w:rFonts w:eastAsia="Calibri" w:cs="Arial"/>
        </w:rPr>
        <w:lastRenderedPageBreak/>
        <w:t>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w:t>
      </w:r>
    </w:p>
    <w:p w14:paraId="3DAB4FA1" w14:textId="77777777" w:rsidR="003600BB" w:rsidRPr="002870B2" w:rsidRDefault="003600BB" w:rsidP="002870B2">
      <w:pPr>
        <w:spacing w:before="240"/>
        <w:ind w:left="851" w:right="851"/>
        <w:rPr>
          <w:rFonts w:eastAsia="Palatino Linotype" w:cs="Palatino Linotype"/>
          <w:i/>
          <w:szCs w:val="22"/>
        </w:rPr>
      </w:pPr>
      <w:r w:rsidRPr="002870B2">
        <w:rPr>
          <w:rFonts w:eastAsia="Palatino Linotype" w:cs="Palatino Linotype"/>
          <w:i/>
          <w:szCs w:val="22"/>
        </w:rPr>
        <w:t>“</w:t>
      </w:r>
      <w:r w:rsidRPr="002870B2">
        <w:rPr>
          <w:rFonts w:eastAsia="Palatino Linotype" w:cs="Palatino Linotype"/>
          <w:b/>
          <w:i/>
          <w:szCs w:val="22"/>
        </w:rPr>
        <w:t>Artículo 192</w:t>
      </w:r>
      <w:r w:rsidRPr="002870B2">
        <w:rPr>
          <w:rFonts w:eastAsia="Palatino Linotype" w:cs="Palatino Linotype"/>
          <w:i/>
          <w:szCs w:val="22"/>
        </w:rPr>
        <w:t xml:space="preserve">. </w:t>
      </w:r>
      <w:r w:rsidRPr="002870B2">
        <w:rPr>
          <w:rFonts w:eastAsia="Palatino Linotype" w:cs="Palatino Linotype"/>
          <w:b/>
          <w:i/>
          <w:szCs w:val="22"/>
        </w:rPr>
        <w:t>El recurso será sobreseído</w:t>
      </w:r>
      <w:r w:rsidRPr="002870B2">
        <w:rPr>
          <w:rFonts w:eastAsia="Palatino Linotype" w:cs="Palatino Linotype"/>
          <w:i/>
          <w:szCs w:val="22"/>
        </w:rPr>
        <w:t>, en todo o en parte</w:t>
      </w:r>
      <w:r w:rsidRPr="002870B2">
        <w:rPr>
          <w:rFonts w:eastAsia="Palatino Linotype" w:cs="Palatino Linotype"/>
          <w:b/>
          <w:i/>
          <w:szCs w:val="22"/>
        </w:rPr>
        <w:t>, cuando una vez admitido</w:t>
      </w:r>
      <w:r w:rsidRPr="002870B2">
        <w:rPr>
          <w:rFonts w:eastAsia="Palatino Linotype" w:cs="Palatino Linotype"/>
          <w:i/>
          <w:szCs w:val="22"/>
        </w:rPr>
        <w:t>, se actualicen alguno de los siguientes supuestos:</w:t>
      </w:r>
    </w:p>
    <w:p w14:paraId="701AB8DD" w14:textId="77777777" w:rsidR="003600BB" w:rsidRPr="002870B2" w:rsidRDefault="003600BB" w:rsidP="002870B2">
      <w:pPr>
        <w:spacing w:before="240"/>
        <w:ind w:left="851" w:right="851"/>
        <w:rPr>
          <w:rFonts w:eastAsia="Palatino Linotype" w:cs="Palatino Linotype"/>
          <w:i/>
          <w:szCs w:val="22"/>
        </w:rPr>
      </w:pPr>
      <w:r w:rsidRPr="002870B2">
        <w:rPr>
          <w:rFonts w:eastAsia="Palatino Linotype" w:cs="Palatino Linotype"/>
          <w:b/>
          <w:i/>
          <w:szCs w:val="22"/>
          <w:u w:val="single"/>
        </w:rPr>
        <w:t>I. El recurrente se desista expresamente del recurso;</w:t>
      </w:r>
      <w:r w:rsidRPr="002870B2">
        <w:rPr>
          <w:rFonts w:eastAsia="Palatino Linotype" w:cs="Palatino Linotype"/>
          <w:i/>
          <w:szCs w:val="22"/>
        </w:rPr>
        <w:t>”</w:t>
      </w:r>
    </w:p>
    <w:p w14:paraId="4C32ED45" w14:textId="77777777" w:rsidR="003600BB" w:rsidRPr="002870B2" w:rsidRDefault="003600BB" w:rsidP="002870B2">
      <w:pPr>
        <w:spacing w:before="100" w:beforeAutospacing="1" w:after="100" w:afterAutospacing="1"/>
        <w:rPr>
          <w:rFonts w:eastAsia="Calibri" w:cs="Arial"/>
        </w:rPr>
      </w:pPr>
      <w:r w:rsidRPr="002870B2">
        <w:rPr>
          <w:rFonts w:eastAsia="Calibri" w:cs="Arial"/>
        </w:rPr>
        <w:t xml:space="preserve">En consecuencia, se determina </w:t>
      </w:r>
      <w:r w:rsidRPr="002870B2">
        <w:rPr>
          <w:rFonts w:eastAsia="Calibri" w:cs="Arial"/>
          <w:b/>
          <w:bCs/>
        </w:rPr>
        <w:t>SOBRESEER</w:t>
      </w:r>
      <w:r w:rsidRPr="002870B2">
        <w:rPr>
          <w:rFonts w:eastAsia="Calibri" w:cs="Arial"/>
        </w:rPr>
        <w:t xml:space="preserve"> el presente Recurso de Revisión, en términos del artículo 186, fracción I, de la Ley de Transparencia y Acceso a la Información Pública del Estado de México y Municipios:</w:t>
      </w:r>
    </w:p>
    <w:p w14:paraId="58C55AFD" w14:textId="77777777" w:rsidR="003600BB" w:rsidRPr="002870B2" w:rsidRDefault="003600BB" w:rsidP="002870B2">
      <w:pPr>
        <w:spacing w:before="240"/>
        <w:ind w:left="851" w:right="851"/>
        <w:rPr>
          <w:rFonts w:eastAsia="Calibri" w:cs="Arial"/>
          <w:i/>
        </w:rPr>
      </w:pPr>
      <w:r w:rsidRPr="002870B2">
        <w:rPr>
          <w:rFonts w:eastAsia="Calibri" w:cs="Arial"/>
          <w:i/>
        </w:rPr>
        <w:t>“</w:t>
      </w:r>
      <w:r w:rsidRPr="002870B2">
        <w:rPr>
          <w:rFonts w:eastAsia="Calibri" w:cs="Arial"/>
          <w:b/>
          <w:i/>
        </w:rPr>
        <w:t>Artículo 186</w:t>
      </w:r>
      <w:r w:rsidRPr="002870B2">
        <w:rPr>
          <w:rFonts w:eastAsia="Calibri" w:cs="Arial"/>
          <w:i/>
        </w:rPr>
        <w:t xml:space="preserve">. </w:t>
      </w:r>
      <w:r w:rsidRPr="002870B2">
        <w:rPr>
          <w:rFonts w:eastAsia="Calibri" w:cs="Arial"/>
          <w:b/>
          <w:i/>
          <w:u w:val="single"/>
        </w:rPr>
        <w:t>Las resoluciones del Instituto podrán:</w:t>
      </w:r>
    </w:p>
    <w:p w14:paraId="26407D78" w14:textId="77777777" w:rsidR="003600BB" w:rsidRPr="002870B2" w:rsidRDefault="003600BB" w:rsidP="002870B2">
      <w:pPr>
        <w:spacing w:before="240"/>
        <w:ind w:left="851" w:right="851"/>
        <w:rPr>
          <w:rFonts w:eastAsia="Calibri" w:cs="Arial"/>
          <w:i/>
        </w:rPr>
      </w:pPr>
      <w:r w:rsidRPr="002870B2">
        <w:rPr>
          <w:rFonts w:eastAsia="Calibri" w:cs="Arial"/>
          <w:b/>
          <w:i/>
        </w:rPr>
        <w:t>I.</w:t>
      </w:r>
      <w:r w:rsidRPr="002870B2">
        <w:rPr>
          <w:rFonts w:eastAsia="Calibri" w:cs="Arial"/>
          <w:i/>
        </w:rPr>
        <w:t xml:space="preserve"> Desechar o </w:t>
      </w:r>
      <w:r w:rsidRPr="002870B2">
        <w:rPr>
          <w:rFonts w:eastAsia="Calibri" w:cs="Arial"/>
          <w:b/>
          <w:i/>
          <w:u w:val="single"/>
        </w:rPr>
        <w:t>sobreseer el recurso</w:t>
      </w:r>
      <w:r w:rsidRPr="002870B2">
        <w:rPr>
          <w:rFonts w:eastAsia="Calibri" w:cs="Arial"/>
          <w:i/>
        </w:rPr>
        <w:t>;”</w:t>
      </w:r>
    </w:p>
    <w:p w14:paraId="131A2B1B" w14:textId="77777777" w:rsidR="003600BB" w:rsidRPr="002870B2" w:rsidRDefault="003600BB" w:rsidP="002870B2">
      <w:pPr>
        <w:spacing w:before="100" w:beforeAutospacing="1" w:after="100" w:afterAutospacing="1"/>
        <w:rPr>
          <w:rFonts w:cs="Arial"/>
        </w:rPr>
      </w:pPr>
      <w:r w:rsidRPr="002870B2">
        <w:rPr>
          <w:rFonts w:cs="Arial"/>
        </w:rPr>
        <w:t xml:space="preserve">Derivado de lo anterior, es de referir que este Órgano Garante no se pronuncia sobre las razones o motivos de inconformidad expuestos por </w:t>
      </w:r>
      <w:r w:rsidRPr="002870B2">
        <w:rPr>
          <w:b/>
        </w:rPr>
        <w:t>EL</w:t>
      </w:r>
      <w:r w:rsidRPr="002870B2">
        <w:rPr>
          <w:rFonts w:cs="Arial"/>
          <w:b/>
        </w:rPr>
        <w:t xml:space="preserve"> RECURRENTE</w:t>
      </w:r>
      <w:r w:rsidRPr="002870B2">
        <w:rPr>
          <w:rFonts w:cs="Arial"/>
        </w:rPr>
        <w:t xml:space="preserve">, toda vez que se infiere que al desistirse voluntariamente el pasado </w:t>
      </w:r>
      <w:r w:rsidRPr="002870B2">
        <w:rPr>
          <w:rFonts w:cs="Arial"/>
          <w:b/>
        </w:rPr>
        <w:t>doce de julio de dos mil veinticuatro</w:t>
      </w:r>
      <w:r w:rsidRPr="002870B2">
        <w:rPr>
          <w:rFonts w:cs="Arial"/>
        </w:rPr>
        <w:t>, es aplicable la Tesis Aislada (Constitucional) de la Décima Época visible en el Semanario Judicial de la Federación, emitida por la Segunda Sala, CDXXV/2014 (10a.), con número de registro 2008086 cuyo rubro y texto establece lo siguiente:</w:t>
      </w:r>
    </w:p>
    <w:p w14:paraId="6DF45B5C" w14:textId="77777777" w:rsidR="003600BB" w:rsidRPr="002870B2" w:rsidRDefault="003600BB" w:rsidP="002870B2">
      <w:pPr>
        <w:spacing w:before="240" w:line="240" w:lineRule="auto"/>
        <w:ind w:left="851" w:right="851"/>
        <w:rPr>
          <w:rFonts w:eastAsia="Palatino Linotype" w:cs="Palatino Linotype"/>
          <w:i/>
          <w:szCs w:val="22"/>
        </w:rPr>
      </w:pPr>
      <w:r w:rsidRPr="002870B2">
        <w:rPr>
          <w:rFonts w:eastAsia="Palatino Linotype" w:cs="Palatino Linotype"/>
          <w:i/>
          <w:szCs w:val="22"/>
        </w:rPr>
        <w:t>“</w:t>
      </w:r>
      <w:r w:rsidRPr="002870B2">
        <w:rPr>
          <w:rFonts w:eastAsia="Palatino Linotype" w:cs="Palatino Linotype"/>
          <w:b/>
          <w:i/>
          <w:szCs w:val="22"/>
        </w:rPr>
        <w:t>AUTONOMÍA DE LA VOLUNTAD. ES UN PRINCIPIO DE RANGO CONSTITUCIONAL</w:t>
      </w:r>
      <w:r w:rsidRPr="002870B2">
        <w:rPr>
          <w:rFonts w:eastAsia="Palatino Linotype" w:cs="Palatino Linotype"/>
          <w:i/>
          <w:szCs w:val="22"/>
        </w:rPr>
        <w:t>.</w:t>
      </w:r>
    </w:p>
    <w:p w14:paraId="5261CD3C" w14:textId="77777777" w:rsidR="003600BB" w:rsidRPr="002870B2" w:rsidRDefault="003600BB" w:rsidP="002870B2">
      <w:pPr>
        <w:spacing w:before="240" w:line="240" w:lineRule="auto"/>
        <w:ind w:left="851" w:right="851"/>
        <w:rPr>
          <w:rFonts w:cs="Arial"/>
        </w:rPr>
      </w:pPr>
      <w:r w:rsidRPr="002870B2">
        <w:rPr>
          <w:rFonts w:eastAsia="Palatino Linotype" w:cs="Palatino Linotype"/>
          <w:i/>
          <w:szCs w:val="22"/>
        </w:rPr>
        <w:t xml:space="preserve">A consideración de esta Primera Sala de la Suprema Corte de Justicia de la Nación, el </w:t>
      </w:r>
      <w:r w:rsidRPr="002870B2">
        <w:rPr>
          <w:rFonts w:eastAsia="Palatino Linotype" w:cs="Palatino Linotype"/>
          <w:b/>
          <w:i/>
          <w:szCs w:val="22"/>
        </w:rPr>
        <w:t>principio de autonomía de la voluntad</w:t>
      </w:r>
      <w:r w:rsidRPr="002870B2">
        <w:rPr>
          <w:rFonts w:eastAsia="Palatino Linotype" w:cs="Palatino Linotype"/>
          <w:i/>
          <w:szCs w:val="22"/>
        </w:rPr>
        <w:t xml:space="preserve"> goza de rango constitucional y no debe </w:t>
      </w:r>
      <w:r w:rsidRPr="002870B2">
        <w:rPr>
          <w:rFonts w:eastAsia="Palatino Linotype" w:cs="Palatino Linotype"/>
          <w:i/>
          <w:szCs w:val="22"/>
        </w:rPr>
        <w:lastRenderedPageBreak/>
        <w:t>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de una relación jurídica son libres para gestionar su propio interés y regular sus relaciones, sin injerencias externas.</w:t>
      </w:r>
      <w:r w:rsidRPr="002870B2">
        <w:rPr>
          <w:rFonts w:cs="Arial"/>
        </w:rPr>
        <w:t xml:space="preserve"> </w:t>
      </w:r>
    </w:p>
    <w:p w14:paraId="0D0B5788" w14:textId="77777777" w:rsidR="003600BB" w:rsidRPr="002870B2" w:rsidRDefault="003600BB" w:rsidP="002870B2">
      <w:pPr>
        <w:contextualSpacing/>
        <w:rPr>
          <w:rFonts w:eastAsia="Calibri" w:cs="Tahoma"/>
          <w:b/>
          <w:bCs/>
          <w:szCs w:val="22"/>
        </w:rPr>
      </w:pPr>
    </w:p>
    <w:p w14:paraId="0729C2FE" w14:textId="77777777" w:rsidR="003600BB" w:rsidRPr="002870B2" w:rsidRDefault="003600BB" w:rsidP="002870B2">
      <w:pPr>
        <w:contextualSpacing/>
        <w:rPr>
          <w:rFonts w:eastAsia="Calibri" w:cs="Tahoma"/>
          <w:b/>
          <w:bCs/>
          <w:szCs w:val="22"/>
        </w:rPr>
      </w:pPr>
    </w:p>
    <w:p w14:paraId="682A41CB" w14:textId="2A299E1B" w:rsidR="003600BB" w:rsidRPr="002870B2" w:rsidRDefault="002870B2" w:rsidP="002870B2">
      <w:pPr>
        <w:pStyle w:val="Ttulo3"/>
        <w:spacing w:line="360" w:lineRule="auto"/>
      </w:pPr>
      <w:bookmarkStart w:id="44" w:name="_Toc177547226"/>
      <w:bookmarkStart w:id="45" w:name="_Toc177658934"/>
      <w:r>
        <w:t>d</w:t>
      </w:r>
      <w:r w:rsidR="003600BB" w:rsidRPr="002870B2">
        <w:t>) Conclusión</w:t>
      </w:r>
      <w:bookmarkEnd w:id="44"/>
      <w:bookmarkEnd w:id="45"/>
    </w:p>
    <w:p w14:paraId="382AF970" w14:textId="77777777" w:rsidR="003600BB" w:rsidRPr="002870B2" w:rsidRDefault="003600BB" w:rsidP="002870B2">
      <w:pPr>
        <w:widowControl w:val="0"/>
        <w:tabs>
          <w:tab w:val="left" w:pos="1701"/>
          <w:tab w:val="left" w:pos="1843"/>
        </w:tabs>
        <w:autoSpaceDE w:val="0"/>
        <w:autoSpaceDN w:val="0"/>
        <w:adjustRightInd w:val="0"/>
        <w:rPr>
          <w:rFonts w:cs="Arial"/>
        </w:rPr>
      </w:pPr>
      <w:bookmarkStart w:id="46" w:name="_Hlk165381027"/>
      <w:r w:rsidRPr="002870B2">
        <w:rPr>
          <w:rFonts w:cs="Arial"/>
        </w:rPr>
        <w:t xml:space="preserve">De lo anteriormente citado, se concluye que la manifestación de la voluntad de </w:t>
      </w:r>
      <w:r w:rsidRPr="002870B2">
        <w:rPr>
          <w:b/>
        </w:rPr>
        <w:t>LA PARTE</w:t>
      </w:r>
      <w:r w:rsidRPr="002870B2">
        <w:rPr>
          <w:rFonts w:cs="Arial"/>
        </w:rPr>
        <w:t xml:space="preserve"> </w:t>
      </w:r>
      <w:r w:rsidRPr="002870B2">
        <w:rPr>
          <w:rFonts w:cs="Arial"/>
          <w:b/>
        </w:rPr>
        <w:t>RECURRENTE</w:t>
      </w:r>
      <w:r w:rsidRPr="002870B2">
        <w:rPr>
          <w:rFonts w:cs="Arial"/>
        </w:rPr>
        <w:t xml:space="preserve"> es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14:paraId="63B01EB8" w14:textId="77777777" w:rsidR="003600BB" w:rsidRPr="002870B2" w:rsidRDefault="003600BB" w:rsidP="002870B2">
      <w:pPr>
        <w:widowControl w:val="0"/>
        <w:tabs>
          <w:tab w:val="left" w:pos="1701"/>
          <w:tab w:val="left" w:pos="1843"/>
        </w:tabs>
        <w:autoSpaceDE w:val="0"/>
        <w:autoSpaceDN w:val="0"/>
        <w:adjustRightInd w:val="0"/>
        <w:rPr>
          <w:rFonts w:cs="Arial"/>
        </w:rPr>
      </w:pPr>
    </w:p>
    <w:p w14:paraId="4FE23CC7" w14:textId="368E2EB1" w:rsidR="003600BB" w:rsidRPr="00B046F4" w:rsidRDefault="003600BB" w:rsidP="00B046F4">
      <w:pPr>
        <w:ind w:right="-93"/>
        <w:rPr>
          <w:rFonts w:cs="Tahoma"/>
          <w:bCs/>
          <w:szCs w:val="22"/>
        </w:rPr>
      </w:pPr>
      <w:r w:rsidRPr="002870B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46"/>
    </w:p>
    <w:p w14:paraId="284694BB" w14:textId="7DA9AD82" w:rsidR="002870B2" w:rsidRPr="002870B2" w:rsidRDefault="003600BB" w:rsidP="00B046F4">
      <w:pPr>
        <w:pStyle w:val="Ttulo1"/>
      </w:pPr>
      <w:bookmarkStart w:id="47" w:name="_Toc177547227"/>
      <w:bookmarkStart w:id="48" w:name="_Toc177658935"/>
      <w:r w:rsidRPr="002870B2">
        <w:t>RESUELVE</w:t>
      </w:r>
      <w:bookmarkEnd w:id="47"/>
      <w:bookmarkEnd w:id="48"/>
    </w:p>
    <w:p w14:paraId="520A61E5" w14:textId="77777777" w:rsidR="003600BB" w:rsidRPr="002870B2" w:rsidRDefault="003600BB" w:rsidP="002870B2">
      <w:pPr>
        <w:widowControl w:val="0"/>
        <w:rPr>
          <w:rFonts w:cs="Arial"/>
          <w:szCs w:val="28"/>
          <w:lang w:val="es-ES"/>
        </w:rPr>
      </w:pPr>
      <w:r w:rsidRPr="002870B2">
        <w:rPr>
          <w:b/>
          <w:bCs/>
        </w:rPr>
        <w:t>PRIMERO.</w:t>
      </w:r>
      <w:r w:rsidRPr="002870B2">
        <w:t xml:space="preserve"> </w:t>
      </w:r>
      <w:r w:rsidRPr="002870B2">
        <w:rPr>
          <w:rFonts w:cs="Arial"/>
          <w:b/>
          <w:szCs w:val="28"/>
        </w:rPr>
        <w:t>SOBRESEE</w:t>
      </w:r>
      <w:r w:rsidRPr="002870B2">
        <w:rPr>
          <w:rFonts w:cs="Arial"/>
          <w:szCs w:val="28"/>
        </w:rPr>
        <w:t xml:space="preserve"> el Recurso de Revisión número </w:t>
      </w:r>
      <w:r w:rsidRPr="002870B2">
        <w:rPr>
          <w:rFonts w:eastAsia="Palatino Linotype" w:cs="Palatino Linotype"/>
          <w:b/>
        </w:rPr>
        <w:t xml:space="preserve">04727/INFOEM/IP/RR/2024 </w:t>
      </w:r>
      <w:r w:rsidRPr="002870B2">
        <w:t xml:space="preserve">en términos de lo establecido en el artículo 192 fracción I de la Ley de Transparencia y Acceso a </w:t>
      </w:r>
      <w:r w:rsidRPr="002870B2">
        <w:lastRenderedPageBreak/>
        <w:t xml:space="preserve">la Información Pública del Estado de México y Municipios, </w:t>
      </w:r>
      <w:r w:rsidRPr="002870B2">
        <w:rPr>
          <w:b/>
        </w:rPr>
        <w:t>por haberse desistido expresamente</w:t>
      </w:r>
      <w:r w:rsidRPr="002870B2">
        <w:t xml:space="preserve"> </w:t>
      </w:r>
      <w:r w:rsidRPr="002870B2">
        <w:rPr>
          <w:b/>
          <w:bCs/>
        </w:rPr>
        <w:t>LA PARTE RECURRENTE</w:t>
      </w:r>
      <w:r w:rsidRPr="002870B2">
        <w:t xml:space="preserve">, en términos del Considerando </w:t>
      </w:r>
      <w:r w:rsidRPr="002870B2">
        <w:rPr>
          <w:b/>
          <w:bCs/>
        </w:rPr>
        <w:t>SEGUNDO</w:t>
      </w:r>
      <w:r w:rsidRPr="002870B2">
        <w:t xml:space="preserve"> de la presente resolución.</w:t>
      </w:r>
    </w:p>
    <w:p w14:paraId="2F3F9107" w14:textId="77777777" w:rsidR="00F42539" w:rsidRPr="002870B2" w:rsidRDefault="00F42539" w:rsidP="002870B2">
      <w:pPr>
        <w:widowControl w:val="0"/>
        <w:rPr>
          <w:rFonts w:eastAsia="Calibri" w:cs="Tahoma"/>
          <w:bCs/>
          <w:szCs w:val="22"/>
          <w:lang w:eastAsia="en-US"/>
        </w:rPr>
      </w:pPr>
    </w:p>
    <w:p w14:paraId="3FC6B1B3" w14:textId="2C71A0AD" w:rsidR="00D46033" w:rsidRPr="002870B2" w:rsidRDefault="00D46033" w:rsidP="002870B2">
      <w:pPr>
        <w:ind w:right="-93"/>
      </w:pPr>
      <w:r w:rsidRPr="002870B2">
        <w:rPr>
          <w:rFonts w:eastAsia="Calibri" w:cs="Tahoma"/>
          <w:b/>
          <w:bCs/>
          <w:szCs w:val="22"/>
          <w:lang w:eastAsia="en-US"/>
        </w:rPr>
        <w:t>SEGUNDO.</w:t>
      </w:r>
      <w:r w:rsidRPr="002870B2">
        <w:rPr>
          <w:rFonts w:eastAsia="Calibri" w:cs="Tahoma"/>
          <w:szCs w:val="22"/>
          <w:lang w:eastAsia="es-MX"/>
        </w:rPr>
        <w:t xml:space="preserve"> </w:t>
      </w:r>
      <w:r w:rsidRPr="002870B2">
        <w:rPr>
          <w:b/>
        </w:rPr>
        <w:t>Notifíquese</w:t>
      </w:r>
      <w:r w:rsidRPr="002870B2">
        <w:t xml:space="preserve"> la presente resolución vía SAIMEX al Titular de la Unidad de Transparencia del </w:t>
      </w:r>
      <w:r w:rsidRPr="002870B2">
        <w:rPr>
          <w:b/>
        </w:rPr>
        <w:t>SUJETO OBLIGADO</w:t>
      </w:r>
      <w:r w:rsidRPr="002870B2">
        <w:t xml:space="preserve"> para su conocimiento.</w:t>
      </w:r>
    </w:p>
    <w:p w14:paraId="449BF539" w14:textId="77777777" w:rsidR="00D46033" w:rsidRPr="002870B2" w:rsidRDefault="00D46033" w:rsidP="002870B2">
      <w:pPr>
        <w:ind w:right="-93"/>
      </w:pPr>
    </w:p>
    <w:p w14:paraId="2E1B5357" w14:textId="77777777" w:rsidR="00D46033" w:rsidRPr="002870B2" w:rsidRDefault="00D46033" w:rsidP="002870B2">
      <w:r w:rsidRPr="002870B2">
        <w:rPr>
          <w:b/>
          <w:bCs/>
        </w:rPr>
        <w:t>TERCERO.</w:t>
      </w:r>
      <w:r w:rsidRPr="002870B2">
        <w:t xml:space="preserve"> </w:t>
      </w:r>
      <w:r w:rsidRPr="002870B2">
        <w:rPr>
          <w:b/>
          <w:szCs w:val="17"/>
          <w:lang w:eastAsia="es-ES_tradnl"/>
        </w:rPr>
        <w:t>Notifíquese</w:t>
      </w:r>
      <w:r w:rsidRPr="002870B2">
        <w:rPr>
          <w:szCs w:val="17"/>
          <w:lang w:eastAsia="es-ES_tradnl"/>
        </w:rPr>
        <w:t xml:space="preserve"> a </w:t>
      </w:r>
      <w:r w:rsidRPr="002870B2">
        <w:rPr>
          <w:b/>
          <w:bCs/>
        </w:rPr>
        <w:t>LA PARTE RECURRENTE</w:t>
      </w:r>
      <w:r w:rsidRPr="002870B2">
        <w:rPr>
          <w:szCs w:val="17"/>
          <w:lang w:eastAsia="es-ES_tradnl"/>
        </w:rPr>
        <w:t xml:space="preserve"> la presente resolución vía </w:t>
      </w:r>
      <w:r w:rsidRPr="002870B2">
        <w:rPr>
          <w:rFonts w:cs="Arial"/>
        </w:rPr>
        <w:t xml:space="preserve">Sistema de Acceso a la Información Mexiquense </w:t>
      </w:r>
      <w:r w:rsidRPr="002870B2">
        <w:rPr>
          <w:rFonts w:cs="Arial"/>
          <w:b/>
          <w:bCs/>
        </w:rPr>
        <w:t>SAIMEX</w:t>
      </w:r>
      <w:r w:rsidRPr="002870B2">
        <w:t>.</w:t>
      </w:r>
    </w:p>
    <w:p w14:paraId="6958FCF5" w14:textId="77777777" w:rsidR="00D46033" w:rsidRPr="002870B2" w:rsidRDefault="00D46033" w:rsidP="002870B2"/>
    <w:p w14:paraId="15ED205E" w14:textId="36C48162" w:rsidR="00D46033" w:rsidRDefault="00D46033" w:rsidP="002870B2">
      <w:r w:rsidRPr="002870B2">
        <w:rPr>
          <w:b/>
          <w:bCs/>
        </w:rPr>
        <w:t>CUARTO</w:t>
      </w:r>
      <w:r w:rsidRPr="002870B2">
        <w:t xml:space="preserve">. </w:t>
      </w:r>
      <w:r w:rsidRPr="002870B2">
        <w:rPr>
          <w:b/>
          <w:lang w:eastAsia="es-ES_tradnl"/>
        </w:rPr>
        <w:t>Hágase</w:t>
      </w:r>
      <w:r w:rsidRPr="002870B2">
        <w:rPr>
          <w:lang w:eastAsia="es-ES_tradnl"/>
        </w:rPr>
        <w:t xml:space="preserve"> </w:t>
      </w:r>
      <w:r w:rsidRPr="002870B2">
        <w:rPr>
          <w:b/>
          <w:lang w:eastAsia="es-ES_tradnl"/>
        </w:rPr>
        <w:t xml:space="preserve">del </w:t>
      </w:r>
      <w:r w:rsidRPr="002870B2">
        <w:rPr>
          <w:b/>
        </w:rPr>
        <w:t>conocimiento</w:t>
      </w:r>
      <w:r w:rsidRPr="002870B2">
        <w:rPr>
          <w:b/>
          <w:lang w:eastAsia="es-ES_tradnl"/>
        </w:rPr>
        <w:t xml:space="preserve"> </w:t>
      </w:r>
      <w:r w:rsidRPr="002870B2">
        <w:rPr>
          <w:lang w:eastAsia="es-ES_tradnl"/>
        </w:rPr>
        <w:t xml:space="preserve">de </w:t>
      </w:r>
      <w:r w:rsidRPr="002870B2">
        <w:rPr>
          <w:b/>
          <w:bCs/>
        </w:rPr>
        <w:t>LA PARTE RECURRENTE</w:t>
      </w:r>
      <w:r w:rsidRPr="002870B2">
        <w:rPr>
          <w:lang w:eastAsia="es-ES_tradnl"/>
        </w:rPr>
        <w:t xml:space="preserve">, que de </w:t>
      </w:r>
      <w:r w:rsidRPr="002870B2">
        <w:t>conformidad</w:t>
      </w:r>
      <w:r w:rsidRPr="002870B2">
        <w:rPr>
          <w:lang w:eastAsia="es-ES_tradnl"/>
        </w:rPr>
        <w:t xml:space="preserve"> </w:t>
      </w:r>
      <w:r w:rsidRPr="002870B2">
        <w:rPr>
          <w:rFonts w:cs="Arial"/>
        </w:rPr>
        <w:t>con</w:t>
      </w:r>
      <w:r w:rsidRPr="002870B2">
        <w:rPr>
          <w:lang w:eastAsia="es-ES_tradnl"/>
        </w:rPr>
        <w:t xml:space="preserve"> lo </w:t>
      </w:r>
      <w:r w:rsidRPr="002870B2">
        <w:rPr>
          <w:rFonts w:cs="Arial"/>
        </w:rPr>
        <w:t>establecido</w:t>
      </w:r>
      <w:r w:rsidRPr="002870B2">
        <w:rPr>
          <w:lang w:eastAsia="es-ES_tradnl"/>
        </w:rPr>
        <w:t xml:space="preserve"> en el artículo 196 de la Ley de Transparencia y Acceso a la Información Pública del Estado de México y Municipios, podrá impugnarla vía Juicio de Amparo en los términos de las leyes aplicables</w:t>
      </w:r>
      <w:r w:rsidRPr="002870B2">
        <w:t>.</w:t>
      </w:r>
    </w:p>
    <w:p w14:paraId="2BA44FF7" w14:textId="07347C0B" w:rsidR="002870B2" w:rsidRDefault="002870B2" w:rsidP="00B046F4">
      <w:pPr>
        <w:spacing w:line="276" w:lineRule="auto"/>
      </w:pPr>
    </w:p>
    <w:p w14:paraId="719A5C63" w14:textId="0A838AD1" w:rsidR="00664420" w:rsidRPr="002870B2" w:rsidRDefault="00664420" w:rsidP="00B046F4">
      <w:pPr>
        <w:spacing w:line="276" w:lineRule="auto"/>
        <w:rPr>
          <w:rFonts w:eastAsia="Palatino Linotype" w:cs="Palatino Linotype"/>
          <w:szCs w:val="22"/>
        </w:rPr>
      </w:pPr>
      <w:r w:rsidRPr="002870B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2870B2">
        <w:rPr>
          <w:rFonts w:eastAsia="Palatino Linotype" w:cs="Palatino Linotype"/>
          <w:szCs w:val="22"/>
        </w:rPr>
        <w:t xml:space="preserve"> (AUSENCIA JUSTIFICADA)</w:t>
      </w:r>
      <w:r w:rsidRPr="002870B2">
        <w:rPr>
          <w:rFonts w:eastAsia="Palatino Linotype" w:cs="Palatino Linotype"/>
          <w:szCs w:val="22"/>
        </w:rPr>
        <w:t xml:space="preserve">, EN LA </w:t>
      </w:r>
      <w:r w:rsidR="00217ECA" w:rsidRPr="002870B2">
        <w:rPr>
          <w:rFonts w:eastAsia="Palatino Linotype" w:cs="Palatino Linotype"/>
          <w:szCs w:val="22"/>
        </w:rPr>
        <w:t>TRIGÉSIMA</w:t>
      </w:r>
      <w:r w:rsidRPr="002870B2">
        <w:rPr>
          <w:rFonts w:eastAsia="Palatino Linotype" w:cs="Palatino Linotype"/>
          <w:szCs w:val="22"/>
        </w:rPr>
        <w:t xml:space="preserve"> </w:t>
      </w:r>
      <w:r w:rsidR="00E50F55" w:rsidRPr="002870B2">
        <w:rPr>
          <w:rFonts w:eastAsia="Palatino Linotype" w:cs="Palatino Linotype"/>
          <w:szCs w:val="22"/>
        </w:rPr>
        <w:t>TERCER</w:t>
      </w:r>
      <w:r w:rsidR="00733379" w:rsidRPr="002870B2">
        <w:rPr>
          <w:rFonts w:eastAsia="Palatino Linotype" w:cs="Palatino Linotype"/>
          <w:szCs w:val="22"/>
        </w:rPr>
        <w:t xml:space="preserve">A </w:t>
      </w:r>
      <w:r w:rsidRPr="002870B2">
        <w:rPr>
          <w:rFonts w:eastAsia="Palatino Linotype" w:cs="Palatino Linotype"/>
          <w:szCs w:val="22"/>
        </w:rPr>
        <w:t xml:space="preserve">SESIÓN ORDINARIA, CELEBRADA EL </w:t>
      </w:r>
      <w:r w:rsidR="00E50F55" w:rsidRPr="002870B2">
        <w:rPr>
          <w:rFonts w:eastAsia="Palatino Linotype" w:cs="Palatino Linotype"/>
          <w:szCs w:val="22"/>
        </w:rPr>
        <w:t>DIECINUEVE</w:t>
      </w:r>
      <w:r w:rsidR="00733379" w:rsidRPr="002870B2">
        <w:rPr>
          <w:rFonts w:eastAsia="Palatino Linotype" w:cs="Palatino Linotype"/>
          <w:szCs w:val="22"/>
        </w:rPr>
        <w:t xml:space="preserve"> DE SEPTIEMBRE</w:t>
      </w:r>
      <w:r w:rsidR="00303862" w:rsidRPr="002870B2">
        <w:rPr>
          <w:rFonts w:eastAsia="Palatino Linotype" w:cs="Palatino Linotype"/>
          <w:szCs w:val="22"/>
        </w:rPr>
        <w:t xml:space="preserve"> </w:t>
      </w:r>
      <w:r w:rsidRPr="002870B2">
        <w:rPr>
          <w:rFonts w:eastAsia="Palatino Linotype" w:cs="Palatino Linotype"/>
          <w:szCs w:val="22"/>
        </w:rPr>
        <w:t xml:space="preserve">DE DOS MIL </w:t>
      </w:r>
      <w:r w:rsidR="00303862" w:rsidRPr="002870B2">
        <w:rPr>
          <w:rFonts w:eastAsia="Palatino Linotype" w:cs="Palatino Linotype"/>
          <w:szCs w:val="22"/>
        </w:rPr>
        <w:t>VEI</w:t>
      </w:r>
      <w:r w:rsidR="003379FA" w:rsidRPr="002870B2">
        <w:rPr>
          <w:rFonts w:eastAsia="Palatino Linotype" w:cs="Palatino Linotype"/>
          <w:szCs w:val="22"/>
        </w:rPr>
        <w:t>N</w:t>
      </w:r>
      <w:r w:rsidR="00303862" w:rsidRPr="002870B2">
        <w:rPr>
          <w:rFonts w:eastAsia="Palatino Linotype" w:cs="Palatino Linotype"/>
          <w:szCs w:val="22"/>
        </w:rPr>
        <w:t>T</w:t>
      </w:r>
      <w:r w:rsidR="003379FA" w:rsidRPr="002870B2">
        <w:rPr>
          <w:rFonts w:eastAsia="Palatino Linotype" w:cs="Palatino Linotype"/>
          <w:szCs w:val="22"/>
        </w:rPr>
        <w:t>I</w:t>
      </w:r>
      <w:r w:rsidR="00303862" w:rsidRPr="002870B2">
        <w:rPr>
          <w:rFonts w:eastAsia="Palatino Linotype" w:cs="Palatino Linotype"/>
          <w:szCs w:val="22"/>
        </w:rPr>
        <w:t>CUATRO</w:t>
      </w:r>
      <w:r w:rsidRPr="002870B2">
        <w:rPr>
          <w:rFonts w:eastAsia="Palatino Linotype" w:cs="Palatino Linotype"/>
          <w:szCs w:val="22"/>
        </w:rPr>
        <w:t>, ANTE EL SECRETARIO TÉCNICO DEL PLENO, ALEXIS TAPIA RAMÍREZ.</w:t>
      </w:r>
    </w:p>
    <w:p w14:paraId="52BF4325" w14:textId="0069F263" w:rsidR="0086735B" w:rsidRPr="002870B2" w:rsidRDefault="0086735B" w:rsidP="00B046F4">
      <w:pPr>
        <w:widowControl w:val="0"/>
        <w:autoSpaceDE w:val="0"/>
        <w:autoSpaceDN w:val="0"/>
        <w:adjustRightInd w:val="0"/>
        <w:spacing w:line="276" w:lineRule="auto"/>
        <w:rPr>
          <w:rFonts w:eastAsiaTheme="minorEastAsia"/>
          <w:sz w:val="18"/>
          <w:szCs w:val="18"/>
          <w:lang w:val="it-IT"/>
        </w:rPr>
      </w:pPr>
      <w:r w:rsidRPr="002870B2">
        <w:rPr>
          <w:rFonts w:eastAsiaTheme="minorEastAsia"/>
          <w:sz w:val="18"/>
          <w:szCs w:val="18"/>
          <w:lang w:val="it-IT"/>
        </w:rPr>
        <w:t>SCMM/AGZ/DEMF/</w:t>
      </w:r>
      <w:r w:rsidR="00217ECA" w:rsidRPr="002870B2">
        <w:rPr>
          <w:rFonts w:eastAsiaTheme="minorEastAsia"/>
          <w:sz w:val="18"/>
          <w:szCs w:val="18"/>
          <w:lang w:val="it-IT"/>
        </w:rPr>
        <w:t>CMP</w:t>
      </w:r>
    </w:p>
    <w:p w14:paraId="49D72DA3" w14:textId="77777777" w:rsidR="00664420" w:rsidRPr="002870B2" w:rsidRDefault="00664420" w:rsidP="002870B2">
      <w:pPr>
        <w:ind w:right="-93"/>
        <w:rPr>
          <w:rFonts w:eastAsia="Calibri" w:cs="Tahoma"/>
          <w:bCs/>
          <w:szCs w:val="22"/>
          <w:lang w:eastAsia="en-US"/>
        </w:rPr>
      </w:pPr>
    </w:p>
    <w:p w14:paraId="5EFEA0CD" w14:textId="77777777" w:rsidR="00664420" w:rsidRPr="002870B2" w:rsidRDefault="00664420" w:rsidP="002870B2">
      <w:pPr>
        <w:ind w:right="-93"/>
        <w:rPr>
          <w:rFonts w:eastAsia="Calibri" w:cs="Tahoma"/>
          <w:szCs w:val="22"/>
          <w:lang w:val="es-ES"/>
        </w:rPr>
      </w:pPr>
    </w:p>
    <w:p w14:paraId="696BC976" w14:textId="77777777" w:rsidR="00664420" w:rsidRPr="002870B2" w:rsidRDefault="00664420" w:rsidP="002870B2">
      <w:pPr>
        <w:ind w:right="-93"/>
        <w:rPr>
          <w:rFonts w:eastAsia="Calibri" w:cs="Tahoma"/>
          <w:bCs/>
          <w:szCs w:val="22"/>
          <w:lang w:val="es-ES" w:eastAsia="en-US"/>
        </w:rPr>
      </w:pPr>
    </w:p>
    <w:p w14:paraId="671CB0C5" w14:textId="77777777" w:rsidR="00664420" w:rsidRPr="002870B2" w:rsidRDefault="00664420" w:rsidP="002870B2">
      <w:pPr>
        <w:ind w:right="-93"/>
        <w:rPr>
          <w:rFonts w:eastAsia="Calibri" w:cs="Tahoma"/>
          <w:bCs/>
          <w:szCs w:val="22"/>
          <w:lang w:val="es-ES_tradnl" w:eastAsia="en-US"/>
        </w:rPr>
      </w:pPr>
    </w:p>
    <w:p w14:paraId="52B66DE7" w14:textId="77777777" w:rsidR="00664420" w:rsidRPr="002870B2" w:rsidRDefault="00664420" w:rsidP="002870B2">
      <w:pPr>
        <w:ind w:right="-93"/>
        <w:rPr>
          <w:rFonts w:eastAsia="Calibri" w:cs="Tahoma"/>
          <w:bCs/>
          <w:szCs w:val="22"/>
          <w:lang w:val="es-ES_tradnl" w:eastAsia="en-US"/>
        </w:rPr>
      </w:pPr>
    </w:p>
    <w:p w14:paraId="3BA305D1" w14:textId="77777777" w:rsidR="00664420" w:rsidRPr="002870B2" w:rsidRDefault="00664420" w:rsidP="002870B2">
      <w:pPr>
        <w:ind w:right="-93"/>
        <w:rPr>
          <w:rFonts w:eastAsia="Calibri" w:cs="Tahoma"/>
          <w:bCs/>
          <w:szCs w:val="22"/>
          <w:lang w:val="es-ES_tradnl" w:eastAsia="en-US"/>
        </w:rPr>
      </w:pPr>
    </w:p>
    <w:p w14:paraId="78230707" w14:textId="77777777" w:rsidR="00664420" w:rsidRPr="002870B2" w:rsidRDefault="00664420" w:rsidP="002870B2">
      <w:pPr>
        <w:ind w:right="-93"/>
        <w:rPr>
          <w:rFonts w:eastAsia="Calibri" w:cs="Tahoma"/>
          <w:bCs/>
          <w:szCs w:val="22"/>
          <w:lang w:val="es-ES_tradnl" w:eastAsia="en-US"/>
        </w:rPr>
      </w:pPr>
    </w:p>
    <w:p w14:paraId="72D18B28" w14:textId="77777777" w:rsidR="00664420" w:rsidRPr="002870B2" w:rsidRDefault="00664420" w:rsidP="002870B2">
      <w:pPr>
        <w:ind w:right="-93"/>
        <w:rPr>
          <w:rFonts w:eastAsia="Calibri" w:cs="Tahoma"/>
          <w:bCs/>
          <w:szCs w:val="22"/>
          <w:lang w:val="es-ES_tradnl" w:eastAsia="en-US"/>
        </w:rPr>
      </w:pPr>
    </w:p>
    <w:p w14:paraId="6BD461DC" w14:textId="77777777" w:rsidR="00664420" w:rsidRPr="002870B2" w:rsidRDefault="00664420" w:rsidP="002870B2">
      <w:pPr>
        <w:tabs>
          <w:tab w:val="center" w:pos="4568"/>
        </w:tabs>
        <w:ind w:right="-93"/>
        <w:rPr>
          <w:rFonts w:eastAsia="Calibri" w:cs="Tahoma"/>
          <w:bCs/>
          <w:szCs w:val="22"/>
          <w:lang w:eastAsia="en-US"/>
        </w:rPr>
      </w:pPr>
    </w:p>
    <w:p w14:paraId="4DBB1727" w14:textId="77777777" w:rsidR="00664420" w:rsidRPr="002870B2" w:rsidRDefault="00664420" w:rsidP="002870B2">
      <w:pPr>
        <w:tabs>
          <w:tab w:val="center" w:pos="4568"/>
        </w:tabs>
        <w:ind w:right="-93"/>
        <w:rPr>
          <w:rFonts w:eastAsia="Calibri" w:cs="Tahoma"/>
          <w:bCs/>
          <w:szCs w:val="22"/>
          <w:lang w:eastAsia="en-US"/>
        </w:rPr>
      </w:pPr>
    </w:p>
    <w:p w14:paraId="1D74121B" w14:textId="77777777" w:rsidR="00664420" w:rsidRPr="002870B2" w:rsidRDefault="00664420" w:rsidP="002870B2">
      <w:pPr>
        <w:tabs>
          <w:tab w:val="center" w:pos="4568"/>
        </w:tabs>
        <w:ind w:right="-93"/>
        <w:rPr>
          <w:rFonts w:eastAsia="Calibri" w:cs="Tahoma"/>
          <w:bCs/>
          <w:szCs w:val="22"/>
          <w:lang w:eastAsia="en-US"/>
        </w:rPr>
      </w:pPr>
    </w:p>
    <w:p w14:paraId="08E74E9C" w14:textId="77777777" w:rsidR="00664420" w:rsidRPr="002870B2" w:rsidRDefault="00664420" w:rsidP="002870B2">
      <w:pPr>
        <w:tabs>
          <w:tab w:val="center" w:pos="4568"/>
        </w:tabs>
        <w:ind w:right="-93"/>
        <w:rPr>
          <w:rFonts w:eastAsia="Calibri" w:cs="Tahoma"/>
          <w:bCs/>
          <w:szCs w:val="22"/>
          <w:lang w:eastAsia="en-US"/>
        </w:rPr>
      </w:pPr>
    </w:p>
    <w:p w14:paraId="2CBF5E03" w14:textId="77777777" w:rsidR="00664420" w:rsidRPr="002870B2" w:rsidRDefault="00664420" w:rsidP="002870B2">
      <w:pPr>
        <w:tabs>
          <w:tab w:val="center" w:pos="4568"/>
        </w:tabs>
        <w:ind w:right="-93"/>
        <w:rPr>
          <w:rFonts w:eastAsia="Calibri" w:cs="Tahoma"/>
          <w:bCs/>
          <w:szCs w:val="22"/>
          <w:lang w:eastAsia="en-US"/>
        </w:rPr>
      </w:pPr>
    </w:p>
    <w:p w14:paraId="44865A6D" w14:textId="77777777" w:rsidR="00664420" w:rsidRPr="002870B2" w:rsidRDefault="00664420" w:rsidP="002870B2">
      <w:pPr>
        <w:tabs>
          <w:tab w:val="center" w:pos="4568"/>
        </w:tabs>
        <w:ind w:right="-93"/>
        <w:rPr>
          <w:rFonts w:eastAsia="Calibri" w:cs="Tahoma"/>
          <w:bCs/>
          <w:szCs w:val="22"/>
          <w:lang w:eastAsia="en-US"/>
        </w:rPr>
      </w:pPr>
    </w:p>
    <w:p w14:paraId="7147F06B" w14:textId="77777777" w:rsidR="00664420" w:rsidRPr="002870B2" w:rsidRDefault="00664420" w:rsidP="002870B2">
      <w:pPr>
        <w:tabs>
          <w:tab w:val="center" w:pos="4568"/>
        </w:tabs>
        <w:ind w:right="-93"/>
        <w:rPr>
          <w:rFonts w:eastAsia="Calibri" w:cs="Tahoma"/>
          <w:bCs/>
          <w:szCs w:val="22"/>
          <w:lang w:eastAsia="en-US"/>
        </w:rPr>
      </w:pPr>
    </w:p>
    <w:p w14:paraId="6FDF3D7E" w14:textId="77777777" w:rsidR="00664420" w:rsidRPr="002870B2" w:rsidRDefault="00664420" w:rsidP="002870B2">
      <w:pPr>
        <w:tabs>
          <w:tab w:val="center" w:pos="4568"/>
        </w:tabs>
        <w:ind w:right="-93"/>
        <w:rPr>
          <w:rFonts w:eastAsia="Calibri" w:cs="Tahoma"/>
          <w:bCs/>
          <w:szCs w:val="22"/>
          <w:lang w:eastAsia="en-US"/>
        </w:rPr>
      </w:pPr>
    </w:p>
    <w:p w14:paraId="6246F818" w14:textId="77777777" w:rsidR="00664420" w:rsidRPr="002870B2" w:rsidRDefault="00664420" w:rsidP="002870B2">
      <w:pPr>
        <w:tabs>
          <w:tab w:val="center" w:pos="4568"/>
        </w:tabs>
        <w:ind w:right="-93"/>
        <w:rPr>
          <w:rFonts w:eastAsia="Calibri" w:cs="Tahoma"/>
          <w:bCs/>
          <w:szCs w:val="22"/>
          <w:lang w:eastAsia="en-US"/>
        </w:rPr>
      </w:pPr>
    </w:p>
    <w:p w14:paraId="57A88B28" w14:textId="77777777" w:rsidR="00664420" w:rsidRPr="002870B2" w:rsidRDefault="00664420" w:rsidP="002870B2">
      <w:pPr>
        <w:tabs>
          <w:tab w:val="center" w:pos="4568"/>
        </w:tabs>
        <w:ind w:right="-93"/>
        <w:rPr>
          <w:rFonts w:eastAsia="Calibri" w:cs="Tahoma"/>
          <w:bCs/>
          <w:szCs w:val="22"/>
          <w:lang w:eastAsia="en-US"/>
        </w:rPr>
      </w:pPr>
    </w:p>
    <w:p w14:paraId="77EF6095" w14:textId="77777777" w:rsidR="00664420" w:rsidRPr="002870B2" w:rsidRDefault="00664420" w:rsidP="002870B2">
      <w:pPr>
        <w:tabs>
          <w:tab w:val="center" w:pos="4568"/>
        </w:tabs>
        <w:ind w:right="-93"/>
        <w:rPr>
          <w:rFonts w:eastAsia="Calibri" w:cs="Tahoma"/>
          <w:bCs/>
          <w:szCs w:val="22"/>
          <w:lang w:eastAsia="en-US"/>
        </w:rPr>
      </w:pPr>
    </w:p>
    <w:p w14:paraId="35593947" w14:textId="77777777" w:rsidR="00664420" w:rsidRPr="002870B2" w:rsidRDefault="00664420" w:rsidP="002870B2">
      <w:pPr>
        <w:tabs>
          <w:tab w:val="center" w:pos="4568"/>
        </w:tabs>
        <w:ind w:right="-93"/>
        <w:rPr>
          <w:rFonts w:eastAsia="Calibri" w:cs="Tahoma"/>
          <w:bCs/>
          <w:szCs w:val="22"/>
          <w:lang w:eastAsia="en-US"/>
        </w:rPr>
      </w:pPr>
    </w:p>
    <w:p w14:paraId="3AF72A17" w14:textId="77777777" w:rsidR="00664420" w:rsidRPr="002870B2" w:rsidRDefault="00664420" w:rsidP="002870B2">
      <w:pPr>
        <w:tabs>
          <w:tab w:val="center" w:pos="4568"/>
        </w:tabs>
        <w:ind w:right="-93"/>
        <w:rPr>
          <w:rFonts w:eastAsia="Calibri" w:cs="Tahoma"/>
          <w:bCs/>
          <w:szCs w:val="22"/>
          <w:lang w:eastAsia="en-US"/>
        </w:rPr>
      </w:pPr>
    </w:p>
    <w:p w14:paraId="37169144" w14:textId="77777777" w:rsidR="00664420" w:rsidRPr="002870B2" w:rsidRDefault="00664420" w:rsidP="002870B2">
      <w:pPr>
        <w:tabs>
          <w:tab w:val="center" w:pos="4568"/>
        </w:tabs>
        <w:ind w:right="-93"/>
        <w:rPr>
          <w:rFonts w:eastAsia="Calibri" w:cs="Tahoma"/>
          <w:bCs/>
          <w:szCs w:val="22"/>
          <w:lang w:eastAsia="en-US"/>
        </w:rPr>
      </w:pPr>
    </w:p>
    <w:p w14:paraId="77CFC088" w14:textId="77777777" w:rsidR="00664420" w:rsidRPr="002870B2" w:rsidRDefault="00664420" w:rsidP="002870B2">
      <w:pPr>
        <w:tabs>
          <w:tab w:val="center" w:pos="4568"/>
        </w:tabs>
        <w:ind w:right="-93"/>
        <w:rPr>
          <w:rFonts w:eastAsia="Calibri" w:cs="Tahoma"/>
          <w:bCs/>
          <w:szCs w:val="22"/>
          <w:lang w:eastAsia="en-US"/>
        </w:rPr>
      </w:pPr>
    </w:p>
    <w:p w14:paraId="781A11A5" w14:textId="77777777" w:rsidR="00664420" w:rsidRPr="002870B2" w:rsidRDefault="00664420" w:rsidP="002870B2">
      <w:pPr>
        <w:tabs>
          <w:tab w:val="center" w:pos="4568"/>
        </w:tabs>
        <w:ind w:right="-93"/>
        <w:rPr>
          <w:rFonts w:eastAsia="Calibri" w:cs="Tahoma"/>
          <w:bCs/>
          <w:szCs w:val="22"/>
          <w:lang w:eastAsia="en-US"/>
        </w:rPr>
      </w:pPr>
    </w:p>
    <w:p w14:paraId="5B4ADFF3" w14:textId="77777777" w:rsidR="00A131AC" w:rsidRPr="002870B2" w:rsidRDefault="00A131AC" w:rsidP="002870B2"/>
    <w:sectPr w:rsidR="00A131AC" w:rsidRPr="002870B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9A705" w14:textId="77777777" w:rsidR="00C34793" w:rsidRDefault="00C34793" w:rsidP="00664420">
      <w:pPr>
        <w:spacing w:line="240" w:lineRule="auto"/>
      </w:pPr>
      <w:r>
        <w:separator/>
      </w:r>
    </w:p>
  </w:endnote>
  <w:endnote w:type="continuationSeparator" w:id="0">
    <w:p w14:paraId="3850E9D7" w14:textId="77777777" w:rsidR="00C34793" w:rsidRDefault="00C3479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8D5FFE" w:rsidRDefault="008D5FFE">
    <w:pPr>
      <w:tabs>
        <w:tab w:val="center" w:pos="4550"/>
        <w:tab w:val="left" w:pos="5818"/>
      </w:tabs>
      <w:ind w:right="260"/>
      <w:jc w:val="right"/>
      <w:rPr>
        <w:color w:val="071320" w:themeColor="text2" w:themeShade="80"/>
        <w:sz w:val="24"/>
        <w:szCs w:val="24"/>
      </w:rPr>
    </w:pPr>
  </w:p>
  <w:p w14:paraId="1BCA7F23" w14:textId="77777777" w:rsidR="008D5FFE" w:rsidRDefault="008D5F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8D5FFE" w:rsidRDefault="008D5FF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046F4" w:rsidRPr="00B046F4">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046F4" w:rsidRPr="00B046F4">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8D5FFE" w:rsidRDefault="008D5F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17DF6" w14:textId="77777777" w:rsidR="00C34793" w:rsidRDefault="00C34793" w:rsidP="00664420">
      <w:pPr>
        <w:spacing w:line="240" w:lineRule="auto"/>
      </w:pPr>
      <w:r>
        <w:separator/>
      </w:r>
    </w:p>
  </w:footnote>
  <w:footnote w:type="continuationSeparator" w:id="0">
    <w:p w14:paraId="1DDFC691" w14:textId="77777777" w:rsidR="00C34793" w:rsidRDefault="00C34793" w:rsidP="00664420">
      <w:pPr>
        <w:spacing w:line="240" w:lineRule="auto"/>
      </w:pPr>
      <w:r>
        <w:continuationSeparator/>
      </w:r>
    </w:p>
  </w:footnote>
  <w:footnote w:id="1">
    <w:p w14:paraId="4BF46D7B" w14:textId="77777777" w:rsidR="003600BB" w:rsidRDefault="003600BB" w:rsidP="003600BB">
      <w:pPr>
        <w:pStyle w:val="Textonotapie"/>
        <w:rPr>
          <w:i/>
          <w:sz w:val="16"/>
        </w:rPr>
      </w:pPr>
      <w:r>
        <w:rPr>
          <w:rStyle w:val="Refdenotaalpie"/>
        </w:rPr>
        <w:footnoteRef/>
      </w:r>
      <w:r>
        <w:t xml:space="preserve"> </w:t>
      </w:r>
      <w:r w:rsidRPr="00683C14">
        <w:rPr>
          <w:i/>
          <w:sz w:val="16"/>
        </w:rPr>
        <w:t>Para su consulta en el enlace electrónico</w:t>
      </w:r>
      <w:r w:rsidRPr="00683C14">
        <w:rPr>
          <w:b/>
          <w:i/>
          <w:sz w:val="16"/>
        </w:rPr>
        <w:t>: http://dle.rae.es/?id=D78E0XT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D5FFE" w:rsidRPr="00330DA7" w14:paraId="070A4B18" w14:textId="77777777" w:rsidTr="003F35FD">
      <w:trPr>
        <w:trHeight w:val="144"/>
        <w:jc w:val="right"/>
      </w:trPr>
      <w:tc>
        <w:tcPr>
          <w:tcW w:w="2727" w:type="dxa"/>
        </w:tcPr>
        <w:p w14:paraId="62B7493A" w14:textId="77777777" w:rsidR="008D5FFE" w:rsidRPr="00330DA7" w:rsidRDefault="008D5FF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87B7EA" w:rsidR="008D5FFE" w:rsidRPr="00A90C72" w:rsidRDefault="008D5FFE" w:rsidP="003F35FD">
          <w:pPr>
            <w:tabs>
              <w:tab w:val="right" w:pos="8838"/>
            </w:tabs>
            <w:ind w:left="-74" w:right="-105"/>
            <w:rPr>
              <w:rFonts w:eastAsia="Calibri" w:cs="Tahoma"/>
              <w:szCs w:val="22"/>
              <w:lang w:eastAsia="en-US"/>
            </w:rPr>
          </w:pPr>
          <w:r w:rsidRPr="00AF171B">
            <w:rPr>
              <w:rFonts w:eastAsia="Calibri" w:cs="Tahoma"/>
              <w:szCs w:val="22"/>
              <w:lang w:eastAsia="en-US"/>
            </w:rPr>
            <w:t>04727/INFOEM/IP/RR/2024</w:t>
          </w:r>
        </w:p>
      </w:tc>
    </w:tr>
    <w:tr w:rsidR="008D5FFE" w:rsidRPr="00330DA7" w14:paraId="4521E058" w14:textId="77777777" w:rsidTr="003F35FD">
      <w:trPr>
        <w:trHeight w:val="283"/>
        <w:jc w:val="right"/>
      </w:trPr>
      <w:tc>
        <w:tcPr>
          <w:tcW w:w="2727" w:type="dxa"/>
        </w:tcPr>
        <w:p w14:paraId="0B68C086" w14:textId="77777777" w:rsidR="008D5FFE" w:rsidRPr="00330DA7" w:rsidRDefault="008D5FF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7815714" w:rsidR="008D5FFE" w:rsidRPr="00952DD0" w:rsidRDefault="008D5FFE" w:rsidP="003F35FD">
          <w:pPr>
            <w:tabs>
              <w:tab w:val="left" w:pos="2834"/>
              <w:tab w:val="right" w:pos="8838"/>
            </w:tabs>
            <w:ind w:left="-108" w:right="-105"/>
            <w:rPr>
              <w:rFonts w:eastAsia="Calibri" w:cs="Tahoma"/>
              <w:szCs w:val="22"/>
              <w:lang w:eastAsia="en-US"/>
            </w:rPr>
          </w:pPr>
          <w:r w:rsidRPr="00AF171B">
            <w:rPr>
              <w:rFonts w:eastAsia="Calibri" w:cs="Tahoma"/>
              <w:szCs w:val="22"/>
              <w:lang w:eastAsia="en-US"/>
            </w:rPr>
            <w:t>Sistema Municipal Para el Desarrollo Integral de la Familia de Nezahualcóyotl</w:t>
          </w:r>
        </w:p>
      </w:tc>
    </w:tr>
    <w:tr w:rsidR="008D5FFE" w:rsidRPr="00330DA7" w14:paraId="6331D9B6" w14:textId="77777777" w:rsidTr="003F35FD">
      <w:trPr>
        <w:trHeight w:val="283"/>
        <w:jc w:val="right"/>
      </w:trPr>
      <w:tc>
        <w:tcPr>
          <w:tcW w:w="2727" w:type="dxa"/>
        </w:tcPr>
        <w:p w14:paraId="3FA86BAE" w14:textId="440713A8" w:rsidR="008D5FFE" w:rsidRPr="00330DA7" w:rsidRDefault="008D5FF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8D5FFE" w:rsidRPr="00EA66FC" w:rsidRDefault="008D5FF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D5FFE" w:rsidRPr="00443C6B" w:rsidRDefault="008D5FF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8D5FFE" w:rsidRPr="00330DA7" w14:paraId="29CFF901" w14:textId="77777777" w:rsidTr="004A4311">
      <w:trPr>
        <w:trHeight w:val="1435"/>
      </w:trPr>
      <w:tc>
        <w:tcPr>
          <w:tcW w:w="283" w:type="dxa"/>
          <w:shd w:val="clear" w:color="auto" w:fill="auto"/>
        </w:tcPr>
        <w:p w14:paraId="046B9F8F" w14:textId="77777777" w:rsidR="008D5FFE" w:rsidRPr="00330DA7" w:rsidRDefault="008D5FFE"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D5FFE" w:rsidRPr="00330DA7" w14:paraId="04F272D2" w14:textId="77777777" w:rsidTr="004A4311">
            <w:trPr>
              <w:trHeight w:val="144"/>
            </w:trPr>
            <w:tc>
              <w:tcPr>
                <w:tcW w:w="2727" w:type="dxa"/>
              </w:tcPr>
              <w:p w14:paraId="2FD4DBF6" w14:textId="77777777" w:rsidR="008D5FFE" w:rsidRPr="00330DA7" w:rsidRDefault="008D5FFE" w:rsidP="004A43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97B4D2A" w:rsidR="008D5FFE" w:rsidRPr="00A90C72" w:rsidRDefault="008D5FFE" w:rsidP="004A4311">
                <w:pPr>
                  <w:tabs>
                    <w:tab w:val="right" w:pos="8838"/>
                  </w:tabs>
                  <w:ind w:left="-74" w:right="-105"/>
                  <w:rPr>
                    <w:rFonts w:eastAsia="Calibri" w:cs="Tahoma"/>
                    <w:szCs w:val="22"/>
                    <w:lang w:eastAsia="en-US"/>
                  </w:rPr>
                </w:pPr>
                <w:r w:rsidRPr="00AF171B">
                  <w:rPr>
                    <w:rFonts w:eastAsia="Calibri" w:cs="Tahoma"/>
                    <w:szCs w:val="22"/>
                    <w:lang w:eastAsia="en-US"/>
                  </w:rPr>
                  <w:t>04727/INFOEM/IP/RR/2024</w:t>
                </w:r>
              </w:p>
            </w:tc>
            <w:tc>
              <w:tcPr>
                <w:tcW w:w="3402" w:type="dxa"/>
              </w:tcPr>
              <w:p w14:paraId="71DEA1CF" w14:textId="77777777" w:rsidR="008D5FFE" w:rsidRDefault="008D5FFE" w:rsidP="004A4311">
                <w:pPr>
                  <w:tabs>
                    <w:tab w:val="right" w:pos="8838"/>
                  </w:tabs>
                  <w:ind w:left="-74" w:right="-105"/>
                  <w:rPr>
                    <w:rFonts w:eastAsia="Calibri" w:cs="Tahoma"/>
                    <w:szCs w:val="22"/>
                    <w:lang w:eastAsia="en-US"/>
                  </w:rPr>
                </w:pPr>
              </w:p>
            </w:tc>
          </w:tr>
          <w:tr w:rsidR="008D5FFE" w:rsidRPr="00330DA7" w14:paraId="05C58951" w14:textId="77777777" w:rsidTr="004A4311">
            <w:trPr>
              <w:trHeight w:val="144"/>
            </w:trPr>
            <w:tc>
              <w:tcPr>
                <w:tcW w:w="2727" w:type="dxa"/>
              </w:tcPr>
              <w:p w14:paraId="642B9610" w14:textId="77777777" w:rsidR="008D5FFE" w:rsidRPr="00330DA7" w:rsidRDefault="008D5FFE" w:rsidP="004A43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DFDC810" w:rsidR="008D5FFE" w:rsidRPr="005F19B1" w:rsidRDefault="006C464F" w:rsidP="004A4311">
                <w:pPr>
                  <w:tabs>
                    <w:tab w:val="left" w:pos="3122"/>
                    <w:tab w:val="right" w:pos="8838"/>
                  </w:tabs>
                  <w:ind w:left="-105" w:right="-105"/>
                  <w:rPr>
                    <w:rFonts w:eastAsia="Calibri" w:cs="Tahoma"/>
                    <w:szCs w:val="22"/>
                    <w:lang w:eastAsia="en-US"/>
                  </w:rPr>
                </w:pPr>
                <w:r>
                  <w:rPr>
                    <w:rFonts w:eastAsia="Calibri" w:cs="Tahoma"/>
                    <w:szCs w:val="22"/>
                    <w:lang w:eastAsia="en-US"/>
                  </w:rPr>
                  <w:t>XXXXX XXXXXXX XXXXXX XXXXXXX</w:t>
                </w:r>
              </w:p>
            </w:tc>
            <w:tc>
              <w:tcPr>
                <w:tcW w:w="3402" w:type="dxa"/>
              </w:tcPr>
              <w:p w14:paraId="73F47F53" w14:textId="77777777" w:rsidR="008D5FFE" w:rsidRPr="005F19B1" w:rsidRDefault="008D5FFE" w:rsidP="004A4311">
                <w:pPr>
                  <w:tabs>
                    <w:tab w:val="left" w:pos="3122"/>
                    <w:tab w:val="right" w:pos="8838"/>
                  </w:tabs>
                  <w:ind w:left="-105" w:right="-105"/>
                  <w:rPr>
                    <w:rFonts w:eastAsia="Calibri" w:cs="Tahoma"/>
                    <w:szCs w:val="22"/>
                    <w:lang w:eastAsia="en-US"/>
                  </w:rPr>
                </w:pPr>
              </w:p>
            </w:tc>
          </w:tr>
          <w:bookmarkEnd w:id="1"/>
          <w:tr w:rsidR="008D5FFE" w:rsidRPr="00330DA7" w14:paraId="00E6CDC1" w14:textId="77777777" w:rsidTr="004A4311">
            <w:trPr>
              <w:trHeight w:val="283"/>
            </w:trPr>
            <w:tc>
              <w:tcPr>
                <w:tcW w:w="2727" w:type="dxa"/>
              </w:tcPr>
              <w:p w14:paraId="0631AD24" w14:textId="77777777" w:rsidR="008D5FFE" w:rsidRPr="00330DA7" w:rsidRDefault="008D5FFE"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F122863" w:rsidR="008D5FFE" w:rsidRPr="00952DD0" w:rsidRDefault="008D5FFE" w:rsidP="004A4311">
                <w:pPr>
                  <w:tabs>
                    <w:tab w:val="left" w:pos="2834"/>
                    <w:tab w:val="right" w:pos="8838"/>
                  </w:tabs>
                  <w:ind w:left="-108" w:right="-105"/>
                  <w:rPr>
                    <w:rFonts w:eastAsia="Calibri" w:cs="Tahoma"/>
                    <w:szCs w:val="22"/>
                    <w:lang w:eastAsia="en-US"/>
                  </w:rPr>
                </w:pPr>
                <w:r w:rsidRPr="00AF171B">
                  <w:rPr>
                    <w:rFonts w:eastAsia="Calibri" w:cs="Tahoma"/>
                    <w:szCs w:val="22"/>
                    <w:lang w:eastAsia="en-US"/>
                  </w:rPr>
                  <w:t>Sistema Municipal Para el Desarrollo Integral de la Familia de Nezahualcóyotl</w:t>
                </w:r>
              </w:p>
            </w:tc>
            <w:tc>
              <w:tcPr>
                <w:tcW w:w="3402" w:type="dxa"/>
              </w:tcPr>
              <w:p w14:paraId="3A7DA319" w14:textId="77777777" w:rsidR="008D5FFE" w:rsidRPr="00A90C72" w:rsidRDefault="008D5FFE" w:rsidP="004A4311">
                <w:pPr>
                  <w:tabs>
                    <w:tab w:val="left" w:pos="2834"/>
                    <w:tab w:val="right" w:pos="8838"/>
                  </w:tabs>
                  <w:ind w:left="-108" w:right="-105"/>
                  <w:rPr>
                    <w:rFonts w:eastAsia="Calibri" w:cs="Tahoma"/>
                    <w:szCs w:val="22"/>
                    <w:lang w:eastAsia="en-US"/>
                  </w:rPr>
                </w:pPr>
              </w:p>
            </w:tc>
          </w:tr>
          <w:tr w:rsidR="008D5FFE" w:rsidRPr="00330DA7" w14:paraId="0F6CD8D2" w14:textId="77777777" w:rsidTr="004A4311">
            <w:trPr>
              <w:trHeight w:val="283"/>
            </w:trPr>
            <w:tc>
              <w:tcPr>
                <w:tcW w:w="2727" w:type="dxa"/>
              </w:tcPr>
              <w:p w14:paraId="31700628" w14:textId="18C13AF6" w:rsidR="008D5FFE" w:rsidRPr="00330DA7" w:rsidRDefault="008D5FFE"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8D5FFE" w:rsidRPr="00EA66FC" w:rsidRDefault="008D5FFE"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D5FFE" w:rsidRPr="00330DA7" w:rsidRDefault="008D5FFE" w:rsidP="004A4311">
                <w:pPr>
                  <w:tabs>
                    <w:tab w:val="right" w:pos="8838"/>
                  </w:tabs>
                  <w:ind w:left="-108" w:right="-105"/>
                  <w:rPr>
                    <w:rFonts w:eastAsia="Calibri" w:cs="Tahoma"/>
                    <w:szCs w:val="22"/>
                    <w:lang w:eastAsia="en-US"/>
                  </w:rPr>
                </w:pPr>
              </w:p>
            </w:tc>
          </w:tr>
        </w:tbl>
        <w:p w14:paraId="5DC6AC61" w14:textId="77777777" w:rsidR="008D5FFE" w:rsidRPr="00330DA7" w:rsidRDefault="008D5FFE" w:rsidP="004A4311">
          <w:pPr>
            <w:tabs>
              <w:tab w:val="right" w:pos="8838"/>
            </w:tabs>
            <w:ind w:left="-28"/>
            <w:rPr>
              <w:rFonts w:ascii="Arial" w:eastAsia="Calibri" w:hAnsi="Arial" w:cs="Arial"/>
              <w:b/>
              <w:szCs w:val="22"/>
              <w:lang w:eastAsia="en-US"/>
            </w:rPr>
          </w:pPr>
        </w:p>
      </w:tc>
    </w:tr>
  </w:tbl>
  <w:p w14:paraId="2A906731" w14:textId="77777777" w:rsidR="008D5FFE" w:rsidRPr="00765661" w:rsidRDefault="00C34793"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81.65pt;margin-top:-151.6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5FAE"/>
    <w:multiLevelType w:val="hybridMultilevel"/>
    <w:tmpl w:val="D2C8F0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A62862"/>
    <w:multiLevelType w:val="hybridMultilevel"/>
    <w:tmpl w:val="D0D643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1471ACC"/>
    <w:multiLevelType w:val="multilevel"/>
    <w:tmpl w:val="854402FC"/>
    <w:lvl w:ilvl="0">
      <w:start w:val="1"/>
      <w:numFmt w:val="decimal"/>
      <w:lvlText w:val="%1.0."/>
      <w:lvlJc w:val="left"/>
      <w:pPr>
        <w:ind w:left="1256" w:hanging="405"/>
      </w:pPr>
      <w:rPr>
        <w:rFonts w:hint="default"/>
      </w:rPr>
    </w:lvl>
    <w:lvl w:ilvl="1">
      <w:start w:val="1"/>
      <w:numFmt w:val="decimal"/>
      <w:lvlText w:val="%1.%2."/>
      <w:lvlJc w:val="left"/>
      <w:pPr>
        <w:ind w:left="1964" w:hanging="405"/>
      </w:pPr>
      <w:rPr>
        <w:rFonts w:hint="default"/>
      </w:rPr>
    </w:lvl>
    <w:lvl w:ilvl="2">
      <w:start w:val="1"/>
      <w:numFmt w:val="decimal"/>
      <w:lvlText w:val="%1.%2.%3."/>
      <w:lvlJc w:val="left"/>
      <w:pPr>
        <w:ind w:left="2987" w:hanging="720"/>
      </w:pPr>
      <w:rPr>
        <w:rFonts w:hint="default"/>
      </w:rPr>
    </w:lvl>
    <w:lvl w:ilvl="3">
      <w:start w:val="1"/>
      <w:numFmt w:val="decimal"/>
      <w:lvlText w:val="%1.%2.%3.%4."/>
      <w:lvlJc w:val="left"/>
      <w:pPr>
        <w:ind w:left="3695" w:hanging="720"/>
      </w:pPr>
      <w:rPr>
        <w:rFonts w:hint="default"/>
      </w:rPr>
    </w:lvl>
    <w:lvl w:ilvl="4">
      <w:start w:val="1"/>
      <w:numFmt w:val="decimal"/>
      <w:lvlText w:val="%1.%2.%3.%4.%5."/>
      <w:lvlJc w:val="left"/>
      <w:pPr>
        <w:ind w:left="4763" w:hanging="1080"/>
      </w:pPr>
      <w:rPr>
        <w:rFonts w:hint="default"/>
      </w:rPr>
    </w:lvl>
    <w:lvl w:ilvl="5">
      <w:start w:val="1"/>
      <w:numFmt w:val="decimal"/>
      <w:lvlText w:val="%1.%2.%3.%4.%5.%6."/>
      <w:lvlJc w:val="left"/>
      <w:pPr>
        <w:ind w:left="5471" w:hanging="1080"/>
      </w:pPr>
      <w:rPr>
        <w:rFonts w:hint="default"/>
      </w:rPr>
    </w:lvl>
    <w:lvl w:ilvl="6">
      <w:start w:val="1"/>
      <w:numFmt w:val="decimal"/>
      <w:lvlText w:val="%1.%2.%3.%4.%5.%6.%7."/>
      <w:lvlJc w:val="left"/>
      <w:pPr>
        <w:ind w:left="6539" w:hanging="1440"/>
      </w:pPr>
      <w:rPr>
        <w:rFonts w:hint="default"/>
      </w:rPr>
    </w:lvl>
    <w:lvl w:ilvl="7">
      <w:start w:val="1"/>
      <w:numFmt w:val="decimal"/>
      <w:lvlText w:val="%1.%2.%3.%4.%5.%6.%7.%8."/>
      <w:lvlJc w:val="left"/>
      <w:pPr>
        <w:ind w:left="7247" w:hanging="1440"/>
      </w:pPr>
      <w:rPr>
        <w:rFonts w:hint="default"/>
      </w:rPr>
    </w:lvl>
    <w:lvl w:ilvl="8">
      <w:start w:val="1"/>
      <w:numFmt w:val="decimal"/>
      <w:lvlText w:val="%1.%2.%3.%4.%5.%6.%7.%8.%9."/>
      <w:lvlJc w:val="left"/>
      <w:pPr>
        <w:ind w:left="8315" w:hanging="1800"/>
      </w:pPr>
      <w:rPr>
        <w:rFonts w:hint="default"/>
      </w:rPr>
    </w:lvl>
  </w:abstractNum>
  <w:abstractNum w:abstractNumId="2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7"/>
  </w:num>
  <w:num w:numId="3">
    <w:abstractNumId w:val="27"/>
  </w:num>
  <w:num w:numId="4">
    <w:abstractNumId w:val="9"/>
  </w:num>
  <w:num w:numId="5">
    <w:abstractNumId w:val="5"/>
  </w:num>
  <w:num w:numId="6">
    <w:abstractNumId w:val="29"/>
  </w:num>
  <w:num w:numId="7">
    <w:abstractNumId w:val="14"/>
  </w:num>
  <w:num w:numId="8">
    <w:abstractNumId w:val="7"/>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3"/>
  </w:num>
  <w:num w:numId="14">
    <w:abstractNumId w:val="6"/>
  </w:num>
  <w:num w:numId="15">
    <w:abstractNumId w:val="15"/>
  </w:num>
  <w:num w:numId="16">
    <w:abstractNumId w:val="24"/>
  </w:num>
  <w:num w:numId="17">
    <w:abstractNumId w:val="2"/>
  </w:num>
  <w:num w:numId="18">
    <w:abstractNumId w:val="30"/>
  </w:num>
  <w:num w:numId="19">
    <w:abstractNumId w:val="25"/>
  </w:num>
  <w:num w:numId="20">
    <w:abstractNumId w:val="24"/>
  </w:num>
  <w:num w:numId="21">
    <w:abstractNumId w:val="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2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0"/>
  </w:num>
  <w:num w:numId="32">
    <w:abstractNumId w:val="2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2052E"/>
    <w:rsid w:val="000318BC"/>
    <w:rsid w:val="00033311"/>
    <w:rsid w:val="0004147E"/>
    <w:rsid w:val="00042DE4"/>
    <w:rsid w:val="000449BC"/>
    <w:rsid w:val="000521F4"/>
    <w:rsid w:val="00057B2D"/>
    <w:rsid w:val="00080071"/>
    <w:rsid w:val="000A051B"/>
    <w:rsid w:val="000B2918"/>
    <w:rsid w:val="000D0D67"/>
    <w:rsid w:val="000E09C4"/>
    <w:rsid w:val="000F03E5"/>
    <w:rsid w:val="000F0DA3"/>
    <w:rsid w:val="00111D17"/>
    <w:rsid w:val="0011350D"/>
    <w:rsid w:val="00116A53"/>
    <w:rsid w:val="001224C8"/>
    <w:rsid w:val="00141876"/>
    <w:rsid w:val="0014207B"/>
    <w:rsid w:val="00150C49"/>
    <w:rsid w:val="001A58B3"/>
    <w:rsid w:val="001A7BDC"/>
    <w:rsid w:val="001C7688"/>
    <w:rsid w:val="001D103C"/>
    <w:rsid w:val="001F3515"/>
    <w:rsid w:val="00204AB7"/>
    <w:rsid w:val="00210DAF"/>
    <w:rsid w:val="00217ECA"/>
    <w:rsid w:val="00233005"/>
    <w:rsid w:val="00233F17"/>
    <w:rsid w:val="00234024"/>
    <w:rsid w:val="002402D3"/>
    <w:rsid w:val="00273D11"/>
    <w:rsid w:val="00281465"/>
    <w:rsid w:val="00282752"/>
    <w:rsid w:val="00286A18"/>
    <w:rsid w:val="002870B2"/>
    <w:rsid w:val="002A31E1"/>
    <w:rsid w:val="002A3601"/>
    <w:rsid w:val="002A7735"/>
    <w:rsid w:val="002B6AA4"/>
    <w:rsid w:val="002B7C6F"/>
    <w:rsid w:val="002D111C"/>
    <w:rsid w:val="002D429E"/>
    <w:rsid w:val="002E7036"/>
    <w:rsid w:val="002F6D0A"/>
    <w:rsid w:val="00302476"/>
    <w:rsid w:val="00303862"/>
    <w:rsid w:val="00331F35"/>
    <w:rsid w:val="00335C59"/>
    <w:rsid w:val="00335CDF"/>
    <w:rsid w:val="003379FA"/>
    <w:rsid w:val="003600BB"/>
    <w:rsid w:val="00362A11"/>
    <w:rsid w:val="003A3423"/>
    <w:rsid w:val="003A40C1"/>
    <w:rsid w:val="003B5D3E"/>
    <w:rsid w:val="003C4D91"/>
    <w:rsid w:val="003D0928"/>
    <w:rsid w:val="003F35FD"/>
    <w:rsid w:val="0041385B"/>
    <w:rsid w:val="00441BFA"/>
    <w:rsid w:val="00454FBD"/>
    <w:rsid w:val="004566D4"/>
    <w:rsid w:val="00464CB3"/>
    <w:rsid w:val="00477FF1"/>
    <w:rsid w:val="00491C14"/>
    <w:rsid w:val="00492ACC"/>
    <w:rsid w:val="004A4311"/>
    <w:rsid w:val="004B362F"/>
    <w:rsid w:val="004C6B0D"/>
    <w:rsid w:val="004D0670"/>
    <w:rsid w:val="004D4881"/>
    <w:rsid w:val="004D7CD8"/>
    <w:rsid w:val="004E5068"/>
    <w:rsid w:val="004F7A00"/>
    <w:rsid w:val="00501EE5"/>
    <w:rsid w:val="005138BB"/>
    <w:rsid w:val="005163F8"/>
    <w:rsid w:val="00523F48"/>
    <w:rsid w:val="005365FA"/>
    <w:rsid w:val="00556E59"/>
    <w:rsid w:val="005723CB"/>
    <w:rsid w:val="00575400"/>
    <w:rsid w:val="00595F58"/>
    <w:rsid w:val="005B18AF"/>
    <w:rsid w:val="005D5A50"/>
    <w:rsid w:val="005F2D41"/>
    <w:rsid w:val="005F5301"/>
    <w:rsid w:val="005F65B7"/>
    <w:rsid w:val="00604643"/>
    <w:rsid w:val="006067C7"/>
    <w:rsid w:val="006159AD"/>
    <w:rsid w:val="00621BC2"/>
    <w:rsid w:val="00636CAD"/>
    <w:rsid w:val="00646436"/>
    <w:rsid w:val="00664420"/>
    <w:rsid w:val="006876DC"/>
    <w:rsid w:val="00696E6F"/>
    <w:rsid w:val="006A1661"/>
    <w:rsid w:val="006A6242"/>
    <w:rsid w:val="006A646A"/>
    <w:rsid w:val="006B10B0"/>
    <w:rsid w:val="006C18D8"/>
    <w:rsid w:val="006C1C82"/>
    <w:rsid w:val="006C464F"/>
    <w:rsid w:val="006D4E4A"/>
    <w:rsid w:val="006D4EB5"/>
    <w:rsid w:val="006E25BC"/>
    <w:rsid w:val="006E6BBC"/>
    <w:rsid w:val="006F20D9"/>
    <w:rsid w:val="006F7768"/>
    <w:rsid w:val="006F7B93"/>
    <w:rsid w:val="0070235E"/>
    <w:rsid w:val="00711685"/>
    <w:rsid w:val="00717E59"/>
    <w:rsid w:val="007228DC"/>
    <w:rsid w:val="007235BA"/>
    <w:rsid w:val="00733379"/>
    <w:rsid w:val="00735833"/>
    <w:rsid w:val="007567A4"/>
    <w:rsid w:val="00775BFC"/>
    <w:rsid w:val="0079792B"/>
    <w:rsid w:val="007A3459"/>
    <w:rsid w:val="007B190D"/>
    <w:rsid w:val="007B6074"/>
    <w:rsid w:val="007C1E85"/>
    <w:rsid w:val="007C2D61"/>
    <w:rsid w:val="007D1C55"/>
    <w:rsid w:val="007D317F"/>
    <w:rsid w:val="007E2541"/>
    <w:rsid w:val="007E541B"/>
    <w:rsid w:val="007E7534"/>
    <w:rsid w:val="007F5D06"/>
    <w:rsid w:val="007F6C98"/>
    <w:rsid w:val="00805A6E"/>
    <w:rsid w:val="00864EDB"/>
    <w:rsid w:val="00865CF4"/>
    <w:rsid w:val="0086735B"/>
    <w:rsid w:val="00876DBC"/>
    <w:rsid w:val="00886000"/>
    <w:rsid w:val="008A6003"/>
    <w:rsid w:val="008A6F88"/>
    <w:rsid w:val="008B1E16"/>
    <w:rsid w:val="008C322A"/>
    <w:rsid w:val="008D5FFE"/>
    <w:rsid w:val="008E1316"/>
    <w:rsid w:val="008F17AF"/>
    <w:rsid w:val="00910FD2"/>
    <w:rsid w:val="00931437"/>
    <w:rsid w:val="00932891"/>
    <w:rsid w:val="00951A50"/>
    <w:rsid w:val="00953430"/>
    <w:rsid w:val="009545C1"/>
    <w:rsid w:val="009553FC"/>
    <w:rsid w:val="009673C4"/>
    <w:rsid w:val="00970EB3"/>
    <w:rsid w:val="009A2D78"/>
    <w:rsid w:val="009A7C10"/>
    <w:rsid w:val="009B2945"/>
    <w:rsid w:val="009B5D36"/>
    <w:rsid w:val="009C0B71"/>
    <w:rsid w:val="009E2DEE"/>
    <w:rsid w:val="009E4AE6"/>
    <w:rsid w:val="009F1CAB"/>
    <w:rsid w:val="009F26A7"/>
    <w:rsid w:val="009F797C"/>
    <w:rsid w:val="00A12F98"/>
    <w:rsid w:val="00A131AC"/>
    <w:rsid w:val="00A16D85"/>
    <w:rsid w:val="00A21A20"/>
    <w:rsid w:val="00A24057"/>
    <w:rsid w:val="00A36A99"/>
    <w:rsid w:val="00A43F60"/>
    <w:rsid w:val="00A47411"/>
    <w:rsid w:val="00A53315"/>
    <w:rsid w:val="00A70EF0"/>
    <w:rsid w:val="00A805D8"/>
    <w:rsid w:val="00A818D2"/>
    <w:rsid w:val="00A82F99"/>
    <w:rsid w:val="00A9208D"/>
    <w:rsid w:val="00AA6EA9"/>
    <w:rsid w:val="00AA7A22"/>
    <w:rsid w:val="00AC2DB8"/>
    <w:rsid w:val="00AC3CA0"/>
    <w:rsid w:val="00AE03A9"/>
    <w:rsid w:val="00AE3DA7"/>
    <w:rsid w:val="00AF03C4"/>
    <w:rsid w:val="00AF171B"/>
    <w:rsid w:val="00AF5E8A"/>
    <w:rsid w:val="00B046F4"/>
    <w:rsid w:val="00B07164"/>
    <w:rsid w:val="00B07350"/>
    <w:rsid w:val="00B22A80"/>
    <w:rsid w:val="00B527DF"/>
    <w:rsid w:val="00B6681E"/>
    <w:rsid w:val="00B807B4"/>
    <w:rsid w:val="00B97097"/>
    <w:rsid w:val="00BA55A8"/>
    <w:rsid w:val="00BB2ABF"/>
    <w:rsid w:val="00BB64F4"/>
    <w:rsid w:val="00BC122F"/>
    <w:rsid w:val="00BD3F4F"/>
    <w:rsid w:val="00BD5A7C"/>
    <w:rsid w:val="00BD6444"/>
    <w:rsid w:val="00BE5AF3"/>
    <w:rsid w:val="00BE7A1B"/>
    <w:rsid w:val="00BF0221"/>
    <w:rsid w:val="00BF091A"/>
    <w:rsid w:val="00BF2630"/>
    <w:rsid w:val="00BF4EAD"/>
    <w:rsid w:val="00C004B2"/>
    <w:rsid w:val="00C049E2"/>
    <w:rsid w:val="00C27DB3"/>
    <w:rsid w:val="00C34793"/>
    <w:rsid w:val="00C36795"/>
    <w:rsid w:val="00C43E4B"/>
    <w:rsid w:val="00C45F29"/>
    <w:rsid w:val="00C461EC"/>
    <w:rsid w:val="00C507D4"/>
    <w:rsid w:val="00C71CEF"/>
    <w:rsid w:val="00C72DAA"/>
    <w:rsid w:val="00C80B14"/>
    <w:rsid w:val="00C86A4A"/>
    <w:rsid w:val="00C87B39"/>
    <w:rsid w:val="00C9790C"/>
    <w:rsid w:val="00CA22B4"/>
    <w:rsid w:val="00CA404A"/>
    <w:rsid w:val="00CA681D"/>
    <w:rsid w:val="00CB58A4"/>
    <w:rsid w:val="00CB7E9A"/>
    <w:rsid w:val="00CD0B92"/>
    <w:rsid w:val="00CD598D"/>
    <w:rsid w:val="00CE29D3"/>
    <w:rsid w:val="00CF2D8B"/>
    <w:rsid w:val="00CF7586"/>
    <w:rsid w:val="00D001B8"/>
    <w:rsid w:val="00D036D3"/>
    <w:rsid w:val="00D125AE"/>
    <w:rsid w:val="00D25E9B"/>
    <w:rsid w:val="00D2790D"/>
    <w:rsid w:val="00D40376"/>
    <w:rsid w:val="00D44143"/>
    <w:rsid w:val="00D46033"/>
    <w:rsid w:val="00D50C8D"/>
    <w:rsid w:val="00D51ECD"/>
    <w:rsid w:val="00D6170E"/>
    <w:rsid w:val="00D72812"/>
    <w:rsid w:val="00D80D47"/>
    <w:rsid w:val="00D90CAE"/>
    <w:rsid w:val="00D91CB4"/>
    <w:rsid w:val="00DB1C09"/>
    <w:rsid w:val="00DE1133"/>
    <w:rsid w:val="00DE3735"/>
    <w:rsid w:val="00DF4910"/>
    <w:rsid w:val="00E01565"/>
    <w:rsid w:val="00E16BF5"/>
    <w:rsid w:val="00E37A3F"/>
    <w:rsid w:val="00E37D3C"/>
    <w:rsid w:val="00E432E3"/>
    <w:rsid w:val="00E46B17"/>
    <w:rsid w:val="00E50F55"/>
    <w:rsid w:val="00E55562"/>
    <w:rsid w:val="00E62E6A"/>
    <w:rsid w:val="00E83EF5"/>
    <w:rsid w:val="00E9335C"/>
    <w:rsid w:val="00E93EF7"/>
    <w:rsid w:val="00EA4599"/>
    <w:rsid w:val="00ED1C1E"/>
    <w:rsid w:val="00EE2AF2"/>
    <w:rsid w:val="00F00891"/>
    <w:rsid w:val="00F071AE"/>
    <w:rsid w:val="00F0748D"/>
    <w:rsid w:val="00F07EE6"/>
    <w:rsid w:val="00F130AF"/>
    <w:rsid w:val="00F33CC8"/>
    <w:rsid w:val="00F42539"/>
    <w:rsid w:val="00F43425"/>
    <w:rsid w:val="00F4481C"/>
    <w:rsid w:val="00F75D23"/>
    <w:rsid w:val="00F906C1"/>
    <w:rsid w:val="00FA5957"/>
    <w:rsid w:val="00FB5719"/>
    <w:rsid w:val="00FC3CE0"/>
    <w:rsid w:val="00FD06A8"/>
    <w:rsid w:val="00FD4EAE"/>
    <w:rsid w:val="00FD5594"/>
    <w:rsid w:val="00FE67E8"/>
    <w:rsid w:val="00FE74D4"/>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BD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 w:type="character" w:customStyle="1" w:styleId="SinespaciadoCar">
    <w:name w:val="Sin espaciado Car"/>
    <w:aliases w:val="Francesa Car,INAI Car"/>
    <w:link w:val="Sinespaciado"/>
    <w:uiPriority w:val="1"/>
    <w:locked/>
    <w:rsid w:val="00735833"/>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16217853">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182786936">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634943358">
      <w:bodyDiv w:val="1"/>
      <w:marLeft w:val="0"/>
      <w:marRight w:val="0"/>
      <w:marTop w:val="0"/>
      <w:marBottom w:val="0"/>
      <w:divBdr>
        <w:top w:val="none" w:sz="0" w:space="0" w:color="auto"/>
        <w:left w:val="none" w:sz="0" w:space="0" w:color="auto"/>
        <w:bottom w:val="none" w:sz="0" w:space="0" w:color="auto"/>
        <w:right w:val="none" w:sz="0" w:space="0" w:color="auto"/>
      </w:divBdr>
    </w:div>
    <w:div w:id="667636160">
      <w:bodyDiv w:val="1"/>
      <w:marLeft w:val="0"/>
      <w:marRight w:val="0"/>
      <w:marTop w:val="0"/>
      <w:marBottom w:val="0"/>
      <w:divBdr>
        <w:top w:val="none" w:sz="0" w:space="0" w:color="auto"/>
        <w:left w:val="none" w:sz="0" w:space="0" w:color="auto"/>
        <w:bottom w:val="none" w:sz="0" w:space="0" w:color="auto"/>
        <w:right w:val="none" w:sz="0" w:space="0" w:color="auto"/>
      </w:divBdr>
    </w:div>
    <w:div w:id="705716424">
      <w:bodyDiv w:val="1"/>
      <w:marLeft w:val="0"/>
      <w:marRight w:val="0"/>
      <w:marTop w:val="0"/>
      <w:marBottom w:val="0"/>
      <w:divBdr>
        <w:top w:val="none" w:sz="0" w:space="0" w:color="auto"/>
        <w:left w:val="none" w:sz="0" w:space="0" w:color="auto"/>
        <w:bottom w:val="none" w:sz="0" w:space="0" w:color="auto"/>
        <w:right w:val="none" w:sz="0" w:space="0" w:color="auto"/>
      </w:divBdr>
    </w:div>
    <w:div w:id="7228262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54401151">
      <w:bodyDiv w:val="1"/>
      <w:marLeft w:val="0"/>
      <w:marRight w:val="0"/>
      <w:marTop w:val="0"/>
      <w:marBottom w:val="0"/>
      <w:divBdr>
        <w:top w:val="none" w:sz="0" w:space="0" w:color="auto"/>
        <w:left w:val="none" w:sz="0" w:space="0" w:color="auto"/>
        <w:bottom w:val="none" w:sz="0" w:space="0" w:color="auto"/>
        <w:right w:val="none" w:sz="0" w:space="0" w:color="auto"/>
      </w:divBdr>
    </w:div>
    <w:div w:id="760299511">
      <w:bodyDiv w:val="1"/>
      <w:marLeft w:val="0"/>
      <w:marRight w:val="0"/>
      <w:marTop w:val="0"/>
      <w:marBottom w:val="0"/>
      <w:divBdr>
        <w:top w:val="none" w:sz="0" w:space="0" w:color="auto"/>
        <w:left w:val="none" w:sz="0" w:space="0" w:color="auto"/>
        <w:bottom w:val="none" w:sz="0" w:space="0" w:color="auto"/>
        <w:right w:val="none" w:sz="0" w:space="0" w:color="auto"/>
      </w:divBdr>
    </w:div>
    <w:div w:id="767776085">
      <w:bodyDiv w:val="1"/>
      <w:marLeft w:val="0"/>
      <w:marRight w:val="0"/>
      <w:marTop w:val="0"/>
      <w:marBottom w:val="0"/>
      <w:divBdr>
        <w:top w:val="none" w:sz="0" w:space="0" w:color="auto"/>
        <w:left w:val="none" w:sz="0" w:space="0" w:color="auto"/>
        <w:bottom w:val="none" w:sz="0" w:space="0" w:color="auto"/>
        <w:right w:val="none" w:sz="0" w:space="0" w:color="auto"/>
      </w:divBdr>
    </w:div>
    <w:div w:id="781654387">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918443009">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154643452">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239245799">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754010140">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 w:id="2128817838">
      <w:bodyDiv w:val="1"/>
      <w:marLeft w:val="0"/>
      <w:marRight w:val="0"/>
      <w:marTop w:val="0"/>
      <w:marBottom w:val="0"/>
      <w:divBdr>
        <w:top w:val="none" w:sz="0" w:space="0" w:color="auto"/>
        <w:left w:val="none" w:sz="0" w:space="0" w:color="auto"/>
        <w:bottom w:val="none" w:sz="0" w:space="0" w:color="auto"/>
        <w:right w:val="none" w:sz="0" w:space="0" w:color="auto"/>
      </w:divBdr>
    </w:div>
    <w:div w:id="21317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7D68455-3F8D-AB4B-AAF4-2BF44942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4454</Words>
  <Characters>24500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9</cp:revision>
  <cp:lastPrinted>2024-09-23T19:18:00Z</cp:lastPrinted>
  <dcterms:created xsi:type="dcterms:W3CDTF">2024-09-12T20:04:00Z</dcterms:created>
  <dcterms:modified xsi:type="dcterms:W3CDTF">2024-10-24T05:24:00Z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