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C846F"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7D1EEA">
        <w:rPr>
          <w:rFonts w:ascii="Palatino Linotype" w:eastAsia="Palatino Linotype" w:hAnsi="Palatino Linotype" w:cs="Palatino Linotype"/>
          <w:b/>
          <w:sz w:val="22"/>
          <w:szCs w:val="22"/>
        </w:rPr>
        <w:t>once de septiembre de dos mil veinticuatro</w:t>
      </w:r>
      <w:r w:rsidRPr="007D1EEA">
        <w:rPr>
          <w:rFonts w:ascii="Palatino Linotype" w:eastAsia="Palatino Linotype" w:hAnsi="Palatino Linotype" w:cs="Palatino Linotype"/>
          <w:sz w:val="22"/>
          <w:szCs w:val="22"/>
        </w:rPr>
        <w:t xml:space="preserve">. </w:t>
      </w:r>
    </w:p>
    <w:p w14:paraId="13615C16"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Vistos</w:t>
      </w:r>
      <w:r w:rsidRPr="007D1EEA">
        <w:rPr>
          <w:rFonts w:ascii="Palatino Linotype" w:eastAsia="Palatino Linotype" w:hAnsi="Palatino Linotype" w:cs="Palatino Linotype"/>
          <w:sz w:val="22"/>
          <w:szCs w:val="22"/>
        </w:rPr>
        <w:t xml:space="preserve"> los expedientes formados con motivo de los recursos de revisión </w:t>
      </w:r>
      <w:r w:rsidRPr="007D1EEA">
        <w:rPr>
          <w:rFonts w:ascii="Palatino Linotype" w:eastAsia="Palatino Linotype" w:hAnsi="Palatino Linotype" w:cs="Palatino Linotype"/>
          <w:b/>
          <w:sz w:val="22"/>
          <w:szCs w:val="22"/>
        </w:rPr>
        <w:t xml:space="preserve">02574/INFOEM/IP/RR/2024, 02575/INFOEM/IP/RR/2024, 02576/INFOEM/IP/RR/2024, 02581/INFOEM/IP/RR/2024, 02604/INFOEM/IP/RR/2024,  02605/INFOEM/IP/RR/2024, 02606/INFOEM/IP/RR/2024, 02607/INFOEM/IP/RR/2024, 02608/INFOEM/IP/RR/2024, 02609/INFOEM/IP/RR/2024, 02610/INFOEM/IP/RR/2024 y 02611/INFOEM/IP/RR/2024 acumulados, </w:t>
      </w:r>
      <w:r w:rsidRPr="007D1EEA">
        <w:rPr>
          <w:rFonts w:ascii="Palatino Linotype" w:eastAsia="Palatino Linotype" w:hAnsi="Palatino Linotype" w:cs="Palatino Linotype"/>
          <w:sz w:val="22"/>
          <w:szCs w:val="22"/>
        </w:rPr>
        <w:t>interpuestos por</w:t>
      </w:r>
      <w:r w:rsidRPr="007D1EEA">
        <w:rPr>
          <w:rFonts w:ascii="Palatino Linotype" w:eastAsia="Palatino Linotype" w:hAnsi="Palatino Linotype" w:cs="Palatino Linotype"/>
          <w:b/>
          <w:sz w:val="22"/>
          <w:szCs w:val="22"/>
        </w:rPr>
        <w:t xml:space="preserve"> un particular de manera anónima, </w:t>
      </w:r>
      <w:r w:rsidRPr="007D1EEA">
        <w:rPr>
          <w:rFonts w:ascii="Palatino Linotype" w:eastAsia="Palatino Linotype" w:hAnsi="Palatino Linotype" w:cs="Palatino Linotype"/>
          <w:sz w:val="22"/>
          <w:szCs w:val="22"/>
        </w:rPr>
        <w:t>quien en lo sucesivo</w:t>
      </w:r>
      <w:r w:rsidRPr="007D1EEA">
        <w:rPr>
          <w:rFonts w:ascii="Palatino Linotype" w:eastAsia="Palatino Linotype" w:hAnsi="Palatino Linotype" w:cs="Palatino Linotype"/>
          <w:b/>
          <w:sz w:val="22"/>
          <w:szCs w:val="22"/>
        </w:rPr>
        <w:t xml:space="preserve"> </w:t>
      </w:r>
      <w:r w:rsidRPr="007D1EEA">
        <w:rPr>
          <w:rFonts w:ascii="Palatino Linotype" w:eastAsia="Palatino Linotype" w:hAnsi="Palatino Linotype" w:cs="Palatino Linotype"/>
          <w:sz w:val="22"/>
          <w:szCs w:val="22"/>
        </w:rPr>
        <w:t xml:space="preserve">será identificado como </w:t>
      </w:r>
      <w:r w:rsidRPr="007D1EEA">
        <w:rPr>
          <w:rFonts w:ascii="Palatino Linotype" w:eastAsia="Palatino Linotype" w:hAnsi="Palatino Linotype" w:cs="Palatino Linotype"/>
          <w:b/>
          <w:sz w:val="22"/>
          <w:szCs w:val="22"/>
        </w:rPr>
        <w:t>la parte Recurrente,</w:t>
      </w:r>
      <w:r w:rsidRPr="007D1EEA">
        <w:rPr>
          <w:rFonts w:ascii="Palatino Linotype" w:eastAsia="Palatino Linotype" w:hAnsi="Palatino Linotype" w:cs="Palatino Linotype"/>
          <w:sz w:val="22"/>
          <w:szCs w:val="22"/>
        </w:rPr>
        <w:t xml:space="preserve"> en contra de las respuestas en las solicitudes de información con número de folio </w:t>
      </w:r>
      <w:r w:rsidRPr="007D1EEA">
        <w:rPr>
          <w:rFonts w:ascii="Palatino Linotype" w:eastAsia="Palatino Linotype" w:hAnsi="Palatino Linotype" w:cs="Palatino Linotype"/>
          <w:b/>
          <w:sz w:val="22"/>
          <w:szCs w:val="22"/>
        </w:rPr>
        <w:t xml:space="preserve">00179/OASATIZARA/IP/2024, 00178/OASATIZARA/IP/2024, 00177/OASATIZARA/IP/2024, 00148/OASATIZARA/IP/2024, 00175/OASATIZARA/IP/2024, 00172/OASATIZARA/IP/2024, 00171/OASATIZARA/IP/2024, 00173/OASATIZARA/IP/2024, 00167/OASATIZARA/IP/2024, 00168/OASATIZARA/IP/2024, 00169/OASATIZARA/IP/2024 y 00170/OASATIZARA/IP/2024, </w:t>
      </w:r>
      <w:r w:rsidRPr="007D1EEA">
        <w:rPr>
          <w:rFonts w:ascii="Palatino Linotype" w:eastAsia="Palatino Linotype" w:hAnsi="Palatino Linotype" w:cs="Palatino Linotype"/>
          <w:sz w:val="22"/>
          <w:szCs w:val="22"/>
        </w:rPr>
        <w:t>por parte</w:t>
      </w:r>
      <w:r w:rsidRPr="007D1EEA">
        <w:rPr>
          <w:rFonts w:ascii="Palatino Linotype" w:eastAsia="Palatino Linotype" w:hAnsi="Palatino Linotype" w:cs="Palatino Linotype"/>
          <w:b/>
          <w:sz w:val="22"/>
          <w:szCs w:val="22"/>
        </w:rPr>
        <w:t xml:space="preserve"> </w:t>
      </w:r>
      <w:r w:rsidRPr="007D1EEA">
        <w:rPr>
          <w:rFonts w:ascii="Palatino Linotype" w:eastAsia="Palatino Linotype" w:hAnsi="Palatino Linotype" w:cs="Palatino Linotype"/>
          <w:sz w:val="22"/>
          <w:szCs w:val="22"/>
        </w:rPr>
        <w:t xml:space="preserve">del </w:t>
      </w:r>
      <w:r w:rsidRPr="007D1EEA">
        <w:rPr>
          <w:rFonts w:ascii="Palatino Linotype" w:eastAsia="Palatino Linotype" w:hAnsi="Palatino Linotype" w:cs="Palatino Linotype"/>
          <w:b/>
          <w:sz w:val="22"/>
          <w:szCs w:val="22"/>
        </w:rPr>
        <w:t xml:space="preserve">Organismo Público Descentralizado para la Prestación de Los Servicios de Agua Potable Alcantarillado y Saneamiento de Atizapán de Zaragoza por sus siglas S.A.P.A.S.A, </w:t>
      </w:r>
      <w:r w:rsidRPr="007D1EEA">
        <w:rPr>
          <w:rFonts w:ascii="Palatino Linotype" w:eastAsia="Palatino Linotype" w:hAnsi="Palatino Linotype" w:cs="Palatino Linotype"/>
          <w:sz w:val="22"/>
          <w:szCs w:val="22"/>
        </w:rPr>
        <w:t xml:space="preserve">en lo sucesivo el </w:t>
      </w:r>
      <w:r w:rsidRPr="007D1EEA">
        <w:rPr>
          <w:rFonts w:ascii="Palatino Linotype" w:eastAsia="Palatino Linotype" w:hAnsi="Palatino Linotype" w:cs="Palatino Linotype"/>
          <w:b/>
          <w:sz w:val="22"/>
          <w:szCs w:val="22"/>
        </w:rPr>
        <w:t xml:space="preserve">Sujeto Obligado, </w:t>
      </w:r>
      <w:r w:rsidRPr="007D1EEA">
        <w:rPr>
          <w:rFonts w:ascii="Palatino Linotype" w:eastAsia="Palatino Linotype" w:hAnsi="Palatino Linotype" w:cs="Palatino Linotype"/>
          <w:sz w:val="22"/>
          <w:szCs w:val="22"/>
        </w:rPr>
        <w:t xml:space="preserve">se procede a dictar la presente resolución con base en los siguientes: </w:t>
      </w:r>
    </w:p>
    <w:p w14:paraId="19166F97" w14:textId="77777777" w:rsidR="00023530" w:rsidRPr="007D1EEA" w:rsidRDefault="0013670A">
      <w:pPr>
        <w:spacing w:before="240" w:after="240" w:line="360" w:lineRule="auto"/>
        <w:jc w:val="center"/>
        <w:rPr>
          <w:rFonts w:ascii="Palatino Linotype" w:eastAsia="Palatino Linotype" w:hAnsi="Palatino Linotype" w:cs="Palatino Linotype"/>
          <w:b/>
        </w:rPr>
      </w:pPr>
      <w:r w:rsidRPr="007D1EEA">
        <w:rPr>
          <w:rFonts w:ascii="Palatino Linotype" w:eastAsia="Palatino Linotype" w:hAnsi="Palatino Linotype" w:cs="Palatino Linotype"/>
          <w:b/>
        </w:rPr>
        <w:lastRenderedPageBreak/>
        <w:t>I. A N T E C E D E N T E S</w:t>
      </w:r>
    </w:p>
    <w:p w14:paraId="0CC3C528"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bookmarkStart w:id="0" w:name="_heading=h.gjdgxs" w:colFirst="0" w:colLast="0"/>
      <w:bookmarkEnd w:id="0"/>
      <w:r w:rsidRPr="007D1EEA">
        <w:rPr>
          <w:rFonts w:ascii="Palatino Linotype" w:eastAsia="Palatino Linotype" w:hAnsi="Palatino Linotype" w:cs="Palatino Linotype"/>
          <w:b/>
          <w:sz w:val="22"/>
          <w:szCs w:val="22"/>
        </w:rPr>
        <w:t>1. Solicitudes de acceso a la información.</w:t>
      </w:r>
      <w:r w:rsidRPr="007D1EEA">
        <w:rPr>
          <w:rFonts w:ascii="Palatino Linotype" w:eastAsia="Palatino Linotype" w:hAnsi="Palatino Linotype" w:cs="Palatino Linotype"/>
          <w:sz w:val="22"/>
          <w:szCs w:val="22"/>
        </w:rPr>
        <w:t xml:space="preserve"> Los días </w:t>
      </w:r>
      <w:r w:rsidRPr="007D1EEA">
        <w:rPr>
          <w:rFonts w:ascii="Palatino Linotype" w:eastAsia="Palatino Linotype" w:hAnsi="Palatino Linotype" w:cs="Palatino Linotype"/>
          <w:b/>
          <w:sz w:val="22"/>
          <w:szCs w:val="22"/>
        </w:rPr>
        <w:t xml:space="preserve">diecinueve y veintidós de marzo de dos mil veinticuatro, la parte Recurrente </w:t>
      </w:r>
      <w:r w:rsidRPr="007D1EEA">
        <w:rPr>
          <w:rFonts w:ascii="Palatino Linotype" w:eastAsia="Palatino Linotype" w:hAnsi="Palatino Linotype" w:cs="Palatino Linotype"/>
          <w:sz w:val="22"/>
          <w:szCs w:val="22"/>
        </w:rPr>
        <w:t xml:space="preserve">formuló solicitudes de acceso a información pública a través del Sistema de Acceso a la Información Mexiquense </w:t>
      </w:r>
      <w:r w:rsidRPr="007D1EEA">
        <w:rPr>
          <w:rFonts w:ascii="Palatino Linotype" w:eastAsia="Palatino Linotype" w:hAnsi="Palatino Linotype" w:cs="Palatino Linotype"/>
          <w:b/>
          <w:sz w:val="22"/>
          <w:szCs w:val="22"/>
        </w:rPr>
        <w:t>(SAIMEX),</w:t>
      </w:r>
      <w:r w:rsidRPr="007D1EEA">
        <w:rPr>
          <w:rFonts w:ascii="Palatino Linotype" w:eastAsia="Palatino Linotype" w:hAnsi="Palatino Linotype" w:cs="Palatino Linotype"/>
          <w:sz w:val="22"/>
          <w:szCs w:val="22"/>
        </w:rPr>
        <w:t xml:space="preserve"> en las que requirió lo siguiente:</w:t>
      </w:r>
    </w:p>
    <w:tbl>
      <w:tblPr>
        <w:tblStyle w:val="a"/>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7D1EEA" w:rsidRPr="007D1EEA" w14:paraId="786D98F5" w14:textId="77777777">
        <w:tc>
          <w:tcPr>
            <w:tcW w:w="3823" w:type="dxa"/>
            <w:shd w:val="clear" w:color="auto" w:fill="D7E3BC"/>
          </w:tcPr>
          <w:p w14:paraId="4D6F4614" w14:textId="77777777" w:rsidR="00023530" w:rsidRPr="007D1EEA" w:rsidRDefault="0013670A">
            <w:pPr>
              <w:spacing w:before="240" w:after="240"/>
              <w:jc w:val="center"/>
              <w:rPr>
                <w:rFonts w:ascii="Palatino Linotype" w:eastAsia="Palatino Linotype" w:hAnsi="Palatino Linotype" w:cs="Palatino Linotype"/>
                <w:b/>
              </w:rPr>
            </w:pPr>
            <w:r w:rsidRPr="007D1EEA">
              <w:rPr>
                <w:rFonts w:ascii="Palatino Linotype" w:eastAsia="Palatino Linotype" w:hAnsi="Palatino Linotype" w:cs="Palatino Linotype"/>
                <w:b/>
                <w:sz w:val="20"/>
                <w:szCs w:val="20"/>
              </w:rPr>
              <w:t>Número de solicitud y recurso de revisión</w:t>
            </w:r>
          </w:p>
        </w:tc>
        <w:tc>
          <w:tcPr>
            <w:tcW w:w="5098" w:type="dxa"/>
            <w:shd w:val="clear" w:color="auto" w:fill="D7E3BC"/>
          </w:tcPr>
          <w:p w14:paraId="40E05019" w14:textId="77777777" w:rsidR="00023530" w:rsidRPr="007D1EEA" w:rsidRDefault="0013670A">
            <w:pPr>
              <w:spacing w:before="240" w:after="240" w:line="360" w:lineRule="auto"/>
              <w:jc w:val="center"/>
              <w:rPr>
                <w:rFonts w:ascii="Palatino Linotype" w:eastAsia="Palatino Linotype" w:hAnsi="Palatino Linotype" w:cs="Palatino Linotype"/>
                <w:b/>
              </w:rPr>
            </w:pPr>
            <w:r w:rsidRPr="007D1EEA">
              <w:rPr>
                <w:rFonts w:ascii="Palatino Linotype" w:eastAsia="Palatino Linotype" w:hAnsi="Palatino Linotype" w:cs="Palatino Linotype"/>
                <w:b/>
                <w:sz w:val="20"/>
                <w:szCs w:val="20"/>
              </w:rPr>
              <w:t>Información requerida</w:t>
            </w:r>
          </w:p>
        </w:tc>
      </w:tr>
      <w:tr w:rsidR="007D1EEA" w:rsidRPr="007D1EEA" w14:paraId="68520CE4" w14:textId="77777777">
        <w:tc>
          <w:tcPr>
            <w:tcW w:w="3823" w:type="dxa"/>
          </w:tcPr>
          <w:p w14:paraId="1F91F2F4"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00179/OASATIZARA/IP/2024,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02574/INFOEM/IP/RR/2024</w:t>
            </w:r>
          </w:p>
        </w:tc>
        <w:tc>
          <w:tcPr>
            <w:tcW w:w="5098" w:type="dxa"/>
          </w:tcPr>
          <w:p w14:paraId="3D224F89"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 xml:space="preserve">“Recibos de </w:t>
            </w:r>
            <w:proofErr w:type="spellStart"/>
            <w:r w:rsidRPr="007D1EEA">
              <w:rPr>
                <w:rFonts w:ascii="Palatino Linotype" w:eastAsia="Palatino Linotype" w:hAnsi="Palatino Linotype" w:cs="Palatino Linotype"/>
                <w:i/>
                <w:sz w:val="20"/>
                <w:szCs w:val="20"/>
              </w:rPr>
              <w:t>nomina</w:t>
            </w:r>
            <w:proofErr w:type="spellEnd"/>
            <w:r w:rsidRPr="007D1EEA">
              <w:rPr>
                <w:rFonts w:ascii="Palatino Linotype" w:eastAsia="Palatino Linotype" w:hAnsi="Palatino Linotype" w:cs="Palatino Linotype"/>
                <w:i/>
                <w:sz w:val="20"/>
                <w:szCs w:val="20"/>
              </w:rPr>
              <w:t xml:space="preserve"> que se </w:t>
            </w:r>
            <w:proofErr w:type="spellStart"/>
            <w:r w:rsidRPr="007D1EEA">
              <w:rPr>
                <w:rFonts w:ascii="Palatino Linotype" w:eastAsia="Palatino Linotype" w:hAnsi="Palatino Linotype" w:cs="Palatino Linotype"/>
                <w:i/>
                <w:sz w:val="20"/>
                <w:szCs w:val="20"/>
              </w:rPr>
              <w:t>envian</w:t>
            </w:r>
            <w:proofErr w:type="spellEnd"/>
            <w:r w:rsidRPr="007D1EEA">
              <w:rPr>
                <w:rFonts w:ascii="Palatino Linotype" w:eastAsia="Palatino Linotype" w:hAnsi="Palatino Linotype" w:cs="Palatino Linotype"/>
                <w:i/>
                <w:sz w:val="20"/>
                <w:szCs w:val="20"/>
              </w:rPr>
              <w:t xml:space="preserve"> al </w:t>
            </w:r>
            <w:proofErr w:type="spellStart"/>
            <w:r w:rsidRPr="007D1EEA">
              <w:rPr>
                <w:rFonts w:ascii="Palatino Linotype" w:eastAsia="Palatino Linotype" w:hAnsi="Palatino Linotype" w:cs="Palatino Linotype"/>
                <w:i/>
                <w:sz w:val="20"/>
                <w:szCs w:val="20"/>
              </w:rPr>
              <w:t>osfem</w:t>
            </w:r>
            <w:proofErr w:type="spellEnd"/>
            <w:r w:rsidRPr="007D1EEA">
              <w:rPr>
                <w:rFonts w:ascii="Palatino Linotype" w:eastAsia="Palatino Linotype" w:hAnsi="Palatino Linotype" w:cs="Palatino Linotype"/>
                <w:i/>
                <w:sz w:val="20"/>
                <w:szCs w:val="20"/>
              </w:rPr>
              <w:t xml:space="preserve"> de todos los mandos medios y superiores desde enero 2024 hasta esta fecha” (Sic)</w:t>
            </w:r>
          </w:p>
        </w:tc>
      </w:tr>
      <w:tr w:rsidR="007D1EEA" w:rsidRPr="007D1EEA" w14:paraId="78C13DC2" w14:textId="77777777">
        <w:tc>
          <w:tcPr>
            <w:tcW w:w="3823" w:type="dxa"/>
          </w:tcPr>
          <w:p w14:paraId="2EC563AA" w14:textId="77777777" w:rsidR="00023530" w:rsidRPr="007D1EEA" w:rsidRDefault="0013670A">
            <w:pPr>
              <w:spacing w:before="240" w:after="240"/>
              <w:jc w:val="center"/>
              <w:rPr>
                <w:rFonts w:ascii="Palatino Linotype" w:eastAsia="Palatino Linotype" w:hAnsi="Palatino Linotype" w:cs="Palatino Linotype"/>
                <w:b/>
              </w:rPr>
            </w:pPr>
            <w:r w:rsidRPr="007D1EEA">
              <w:rPr>
                <w:rFonts w:ascii="Palatino Linotype" w:eastAsia="Palatino Linotype" w:hAnsi="Palatino Linotype" w:cs="Palatino Linotype"/>
                <w:b/>
                <w:sz w:val="20"/>
                <w:szCs w:val="20"/>
              </w:rPr>
              <w:t xml:space="preserve">00178/OASATIZARA/IP/2024,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02575/INFOEM/IP/RR/2024</w:t>
            </w:r>
          </w:p>
        </w:tc>
        <w:tc>
          <w:tcPr>
            <w:tcW w:w="5098" w:type="dxa"/>
          </w:tcPr>
          <w:p w14:paraId="658D4C9E"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 xml:space="preserve">“recibos de </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del mes de junio 2023” (Sic)</w:t>
            </w:r>
          </w:p>
        </w:tc>
      </w:tr>
      <w:tr w:rsidR="007D1EEA" w:rsidRPr="007D1EEA" w14:paraId="0C487B93" w14:textId="77777777">
        <w:tc>
          <w:tcPr>
            <w:tcW w:w="3823" w:type="dxa"/>
          </w:tcPr>
          <w:p w14:paraId="286B3F0D"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00177/OASATIZARA/IP/2024,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02576/INFOEM/IP/RR/2024</w:t>
            </w:r>
          </w:p>
        </w:tc>
        <w:tc>
          <w:tcPr>
            <w:tcW w:w="5098" w:type="dxa"/>
          </w:tcPr>
          <w:p w14:paraId="355EAE10"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 xml:space="preserve">“recibos de </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del mes de mayo 2023” (Sic)</w:t>
            </w:r>
          </w:p>
        </w:tc>
      </w:tr>
      <w:tr w:rsidR="007D1EEA" w:rsidRPr="007D1EEA" w14:paraId="00B3BFE2" w14:textId="77777777">
        <w:tc>
          <w:tcPr>
            <w:tcW w:w="3823" w:type="dxa"/>
          </w:tcPr>
          <w:p w14:paraId="53B96F1F"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00148/OASATIZARA/IP/2024,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02581/INFOEM/IP/RR/2024</w:t>
            </w:r>
          </w:p>
        </w:tc>
        <w:tc>
          <w:tcPr>
            <w:tcW w:w="5098" w:type="dxa"/>
          </w:tcPr>
          <w:p w14:paraId="0BE8E55C"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primera quincena de marzo” (Sic)</w:t>
            </w:r>
          </w:p>
        </w:tc>
      </w:tr>
      <w:tr w:rsidR="007D1EEA" w:rsidRPr="007D1EEA" w14:paraId="6DA88D41" w14:textId="77777777">
        <w:tc>
          <w:tcPr>
            <w:tcW w:w="3823" w:type="dxa"/>
          </w:tcPr>
          <w:p w14:paraId="0AD50331"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lastRenderedPageBreak/>
              <w:t xml:space="preserve">00175/OASATIZARA/IP/2024,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02604/INFOEM/IP/RR/2024</w:t>
            </w:r>
          </w:p>
        </w:tc>
        <w:tc>
          <w:tcPr>
            <w:tcW w:w="5098" w:type="dxa"/>
          </w:tcPr>
          <w:p w14:paraId="28E82A39"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 xml:space="preserve">“recibos de </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del mes de abril 2023” (Sic)</w:t>
            </w:r>
          </w:p>
        </w:tc>
      </w:tr>
      <w:tr w:rsidR="007D1EEA" w:rsidRPr="007D1EEA" w14:paraId="78DCB00A" w14:textId="77777777">
        <w:tc>
          <w:tcPr>
            <w:tcW w:w="3823" w:type="dxa"/>
          </w:tcPr>
          <w:p w14:paraId="763FF62D"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00172/OASATIZARA/IP/2024, </w:t>
            </w:r>
            <w:r w:rsidRPr="007D1EEA">
              <w:rPr>
                <w:rFonts w:ascii="Palatino Linotype" w:eastAsia="Palatino Linotype" w:hAnsi="Palatino Linotype" w:cs="Palatino Linotype"/>
                <w:sz w:val="20"/>
                <w:szCs w:val="20"/>
              </w:rPr>
              <w:t xml:space="preserve">correspondiente al Recurso de </w:t>
            </w:r>
            <w:proofErr w:type="gramStart"/>
            <w:r w:rsidRPr="007D1EEA">
              <w:rPr>
                <w:rFonts w:ascii="Palatino Linotype" w:eastAsia="Palatino Linotype" w:hAnsi="Palatino Linotype" w:cs="Palatino Linotype"/>
                <w:sz w:val="20"/>
                <w:szCs w:val="20"/>
              </w:rPr>
              <w:t>Revisión</w:t>
            </w:r>
            <w:r w:rsidRPr="007D1EEA">
              <w:rPr>
                <w:rFonts w:ascii="Palatino Linotype" w:eastAsia="Palatino Linotype" w:hAnsi="Palatino Linotype" w:cs="Palatino Linotype"/>
                <w:b/>
                <w:sz w:val="20"/>
                <w:szCs w:val="20"/>
              </w:rPr>
              <w:t xml:space="preserve">  02605</w:t>
            </w:r>
            <w:proofErr w:type="gramEnd"/>
            <w:r w:rsidRPr="007D1EEA">
              <w:rPr>
                <w:rFonts w:ascii="Palatino Linotype" w:eastAsia="Palatino Linotype" w:hAnsi="Palatino Linotype" w:cs="Palatino Linotype"/>
                <w:b/>
                <w:sz w:val="20"/>
                <w:szCs w:val="20"/>
              </w:rPr>
              <w:t>/INFOEM/IP/RR/2024</w:t>
            </w:r>
          </w:p>
        </w:tc>
        <w:tc>
          <w:tcPr>
            <w:tcW w:w="5098" w:type="dxa"/>
          </w:tcPr>
          <w:p w14:paraId="0ED412AA"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 xml:space="preserve">“recibos de </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del mes de enero 2023” (Sic)</w:t>
            </w:r>
          </w:p>
        </w:tc>
      </w:tr>
      <w:tr w:rsidR="007D1EEA" w:rsidRPr="007D1EEA" w14:paraId="3B799C4F" w14:textId="77777777">
        <w:tc>
          <w:tcPr>
            <w:tcW w:w="3823" w:type="dxa"/>
          </w:tcPr>
          <w:p w14:paraId="455A56E2"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00171/OASATIZARA/IP/2024, </w:t>
            </w:r>
            <w:r w:rsidRPr="007D1EEA">
              <w:rPr>
                <w:rFonts w:ascii="Palatino Linotype" w:eastAsia="Palatino Linotype" w:hAnsi="Palatino Linotype" w:cs="Palatino Linotype"/>
                <w:sz w:val="20"/>
                <w:szCs w:val="20"/>
              </w:rPr>
              <w:t xml:space="preserve">correspondiente al Recurso de </w:t>
            </w:r>
            <w:proofErr w:type="gramStart"/>
            <w:r w:rsidRPr="007D1EEA">
              <w:rPr>
                <w:rFonts w:ascii="Palatino Linotype" w:eastAsia="Palatino Linotype" w:hAnsi="Palatino Linotype" w:cs="Palatino Linotype"/>
                <w:sz w:val="20"/>
                <w:szCs w:val="20"/>
              </w:rPr>
              <w:t>Revisión</w:t>
            </w:r>
            <w:r w:rsidRPr="007D1EEA">
              <w:rPr>
                <w:rFonts w:ascii="Palatino Linotype" w:eastAsia="Palatino Linotype" w:hAnsi="Palatino Linotype" w:cs="Palatino Linotype"/>
                <w:b/>
                <w:sz w:val="20"/>
                <w:szCs w:val="20"/>
              </w:rPr>
              <w:t xml:space="preserve">  02606</w:t>
            </w:r>
            <w:proofErr w:type="gramEnd"/>
            <w:r w:rsidRPr="007D1EEA">
              <w:rPr>
                <w:rFonts w:ascii="Palatino Linotype" w:eastAsia="Palatino Linotype" w:hAnsi="Palatino Linotype" w:cs="Palatino Linotype"/>
                <w:b/>
                <w:sz w:val="20"/>
                <w:szCs w:val="20"/>
              </w:rPr>
              <w:t>/INFOEM/IP/RR/2024</w:t>
            </w:r>
          </w:p>
        </w:tc>
        <w:tc>
          <w:tcPr>
            <w:tcW w:w="5098" w:type="dxa"/>
          </w:tcPr>
          <w:p w14:paraId="35C4017B"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enviada al </w:t>
            </w:r>
            <w:proofErr w:type="spellStart"/>
            <w:r w:rsidRPr="007D1EEA">
              <w:rPr>
                <w:rFonts w:ascii="Palatino Linotype" w:eastAsia="Palatino Linotype" w:hAnsi="Palatino Linotype" w:cs="Palatino Linotype"/>
                <w:i/>
                <w:sz w:val="20"/>
                <w:szCs w:val="20"/>
              </w:rPr>
              <w:t>Osfem</w:t>
            </w:r>
            <w:proofErr w:type="spellEnd"/>
            <w:r w:rsidRPr="007D1EEA">
              <w:rPr>
                <w:rFonts w:ascii="Palatino Linotype" w:eastAsia="Palatino Linotype" w:hAnsi="Palatino Linotype" w:cs="Palatino Linotype"/>
                <w:i/>
                <w:sz w:val="20"/>
                <w:szCs w:val="20"/>
              </w:rPr>
              <w:t xml:space="preserve"> en junio 2023” (Sic)</w:t>
            </w:r>
          </w:p>
        </w:tc>
      </w:tr>
      <w:tr w:rsidR="007D1EEA" w:rsidRPr="007D1EEA" w14:paraId="28A59E47" w14:textId="77777777">
        <w:tc>
          <w:tcPr>
            <w:tcW w:w="3823" w:type="dxa"/>
          </w:tcPr>
          <w:p w14:paraId="436E4742"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00173/OASATIZARA/IP/2024, </w:t>
            </w:r>
            <w:r w:rsidRPr="007D1EEA">
              <w:rPr>
                <w:rFonts w:ascii="Palatino Linotype" w:eastAsia="Palatino Linotype" w:hAnsi="Palatino Linotype" w:cs="Palatino Linotype"/>
                <w:sz w:val="20"/>
                <w:szCs w:val="20"/>
              </w:rPr>
              <w:t xml:space="preserve">correspondiente al Recurso de Revisión </w:t>
            </w:r>
            <w:r w:rsidRPr="007D1EEA">
              <w:rPr>
                <w:rFonts w:ascii="Palatino Linotype" w:eastAsia="Palatino Linotype" w:hAnsi="Palatino Linotype" w:cs="Palatino Linotype"/>
                <w:b/>
                <w:sz w:val="20"/>
                <w:szCs w:val="20"/>
              </w:rPr>
              <w:t xml:space="preserve">02607/INFOEM/IP/RR/2024   </w:t>
            </w:r>
          </w:p>
        </w:tc>
        <w:tc>
          <w:tcPr>
            <w:tcW w:w="5098" w:type="dxa"/>
          </w:tcPr>
          <w:p w14:paraId="78B09088"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 xml:space="preserve">“recibos de </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del mes de febrero 2023” (Sic)</w:t>
            </w:r>
          </w:p>
        </w:tc>
      </w:tr>
      <w:tr w:rsidR="007D1EEA" w:rsidRPr="007D1EEA" w14:paraId="631D2939" w14:textId="77777777">
        <w:tc>
          <w:tcPr>
            <w:tcW w:w="3823" w:type="dxa"/>
          </w:tcPr>
          <w:p w14:paraId="74B5E0C8"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00167/OASATIZARA/IP/2024,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02608/INFOEM/IP/RR/2024</w:t>
            </w:r>
          </w:p>
        </w:tc>
        <w:tc>
          <w:tcPr>
            <w:tcW w:w="5098" w:type="dxa"/>
          </w:tcPr>
          <w:p w14:paraId="007D5471"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enviada al </w:t>
            </w:r>
            <w:proofErr w:type="spellStart"/>
            <w:r w:rsidRPr="007D1EEA">
              <w:rPr>
                <w:rFonts w:ascii="Palatino Linotype" w:eastAsia="Palatino Linotype" w:hAnsi="Palatino Linotype" w:cs="Palatino Linotype"/>
                <w:i/>
                <w:sz w:val="20"/>
                <w:szCs w:val="20"/>
              </w:rPr>
              <w:t>Osfem</w:t>
            </w:r>
            <w:proofErr w:type="spellEnd"/>
            <w:r w:rsidRPr="007D1EEA">
              <w:rPr>
                <w:rFonts w:ascii="Palatino Linotype" w:eastAsia="Palatino Linotype" w:hAnsi="Palatino Linotype" w:cs="Palatino Linotype"/>
                <w:i/>
                <w:sz w:val="20"/>
                <w:szCs w:val="20"/>
              </w:rPr>
              <w:t xml:space="preserve"> en marzo 2023” (Sic)</w:t>
            </w:r>
          </w:p>
        </w:tc>
      </w:tr>
      <w:tr w:rsidR="007D1EEA" w:rsidRPr="007D1EEA" w14:paraId="199087C1" w14:textId="77777777">
        <w:tc>
          <w:tcPr>
            <w:tcW w:w="3823" w:type="dxa"/>
          </w:tcPr>
          <w:p w14:paraId="70C3560F"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00168/OASATIZARA/IP/2024,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02609/INFOEM/IP/RR/2024</w:t>
            </w:r>
          </w:p>
        </w:tc>
        <w:tc>
          <w:tcPr>
            <w:tcW w:w="5098" w:type="dxa"/>
          </w:tcPr>
          <w:p w14:paraId="10C96767"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enviada al </w:t>
            </w:r>
            <w:proofErr w:type="spellStart"/>
            <w:r w:rsidRPr="007D1EEA">
              <w:rPr>
                <w:rFonts w:ascii="Palatino Linotype" w:eastAsia="Palatino Linotype" w:hAnsi="Palatino Linotype" w:cs="Palatino Linotype"/>
                <w:i/>
                <w:sz w:val="20"/>
                <w:szCs w:val="20"/>
              </w:rPr>
              <w:t>Osfem</w:t>
            </w:r>
            <w:proofErr w:type="spellEnd"/>
            <w:r w:rsidRPr="007D1EEA">
              <w:rPr>
                <w:rFonts w:ascii="Palatino Linotype" w:eastAsia="Palatino Linotype" w:hAnsi="Palatino Linotype" w:cs="Palatino Linotype"/>
                <w:i/>
                <w:sz w:val="20"/>
                <w:szCs w:val="20"/>
              </w:rPr>
              <w:t xml:space="preserve"> en abril 2023” (Sic)</w:t>
            </w:r>
          </w:p>
        </w:tc>
      </w:tr>
      <w:tr w:rsidR="007D1EEA" w:rsidRPr="007D1EEA" w14:paraId="66283872" w14:textId="77777777">
        <w:tc>
          <w:tcPr>
            <w:tcW w:w="3823" w:type="dxa"/>
          </w:tcPr>
          <w:p w14:paraId="58B4A677"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00169/OASATIZARA/IP/2024, </w:t>
            </w:r>
            <w:r w:rsidRPr="007D1EEA">
              <w:rPr>
                <w:rFonts w:ascii="Palatino Linotype" w:eastAsia="Palatino Linotype" w:hAnsi="Palatino Linotype" w:cs="Palatino Linotype"/>
                <w:sz w:val="20"/>
                <w:szCs w:val="20"/>
              </w:rPr>
              <w:t>correspondiente al Recurso de Revisión</w:t>
            </w:r>
            <w:r w:rsidRPr="007D1EEA">
              <w:rPr>
                <w:rFonts w:ascii="Palatino Linotype" w:eastAsia="Palatino Linotype" w:hAnsi="Palatino Linotype" w:cs="Palatino Linotype"/>
                <w:b/>
                <w:sz w:val="20"/>
                <w:szCs w:val="20"/>
              </w:rPr>
              <w:t xml:space="preserve">   02610/INFOEM/IP/RR/2024</w:t>
            </w:r>
          </w:p>
        </w:tc>
        <w:tc>
          <w:tcPr>
            <w:tcW w:w="5098" w:type="dxa"/>
          </w:tcPr>
          <w:p w14:paraId="25631BA4"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enviada al </w:t>
            </w:r>
            <w:proofErr w:type="spellStart"/>
            <w:r w:rsidRPr="007D1EEA">
              <w:rPr>
                <w:rFonts w:ascii="Palatino Linotype" w:eastAsia="Palatino Linotype" w:hAnsi="Palatino Linotype" w:cs="Palatino Linotype"/>
                <w:i/>
                <w:sz w:val="20"/>
                <w:szCs w:val="20"/>
              </w:rPr>
              <w:t>Osfem</w:t>
            </w:r>
            <w:proofErr w:type="spellEnd"/>
            <w:r w:rsidRPr="007D1EEA">
              <w:rPr>
                <w:rFonts w:ascii="Palatino Linotype" w:eastAsia="Palatino Linotype" w:hAnsi="Palatino Linotype" w:cs="Palatino Linotype"/>
                <w:i/>
                <w:sz w:val="20"/>
                <w:szCs w:val="20"/>
              </w:rPr>
              <w:t xml:space="preserve"> en mayo 2023” (Sic)</w:t>
            </w:r>
          </w:p>
        </w:tc>
      </w:tr>
      <w:tr w:rsidR="007D1EEA" w:rsidRPr="007D1EEA" w14:paraId="658E66F1" w14:textId="77777777">
        <w:tc>
          <w:tcPr>
            <w:tcW w:w="3823" w:type="dxa"/>
          </w:tcPr>
          <w:p w14:paraId="300A4D66"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lastRenderedPageBreak/>
              <w:t xml:space="preserve">00170/OASATIZARA/IP/2024, </w:t>
            </w:r>
            <w:r w:rsidRPr="007D1EEA">
              <w:rPr>
                <w:rFonts w:ascii="Palatino Linotype" w:eastAsia="Palatino Linotype" w:hAnsi="Palatino Linotype" w:cs="Palatino Linotype"/>
                <w:sz w:val="20"/>
                <w:szCs w:val="20"/>
              </w:rPr>
              <w:t xml:space="preserve">correspondiente al Recurso de </w:t>
            </w:r>
            <w:proofErr w:type="gramStart"/>
            <w:r w:rsidRPr="007D1EEA">
              <w:rPr>
                <w:rFonts w:ascii="Palatino Linotype" w:eastAsia="Palatino Linotype" w:hAnsi="Palatino Linotype" w:cs="Palatino Linotype"/>
                <w:sz w:val="20"/>
                <w:szCs w:val="20"/>
              </w:rPr>
              <w:t>Revisión</w:t>
            </w:r>
            <w:r w:rsidRPr="007D1EEA">
              <w:rPr>
                <w:rFonts w:ascii="Palatino Linotype" w:eastAsia="Palatino Linotype" w:hAnsi="Palatino Linotype" w:cs="Palatino Linotype"/>
                <w:b/>
                <w:sz w:val="20"/>
                <w:szCs w:val="20"/>
              </w:rPr>
              <w:t xml:space="preserve">  02611</w:t>
            </w:r>
            <w:proofErr w:type="gramEnd"/>
            <w:r w:rsidRPr="007D1EEA">
              <w:rPr>
                <w:rFonts w:ascii="Palatino Linotype" w:eastAsia="Palatino Linotype" w:hAnsi="Palatino Linotype" w:cs="Palatino Linotype"/>
                <w:b/>
                <w:sz w:val="20"/>
                <w:szCs w:val="20"/>
              </w:rPr>
              <w:t>/INFOEM/IP/RR/2024</w:t>
            </w:r>
          </w:p>
        </w:tc>
        <w:tc>
          <w:tcPr>
            <w:tcW w:w="5098" w:type="dxa"/>
          </w:tcPr>
          <w:p w14:paraId="16480FAF" w14:textId="77777777" w:rsidR="00023530" w:rsidRPr="007D1EEA" w:rsidRDefault="0013670A">
            <w:pPr>
              <w:spacing w:before="240" w:after="240"/>
              <w:jc w:val="center"/>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w:t>
            </w:r>
            <w:proofErr w:type="spellStart"/>
            <w:r w:rsidRPr="007D1EEA">
              <w:rPr>
                <w:rFonts w:ascii="Palatino Linotype" w:eastAsia="Palatino Linotype" w:hAnsi="Palatino Linotype" w:cs="Palatino Linotype"/>
                <w:i/>
                <w:sz w:val="20"/>
                <w:szCs w:val="20"/>
              </w:rPr>
              <w:t>Nòmina</w:t>
            </w:r>
            <w:proofErr w:type="spellEnd"/>
            <w:r w:rsidRPr="007D1EEA">
              <w:rPr>
                <w:rFonts w:ascii="Palatino Linotype" w:eastAsia="Palatino Linotype" w:hAnsi="Palatino Linotype" w:cs="Palatino Linotype"/>
                <w:i/>
                <w:sz w:val="20"/>
                <w:szCs w:val="20"/>
              </w:rPr>
              <w:t xml:space="preserve"> enviada al </w:t>
            </w:r>
            <w:proofErr w:type="spellStart"/>
            <w:r w:rsidRPr="007D1EEA">
              <w:rPr>
                <w:rFonts w:ascii="Palatino Linotype" w:eastAsia="Palatino Linotype" w:hAnsi="Palatino Linotype" w:cs="Palatino Linotype"/>
                <w:i/>
                <w:sz w:val="20"/>
                <w:szCs w:val="20"/>
              </w:rPr>
              <w:t>Osfem</w:t>
            </w:r>
            <w:proofErr w:type="spellEnd"/>
            <w:r w:rsidRPr="007D1EEA">
              <w:rPr>
                <w:rFonts w:ascii="Palatino Linotype" w:eastAsia="Palatino Linotype" w:hAnsi="Palatino Linotype" w:cs="Palatino Linotype"/>
                <w:i/>
                <w:sz w:val="20"/>
                <w:szCs w:val="20"/>
              </w:rPr>
              <w:t xml:space="preserve"> en mayo 2023” (Sic)</w:t>
            </w:r>
          </w:p>
        </w:tc>
      </w:tr>
    </w:tbl>
    <w:p w14:paraId="23101880"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Modalidad elegida para la entrega de la información: </w:t>
      </w:r>
      <w:r w:rsidRPr="007D1EEA">
        <w:rPr>
          <w:rFonts w:ascii="Palatino Linotype" w:eastAsia="Palatino Linotype" w:hAnsi="Palatino Linotype" w:cs="Palatino Linotype"/>
          <w:sz w:val="22"/>
          <w:szCs w:val="22"/>
        </w:rPr>
        <w:t xml:space="preserve">a través del </w:t>
      </w:r>
      <w:r w:rsidRPr="007D1EEA">
        <w:rPr>
          <w:rFonts w:ascii="Palatino Linotype" w:eastAsia="Palatino Linotype" w:hAnsi="Palatino Linotype" w:cs="Palatino Linotype"/>
          <w:b/>
          <w:sz w:val="22"/>
          <w:szCs w:val="22"/>
        </w:rPr>
        <w:t xml:space="preserve">SAIMEX </w:t>
      </w:r>
    </w:p>
    <w:p w14:paraId="3B889E06"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2. Prórrogas. </w:t>
      </w:r>
      <w:r w:rsidRPr="007D1EEA">
        <w:rPr>
          <w:rFonts w:ascii="Palatino Linotype" w:eastAsia="Palatino Linotype" w:hAnsi="Palatino Linotype" w:cs="Palatino Linotype"/>
          <w:sz w:val="22"/>
          <w:szCs w:val="22"/>
        </w:rPr>
        <w:t xml:space="preserve">El </w:t>
      </w:r>
      <w:r w:rsidRPr="007D1EEA">
        <w:rPr>
          <w:rFonts w:ascii="Palatino Linotype" w:eastAsia="Palatino Linotype" w:hAnsi="Palatino Linotype" w:cs="Palatino Linotype"/>
          <w:b/>
          <w:sz w:val="22"/>
          <w:szCs w:val="22"/>
        </w:rPr>
        <w:t xml:space="preserve">dieciocho de abril de dos mil veinticuatro, </w:t>
      </w:r>
      <w:r w:rsidRPr="007D1EEA">
        <w:rPr>
          <w:rFonts w:ascii="Palatino Linotype" w:eastAsia="Palatino Linotype" w:hAnsi="Palatino Linotype" w:cs="Palatino Linotype"/>
          <w:sz w:val="22"/>
          <w:szCs w:val="22"/>
        </w:rPr>
        <w:t>el</w:t>
      </w:r>
      <w:r w:rsidRPr="007D1EEA">
        <w:rPr>
          <w:rFonts w:ascii="Palatino Linotype" w:eastAsia="Palatino Linotype" w:hAnsi="Palatino Linotype" w:cs="Palatino Linotype"/>
          <w:b/>
          <w:sz w:val="22"/>
          <w:szCs w:val="22"/>
        </w:rPr>
        <w:t xml:space="preserve"> Sujeto Obligado </w:t>
      </w:r>
      <w:r w:rsidRPr="007D1EEA">
        <w:rPr>
          <w:rFonts w:ascii="Palatino Linotype" w:eastAsia="Palatino Linotype" w:hAnsi="Palatino Linotype" w:cs="Palatino Linotype"/>
          <w:sz w:val="22"/>
          <w:szCs w:val="22"/>
        </w:rPr>
        <w:t xml:space="preserve">notificó a la persona solicitante, las prórrogas para atender las solicitudes de información, medularmente en los siguientes términos: </w:t>
      </w:r>
    </w:p>
    <w:p w14:paraId="03231683"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4235A41"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Se aprueba prorroga</w:t>
      </w:r>
    </w:p>
    <w:p w14:paraId="0B4A7870"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C. EVA MARÍA JIMÉNEZ GARCÍA</w:t>
      </w:r>
    </w:p>
    <w:p w14:paraId="42FB1EA7" w14:textId="77777777" w:rsidR="00023530" w:rsidRPr="007D1EEA" w:rsidRDefault="0013670A">
      <w:pPr>
        <w:spacing w:before="240" w:after="240" w:line="276" w:lineRule="auto"/>
        <w:ind w:left="567"/>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Responsable de la Unidad de Transparencia”</w:t>
      </w:r>
    </w:p>
    <w:p w14:paraId="36D3CED3"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sz w:val="22"/>
          <w:szCs w:val="22"/>
        </w:rPr>
        <w:t>Es de precisar que en los recursos de revisión</w:t>
      </w:r>
      <w:r w:rsidRPr="007D1EEA">
        <w:rPr>
          <w:rFonts w:ascii="Palatino Linotype" w:eastAsia="Palatino Linotype" w:hAnsi="Palatino Linotype" w:cs="Palatino Linotype"/>
          <w:b/>
          <w:sz w:val="22"/>
          <w:szCs w:val="22"/>
        </w:rPr>
        <w:t xml:space="preserve"> 02575/INFOEM/IP/RR/2024, 02576/INFOEM/IP/RR/2024, 02604/INFOEM/IP/RR/2024,  02605/INFOEM/IP/RR/2024, 02606/INFOEM/IP/RR/2024, 02607/INFOEM/IP/RR/2024, 02608/INFOEM/IP/RR/2024, 02609/INFOEM/IP/RR/2024, 02610/INFOEM/IP/RR/2024 y 02611/INFOEM/IP/RR/2024 </w:t>
      </w:r>
      <w:r w:rsidRPr="007D1EEA">
        <w:rPr>
          <w:rFonts w:ascii="Palatino Linotype" w:eastAsia="Palatino Linotype" w:hAnsi="Palatino Linotype" w:cs="Palatino Linotype"/>
          <w:sz w:val="22"/>
          <w:szCs w:val="22"/>
        </w:rPr>
        <w:t xml:space="preserve">adjuntó el documento denominado </w:t>
      </w:r>
      <w:r w:rsidRPr="007D1EEA">
        <w:rPr>
          <w:rFonts w:ascii="Palatino Linotype" w:eastAsia="Palatino Linotype" w:hAnsi="Palatino Linotype" w:cs="Palatino Linotype"/>
          <w:b/>
          <w:sz w:val="22"/>
          <w:szCs w:val="22"/>
        </w:rPr>
        <w:t>“</w:t>
      </w:r>
      <w:r w:rsidRPr="007D1EEA">
        <w:rPr>
          <w:rFonts w:ascii="Palatino Linotype" w:eastAsia="Palatino Linotype" w:hAnsi="Palatino Linotype" w:cs="Palatino Linotype"/>
          <w:b/>
          <w:i/>
          <w:sz w:val="22"/>
          <w:szCs w:val="22"/>
        </w:rPr>
        <w:t xml:space="preserve">46 EXT.pdf” </w:t>
      </w:r>
      <w:r w:rsidRPr="007D1EEA">
        <w:rPr>
          <w:rFonts w:ascii="Palatino Linotype" w:eastAsia="Palatino Linotype" w:hAnsi="Palatino Linotype" w:cs="Palatino Linotype"/>
          <w:sz w:val="22"/>
          <w:szCs w:val="22"/>
        </w:rPr>
        <w:t xml:space="preserve">y consiste en un documento de veintiún </w:t>
      </w:r>
      <w:r w:rsidRPr="007D1EEA">
        <w:rPr>
          <w:rFonts w:ascii="Palatino Linotype" w:eastAsia="Palatino Linotype" w:hAnsi="Palatino Linotype" w:cs="Palatino Linotype"/>
          <w:sz w:val="22"/>
          <w:szCs w:val="22"/>
        </w:rPr>
        <w:lastRenderedPageBreak/>
        <w:t>fojas, en el cual obra el Acta de la Cuadragésima Sexta Sesión Extraordinaria del Comité de Transparencia del Organismo de Atizapán de Zaragoza SAPASA, la cual se celebró el 17 de abril de 2024, mediante el cual se aprueba la ampliación de plazo para atender las solicitudes de información.</w:t>
      </w:r>
    </w:p>
    <w:p w14:paraId="76B24C8A"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Mientras que en los recursos de revisión </w:t>
      </w:r>
      <w:r w:rsidRPr="007D1EEA">
        <w:rPr>
          <w:rFonts w:ascii="Palatino Linotype" w:eastAsia="Palatino Linotype" w:hAnsi="Palatino Linotype" w:cs="Palatino Linotype"/>
          <w:b/>
          <w:sz w:val="22"/>
          <w:szCs w:val="22"/>
        </w:rPr>
        <w:t>02581/INFOEM/IP/RR/2024</w:t>
      </w:r>
      <w:r w:rsidRPr="007D1EEA">
        <w:rPr>
          <w:rFonts w:ascii="Palatino Linotype" w:eastAsia="Palatino Linotype" w:hAnsi="Palatino Linotype" w:cs="Palatino Linotype"/>
          <w:sz w:val="22"/>
          <w:szCs w:val="22"/>
        </w:rPr>
        <w:t>, adjuntó el documento denominado “</w:t>
      </w:r>
      <w:r w:rsidRPr="007D1EEA">
        <w:rPr>
          <w:rFonts w:ascii="Palatino Linotype" w:eastAsia="Palatino Linotype" w:hAnsi="Palatino Linotype" w:cs="Palatino Linotype"/>
          <w:b/>
          <w:i/>
          <w:sz w:val="22"/>
          <w:szCs w:val="22"/>
        </w:rPr>
        <w:t xml:space="preserve">44 ext.pdf”, </w:t>
      </w:r>
      <w:r w:rsidRPr="007D1EEA">
        <w:rPr>
          <w:rFonts w:ascii="Palatino Linotype" w:eastAsia="Palatino Linotype" w:hAnsi="Palatino Linotype" w:cs="Palatino Linotype"/>
          <w:sz w:val="22"/>
          <w:szCs w:val="22"/>
        </w:rPr>
        <w:t>que se compone de cinco fojas y corresponde al acta de la Cuadragésima Cuarta Sesión Extraordinaria del Comité de Transparencia del Organismo de Atizapán de Zaragoza SAPASA, mediante el cual se aprueba la ampliación de plazo para atender la solicitud de información.</w:t>
      </w:r>
    </w:p>
    <w:p w14:paraId="312F4CCF"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Es de precisar </w:t>
      </w:r>
      <w:proofErr w:type="gramStart"/>
      <w:r w:rsidRPr="007D1EEA">
        <w:rPr>
          <w:rFonts w:ascii="Palatino Linotype" w:eastAsia="Palatino Linotype" w:hAnsi="Palatino Linotype" w:cs="Palatino Linotype"/>
          <w:sz w:val="22"/>
          <w:szCs w:val="22"/>
        </w:rPr>
        <w:t>que</w:t>
      </w:r>
      <w:proofErr w:type="gramEnd"/>
      <w:r w:rsidRPr="007D1EEA">
        <w:rPr>
          <w:rFonts w:ascii="Palatino Linotype" w:eastAsia="Palatino Linotype" w:hAnsi="Palatino Linotype" w:cs="Palatino Linotype"/>
          <w:sz w:val="22"/>
          <w:szCs w:val="22"/>
        </w:rPr>
        <w:t xml:space="preserve"> del análisis a esta ampliación de plazo, se tiene que </w:t>
      </w:r>
      <w:r w:rsidRPr="007D1EEA">
        <w:rPr>
          <w:rFonts w:ascii="Palatino Linotype" w:eastAsia="Palatino Linotype" w:hAnsi="Palatino Linotype" w:cs="Palatino Linotype"/>
          <w:b/>
          <w:sz w:val="22"/>
          <w:szCs w:val="22"/>
        </w:rPr>
        <w:t>parcialmente se efectuó</w:t>
      </w:r>
      <w:r w:rsidRPr="007D1EEA">
        <w:rPr>
          <w:rFonts w:ascii="Palatino Linotype" w:eastAsia="Palatino Linotype" w:hAnsi="Palatino Linotype" w:cs="Palatino Linotype"/>
          <w:sz w:val="22"/>
          <w:szCs w:val="22"/>
        </w:rPr>
        <w:t xml:space="preserve"> dentro de los parámetros establecidos por el segundo párrafo del artículo 163 de la Ley de Transparencia Local, pues en el recurso de revisión </w:t>
      </w:r>
      <w:r w:rsidRPr="007D1EEA">
        <w:rPr>
          <w:rFonts w:ascii="Palatino Linotype" w:eastAsia="Palatino Linotype" w:hAnsi="Palatino Linotype" w:cs="Palatino Linotype"/>
          <w:b/>
          <w:sz w:val="22"/>
          <w:szCs w:val="22"/>
        </w:rPr>
        <w:t xml:space="preserve">02574/INFOEM/IP/RR/2024, </w:t>
      </w:r>
      <w:r w:rsidRPr="007D1EEA">
        <w:rPr>
          <w:rFonts w:ascii="Palatino Linotype" w:eastAsia="Palatino Linotype" w:hAnsi="Palatino Linotype" w:cs="Palatino Linotype"/>
          <w:sz w:val="22"/>
          <w:szCs w:val="22"/>
        </w:rPr>
        <w:t>notificó la prórroga sin acuerdo de Comité de Transparencia, por lo tanto, se insta al</w:t>
      </w:r>
      <w:r w:rsidRPr="007D1EEA">
        <w:rPr>
          <w:rFonts w:ascii="Palatino Linotype" w:eastAsia="Palatino Linotype" w:hAnsi="Palatino Linotype" w:cs="Palatino Linotype"/>
          <w:b/>
          <w:sz w:val="22"/>
          <w:szCs w:val="22"/>
        </w:rPr>
        <w:t xml:space="preserve"> Sujeto Obligado </w:t>
      </w:r>
      <w:r w:rsidRPr="007D1EEA">
        <w:rPr>
          <w:rFonts w:ascii="Palatino Linotype" w:eastAsia="Palatino Linotype" w:hAnsi="Palatino Linotype" w:cs="Palatino Linotype"/>
          <w:sz w:val="22"/>
          <w:szCs w:val="22"/>
        </w:rPr>
        <w:t>para que en ocasiones subsecuentes atienda las formalidades dispuestas por la norma.</w:t>
      </w:r>
    </w:p>
    <w:p w14:paraId="7EA272A5"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 xml:space="preserve">3. Respuestas. </w:t>
      </w:r>
      <w:r w:rsidRPr="007D1EEA">
        <w:rPr>
          <w:rFonts w:ascii="Palatino Linotype" w:eastAsia="Palatino Linotype" w:hAnsi="Palatino Linotype" w:cs="Palatino Linotype"/>
          <w:sz w:val="22"/>
          <w:szCs w:val="22"/>
        </w:rPr>
        <w:t xml:space="preserve"> Los días </w:t>
      </w:r>
      <w:r w:rsidRPr="007D1EEA">
        <w:rPr>
          <w:rFonts w:ascii="Palatino Linotype" w:eastAsia="Palatino Linotype" w:hAnsi="Palatino Linotype" w:cs="Palatino Linotype"/>
          <w:b/>
          <w:sz w:val="22"/>
          <w:szCs w:val="22"/>
        </w:rPr>
        <w:t>veinticinco y</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treinta de abril de dos mil veinticuatro</w:t>
      </w:r>
      <w:r w:rsidRPr="007D1EEA">
        <w:rPr>
          <w:rFonts w:ascii="Palatino Linotype" w:eastAsia="Palatino Linotype" w:hAnsi="Palatino Linotype" w:cs="Palatino Linotype"/>
          <w:sz w:val="22"/>
          <w:szCs w:val="22"/>
        </w:rPr>
        <w:t xml:space="preserve">,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notificó a </w:t>
      </w:r>
      <w:r w:rsidRPr="007D1EEA">
        <w:rPr>
          <w:rFonts w:ascii="Palatino Linotype" w:eastAsia="Palatino Linotype" w:hAnsi="Palatino Linotype" w:cs="Palatino Linotype"/>
          <w:b/>
          <w:sz w:val="22"/>
          <w:szCs w:val="22"/>
        </w:rPr>
        <w:t>la parte</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Recurrente</w:t>
      </w:r>
      <w:r w:rsidRPr="007D1EEA">
        <w:rPr>
          <w:rFonts w:ascii="Palatino Linotype" w:eastAsia="Palatino Linotype" w:hAnsi="Palatino Linotype" w:cs="Palatino Linotype"/>
          <w:sz w:val="22"/>
          <w:szCs w:val="22"/>
        </w:rPr>
        <w:t xml:space="preserve">, en la totalidad de los expedientes, las respuestas a sus solicitudes de información, en los términos siguientes: </w:t>
      </w:r>
    </w:p>
    <w:tbl>
      <w:tblPr>
        <w:tblStyle w:val="a0"/>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7D1EEA" w:rsidRPr="007D1EEA" w14:paraId="2F545C16" w14:textId="77777777">
        <w:tc>
          <w:tcPr>
            <w:tcW w:w="3823" w:type="dxa"/>
            <w:shd w:val="clear" w:color="auto" w:fill="D7E3BC"/>
          </w:tcPr>
          <w:p w14:paraId="39150ECA" w14:textId="77777777" w:rsidR="00023530" w:rsidRPr="007D1EEA" w:rsidRDefault="0013670A">
            <w:pPr>
              <w:spacing w:before="240" w:after="240"/>
              <w:jc w:val="center"/>
              <w:rPr>
                <w:rFonts w:ascii="Palatino Linotype" w:eastAsia="Palatino Linotype" w:hAnsi="Palatino Linotype" w:cs="Palatino Linotype"/>
                <w:b/>
              </w:rPr>
            </w:pPr>
            <w:r w:rsidRPr="007D1EEA">
              <w:rPr>
                <w:rFonts w:ascii="Palatino Linotype" w:eastAsia="Palatino Linotype" w:hAnsi="Palatino Linotype" w:cs="Palatino Linotype"/>
                <w:b/>
                <w:sz w:val="20"/>
                <w:szCs w:val="20"/>
              </w:rPr>
              <w:lastRenderedPageBreak/>
              <w:t>Número de recurso de revisión y solicitud</w:t>
            </w:r>
          </w:p>
        </w:tc>
        <w:tc>
          <w:tcPr>
            <w:tcW w:w="5098" w:type="dxa"/>
            <w:shd w:val="clear" w:color="auto" w:fill="D7E3BC"/>
          </w:tcPr>
          <w:p w14:paraId="77E535F8" w14:textId="77777777" w:rsidR="00023530" w:rsidRPr="007D1EEA" w:rsidRDefault="0013670A">
            <w:pPr>
              <w:spacing w:before="240" w:after="240" w:line="360" w:lineRule="auto"/>
              <w:jc w:val="center"/>
              <w:rPr>
                <w:rFonts w:ascii="Palatino Linotype" w:eastAsia="Palatino Linotype" w:hAnsi="Palatino Linotype" w:cs="Palatino Linotype"/>
                <w:b/>
              </w:rPr>
            </w:pPr>
            <w:r w:rsidRPr="007D1EEA">
              <w:rPr>
                <w:rFonts w:ascii="Palatino Linotype" w:eastAsia="Palatino Linotype" w:hAnsi="Palatino Linotype" w:cs="Palatino Linotype"/>
                <w:b/>
                <w:sz w:val="20"/>
                <w:szCs w:val="20"/>
              </w:rPr>
              <w:t>Descripción de las respuestas</w:t>
            </w:r>
          </w:p>
        </w:tc>
      </w:tr>
      <w:tr w:rsidR="007D1EEA" w:rsidRPr="007D1EEA" w14:paraId="1C6C2644" w14:textId="77777777">
        <w:tc>
          <w:tcPr>
            <w:tcW w:w="3823" w:type="dxa"/>
          </w:tcPr>
          <w:p w14:paraId="525D8E89"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 xml:space="preserve">00179/OASATIZARA/IP/2024,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02574/INFOEM/IP/RR/2024</w:t>
            </w:r>
          </w:p>
        </w:tc>
        <w:tc>
          <w:tcPr>
            <w:tcW w:w="5098" w:type="dxa"/>
          </w:tcPr>
          <w:p w14:paraId="6A31EFBD"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18C71AED"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w:t>
            </w:r>
            <w:r w:rsidRPr="007D1EEA">
              <w:rPr>
                <w:rFonts w:ascii="Palatino Linotype" w:eastAsia="Palatino Linotype" w:hAnsi="Palatino Linotype" w:cs="Palatino Linotype"/>
                <w:b/>
                <w:i/>
                <w:sz w:val="18"/>
                <w:szCs w:val="18"/>
              </w:rPr>
              <w:t xml:space="preserve">MANDOS MEDIOS 2024.pdf”: </w:t>
            </w:r>
            <w:r w:rsidRPr="007D1EEA">
              <w:rPr>
                <w:rFonts w:ascii="Palatino Linotype" w:eastAsia="Palatino Linotype" w:hAnsi="Palatino Linotype" w:cs="Palatino Linotype"/>
                <w:sz w:val="18"/>
                <w:szCs w:val="18"/>
              </w:rPr>
              <w:t>Documento que se compone de 311 fojas y en él se aprecian los recibos de nómina generados de la primera quincena de enero de 2024 al 22 de marzo de 2024.</w:t>
            </w:r>
          </w:p>
          <w:p w14:paraId="2960B3D7"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“00179 SAIMEX-1.pdf”: </w:t>
            </w:r>
            <w:r w:rsidRPr="007D1EEA">
              <w:rPr>
                <w:rFonts w:ascii="Palatino Linotype" w:eastAsia="Palatino Linotype" w:hAnsi="Palatino Linotype" w:cs="Palatino Linotype"/>
                <w:sz w:val="18"/>
                <w:szCs w:val="18"/>
              </w:rPr>
              <w:t xml:space="preserve">Documento de dos fojas en el que se aprecian los siguientes documentos: </w:t>
            </w:r>
          </w:p>
          <w:p w14:paraId="7DE00C5A"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suscrito por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por el cual señala que remite la información emitida por el Departamento de Capital Humano.</w:t>
            </w:r>
          </w:p>
          <w:p w14:paraId="1746E351"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signado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Depto. De Capital Humano, por el cual refiere que hace entrega de los recibos de nómina del mes de enero a la fecha de 2024 en versión pública, solicitando asimismo que esta información sea sometida al Comité de Transparencia para versión pública.</w:t>
            </w:r>
          </w:p>
          <w:p w14:paraId="158B4F41"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los recibos de nómina solicitados.</w:t>
            </w:r>
          </w:p>
        </w:tc>
      </w:tr>
      <w:tr w:rsidR="007D1EEA" w:rsidRPr="007D1EEA" w14:paraId="2405E707" w14:textId="77777777">
        <w:tc>
          <w:tcPr>
            <w:tcW w:w="3823" w:type="dxa"/>
          </w:tcPr>
          <w:p w14:paraId="7C04B446" w14:textId="77777777" w:rsidR="00023530" w:rsidRPr="007D1EEA" w:rsidRDefault="0013670A">
            <w:pPr>
              <w:spacing w:before="240" w:after="240"/>
              <w:jc w:val="center"/>
              <w:rPr>
                <w:rFonts w:ascii="Palatino Linotype" w:eastAsia="Palatino Linotype" w:hAnsi="Palatino Linotype" w:cs="Palatino Linotype"/>
                <w:b/>
              </w:rPr>
            </w:pPr>
            <w:r w:rsidRPr="007D1EEA">
              <w:rPr>
                <w:rFonts w:ascii="Palatino Linotype" w:eastAsia="Palatino Linotype" w:hAnsi="Palatino Linotype" w:cs="Palatino Linotype"/>
                <w:b/>
                <w:sz w:val="18"/>
                <w:szCs w:val="18"/>
              </w:rPr>
              <w:t xml:space="preserve">00178/OASATIZARA/IP/2024,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02575/INFOEM/IP/RR/2024</w:t>
            </w:r>
          </w:p>
        </w:tc>
        <w:tc>
          <w:tcPr>
            <w:tcW w:w="5098" w:type="dxa"/>
          </w:tcPr>
          <w:p w14:paraId="5B84DCC3"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1315FDEF"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“00178 SAIMEX-1.pdf”: </w:t>
            </w:r>
            <w:r w:rsidRPr="007D1EEA">
              <w:rPr>
                <w:rFonts w:ascii="Palatino Linotype" w:eastAsia="Palatino Linotype" w:hAnsi="Palatino Linotype" w:cs="Palatino Linotype"/>
                <w:sz w:val="18"/>
                <w:szCs w:val="18"/>
              </w:rPr>
              <w:t xml:space="preserve">Documento de dos fojas, en el que se aprecia lo siguiente: </w:t>
            </w:r>
          </w:p>
          <w:p w14:paraId="4DBB6C2D"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w:t>
            </w:r>
            <w:r w:rsidRPr="007D1EEA">
              <w:rPr>
                <w:rFonts w:ascii="Palatino Linotype" w:eastAsia="Palatino Linotype" w:hAnsi="Palatino Linotype" w:cs="Palatino Linotype"/>
                <w:sz w:val="18"/>
                <w:szCs w:val="18"/>
              </w:rPr>
              <w:lastRenderedPageBreak/>
              <w:t xml:space="preserve">remite la información proporcionada por el Departamento de Capital Humano. </w:t>
            </w:r>
          </w:p>
          <w:p w14:paraId="2A31D696"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los recibos de nómina del mes de junio de 2023 en versión pública, solicitando que esta información sea sometida al Comité de Transparencia para versión pública. </w:t>
            </w:r>
          </w:p>
          <w:p w14:paraId="550202F8"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spellStart"/>
            <w:r w:rsidRPr="007D1EEA">
              <w:rPr>
                <w:rFonts w:ascii="Palatino Linotype" w:eastAsia="Palatino Linotype" w:hAnsi="Palatino Linotype" w:cs="Palatino Linotype"/>
                <w:b/>
                <w:i/>
                <w:sz w:val="18"/>
                <w:szCs w:val="18"/>
              </w:rPr>
              <w:t>Untitled.rar</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Carpeta comprimida que contiene 1839 recibos de nómina.</w:t>
            </w:r>
          </w:p>
          <w:p w14:paraId="4938D310"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los recibos de nómina solicitados.</w:t>
            </w:r>
          </w:p>
        </w:tc>
      </w:tr>
      <w:tr w:rsidR="007D1EEA" w:rsidRPr="007D1EEA" w14:paraId="79DE0FCE" w14:textId="77777777">
        <w:tc>
          <w:tcPr>
            <w:tcW w:w="3823" w:type="dxa"/>
          </w:tcPr>
          <w:p w14:paraId="117CC5B2" w14:textId="77777777" w:rsidR="00023530" w:rsidRPr="007D1EEA" w:rsidRDefault="0013670A">
            <w:pPr>
              <w:spacing w:before="240" w:after="240"/>
              <w:jc w:val="center"/>
              <w:rPr>
                <w:rFonts w:ascii="Palatino Linotype" w:eastAsia="Palatino Linotype" w:hAnsi="Palatino Linotype" w:cs="Palatino Linotype"/>
                <w:sz w:val="20"/>
                <w:szCs w:val="20"/>
              </w:rPr>
            </w:pPr>
            <w:r w:rsidRPr="007D1EEA">
              <w:rPr>
                <w:rFonts w:ascii="Palatino Linotype" w:eastAsia="Palatino Linotype" w:hAnsi="Palatino Linotype" w:cs="Palatino Linotype"/>
                <w:b/>
                <w:sz w:val="18"/>
                <w:szCs w:val="18"/>
              </w:rPr>
              <w:lastRenderedPageBreak/>
              <w:t xml:space="preserve">00177/OASATIZARA/IP/2024,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02576/INFOEM/IP/RR/2024</w:t>
            </w:r>
          </w:p>
        </w:tc>
        <w:tc>
          <w:tcPr>
            <w:tcW w:w="5098" w:type="dxa"/>
          </w:tcPr>
          <w:p w14:paraId="7AB90272"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269FC5E1"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“00177 SAIMEX-1.pdf”: </w:t>
            </w:r>
            <w:r w:rsidRPr="007D1EEA">
              <w:rPr>
                <w:rFonts w:ascii="Palatino Linotype" w:eastAsia="Palatino Linotype" w:hAnsi="Palatino Linotype" w:cs="Palatino Linotype"/>
                <w:sz w:val="18"/>
                <w:szCs w:val="18"/>
              </w:rPr>
              <w:t xml:space="preserve">Documento de dos fojas, en el que se aprecia lo siguiente: </w:t>
            </w:r>
          </w:p>
          <w:p w14:paraId="5A7702F5"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remite la información proporcionada por el Departamento de Capital Humano. </w:t>
            </w:r>
          </w:p>
          <w:p w14:paraId="22B95004"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los recibos de nómina del mes de mayo de 2023 en versión pública, solicitando que esta información sea sometida al Comité de Transparencia para versión pública. </w:t>
            </w:r>
          </w:p>
          <w:p w14:paraId="3A3F6938"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spellStart"/>
            <w:r w:rsidRPr="007D1EEA">
              <w:rPr>
                <w:rFonts w:ascii="Palatino Linotype" w:eastAsia="Palatino Linotype" w:hAnsi="Palatino Linotype" w:cs="Palatino Linotype"/>
                <w:b/>
                <w:i/>
                <w:sz w:val="18"/>
                <w:szCs w:val="18"/>
              </w:rPr>
              <w:t>Untitled.rar</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Carpeta comprimida que contiene 1841 recibos de nómina.</w:t>
            </w:r>
          </w:p>
          <w:p w14:paraId="2DB452ED" w14:textId="77777777" w:rsidR="00023530" w:rsidRPr="007D1EEA" w:rsidRDefault="0013670A">
            <w:pPr>
              <w:spacing w:before="240" w:after="240"/>
              <w:jc w:val="both"/>
              <w:rPr>
                <w:rFonts w:ascii="Palatino Linotype" w:eastAsia="Palatino Linotype" w:hAnsi="Palatino Linotype" w:cs="Palatino Linotype"/>
                <w:sz w:val="20"/>
                <w:szCs w:val="20"/>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 xml:space="preserve">Acta de la Cuadragésima Novena Sesión Extraordinaria del Comité de Transparencia del Organismo </w:t>
            </w:r>
            <w:r w:rsidRPr="007D1EEA">
              <w:rPr>
                <w:rFonts w:ascii="Palatino Linotype" w:eastAsia="Palatino Linotype" w:hAnsi="Palatino Linotype" w:cs="Palatino Linotype"/>
                <w:sz w:val="18"/>
                <w:szCs w:val="18"/>
              </w:rPr>
              <w:lastRenderedPageBreak/>
              <w:t>de Atizapán de Zaragoza, por la cual se aprueba la versión pública de los recibos de nómina solicitados.</w:t>
            </w:r>
          </w:p>
        </w:tc>
      </w:tr>
      <w:tr w:rsidR="007D1EEA" w:rsidRPr="007D1EEA" w14:paraId="520B5776" w14:textId="77777777">
        <w:tc>
          <w:tcPr>
            <w:tcW w:w="3823" w:type="dxa"/>
          </w:tcPr>
          <w:p w14:paraId="57115D80" w14:textId="77777777" w:rsidR="00023530" w:rsidRPr="007D1EEA" w:rsidRDefault="0013670A">
            <w:pPr>
              <w:spacing w:before="240" w:after="240"/>
              <w:jc w:val="center"/>
              <w:rPr>
                <w:rFonts w:ascii="Palatino Linotype" w:eastAsia="Palatino Linotype" w:hAnsi="Palatino Linotype" w:cs="Palatino Linotype"/>
                <w:sz w:val="20"/>
                <w:szCs w:val="20"/>
              </w:rPr>
            </w:pPr>
            <w:r w:rsidRPr="007D1EEA">
              <w:rPr>
                <w:rFonts w:ascii="Palatino Linotype" w:eastAsia="Palatino Linotype" w:hAnsi="Palatino Linotype" w:cs="Palatino Linotype"/>
                <w:b/>
                <w:sz w:val="18"/>
                <w:szCs w:val="18"/>
              </w:rPr>
              <w:lastRenderedPageBreak/>
              <w:t xml:space="preserve">00148/OASATIZARA/IP/2024,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02581/INFOEM/IP/RR/2024</w:t>
            </w:r>
          </w:p>
        </w:tc>
        <w:tc>
          <w:tcPr>
            <w:tcW w:w="5098" w:type="dxa"/>
          </w:tcPr>
          <w:p w14:paraId="503CE784"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4B8AA1FF"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“00148 SAIMEX.pdf”: </w:t>
            </w:r>
            <w:r w:rsidRPr="007D1EEA">
              <w:rPr>
                <w:rFonts w:ascii="Palatino Linotype" w:eastAsia="Palatino Linotype" w:hAnsi="Palatino Linotype" w:cs="Palatino Linotype"/>
                <w:sz w:val="18"/>
                <w:szCs w:val="18"/>
              </w:rPr>
              <w:t xml:space="preserve">Documento de dos fojas, en el que se aprecia lo siguiente: </w:t>
            </w:r>
          </w:p>
          <w:p w14:paraId="207594D2"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remite la información proporcionada por el Departamento de Capital Humano. </w:t>
            </w:r>
          </w:p>
          <w:p w14:paraId="59DB0651"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la información solicitada, solicitando que esta información sea sometida al Comité de Transparencia para versión pública. </w:t>
            </w:r>
          </w:p>
          <w:p w14:paraId="428E3CF3"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“NOMINASMARZ_</w:t>
            </w:r>
            <w:proofErr w:type="gramStart"/>
            <w:r w:rsidRPr="007D1EEA">
              <w:rPr>
                <w:rFonts w:ascii="Palatino Linotype" w:eastAsia="Palatino Linotype" w:hAnsi="Palatino Linotype" w:cs="Palatino Linotype"/>
                <w:b/>
                <w:i/>
                <w:sz w:val="18"/>
                <w:szCs w:val="18"/>
              </w:rPr>
              <w:t>2024..</w:t>
            </w:r>
            <w:proofErr w:type="gramEnd"/>
            <w:r w:rsidRPr="007D1EEA">
              <w:rPr>
                <w:rFonts w:ascii="Palatino Linotype" w:eastAsia="Palatino Linotype" w:hAnsi="Palatino Linotype" w:cs="Palatino Linotype"/>
                <w:b/>
                <w:i/>
                <w:sz w:val="18"/>
                <w:szCs w:val="18"/>
              </w:rPr>
              <w:t xml:space="preserve">pdf”: </w:t>
            </w:r>
            <w:r w:rsidRPr="007D1EEA">
              <w:rPr>
                <w:rFonts w:ascii="Palatino Linotype" w:eastAsia="Palatino Linotype" w:hAnsi="Palatino Linotype" w:cs="Palatino Linotype"/>
                <w:sz w:val="18"/>
                <w:szCs w:val="18"/>
              </w:rPr>
              <w:t>Documento que se compone de veintiséis fojas y consiste en la nómina de la primera quincena de marzo 2024.</w:t>
            </w:r>
          </w:p>
          <w:p w14:paraId="65C502DA"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“48 </w:t>
            </w:r>
            <w:proofErr w:type="spellStart"/>
            <w:r w:rsidRPr="007D1EEA">
              <w:rPr>
                <w:rFonts w:ascii="Palatino Linotype" w:eastAsia="Palatino Linotype" w:hAnsi="Palatino Linotype" w:cs="Palatino Linotype"/>
                <w:b/>
                <w:i/>
                <w:sz w:val="18"/>
                <w:szCs w:val="18"/>
              </w:rPr>
              <w:t>ext</w:t>
            </w:r>
            <w:proofErr w:type="spellEnd"/>
            <w:r w:rsidRPr="007D1EEA">
              <w:rPr>
                <w:rFonts w:ascii="Palatino Linotype" w:eastAsia="Palatino Linotype" w:hAnsi="Palatino Linotype" w:cs="Palatino Linotype"/>
                <w:b/>
                <w:i/>
                <w:sz w:val="18"/>
                <w:szCs w:val="18"/>
              </w:rPr>
              <w:t xml:space="preserve"> 2024.pdf”: </w:t>
            </w:r>
            <w:r w:rsidRPr="007D1EEA">
              <w:rPr>
                <w:rFonts w:ascii="Palatino Linotype" w:eastAsia="Palatino Linotype" w:hAnsi="Palatino Linotype" w:cs="Palatino Linotype"/>
                <w:sz w:val="18"/>
                <w:szCs w:val="18"/>
              </w:rPr>
              <w:t>Acta de la Cuadragésima Octava Sesión Extraordinaria del Comité de Transparencia del Organismo de Atizapán de Zaragoza, por la cual se aprueba la versión pública de la nómina solicitada.</w:t>
            </w:r>
          </w:p>
        </w:tc>
      </w:tr>
      <w:tr w:rsidR="007D1EEA" w:rsidRPr="007D1EEA" w14:paraId="0BBAA32E" w14:textId="77777777">
        <w:tc>
          <w:tcPr>
            <w:tcW w:w="3823" w:type="dxa"/>
          </w:tcPr>
          <w:p w14:paraId="182723C9"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 xml:space="preserve">00175/OASATIZARA/IP/2024,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02604/INFOEM/IP/RR/2024</w:t>
            </w:r>
          </w:p>
        </w:tc>
        <w:tc>
          <w:tcPr>
            <w:tcW w:w="5098" w:type="dxa"/>
          </w:tcPr>
          <w:p w14:paraId="3094884C"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4D3DA0E1"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spellStart"/>
            <w:r w:rsidRPr="007D1EEA">
              <w:rPr>
                <w:rFonts w:ascii="Palatino Linotype" w:eastAsia="Palatino Linotype" w:hAnsi="Palatino Linotype" w:cs="Palatino Linotype"/>
                <w:b/>
                <w:i/>
                <w:sz w:val="18"/>
                <w:szCs w:val="18"/>
              </w:rPr>
              <w:t>Untitled.rar</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Carpeta comprimida que contiene 1846 recibos de nómina.</w:t>
            </w:r>
          </w:p>
          <w:p w14:paraId="5051A656"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“00175 SAIMEX-1.pdf”: </w:t>
            </w:r>
            <w:r w:rsidRPr="007D1EEA">
              <w:rPr>
                <w:rFonts w:ascii="Palatino Linotype" w:eastAsia="Palatino Linotype" w:hAnsi="Palatino Linotype" w:cs="Palatino Linotype"/>
                <w:sz w:val="18"/>
                <w:szCs w:val="18"/>
              </w:rPr>
              <w:t xml:space="preserve">Documento de dos fojas, en el que se aprecia lo siguiente: </w:t>
            </w:r>
          </w:p>
          <w:p w14:paraId="67671FD6"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w:t>
            </w:r>
            <w:r w:rsidRPr="007D1EEA">
              <w:rPr>
                <w:rFonts w:ascii="Palatino Linotype" w:eastAsia="Palatino Linotype" w:hAnsi="Palatino Linotype" w:cs="Palatino Linotype"/>
                <w:sz w:val="18"/>
                <w:szCs w:val="18"/>
              </w:rPr>
              <w:lastRenderedPageBreak/>
              <w:t xml:space="preserve">remite la información proporcionada por el Departamento de Capital Humano. </w:t>
            </w:r>
          </w:p>
          <w:p w14:paraId="7A3D3279"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los recibos de nómina del mes de abril de 2023 en versión pública, solicitando que esta información sea sometida al Comité de Transparencia para versión pública. </w:t>
            </w:r>
          </w:p>
          <w:p w14:paraId="18C65514" w14:textId="77777777" w:rsidR="00023530" w:rsidRPr="007D1EEA" w:rsidRDefault="0013670A">
            <w:pPr>
              <w:spacing w:before="240" w:after="240"/>
              <w:jc w:val="both"/>
              <w:rPr>
                <w:rFonts w:ascii="Palatino Linotype" w:eastAsia="Palatino Linotype" w:hAnsi="Palatino Linotype" w:cs="Palatino Linotype"/>
                <w:b/>
                <w:i/>
                <w:sz w:val="18"/>
                <w:szCs w:val="18"/>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los recibos de nómina solicitados.</w:t>
            </w:r>
          </w:p>
        </w:tc>
      </w:tr>
      <w:tr w:rsidR="007D1EEA" w:rsidRPr="007D1EEA" w14:paraId="34D8E945" w14:textId="77777777">
        <w:tc>
          <w:tcPr>
            <w:tcW w:w="3823" w:type="dxa"/>
          </w:tcPr>
          <w:p w14:paraId="1212D70F" w14:textId="77777777" w:rsidR="00023530" w:rsidRPr="007D1EEA" w:rsidRDefault="0013670A">
            <w:pPr>
              <w:spacing w:before="240" w:after="240"/>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lastRenderedPageBreak/>
              <w:t xml:space="preserve">00172/OASATIZARA/IP/2024, </w:t>
            </w:r>
            <w:r w:rsidRPr="007D1EEA">
              <w:rPr>
                <w:rFonts w:ascii="Palatino Linotype" w:eastAsia="Palatino Linotype" w:hAnsi="Palatino Linotype" w:cs="Palatino Linotype"/>
                <w:sz w:val="18"/>
                <w:szCs w:val="18"/>
              </w:rPr>
              <w:t xml:space="preserve">correspondiente al Recurso de </w:t>
            </w:r>
            <w:proofErr w:type="gramStart"/>
            <w:r w:rsidRPr="007D1EEA">
              <w:rPr>
                <w:rFonts w:ascii="Palatino Linotype" w:eastAsia="Palatino Linotype" w:hAnsi="Palatino Linotype" w:cs="Palatino Linotype"/>
                <w:sz w:val="18"/>
                <w:szCs w:val="18"/>
              </w:rPr>
              <w:t>Revisión</w:t>
            </w:r>
            <w:r w:rsidRPr="007D1EEA">
              <w:rPr>
                <w:rFonts w:ascii="Palatino Linotype" w:eastAsia="Palatino Linotype" w:hAnsi="Palatino Linotype" w:cs="Palatino Linotype"/>
                <w:b/>
                <w:sz w:val="18"/>
                <w:szCs w:val="18"/>
              </w:rPr>
              <w:t xml:space="preserve">  02605</w:t>
            </w:r>
            <w:proofErr w:type="gramEnd"/>
            <w:r w:rsidRPr="007D1EEA">
              <w:rPr>
                <w:rFonts w:ascii="Palatino Linotype" w:eastAsia="Palatino Linotype" w:hAnsi="Palatino Linotype" w:cs="Palatino Linotype"/>
                <w:b/>
                <w:sz w:val="18"/>
                <w:szCs w:val="18"/>
              </w:rPr>
              <w:t>/INFOEM/IP/RR/2024</w:t>
            </w:r>
          </w:p>
        </w:tc>
        <w:tc>
          <w:tcPr>
            <w:tcW w:w="5098" w:type="dxa"/>
          </w:tcPr>
          <w:p w14:paraId="77D10887"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29411815"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“ENERO 2023.rar”:</w:t>
            </w:r>
            <w:r w:rsidRPr="007D1EEA">
              <w:rPr>
                <w:rFonts w:ascii="Palatino Linotype" w:eastAsia="Palatino Linotype" w:hAnsi="Palatino Linotype" w:cs="Palatino Linotype"/>
                <w:sz w:val="18"/>
                <w:szCs w:val="18"/>
              </w:rPr>
              <w:t xml:space="preserve"> Carpeta comprimida que contiene 1882 recibos de nómina.</w:t>
            </w:r>
          </w:p>
          <w:p w14:paraId="4145ACD4"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“00172 SAIMEX-1.pdf”: </w:t>
            </w:r>
            <w:r w:rsidRPr="007D1EEA">
              <w:rPr>
                <w:rFonts w:ascii="Palatino Linotype" w:eastAsia="Palatino Linotype" w:hAnsi="Palatino Linotype" w:cs="Palatino Linotype"/>
                <w:sz w:val="18"/>
                <w:szCs w:val="18"/>
              </w:rPr>
              <w:t xml:space="preserve">Documento de dos fojas, en el que se aprecia lo siguiente: </w:t>
            </w:r>
          </w:p>
          <w:p w14:paraId="29041AA2"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remite la información proporcionada por el Departamento de Capital Humano. </w:t>
            </w:r>
          </w:p>
          <w:p w14:paraId="1D7E759F"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los recibos de nómina del mes de enero de 2023 en versión pública, solicitando que esta información sea sometida al Comité de Transparencia para versión pública. </w:t>
            </w:r>
          </w:p>
          <w:p w14:paraId="17731427" w14:textId="77777777" w:rsidR="00023530" w:rsidRPr="007D1EEA" w:rsidRDefault="0013670A">
            <w:pPr>
              <w:spacing w:before="240" w:after="240"/>
              <w:jc w:val="both"/>
              <w:rPr>
                <w:rFonts w:ascii="Palatino Linotype" w:eastAsia="Palatino Linotype" w:hAnsi="Palatino Linotype" w:cs="Palatino Linotype"/>
                <w:i/>
                <w:sz w:val="20"/>
                <w:szCs w:val="20"/>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los recibos de nómina solicitados.</w:t>
            </w:r>
          </w:p>
        </w:tc>
      </w:tr>
      <w:tr w:rsidR="007D1EEA" w:rsidRPr="007D1EEA" w14:paraId="47314982" w14:textId="77777777">
        <w:tc>
          <w:tcPr>
            <w:tcW w:w="3823" w:type="dxa"/>
          </w:tcPr>
          <w:p w14:paraId="0079D263" w14:textId="77777777" w:rsidR="00023530" w:rsidRPr="007D1EEA" w:rsidRDefault="0013670A">
            <w:pPr>
              <w:spacing w:before="240" w:after="240"/>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lastRenderedPageBreak/>
              <w:t xml:space="preserve">00171/OASATIZARA/IP/2024, </w:t>
            </w:r>
            <w:r w:rsidRPr="007D1EEA">
              <w:rPr>
                <w:rFonts w:ascii="Palatino Linotype" w:eastAsia="Palatino Linotype" w:hAnsi="Palatino Linotype" w:cs="Palatino Linotype"/>
                <w:sz w:val="18"/>
                <w:szCs w:val="18"/>
              </w:rPr>
              <w:t xml:space="preserve">correspondiente al Recurso de </w:t>
            </w:r>
            <w:proofErr w:type="gramStart"/>
            <w:r w:rsidRPr="007D1EEA">
              <w:rPr>
                <w:rFonts w:ascii="Palatino Linotype" w:eastAsia="Palatino Linotype" w:hAnsi="Palatino Linotype" w:cs="Palatino Linotype"/>
                <w:sz w:val="18"/>
                <w:szCs w:val="18"/>
              </w:rPr>
              <w:t>Revisión</w:t>
            </w:r>
            <w:r w:rsidRPr="007D1EEA">
              <w:rPr>
                <w:rFonts w:ascii="Palatino Linotype" w:eastAsia="Palatino Linotype" w:hAnsi="Palatino Linotype" w:cs="Palatino Linotype"/>
                <w:b/>
                <w:sz w:val="18"/>
                <w:szCs w:val="18"/>
              </w:rPr>
              <w:t xml:space="preserve">  02606</w:t>
            </w:r>
            <w:proofErr w:type="gramEnd"/>
            <w:r w:rsidRPr="007D1EEA">
              <w:rPr>
                <w:rFonts w:ascii="Palatino Linotype" w:eastAsia="Palatino Linotype" w:hAnsi="Palatino Linotype" w:cs="Palatino Linotype"/>
                <w:b/>
                <w:sz w:val="18"/>
                <w:szCs w:val="18"/>
              </w:rPr>
              <w:t>/INFOEM/IP/RR/2024</w:t>
            </w:r>
          </w:p>
        </w:tc>
        <w:tc>
          <w:tcPr>
            <w:tcW w:w="5098" w:type="dxa"/>
          </w:tcPr>
          <w:p w14:paraId="5C88DD08"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0994572C"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“00171 </w:t>
            </w:r>
            <w:proofErr w:type="gramStart"/>
            <w:r w:rsidRPr="007D1EEA">
              <w:rPr>
                <w:rFonts w:ascii="Palatino Linotype" w:eastAsia="Palatino Linotype" w:hAnsi="Palatino Linotype" w:cs="Palatino Linotype"/>
                <w:b/>
                <w:i/>
                <w:sz w:val="18"/>
                <w:szCs w:val="18"/>
              </w:rPr>
              <w:t>SAIMEX..</w:t>
            </w:r>
            <w:proofErr w:type="spellStart"/>
            <w:proofErr w:type="gramEnd"/>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w:t>
            </w:r>
            <w:r w:rsidRPr="007D1EEA">
              <w:rPr>
                <w:rFonts w:ascii="Palatino Linotype" w:eastAsia="Palatino Linotype" w:hAnsi="Palatino Linotype" w:cs="Palatino Linotype"/>
                <w:sz w:val="18"/>
                <w:szCs w:val="18"/>
              </w:rPr>
              <w:t xml:space="preserve"> Documento de dos fojas, en el que se aprecia lo siguiente: </w:t>
            </w:r>
          </w:p>
          <w:p w14:paraId="1AE0FB11"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remite la información proporcionada por el Departamento de Capital Humano. </w:t>
            </w:r>
          </w:p>
          <w:p w14:paraId="440C8AF9"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la información solicitada en versión pública, solicitando que esta información sea sometida al Comité de Transparencia para versión pública. </w:t>
            </w:r>
          </w:p>
          <w:p w14:paraId="303C5D75"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gramStart"/>
            <w:r w:rsidRPr="007D1EEA">
              <w:rPr>
                <w:rFonts w:ascii="Palatino Linotype" w:eastAsia="Palatino Linotype" w:hAnsi="Palatino Linotype" w:cs="Palatino Linotype"/>
                <w:b/>
                <w:i/>
                <w:sz w:val="18"/>
                <w:szCs w:val="18"/>
              </w:rPr>
              <w:t>8.CONC</w:t>
            </w:r>
            <w:proofErr w:type="gramEnd"/>
            <w:r w:rsidRPr="007D1EEA">
              <w:rPr>
                <w:rFonts w:ascii="Palatino Linotype" w:eastAsia="Palatino Linotype" w:hAnsi="Palatino Linotype" w:cs="Palatino Linotype"/>
                <w:b/>
                <w:i/>
                <w:sz w:val="18"/>
                <w:szCs w:val="18"/>
              </w:rPr>
              <w:t xml:space="preserve"> NOMINA 112023 (1)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y “8.CONC NOMINA 122023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Consisten en la conciliación de nómina del mes de junio de 2023.</w:t>
            </w:r>
          </w:p>
          <w:p w14:paraId="16DA13AB" w14:textId="77777777" w:rsidR="00023530" w:rsidRPr="007D1EEA" w:rsidRDefault="0013670A">
            <w:pPr>
              <w:spacing w:before="240" w:after="240"/>
              <w:jc w:val="both"/>
              <w:rPr>
                <w:rFonts w:ascii="Palatino Linotype" w:eastAsia="Palatino Linotype" w:hAnsi="Palatino Linotype" w:cs="Palatino Linotype"/>
                <w:i/>
                <w:sz w:val="20"/>
                <w:szCs w:val="20"/>
              </w:rPr>
            </w:pPr>
            <w:r w:rsidRPr="007D1EEA">
              <w:rPr>
                <w:rFonts w:ascii="Palatino Linotype" w:eastAsia="Palatino Linotype" w:hAnsi="Palatino Linotype" w:cs="Palatino Linotype"/>
                <w:b/>
                <w:i/>
                <w:sz w:val="18"/>
                <w:szCs w:val="18"/>
              </w:rPr>
              <w:t>“49 EXT 2024.pdf”:</w:t>
            </w:r>
            <w:r w:rsidRPr="007D1EEA">
              <w:rPr>
                <w:rFonts w:ascii="Palatino Linotype" w:eastAsia="Palatino Linotype" w:hAnsi="Palatino Linotype" w:cs="Palatino Linotype"/>
                <w:sz w:val="18"/>
                <w:szCs w:val="18"/>
              </w:rPr>
              <w:t xml:space="preserve"> Acta de la Cuadragésima Novena Sesión Extraordinaria del Comité de Transparencia del Organismo de Atizapán de Zaragoza, por la cual se aprueba la versión pública de la nómina solicitada.</w:t>
            </w:r>
          </w:p>
        </w:tc>
      </w:tr>
      <w:tr w:rsidR="007D1EEA" w:rsidRPr="007D1EEA" w14:paraId="0C754771" w14:textId="77777777">
        <w:tc>
          <w:tcPr>
            <w:tcW w:w="3823" w:type="dxa"/>
          </w:tcPr>
          <w:p w14:paraId="48DDD785" w14:textId="77777777" w:rsidR="00023530" w:rsidRPr="007D1EEA" w:rsidRDefault="0013670A">
            <w:pPr>
              <w:spacing w:before="240" w:after="240"/>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 xml:space="preserve">00173/OASATIZARA/IP/2024, </w:t>
            </w:r>
            <w:r w:rsidRPr="007D1EEA">
              <w:rPr>
                <w:rFonts w:ascii="Palatino Linotype" w:eastAsia="Palatino Linotype" w:hAnsi="Palatino Linotype" w:cs="Palatino Linotype"/>
                <w:sz w:val="18"/>
                <w:szCs w:val="18"/>
              </w:rPr>
              <w:t xml:space="preserve">correspondiente al Recurso de Revisión </w:t>
            </w:r>
            <w:r w:rsidRPr="007D1EEA">
              <w:rPr>
                <w:rFonts w:ascii="Palatino Linotype" w:eastAsia="Palatino Linotype" w:hAnsi="Palatino Linotype" w:cs="Palatino Linotype"/>
                <w:b/>
                <w:sz w:val="18"/>
                <w:szCs w:val="18"/>
              </w:rPr>
              <w:t xml:space="preserve">02607/INFOEM/IP/RR/2024   </w:t>
            </w:r>
          </w:p>
        </w:tc>
        <w:tc>
          <w:tcPr>
            <w:tcW w:w="5098" w:type="dxa"/>
          </w:tcPr>
          <w:p w14:paraId="01A1D440"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 xml:space="preserve">Archivos adjuntos: </w:t>
            </w:r>
          </w:p>
          <w:p w14:paraId="385840F1"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spellStart"/>
            <w:r w:rsidRPr="007D1EEA">
              <w:rPr>
                <w:rFonts w:ascii="Palatino Linotype" w:eastAsia="Palatino Linotype" w:hAnsi="Palatino Linotype" w:cs="Palatino Linotype"/>
                <w:b/>
                <w:i/>
                <w:sz w:val="18"/>
                <w:szCs w:val="18"/>
              </w:rPr>
              <w:t>Untitled.rar</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Carpeta comprimida que contiene 1881 recibos de nómina.</w:t>
            </w:r>
          </w:p>
          <w:p w14:paraId="2CC01F0A"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“00173 </w:t>
            </w:r>
            <w:proofErr w:type="gramStart"/>
            <w:r w:rsidRPr="007D1EEA">
              <w:rPr>
                <w:rFonts w:ascii="Palatino Linotype" w:eastAsia="Palatino Linotype" w:hAnsi="Palatino Linotype" w:cs="Palatino Linotype"/>
                <w:b/>
                <w:i/>
                <w:sz w:val="18"/>
                <w:szCs w:val="18"/>
              </w:rPr>
              <w:t>SAIMEX..</w:t>
            </w:r>
            <w:proofErr w:type="spellStart"/>
            <w:proofErr w:type="gramEnd"/>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 xml:space="preserve">Documento de dos fojas, en el que se aprecia lo siguiente: </w:t>
            </w:r>
          </w:p>
          <w:p w14:paraId="61739E7E"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w:t>
            </w:r>
            <w:r w:rsidRPr="007D1EEA">
              <w:rPr>
                <w:rFonts w:ascii="Palatino Linotype" w:eastAsia="Palatino Linotype" w:hAnsi="Palatino Linotype" w:cs="Palatino Linotype"/>
                <w:sz w:val="18"/>
                <w:szCs w:val="18"/>
              </w:rPr>
              <w:lastRenderedPageBreak/>
              <w:t xml:space="preserve">remite la información proporcionada por el Departamento de Capital Humano. </w:t>
            </w:r>
          </w:p>
          <w:p w14:paraId="2B943C23"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los recibos de nómina del mes de febrero de 2023, solicitando que esta información sea sometida al Comité de Transparencia para versión pública. </w:t>
            </w:r>
          </w:p>
          <w:p w14:paraId="70D3E7EC" w14:textId="77777777" w:rsidR="00023530" w:rsidRPr="007D1EEA" w:rsidRDefault="0013670A">
            <w:pPr>
              <w:spacing w:before="240" w:after="240"/>
              <w:jc w:val="both"/>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los recibos de nómina solicitados.</w:t>
            </w:r>
          </w:p>
        </w:tc>
      </w:tr>
      <w:tr w:rsidR="007D1EEA" w:rsidRPr="007D1EEA" w14:paraId="0895DC68" w14:textId="77777777">
        <w:tc>
          <w:tcPr>
            <w:tcW w:w="3823" w:type="dxa"/>
          </w:tcPr>
          <w:p w14:paraId="0A427386" w14:textId="77777777" w:rsidR="00023530" w:rsidRPr="007D1EEA" w:rsidRDefault="0013670A">
            <w:pPr>
              <w:spacing w:before="240" w:after="240"/>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lastRenderedPageBreak/>
              <w:t xml:space="preserve">00167/OASATIZARA/IP/2024,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02608/INFOEM/IP/RR/2024</w:t>
            </w:r>
          </w:p>
        </w:tc>
        <w:tc>
          <w:tcPr>
            <w:tcW w:w="5098" w:type="dxa"/>
          </w:tcPr>
          <w:p w14:paraId="32569B5F"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 xml:space="preserve">Archivos adjuntos: </w:t>
            </w:r>
          </w:p>
          <w:p w14:paraId="3F934E20"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gramStart"/>
            <w:r w:rsidRPr="007D1EEA">
              <w:rPr>
                <w:rFonts w:ascii="Palatino Linotype" w:eastAsia="Palatino Linotype" w:hAnsi="Palatino Linotype" w:cs="Palatino Linotype"/>
                <w:b/>
                <w:i/>
                <w:sz w:val="18"/>
                <w:szCs w:val="18"/>
              </w:rPr>
              <w:t>8.CONC</w:t>
            </w:r>
            <w:proofErr w:type="gramEnd"/>
            <w:r w:rsidRPr="007D1EEA">
              <w:rPr>
                <w:rFonts w:ascii="Palatino Linotype" w:eastAsia="Palatino Linotype" w:hAnsi="Palatino Linotype" w:cs="Palatino Linotype"/>
                <w:b/>
                <w:i/>
                <w:sz w:val="18"/>
                <w:szCs w:val="18"/>
              </w:rPr>
              <w:t xml:space="preserve"> NOMINA 062023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y “8.CONC NOMINA 052023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Consisten en la conciliación de nómina del mes de marzo de 2023.</w:t>
            </w:r>
          </w:p>
          <w:p w14:paraId="1128E776"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“00167 </w:t>
            </w:r>
            <w:proofErr w:type="gramStart"/>
            <w:r w:rsidRPr="007D1EEA">
              <w:rPr>
                <w:rFonts w:ascii="Palatino Linotype" w:eastAsia="Palatino Linotype" w:hAnsi="Palatino Linotype" w:cs="Palatino Linotype"/>
                <w:b/>
                <w:i/>
                <w:sz w:val="18"/>
                <w:szCs w:val="18"/>
              </w:rPr>
              <w:t>SAIMEX..</w:t>
            </w:r>
            <w:proofErr w:type="spellStart"/>
            <w:proofErr w:type="gramEnd"/>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 xml:space="preserve">Documento de dos fojas, en el que se aprecia lo siguiente: </w:t>
            </w:r>
          </w:p>
          <w:p w14:paraId="6944586E"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remite la información proporcionada por el Departamento de Capital Humano. </w:t>
            </w:r>
          </w:p>
          <w:p w14:paraId="7E01677F"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la información solicitada en versión pública, solicitando que esta información sea sometida al Comité de Transparencia para versión pública. </w:t>
            </w:r>
          </w:p>
          <w:p w14:paraId="16EC76CA"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 xml:space="preserve">Acta de la Cuadragésima Novena Sesión Extraordinaria del Comité de Transparencia del Organismo </w:t>
            </w:r>
            <w:r w:rsidRPr="007D1EEA">
              <w:rPr>
                <w:rFonts w:ascii="Palatino Linotype" w:eastAsia="Palatino Linotype" w:hAnsi="Palatino Linotype" w:cs="Palatino Linotype"/>
                <w:sz w:val="18"/>
                <w:szCs w:val="18"/>
              </w:rPr>
              <w:lastRenderedPageBreak/>
              <w:t>de Atizapán de Zaragoza, por la cual se aprueba la versión pública de la información solicitada.</w:t>
            </w:r>
          </w:p>
        </w:tc>
      </w:tr>
      <w:tr w:rsidR="007D1EEA" w:rsidRPr="007D1EEA" w14:paraId="6B4D34BA" w14:textId="77777777">
        <w:tc>
          <w:tcPr>
            <w:tcW w:w="3823" w:type="dxa"/>
          </w:tcPr>
          <w:p w14:paraId="78353E05" w14:textId="77777777" w:rsidR="00023530" w:rsidRPr="007D1EEA" w:rsidRDefault="0013670A">
            <w:pPr>
              <w:spacing w:before="240" w:after="240"/>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lastRenderedPageBreak/>
              <w:t xml:space="preserve">00168/OASATIZARA/IP/2024,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02609/INFOEM/IP/RR/2024</w:t>
            </w:r>
          </w:p>
        </w:tc>
        <w:tc>
          <w:tcPr>
            <w:tcW w:w="5098" w:type="dxa"/>
          </w:tcPr>
          <w:p w14:paraId="2D994785"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6C597CF9"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“00168 </w:t>
            </w:r>
            <w:proofErr w:type="gramStart"/>
            <w:r w:rsidRPr="007D1EEA">
              <w:rPr>
                <w:rFonts w:ascii="Palatino Linotype" w:eastAsia="Palatino Linotype" w:hAnsi="Palatino Linotype" w:cs="Palatino Linotype"/>
                <w:b/>
                <w:i/>
                <w:sz w:val="18"/>
                <w:szCs w:val="18"/>
              </w:rPr>
              <w:t>SAIMEX..</w:t>
            </w:r>
            <w:proofErr w:type="spellStart"/>
            <w:proofErr w:type="gramEnd"/>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 </w:t>
            </w:r>
            <w:r w:rsidRPr="007D1EEA">
              <w:rPr>
                <w:rFonts w:ascii="Palatino Linotype" w:eastAsia="Palatino Linotype" w:hAnsi="Palatino Linotype" w:cs="Palatino Linotype"/>
                <w:sz w:val="18"/>
                <w:szCs w:val="18"/>
              </w:rPr>
              <w:t xml:space="preserve">Documento de dos fojas, en el que se aprecia lo siguiente: </w:t>
            </w:r>
          </w:p>
          <w:p w14:paraId="401C5D7C"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remite la información proporcionada por el Departamento de Capital Humano. </w:t>
            </w:r>
          </w:p>
          <w:p w14:paraId="1B3B2FA5"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la información solicitada en versión pública, solicitando que esta información sea sometida al Comité de Transparencia para versión pública. </w:t>
            </w:r>
          </w:p>
          <w:p w14:paraId="489F9F5D"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gramStart"/>
            <w:r w:rsidRPr="007D1EEA">
              <w:rPr>
                <w:rFonts w:ascii="Palatino Linotype" w:eastAsia="Palatino Linotype" w:hAnsi="Palatino Linotype" w:cs="Palatino Linotype"/>
                <w:b/>
                <w:i/>
                <w:sz w:val="18"/>
                <w:szCs w:val="18"/>
              </w:rPr>
              <w:t>8.CONC</w:t>
            </w:r>
            <w:proofErr w:type="gramEnd"/>
            <w:r w:rsidRPr="007D1EEA">
              <w:rPr>
                <w:rFonts w:ascii="Palatino Linotype" w:eastAsia="Palatino Linotype" w:hAnsi="Palatino Linotype" w:cs="Palatino Linotype"/>
                <w:b/>
                <w:i/>
                <w:sz w:val="18"/>
                <w:szCs w:val="18"/>
              </w:rPr>
              <w:t xml:space="preserve"> NOMINA 082023 (1)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y “8.CONC NOMINA 072023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Consisten en la conciliación de nómina del mes de abril de 2023.</w:t>
            </w:r>
          </w:p>
          <w:p w14:paraId="2EB18522" w14:textId="77777777" w:rsidR="00023530" w:rsidRPr="007D1EEA" w:rsidRDefault="0013670A">
            <w:pPr>
              <w:spacing w:before="240" w:after="240"/>
              <w:jc w:val="both"/>
              <w:rPr>
                <w:rFonts w:ascii="Palatino Linotype" w:eastAsia="Palatino Linotype" w:hAnsi="Palatino Linotype" w:cs="Palatino Linotype"/>
                <w:sz w:val="20"/>
                <w:szCs w:val="20"/>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la información solicitada.</w:t>
            </w:r>
          </w:p>
        </w:tc>
      </w:tr>
      <w:tr w:rsidR="007D1EEA" w:rsidRPr="007D1EEA" w14:paraId="05B42F9F" w14:textId="77777777">
        <w:tc>
          <w:tcPr>
            <w:tcW w:w="3823" w:type="dxa"/>
          </w:tcPr>
          <w:p w14:paraId="0BECB970" w14:textId="77777777" w:rsidR="00023530" w:rsidRPr="007D1EEA" w:rsidRDefault="0013670A">
            <w:pPr>
              <w:spacing w:before="240" w:after="240"/>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 xml:space="preserve">00169/OASATIZARA/IP/2024, </w:t>
            </w:r>
            <w:r w:rsidRPr="007D1EEA">
              <w:rPr>
                <w:rFonts w:ascii="Palatino Linotype" w:eastAsia="Palatino Linotype" w:hAnsi="Palatino Linotype" w:cs="Palatino Linotype"/>
                <w:sz w:val="18"/>
                <w:szCs w:val="18"/>
              </w:rPr>
              <w:t>correspondiente al Recurso de Revisión</w:t>
            </w:r>
            <w:r w:rsidRPr="007D1EEA">
              <w:rPr>
                <w:rFonts w:ascii="Palatino Linotype" w:eastAsia="Palatino Linotype" w:hAnsi="Palatino Linotype" w:cs="Palatino Linotype"/>
                <w:b/>
                <w:sz w:val="18"/>
                <w:szCs w:val="18"/>
              </w:rPr>
              <w:t xml:space="preserve">   02610/INFOEM/IP/RR/2024</w:t>
            </w:r>
          </w:p>
        </w:tc>
        <w:tc>
          <w:tcPr>
            <w:tcW w:w="5098" w:type="dxa"/>
          </w:tcPr>
          <w:p w14:paraId="1392A687"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7C0B3C4A"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“00169 </w:t>
            </w:r>
            <w:proofErr w:type="gramStart"/>
            <w:r w:rsidRPr="007D1EEA">
              <w:rPr>
                <w:rFonts w:ascii="Palatino Linotype" w:eastAsia="Palatino Linotype" w:hAnsi="Palatino Linotype" w:cs="Palatino Linotype"/>
                <w:b/>
                <w:i/>
                <w:sz w:val="18"/>
                <w:szCs w:val="18"/>
              </w:rPr>
              <w:t>SAIMEX..</w:t>
            </w:r>
            <w:proofErr w:type="spellStart"/>
            <w:proofErr w:type="gramEnd"/>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 xml:space="preserve">Documento de dos fojas, en el que se aprecia lo siguiente: </w:t>
            </w:r>
          </w:p>
          <w:p w14:paraId="5614EC60"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w:t>
            </w:r>
            <w:r w:rsidRPr="007D1EEA">
              <w:rPr>
                <w:rFonts w:ascii="Palatino Linotype" w:eastAsia="Palatino Linotype" w:hAnsi="Palatino Linotype" w:cs="Palatino Linotype"/>
                <w:sz w:val="18"/>
                <w:szCs w:val="18"/>
              </w:rPr>
              <w:lastRenderedPageBreak/>
              <w:t xml:space="preserve">remite la información proporcionada por el Departamento de Capital Humano. </w:t>
            </w:r>
          </w:p>
          <w:p w14:paraId="7BBD04B3"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la información solicitada en versión pública, solicitando que esta información sea sometida al Comité de Transparencia para versión pública. </w:t>
            </w:r>
          </w:p>
          <w:p w14:paraId="1D6A4176"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gramStart"/>
            <w:r w:rsidRPr="007D1EEA">
              <w:rPr>
                <w:rFonts w:ascii="Palatino Linotype" w:eastAsia="Palatino Linotype" w:hAnsi="Palatino Linotype" w:cs="Palatino Linotype"/>
                <w:b/>
                <w:i/>
                <w:sz w:val="18"/>
                <w:szCs w:val="18"/>
              </w:rPr>
              <w:t>8.CONC</w:t>
            </w:r>
            <w:proofErr w:type="gramEnd"/>
            <w:r w:rsidRPr="007D1EEA">
              <w:rPr>
                <w:rFonts w:ascii="Palatino Linotype" w:eastAsia="Palatino Linotype" w:hAnsi="Palatino Linotype" w:cs="Palatino Linotype"/>
                <w:b/>
                <w:i/>
                <w:sz w:val="18"/>
                <w:szCs w:val="18"/>
              </w:rPr>
              <w:t xml:space="preserve"> NOMINA 092023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y “8.CONC NOMINA 102023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Consiste en la conciliación de nómina del mes de mayo de 2023.</w:t>
            </w:r>
          </w:p>
          <w:p w14:paraId="105E1E11" w14:textId="77777777" w:rsidR="00023530" w:rsidRPr="007D1EEA" w:rsidRDefault="0013670A">
            <w:pPr>
              <w:spacing w:before="240" w:after="240"/>
              <w:jc w:val="both"/>
              <w:rPr>
                <w:rFonts w:ascii="Palatino Linotype" w:eastAsia="Palatino Linotype" w:hAnsi="Palatino Linotype" w:cs="Palatino Linotype"/>
                <w:i/>
                <w:sz w:val="20"/>
                <w:szCs w:val="20"/>
              </w:rPr>
            </w:pPr>
            <w:r w:rsidRPr="007D1EEA">
              <w:rPr>
                <w:rFonts w:ascii="Palatino Linotype" w:eastAsia="Palatino Linotype" w:hAnsi="Palatino Linotype" w:cs="Palatino Linotype"/>
                <w:b/>
                <w:i/>
                <w:sz w:val="18"/>
                <w:szCs w:val="18"/>
              </w:rPr>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la información solicitada.</w:t>
            </w:r>
          </w:p>
        </w:tc>
      </w:tr>
      <w:tr w:rsidR="007D1EEA" w:rsidRPr="007D1EEA" w14:paraId="030E94F0" w14:textId="77777777">
        <w:tc>
          <w:tcPr>
            <w:tcW w:w="3823" w:type="dxa"/>
          </w:tcPr>
          <w:p w14:paraId="6C939823" w14:textId="77777777" w:rsidR="00023530" w:rsidRPr="007D1EEA" w:rsidRDefault="0013670A">
            <w:pPr>
              <w:spacing w:before="240" w:after="240"/>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lastRenderedPageBreak/>
              <w:t xml:space="preserve">00170/OASATIZARA/IP/2024, </w:t>
            </w:r>
            <w:r w:rsidRPr="007D1EEA">
              <w:rPr>
                <w:rFonts w:ascii="Palatino Linotype" w:eastAsia="Palatino Linotype" w:hAnsi="Palatino Linotype" w:cs="Palatino Linotype"/>
                <w:sz w:val="18"/>
                <w:szCs w:val="18"/>
              </w:rPr>
              <w:t xml:space="preserve">correspondiente al Recurso de </w:t>
            </w:r>
            <w:proofErr w:type="gramStart"/>
            <w:r w:rsidRPr="007D1EEA">
              <w:rPr>
                <w:rFonts w:ascii="Palatino Linotype" w:eastAsia="Palatino Linotype" w:hAnsi="Palatino Linotype" w:cs="Palatino Linotype"/>
                <w:sz w:val="18"/>
                <w:szCs w:val="18"/>
              </w:rPr>
              <w:t>Revisión</w:t>
            </w:r>
            <w:r w:rsidRPr="007D1EEA">
              <w:rPr>
                <w:rFonts w:ascii="Palatino Linotype" w:eastAsia="Palatino Linotype" w:hAnsi="Palatino Linotype" w:cs="Palatino Linotype"/>
                <w:b/>
                <w:sz w:val="18"/>
                <w:szCs w:val="18"/>
              </w:rPr>
              <w:t xml:space="preserve">  02611</w:t>
            </w:r>
            <w:proofErr w:type="gramEnd"/>
            <w:r w:rsidRPr="007D1EEA">
              <w:rPr>
                <w:rFonts w:ascii="Palatino Linotype" w:eastAsia="Palatino Linotype" w:hAnsi="Palatino Linotype" w:cs="Palatino Linotype"/>
                <w:b/>
                <w:sz w:val="18"/>
                <w:szCs w:val="18"/>
              </w:rPr>
              <w:t>/INFOEM/IP/RR/2024</w:t>
            </w:r>
          </w:p>
        </w:tc>
        <w:tc>
          <w:tcPr>
            <w:tcW w:w="5098" w:type="dxa"/>
          </w:tcPr>
          <w:p w14:paraId="75406B73" w14:textId="77777777" w:rsidR="00023530" w:rsidRPr="007D1EEA" w:rsidRDefault="0013670A">
            <w:pPr>
              <w:spacing w:before="240" w:after="240"/>
              <w:jc w:val="both"/>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Archivos adjuntos:</w:t>
            </w:r>
          </w:p>
          <w:p w14:paraId="43671AD4"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 xml:space="preserve"> “00170 </w:t>
            </w:r>
            <w:proofErr w:type="gramStart"/>
            <w:r w:rsidRPr="007D1EEA">
              <w:rPr>
                <w:rFonts w:ascii="Palatino Linotype" w:eastAsia="Palatino Linotype" w:hAnsi="Palatino Linotype" w:cs="Palatino Linotype"/>
                <w:b/>
                <w:i/>
                <w:sz w:val="18"/>
                <w:szCs w:val="18"/>
              </w:rPr>
              <w:t>SAIMEX..</w:t>
            </w:r>
            <w:proofErr w:type="spellStart"/>
            <w:proofErr w:type="gramEnd"/>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 xml:space="preserve">Documento de dos fojas, en el que se aprecia lo siguiente: </w:t>
            </w:r>
          </w:p>
          <w:p w14:paraId="657D2130"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-Oficio en el que se aprecia el pronunciamiento de la </w:t>
            </w:r>
            <w:proofErr w:type="gramStart"/>
            <w:r w:rsidRPr="007D1EEA">
              <w:rPr>
                <w:rFonts w:ascii="Palatino Linotype" w:eastAsia="Palatino Linotype" w:hAnsi="Palatino Linotype" w:cs="Palatino Linotype"/>
                <w:sz w:val="18"/>
                <w:szCs w:val="18"/>
              </w:rPr>
              <w:t>Subdirectora</w:t>
            </w:r>
            <w:proofErr w:type="gramEnd"/>
            <w:r w:rsidRPr="007D1EEA">
              <w:rPr>
                <w:rFonts w:ascii="Palatino Linotype" w:eastAsia="Palatino Linotype" w:hAnsi="Palatino Linotype" w:cs="Palatino Linotype"/>
                <w:sz w:val="18"/>
                <w:szCs w:val="18"/>
              </w:rPr>
              <w:t xml:space="preserve"> de Administración y Finanzas, quien señala que remite la información proporcionada por el Departamento de Capital Humano. </w:t>
            </w:r>
          </w:p>
          <w:p w14:paraId="0C6F170A"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 Oficio suscrito por la </w:t>
            </w:r>
            <w:proofErr w:type="gramStart"/>
            <w:r w:rsidRPr="007D1EEA">
              <w:rPr>
                <w:rFonts w:ascii="Palatino Linotype" w:eastAsia="Palatino Linotype" w:hAnsi="Palatino Linotype" w:cs="Palatino Linotype"/>
                <w:sz w:val="18"/>
                <w:szCs w:val="18"/>
              </w:rPr>
              <w:t>Jefa</w:t>
            </w:r>
            <w:proofErr w:type="gramEnd"/>
            <w:r w:rsidRPr="007D1EEA">
              <w:rPr>
                <w:rFonts w:ascii="Palatino Linotype" w:eastAsia="Palatino Linotype" w:hAnsi="Palatino Linotype" w:cs="Palatino Linotype"/>
                <w:sz w:val="18"/>
                <w:szCs w:val="18"/>
              </w:rPr>
              <w:t xml:space="preserve"> del Departamento de Capital Humano, quien refiere hacer entrega de la información solicitada en versión pública, solicitando que esta información sea sometida al Comité de Transparencia para versión pública. </w:t>
            </w:r>
          </w:p>
          <w:p w14:paraId="1CD3A3FD" w14:textId="77777777" w:rsidR="00023530" w:rsidRPr="007D1EEA" w:rsidRDefault="0013670A">
            <w:pPr>
              <w:spacing w:before="240" w:after="240"/>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i/>
                <w:sz w:val="18"/>
                <w:szCs w:val="18"/>
              </w:rPr>
              <w:t>“</w:t>
            </w:r>
            <w:proofErr w:type="gramStart"/>
            <w:r w:rsidRPr="007D1EEA">
              <w:rPr>
                <w:rFonts w:ascii="Palatino Linotype" w:eastAsia="Palatino Linotype" w:hAnsi="Palatino Linotype" w:cs="Palatino Linotype"/>
                <w:b/>
                <w:i/>
                <w:sz w:val="18"/>
                <w:szCs w:val="18"/>
              </w:rPr>
              <w:t>8.CONC</w:t>
            </w:r>
            <w:proofErr w:type="gramEnd"/>
            <w:r w:rsidRPr="007D1EEA">
              <w:rPr>
                <w:rFonts w:ascii="Palatino Linotype" w:eastAsia="Palatino Linotype" w:hAnsi="Palatino Linotype" w:cs="Palatino Linotype"/>
                <w:b/>
                <w:i/>
                <w:sz w:val="18"/>
                <w:szCs w:val="18"/>
              </w:rPr>
              <w:t xml:space="preserve"> NOMINA 102023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y “8.CONC NOMINA 092023 (1).</w:t>
            </w:r>
            <w:proofErr w:type="spellStart"/>
            <w:r w:rsidRPr="007D1EEA">
              <w:rPr>
                <w:rFonts w:ascii="Palatino Linotype" w:eastAsia="Palatino Linotype" w:hAnsi="Palatino Linotype" w:cs="Palatino Linotype"/>
                <w:b/>
                <w:i/>
                <w:sz w:val="18"/>
                <w:szCs w:val="18"/>
              </w:rPr>
              <w:t>pdf</w:t>
            </w:r>
            <w:proofErr w:type="spellEnd"/>
            <w:r w:rsidRPr="007D1EEA">
              <w:rPr>
                <w:rFonts w:ascii="Palatino Linotype" w:eastAsia="Palatino Linotype" w:hAnsi="Palatino Linotype" w:cs="Palatino Linotype"/>
                <w:b/>
                <w:i/>
                <w:sz w:val="18"/>
                <w:szCs w:val="18"/>
              </w:rPr>
              <w:t xml:space="preserve">”: </w:t>
            </w:r>
            <w:r w:rsidRPr="007D1EEA">
              <w:rPr>
                <w:rFonts w:ascii="Palatino Linotype" w:eastAsia="Palatino Linotype" w:hAnsi="Palatino Linotype" w:cs="Palatino Linotype"/>
                <w:sz w:val="18"/>
                <w:szCs w:val="18"/>
              </w:rPr>
              <w:t>Consiste en la conciliación de nómina del mes de mayo de 2023.</w:t>
            </w:r>
          </w:p>
          <w:p w14:paraId="7E46F414" w14:textId="77777777" w:rsidR="00023530" w:rsidRPr="007D1EEA" w:rsidRDefault="0013670A">
            <w:pPr>
              <w:spacing w:before="240" w:after="240"/>
              <w:jc w:val="both"/>
              <w:rPr>
                <w:rFonts w:ascii="Palatino Linotype" w:eastAsia="Palatino Linotype" w:hAnsi="Palatino Linotype" w:cs="Palatino Linotype"/>
                <w:i/>
                <w:sz w:val="20"/>
                <w:szCs w:val="20"/>
              </w:rPr>
            </w:pPr>
            <w:r w:rsidRPr="007D1EEA">
              <w:rPr>
                <w:rFonts w:ascii="Palatino Linotype" w:eastAsia="Palatino Linotype" w:hAnsi="Palatino Linotype" w:cs="Palatino Linotype"/>
                <w:b/>
                <w:i/>
                <w:sz w:val="18"/>
                <w:szCs w:val="18"/>
              </w:rPr>
              <w:lastRenderedPageBreak/>
              <w:t xml:space="preserve">“49 EXT 2024.pdf”: </w:t>
            </w:r>
            <w:r w:rsidRPr="007D1EEA">
              <w:rPr>
                <w:rFonts w:ascii="Palatino Linotype" w:eastAsia="Palatino Linotype" w:hAnsi="Palatino Linotype" w:cs="Palatino Linotype"/>
                <w:sz w:val="18"/>
                <w:szCs w:val="18"/>
              </w:rPr>
              <w:t>Acta de la Cuadragésima Novena Sesión Extraordinaria del Comité de Transparencia del Organismo de Atizapán de Zaragoza, por la cual se aprueba la versión pública de la información solicitada.</w:t>
            </w:r>
          </w:p>
        </w:tc>
      </w:tr>
    </w:tbl>
    <w:p w14:paraId="61745D6E"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lastRenderedPageBreak/>
        <w:t xml:space="preserve">4. Interposición de los recursos de revisión.  </w:t>
      </w:r>
      <w:r w:rsidRPr="007D1EEA">
        <w:rPr>
          <w:rFonts w:ascii="Palatino Linotype" w:eastAsia="Palatino Linotype" w:hAnsi="Palatino Linotype" w:cs="Palatino Linotype"/>
          <w:sz w:val="22"/>
          <w:szCs w:val="22"/>
        </w:rPr>
        <w:t xml:space="preserve">El </w:t>
      </w:r>
      <w:r w:rsidRPr="007D1EEA">
        <w:rPr>
          <w:rFonts w:ascii="Palatino Linotype" w:eastAsia="Palatino Linotype" w:hAnsi="Palatino Linotype" w:cs="Palatino Linotype"/>
          <w:b/>
          <w:sz w:val="22"/>
          <w:szCs w:val="22"/>
        </w:rPr>
        <w:t xml:space="preserve">siete de mayo de dos mil veinticuatro, la parte Recurrente, </w:t>
      </w:r>
      <w:r w:rsidRPr="007D1EEA">
        <w:rPr>
          <w:rFonts w:ascii="Palatino Linotype" w:eastAsia="Palatino Linotype" w:hAnsi="Palatino Linotype" w:cs="Palatino Linotype"/>
          <w:sz w:val="22"/>
          <w:szCs w:val="22"/>
        </w:rPr>
        <w:t>inconforme con las respuestas, interpuso los recursos de revisión que nos ocupan, expresando en ambos casos, lo siguiente:</w:t>
      </w: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4"/>
        <w:gridCol w:w="2943"/>
        <w:gridCol w:w="3180"/>
      </w:tblGrid>
      <w:tr w:rsidR="007D1EEA" w:rsidRPr="007D1EEA" w14:paraId="6D188B0D" w14:textId="77777777">
        <w:tc>
          <w:tcPr>
            <w:tcW w:w="2944" w:type="dxa"/>
            <w:shd w:val="clear" w:color="auto" w:fill="D7E3BC"/>
          </w:tcPr>
          <w:p w14:paraId="48311F2D"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Recurso de Revisión</w:t>
            </w:r>
          </w:p>
        </w:tc>
        <w:tc>
          <w:tcPr>
            <w:tcW w:w="2943" w:type="dxa"/>
            <w:shd w:val="clear" w:color="auto" w:fill="D7E3BC"/>
          </w:tcPr>
          <w:p w14:paraId="1F85E681"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Acto Impugnado</w:t>
            </w:r>
          </w:p>
        </w:tc>
        <w:tc>
          <w:tcPr>
            <w:tcW w:w="3180" w:type="dxa"/>
            <w:shd w:val="clear" w:color="auto" w:fill="D7E3BC"/>
          </w:tcPr>
          <w:p w14:paraId="6EE89E94" w14:textId="77777777" w:rsidR="00023530" w:rsidRPr="007D1EEA" w:rsidRDefault="0013670A">
            <w:pPr>
              <w:spacing w:before="240" w:after="240" w:line="276"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Razones o Motivos de Inconformidad</w:t>
            </w:r>
          </w:p>
        </w:tc>
      </w:tr>
      <w:tr w:rsidR="007D1EEA" w:rsidRPr="007D1EEA" w14:paraId="29703126" w14:textId="77777777">
        <w:tc>
          <w:tcPr>
            <w:tcW w:w="2944" w:type="dxa"/>
          </w:tcPr>
          <w:p w14:paraId="619B5227" w14:textId="77777777" w:rsidR="00023530" w:rsidRPr="007D1EEA" w:rsidRDefault="0013670A">
            <w:pPr>
              <w:spacing w:before="240" w:after="240" w:line="360"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02574/INFOEM/IP/RR/2024</w:t>
            </w:r>
          </w:p>
        </w:tc>
        <w:tc>
          <w:tcPr>
            <w:tcW w:w="2943" w:type="dxa"/>
          </w:tcPr>
          <w:p w14:paraId="1EAB99AE"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LA NEGATIVA DE LA INFORMACIÒN SOLICITADALA NEGATIVA DE LA INFORMACIÒN SOLICITADA</w:t>
            </w:r>
          </w:p>
        </w:tc>
        <w:tc>
          <w:tcPr>
            <w:tcW w:w="3180" w:type="dxa"/>
          </w:tcPr>
          <w:p w14:paraId="38337730" w14:textId="77777777" w:rsidR="00023530" w:rsidRPr="007D1EEA" w:rsidRDefault="0013670A">
            <w:pPr>
              <w:spacing w:before="240" w:after="240"/>
              <w:jc w:val="both"/>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LA NEGATIVA DE LA INFORMACIÒN SOLICITADA</w:t>
            </w:r>
          </w:p>
        </w:tc>
      </w:tr>
      <w:tr w:rsidR="007D1EEA" w:rsidRPr="007D1EEA" w14:paraId="6877019B" w14:textId="77777777">
        <w:tc>
          <w:tcPr>
            <w:tcW w:w="2944" w:type="dxa"/>
          </w:tcPr>
          <w:p w14:paraId="501A47EF" w14:textId="77777777" w:rsidR="00023530" w:rsidRPr="007D1EEA" w:rsidRDefault="0013670A">
            <w:pPr>
              <w:spacing w:before="240" w:after="240" w:line="360"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02575/INFOEM/IP/RR/2024</w:t>
            </w:r>
          </w:p>
        </w:tc>
        <w:tc>
          <w:tcPr>
            <w:tcW w:w="2943" w:type="dxa"/>
          </w:tcPr>
          <w:p w14:paraId="1B468075"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LA NEGATIVA DE LA INFORMACIÒN SOLICITADA</w:t>
            </w:r>
          </w:p>
        </w:tc>
        <w:tc>
          <w:tcPr>
            <w:tcW w:w="3180" w:type="dxa"/>
          </w:tcPr>
          <w:p w14:paraId="7ABAB9CE" w14:textId="77777777" w:rsidR="00023530" w:rsidRPr="007D1EEA" w:rsidRDefault="0013670A">
            <w:pPr>
              <w:spacing w:before="240" w:after="240"/>
              <w:jc w:val="both"/>
              <w:rPr>
                <w:rFonts w:ascii="Palatino Linotype" w:eastAsia="Palatino Linotype" w:hAnsi="Palatino Linotype" w:cs="Palatino Linotype"/>
                <w:i/>
                <w:sz w:val="20"/>
                <w:szCs w:val="20"/>
              </w:rPr>
            </w:pPr>
            <w:r w:rsidRPr="007D1EEA">
              <w:rPr>
                <w:rFonts w:ascii="Palatino Linotype" w:eastAsia="Palatino Linotype" w:hAnsi="Palatino Linotype" w:cs="Palatino Linotype"/>
                <w:i/>
                <w:sz w:val="20"/>
                <w:szCs w:val="20"/>
              </w:rPr>
              <w:t>LA NEGATIVA DE LA INFORMACIÒN SOLICITADA</w:t>
            </w:r>
          </w:p>
        </w:tc>
      </w:tr>
      <w:tr w:rsidR="007D1EEA" w:rsidRPr="007D1EEA" w14:paraId="6D990C5D" w14:textId="77777777">
        <w:tc>
          <w:tcPr>
            <w:tcW w:w="2944" w:type="dxa"/>
          </w:tcPr>
          <w:p w14:paraId="38857532"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02576/INFOEM/IP/RR/2024</w:t>
            </w:r>
          </w:p>
        </w:tc>
        <w:tc>
          <w:tcPr>
            <w:tcW w:w="2943" w:type="dxa"/>
          </w:tcPr>
          <w:p w14:paraId="72EDC97D"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LA NEGATIVA DE LA INFORMACIÒN SOLICITADA NUNCA ENTREGAN LA INFORMACIÒN DE MANERA ADECUADA SIEMPRE HA SIDO LO MISMO EXIJO REVISE Y SE SANCIONE A QUIEN NO ESTA HACIENDO DE MANERA CORRECTA SU TRABAJO</w:t>
            </w:r>
          </w:p>
        </w:tc>
        <w:tc>
          <w:tcPr>
            <w:tcW w:w="3180" w:type="dxa"/>
          </w:tcPr>
          <w:p w14:paraId="2757C7CF"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LA NEGATIVA DE LA INFORMACIÒN SOLICITADA</w:t>
            </w:r>
          </w:p>
        </w:tc>
      </w:tr>
      <w:tr w:rsidR="007D1EEA" w:rsidRPr="007D1EEA" w14:paraId="2FBC80BE" w14:textId="77777777">
        <w:tc>
          <w:tcPr>
            <w:tcW w:w="2944" w:type="dxa"/>
          </w:tcPr>
          <w:p w14:paraId="237C4685"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lastRenderedPageBreak/>
              <w:t>02581/INFOEM/IP/RR/2024</w:t>
            </w:r>
          </w:p>
        </w:tc>
        <w:tc>
          <w:tcPr>
            <w:tcW w:w="2943" w:type="dxa"/>
          </w:tcPr>
          <w:p w14:paraId="71AA2405"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LA NEGATIVA DE LA INFORMACIÒN SOLICITADA</w:t>
            </w:r>
          </w:p>
        </w:tc>
        <w:tc>
          <w:tcPr>
            <w:tcW w:w="3180" w:type="dxa"/>
          </w:tcPr>
          <w:p w14:paraId="2734CD80"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LA NEGATIVA DE LA INFORMACIÒN SOLICITADA</w:t>
            </w:r>
          </w:p>
        </w:tc>
      </w:tr>
      <w:tr w:rsidR="007D1EEA" w:rsidRPr="007D1EEA" w14:paraId="3AA00CA5" w14:textId="77777777">
        <w:tc>
          <w:tcPr>
            <w:tcW w:w="2944" w:type="dxa"/>
          </w:tcPr>
          <w:p w14:paraId="6DA3B94F"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02604/INFOEM/IP/RR/2024</w:t>
            </w:r>
          </w:p>
        </w:tc>
        <w:tc>
          <w:tcPr>
            <w:tcW w:w="2943" w:type="dxa"/>
          </w:tcPr>
          <w:p w14:paraId="3D09060F"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c>
          <w:tcPr>
            <w:tcW w:w="3180" w:type="dxa"/>
          </w:tcPr>
          <w:p w14:paraId="1E3A38C1"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r w:rsidR="007D1EEA" w:rsidRPr="007D1EEA" w14:paraId="067798AB" w14:textId="77777777">
        <w:tc>
          <w:tcPr>
            <w:tcW w:w="2944" w:type="dxa"/>
          </w:tcPr>
          <w:p w14:paraId="2911E930"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02605/INFOEM/IP/RR/2024</w:t>
            </w:r>
          </w:p>
        </w:tc>
        <w:tc>
          <w:tcPr>
            <w:tcW w:w="2943" w:type="dxa"/>
            <w:vAlign w:val="center"/>
          </w:tcPr>
          <w:p w14:paraId="2F2BA8B6"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c>
          <w:tcPr>
            <w:tcW w:w="3180" w:type="dxa"/>
            <w:vAlign w:val="center"/>
          </w:tcPr>
          <w:p w14:paraId="38F41287"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r w:rsidR="007D1EEA" w:rsidRPr="007D1EEA" w14:paraId="60041FA7" w14:textId="77777777">
        <w:tc>
          <w:tcPr>
            <w:tcW w:w="2944" w:type="dxa"/>
          </w:tcPr>
          <w:p w14:paraId="35288082"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02606/INFOEM/IP/RR/2024</w:t>
            </w:r>
          </w:p>
        </w:tc>
        <w:tc>
          <w:tcPr>
            <w:tcW w:w="2943" w:type="dxa"/>
            <w:vAlign w:val="center"/>
          </w:tcPr>
          <w:p w14:paraId="6DD6D164"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c>
          <w:tcPr>
            <w:tcW w:w="3180" w:type="dxa"/>
            <w:vAlign w:val="center"/>
          </w:tcPr>
          <w:p w14:paraId="652BE52F"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r w:rsidR="007D1EEA" w:rsidRPr="007D1EEA" w14:paraId="2868B6B5" w14:textId="77777777">
        <w:tc>
          <w:tcPr>
            <w:tcW w:w="2944" w:type="dxa"/>
          </w:tcPr>
          <w:p w14:paraId="193F32DF"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02607/INFOEM/IP/RR/2024</w:t>
            </w:r>
          </w:p>
        </w:tc>
        <w:tc>
          <w:tcPr>
            <w:tcW w:w="2943" w:type="dxa"/>
          </w:tcPr>
          <w:p w14:paraId="288F4963"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w:t>
            </w:r>
            <w:proofErr w:type="spellStart"/>
            <w:r w:rsidRPr="007D1EEA">
              <w:rPr>
                <w:rFonts w:ascii="Palatino Linotype" w:eastAsia="Palatino Linotype" w:hAnsi="Palatino Linotype" w:cs="Palatino Linotype"/>
                <w:i/>
                <w:sz w:val="18"/>
                <w:szCs w:val="18"/>
              </w:rPr>
              <w:t>solicitadaLa</w:t>
            </w:r>
            <w:proofErr w:type="spellEnd"/>
            <w:r w:rsidRPr="007D1EEA">
              <w:rPr>
                <w:rFonts w:ascii="Palatino Linotype" w:eastAsia="Palatino Linotype" w:hAnsi="Palatino Linotype" w:cs="Palatino Linotype"/>
                <w:i/>
                <w:sz w:val="18"/>
                <w:szCs w:val="18"/>
              </w:rPr>
              <w:t xml:space="preserve"> negativa</w:t>
            </w:r>
          </w:p>
        </w:tc>
        <w:tc>
          <w:tcPr>
            <w:tcW w:w="3180" w:type="dxa"/>
          </w:tcPr>
          <w:p w14:paraId="1BFF3388"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r w:rsidR="007D1EEA" w:rsidRPr="007D1EEA" w14:paraId="16A0AE4F" w14:textId="77777777">
        <w:tc>
          <w:tcPr>
            <w:tcW w:w="2944" w:type="dxa"/>
          </w:tcPr>
          <w:p w14:paraId="54361079"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02608/INFOEM/IP/RR/2024</w:t>
            </w:r>
          </w:p>
        </w:tc>
        <w:tc>
          <w:tcPr>
            <w:tcW w:w="2943" w:type="dxa"/>
          </w:tcPr>
          <w:p w14:paraId="3922E02D"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c>
          <w:tcPr>
            <w:tcW w:w="3180" w:type="dxa"/>
          </w:tcPr>
          <w:p w14:paraId="09FEFF9C" w14:textId="77777777" w:rsidR="00023530" w:rsidRPr="007D1EEA" w:rsidRDefault="0013670A">
            <w:pPr>
              <w:spacing w:before="240" w:after="240"/>
              <w:jc w:val="both"/>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r w:rsidR="007D1EEA" w:rsidRPr="007D1EEA" w14:paraId="3CD6D92E" w14:textId="77777777">
        <w:tc>
          <w:tcPr>
            <w:tcW w:w="2944" w:type="dxa"/>
          </w:tcPr>
          <w:p w14:paraId="2D4BCDBD"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18"/>
                <w:szCs w:val="18"/>
              </w:rPr>
              <w:t>02609/INFOEM/IP/RR/2024</w:t>
            </w:r>
          </w:p>
        </w:tc>
        <w:tc>
          <w:tcPr>
            <w:tcW w:w="2943" w:type="dxa"/>
          </w:tcPr>
          <w:p w14:paraId="5020989C"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c>
          <w:tcPr>
            <w:tcW w:w="3180" w:type="dxa"/>
          </w:tcPr>
          <w:p w14:paraId="0D8B876B"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r w:rsidR="007D1EEA" w:rsidRPr="007D1EEA" w14:paraId="4F0A172E" w14:textId="77777777">
        <w:tc>
          <w:tcPr>
            <w:tcW w:w="2944" w:type="dxa"/>
          </w:tcPr>
          <w:p w14:paraId="1956943A" w14:textId="77777777" w:rsidR="00023530" w:rsidRPr="007D1EEA" w:rsidRDefault="0013670A">
            <w:pPr>
              <w:spacing w:before="240" w:after="240" w:line="360"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02610/INFOEM/IP/RR/2024</w:t>
            </w:r>
          </w:p>
        </w:tc>
        <w:tc>
          <w:tcPr>
            <w:tcW w:w="2943" w:type="dxa"/>
          </w:tcPr>
          <w:p w14:paraId="298138BB"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c>
          <w:tcPr>
            <w:tcW w:w="3180" w:type="dxa"/>
          </w:tcPr>
          <w:p w14:paraId="5D6A3898"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r w:rsidR="00023530" w:rsidRPr="007D1EEA" w14:paraId="249FDF48" w14:textId="77777777">
        <w:tc>
          <w:tcPr>
            <w:tcW w:w="2944" w:type="dxa"/>
          </w:tcPr>
          <w:p w14:paraId="51281222" w14:textId="77777777" w:rsidR="00023530" w:rsidRPr="007D1EEA" w:rsidRDefault="0013670A">
            <w:pPr>
              <w:spacing w:before="240" w:after="240" w:line="360"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02611/INFOEM/IP/RR/2024</w:t>
            </w:r>
          </w:p>
        </w:tc>
        <w:tc>
          <w:tcPr>
            <w:tcW w:w="2943" w:type="dxa"/>
          </w:tcPr>
          <w:p w14:paraId="094C74B4"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c>
          <w:tcPr>
            <w:tcW w:w="3180" w:type="dxa"/>
          </w:tcPr>
          <w:p w14:paraId="5525C267" w14:textId="77777777" w:rsidR="00023530" w:rsidRPr="007D1EEA" w:rsidRDefault="0013670A">
            <w:pPr>
              <w:spacing w:before="240" w:after="240"/>
              <w:jc w:val="center"/>
              <w:rPr>
                <w:rFonts w:ascii="Palatino Linotype" w:eastAsia="Palatino Linotype" w:hAnsi="Palatino Linotype" w:cs="Palatino Linotype"/>
                <w:i/>
                <w:sz w:val="18"/>
                <w:szCs w:val="18"/>
              </w:rPr>
            </w:pPr>
            <w:r w:rsidRPr="007D1EEA">
              <w:rPr>
                <w:rFonts w:ascii="Palatino Linotype" w:eastAsia="Palatino Linotype" w:hAnsi="Palatino Linotype" w:cs="Palatino Linotype"/>
                <w:i/>
                <w:sz w:val="18"/>
                <w:szCs w:val="18"/>
              </w:rPr>
              <w:t xml:space="preserve">La negativa a la </w:t>
            </w:r>
            <w:proofErr w:type="spellStart"/>
            <w:r w:rsidRPr="007D1EEA">
              <w:rPr>
                <w:rFonts w:ascii="Palatino Linotype" w:eastAsia="Palatino Linotype" w:hAnsi="Palatino Linotype" w:cs="Palatino Linotype"/>
                <w:i/>
                <w:sz w:val="18"/>
                <w:szCs w:val="18"/>
              </w:rPr>
              <w:t>informaciòn</w:t>
            </w:r>
            <w:proofErr w:type="spellEnd"/>
            <w:r w:rsidRPr="007D1EEA">
              <w:rPr>
                <w:rFonts w:ascii="Palatino Linotype" w:eastAsia="Palatino Linotype" w:hAnsi="Palatino Linotype" w:cs="Palatino Linotype"/>
                <w:i/>
                <w:sz w:val="18"/>
                <w:szCs w:val="18"/>
              </w:rPr>
              <w:t xml:space="preserve"> solicitada</w:t>
            </w:r>
          </w:p>
        </w:tc>
      </w:tr>
    </w:tbl>
    <w:p w14:paraId="24459C48" w14:textId="77777777" w:rsidR="00023530" w:rsidRPr="007D1EEA" w:rsidRDefault="00023530">
      <w:pPr>
        <w:spacing w:before="240" w:after="240" w:line="360" w:lineRule="auto"/>
        <w:jc w:val="both"/>
        <w:rPr>
          <w:rFonts w:ascii="Palatino Linotype" w:eastAsia="Palatino Linotype" w:hAnsi="Palatino Linotype" w:cs="Palatino Linotype"/>
          <w:b/>
        </w:rPr>
      </w:pPr>
    </w:p>
    <w:p w14:paraId="1D8948CE"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lastRenderedPageBreak/>
        <w:t xml:space="preserve">5. Turnos. </w:t>
      </w:r>
      <w:r w:rsidRPr="007D1EEA">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7D1EEA">
        <w:rPr>
          <w:rFonts w:ascii="Palatino Linotype" w:eastAsia="Palatino Linotype" w:hAnsi="Palatino Linotype" w:cs="Palatino Linotype"/>
          <w:b/>
          <w:sz w:val="22"/>
          <w:szCs w:val="22"/>
        </w:rPr>
        <w:t xml:space="preserve"> </w:t>
      </w:r>
      <w:r w:rsidRPr="007D1EEA">
        <w:rPr>
          <w:rFonts w:ascii="Palatino Linotype" w:eastAsia="Palatino Linotype" w:hAnsi="Palatino Linotype" w:cs="Palatino Linotype"/>
          <w:sz w:val="22"/>
          <w:szCs w:val="22"/>
        </w:rPr>
        <w:t xml:space="preserve">turnados de la siguiente manera a efecto de presentar al Pleno los proyectos de resolución correspondientes: </w:t>
      </w:r>
    </w:p>
    <w:tbl>
      <w:tblPr>
        <w:tblStyle w:val="a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7D1EEA" w:rsidRPr="007D1EEA" w14:paraId="56E9F01D" w14:textId="77777777">
        <w:tc>
          <w:tcPr>
            <w:tcW w:w="4460" w:type="dxa"/>
            <w:shd w:val="clear" w:color="auto" w:fill="D7E3BC"/>
          </w:tcPr>
          <w:p w14:paraId="36BAC7BA"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Recurso de Revisión</w:t>
            </w:r>
          </w:p>
        </w:tc>
        <w:tc>
          <w:tcPr>
            <w:tcW w:w="4461" w:type="dxa"/>
            <w:shd w:val="clear" w:color="auto" w:fill="D7E3BC"/>
          </w:tcPr>
          <w:p w14:paraId="368CE996" w14:textId="77777777" w:rsidR="00023530" w:rsidRPr="007D1EEA" w:rsidRDefault="0013670A">
            <w:pPr>
              <w:spacing w:before="240" w:after="240" w:line="360"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Comisionada/o</w:t>
            </w:r>
          </w:p>
        </w:tc>
      </w:tr>
      <w:tr w:rsidR="007D1EEA" w:rsidRPr="007D1EEA" w14:paraId="3AEDF952" w14:textId="77777777">
        <w:tc>
          <w:tcPr>
            <w:tcW w:w="4460" w:type="dxa"/>
          </w:tcPr>
          <w:p w14:paraId="67AD7375" w14:textId="77777777" w:rsidR="00023530" w:rsidRPr="00C93C2A" w:rsidRDefault="0013670A">
            <w:pPr>
              <w:spacing w:before="240" w:after="240" w:line="276" w:lineRule="auto"/>
              <w:jc w:val="center"/>
              <w:rPr>
                <w:rFonts w:ascii="Palatino Linotype" w:eastAsia="Palatino Linotype" w:hAnsi="Palatino Linotype" w:cs="Palatino Linotype"/>
                <w:b/>
                <w:lang w:val="en-US"/>
              </w:rPr>
            </w:pPr>
            <w:r w:rsidRPr="00C93C2A">
              <w:rPr>
                <w:rFonts w:ascii="Palatino Linotype" w:eastAsia="Palatino Linotype" w:hAnsi="Palatino Linotype" w:cs="Palatino Linotype"/>
                <w:b/>
                <w:sz w:val="20"/>
                <w:szCs w:val="20"/>
                <w:lang w:val="en-US"/>
              </w:rPr>
              <w:t>02574/INFOEM/IP/RR/2024, 02604/INFOEM/IP/RR/2024 y 02609/INFOEM/IP/RR/2024</w:t>
            </w:r>
          </w:p>
        </w:tc>
        <w:tc>
          <w:tcPr>
            <w:tcW w:w="4461" w:type="dxa"/>
          </w:tcPr>
          <w:p w14:paraId="04333111"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Comisionada Guadalupe Ramírez Peña</w:t>
            </w:r>
          </w:p>
        </w:tc>
      </w:tr>
      <w:tr w:rsidR="007D1EEA" w:rsidRPr="007D1EEA" w14:paraId="65721E8C" w14:textId="77777777">
        <w:tc>
          <w:tcPr>
            <w:tcW w:w="4460" w:type="dxa"/>
          </w:tcPr>
          <w:p w14:paraId="568295B4" w14:textId="77777777" w:rsidR="00023530" w:rsidRPr="00C93C2A" w:rsidRDefault="0013670A">
            <w:pPr>
              <w:spacing w:before="240" w:after="240" w:line="276" w:lineRule="auto"/>
              <w:jc w:val="center"/>
              <w:rPr>
                <w:rFonts w:ascii="Palatino Linotype" w:eastAsia="Palatino Linotype" w:hAnsi="Palatino Linotype" w:cs="Palatino Linotype"/>
                <w:b/>
                <w:sz w:val="20"/>
                <w:szCs w:val="20"/>
                <w:lang w:val="en-US"/>
              </w:rPr>
            </w:pPr>
            <w:r w:rsidRPr="00C93C2A">
              <w:rPr>
                <w:rFonts w:ascii="Palatino Linotype" w:eastAsia="Palatino Linotype" w:hAnsi="Palatino Linotype" w:cs="Palatino Linotype"/>
                <w:b/>
                <w:sz w:val="20"/>
                <w:szCs w:val="20"/>
                <w:lang w:val="en-US"/>
              </w:rPr>
              <w:t>02575/INFOEM/IP/RR/2024, 02605/INFOEM/IP/RR/2024 y 02610/INFOEM/IP/RR/2024</w:t>
            </w:r>
          </w:p>
        </w:tc>
        <w:tc>
          <w:tcPr>
            <w:tcW w:w="4461" w:type="dxa"/>
          </w:tcPr>
          <w:p w14:paraId="6AB60F34"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Comisionado </w:t>
            </w:r>
            <w:proofErr w:type="gramStart"/>
            <w:r w:rsidRPr="007D1EEA">
              <w:rPr>
                <w:rFonts w:ascii="Palatino Linotype" w:eastAsia="Palatino Linotype" w:hAnsi="Palatino Linotype" w:cs="Palatino Linotype"/>
                <w:b/>
                <w:sz w:val="20"/>
                <w:szCs w:val="20"/>
              </w:rPr>
              <w:t>Presidente</w:t>
            </w:r>
            <w:proofErr w:type="gramEnd"/>
            <w:r w:rsidRPr="007D1EEA">
              <w:rPr>
                <w:rFonts w:ascii="Palatino Linotype" w:eastAsia="Palatino Linotype" w:hAnsi="Palatino Linotype" w:cs="Palatino Linotype"/>
                <w:b/>
                <w:sz w:val="20"/>
                <w:szCs w:val="20"/>
              </w:rPr>
              <w:t xml:space="preserve"> José Martínez Vilchis</w:t>
            </w:r>
          </w:p>
        </w:tc>
      </w:tr>
      <w:tr w:rsidR="007D1EEA" w:rsidRPr="007D1EEA" w14:paraId="73334CB4" w14:textId="77777777">
        <w:tc>
          <w:tcPr>
            <w:tcW w:w="4460" w:type="dxa"/>
          </w:tcPr>
          <w:p w14:paraId="660AC6D6" w14:textId="77777777" w:rsidR="00023530" w:rsidRPr="00C93C2A" w:rsidRDefault="0013670A">
            <w:pPr>
              <w:spacing w:before="240" w:after="240" w:line="276" w:lineRule="auto"/>
              <w:jc w:val="center"/>
              <w:rPr>
                <w:rFonts w:ascii="Palatino Linotype" w:eastAsia="Palatino Linotype" w:hAnsi="Palatino Linotype" w:cs="Palatino Linotype"/>
                <w:b/>
                <w:sz w:val="20"/>
                <w:szCs w:val="20"/>
                <w:lang w:val="en-US"/>
              </w:rPr>
            </w:pPr>
            <w:r w:rsidRPr="00C93C2A">
              <w:rPr>
                <w:rFonts w:ascii="Palatino Linotype" w:eastAsia="Palatino Linotype" w:hAnsi="Palatino Linotype" w:cs="Palatino Linotype"/>
                <w:b/>
                <w:sz w:val="20"/>
                <w:szCs w:val="20"/>
                <w:lang w:val="en-US"/>
              </w:rPr>
              <w:t>02576/INFOEM/IP/RR/2024, 02581/INFOEM/IP/RR/2024, 02606/INFOEM/IP/RR/2024 y 02611/INFOEM/IP/RR/2024</w:t>
            </w:r>
          </w:p>
        </w:tc>
        <w:tc>
          <w:tcPr>
            <w:tcW w:w="4461" w:type="dxa"/>
          </w:tcPr>
          <w:p w14:paraId="467AE1C0"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Comisionado Luis Gustavo Parra Noriega </w:t>
            </w:r>
          </w:p>
        </w:tc>
      </w:tr>
      <w:tr w:rsidR="007D1EEA" w:rsidRPr="007D1EEA" w14:paraId="5FC69790" w14:textId="77777777">
        <w:tc>
          <w:tcPr>
            <w:tcW w:w="4460" w:type="dxa"/>
          </w:tcPr>
          <w:p w14:paraId="121279F3" w14:textId="77777777" w:rsidR="00023530" w:rsidRPr="007D1EEA" w:rsidRDefault="0013670A">
            <w:pPr>
              <w:spacing w:before="240" w:after="240" w:line="276"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02607/INFOEM/IP/RR/2024</w:t>
            </w:r>
          </w:p>
        </w:tc>
        <w:tc>
          <w:tcPr>
            <w:tcW w:w="4461" w:type="dxa"/>
          </w:tcPr>
          <w:p w14:paraId="69DD099C"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 xml:space="preserve">Comisionada Sharon Cristina Morales Martínez </w:t>
            </w:r>
          </w:p>
        </w:tc>
      </w:tr>
      <w:tr w:rsidR="00023530" w:rsidRPr="007D1EEA" w14:paraId="2855A240" w14:textId="77777777">
        <w:tc>
          <w:tcPr>
            <w:tcW w:w="4460" w:type="dxa"/>
          </w:tcPr>
          <w:p w14:paraId="60B14CBF" w14:textId="77777777" w:rsidR="00023530" w:rsidRPr="007D1EEA" w:rsidRDefault="0013670A">
            <w:pPr>
              <w:spacing w:before="240" w:after="240" w:line="276"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02608/INFOEM/IP/RR/2024</w:t>
            </w:r>
          </w:p>
        </w:tc>
        <w:tc>
          <w:tcPr>
            <w:tcW w:w="4461" w:type="dxa"/>
          </w:tcPr>
          <w:p w14:paraId="0CDA28A3" w14:textId="77777777" w:rsidR="00023530" w:rsidRPr="007D1EEA" w:rsidRDefault="0013670A">
            <w:pPr>
              <w:spacing w:before="240" w:after="240"/>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Comisionada María del Rosario Mejía Ayala</w:t>
            </w:r>
          </w:p>
        </w:tc>
      </w:tr>
    </w:tbl>
    <w:p w14:paraId="783E2B17" w14:textId="77777777" w:rsidR="00023530" w:rsidRPr="007D1EEA" w:rsidRDefault="00023530">
      <w:pPr>
        <w:spacing w:before="240" w:after="240" w:line="360" w:lineRule="auto"/>
        <w:jc w:val="both"/>
        <w:rPr>
          <w:rFonts w:ascii="Palatino Linotype" w:eastAsia="Palatino Linotype" w:hAnsi="Palatino Linotype" w:cs="Palatino Linotype"/>
          <w:b/>
        </w:rPr>
      </w:pPr>
    </w:p>
    <w:p w14:paraId="04081A41"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lastRenderedPageBreak/>
        <w:t xml:space="preserve">6. Admisiones. </w:t>
      </w:r>
      <w:r w:rsidRPr="007D1EEA">
        <w:rPr>
          <w:rFonts w:ascii="Palatino Linotype" w:eastAsia="Palatino Linotype" w:hAnsi="Palatino Linotype" w:cs="Palatino Linotype"/>
          <w:sz w:val="22"/>
          <w:szCs w:val="22"/>
        </w:rPr>
        <w:t xml:space="preserve">Los días </w:t>
      </w:r>
      <w:r w:rsidRPr="007D1EEA">
        <w:rPr>
          <w:rFonts w:ascii="Palatino Linotype" w:eastAsia="Palatino Linotype" w:hAnsi="Palatino Linotype" w:cs="Palatino Linotype"/>
          <w:b/>
          <w:sz w:val="22"/>
          <w:szCs w:val="22"/>
        </w:rPr>
        <w:t>nueve,</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diez, trece y quince de mayo del dos mil veinticuatro,</w:t>
      </w:r>
      <w:r w:rsidRPr="007D1EEA">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45E3DDB2"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7. Acumulación. </w:t>
      </w:r>
      <w:r w:rsidRPr="007D1EEA">
        <w:rPr>
          <w:rFonts w:ascii="Palatino Linotype" w:eastAsia="Palatino Linotype" w:hAnsi="Palatino Linotype" w:cs="Palatino Linotype"/>
          <w:sz w:val="22"/>
          <w:szCs w:val="22"/>
        </w:rPr>
        <w:t xml:space="preserve">En la </w:t>
      </w:r>
      <w:r w:rsidRPr="007D1EEA">
        <w:rPr>
          <w:rFonts w:ascii="Palatino Linotype" w:eastAsia="Palatino Linotype" w:hAnsi="Palatino Linotype" w:cs="Palatino Linotype"/>
          <w:b/>
          <w:sz w:val="22"/>
          <w:szCs w:val="22"/>
        </w:rPr>
        <w:t>Décima Octava Sesión Ordinaria</w:t>
      </w:r>
      <w:r w:rsidRPr="007D1EEA">
        <w:rPr>
          <w:rFonts w:ascii="Palatino Linotype" w:eastAsia="Palatino Linotype" w:hAnsi="Palatino Linotype" w:cs="Palatino Linotype"/>
          <w:sz w:val="22"/>
          <w:szCs w:val="22"/>
        </w:rPr>
        <w:t xml:space="preserve"> celebrada el </w:t>
      </w:r>
      <w:r w:rsidRPr="007D1EEA">
        <w:rPr>
          <w:rFonts w:ascii="Palatino Linotype" w:eastAsia="Palatino Linotype" w:hAnsi="Palatino Linotype" w:cs="Palatino Linotype"/>
          <w:b/>
          <w:sz w:val="22"/>
          <w:szCs w:val="22"/>
        </w:rPr>
        <w:t>veintidós de mayo de dos mil veinticuatro</w:t>
      </w:r>
      <w:r w:rsidRPr="007D1EEA">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7D1EEA">
        <w:rPr>
          <w:rFonts w:ascii="Palatino Linotype" w:eastAsia="Palatino Linotype" w:hAnsi="Palatino Linotype" w:cs="Palatino Linotype"/>
          <w:b/>
          <w:sz w:val="22"/>
          <w:szCs w:val="22"/>
        </w:rPr>
        <w:t>Comisionada</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Guadalupe Ramírez Peña</w:t>
      </w:r>
      <w:r w:rsidRPr="007D1EEA">
        <w:rPr>
          <w:rFonts w:ascii="Palatino Linotype" w:eastAsia="Palatino Linotype" w:hAnsi="Palatino Linotype" w:cs="Palatino Linotype"/>
          <w:sz w:val="22"/>
          <w:szCs w:val="22"/>
        </w:rPr>
        <w:t xml:space="preserve">; que mediante acuerdo se notificó a las partes vía SAIMEX. </w:t>
      </w:r>
    </w:p>
    <w:p w14:paraId="51BCC457"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8. Manifestaciones e Informe Justificado. </w:t>
      </w:r>
      <w:r w:rsidRPr="007D1EEA">
        <w:rPr>
          <w:rFonts w:ascii="Palatino Linotype" w:eastAsia="Palatino Linotype" w:hAnsi="Palatino Linotype" w:cs="Palatino Linotype"/>
          <w:sz w:val="22"/>
          <w:szCs w:val="22"/>
        </w:rPr>
        <w:t>De las constancias que obran en los expedientes electrónicos del SAIMEX se desprende que</w:t>
      </w:r>
      <w:r w:rsidRPr="007D1EEA">
        <w:rPr>
          <w:rFonts w:ascii="Palatino Linotype" w:eastAsia="Palatino Linotype" w:hAnsi="Palatino Linotype" w:cs="Palatino Linotype"/>
          <w:b/>
          <w:sz w:val="22"/>
          <w:szCs w:val="22"/>
        </w:rPr>
        <w:t xml:space="preserve"> </w:t>
      </w:r>
      <w:r w:rsidRPr="007D1EEA">
        <w:rPr>
          <w:rFonts w:ascii="Palatino Linotype" w:eastAsia="Palatino Linotype" w:hAnsi="Palatino Linotype" w:cs="Palatino Linotype"/>
          <w:sz w:val="22"/>
          <w:szCs w:val="22"/>
        </w:rPr>
        <w:t xml:space="preserve">las partes fueron omisas en remitir sus manifestaciones, informes justificados y alegatos, por lo que se </w:t>
      </w:r>
      <w:proofErr w:type="gramStart"/>
      <w:r w:rsidRPr="007D1EEA">
        <w:rPr>
          <w:rFonts w:ascii="Palatino Linotype" w:eastAsia="Palatino Linotype" w:hAnsi="Palatino Linotype" w:cs="Palatino Linotype"/>
          <w:sz w:val="22"/>
          <w:szCs w:val="22"/>
        </w:rPr>
        <w:t>tiene  por</w:t>
      </w:r>
      <w:proofErr w:type="gramEnd"/>
      <w:r w:rsidRPr="007D1EEA">
        <w:rPr>
          <w:rFonts w:ascii="Palatino Linotype" w:eastAsia="Palatino Linotype" w:hAnsi="Palatino Linotype" w:cs="Palatino Linotype"/>
          <w:sz w:val="22"/>
          <w:szCs w:val="22"/>
        </w:rPr>
        <w:t xml:space="preserve"> precluido su derecho para tal efecto y se procede a emitir la resolución que conforme a derecho corresponda. </w:t>
      </w:r>
    </w:p>
    <w:p w14:paraId="51C50CCE"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9. Ampliaciones del plazo para emitir resolución.</w:t>
      </w:r>
      <w:r w:rsidRPr="007D1EEA">
        <w:rPr>
          <w:rFonts w:ascii="Palatino Linotype" w:eastAsia="Palatino Linotype" w:hAnsi="Palatino Linotype" w:cs="Palatino Linotype"/>
          <w:sz w:val="22"/>
          <w:szCs w:val="22"/>
        </w:rPr>
        <w:t xml:space="preserve"> El </w:t>
      </w:r>
      <w:r w:rsidRPr="007D1EEA">
        <w:rPr>
          <w:rFonts w:ascii="Palatino Linotype" w:eastAsia="Palatino Linotype" w:hAnsi="Palatino Linotype" w:cs="Palatino Linotype"/>
          <w:b/>
          <w:sz w:val="22"/>
          <w:szCs w:val="22"/>
        </w:rPr>
        <w:t>diecinueve de junio de dos mil veinticuatro</w:t>
      </w:r>
      <w:r w:rsidRPr="007D1EEA">
        <w:rPr>
          <w:rFonts w:ascii="Palatino Linotype" w:eastAsia="Palatino Linotype" w:hAnsi="Palatino Linotype" w:cs="Palatino Linotype"/>
          <w:sz w:val="22"/>
          <w:szCs w:val="22"/>
        </w:rPr>
        <w:t xml:space="preserve">, se notificó a las partes el Acuerdo de Ampliación de Plazo para resolver los medios de impugnación que nos ocupan, en términos de lo dispuesto por el artículo 181, </w:t>
      </w:r>
      <w:r w:rsidRPr="007D1EEA">
        <w:rPr>
          <w:rFonts w:ascii="Palatino Linotype" w:eastAsia="Palatino Linotype" w:hAnsi="Palatino Linotype" w:cs="Palatino Linotype"/>
          <w:sz w:val="22"/>
          <w:szCs w:val="22"/>
        </w:rPr>
        <w:lastRenderedPageBreak/>
        <w:t>párrafo tercero de la Ley de Transparencia y Acceso a la Información Pública del Estado de México y Municipios.</w:t>
      </w:r>
    </w:p>
    <w:p w14:paraId="0F891474"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Este organismo garante no pasa por alto justificar, que el plazo para emitir la resolución en los presentes asuntos encuentra justificación en el alto número de recursos de revisión recibidos, circunstancia atípica que ha rebasado las capacidades técnicas y humanas del personal encargado de la proyección de las resoluciones a dichos medios de impugnación.</w:t>
      </w:r>
    </w:p>
    <w:p w14:paraId="18E262E9"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FF94409"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8B3DA5F"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CD44D5"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Por ello, excepcionalmente, si un asunto es resuelto con posterioridad a los plazos señalados por la norma debe analizarse la razonabilidad del tiempo necesario para su resolución, atentos a los siguientes criterios: </w:t>
      </w:r>
    </w:p>
    <w:p w14:paraId="0BD65C73" w14:textId="77777777" w:rsidR="00023530" w:rsidRPr="007D1EEA" w:rsidRDefault="0013670A">
      <w:pPr>
        <w:numPr>
          <w:ilvl w:val="0"/>
          <w:numId w:val="6"/>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Complejidad del Asunto:</w:t>
      </w:r>
      <w:r w:rsidRPr="007D1EEA">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39A55CAD" w14:textId="77777777" w:rsidR="00023530" w:rsidRPr="007D1EEA" w:rsidRDefault="0013670A">
      <w:pPr>
        <w:numPr>
          <w:ilvl w:val="0"/>
          <w:numId w:val="6"/>
        </w:numPr>
        <w:spacing w:before="240" w:after="240" w:line="360" w:lineRule="auto"/>
        <w:ind w:left="567" w:right="1183"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Actividad Procesal del interesado.</w:t>
      </w:r>
      <w:r w:rsidRPr="007D1EEA">
        <w:rPr>
          <w:rFonts w:ascii="Palatino Linotype" w:eastAsia="Palatino Linotype" w:hAnsi="Palatino Linotype" w:cs="Palatino Linotype"/>
          <w:sz w:val="22"/>
          <w:szCs w:val="22"/>
        </w:rPr>
        <w:t xml:space="preserve"> Acciones u omisiones del interesado.</w:t>
      </w:r>
    </w:p>
    <w:p w14:paraId="17E13BD5" w14:textId="77777777" w:rsidR="00023530" w:rsidRPr="007D1EEA" w:rsidRDefault="0013670A">
      <w:pPr>
        <w:numPr>
          <w:ilvl w:val="0"/>
          <w:numId w:val="6"/>
        </w:numPr>
        <w:spacing w:before="240" w:after="240" w:line="360" w:lineRule="auto"/>
        <w:ind w:left="567" w:right="1183"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Conducta de la Autoridad:</w:t>
      </w:r>
      <w:r w:rsidRPr="007D1EEA">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36C10BD5" w14:textId="77777777" w:rsidR="00023530" w:rsidRPr="007D1EEA" w:rsidRDefault="0013670A">
      <w:pPr>
        <w:numPr>
          <w:ilvl w:val="0"/>
          <w:numId w:val="6"/>
        </w:numPr>
        <w:spacing w:before="240" w:after="240" w:line="360" w:lineRule="auto"/>
        <w:ind w:left="567" w:right="1183"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La afectación generada en la situación jurídica de la persona involucrada en el proceso:</w:t>
      </w:r>
      <w:r w:rsidRPr="007D1EEA">
        <w:rPr>
          <w:rFonts w:ascii="Palatino Linotype" w:eastAsia="Palatino Linotype" w:hAnsi="Palatino Linotype" w:cs="Palatino Linotype"/>
          <w:sz w:val="22"/>
          <w:szCs w:val="22"/>
        </w:rPr>
        <w:t xml:space="preserve"> Violación a sus derechos humanos.</w:t>
      </w:r>
    </w:p>
    <w:p w14:paraId="26EFBFB9"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9AF1C6"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7D1EEA">
        <w:rPr>
          <w:rFonts w:ascii="Palatino Linotype" w:eastAsia="Palatino Linotype" w:hAnsi="Palatino Linotype" w:cs="Palatino Linotype"/>
          <w:i/>
          <w:sz w:val="22"/>
          <w:szCs w:val="22"/>
        </w:rPr>
        <w:t xml:space="preserve">“TÉRMINOS PROCESALES. PARA </w:t>
      </w:r>
      <w:r w:rsidRPr="007D1EEA">
        <w:rPr>
          <w:rFonts w:ascii="Palatino Linotype" w:eastAsia="Palatino Linotype" w:hAnsi="Palatino Linotype" w:cs="Palatino Linotype"/>
          <w:i/>
          <w:sz w:val="22"/>
          <w:szCs w:val="22"/>
        </w:rPr>
        <w:lastRenderedPageBreak/>
        <w:t>DETERMINAR SI UN FUNCIONARIO JUDICIAL ACTUÓ INDEBIDAMENTE POR NO RESPETARLOS SE DEBE ATENDER AL PRESUPUESTO QUE CONSIDERÓ EL LEGISLADOR AL FIJARLOS Y LAS CARACTERÍSTICAS DEL CASO.”</w:t>
      </w:r>
      <w:r w:rsidRPr="007D1EEA">
        <w:rPr>
          <w:rFonts w:ascii="Palatino Linotype" w:eastAsia="Palatino Linotype" w:hAnsi="Palatino Linotype" w:cs="Palatino Linotype"/>
          <w:sz w:val="22"/>
          <w:szCs w:val="22"/>
        </w:rPr>
        <w:t>, visible en la Gaceta del Seminario Judicial de la Federación con el registro digital 205635.</w:t>
      </w:r>
    </w:p>
    <w:p w14:paraId="113A2368"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Razones por las cuales cabe concluir que, la resolución a los recursos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6D0486"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7538E47"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w:t>
      </w:r>
      <w:r w:rsidRPr="007D1EEA">
        <w:rPr>
          <w:rFonts w:ascii="Palatino Linotype" w:eastAsia="Palatino Linotype" w:hAnsi="Palatino Linotype" w:cs="Palatino Linotype"/>
          <w:i/>
          <w:sz w:val="22"/>
          <w:szCs w:val="22"/>
        </w:rPr>
        <w:t>“PLAZO RAZONABLE PARA RESOLVER. DIMENSIÓN Y EFECTOS DE ESTE CONCEPTO CUANDO SE ADUCE EXCESIVA CARGA DE TRABAJO.”</w:t>
      </w:r>
      <w:r w:rsidRPr="007D1EEA">
        <w:rPr>
          <w:rFonts w:ascii="Palatino Linotype" w:eastAsia="Palatino Linotype" w:hAnsi="Palatino Linotype" w:cs="Palatino Linotype"/>
          <w:sz w:val="22"/>
          <w:szCs w:val="22"/>
        </w:rPr>
        <w:t xml:space="preserve"> consultable en el Seminario Judicial de la Federación y su gaceta, con el registro digital 2002351.</w:t>
      </w:r>
    </w:p>
    <w:p w14:paraId="1B860E8A"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i/>
          <w:sz w:val="22"/>
          <w:szCs w:val="22"/>
        </w:rPr>
        <w:lastRenderedPageBreak/>
        <w:t>“PLAZO RAZONABLE PARA RESOLVER. CONCEPTO Y ELEMENTOS QUE LO INTEGRAN A LA LUZ DEL DERECHO INTERNACIONAL DE LOS DERECHOS HUMANOS.”</w:t>
      </w:r>
      <w:r w:rsidRPr="007D1EEA">
        <w:rPr>
          <w:rFonts w:ascii="Palatino Linotype" w:eastAsia="Palatino Linotype" w:hAnsi="Palatino Linotype" w:cs="Palatino Linotype"/>
          <w:sz w:val="22"/>
          <w:szCs w:val="22"/>
        </w:rPr>
        <w:t>, visible en el Seminario Judicial de la Federación y su gaceta, con el registro digital 2002350.</w:t>
      </w:r>
    </w:p>
    <w:p w14:paraId="00E88852"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73C27080"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10. Cierres de instrucción. </w:t>
      </w:r>
      <w:r w:rsidRPr="007D1EE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Pr="007D1EEA">
        <w:rPr>
          <w:rFonts w:ascii="Palatino Linotype" w:eastAsia="Palatino Linotype" w:hAnsi="Palatino Linotype" w:cs="Palatino Linotype"/>
          <w:b/>
          <w:sz w:val="22"/>
          <w:szCs w:val="22"/>
        </w:rPr>
        <w:t>diecinueve de junio de</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dos mil veinticuatro</w:t>
      </w:r>
      <w:r w:rsidRPr="007D1EEA">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0562DFFB"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 razón de que fueron debidamente sustanciados los expedientes electrónicos y no existen diligencias pendientes de desahogo, se emite la Resolución que conforme a Derecho proceda, de acuerdo con los siguientes: </w:t>
      </w:r>
    </w:p>
    <w:p w14:paraId="3D375A67" w14:textId="77777777" w:rsidR="00023530" w:rsidRPr="007D1EEA" w:rsidRDefault="0013670A">
      <w:pPr>
        <w:widowControl w:val="0"/>
        <w:spacing w:before="240" w:after="240" w:line="360" w:lineRule="auto"/>
        <w:jc w:val="center"/>
        <w:rPr>
          <w:rFonts w:ascii="Palatino Linotype" w:eastAsia="Palatino Linotype" w:hAnsi="Palatino Linotype" w:cs="Palatino Linotype"/>
          <w:b/>
        </w:rPr>
      </w:pPr>
      <w:r w:rsidRPr="007D1EEA">
        <w:rPr>
          <w:rFonts w:ascii="Palatino Linotype" w:eastAsia="Palatino Linotype" w:hAnsi="Palatino Linotype" w:cs="Palatino Linotype"/>
          <w:b/>
        </w:rPr>
        <w:t>II. C O N S I D E R A N D O</w:t>
      </w:r>
    </w:p>
    <w:p w14:paraId="0F94006E"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Primero. Competencia.</w:t>
      </w:r>
      <w:r w:rsidRPr="007D1EE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w:t>
      </w:r>
      <w:r w:rsidRPr="007D1EEA">
        <w:rPr>
          <w:rFonts w:ascii="Palatino Linotype" w:eastAsia="Palatino Linotype" w:hAnsi="Palatino Linotype" w:cs="Palatino Linotype"/>
          <w:b/>
          <w:sz w:val="22"/>
          <w:szCs w:val="22"/>
        </w:rPr>
        <w:t>la parte Recurrente</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sz w:val="22"/>
          <w:szCs w:val="22"/>
        </w:rPr>
        <w:lastRenderedPageBreak/>
        <w:t>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XXIII y XXIV  y 11 del Reglamento Interior del Instituto de Transparencia, Acceso a la Información Pública y Protección de Datos Personales del Estado de México y Municipios.</w:t>
      </w:r>
    </w:p>
    <w:p w14:paraId="3BE13BBA"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bookmarkStart w:id="1" w:name="_heading=h.30j0zll" w:colFirst="0" w:colLast="0"/>
      <w:bookmarkEnd w:id="1"/>
      <w:r w:rsidRPr="007D1EEA">
        <w:rPr>
          <w:rFonts w:ascii="Palatino Linotype" w:eastAsia="Palatino Linotype" w:hAnsi="Palatino Linotype" w:cs="Palatino Linotype"/>
          <w:b/>
          <w:sz w:val="22"/>
          <w:szCs w:val="22"/>
        </w:rPr>
        <w:t>Segundo. Oportunidad y Procedibilidad de los Recursos de Revisión</w:t>
      </w:r>
      <w:r w:rsidRPr="007D1EEA">
        <w:rPr>
          <w:rFonts w:ascii="Palatino Linotype" w:eastAsia="Palatino Linotype" w:hAnsi="Palatino Linotype" w:cs="Palatino Linotype"/>
          <w:sz w:val="22"/>
          <w:szCs w:val="22"/>
        </w:rPr>
        <w:t>.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14:paraId="4ABD1826"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Los recursos de revisión fueron interpuestos dentro del plazo de quince días hábiles, previsto en el artículo 178 de la Ley de Transparencia y Acceso a la Información Pública del Estado de México y Municipios, toda vez que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respondió a las solicitudes de información que </w:t>
      </w:r>
      <w:proofErr w:type="spellStart"/>
      <w:r w:rsidRPr="007D1EEA">
        <w:rPr>
          <w:rFonts w:ascii="Palatino Linotype" w:eastAsia="Palatino Linotype" w:hAnsi="Palatino Linotype" w:cs="Palatino Linotype"/>
          <w:sz w:val="22"/>
          <w:szCs w:val="22"/>
        </w:rPr>
        <w:t>aperturaron</w:t>
      </w:r>
      <w:proofErr w:type="spellEnd"/>
      <w:r w:rsidRPr="007D1EEA">
        <w:rPr>
          <w:rFonts w:ascii="Palatino Linotype" w:eastAsia="Palatino Linotype" w:hAnsi="Palatino Linotype" w:cs="Palatino Linotype"/>
          <w:sz w:val="22"/>
          <w:szCs w:val="22"/>
        </w:rPr>
        <w:t xml:space="preserve"> los recursos de revisión, los días </w:t>
      </w:r>
      <w:r w:rsidRPr="007D1EEA">
        <w:rPr>
          <w:rFonts w:ascii="Palatino Linotype" w:eastAsia="Palatino Linotype" w:hAnsi="Palatino Linotype" w:cs="Palatino Linotype"/>
          <w:b/>
          <w:sz w:val="22"/>
          <w:szCs w:val="22"/>
        </w:rPr>
        <w:t>veinticinco y treinta de abril</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de dos mil veinticuatro</w:t>
      </w:r>
      <w:r w:rsidRPr="007D1EEA">
        <w:rPr>
          <w:rFonts w:ascii="Palatino Linotype" w:eastAsia="Palatino Linotype" w:hAnsi="Palatino Linotype" w:cs="Palatino Linotype"/>
          <w:sz w:val="22"/>
          <w:szCs w:val="22"/>
        </w:rPr>
        <w:t xml:space="preserve">, por su parte, los recursos de revisión se interpusieron el </w:t>
      </w:r>
      <w:r w:rsidRPr="007D1EEA">
        <w:rPr>
          <w:rFonts w:ascii="Palatino Linotype" w:eastAsia="Palatino Linotype" w:hAnsi="Palatino Linotype" w:cs="Palatino Linotype"/>
          <w:b/>
          <w:sz w:val="22"/>
          <w:szCs w:val="22"/>
        </w:rPr>
        <w:t>siete de mayo de dos mil veinticuatro</w:t>
      </w:r>
      <w:r w:rsidRPr="007D1EEA">
        <w:rPr>
          <w:rFonts w:ascii="Palatino Linotype" w:eastAsia="Palatino Linotype" w:hAnsi="Palatino Linotype" w:cs="Palatino Linotype"/>
          <w:sz w:val="22"/>
          <w:szCs w:val="22"/>
        </w:rPr>
        <w:t xml:space="preserve">, siendo estos el </w:t>
      </w:r>
      <w:r w:rsidRPr="007D1EEA">
        <w:rPr>
          <w:rFonts w:ascii="Palatino Linotype" w:eastAsia="Palatino Linotype" w:hAnsi="Palatino Linotype" w:cs="Palatino Linotype"/>
          <w:b/>
          <w:sz w:val="22"/>
          <w:szCs w:val="22"/>
        </w:rPr>
        <w:t>tercer y sexto días hábiles</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después de conocerse las respuestas.</w:t>
      </w:r>
    </w:p>
    <w:p w14:paraId="535451E1"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En este sentido, al considerar las fechas en que se formularon las solicitudes y las fechas en que respondieron a estas; así como la fecha en que se interpusieron los recursos de revisión, se concluye que los presentes recursos de revisión se encuentran dentro de los márgenes temporales previstos las disposiciones legales referidas.</w:t>
      </w:r>
    </w:p>
    <w:p w14:paraId="64D60A0A" w14:textId="77777777" w:rsidR="00023530" w:rsidRPr="007D1EEA" w:rsidRDefault="0013670A">
      <w:pPr>
        <w:pBdr>
          <w:top w:val="nil"/>
          <w:left w:val="nil"/>
          <w:bottom w:val="nil"/>
          <w:right w:val="nil"/>
          <w:between w:val="nil"/>
        </w:pBdr>
        <w:spacing w:before="240" w:after="240" w:line="360" w:lineRule="auto"/>
        <w:jc w:val="both"/>
        <w:rPr>
          <w:sz w:val="22"/>
          <w:szCs w:val="22"/>
        </w:rPr>
      </w:pPr>
      <w:r w:rsidRPr="007D1EEA">
        <w:rPr>
          <w:rFonts w:ascii="Palatino Linotype" w:eastAsia="Palatino Linotype" w:hAnsi="Palatino Linotype" w:cs="Palatino Linotype"/>
          <w:sz w:val="22"/>
          <w:szCs w:val="22"/>
        </w:rPr>
        <w:t xml:space="preserve">Asimismo, por cuanto hace a la procedibilidad del  recurso de revisión, es de suma importancia señalar que </w:t>
      </w:r>
      <w:r w:rsidRPr="007D1EEA">
        <w:rPr>
          <w:rFonts w:ascii="Palatino Linotype" w:eastAsia="Palatino Linotype" w:hAnsi="Palatino Linotype" w:cs="Palatino Linotype"/>
          <w:b/>
          <w:sz w:val="22"/>
          <w:szCs w:val="22"/>
        </w:rPr>
        <w:t>la parte Recurrente</w:t>
      </w:r>
      <w:r w:rsidRPr="007D1EEA">
        <w:rPr>
          <w:rFonts w:ascii="Palatino Linotype" w:eastAsia="Palatino Linotype" w:hAnsi="Palatino Linotype" w:cs="Palatino Linotype"/>
          <w:sz w:val="22"/>
          <w:szCs w:val="22"/>
        </w:rPr>
        <w:t>, no señaló nombre o seudónimo con el que puede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24C11A8" w14:textId="77777777" w:rsidR="00023530" w:rsidRPr="007D1EEA" w:rsidRDefault="0013670A">
      <w:pPr>
        <w:pBdr>
          <w:top w:val="nil"/>
          <w:left w:val="nil"/>
          <w:bottom w:val="nil"/>
          <w:right w:val="nil"/>
          <w:between w:val="nil"/>
        </w:pBdr>
        <w:spacing w:before="240" w:after="240"/>
        <w:ind w:left="567" w:right="616"/>
        <w:jc w:val="both"/>
      </w:pPr>
      <w:r w:rsidRPr="007D1EEA">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B4DFC59"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39D6C384"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Finalmente, se advierte que resulta procedente la interposición de los recursos, según lo manifestado por la parte recurrente en sus motivos de inconformidad, de acuerdo al artículo 179, fracción I del ordenamiento legal citado, que a la letra dice: </w:t>
      </w:r>
    </w:p>
    <w:p w14:paraId="7F177FFB" w14:textId="77777777" w:rsidR="00023530" w:rsidRPr="007D1EEA" w:rsidRDefault="0013670A">
      <w:pPr>
        <w:tabs>
          <w:tab w:val="left" w:pos="7088"/>
        </w:tabs>
        <w:spacing w:before="240" w:after="240"/>
        <w:ind w:left="851" w:right="616"/>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r w:rsidRPr="007D1EEA">
        <w:rPr>
          <w:rFonts w:ascii="Palatino Linotype" w:eastAsia="Palatino Linotype" w:hAnsi="Palatino Linotype" w:cs="Palatino Linotype"/>
          <w:b/>
          <w:i/>
          <w:sz w:val="22"/>
          <w:szCs w:val="22"/>
        </w:rPr>
        <w:t>Artículo 179.</w:t>
      </w:r>
      <w:r w:rsidRPr="007D1EE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4395C901" w14:textId="77777777" w:rsidR="00023530" w:rsidRPr="007D1EEA" w:rsidRDefault="0013670A">
      <w:pPr>
        <w:tabs>
          <w:tab w:val="left" w:pos="7088"/>
        </w:tabs>
        <w:spacing w:before="240" w:after="240"/>
        <w:ind w:left="851" w:right="616"/>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644CF8C3" w14:textId="77777777" w:rsidR="00023530" w:rsidRPr="007D1EEA" w:rsidRDefault="0013670A">
      <w:pPr>
        <w:tabs>
          <w:tab w:val="left" w:pos="7088"/>
        </w:tabs>
        <w:spacing w:before="240" w:after="240"/>
        <w:ind w:left="851" w:right="616"/>
        <w:jc w:val="both"/>
        <w:rPr>
          <w:rFonts w:ascii="Palatino Linotype" w:eastAsia="Palatino Linotype" w:hAnsi="Palatino Linotype" w:cs="Palatino Linotype"/>
          <w:b/>
          <w:i/>
          <w:sz w:val="22"/>
          <w:szCs w:val="22"/>
          <w:u w:val="single"/>
        </w:rPr>
      </w:pPr>
      <w:r w:rsidRPr="007D1EEA">
        <w:rPr>
          <w:rFonts w:ascii="Palatino Linotype" w:eastAsia="Palatino Linotype" w:hAnsi="Palatino Linotype" w:cs="Palatino Linotype"/>
          <w:b/>
          <w:i/>
          <w:sz w:val="22"/>
          <w:szCs w:val="22"/>
          <w:u w:val="single"/>
        </w:rPr>
        <w:t>I. La negativa a la información solicitada;</w:t>
      </w:r>
      <w:r w:rsidRPr="007D1EEA">
        <w:rPr>
          <w:rFonts w:ascii="Palatino Linotype" w:eastAsia="Palatino Linotype" w:hAnsi="Palatino Linotype" w:cs="Palatino Linotype"/>
          <w:b/>
          <w:i/>
          <w:sz w:val="22"/>
          <w:szCs w:val="22"/>
        </w:rPr>
        <w:t xml:space="preserve">” </w:t>
      </w:r>
      <w:r w:rsidRPr="007D1EEA">
        <w:rPr>
          <w:rFonts w:ascii="Palatino Linotype" w:eastAsia="Palatino Linotype" w:hAnsi="Palatino Linotype" w:cs="Palatino Linotype"/>
          <w:i/>
          <w:sz w:val="22"/>
          <w:szCs w:val="22"/>
        </w:rPr>
        <w:t>(Énfasis añadido)</w:t>
      </w:r>
    </w:p>
    <w:p w14:paraId="77F04307"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Tercero. Materia de la revisión. </w:t>
      </w:r>
      <w:r w:rsidRPr="007D1EEA">
        <w:rPr>
          <w:rFonts w:ascii="Palatino Linotype" w:eastAsia="Palatino Linotype" w:hAnsi="Palatino Linotype" w:cs="Palatino Linotype"/>
          <w:sz w:val="22"/>
          <w:szCs w:val="22"/>
        </w:rPr>
        <w:t xml:space="preserve">De la revisión a las constancias y documentos que obran en los expedientes electrónicos se advierte, que el tema sobre el que este Organismo Garante de Transparencia y Acceso a la Información se pronunciará será: </w:t>
      </w:r>
      <w:r w:rsidRPr="007D1EEA">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7D1EEA">
        <w:rPr>
          <w:rFonts w:ascii="Palatino Linotype" w:eastAsia="Palatino Linotype" w:hAnsi="Palatino Linotype" w:cs="Palatino Linotype"/>
          <w:sz w:val="22"/>
          <w:szCs w:val="22"/>
        </w:rPr>
        <w:t xml:space="preserve">de </w:t>
      </w:r>
      <w:r w:rsidRPr="007D1EEA">
        <w:rPr>
          <w:rFonts w:ascii="Palatino Linotype" w:eastAsia="Palatino Linotype" w:hAnsi="Palatino Linotype" w:cs="Palatino Linotype"/>
          <w:b/>
          <w:sz w:val="22"/>
          <w:szCs w:val="22"/>
        </w:rPr>
        <w:t>la parte</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Recurrente</w:t>
      </w:r>
      <w:r w:rsidRPr="007D1EEA">
        <w:rPr>
          <w:rFonts w:ascii="Palatino Linotype" w:eastAsia="Palatino Linotype" w:hAnsi="Palatino Linotype" w:cs="Palatino Linotype"/>
          <w:sz w:val="22"/>
          <w:szCs w:val="22"/>
        </w:rPr>
        <w:t xml:space="preserve">, o en su defecto, en caso de ser procedente, ordenar la entrega de información.  </w:t>
      </w:r>
    </w:p>
    <w:p w14:paraId="57485CDA"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Cuarto. Estudio del asunto. </w:t>
      </w:r>
      <w:r w:rsidRPr="007D1EEA">
        <w:rPr>
          <w:rFonts w:ascii="Palatino Linotype" w:eastAsia="Palatino Linotype" w:hAnsi="Palatino Linotype" w:cs="Palatino Linotype"/>
          <w:sz w:val="22"/>
          <w:szCs w:val="22"/>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E1EF409" w14:textId="77777777" w:rsidR="00023530" w:rsidRPr="007D1EEA" w:rsidRDefault="0013670A">
      <w:pPr>
        <w:tabs>
          <w:tab w:val="left" w:pos="709"/>
        </w:tabs>
        <w:spacing w:before="240" w:after="240"/>
        <w:ind w:left="851" w:right="85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7D1EE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5484B2C4" w14:textId="77777777" w:rsidR="00023530" w:rsidRPr="007D1EEA" w:rsidRDefault="0013670A">
      <w:pPr>
        <w:tabs>
          <w:tab w:val="left" w:pos="709"/>
        </w:tabs>
        <w:spacing w:before="240" w:after="240"/>
        <w:ind w:left="851" w:right="85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1CAFD92" w14:textId="77777777" w:rsidR="00023530" w:rsidRPr="007D1EEA" w:rsidRDefault="0013670A">
      <w:pPr>
        <w:tabs>
          <w:tab w:val="left" w:pos="709"/>
        </w:tabs>
        <w:spacing w:before="240" w:after="240"/>
        <w:ind w:left="851" w:right="85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D1EE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36E80E2" w14:textId="77777777" w:rsidR="00023530" w:rsidRPr="007D1EEA" w:rsidRDefault="0013670A">
      <w:pPr>
        <w:tabs>
          <w:tab w:val="left" w:pos="709"/>
        </w:tabs>
        <w:spacing w:before="240" w:after="240"/>
        <w:ind w:left="851" w:right="85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21535CCF" w14:textId="77777777" w:rsidR="00023530" w:rsidRPr="007D1EEA" w:rsidRDefault="0013670A">
      <w:pPr>
        <w:spacing w:before="240" w:after="240"/>
        <w:ind w:left="851" w:right="90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“Artículo 6o.</w:t>
      </w:r>
    </w:p>
    <w:p w14:paraId="161C419A" w14:textId="77777777" w:rsidR="00023530" w:rsidRPr="007D1EEA" w:rsidRDefault="0013670A">
      <w:pPr>
        <w:spacing w:before="240" w:after="240"/>
        <w:ind w:left="851" w:right="90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550D6099"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A. Para el ejercicio del derecho de acceso a la información, la Federación y </w:t>
      </w:r>
      <w:r w:rsidRPr="007D1EEA">
        <w:rPr>
          <w:rFonts w:ascii="Palatino Linotype" w:eastAsia="Palatino Linotype" w:hAnsi="Palatino Linotype" w:cs="Palatino Linotype"/>
          <w:b/>
          <w:i/>
          <w:sz w:val="22"/>
          <w:szCs w:val="22"/>
          <w:u w:val="single"/>
        </w:rPr>
        <w:t>las entidades federativas</w:t>
      </w:r>
      <w:r w:rsidRPr="007D1EEA">
        <w:rPr>
          <w:rFonts w:ascii="Palatino Linotype" w:eastAsia="Palatino Linotype" w:hAnsi="Palatino Linotype" w:cs="Palatino Linotype"/>
          <w:b/>
          <w:i/>
          <w:sz w:val="22"/>
          <w:szCs w:val="22"/>
        </w:rPr>
        <w:t>,</w:t>
      </w:r>
      <w:r w:rsidRPr="007D1EEA">
        <w:rPr>
          <w:rFonts w:ascii="Palatino Linotype" w:eastAsia="Palatino Linotype" w:hAnsi="Palatino Linotype" w:cs="Palatino Linotype"/>
          <w:i/>
          <w:sz w:val="22"/>
          <w:szCs w:val="22"/>
        </w:rPr>
        <w:t xml:space="preserve"> en el ámbito de sus respectivas competencias, se regirán por los siguientes principios y bases:</w:t>
      </w:r>
    </w:p>
    <w:p w14:paraId="7D3FBB80"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I. </w:t>
      </w:r>
      <w:r w:rsidRPr="007D1EE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D1EEA">
        <w:rPr>
          <w:rFonts w:ascii="Palatino Linotype" w:eastAsia="Palatino Linotype" w:hAnsi="Palatino Linotype" w:cs="Palatino Linotype"/>
          <w:i/>
          <w:sz w:val="22"/>
          <w:szCs w:val="22"/>
        </w:rPr>
        <w:t xml:space="preserve"> Ejecutivo, Legislativo </w:t>
      </w:r>
      <w:r w:rsidRPr="007D1EEA">
        <w:rPr>
          <w:rFonts w:ascii="Palatino Linotype" w:eastAsia="Palatino Linotype" w:hAnsi="Palatino Linotype" w:cs="Palatino Linotype"/>
          <w:b/>
          <w:i/>
          <w:sz w:val="22"/>
          <w:szCs w:val="22"/>
          <w:u w:val="single"/>
        </w:rPr>
        <w:t>y Judicial</w:t>
      </w:r>
      <w:r w:rsidRPr="007D1EE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w:t>
      </w:r>
      <w:r w:rsidRPr="007D1EEA">
        <w:rPr>
          <w:rFonts w:ascii="Palatino Linotype" w:eastAsia="Palatino Linotype" w:hAnsi="Palatino Linotype" w:cs="Palatino Linotype"/>
          <w:i/>
          <w:sz w:val="22"/>
          <w:szCs w:val="22"/>
        </w:rPr>
        <w:lastRenderedPageBreak/>
        <w:t xml:space="preserve">realice actos de autoridad en el ámbito federal, estatal y municipal, </w:t>
      </w:r>
      <w:r w:rsidRPr="007D1EEA">
        <w:rPr>
          <w:rFonts w:ascii="Palatino Linotype" w:eastAsia="Palatino Linotype" w:hAnsi="Palatino Linotype" w:cs="Palatino Linotype"/>
          <w:b/>
          <w:i/>
          <w:sz w:val="22"/>
          <w:szCs w:val="22"/>
        </w:rPr>
        <w:t>es pública y sólo podrá ser reservada temporalmente por razones de interés público y seguridad nacional,</w:t>
      </w:r>
      <w:r w:rsidRPr="007D1EE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1090940" w14:textId="77777777" w:rsidR="00023530" w:rsidRPr="007D1EEA" w:rsidRDefault="0013670A">
      <w:pPr>
        <w:spacing w:before="240" w:after="240"/>
        <w:ind w:left="851" w:right="851"/>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i/>
          <w:sz w:val="22"/>
          <w:szCs w:val="22"/>
        </w:rPr>
        <w:t> </w:t>
      </w:r>
      <w:r w:rsidRPr="007D1EEA">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2B4975F"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w:t>
      </w:r>
      <w:r w:rsidRPr="007D1EEA">
        <w:rPr>
          <w:rFonts w:ascii="Palatino Linotype" w:eastAsia="Palatino Linotype" w:hAnsi="Palatino Linotype" w:cs="Palatino Linotype"/>
          <w:b/>
          <w:i/>
          <w:sz w:val="22"/>
          <w:szCs w:val="22"/>
        </w:rPr>
        <w:t xml:space="preserve">III. </w:t>
      </w:r>
      <w:r w:rsidRPr="007D1EE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D1EEA">
        <w:rPr>
          <w:rFonts w:ascii="Palatino Linotype" w:eastAsia="Palatino Linotype" w:hAnsi="Palatino Linotype" w:cs="Palatino Linotype"/>
          <w:i/>
          <w:sz w:val="22"/>
          <w:szCs w:val="22"/>
        </w:rPr>
        <w:t xml:space="preserve"> a sus datos personales o a la rectificación de éstos.</w:t>
      </w:r>
    </w:p>
    <w:p w14:paraId="051FD70E"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w:t>
      </w:r>
      <w:r w:rsidRPr="007D1EEA">
        <w:rPr>
          <w:rFonts w:ascii="Palatino Linotype" w:eastAsia="Palatino Linotype" w:hAnsi="Palatino Linotype" w:cs="Palatino Linotype"/>
          <w:b/>
          <w:i/>
          <w:sz w:val="22"/>
          <w:szCs w:val="22"/>
        </w:rPr>
        <w:t xml:space="preserve">IV. </w:t>
      </w:r>
      <w:r w:rsidRPr="007D1EE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189E8C3"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V. </w:t>
      </w:r>
      <w:r w:rsidRPr="007D1EE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2B34EEB"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VI. </w:t>
      </w:r>
      <w:r w:rsidRPr="007D1EE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3E74B31"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w:t>
      </w:r>
      <w:r w:rsidRPr="007D1EEA">
        <w:rPr>
          <w:rFonts w:ascii="Palatino Linotype" w:eastAsia="Palatino Linotype" w:hAnsi="Palatino Linotype" w:cs="Palatino Linotype"/>
          <w:b/>
          <w:i/>
          <w:sz w:val="22"/>
          <w:szCs w:val="22"/>
        </w:rPr>
        <w:t xml:space="preserve">VII. </w:t>
      </w:r>
      <w:r w:rsidRPr="007D1EE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B3C44A8" w14:textId="77777777" w:rsidR="00023530" w:rsidRPr="007D1EEA" w:rsidRDefault="0013670A">
      <w:pPr>
        <w:tabs>
          <w:tab w:val="left" w:pos="709"/>
        </w:tabs>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debe cumplir con dichos dispositivos legales.</w:t>
      </w:r>
    </w:p>
    <w:p w14:paraId="3222C12A"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A5943D1" w14:textId="77777777" w:rsidR="00023530" w:rsidRPr="007D1EEA" w:rsidRDefault="0013670A">
      <w:pPr>
        <w:spacing w:before="240" w:after="240"/>
        <w:ind w:left="709" w:right="76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r w:rsidRPr="007D1EEA">
        <w:rPr>
          <w:rFonts w:ascii="Palatino Linotype" w:eastAsia="Palatino Linotype" w:hAnsi="Palatino Linotype" w:cs="Palatino Linotype"/>
          <w:b/>
          <w:i/>
          <w:sz w:val="22"/>
          <w:szCs w:val="22"/>
        </w:rPr>
        <w:t>Artículo 4</w:t>
      </w:r>
      <w:r w:rsidRPr="007D1EE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D8BA7C7" w14:textId="77777777" w:rsidR="00023530" w:rsidRPr="007D1EEA" w:rsidRDefault="0013670A">
      <w:pPr>
        <w:spacing w:before="240" w:after="240"/>
        <w:ind w:left="709" w:right="76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w:t>
      </w:r>
      <w:r w:rsidRPr="007D1EEA">
        <w:rPr>
          <w:rFonts w:ascii="Palatino Linotype" w:eastAsia="Palatino Linotype" w:hAnsi="Palatino Linotype" w:cs="Palatino Linotype"/>
          <w:b/>
          <w:i/>
          <w:sz w:val="22"/>
          <w:szCs w:val="22"/>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1B06B11" w14:textId="77777777" w:rsidR="00023530" w:rsidRPr="007D1EEA" w:rsidRDefault="0013670A">
      <w:pPr>
        <w:spacing w:before="240" w:after="240"/>
        <w:ind w:left="709" w:right="76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808229F"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7D1EEA">
        <w:rPr>
          <w:rFonts w:ascii="Palatino Linotype" w:eastAsia="Palatino Linotype" w:hAnsi="Palatino Linotype" w:cs="Palatino Linotype"/>
          <w:b/>
          <w:sz w:val="22"/>
          <w:szCs w:val="22"/>
        </w:rPr>
        <w:t>artículo 12</w:t>
      </w:r>
      <w:r w:rsidRPr="007D1EEA">
        <w:rPr>
          <w:rFonts w:ascii="Palatino Linotype" w:eastAsia="Palatino Linotype" w:hAnsi="Palatino Linotype" w:cs="Palatino Linotype"/>
          <w:sz w:val="22"/>
          <w:szCs w:val="22"/>
        </w:rPr>
        <w:t xml:space="preserve"> de la Ley de Transparencia y Acceso a la Información Pública del Estado de México y Municipios, el cual a la letra dice:</w:t>
      </w:r>
    </w:p>
    <w:p w14:paraId="1B25177E"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r w:rsidRPr="007D1EEA">
        <w:rPr>
          <w:rFonts w:ascii="Palatino Linotype" w:eastAsia="Palatino Linotype" w:hAnsi="Palatino Linotype" w:cs="Palatino Linotype"/>
          <w:b/>
          <w:i/>
          <w:sz w:val="22"/>
          <w:szCs w:val="22"/>
        </w:rPr>
        <w:t>Artículo 12</w:t>
      </w:r>
      <w:r w:rsidRPr="007D1EE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902EC33"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02C5FE9"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Es decir, que el derecho de acceso a la información pública se satisface en aquellos casos en que se entregue documento en que conste la información requerida, toda vez que, los Sujetos Obligados</w:t>
      </w:r>
      <w:r w:rsidRPr="007D1EEA">
        <w:rPr>
          <w:rFonts w:ascii="Palatino Linotype" w:eastAsia="Palatino Linotype" w:hAnsi="Palatino Linotype" w:cs="Palatino Linotype"/>
          <w:b/>
          <w:sz w:val="22"/>
          <w:szCs w:val="22"/>
        </w:rPr>
        <w:t xml:space="preserve"> </w:t>
      </w:r>
      <w:r w:rsidRPr="007D1EEA">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7D1EEA">
        <w:rPr>
          <w:rFonts w:ascii="Palatino Linotype" w:eastAsia="Palatino Linotype" w:hAnsi="Palatino Linotype" w:cs="Palatino Linotype"/>
          <w:i/>
          <w:sz w:val="22"/>
          <w:szCs w:val="22"/>
        </w:rPr>
        <w:t>ad hoc</w:t>
      </w:r>
      <w:r w:rsidRPr="007D1EEA">
        <w:rPr>
          <w:rFonts w:ascii="Palatino Linotype" w:eastAsia="Palatino Linotype" w:hAnsi="Palatino Linotype" w:cs="Palatino Linotype"/>
          <w:sz w:val="22"/>
          <w:szCs w:val="22"/>
        </w:rPr>
        <w:t>, para satisfacer el derecho de acceso a la información pública, como así lo establece el criterio 03/17 emitidos por el Instituto Nacional de Transparencia, Acceso a la Información Pública y Protección de Datos Personales, los cuales señalan lo siguiente:</w:t>
      </w:r>
    </w:p>
    <w:p w14:paraId="41681907" w14:textId="77777777" w:rsidR="00023530" w:rsidRPr="007D1EEA" w:rsidRDefault="0013670A">
      <w:pPr>
        <w:spacing w:before="240" w:after="240"/>
        <w:ind w:left="851" w:right="851"/>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03/17</w:t>
      </w:r>
    </w:p>
    <w:p w14:paraId="519501E7" w14:textId="77777777" w:rsidR="00023530" w:rsidRPr="007D1EEA" w:rsidRDefault="0013670A">
      <w:pPr>
        <w:spacing w:before="240" w:after="240"/>
        <w:ind w:left="851" w:right="851"/>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“NO EXISTE OBLIGACIÓN DE ELABORAR DOCUMENTOS AD HOC PARA ATENDER LAS SOLICITUDES DE ACCESO A LA INFORMACIÓN.</w:t>
      </w:r>
    </w:p>
    <w:p w14:paraId="5C76D368"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5992A7A"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Por otra parte, conviene mencionar que la Ley de Transparencia vigente en el Estado de México refiere: </w:t>
      </w:r>
    </w:p>
    <w:p w14:paraId="6FFF6129"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lastRenderedPageBreak/>
        <w:t>“Artículo 18.</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D1EEA">
        <w:rPr>
          <w:rFonts w:ascii="Palatino Linotype" w:eastAsia="Palatino Linotype" w:hAnsi="Palatino Linotype" w:cs="Palatino Linotype"/>
          <w:i/>
          <w:sz w:val="22"/>
          <w:szCs w:val="22"/>
        </w:rPr>
        <w:t xml:space="preserve"> y reutilización de la información que generen.</w:t>
      </w:r>
    </w:p>
    <w:p w14:paraId="333F4FBE"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Artículo 19. </w:t>
      </w:r>
      <w:r w:rsidRPr="007D1EEA">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D1EEA">
        <w:rPr>
          <w:rFonts w:ascii="Palatino Linotype" w:eastAsia="Palatino Linotype" w:hAnsi="Palatino Linotype" w:cs="Palatino Linotype"/>
          <w:i/>
          <w:sz w:val="22"/>
          <w:szCs w:val="22"/>
        </w:rPr>
        <w:t>.</w:t>
      </w:r>
    </w:p>
    <w:p w14:paraId="1EE2EA71"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0248B04B" w14:textId="77777777" w:rsidR="00023530" w:rsidRPr="007D1EEA" w:rsidRDefault="0013670A">
      <w:pPr>
        <w:spacing w:before="240" w:after="240"/>
        <w:ind w:left="851" w:right="851"/>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(Énfasis añadido)</w:t>
      </w:r>
    </w:p>
    <w:p w14:paraId="399FEC69"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73D56B5"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7D1EEA">
        <w:rPr>
          <w:rFonts w:ascii="Palatino Linotype" w:eastAsia="Palatino Linotype" w:hAnsi="Palatino Linotype" w:cs="Palatino Linotype"/>
          <w:b/>
          <w:sz w:val="22"/>
          <w:szCs w:val="22"/>
        </w:rPr>
        <w:t>cualquier otro registro que documente el ejercicio de las facultades, funciones, obligaciones y competencias de los Sujetos Obligados</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los que, podrán estar en cualquier medio</w:t>
      </w:r>
      <w:r w:rsidRPr="007D1EEA">
        <w:rPr>
          <w:rFonts w:ascii="Palatino Linotype" w:eastAsia="Palatino Linotype" w:hAnsi="Palatino Linotype" w:cs="Palatino Linotype"/>
          <w:sz w:val="22"/>
          <w:szCs w:val="22"/>
        </w:rPr>
        <w:t xml:space="preserve">, sea escrito, impreso, sonoro, visual, </w:t>
      </w:r>
      <w:r w:rsidRPr="007D1EEA">
        <w:rPr>
          <w:rFonts w:ascii="Palatino Linotype" w:eastAsia="Palatino Linotype" w:hAnsi="Palatino Linotype" w:cs="Palatino Linotype"/>
          <w:b/>
          <w:sz w:val="22"/>
          <w:szCs w:val="22"/>
        </w:rPr>
        <w:t>electrónico</w:t>
      </w:r>
      <w:r w:rsidRPr="007D1EEA">
        <w:rPr>
          <w:rFonts w:ascii="Palatino Linotype" w:eastAsia="Palatino Linotype" w:hAnsi="Palatino Linotype" w:cs="Palatino Linotype"/>
          <w:sz w:val="22"/>
          <w:szCs w:val="22"/>
        </w:rPr>
        <w:t xml:space="preserve">, informático u holográfico, esto es, </w:t>
      </w:r>
      <w:r w:rsidRPr="007D1EEA">
        <w:rPr>
          <w:rFonts w:ascii="Palatino Linotype" w:eastAsia="Palatino Linotype" w:hAnsi="Palatino Linotype" w:cs="Palatino Linotype"/>
          <w:b/>
          <w:sz w:val="22"/>
          <w:szCs w:val="22"/>
        </w:rPr>
        <w:t>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343114"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De ahí que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D1EEA">
        <w:rPr>
          <w:rFonts w:ascii="Palatino Linotype" w:eastAsia="Palatino Linotype" w:hAnsi="Palatino Linotype" w:cs="Palatino Linotype"/>
          <w:sz w:val="22"/>
          <w:szCs w:val="22"/>
          <w:vertAlign w:val="superscript"/>
        </w:rPr>
        <w:footnoteReference w:id="1"/>
      </w:r>
      <w:r w:rsidRPr="007D1EEA">
        <w:rPr>
          <w:rFonts w:ascii="Palatino Linotype" w:eastAsia="Palatino Linotype" w:hAnsi="Palatino Linotype" w:cs="Palatino Linotype"/>
          <w:sz w:val="22"/>
          <w:szCs w:val="22"/>
        </w:rPr>
        <w:t xml:space="preserve">, así como de interés público, es decir, aquella que resulta relevante o beneficiosa para la sociedad y no simplemente de interés individual, y cuya divulgación resulta útil para que </w:t>
      </w:r>
      <w:r w:rsidRPr="007D1EEA">
        <w:rPr>
          <w:rFonts w:ascii="Palatino Linotype" w:eastAsia="Palatino Linotype" w:hAnsi="Palatino Linotype" w:cs="Palatino Linotype"/>
          <w:sz w:val="22"/>
          <w:szCs w:val="22"/>
        </w:rPr>
        <w:lastRenderedPageBreak/>
        <w:t>el público comprenda las actividades que llevan a cabo los Sujetos Obligados</w:t>
      </w:r>
      <w:r w:rsidRPr="007D1EEA">
        <w:rPr>
          <w:rFonts w:ascii="Palatino Linotype" w:eastAsia="Palatino Linotype" w:hAnsi="Palatino Linotype" w:cs="Palatino Linotype"/>
          <w:sz w:val="22"/>
          <w:szCs w:val="22"/>
          <w:vertAlign w:val="superscript"/>
        </w:rPr>
        <w:footnoteReference w:id="2"/>
      </w:r>
      <w:r w:rsidRPr="007D1EEA">
        <w:rPr>
          <w:rFonts w:ascii="Palatino Linotype" w:eastAsia="Palatino Linotype" w:hAnsi="Palatino Linotype" w:cs="Palatino Linotype"/>
          <w:sz w:val="22"/>
          <w:szCs w:val="22"/>
        </w:rPr>
        <w:t>, como pudiera tratarse de aquella relacionada con las obligaciones de transparencia señaladas en los artículos 92 y 97, fracción I de la Ley de la Materia.</w:t>
      </w:r>
    </w:p>
    <w:p w14:paraId="484B7F24" w14:textId="77777777" w:rsidR="00023530" w:rsidRPr="007D1EEA" w:rsidRDefault="0013670A">
      <w:pPr>
        <w:tabs>
          <w:tab w:val="left" w:pos="709"/>
        </w:tabs>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 este sentido, cabe reiterar que la persona solicitante requirió al </w:t>
      </w:r>
      <w:r w:rsidRPr="007D1EEA">
        <w:rPr>
          <w:rFonts w:ascii="Palatino Linotype" w:eastAsia="Palatino Linotype" w:hAnsi="Palatino Linotype" w:cs="Palatino Linotype"/>
          <w:b/>
          <w:sz w:val="22"/>
          <w:szCs w:val="22"/>
        </w:rPr>
        <w:t xml:space="preserve">Sujeto Obligado, </w:t>
      </w:r>
      <w:r w:rsidRPr="007D1EEA">
        <w:rPr>
          <w:rFonts w:ascii="Palatino Linotype" w:eastAsia="Palatino Linotype" w:hAnsi="Palatino Linotype" w:cs="Palatino Linotype"/>
          <w:sz w:val="22"/>
          <w:szCs w:val="22"/>
        </w:rPr>
        <w:t xml:space="preserve">lo siguiente: </w:t>
      </w:r>
    </w:p>
    <w:p w14:paraId="13596EBC" w14:textId="77777777" w:rsidR="00023530" w:rsidRPr="007D1EEA" w:rsidRDefault="0013670A">
      <w:pPr>
        <w:numPr>
          <w:ilvl w:val="2"/>
          <w:numId w:val="6"/>
        </w:numPr>
        <w:pBdr>
          <w:top w:val="nil"/>
          <w:left w:val="nil"/>
          <w:bottom w:val="nil"/>
          <w:right w:val="nil"/>
          <w:between w:val="nil"/>
        </w:pBdr>
        <w:tabs>
          <w:tab w:val="left" w:pos="709"/>
        </w:tabs>
        <w:spacing w:before="240" w:line="360" w:lineRule="auto"/>
        <w:ind w:left="567" w:hanging="141"/>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Recibos de nómina de las siguientes temporalidades:</w:t>
      </w:r>
    </w:p>
    <w:p w14:paraId="68F9CFED" w14:textId="77777777" w:rsidR="00023530" w:rsidRPr="007D1EEA" w:rsidRDefault="0013670A">
      <w:pPr>
        <w:numPr>
          <w:ilvl w:val="0"/>
          <w:numId w:val="1"/>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Enero 2023</w:t>
      </w:r>
    </w:p>
    <w:p w14:paraId="52AAA8B0" w14:textId="77777777" w:rsidR="00023530" w:rsidRPr="007D1EEA" w:rsidRDefault="0013670A">
      <w:pPr>
        <w:numPr>
          <w:ilvl w:val="0"/>
          <w:numId w:val="1"/>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Febrero 2023</w:t>
      </w:r>
    </w:p>
    <w:p w14:paraId="78164FDC" w14:textId="77777777" w:rsidR="00023530" w:rsidRPr="007D1EEA" w:rsidRDefault="0013670A">
      <w:pPr>
        <w:numPr>
          <w:ilvl w:val="0"/>
          <w:numId w:val="1"/>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Abril 2023</w:t>
      </w:r>
    </w:p>
    <w:p w14:paraId="0B02A8A8" w14:textId="77777777" w:rsidR="00023530" w:rsidRPr="007D1EEA" w:rsidRDefault="0013670A">
      <w:pPr>
        <w:numPr>
          <w:ilvl w:val="0"/>
          <w:numId w:val="1"/>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Mayo 2023 </w:t>
      </w:r>
    </w:p>
    <w:p w14:paraId="000CE092" w14:textId="77777777" w:rsidR="00023530" w:rsidRPr="007D1EEA" w:rsidRDefault="0013670A">
      <w:pPr>
        <w:numPr>
          <w:ilvl w:val="0"/>
          <w:numId w:val="1"/>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Junio 2023 </w:t>
      </w:r>
    </w:p>
    <w:p w14:paraId="090FE29C" w14:textId="77777777" w:rsidR="00023530" w:rsidRPr="007D1EEA" w:rsidRDefault="0013670A">
      <w:pPr>
        <w:numPr>
          <w:ilvl w:val="0"/>
          <w:numId w:val="1"/>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Enero al 22 de marzo de 2024 de todos los mandos medios y superiores </w:t>
      </w:r>
    </w:p>
    <w:p w14:paraId="41753C89" w14:textId="77777777" w:rsidR="00023530" w:rsidRPr="007D1EEA" w:rsidRDefault="0013670A">
      <w:pPr>
        <w:numPr>
          <w:ilvl w:val="2"/>
          <w:numId w:val="6"/>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 xml:space="preserve">Nómina de las siguientes temporalidades: </w:t>
      </w:r>
    </w:p>
    <w:p w14:paraId="49A02E4D" w14:textId="77777777" w:rsidR="00023530" w:rsidRPr="007D1EEA" w:rsidRDefault="0013670A">
      <w:pPr>
        <w:numPr>
          <w:ilvl w:val="4"/>
          <w:numId w:val="6"/>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Marzo 2023 </w:t>
      </w:r>
    </w:p>
    <w:p w14:paraId="211D2222" w14:textId="77777777" w:rsidR="00023530" w:rsidRPr="007D1EEA" w:rsidRDefault="0013670A">
      <w:pPr>
        <w:numPr>
          <w:ilvl w:val="4"/>
          <w:numId w:val="6"/>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Abril 2023 </w:t>
      </w:r>
    </w:p>
    <w:p w14:paraId="75B323E0" w14:textId="77777777" w:rsidR="00023530" w:rsidRPr="007D1EEA" w:rsidRDefault="0013670A">
      <w:pPr>
        <w:numPr>
          <w:ilvl w:val="4"/>
          <w:numId w:val="6"/>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Mayo 2023 </w:t>
      </w:r>
    </w:p>
    <w:p w14:paraId="74744B0C" w14:textId="77777777" w:rsidR="00023530" w:rsidRPr="007D1EEA" w:rsidRDefault="0013670A">
      <w:pPr>
        <w:numPr>
          <w:ilvl w:val="4"/>
          <w:numId w:val="6"/>
        </w:numPr>
        <w:pBdr>
          <w:top w:val="nil"/>
          <w:left w:val="nil"/>
          <w:bottom w:val="nil"/>
          <w:right w:val="nil"/>
          <w:between w:val="nil"/>
        </w:pBdr>
        <w:tabs>
          <w:tab w:val="left" w:pos="709"/>
        </w:tabs>
        <w:spacing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Junio 2023 </w:t>
      </w:r>
    </w:p>
    <w:p w14:paraId="2C70032C" w14:textId="77777777" w:rsidR="00023530" w:rsidRPr="007D1EEA" w:rsidRDefault="0013670A">
      <w:pPr>
        <w:numPr>
          <w:ilvl w:val="4"/>
          <w:numId w:val="6"/>
        </w:numPr>
        <w:pBdr>
          <w:top w:val="nil"/>
          <w:left w:val="nil"/>
          <w:bottom w:val="nil"/>
          <w:right w:val="nil"/>
          <w:between w:val="nil"/>
        </w:pBdr>
        <w:tabs>
          <w:tab w:val="left" w:pos="709"/>
        </w:tabs>
        <w:spacing w:after="240" w:line="360" w:lineRule="auto"/>
        <w:ind w:left="567" w:hanging="283"/>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Primera quincena de marzo de 2024.</w:t>
      </w:r>
    </w:p>
    <w:p w14:paraId="6036738B" w14:textId="77777777" w:rsidR="00023530" w:rsidRPr="007D1EEA" w:rsidRDefault="0013670A">
      <w:pPr>
        <w:spacing w:before="240" w:after="240" w:line="360" w:lineRule="auto"/>
        <w:jc w:val="both"/>
        <w:rPr>
          <w:rFonts w:ascii="Palatino Linotype" w:eastAsia="Palatino Linotype" w:hAnsi="Palatino Linotype" w:cs="Palatino Linotype"/>
        </w:rPr>
      </w:pPr>
      <w:r w:rsidRPr="007D1EEA">
        <w:rPr>
          <w:rFonts w:ascii="Palatino Linotype" w:eastAsia="Palatino Linotype" w:hAnsi="Palatino Linotype" w:cs="Palatino Linotype"/>
          <w:sz w:val="22"/>
          <w:szCs w:val="22"/>
        </w:rPr>
        <w:t xml:space="preserve">En sus respuestas,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se pronunció por conducto de la </w:t>
      </w:r>
      <w:proofErr w:type="gramStart"/>
      <w:r w:rsidRPr="007D1EEA">
        <w:rPr>
          <w:rFonts w:ascii="Palatino Linotype" w:eastAsia="Palatino Linotype" w:hAnsi="Palatino Linotype" w:cs="Palatino Linotype"/>
          <w:sz w:val="22"/>
          <w:szCs w:val="22"/>
        </w:rPr>
        <w:t>Subdirectora</w:t>
      </w:r>
      <w:proofErr w:type="gramEnd"/>
      <w:r w:rsidRPr="007D1EEA">
        <w:rPr>
          <w:rFonts w:ascii="Palatino Linotype" w:eastAsia="Palatino Linotype" w:hAnsi="Palatino Linotype" w:cs="Palatino Linotype"/>
          <w:sz w:val="22"/>
          <w:szCs w:val="22"/>
        </w:rPr>
        <w:t xml:space="preserve"> de Administración y Finanzas, quien a su vez remitió la información proporcionada por el Departamento de Capital Humano, la cual consiste en recibos de nómina y conciliaciones de nómina de las temporalidades antes indicadas. </w:t>
      </w:r>
    </w:p>
    <w:p w14:paraId="23FB7D0E"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Una vez conocidas las respuestas, </w:t>
      </w:r>
      <w:r w:rsidRPr="007D1EEA">
        <w:rPr>
          <w:rFonts w:ascii="Palatino Linotype" w:eastAsia="Palatino Linotype" w:hAnsi="Palatino Linotype" w:cs="Palatino Linotype"/>
          <w:b/>
          <w:sz w:val="22"/>
          <w:szCs w:val="22"/>
        </w:rPr>
        <w:t>la parte Recurrente</w:t>
      </w:r>
      <w:r w:rsidRPr="007D1EEA">
        <w:rPr>
          <w:rFonts w:ascii="Palatino Linotype" w:eastAsia="Palatino Linotype" w:hAnsi="Palatino Linotype" w:cs="Palatino Linotype"/>
          <w:sz w:val="22"/>
          <w:szCs w:val="22"/>
        </w:rPr>
        <w:t xml:space="preserve"> interpuso los recursos de revisión que nos ocupan, inconformándose medularmente por la negativa a entregar la información solicitada.</w:t>
      </w:r>
    </w:p>
    <w:p w14:paraId="01F94899"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Admitidos los presentes recursos de revisión, en términos del artículo 185 fracción II</w:t>
      </w:r>
      <w:r w:rsidRPr="007D1EEA">
        <w:rPr>
          <w:rFonts w:ascii="Palatino Linotype" w:eastAsia="Palatino Linotype" w:hAnsi="Palatino Linotype" w:cs="Palatino Linotype"/>
          <w:sz w:val="22"/>
          <w:szCs w:val="22"/>
          <w:vertAlign w:val="superscript"/>
        </w:rPr>
        <w:footnoteReference w:id="3"/>
      </w:r>
      <w:r w:rsidRPr="007D1EEA">
        <w:rPr>
          <w:rFonts w:ascii="Palatino Linotype" w:eastAsia="Palatino Linotype" w:hAnsi="Palatino Linotype" w:cs="Palatino Linotype"/>
          <w:sz w:val="22"/>
          <w:szCs w:val="22"/>
        </w:rPr>
        <w:t xml:space="preserve"> de la Ley de Transparencia y Acceso a la Información Pública del Estado de México y Municipios, se integraron los expedientes y se pusieron a disposición de las partes para que, en un plazo máximo de siete días hábiles, manifestaran lo que a su derecho resultara conveniente; teniendo así que las partes fueron omisas en pronunciarse, por lo que se tuvo por precluido su derecho para tal efecto y se procedió a emitir la presente resolución que conforme a derecho corresponda. </w:t>
      </w:r>
    </w:p>
    <w:p w14:paraId="5362C622"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Una vez expuestas las posturas de las partes, es necesario recordar que las unidades administrativas que se pronunciaron en las respuestas son la </w:t>
      </w:r>
      <w:proofErr w:type="gramStart"/>
      <w:r w:rsidRPr="007D1EEA">
        <w:rPr>
          <w:rFonts w:ascii="Palatino Linotype" w:eastAsia="Palatino Linotype" w:hAnsi="Palatino Linotype" w:cs="Palatino Linotype"/>
          <w:b/>
          <w:sz w:val="22"/>
          <w:szCs w:val="22"/>
        </w:rPr>
        <w:t>Subdirectora</w:t>
      </w:r>
      <w:proofErr w:type="gramEnd"/>
      <w:r w:rsidRPr="007D1EEA">
        <w:rPr>
          <w:rFonts w:ascii="Palatino Linotype" w:eastAsia="Palatino Linotype" w:hAnsi="Palatino Linotype" w:cs="Palatino Linotype"/>
          <w:b/>
          <w:sz w:val="22"/>
          <w:szCs w:val="22"/>
        </w:rPr>
        <w:t xml:space="preserve"> de </w:t>
      </w:r>
      <w:r w:rsidRPr="007D1EEA">
        <w:rPr>
          <w:rFonts w:ascii="Palatino Linotype" w:eastAsia="Palatino Linotype" w:hAnsi="Palatino Linotype" w:cs="Palatino Linotype"/>
          <w:b/>
          <w:sz w:val="22"/>
          <w:szCs w:val="22"/>
        </w:rPr>
        <w:lastRenderedPageBreak/>
        <w:t>Administración y Finanzas</w:t>
      </w:r>
      <w:r w:rsidRPr="007D1EEA">
        <w:rPr>
          <w:rFonts w:ascii="Palatino Linotype" w:eastAsia="Palatino Linotype" w:hAnsi="Palatino Linotype" w:cs="Palatino Linotype"/>
          <w:sz w:val="22"/>
          <w:szCs w:val="22"/>
        </w:rPr>
        <w:t xml:space="preserve"> y el </w:t>
      </w:r>
      <w:r w:rsidRPr="007D1EEA">
        <w:rPr>
          <w:rFonts w:ascii="Palatino Linotype" w:eastAsia="Palatino Linotype" w:hAnsi="Palatino Linotype" w:cs="Palatino Linotype"/>
          <w:b/>
          <w:sz w:val="22"/>
          <w:szCs w:val="22"/>
        </w:rPr>
        <w:t>Departamento de Capital Humano</w:t>
      </w:r>
      <w:r w:rsidRPr="007D1EEA">
        <w:rPr>
          <w:rFonts w:ascii="Palatino Linotype" w:eastAsia="Palatino Linotype" w:hAnsi="Palatino Linotype" w:cs="Palatino Linotype"/>
          <w:sz w:val="22"/>
          <w:szCs w:val="22"/>
        </w:rPr>
        <w:t xml:space="preserve">, áreas que conforme al Reglamento Orgánico del Organismo Público Descentralizado para la Prestación de Los Servicios de Agua Potable Alcantarillado y Saneamiento de Atizapán de Zaragoza por sus siglas S.A.P.A.S.A. cuentan con las siguientes atribuciones: </w:t>
      </w:r>
    </w:p>
    <w:p w14:paraId="0F57FB2C"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sz w:val="22"/>
          <w:szCs w:val="22"/>
        </w:rPr>
        <w:br/>
      </w:r>
      <w:r w:rsidRPr="007D1EEA">
        <w:rPr>
          <w:i/>
        </w:rPr>
        <w:t xml:space="preserve"> “</w:t>
      </w:r>
      <w:r w:rsidRPr="007D1EEA">
        <w:rPr>
          <w:rFonts w:ascii="Palatino Linotype" w:eastAsia="Palatino Linotype" w:hAnsi="Palatino Linotype" w:cs="Palatino Linotype"/>
          <w:b/>
          <w:i/>
          <w:sz w:val="22"/>
          <w:szCs w:val="22"/>
        </w:rPr>
        <w:t>Artículo 74.- La Subdirección de Administración y Finanzas</w:t>
      </w:r>
      <w:r w:rsidRPr="007D1EEA">
        <w:rPr>
          <w:rFonts w:ascii="Palatino Linotype" w:eastAsia="Palatino Linotype" w:hAnsi="Palatino Linotype" w:cs="Palatino Linotype"/>
          <w:i/>
          <w:sz w:val="22"/>
          <w:szCs w:val="22"/>
        </w:rPr>
        <w:t xml:space="preserve"> para el estudio, planeación y despacho de los asuntos de su competencia, estará integrada de la siguiente manera:</w:t>
      </w:r>
    </w:p>
    <w:p w14:paraId="3D4B71EB"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I. La Coordinación de Administración que se integra a su vez por las siguientes unidades:</w:t>
      </w:r>
    </w:p>
    <w:p w14:paraId="125E2149" w14:textId="77777777" w:rsidR="00023530" w:rsidRPr="007D1EEA" w:rsidRDefault="0013670A">
      <w:pPr>
        <w:spacing w:before="240" w:after="240" w:line="276" w:lineRule="auto"/>
        <w:ind w:left="567" w:right="90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a) Departamento de Capital Humano</w:t>
      </w:r>
    </w:p>
    <w:p w14:paraId="402FA9FD"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7F9918C9" w14:textId="77777777" w:rsidR="00023530" w:rsidRPr="007D1EEA" w:rsidRDefault="0013670A">
      <w:pPr>
        <w:spacing w:before="240" w:after="240" w:line="276" w:lineRule="auto"/>
        <w:ind w:left="567" w:right="90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Apartado a)</w:t>
      </w:r>
    </w:p>
    <w:p w14:paraId="2F58DAF8" w14:textId="77777777" w:rsidR="00023530" w:rsidRPr="007D1EEA" w:rsidRDefault="0013670A">
      <w:pPr>
        <w:spacing w:before="240" w:after="240" w:line="276" w:lineRule="auto"/>
        <w:ind w:left="567" w:right="90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Del Departamento de Capital Humano</w:t>
      </w:r>
    </w:p>
    <w:p w14:paraId="7ED530FC"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Artículo 76.- El Departamento de Capital Humano, estará a cargo de un </w:t>
      </w:r>
      <w:proofErr w:type="gramStart"/>
      <w:r w:rsidRPr="007D1EEA">
        <w:rPr>
          <w:rFonts w:ascii="Palatino Linotype" w:eastAsia="Palatino Linotype" w:hAnsi="Palatino Linotype" w:cs="Palatino Linotype"/>
          <w:i/>
          <w:sz w:val="22"/>
          <w:szCs w:val="22"/>
        </w:rPr>
        <w:t>Jefe</w:t>
      </w:r>
      <w:proofErr w:type="gramEnd"/>
      <w:r w:rsidRPr="007D1EEA">
        <w:rPr>
          <w:rFonts w:ascii="Palatino Linotype" w:eastAsia="Palatino Linotype" w:hAnsi="Palatino Linotype" w:cs="Palatino Linotype"/>
          <w:i/>
          <w:sz w:val="22"/>
          <w:szCs w:val="22"/>
        </w:rPr>
        <w:t xml:space="preserve"> de Departamento denominado “Jefe del Departamento de Capital Humano”, quien responderá del desempeño de sus funciones directamente ante el Coordinador de Administración y tendrá las siguientes atribuciones:</w:t>
      </w:r>
    </w:p>
    <w:p w14:paraId="53C52C08" w14:textId="77777777" w:rsidR="00023530" w:rsidRPr="007D1EEA" w:rsidRDefault="0013670A">
      <w:pPr>
        <w:spacing w:before="240" w:after="240"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4E370BBE" w14:textId="77777777" w:rsidR="00023530" w:rsidRPr="007D1EEA" w:rsidRDefault="0013670A">
      <w:pPr>
        <w:spacing w:before="240" w:after="240" w:line="276" w:lineRule="auto"/>
        <w:ind w:left="567" w:right="900"/>
        <w:jc w:val="both"/>
        <w:rPr>
          <w:rFonts w:ascii="Palatino Linotype" w:eastAsia="Palatino Linotype" w:hAnsi="Palatino Linotype" w:cs="Palatino Linotype"/>
          <w:b/>
          <w:i/>
          <w:sz w:val="22"/>
          <w:szCs w:val="22"/>
          <w:u w:val="single"/>
        </w:rPr>
      </w:pPr>
      <w:r w:rsidRPr="007D1EEA">
        <w:rPr>
          <w:rFonts w:ascii="Palatino Linotype" w:eastAsia="Palatino Linotype" w:hAnsi="Palatino Linotype" w:cs="Palatino Linotype"/>
          <w:b/>
          <w:i/>
          <w:sz w:val="22"/>
          <w:szCs w:val="22"/>
          <w:u w:val="single"/>
        </w:rPr>
        <w:lastRenderedPageBreak/>
        <w:t xml:space="preserve">XIII. Elaborar la nómina quincenal conforme a la normatividad establecida;” </w:t>
      </w:r>
      <w:r w:rsidRPr="007D1EEA">
        <w:rPr>
          <w:rFonts w:ascii="Palatino Linotype" w:eastAsia="Palatino Linotype" w:hAnsi="Palatino Linotype" w:cs="Palatino Linotype"/>
          <w:i/>
          <w:sz w:val="22"/>
          <w:szCs w:val="22"/>
        </w:rPr>
        <w:t>(Énfasis añadido)</w:t>
      </w:r>
    </w:p>
    <w:p w14:paraId="30CA53E3"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De lo anteriormente esquematizado, se aprecia que en los asuntos que nos ocupan, obran los pronunciamientos de las personas servidoras públicas habilitada competente, es decir, la Subdirectora de Administración y Finanzas, quien a su vez cuenta con un Departamento de Capital Humano</w:t>
      </w:r>
      <w:r w:rsidRPr="007D1EEA">
        <w:rPr>
          <w:rFonts w:ascii="Palatino Linotype" w:eastAsia="Palatino Linotype" w:hAnsi="Palatino Linotype" w:cs="Palatino Linotype"/>
        </w:rPr>
        <w:t xml:space="preserve">, </w:t>
      </w:r>
      <w:r w:rsidRPr="007D1EEA">
        <w:rPr>
          <w:rFonts w:ascii="Palatino Linotype" w:eastAsia="Palatino Linotype" w:hAnsi="Palatino Linotype" w:cs="Palatino Linotype"/>
          <w:sz w:val="22"/>
          <w:szCs w:val="22"/>
        </w:rPr>
        <w:t>lo anterior es así en razón de que dicha unidad administrativa es la encargada de elaborar la nómina quincenal de los servidores públicos</w:t>
      </w:r>
      <w:r w:rsidRPr="007D1EEA">
        <w:rPr>
          <w:rFonts w:ascii="Palatino Linotype" w:eastAsia="Palatino Linotype" w:hAnsi="Palatino Linotype" w:cs="Palatino Linotype"/>
        </w:rPr>
        <w:t xml:space="preserve">, </w:t>
      </w:r>
      <w:r w:rsidRPr="007D1EEA">
        <w:rPr>
          <w:rFonts w:ascii="Palatino Linotype" w:eastAsia="Palatino Linotype" w:hAnsi="Palatino Linotype" w:cs="Palatino Linotype"/>
          <w:sz w:val="22"/>
          <w:szCs w:val="22"/>
        </w:rPr>
        <w:t>por consiguiente,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5D00F977" w14:textId="77777777" w:rsidR="00023530" w:rsidRPr="007D1EEA" w:rsidRDefault="00023530"/>
    <w:p w14:paraId="096F2772" w14:textId="77777777" w:rsidR="00023530" w:rsidRPr="007D1EEA" w:rsidRDefault="0013670A">
      <w:pPr>
        <w:pBdr>
          <w:top w:val="nil"/>
          <w:left w:val="nil"/>
          <w:bottom w:val="nil"/>
          <w:right w:val="nil"/>
          <w:between w:val="nil"/>
        </w:pBdr>
        <w:ind w:left="864" w:right="864"/>
        <w:jc w:val="both"/>
      </w:pPr>
      <w:r w:rsidRPr="007D1EEA">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848F265" w14:textId="77777777" w:rsidR="00023530" w:rsidRPr="007D1EEA" w:rsidRDefault="00023530"/>
    <w:p w14:paraId="7187C615" w14:textId="77777777" w:rsidR="00023530" w:rsidRPr="007D1EEA" w:rsidRDefault="0013670A">
      <w:pPr>
        <w:pBdr>
          <w:top w:val="nil"/>
          <w:left w:val="nil"/>
          <w:bottom w:val="nil"/>
          <w:right w:val="nil"/>
          <w:between w:val="nil"/>
        </w:pBdr>
        <w:shd w:val="clear" w:color="auto" w:fill="FFFFFF"/>
        <w:spacing w:line="360" w:lineRule="auto"/>
        <w:jc w:val="both"/>
        <w:rPr>
          <w:sz w:val="22"/>
          <w:szCs w:val="22"/>
        </w:rPr>
      </w:pPr>
      <w:r w:rsidRPr="007D1EEA">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00C71915" w14:textId="77777777" w:rsidR="00023530" w:rsidRPr="007D1EEA" w:rsidRDefault="00023530"/>
    <w:p w14:paraId="7119DB12" w14:textId="77777777" w:rsidR="00023530" w:rsidRPr="007D1EEA" w:rsidRDefault="0013670A">
      <w:pPr>
        <w:pBdr>
          <w:top w:val="nil"/>
          <w:left w:val="nil"/>
          <w:bottom w:val="nil"/>
          <w:right w:val="nil"/>
          <w:between w:val="nil"/>
        </w:pBdr>
        <w:ind w:left="864" w:right="864"/>
        <w:jc w:val="both"/>
      </w:pPr>
      <w:r w:rsidRPr="007D1EEA">
        <w:rPr>
          <w:rFonts w:ascii="Palatino Linotype" w:eastAsia="Palatino Linotype" w:hAnsi="Palatino Linotype" w:cs="Palatino Linotype"/>
          <w:i/>
          <w:sz w:val="22"/>
          <w:szCs w:val="22"/>
        </w:rPr>
        <w:lastRenderedPageBreak/>
        <w:t xml:space="preserve">“Artículo 162. Las unidades de transparencia deberán garantizar que las solicitudes </w:t>
      </w:r>
      <w:r w:rsidRPr="007D1EEA">
        <w:rPr>
          <w:rFonts w:ascii="Palatino Linotype" w:eastAsia="Palatino Linotype" w:hAnsi="Palatino Linotype" w:cs="Palatino Linotype"/>
          <w:b/>
          <w:i/>
          <w:sz w:val="22"/>
          <w:szCs w:val="22"/>
        </w:rPr>
        <w:t xml:space="preserve">se turnen a todas las Áreas competentes </w:t>
      </w:r>
      <w:r w:rsidRPr="007D1EEA">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07F63456" w14:textId="77777777" w:rsidR="00023530" w:rsidRPr="007D1EEA" w:rsidRDefault="00023530">
      <w:pPr>
        <w:spacing w:line="360" w:lineRule="auto"/>
        <w:jc w:val="both"/>
        <w:rPr>
          <w:rFonts w:ascii="Palatino Linotype" w:eastAsia="Palatino Linotype" w:hAnsi="Palatino Linotype" w:cs="Palatino Linotype"/>
        </w:rPr>
      </w:pPr>
    </w:p>
    <w:p w14:paraId="0B426A63"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Acotado lo anterior, resulta pertinente analizar las constancias de los expedientes electrónicos, para ello es importante traer a colación </w:t>
      </w:r>
      <w:proofErr w:type="gramStart"/>
      <w:r w:rsidRPr="007D1EEA">
        <w:rPr>
          <w:rFonts w:ascii="Palatino Linotype" w:eastAsia="Palatino Linotype" w:hAnsi="Palatino Linotype" w:cs="Palatino Linotype"/>
          <w:sz w:val="22"/>
          <w:szCs w:val="22"/>
        </w:rPr>
        <w:t>el  Organigrama</w:t>
      </w:r>
      <w:proofErr w:type="gramEnd"/>
      <w:r w:rsidRPr="007D1EEA">
        <w:rPr>
          <w:rFonts w:ascii="Palatino Linotype" w:eastAsia="Palatino Linotype" w:hAnsi="Palatino Linotype" w:cs="Palatino Linotype"/>
          <w:sz w:val="22"/>
          <w:szCs w:val="22"/>
        </w:rPr>
        <w:t xml:space="preserve"> con el que cuenta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con el propósito de observar las unidades que lo conforman y así poder determinar si con la información proporcionada en respuesta se satisfacen los requerimientos de la persona solicitante: </w:t>
      </w:r>
    </w:p>
    <w:p w14:paraId="0DF812B6" w14:textId="77777777" w:rsidR="00023530" w:rsidRPr="007D1EEA" w:rsidRDefault="0013670A">
      <w:pPr>
        <w:spacing w:line="360" w:lineRule="auto"/>
        <w:jc w:val="center"/>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drawing>
          <wp:inline distT="0" distB="0" distL="0" distR="0" wp14:anchorId="50D43B58" wp14:editId="78F57BF4">
            <wp:extent cx="5491497" cy="3375177"/>
            <wp:effectExtent l="0" t="0" r="0" b="0"/>
            <wp:docPr id="3260216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491497" cy="3375177"/>
                    </a:xfrm>
                    <a:prstGeom prst="rect">
                      <a:avLst/>
                    </a:prstGeom>
                    <a:ln/>
                  </pic:spPr>
                </pic:pic>
              </a:graphicData>
            </a:graphic>
          </wp:inline>
        </w:drawing>
      </w:r>
    </w:p>
    <w:p w14:paraId="00F2932F" w14:textId="77777777" w:rsidR="00023530" w:rsidRPr="007D1EEA" w:rsidRDefault="0013670A">
      <w:pPr>
        <w:spacing w:line="360" w:lineRule="auto"/>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sz w:val="22"/>
          <w:szCs w:val="22"/>
        </w:rPr>
        <w:lastRenderedPageBreak/>
        <w:t xml:space="preserve">Ahora, respecto de la naturaleza de la información, es decir, de </w:t>
      </w:r>
      <w:r w:rsidRPr="007D1EEA">
        <w:rPr>
          <w:rFonts w:ascii="Palatino Linotype" w:eastAsia="Palatino Linotype" w:hAnsi="Palatino Linotype" w:cs="Palatino Linotype"/>
          <w:b/>
          <w:sz w:val="22"/>
          <w:szCs w:val="22"/>
          <w:u w:val="single"/>
        </w:rPr>
        <w:t>lo relativo a los recibos de nómina de los titulares de las dependencias indicadas,</w:t>
      </w:r>
      <w:r w:rsidRPr="007D1EEA">
        <w:rPr>
          <w:rFonts w:ascii="Palatino Linotype" w:eastAsia="Palatino Linotype" w:hAnsi="Palatino Linotype" w:cs="Palatino Linotype"/>
          <w:sz w:val="22"/>
          <w:szCs w:val="22"/>
        </w:rPr>
        <w:t xml:space="preserve"> es de señalar que si bien el término “</w:t>
      </w:r>
      <w:r w:rsidRPr="007D1EEA">
        <w:rPr>
          <w:rFonts w:ascii="Palatino Linotype" w:eastAsia="Palatino Linotype" w:hAnsi="Palatino Linotype" w:cs="Palatino Linotype"/>
          <w:i/>
          <w:sz w:val="22"/>
          <w:szCs w:val="22"/>
        </w:rPr>
        <w:t xml:space="preserve">nómina” </w:t>
      </w:r>
      <w:r w:rsidRPr="007D1EEA">
        <w:rPr>
          <w:rFonts w:ascii="Palatino Linotype" w:eastAsia="Palatino Linotype" w:hAnsi="Palatino Linotype" w:cs="Palatino Linotype"/>
          <w:sz w:val="22"/>
          <w:szCs w:val="22"/>
        </w:rPr>
        <w:t xml:space="preserve">no está definido en nuestra legislación, también lo es que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7D1EEA">
        <w:rPr>
          <w:rFonts w:ascii="Palatino Linotype" w:eastAsia="Palatino Linotype" w:hAnsi="Palatino Linotype" w:cs="Palatino Linotype"/>
          <w:i/>
          <w:sz w:val="22"/>
          <w:szCs w:val="22"/>
        </w:rPr>
        <w:t>listado general de los trabajadores de una institución, en</w:t>
      </w:r>
      <w:r w:rsidRPr="007D1EEA">
        <w:rPr>
          <w:rFonts w:ascii="Palatino Linotype" w:eastAsia="Palatino Linotype" w:hAnsi="Palatino Linotype" w:cs="Palatino Linotype"/>
          <w:b/>
          <w:i/>
          <w:sz w:val="22"/>
          <w:szCs w:val="22"/>
        </w:rPr>
        <w:t xml:space="preserve"> </w:t>
      </w:r>
      <w:r w:rsidRPr="007D1EEA">
        <w:rPr>
          <w:rFonts w:ascii="Palatino Linotype" w:eastAsia="Palatino Linotype" w:hAnsi="Palatino Linotype" w:cs="Palatino Linotype"/>
          <w:i/>
          <w:sz w:val="22"/>
          <w:szCs w:val="22"/>
        </w:rPr>
        <w:t xml:space="preserve">el cual se </w:t>
      </w:r>
      <w:r w:rsidRPr="007D1EEA">
        <w:rPr>
          <w:rFonts w:ascii="Palatino Linotype" w:eastAsia="Palatino Linotype" w:hAnsi="Palatino Linotype" w:cs="Palatino Linotype"/>
          <w:b/>
          <w:i/>
          <w:sz w:val="22"/>
          <w:szCs w:val="22"/>
        </w:rPr>
        <w:t xml:space="preserve">asientan las </w:t>
      </w:r>
      <w:r w:rsidRPr="007D1EEA">
        <w:rPr>
          <w:rFonts w:ascii="Palatino Linotype" w:eastAsia="Palatino Linotype" w:hAnsi="Palatino Linotype" w:cs="Palatino Linotype"/>
          <w:b/>
          <w:i/>
          <w:sz w:val="22"/>
          <w:szCs w:val="22"/>
          <w:u w:val="single"/>
        </w:rPr>
        <w:t>percepciones brutas, deducciones y alcance neto de las mismas</w:t>
      </w:r>
      <w:r w:rsidRPr="007D1EEA">
        <w:rPr>
          <w:rFonts w:ascii="Palatino Linotype" w:eastAsia="Palatino Linotype" w:hAnsi="Palatino Linotype" w:cs="Palatino Linotype"/>
          <w:i/>
          <w:sz w:val="22"/>
          <w:szCs w:val="22"/>
        </w:rPr>
        <w:t>; la nómina es utilizada para</w:t>
      </w:r>
      <w:r w:rsidRPr="007D1EEA">
        <w:rPr>
          <w:rFonts w:ascii="Palatino Linotype" w:eastAsia="Palatino Linotype" w:hAnsi="Palatino Linotype" w:cs="Palatino Linotype"/>
          <w:b/>
          <w:i/>
          <w:sz w:val="22"/>
          <w:szCs w:val="22"/>
        </w:rPr>
        <w:t xml:space="preserve"> efectuar los pagos periódicos</w:t>
      </w:r>
      <w:r w:rsidRPr="007D1EEA">
        <w:rPr>
          <w:rFonts w:ascii="Palatino Linotype" w:eastAsia="Palatino Linotype" w:hAnsi="Palatino Linotype" w:cs="Palatino Linotype"/>
          <w:i/>
          <w:sz w:val="22"/>
          <w:szCs w:val="22"/>
        </w:rPr>
        <w:t xml:space="preserve"> (semanales, quincenales o</w:t>
      </w:r>
      <w:r w:rsidRPr="007D1EEA">
        <w:rPr>
          <w:rFonts w:ascii="Palatino Linotype" w:eastAsia="Palatino Linotype" w:hAnsi="Palatino Linotype" w:cs="Palatino Linotype"/>
          <w:b/>
          <w:i/>
          <w:sz w:val="22"/>
          <w:szCs w:val="22"/>
        </w:rPr>
        <w:t xml:space="preserve"> </w:t>
      </w:r>
      <w:r w:rsidRPr="007D1EEA">
        <w:rPr>
          <w:rFonts w:ascii="Palatino Linotype" w:eastAsia="Palatino Linotype" w:hAnsi="Palatino Linotype" w:cs="Palatino Linotype"/>
          <w:i/>
          <w:sz w:val="22"/>
          <w:szCs w:val="22"/>
        </w:rPr>
        <w:t xml:space="preserve">mensuales) a los trabajadores por concepto de </w:t>
      </w:r>
      <w:r w:rsidRPr="007D1EEA">
        <w:rPr>
          <w:rFonts w:ascii="Palatino Linotype" w:eastAsia="Palatino Linotype" w:hAnsi="Palatino Linotype" w:cs="Palatino Linotype"/>
          <w:b/>
          <w:i/>
          <w:sz w:val="22"/>
          <w:szCs w:val="22"/>
        </w:rPr>
        <w:t>sueldos y salarios</w:t>
      </w:r>
      <w:r w:rsidRPr="007D1EEA">
        <w:rPr>
          <w:rFonts w:ascii="Palatino Linotype" w:eastAsia="Palatino Linotype" w:hAnsi="Palatino Linotype" w:cs="Palatino Linotype"/>
          <w:i/>
          <w:sz w:val="22"/>
          <w:szCs w:val="22"/>
        </w:rPr>
        <w:t>.</w:t>
      </w:r>
    </w:p>
    <w:p w14:paraId="750514FD" w14:textId="77777777" w:rsidR="00023530" w:rsidRPr="007D1EEA" w:rsidRDefault="00023530">
      <w:pPr>
        <w:spacing w:line="360" w:lineRule="auto"/>
        <w:jc w:val="both"/>
        <w:rPr>
          <w:rFonts w:ascii="Palatino Linotype" w:eastAsia="Palatino Linotype" w:hAnsi="Palatino Linotype" w:cs="Palatino Linotype"/>
          <w:i/>
          <w:sz w:val="22"/>
          <w:szCs w:val="22"/>
        </w:rPr>
      </w:pPr>
    </w:p>
    <w:p w14:paraId="5F03207A"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Ahora bien, en el caso de los </w:t>
      </w:r>
      <w:r w:rsidRPr="007D1EEA">
        <w:rPr>
          <w:rFonts w:ascii="Palatino Linotype" w:eastAsia="Palatino Linotype" w:hAnsi="Palatino Linotype" w:cs="Palatino Linotype"/>
          <w:b/>
          <w:sz w:val="22"/>
          <w:szCs w:val="22"/>
        </w:rPr>
        <w:t>recibos de nómina</w:t>
      </w:r>
      <w:r w:rsidRPr="007D1EEA">
        <w:rPr>
          <w:rFonts w:ascii="Palatino Linotype" w:eastAsia="Palatino Linotype" w:hAnsi="Palatino Linotype" w:cs="Palatino Linotype"/>
          <w:sz w:val="22"/>
          <w:szCs w:val="22"/>
        </w:rPr>
        <w:t>,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p>
    <w:p w14:paraId="1601C336"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5CAAAEC1"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 xml:space="preserve">A efecto de robustecer lo anterior, es preciso hacer alusión, en primera instancia, a lo establecido en las normas de carácter general del </w:t>
      </w:r>
      <w:r w:rsidRPr="007D1EEA">
        <w:rPr>
          <w:rFonts w:ascii="Palatino Linotype" w:eastAsia="Palatino Linotype" w:hAnsi="Palatino Linotype" w:cs="Palatino Linotype"/>
          <w:b/>
          <w:sz w:val="22"/>
          <w:szCs w:val="22"/>
        </w:rPr>
        <w:t>Manual Único de Contabilidad Gubernamental para las Dependencias y Entidades Públicas del Gobierno y Municipios del Estado de México</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sz w:val="22"/>
          <w:szCs w:val="22"/>
        </w:rPr>
        <w:t xml:space="preserve">en donde se señala que el Régimen Fiscal para las entidades públicas es el correspondiente a </w:t>
      </w:r>
      <w:r w:rsidRPr="007D1EEA">
        <w:rPr>
          <w:rFonts w:ascii="Palatino Linotype" w:eastAsia="Palatino Linotype" w:hAnsi="Palatino Linotype" w:cs="Palatino Linotype"/>
          <w:i/>
          <w:sz w:val="22"/>
          <w:szCs w:val="22"/>
        </w:rPr>
        <w:t xml:space="preserve">personas morales con fines no lucrativos, </w:t>
      </w:r>
      <w:r w:rsidRPr="007D1EEA">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7D1EEA">
        <w:rPr>
          <w:rFonts w:ascii="Palatino Linotype" w:eastAsia="Palatino Linotype" w:hAnsi="Palatino Linotype" w:cs="Palatino Linotype"/>
          <w:b/>
          <w:sz w:val="22"/>
          <w:szCs w:val="22"/>
        </w:rPr>
        <w:t>Ley del Impuesto Sobre la Renta</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sz w:val="22"/>
          <w:szCs w:val="22"/>
        </w:rPr>
        <w:t>que a la letra señala lo siguiente:</w:t>
      </w:r>
    </w:p>
    <w:p w14:paraId="1AFF0E89" w14:textId="77777777" w:rsidR="00023530" w:rsidRPr="007D1EEA" w:rsidRDefault="0013670A">
      <w:pPr>
        <w:spacing w:before="240" w:after="240"/>
        <w:ind w:left="567" w:right="539"/>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w:t>
      </w:r>
      <w:proofErr w:type="gramStart"/>
      <w:r w:rsidRPr="007D1EEA">
        <w:rPr>
          <w:rFonts w:ascii="Palatino Linotype" w:eastAsia="Palatino Linotype" w:hAnsi="Palatino Linotype" w:cs="Palatino Linotype"/>
          <w:b/>
          <w:i/>
          <w:sz w:val="22"/>
          <w:szCs w:val="22"/>
        </w:rPr>
        <w:t>Artículo.-</w:t>
      </w:r>
      <w:proofErr w:type="gramEnd"/>
      <w:r w:rsidRPr="007D1EEA">
        <w:rPr>
          <w:rFonts w:ascii="Palatino Linotype" w:eastAsia="Palatino Linotype" w:hAnsi="Palatino Linotype" w:cs="Palatino Linotype"/>
          <w:b/>
          <w:i/>
          <w:sz w:val="22"/>
          <w:szCs w:val="22"/>
        </w:rPr>
        <w:t xml:space="preserve"> 86 </w:t>
      </w:r>
    </w:p>
    <w:p w14:paraId="45DD713D" w14:textId="77777777" w:rsidR="00023530" w:rsidRPr="007D1EEA" w:rsidRDefault="0013670A">
      <w:pPr>
        <w:spacing w:before="240" w:after="240"/>
        <w:ind w:left="567" w:right="539"/>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w:t>
      </w:r>
      <w:r w:rsidRPr="007D1EEA">
        <w:rPr>
          <w:rFonts w:ascii="Palatino Linotype" w:eastAsia="Palatino Linotype" w:hAnsi="Palatino Linotype" w:cs="Palatino Linotype"/>
          <w:i/>
          <w:sz w:val="22"/>
          <w:szCs w:val="22"/>
        </w:rPr>
        <w:t>…)</w:t>
      </w:r>
    </w:p>
    <w:p w14:paraId="5B4E1856" w14:textId="77777777" w:rsidR="00023530" w:rsidRPr="007D1EEA" w:rsidRDefault="0013670A">
      <w:pPr>
        <w:spacing w:before="240"/>
        <w:ind w:left="567" w:right="539"/>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i/>
          <w:sz w:val="22"/>
          <w:szCs w:val="22"/>
        </w:rPr>
        <w:t xml:space="preserve">Los partidos y asociaciones políticas, legalmente reconocidos, la Federación, las entidades federativas, </w:t>
      </w:r>
      <w:r w:rsidRPr="007D1EEA">
        <w:rPr>
          <w:rFonts w:ascii="Palatino Linotype" w:eastAsia="Palatino Linotype" w:hAnsi="Palatino Linotype" w:cs="Palatino Linotype"/>
          <w:b/>
          <w:i/>
          <w:sz w:val="22"/>
          <w:szCs w:val="22"/>
        </w:rPr>
        <w:t>los municipios</w:t>
      </w:r>
      <w:r w:rsidRPr="007D1EEA">
        <w:rPr>
          <w:rFonts w:ascii="Palatino Linotype" w:eastAsia="Palatino Linotype" w:hAnsi="Palatino Linotype" w:cs="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7D1EEA">
        <w:rPr>
          <w:rFonts w:ascii="Palatino Linotype" w:eastAsia="Palatino Linotype" w:hAnsi="Palatino Linotype" w:cs="Palatino Linotype"/>
          <w:b/>
          <w:i/>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7D1EEA">
        <w:rPr>
          <w:rFonts w:ascii="Palatino Linotype" w:eastAsia="Palatino Linotype" w:hAnsi="Palatino Linotype" w:cs="Palatino Linotype"/>
          <w:i/>
          <w:sz w:val="22"/>
          <w:szCs w:val="22"/>
        </w:rPr>
        <w:t xml:space="preserve"> para efectos de la legislación laboral a que se refieren los artículos 132 fracciones VII y VIII, y 804 primer párrafo fracciones II y IV de la Ley Federal del Trabajo…</w:t>
      </w:r>
      <w:r w:rsidRPr="007D1EEA">
        <w:rPr>
          <w:rFonts w:ascii="Palatino Linotype" w:eastAsia="Palatino Linotype" w:hAnsi="Palatino Linotype" w:cs="Palatino Linotype"/>
          <w:sz w:val="22"/>
          <w:szCs w:val="22"/>
        </w:rPr>
        <w:t xml:space="preserve">” </w:t>
      </w:r>
    </w:p>
    <w:p w14:paraId="5E0879A6" w14:textId="77777777" w:rsidR="00023530" w:rsidRPr="007D1EEA" w:rsidRDefault="00023530">
      <w:pPr>
        <w:spacing w:after="240"/>
        <w:ind w:right="539"/>
        <w:jc w:val="both"/>
        <w:rPr>
          <w:rFonts w:ascii="Palatino Linotype" w:eastAsia="Palatino Linotype" w:hAnsi="Palatino Linotype" w:cs="Palatino Linotype"/>
          <w:sz w:val="22"/>
          <w:szCs w:val="22"/>
        </w:rPr>
      </w:pPr>
    </w:p>
    <w:p w14:paraId="062FD06A"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Del precepto citado, se advierte que los municipios al ser entes públicos se encuentran constreñidos a expedir y entregar los </w:t>
      </w:r>
      <w:r w:rsidRPr="007D1EEA">
        <w:rPr>
          <w:rFonts w:ascii="Palatino Linotype" w:eastAsia="Palatino Linotype" w:hAnsi="Palatino Linotype" w:cs="Palatino Linotype"/>
          <w:b/>
          <w:sz w:val="22"/>
          <w:szCs w:val="22"/>
        </w:rPr>
        <w:t xml:space="preserve">comprobantes fiscales correspondientes a las personas que reciban pagos por conceptos de salarios, </w:t>
      </w:r>
      <w:r w:rsidRPr="007D1EEA">
        <w:rPr>
          <w:rFonts w:ascii="Palatino Linotype" w:eastAsia="Palatino Linotype" w:hAnsi="Palatino Linotype" w:cs="Palatino Linotype"/>
          <w:sz w:val="22"/>
          <w:szCs w:val="22"/>
        </w:rPr>
        <w:t xml:space="preserve">mismos que pueden ser utilizados </w:t>
      </w:r>
      <w:r w:rsidRPr="007D1EEA">
        <w:rPr>
          <w:rFonts w:ascii="Palatino Linotype" w:eastAsia="Palatino Linotype" w:hAnsi="Palatino Linotype" w:cs="Palatino Linotype"/>
          <w:sz w:val="22"/>
          <w:szCs w:val="22"/>
        </w:rPr>
        <w:lastRenderedPageBreak/>
        <w:t xml:space="preserve">como </w:t>
      </w:r>
      <w:r w:rsidRPr="007D1EEA">
        <w:rPr>
          <w:rFonts w:ascii="Palatino Linotype" w:eastAsia="Palatino Linotype" w:hAnsi="Palatino Linotype" w:cs="Palatino Linotype"/>
          <w:b/>
          <w:sz w:val="22"/>
          <w:szCs w:val="22"/>
        </w:rPr>
        <w:t>constancia o</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recibo de pago</w:t>
      </w:r>
      <w:r w:rsidRPr="007D1EEA">
        <w:rPr>
          <w:rFonts w:ascii="Palatino Linotype" w:eastAsia="Palatino Linotype" w:hAnsi="Palatino Linotype" w:cs="Palatino Linotype"/>
          <w:sz w:val="22"/>
          <w:szCs w:val="22"/>
        </w:rPr>
        <w:t xml:space="preserve">, de conformidad con los artículos 132 fracciones VII y VIII de la </w:t>
      </w:r>
      <w:r w:rsidRPr="007D1EEA">
        <w:rPr>
          <w:rFonts w:ascii="Palatino Linotype" w:eastAsia="Palatino Linotype" w:hAnsi="Palatino Linotype" w:cs="Palatino Linotype"/>
          <w:b/>
          <w:sz w:val="22"/>
          <w:szCs w:val="22"/>
        </w:rPr>
        <w:t>Ley Federal del Trabajo</w:t>
      </w:r>
      <w:r w:rsidRPr="007D1EEA">
        <w:rPr>
          <w:rFonts w:ascii="Palatino Linotype" w:eastAsia="Palatino Linotype" w:hAnsi="Palatino Linotype" w:cs="Palatino Linotype"/>
          <w:sz w:val="22"/>
          <w:szCs w:val="22"/>
        </w:rPr>
        <w:t>, que a la letra señalan lo siguiente:</w:t>
      </w:r>
    </w:p>
    <w:p w14:paraId="735B36B1"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0D4E0962" w14:textId="77777777" w:rsidR="00023530" w:rsidRPr="007D1EEA" w:rsidRDefault="0013670A">
      <w:pPr>
        <w:spacing w:before="120" w:after="120"/>
        <w:ind w:left="567" w:right="539"/>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“Artículo 132</w:t>
      </w:r>
      <w:r w:rsidRPr="007D1EEA">
        <w:rPr>
          <w:rFonts w:ascii="Palatino Linotype" w:eastAsia="Palatino Linotype" w:hAnsi="Palatino Linotype" w:cs="Palatino Linotype"/>
          <w:i/>
          <w:sz w:val="22"/>
          <w:szCs w:val="22"/>
        </w:rPr>
        <w:t xml:space="preserve">.- Son </w:t>
      </w:r>
      <w:r w:rsidRPr="007D1EEA">
        <w:rPr>
          <w:rFonts w:ascii="Palatino Linotype" w:eastAsia="Palatino Linotype" w:hAnsi="Palatino Linotype" w:cs="Palatino Linotype"/>
          <w:b/>
          <w:i/>
          <w:sz w:val="22"/>
          <w:szCs w:val="22"/>
        </w:rPr>
        <w:t>obligaciones de los patrones</w:t>
      </w:r>
      <w:r w:rsidRPr="007D1EEA">
        <w:rPr>
          <w:rFonts w:ascii="Palatino Linotype" w:eastAsia="Palatino Linotype" w:hAnsi="Palatino Linotype" w:cs="Palatino Linotype"/>
          <w:i/>
          <w:sz w:val="22"/>
          <w:szCs w:val="22"/>
        </w:rPr>
        <w:t>:</w:t>
      </w:r>
    </w:p>
    <w:p w14:paraId="05CAA96E" w14:textId="77777777" w:rsidR="00023530" w:rsidRPr="007D1EEA" w:rsidRDefault="0013670A">
      <w:pPr>
        <w:spacing w:before="120" w:after="120"/>
        <w:ind w:left="567" w:right="539"/>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4AD2969C" w14:textId="77777777" w:rsidR="00023530" w:rsidRPr="007D1EEA" w:rsidRDefault="0013670A">
      <w:pPr>
        <w:spacing w:before="120" w:after="120"/>
        <w:ind w:left="567" w:right="539"/>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VII.- </w:t>
      </w:r>
      <w:r w:rsidRPr="007D1EEA">
        <w:rPr>
          <w:rFonts w:ascii="Palatino Linotype" w:eastAsia="Palatino Linotype" w:hAnsi="Palatino Linotype" w:cs="Palatino Linotype"/>
          <w:b/>
          <w:i/>
          <w:sz w:val="22"/>
          <w:szCs w:val="22"/>
        </w:rPr>
        <w:t>Expedir</w:t>
      </w:r>
      <w:r w:rsidRPr="007D1EEA">
        <w:rPr>
          <w:rFonts w:ascii="Palatino Linotype" w:eastAsia="Palatino Linotype" w:hAnsi="Palatino Linotype" w:cs="Palatino Linotype"/>
          <w:i/>
          <w:sz w:val="22"/>
          <w:szCs w:val="22"/>
        </w:rPr>
        <w:t xml:space="preserve"> cada quince días, a solicitud de los trabajadores, una </w:t>
      </w:r>
      <w:r w:rsidRPr="007D1EEA">
        <w:rPr>
          <w:rFonts w:ascii="Palatino Linotype" w:eastAsia="Palatino Linotype" w:hAnsi="Palatino Linotype" w:cs="Palatino Linotype"/>
          <w:b/>
          <w:i/>
          <w:sz w:val="22"/>
          <w:szCs w:val="22"/>
        </w:rPr>
        <w:t>constancia</w:t>
      </w:r>
      <w:r w:rsidRPr="007D1EEA">
        <w:rPr>
          <w:rFonts w:ascii="Palatino Linotype" w:eastAsia="Palatino Linotype" w:hAnsi="Palatino Linotype" w:cs="Palatino Linotype"/>
          <w:i/>
          <w:sz w:val="22"/>
          <w:szCs w:val="22"/>
        </w:rPr>
        <w:t xml:space="preserve"> escrita del número de días trabajados y </w:t>
      </w:r>
      <w:r w:rsidRPr="007D1EEA">
        <w:rPr>
          <w:rFonts w:ascii="Palatino Linotype" w:eastAsia="Palatino Linotype" w:hAnsi="Palatino Linotype" w:cs="Palatino Linotype"/>
          <w:b/>
          <w:i/>
          <w:sz w:val="22"/>
          <w:szCs w:val="22"/>
        </w:rPr>
        <w:t>del salario percibido</w:t>
      </w:r>
      <w:r w:rsidRPr="007D1EEA">
        <w:rPr>
          <w:rFonts w:ascii="Palatino Linotype" w:eastAsia="Palatino Linotype" w:hAnsi="Palatino Linotype" w:cs="Palatino Linotype"/>
          <w:i/>
          <w:sz w:val="22"/>
          <w:szCs w:val="22"/>
        </w:rPr>
        <w:t xml:space="preserve">; </w:t>
      </w:r>
    </w:p>
    <w:p w14:paraId="0BE8BA9D" w14:textId="77777777" w:rsidR="00023530" w:rsidRPr="007D1EEA" w:rsidRDefault="0013670A">
      <w:pPr>
        <w:spacing w:before="120" w:after="120"/>
        <w:ind w:left="567" w:right="539"/>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VIII.- Expedir al trabajador que lo solicite o se separe de la empresa, dentro del término de tres días, una constancia escrita relativa a sus servicios;</w:t>
      </w:r>
    </w:p>
    <w:p w14:paraId="7A4BC7A3" w14:textId="77777777" w:rsidR="00023530" w:rsidRPr="007D1EEA" w:rsidRDefault="0013670A">
      <w:pPr>
        <w:ind w:left="567" w:right="539"/>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4836B7AB" w14:textId="77777777" w:rsidR="00023530" w:rsidRPr="007D1EEA" w:rsidRDefault="0013670A">
      <w:pPr>
        <w:spacing w:before="240" w:after="36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7630F3E8"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“ARTÍCULO 220 K.-</w:t>
      </w:r>
      <w:r w:rsidRPr="007D1EEA">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4F0A14D9"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50CEB58D"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II. </w:t>
      </w:r>
      <w:r w:rsidRPr="007D1EEA">
        <w:rPr>
          <w:rFonts w:ascii="Palatino Linotype" w:eastAsia="Palatino Linotype" w:hAnsi="Palatino Linotype" w:cs="Palatino Linotype"/>
          <w:b/>
          <w:i/>
          <w:sz w:val="22"/>
          <w:szCs w:val="22"/>
        </w:rPr>
        <w:t>Recibos de pagos de salarios</w:t>
      </w:r>
      <w:r w:rsidRPr="007D1EEA">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14:paraId="2517D191"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1DCF7E5F"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14:paraId="3C2FBC0F"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0E4E521C"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6DB0BAA9" w14:textId="77777777" w:rsidR="00023530" w:rsidRPr="007D1EEA" w:rsidRDefault="0013670A">
      <w:pPr>
        <w:tabs>
          <w:tab w:val="left" w:pos="9072"/>
        </w:tabs>
        <w:spacing w:after="160" w:line="259" w:lineRule="auto"/>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14:paraId="2FF5D1F8" w14:textId="77777777" w:rsidR="00023530" w:rsidRPr="007D1EEA" w:rsidRDefault="00023530">
      <w:pPr>
        <w:tabs>
          <w:tab w:val="left" w:pos="9072"/>
        </w:tabs>
        <w:spacing w:after="160" w:line="259" w:lineRule="auto"/>
        <w:ind w:left="567" w:right="902"/>
        <w:jc w:val="both"/>
        <w:rPr>
          <w:rFonts w:ascii="Palatino Linotype" w:eastAsia="Palatino Linotype" w:hAnsi="Palatino Linotype" w:cs="Palatino Linotype"/>
          <w:i/>
          <w:sz w:val="22"/>
          <w:szCs w:val="22"/>
        </w:rPr>
      </w:pPr>
    </w:p>
    <w:p w14:paraId="0484D237" w14:textId="77777777" w:rsidR="00023530" w:rsidRPr="007D1EEA" w:rsidRDefault="0013670A">
      <w:pPr>
        <w:spacing w:before="12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6814784"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58A1945A"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Por tanto, los </w:t>
      </w:r>
      <w:r w:rsidRPr="007D1EEA">
        <w:rPr>
          <w:rFonts w:ascii="Palatino Linotype" w:eastAsia="Palatino Linotype" w:hAnsi="Palatino Linotype" w:cs="Palatino Linotype"/>
          <w:i/>
          <w:sz w:val="22"/>
          <w:szCs w:val="22"/>
        </w:rPr>
        <w:t xml:space="preserve">recibos de nómina o comprobantes digitales por concepto de nómina </w:t>
      </w:r>
      <w:r w:rsidRPr="007D1EEA">
        <w:rPr>
          <w:rFonts w:ascii="Palatino Linotype" w:eastAsia="Palatino Linotype" w:hAnsi="Palatino Linotype" w:cs="Palatino Linotype"/>
          <w:sz w:val="22"/>
          <w:szCs w:val="22"/>
        </w:rPr>
        <w:t xml:space="preserve">tienen como objetivo presentar la información del pago de las remuneraciones de cada uno de los </w:t>
      </w:r>
      <w:r w:rsidRPr="007D1EEA">
        <w:rPr>
          <w:rFonts w:ascii="Palatino Linotype" w:eastAsia="Palatino Linotype" w:hAnsi="Palatino Linotype" w:cs="Palatino Linotype"/>
          <w:sz w:val="22"/>
          <w:szCs w:val="22"/>
        </w:rPr>
        <w:lastRenderedPageBreak/>
        <w:t>servidores públicos de la entidad fiscalizable de que se trate correspondiente a un periodo determinado.</w:t>
      </w:r>
    </w:p>
    <w:p w14:paraId="49C53535"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D971D67"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Además, dicha información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94FC885" w14:textId="77777777" w:rsidR="00023530" w:rsidRPr="007D1EEA" w:rsidRDefault="00023530">
      <w:pPr>
        <w:rPr>
          <w:sz w:val="22"/>
          <w:szCs w:val="22"/>
        </w:rPr>
      </w:pPr>
    </w:p>
    <w:p w14:paraId="24CC5076" w14:textId="77777777" w:rsidR="00023530" w:rsidRPr="007D1EEA" w:rsidRDefault="0013670A">
      <w:pPr>
        <w:spacing w:after="160" w:line="276" w:lineRule="auto"/>
        <w:ind w:left="851" w:right="616"/>
        <w:jc w:val="both"/>
        <w:rPr>
          <w:sz w:val="22"/>
          <w:szCs w:val="22"/>
        </w:rPr>
      </w:pPr>
      <w:r w:rsidRPr="007D1EEA">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7D1EEA">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7D1EEA">
        <w:rPr>
          <w:rFonts w:ascii="Palatino Linotype" w:eastAsia="Palatino Linotype" w:hAnsi="Palatino Linotype" w:cs="Palatino Linotype"/>
          <w:b/>
          <w:i/>
          <w:sz w:val="22"/>
          <w:szCs w:val="22"/>
          <w:u w:val="single"/>
        </w:rPr>
        <w:t>que reciba y ejerza recursos públicos</w:t>
      </w:r>
      <w:r w:rsidRPr="007D1EEA">
        <w:rPr>
          <w:rFonts w:ascii="Palatino Linotype" w:eastAsia="Palatino Linotype" w:hAnsi="Palatino Linotype" w:cs="Palatino Linotype"/>
          <w:i/>
          <w:sz w:val="22"/>
          <w:szCs w:val="22"/>
        </w:rPr>
        <w:t xml:space="preserve"> o realice actos de autoridad </w:t>
      </w:r>
      <w:r w:rsidRPr="007D1EEA">
        <w:rPr>
          <w:rFonts w:ascii="Palatino Linotype" w:eastAsia="Palatino Linotype" w:hAnsi="Palatino Linotype" w:cs="Palatino Linotype"/>
          <w:b/>
          <w:i/>
          <w:sz w:val="22"/>
          <w:szCs w:val="22"/>
          <w:u w:val="single"/>
        </w:rPr>
        <w:t>en el ámbito de competencia del Estado de México y sus municipios</w:t>
      </w:r>
      <w:r w:rsidRPr="007D1EEA">
        <w:rPr>
          <w:rFonts w:ascii="Palatino Linotype" w:eastAsia="Palatino Linotype" w:hAnsi="Palatino Linotype" w:cs="Palatino Linotype"/>
          <w:i/>
          <w:sz w:val="22"/>
          <w:szCs w:val="22"/>
          <w:u w:val="single"/>
        </w:rPr>
        <w:t>.</w:t>
      </w:r>
    </w:p>
    <w:p w14:paraId="4D3796E8" w14:textId="77777777" w:rsidR="00023530" w:rsidRPr="007D1EEA" w:rsidRDefault="0013670A">
      <w:pPr>
        <w:spacing w:after="160" w:line="276" w:lineRule="auto"/>
        <w:ind w:left="851" w:right="616"/>
        <w:jc w:val="both"/>
        <w:rPr>
          <w:sz w:val="22"/>
          <w:szCs w:val="22"/>
        </w:rPr>
      </w:pPr>
      <w:r w:rsidRPr="007D1EEA">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14:paraId="68A52C87" w14:textId="77777777" w:rsidR="00023530" w:rsidRPr="007D1EEA" w:rsidRDefault="0013670A">
      <w:pPr>
        <w:spacing w:after="160" w:line="276" w:lineRule="auto"/>
        <w:ind w:left="851" w:right="616"/>
        <w:jc w:val="both"/>
        <w:rPr>
          <w:sz w:val="22"/>
          <w:szCs w:val="22"/>
        </w:rPr>
      </w:pPr>
      <w:r w:rsidRPr="007D1EEA">
        <w:rPr>
          <w:rFonts w:ascii="Palatino Linotype" w:eastAsia="Palatino Linotype" w:hAnsi="Palatino Linotype" w:cs="Palatino Linotype"/>
          <w:i/>
          <w:sz w:val="22"/>
          <w:szCs w:val="22"/>
        </w:rPr>
        <w:lastRenderedPageBreak/>
        <w:t>(…)</w:t>
      </w:r>
    </w:p>
    <w:p w14:paraId="23AA269D" w14:textId="77777777" w:rsidR="00023530" w:rsidRPr="007D1EEA" w:rsidRDefault="0013670A">
      <w:pPr>
        <w:spacing w:after="160" w:line="276" w:lineRule="auto"/>
        <w:ind w:left="851" w:right="616"/>
        <w:jc w:val="both"/>
        <w:rPr>
          <w:sz w:val="22"/>
          <w:szCs w:val="22"/>
        </w:rPr>
      </w:pPr>
      <w:r w:rsidRPr="007D1EEA">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51981A45" w14:textId="77777777" w:rsidR="00023530" w:rsidRPr="007D1EEA" w:rsidRDefault="0013670A">
      <w:pPr>
        <w:spacing w:after="160" w:line="276" w:lineRule="auto"/>
        <w:ind w:left="851" w:right="616"/>
        <w:jc w:val="both"/>
        <w:rPr>
          <w:sz w:val="22"/>
          <w:szCs w:val="22"/>
        </w:rPr>
      </w:pPr>
      <w:r w:rsidRPr="007D1EEA">
        <w:rPr>
          <w:rFonts w:ascii="Palatino Linotype" w:eastAsia="Palatino Linotype" w:hAnsi="Palatino Linotype" w:cs="Palatino Linotype"/>
          <w:i/>
          <w:sz w:val="22"/>
          <w:szCs w:val="22"/>
        </w:rPr>
        <w:t>(…)</w:t>
      </w:r>
    </w:p>
    <w:p w14:paraId="53349C9C" w14:textId="77777777" w:rsidR="00023530" w:rsidRPr="007D1EEA" w:rsidRDefault="0013670A">
      <w:pPr>
        <w:spacing w:after="160" w:line="276" w:lineRule="auto"/>
        <w:ind w:left="851" w:right="616"/>
        <w:jc w:val="both"/>
        <w:rPr>
          <w:sz w:val="22"/>
          <w:szCs w:val="22"/>
        </w:rPr>
      </w:pPr>
      <w:r w:rsidRPr="007D1EEA">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468FAD2" w14:textId="77777777" w:rsidR="00023530" w:rsidRPr="007D1EEA" w:rsidRDefault="0013670A">
      <w:pPr>
        <w:spacing w:after="160" w:line="276" w:lineRule="auto"/>
        <w:ind w:left="851" w:right="616"/>
        <w:jc w:val="both"/>
        <w:rPr>
          <w:sz w:val="22"/>
          <w:szCs w:val="22"/>
        </w:rPr>
      </w:pPr>
      <w:r w:rsidRPr="007D1EEA">
        <w:rPr>
          <w:rFonts w:ascii="Palatino Linotype" w:eastAsia="Palatino Linotype" w:hAnsi="Palatino Linotype" w:cs="Palatino Linotype"/>
          <w:i/>
          <w:sz w:val="22"/>
          <w:szCs w:val="22"/>
        </w:rPr>
        <w:t xml:space="preserve">Los servidores públicos deberán transparentar sus </w:t>
      </w:r>
      <w:proofErr w:type="gramStart"/>
      <w:r w:rsidRPr="007D1EEA">
        <w:rPr>
          <w:rFonts w:ascii="Palatino Linotype" w:eastAsia="Palatino Linotype" w:hAnsi="Palatino Linotype" w:cs="Palatino Linotype"/>
          <w:i/>
          <w:sz w:val="22"/>
          <w:szCs w:val="22"/>
        </w:rPr>
        <w:t>acciones</w:t>
      </w:r>
      <w:proofErr w:type="gramEnd"/>
      <w:r w:rsidRPr="007D1EEA">
        <w:rPr>
          <w:rFonts w:ascii="Palatino Linotype" w:eastAsia="Palatino Linotype" w:hAnsi="Palatino Linotype" w:cs="Palatino Linotype"/>
          <w:i/>
          <w:sz w:val="22"/>
          <w:szCs w:val="22"/>
        </w:rPr>
        <w:t xml:space="preserve"> así como garantizar y respetar el derecho de acceso a la información pública.”</w:t>
      </w:r>
      <w:r w:rsidRPr="007D1EEA">
        <w:rPr>
          <w:rFonts w:ascii="Palatino Linotype" w:eastAsia="Palatino Linotype" w:hAnsi="Palatino Linotype" w:cs="Palatino Linotype"/>
          <w:b/>
          <w:i/>
          <w:sz w:val="22"/>
          <w:szCs w:val="22"/>
        </w:rPr>
        <w:t xml:space="preserve"> </w:t>
      </w:r>
    </w:p>
    <w:p w14:paraId="6A6AFE36" w14:textId="77777777" w:rsidR="00023530" w:rsidRPr="007D1EEA" w:rsidRDefault="00023530">
      <w:pPr>
        <w:rPr>
          <w:sz w:val="22"/>
          <w:szCs w:val="22"/>
        </w:rPr>
      </w:pPr>
    </w:p>
    <w:p w14:paraId="25A7591A" w14:textId="77777777" w:rsidR="00023530" w:rsidRPr="007D1EEA" w:rsidRDefault="0013670A">
      <w:pPr>
        <w:spacing w:after="160" w:line="360" w:lineRule="auto"/>
        <w:jc w:val="both"/>
        <w:rPr>
          <w:sz w:val="22"/>
          <w:szCs w:val="22"/>
        </w:rPr>
      </w:pPr>
      <w:r w:rsidRPr="007D1EEA">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7D1EEA">
        <w:rPr>
          <w:rFonts w:ascii="Palatino Linotype" w:eastAsia="Palatino Linotype" w:hAnsi="Palatino Linotype" w:cs="Palatino Linotype"/>
          <w:b/>
          <w:sz w:val="22"/>
          <w:szCs w:val="22"/>
        </w:rPr>
        <w:t>01/2003</w:t>
      </w:r>
      <w:r w:rsidRPr="007D1EEA">
        <w:rPr>
          <w:rFonts w:ascii="Palatino Linotype" w:eastAsia="Palatino Linotype" w:hAnsi="Palatino Linotype" w:cs="Palatino Linotype"/>
          <w:sz w:val="22"/>
          <w:szCs w:val="22"/>
        </w:rPr>
        <w:t xml:space="preserve"> y </w:t>
      </w:r>
      <w:r w:rsidRPr="007D1EEA">
        <w:rPr>
          <w:rFonts w:ascii="Palatino Linotype" w:eastAsia="Palatino Linotype" w:hAnsi="Palatino Linotype" w:cs="Palatino Linotype"/>
          <w:b/>
          <w:sz w:val="22"/>
          <w:szCs w:val="22"/>
        </w:rPr>
        <w:t>02/2003</w:t>
      </w:r>
      <w:r w:rsidRPr="007D1EEA">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14:paraId="2011FB1C" w14:textId="77777777" w:rsidR="00023530" w:rsidRPr="007D1EEA" w:rsidRDefault="0013670A">
      <w:pPr>
        <w:tabs>
          <w:tab w:val="left" w:pos="7513"/>
        </w:tabs>
        <w:spacing w:after="160" w:line="276" w:lineRule="auto"/>
        <w:ind w:left="851" w:right="616"/>
        <w:rPr>
          <w:sz w:val="22"/>
          <w:szCs w:val="22"/>
        </w:rPr>
      </w:pPr>
      <w:r w:rsidRPr="007D1EEA">
        <w:rPr>
          <w:rFonts w:ascii="Palatino Linotype" w:eastAsia="Palatino Linotype" w:hAnsi="Palatino Linotype" w:cs="Palatino Linotype"/>
          <w:b/>
          <w:i/>
          <w:sz w:val="22"/>
          <w:szCs w:val="22"/>
        </w:rPr>
        <w:t>“Criterio 01/2003.</w:t>
      </w:r>
    </w:p>
    <w:p w14:paraId="6CDB31A4" w14:textId="77777777" w:rsidR="00023530" w:rsidRPr="007D1EEA" w:rsidRDefault="0013670A">
      <w:pPr>
        <w:tabs>
          <w:tab w:val="left" w:pos="7513"/>
        </w:tabs>
        <w:spacing w:after="160" w:line="276" w:lineRule="auto"/>
        <w:ind w:left="851" w:right="616"/>
        <w:jc w:val="both"/>
        <w:rPr>
          <w:sz w:val="22"/>
          <w:szCs w:val="22"/>
        </w:rPr>
      </w:pPr>
      <w:r w:rsidRPr="007D1EEA">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7D1EEA">
        <w:rPr>
          <w:rFonts w:ascii="Palatino Linotype" w:eastAsia="Palatino Linotype" w:hAnsi="Palatino Linotype" w:cs="Palatino Linotype"/>
          <w:i/>
          <w:sz w:val="22"/>
          <w:szCs w:val="22"/>
        </w:rPr>
        <w:t> </w:t>
      </w:r>
    </w:p>
    <w:p w14:paraId="300C63EE" w14:textId="77777777" w:rsidR="00023530" w:rsidRPr="007D1EEA" w:rsidRDefault="0013670A">
      <w:pPr>
        <w:tabs>
          <w:tab w:val="left" w:pos="7513"/>
        </w:tabs>
        <w:spacing w:after="160" w:line="276" w:lineRule="auto"/>
        <w:ind w:left="851" w:right="616"/>
        <w:jc w:val="both"/>
        <w:rPr>
          <w:sz w:val="22"/>
          <w:szCs w:val="22"/>
        </w:rPr>
      </w:pPr>
      <w:r w:rsidRPr="007D1EEA">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w:t>
      </w:r>
      <w:r w:rsidRPr="007D1EEA">
        <w:rPr>
          <w:rFonts w:ascii="Palatino Linotype" w:eastAsia="Palatino Linotype" w:hAnsi="Palatino Linotype" w:cs="Palatino Linotype"/>
          <w:i/>
          <w:sz w:val="22"/>
          <w:szCs w:val="22"/>
        </w:rPr>
        <w:lastRenderedPageBreak/>
        <w:t xml:space="preserve">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D1EEA">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D1EEA">
        <w:rPr>
          <w:rFonts w:ascii="Palatino Linotype" w:eastAsia="Palatino Linotype" w:hAnsi="Palatino Linotype" w:cs="Palatino Linotype"/>
          <w:i/>
          <w:sz w:val="22"/>
          <w:szCs w:val="22"/>
          <w:u w:val="single"/>
        </w:rPr>
        <w:t>…”</w:t>
      </w:r>
    </w:p>
    <w:p w14:paraId="666264F8" w14:textId="77777777" w:rsidR="00023530" w:rsidRPr="007D1EEA" w:rsidRDefault="00023530">
      <w:pPr>
        <w:tabs>
          <w:tab w:val="left" w:pos="7513"/>
        </w:tabs>
        <w:spacing w:line="276" w:lineRule="auto"/>
        <w:ind w:right="616"/>
        <w:rPr>
          <w:sz w:val="22"/>
          <w:szCs w:val="22"/>
        </w:rPr>
      </w:pPr>
    </w:p>
    <w:p w14:paraId="67C8712E" w14:textId="77777777" w:rsidR="00023530" w:rsidRPr="007D1EEA" w:rsidRDefault="0013670A">
      <w:pPr>
        <w:tabs>
          <w:tab w:val="left" w:pos="7513"/>
        </w:tabs>
        <w:spacing w:after="160" w:line="276" w:lineRule="auto"/>
        <w:ind w:left="851" w:right="616"/>
        <w:rPr>
          <w:sz w:val="22"/>
          <w:szCs w:val="22"/>
        </w:rPr>
      </w:pPr>
      <w:r w:rsidRPr="007D1EEA">
        <w:rPr>
          <w:rFonts w:ascii="Palatino Linotype" w:eastAsia="Palatino Linotype" w:hAnsi="Palatino Linotype" w:cs="Palatino Linotype"/>
          <w:b/>
          <w:i/>
          <w:sz w:val="22"/>
          <w:szCs w:val="22"/>
        </w:rPr>
        <w:t>“Criterio 02/2003.</w:t>
      </w:r>
    </w:p>
    <w:p w14:paraId="0FAAF1EB" w14:textId="77777777" w:rsidR="00023530" w:rsidRPr="007D1EEA" w:rsidRDefault="0013670A">
      <w:pPr>
        <w:tabs>
          <w:tab w:val="left" w:pos="7513"/>
        </w:tabs>
        <w:spacing w:after="160" w:line="276" w:lineRule="auto"/>
        <w:ind w:left="851" w:right="616"/>
        <w:jc w:val="both"/>
        <w:rPr>
          <w:sz w:val="22"/>
          <w:szCs w:val="22"/>
        </w:rPr>
      </w:pPr>
      <w:r w:rsidRPr="007D1EEA">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7D1EEA">
        <w:rPr>
          <w:rFonts w:ascii="Palatino Linotype" w:eastAsia="Palatino Linotype" w:hAnsi="Palatino Linotype" w:cs="Palatino Linotype"/>
          <w:i/>
          <w:sz w:val="22"/>
          <w:szCs w:val="22"/>
        </w:rPr>
        <w:t> </w:t>
      </w:r>
    </w:p>
    <w:p w14:paraId="2C0F6FAE" w14:textId="77777777" w:rsidR="00023530" w:rsidRPr="007D1EEA" w:rsidRDefault="0013670A">
      <w:pPr>
        <w:tabs>
          <w:tab w:val="left" w:pos="7513"/>
        </w:tabs>
        <w:spacing w:line="276" w:lineRule="auto"/>
        <w:ind w:left="851" w:right="616"/>
        <w:jc w:val="both"/>
        <w:rPr>
          <w:sz w:val="22"/>
          <w:szCs w:val="22"/>
        </w:rPr>
      </w:pPr>
      <w:r w:rsidRPr="007D1EEA">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D1EEA">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D1EEA">
        <w:rPr>
          <w:rFonts w:ascii="Palatino Linotype" w:eastAsia="Palatino Linotype" w:hAnsi="Palatino Linotype" w:cs="Palatino Linotype"/>
          <w:i/>
          <w:sz w:val="22"/>
          <w:szCs w:val="22"/>
        </w:rPr>
        <w:t xml:space="preserve"> el sistema de compensación…”</w:t>
      </w:r>
    </w:p>
    <w:p w14:paraId="673C3F99" w14:textId="77777777" w:rsidR="00023530" w:rsidRPr="007D1EEA" w:rsidRDefault="00023530">
      <w:pPr>
        <w:rPr>
          <w:sz w:val="22"/>
          <w:szCs w:val="22"/>
        </w:rPr>
      </w:pPr>
    </w:p>
    <w:p w14:paraId="0D60C52D"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lastRenderedPageBreak/>
        <w:t>Ahora bien, el artículo 92, fracción VIII de la Ley de Transparencia y Acceso a la Información Pública del Estado de México y Municipios, señala: </w:t>
      </w:r>
    </w:p>
    <w:p w14:paraId="5478F4BC" w14:textId="77777777" w:rsidR="00023530" w:rsidRPr="007D1EEA" w:rsidRDefault="00023530">
      <w:pPr>
        <w:rPr>
          <w:sz w:val="22"/>
          <w:szCs w:val="22"/>
        </w:rPr>
      </w:pPr>
    </w:p>
    <w:p w14:paraId="3F51C2A3" w14:textId="77777777" w:rsidR="00023530" w:rsidRPr="007D1EEA" w:rsidRDefault="0013670A">
      <w:pPr>
        <w:spacing w:line="276" w:lineRule="auto"/>
        <w:ind w:left="851" w:right="900"/>
        <w:jc w:val="both"/>
        <w:rPr>
          <w:sz w:val="22"/>
          <w:szCs w:val="22"/>
        </w:rPr>
      </w:pPr>
      <w:r w:rsidRPr="007D1EEA">
        <w:rPr>
          <w:rFonts w:ascii="Palatino Linotype" w:eastAsia="Palatino Linotype" w:hAnsi="Palatino Linotype" w:cs="Palatino Linotype"/>
          <w:i/>
          <w:sz w:val="22"/>
          <w:szCs w:val="22"/>
        </w:rPr>
        <w:t>“</w:t>
      </w:r>
      <w:r w:rsidRPr="007D1EEA">
        <w:rPr>
          <w:rFonts w:ascii="Palatino Linotype" w:eastAsia="Palatino Linotype" w:hAnsi="Palatino Linotype" w:cs="Palatino Linotype"/>
          <w:b/>
          <w:i/>
          <w:sz w:val="22"/>
          <w:szCs w:val="22"/>
        </w:rPr>
        <w:t>Artículo 92.</w:t>
      </w:r>
      <w:r w:rsidRPr="007D1EEA">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EA4C819" w14:textId="77777777" w:rsidR="00023530" w:rsidRPr="007D1EEA" w:rsidRDefault="0013670A">
      <w:pPr>
        <w:spacing w:line="276" w:lineRule="auto"/>
        <w:ind w:left="851" w:right="900"/>
        <w:jc w:val="both"/>
        <w:rPr>
          <w:sz w:val="22"/>
          <w:szCs w:val="22"/>
        </w:rPr>
      </w:pPr>
      <w:r w:rsidRPr="007D1EEA">
        <w:rPr>
          <w:rFonts w:ascii="Palatino Linotype" w:eastAsia="Palatino Linotype" w:hAnsi="Palatino Linotype" w:cs="Palatino Linotype"/>
          <w:i/>
          <w:sz w:val="22"/>
          <w:szCs w:val="22"/>
        </w:rPr>
        <w:t>(…)</w:t>
      </w:r>
    </w:p>
    <w:p w14:paraId="529D3B9A" w14:textId="77777777" w:rsidR="00023530" w:rsidRPr="007D1EEA" w:rsidRDefault="0013670A">
      <w:pPr>
        <w:spacing w:line="276" w:lineRule="auto"/>
        <w:ind w:left="851" w:right="900"/>
        <w:jc w:val="both"/>
        <w:rPr>
          <w:sz w:val="22"/>
          <w:szCs w:val="22"/>
        </w:rPr>
      </w:pPr>
      <w:r w:rsidRPr="007D1EEA">
        <w:rPr>
          <w:rFonts w:ascii="Palatino Linotype" w:eastAsia="Palatino Linotype" w:hAnsi="Palatino Linotype" w:cs="Palatino Linotype"/>
          <w:b/>
          <w:i/>
          <w:sz w:val="22"/>
          <w:szCs w:val="22"/>
        </w:rPr>
        <w:t>VIII.</w:t>
      </w:r>
      <w:r w:rsidRPr="007D1EEA">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5045896" w14:textId="77777777" w:rsidR="00023530" w:rsidRPr="007D1EEA" w:rsidRDefault="00023530">
      <w:pPr>
        <w:spacing w:line="360" w:lineRule="auto"/>
        <w:ind w:right="49"/>
        <w:jc w:val="both"/>
        <w:rPr>
          <w:rFonts w:ascii="Palatino Linotype" w:eastAsia="Palatino Linotype" w:hAnsi="Palatino Linotype" w:cs="Palatino Linotype"/>
          <w:sz w:val="22"/>
          <w:szCs w:val="22"/>
        </w:rPr>
      </w:pPr>
    </w:p>
    <w:p w14:paraId="42C763EF" w14:textId="77777777" w:rsidR="00023530" w:rsidRPr="007D1EEA" w:rsidRDefault="0013670A">
      <w:pPr>
        <w:spacing w:line="360" w:lineRule="auto"/>
        <w:ind w:right="49"/>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De lo anterior, se colige que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cuenta con las competencias, facultades y atribuciones para conocer, administrar y generar la información relacionada con los recibos de nómina peticionados por</w:t>
      </w:r>
      <w:r w:rsidRPr="007D1EEA">
        <w:rPr>
          <w:rFonts w:ascii="Palatino Linotype" w:eastAsia="Palatino Linotype" w:hAnsi="Palatino Linotype" w:cs="Palatino Linotype"/>
          <w:b/>
          <w:sz w:val="22"/>
          <w:szCs w:val="22"/>
        </w:rPr>
        <w:t xml:space="preserve"> la parte Recurrente. </w:t>
      </w:r>
    </w:p>
    <w:p w14:paraId="7651A1CF"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34B9882C"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Para conocer lo que debe contener la información correspondiente a la nómina, es necesario señalar que, al Órgano Superior de Fiscalización del Estado de México, le asiste la facultad de emitir los Lineamientos para la Integración del Informe Trimestral, en términos de la fracción XI del artículo 8 de la Ley de Fiscalización Superior del Estado de México, que es del tenor literal siguiente:</w:t>
      </w:r>
    </w:p>
    <w:p w14:paraId="4CA9D122"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9C8D454" w14:textId="77777777" w:rsidR="00023530" w:rsidRPr="007D1EEA" w:rsidRDefault="0013670A">
      <w:pPr>
        <w:spacing w:line="276" w:lineRule="auto"/>
        <w:ind w:left="851" w:right="616"/>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lastRenderedPageBreak/>
        <w:t>“Artículo 8.-</w:t>
      </w:r>
      <w:r w:rsidRPr="007D1EEA">
        <w:rPr>
          <w:rFonts w:ascii="Palatino Linotype" w:eastAsia="Palatino Linotype" w:hAnsi="Palatino Linotype" w:cs="Palatino Linotype"/>
          <w:i/>
          <w:sz w:val="22"/>
          <w:szCs w:val="22"/>
        </w:rPr>
        <w:t xml:space="preserve"> El </w:t>
      </w:r>
      <w:r w:rsidRPr="007D1EEA">
        <w:rPr>
          <w:rFonts w:ascii="Palatino Linotype" w:eastAsia="Palatino Linotype" w:hAnsi="Palatino Linotype" w:cs="Palatino Linotype"/>
          <w:b/>
          <w:i/>
          <w:sz w:val="22"/>
          <w:szCs w:val="22"/>
        </w:rPr>
        <w:t>Órgano Superior</w:t>
      </w:r>
      <w:r w:rsidRPr="007D1EEA">
        <w:rPr>
          <w:rFonts w:ascii="Palatino Linotype" w:eastAsia="Palatino Linotype" w:hAnsi="Palatino Linotype" w:cs="Palatino Linotype"/>
          <w:i/>
          <w:sz w:val="22"/>
          <w:szCs w:val="22"/>
        </w:rPr>
        <w:t xml:space="preserve"> tendrá las siguientes atribuciones:</w:t>
      </w:r>
    </w:p>
    <w:p w14:paraId="18865F3A" w14:textId="77777777" w:rsidR="00023530" w:rsidRPr="007D1EEA" w:rsidRDefault="0013670A">
      <w:pPr>
        <w:spacing w:line="276" w:lineRule="auto"/>
        <w:ind w:left="851" w:right="616"/>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75FFFD33" w14:textId="77777777" w:rsidR="00023530" w:rsidRPr="007D1EEA" w:rsidRDefault="0013670A">
      <w:pPr>
        <w:spacing w:line="276" w:lineRule="auto"/>
        <w:ind w:left="851" w:right="616"/>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XI</w:t>
      </w:r>
      <w:r w:rsidRPr="007D1EEA">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78A17227"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64A54045"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329F8BE1"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La información documental comprobatoria de los informes trimestrales presentados, debe conservarse en los archivos de la entidad fiscalizada en original y debidamente integrada en términos de los lineamientos de referencia, pues son susceptibles de revisión directa por el Órgano Superior de Fiscalización del Estado de México.</w:t>
      </w:r>
    </w:p>
    <w:p w14:paraId="2DC61766"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37C63AC" w14:textId="77777777" w:rsidR="00023530" w:rsidRPr="007D1EEA" w:rsidRDefault="0013670A">
      <w:pPr>
        <w:spacing w:line="360" w:lineRule="auto"/>
        <w:ind w:right="49"/>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 este contexto, el Órgano Superior de Fiscalización del Estado de México, emite en cada ejercicio fiscal los Lineamientos para la integración y entrega del Informe Trimestral Estatal </w:t>
      </w:r>
      <w:r w:rsidRPr="007D1EEA">
        <w:rPr>
          <w:rFonts w:ascii="Palatino Linotype" w:eastAsia="Palatino Linotype" w:hAnsi="Palatino Linotype" w:cs="Palatino Linotype"/>
          <w:sz w:val="22"/>
          <w:szCs w:val="22"/>
        </w:rPr>
        <w:lastRenderedPageBreak/>
        <w:t>para el ejercicio fiscal 2024 y los Instructivos de llenado correspondientes, mismos que se encuentran disponibles en su sitio de internet</w:t>
      </w:r>
      <w:r w:rsidRPr="007D1EEA">
        <w:rPr>
          <w:rFonts w:ascii="Palatino Linotype" w:eastAsia="Palatino Linotype" w:hAnsi="Palatino Linotype" w:cs="Palatino Linotype"/>
          <w:sz w:val="22"/>
          <w:szCs w:val="22"/>
          <w:vertAlign w:val="superscript"/>
        </w:rPr>
        <w:footnoteReference w:id="4"/>
      </w:r>
      <w:r w:rsidRPr="007D1EEA">
        <w:rPr>
          <w:rFonts w:ascii="Palatino Linotype" w:eastAsia="Palatino Linotype" w:hAnsi="Palatino Linotype" w:cs="Palatino Linotype"/>
          <w:sz w:val="22"/>
          <w:szCs w:val="22"/>
        </w:rPr>
        <w:t>,</w:t>
      </w:r>
      <w:r w:rsidRPr="007D1EEA">
        <w:rPr>
          <w:rFonts w:ascii="Palatino Linotype" w:eastAsia="Palatino Linotype" w:hAnsi="Palatino Linotype" w:cs="Palatino Linotype"/>
          <w:sz w:val="22"/>
          <w:szCs w:val="22"/>
          <w:vertAlign w:val="superscript"/>
        </w:rPr>
        <w:t xml:space="preserve">, </w:t>
      </w:r>
      <w:r w:rsidRPr="007D1EEA">
        <w:rPr>
          <w:rFonts w:ascii="Palatino Linotype" w:eastAsia="Palatino Linotype" w:hAnsi="Palatino Linotype" w:cs="Palatino Linotype"/>
          <w:sz w:val="22"/>
          <w:szCs w:val="22"/>
        </w:rPr>
        <w:t>con la finalidad de definir los criterios, los formatos y la documentación necesaria para presentar los informes trimestrales, que deben ser entregados a través de cuatro módulos.</w:t>
      </w:r>
    </w:p>
    <w:p w14:paraId="76087920" w14:textId="77777777" w:rsidR="00023530" w:rsidRPr="007D1EEA" w:rsidRDefault="00023530">
      <w:pPr>
        <w:spacing w:line="360" w:lineRule="auto"/>
        <w:ind w:right="49"/>
        <w:jc w:val="center"/>
        <w:rPr>
          <w:rFonts w:ascii="Palatino Linotype" w:eastAsia="Palatino Linotype" w:hAnsi="Palatino Linotype" w:cs="Palatino Linotype"/>
          <w:sz w:val="22"/>
          <w:szCs w:val="22"/>
        </w:rPr>
      </w:pPr>
    </w:p>
    <w:p w14:paraId="3E1BB0F1" w14:textId="77777777" w:rsidR="00023530" w:rsidRPr="007D1EEA" w:rsidRDefault="0013670A">
      <w:pPr>
        <w:spacing w:line="360" w:lineRule="auto"/>
        <w:ind w:right="49"/>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Ahora bien, la información que con motivo de la nómina genera </w:t>
      </w:r>
      <w:r w:rsidRPr="007D1EEA">
        <w:rPr>
          <w:rFonts w:ascii="Palatino Linotype" w:eastAsia="Palatino Linotype" w:hAnsi="Palatino Linotype" w:cs="Palatino Linotype"/>
          <w:b/>
          <w:sz w:val="22"/>
          <w:szCs w:val="22"/>
        </w:rPr>
        <w:t>el Sujeto Obligado</w:t>
      </w:r>
      <w:r w:rsidRPr="007D1EEA">
        <w:rPr>
          <w:rFonts w:ascii="Palatino Linotype" w:eastAsia="Palatino Linotype" w:hAnsi="Palatino Linotype" w:cs="Palatino Linotype"/>
          <w:sz w:val="22"/>
          <w:szCs w:val="22"/>
        </w:rPr>
        <w:t>, se encuentra contenida en el Módulo 4 Información administrativa, Submódulo Servicios Personales, como se muestra a continuación:</w:t>
      </w:r>
    </w:p>
    <w:p w14:paraId="475FF22E" w14:textId="77777777" w:rsidR="00023530" w:rsidRPr="007D1EEA" w:rsidRDefault="00023530">
      <w:pPr>
        <w:spacing w:line="360" w:lineRule="auto"/>
        <w:ind w:right="49"/>
        <w:jc w:val="both"/>
        <w:rPr>
          <w:rFonts w:ascii="Palatino Linotype" w:eastAsia="Palatino Linotype" w:hAnsi="Palatino Linotype" w:cs="Palatino Linotype"/>
          <w:sz w:val="22"/>
          <w:szCs w:val="22"/>
        </w:rPr>
      </w:pPr>
    </w:p>
    <w:p w14:paraId="46DAA660" w14:textId="77777777" w:rsidR="00023530" w:rsidRPr="007D1EEA" w:rsidRDefault="0013670A">
      <w:pPr>
        <w:spacing w:before="80" w:line="360" w:lineRule="auto"/>
        <w:ind w:right="49"/>
        <w:jc w:val="center"/>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lastRenderedPageBreak/>
        <w:drawing>
          <wp:inline distT="0" distB="0" distL="0" distR="0" wp14:anchorId="7CA12970" wp14:editId="4DBF99CF">
            <wp:extent cx="5004946" cy="5027032"/>
            <wp:effectExtent l="0" t="0" r="0" b="0"/>
            <wp:docPr id="32602169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5004946" cy="5027032"/>
                    </a:xfrm>
                    <a:prstGeom prst="rect">
                      <a:avLst/>
                    </a:prstGeom>
                    <a:ln/>
                  </pic:spPr>
                </pic:pic>
              </a:graphicData>
            </a:graphic>
          </wp:inline>
        </w:drawing>
      </w:r>
      <w:r w:rsidRPr="007D1EEA">
        <w:rPr>
          <w:noProof/>
          <w:lang w:val="es-MX"/>
        </w:rPr>
        <mc:AlternateContent>
          <mc:Choice Requires="wpg">
            <w:drawing>
              <wp:anchor distT="0" distB="0" distL="114300" distR="114300" simplePos="0" relativeHeight="251658240" behindDoc="0" locked="0" layoutInCell="1" hidden="0" allowOverlap="1" wp14:anchorId="4A7C783C" wp14:editId="241D6E10">
                <wp:simplePos x="0" y="0"/>
                <wp:positionH relativeFrom="column">
                  <wp:posOffset>1104900</wp:posOffset>
                </wp:positionH>
                <wp:positionV relativeFrom="paragraph">
                  <wp:posOffset>1879600</wp:posOffset>
                </wp:positionV>
                <wp:extent cx="4162425" cy="419100"/>
                <wp:effectExtent l="0" t="0" r="0" b="0"/>
                <wp:wrapNone/>
                <wp:docPr id="326021686" name="Rectángulo 326021686"/>
                <wp:cNvGraphicFramePr/>
                <a:graphic xmlns:a="http://schemas.openxmlformats.org/drawingml/2006/main">
                  <a:graphicData uri="http://schemas.microsoft.com/office/word/2010/wordprocessingShape">
                    <wps:wsp>
                      <wps:cNvSpPr/>
                      <wps:spPr>
                        <a:xfrm>
                          <a:off x="3279075" y="3584738"/>
                          <a:ext cx="4133850" cy="390525"/>
                        </a:xfrm>
                        <a:prstGeom prst="rect">
                          <a:avLst/>
                        </a:prstGeom>
                        <a:noFill/>
                        <a:ln w="28575" cap="flat" cmpd="sng">
                          <a:solidFill>
                            <a:srgbClr val="FF0000"/>
                          </a:solidFill>
                          <a:prstDash val="solid"/>
                          <a:round/>
                          <a:headEnd type="none" w="sm" len="sm"/>
                          <a:tailEnd type="none" w="sm" len="sm"/>
                        </a:ln>
                      </wps:spPr>
                      <wps:txbx>
                        <w:txbxContent>
                          <w:p w14:paraId="09C866DF" w14:textId="77777777" w:rsidR="00023530" w:rsidRDefault="0002353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1104900</wp:posOffset>
                </wp:positionH>
                <wp:positionV relativeFrom="paragraph">
                  <wp:posOffset>1879600</wp:posOffset>
                </wp:positionV>
                <wp:extent cx="4162425" cy="419100"/>
                <wp:effectExtent b="0" l="0" r="0" t="0"/>
                <wp:wrapNone/>
                <wp:docPr id="326021686"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4162425" cy="419100"/>
                        </a:xfrm>
                        <a:prstGeom prst="rect"/>
                        <a:ln/>
                      </pic:spPr>
                    </pic:pic>
                  </a:graphicData>
                </a:graphic>
              </wp:anchor>
            </w:drawing>
          </mc:Fallback>
        </mc:AlternateContent>
      </w:r>
    </w:p>
    <w:p w14:paraId="4D2D9EA5" w14:textId="77777777" w:rsidR="00023530" w:rsidRPr="007D1EEA" w:rsidRDefault="0013670A">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Atentos a lo anterior, se visualiza que </w:t>
      </w:r>
      <w:r w:rsidRPr="007D1EEA">
        <w:rPr>
          <w:rFonts w:ascii="Palatino Linotype" w:eastAsia="Palatino Linotype" w:hAnsi="Palatino Linotype" w:cs="Palatino Linotype"/>
          <w:b/>
          <w:sz w:val="22"/>
          <w:szCs w:val="22"/>
        </w:rPr>
        <w:t>el Sujeto Obligado</w:t>
      </w:r>
      <w:r w:rsidRPr="007D1EEA">
        <w:rPr>
          <w:rFonts w:ascii="Palatino Linotype" w:eastAsia="Palatino Linotype" w:hAnsi="Palatino Linotype" w:cs="Palatino Linotype"/>
          <w:sz w:val="22"/>
          <w:szCs w:val="22"/>
        </w:rPr>
        <w:t xml:space="preserve"> genera de manera mensual la conciliación de la nómina. Para mayor referencia a continuación se inserta el formato mediante el cual dicha información se presenta, así como el instructivo de llenado: </w:t>
      </w:r>
    </w:p>
    <w:p w14:paraId="6A2BFDC0" w14:textId="77777777" w:rsidR="00023530" w:rsidRPr="007D1EEA" w:rsidRDefault="0013670A">
      <w:pPr>
        <w:jc w:val="center"/>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lastRenderedPageBreak/>
        <w:drawing>
          <wp:inline distT="0" distB="0" distL="0" distR="0" wp14:anchorId="1814349B" wp14:editId="5A32DB26">
            <wp:extent cx="3971210" cy="1169875"/>
            <wp:effectExtent l="0" t="0" r="0" b="0"/>
            <wp:docPr id="3260216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971210" cy="1169875"/>
                    </a:xfrm>
                    <a:prstGeom prst="rect">
                      <a:avLst/>
                    </a:prstGeom>
                    <a:ln/>
                  </pic:spPr>
                </pic:pic>
              </a:graphicData>
            </a:graphic>
          </wp:inline>
        </w:drawing>
      </w:r>
    </w:p>
    <w:p w14:paraId="34B2987A" w14:textId="77777777" w:rsidR="00023530" w:rsidRPr="007D1EEA" w:rsidRDefault="00023530">
      <w:pPr>
        <w:jc w:val="center"/>
        <w:rPr>
          <w:rFonts w:ascii="Palatino Linotype" w:eastAsia="Palatino Linotype" w:hAnsi="Palatino Linotype" w:cs="Palatino Linotype"/>
          <w:sz w:val="22"/>
          <w:szCs w:val="22"/>
        </w:rPr>
      </w:pPr>
    </w:p>
    <w:p w14:paraId="42903F1C" w14:textId="77777777" w:rsidR="00023530" w:rsidRPr="007D1EEA" w:rsidRDefault="0013670A">
      <w:pPr>
        <w:pBdr>
          <w:top w:val="nil"/>
          <w:left w:val="nil"/>
          <w:bottom w:val="nil"/>
          <w:right w:val="nil"/>
          <w:between w:val="nil"/>
        </w:pBdr>
        <w:jc w:val="center"/>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drawing>
          <wp:inline distT="0" distB="0" distL="0" distR="0" wp14:anchorId="6C0E2D86" wp14:editId="76F55D05">
            <wp:extent cx="3637006" cy="4710105"/>
            <wp:effectExtent l="0" t="0" r="0" b="0"/>
            <wp:docPr id="32602169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3637006" cy="4710105"/>
                    </a:xfrm>
                    <a:prstGeom prst="rect">
                      <a:avLst/>
                    </a:prstGeom>
                    <a:ln/>
                  </pic:spPr>
                </pic:pic>
              </a:graphicData>
            </a:graphic>
          </wp:inline>
        </w:drawing>
      </w:r>
    </w:p>
    <w:p w14:paraId="32D1F741"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 xml:space="preserve">En esta consecución de ideas, conviene señalar </w:t>
      </w:r>
      <w:proofErr w:type="gramStart"/>
      <w:r w:rsidRPr="007D1EEA">
        <w:rPr>
          <w:rFonts w:ascii="Palatino Linotype" w:eastAsia="Palatino Linotype" w:hAnsi="Palatino Linotype" w:cs="Palatino Linotype"/>
          <w:sz w:val="22"/>
          <w:szCs w:val="22"/>
        </w:rPr>
        <w:t>que</w:t>
      </w:r>
      <w:proofErr w:type="gramEnd"/>
      <w:r w:rsidRPr="007D1EEA">
        <w:rPr>
          <w:rFonts w:ascii="Palatino Linotype" w:eastAsia="Palatino Linotype" w:hAnsi="Palatino Linotype" w:cs="Palatino Linotype"/>
          <w:sz w:val="22"/>
          <w:szCs w:val="22"/>
        </w:rPr>
        <w:t xml:space="preserve"> para un mejor entendimiento, se esquematizan las constancias obtenidas de los expedientes electrónicos y se vierte lo analizado en el siguiente esquema: </w:t>
      </w:r>
    </w:p>
    <w:tbl>
      <w:tblPr>
        <w:tblStyle w:val="a4"/>
        <w:tblW w:w="8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865"/>
        <w:gridCol w:w="2943"/>
      </w:tblGrid>
      <w:tr w:rsidR="007D1EEA" w:rsidRPr="007D1EEA" w14:paraId="68372E7D" w14:textId="77777777">
        <w:tc>
          <w:tcPr>
            <w:tcW w:w="2942" w:type="dxa"/>
            <w:shd w:val="clear" w:color="auto" w:fill="D7E3BC"/>
          </w:tcPr>
          <w:p w14:paraId="3C074989" w14:textId="77777777" w:rsidR="00023530" w:rsidRPr="007D1EEA" w:rsidRDefault="0013670A">
            <w:pPr>
              <w:spacing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Requerimiento de información</w:t>
            </w:r>
          </w:p>
          <w:p w14:paraId="7E9CED33" w14:textId="77777777" w:rsidR="00023530" w:rsidRPr="007D1EEA" w:rsidRDefault="00023530">
            <w:pPr>
              <w:spacing w:line="360" w:lineRule="auto"/>
              <w:rPr>
                <w:rFonts w:ascii="Palatino Linotype" w:eastAsia="Palatino Linotype" w:hAnsi="Palatino Linotype" w:cs="Palatino Linotype"/>
                <w:sz w:val="18"/>
                <w:szCs w:val="18"/>
              </w:rPr>
            </w:pPr>
          </w:p>
        </w:tc>
        <w:tc>
          <w:tcPr>
            <w:tcW w:w="2865" w:type="dxa"/>
            <w:vMerge w:val="restart"/>
            <w:shd w:val="clear" w:color="auto" w:fill="D7E3BC"/>
          </w:tcPr>
          <w:p w14:paraId="6544B4F6" w14:textId="77777777" w:rsidR="00023530" w:rsidRPr="007D1EEA" w:rsidRDefault="0013670A">
            <w:pPr>
              <w:spacing w:line="360"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b/>
                <w:sz w:val="18"/>
                <w:szCs w:val="18"/>
              </w:rPr>
              <w:t>Respuesta</w:t>
            </w:r>
          </w:p>
        </w:tc>
        <w:tc>
          <w:tcPr>
            <w:tcW w:w="2943" w:type="dxa"/>
            <w:vMerge w:val="restart"/>
            <w:shd w:val="clear" w:color="auto" w:fill="D7E3BC"/>
          </w:tcPr>
          <w:p w14:paraId="17DF2FBD" w14:textId="77777777" w:rsidR="00023530" w:rsidRPr="007D1EEA" w:rsidRDefault="0013670A">
            <w:pPr>
              <w:spacing w:line="276"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b/>
                <w:sz w:val="18"/>
                <w:szCs w:val="18"/>
              </w:rPr>
              <w:t>¿El pronunciamiento del Sujeto Obligado satisface el requerimiento de información?</w:t>
            </w:r>
          </w:p>
        </w:tc>
      </w:tr>
      <w:tr w:rsidR="007D1EEA" w:rsidRPr="007D1EEA" w14:paraId="3F5CAD70" w14:textId="77777777">
        <w:tc>
          <w:tcPr>
            <w:tcW w:w="2942" w:type="dxa"/>
            <w:shd w:val="clear" w:color="auto" w:fill="D7E3BC"/>
          </w:tcPr>
          <w:p w14:paraId="27FF6088" w14:textId="77777777" w:rsidR="00023530" w:rsidRPr="007D1EEA" w:rsidRDefault="0013670A">
            <w:pPr>
              <w:spacing w:line="276" w:lineRule="auto"/>
              <w:jc w:val="both"/>
              <w:rPr>
                <w:rFonts w:ascii="Palatino Linotype" w:eastAsia="Palatino Linotype" w:hAnsi="Palatino Linotype" w:cs="Palatino Linotype"/>
                <w:b/>
              </w:rPr>
            </w:pPr>
            <w:r w:rsidRPr="007D1EEA">
              <w:rPr>
                <w:rFonts w:ascii="Palatino Linotype" w:eastAsia="Palatino Linotype" w:hAnsi="Palatino Linotype" w:cs="Palatino Linotype"/>
                <w:b/>
                <w:sz w:val="18"/>
                <w:szCs w:val="18"/>
              </w:rPr>
              <w:t>Recibos de nómina</w:t>
            </w:r>
            <w:r w:rsidRPr="007D1EEA">
              <w:rPr>
                <w:b/>
                <w:sz w:val="20"/>
                <w:szCs w:val="20"/>
              </w:rPr>
              <w:t xml:space="preserve"> </w:t>
            </w:r>
            <w:r w:rsidRPr="007D1EEA">
              <w:rPr>
                <w:rFonts w:ascii="Palatino Linotype" w:eastAsia="Palatino Linotype" w:hAnsi="Palatino Linotype" w:cs="Palatino Linotype"/>
                <w:b/>
                <w:sz w:val="18"/>
                <w:szCs w:val="18"/>
              </w:rPr>
              <w:t xml:space="preserve">de las siguientes temporalidades: </w:t>
            </w:r>
          </w:p>
        </w:tc>
        <w:tc>
          <w:tcPr>
            <w:tcW w:w="2865" w:type="dxa"/>
            <w:vMerge/>
            <w:shd w:val="clear" w:color="auto" w:fill="D7E3BC"/>
          </w:tcPr>
          <w:p w14:paraId="0B270332"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943" w:type="dxa"/>
            <w:vMerge/>
            <w:shd w:val="clear" w:color="auto" w:fill="D7E3BC"/>
          </w:tcPr>
          <w:p w14:paraId="72B25B12"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b/>
              </w:rPr>
            </w:pPr>
          </w:p>
        </w:tc>
      </w:tr>
      <w:tr w:rsidR="007D1EEA" w:rsidRPr="007D1EEA" w14:paraId="6D660641" w14:textId="77777777">
        <w:tc>
          <w:tcPr>
            <w:tcW w:w="2942" w:type="dxa"/>
          </w:tcPr>
          <w:p w14:paraId="61766ABE" w14:textId="77777777" w:rsidR="00023530" w:rsidRPr="007D1EEA" w:rsidRDefault="0013670A">
            <w:pPr>
              <w:spacing w:line="360"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Enero 2023</w:t>
            </w:r>
          </w:p>
        </w:tc>
        <w:tc>
          <w:tcPr>
            <w:tcW w:w="2865" w:type="dxa"/>
          </w:tcPr>
          <w:p w14:paraId="16E9D8B0"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1882 recibos de nómina correspondientes al mes de enero de 2023.</w:t>
            </w:r>
          </w:p>
        </w:tc>
        <w:tc>
          <w:tcPr>
            <w:tcW w:w="2943" w:type="dxa"/>
            <w:vMerge w:val="restart"/>
          </w:tcPr>
          <w:p w14:paraId="242A8D5D" w14:textId="77777777" w:rsidR="00023530" w:rsidRPr="007D1EEA" w:rsidRDefault="0013670A">
            <w:pPr>
              <w:spacing w:line="360"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Parcialmente</w:t>
            </w:r>
          </w:p>
          <w:p w14:paraId="0F7DEFD2"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b/>
                <w:sz w:val="18"/>
                <w:szCs w:val="18"/>
              </w:rPr>
              <w:t xml:space="preserve">Observaciones: </w:t>
            </w:r>
            <w:r w:rsidRPr="007D1EEA">
              <w:rPr>
                <w:rFonts w:ascii="Palatino Linotype" w:eastAsia="Palatino Linotype" w:hAnsi="Palatino Linotype" w:cs="Palatino Linotype"/>
                <w:sz w:val="18"/>
                <w:szCs w:val="18"/>
              </w:rPr>
              <w:t xml:space="preserve">Si bien es cierto proporciona la totalidad de los recibos de nómina de las áreas que conforman al </w:t>
            </w:r>
            <w:r w:rsidRPr="007D1EEA">
              <w:rPr>
                <w:rFonts w:ascii="Palatino Linotype" w:eastAsia="Palatino Linotype" w:hAnsi="Palatino Linotype" w:cs="Palatino Linotype"/>
                <w:b/>
                <w:sz w:val="18"/>
                <w:szCs w:val="18"/>
              </w:rPr>
              <w:t>Sujeto Obligado</w:t>
            </w:r>
            <w:r w:rsidRPr="007D1EEA">
              <w:rPr>
                <w:rFonts w:ascii="Palatino Linotype" w:eastAsia="Palatino Linotype" w:hAnsi="Palatino Linotype" w:cs="Palatino Linotype"/>
                <w:sz w:val="18"/>
                <w:szCs w:val="18"/>
              </w:rPr>
              <w:t xml:space="preserve">, no menos cierto es que testó el nombre de institución bancaria, mismo que es susceptible de dejarse visible, por lo tanto, es dable afirmar que la versión pública no es correcta. </w:t>
            </w:r>
          </w:p>
        </w:tc>
      </w:tr>
      <w:tr w:rsidR="007D1EEA" w:rsidRPr="007D1EEA" w14:paraId="2B71297C" w14:textId="77777777">
        <w:tc>
          <w:tcPr>
            <w:tcW w:w="2942" w:type="dxa"/>
          </w:tcPr>
          <w:p w14:paraId="7E0AE9F0" w14:textId="77777777" w:rsidR="00023530" w:rsidRPr="007D1EEA" w:rsidRDefault="0013670A">
            <w:pPr>
              <w:spacing w:line="360"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Febrero 2023</w:t>
            </w:r>
          </w:p>
        </w:tc>
        <w:tc>
          <w:tcPr>
            <w:tcW w:w="2865" w:type="dxa"/>
          </w:tcPr>
          <w:p w14:paraId="03BDA5D6"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1881 recibos de nómina correspondientes al mes de febrero de 2023.</w:t>
            </w:r>
          </w:p>
        </w:tc>
        <w:tc>
          <w:tcPr>
            <w:tcW w:w="2943" w:type="dxa"/>
            <w:vMerge/>
          </w:tcPr>
          <w:p w14:paraId="1D8FA9C8"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7D1EEA" w:rsidRPr="007D1EEA" w14:paraId="64F96461" w14:textId="77777777">
        <w:tc>
          <w:tcPr>
            <w:tcW w:w="2942" w:type="dxa"/>
          </w:tcPr>
          <w:p w14:paraId="2F514CFE" w14:textId="77777777" w:rsidR="00023530" w:rsidRPr="007D1EEA" w:rsidRDefault="0013670A">
            <w:pPr>
              <w:spacing w:line="360"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Abril 2023</w:t>
            </w:r>
          </w:p>
        </w:tc>
        <w:tc>
          <w:tcPr>
            <w:tcW w:w="2865" w:type="dxa"/>
          </w:tcPr>
          <w:p w14:paraId="5D038909"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1846 recibos de nómina correspondientes al mes de mayo de 2023.</w:t>
            </w:r>
          </w:p>
        </w:tc>
        <w:tc>
          <w:tcPr>
            <w:tcW w:w="2943" w:type="dxa"/>
            <w:vMerge/>
          </w:tcPr>
          <w:p w14:paraId="6BACF329"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7D1EEA" w:rsidRPr="007D1EEA" w14:paraId="275CF71A" w14:textId="77777777">
        <w:tc>
          <w:tcPr>
            <w:tcW w:w="2942" w:type="dxa"/>
          </w:tcPr>
          <w:p w14:paraId="4E8CBA13" w14:textId="77777777" w:rsidR="00023530" w:rsidRPr="007D1EEA" w:rsidRDefault="0013670A">
            <w:pPr>
              <w:spacing w:line="360"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Mayo 2023</w:t>
            </w:r>
          </w:p>
        </w:tc>
        <w:tc>
          <w:tcPr>
            <w:tcW w:w="2865" w:type="dxa"/>
          </w:tcPr>
          <w:p w14:paraId="07CB46C5"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1841 recibos de nómina correspondientes al mes de mayo de 2023.</w:t>
            </w:r>
          </w:p>
        </w:tc>
        <w:tc>
          <w:tcPr>
            <w:tcW w:w="2943" w:type="dxa"/>
            <w:vMerge/>
          </w:tcPr>
          <w:p w14:paraId="1C669B35"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7D1EEA" w:rsidRPr="007D1EEA" w14:paraId="306D62F9" w14:textId="77777777">
        <w:tc>
          <w:tcPr>
            <w:tcW w:w="2942" w:type="dxa"/>
          </w:tcPr>
          <w:p w14:paraId="348078C9" w14:textId="77777777" w:rsidR="00023530" w:rsidRPr="007D1EEA" w:rsidRDefault="0013670A">
            <w:pPr>
              <w:spacing w:line="360"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Junio 2023</w:t>
            </w:r>
          </w:p>
        </w:tc>
        <w:tc>
          <w:tcPr>
            <w:tcW w:w="2865" w:type="dxa"/>
          </w:tcPr>
          <w:p w14:paraId="3FA696C7"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1839 recibos de nómina correspondientes al mes de junio de 2023.</w:t>
            </w:r>
          </w:p>
        </w:tc>
        <w:tc>
          <w:tcPr>
            <w:tcW w:w="2943" w:type="dxa"/>
            <w:vMerge/>
          </w:tcPr>
          <w:p w14:paraId="74F32F60"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7D1EEA" w:rsidRPr="007D1EEA" w14:paraId="65C83B37" w14:textId="77777777">
        <w:tc>
          <w:tcPr>
            <w:tcW w:w="2942" w:type="dxa"/>
          </w:tcPr>
          <w:p w14:paraId="6F7AAFEA" w14:textId="77777777" w:rsidR="00023530" w:rsidRPr="007D1EEA" w:rsidRDefault="0013670A">
            <w:pPr>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Enero 2024 al 22 de marzo de </w:t>
            </w:r>
            <w:proofErr w:type="gramStart"/>
            <w:r w:rsidRPr="007D1EEA">
              <w:rPr>
                <w:rFonts w:ascii="Palatino Linotype" w:eastAsia="Palatino Linotype" w:hAnsi="Palatino Linotype" w:cs="Palatino Linotype"/>
                <w:sz w:val="18"/>
                <w:szCs w:val="18"/>
              </w:rPr>
              <w:t>2024  todos</w:t>
            </w:r>
            <w:proofErr w:type="gramEnd"/>
            <w:r w:rsidRPr="007D1EEA">
              <w:rPr>
                <w:rFonts w:ascii="Palatino Linotype" w:eastAsia="Palatino Linotype" w:hAnsi="Palatino Linotype" w:cs="Palatino Linotype"/>
                <w:sz w:val="18"/>
                <w:szCs w:val="18"/>
              </w:rPr>
              <w:t xml:space="preserve"> los mandos medios y superiores</w:t>
            </w:r>
          </w:p>
          <w:p w14:paraId="50BB8C75" w14:textId="77777777" w:rsidR="00023530" w:rsidRPr="007D1EEA" w:rsidRDefault="00023530">
            <w:pPr>
              <w:jc w:val="center"/>
              <w:rPr>
                <w:rFonts w:ascii="Palatino Linotype" w:eastAsia="Palatino Linotype" w:hAnsi="Palatino Linotype" w:cs="Palatino Linotype"/>
                <w:sz w:val="18"/>
                <w:szCs w:val="18"/>
              </w:rPr>
            </w:pPr>
          </w:p>
        </w:tc>
        <w:tc>
          <w:tcPr>
            <w:tcW w:w="2865" w:type="dxa"/>
          </w:tcPr>
          <w:p w14:paraId="46084649" w14:textId="77777777" w:rsidR="00023530" w:rsidRPr="007D1EEA" w:rsidRDefault="0013670A">
            <w:pPr>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Entrega 311 recibos de nómina que comprenden de la primera quincena de enero al veintidós de marzo de dos mil veinticuatro.</w:t>
            </w:r>
          </w:p>
        </w:tc>
        <w:tc>
          <w:tcPr>
            <w:tcW w:w="2943" w:type="dxa"/>
          </w:tcPr>
          <w:p w14:paraId="467D39EF" w14:textId="77777777" w:rsidR="00023530" w:rsidRPr="007D1EEA" w:rsidRDefault="0013670A">
            <w:pPr>
              <w:spacing w:line="360"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Parcialmente</w:t>
            </w:r>
          </w:p>
          <w:p w14:paraId="4D245061" w14:textId="77777777" w:rsidR="00023530" w:rsidRPr="007D1EEA" w:rsidRDefault="0013670A">
            <w:pPr>
              <w:jc w:val="both"/>
              <w:rPr>
                <w:rFonts w:ascii="Palatino Linotype" w:eastAsia="Palatino Linotype" w:hAnsi="Palatino Linotype" w:cs="Palatino Linotype"/>
                <w:sz w:val="18"/>
                <w:szCs w:val="18"/>
              </w:rPr>
            </w:pPr>
            <w:r w:rsidRPr="007D1EEA">
              <w:rPr>
                <w:rFonts w:ascii="Palatino Linotype" w:eastAsia="Palatino Linotype" w:hAnsi="Palatino Linotype" w:cs="Palatino Linotype"/>
                <w:b/>
                <w:sz w:val="18"/>
                <w:szCs w:val="18"/>
              </w:rPr>
              <w:t xml:space="preserve">Observaciones: </w:t>
            </w:r>
            <w:r w:rsidRPr="007D1EEA">
              <w:rPr>
                <w:rFonts w:ascii="Palatino Linotype" w:eastAsia="Palatino Linotype" w:hAnsi="Palatino Linotype" w:cs="Palatino Linotype"/>
                <w:sz w:val="18"/>
                <w:szCs w:val="18"/>
              </w:rPr>
              <w:t xml:space="preserve">De conformidad con la estructura orgánica del </w:t>
            </w:r>
            <w:r w:rsidRPr="007D1EEA">
              <w:rPr>
                <w:rFonts w:ascii="Palatino Linotype" w:eastAsia="Palatino Linotype" w:hAnsi="Palatino Linotype" w:cs="Palatino Linotype"/>
                <w:b/>
                <w:sz w:val="18"/>
                <w:szCs w:val="18"/>
              </w:rPr>
              <w:t>Sujeto Obligado</w:t>
            </w:r>
            <w:r w:rsidRPr="007D1EEA">
              <w:rPr>
                <w:rFonts w:ascii="Palatino Linotype" w:eastAsia="Palatino Linotype" w:hAnsi="Palatino Linotype" w:cs="Palatino Linotype"/>
                <w:sz w:val="18"/>
                <w:szCs w:val="18"/>
              </w:rPr>
              <w:t>, falta entregar de los titulares de las siguientes áreas:</w:t>
            </w:r>
          </w:p>
          <w:p w14:paraId="052C68D1" w14:textId="77777777" w:rsidR="00023530" w:rsidRPr="007D1EEA" w:rsidRDefault="00023530">
            <w:pPr>
              <w:jc w:val="both"/>
              <w:rPr>
                <w:rFonts w:ascii="Palatino Linotype" w:eastAsia="Palatino Linotype" w:hAnsi="Palatino Linotype" w:cs="Palatino Linotype"/>
                <w:sz w:val="18"/>
                <w:szCs w:val="18"/>
              </w:rPr>
            </w:pPr>
          </w:p>
          <w:p w14:paraId="13BDC9A8" w14:textId="77777777" w:rsidR="00023530" w:rsidRPr="007D1EEA" w:rsidRDefault="0013670A">
            <w:pPr>
              <w:numPr>
                <w:ilvl w:val="0"/>
                <w:numId w:val="2"/>
              </w:numPr>
              <w:pBdr>
                <w:top w:val="nil"/>
                <w:left w:val="nil"/>
                <w:bottom w:val="nil"/>
                <w:right w:val="nil"/>
                <w:between w:val="nil"/>
              </w:pBdr>
              <w:ind w:left="98" w:hanging="64"/>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Departamento de Verificaciones y Procedimientos.</w:t>
            </w:r>
          </w:p>
          <w:p w14:paraId="72EE008E" w14:textId="77777777" w:rsidR="00023530" w:rsidRPr="007D1EEA" w:rsidRDefault="0013670A">
            <w:pPr>
              <w:numPr>
                <w:ilvl w:val="0"/>
                <w:numId w:val="2"/>
              </w:numPr>
              <w:pBdr>
                <w:top w:val="nil"/>
                <w:left w:val="nil"/>
                <w:bottom w:val="nil"/>
                <w:right w:val="nil"/>
                <w:between w:val="nil"/>
              </w:pBdr>
              <w:ind w:left="98" w:hanging="64"/>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Unidad de Cultura del Agua</w:t>
            </w:r>
          </w:p>
          <w:p w14:paraId="2F982F37" w14:textId="77777777" w:rsidR="00023530" w:rsidRPr="007D1EEA" w:rsidRDefault="0013670A">
            <w:pPr>
              <w:numPr>
                <w:ilvl w:val="0"/>
                <w:numId w:val="2"/>
              </w:numPr>
              <w:pBdr>
                <w:top w:val="nil"/>
                <w:left w:val="nil"/>
                <w:bottom w:val="nil"/>
                <w:right w:val="nil"/>
                <w:between w:val="nil"/>
              </w:pBdr>
              <w:ind w:left="98" w:hanging="64"/>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Departamento de Caja General</w:t>
            </w:r>
          </w:p>
          <w:p w14:paraId="7C580C8C" w14:textId="77777777" w:rsidR="00023530" w:rsidRPr="007D1EEA" w:rsidRDefault="0013670A">
            <w:pPr>
              <w:numPr>
                <w:ilvl w:val="0"/>
                <w:numId w:val="2"/>
              </w:numPr>
              <w:pBdr>
                <w:top w:val="nil"/>
                <w:left w:val="nil"/>
                <w:bottom w:val="nil"/>
                <w:right w:val="nil"/>
                <w:between w:val="nil"/>
              </w:pBdr>
              <w:ind w:left="98" w:hanging="64"/>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 xml:space="preserve">Departamento de Contabilidad (Faltan de las dos primeras quincenas de enero) </w:t>
            </w:r>
          </w:p>
          <w:p w14:paraId="58E64035" w14:textId="77777777" w:rsidR="00023530" w:rsidRPr="007D1EEA" w:rsidRDefault="0013670A">
            <w:pPr>
              <w:numPr>
                <w:ilvl w:val="0"/>
                <w:numId w:val="2"/>
              </w:numPr>
              <w:pBdr>
                <w:top w:val="nil"/>
                <w:left w:val="nil"/>
                <w:bottom w:val="nil"/>
                <w:right w:val="nil"/>
                <w:between w:val="nil"/>
              </w:pBdr>
              <w:ind w:left="98" w:hanging="64"/>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lastRenderedPageBreak/>
              <w:t>Departamento de Ejecución Fiscal (Falta el recibo de la primera quincena de enero)</w:t>
            </w:r>
          </w:p>
          <w:p w14:paraId="143A19EF" w14:textId="77777777" w:rsidR="00023530" w:rsidRPr="007D1EEA" w:rsidRDefault="0013670A">
            <w:pPr>
              <w:numPr>
                <w:ilvl w:val="0"/>
                <w:numId w:val="2"/>
              </w:numPr>
              <w:pBdr>
                <w:top w:val="nil"/>
                <w:left w:val="nil"/>
                <w:bottom w:val="nil"/>
                <w:right w:val="nil"/>
                <w:between w:val="nil"/>
              </w:pBdr>
              <w:ind w:left="176" w:hanging="142"/>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Departamento Técnico de Precios Unitarios (Faltan de la segunda quincena de enero a la segunda quincena de marzo)</w:t>
            </w:r>
          </w:p>
          <w:p w14:paraId="14018FC9" w14:textId="77777777" w:rsidR="00023530" w:rsidRPr="007D1EEA" w:rsidRDefault="00023530">
            <w:pPr>
              <w:pBdr>
                <w:top w:val="nil"/>
                <w:left w:val="nil"/>
                <w:bottom w:val="nil"/>
                <w:right w:val="nil"/>
                <w:between w:val="nil"/>
              </w:pBdr>
              <w:ind w:left="176"/>
              <w:jc w:val="both"/>
              <w:rPr>
                <w:rFonts w:ascii="Palatino Linotype" w:eastAsia="Palatino Linotype" w:hAnsi="Palatino Linotype" w:cs="Palatino Linotype"/>
              </w:rPr>
            </w:pPr>
          </w:p>
          <w:p w14:paraId="1AF5E112" w14:textId="77777777" w:rsidR="00023530" w:rsidRPr="007D1EEA" w:rsidRDefault="0013670A">
            <w:pPr>
              <w:ind w:left="34"/>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Aunado a lo anterior testó el nombre de institución bancaria, mismo que es susceptible de dejarse visible, por lo tanto, es dable afirmar que la versión pública no es correcta.</w:t>
            </w:r>
          </w:p>
        </w:tc>
      </w:tr>
      <w:tr w:rsidR="007D1EEA" w:rsidRPr="007D1EEA" w14:paraId="58A599B3" w14:textId="77777777">
        <w:tc>
          <w:tcPr>
            <w:tcW w:w="8750" w:type="dxa"/>
            <w:gridSpan w:val="3"/>
            <w:shd w:val="clear" w:color="auto" w:fill="D7E3BC"/>
          </w:tcPr>
          <w:p w14:paraId="4D94985A" w14:textId="77777777" w:rsidR="00023530" w:rsidRPr="007D1EEA" w:rsidRDefault="0013670A">
            <w:pPr>
              <w:spacing w:line="276" w:lineRule="auto"/>
              <w:ind w:right="5890"/>
              <w:jc w:val="both"/>
              <w:rPr>
                <w:rFonts w:ascii="Palatino Linotype" w:eastAsia="Palatino Linotype" w:hAnsi="Palatino Linotype" w:cs="Palatino Linotype"/>
              </w:rPr>
            </w:pPr>
            <w:r w:rsidRPr="007D1EEA">
              <w:rPr>
                <w:rFonts w:ascii="Palatino Linotype" w:eastAsia="Palatino Linotype" w:hAnsi="Palatino Linotype" w:cs="Palatino Linotype"/>
                <w:b/>
                <w:sz w:val="18"/>
                <w:szCs w:val="18"/>
              </w:rPr>
              <w:lastRenderedPageBreak/>
              <w:t xml:space="preserve">Nómina de las siguientes temporalidades: </w:t>
            </w:r>
          </w:p>
        </w:tc>
      </w:tr>
      <w:tr w:rsidR="007D1EEA" w:rsidRPr="007D1EEA" w14:paraId="50F076E5" w14:textId="77777777">
        <w:tc>
          <w:tcPr>
            <w:tcW w:w="2942" w:type="dxa"/>
          </w:tcPr>
          <w:p w14:paraId="64063C2C" w14:textId="77777777" w:rsidR="00023530" w:rsidRPr="007D1EEA" w:rsidRDefault="0013670A">
            <w:pPr>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Marzo 2023</w:t>
            </w:r>
          </w:p>
        </w:tc>
        <w:tc>
          <w:tcPr>
            <w:tcW w:w="2865" w:type="dxa"/>
          </w:tcPr>
          <w:p w14:paraId="5E3F3D26"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la nómina del mes de abril de 2023, en versión pública.</w:t>
            </w:r>
          </w:p>
        </w:tc>
        <w:tc>
          <w:tcPr>
            <w:tcW w:w="2943" w:type="dxa"/>
            <w:vMerge w:val="restart"/>
          </w:tcPr>
          <w:p w14:paraId="3B19BA7D" w14:textId="77777777" w:rsidR="00023530" w:rsidRPr="007D1EEA" w:rsidRDefault="0013670A">
            <w:pPr>
              <w:spacing w:line="360"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Parcialmente</w:t>
            </w:r>
          </w:p>
          <w:p w14:paraId="65142586"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b/>
                <w:sz w:val="18"/>
                <w:szCs w:val="18"/>
              </w:rPr>
              <w:t xml:space="preserve">Observaciones: </w:t>
            </w:r>
            <w:r w:rsidRPr="007D1EEA">
              <w:rPr>
                <w:rFonts w:ascii="Palatino Linotype" w:eastAsia="Palatino Linotype" w:hAnsi="Palatino Linotype" w:cs="Palatino Linotype"/>
                <w:sz w:val="18"/>
                <w:szCs w:val="18"/>
              </w:rPr>
              <w:t xml:space="preserve">El acuerdo emitido por el Comité de Transparencia que sustenta la versión pública de las nóminas no se realizó conforme a derecho, tal como se detallará en líneas subsecuentes. </w:t>
            </w:r>
          </w:p>
        </w:tc>
      </w:tr>
      <w:tr w:rsidR="007D1EEA" w:rsidRPr="007D1EEA" w14:paraId="2A274868" w14:textId="77777777">
        <w:tc>
          <w:tcPr>
            <w:tcW w:w="2942" w:type="dxa"/>
          </w:tcPr>
          <w:p w14:paraId="340E1AA4" w14:textId="77777777" w:rsidR="00023530" w:rsidRPr="007D1EEA" w:rsidRDefault="0013670A">
            <w:pPr>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Abril 2023</w:t>
            </w:r>
          </w:p>
        </w:tc>
        <w:tc>
          <w:tcPr>
            <w:tcW w:w="2865" w:type="dxa"/>
          </w:tcPr>
          <w:p w14:paraId="1C20CB30"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 xml:space="preserve">Proporciona la nómina del mes de abril de 2023, </w:t>
            </w:r>
          </w:p>
        </w:tc>
        <w:tc>
          <w:tcPr>
            <w:tcW w:w="2943" w:type="dxa"/>
            <w:vMerge/>
          </w:tcPr>
          <w:p w14:paraId="311FC076"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7D1EEA" w:rsidRPr="007D1EEA" w14:paraId="27441FFE" w14:textId="77777777">
        <w:tc>
          <w:tcPr>
            <w:tcW w:w="2942" w:type="dxa"/>
          </w:tcPr>
          <w:p w14:paraId="401199F2" w14:textId="77777777" w:rsidR="00023530" w:rsidRPr="007D1EEA" w:rsidRDefault="0013670A">
            <w:pPr>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Mayo 2023</w:t>
            </w:r>
          </w:p>
        </w:tc>
        <w:tc>
          <w:tcPr>
            <w:tcW w:w="2865" w:type="dxa"/>
          </w:tcPr>
          <w:p w14:paraId="7E4B9C6C"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la nómina del mes de mayo de 2023.</w:t>
            </w:r>
          </w:p>
        </w:tc>
        <w:tc>
          <w:tcPr>
            <w:tcW w:w="2943" w:type="dxa"/>
            <w:vMerge/>
          </w:tcPr>
          <w:p w14:paraId="35BCCE53"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7D1EEA" w:rsidRPr="007D1EEA" w14:paraId="66947EEF" w14:textId="77777777">
        <w:tc>
          <w:tcPr>
            <w:tcW w:w="2942" w:type="dxa"/>
          </w:tcPr>
          <w:p w14:paraId="7B8C24F1" w14:textId="77777777" w:rsidR="00023530" w:rsidRPr="007D1EEA" w:rsidRDefault="0013670A">
            <w:pPr>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Junio 2023</w:t>
            </w:r>
          </w:p>
        </w:tc>
        <w:tc>
          <w:tcPr>
            <w:tcW w:w="2865" w:type="dxa"/>
          </w:tcPr>
          <w:p w14:paraId="4A72314E"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la nómina del mes de junio de 2023.</w:t>
            </w:r>
          </w:p>
        </w:tc>
        <w:tc>
          <w:tcPr>
            <w:tcW w:w="2943" w:type="dxa"/>
            <w:vMerge/>
          </w:tcPr>
          <w:p w14:paraId="19DA4BA3"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r w:rsidR="00023530" w:rsidRPr="007D1EEA" w14:paraId="44957613" w14:textId="77777777">
        <w:tc>
          <w:tcPr>
            <w:tcW w:w="2942" w:type="dxa"/>
          </w:tcPr>
          <w:p w14:paraId="69D6850B" w14:textId="77777777" w:rsidR="00023530" w:rsidRPr="007D1EEA" w:rsidRDefault="0013670A">
            <w:pPr>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sz w:val="18"/>
                <w:szCs w:val="18"/>
              </w:rPr>
              <w:t xml:space="preserve">Primera quincena de marzo de 2024  </w:t>
            </w:r>
          </w:p>
        </w:tc>
        <w:tc>
          <w:tcPr>
            <w:tcW w:w="2865" w:type="dxa"/>
          </w:tcPr>
          <w:p w14:paraId="65BAD840" w14:textId="77777777" w:rsidR="00023530" w:rsidRPr="007D1EEA" w:rsidRDefault="0013670A">
            <w:pPr>
              <w:jc w:val="both"/>
              <w:rPr>
                <w:rFonts w:ascii="Palatino Linotype" w:eastAsia="Palatino Linotype" w:hAnsi="Palatino Linotype" w:cs="Palatino Linotype"/>
              </w:rPr>
            </w:pPr>
            <w:r w:rsidRPr="007D1EEA">
              <w:rPr>
                <w:rFonts w:ascii="Palatino Linotype" w:eastAsia="Palatino Linotype" w:hAnsi="Palatino Linotype" w:cs="Palatino Linotype"/>
                <w:sz w:val="18"/>
                <w:szCs w:val="18"/>
              </w:rPr>
              <w:t>Proporciona la nómina de la primera quincena del mes de marzo de 2024.</w:t>
            </w:r>
          </w:p>
        </w:tc>
        <w:tc>
          <w:tcPr>
            <w:tcW w:w="2943" w:type="dxa"/>
            <w:vMerge/>
          </w:tcPr>
          <w:p w14:paraId="4C07069C" w14:textId="77777777" w:rsidR="00023530" w:rsidRPr="007D1EEA" w:rsidRDefault="00023530">
            <w:pPr>
              <w:widowControl w:val="0"/>
              <w:pBdr>
                <w:top w:val="nil"/>
                <w:left w:val="nil"/>
                <w:bottom w:val="nil"/>
                <w:right w:val="nil"/>
                <w:between w:val="nil"/>
              </w:pBdr>
              <w:spacing w:line="276" w:lineRule="auto"/>
              <w:rPr>
                <w:rFonts w:ascii="Palatino Linotype" w:eastAsia="Palatino Linotype" w:hAnsi="Palatino Linotype" w:cs="Palatino Linotype"/>
              </w:rPr>
            </w:pPr>
          </w:p>
        </w:tc>
      </w:tr>
    </w:tbl>
    <w:p w14:paraId="34DF83DB"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7DD230F0"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Como se puede visualizar en el cuadro de análisis previamente insertado, se tiene que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parcialmente atiende los requerimientos de información de </w:t>
      </w:r>
      <w:r w:rsidRPr="007D1EEA">
        <w:rPr>
          <w:rFonts w:ascii="Palatino Linotype" w:eastAsia="Palatino Linotype" w:hAnsi="Palatino Linotype" w:cs="Palatino Linotype"/>
          <w:b/>
          <w:sz w:val="22"/>
          <w:szCs w:val="22"/>
        </w:rPr>
        <w:t xml:space="preserve">la parte Recurrente, </w:t>
      </w:r>
      <w:r w:rsidRPr="007D1EEA">
        <w:rPr>
          <w:rFonts w:ascii="Palatino Linotype" w:eastAsia="Palatino Linotype" w:hAnsi="Palatino Linotype" w:cs="Palatino Linotype"/>
          <w:sz w:val="22"/>
          <w:szCs w:val="22"/>
        </w:rPr>
        <w:t xml:space="preserve">ello en virtud de que proporciona los recibos y conciliación de nómina solicitados, sin </w:t>
      </w:r>
      <w:proofErr w:type="gramStart"/>
      <w:r w:rsidRPr="007D1EEA">
        <w:rPr>
          <w:rFonts w:ascii="Palatino Linotype" w:eastAsia="Palatino Linotype" w:hAnsi="Palatino Linotype" w:cs="Palatino Linotype"/>
          <w:sz w:val="22"/>
          <w:szCs w:val="22"/>
        </w:rPr>
        <w:t>embargo</w:t>
      </w:r>
      <w:proofErr w:type="gramEnd"/>
      <w:r w:rsidRPr="007D1EEA">
        <w:rPr>
          <w:rFonts w:ascii="Palatino Linotype" w:eastAsia="Palatino Linotype" w:hAnsi="Palatino Linotype" w:cs="Palatino Linotype"/>
          <w:sz w:val="22"/>
          <w:szCs w:val="22"/>
        </w:rPr>
        <w:t xml:space="preserve"> para mejor proveer del presente estudio se realizan las siguientes </w:t>
      </w:r>
      <w:r w:rsidRPr="007D1EEA">
        <w:rPr>
          <w:rFonts w:ascii="Palatino Linotype" w:eastAsia="Palatino Linotype" w:hAnsi="Palatino Linotype" w:cs="Palatino Linotype"/>
          <w:sz w:val="22"/>
          <w:szCs w:val="22"/>
        </w:rPr>
        <w:lastRenderedPageBreak/>
        <w:t xml:space="preserve">puntualizaciones </w:t>
      </w:r>
      <w:r w:rsidRPr="007D1EEA">
        <w:rPr>
          <w:rFonts w:ascii="Palatino Linotype" w:eastAsia="Palatino Linotype" w:hAnsi="Palatino Linotype" w:cs="Palatino Linotype"/>
          <w:b/>
          <w:sz w:val="22"/>
          <w:szCs w:val="22"/>
        </w:rPr>
        <w:t>respecto de los recibos de nómina de</w:t>
      </w:r>
      <w:r w:rsidRPr="007D1EEA">
        <w:rPr>
          <w:b/>
        </w:rPr>
        <w:t xml:space="preserve"> </w:t>
      </w:r>
      <w:r w:rsidRPr="007D1EEA">
        <w:rPr>
          <w:rFonts w:ascii="Palatino Linotype" w:eastAsia="Palatino Linotype" w:hAnsi="Palatino Linotype" w:cs="Palatino Linotype"/>
          <w:b/>
          <w:sz w:val="22"/>
          <w:szCs w:val="22"/>
        </w:rPr>
        <w:t>los mandos medios y superiores solicitados de enero 2024 al 22 de marzo de 2024</w:t>
      </w:r>
      <w:r w:rsidRPr="007D1EEA">
        <w:rPr>
          <w:rFonts w:ascii="Palatino Linotype" w:eastAsia="Palatino Linotype" w:hAnsi="Palatino Linotype" w:cs="Palatino Linotype"/>
          <w:sz w:val="22"/>
          <w:szCs w:val="22"/>
        </w:rPr>
        <w:t>.</w:t>
      </w:r>
    </w:p>
    <w:p w14:paraId="03AC52DD"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04F39C84"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 primera instancia, resulta importante recordar que si bien, </w:t>
      </w:r>
      <w:r w:rsidRPr="007D1EEA">
        <w:rPr>
          <w:rFonts w:ascii="Palatino Linotype" w:eastAsia="Palatino Linotype" w:hAnsi="Palatino Linotype" w:cs="Palatino Linotype"/>
          <w:b/>
          <w:sz w:val="22"/>
          <w:szCs w:val="22"/>
        </w:rPr>
        <w:t>la parte Recurrente</w:t>
      </w:r>
      <w:r w:rsidRPr="007D1EEA">
        <w:rPr>
          <w:rFonts w:ascii="Palatino Linotype" w:eastAsia="Palatino Linotype" w:hAnsi="Palatino Linotype" w:cs="Palatino Linotype"/>
          <w:sz w:val="22"/>
          <w:szCs w:val="22"/>
        </w:rPr>
        <w:t xml:space="preserve"> requirió los recibos de nómina generados de enero al 22 de marzo de 2024 de los mandos medios y superiores y por regla general los recibos de nómina se generan de manera quincenal, no menos cierto es que en el caso particular, los relativos a la segunda quincena de marzo de 2024, estos fueron pagados el 22 de marzo de 2024</w:t>
      </w:r>
      <w:r w:rsidRPr="007D1EEA">
        <w:t xml:space="preserve"> </w:t>
      </w:r>
      <w:r w:rsidRPr="007D1EEA">
        <w:rPr>
          <w:rFonts w:ascii="Palatino Linotype" w:eastAsia="Palatino Linotype" w:hAnsi="Palatino Linotype" w:cs="Palatino Linotype"/>
          <w:sz w:val="22"/>
          <w:szCs w:val="22"/>
        </w:rPr>
        <w:t xml:space="preserve">tal como se desprende de la siguiente captura de pantalla a uno de los recibos proporcionados en respuesta: </w:t>
      </w:r>
    </w:p>
    <w:p w14:paraId="10C81839"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6755F2E2"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drawing>
          <wp:inline distT="0" distB="0" distL="0" distR="0" wp14:anchorId="3DFE85DF" wp14:editId="68629BFE">
            <wp:extent cx="5612130" cy="1689735"/>
            <wp:effectExtent l="0" t="0" r="0" b="0"/>
            <wp:docPr id="3260216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1689735"/>
                    </a:xfrm>
                    <a:prstGeom prst="rect">
                      <a:avLst/>
                    </a:prstGeom>
                    <a:ln/>
                  </pic:spPr>
                </pic:pic>
              </a:graphicData>
            </a:graphic>
          </wp:inline>
        </w:drawing>
      </w:r>
      <w:r w:rsidRPr="007D1EEA">
        <w:rPr>
          <w:noProof/>
          <w:lang w:val="es-MX"/>
        </w:rPr>
        <mc:AlternateContent>
          <mc:Choice Requires="wpg">
            <w:drawing>
              <wp:anchor distT="0" distB="0" distL="114300" distR="114300" simplePos="0" relativeHeight="251659264" behindDoc="0" locked="0" layoutInCell="1" hidden="0" allowOverlap="1" wp14:anchorId="2A075344" wp14:editId="76121212">
                <wp:simplePos x="0" y="0"/>
                <wp:positionH relativeFrom="column">
                  <wp:posOffset>88901</wp:posOffset>
                </wp:positionH>
                <wp:positionV relativeFrom="paragraph">
                  <wp:posOffset>1193800</wp:posOffset>
                </wp:positionV>
                <wp:extent cx="942975" cy="133350"/>
                <wp:effectExtent l="0" t="0" r="0" b="0"/>
                <wp:wrapNone/>
                <wp:docPr id="326021687" name="Rectángulo 326021687"/>
                <wp:cNvGraphicFramePr/>
                <a:graphic xmlns:a="http://schemas.openxmlformats.org/drawingml/2006/main">
                  <a:graphicData uri="http://schemas.microsoft.com/office/word/2010/wordprocessingShape">
                    <wps:wsp>
                      <wps:cNvSpPr/>
                      <wps:spPr>
                        <a:xfrm>
                          <a:off x="4888800" y="3727613"/>
                          <a:ext cx="914400" cy="104775"/>
                        </a:xfrm>
                        <a:prstGeom prst="rect">
                          <a:avLst/>
                        </a:prstGeom>
                        <a:noFill/>
                        <a:ln w="28575" cap="flat" cmpd="sng">
                          <a:solidFill>
                            <a:srgbClr val="FF0000"/>
                          </a:solidFill>
                          <a:prstDash val="solid"/>
                          <a:round/>
                          <a:headEnd type="none" w="sm" len="sm"/>
                          <a:tailEnd type="none" w="sm" len="sm"/>
                        </a:ln>
                      </wps:spPr>
                      <wps:txbx>
                        <w:txbxContent>
                          <w:p w14:paraId="0F92E23B" w14:textId="77777777" w:rsidR="00023530" w:rsidRDefault="00023530">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88901</wp:posOffset>
                </wp:positionH>
                <wp:positionV relativeFrom="paragraph">
                  <wp:posOffset>1193800</wp:posOffset>
                </wp:positionV>
                <wp:extent cx="942975" cy="133350"/>
                <wp:effectExtent b="0" l="0" r="0" t="0"/>
                <wp:wrapNone/>
                <wp:docPr id="326021687" name="image21.png"/>
                <a:graphic>
                  <a:graphicData uri="http://schemas.openxmlformats.org/drawingml/2006/picture">
                    <pic:pic>
                      <pic:nvPicPr>
                        <pic:cNvPr id="0" name="image21.png"/>
                        <pic:cNvPicPr preferRelativeResize="0"/>
                      </pic:nvPicPr>
                      <pic:blipFill>
                        <a:blip r:embed="rId14"/>
                        <a:srcRect/>
                        <a:stretch>
                          <a:fillRect/>
                        </a:stretch>
                      </pic:blipFill>
                      <pic:spPr>
                        <a:xfrm>
                          <a:off x="0" y="0"/>
                          <a:ext cx="942975" cy="133350"/>
                        </a:xfrm>
                        <a:prstGeom prst="rect"/>
                        <a:ln/>
                      </pic:spPr>
                    </pic:pic>
                  </a:graphicData>
                </a:graphic>
              </wp:anchor>
            </w:drawing>
          </mc:Fallback>
        </mc:AlternateContent>
      </w:r>
    </w:p>
    <w:p w14:paraId="6753C06F"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130A5797"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Dicha circunstancia obedece a </w:t>
      </w:r>
      <w:proofErr w:type="gramStart"/>
      <w:r w:rsidRPr="007D1EEA">
        <w:rPr>
          <w:rFonts w:ascii="Palatino Linotype" w:eastAsia="Palatino Linotype" w:hAnsi="Palatino Linotype" w:cs="Palatino Linotype"/>
          <w:sz w:val="22"/>
          <w:szCs w:val="22"/>
        </w:rPr>
        <w:t>que</w:t>
      </w:r>
      <w:proofErr w:type="gramEnd"/>
      <w:r w:rsidRPr="007D1EEA">
        <w:rPr>
          <w:rFonts w:ascii="Palatino Linotype" w:eastAsia="Palatino Linotype" w:hAnsi="Palatino Linotype" w:cs="Palatino Linotype"/>
          <w:sz w:val="22"/>
          <w:szCs w:val="22"/>
        </w:rPr>
        <w:t xml:space="preserve"> de acuerdo al Calendario Oficial del Municipio de Atizapán de Zaragoza, durante el periodo del 25 al 29 de marzo de 2024, transcurrió el primer periodo vacacional: </w:t>
      </w:r>
    </w:p>
    <w:p w14:paraId="0ECEF99A"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lastRenderedPageBreak/>
        <w:drawing>
          <wp:inline distT="0" distB="0" distL="0" distR="0" wp14:anchorId="2E4C297C" wp14:editId="3AE057EF">
            <wp:extent cx="5612130" cy="381635"/>
            <wp:effectExtent l="0" t="0" r="0" b="0"/>
            <wp:docPr id="32602169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5612130" cy="381635"/>
                    </a:xfrm>
                    <a:prstGeom prst="rect">
                      <a:avLst/>
                    </a:prstGeom>
                    <a:ln/>
                  </pic:spPr>
                </pic:pic>
              </a:graphicData>
            </a:graphic>
          </wp:inline>
        </w:drawing>
      </w:r>
    </w:p>
    <w:p w14:paraId="354A2FD6"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7A19E2A1"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Por lo </w:t>
      </w:r>
      <w:proofErr w:type="gramStart"/>
      <w:r w:rsidRPr="007D1EEA">
        <w:rPr>
          <w:rFonts w:ascii="Palatino Linotype" w:eastAsia="Palatino Linotype" w:hAnsi="Palatino Linotype" w:cs="Palatino Linotype"/>
          <w:sz w:val="22"/>
          <w:szCs w:val="22"/>
        </w:rPr>
        <w:t>que</w:t>
      </w:r>
      <w:proofErr w:type="gramEnd"/>
      <w:r w:rsidRPr="007D1EEA">
        <w:rPr>
          <w:rFonts w:ascii="Palatino Linotype" w:eastAsia="Palatino Linotype" w:hAnsi="Palatino Linotype" w:cs="Palatino Linotype"/>
          <w:sz w:val="22"/>
          <w:szCs w:val="22"/>
        </w:rPr>
        <w:t xml:space="preserve"> al momento de dar cumplimiento a la presente determinación, las partes deberán tener en cuenta que al hacer mención a aquellos recibos de nómina generados a la segunda quincena de marzo de dos mil veinticuatro, se está haciendo referencia a aquellos que fueron pagados el 22 de marzo de 2024. </w:t>
      </w:r>
    </w:p>
    <w:p w14:paraId="4E183C0A"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12C427B9"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Por otra parte, resulta importante mencionar que en el esquema de análisis se puntualizó que faltaban áreas por entregar recibos de nóminas, las cuales se detallaron en dicho cuadro, sin embargo, para mejor proveer del presente análisis, resulta importante señalar que este Instituto localizó en el portal de Información Pública de Oficio Mexiquense (IPOMEX) y en las propias conciliaciones de nómina, que en las áreas faltantes si obra una persona titular que ostenta cargo de mando o superior, se insertan algunas capturas de pantalla para mejor referencia: </w:t>
      </w:r>
    </w:p>
    <w:p w14:paraId="0A34A0C1"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007B69A" w14:textId="77777777" w:rsidR="00023530" w:rsidRPr="007D1EEA" w:rsidRDefault="0013670A">
      <w:pPr>
        <w:spacing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 xml:space="preserve">Departamento de Caja General: </w:t>
      </w:r>
    </w:p>
    <w:p w14:paraId="62F4E50B"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lastRenderedPageBreak/>
        <w:drawing>
          <wp:inline distT="0" distB="0" distL="0" distR="0" wp14:anchorId="4B9A3627" wp14:editId="761C5732">
            <wp:extent cx="5153744" cy="1543265"/>
            <wp:effectExtent l="0" t="0" r="0" b="0"/>
            <wp:docPr id="32602169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153744" cy="1543265"/>
                    </a:xfrm>
                    <a:prstGeom prst="rect">
                      <a:avLst/>
                    </a:prstGeom>
                    <a:ln/>
                  </pic:spPr>
                </pic:pic>
              </a:graphicData>
            </a:graphic>
          </wp:inline>
        </w:drawing>
      </w:r>
    </w:p>
    <w:p w14:paraId="6803D28D" w14:textId="77777777" w:rsidR="00023530" w:rsidRPr="007D1EEA" w:rsidRDefault="0013670A">
      <w:pPr>
        <w:spacing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Unidad de Cultura del Agua</w:t>
      </w:r>
    </w:p>
    <w:p w14:paraId="75B15937"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drawing>
          <wp:inline distT="0" distB="0" distL="0" distR="0" wp14:anchorId="384A21FC" wp14:editId="0F068DF3">
            <wp:extent cx="5612130" cy="175260"/>
            <wp:effectExtent l="0" t="0" r="0" b="0"/>
            <wp:docPr id="3260216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12130" cy="175260"/>
                    </a:xfrm>
                    <a:prstGeom prst="rect">
                      <a:avLst/>
                    </a:prstGeom>
                    <a:ln/>
                  </pic:spPr>
                </pic:pic>
              </a:graphicData>
            </a:graphic>
          </wp:inline>
        </w:drawing>
      </w:r>
    </w:p>
    <w:p w14:paraId="2FB885B2"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54EDDB19"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Establecido lo anterior, debemos recordar que los entregó en versión pública, por lo </w:t>
      </w:r>
      <w:proofErr w:type="gramStart"/>
      <w:r w:rsidRPr="007D1EEA">
        <w:rPr>
          <w:rFonts w:ascii="Palatino Linotype" w:eastAsia="Palatino Linotype" w:hAnsi="Palatino Linotype" w:cs="Palatino Linotype"/>
          <w:sz w:val="22"/>
          <w:szCs w:val="22"/>
        </w:rPr>
        <w:t>que</w:t>
      </w:r>
      <w:proofErr w:type="gramEnd"/>
      <w:r w:rsidRPr="007D1EEA">
        <w:rPr>
          <w:rFonts w:ascii="Palatino Linotype" w:eastAsia="Palatino Linotype" w:hAnsi="Palatino Linotype" w:cs="Palatino Linotype"/>
          <w:sz w:val="22"/>
          <w:szCs w:val="22"/>
        </w:rPr>
        <w:t xml:space="preserve"> para mejor proveer del presente asunto, procederemos a analizar si los datos testados por el </w:t>
      </w:r>
      <w:r w:rsidRPr="007D1EEA">
        <w:rPr>
          <w:rFonts w:ascii="Palatino Linotype" w:eastAsia="Palatino Linotype" w:hAnsi="Palatino Linotype" w:cs="Palatino Linotype"/>
          <w:b/>
          <w:sz w:val="22"/>
          <w:szCs w:val="22"/>
        </w:rPr>
        <w:t xml:space="preserve">Sujeto Obligado </w:t>
      </w:r>
      <w:r w:rsidRPr="007D1EEA">
        <w:rPr>
          <w:rFonts w:ascii="Palatino Linotype" w:eastAsia="Palatino Linotype" w:hAnsi="Palatino Linotype" w:cs="Palatino Linotype"/>
          <w:sz w:val="22"/>
          <w:szCs w:val="22"/>
        </w:rPr>
        <w:t xml:space="preserve">son susceptibles de clasificación. </w:t>
      </w:r>
    </w:p>
    <w:p w14:paraId="43FB3B54" w14:textId="77777777" w:rsidR="00023530" w:rsidRPr="007D1EEA" w:rsidRDefault="00023530">
      <w:pPr>
        <w:spacing w:line="360" w:lineRule="auto"/>
        <w:jc w:val="both"/>
        <w:rPr>
          <w:rFonts w:ascii="Palatino Linotype" w:eastAsia="Palatino Linotype" w:hAnsi="Palatino Linotype" w:cs="Palatino Linotype"/>
          <w:b/>
          <w:sz w:val="22"/>
          <w:szCs w:val="22"/>
        </w:rPr>
      </w:pPr>
    </w:p>
    <w:p w14:paraId="181FD8EA"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 atención a lo anterior, resulta de vital importancia recordar que por cuanto hace a los </w:t>
      </w:r>
      <w:r w:rsidRPr="007D1EEA">
        <w:rPr>
          <w:rFonts w:ascii="Palatino Linotype" w:eastAsia="Palatino Linotype" w:hAnsi="Palatino Linotype" w:cs="Palatino Linotype"/>
          <w:b/>
          <w:sz w:val="22"/>
          <w:szCs w:val="22"/>
        </w:rPr>
        <w:t>recibos de nómina</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u w:val="single"/>
        </w:rPr>
        <w:t>clasifica como confidenciales</w:t>
      </w:r>
      <w:r w:rsidRPr="007D1EEA">
        <w:rPr>
          <w:rFonts w:ascii="Palatino Linotype" w:eastAsia="Palatino Linotype" w:hAnsi="Palatino Linotype" w:cs="Palatino Linotype"/>
          <w:sz w:val="22"/>
          <w:szCs w:val="22"/>
        </w:rPr>
        <w:t xml:space="preserve">: CURP, RFC, Número de clave ISSEMYM, nombre de institución bancaria, número de cuenta bancaria y otras deducciones que no corresponden a erogaciones de recursos públicos, al referirse a deducciones por conceptos referentes a gastos personales del servidor público, en ellas se incluye el pago de pensiones alimenticias, servicios de estancia infantil, pago de créditos, pago de estacionamiento, pago de seguro de separación individualizado, código QR, sello digital del CFDI, sello del SAT, cadena original del complemento de certificación digital del SAT, número de serie de CSD del emisor y número de serie de CSD del SAT, mientras que en </w:t>
      </w:r>
      <w:r w:rsidRPr="007D1EEA">
        <w:rPr>
          <w:rFonts w:ascii="Palatino Linotype" w:eastAsia="Palatino Linotype" w:hAnsi="Palatino Linotype" w:cs="Palatino Linotype"/>
          <w:b/>
          <w:sz w:val="22"/>
          <w:szCs w:val="22"/>
        </w:rPr>
        <w:t xml:space="preserve">las conciliaciones de </w:t>
      </w:r>
      <w:r w:rsidRPr="007D1EEA">
        <w:rPr>
          <w:rFonts w:ascii="Palatino Linotype" w:eastAsia="Palatino Linotype" w:hAnsi="Palatino Linotype" w:cs="Palatino Linotype"/>
          <w:b/>
          <w:sz w:val="22"/>
          <w:szCs w:val="22"/>
        </w:rPr>
        <w:lastRenderedPageBreak/>
        <w:t xml:space="preserve">nóminas únicamente </w:t>
      </w:r>
      <w:r w:rsidRPr="007D1EEA">
        <w:rPr>
          <w:rFonts w:ascii="Palatino Linotype" w:eastAsia="Palatino Linotype" w:hAnsi="Palatino Linotype" w:cs="Palatino Linotype"/>
          <w:b/>
          <w:sz w:val="22"/>
          <w:szCs w:val="22"/>
          <w:u w:val="single"/>
        </w:rPr>
        <w:t xml:space="preserve">clasifica </w:t>
      </w:r>
      <w:r w:rsidRPr="007D1EEA">
        <w:rPr>
          <w:rFonts w:ascii="Palatino Linotype" w:eastAsia="Palatino Linotype" w:hAnsi="Palatino Linotype" w:cs="Palatino Linotype"/>
          <w:sz w:val="22"/>
          <w:szCs w:val="22"/>
        </w:rPr>
        <w:t>como confidenciales: CURP, RFC, Número de clave ISSEMYM</w:t>
      </w:r>
      <w:r w:rsidRPr="007D1EEA">
        <w:t xml:space="preserve"> </w:t>
      </w:r>
      <w:r w:rsidRPr="007D1EEA">
        <w:rPr>
          <w:rFonts w:ascii="Palatino Linotype" w:eastAsia="Palatino Linotype" w:hAnsi="Palatino Linotype" w:cs="Palatino Linotype"/>
          <w:sz w:val="22"/>
          <w:szCs w:val="22"/>
        </w:rPr>
        <w:t xml:space="preserve">y otras deducciones que no corresponden a erogaciones de recursos públicos. </w:t>
      </w:r>
    </w:p>
    <w:p w14:paraId="18D142DB"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EFE87BA" w14:textId="77777777" w:rsidR="00023530" w:rsidRPr="007D1EEA" w:rsidRDefault="0013670A">
      <w:pPr>
        <w:numPr>
          <w:ilvl w:val="0"/>
          <w:numId w:val="4"/>
        </w:numPr>
        <w:pBdr>
          <w:top w:val="nil"/>
          <w:left w:val="nil"/>
          <w:bottom w:val="nil"/>
          <w:right w:val="nil"/>
          <w:between w:val="nil"/>
        </w:pBdr>
        <w:spacing w:line="360" w:lineRule="auto"/>
        <w:ind w:left="0" w:hanging="142"/>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Clave Única de Registro de Población (CURP)</w:t>
      </w:r>
    </w:p>
    <w:p w14:paraId="75A9BEF0"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C0EEB43" w14:textId="77777777" w:rsidR="00023530" w:rsidRPr="007D1EEA" w:rsidRDefault="00023530">
      <w:pPr>
        <w:spacing w:line="360" w:lineRule="auto"/>
        <w:rPr>
          <w:sz w:val="22"/>
          <w:szCs w:val="22"/>
        </w:rPr>
      </w:pPr>
    </w:p>
    <w:p w14:paraId="3364165F"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Argumento que es compartido por el Instituto Nacional de Transparencia, Acceso a la Información y Protección de Datos (INAI)</w:t>
      </w:r>
      <w:r w:rsidRPr="007D1EEA">
        <w:rPr>
          <w:rFonts w:ascii="Palatino Linotype" w:eastAsia="Palatino Linotype" w:hAnsi="Palatino Linotype" w:cs="Palatino Linotype"/>
          <w:b/>
          <w:sz w:val="22"/>
          <w:szCs w:val="22"/>
        </w:rPr>
        <w:t xml:space="preserve">, conforme al </w:t>
      </w:r>
      <w:r w:rsidRPr="007D1EEA">
        <w:rPr>
          <w:rFonts w:ascii="Palatino Linotype" w:eastAsia="Palatino Linotype" w:hAnsi="Palatino Linotype" w:cs="Palatino Linotype"/>
          <w:sz w:val="22"/>
          <w:szCs w:val="22"/>
        </w:rPr>
        <w:t>criterio número 18/17, el cual refiere: </w:t>
      </w:r>
    </w:p>
    <w:p w14:paraId="21BB1AB9" w14:textId="77777777" w:rsidR="00023530" w:rsidRPr="007D1EEA" w:rsidRDefault="00023530"/>
    <w:p w14:paraId="21FCE760" w14:textId="77777777" w:rsidR="00023530" w:rsidRPr="007D1EEA" w:rsidRDefault="0013670A">
      <w:pPr>
        <w:ind w:left="567" w:right="709"/>
        <w:jc w:val="both"/>
      </w:pPr>
      <w:r w:rsidRPr="007D1EEA">
        <w:rPr>
          <w:rFonts w:ascii="Palatino Linotype" w:eastAsia="Palatino Linotype" w:hAnsi="Palatino Linotype" w:cs="Palatino Linotype"/>
          <w:b/>
          <w:i/>
          <w:sz w:val="22"/>
          <w:szCs w:val="22"/>
        </w:rPr>
        <w:t xml:space="preserve">“Clave Única de Registro de Población (CURP). </w:t>
      </w:r>
      <w:r w:rsidRPr="007D1EEA">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E45223E" w14:textId="77777777" w:rsidR="00023530" w:rsidRPr="007D1EEA" w:rsidRDefault="0002353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D3F9298"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 xml:space="preserve">Así, la CURP se vincula al nombre de su titular y permite identificar la edad de la persona, su fecha de nacimiento, la cual es única e irrepetible y determina la identificación de dicha persona para efectos fiscales, por lo que constituye un dato personal que concierne a una persona física identificada e identificable en términos de los artículos 3, fracción IX de la Ley </w:t>
      </w:r>
      <w:r w:rsidRPr="007D1EEA">
        <w:rPr>
          <w:rFonts w:ascii="Palatino Linotype" w:eastAsia="Palatino Linotype" w:hAnsi="Palatino Linotype" w:cs="Palatino Linotype"/>
          <w:sz w:val="22"/>
          <w:szCs w:val="22"/>
        </w:rPr>
        <w:lastRenderedPageBreak/>
        <w:t>de Transparencia y Acceso a la Información Pública del Estado de México y Municipios y 4 fracción VII de la Ley de Protección de Datos Personales del Estado de México.</w:t>
      </w:r>
    </w:p>
    <w:p w14:paraId="4AE7A49D"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33A2FB3F" w14:textId="77777777" w:rsidR="00023530" w:rsidRPr="007D1EEA" w:rsidRDefault="0013670A">
      <w:pPr>
        <w:numPr>
          <w:ilvl w:val="0"/>
          <w:numId w:val="3"/>
        </w:numPr>
        <w:pBdr>
          <w:top w:val="nil"/>
          <w:left w:val="nil"/>
          <w:bottom w:val="nil"/>
          <w:right w:val="nil"/>
          <w:between w:val="nil"/>
        </w:pBdr>
        <w:spacing w:line="360" w:lineRule="auto"/>
        <w:ind w:left="0" w:hanging="142"/>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Registro Federal de Contribuyentes (RFC)</w:t>
      </w:r>
    </w:p>
    <w:p w14:paraId="0E8D5C0F" w14:textId="77777777" w:rsidR="00023530" w:rsidRPr="007D1EEA" w:rsidRDefault="0013670A">
      <w:pPr>
        <w:spacing w:line="360" w:lineRule="auto"/>
        <w:ind w:right="49"/>
        <w:jc w:val="both"/>
        <w:rPr>
          <w:sz w:val="22"/>
          <w:szCs w:val="22"/>
        </w:rPr>
      </w:pPr>
      <w:r w:rsidRPr="007D1EEA">
        <w:rPr>
          <w:rFonts w:ascii="Palatino Linotype" w:eastAsia="Palatino Linotype" w:hAnsi="Palatino Linotype" w:cs="Palatino Linotype"/>
          <w:sz w:val="22"/>
          <w:szCs w:val="22"/>
        </w:rPr>
        <w:t>En cuanto al RFC, este constituye un dato personal, ya que para su obtención es necesario acreditar ante la autoridad fiscal previamente la identidad de la persona, su fecha de nacimiento, entre otros aspectos.</w:t>
      </w:r>
    </w:p>
    <w:p w14:paraId="60115974" w14:textId="77777777" w:rsidR="00023530" w:rsidRPr="007D1EEA" w:rsidRDefault="00023530">
      <w:pPr>
        <w:spacing w:line="360" w:lineRule="auto"/>
        <w:rPr>
          <w:sz w:val="22"/>
          <w:szCs w:val="22"/>
        </w:rPr>
      </w:pPr>
    </w:p>
    <w:p w14:paraId="14A1A537"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84BDBF1" w14:textId="77777777" w:rsidR="00023530" w:rsidRPr="007D1EEA" w:rsidRDefault="00023530">
      <w:pPr>
        <w:spacing w:line="360" w:lineRule="auto"/>
        <w:rPr>
          <w:sz w:val="22"/>
          <w:szCs w:val="22"/>
        </w:rPr>
      </w:pPr>
    </w:p>
    <w:p w14:paraId="31415F6E"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Lo anterior es compartido por el Instituto Nacional de Transparencia, Acceso a la Información y Protección de Datos (INAI) a través del Criterio 19/17, el cual es del tenor literal siguiente:</w:t>
      </w:r>
    </w:p>
    <w:p w14:paraId="33F6BF40" w14:textId="77777777" w:rsidR="00023530" w:rsidRPr="007D1EEA" w:rsidRDefault="00023530"/>
    <w:p w14:paraId="1C13CE3F" w14:textId="77777777" w:rsidR="00023530" w:rsidRPr="007D1EEA" w:rsidRDefault="0013670A">
      <w:pPr>
        <w:ind w:left="851" w:right="902"/>
        <w:jc w:val="both"/>
      </w:pPr>
      <w:r w:rsidRPr="007D1EEA">
        <w:rPr>
          <w:rFonts w:ascii="Palatino Linotype" w:eastAsia="Palatino Linotype" w:hAnsi="Palatino Linotype" w:cs="Palatino Linotype"/>
          <w:b/>
          <w:i/>
          <w:sz w:val="22"/>
          <w:szCs w:val="22"/>
        </w:rPr>
        <w:t xml:space="preserve">“Registro Federal de Contribuyentes (RFC) de personas físicas. </w:t>
      </w:r>
      <w:r w:rsidRPr="007D1EEA">
        <w:rPr>
          <w:rFonts w:ascii="Palatino Linotype" w:eastAsia="Palatino Linotype" w:hAnsi="Palatino Linotype" w:cs="Palatino Linotype"/>
          <w:i/>
          <w:sz w:val="22"/>
          <w:szCs w:val="22"/>
        </w:rPr>
        <w:t>El RFC es una clave de carácter fiscal, única e irrepetible, que permite identificar al titular, su edad y fecha de nacimiento, por lo que es un dato personal de carácter confidencial.” </w:t>
      </w:r>
    </w:p>
    <w:p w14:paraId="3EDC121D" w14:textId="77777777" w:rsidR="00023530" w:rsidRPr="007D1EEA" w:rsidRDefault="00023530"/>
    <w:p w14:paraId="1BAFCA77"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Así, el RFC se vincula al nombre de su titular y permite identificar la edad de la persona, su fecha de nacimiento, así como su </w:t>
      </w:r>
      <w:proofErr w:type="spellStart"/>
      <w:r w:rsidRPr="007D1EEA">
        <w:rPr>
          <w:rFonts w:ascii="Palatino Linotype" w:eastAsia="Palatino Linotype" w:hAnsi="Palatino Linotype" w:cs="Palatino Linotype"/>
          <w:sz w:val="22"/>
          <w:szCs w:val="22"/>
        </w:rPr>
        <w:t>homoclave</w:t>
      </w:r>
      <w:proofErr w:type="spellEnd"/>
      <w:r w:rsidRPr="007D1EEA">
        <w:rPr>
          <w:rFonts w:ascii="Palatino Linotype" w:eastAsia="Palatino Linotype" w:hAnsi="Palatino Linotype" w:cs="Palatino Linotype"/>
          <w:sz w:val="22"/>
          <w:szCs w:val="22"/>
        </w:rPr>
        <w:t xml:space="preserve">, la cual es única e irrepetible y determina la identificación de dicha persona para efectos fiscales, por lo que constituye un dato personal </w:t>
      </w:r>
      <w:r w:rsidRPr="007D1EEA">
        <w:rPr>
          <w:rFonts w:ascii="Palatino Linotype" w:eastAsia="Palatino Linotype" w:hAnsi="Palatino Linotype" w:cs="Palatino Linotype"/>
          <w:sz w:val="22"/>
          <w:szCs w:val="22"/>
        </w:rPr>
        <w:lastRenderedPageBreak/>
        <w:t>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F6E83C" w14:textId="77777777" w:rsidR="00023530" w:rsidRPr="007D1EEA" w:rsidRDefault="00023530">
      <w:pPr>
        <w:spacing w:line="360" w:lineRule="auto"/>
        <w:jc w:val="both"/>
        <w:rPr>
          <w:sz w:val="22"/>
          <w:szCs w:val="22"/>
        </w:rPr>
      </w:pPr>
    </w:p>
    <w:p w14:paraId="383817B2" w14:textId="77777777" w:rsidR="00023530" w:rsidRPr="007D1EEA" w:rsidRDefault="0013670A">
      <w:pPr>
        <w:numPr>
          <w:ilvl w:val="0"/>
          <w:numId w:val="3"/>
        </w:numPr>
        <w:pBdr>
          <w:top w:val="nil"/>
          <w:left w:val="nil"/>
          <w:bottom w:val="nil"/>
          <w:right w:val="nil"/>
          <w:between w:val="nil"/>
        </w:pBdr>
        <w:spacing w:line="360" w:lineRule="auto"/>
        <w:ind w:left="0" w:hanging="142"/>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Número de clave ISSEMYM</w:t>
      </w:r>
    </w:p>
    <w:p w14:paraId="5AF1CF98"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9B5E273" w14:textId="77777777" w:rsidR="00023530" w:rsidRPr="007D1EEA" w:rsidRDefault="00023530"/>
    <w:p w14:paraId="21BCFC4B" w14:textId="77777777" w:rsidR="00023530" w:rsidRPr="007D1EEA" w:rsidRDefault="0013670A">
      <w:pPr>
        <w:ind w:left="567" w:right="709"/>
        <w:jc w:val="both"/>
      </w:pPr>
      <w:r w:rsidRPr="007D1EEA">
        <w:rPr>
          <w:rFonts w:ascii="Palatino Linotype" w:eastAsia="Palatino Linotype" w:hAnsi="Palatino Linotype" w:cs="Palatino Linotype"/>
          <w:b/>
          <w:i/>
          <w:sz w:val="22"/>
          <w:szCs w:val="22"/>
        </w:rPr>
        <w:t>“El número de ficha de identificación única de los trabajadores es información de carácter confidencial.</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i/>
          <w:sz w:val="22"/>
          <w:szCs w:val="22"/>
          <w:u w:val="single"/>
        </w:rPr>
        <w:t>dicha información es susceptible de clasificarse con el carácter de confidencial</w:t>
      </w:r>
      <w:r w:rsidRPr="007D1EEA">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w:t>
      </w:r>
    </w:p>
    <w:p w14:paraId="6A278AA8" w14:textId="77777777" w:rsidR="00023530" w:rsidRPr="007D1EEA" w:rsidRDefault="0002353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9FF3ED4"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 xml:space="preserve">Por </w:t>
      </w:r>
      <w:proofErr w:type="gramStart"/>
      <w:r w:rsidRPr="007D1EEA">
        <w:rPr>
          <w:rFonts w:ascii="Palatino Linotype" w:eastAsia="Palatino Linotype" w:hAnsi="Palatino Linotype" w:cs="Palatino Linotype"/>
          <w:sz w:val="22"/>
          <w:szCs w:val="22"/>
        </w:rPr>
        <w:t>consiguiente</w:t>
      </w:r>
      <w:proofErr w:type="gramEnd"/>
      <w:r w:rsidRPr="007D1EEA">
        <w:rPr>
          <w:rFonts w:ascii="Palatino Linotype" w:eastAsia="Palatino Linotype" w:hAnsi="Palatino Linotype" w:cs="Palatino Linotype"/>
          <w:sz w:val="22"/>
          <w:szCs w:val="22"/>
        </w:rPr>
        <w:t xml:space="preserve"> este dato es susceptible de clasificarse como confidencial por actualizar el supuesto del artículo 143, fracción I de la Ley de Transparencia Local.</w:t>
      </w:r>
    </w:p>
    <w:p w14:paraId="2019FECB"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05078EE" w14:textId="77777777" w:rsidR="00023530" w:rsidRPr="007D1EEA" w:rsidRDefault="0013670A">
      <w:pPr>
        <w:numPr>
          <w:ilvl w:val="0"/>
          <w:numId w:val="3"/>
        </w:numPr>
        <w:pBdr>
          <w:top w:val="nil"/>
          <w:left w:val="nil"/>
          <w:bottom w:val="nil"/>
          <w:right w:val="nil"/>
          <w:between w:val="nil"/>
        </w:pBdr>
        <w:spacing w:line="360" w:lineRule="auto"/>
        <w:ind w:left="142" w:hanging="142"/>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Nombre de institución bancaria</w:t>
      </w:r>
    </w:p>
    <w:p w14:paraId="4A3C0B5E"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7C8CE4DE"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El </w:t>
      </w:r>
      <w:r w:rsidRPr="007D1EEA">
        <w:rPr>
          <w:rFonts w:ascii="Palatino Linotype" w:eastAsia="Palatino Linotype" w:hAnsi="Palatino Linotype" w:cs="Palatino Linotype"/>
          <w:b/>
          <w:i/>
          <w:sz w:val="22"/>
          <w:szCs w:val="22"/>
        </w:rPr>
        <w:t>Nombre de institución bancaria utilizada por el servidor público</w:t>
      </w:r>
      <w:r w:rsidRPr="007D1EEA">
        <w:rPr>
          <w:rFonts w:ascii="Palatino Linotype" w:eastAsia="Palatino Linotype" w:hAnsi="Palatino Linotype" w:cs="Palatino Linotype"/>
          <w:sz w:val="22"/>
          <w:szCs w:val="22"/>
        </w:rPr>
        <w:t>, 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14:paraId="4435230B"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458E235B"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 xml:space="preserve">En ese orden de ideas, en el portal de la Comisión Nacional para la Protección y Defensa de los Usuarios de Servicios Financieros (consultado el cinco de julio de dos mil veintitrés) en  </w:t>
      </w:r>
      <w:hyperlink r:id="rId18">
        <w:r w:rsidRPr="007D1EEA">
          <w:rPr>
            <w:rFonts w:ascii="Palatino Linotype" w:eastAsia="Palatino Linotype" w:hAnsi="Palatino Linotype" w:cs="Palatino Linotype"/>
            <w:sz w:val="22"/>
            <w:szCs w:val="22"/>
            <w:u w:val="single"/>
          </w:rPr>
          <w:t>https://www.condusef.gob.mx/Revista/index.php/usuario-inteligente/condusefresponde/777-la-condusef-te-puede-ayudar</w:t>
        </w:r>
      </w:hyperlink>
      <w:r w:rsidRPr="007D1EEA">
        <w:rPr>
          <w:rFonts w:ascii="Palatino Linotype" w:eastAsia="Palatino Linotype" w:hAnsi="Palatino Linotype" w:cs="Palatino Linotype"/>
          <w:sz w:val="22"/>
          <w:szCs w:val="22"/>
        </w:rPr>
        <w:t>), se establece que los bancos son instituciones financieras; conforme a lo anterior, se puede advertir que las instituciones bancarias, son personas morales.</w:t>
      </w:r>
    </w:p>
    <w:p w14:paraId="78EF2309"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09200D54"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Por lo tanto, se considera que la denominación o razón social de una persona moral, es pública, pues dichos datos se encuentran inscritos en el Registro Público del Comercio; lo anterior, se robustece con el hecho de que existe el Sistema de Registro de Prestadores de Servicios Financieros (consultado el cinco de julio de dos mil veintitrés, a las trece horas, en la liga </w:t>
      </w:r>
      <w:hyperlink r:id="rId19">
        <w:r w:rsidRPr="007D1EEA">
          <w:rPr>
            <w:rFonts w:ascii="Palatino Linotype" w:eastAsia="Palatino Linotype" w:hAnsi="Palatino Linotype" w:cs="Palatino Linotype"/>
            <w:sz w:val="22"/>
            <w:szCs w:val="22"/>
            <w:u w:val="single"/>
          </w:rPr>
          <w:t>https://webapps.condusef.gob.mx/SIPRES/jsp/pub/index.jsp</w:t>
        </w:r>
      </w:hyperlink>
      <w:r w:rsidRPr="007D1EEA">
        <w:rPr>
          <w:rFonts w:ascii="Palatino Linotype" w:eastAsia="Palatino Linotype" w:hAnsi="Palatino Linotype" w:cs="Palatino Linotype"/>
          <w:sz w:val="22"/>
          <w:szCs w:val="22"/>
        </w:rPr>
        <w:t xml:space="preserve">  que es un registro de carácter público, cuyo objetivo principal, consiste en proporcionar información corporativa y general de las instituciones financieras; además, que permite conocer al público general, información de dichos entes, se muestra un ejemplo a continuación: </w:t>
      </w:r>
    </w:p>
    <w:p w14:paraId="2DAC0923"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3BE75157" w14:textId="77777777" w:rsidR="00023530" w:rsidRPr="007D1EEA" w:rsidRDefault="0013670A">
      <w:pPr>
        <w:spacing w:line="360" w:lineRule="auto"/>
        <w:jc w:val="center"/>
        <w:rPr>
          <w:rFonts w:ascii="Palatino Linotype" w:eastAsia="Palatino Linotype" w:hAnsi="Palatino Linotype" w:cs="Palatino Linotype"/>
          <w:sz w:val="22"/>
          <w:szCs w:val="22"/>
        </w:rPr>
      </w:pPr>
      <w:r w:rsidRPr="007D1EEA">
        <w:rPr>
          <w:rFonts w:ascii="Palatino Linotype" w:eastAsia="Palatino Linotype" w:hAnsi="Palatino Linotype" w:cs="Palatino Linotype"/>
          <w:noProof/>
          <w:sz w:val="22"/>
          <w:szCs w:val="22"/>
          <w:lang w:val="es-MX"/>
        </w:rPr>
        <w:drawing>
          <wp:inline distT="0" distB="0" distL="0" distR="0" wp14:anchorId="09806F1C" wp14:editId="1F3331C2">
            <wp:extent cx="5295900" cy="1295400"/>
            <wp:effectExtent l="0" t="0" r="0" b="0"/>
            <wp:docPr id="326021697" name="image11.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Imagen que contiene Escala de tiempo&#10;&#10;Descripción generada automáticamente"/>
                    <pic:cNvPicPr preferRelativeResize="0"/>
                  </pic:nvPicPr>
                  <pic:blipFill>
                    <a:blip r:embed="rId20"/>
                    <a:srcRect t="1" b="52956"/>
                    <a:stretch>
                      <a:fillRect/>
                    </a:stretch>
                  </pic:blipFill>
                  <pic:spPr>
                    <a:xfrm>
                      <a:off x="0" y="0"/>
                      <a:ext cx="5295900" cy="1295400"/>
                    </a:xfrm>
                    <a:prstGeom prst="rect">
                      <a:avLst/>
                    </a:prstGeom>
                    <a:ln/>
                  </pic:spPr>
                </pic:pic>
              </a:graphicData>
            </a:graphic>
          </wp:inline>
        </w:drawing>
      </w:r>
    </w:p>
    <w:p w14:paraId="34285757"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0AAB6B31"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Conforme a lo anterior, se advierte que </w:t>
      </w:r>
      <w:r w:rsidRPr="007D1EEA">
        <w:rPr>
          <w:rFonts w:ascii="Palatino Linotype" w:eastAsia="Palatino Linotype" w:hAnsi="Palatino Linotype" w:cs="Palatino Linotype"/>
          <w:b/>
          <w:sz w:val="22"/>
          <w:szCs w:val="22"/>
          <w:u w:val="single"/>
        </w:rPr>
        <w:t>el nombre de las instituciones bancarias es de naturaleza pública</w:t>
      </w:r>
      <w:r w:rsidRPr="007D1EEA">
        <w:rPr>
          <w:rFonts w:ascii="Palatino Linotype" w:eastAsia="Palatino Linotype" w:hAnsi="Palatino Linotype" w:cs="Palatino Linotype"/>
          <w:sz w:val="22"/>
          <w:szCs w:val="22"/>
        </w:rPr>
        <w:t>; ahora bien, en el presente caso se determina que proporcionar el nombre de la institución bancaria en la cual el servidor público recibe el pago de remuneraciones se considera que no conlleva a la vulneración de datos personales del servidor público en específico, ya que estos no se encuentran íntimamente ligados con la información personal del mismo.</w:t>
      </w:r>
    </w:p>
    <w:p w14:paraId="6D3BEE52"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F32B07C" w14:textId="77777777" w:rsidR="00023530" w:rsidRPr="007D1EEA" w:rsidRDefault="0013670A">
      <w:pPr>
        <w:numPr>
          <w:ilvl w:val="0"/>
          <w:numId w:val="3"/>
        </w:numPr>
        <w:pBdr>
          <w:top w:val="nil"/>
          <w:left w:val="nil"/>
          <w:bottom w:val="nil"/>
          <w:right w:val="nil"/>
          <w:between w:val="nil"/>
        </w:pBdr>
        <w:spacing w:line="360" w:lineRule="auto"/>
        <w:ind w:left="0" w:hanging="142"/>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Número de cuenta bancaria</w:t>
      </w:r>
    </w:p>
    <w:p w14:paraId="46A93FB7" w14:textId="77777777" w:rsidR="00023530" w:rsidRPr="007D1EEA" w:rsidRDefault="0002353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5FE31EF"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La </w:t>
      </w:r>
      <w:r w:rsidRPr="007D1EEA">
        <w:rPr>
          <w:rFonts w:ascii="Palatino Linotype" w:eastAsia="Palatino Linotype" w:hAnsi="Palatino Linotype" w:cs="Palatino Linotype"/>
          <w:b/>
          <w:i/>
          <w:sz w:val="22"/>
          <w:szCs w:val="22"/>
        </w:rPr>
        <w:t>cuenta bancaria de servidores públicos</w:t>
      </w:r>
      <w:r w:rsidRPr="007D1EEA">
        <w:rPr>
          <w:rFonts w:ascii="Palatino Linotype" w:eastAsia="Palatino Linotype" w:hAnsi="Palatino Linotype" w:cs="Palatino Linotype"/>
          <w:sz w:val="22"/>
          <w:szCs w:val="22"/>
        </w:rPr>
        <w:t>, 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63CE9196"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w:t>
      </w:r>
    </w:p>
    <w:p w14:paraId="06B419B0"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A mayor abundamiento, resulta necesario traer a colación el Criterio SO/010/2017, emitido por el Instituto Nacional de Transparencia, Acceso a la Información y Protección de Datos Personales, mismo que establece lo siguiente:</w:t>
      </w:r>
    </w:p>
    <w:p w14:paraId="464A2185"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4F4C814" w14:textId="77777777" w:rsidR="00023530" w:rsidRPr="007D1EEA" w:rsidRDefault="0013670A">
      <w:pPr>
        <w:ind w:left="567" w:right="567"/>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r w:rsidRPr="007D1EEA">
        <w:rPr>
          <w:rFonts w:ascii="Palatino Linotype" w:eastAsia="Palatino Linotype" w:hAnsi="Palatino Linotype" w:cs="Palatino Linotype"/>
          <w:b/>
          <w:i/>
          <w:sz w:val="22"/>
          <w:szCs w:val="22"/>
        </w:rPr>
        <w:t>Cuentas bancarias y/o CLABE interbancaria de personas físicas y morales privadas.</w:t>
      </w:r>
      <w:r w:rsidRPr="007D1EEA">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DAC7C28"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3D240304"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9948D4A" w14:textId="77777777" w:rsidR="00023530" w:rsidRPr="007D1EEA" w:rsidRDefault="0002353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42FD2BBF" w14:textId="77777777" w:rsidR="00023530" w:rsidRPr="007D1EEA" w:rsidRDefault="0013670A">
      <w:pPr>
        <w:numPr>
          <w:ilvl w:val="0"/>
          <w:numId w:val="3"/>
        </w:numPr>
        <w:pBdr>
          <w:top w:val="nil"/>
          <w:left w:val="nil"/>
          <w:bottom w:val="nil"/>
          <w:right w:val="nil"/>
          <w:between w:val="nil"/>
        </w:pBdr>
        <w:spacing w:line="360" w:lineRule="auto"/>
        <w:ind w:left="142" w:hanging="284"/>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Información fiscal</w:t>
      </w:r>
    </w:p>
    <w:p w14:paraId="05840C64"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35DC0F2D"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 xml:space="preserve">La </w:t>
      </w:r>
      <w:r w:rsidRPr="007D1EEA">
        <w:rPr>
          <w:rFonts w:ascii="Palatino Linotype" w:eastAsia="Palatino Linotype" w:hAnsi="Palatino Linotype" w:cs="Palatino Linotype"/>
          <w:b/>
          <w:sz w:val="22"/>
          <w:szCs w:val="22"/>
        </w:rPr>
        <w:t>Cadena Original</w:t>
      </w:r>
      <w:r w:rsidRPr="007D1EEA">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w:t>
      </w:r>
      <w:r w:rsidRPr="007D1EEA">
        <w:rPr>
          <w:rFonts w:ascii="Palatino Linotype" w:eastAsia="Palatino Linotype" w:hAnsi="Palatino Linotype" w:cs="Palatino Linotype"/>
          <w:sz w:val="22"/>
          <w:szCs w:val="22"/>
        </w:rPr>
        <w:lastRenderedPageBreak/>
        <w:t xml:space="preserve">no limitativa, el RFC del receptor, es decir del servidor público. En dicho supuesto, la cadena original constituiría información que únicamente atañe al contribuyente, siendo tarea del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14:paraId="563F09B0" w14:textId="77777777" w:rsidR="00023530" w:rsidRPr="007D1EEA" w:rsidRDefault="00023530">
      <w:pPr>
        <w:spacing w:line="360" w:lineRule="auto"/>
        <w:jc w:val="both"/>
        <w:rPr>
          <w:sz w:val="22"/>
          <w:szCs w:val="22"/>
        </w:rPr>
      </w:pPr>
    </w:p>
    <w:p w14:paraId="4B6384B2"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 xml:space="preserve">Los </w:t>
      </w:r>
      <w:r w:rsidRPr="007D1EEA">
        <w:rPr>
          <w:rFonts w:ascii="Palatino Linotype" w:eastAsia="Palatino Linotype" w:hAnsi="Palatino Linotype" w:cs="Palatino Linotype"/>
          <w:b/>
          <w:sz w:val="22"/>
          <w:szCs w:val="22"/>
        </w:rPr>
        <w:t>códigos bidimensionales</w:t>
      </w:r>
      <w:r w:rsidRPr="007D1EEA">
        <w:rPr>
          <w:rFonts w:ascii="Palatino Linotype" w:eastAsia="Palatino Linotype" w:hAnsi="Palatino Linotype" w:cs="Palatino Linotype"/>
          <w:sz w:val="22"/>
          <w:szCs w:val="22"/>
        </w:rPr>
        <w:t xml:space="preserve"> o </w:t>
      </w:r>
      <w:r w:rsidRPr="007D1EEA">
        <w:rPr>
          <w:rFonts w:ascii="Palatino Linotype" w:eastAsia="Palatino Linotype" w:hAnsi="Palatino Linotype" w:cs="Palatino Linotype"/>
          <w:b/>
          <w:sz w:val="22"/>
          <w:szCs w:val="22"/>
        </w:rPr>
        <w:t xml:space="preserve">códigos QR, </w:t>
      </w:r>
      <w:r w:rsidRPr="007D1EEA">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7D1EEA">
        <w:rPr>
          <w:rFonts w:ascii="Palatino Linotype" w:eastAsia="Palatino Linotype" w:hAnsi="Palatino Linotype" w:cs="Palatino Linotype"/>
          <w:b/>
          <w:sz w:val="22"/>
          <w:szCs w:val="22"/>
        </w:rPr>
        <w:t xml:space="preserve">Sujeto Obligado </w:t>
      </w:r>
      <w:r w:rsidRPr="007D1EEA">
        <w:rPr>
          <w:rFonts w:ascii="Palatino Linotype" w:eastAsia="Palatino Linotype" w:hAnsi="Palatino Linotype" w:cs="Palatino Linotype"/>
          <w:sz w:val="22"/>
          <w:szCs w:val="22"/>
        </w:rPr>
        <w:t>analizar dicha circunstancia con la finalidad de determinar si se actualiza algún supuesto de confidencialidad.</w:t>
      </w:r>
    </w:p>
    <w:p w14:paraId="43E67FC0" w14:textId="77777777" w:rsidR="00023530" w:rsidRPr="007D1EEA" w:rsidRDefault="00023530">
      <w:pPr>
        <w:spacing w:line="360" w:lineRule="auto"/>
        <w:jc w:val="both"/>
        <w:rPr>
          <w:sz w:val="22"/>
          <w:szCs w:val="22"/>
        </w:rPr>
      </w:pPr>
    </w:p>
    <w:p w14:paraId="7CBFAF7B"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 xml:space="preserve">En tal sentido, si derivado del análisis efectuado por </w:t>
      </w:r>
      <w:r w:rsidRPr="007D1EEA">
        <w:rPr>
          <w:rFonts w:ascii="Palatino Linotype" w:eastAsia="Palatino Linotype" w:hAnsi="Palatino Linotype" w:cs="Palatino Linotype"/>
          <w:b/>
          <w:sz w:val="22"/>
          <w:szCs w:val="22"/>
        </w:rPr>
        <w:t xml:space="preserve">Sujeto Obligado </w:t>
      </w:r>
      <w:r w:rsidRPr="007D1EEA">
        <w:rPr>
          <w:rFonts w:ascii="Palatino Linotype" w:eastAsia="Palatino Linotype" w:hAnsi="Palatino Linotype" w:cs="Palatino Linotype"/>
          <w:sz w:val="22"/>
          <w:szCs w:val="22"/>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60BBED81"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24935664" w14:textId="77777777" w:rsidR="00023530" w:rsidRPr="007D1EEA" w:rsidRDefault="0013670A">
      <w:pPr>
        <w:numPr>
          <w:ilvl w:val="0"/>
          <w:numId w:val="3"/>
        </w:numPr>
        <w:pBdr>
          <w:top w:val="nil"/>
          <w:left w:val="nil"/>
          <w:bottom w:val="nil"/>
          <w:right w:val="nil"/>
          <w:between w:val="nil"/>
        </w:pBdr>
        <w:spacing w:line="360" w:lineRule="auto"/>
        <w:ind w:left="142" w:hanging="142"/>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lastRenderedPageBreak/>
        <w:t>Otras deducciones que no corresponden a erogaciones de recursos públicos</w:t>
      </w:r>
    </w:p>
    <w:p w14:paraId="4365FCB7" w14:textId="77777777" w:rsidR="00023530" w:rsidRPr="007D1EEA" w:rsidRDefault="00023530">
      <w:pPr>
        <w:spacing w:line="360" w:lineRule="auto"/>
        <w:jc w:val="both"/>
        <w:rPr>
          <w:rFonts w:ascii="Palatino Linotype" w:eastAsia="Palatino Linotype" w:hAnsi="Palatino Linotype" w:cs="Palatino Linotype"/>
          <w:sz w:val="22"/>
          <w:szCs w:val="22"/>
        </w:rPr>
      </w:pPr>
    </w:p>
    <w:p w14:paraId="3A9CCFC6"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 xml:space="preserve">Respecto de los </w:t>
      </w:r>
      <w:r w:rsidRPr="007D1EEA">
        <w:rPr>
          <w:rFonts w:ascii="Palatino Linotype" w:eastAsia="Palatino Linotype" w:hAnsi="Palatino Linotype" w:cs="Palatino Linotype"/>
          <w:b/>
          <w:sz w:val="22"/>
          <w:szCs w:val="22"/>
        </w:rPr>
        <w:t>préstamos o descuentos</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b/>
          <w:sz w:val="22"/>
          <w:szCs w:val="22"/>
        </w:rPr>
        <w:t>de carácter personal</w:t>
      </w:r>
      <w:r w:rsidRPr="007D1EEA">
        <w:rPr>
          <w:rFonts w:ascii="Palatino Linotype" w:eastAsia="Palatino Linotype" w:hAnsi="Palatino Linotype" w:cs="Palatino Linotype"/>
          <w:sz w:val="22"/>
          <w:szCs w:val="22"/>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2CDBA9DC" w14:textId="77777777" w:rsidR="00023530" w:rsidRPr="007D1EEA" w:rsidRDefault="00023530">
      <w:pPr>
        <w:spacing w:line="360" w:lineRule="auto"/>
        <w:rPr>
          <w:sz w:val="22"/>
          <w:szCs w:val="22"/>
        </w:rPr>
      </w:pPr>
    </w:p>
    <w:p w14:paraId="021028FA"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4100C04F" w14:textId="77777777" w:rsidR="00023530" w:rsidRPr="007D1EEA" w:rsidRDefault="00023530"/>
    <w:p w14:paraId="54DE6719" w14:textId="77777777" w:rsidR="00023530" w:rsidRPr="007D1EEA" w:rsidRDefault="0013670A">
      <w:pPr>
        <w:ind w:left="567" w:right="709"/>
        <w:jc w:val="both"/>
      </w:pPr>
      <w:r w:rsidRPr="007D1EEA">
        <w:rPr>
          <w:rFonts w:ascii="Palatino Linotype" w:eastAsia="Palatino Linotype" w:hAnsi="Palatino Linotype" w:cs="Palatino Linotype"/>
          <w:b/>
          <w:i/>
          <w:sz w:val="22"/>
          <w:szCs w:val="22"/>
        </w:rPr>
        <w:t xml:space="preserve">“ARTÍCULO 84. </w:t>
      </w:r>
      <w:r w:rsidRPr="007D1EEA">
        <w:rPr>
          <w:rFonts w:ascii="Palatino Linotype" w:eastAsia="Palatino Linotype" w:hAnsi="Palatino Linotype" w:cs="Palatino Linotype"/>
          <w:i/>
          <w:sz w:val="22"/>
          <w:szCs w:val="22"/>
        </w:rPr>
        <w:t>Sólo podrán hacerse retenciones, descuentos o deducciones al sueldo de los servidores públicos por concepto de:</w:t>
      </w:r>
    </w:p>
    <w:p w14:paraId="7326171A" w14:textId="77777777" w:rsidR="00023530" w:rsidRPr="007D1EEA" w:rsidRDefault="0013670A">
      <w:pPr>
        <w:ind w:left="567" w:right="709"/>
        <w:jc w:val="both"/>
      </w:pPr>
      <w:r w:rsidRPr="007D1EEA">
        <w:rPr>
          <w:rFonts w:ascii="Palatino Linotype" w:eastAsia="Palatino Linotype" w:hAnsi="Palatino Linotype" w:cs="Palatino Linotype"/>
          <w:i/>
          <w:sz w:val="22"/>
          <w:szCs w:val="22"/>
        </w:rPr>
        <w:t>I. Gravámenes fiscales relacionados con el sueldo;</w:t>
      </w:r>
    </w:p>
    <w:p w14:paraId="1751254D" w14:textId="77777777" w:rsidR="00023530" w:rsidRPr="007D1EEA" w:rsidRDefault="0013670A">
      <w:pPr>
        <w:ind w:left="567" w:right="709"/>
        <w:jc w:val="both"/>
      </w:pPr>
      <w:r w:rsidRPr="007D1EEA">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1F10C12F" w14:textId="77777777" w:rsidR="00023530" w:rsidRPr="007D1EEA" w:rsidRDefault="0013670A">
      <w:pPr>
        <w:ind w:left="567" w:right="709"/>
        <w:jc w:val="both"/>
      </w:pPr>
      <w:r w:rsidRPr="007D1EEA">
        <w:rPr>
          <w:rFonts w:ascii="Palatino Linotype" w:eastAsia="Palatino Linotype" w:hAnsi="Palatino Linotype" w:cs="Palatino Linotype"/>
          <w:i/>
          <w:sz w:val="22"/>
          <w:szCs w:val="22"/>
        </w:rPr>
        <w:t>III. Cuotas sindicales;</w:t>
      </w:r>
    </w:p>
    <w:p w14:paraId="60CFE31E" w14:textId="77777777" w:rsidR="00023530" w:rsidRPr="007D1EEA" w:rsidRDefault="0013670A">
      <w:pPr>
        <w:ind w:left="567" w:right="709"/>
        <w:jc w:val="both"/>
      </w:pPr>
      <w:r w:rsidRPr="007D1EEA">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248D4D6" w14:textId="77777777" w:rsidR="00023530" w:rsidRPr="007D1EEA" w:rsidRDefault="0013670A">
      <w:pPr>
        <w:ind w:left="567" w:right="709"/>
        <w:jc w:val="both"/>
      </w:pPr>
      <w:r w:rsidRPr="007D1EEA">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5F19CE89" w14:textId="77777777" w:rsidR="00023530" w:rsidRPr="007D1EEA" w:rsidRDefault="0013670A">
      <w:pPr>
        <w:ind w:left="567" w:right="709"/>
        <w:jc w:val="both"/>
      </w:pPr>
      <w:r w:rsidRPr="007D1EEA">
        <w:rPr>
          <w:rFonts w:ascii="Palatino Linotype" w:eastAsia="Palatino Linotype" w:hAnsi="Palatino Linotype" w:cs="Palatino Linotype"/>
          <w:i/>
          <w:sz w:val="22"/>
          <w:szCs w:val="22"/>
        </w:rPr>
        <w:lastRenderedPageBreak/>
        <w:t>VI. Obligaciones a cargo del servidor público con las que haya consentido, derivadas de la adquisición o del uso de habitaciones consideradas como de interés social;</w:t>
      </w:r>
    </w:p>
    <w:p w14:paraId="7C1551D5" w14:textId="77777777" w:rsidR="00023530" w:rsidRPr="007D1EEA" w:rsidRDefault="0013670A">
      <w:pPr>
        <w:ind w:left="567" w:right="709"/>
        <w:jc w:val="both"/>
      </w:pPr>
      <w:r w:rsidRPr="007D1EEA">
        <w:rPr>
          <w:rFonts w:ascii="Palatino Linotype" w:eastAsia="Palatino Linotype" w:hAnsi="Palatino Linotype" w:cs="Palatino Linotype"/>
          <w:i/>
          <w:sz w:val="22"/>
          <w:szCs w:val="22"/>
        </w:rPr>
        <w:t>VII. Faltas de puntualidad o de asistencia injustificadas;</w:t>
      </w:r>
    </w:p>
    <w:p w14:paraId="58F14014" w14:textId="77777777" w:rsidR="00023530" w:rsidRPr="007D1EEA" w:rsidRDefault="0013670A">
      <w:pPr>
        <w:ind w:left="567" w:right="709"/>
        <w:jc w:val="both"/>
      </w:pPr>
      <w:r w:rsidRPr="007D1EEA">
        <w:rPr>
          <w:rFonts w:ascii="Palatino Linotype" w:eastAsia="Palatino Linotype" w:hAnsi="Palatino Linotype" w:cs="Palatino Linotype"/>
          <w:b/>
          <w:i/>
          <w:sz w:val="22"/>
          <w:szCs w:val="22"/>
        </w:rPr>
        <w:t>VIII. Pensiones alimenticias ordenadas por la autoridad judicial;</w:t>
      </w:r>
      <w:r w:rsidRPr="007D1EEA">
        <w:rPr>
          <w:rFonts w:ascii="Palatino Linotype" w:eastAsia="Palatino Linotype" w:hAnsi="Palatino Linotype" w:cs="Palatino Linotype"/>
          <w:i/>
          <w:sz w:val="22"/>
          <w:szCs w:val="22"/>
        </w:rPr>
        <w:t xml:space="preserve"> o</w:t>
      </w:r>
    </w:p>
    <w:p w14:paraId="3A342817" w14:textId="77777777" w:rsidR="00023530" w:rsidRPr="007D1EEA" w:rsidRDefault="0013670A">
      <w:pPr>
        <w:ind w:left="567" w:right="709"/>
        <w:jc w:val="both"/>
      </w:pPr>
      <w:r w:rsidRPr="007D1EEA">
        <w:rPr>
          <w:rFonts w:ascii="Palatino Linotype" w:eastAsia="Palatino Linotype" w:hAnsi="Palatino Linotype" w:cs="Palatino Linotype"/>
          <w:b/>
          <w:i/>
          <w:sz w:val="22"/>
          <w:szCs w:val="22"/>
        </w:rPr>
        <w:t>IX. Cualquier otro convenido con instituciones de servicios y aceptado por el servidor público.</w:t>
      </w:r>
    </w:p>
    <w:p w14:paraId="7DF2D89D" w14:textId="77777777" w:rsidR="00023530" w:rsidRPr="007D1EEA" w:rsidRDefault="0013670A">
      <w:pPr>
        <w:ind w:left="567" w:right="709"/>
        <w:jc w:val="both"/>
      </w:pPr>
      <w:r w:rsidRPr="007D1EEA">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686CEC34" w14:textId="77777777" w:rsidR="00023530" w:rsidRPr="007D1EEA" w:rsidRDefault="00023530"/>
    <w:p w14:paraId="35AE79C2"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0181CC6A" w14:textId="77777777" w:rsidR="00023530" w:rsidRPr="007D1EEA" w:rsidRDefault="00023530">
      <w:pPr>
        <w:spacing w:line="360" w:lineRule="auto"/>
        <w:rPr>
          <w:sz w:val="22"/>
          <w:szCs w:val="22"/>
        </w:rPr>
      </w:pPr>
    </w:p>
    <w:p w14:paraId="6B8BB62D"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 conclusión, los préstamos o descuentos de carácter personal, en virtud de no tener relación con la prestación del servicio y al no involucrar instituciones públicas, se consideran datos confidenciales, por lo que en el caso particular al haber determinado que a dicha información le revestía el carácter de confidencial, es dable afirmar que el actuar del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es correcto. </w:t>
      </w:r>
    </w:p>
    <w:p w14:paraId="69D8DAFA" w14:textId="77777777" w:rsidR="00023530" w:rsidRPr="007D1EEA" w:rsidRDefault="0013670A">
      <w:pPr>
        <w:spacing w:line="360" w:lineRule="auto"/>
        <w:ind w:right="49"/>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lastRenderedPageBreak/>
        <w:t>En esta tesitura, para mejor proveer del presente asunto, se proceden a analizar los acuerdos emitidos por el Comité de Transparencia, para otorgar respuestas a las presentes solicitudes de información, ello con el propósito de determinar si se realizaron conforme a derecho, para esto se inserta el siguiente cuadro de análisis:</w:t>
      </w:r>
    </w:p>
    <w:p w14:paraId="3F558D26" w14:textId="77777777" w:rsidR="00023530" w:rsidRPr="007D1EEA" w:rsidRDefault="00023530">
      <w:pPr>
        <w:spacing w:line="360" w:lineRule="auto"/>
        <w:ind w:right="49"/>
        <w:jc w:val="both"/>
        <w:rPr>
          <w:rFonts w:ascii="Palatino Linotype" w:eastAsia="Palatino Linotype" w:hAnsi="Palatino Linotype" w:cs="Palatino Linotype"/>
          <w:sz w:val="22"/>
          <w:szCs w:val="22"/>
        </w:rPr>
      </w:pPr>
    </w:p>
    <w:p w14:paraId="5014CCF6" w14:textId="77777777" w:rsidR="00023530" w:rsidRPr="007D1EEA" w:rsidRDefault="0013670A">
      <w:pPr>
        <w:spacing w:after="240" w:line="360" w:lineRule="auto"/>
        <w:ind w:right="49"/>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0"/>
          <w:szCs w:val="20"/>
        </w:rPr>
        <w:t xml:space="preserve">Análisis del acta de la Cuadragésima Octava Sesión Extraordinaria del Comité de Transparencia del Organismo de Atizapán de Zaragoza que da sustento a la conciliación de nómina de la primera quincena del mes de marzo de 2024: </w:t>
      </w:r>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7D1EEA" w:rsidRPr="007D1EEA" w14:paraId="1B449E5E" w14:textId="77777777">
        <w:trPr>
          <w:trHeight w:val="569"/>
        </w:trPr>
        <w:tc>
          <w:tcPr>
            <w:tcW w:w="1548" w:type="dxa"/>
            <w:shd w:val="clear" w:color="auto" w:fill="D6E3BC"/>
          </w:tcPr>
          <w:p w14:paraId="4907D142"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Elementos del acuerdo de clasificación</w:t>
            </w:r>
          </w:p>
        </w:tc>
        <w:tc>
          <w:tcPr>
            <w:tcW w:w="6020" w:type="dxa"/>
            <w:gridSpan w:val="2"/>
            <w:shd w:val="clear" w:color="auto" w:fill="D6E3BC"/>
          </w:tcPr>
          <w:p w14:paraId="4BF3AD4A"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Contenido</w:t>
            </w:r>
          </w:p>
        </w:tc>
        <w:tc>
          <w:tcPr>
            <w:tcW w:w="1499" w:type="dxa"/>
            <w:shd w:val="clear" w:color="auto" w:fill="D6E3BC"/>
          </w:tcPr>
          <w:p w14:paraId="5E4BC154"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¿Cumple?</w:t>
            </w:r>
          </w:p>
        </w:tc>
      </w:tr>
      <w:tr w:rsidR="007D1EEA" w:rsidRPr="007D1EEA" w14:paraId="5528FA03" w14:textId="77777777">
        <w:tc>
          <w:tcPr>
            <w:tcW w:w="1548" w:type="dxa"/>
          </w:tcPr>
          <w:p w14:paraId="327C3060" w14:textId="77777777" w:rsidR="00023530" w:rsidRPr="007D1EEA" w:rsidRDefault="0013670A">
            <w:pPr>
              <w:spacing w:before="100" w:after="200" w:line="276"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b/>
                <w:sz w:val="18"/>
                <w:szCs w:val="18"/>
              </w:rPr>
              <w:t>Referencia de la información solicitada</w:t>
            </w:r>
          </w:p>
        </w:tc>
        <w:tc>
          <w:tcPr>
            <w:tcW w:w="6020" w:type="dxa"/>
            <w:gridSpan w:val="2"/>
          </w:tcPr>
          <w:p w14:paraId="61589D80" w14:textId="77777777" w:rsidR="00023530" w:rsidRPr="007D1EEA" w:rsidRDefault="0013670A">
            <w:pPr>
              <w:spacing w:before="100" w:after="200" w:line="276" w:lineRule="auto"/>
              <w:jc w:val="center"/>
              <w:rPr>
                <w:rFonts w:ascii="Palatino Linotype" w:eastAsia="Palatino Linotype" w:hAnsi="Palatino Linotype" w:cs="Palatino Linotype"/>
              </w:rPr>
            </w:pPr>
            <w:r w:rsidRPr="007D1EEA">
              <w:rPr>
                <w:rFonts w:ascii="Palatino Linotype" w:eastAsia="Palatino Linotype" w:hAnsi="Palatino Linotype" w:cs="Palatino Linotype"/>
                <w:noProof/>
                <w:lang w:val="es-MX"/>
              </w:rPr>
              <w:drawing>
                <wp:inline distT="0" distB="0" distL="0" distR="0" wp14:anchorId="0A0895E1" wp14:editId="066A8746">
                  <wp:extent cx="3697751" cy="416787"/>
                  <wp:effectExtent l="0" t="0" r="0" b="0"/>
                  <wp:docPr id="32602170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697751" cy="416787"/>
                          </a:xfrm>
                          <a:prstGeom prst="rect">
                            <a:avLst/>
                          </a:prstGeom>
                          <a:ln/>
                        </pic:spPr>
                      </pic:pic>
                    </a:graphicData>
                  </a:graphic>
                </wp:inline>
              </w:drawing>
            </w:r>
          </w:p>
          <w:p w14:paraId="1F9F3468" w14:textId="77777777" w:rsidR="00023530" w:rsidRPr="007D1EEA" w:rsidRDefault="0013670A">
            <w:pPr>
              <w:spacing w:before="100" w:after="200" w:line="276" w:lineRule="auto"/>
              <w:jc w:val="center"/>
              <w:rPr>
                <w:rFonts w:ascii="Palatino Linotype" w:eastAsia="Palatino Linotype" w:hAnsi="Palatino Linotype" w:cs="Palatino Linotype"/>
              </w:rPr>
            </w:pPr>
            <w:r w:rsidRPr="007D1EEA">
              <w:rPr>
                <w:rFonts w:ascii="Palatino Linotype" w:eastAsia="Palatino Linotype" w:hAnsi="Palatino Linotype" w:cs="Palatino Linotype"/>
                <w:noProof/>
                <w:lang w:val="es-MX"/>
              </w:rPr>
              <w:drawing>
                <wp:inline distT="0" distB="0" distL="0" distR="0" wp14:anchorId="3FD43430" wp14:editId="4AE2F246">
                  <wp:extent cx="2810267" cy="314369"/>
                  <wp:effectExtent l="0" t="0" r="0" b="0"/>
                  <wp:docPr id="32602169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2810267" cy="314369"/>
                          </a:xfrm>
                          <a:prstGeom prst="rect">
                            <a:avLst/>
                          </a:prstGeom>
                          <a:ln/>
                        </pic:spPr>
                      </pic:pic>
                    </a:graphicData>
                  </a:graphic>
                </wp:inline>
              </w:drawing>
            </w:r>
          </w:p>
        </w:tc>
        <w:tc>
          <w:tcPr>
            <w:tcW w:w="1499" w:type="dxa"/>
          </w:tcPr>
          <w:p w14:paraId="39AA4BC1" w14:textId="77777777" w:rsidR="00023530" w:rsidRPr="007D1EEA" w:rsidRDefault="0013670A">
            <w:pPr>
              <w:spacing w:before="100" w:after="200" w:line="276" w:lineRule="auto"/>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Sí</w:t>
            </w:r>
          </w:p>
        </w:tc>
      </w:tr>
      <w:tr w:rsidR="007D1EEA" w:rsidRPr="007D1EEA" w14:paraId="5B7E928E" w14:textId="77777777">
        <w:tc>
          <w:tcPr>
            <w:tcW w:w="1548" w:type="dxa"/>
          </w:tcPr>
          <w:p w14:paraId="200C2932"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lastRenderedPageBreak/>
              <w:t>Artículo, fracción, inciso, párrafo o numeral de la ley que le otorga el carácter de confidencial.</w:t>
            </w:r>
          </w:p>
        </w:tc>
        <w:tc>
          <w:tcPr>
            <w:tcW w:w="6020" w:type="dxa"/>
            <w:gridSpan w:val="2"/>
          </w:tcPr>
          <w:p w14:paraId="0D95306B" w14:textId="77777777" w:rsidR="00023530" w:rsidRPr="007D1EEA" w:rsidRDefault="0013670A">
            <w:pPr>
              <w:spacing w:before="100" w:after="200" w:line="276" w:lineRule="auto"/>
              <w:rPr>
                <w:rFonts w:ascii="Calibri" w:eastAsia="Calibri" w:hAnsi="Calibri" w:cs="Calibri"/>
                <w:sz w:val="20"/>
                <w:szCs w:val="20"/>
              </w:rPr>
            </w:pPr>
            <w:r w:rsidRPr="007D1EEA">
              <w:rPr>
                <w:rFonts w:ascii="Calibri" w:eastAsia="Calibri" w:hAnsi="Calibri" w:cs="Calibri"/>
                <w:noProof/>
                <w:sz w:val="20"/>
                <w:szCs w:val="20"/>
                <w:lang w:val="es-MX"/>
              </w:rPr>
              <w:drawing>
                <wp:inline distT="0" distB="0" distL="0" distR="0" wp14:anchorId="7F75434A" wp14:editId="50A3623F">
                  <wp:extent cx="3685540" cy="2625090"/>
                  <wp:effectExtent l="0" t="0" r="0" b="0"/>
                  <wp:docPr id="3260217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3685540" cy="2625090"/>
                          </a:xfrm>
                          <a:prstGeom prst="rect">
                            <a:avLst/>
                          </a:prstGeom>
                          <a:ln/>
                        </pic:spPr>
                      </pic:pic>
                    </a:graphicData>
                  </a:graphic>
                </wp:inline>
              </w:drawing>
            </w:r>
          </w:p>
          <w:p w14:paraId="2F6F36C3" w14:textId="77777777" w:rsidR="00023530" w:rsidRPr="007D1EEA" w:rsidRDefault="0013670A">
            <w:pPr>
              <w:spacing w:before="100" w:after="200" w:line="276" w:lineRule="auto"/>
              <w:rPr>
                <w:rFonts w:ascii="Calibri" w:eastAsia="Calibri" w:hAnsi="Calibri" w:cs="Calibri"/>
                <w:sz w:val="20"/>
                <w:szCs w:val="20"/>
              </w:rPr>
            </w:pPr>
            <w:r w:rsidRPr="007D1EEA">
              <w:rPr>
                <w:rFonts w:ascii="Calibri" w:eastAsia="Calibri" w:hAnsi="Calibri" w:cs="Calibri"/>
                <w:noProof/>
                <w:sz w:val="20"/>
                <w:szCs w:val="20"/>
                <w:lang w:val="es-MX"/>
              </w:rPr>
              <w:drawing>
                <wp:inline distT="0" distB="0" distL="0" distR="0" wp14:anchorId="26FCE82D" wp14:editId="4F63BF4B">
                  <wp:extent cx="3685540" cy="1908175"/>
                  <wp:effectExtent l="0" t="0" r="0" b="0"/>
                  <wp:docPr id="3260217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685540" cy="1908175"/>
                          </a:xfrm>
                          <a:prstGeom prst="rect">
                            <a:avLst/>
                          </a:prstGeom>
                          <a:ln/>
                        </pic:spPr>
                      </pic:pic>
                    </a:graphicData>
                  </a:graphic>
                </wp:inline>
              </w:drawing>
            </w:r>
          </w:p>
        </w:tc>
        <w:tc>
          <w:tcPr>
            <w:tcW w:w="1499" w:type="dxa"/>
          </w:tcPr>
          <w:p w14:paraId="5894B207" w14:textId="77777777" w:rsidR="00023530" w:rsidRPr="007D1EEA" w:rsidRDefault="0013670A">
            <w:pPr>
              <w:spacing w:before="100" w:after="200"/>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Sí</w:t>
            </w:r>
          </w:p>
        </w:tc>
      </w:tr>
      <w:tr w:rsidR="007D1EEA" w:rsidRPr="007D1EEA" w14:paraId="6C380267" w14:textId="77777777">
        <w:tc>
          <w:tcPr>
            <w:tcW w:w="1548" w:type="dxa"/>
          </w:tcPr>
          <w:p w14:paraId="21C92D86" w14:textId="77777777" w:rsidR="00023530" w:rsidRPr="007D1EEA" w:rsidRDefault="0013670A">
            <w:pPr>
              <w:spacing w:before="100" w:after="200" w:line="276"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b/>
                <w:sz w:val="18"/>
                <w:szCs w:val="18"/>
              </w:rPr>
              <w:t>Motivación Legal</w:t>
            </w:r>
          </w:p>
        </w:tc>
        <w:tc>
          <w:tcPr>
            <w:tcW w:w="6020" w:type="dxa"/>
            <w:gridSpan w:val="2"/>
          </w:tcPr>
          <w:p w14:paraId="3DE442A6"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No se precisa de manera motivada las razones por las que deben clasificarse los datos clasificados.</w:t>
            </w:r>
          </w:p>
        </w:tc>
        <w:tc>
          <w:tcPr>
            <w:tcW w:w="1499" w:type="dxa"/>
          </w:tcPr>
          <w:p w14:paraId="78DDB364" w14:textId="77777777" w:rsidR="00023530" w:rsidRPr="007D1EEA" w:rsidRDefault="0013670A">
            <w:pPr>
              <w:spacing w:before="100" w:after="200" w:line="276"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No</w:t>
            </w:r>
          </w:p>
        </w:tc>
      </w:tr>
      <w:tr w:rsidR="00023530" w:rsidRPr="007D1EEA" w14:paraId="0354B417" w14:textId="77777777">
        <w:tc>
          <w:tcPr>
            <w:tcW w:w="1555" w:type="dxa"/>
            <w:gridSpan w:val="2"/>
            <w:shd w:val="clear" w:color="auto" w:fill="auto"/>
          </w:tcPr>
          <w:p w14:paraId="3BC12C05" w14:textId="77777777" w:rsidR="00023530" w:rsidRPr="007D1EEA" w:rsidRDefault="0013670A">
            <w:pPr>
              <w:spacing w:before="100" w:after="200" w:line="276" w:lineRule="auto"/>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18"/>
                <w:szCs w:val="18"/>
              </w:rPr>
              <w:lastRenderedPageBreak/>
              <w:t>Autoridades competentes.</w:t>
            </w:r>
          </w:p>
        </w:tc>
        <w:tc>
          <w:tcPr>
            <w:tcW w:w="6013" w:type="dxa"/>
            <w:shd w:val="clear" w:color="auto" w:fill="auto"/>
          </w:tcPr>
          <w:p w14:paraId="7CC2865E" w14:textId="77777777" w:rsidR="00023530" w:rsidRPr="007D1EEA" w:rsidRDefault="0013670A">
            <w:pPr>
              <w:spacing w:before="100" w:after="200" w:line="276" w:lineRule="auto"/>
              <w:rPr>
                <w:rFonts w:ascii="Cambria" w:eastAsia="Cambria" w:hAnsi="Cambria" w:cs="Cambria"/>
              </w:rPr>
            </w:pPr>
            <w:r w:rsidRPr="007D1EEA">
              <w:rPr>
                <w:rFonts w:ascii="Cambria" w:eastAsia="Cambria" w:hAnsi="Cambria" w:cs="Cambria"/>
              </w:rPr>
              <w:t xml:space="preserve"> </w:t>
            </w:r>
            <w:r w:rsidRPr="007D1EEA">
              <w:rPr>
                <w:rFonts w:ascii="Cambria" w:eastAsia="Cambria" w:hAnsi="Cambria" w:cs="Cambria"/>
                <w:noProof/>
                <w:lang w:val="es-MX"/>
              </w:rPr>
              <w:drawing>
                <wp:inline distT="0" distB="0" distL="0" distR="0" wp14:anchorId="40AE7BE2" wp14:editId="00D36C90">
                  <wp:extent cx="3681095" cy="2701925"/>
                  <wp:effectExtent l="0" t="0" r="0" b="0"/>
                  <wp:docPr id="3260217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681095" cy="2701925"/>
                          </a:xfrm>
                          <a:prstGeom prst="rect">
                            <a:avLst/>
                          </a:prstGeom>
                          <a:ln/>
                        </pic:spPr>
                      </pic:pic>
                    </a:graphicData>
                  </a:graphic>
                </wp:inline>
              </w:drawing>
            </w:r>
          </w:p>
        </w:tc>
        <w:tc>
          <w:tcPr>
            <w:tcW w:w="1499" w:type="dxa"/>
            <w:shd w:val="clear" w:color="auto" w:fill="auto"/>
          </w:tcPr>
          <w:p w14:paraId="4DA9BA16" w14:textId="77777777" w:rsidR="00023530" w:rsidRPr="007D1EEA" w:rsidRDefault="0013670A">
            <w:pPr>
              <w:spacing w:before="100" w:after="200" w:line="276" w:lineRule="auto"/>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18"/>
                <w:szCs w:val="18"/>
              </w:rPr>
              <w:t>Si</w:t>
            </w:r>
          </w:p>
        </w:tc>
      </w:tr>
    </w:tbl>
    <w:p w14:paraId="638D7E84" w14:textId="77777777" w:rsidR="00023530" w:rsidRPr="007D1EEA" w:rsidRDefault="00023530">
      <w:pPr>
        <w:spacing w:before="240" w:line="360" w:lineRule="auto"/>
        <w:ind w:right="49"/>
        <w:jc w:val="both"/>
        <w:rPr>
          <w:rFonts w:ascii="Palatino Linotype" w:eastAsia="Palatino Linotype" w:hAnsi="Palatino Linotype" w:cs="Palatino Linotype"/>
          <w:sz w:val="22"/>
          <w:szCs w:val="22"/>
        </w:rPr>
      </w:pPr>
    </w:p>
    <w:p w14:paraId="463B7595" w14:textId="77777777" w:rsidR="00023530" w:rsidRPr="007D1EEA" w:rsidRDefault="0013670A">
      <w:pPr>
        <w:spacing w:after="240" w:line="360" w:lineRule="auto"/>
        <w:ind w:right="49"/>
        <w:jc w:val="both"/>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Análisis del acta de la Cuadragésima Novena Sesión Extraordinaria del Comité de Transparencia del Organismo de Atizapán de Zaragoza que da sustento a los recibos de nómina y conciliaciones de las temporalidades previamente precisadas:</w:t>
      </w:r>
    </w:p>
    <w:tbl>
      <w:tblPr>
        <w:tblStyle w:val="a6"/>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7"/>
        <w:gridCol w:w="6013"/>
        <w:gridCol w:w="1499"/>
      </w:tblGrid>
      <w:tr w:rsidR="007D1EEA" w:rsidRPr="007D1EEA" w14:paraId="7C95B292" w14:textId="77777777">
        <w:trPr>
          <w:trHeight w:val="569"/>
        </w:trPr>
        <w:tc>
          <w:tcPr>
            <w:tcW w:w="1548" w:type="dxa"/>
            <w:shd w:val="clear" w:color="auto" w:fill="D6E3BC"/>
          </w:tcPr>
          <w:p w14:paraId="721AA79F"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Elementos del acuerdo de clasificación</w:t>
            </w:r>
          </w:p>
        </w:tc>
        <w:tc>
          <w:tcPr>
            <w:tcW w:w="6020" w:type="dxa"/>
            <w:gridSpan w:val="2"/>
            <w:shd w:val="clear" w:color="auto" w:fill="D6E3BC"/>
          </w:tcPr>
          <w:p w14:paraId="039D7E72"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Contenido</w:t>
            </w:r>
          </w:p>
        </w:tc>
        <w:tc>
          <w:tcPr>
            <w:tcW w:w="1499" w:type="dxa"/>
            <w:shd w:val="clear" w:color="auto" w:fill="D6E3BC"/>
          </w:tcPr>
          <w:p w14:paraId="4C087C4F"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¿Cumple?</w:t>
            </w:r>
          </w:p>
        </w:tc>
      </w:tr>
      <w:tr w:rsidR="007D1EEA" w:rsidRPr="007D1EEA" w14:paraId="002D948D" w14:textId="77777777">
        <w:tc>
          <w:tcPr>
            <w:tcW w:w="1548" w:type="dxa"/>
          </w:tcPr>
          <w:p w14:paraId="15F07D02" w14:textId="77777777" w:rsidR="00023530" w:rsidRPr="007D1EEA" w:rsidRDefault="0013670A">
            <w:pPr>
              <w:spacing w:before="100" w:after="200" w:line="276"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b/>
                <w:sz w:val="18"/>
                <w:szCs w:val="18"/>
              </w:rPr>
              <w:t>Referencia de la información solicitada</w:t>
            </w:r>
          </w:p>
        </w:tc>
        <w:tc>
          <w:tcPr>
            <w:tcW w:w="6020" w:type="dxa"/>
            <w:gridSpan w:val="2"/>
          </w:tcPr>
          <w:p w14:paraId="45F873D8" w14:textId="77777777" w:rsidR="00023530" w:rsidRPr="007D1EEA" w:rsidRDefault="0013670A">
            <w:pPr>
              <w:spacing w:before="100" w:after="200"/>
              <w:jc w:val="both"/>
              <w:rPr>
                <w:rFonts w:ascii="Palatino Linotype" w:eastAsia="Palatino Linotype" w:hAnsi="Palatino Linotype" w:cs="Palatino Linotype"/>
                <w:sz w:val="20"/>
                <w:szCs w:val="20"/>
              </w:rPr>
            </w:pPr>
            <w:r w:rsidRPr="007D1EEA">
              <w:rPr>
                <w:rFonts w:ascii="Palatino Linotype" w:eastAsia="Palatino Linotype" w:hAnsi="Palatino Linotype" w:cs="Palatino Linotype"/>
                <w:sz w:val="18"/>
                <w:szCs w:val="18"/>
              </w:rPr>
              <w:t>Se inserta un extracto de la referencia a una de las solicitudes de información, sin embargo, se precisa que dentro del acuerdo si se advierte que refiere la totalidad de la información que se requiere.</w:t>
            </w:r>
          </w:p>
          <w:p w14:paraId="6780EF32" w14:textId="77777777" w:rsidR="00023530" w:rsidRPr="007D1EEA" w:rsidRDefault="0013670A">
            <w:pPr>
              <w:spacing w:before="100" w:after="200" w:line="276" w:lineRule="auto"/>
              <w:jc w:val="center"/>
              <w:rPr>
                <w:rFonts w:ascii="Palatino Linotype" w:eastAsia="Palatino Linotype" w:hAnsi="Palatino Linotype" w:cs="Palatino Linotype"/>
              </w:rPr>
            </w:pPr>
            <w:r w:rsidRPr="007D1EEA">
              <w:rPr>
                <w:rFonts w:ascii="Palatino Linotype" w:eastAsia="Palatino Linotype" w:hAnsi="Palatino Linotype" w:cs="Palatino Linotype"/>
                <w:noProof/>
                <w:lang w:val="es-MX"/>
              </w:rPr>
              <w:lastRenderedPageBreak/>
              <w:drawing>
                <wp:inline distT="0" distB="0" distL="0" distR="0" wp14:anchorId="49F89386" wp14:editId="604052E5">
                  <wp:extent cx="3395644" cy="2713472"/>
                  <wp:effectExtent l="0" t="0" r="0" b="0"/>
                  <wp:docPr id="3260217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3395644" cy="2713472"/>
                          </a:xfrm>
                          <a:prstGeom prst="rect">
                            <a:avLst/>
                          </a:prstGeom>
                          <a:ln/>
                        </pic:spPr>
                      </pic:pic>
                    </a:graphicData>
                  </a:graphic>
                </wp:inline>
              </w:drawing>
            </w:r>
          </w:p>
          <w:p w14:paraId="5865472D" w14:textId="77777777" w:rsidR="00023530" w:rsidRPr="007D1EEA" w:rsidRDefault="0013670A">
            <w:pPr>
              <w:spacing w:before="100" w:after="200" w:line="276" w:lineRule="auto"/>
              <w:jc w:val="center"/>
              <w:rPr>
                <w:rFonts w:ascii="Palatino Linotype" w:eastAsia="Palatino Linotype" w:hAnsi="Palatino Linotype" w:cs="Palatino Linotype"/>
              </w:rPr>
            </w:pPr>
            <w:r w:rsidRPr="007D1EEA">
              <w:rPr>
                <w:rFonts w:ascii="Palatino Linotype" w:eastAsia="Palatino Linotype" w:hAnsi="Palatino Linotype" w:cs="Palatino Linotype"/>
                <w:noProof/>
                <w:lang w:val="es-MX"/>
              </w:rPr>
              <w:drawing>
                <wp:inline distT="0" distB="0" distL="0" distR="0" wp14:anchorId="1EB910FB" wp14:editId="3CCD3557">
                  <wp:extent cx="3362794" cy="362001"/>
                  <wp:effectExtent l="0" t="0" r="0" b="0"/>
                  <wp:docPr id="3260217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3362794" cy="362001"/>
                          </a:xfrm>
                          <a:prstGeom prst="rect">
                            <a:avLst/>
                          </a:prstGeom>
                          <a:ln/>
                        </pic:spPr>
                      </pic:pic>
                    </a:graphicData>
                  </a:graphic>
                </wp:inline>
              </w:drawing>
            </w:r>
          </w:p>
        </w:tc>
        <w:tc>
          <w:tcPr>
            <w:tcW w:w="1499" w:type="dxa"/>
          </w:tcPr>
          <w:p w14:paraId="40686669" w14:textId="77777777" w:rsidR="00023530" w:rsidRPr="007D1EEA" w:rsidRDefault="0013670A">
            <w:pPr>
              <w:spacing w:before="100" w:after="200" w:line="276" w:lineRule="auto"/>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lastRenderedPageBreak/>
              <w:t>Sí</w:t>
            </w:r>
          </w:p>
        </w:tc>
      </w:tr>
      <w:tr w:rsidR="007D1EEA" w:rsidRPr="007D1EEA" w14:paraId="0190FFB2" w14:textId="77777777">
        <w:tc>
          <w:tcPr>
            <w:tcW w:w="1548" w:type="dxa"/>
          </w:tcPr>
          <w:p w14:paraId="6FA8A6DB"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lastRenderedPageBreak/>
              <w:t>Artículo, fracción, inciso, párrafo o numeral de la ley que le otorga el carácter de confidencial.</w:t>
            </w:r>
          </w:p>
        </w:tc>
        <w:tc>
          <w:tcPr>
            <w:tcW w:w="6020" w:type="dxa"/>
            <w:gridSpan w:val="2"/>
          </w:tcPr>
          <w:p w14:paraId="34162442" w14:textId="77777777" w:rsidR="00023530" w:rsidRPr="007D1EEA" w:rsidRDefault="0013670A">
            <w:pPr>
              <w:spacing w:before="100" w:after="200" w:line="276" w:lineRule="auto"/>
              <w:rPr>
                <w:rFonts w:ascii="Calibri" w:eastAsia="Calibri" w:hAnsi="Calibri" w:cs="Calibri"/>
                <w:sz w:val="20"/>
                <w:szCs w:val="20"/>
              </w:rPr>
            </w:pPr>
            <w:r w:rsidRPr="007D1EEA">
              <w:rPr>
                <w:rFonts w:ascii="Calibri" w:eastAsia="Calibri" w:hAnsi="Calibri" w:cs="Calibri"/>
                <w:noProof/>
                <w:sz w:val="20"/>
                <w:szCs w:val="20"/>
                <w:lang w:val="es-MX"/>
              </w:rPr>
              <w:drawing>
                <wp:inline distT="0" distB="0" distL="0" distR="0" wp14:anchorId="27842160" wp14:editId="13012064">
                  <wp:extent cx="3685540" cy="4253865"/>
                  <wp:effectExtent l="0" t="0" r="0" b="0"/>
                  <wp:docPr id="32602170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685540" cy="4253865"/>
                          </a:xfrm>
                          <a:prstGeom prst="rect">
                            <a:avLst/>
                          </a:prstGeom>
                          <a:ln/>
                        </pic:spPr>
                      </pic:pic>
                    </a:graphicData>
                  </a:graphic>
                </wp:inline>
              </w:drawing>
            </w:r>
          </w:p>
          <w:p w14:paraId="5079D410" w14:textId="77777777" w:rsidR="00023530" w:rsidRPr="007D1EEA" w:rsidRDefault="0013670A">
            <w:pPr>
              <w:spacing w:before="100" w:after="200" w:line="276" w:lineRule="auto"/>
              <w:jc w:val="center"/>
              <w:rPr>
                <w:rFonts w:ascii="Calibri" w:eastAsia="Calibri" w:hAnsi="Calibri" w:cs="Calibri"/>
                <w:sz w:val="20"/>
                <w:szCs w:val="20"/>
              </w:rPr>
            </w:pPr>
            <w:r w:rsidRPr="007D1EEA">
              <w:rPr>
                <w:rFonts w:ascii="Calibri" w:eastAsia="Calibri" w:hAnsi="Calibri" w:cs="Calibri"/>
                <w:noProof/>
                <w:sz w:val="20"/>
                <w:szCs w:val="20"/>
                <w:lang w:val="es-MX"/>
              </w:rPr>
              <w:lastRenderedPageBreak/>
              <w:drawing>
                <wp:inline distT="0" distB="0" distL="0" distR="0" wp14:anchorId="2D445EDE" wp14:editId="32F82984">
                  <wp:extent cx="3685540" cy="1903095"/>
                  <wp:effectExtent l="0" t="0" r="0" b="0"/>
                  <wp:docPr id="3260217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3685540" cy="1903095"/>
                          </a:xfrm>
                          <a:prstGeom prst="rect">
                            <a:avLst/>
                          </a:prstGeom>
                          <a:ln/>
                        </pic:spPr>
                      </pic:pic>
                    </a:graphicData>
                  </a:graphic>
                </wp:inline>
              </w:drawing>
            </w:r>
          </w:p>
        </w:tc>
        <w:tc>
          <w:tcPr>
            <w:tcW w:w="1499" w:type="dxa"/>
          </w:tcPr>
          <w:p w14:paraId="6CC94CB7" w14:textId="77777777" w:rsidR="00023530" w:rsidRPr="007D1EEA" w:rsidRDefault="0013670A">
            <w:pPr>
              <w:spacing w:before="100" w:after="200"/>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lastRenderedPageBreak/>
              <w:t>Sí</w:t>
            </w:r>
          </w:p>
        </w:tc>
      </w:tr>
      <w:tr w:rsidR="007D1EEA" w:rsidRPr="007D1EEA" w14:paraId="013B66AF" w14:textId="77777777">
        <w:tc>
          <w:tcPr>
            <w:tcW w:w="1548" w:type="dxa"/>
          </w:tcPr>
          <w:p w14:paraId="32AE02D7" w14:textId="77777777" w:rsidR="00023530" w:rsidRPr="007D1EEA" w:rsidRDefault="0013670A">
            <w:pPr>
              <w:spacing w:before="100" w:after="200" w:line="276" w:lineRule="auto"/>
              <w:jc w:val="center"/>
              <w:rPr>
                <w:rFonts w:ascii="Palatino Linotype" w:eastAsia="Palatino Linotype" w:hAnsi="Palatino Linotype" w:cs="Palatino Linotype"/>
                <w:sz w:val="18"/>
                <w:szCs w:val="18"/>
              </w:rPr>
            </w:pPr>
            <w:r w:rsidRPr="007D1EEA">
              <w:rPr>
                <w:rFonts w:ascii="Palatino Linotype" w:eastAsia="Palatino Linotype" w:hAnsi="Palatino Linotype" w:cs="Palatino Linotype"/>
                <w:b/>
                <w:sz w:val="18"/>
                <w:szCs w:val="18"/>
              </w:rPr>
              <w:t>Motivación Legal</w:t>
            </w:r>
          </w:p>
        </w:tc>
        <w:tc>
          <w:tcPr>
            <w:tcW w:w="6020" w:type="dxa"/>
            <w:gridSpan w:val="2"/>
          </w:tcPr>
          <w:p w14:paraId="58AFCE44" w14:textId="77777777" w:rsidR="00023530" w:rsidRPr="007D1EEA" w:rsidRDefault="0013670A">
            <w:pPr>
              <w:spacing w:before="100" w:after="200" w:line="276" w:lineRule="auto"/>
              <w:jc w:val="center"/>
              <w:rPr>
                <w:rFonts w:ascii="Palatino Linotype" w:eastAsia="Palatino Linotype" w:hAnsi="Palatino Linotype" w:cs="Palatino Linotype"/>
                <w:b/>
                <w:sz w:val="18"/>
                <w:szCs w:val="18"/>
              </w:rPr>
            </w:pPr>
            <w:r w:rsidRPr="007D1EEA">
              <w:rPr>
                <w:rFonts w:ascii="Palatino Linotype" w:eastAsia="Palatino Linotype" w:hAnsi="Palatino Linotype" w:cs="Palatino Linotype"/>
                <w:b/>
                <w:sz w:val="18"/>
                <w:szCs w:val="18"/>
              </w:rPr>
              <w:t>No se precisa de manera motivada las razones por las que deben clasificarse los datos clasificados.</w:t>
            </w:r>
          </w:p>
        </w:tc>
        <w:tc>
          <w:tcPr>
            <w:tcW w:w="1499" w:type="dxa"/>
          </w:tcPr>
          <w:p w14:paraId="6B88FC13" w14:textId="77777777" w:rsidR="00023530" w:rsidRPr="007D1EEA" w:rsidRDefault="0013670A">
            <w:pPr>
              <w:spacing w:before="100" w:after="200" w:line="276" w:lineRule="auto"/>
              <w:jc w:val="center"/>
              <w:rPr>
                <w:rFonts w:ascii="Palatino Linotype" w:eastAsia="Palatino Linotype" w:hAnsi="Palatino Linotype" w:cs="Palatino Linotype"/>
                <w:b/>
                <w:sz w:val="20"/>
                <w:szCs w:val="20"/>
              </w:rPr>
            </w:pPr>
            <w:r w:rsidRPr="007D1EEA">
              <w:rPr>
                <w:rFonts w:ascii="Palatino Linotype" w:eastAsia="Palatino Linotype" w:hAnsi="Palatino Linotype" w:cs="Palatino Linotype"/>
                <w:b/>
                <w:sz w:val="20"/>
                <w:szCs w:val="20"/>
              </w:rPr>
              <w:t>No</w:t>
            </w:r>
          </w:p>
        </w:tc>
      </w:tr>
      <w:tr w:rsidR="00023530" w:rsidRPr="007D1EEA" w14:paraId="4D492DB4" w14:textId="77777777">
        <w:tc>
          <w:tcPr>
            <w:tcW w:w="1555" w:type="dxa"/>
            <w:gridSpan w:val="2"/>
            <w:shd w:val="clear" w:color="auto" w:fill="auto"/>
          </w:tcPr>
          <w:p w14:paraId="5EDEEBC3" w14:textId="77777777" w:rsidR="00023530" w:rsidRPr="007D1EEA" w:rsidRDefault="0013670A">
            <w:pPr>
              <w:spacing w:before="100" w:after="200" w:line="276" w:lineRule="auto"/>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18"/>
                <w:szCs w:val="18"/>
              </w:rPr>
              <w:t>Autoridades competentes.</w:t>
            </w:r>
          </w:p>
        </w:tc>
        <w:tc>
          <w:tcPr>
            <w:tcW w:w="6013" w:type="dxa"/>
            <w:shd w:val="clear" w:color="auto" w:fill="auto"/>
          </w:tcPr>
          <w:p w14:paraId="29078DC8" w14:textId="77777777" w:rsidR="00023530" w:rsidRPr="007D1EEA" w:rsidRDefault="0013670A">
            <w:pPr>
              <w:spacing w:before="100" w:after="200" w:line="276" w:lineRule="auto"/>
              <w:rPr>
                <w:rFonts w:ascii="Cambria" w:eastAsia="Cambria" w:hAnsi="Cambria" w:cs="Cambria"/>
              </w:rPr>
            </w:pPr>
            <w:r w:rsidRPr="007D1EEA">
              <w:rPr>
                <w:rFonts w:ascii="Cambria" w:eastAsia="Cambria" w:hAnsi="Cambria" w:cs="Cambria"/>
              </w:rPr>
              <w:t xml:space="preserve"> </w:t>
            </w:r>
            <w:r w:rsidRPr="007D1EEA">
              <w:rPr>
                <w:rFonts w:ascii="Cambria" w:eastAsia="Cambria" w:hAnsi="Cambria" w:cs="Cambria"/>
                <w:noProof/>
                <w:lang w:val="es-MX"/>
              </w:rPr>
              <w:drawing>
                <wp:inline distT="0" distB="0" distL="0" distR="0" wp14:anchorId="755D6FA3" wp14:editId="1C90B362">
                  <wp:extent cx="3681095" cy="2701925"/>
                  <wp:effectExtent l="0" t="0" r="0" b="0"/>
                  <wp:docPr id="326021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681095" cy="2701925"/>
                          </a:xfrm>
                          <a:prstGeom prst="rect">
                            <a:avLst/>
                          </a:prstGeom>
                          <a:ln/>
                        </pic:spPr>
                      </pic:pic>
                    </a:graphicData>
                  </a:graphic>
                </wp:inline>
              </w:drawing>
            </w:r>
          </w:p>
        </w:tc>
        <w:tc>
          <w:tcPr>
            <w:tcW w:w="1499" w:type="dxa"/>
            <w:shd w:val="clear" w:color="auto" w:fill="auto"/>
          </w:tcPr>
          <w:p w14:paraId="21D6ECDA" w14:textId="77777777" w:rsidR="00023530" w:rsidRPr="007D1EEA" w:rsidRDefault="0013670A">
            <w:pPr>
              <w:spacing w:before="100" w:after="200" w:line="276" w:lineRule="auto"/>
              <w:jc w:val="center"/>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18"/>
                <w:szCs w:val="18"/>
              </w:rPr>
              <w:t>Si</w:t>
            </w:r>
          </w:p>
        </w:tc>
      </w:tr>
    </w:tbl>
    <w:p w14:paraId="0B6B2950" w14:textId="77777777" w:rsidR="00023530" w:rsidRPr="007D1EEA" w:rsidRDefault="00023530">
      <w:pPr>
        <w:spacing w:line="360" w:lineRule="auto"/>
        <w:ind w:right="49"/>
        <w:jc w:val="both"/>
        <w:rPr>
          <w:rFonts w:ascii="Palatino Linotype" w:eastAsia="Palatino Linotype" w:hAnsi="Palatino Linotype" w:cs="Palatino Linotype"/>
        </w:rPr>
      </w:pPr>
    </w:p>
    <w:p w14:paraId="291C8A27" w14:textId="77777777" w:rsidR="00023530" w:rsidRPr="007D1EEA" w:rsidRDefault="0013670A">
      <w:pPr>
        <w:spacing w:line="360" w:lineRule="auto"/>
        <w:ind w:right="49"/>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sz w:val="22"/>
          <w:szCs w:val="22"/>
        </w:rPr>
        <w:lastRenderedPageBreak/>
        <w:t xml:space="preserve">De tal suerte que con lo anteriormente analizado se concluye que los acuerdos de clasificación remitidos en respuesta no cumplen con todas las formalidades previstas por la normatividad, pues </w:t>
      </w:r>
      <w:r w:rsidRPr="007D1EEA">
        <w:rPr>
          <w:rFonts w:ascii="Palatino Linotype" w:eastAsia="Palatino Linotype" w:hAnsi="Palatino Linotype" w:cs="Palatino Linotype"/>
          <w:b/>
          <w:sz w:val="22"/>
          <w:szCs w:val="22"/>
        </w:rPr>
        <w:t>si bien es cierto, hace referencia a la información solicitada,  obra la fundamentación en la que se expresa el artículo que le otorga la calidad de confidencial a la información solicitada,</w:t>
      </w:r>
      <w:r w:rsidRPr="007D1EEA">
        <w:rPr>
          <w:b/>
        </w:rPr>
        <w:t xml:space="preserve"> </w:t>
      </w:r>
      <w:r w:rsidRPr="007D1EEA">
        <w:rPr>
          <w:rFonts w:ascii="Palatino Linotype" w:eastAsia="Palatino Linotype" w:hAnsi="Palatino Linotype" w:cs="Palatino Linotype"/>
          <w:b/>
          <w:sz w:val="22"/>
          <w:szCs w:val="22"/>
        </w:rPr>
        <w:t>y cuenta con las firmas de los integrantes del Comité de Transparencia, no menos cierto es que no obra la motivación de la clasificación de los datos que pretende clasificar como confidenciales</w:t>
      </w:r>
    </w:p>
    <w:p w14:paraId="46ECB476" w14:textId="77777777" w:rsidR="00023530" w:rsidRPr="007D1EEA" w:rsidRDefault="0013670A">
      <w:pPr>
        <w:pBdr>
          <w:top w:val="nil"/>
          <w:left w:val="nil"/>
          <w:bottom w:val="nil"/>
          <w:right w:val="nil"/>
          <w:between w:val="nil"/>
        </w:pBdr>
        <w:spacing w:before="240" w:after="240" w:line="360" w:lineRule="auto"/>
        <w:jc w:val="both"/>
        <w:rPr>
          <w:sz w:val="22"/>
          <w:szCs w:val="22"/>
        </w:rPr>
      </w:pPr>
      <w:r w:rsidRPr="007D1EEA">
        <w:rPr>
          <w:rFonts w:ascii="Palatino Linotype" w:eastAsia="Palatino Linotype" w:hAnsi="Palatino Linotype" w:cs="Palatino Linotype"/>
          <w:sz w:val="22"/>
          <w:szCs w:val="22"/>
        </w:rPr>
        <w:t xml:space="preserve">En este orden de ideas, se destaca que el Acuerdo de Clasificación de Información, se emite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7D1EEA">
        <w:rPr>
          <w:rFonts w:ascii="Palatino Linotype" w:eastAsia="Palatino Linotype" w:hAnsi="Palatino Linotype" w:cs="Palatino Linotype"/>
          <w:b/>
          <w:sz w:val="22"/>
          <w:szCs w:val="22"/>
          <w:u w:val="single"/>
        </w:rPr>
        <w:t>razones, motivos o circunstancias especiales</w:t>
      </w:r>
      <w:r w:rsidRPr="007D1EEA">
        <w:rPr>
          <w:rFonts w:ascii="Palatino Linotype" w:eastAsia="Palatino Linotype" w:hAnsi="Palatino Linotype" w:cs="Palatino Linotype"/>
          <w:sz w:val="22"/>
          <w:szCs w:val="22"/>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w:t>
      </w:r>
      <w:r w:rsidRPr="007D1EEA">
        <w:rPr>
          <w:rFonts w:ascii="Palatino Linotype" w:eastAsia="Palatino Linotype" w:hAnsi="Palatino Linotype" w:cs="Palatino Linotype"/>
          <w:sz w:val="22"/>
          <w:szCs w:val="22"/>
        </w:rPr>
        <w:lastRenderedPageBreak/>
        <w:t>supondría la divulgación supera el interés público general de que se difunda, y que la limitación sea adecuada al principio de proporcionalidad y representa el medio menos restrictivo disponible para evitar el perjuicio.</w:t>
      </w:r>
    </w:p>
    <w:p w14:paraId="01D3F8D9" w14:textId="77777777" w:rsidR="00023530" w:rsidRPr="007D1EEA" w:rsidRDefault="0013670A">
      <w:pPr>
        <w:pBdr>
          <w:top w:val="nil"/>
          <w:left w:val="nil"/>
          <w:bottom w:val="nil"/>
          <w:right w:val="nil"/>
          <w:between w:val="nil"/>
        </w:pBdr>
        <w:spacing w:after="240" w:line="360" w:lineRule="auto"/>
        <w:jc w:val="both"/>
        <w:rPr>
          <w:sz w:val="22"/>
          <w:szCs w:val="22"/>
        </w:rPr>
      </w:pPr>
      <w:r w:rsidRPr="007D1EEA">
        <w:rPr>
          <w:rFonts w:ascii="Palatino Linotype" w:eastAsia="Palatino Linotype" w:hAnsi="Palatino Linotype" w:cs="Palatino Linotype"/>
          <w:sz w:val="22"/>
          <w:szCs w:val="22"/>
        </w:rPr>
        <w:t xml:space="preserve">Por lo anterior, se insiste que al no advertir que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hubiese expresado las consideraciones por las que se debe clasificar la información es que se deduce que el actuar del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carece de fundamentación, consistentes en la obligación que tiene todo ente público de expresar los preceptos jurídicos aplicables al asunto motivo del acto y las razones o argumentos de su actuar.</w:t>
      </w:r>
    </w:p>
    <w:p w14:paraId="3BFE587A" w14:textId="77777777" w:rsidR="00023530" w:rsidRPr="007D1EEA" w:rsidRDefault="0013670A">
      <w:pPr>
        <w:pBdr>
          <w:top w:val="nil"/>
          <w:left w:val="nil"/>
          <w:bottom w:val="nil"/>
          <w:right w:val="nil"/>
          <w:between w:val="nil"/>
        </w:pBdr>
        <w:spacing w:line="360" w:lineRule="auto"/>
        <w:jc w:val="both"/>
        <w:rPr>
          <w:sz w:val="22"/>
          <w:szCs w:val="22"/>
        </w:rPr>
      </w:pPr>
      <w:r w:rsidRPr="007D1EEA">
        <w:rPr>
          <w:rFonts w:ascii="Palatino Linotype" w:eastAsia="Palatino Linotype" w:hAnsi="Palatino Linotype" w:cs="Palatino Linotype"/>
          <w:sz w:val="22"/>
          <w:szCs w:val="22"/>
        </w:rPr>
        <w:t>Al respecto, el máximo tribunal del país ha establecido jurisprudencia respecto a qué debe entenderse por fundamentación y motivación, en los siguientes términos:</w:t>
      </w:r>
    </w:p>
    <w:p w14:paraId="27950A47" w14:textId="77777777" w:rsidR="00023530" w:rsidRPr="007D1EEA" w:rsidRDefault="00023530">
      <w:pPr>
        <w:spacing w:line="360" w:lineRule="auto"/>
        <w:rPr>
          <w:sz w:val="22"/>
          <w:szCs w:val="22"/>
        </w:rPr>
      </w:pPr>
    </w:p>
    <w:p w14:paraId="1BB81AFD" w14:textId="77777777" w:rsidR="00023530" w:rsidRPr="007D1EEA" w:rsidRDefault="0013670A">
      <w:pPr>
        <w:pBdr>
          <w:top w:val="nil"/>
          <w:left w:val="nil"/>
          <w:bottom w:val="nil"/>
          <w:right w:val="nil"/>
          <w:between w:val="nil"/>
        </w:pBdr>
        <w:ind w:left="851" w:right="850"/>
        <w:jc w:val="both"/>
      </w:pPr>
      <w:r w:rsidRPr="007D1EEA">
        <w:rPr>
          <w:rFonts w:ascii="Palatino Linotype" w:eastAsia="Palatino Linotype" w:hAnsi="Palatino Linotype" w:cs="Palatino Linotype"/>
          <w:b/>
          <w:i/>
          <w:sz w:val="22"/>
          <w:szCs w:val="22"/>
        </w:rPr>
        <w:t xml:space="preserve">“FUNDAMENTACION Y MOTIVACION. </w:t>
      </w:r>
      <w:r w:rsidRPr="007D1EEA">
        <w:rPr>
          <w:rFonts w:ascii="Palatino Linotype" w:eastAsia="Palatino Linotype" w:hAnsi="Palatino Linotype" w:cs="Palatino Linotype"/>
          <w:i/>
          <w:sz w:val="22"/>
          <w:szCs w:val="22"/>
        </w:rPr>
        <w:t xml:space="preserve">La </w:t>
      </w:r>
      <w:r w:rsidRPr="007D1EEA">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D1EEA">
        <w:rPr>
          <w:rFonts w:ascii="Palatino Linotype" w:eastAsia="Palatino Linotype" w:hAnsi="Palatino Linotype" w:cs="Palatino Linotype"/>
          <w:i/>
          <w:sz w:val="22"/>
          <w:szCs w:val="22"/>
        </w:rPr>
        <w:t>.</w:t>
      </w:r>
    </w:p>
    <w:p w14:paraId="00F0238C" w14:textId="77777777" w:rsidR="00023530" w:rsidRPr="007D1EEA" w:rsidRDefault="0013670A">
      <w:pPr>
        <w:pBdr>
          <w:top w:val="nil"/>
          <w:left w:val="nil"/>
          <w:bottom w:val="nil"/>
          <w:right w:val="nil"/>
          <w:between w:val="nil"/>
        </w:pBdr>
        <w:ind w:left="851" w:right="850"/>
        <w:jc w:val="both"/>
      </w:pPr>
      <w:r w:rsidRPr="007D1EEA">
        <w:rPr>
          <w:rFonts w:ascii="Palatino Linotype" w:eastAsia="Palatino Linotype" w:hAnsi="Palatino Linotype" w:cs="Palatino Linotype"/>
          <w:b/>
          <w:i/>
          <w:sz w:val="22"/>
          <w:szCs w:val="22"/>
        </w:rPr>
        <w:t>…” (Énfasis añadido)</w:t>
      </w:r>
    </w:p>
    <w:p w14:paraId="179057DA" w14:textId="77777777" w:rsidR="00023530" w:rsidRPr="007D1EEA" w:rsidRDefault="00023530"/>
    <w:p w14:paraId="1786FD32" w14:textId="77777777" w:rsidR="00023530" w:rsidRPr="007D1EEA" w:rsidRDefault="0013670A">
      <w:pPr>
        <w:pBdr>
          <w:top w:val="nil"/>
          <w:left w:val="nil"/>
          <w:bottom w:val="nil"/>
          <w:right w:val="nil"/>
          <w:between w:val="nil"/>
        </w:pBdr>
        <w:spacing w:line="360" w:lineRule="auto"/>
        <w:jc w:val="both"/>
        <w:rPr>
          <w:sz w:val="22"/>
          <w:szCs w:val="22"/>
        </w:rPr>
      </w:pPr>
      <w:r w:rsidRPr="007D1EEA">
        <w:rPr>
          <w:rFonts w:ascii="Palatino Linotype" w:eastAsia="Palatino Linotype" w:hAnsi="Palatino Linotype" w:cs="Palatino Linotype"/>
          <w:sz w:val="22"/>
          <w:szCs w:val="22"/>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0AC3295" w14:textId="77777777" w:rsidR="00023530" w:rsidRPr="007D1EEA" w:rsidRDefault="00023530"/>
    <w:p w14:paraId="591D3DEE" w14:textId="77777777" w:rsidR="00023530" w:rsidRPr="007D1EEA" w:rsidRDefault="0013670A">
      <w:pPr>
        <w:pBdr>
          <w:top w:val="nil"/>
          <w:left w:val="nil"/>
          <w:bottom w:val="nil"/>
          <w:right w:val="nil"/>
          <w:between w:val="nil"/>
        </w:pBdr>
        <w:spacing w:line="360" w:lineRule="auto"/>
        <w:jc w:val="both"/>
        <w:rPr>
          <w:sz w:val="22"/>
          <w:szCs w:val="22"/>
        </w:rPr>
      </w:pPr>
      <w:r w:rsidRPr="007D1EEA">
        <w:rPr>
          <w:rFonts w:ascii="Palatino Linotype" w:eastAsia="Palatino Linotype" w:hAnsi="Palatino Linotype" w:cs="Palatino Linotype"/>
          <w:sz w:val="22"/>
          <w:szCs w:val="22"/>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1DDB3B5" w14:textId="77777777" w:rsidR="00023530" w:rsidRPr="007D1EEA" w:rsidRDefault="00023530"/>
    <w:p w14:paraId="4143F9A0" w14:textId="77777777" w:rsidR="00023530" w:rsidRPr="007D1EEA" w:rsidRDefault="0013670A">
      <w:pPr>
        <w:pBdr>
          <w:top w:val="nil"/>
          <w:left w:val="nil"/>
          <w:bottom w:val="nil"/>
          <w:right w:val="nil"/>
          <w:between w:val="nil"/>
        </w:pBdr>
        <w:ind w:left="851" w:right="899"/>
        <w:jc w:val="both"/>
      </w:pPr>
      <w:r w:rsidRPr="007D1EEA">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7D1EEA">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7D1EEA">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D1EEA">
        <w:rPr>
          <w:rFonts w:ascii="Palatino Linotype" w:eastAsia="Palatino Linotype" w:hAnsi="Palatino Linotype" w:cs="Palatino Linotype"/>
          <w:i/>
          <w:sz w:val="22"/>
          <w:szCs w:val="22"/>
        </w:rPr>
        <w:t xml:space="preserve">. Por tanto, </w:t>
      </w:r>
      <w:r w:rsidRPr="007D1EEA">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7D1EEA">
        <w:rPr>
          <w:rFonts w:ascii="Palatino Linotype" w:eastAsia="Palatino Linotype" w:hAnsi="Palatino Linotype" w:cs="Palatino Linotype"/>
          <w:i/>
          <w:sz w:val="22"/>
          <w:szCs w:val="22"/>
        </w:rPr>
        <w:t>, que impida la finalidad del conocimiento, comprobación y defensa pertinente</w:t>
      </w:r>
      <w:r w:rsidRPr="007D1EEA">
        <w:rPr>
          <w:rFonts w:ascii="Palatino Linotype" w:eastAsia="Palatino Linotype" w:hAnsi="Palatino Linotype" w:cs="Palatino Linotype"/>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w:t>
      </w:r>
      <w:proofErr w:type="spellStart"/>
      <w:r w:rsidRPr="007D1EEA">
        <w:rPr>
          <w:rFonts w:ascii="Palatino Linotype" w:eastAsia="Palatino Linotype" w:hAnsi="Palatino Linotype" w:cs="Palatino Linotype"/>
          <w:b/>
          <w:i/>
          <w:sz w:val="22"/>
          <w:szCs w:val="22"/>
          <w:u w:val="single"/>
        </w:rPr>
        <w:t>subsunción</w:t>
      </w:r>
      <w:r w:rsidRPr="007D1EEA">
        <w:rPr>
          <w:rFonts w:ascii="Palatino Linotype" w:eastAsia="Palatino Linotype" w:hAnsi="Palatino Linotype" w:cs="Palatino Linotype"/>
          <w:i/>
          <w:sz w:val="22"/>
          <w:szCs w:val="22"/>
        </w:rPr>
        <w:t>.”Énfasis</w:t>
      </w:r>
      <w:proofErr w:type="spellEnd"/>
      <w:r w:rsidRPr="007D1EEA">
        <w:rPr>
          <w:rFonts w:ascii="Palatino Linotype" w:eastAsia="Palatino Linotype" w:hAnsi="Palatino Linotype" w:cs="Palatino Linotype"/>
          <w:i/>
          <w:sz w:val="22"/>
          <w:szCs w:val="22"/>
        </w:rPr>
        <w:t xml:space="preserve"> añadido.</w:t>
      </w:r>
    </w:p>
    <w:p w14:paraId="67CC44EA" w14:textId="77777777" w:rsidR="00023530" w:rsidRPr="007D1EEA" w:rsidRDefault="00023530"/>
    <w:p w14:paraId="227CC463" w14:textId="77777777" w:rsidR="00023530" w:rsidRPr="007D1EEA" w:rsidRDefault="0013670A">
      <w:pPr>
        <w:pBdr>
          <w:top w:val="nil"/>
          <w:left w:val="nil"/>
          <w:bottom w:val="nil"/>
          <w:right w:val="nil"/>
          <w:between w:val="nil"/>
        </w:pBdr>
        <w:spacing w:before="240" w:after="240" w:line="360" w:lineRule="auto"/>
        <w:jc w:val="both"/>
        <w:rPr>
          <w:sz w:val="22"/>
          <w:szCs w:val="22"/>
        </w:rPr>
      </w:pPr>
      <w:r w:rsidRPr="007D1EEA">
        <w:rPr>
          <w:rFonts w:ascii="Palatino Linotype" w:eastAsia="Palatino Linotype" w:hAnsi="Palatino Linotype" w:cs="Palatino Linotype"/>
          <w:sz w:val="22"/>
          <w:szCs w:val="22"/>
        </w:rPr>
        <w:lastRenderedPageBreak/>
        <w:t xml:space="preserve">En consecuencia, la fundamentación y motivación implica </w:t>
      </w:r>
      <w:proofErr w:type="gramStart"/>
      <w:r w:rsidRPr="007D1EEA">
        <w:rPr>
          <w:rFonts w:ascii="Palatino Linotype" w:eastAsia="Palatino Linotype" w:hAnsi="Palatino Linotype" w:cs="Palatino Linotype"/>
          <w:sz w:val="22"/>
          <w:szCs w:val="22"/>
        </w:rPr>
        <w:t>que</w:t>
      </w:r>
      <w:proofErr w:type="gramEnd"/>
      <w:r w:rsidRPr="007D1EEA">
        <w:rPr>
          <w:rFonts w:ascii="Palatino Linotype" w:eastAsia="Palatino Linotype" w:hAnsi="Palatino Linotype" w:cs="Palatino Linotype"/>
          <w:sz w:val="22"/>
          <w:szCs w:val="22"/>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2786DBB7" w14:textId="77777777" w:rsidR="00023530" w:rsidRPr="007D1EEA" w:rsidRDefault="0013670A">
      <w:pPr>
        <w:pBdr>
          <w:top w:val="nil"/>
          <w:left w:val="nil"/>
          <w:bottom w:val="nil"/>
          <w:right w:val="nil"/>
          <w:between w:val="nil"/>
        </w:pBdr>
        <w:shd w:val="clear" w:color="auto" w:fill="FFFFFF"/>
        <w:spacing w:line="360" w:lineRule="auto"/>
        <w:jc w:val="both"/>
        <w:rPr>
          <w:sz w:val="22"/>
          <w:szCs w:val="22"/>
        </w:rPr>
      </w:pPr>
      <w:r w:rsidRPr="007D1EEA">
        <w:rPr>
          <w:rFonts w:ascii="Palatino Linotype" w:eastAsia="Palatino Linotype" w:hAnsi="Palatino Linotype" w:cs="Palatino Linotype"/>
          <w:sz w:val="22"/>
          <w:szCs w:val="22"/>
        </w:rPr>
        <w:t xml:space="preserve">Aunado a ello no se debe perder de vista que la clasificación es el proceso mediante el cual el sujeto obligado determina que la información en su poder </w:t>
      </w:r>
      <w:proofErr w:type="spellStart"/>
      <w:r w:rsidRPr="007D1EEA">
        <w:rPr>
          <w:rFonts w:ascii="Palatino Linotype" w:eastAsia="Palatino Linotype" w:hAnsi="Palatino Linotype" w:cs="Palatino Linotype"/>
          <w:sz w:val="22"/>
          <w:szCs w:val="22"/>
        </w:rPr>
        <w:t>actualiza</w:t>
      </w:r>
      <w:proofErr w:type="spellEnd"/>
      <w:r w:rsidRPr="007D1EEA">
        <w:rPr>
          <w:rFonts w:ascii="Palatino Linotype" w:eastAsia="Palatino Linotype" w:hAnsi="Palatino Linotype" w:cs="Palatino Linotype"/>
          <w:sz w:val="22"/>
          <w:szCs w:val="22"/>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7BA7B579" w14:textId="77777777" w:rsidR="00023530" w:rsidRPr="007D1EEA" w:rsidRDefault="00023530">
      <w:pPr>
        <w:pBdr>
          <w:top w:val="nil"/>
          <w:left w:val="nil"/>
          <w:bottom w:val="nil"/>
          <w:right w:val="nil"/>
          <w:between w:val="nil"/>
        </w:pBdr>
        <w:shd w:val="clear" w:color="auto" w:fill="FFFFFF"/>
        <w:jc w:val="both"/>
      </w:pPr>
    </w:p>
    <w:p w14:paraId="6BE9D36C" w14:textId="77777777" w:rsidR="00023530" w:rsidRPr="007D1EEA" w:rsidRDefault="0013670A">
      <w:pPr>
        <w:pBdr>
          <w:top w:val="nil"/>
          <w:left w:val="nil"/>
          <w:bottom w:val="nil"/>
          <w:right w:val="nil"/>
          <w:between w:val="nil"/>
        </w:pBdr>
        <w:shd w:val="clear" w:color="auto" w:fill="FFFFFF"/>
        <w:ind w:left="851" w:right="851"/>
        <w:jc w:val="both"/>
      </w:pPr>
      <w:r w:rsidRPr="007D1EEA">
        <w:rPr>
          <w:rFonts w:ascii="Palatino Linotype" w:eastAsia="Palatino Linotype" w:hAnsi="Palatino Linotype" w:cs="Palatino Linotype"/>
          <w:b/>
          <w:i/>
          <w:sz w:val="22"/>
          <w:szCs w:val="22"/>
        </w:rPr>
        <w:t>Artículo 131.</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7D1EEA">
        <w:rPr>
          <w:rFonts w:ascii="Palatino Linotype" w:eastAsia="Palatino Linotype" w:hAnsi="Palatino Linotype" w:cs="Palatino Linotype"/>
          <w:i/>
          <w:sz w:val="22"/>
          <w:szCs w:val="22"/>
        </w:rPr>
        <w:t xml:space="preserve"> previstos en esta Ley </w:t>
      </w:r>
      <w:r w:rsidRPr="007D1EEA">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7D1EEA">
        <w:rPr>
          <w:rFonts w:ascii="Palatino Linotype" w:eastAsia="Palatino Linotype" w:hAnsi="Palatino Linotype" w:cs="Palatino Linotype"/>
          <w:i/>
          <w:sz w:val="22"/>
          <w:szCs w:val="22"/>
        </w:rPr>
        <w:t>, de conformidad con lo previsto en la presente Ley.</w:t>
      </w:r>
    </w:p>
    <w:p w14:paraId="0460C8CE" w14:textId="77777777" w:rsidR="00023530" w:rsidRPr="007D1EEA" w:rsidRDefault="00023530">
      <w:pPr>
        <w:pBdr>
          <w:top w:val="nil"/>
          <w:left w:val="nil"/>
          <w:bottom w:val="nil"/>
          <w:right w:val="nil"/>
          <w:between w:val="nil"/>
        </w:pBdr>
        <w:shd w:val="clear" w:color="auto" w:fill="FFFFFF"/>
        <w:ind w:left="851" w:right="851"/>
        <w:jc w:val="both"/>
      </w:pPr>
    </w:p>
    <w:p w14:paraId="10042FFA" w14:textId="77777777" w:rsidR="00023530" w:rsidRPr="007D1EEA" w:rsidRDefault="0013670A">
      <w:pPr>
        <w:pBdr>
          <w:top w:val="nil"/>
          <w:left w:val="nil"/>
          <w:bottom w:val="nil"/>
          <w:right w:val="nil"/>
          <w:between w:val="nil"/>
        </w:pBdr>
        <w:shd w:val="clear" w:color="auto" w:fill="FFFFFF"/>
        <w:ind w:left="851" w:right="851"/>
        <w:jc w:val="both"/>
      </w:pPr>
      <w:r w:rsidRPr="007D1EEA">
        <w:rPr>
          <w:rFonts w:ascii="Palatino Linotype" w:eastAsia="Palatino Linotype" w:hAnsi="Palatino Linotype" w:cs="Palatino Linotype"/>
          <w:b/>
          <w:i/>
          <w:sz w:val="22"/>
          <w:szCs w:val="22"/>
        </w:rPr>
        <w:t>Artículo 132.</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b/>
          <w:i/>
          <w:sz w:val="22"/>
          <w:szCs w:val="22"/>
          <w:u w:val="single"/>
        </w:rPr>
        <w:t>La clasificación de la información se llevará a cabo</w:t>
      </w:r>
      <w:r w:rsidRPr="007D1EEA">
        <w:rPr>
          <w:rFonts w:ascii="Palatino Linotype" w:eastAsia="Palatino Linotype" w:hAnsi="Palatino Linotype" w:cs="Palatino Linotype"/>
          <w:i/>
          <w:sz w:val="22"/>
          <w:szCs w:val="22"/>
        </w:rPr>
        <w:t xml:space="preserve"> en el momento en que:</w:t>
      </w:r>
    </w:p>
    <w:p w14:paraId="0BB13296" w14:textId="77777777" w:rsidR="00023530" w:rsidRPr="007D1EEA" w:rsidRDefault="0013670A">
      <w:pPr>
        <w:pBdr>
          <w:top w:val="nil"/>
          <w:left w:val="nil"/>
          <w:bottom w:val="nil"/>
          <w:right w:val="nil"/>
          <w:between w:val="nil"/>
        </w:pBdr>
        <w:shd w:val="clear" w:color="auto" w:fill="FFFFFF"/>
        <w:ind w:left="851" w:right="851"/>
        <w:jc w:val="both"/>
      </w:pPr>
      <w:r w:rsidRPr="007D1EEA">
        <w:rPr>
          <w:rFonts w:ascii="Palatino Linotype" w:eastAsia="Palatino Linotype" w:hAnsi="Palatino Linotype" w:cs="Palatino Linotype"/>
          <w:b/>
          <w:i/>
          <w:sz w:val="22"/>
          <w:szCs w:val="22"/>
        </w:rPr>
        <w:t>I.</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b/>
          <w:i/>
          <w:sz w:val="22"/>
          <w:szCs w:val="22"/>
          <w:u w:val="single"/>
        </w:rPr>
        <w:t>Se reciba una solicitud de acceso a la información</w:t>
      </w:r>
      <w:r w:rsidRPr="007D1EEA">
        <w:rPr>
          <w:rFonts w:ascii="Palatino Linotype" w:eastAsia="Palatino Linotype" w:hAnsi="Palatino Linotype" w:cs="Palatino Linotype"/>
          <w:i/>
          <w:sz w:val="22"/>
          <w:szCs w:val="22"/>
        </w:rPr>
        <w:t>;</w:t>
      </w:r>
    </w:p>
    <w:p w14:paraId="27EE50C7" w14:textId="77777777" w:rsidR="00023530" w:rsidRPr="007D1EEA" w:rsidRDefault="0013670A">
      <w:pPr>
        <w:pBdr>
          <w:top w:val="nil"/>
          <w:left w:val="nil"/>
          <w:bottom w:val="nil"/>
          <w:right w:val="nil"/>
          <w:between w:val="nil"/>
        </w:pBdr>
        <w:shd w:val="clear" w:color="auto" w:fill="FFFFFF"/>
        <w:ind w:left="851" w:right="851"/>
        <w:jc w:val="both"/>
      </w:pPr>
      <w:r w:rsidRPr="007D1EEA">
        <w:rPr>
          <w:rFonts w:ascii="Palatino Linotype" w:eastAsia="Palatino Linotype" w:hAnsi="Palatino Linotype" w:cs="Palatino Linotype"/>
          <w:b/>
          <w:i/>
          <w:sz w:val="22"/>
          <w:szCs w:val="22"/>
        </w:rPr>
        <w:t>II.</w:t>
      </w:r>
      <w:r w:rsidRPr="007D1EEA">
        <w:rPr>
          <w:rFonts w:ascii="Palatino Linotype" w:eastAsia="Palatino Linotype" w:hAnsi="Palatino Linotype" w:cs="Palatino Linotype"/>
          <w:i/>
          <w:sz w:val="22"/>
          <w:szCs w:val="22"/>
        </w:rPr>
        <w:t xml:space="preserve"> Se determine mediante resolución de autoridad competente; o</w:t>
      </w:r>
    </w:p>
    <w:p w14:paraId="7C9DA32D" w14:textId="77777777" w:rsidR="00023530" w:rsidRPr="007D1EEA" w:rsidRDefault="0013670A">
      <w:pPr>
        <w:pBdr>
          <w:top w:val="nil"/>
          <w:left w:val="nil"/>
          <w:bottom w:val="nil"/>
          <w:right w:val="nil"/>
          <w:between w:val="nil"/>
        </w:pBdr>
        <w:shd w:val="clear" w:color="auto" w:fill="FFFFFF"/>
        <w:ind w:left="851" w:right="851"/>
        <w:jc w:val="both"/>
      </w:pPr>
      <w:r w:rsidRPr="007D1EEA">
        <w:rPr>
          <w:rFonts w:ascii="Palatino Linotype" w:eastAsia="Palatino Linotype" w:hAnsi="Palatino Linotype" w:cs="Palatino Linotype"/>
          <w:b/>
          <w:i/>
          <w:sz w:val="22"/>
          <w:szCs w:val="22"/>
        </w:rPr>
        <w:t>III.</w:t>
      </w:r>
      <w:r w:rsidRPr="007D1EEA">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68A0117" w14:textId="77777777" w:rsidR="00023530" w:rsidRPr="007D1EEA" w:rsidRDefault="00023530">
      <w:pPr>
        <w:pBdr>
          <w:top w:val="nil"/>
          <w:left w:val="nil"/>
          <w:bottom w:val="nil"/>
          <w:right w:val="nil"/>
          <w:between w:val="nil"/>
        </w:pBdr>
        <w:shd w:val="clear" w:color="auto" w:fill="FFFFFF"/>
        <w:ind w:left="851" w:right="851"/>
        <w:jc w:val="both"/>
      </w:pPr>
    </w:p>
    <w:p w14:paraId="3758A00E" w14:textId="77777777" w:rsidR="00023530" w:rsidRPr="007D1EEA" w:rsidRDefault="0013670A">
      <w:pPr>
        <w:pBdr>
          <w:top w:val="nil"/>
          <w:left w:val="nil"/>
          <w:bottom w:val="nil"/>
          <w:right w:val="nil"/>
          <w:between w:val="nil"/>
        </w:pBdr>
        <w:shd w:val="clear" w:color="auto" w:fill="FFFFFF"/>
        <w:ind w:left="851" w:right="851"/>
        <w:jc w:val="both"/>
      </w:pPr>
      <w:r w:rsidRPr="007D1EEA">
        <w:rPr>
          <w:rFonts w:ascii="Palatino Linotype" w:eastAsia="Palatino Linotype" w:hAnsi="Palatino Linotype" w:cs="Palatino Linotype"/>
          <w:i/>
          <w:sz w:val="22"/>
          <w:szCs w:val="22"/>
        </w:rPr>
        <w:lastRenderedPageBreak/>
        <w:t>Tratándose de información reservada, los titulares de las áreas deberán revisar la clasificación al momento de la recepción de una solicitud, para verificar si subsisten las causas que le dieron origen.</w:t>
      </w:r>
    </w:p>
    <w:p w14:paraId="5E01049D" w14:textId="77777777" w:rsidR="00023530" w:rsidRPr="007D1EEA" w:rsidRDefault="00023530">
      <w:pPr>
        <w:pBdr>
          <w:top w:val="nil"/>
          <w:left w:val="nil"/>
          <w:bottom w:val="nil"/>
          <w:right w:val="nil"/>
          <w:between w:val="nil"/>
        </w:pBdr>
        <w:shd w:val="clear" w:color="auto" w:fill="FFFFFF"/>
        <w:ind w:left="851" w:right="851"/>
        <w:jc w:val="both"/>
      </w:pPr>
    </w:p>
    <w:p w14:paraId="681AD878" w14:textId="77777777" w:rsidR="00023530" w:rsidRPr="007D1EEA" w:rsidRDefault="0013670A">
      <w:pPr>
        <w:pBdr>
          <w:top w:val="nil"/>
          <w:left w:val="nil"/>
          <w:bottom w:val="nil"/>
          <w:right w:val="nil"/>
          <w:between w:val="nil"/>
        </w:pBdr>
        <w:ind w:left="851" w:right="851"/>
        <w:jc w:val="both"/>
      </w:pPr>
      <w:r w:rsidRPr="007D1EEA">
        <w:rPr>
          <w:rFonts w:ascii="Palatino Linotype" w:eastAsia="Palatino Linotype" w:hAnsi="Palatino Linotype" w:cs="Palatino Linotype"/>
          <w:b/>
          <w:i/>
          <w:sz w:val="22"/>
          <w:szCs w:val="22"/>
        </w:rPr>
        <w:t>Artículo 134.</w:t>
      </w:r>
      <w:r w:rsidRPr="007D1EEA">
        <w:rPr>
          <w:rFonts w:ascii="Palatino Linotype" w:eastAsia="Palatino Linotype" w:hAnsi="Palatino Linotype" w:cs="Palatino Linotype"/>
          <w:i/>
          <w:sz w:val="22"/>
          <w:szCs w:val="22"/>
        </w:rPr>
        <w:t xml:space="preserve"> </w:t>
      </w:r>
      <w:r w:rsidRPr="007D1EEA">
        <w:rPr>
          <w:rFonts w:ascii="Palatino Linotype" w:eastAsia="Palatino Linotype" w:hAnsi="Palatino Linotype" w:cs="Palatino Linotype"/>
          <w:b/>
          <w:i/>
          <w:sz w:val="22"/>
          <w:szCs w:val="22"/>
          <w:u w:val="single"/>
        </w:rPr>
        <w:t>Los sujetos obligados no podrán emitir acuerdos de carácter general</w:t>
      </w:r>
      <w:r w:rsidRPr="007D1EEA">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68EF60D6" w14:textId="77777777" w:rsidR="00023530" w:rsidRPr="007D1EEA" w:rsidRDefault="00023530"/>
    <w:p w14:paraId="4262EB80" w14:textId="77777777" w:rsidR="00023530" w:rsidRPr="007D1EEA" w:rsidRDefault="0013670A">
      <w:pPr>
        <w:pBdr>
          <w:top w:val="nil"/>
          <w:left w:val="nil"/>
          <w:bottom w:val="nil"/>
          <w:right w:val="nil"/>
          <w:between w:val="nil"/>
        </w:pBdr>
        <w:ind w:left="851" w:right="851"/>
        <w:jc w:val="both"/>
      </w:pPr>
      <w:r w:rsidRPr="007D1EEA">
        <w:rPr>
          <w:rFonts w:ascii="Palatino Linotype" w:eastAsia="Palatino Linotype" w:hAnsi="Palatino Linotype" w:cs="Palatino Linotype"/>
          <w:b/>
          <w:i/>
          <w:sz w:val="22"/>
          <w:szCs w:val="22"/>
          <w:u w:val="single"/>
        </w:rPr>
        <w:t>En ningún caso se podrán clasificar documentos antes de que se genere la información</w:t>
      </w:r>
      <w:r w:rsidRPr="007D1EEA">
        <w:rPr>
          <w:rFonts w:ascii="Palatino Linotype" w:eastAsia="Palatino Linotype" w:hAnsi="Palatino Linotype" w:cs="Palatino Linotype"/>
          <w:i/>
          <w:sz w:val="22"/>
          <w:szCs w:val="22"/>
        </w:rPr>
        <w:t>.</w:t>
      </w:r>
    </w:p>
    <w:p w14:paraId="67F16DB5" w14:textId="77777777" w:rsidR="00023530" w:rsidRPr="007D1EEA" w:rsidRDefault="00023530"/>
    <w:p w14:paraId="340A9B49" w14:textId="77777777" w:rsidR="00023530" w:rsidRPr="007D1EEA" w:rsidRDefault="0013670A">
      <w:pPr>
        <w:pBdr>
          <w:top w:val="nil"/>
          <w:left w:val="nil"/>
          <w:bottom w:val="nil"/>
          <w:right w:val="nil"/>
          <w:between w:val="nil"/>
        </w:pBdr>
        <w:ind w:left="851" w:right="851"/>
        <w:jc w:val="both"/>
      </w:pPr>
      <w:r w:rsidRPr="007D1EEA">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15F413E4" w14:textId="77777777" w:rsidR="00023530" w:rsidRPr="007D1EEA" w:rsidRDefault="00023530"/>
    <w:p w14:paraId="4FABD989" w14:textId="77777777" w:rsidR="00023530" w:rsidRPr="007D1EEA" w:rsidRDefault="0013670A">
      <w:pPr>
        <w:pBdr>
          <w:top w:val="nil"/>
          <w:left w:val="nil"/>
          <w:bottom w:val="nil"/>
          <w:right w:val="nil"/>
          <w:between w:val="nil"/>
        </w:pBdr>
        <w:ind w:left="851" w:right="851"/>
        <w:jc w:val="both"/>
      </w:pPr>
      <w:r w:rsidRPr="007D1EEA">
        <w:rPr>
          <w:rFonts w:ascii="Palatino Linotype" w:eastAsia="Palatino Linotype" w:hAnsi="Palatino Linotype" w:cs="Palatino Linotype"/>
          <w:b/>
          <w:i/>
          <w:sz w:val="22"/>
          <w:szCs w:val="22"/>
        </w:rPr>
        <w:t>Artículo 135.</w:t>
      </w:r>
      <w:r w:rsidRPr="007D1EEA">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0EC53018" w14:textId="77777777" w:rsidR="00023530" w:rsidRPr="007D1EEA" w:rsidRDefault="00023530"/>
    <w:p w14:paraId="3DD2BB98" w14:textId="77777777" w:rsidR="00023530" w:rsidRPr="007D1EEA" w:rsidRDefault="0013670A">
      <w:pPr>
        <w:pBdr>
          <w:top w:val="nil"/>
          <w:left w:val="nil"/>
          <w:bottom w:val="nil"/>
          <w:right w:val="nil"/>
          <w:between w:val="nil"/>
        </w:pBdr>
        <w:ind w:left="851" w:right="851"/>
        <w:jc w:val="both"/>
      </w:pPr>
      <w:r w:rsidRPr="007D1EEA">
        <w:rPr>
          <w:rFonts w:ascii="Palatino Linotype" w:eastAsia="Palatino Linotype" w:hAnsi="Palatino Linotype" w:cs="Palatino Linotype"/>
          <w:i/>
          <w:sz w:val="22"/>
          <w:szCs w:val="22"/>
        </w:rPr>
        <w:t>(Énfasis añadido)</w:t>
      </w:r>
    </w:p>
    <w:p w14:paraId="58739CDF" w14:textId="77777777" w:rsidR="00023530" w:rsidRPr="007D1EEA" w:rsidRDefault="00023530"/>
    <w:p w14:paraId="6655EB01" w14:textId="77777777" w:rsidR="00023530" w:rsidRPr="007D1EEA" w:rsidRDefault="0013670A">
      <w:pPr>
        <w:pBdr>
          <w:top w:val="nil"/>
          <w:left w:val="nil"/>
          <w:bottom w:val="nil"/>
          <w:right w:val="nil"/>
          <w:between w:val="nil"/>
        </w:pBdr>
        <w:spacing w:before="240" w:after="240" w:line="360" w:lineRule="auto"/>
        <w:jc w:val="both"/>
        <w:rPr>
          <w:sz w:val="22"/>
          <w:szCs w:val="22"/>
        </w:rPr>
      </w:pPr>
      <w:r w:rsidRPr="007D1EEA">
        <w:rPr>
          <w:rFonts w:ascii="Palatino Linotype" w:eastAsia="Palatino Linotype" w:hAnsi="Palatino Linotype" w:cs="Palatino Linotype"/>
          <w:sz w:val="22"/>
          <w:szCs w:val="22"/>
        </w:rPr>
        <w:t>De la normatividad se aprecia que l</w:t>
      </w:r>
      <w:r w:rsidRPr="007D1EEA">
        <w:rPr>
          <w:rFonts w:ascii="Palatino Linotype" w:eastAsia="Palatino Linotype" w:hAnsi="Palatino Linotype" w:cs="Palatino Linotype"/>
          <w:b/>
          <w:sz w:val="22"/>
          <w:szCs w:val="22"/>
        </w:rPr>
        <w:t xml:space="preserve">a </w:t>
      </w:r>
      <w:r w:rsidRPr="007D1EEA">
        <w:rPr>
          <w:rFonts w:ascii="Palatino Linotype" w:eastAsia="Palatino Linotype" w:hAnsi="Palatino Linotype" w:cs="Palatino Linotype"/>
          <w:sz w:val="22"/>
          <w:szCs w:val="22"/>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7D1EEA">
        <w:rPr>
          <w:rFonts w:ascii="Palatino Linotype" w:eastAsia="Palatino Linotype" w:hAnsi="Palatino Linotype" w:cs="Palatino Linotype"/>
          <w:i/>
          <w:sz w:val="22"/>
          <w:szCs w:val="22"/>
        </w:rPr>
        <w:t>se reciba una solicitud de acceso a la información;</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i/>
          <w:sz w:val="22"/>
          <w:szCs w:val="22"/>
        </w:rPr>
        <w:t>determine mediante resolución de autoridad competente; o</w:t>
      </w:r>
      <w:r w:rsidRPr="007D1EEA">
        <w:rPr>
          <w:rFonts w:ascii="Palatino Linotype" w:eastAsia="Palatino Linotype" w:hAnsi="Palatino Linotype" w:cs="Palatino Linotype"/>
          <w:sz w:val="22"/>
          <w:szCs w:val="22"/>
        </w:rPr>
        <w:t xml:space="preserve"> </w:t>
      </w:r>
      <w:r w:rsidRPr="007D1EEA">
        <w:rPr>
          <w:rFonts w:ascii="Palatino Linotype" w:eastAsia="Palatino Linotype" w:hAnsi="Palatino Linotype" w:cs="Palatino Linotype"/>
          <w:i/>
          <w:sz w:val="22"/>
          <w:szCs w:val="22"/>
        </w:rPr>
        <w:t>generen versiones públicas para dar cumplimiento a las obligaciones de transparencia,</w:t>
      </w:r>
      <w:r w:rsidRPr="007D1EEA">
        <w:rPr>
          <w:rFonts w:ascii="Palatino Linotype" w:eastAsia="Palatino Linotype" w:hAnsi="Palatino Linotype" w:cs="Palatino Linotype"/>
          <w:sz w:val="22"/>
          <w:szCs w:val="22"/>
        </w:rPr>
        <w:t xml:space="preserve"> cabe </w:t>
      </w:r>
      <w:r w:rsidRPr="007D1EEA">
        <w:rPr>
          <w:rFonts w:ascii="Palatino Linotype" w:eastAsia="Palatino Linotype" w:hAnsi="Palatino Linotype" w:cs="Palatino Linotype"/>
          <w:sz w:val="22"/>
          <w:szCs w:val="22"/>
        </w:rPr>
        <w:lastRenderedPageBreak/>
        <w:t xml:space="preserve">mencionar que los sujetos obligados no podrán 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w:t>
      </w:r>
    </w:p>
    <w:p w14:paraId="092576F5" w14:textId="77777777" w:rsidR="00023530" w:rsidRPr="007D1EEA" w:rsidRDefault="0013670A">
      <w:pPr>
        <w:pBdr>
          <w:top w:val="nil"/>
          <w:left w:val="nil"/>
          <w:bottom w:val="nil"/>
          <w:right w:val="nil"/>
          <w:between w:val="nil"/>
        </w:pBdr>
        <w:spacing w:line="360" w:lineRule="auto"/>
        <w:jc w:val="both"/>
        <w:rPr>
          <w:sz w:val="22"/>
          <w:szCs w:val="22"/>
        </w:rPr>
      </w:pPr>
      <w:r w:rsidRPr="007D1EEA">
        <w:rPr>
          <w:rFonts w:ascii="Palatino Linotype" w:eastAsia="Palatino Linotype" w:hAnsi="Palatino Linotype" w:cs="Palatino Linotype"/>
          <w:sz w:val="22"/>
          <w:szCs w:val="22"/>
        </w:rPr>
        <w:t xml:space="preserve">En conclusión, la versión pública de los recibos de nómina remitidos en respuesta no cumple con los requisitos señalados por la Ley de Transparencia vigente en la entidad; razón por la cual no pueden validarse dichos acuerdos y para dar cumplimiento a la presente determinación, deberá tomar en cuenta estas consideraciones para la emisión de los acuerdos que contemplen la totalidad de estos elementos. </w:t>
      </w:r>
    </w:p>
    <w:p w14:paraId="7D515690"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sz w:val="22"/>
          <w:szCs w:val="22"/>
        </w:rPr>
        <w:t xml:space="preserve">Como puede observarse de todo lo analizado,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no materializó una negativa a entregar la información solicitada pues como se asentó en el cuadro de análisis, proporcionó las documentales solicitadas, sin embargo, por cuanto hace a los recibos de nómina, se aprecia que en estos se clasificó información susceptible de dejarse visible como lo es el nombre de la institución bancaria, mientras que en las conciliaciones de nómina si entregó las que genera para dar cumplimiento a los Informes Trimestrales del OSFEM y atinadamente realizó una clasificación de la información pero el acuerdo emitido para dar sustento a las versiones públicas no cuenta con una adecuada motivación, por lo que derivado de este análisis, este Organismo Garante determina </w:t>
      </w:r>
      <w:r w:rsidRPr="007D1EEA">
        <w:rPr>
          <w:rFonts w:ascii="Palatino Linotype" w:eastAsia="Palatino Linotype" w:hAnsi="Palatino Linotype" w:cs="Palatino Linotype"/>
          <w:b/>
          <w:sz w:val="22"/>
          <w:szCs w:val="22"/>
        </w:rPr>
        <w:t xml:space="preserve">MODIFICAR </w:t>
      </w:r>
      <w:r w:rsidRPr="007D1EEA">
        <w:rPr>
          <w:rFonts w:ascii="Palatino Linotype" w:eastAsia="Palatino Linotype" w:hAnsi="Palatino Linotype" w:cs="Palatino Linotype"/>
          <w:sz w:val="22"/>
          <w:szCs w:val="22"/>
        </w:rPr>
        <w:t xml:space="preserve">las respuestas de los recursos de revisión </w:t>
      </w:r>
      <w:r w:rsidRPr="007D1EEA">
        <w:rPr>
          <w:rFonts w:ascii="Palatino Linotype" w:eastAsia="Palatino Linotype" w:hAnsi="Palatino Linotype" w:cs="Palatino Linotype"/>
          <w:b/>
          <w:sz w:val="22"/>
          <w:szCs w:val="22"/>
        </w:rPr>
        <w:t xml:space="preserve">02574/INFOEM/IP/RR/2024, 02575/INFOEM/IP/RR/2024, 02576/INFOEM/IP/RR/2024, 02581/INFOEM/IP/RR/2024, 02604/INFOEM/IP/RR/2024,  </w:t>
      </w:r>
      <w:r w:rsidRPr="007D1EEA">
        <w:rPr>
          <w:rFonts w:ascii="Palatino Linotype" w:eastAsia="Palatino Linotype" w:hAnsi="Palatino Linotype" w:cs="Palatino Linotype"/>
          <w:b/>
          <w:sz w:val="22"/>
          <w:szCs w:val="22"/>
        </w:rPr>
        <w:lastRenderedPageBreak/>
        <w:t xml:space="preserve">02605/INFOEM/IP/RR/2024, 02606/INFOEM/IP/RR/2024, 02607/INFOEM/IP/RR/2024, 02608/INFOEM/IP/RR/2024, 02609/INFOEM/IP/RR/2024, 02610/INFOEM/IP/RR/2024 y 02611/INFOEM/IP/RR/2024 acumulados </w:t>
      </w:r>
      <w:r w:rsidRPr="007D1EEA">
        <w:rPr>
          <w:rFonts w:ascii="Palatino Linotype" w:eastAsia="Palatino Linotype" w:hAnsi="Palatino Linotype" w:cs="Palatino Linotype"/>
          <w:sz w:val="22"/>
          <w:szCs w:val="22"/>
        </w:rPr>
        <w:t xml:space="preserve">para efecto de ordenar la entrega de la siguiente información en correcta versión pública conforme al considerando quinto, los </w:t>
      </w:r>
      <w:r w:rsidRPr="007D1EEA">
        <w:rPr>
          <w:rFonts w:ascii="Palatino Linotype" w:eastAsia="Palatino Linotype" w:hAnsi="Palatino Linotype" w:cs="Palatino Linotype"/>
          <w:b/>
          <w:sz w:val="22"/>
          <w:szCs w:val="22"/>
        </w:rPr>
        <w:t>recibos de nómina remitidos en respuesta, así como de los servidores públicos faltantes, generados de la primera quincena de enero de 2024 a la segunda quincena de marzo de 2024, así como los acuerdos de clasificación emitidos por el Comité de Transparencia que den sustento a las versiones públicas de los recibos y conciliaciones de nómina emitidos en respuesta, ello conforme a las consideraciones expuestas en líneas anteriores yal considerando siguiente.</w:t>
      </w:r>
    </w:p>
    <w:p w14:paraId="3472D00B" w14:textId="77777777" w:rsidR="00023530" w:rsidRPr="007D1EEA" w:rsidRDefault="0013670A">
      <w:pPr>
        <w:pBdr>
          <w:top w:val="nil"/>
          <w:left w:val="nil"/>
          <w:bottom w:val="nil"/>
          <w:right w:val="nil"/>
          <w:between w:val="nil"/>
        </w:pBdr>
        <w:spacing w:before="240" w:after="240" w:line="360" w:lineRule="auto"/>
        <w:jc w:val="both"/>
      </w:pPr>
      <w:r w:rsidRPr="007D1EEA">
        <w:rPr>
          <w:rFonts w:ascii="Palatino Linotype" w:eastAsia="Palatino Linotype" w:hAnsi="Palatino Linotype" w:cs="Palatino Linotype"/>
          <w:sz w:val="22"/>
          <w:szCs w:val="22"/>
        </w:rPr>
        <w:t xml:space="preserve">Por otra parte, no pasa desapercibido para este Organismo Garante, </w:t>
      </w:r>
      <w:proofErr w:type="gramStart"/>
      <w:r w:rsidRPr="007D1EEA">
        <w:rPr>
          <w:rFonts w:ascii="Palatino Linotype" w:eastAsia="Palatino Linotype" w:hAnsi="Palatino Linotype" w:cs="Palatino Linotype"/>
          <w:sz w:val="22"/>
          <w:szCs w:val="22"/>
        </w:rPr>
        <w:t>que</w:t>
      </w:r>
      <w:proofErr w:type="gramEnd"/>
      <w:r w:rsidRPr="007D1EEA">
        <w:rPr>
          <w:rFonts w:ascii="Palatino Linotype" w:eastAsia="Palatino Linotype" w:hAnsi="Palatino Linotype" w:cs="Palatino Linotype"/>
          <w:sz w:val="22"/>
          <w:szCs w:val="22"/>
        </w:rPr>
        <w:t xml:space="preserve"> dentro de los recibos de nómina, otorgados por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en respuesta, el testado realizado en las deducciones no es de carácter permanente por lo que puede visualizarse el monto realizado, mismas que como se abordaron en líneas anteriores constituyen un dato que concierne únicamente a su titular. </w:t>
      </w:r>
    </w:p>
    <w:p w14:paraId="33A407E5" w14:textId="77777777" w:rsidR="00023530" w:rsidRPr="007D1EEA" w:rsidRDefault="0013670A">
      <w:pPr>
        <w:pBdr>
          <w:top w:val="nil"/>
          <w:left w:val="nil"/>
          <w:bottom w:val="nil"/>
          <w:right w:val="nil"/>
          <w:between w:val="nil"/>
        </w:pBdr>
        <w:spacing w:after="160" w:line="360" w:lineRule="auto"/>
        <w:jc w:val="both"/>
      </w:pPr>
      <w:r w:rsidRPr="007D1EEA">
        <w:rPr>
          <w:rFonts w:ascii="Palatino Linotype" w:eastAsia="Palatino Linotype" w:hAnsi="Palatino Linotype" w:cs="Palatino Linotype"/>
          <w:sz w:val="22"/>
          <w:szCs w:val="22"/>
        </w:rPr>
        <w:t xml:space="preserve">Bajo esa misma tesitura, resulta procedente dar vista </w:t>
      </w:r>
      <w:r w:rsidRPr="007D1EEA">
        <w:rPr>
          <w:rFonts w:ascii="Palatino Linotype" w:eastAsia="Palatino Linotype" w:hAnsi="Palatino Linotype" w:cs="Palatino Linotype"/>
          <w:b/>
          <w:sz w:val="22"/>
          <w:szCs w:val="22"/>
        </w:rPr>
        <w:t>al Titular de la Dirección General de Protección de Datos Personales</w:t>
      </w:r>
      <w:r w:rsidRPr="007D1EEA">
        <w:rPr>
          <w:rFonts w:ascii="Palatino Linotype" w:eastAsia="Palatino Linotype" w:hAnsi="Palatino Linotype" w:cs="Palatino Linotype"/>
          <w:sz w:val="22"/>
          <w:szCs w:val="22"/>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w:t>
      </w:r>
      <w:r w:rsidRPr="007D1EEA">
        <w:rPr>
          <w:rFonts w:ascii="Palatino Linotype" w:eastAsia="Palatino Linotype" w:hAnsi="Palatino Linotype" w:cs="Palatino Linotype"/>
          <w:sz w:val="22"/>
          <w:szCs w:val="22"/>
        </w:rPr>
        <w:lastRenderedPageBreak/>
        <w:t>Información Pública y Protección de Datos Personales del Estado de México y Municipios, determine lo conducente.</w:t>
      </w:r>
    </w:p>
    <w:p w14:paraId="36CFA420" w14:textId="77777777" w:rsidR="00023530" w:rsidRPr="007D1EEA" w:rsidRDefault="0013670A">
      <w:pPr>
        <w:spacing w:line="360" w:lineRule="auto"/>
        <w:jc w:val="both"/>
        <w:rPr>
          <w:sz w:val="22"/>
          <w:szCs w:val="22"/>
        </w:rPr>
      </w:pPr>
      <w:r w:rsidRPr="007D1EEA">
        <w:rPr>
          <w:rFonts w:ascii="Palatino Linotype" w:eastAsia="Palatino Linotype" w:hAnsi="Palatino Linotype" w:cs="Palatino Linotype"/>
          <w:sz w:val="22"/>
          <w:szCs w:val="22"/>
        </w:rPr>
        <w:t xml:space="preserve">Finalmente, respecto de las manifestaciones realizadas por </w:t>
      </w:r>
      <w:r w:rsidRPr="007D1EEA">
        <w:rPr>
          <w:rFonts w:ascii="Palatino Linotype" w:eastAsia="Palatino Linotype" w:hAnsi="Palatino Linotype" w:cs="Palatino Linotype"/>
          <w:b/>
          <w:sz w:val="22"/>
          <w:szCs w:val="22"/>
        </w:rPr>
        <w:t>la parte Recurrente</w:t>
      </w:r>
      <w:r w:rsidRPr="007D1EEA">
        <w:rPr>
          <w:rFonts w:ascii="Palatino Linotype" w:eastAsia="Palatino Linotype" w:hAnsi="Palatino Linotype" w:cs="Palatino Linotype"/>
          <w:sz w:val="22"/>
          <w:szCs w:val="22"/>
        </w:rPr>
        <w:t xml:space="preserve"> en el formato de recurso de revisión </w:t>
      </w:r>
      <w:r w:rsidRPr="007D1EEA">
        <w:rPr>
          <w:rFonts w:ascii="Palatino Linotype" w:eastAsia="Palatino Linotype" w:hAnsi="Palatino Linotype" w:cs="Palatino Linotype"/>
          <w:b/>
          <w:sz w:val="22"/>
          <w:szCs w:val="22"/>
        </w:rPr>
        <w:t xml:space="preserve">02576/INFOEM/IP/RR/2024, </w:t>
      </w:r>
      <w:r w:rsidRPr="007D1EEA">
        <w:rPr>
          <w:rFonts w:ascii="Palatino Linotype" w:eastAsia="Palatino Linotype" w:hAnsi="Palatino Linotype" w:cs="Palatino Linotype"/>
          <w:sz w:val="22"/>
          <w:szCs w:val="22"/>
        </w:rPr>
        <w:t xml:space="preserve">consistentes en </w:t>
      </w:r>
      <w:r w:rsidRPr="007D1EEA">
        <w:rPr>
          <w:rFonts w:ascii="Palatino Linotype" w:eastAsia="Palatino Linotype" w:hAnsi="Palatino Linotype" w:cs="Palatino Linotype"/>
          <w:i/>
          <w:sz w:val="22"/>
          <w:szCs w:val="22"/>
        </w:rPr>
        <w:t>“…EXIJO REVISE Y SE SANCIONE A QUIEN NO ESTA HACIENDO DE MANERA CORRECTA SU TRABAJO …” (sic)</w:t>
      </w:r>
      <w:r w:rsidRPr="007D1EEA">
        <w:rPr>
          <w:rFonts w:ascii="Palatino Linotype" w:eastAsia="Palatino Linotype" w:hAnsi="Palatino Linotype" w:cs="Palatino Linotype"/>
          <w:sz w:val="22"/>
          <w:szCs w:val="22"/>
        </w:rPr>
        <w:t>; resulta importante hacer del conocimiento de la persona solicitante de información que el Recurso de Revisión no es el medio para sancionar, por lo que este Organismo Garante sugiere a la persona solicitante, interponer su queja o denuncia ante la autoridad competente.</w:t>
      </w:r>
    </w:p>
    <w:p w14:paraId="56D8217C" w14:textId="77777777" w:rsidR="00023530" w:rsidRPr="007D1EEA" w:rsidRDefault="0013670A">
      <w:pPr>
        <w:spacing w:before="240" w:after="240" w:line="360" w:lineRule="auto"/>
        <w:ind w:right="51"/>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Quinto. Versión Pública. </w:t>
      </w:r>
      <w:r w:rsidRPr="007D1EEA">
        <w:rPr>
          <w:rFonts w:ascii="Palatino Linotype" w:eastAsia="Palatino Linotype" w:hAnsi="Palatino Linotype" w:cs="Palatino Linotype"/>
          <w:sz w:val="22"/>
          <w:szCs w:val="22"/>
        </w:rPr>
        <w:t>Como fue debidamente apuntado,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por lo que para su formulación deberá observar lo dispuesto en líneas argumentativas anteriores.</w:t>
      </w:r>
    </w:p>
    <w:p w14:paraId="3C89854A" w14:textId="77777777" w:rsidR="00023530" w:rsidRPr="007D1EEA" w:rsidRDefault="0013670A">
      <w:pPr>
        <w:spacing w:before="240" w:after="240" w:line="360" w:lineRule="auto"/>
        <w:ind w:right="50"/>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Para ello deberá observar lo que señalan los artículos 3 fracciones IX, XX, XXI y XLV, 91, 132 fracciones II y III, y 143 fracción I de la Ley de Transparencia y Acceso a la Información Pública del Estado de México y Municipios que establecen:</w:t>
      </w:r>
    </w:p>
    <w:p w14:paraId="02CB294D"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lastRenderedPageBreak/>
        <w:t>“</w:t>
      </w:r>
      <w:r w:rsidRPr="007D1EEA">
        <w:rPr>
          <w:rFonts w:ascii="Palatino Linotype" w:eastAsia="Palatino Linotype" w:hAnsi="Palatino Linotype" w:cs="Palatino Linotype"/>
          <w:b/>
          <w:i/>
          <w:sz w:val="22"/>
          <w:szCs w:val="22"/>
        </w:rPr>
        <w:t>Artículo 3</w:t>
      </w:r>
      <w:r w:rsidRPr="007D1EEA">
        <w:rPr>
          <w:rFonts w:ascii="Palatino Linotype" w:eastAsia="Palatino Linotype" w:hAnsi="Palatino Linotype" w:cs="Palatino Linotype"/>
          <w:i/>
          <w:sz w:val="22"/>
          <w:szCs w:val="22"/>
        </w:rPr>
        <w:t>. Para los efectos de la presente Ley se entenderá por:</w:t>
      </w:r>
    </w:p>
    <w:p w14:paraId="46FC120A"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4F4CE3C6"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IX. Datos personales:</w:t>
      </w:r>
      <w:r w:rsidRPr="007D1EEA">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3CB011D"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XX. Información clasificada</w:t>
      </w:r>
      <w:r w:rsidRPr="007D1EEA">
        <w:rPr>
          <w:rFonts w:ascii="Palatino Linotype" w:eastAsia="Palatino Linotype" w:hAnsi="Palatino Linotype" w:cs="Palatino Linotype"/>
          <w:i/>
          <w:sz w:val="22"/>
          <w:szCs w:val="22"/>
        </w:rPr>
        <w:t>: Aquella considerada por la presente Ley como reservada o confidencial;</w:t>
      </w:r>
    </w:p>
    <w:p w14:paraId="2DF69BBD"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XXI. Información confidencial:</w:t>
      </w:r>
      <w:r w:rsidRPr="007D1EE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C17235"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XLV. Versión pública:</w:t>
      </w:r>
      <w:r w:rsidRPr="007D1EE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0473F35"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2850B9EF"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Artículo 91. </w:t>
      </w:r>
      <w:r w:rsidRPr="007D1EEA">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BF9CBF5"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Artículo 132. </w:t>
      </w:r>
      <w:r w:rsidRPr="007D1EEA">
        <w:rPr>
          <w:rFonts w:ascii="Palatino Linotype" w:eastAsia="Palatino Linotype" w:hAnsi="Palatino Linotype" w:cs="Palatino Linotype"/>
          <w:i/>
          <w:sz w:val="22"/>
          <w:szCs w:val="22"/>
        </w:rPr>
        <w:t>La clasificación de la información se llevará a cabo en el momento en que:</w:t>
      </w:r>
    </w:p>
    <w:p w14:paraId="79125070"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I</w:t>
      </w:r>
      <w:r w:rsidRPr="007D1EEA">
        <w:rPr>
          <w:rFonts w:ascii="Palatino Linotype" w:eastAsia="Palatino Linotype" w:hAnsi="Palatino Linotype" w:cs="Palatino Linotype"/>
          <w:i/>
          <w:sz w:val="22"/>
          <w:szCs w:val="22"/>
        </w:rPr>
        <w:t>. Se reciba una solicitud de acceso a la información;</w:t>
      </w:r>
    </w:p>
    <w:p w14:paraId="4EA4E21B"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II</w:t>
      </w:r>
      <w:r w:rsidRPr="007D1EEA">
        <w:rPr>
          <w:rFonts w:ascii="Palatino Linotype" w:eastAsia="Palatino Linotype" w:hAnsi="Palatino Linotype" w:cs="Palatino Linotype"/>
          <w:i/>
          <w:sz w:val="22"/>
          <w:szCs w:val="22"/>
        </w:rPr>
        <w:t>. Se determine mediante resolución de autoridad competente; o</w:t>
      </w:r>
    </w:p>
    <w:p w14:paraId="26830498"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III</w:t>
      </w:r>
      <w:r w:rsidRPr="007D1EEA">
        <w:rPr>
          <w:rFonts w:ascii="Palatino Linotype" w:eastAsia="Palatino Linotype" w:hAnsi="Palatino Linotype" w:cs="Palatino Linotype"/>
          <w:i/>
          <w:sz w:val="22"/>
          <w:szCs w:val="22"/>
        </w:rPr>
        <w:t>. Se generen versiones públicas para dar cumplimiento a las obligaciones de transparencia previstas en esta Ley.</w:t>
      </w:r>
    </w:p>
    <w:p w14:paraId="0B540C72"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w:t>
      </w:r>
    </w:p>
    <w:p w14:paraId="326E20FF"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Artículo 143</w:t>
      </w:r>
      <w:r w:rsidRPr="007D1EEA">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5F4973A"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lastRenderedPageBreak/>
        <w:t>I.</w:t>
      </w:r>
      <w:r w:rsidRPr="007D1EEA">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35A5593"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II.</w:t>
      </w:r>
      <w:r w:rsidRPr="007D1EEA">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B91C982"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III</w:t>
      </w:r>
      <w:r w:rsidRPr="007D1EEA">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2EC69A7"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29DF4F3" w14:textId="77777777" w:rsidR="00023530" w:rsidRPr="007D1EEA" w:rsidRDefault="0013670A">
      <w:pPr>
        <w:spacing w:before="120" w:after="120"/>
        <w:ind w:left="567" w:right="902"/>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0CADA7A"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12C701C" w14:textId="77777777" w:rsidR="00023530" w:rsidRPr="007D1EEA" w:rsidRDefault="0013670A">
      <w:pPr>
        <w:spacing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w:t>
      </w:r>
      <w:r w:rsidRPr="007D1EEA">
        <w:rPr>
          <w:rFonts w:ascii="Palatino Linotype" w:eastAsia="Palatino Linotype" w:hAnsi="Palatino Linotype" w:cs="Palatino Linotype"/>
          <w:sz w:val="22"/>
          <w:szCs w:val="22"/>
        </w:rPr>
        <w:lastRenderedPageBreak/>
        <w:t xml:space="preserve">Quincuagésimo quinto señalan las formalidades que deberá llevar el acuerdo de clasificación que deberá emitir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siendo estas las siguientes:</w:t>
      </w:r>
    </w:p>
    <w:p w14:paraId="10D5AA55" w14:textId="77777777" w:rsidR="00023530" w:rsidRPr="007D1EEA" w:rsidRDefault="0013670A">
      <w:pPr>
        <w:spacing w:line="276" w:lineRule="auto"/>
        <w:ind w:left="567"/>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“CAPÍTULO VIII </w:t>
      </w:r>
    </w:p>
    <w:p w14:paraId="6FF42F48" w14:textId="77777777" w:rsidR="00023530" w:rsidRPr="007D1EEA" w:rsidRDefault="0013670A">
      <w:pPr>
        <w:spacing w:line="276" w:lineRule="auto"/>
        <w:ind w:left="567"/>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DE LOS ELEMENTOS PARA LA CLASIFICACIÓN </w:t>
      </w:r>
    </w:p>
    <w:p w14:paraId="05C6C409" w14:textId="77777777" w:rsidR="00023530" w:rsidRPr="007D1EEA" w:rsidRDefault="0013670A">
      <w:pP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Quincuagésimo.</w:t>
      </w:r>
      <w:r w:rsidRPr="007D1EEA">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55B4FE2" w14:textId="77777777" w:rsidR="00023530" w:rsidRPr="007D1EEA" w:rsidRDefault="0013670A">
      <w:pP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Quincuagésimo primero.</w:t>
      </w:r>
      <w:r w:rsidRPr="007D1EEA">
        <w:rPr>
          <w:rFonts w:ascii="Palatino Linotype" w:eastAsia="Palatino Linotype" w:hAnsi="Palatino Linotype" w:cs="Palatino Linotype"/>
          <w:i/>
          <w:sz w:val="22"/>
          <w:szCs w:val="22"/>
        </w:rPr>
        <w:t xml:space="preserve"> Toda acta del Comité de Transparencia deberá contener: </w:t>
      </w:r>
    </w:p>
    <w:p w14:paraId="0B1456F0" w14:textId="77777777" w:rsidR="00023530" w:rsidRPr="007D1EEA" w:rsidRDefault="0013670A">
      <w:pPr>
        <w:numPr>
          <w:ilvl w:val="1"/>
          <w:numId w:val="5"/>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El número de sesión y fecha; </w:t>
      </w:r>
    </w:p>
    <w:p w14:paraId="2657F3C1" w14:textId="77777777" w:rsidR="00023530" w:rsidRPr="007D1EEA" w:rsidRDefault="0013670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El nombre del área que solicitó la clasificación de información; </w:t>
      </w:r>
    </w:p>
    <w:p w14:paraId="172F004B" w14:textId="77777777" w:rsidR="00023530" w:rsidRPr="007D1EEA" w:rsidRDefault="0013670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La fundamentación legal y motivación correspondiente; </w:t>
      </w:r>
    </w:p>
    <w:p w14:paraId="012AF42C" w14:textId="77777777" w:rsidR="00023530" w:rsidRPr="007D1EEA" w:rsidRDefault="0013670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La resolución o resoluciones aprobadas; y </w:t>
      </w:r>
    </w:p>
    <w:p w14:paraId="67E5F4EE" w14:textId="77777777" w:rsidR="00023530" w:rsidRPr="007D1EEA" w:rsidRDefault="0013670A">
      <w:pPr>
        <w:numPr>
          <w:ilvl w:val="1"/>
          <w:numId w:val="5"/>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La rúbrica o firma digital de cada integrante del Comité de Transparencia. </w:t>
      </w:r>
    </w:p>
    <w:p w14:paraId="7BF22A19"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1445EC02"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I. Los motivos y razonamientos que sustenten la confirmación o modificación de la prueba de daño;</w:t>
      </w:r>
    </w:p>
    <w:p w14:paraId="597BC3FE"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II. Descripción de las partes o secciones reservadas, en caso de clasificación parcial; </w:t>
      </w:r>
    </w:p>
    <w:p w14:paraId="7C1ADB1C"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III. El periodo por el que mantendrá su clasificación y fecha de expiración; y </w:t>
      </w:r>
    </w:p>
    <w:p w14:paraId="2D54BA55"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267D1DC8"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28EC3F66"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 xml:space="preserve">En los casos de resoluciones del Comité de Transparencia en las que se confirme la clasificación de información confidencial solo se deberán de </w:t>
      </w:r>
      <w:r w:rsidRPr="007D1EEA">
        <w:rPr>
          <w:rFonts w:ascii="Palatino Linotype" w:eastAsia="Palatino Linotype" w:hAnsi="Palatino Linotype" w:cs="Palatino Linotype"/>
          <w:b/>
          <w:i/>
          <w:sz w:val="22"/>
          <w:szCs w:val="22"/>
        </w:rPr>
        <w:lastRenderedPageBreak/>
        <w:t>identificar los tipos de datos protegidos, de conformidad con el lineamiento trigésimo octavo.</w:t>
      </w:r>
    </w:p>
    <w:p w14:paraId="0A48F94F"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Quincuagésimo segundo. </w:t>
      </w:r>
      <w:r w:rsidRPr="007D1EEA">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C910997"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329C10B"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I. Fijar la fecha en que se elaboró la versión pública y la fecha en la cual el Comité de</w:t>
      </w:r>
    </w:p>
    <w:p w14:paraId="03DF9F03"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Transparencia confirmó dicha versión;</w:t>
      </w:r>
    </w:p>
    <w:p w14:paraId="34E3EBAA"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26D4ADBA"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III. Señalar las personas o instancias autorizadas a acceder a la información clasificada.</w:t>
      </w:r>
    </w:p>
    <w:p w14:paraId="481991A9"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i/>
          <w:sz w:val="22"/>
          <w:szCs w:val="22"/>
        </w:rPr>
        <w:t>…</w:t>
      </w:r>
    </w:p>
    <w:p w14:paraId="17F5D91D"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Quincuagésimo cuarto. </w:t>
      </w:r>
      <w:r w:rsidRPr="007D1EEA">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D96E368" w14:textId="77777777" w:rsidR="00023530" w:rsidRPr="007D1EEA" w:rsidRDefault="0002353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309EFDA0" w14:textId="77777777" w:rsidR="00023530" w:rsidRPr="007D1EEA" w:rsidRDefault="0013670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b/>
          <w:i/>
          <w:sz w:val="22"/>
          <w:szCs w:val="22"/>
        </w:rPr>
        <w:t xml:space="preserve">Quincuagésimo quinto. </w:t>
      </w:r>
      <w:r w:rsidRPr="007D1EEA">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7D1EEA">
        <w:rPr>
          <w:rFonts w:ascii="Palatino Linotype" w:eastAsia="Palatino Linotype" w:hAnsi="Palatino Linotype" w:cs="Palatino Linotype"/>
          <w:i/>
          <w:sz w:val="22"/>
          <w:szCs w:val="22"/>
        </w:rPr>
        <w:t>testado</w:t>
      </w:r>
      <w:proofErr w:type="spellEnd"/>
      <w:r w:rsidRPr="007D1EEA">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7D1EEA">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(Énfasis añadido) </w:t>
      </w:r>
    </w:p>
    <w:p w14:paraId="5E74ABBB"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CECFF26"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sz w:val="22"/>
          <w:szCs w:val="22"/>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6B0522F4" w14:textId="77777777" w:rsidR="00023530" w:rsidRPr="007D1EEA" w:rsidRDefault="0013670A">
      <w:pPr>
        <w:numPr>
          <w:ilvl w:val="0"/>
          <w:numId w:val="7"/>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7D1EEA">
        <w:rPr>
          <w:rFonts w:ascii="Palatino Linotype" w:eastAsia="Palatino Linotype" w:hAnsi="Palatino Linotype" w:cs="Palatino Linotype"/>
          <w:b/>
        </w:rPr>
        <w:t>R E S U E L V E:</w:t>
      </w:r>
    </w:p>
    <w:p w14:paraId="3F1AD5CA"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bookmarkStart w:id="2" w:name="_heading=h.3znysh7" w:colFirst="0" w:colLast="0"/>
      <w:bookmarkEnd w:id="2"/>
      <w:r w:rsidRPr="007D1EEA">
        <w:rPr>
          <w:rFonts w:ascii="Palatino Linotype" w:eastAsia="Palatino Linotype" w:hAnsi="Palatino Linotype" w:cs="Palatino Linotype"/>
          <w:b/>
          <w:sz w:val="22"/>
          <w:szCs w:val="22"/>
        </w:rPr>
        <w:t xml:space="preserve">Primero. </w:t>
      </w:r>
      <w:r w:rsidRPr="007D1EEA">
        <w:rPr>
          <w:rFonts w:ascii="Palatino Linotype" w:eastAsia="Palatino Linotype" w:hAnsi="Palatino Linotype" w:cs="Palatino Linotype"/>
          <w:sz w:val="22"/>
          <w:szCs w:val="22"/>
        </w:rPr>
        <w:t>Resultan</w:t>
      </w:r>
      <w:r w:rsidRPr="007D1EEA">
        <w:rPr>
          <w:rFonts w:ascii="Palatino Linotype" w:eastAsia="Palatino Linotype" w:hAnsi="Palatino Linotype" w:cs="Palatino Linotype"/>
          <w:b/>
          <w:sz w:val="22"/>
          <w:szCs w:val="22"/>
        </w:rPr>
        <w:t xml:space="preserve"> parcialmente fundados </w:t>
      </w:r>
      <w:r w:rsidRPr="007D1EEA">
        <w:rPr>
          <w:rFonts w:ascii="Palatino Linotype" w:eastAsia="Palatino Linotype" w:hAnsi="Palatino Linotype" w:cs="Palatino Linotype"/>
          <w:sz w:val="22"/>
          <w:szCs w:val="22"/>
        </w:rPr>
        <w:t xml:space="preserve">los motivos de inconformidad hechos valer por </w:t>
      </w:r>
      <w:r w:rsidRPr="007D1EEA">
        <w:rPr>
          <w:rFonts w:ascii="Palatino Linotype" w:eastAsia="Palatino Linotype" w:hAnsi="Palatino Linotype" w:cs="Palatino Linotype"/>
          <w:b/>
          <w:sz w:val="22"/>
          <w:szCs w:val="22"/>
        </w:rPr>
        <w:t>la parte Recurrente</w:t>
      </w:r>
      <w:r w:rsidRPr="007D1EEA">
        <w:rPr>
          <w:rFonts w:ascii="Palatino Linotype" w:eastAsia="Palatino Linotype" w:hAnsi="Palatino Linotype" w:cs="Palatino Linotype"/>
          <w:sz w:val="22"/>
          <w:szCs w:val="22"/>
        </w:rPr>
        <w:t xml:space="preserve"> en los Recursos de Revisión</w:t>
      </w:r>
      <w:r w:rsidRPr="007D1EEA">
        <w:rPr>
          <w:rFonts w:ascii="Palatino Linotype" w:eastAsia="Palatino Linotype" w:hAnsi="Palatino Linotype" w:cs="Palatino Linotype"/>
          <w:b/>
          <w:sz w:val="22"/>
          <w:szCs w:val="22"/>
        </w:rPr>
        <w:t xml:space="preserve"> 02574/INFOEM/IP/RR/2024, </w:t>
      </w:r>
      <w:r w:rsidRPr="007D1EEA">
        <w:rPr>
          <w:rFonts w:ascii="Palatino Linotype" w:eastAsia="Palatino Linotype" w:hAnsi="Palatino Linotype" w:cs="Palatino Linotype"/>
          <w:b/>
          <w:sz w:val="22"/>
          <w:szCs w:val="22"/>
        </w:rPr>
        <w:lastRenderedPageBreak/>
        <w:t xml:space="preserve">02575/INFOEM/IP/RR/2024, 02576/INFOEM/IP/RR/2024, 02581/INFOEM/IP/RR/2024, 02604/INFOEM/IP/RR/2024,  02605/INFOEM/IP/RR/2024, 02606/INFOEM/IP/RR/2024, 02607/INFOEM/IP/RR/2024, 02608/INFOEM/IP/RR/2024, 02609/INFOEM/IP/RR/2024, 02610/INFOEM/IP/RR/2024 y 02611/INFOEM/IP/RR/2024 acumulados, </w:t>
      </w:r>
      <w:r w:rsidRPr="007D1EEA">
        <w:rPr>
          <w:rFonts w:ascii="Palatino Linotype" w:eastAsia="Palatino Linotype" w:hAnsi="Palatino Linotype" w:cs="Palatino Linotype"/>
          <w:sz w:val="22"/>
          <w:szCs w:val="22"/>
        </w:rPr>
        <w:t>por lo que</w:t>
      </w:r>
      <w:r w:rsidRPr="007D1EEA">
        <w:rPr>
          <w:rFonts w:ascii="Palatino Linotype" w:eastAsia="Palatino Linotype" w:hAnsi="Palatino Linotype" w:cs="Palatino Linotype"/>
          <w:b/>
          <w:sz w:val="22"/>
          <w:szCs w:val="22"/>
        </w:rPr>
        <w:t xml:space="preserve">, en términos del Considerando Cuarto </w:t>
      </w:r>
      <w:r w:rsidRPr="007D1EEA">
        <w:rPr>
          <w:rFonts w:ascii="Palatino Linotype" w:eastAsia="Palatino Linotype" w:hAnsi="Palatino Linotype" w:cs="Palatino Linotype"/>
          <w:sz w:val="22"/>
          <w:szCs w:val="22"/>
        </w:rPr>
        <w:t>de la presente resolución</w:t>
      </w:r>
      <w:r w:rsidRPr="007D1EEA">
        <w:rPr>
          <w:rFonts w:ascii="Palatino Linotype" w:eastAsia="Palatino Linotype" w:hAnsi="Palatino Linotype" w:cs="Palatino Linotype"/>
          <w:b/>
          <w:sz w:val="22"/>
          <w:szCs w:val="22"/>
        </w:rPr>
        <w:t xml:space="preserve">, se MODIFICAN </w:t>
      </w:r>
      <w:r w:rsidRPr="007D1EEA">
        <w:rPr>
          <w:rFonts w:ascii="Palatino Linotype" w:eastAsia="Palatino Linotype" w:hAnsi="Palatino Linotype" w:cs="Palatino Linotype"/>
          <w:sz w:val="22"/>
          <w:szCs w:val="22"/>
        </w:rPr>
        <w:t>las respuestas del</w:t>
      </w:r>
      <w:r w:rsidRPr="007D1EEA">
        <w:rPr>
          <w:rFonts w:ascii="Palatino Linotype" w:eastAsia="Palatino Linotype" w:hAnsi="Palatino Linotype" w:cs="Palatino Linotype"/>
          <w:b/>
          <w:sz w:val="22"/>
          <w:szCs w:val="22"/>
        </w:rPr>
        <w:t xml:space="preserve"> Sujeto Obligado.</w:t>
      </w:r>
    </w:p>
    <w:p w14:paraId="0388767C" w14:textId="77777777" w:rsidR="00023530" w:rsidRPr="007D1EEA" w:rsidRDefault="0013670A">
      <w:pPr>
        <w:spacing w:before="240" w:after="240" w:line="360" w:lineRule="auto"/>
        <w:jc w:val="both"/>
        <w:rPr>
          <w:rFonts w:ascii="Palatino Linotype" w:eastAsia="Palatino Linotype" w:hAnsi="Palatino Linotype" w:cs="Palatino Linotype"/>
          <w:b/>
          <w:sz w:val="22"/>
          <w:szCs w:val="22"/>
        </w:rPr>
      </w:pPr>
      <w:r w:rsidRPr="007D1EEA">
        <w:rPr>
          <w:rFonts w:ascii="Palatino Linotype" w:eastAsia="Palatino Linotype" w:hAnsi="Palatino Linotype" w:cs="Palatino Linotype"/>
          <w:b/>
          <w:sz w:val="22"/>
          <w:szCs w:val="22"/>
        </w:rPr>
        <w:t xml:space="preserve">Segundo. Se Ordena al Sujeto Obligado </w:t>
      </w:r>
      <w:r w:rsidRPr="007D1EEA">
        <w:rPr>
          <w:rFonts w:ascii="Palatino Linotype" w:eastAsia="Palatino Linotype" w:hAnsi="Palatino Linotype" w:cs="Palatino Linotype"/>
          <w:sz w:val="22"/>
          <w:szCs w:val="22"/>
        </w:rPr>
        <w:t>que en términos de los</w:t>
      </w:r>
      <w:r w:rsidRPr="007D1EEA">
        <w:rPr>
          <w:rFonts w:ascii="Palatino Linotype" w:eastAsia="Palatino Linotype" w:hAnsi="Palatino Linotype" w:cs="Palatino Linotype"/>
          <w:b/>
          <w:sz w:val="22"/>
          <w:szCs w:val="22"/>
        </w:rPr>
        <w:t xml:space="preserve"> Considerandos Cuarto y Quinto </w:t>
      </w:r>
      <w:r w:rsidRPr="007D1EEA">
        <w:rPr>
          <w:rFonts w:ascii="Palatino Linotype" w:eastAsia="Palatino Linotype" w:hAnsi="Palatino Linotype" w:cs="Palatino Linotype"/>
          <w:sz w:val="22"/>
          <w:szCs w:val="22"/>
        </w:rPr>
        <w:t xml:space="preserve">de esta resolución haga entrega a </w:t>
      </w:r>
      <w:r w:rsidRPr="007D1EEA">
        <w:rPr>
          <w:rFonts w:ascii="Palatino Linotype" w:eastAsia="Palatino Linotype" w:hAnsi="Palatino Linotype" w:cs="Palatino Linotype"/>
          <w:b/>
          <w:sz w:val="22"/>
          <w:szCs w:val="22"/>
        </w:rPr>
        <w:t>la parte Recurrente a través del SAIMEX, en versión pública, de lo siguiente:</w:t>
      </w:r>
    </w:p>
    <w:p w14:paraId="25362D31" w14:textId="77777777" w:rsidR="00023530" w:rsidRPr="007D1EEA" w:rsidRDefault="0013670A">
      <w:pPr>
        <w:spacing w:before="240" w:after="240" w:line="276" w:lineRule="auto"/>
        <w:ind w:left="567" w:right="900"/>
        <w:jc w:val="both"/>
        <w:rPr>
          <w:rFonts w:ascii="Palatino Linotype" w:eastAsia="Palatino Linotype" w:hAnsi="Palatino Linotype" w:cs="Palatino Linotype"/>
          <w:b/>
          <w:i/>
          <w:sz w:val="22"/>
          <w:szCs w:val="22"/>
        </w:rPr>
      </w:pPr>
      <w:r w:rsidRPr="007D1EEA">
        <w:rPr>
          <w:rFonts w:ascii="Palatino Linotype" w:eastAsia="Palatino Linotype" w:hAnsi="Palatino Linotype" w:cs="Palatino Linotype"/>
          <w:b/>
          <w:i/>
          <w:sz w:val="22"/>
          <w:szCs w:val="22"/>
        </w:rPr>
        <w:t xml:space="preserve">Recibos de nómina remitidos en respuesta versión pública correcta, así como, de los servidores públicos faltantes, generados de la primera quincena de enero de 2024 a la segunda quincena de marzo de 2024. </w:t>
      </w:r>
    </w:p>
    <w:p w14:paraId="2A7088D8" w14:textId="77777777" w:rsidR="00023530" w:rsidRPr="007D1EEA" w:rsidRDefault="0013670A">
      <w:pPr>
        <w:ind w:left="567" w:right="900"/>
        <w:jc w:val="both"/>
        <w:rPr>
          <w:rFonts w:ascii="Palatino Linotype" w:eastAsia="Palatino Linotype" w:hAnsi="Palatino Linotype" w:cs="Palatino Linotype"/>
          <w:i/>
          <w:sz w:val="22"/>
          <w:szCs w:val="22"/>
        </w:rPr>
      </w:pPr>
      <w:r w:rsidRPr="007D1EEA">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7D1EEA">
        <w:rPr>
          <w:rFonts w:ascii="Palatino Linotype" w:eastAsia="Palatino Linotype" w:hAnsi="Palatino Linotype" w:cs="Palatino Linotype"/>
          <w:b/>
          <w:i/>
          <w:sz w:val="22"/>
          <w:szCs w:val="22"/>
        </w:rPr>
        <w:t xml:space="preserve">la parte Recurrente, </w:t>
      </w:r>
      <w:r w:rsidRPr="007D1EEA">
        <w:rPr>
          <w:rFonts w:ascii="Palatino Linotype" w:eastAsia="Palatino Linotype" w:hAnsi="Palatino Linotype" w:cs="Palatino Linotype"/>
          <w:b/>
          <w:i/>
          <w:sz w:val="22"/>
          <w:szCs w:val="22"/>
          <w:u w:val="single"/>
        </w:rPr>
        <w:t>asimismo deberá proporcionar el acuerdo de clasificación que dé sustento a la versión pública de las conciliaciones de nómina remitidas en respuesta</w:t>
      </w:r>
      <w:r w:rsidRPr="007D1EEA">
        <w:rPr>
          <w:rFonts w:ascii="Palatino Linotype" w:eastAsia="Palatino Linotype" w:hAnsi="Palatino Linotype" w:cs="Palatino Linotype"/>
          <w:i/>
          <w:sz w:val="22"/>
          <w:szCs w:val="22"/>
        </w:rPr>
        <w:t>.</w:t>
      </w:r>
    </w:p>
    <w:p w14:paraId="3A3E8A5B" w14:textId="77777777" w:rsidR="00023530" w:rsidRPr="007D1EEA" w:rsidRDefault="00023530">
      <w:pPr>
        <w:ind w:right="900"/>
        <w:jc w:val="both"/>
        <w:rPr>
          <w:rFonts w:ascii="Palatino Linotype" w:eastAsia="Palatino Linotype" w:hAnsi="Palatino Linotype" w:cs="Palatino Linotype"/>
          <w:i/>
          <w:sz w:val="22"/>
          <w:szCs w:val="22"/>
        </w:rPr>
      </w:pPr>
    </w:p>
    <w:p w14:paraId="0C4E8E44"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Tercero.  Notifíquese vía SAIMEX, </w:t>
      </w:r>
      <w:r w:rsidRPr="007D1EEA">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w:t>
      </w:r>
      <w:r w:rsidRPr="007D1EEA">
        <w:rPr>
          <w:rFonts w:ascii="Palatino Linotype" w:eastAsia="Palatino Linotype" w:hAnsi="Palatino Linotype" w:cs="Palatino Linotype"/>
          <w:sz w:val="22"/>
          <w:szCs w:val="22"/>
        </w:rPr>
        <w:lastRenderedPageBreak/>
        <w:t>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CB48BF0"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r w:rsidRPr="007D1EEA">
        <w:rPr>
          <w:rFonts w:ascii="Palatino Linotype" w:eastAsia="Palatino Linotype" w:hAnsi="Palatino Linotype" w:cs="Palatino Linotype"/>
          <w:b/>
          <w:sz w:val="22"/>
          <w:szCs w:val="22"/>
        </w:rPr>
        <w:t xml:space="preserve">Cuarto. </w:t>
      </w:r>
      <w:r w:rsidRPr="007D1EE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D1EEA">
        <w:rPr>
          <w:rFonts w:ascii="Palatino Linotype" w:eastAsia="Palatino Linotype" w:hAnsi="Palatino Linotype" w:cs="Palatino Linotype"/>
          <w:b/>
          <w:sz w:val="22"/>
          <w:szCs w:val="22"/>
        </w:rPr>
        <w:t>Sujeto Obligado</w:t>
      </w:r>
      <w:r w:rsidRPr="007D1EE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56949BB"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bookmarkStart w:id="3" w:name="_heading=h.tyjcwt" w:colFirst="0" w:colLast="0"/>
      <w:bookmarkEnd w:id="3"/>
      <w:r w:rsidRPr="007D1EEA">
        <w:rPr>
          <w:rFonts w:ascii="Palatino Linotype" w:eastAsia="Palatino Linotype" w:hAnsi="Palatino Linotype" w:cs="Palatino Linotype"/>
          <w:b/>
          <w:sz w:val="22"/>
          <w:szCs w:val="22"/>
        </w:rPr>
        <w:t xml:space="preserve">Quinto. Notifíquese vía SAIMEX, </w:t>
      </w:r>
      <w:r w:rsidRPr="007D1EEA">
        <w:rPr>
          <w:rFonts w:ascii="Palatino Linotype" w:eastAsia="Palatino Linotype" w:hAnsi="Palatino Linotype" w:cs="Palatino Linotype"/>
          <w:sz w:val="22"/>
          <w:szCs w:val="22"/>
        </w:rPr>
        <w:t>a</w:t>
      </w:r>
      <w:r w:rsidRPr="007D1EEA">
        <w:rPr>
          <w:rFonts w:ascii="Palatino Linotype" w:eastAsia="Palatino Linotype" w:hAnsi="Palatino Linotype" w:cs="Palatino Linotype"/>
          <w:b/>
          <w:sz w:val="22"/>
          <w:szCs w:val="22"/>
        </w:rPr>
        <w:t xml:space="preserve"> la parte Recurrente</w:t>
      </w:r>
      <w:r w:rsidRPr="007D1EEA">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14:paraId="633E7914" w14:textId="77777777" w:rsidR="00023530" w:rsidRPr="007D1EEA" w:rsidRDefault="0013670A">
      <w:pPr>
        <w:spacing w:before="240" w:after="240" w:line="360" w:lineRule="auto"/>
        <w:jc w:val="both"/>
        <w:rPr>
          <w:rFonts w:ascii="Palatino Linotype" w:eastAsia="Palatino Linotype" w:hAnsi="Palatino Linotype" w:cs="Palatino Linotype"/>
          <w:sz w:val="22"/>
          <w:szCs w:val="22"/>
        </w:rPr>
      </w:pPr>
      <w:bookmarkStart w:id="4" w:name="_heading=h.2et92p0" w:colFirst="0" w:colLast="0"/>
      <w:bookmarkEnd w:id="4"/>
      <w:r w:rsidRPr="007D1EEA">
        <w:rPr>
          <w:rFonts w:ascii="Palatino Linotype" w:eastAsia="Palatino Linotype" w:hAnsi="Palatino Linotype" w:cs="Palatino Linotype"/>
          <w:b/>
          <w:sz w:val="22"/>
          <w:szCs w:val="22"/>
        </w:rPr>
        <w:t>Sexto.</w:t>
      </w:r>
      <w:r w:rsidRPr="007D1EEA">
        <w:rPr>
          <w:rFonts w:ascii="Palatino Linotype" w:eastAsia="Palatino Linotype" w:hAnsi="Palatino Linotype" w:cs="Palatino Linotype"/>
          <w:sz w:val="22"/>
          <w:szCs w:val="22"/>
        </w:rPr>
        <w:t xml:space="preserve"> Gírese oficio a la Dirección General de Protección de Datos Personales en atención al artículo 82, fracción XXVII de la Ley de Protección de Datos Personales del Estado de México y Municipios, a fin de que determine lo conducente en términos del </w:t>
      </w:r>
      <w:r w:rsidRPr="007D1EEA">
        <w:rPr>
          <w:rFonts w:ascii="Palatino Linotype" w:eastAsia="Palatino Linotype" w:hAnsi="Palatino Linotype" w:cs="Palatino Linotype"/>
          <w:b/>
          <w:sz w:val="22"/>
          <w:szCs w:val="22"/>
        </w:rPr>
        <w:t>Considerando Cuarto</w:t>
      </w:r>
      <w:r w:rsidRPr="007D1EEA">
        <w:rPr>
          <w:rFonts w:ascii="Palatino Linotype" w:eastAsia="Palatino Linotype" w:hAnsi="Palatino Linotype" w:cs="Palatino Linotype"/>
          <w:sz w:val="22"/>
          <w:szCs w:val="22"/>
        </w:rPr>
        <w:t xml:space="preserve"> de la presente resolución.</w:t>
      </w:r>
    </w:p>
    <w:p w14:paraId="6EB7CE8D" w14:textId="77777777" w:rsidR="00023530" w:rsidRPr="007D1EEA" w:rsidRDefault="0013670A">
      <w:pPr>
        <w:spacing w:before="240" w:after="240" w:line="360" w:lineRule="auto"/>
        <w:jc w:val="both"/>
        <w:rPr>
          <w:rFonts w:ascii="Palatino Linotype" w:eastAsia="Palatino Linotype" w:hAnsi="Palatino Linotype" w:cs="Palatino Linotype"/>
        </w:rPr>
        <w:sectPr w:rsidR="00023530" w:rsidRPr="007D1EEA">
          <w:headerReference w:type="even" r:id="rId30"/>
          <w:headerReference w:type="default" r:id="rId31"/>
          <w:footerReference w:type="even" r:id="rId32"/>
          <w:footerReference w:type="default" r:id="rId33"/>
          <w:headerReference w:type="first" r:id="rId34"/>
          <w:footerReference w:type="first" r:id="rId35"/>
          <w:pgSz w:w="12240" w:h="15840"/>
          <w:pgMar w:top="621" w:right="1701" w:bottom="1701" w:left="1701" w:header="618" w:footer="709" w:gutter="0"/>
          <w:pgNumType w:start="1"/>
          <w:cols w:space="720"/>
          <w:titlePg/>
        </w:sectPr>
      </w:pPr>
      <w:r w:rsidRPr="007D1EEA">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ONCE DE SEPTIEMBRE DE DOS MIL VEINTICUATRO, ANTE EL SECRETARIO TÉCNICO DEL PLENO, ALEXIS TAPIA RAMÍREZ.</w:t>
      </w:r>
    </w:p>
    <w:p w14:paraId="1C7BF2B5" w14:textId="77777777" w:rsidR="00023530" w:rsidRPr="007D1EEA" w:rsidRDefault="00023530">
      <w:pPr>
        <w:spacing w:before="240" w:after="240"/>
        <w:jc w:val="both"/>
        <w:rPr>
          <w:rFonts w:ascii="Palatino Linotype" w:eastAsia="Palatino Linotype" w:hAnsi="Palatino Linotype" w:cs="Palatino Linotype"/>
          <w:sz w:val="20"/>
          <w:szCs w:val="20"/>
        </w:rPr>
      </w:pPr>
    </w:p>
    <w:p w14:paraId="5A1ACA6A" w14:textId="77777777" w:rsidR="00023530" w:rsidRPr="007D1EEA" w:rsidRDefault="00023530">
      <w:pPr>
        <w:spacing w:before="240" w:after="240"/>
        <w:jc w:val="both"/>
        <w:rPr>
          <w:rFonts w:ascii="Palatino Linotype" w:eastAsia="Palatino Linotype" w:hAnsi="Palatino Linotype" w:cs="Palatino Linotype"/>
          <w:sz w:val="20"/>
          <w:szCs w:val="20"/>
        </w:rPr>
      </w:pPr>
      <w:bookmarkStart w:id="5" w:name="_heading=h.1fob9te" w:colFirst="0" w:colLast="0"/>
      <w:bookmarkEnd w:id="5"/>
    </w:p>
    <w:sectPr w:rsidR="00023530" w:rsidRPr="007D1EEA">
      <w:headerReference w:type="first" r:id="rId3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96394" w14:textId="77777777" w:rsidR="00B06034" w:rsidRDefault="00B06034">
      <w:r>
        <w:separator/>
      </w:r>
    </w:p>
  </w:endnote>
  <w:endnote w:type="continuationSeparator" w:id="0">
    <w:p w14:paraId="5DE688ED" w14:textId="77777777" w:rsidR="00B06034" w:rsidRDefault="00B0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6783" w14:textId="77777777" w:rsidR="00023530" w:rsidRDefault="0002353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934A" w14:textId="77777777" w:rsidR="00023530" w:rsidRDefault="001367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B2A8C">
      <w:rPr>
        <w:rFonts w:ascii="Palatino Linotype" w:eastAsia="Palatino Linotype" w:hAnsi="Palatino Linotype" w:cs="Palatino Linotype"/>
        <w:b/>
        <w:noProof/>
        <w:color w:val="000000"/>
        <w:sz w:val="20"/>
        <w:szCs w:val="20"/>
      </w:rPr>
      <w:t>85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B2A8C">
      <w:rPr>
        <w:rFonts w:ascii="Palatino Linotype" w:eastAsia="Palatino Linotype" w:hAnsi="Palatino Linotype" w:cs="Palatino Linotype"/>
        <w:b/>
        <w:noProof/>
        <w:color w:val="000000"/>
        <w:sz w:val="20"/>
        <w:szCs w:val="20"/>
      </w:rPr>
      <w:t>86</w:t>
    </w:r>
    <w:r>
      <w:rPr>
        <w:rFonts w:ascii="Palatino Linotype" w:eastAsia="Palatino Linotype" w:hAnsi="Palatino Linotype" w:cs="Palatino Linotype"/>
        <w:b/>
        <w:color w:val="000000"/>
        <w:sz w:val="20"/>
        <w:szCs w:val="20"/>
      </w:rPr>
      <w:fldChar w:fldCharType="end"/>
    </w:r>
  </w:p>
  <w:p w14:paraId="110331E3" w14:textId="77777777" w:rsidR="00023530" w:rsidRDefault="00023530">
    <w:pPr>
      <w:pBdr>
        <w:top w:val="nil"/>
        <w:left w:val="nil"/>
        <w:bottom w:val="nil"/>
        <w:right w:val="nil"/>
        <w:between w:val="nil"/>
      </w:pBdr>
      <w:tabs>
        <w:tab w:val="center" w:pos="4252"/>
        <w:tab w:val="right" w:pos="8504"/>
      </w:tabs>
      <w:ind w:firstLine="708"/>
      <w:rPr>
        <w:rFonts w:ascii="Cambria" w:eastAsia="Cambria" w:hAnsi="Cambria" w:cs="Cambria"/>
        <w:color w:val="000000"/>
      </w:rPr>
    </w:pPr>
  </w:p>
  <w:p w14:paraId="429D8730" w14:textId="77777777" w:rsidR="00023530" w:rsidRDefault="00023530"/>
  <w:p w14:paraId="30581F58" w14:textId="77777777" w:rsidR="00023530" w:rsidRDefault="000235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6F3F" w14:textId="77777777" w:rsidR="00023530" w:rsidRDefault="0013670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B2A8C">
      <w:rPr>
        <w:rFonts w:ascii="Palatino Linotype" w:eastAsia="Palatino Linotype" w:hAnsi="Palatino Linotype" w:cs="Palatino Linotype"/>
        <w:b/>
        <w:noProof/>
        <w:color w:val="000000"/>
        <w:sz w:val="20"/>
        <w:szCs w:val="20"/>
      </w:rPr>
      <w:t>86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B2A8C">
      <w:rPr>
        <w:rFonts w:ascii="Palatino Linotype" w:eastAsia="Palatino Linotype" w:hAnsi="Palatino Linotype" w:cs="Palatino Linotype"/>
        <w:b/>
        <w:noProof/>
        <w:color w:val="000000"/>
        <w:sz w:val="20"/>
        <w:szCs w:val="20"/>
      </w:rPr>
      <w:t>86</w:t>
    </w:r>
    <w:r>
      <w:rPr>
        <w:rFonts w:ascii="Palatino Linotype" w:eastAsia="Palatino Linotype" w:hAnsi="Palatino Linotype" w:cs="Palatino Linotype"/>
        <w:b/>
        <w:color w:val="000000"/>
        <w:sz w:val="20"/>
        <w:szCs w:val="20"/>
      </w:rPr>
      <w:fldChar w:fldCharType="end"/>
    </w:r>
  </w:p>
  <w:p w14:paraId="53228633" w14:textId="77777777" w:rsidR="00023530" w:rsidRDefault="00023530">
    <w:pPr>
      <w:pBdr>
        <w:top w:val="nil"/>
        <w:left w:val="nil"/>
        <w:bottom w:val="nil"/>
        <w:right w:val="nil"/>
        <w:between w:val="nil"/>
      </w:pBdr>
      <w:tabs>
        <w:tab w:val="center" w:pos="4252"/>
        <w:tab w:val="right" w:pos="8504"/>
      </w:tabs>
      <w:rPr>
        <w:rFonts w:ascii="Cambria" w:eastAsia="Cambria" w:hAnsi="Cambria" w:cs="Cambria"/>
        <w:color w:val="000000"/>
      </w:rPr>
    </w:pPr>
  </w:p>
  <w:p w14:paraId="6E8322D9" w14:textId="77777777" w:rsidR="00023530" w:rsidRDefault="00023530"/>
  <w:p w14:paraId="37DCD43F" w14:textId="77777777" w:rsidR="00023530" w:rsidRDefault="000235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7D558" w14:textId="77777777" w:rsidR="00B06034" w:rsidRDefault="00B06034">
      <w:r>
        <w:separator/>
      </w:r>
    </w:p>
  </w:footnote>
  <w:footnote w:type="continuationSeparator" w:id="0">
    <w:p w14:paraId="7F0B3288" w14:textId="77777777" w:rsidR="00B06034" w:rsidRDefault="00B06034">
      <w:r>
        <w:continuationSeparator/>
      </w:r>
    </w:p>
  </w:footnote>
  <w:footnote w:id="1">
    <w:p w14:paraId="63417568" w14:textId="77777777" w:rsidR="00023530" w:rsidRDefault="001367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1420C1E" w14:textId="77777777" w:rsidR="00023530" w:rsidRDefault="0013670A">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DD7C5F9" w14:textId="77777777" w:rsidR="00023530" w:rsidRDefault="0013670A">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9D2AA97" w14:textId="77777777" w:rsidR="00023530" w:rsidRDefault="0013670A">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4">
    <w:p w14:paraId="41E7211F" w14:textId="77777777" w:rsidR="00023530" w:rsidRDefault="0013670A">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hyperlink r:id="rId1">
        <w:r>
          <w:rPr>
            <w:rFonts w:ascii="Palatino Linotype" w:eastAsia="Palatino Linotype" w:hAnsi="Palatino Linotype" w:cs="Palatino Linotype"/>
            <w:color w:val="0000FF"/>
            <w:sz w:val="16"/>
            <w:szCs w:val="16"/>
            <w:u w:val="single"/>
          </w:rPr>
          <w:t>https://legislacion.edomex.gob.mx/sites/legislacion.edomex.gob.mx/files/files/pdf/gct/2024/marzo/mar201/mar201a.pdf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EC80" w14:textId="77777777" w:rsidR="00023530" w:rsidRDefault="0002353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68039" w14:textId="77777777" w:rsidR="00023530" w:rsidRDefault="0013670A">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6DA412D" wp14:editId="2E034CCA">
          <wp:simplePos x="0" y="0"/>
          <wp:positionH relativeFrom="column">
            <wp:posOffset>-1080129</wp:posOffset>
          </wp:positionH>
          <wp:positionV relativeFrom="paragraph">
            <wp:posOffset>-234308</wp:posOffset>
          </wp:positionV>
          <wp:extent cx="7809865" cy="10165715"/>
          <wp:effectExtent l="0" t="0" r="0" b="0"/>
          <wp:wrapNone/>
          <wp:docPr id="3260216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811" w:type="dxa"/>
      <w:tblInd w:w="3261" w:type="dxa"/>
      <w:tblLayout w:type="fixed"/>
      <w:tblLook w:val="0400" w:firstRow="0" w:lastRow="0" w:firstColumn="0" w:lastColumn="0" w:noHBand="0" w:noVBand="1"/>
    </w:tblPr>
    <w:tblGrid>
      <w:gridCol w:w="2390"/>
      <w:gridCol w:w="3421"/>
    </w:tblGrid>
    <w:tr w:rsidR="00023530" w14:paraId="27736563" w14:textId="77777777">
      <w:trPr>
        <w:trHeight w:val="502"/>
      </w:trPr>
      <w:tc>
        <w:tcPr>
          <w:tcW w:w="2390" w:type="dxa"/>
          <w:shd w:val="clear" w:color="auto" w:fill="auto"/>
        </w:tcPr>
        <w:p w14:paraId="1A41C082" w14:textId="77777777" w:rsidR="00023530" w:rsidRDefault="001367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21" w:type="dxa"/>
          <w:shd w:val="clear" w:color="auto" w:fill="auto"/>
          <w:vAlign w:val="center"/>
        </w:tcPr>
        <w:p w14:paraId="6782FEBC" w14:textId="77777777" w:rsidR="00023530" w:rsidRDefault="0013670A">
          <w:pPr>
            <w:ind w:right="184"/>
            <w:jc w:val="both"/>
            <w:rPr>
              <w:rFonts w:ascii="Palatino Linotype" w:eastAsia="Palatino Linotype" w:hAnsi="Palatino Linotype" w:cs="Palatino Linotype"/>
              <w:b/>
            </w:rPr>
          </w:pPr>
          <w:r>
            <w:rPr>
              <w:rFonts w:ascii="Palatino Linotype" w:eastAsia="Palatino Linotype" w:hAnsi="Palatino Linotype" w:cs="Palatino Linotype"/>
              <w:b/>
            </w:rPr>
            <w:t>02574/INFOEM/IP/RR/2024 y acumulados</w:t>
          </w:r>
        </w:p>
      </w:tc>
    </w:tr>
    <w:tr w:rsidR="00023530" w14:paraId="6B37A49D" w14:textId="77777777">
      <w:trPr>
        <w:trHeight w:val="190"/>
      </w:trPr>
      <w:tc>
        <w:tcPr>
          <w:tcW w:w="2390" w:type="dxa"/>
          <w:shd w:val="clear" w:color="auto" w:fill="auto"/>
          <w:vAlign w:val="center"/>
        </w:tcPr>
        <w:p w14:paraId="110560CF" w14:textId="77777777" w:rsidR="00023530" w:rsidRDefault="001367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21" w:type="dxa"/>
          <w:shd w:val="clear" w:color="auto" w:fill="auto"/>
          <w:vAlign w:val="center"/>
        </w:tcPr>
        <w:p w14:paraId="165F9083" w14:textId="77777777" w:rsidR="00023530" w:rsidRDefault="0013670A">
          <w:pPr>
            <w:ind w:left="27" w:right="169"/>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p>
      </w:tc>
    </w:tr>
    <w:tr w:rsidR="00023530" w14:paraId="2C71DBB8" w14:textId="77777777">
      <w:trPr>
        <w:trHeight w:val="251"/>
      </w:trPr>
      <w:tc>
        <w:tcPr>
          <w:tcW w:w="2390" w:type="dxa"/>
          <w:shd w:val="clear" w:color="auto" w:fill="auto"/>
          <w:vAlign w:val="center"/>
        </w:tcPr>
        <w:p w14:paraId="50B30F9F" w14:textId="77777777" w:rsidR="00023530" w:rsidRDefault="0013670A">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21" w:type="dxa"/>
          <w:shd w:val="clear" w:color="auto" w:fill="auto"/>
          <w:vAlign w:val="center"/>
        </w:tcPr>
        <w:p w14:paraId="006B38E2" w14:textId="77777777" w:rsidR="00023530" w:rsidRDefault="0013670A">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2706DC5E" w14:textId="77777777" w:rsidR="00023530" w:rsidRDefault="0013670A">
    <w:pPr>
      <w:rPr>
        <w:rFonts w:ascii="Cambria" w:eastAsia="Cambria" w:hAnsi="Cambria" w:cs="Cambria"/>
        <w:color w:val="000000"/>
      </w:rPr>
    </w:pPr>
    <w:r>
      <w:tab/>
    </w:r>
  </w:p>
  <w:p w14:paraId="4D40BBCE" w14:textId="77777777" w:rsidR="00023530" w:rsidRDefault="0013670A">
    <w:pPr>
      <w:tabs>
        <w:tab w:val="left" w:pos="7560"/>
        <w:tab w:val="right" w:pos="8838"/>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8263" w14:textId="77777777" w:rsidR="00023530" w:rsidRDefault="0013670A">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4FA5BB5F" wp14:editId="24120B1F">
          <wp:simplePos x="0" y="0"/>
          <wp:positionH relativeFrom="column">
            <wp:posOffset>-987424</wp:posOffset>
          </wp:positionH>
          <wp:positionV relativeFrom="paragraph">
            <wp:posOffset>-236219</wp:posOffset>
          </wp:positionV>
          <wp:extent cx="7809865" cy="10165715"/>
          <wp:effectExtent l="0" t="0" r="0" b="0"/>
          <wp:wrapNone/>
          <wp:docPr id="3260216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378" w:type="dxa"/>
      <w:tblInd w:w="3261" w:type="dxa"/>
      <w:tblLayout w:type="fixed"/>
      <w:tblLook w:val="0400" w:firstRow="0" w:lastRow="0" w:firstColumn="0" w:lastColumn="0" w:noHBand="0" w:noVBand="1"/>
    </w:tblPr>
    <w:tblGrid>
      <w:gridCol w:w="2512"/>
      <w:gridCol w:w="3866"/>
    </w:tblGrid>
    <w:tr w:rsidR="00023530" w14:paraId="32DF3849" w14:textId="77777777">
      <w:trPr>
        <w:trHeight w:val="442"/>
      </w:trPr>
      <w:tc>
        <w:tcPr>
          <w:tcW w:w="2512" w:type="dxa"/>
          <w:shd w:val="clear" w:color="auto" w:fill="auto"/>
          <w:vAlign w:val="center"/>
        </w:tcPr>
        <w:p w14:paraId="58E40B85" w14:textId="77777777" w:rsidR="00023530" w:rsidRDefault="0013670A">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66" w:type="dxa"/>
          <w:shd w:val="clear" w:color="auto" w:fill="auto"/>
          <w:vAlign w:val="center"/>
        </w:tcPr>
        <w:p w14:paraId="3F9ADB63" w14:textId="77777777" w:rsidR="00023530" w:rsidRDefault="0013670A">
          <w:pPr>
            <w:tabs>
              <w:tab w:val="left" w:pos="2334"/>
            </w:tabs>
            <w:ind w:left="-45" w:right="877"/>
            <w:jc w:val="both"/>
            <w:rPr>
              <w:rFonts w:ascii="Palatino Linotype" w:eastAsia="Palatino Linotype" w:hAnsi="Palatino Linotype" w:cs="Palatino Linotype"/>
              <w:b/>
            </w:rPr>
          </w:pPr>
          <w:r>
            <w:rPr>
              <w:rFonts w:ascii="Palatino Linotype" w:eastAsia="Palatino Linotype" w:hAnsi="Palatino Linotype" w:cs="Palatino Linotype"/>
              <w:b/>
            </w:rPr>
            <w:t>02574/INFOEM/IP/RR/2024 y acumulados</w:t>
          </w:r>
        </w:p>
      </w:tc>
    </w:tr>
    <w:tr w:rsidR="00023530" w14:paraId="0A7523FD" w14:textId="77777777">
      <w:trPr>
        <w:trHeight w:val="95"/>
      </w:trPr>
      <w:tc>
        <w:tcPr>
          <w:tcW w:w="2512" w:type="dxa"/>
          <w:shd w:val="clear" w:color="auto" w:fill="auto"/>
          <w:vAlign w:val="center"/>
        </w:tcPr>
        <w:p w14:paraId="387F21C3" w14:textId="77777777" w:rsidR="00023530" w:rsidRDefault="0013670A">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66" w:type="dxa"/>
          <w:shd w:val="clear" w:color="auto" w:fill="auto"/>
          <w:vAlign w:val="center"/>
        </w:tcPr>
        <w:p w14:paraId="003EF622" w14:textId="77777777" w:rsidR="00023530" w:rsidRDefault="00023530">
          <w:pPr>
            <w:jc w:val="both"/>
            <w:rPr>
              <w:rFonts w:ascii="Palatino Linotype" w:eastAsia="Palatino Linotype" w:hAnsi="Palatino Linotype" w:cs="Palatino Linotype"/>
              <w:b/>
            </w:rPr>
          </w:pPr>
        </w:p>
      </w:tc>
    </w:tr>
    <w:tr w:rsidR="00023530" w14:paraId="7DC7C814" w14:textId="77777777">
      <w:trPr>
        <w:trHeight w:val="168"/>
      </w:trPr>
      <w:tc>
        <w:tcPr>
          <w:tcW w:w="2512" w:type="dxa"/>
          <w:shd w:val="clear" w:color="auto" w:fill="auto"/>
          <w:vAlign w:val="center"/>
        </w:tcPr>
        <w:p w14:paraId="4AF245C7" w14:textId="77777777" w:rsidR="00023530" w:rsidRDefault="0013670A">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66" w:type="dxa"/>
          <w:shd w:val="clear" w:color="auto" w:fill="auto"/>
          <w:vAlign w:val="center"/>
        </w:tcPr>
        <w:p w14:paraId="4B6BB33B" w14:textId="77777777" w:rsidR="00023530" w:rsidRDefault="0013670A">
          <w:pPr>
            <w:ind w:left="-45" w:right="1019"/>
            <w:jc w:val="both"/>
            <w:rPr>
              <w:rFonts w:ascii="Palatino Linotype" w:eastAsia="Palatino Linotype" w:hAnsi="Palatino Linotype" w:cs="Palatino Linotype"/>
              <w:b/>
            </w:rPr>
          </w:pPr>
          <w:r>
            <w:rPr>
              <w:rFonts w:ascii="Palatino Linotype" w:eastAsia="Palatino Linotype" w:hAnsi="Palatino Linotype" w:cs="Palatino Linotype"/>
              <w:b/>
            </w:rPr>
            <w:t>Organismo Público Descentralizado para la Prestación de Los Servicios de Agua Potable Alcantarillado y Saneamiento de Atizapán de Zaragoza por sus siglas S.A.P.A.S.A.</w:t>
          </w:r>
        </w:p>
      </w:tc>
    </w:tr>
    <w:tr w:rsidR="00023530" w14:paraId="34A57FB3" w14:textId="77777777">
      <w:trPr>
        <w:trHeight w:val="221"/>
      </w:trPr>
      <w:tc>
        <w:tcPr>
          <w:tcW w:w="2512" w:type="dxa"/>
          <w:shd w:val="clear" w:color="auto" w:fill="auto"/>
          <w:vAlign w:val="center"/>
        </w:tcPr>
        <w:p w14:paraId="7453ABD0" w14:textId="77777777" w:rsidR="00023530" w:rsidRDefault="0013670A">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66" w:type="dxa"/>
          <w:shd w:val="clear" w:color="auto" w:fill="auto"/>
          <w:vAlign w:val="center"/>
        </w:tcPr>
        <w:p w14:paraId="48F330D7" w14:textId="77777777" w:rsidR="00023530" w:rsidRDefault="0013670A">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C20B677" w14:textId="77777777" w:rsidR="00023530" w:rsidRDefault="0002353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79F8E" w14:textId="77777777" w:rsidR="00023530" w:rsidRDefault="0002353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B76DB"/>
    <w:multiLevelType w:val="multilevel"/>
    <w:tmpl w:val="1166CFD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3184CD9"/>
    <w:multiLevelType w:val="multilevel"/>
    <w:tmpl w:val="CFFEF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A26642"/>
    <w:multiLevelType w:val="multilevel"/>
    <w:tmpl w:val="710EB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F453CD"/>
    <w:multiLevelType w:val="multilevel"/>
    <w:tmpl w:val="2F58AB2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63614C8E"/>
    <w:multiLevelType w:val="multilevel"/>
    <w:tmpl w:val="72405C0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94221BB"/>
    <w:multiLevelType w:val="multilevel"/>
    <w:tmpl w:val="77C2B35C"/>
    <w:lvl w:ilvl="0">
      <w:start w:val="3"/>
      <w:numFmt w:val="bullet"/>
      <w:pStyle w:val="Listaconvietas3"/>
      <w:lvlText w:val="-"/>
      <w:lvlJc w:val="left"/>
      <w:pPr>
        <w:ind w:left="720" w:hanging="360"/>
      </w:pPr>
      <w:rPr>
        <w:rFonts w:ascii="Palatino Linotype" w:eastAsia="Palatino Linotype" w:hAnsi="Palatino Linotype" w:cs="Palatino Linotype"/>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976F98"/>
    <w:multiLevelType w:val="multilevel"/>
    <w:tmpl w:val="F0C69D1C"/>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2"/>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530"/>
    <w:rsid w:val="00023530"/>
    <w:rsid w:val="0013670A"/>
    <w:rsid w:val="004E6C5B"/>
    <w:rsid w:val="007D1EEA"/>
    <w:rsid w:val="00B06034"/>
    <w:rsid w:val="00C93C2A"/>
    <w:rsid w:val="00DB2A8C"/>
    <w:rsid w:val="00DE61FE"/>
    <w:rsid w:val="00ED0E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5CAC5"/>
  <w15:docId w15:val="{4077EB7D-FE48-47A2-AE9E-ABF97939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44">
    <w:name w:val="44"/>
    <w:basedOn w:val="TableNormal2"/>
    <w:tblPr>
      <w:tblStyleRowBandSize w:val="1"/>
      <w:tblStyleColBandSize w:val="1"/>
      <w:tblCellMar>
        <w:left w:w="115" w:type="dxa"/>
        <w:right w:w="115" w:type="dxa"/>
      </w:tblCellMar>
    </w:tblPr>
  </w:style>
  <w:style w:type="table" w:customStyle="1" w:styleId="43">
    <w:name w:val="43"/>
    <w:basedOn w:val="TableNormal2"/>
    <w:tblPr>
      <w:tblStyleRowBandSize w:val="1"/>
      <w:tblStyleColBandSize w:val="1"/>
      <w:tblCellMar>
        <w:left w:w="115" w:type="dxa"/>
        <w:right w:w="115" w:type="dxa"/>
      </w:tblCellMar>
    </w:tblPr>
  </w:style>
  <w:style w:type="table" w:customStyle="1" w:styleId="42">
    <w:name w:val="42"/>
    <w:basedOn w:val="TableNormal2"/>
    <w:tblPr>
      <w:tblStyleRowBandSize w:val="1"/>
      <w:tblStyleColBandSize w:val="1"/>
      <w:tblCellMar>
        <w:left w:w="115" w:type="dxa"/>
        <w:right w:w="115" w:type="dxa"/>
      </w:tblCellMar>
    </w:tblPr>
  </w:style>
  <w:style w:type="table" w:customStyle="1" w:styleId="41">
    <w:name w:val="41"/>
    <w:basedOn w:val="TableNormal2"/>
    <w:tblPr>
      <w:tblStyleRowBandSize w:val="1"/>
      <w:tblStyleColBandSize w:val="1"/>
      <w:tblCellMar>
        <w:left w:w="115" w:type="dxa"/>
        <w:right w:w="115" w:type="dxa"/>
      </w:tblCellMar>
    </w:tblPr>
  </w:style>
  <w:style w:type="table" w:customStyle="1" w:styleId="40">
    <w:name w:val="40"/>
    <w:basedOn w:val="TableNormal2"/>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39">
    <w:name w:val="39"/>
    <w:basedOn w:val="TableNormal2"/>
    <w:tblPr>
      <w:tblStyleRowBandSize w:val="1"/>
      <w:tblStyleColBandSize w:val="1"/>
      <w:tblCellMar>
        <w:left w:w="115" w:type="dxa"/>
        <w:right w:w="115" w:type="dxa"/>
      </w:tblCellMar>
    </w:tblPr>
  </w:style>
  <w:style w:type="table" w:customStyle="1" w:styleId="38">
    <w:name w:val="38"/>
    <w:basedOn w:val="TableNormal2"/>
    <w:tblPr>
      <w:tblStyleRowBandSize w:val="1"/>
      <w:tblStyleColBandSize w:val="1"/>
      <w:tblCellMar>
        <w:left w:w="115" w:type="dxa"/>
        <w:right w:w="115" w:type="dxa"/>
      </w:tblCellMar>
    </w:tblPr>
  </w:style>
  <w:style w:type="table" w:customStyle="1" w:styleId="37">
    <w:name w:val="37"/>
    <w:basedOn w:val="TableNormal2"/>
    <w:rPr>
      <w:sz w:val="22"/>
      <w:szCs w:val="22"/>
    </w:rPr>
    <w:tblPr>
      <w:tblStyleRowBandSize w:val="1"/>
      <w:tblStyleColBandSize w:val="1"/>
      <w:tblCellMar>
        <w:left w:w="115" w:type="dxa"/>
        <w:right w:w="115" w:type="dxa"/>
      </w:tblCellMar>
    </w:tblPr>
  </w:style>
  <w:style w:type="table" w:customStyle="1" w:styleId="36">
    <w:name w:val="36"/>
    <w:basedOn w:val="TableNormal2"/>
    <w:rPr>
      <w:sz w:val="22"/>
      <w:szCs w:val="22"/>
    </w:rPr>
    <w:tblPr>
      <w:tblStyleRowBandSize w:val="1"/>
      <w:tblStyleColBandSize w:val="1"/>
      <w:tblCellMar>
        <w:left w:w="115" w:type="dxa"/>
        <w:right w:w="115" w:type="dxa"/>
      </w:tblCellMar>
    </w:tblPr>
  </w:style>
  <w:style w:type="table" w:customStyle="1" w:styleId="35">
    <w:name w:val="35"/>
    <w:basedOn w:val="TableNormal2"/>
    <w:rPr>
      <w:sz w:val="22"/>
      <w:szCs w:val="22"/>
    </w:rPr>
    <w:tblPr>
      <w:tblStyleRowBandSize w:val="1"/>
      <w:tblStyleColBandSize w:val="1"/>
      <w:tblCellMar>
        <w:left w:w="115" w:type="dxa"/>
        <w:right w:w="115" w:type="dxa"/>
      </w:tblCellMar>
    </w:tblPr>
  </w:style>
  <w:style w:type="table" w:customStyle="1" w:styleId="34">
    <w:name w:val="34"/>
    <w:basedOn w:val="TableNormal2"/>
    <w:tblPr>
      <w:tblStyleRowBandSize w:val="1"/>
      <w:tblStyleColBandSize w:val="1"/>
      <w:tblCellMar>
        <w:left w:w="115" w:type="dxa"/>
        <w:right w:w="115" w:type="dxa"/>
      </w:tblCellMar>
    </w:tblPr>
  </w:style>
  <w:style w:type="table" w:customStyle="1" w:styleId="33">
    <w:name w:val="33"/>
    <w:basedOn w:val="TableNormal2"/>
    <w:tblPr>
      <w:tblStyleRowBandSize w:val="1"/>
      <w:tblStyleColBandSize w:val="1"/>
      <w:tblCellMar>
        <w:left w:w="115" w:type="dxa"/>
        <w:right w:w="115" w:type="dxa"/>
      </w:tblCellMar>
    </w:tblPr>
  </w:style>
  <w:style w:type="table" w:customStyle="1" w:styleId="32">
    <w:name w:val="32"/>
    <w:basedOn w:val="TableNormal2"/>
    <w:tblPr>
      <w:tblStyleRowBandSize w:val="1"/>
      <w:tblStyleColBandSize w:val="1"/>
      <w:tblCellMar>
        <w:left w:w="115" w:type="dxa"/>
        <w:right w:w="115" w:type="dxa"/>
      </w:tblCellMar>
    </w:tblPr>
  </w:style>
  <w:style w:type="table" w:customStyle="1" w:styleId="31">
    <w:name w:val="31"/>
    <w:basedOn w:val="TableNormal2"/>
    <w:tblPr>
      <w:tblStyleRowBandSize w:val="1"/>
      <w:tblStyleColBandSize w:val="1"/>
      <w:tblCellMar>
        <w:left w:w="115" w:type="dxa"/>
        <w:right w:w="115" w:type="dxa"/>
      </w:tblCellMar>
    </w:tblPr>
  </w:style>
  <w:style w:type="table" w:customStyle="1" w:styleId="30">
    <w:name w:val="30"/>
    <w:basedOn w:val="TableNormal2"/>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9">
    <w:name w:val="29"/>
    <w:basedOn w:val="TableNormal2"/>
    <w:rPr>
      <w:sz w:val="22"/>
      <w:szCs w:val="22"/>
    </w:rPr>
    <w:tblPr>
      <w:tblStyleRowBandSize w:val="1"/>
      <w:tblStyleColBandSize w:val="1"/>
      <w:tblCellMar>
        <w:left w:w="115" w:type="dxa"/>
        <w:right w:w="115" w:type="dxa"/>
      </w:tblCellMar>
    </w:tblPr>
  </w:style>
  <w:style w:type="table" w:customStyle="1" w:styleId="28">
    <w:name w:val="28"/>
    <w:basedOn w:val="TableNormal2"/>
    <w:rPr>
      <w:sz w:val="22"/>
      <w:szCs w:val="22"/>
    </w:rPr>
    <w:tblPr>
      <w:tblStyleRowBandSize w:val="1"/>
      <w:tblStyleColBandSize w:val="1"/>
      <w:tblCellMar>
        <w:left w:w="115" w:type="dxa"/>
        <w:right w:w="115" w:type="dxa"/>
      </w:tblCellMar>
    </w:tblPr>
  </w:style>
  <w:style w:type="table" w:customStyle="1" w:styleId="27">
    <w:name w:val="27"/>
    <w:basedOn w:val="TableNormal3"/>
    <w:rPr>
      <w:sz w:val="22"/>
      <w:szCs w:val="22"/>
    </w:rPr>
    <w:tblPr>
      <w:tblStyleRowBandSize w:val="1"/>
      <w:tblStyleColBandSize w:val="1"/>
      <w:tblCellMar>
        <w:left w:w="115" w:type="dxa"/>
        <w:right w:w="115" w:type="dxa"/>
      </w:tblCellMar>
    </w:tblPr>
  </w:style>
  <w:style w:type="table" w:customStyle="1" w:styleId="26">
    <w:name w:val="26"/>
    <w:basedOn w:val="TableNormal3"/>
    <w:rPr>
      <w:sz w:val="22"/>
      <w:szCs w:val="22"/>
    </w:rPr>
    <w:tblPr>
      <w:tblStyleRowBandSize w:val="1"/>
      <w:tblStyleColBandSize w:val="1"/>
      <w:tblCellMar>
        <w:left w:w="115" w:type="dxa"/>
        <w:right w:w="115" w:type="dxa"/>
      </w:tblCellMar>
    </w:tblPr>
  </w:style>
  <w:style w:type="table" w:customStyle="1" w:styleId="25">
    <w:name w:val="25"/>
    <w:basedOn w:val="TableNormal3"/>
    <w:tblPr>
      <w:tblStyleRowBandSize w:val="1"/>
      <w:tblStyleColBandSize w:val="1"/>
      <w:tblCellMar>
        <w:left w:w="115" w:type="dxa"/>
        <w:right w:w="115" w:type="dxa"/>
      </w:tblCellMar>
    </w:tblPr>
  </w:style>
  <w:style w:type="table" w:customStyle="1" w:styleId="24">
    <w:name w:val="24"/>
    <w:basedOn w:val="TableNormal3"/>
    <w:rPr>
      <w:sz w:val="22"/>
      <w:szCs w:val="22"/>
    </w:rPr>
    <w:tblPr>
      <w:tblStyleRowBandSize w:val="1"/>
      <w:tblStyleColBandSize w:val="1"/>
      <w:tblCellMar>
        <w:left w:w="115" w:type="dxa"/>
        <w:right w:w="115" w:type="dxa"/>
      </w:tblCellMar>
    </w:tblPr>
  </w:style>
  <w:style w:type="table" w:customStyle="1" w:styleId="23">
    <w:name w:val="23"/>
    <w:basedOn w:val="TableNormal3"/>
    <w:rPr>
      <w:sz w:val="22"/>
      <w:szCs w:val="22"/>
    </w:rPr>
    <w:tblPr>
      <w:tblStyleRowBandSize w:val="1"/>
      <w:tblStyleColBandSize w:val="1"/>
      <w:tblCellMar>
        <w:left w:w="115" w:type="dxa"/>
        <w:right w:w="115" w:type="dxa"/>
      </w:tblCellMar>
    </w:tblPr>
  </w:style>
  <w:style w:type="table" w:customStyle="1" w:styleId="22">
    <w:name w:val="22"/>
    <w:basedOn w:val="TableNormal4"/>
    <w:rPr>
      <w:sz w:val="22"/>
      <w:szCs w:val="22"/>
    </w:rPr>
    <w:tblPr>
      <w:tblStyleRowBandSize w:val="1"/>
      <w:tblStyleColBandSize w:val="1"/>
      <w:tblCellMar>
        <w:left w:w="115" w:type="dxa"/>
        <w:right w:w="115" w:type="dxa"/>
      </w:tblCellMar>
    </w:tblPr>
  </w:style>
  <w:style w:type="table" w:customStyle="1" w:styleId="21">
    <w:name w:val="21"/>
    <w:basedOn w:val="TableNormal4"/>
    <w:rPr>
      <w:sz w:val="22"/>
      <w:szCs w:val="22"/>
    </w:rPr>
    <w:tblPr>
      <w:tblStyleRowBandSize w:val="1"/>
      <w:tblStyleColBandSize w:val="1"/>
      <w:tblCellMar>
        <w:left w:w="115" w:type="dxa"/>
        <w:right w:w="115" w:type="dxa"/>
      </w:tblCellMar>
    </w:tblPr>
  </w:style>
  <w:style w:type="table" w:customStyle="1" w:styleId="20">
    <w:name w:val="20"/>
    <w:basedOn w:val="TableNormal4"/>
    <w:rPr>
      <w:sz w:val="22"/>
      <w:szCs w:val="22"/>
    </w:rPr>
    <w:tblPr>
      <w:tblStyleRowBandSize w:val="1"/>
      <w:tblStyleColBandSize w:val="1"/>
      <w:tblCellMar>
        <w:left w:w="115" w:type="dxa"/>
        <w:right w:w="115" w:type="dxa"/>
      </w:tblCellMar>
    </w:tblPr>
  </w:style>
  <w:style w:type="table" w:customStyle="1" w:styleId="19">
    <w:name w:val="19"/>
    <w:basedOn w:val="TableNormal4"/>
    <w:rPr>
      <w:sz w:val="22"/>
      <w:szCs w:val="22"/>
    </w:rPr>
    <w:tblPr>
      <w:tblStyleRowBandSize w:val="1"/>
      <w:tblStyleColBandSize w:val="1"/>
      <w:tblCellMar>
        <w:left w:w="115" w:type="dxa"/>
        <w:right w:w="115" w:type="dxa"/>
      </w:tblCellMar>
    </w:tblPr>
  </w:style>
  <w:style w:type="table" w:customStyle="1" w:styleId="18">
    <w:name w:val="18"/>
    <w:basedOn w:val="TableNormal4"/>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166DE3"/>
    <w:tblPr>
      <w:tblCellMar>
        <w:top w:w="0" w:type="dxa"/>
        <w:left w:w="0" w:type="dxa"/>
        <w:bottom w:w="0" w:type="dxa"/>
        <w:right w:w="0" w:type="dxa"/>
      </w:tblCellMar>
    </w:tblPr>
  </w:style>
  <w:style w:type="table" w:customStyle="1" w:styleId="17">
    <w:name w:val="17"/>
    <w:basedOn w:val="TableNormal5"/>
    <w:tblPr>
      <w:tblStyleRowBandSize w:val="1"/>
      <w:tblStyleColBandSize w:val="1"/>
      <w:tblCellMar>
        <w:left w:w="115" w:type="dxa"/>
        <w:right w:w="115" w:type="dxa"/>
      </w:tblCellMar>
    </w:tblPr>
  </w:style>
  <w:style w:type="table" w:customStyle="1" w:styleId="16">
    <w:name w:val="16"/>
    <w:basedOn w:val="TableNormal5"/>
    <w:tblPr>
      <w:tblStyleRowBandSize w:val="1"/>
      <w:tblStyleColBandSize w:val="1"/>
      <w:tblCellMar>
        <w:left w:w="115" w:type="dxa"/>
        <w:right w:w="115" w:type="dxa"/>
      </w:tblCellMar>
    </w:tblPr>
  </w:style>
  <w:style w:type="table" w:customStyle="1" w:styleId="15">
    <w:name w:val="15"/>
    <w:basedOn w:val="TableNormal5"/>
    <w:rPr>
      <w:sz w:val="22"/>
      <w:szCs w:val="22"/>
    </w:rPr>
    <w:tblPr>
      <w:tblStyleRowBandSize w:val="1"/>
      <w:tblStyleColBandSize w:val="1"/>
      <w:tblCellMar>
        <w:left w:w="115" w:type="dxa"/>
        <w:right w:w="115" w:type="dxa"/>
      </w:tblCellMar>
    </w:tblPr>
  </w:style>
  <w:style w:type="table" w:customStyle="1" w:styleId="14">
    <w:name w:val="14"/>
    <w:basedOn w:val="TableNormal5"/>
    <w:rPr>
      <w:sz w:val="22"/>
      <w:szCs w:val="22"/>
    </w:rPr>
    <w:tblPr>
      <w:tblStyleRowBandSize w:val="1"/>
      <w:tblStyleColBandSize w:val="1"/>
      <w:tblCellMar>
        <w:left w:w="115" w:type="dxa"/>
        <w:right w:w="115" w:type="dxa"/>
      </w:tblCellMar>
    </w:tblPr>
  </w:style>
  <w:style w:type="table" w:customStyle="1" w:styleId="13">
    <w:name w:val="13"/>
    <w:basedOn w:val="TableNormal6"/>
    <w:rPr>
      <w:sz w:val="22"/>
      <w:szCs w:val="22"/>
    </w:rPr>
    <w:tblPr>
      <w:tblStyleRowBandSize w:val="1"/>
      <w:tblStyleColBandSize w:val="1"/>
      <w:tblCellMar>
        <w:left w:w="115" w:type="dxa"/>
        <w:right w:w="115" w:type="dxa"/>
      </w:tblCellMar>
    </w:tblPr>
  </w:style>
  <w:style w:type="table" w:customStyle="1" w:styleId="12">
    <w:name w:val="12"/>
    <w:basedOn w:val="TableNormal6"/>
    <w:rPr>
      <w:sz w:val="22"/>
      <w:szCs w:val="22"/>
    </w:rPr>
    <w:tblPr>
      <w:tblStyleRowBandSize w:val="1"/>
      <w:tblStyleColBandSize w:val="1"/>
      <w:tblCellMar>
        <w:left w:w="115" w:type="dxa"/>
        <w:right w:w="115" w:type="dxa"/>
      </w:tblCellMar>
    </w:tblPr>
  </w:style>
  <w:style w:type="table" w:customStyle="1" w:styleId="11">
    <w:name w:val="11"/>
    <w:basedOn w:val="TableNormal6"/>
    <w:rPr>
      <w:sz w:val="22"/>
      <w:szCs w:val="22"/>
    </w:rPr>
    <w:tblPr>
      <w:tblStyleRowBandSize w:val="1"/>
      <w:tblStyleColBandSize w:val="1"/>
      <w:tblCellMar>
        <w:left w:w="115" w:type="dxa"/>
        <w:right w:w="115" w:type="dxa"/>
      </w:tblCellMar>
    </w:tblPr>
  </w:style>
  <w:style w:type="table" w:customStyle="1" w:styleId="10">
    <w:name w:val="10"/>
    <w:basedOn w:val="TableNormal6"/>
    <w:rPr>
      <w:sz w:val="22"/>
      <w:szCs w:val="22"/>
    </w:rPr>
    <w:tblPr>
      <w:tblStyleRowBandSize w:val="1"/>
      <w:tblStyleColBandSize w:val="1"/>
      <w:tblCellMar>
        <w:left w:w="115" w:type="dxa"/>
        <w:right w:w="115" w:type="dxa"/>
      </w:tblCellMar>
    </w:tblPr>
  </w:style>
  <w:style w:type="table" w:customStyle="1" w:styleId="9">
    <w:name w:val="9"/>
    <w:basedOn w:val="TableNormal7"/>
    <w:rPr>
      <w:sz w:val="22"/>
      <w:szCs w:val="22"/>
    </w:rPr>
    <w:tblPr>
      <w:tblStyleRowBandSize w:val="1"/>
      <w:tblStyleColBandSize w:val="1"/>
      <w:tblCellMar>
        <w:left w:w="115" w:type="dxa"/>
        <w:right w:w="115" w:type="dxa"/>
      </w:tblCellMar>
    </w:tblPr>
  </w:style>
  <w:style w:type="table" w:customStyle="1" w:styleId="8">
    <w:name w:val="8"/>
    <w:basedOn w:val="TableNormal7"/>
    <w:rPr>
      <w:sz w:val="22"/>
      <w:szCs w:val="22"/>
    </w:rPr>
    <w:tblPr>
      <w:tblStyleRowBandSize w:val="1"/>
      <w:tblStyleColBandSize w:val="1"/>
      <w:tblCellMar>
        <w:left w:w="115" w:type="dxa"/>
        <w:right w:w="115" w:type="dxa"/>
      </w:tblCellMar>
    </w:tblPr>
  </w:style>
  <w:style w:type="table" w:customStyle="1" w:styleId="7">
    <w:name w:val="7"/>
    <w:basedOn w:val="TableNormal7"/>
    <w:rPr>
      <w:sz w:val="22"/>
      <w:szCs w:val="22"/>
    </w:rPr>
    <w:tblPr>
      <w:tblStyleRowBandSize w:val="1"/>
      <w:tblStyleColBandSize w:val="1"/>
      <w:tblCellMar>
        <w:left w:w="115" w:type="dxa"/>
        <w:right w:w="115" w:type="dxa"/>
      </w:tblCellMar>
    </w:tblPr>
  </w:style>
  <w:style w:type="table" w:customStyle="1" w:styleId="6">
    <w:name w:val="6"/>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5">
    <w:name w:val="5"/>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
    <w:name w:val="4"/>
    <w:basedOn w:val="TableNormal7"/>
    <w:rPr>
      <w:sz w:val="22"/>
      <w:szCs w:val="22"/>
    </w:rPr>
    <w:tblPr>
      <w:tblStyleRowBandSize w:val="1"/>
      <w:tblStyleColBandSize w:val="1"/>
      <w:tblCellMar>
        <w:left w:w="115" w:type="dxa"/>
        <w:right w:w="115" w:type="dxa"/>
      </w:tblCellMar>
    </w:tblPr>
  </w:style>
  <w:style w:type="table" w:customStyle="1" w:styleId="3">
    <w:name w:val="3"/>
    <w:basedOn w:val="TableNormal7"/>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2">
    <w:name w:val="2"/>
    <w:basedOn w:val="TableNormal7"/>
    <w:rPr>
      <w:sz w:val="22"/>
      <w:szCs w:val="22"/>
    </w:rPr>
    <w:tblPr>
      <w:tblStyleRowBandSize w:val="1"/>
      <w:tblStyleColBandSize w:val="1"/>
      <w:tblCellMar>
        <w:left w:w="115" w:type="dxa"/>
        <w:right w:w="115" w:type="dxa"/>
      </w:tblCellMar>
    </w:tblPr>
  </w:style>
  <w:style w:type="table" w:customStyle="1" w:styleId="1">
    <w:name w:val="1"/>
    <w:basedOn w:val="TableNormal7"/>
    <w:rPr>
      <w:sz w:val="22"/>
      <w:szCs w:val="22"/>
    </w:rPr>
    <w:tblPr>
      <w:tblStyleRowBandSize w:val="1"/>
      <w:tblStyleColBandSize w:val="1"/>
      <w:tblCellMar>
        <w:left w:w="115" w:type="dxa"/>
        <w:right w:w="115" w:type="dxa"/>
      </w:tblCellMar>
    </w:tblPr>
  </w:style>
  <w:style w:type="table" w:customStyle="1" w:styleId="77">
    <w:name w:val="77"/>
    <w:basedOn w:val="TableNormal8"/>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6">
    <w:name w:val="76"/>
    <w:basedOn w:val="TableNormal8"/>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5">
    <w:name w:val="75"/>
    <w:basedOn w:val="TableNormal8"/>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4">
    <w:name w:val="74"/>
    <w:basedOn w:val="TableNormal8"/>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3">
    <w:name w:val="73"/>
    <w:basedOn w:val="TableNormal8"/>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2">
    <w:name w:val="72"/>
    <w:basedOn w:val="TableNormal8"/>
    <w:rPr>
      <w:rFonts w:ascii="Calibri" w:eastAsia="Calibri" w:hAnsi="Calibri" w:cs="Calibri"/>
      <w:sz w:val="22"/>
      <w:szCs w:val="22"/>
    </w:rPr>
    <w:tblPr>
      <w:tblStyleRowBandSize w:val="1"/>
      <w:tblStyleColBandSize w:val="1"/>
      <w:tblCellMar>
        <w:left w:w="115" w:type="dxa"/>
        <w:right w:w="115" w:type="dxa"/>
      </w:tblCellMar>
    </w:tblPr>
  </w:style>
  <w:style w:type="character" w:customStyle="1" w:styleId="eop">
    <w:name w:val="eop"/>
    <w:basedOn w:val="Fuentedeprrafopredeter"/>
    <w:rsid w:val="00652AFE"/>
  </w:style>
  <w:style w:type="table" w:customStyle="1" w:styleId="71">
    <w:name w:val="71"/>
    <w:basedOn w:val="TableNormal9"/>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70">
    <w:name w:val="70"/>
    <w:basedOn w:val="TableNormal9"/>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9">
    <w:name w:val="69"/>
    <w:basedOn w:val="TableNormal9"/>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8">
    <w:name w:val="68"/>
    <w:basedOn w:val="TableNormal9"/>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7">
    <w:name w:val="67"/>
    <w:basedOn w:val="TableNormal9"/>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6">
    <w:name w:val="66"/>
    <w:basedOn w:val="TableNormal9"/>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5">
    <w:name w:val="65"/>
    <w:basedOn w:val="TableNormal1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4">
    <w:name w:val="64"/>
    <w:basedOn w:val="TableNormal1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3">
    <w:name w:val="63"/>
    <w:basedOn w:val="TableNormal1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2">
    <w:name w:val="62"/>
    <w:basedOn w:val="TableNormal1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61">
    <w:name w:val="61"/>
    <w:basedOn w:val="TableNormal1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60">
    <w:name w:val="60"/>
    <w:basedOn w:val="TableNormal1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9">
    <w:name w:val="59"/>
    <w:basedOn w:val="TableNormal1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8">
    <w:name w:val="58"/>
    <w:basedOn w:val="TableNormal1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7">
    <w:name w:val="57"/>
    <w:basedOn w:val="TableNormal1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6">
    <w:name w:val="56"/>
    <w:basedOn w:val="TableNormal1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5">
    <w:name w:val="55"/>
    <w:basedOn w:val="TableNormal1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54">
    <w:name w:val="54"/>
    <w:basedOn w:val="TableNormal1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3">
    <w:name w:val="53"/>
    <w:basedOn w:val="TableNormal1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2">
    <w:name w:val="52"/>
    <w:basedOn w:val="TableNormal1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1">
    <w:name w:val="51"/>
    <w:basedOn w:val="TableNormal1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50">
    <w:name w:val="50"/>
    <w:basedOn w:val="TableNormal1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49">
    <w:name w:val="49"/>
    <w:basedOn w:val="TableNormal1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48">
    <w:name w:val="48"/>
    <w:basedOn w:val="TableNormal1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7">
    <w:name w:val="47"/>
    <w:basedOn w:val="TableNormal1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46">
    <w:name w:val="46"/>
    <w:basedOn w:val="TableNormal1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45">
    <w:name w:val="45"/>
    <w:basedOn w:val="TableNormal12"/>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0">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2">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3">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4">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8">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condusef.gob.mx/Revista/index.php/usuario-inteligente/condusefresponde/777-la-condusef-te-puede-ayudar"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image" Target="media/image20.png"/><Relationship Id="rId19" Type="http://schemas.openxmlformats.org/officeDocument/2006/relationships/hyperlink" Target="https://webapps.condusef.gob.mx/SIPRES/jsp/pub/index.jsp"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1.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4/marzo/mar201/mar201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Rq3m3ipL6kZSkIkGFwSmaKELDQ==">CgMxLjAyCGguZ2pkZ3hzMgloLjMwajB6bGwyCWguM3pueXNoNzIIaC50eWpjd3QyCWguMmV0OTJwMDIJaC4xZm9iOXRlOAByITF3RS0tenNNSDdQNnlNRHJ5N2U4WExMc2RxWlpDSURtZg==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86</Pages>
  <Words>16996</Words>
  <Characters>93484</Characters>
  <Application>Microsoft Office Word</Application>
  <DocSecurity>0</DocSecurity>
  <Lines>779</Lines>
  <Paragraphs>220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2024-09-13T16:28:00Z</cp:lastPrinted>
  <dcterms:created xsi:type="dcterms:W3CDTF">2024-09-23T20:03:00Z</dcterms:created>
  <dcterms:modified xsi:type="dcterms:W3CDTF">2024-09-23T20:03:00Z</dcterms:modified>
</cp:coreProperties>
</file>