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8056F" w14:textId="65CC1A4C" w:rsidR="00FE7ABB" w:rsidRPr="006B671F" w:rsidRDefault="00EA406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de fecha </w:t>
      </w:r>
      <w:r w:rsidR="004B763E" w:rsidRPr="006B671F">
        <w:rPr>
          <w:rFonts w:ascii="Palatino Linotype" w:eastAsia="Palatino Linotype" w:hAnsi="Palatino Linotype" w:cs="Palatino Linotype"/>
          <w:sz w:val="22"/>
          <w:szCs w:val="22"/>
        </w:rPr>
        <w:t>veintisiete</w:t>
      </w:r>
      <w:r w:rsidR="00633544" w:rsidRPr="006B671F">
        <w:rPr>
          <w:rFonts w:ascii="Palatino Linotype" w:eastAsia="Palatino Linotype" w:hAnsi="Palatino Linotype" w:cs="Palatino Linotype"/>
          <w:sz w:val="22"/>
          <w:szCs w:val="22"/>
        </w:rPr>
        <w:t xml:space="preserve"> de </w:t>
      </w:r>
      <w:r w:rsidR="00E12D9B" w:rsidRPr="006B671F">
        <w:rPr>
          <w:rFonts w:ascii="Palatino Linotype" w:eastAsia="Palatino Linotype" w:hAnsi="Palatino Linotype" w:cs="Palatino Linotype"/>
          <w:sz w:val="22"/>
          <w:szCs w:val="22"/>
        </w:rPr>
        <w:t>noviembre</w:t>
      </w:r>
      <w:r w:rsidR="00AF711F"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sz w:val="22"/>
          <w:szCs w:val="22"/>
        </w:rPr>
        <w:t xml:space="preserve">de dos mil veinticuatro. </w:t>
      </w:r>
    </w:p>
    <w:p w14:paraId="15F51F4F" w14:textId="77777777" w:rsidR="00FE7ABB" w:rsidRPr="006B671F" w:rsidRDefault="00FE7ABB" w:rsidP="00EC101D">
      <w:pPr>
        <w:spacing w:line="360" w:lineRule="auto"/>
        <w:ind w:right="49"/>
        <w:jc w:val="both"/>
        <w:rPr>
          <w:rFonts w:ascii="Palatino Linotype" w:eastAsia="Palatino Linotype" w:hAnsi="Palatino Linotype" w:cs="Palatino Linotype"/>
          <w:sz w:val="22"/>
          <w:szCs w:val="22"/>
        </w:rPr>
      </w:pPr>
    </w:p>
    <w:p w14:paraId="31A18829" w14:textId="7D7D8E8A" w:rsidR="009C5DDF" w:rsidRPr="006B671F" w:rsidRDefault="009C5DDF"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 xml:space="preserve">VISTOS </w:t>
      </w:r>
      <w:r w:rsidRPr="006B671F">
        <w:rPr>
          <w:rFonts w:ascii="Palatino Linotype" w:eastAsia="Palatino Linotype" w:hAnsi="Palatino Linotype" w:cs="Palatino Linotype"/>
          <w:sz w:val="22"/>
          <w:szCs w:val="22"/>
        </w:rPr>
        <w:t xml:space="preserve">los expedientes relativos a los recursos de revisión </w:t>
      </w:r>
      <w:r w:rsidR="00CE68DF" w:rsidRPr="006B671F">
        <w:rPr>
          <w:rFonts w:ascii="Palatino Linotype" w:eastAsia="Palatino Linotype" w:hAnsi="Palatino Linotype" w:cs="Palatino Linotype"/>
          <w:b/>
          <w:sz w:val="22"/>
          <w:szCs w:val="22"/>
        </w:rPr>
        <w:t>06384/INFOEM/IP/RR/2024</w:t>
      </w:r>
      <w:r w:rsidR="00253654" w:rsidRPr="006B671F">
        <w:rPr>
          <w:rFonts w:ascii="Palatino Linotype" w:eastAsia="Palatino Linotype" w:hAnsi="Palatino Linotype" w:cs="Palatino Linotype"/>
          <w:b/>
          <w:sz w:val="22"/>
          <w:szCs w:val="22"/>
        </w:rPr>
        <w:t>, 06385/INFOEM/IP/RR/2024, 06387/INFOEM/IP/RR/2024, 06389/INFOEM/IP/RR/2024, 06390/INFOEM/IP/RR/2024, 06392/INFOEM/IP/RR/2024, 06397/INFOEM/IP/RR/2024, 06399/INFOEM/IP/RR/2024 y 06402/INFOEM/IP/RR/2024</w:t>
      </w:r>
      <w:r w:rsidR="00E12D9B" w:rsidRPr="006B671F">
        <w:rPr>
          <w:rFonts w:ascii="Palatino Linotype" w:eastAsia="Palatino Linotype" w:hAnsi="Palatino Linotype" w:cs="Palatino Linotype"/>
          <w:b/>
          <w:sz w:val="22"/>
          <w:szCs w:val="22"/>
        </w:rPr>
        <w:t xml:space="preserve"> </w:t>
      </w:r>
      <w:r w:rsidRPr="006B671F">
        <w:rPr>
          <w:rFonts w:ascii="Palatino Linotype" w:eastAsia="Palatino Linotype" w:hAnsi="Palatino Linotype" w:cs="Palatino Linotype"/>
          <w:b/>
          <w:sz w:val="22"/>
          <w:szCs w:val="22"/>
        </w:rPr>
        <w:t xml:space="preserve">acumulados, </w:t>
      </w:r>
      <w:r w:rsidRPr="006B671F">
        <w:rPr>
          <w:rFonts w:ascii="Palatino Linotype" w:eastAsia="Palatino Linotype" w:hAnsi="Palatino Linotype" w:cs="Palatino Linotype"/>
          <w:sz w:val="22"/>
          <w:szCs w:val="22"/>
        </w:rPr>
        <w:t>interpuestos por</w:t>
      </w:r>
      <w:r w:rsidR="00994583" w:rsidRPr="006B671F">
        <w:rPr>
          <w:rFonts w:ascii="Palatino Linotype" w:eastAsia="Palatino Linotype" w:hAnsi="Palatino Linotype" w:cs="Palatino Linotype"/>
          <w:sz w:val="22"/>
          <w:szCs w:val="22"/>
        </w:rPr>
        <w:t xml:space="preserve"> </w:t>
      </w:r>
      <w:r w:rsidR="00895A38" w:rsidRPr="00895A38">
        <w:rPr>
          <w:rFonts w:ascii="Palatino Linotype" w:eastAsia="Palatino Linotype" w:hAnsi="Palatino Linotype" w:cs="Palatino Linotype"/>
          <w:b/>
          <w:sz w:val="22"/>
          <w:szCs w:val="22"/>
        </w:rPr>
        <w:t>XXXXXXXXXX XXX XXXXX</w:t>
      </w:r>
      <w:r w:rsidRPr="006B671F">
        <w:rPr>
          <w:rFonts w:ascii="Palatino Linotype" w:eastAsia="Palatino Linotype" w:hAnsi="Palatino Linotype" w:cs="Palatino Linotype"/>
          <w:sz w:val="22"/>
          <w:szCs w:val="22"/>
        </w:rPr>
        <w:t xml:space="preserve">, en lo sucesivo la parte </w:t>
      </w:r>
      <w:r w:rsidRPr="006B671F">
        <w:rPr>
          <w:rFonts w:ascii="Palatino Linotype" w:eastAsia="Palatino Linotype" w:hAnsi="Palatino Linotype" w:cs="Palatino Linotype"/>
          <w:b/>
          <w:sz w:val="22"/>
          <w:szCs w:val="22"/>
        </w:rPr>
        <w:t>Recurrente</w:t>
      </w:r>
      <w:r w:rsidRPr="006B671F">
        <w:rPr>
          <w:rFonts w:ascii="Palatino Linotype" w:eastAsia="Palatino Linotype" w:hAnsi="Palatino Linotype" w:cs="Palatino Linotype"/>
          <w:sz w:val="22"/>
          <w:szCs w:val="22"/>
        </w:rPr>
        <w:t xml:space="preserve">, en contra de la respuesta sus solicitudes de información por parte del </w:t>
      </w:r>
      <w:r w:rsidR="00253654" w:rsidRPr="006B671F">
        <w:rPr>
          <w:rFonts w:ascii="Palatino Linotype" w:eastAsia="Palatino Linotype" w:hAnsi="Palatino Linotype" w:cs="Palatino Linotype"/>
          <w:b/>
          <w:sz w:val="22"/>
          <w:szCs w:val="22"/>
        </w:rPr>
        <w:t>Unidad de Asuntos Internos</w:t>
      </w:r>
      <w:r w:rsidRPr="006B671F">
        <w:rPr>
          <w:rFonts w:ascii="Palatino Linotype" w:eastAsia="Palatino Linotype" w:hAnsi="Palatino Linotype" w:cs="Palatino Linotype"/>
          <w:sz w:val="22"/>
          <w:szCs w:val="22"/>
        </w:rPr>
        <w:t xml:space="preserve">, en lo sucesivo el </w:t>
      </w:r>
      <w:r w:rsidRPr="006B671F">
        <w:rPr>
          <w:rFonts w:ascii="Palatino Linotype" w:eastAsia="Palatino Linotype" w:hAnsi="Palatino Linotype" w:cs="Palatino Linotype"/>
          <w:b/>
          <w:sz w:val="22"/>
          <w:szCs w:val="22"/>
        </w:rPr>
        <w:t xml:space="preserve">Sujeto Obligado; </w:t>
      </w:r>
      <w:r w:rsidRPr="006B671F">
        <w:rPr>
          <w:rFonts w:ascii="Palatino Linotype" w:eastAsia="Palatino Linotype" w:hAnsi="Palatino Linotype" w:cs="Palatino Linotype"/>
          <w:sz w:val="22"/>
          <w:szCs w:val="22"/>
        </w:rPr>
        <w:t>se procede a dictar la presente resolución, con base en lo siguiente.</w:t>
      </w:r>
    </w:p>
    <w:p w14:paraId="7166FFC3" w14:textId="77777777" w:rsidR="00FE7ABB" w:rsidRPr="006B671F" w:rsidRDefault="00FE7ABB" w:rsidP="00EC101D">
      <w:pPr>
        <w:spacing w:line="360" w:lineRule="auto"/>
        <w:ind w:right="49"/>
        <w:jc w:val="both"/>
        <w:rPr>
          <w:rFonts w:ascii="Palatino Linotype" w:eastAsia="Palatino Linotype" w:hAnsi="Palatino Linotype" w:cs="Palatino Linotype"/>
          <w:sz w:val="22"/>
          <w:szCs w:val="22"/>
        </w:rPr>
      </w:pPr>
    </w:p>
    <w:p w14:paraId="176ED168" w14:textId="77777777" w:rsidR="00FE7ABB" w:rsidRPr="006B671F" w:rsidRDefault="00EA4063" w:rsidP="00F84378">
      <w:pPr>
        <w:spacing w:line="360" w:lineRule="auto"/>
        <w:ind w:right="49"/>
        <w:jc w:val="center"/>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I.</w:t>
      </w:r>
      <w:r w:rsidRPr="006B671F">
        <w:rPr>
          <w:rFonts w:ascii="Palatino Linotype" w:eastAsia="Palatino Linotype" w:hAnsi="Palatino Linotype" w:cs="Palatino Linotype"/>
          <w:b/>
          <w:sz w:val="22"/>
          <w:szCs w:val="22"/>
        </w:rPr>
        <w:tab/>
        <w:t>A N T E C E D E N T E S</w:t>
      </w:r>
    </w:p>
    <w:p w14:paraId="1164361C" w14:textId="77777777" w:rsidR="00FE7ABB" w:rsidRPr="006B671F" w:rsidRDefault="00FE7ABB" w:rsidP="00EC101D">
      <w:pPr>
        <w:spacing w:line="360" w:lineRule="auto"/>
        <w:ind w:right="49"/>
        <w:jc w:val="both"/>
        <w:rPr>
          <w:rFonts w:ascii="Palatino Linotype" w:eastAsia="Palatino Linotype" w:hAnsi="Palatino Linotype" w:cs="Palatino Linotype"/>
          <w:sz w:val="22"/>
          <w:szCs w:val="22"/>
        </w:rPr>
      </w:pPr>
    </w:p>
    <w:p w14:paraId="67BA709D" w14:textId="6E3A4CBA" w:rsidR="009C5DDF" w:rsidRPr="006B671F" w:rsidRDefault="009C5DDF" w:rsidP="00EC101D">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1.</w:t>
      </w:r>
      <w:r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b/>
          <w:sz w:val="22"/>
          <w:szCs w:val="22"/>
        </w:rPr>
        <w:t xml:space="preserve">Solicitudes de Acceso a la Información. </w:t>
      </w:r>
      <w:r w:rsidRPr="006B671F">
        <w:rPr>
          <w:rFonts w:ascii="Palatino Linotype" w:eastAsia="Palatino Linotype" w:hAnsi="Palatino Linotype" w:cs="Palatino Linotype"/>
          <w:sz w:val="22"/>
          <w:szCs w:val="22"/>
        </w:rPr>
        <w:t xml:space="preserve">El </w:t>
      </w:r>
      <w:r w:rsidR="00E847A3" w:rsidRPr="006B671F">
        <w:rPr>
          <w:rFonts w:ascii="Palatino Linotype" w:eastAsia="Palatino Linotype" w:hAnsi="Palatino Linotype" w:cs="Palatino Linotype"/>
          <w:b/>
          <w:sz w:val="22"/>
          <w:szCs w:val="22"/>
        </w:rPr>
        <w:t>diecisiete de septiembre</w:t>
      </w:r>
      <w:r w:rsidR="00824905" w:rsidRPr="006B671F">
        <w:rPr>
          <w:rFonts w:ascii="Palatino Linotype" w:eastAsia="Palatino Linotype" w:hAnsi="Palatino Linotype" w:cs="Palatino Linotype"/>
          <w:b/>
          <w:bCs/>
          <w:sz w:val="22"/>
          <w:szCs w:val="22"/>
        </w:rPr>
        <w:t xml:space="preserve"> de dos mil veinticuatro</w:t>
      </w:r>
      <w:r w:rsidR="00824905"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b/>
          <w:sz w:val="22"/>
          <w:szCs w:val="22"/>
        </w:rPr>
        <w:t>LA PARTE</w:t>
      </w:r>
      <w:r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b/>
          <w:sz w:val="22"/>
          <w:szCs w:val="22"/>
        </w:rPr>
        <w:t>RECURRENTE</w:t>
      </w:r>
      <w:r w:rsidRPr="006B671F">
        <w:rPr>
          <w:rFonts w:ascii="Palatino Linotype" w:eastAsia="Palatino Linotype" w:hAnsi="Palatino Linotype" w:cs="Palatino Linotype"/>
          <w:sz w:val="22"/>
          <w:szCs w:val="22"/>
        </w:rPr>
        <w:t xml:space="preserve"> formuló solicitudes de acceso a información pública a través del </w:t>
      </w:r>
      <w:r w:rsidRPr="006B671F">
        <w:rPr>
          <w:rFonts w:ascii="Palatino Linotype" w:eastAsia="Palatino Linotype" w:hAnsi="Palatino Linotype" w:cs="Palatino Linotype"/>
          <w:b/>
          <w:sz w:val="22"/>
          <w:szCs w:val="22"/>
        </w:rPr>
        <w:t>SAIMEX,</w:t>
      </w:r>
      <w:r w:rsidRPr="006B671F">
        <w:rPr>
          <w:rFonts w:ascii="Palatino Linotype" w:eastAsia="Palatino Linotype" w:hAnsi="Palatino Linotype" w:cs="Palatino Linotype"/>
          <w:sz w:val="22"/>
          <w:szCs w:val="22"/>
        </w:rPr>
        <w:t xml:space="preserve"> en las que requirió lo siguiente:</w:t>
      </w:r>
    </w:p>
    <w:p w14:paraId="09040E21" w14:textId="77777777" w:rsidR="00894778" w:rsidRPr="006B671F" w:rsidRDefault="00894778" w:rsidP="00EC101D">
      <w:pPr>
        <w:spacing w:line="360" w:lineRule="auto"/>
        <w:jc w:val="both"/>
        <w:rPr>
          <w:rFonts w:ascii="Palatino Linotype" w:eastAsia="Palatino Linotype" w:hAnsi="Palatino Linotype" w:cs="Palatino Linotype"/>
          <w:sz w:val="22"/>
          <w:szCs w:val="22"/>
        </w:rPr>
      </w:pPr>
    </w:p>
    <w:tbl>
      <w:tblPr>
        <w:tblW w:w="8926" w:type="dxa"/>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256"/>
        <w:gridCol w:w="5670"/>
      </w:tblGrid>
      <w:tr w:rsidR="006B671F" w:rsidRPr="006B671F" w14:paraId="0EDB3566" w14:textId="77777777" w:rsidTr="005703F6">
        <w:tc>
          <w:tcPr>
            <w:tcW w:w="3256" w:type="dxa"/>
            <w:shd w:val="clear" w:color="auto" w:fill="D9D9D9"/>
          </w:tcPr>
          <w:p w14:paraId="062CC231" w14:textId="77777777" w:rsidR="009C5DDF" w:rsidRPr="006B671F" w:rsidRDefault="009C5DDF" w:rsidP="00EC101D">
            <w:pPr>
              <w:spacing w:line="360" w:lineRule="auto"/>
              <w:jc w:val="both"/>
              <w:rPr>
                <w:rFonts w:ascii="Palatino Linotype" w:eastAsia="Palatino Linotype" w:hAnsi="Palatino Linotype" w:cs="Palatino Linotype"/>
                <w:b/>
                <w:i/>
                <w:sz w:val="22"/>
                <w:szCs w:val="22"/>
              </w:rPr>
            </w:pPr>
            <w:bookmarkStart w:id="0" w:name="_heading=h.1fob9te" w:colFirst="0" w:colLast="0"/>
            <w:bookmarkEnd w:id="0"/>
            <w:r w:rsidRPr="006B671F">
              <w:rPr>
                <w:rFonts w:ascii="Palatino Linotype" w:eastAsia="Palatino Linotype" w:hAnsi="Palatino Linotype" w:cs="Palatino Linotype"/>
                <w:b/>
                <w:i/>
                <w:sz w:val="22"/>
                <w:szCs w:val="22"/>
              </w:rPr>
              <w:t>Número de solicitud</w:t>
            </w:r>
          </w:p>
        </w:tc>
        <w:tc>
          <w:tcPr>
            <w:tcW w:w="5670" w:type="dxa"/>
            <w:shd w:val="clear" w:color="auto" w:fill="D9D9D9"/>
          </w:tcPr>
          <w:p w14:paraId="7E228F2A" w14:textId="77777777" w:rsidR="009C5DDF" w:rsidRPr="006B671F" w:rsidRDefault="009C5DDF" w:rsidP="00EC101D">
            <w:pPr>
              <w:spacing w:line="360" w:lineRule="auto"/>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Información requerida.</w:t>
            </w:r>
          </w:p>
        </w:tc>
      </w:tr>
      <w:tr w:rsidR="006B671F" w:rsidRPr="006B671F" w14:paraId="75C69BCA" w14:textId="77777777" w:rsidTr="005703F6">
        <w:trPr>
          <w:trHeight w:val="564"/>
        </w:trPr>
        <w:tc>
          <w:tcPr>
            <w:tcW w:w="3256" w:type="dxa"/>
          </w:tcPr>
          <w:p w14:paraId="25DD687F" w14:textId="1C4B1A2E" w:rsidR="009C5DDF" w:rsidRPr="006B671F" w:rsidRDefault="00E847A3" w:rsidP="00F84378">
            <w:pPr>
              <w:spacing w:line="360" w:lineRule="auto"/>
              <w:jc w:val="both"/>
              <w:rPr>
                <w:rFonts w:ascii="Palatino Linotype" w:eastAsia="Palatino Linotype" w:hAnsi="Palatino Linotype" w:cs="Palatino Linotype"/>
                <w:b/>
                <w:i/>
                <w:sz w:val="22"/>
                <w:szCs w:val="22"/>
              </w:rPr>
            </w:pPr>
            <w:bookmarkStart w:id="1" w:name="_heading=h.3znysh7" w:colFirst="0" w:colLast="0"/>
            <w:bookmarkEnd w:id="1"/>
            <w:r w:rsidRPr="006B671F">
              <w:rPr>
                <w:rFonts w:ascii="Palatino Linotype" w:eastAsia="Palatino Linotype" w:hAnsi="Palatino Linotype" w:cs="Palatino Linotype"/>
                <w:b/>
                <w:i/>
                <w:sz w:val="22"/>
                <w:szCs w:val="22"/>
              </w:rPr>
              <w:t>00201/UAI/IP/2024</w:t>
            </w:r>
          </w:p>
        </w:tc>
        <w:tc>
          <w:tcPr>
            <w:tcW w:w="5670" w:type="dxa"/>
          </w:tcPr>
          <w:p w14:paraId="39FE8F27" w14:textId="15F3BA6F" w:rsidR="00893CAE" w:rsidRPr="006B671F" w:rsidRDefault="00E847A3" w:rsidP="00EC101D">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VERSIÓN PÚBLICA DEL REGISTRO DE ENTRADA Y SALIDA DE TODO EL PERSONAL ADSCRITO Y COMISIONADO A LA UNIDAD DE ASUNTOS INTERNOS EN EL RELOJ CHECADOR, LISTAS DE </w:t>
            </w:r>
            <w:r w:rsidRPr="006B671F">
              <w:rPr>
                <w:rFonts w:ascii="Palatino Linotype" w:eastAsia="Palatino Linotype" w:hAnsi="Palatino Linotype" w:cs="Palatino Linotype"/>
                <w:i/>
                <w:sz w:val="22"/>
                <w:szCs w:val="22"/>
              </w:rPr>
              <w:lastRenderedPageBreak/>
              <w:t>REGISTRO Y/O EQUIVALENTE DEL 16 AL 30 DE JULIO DE 2024.</w:t>
            </w:r>
          </w:p>
        </w:tc>
      </w:tr>
      <w:tr w:rsidR="006B671F" w:rsidRPr="006B671F" w14:paraId="56F65B92" w14:textId="77777777" w:rsidTr="005703F6">
        <w:tc>
          <w:tcPr>
            <w:tcW w:w="3256" w:type="dxa"/>
          </w:tcPr>
          <w:p w14:paraId="5F537F4E" w14:textId="1C833213" w:rsidR="009C5DDF"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lastRenderedPageBreak/>
              <w:t>00200/UAI/IP/2024</w:t>
            </w:r>
          </w:p>
        </w:tc>
        <w:tc>
          <w:tcPr>
            <w:tcW w:w="5670" w:type="dxa"/>
          </w:tcPr>
          <w:p w14:paraId="2147B4F8" w14:textId="7268EECF" w:rsidR="002502F4" w:rsidRPr="006B671F" w:rsidRDefault="00E847A3" w:rsidP="00EC101D">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VERSIÓN PÚBLICA DEL REGISTRO DE ENTRADA Y SALIDA DE TODO EL PERSONAL ADSCRITO Y COMISIONADO A LA UNIDAD DE ASUNTOS INTERNOS EN EL RELOJ CHECADOR, LISTAS DE REGISTRO Y/O EQUIVALENTE DEL 16 AL 30 DE ENERO DE 2024.</w:t>
            </w:r>
          </w:p>
        </w:tc>
      </w:tr>
      <w:tr w:rsidR="006B671F" w:rsidRPr="006B671F" w14:paraId="686E58F8" w14:textId="77777777" w:rsidTr="005703F6">
        <w:tc>
          <w:tcPr>
            <w:tcW w:w="3256" w:type="dxa"/>
          </w:tcPr>
          <w:p w14:paraId="6CAB0EF5" w14:textId="32BE05FC" w:rsidR="00253654"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00198/UAI/IP/2024</w:t>
            </w:r>
          </w:p>
        </w:tc>
        <w:tc>
          <w:tcPr>
            <w:tcW w:w="5670" w:type="dxa"/>
          </w:tcPr>
          <w:p w14:paraId="7969BC6B" w14:textId="7470DEAF" w:rsidR="00253654" w:rsidRPr="006B671F" w:rsidRDefault="00E847A3" w:rsidP="00EC101D">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VERSIÓN PÚBLICA DEL REGISTRO DE ENTRADA Y SALIDA DE TODO EL PERSONAL ADSCRITO Y COMISIONADO A LA UNIDAD DE ASUNTOS INTERNOS EN EL RELOJ CHECADOR, LISTAS DE REGISTRO Y/O EQUIVALENTE DEL 16 AL 30 DE ABRIL DE 2024.</w:t>
            </w:r>
          </w:p>
        </w:tc>
      </w:tr>
      <w:tr w:rsidR="006B671F" w:rsidRPr="006B671F" w14:paraId="4FD7EDE1" w14:textId="77777777" w:rsidTr="005703F6">
        <w:tc>
          <w:tcPr>
            <w:tcW w:w="3256" w:type="dxa"/>
          </w:tcPr>
          <w:p w14:paraId="2F3B718F" w14:textId="6093903D" w:rsidR="00253654"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00196/UAI/IP/2024</w:t>
            </w:r>
          </w:p>
        </w:tc>
        <w:tc>
          <w:tcPr>
            <w:tcW w:w="5670" w:type="dxa"/>
          </w:tcPr>
          <w:p w14:paraId="16803758" w14:textId="5FB1862E" w:rsidR="00253654" w:rsidRPr="006B671F" w:rsidRDefault="00E847A3" w:rsidP="00EC101D">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VERSIÓN PÚBLICA DEL REGISTRO DE ENTRADA Y SALIDA DE TODO EL PERSONAL ADSCRITO Y COMISIONADO A LA UNIDAD DE ASUNTOS INTERNOS EN EL RELOJ CHECADOR, LISTAS DE REGISTRO Y/O EQUIVALENTE DEL 16 AL 30 DE MARZO DE 2024.</w:t>
            </w:r>
          </w:p>
        </w:tc>
      </w:tr>
      <w:tr w:rsidR="006B671F" w:rsidRPr="006B671F" w14:paraId="628C2D98" w14:textId="77777777" w:rsidTr="00253654">
        <w:tc>
          <w:tcPr>
            <w:tcW w:w="3256" w:type="dxa"/>
            <w:tcBorders>
              <w:top w:val="single" w:sz="4" w:space="0" w:color="000000"/>
              <w:left w:val="single" w:sz="4" w:space="0" w:color="000000"/>
              <w:bottom w:val="single" w:sz="4" w:space="0" w:color="000000"/>
              <w:right w:val="single" w:sz="4" w:space="0" w:color="000000"/>
            </w:tcBorders>
          </w:tcPr>
          <w:p w14:paraId="29CDB272" w14:textId="6BFF1CC1" w:rsidR="00253654"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00195/UAI/IP/2024</w:t>
            </w:r>
          </w:p>
        </w:tc>
        <w:tc>
          <w:tcPr>
            <w:tcW w:w="5670" w:type="dxa"/>
            <w:tcBorders>
              <w:top w:val="single" w:sz="4" w:space="0" w:color="000000"/>
              <w:left w:val="single" w:sz="4" w:space="0" w:color="000000"/>
              <w:bottom w:val="single" w:sz="4" w:space="0" w:color="000000"/>
              <w:right w:val="single" w:sz="4" w:space="0" w:color="000000"/>
            </w:tcBorders>
          </w:tcPr>
          <w:p w14:paraId="534393DB" w14:textId="35FFD4F5" w:rsidR="00E847A3" w:rsidRPr="006B671F" w:rsidRDefault="00E847A3" w:rsidP="00253654">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VERSIÓN PÚBLICA DEL REGISTRO DE ENTRADA Y SALIDA DE TODO EL PERSONAL ADSCRITO Y COMISIONADO A LA UNIDAD DE ASUNTOS INTERNOS EN EL RELOJ CHECADOR, LISTAS DE </w:t>
            </w:r>
            <w:r w:rsidRPr="006B671F">
              <w:rPr>
                <w:rFonts w:ascii="Palatino Linotype" w:eastAsia="Palatino Linotype" w:hAnsi="Palatino Linotype" w:cs="Palatino Linotype"/>
                <w:i/>
                <w:sz w:val="22"/>
                <w:szCs w:val="22"/>
              </w:rPr>
              <w:lastRenderedPageBreak/>
              <w:t>REGISTRO Y/O EQUIVALENTE DEL 16 AL 28 DE FEBRERO DE 2024.</w:t>
            </w:r>
          </w:p>
        </w:tc>
      </w:tr>
      <w:tr w:rsidR="006B671F" w:rsidRPr="006B671F" w14:paraId="50910132" w14:textId="77777777" w:rsidTr="00253654">
        <w:tc>
          <w:tcPr>
            <w:tcW w:w="3256" w:type="dxa"/>
            <w:tcBorders>
              <w:top w:val="single" w:sz="4" w:space="0" w:color="000000"/>
              <w:left w:val="single" w:sz="4" w:space="0" w:color="000000"/>
              <w:bottom w:val="single" w:sz="4" w:space="0" w:color="000000"/>
              <w:right w:val="single" w:sz="4" w:space="0" w:color="000000"/>
            </w:tcBorders>
          </w:tcPr>
          <w:p w14:paraId="36BE15C8" w14:textId="2C8E51A5" w:rsidR="00253654"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lastRenderedPageBreak/>
              <w:t>00193/UAI/IP/2024</w:t>
            </w:r>
          </w:p>
        </w:tc>
        <w:tc>
          <w:tcPr>
            <w:tcW w:w="5670" w:type="dxa"/>
            <w:tcBorders>
              <w:top w:val="single" w:sz="4" w:space="0" w:color="000000"/>
              <w:left w:val="single" w:sz="4" w:space="0" w:color="000000"/>
              <w:bottom w:val="single" w:sz="4" w:space="0" w:color="000000"/>
              <w:right w:val="single" w:sz="4" w:space="0" w:color="000000"/>
            </w:tcBorders>
          </w:tcPr>
          <w:p w14:paraId="35567345" w14:textId="30978E74" w:rsidR="00253654" w:rsidRPr="006B671F" w:rsidRDefault="00E847A3" w:rsidP="00253654">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VERSIÓN PÚBLICA DEL REGISTRO DE ENTRADA Y SALIDA DE TODO EL PERSONAL ADSCRITO Y COMISIONADO A LA UNIDAD DE ASUNTOS INTERNOS EN EL RELOJ CHECADOR, LISTAS DE REGISTRO Y/O EQUIVALENTE DEL 01 AL 15 DE SEPTIEMBRE DE 2024.</w:t>
            </w:r>
          </w:p>
        </w:tc>
      </w:tr>
      <w:tr w:rsidR="006B671F" w:rsidRPr="006B671F" w14:paraId="77DE2C45" w14:textId="77777777" w:rsidTr="00253654">
        <w:tc>
          <w:tcPr>
            <w:tcW w:w="3256" w:type="dxa"/>
            <w:tcBorders>
              <w:top w:val="single" w:sz="4" w:space="0" w:color="000000"/>
              <w:left w:val="single" w:sz="4" w:space="0" w:color="000000"/>
              <w:bottom w:val="single" w:sz="4" w:space="0" w:color="000000"/>
              <w:right w:val="single" w:sz="4" w:space="0" w:color="000000"/>
            </w:tcBorders>
          </w:tcPr>
          <w:p w14:paraId="65E7C0EA" w14:textId="57F19ADE" w:rsidR="00253654" w:rsidRPr="006B671F" w:rsidRDefault="00E847A3" w:rsidP="00253654">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00190/UAI/IP/2024</w:t>
            </w:r>
          </w:p>
        </w:tc>
        <w:tc>
          <w:tcPr>
            <w:tcW w:w="5670" w:type="dxa"/>
            <w:tcBorders>
              <w:top w:val="single" w:sz="4" w:space="0" w:color="000000"/>
              <w:left w:val="single" w:sz="4" w:space="0" w:color="000000"/>
              <w:bottom w:val="single" w:sz="4" w:space="0" w:color="000000"/>
              <w:right w:val="single" w:sz="4" w:space="0" w:color="000000"/>
            </w:tcBorders>
          </w:tcPr>
          <w:p w14:paraId="06E0C47A" w14:textId="20477F0E" w:rsidR="00253654" w:rsidRPr="006B671F" w:rsidRDefault="00E847A3" w:rsidP="00253654">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VERSIÓN PÚBLICA DEL REGISTRO DE ENTRADA Y SALIDA DE TODO EL PERSONAL ADSCRITO Y COMISIONADO A LA UNIDAD DE ASUNTOS INTERNOS EN EL RELOJ CHECADOR, LISTAS DE REGISTRO Y/O EQUIVALENTE DEL 01 AL 15 DE JUNIO DE 2024.</w:t>
            </w:r>
          </w:p>
        </w:tc>
      </w:tr>
      <w:tr w:rsidR="006B671F" w:rsidRPr="006B671F" w14:paraId="1CFFB0ED" w14:textId="77777777" w:rsidTr="00253654">
        <w:tc>
          <w:tcPr>
            <w:tcW w:w="3256" w:type="dxa"/>
            <w:tcBorders>
              <w:top w:val="single" w:sz="4" w:space="0" w:color="000000"/>
              <w:left w:val="single" w:sz="4" w:space="0" w:color="000000"/>
              <w:bottom w:val="single" w:sz="4" w:space="0" w:color="000000"/>
              <w:right w:val="single" w:sz="4" w:space="0" w:color="000000"/>
            </w:tcBorders>
          </w:tcPr>
          <w:p w14:paraId="21555CDD" w14:textId="247B7666" w:rsidR="00253654"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00188/UAI/IP/2024</w:t>
            </w:r>
          </w:p>
        </w:tc>
        <w:tc>
          <w:tcPr>
            <w:tcW w:w="5670" w:type="dxa"/>
            <w:tcBorders>
              <w:top w:val="single" w:sz="4" w:space="0" w:color="000000"/>
              <w:left w:val="single" w:sz="4" w:space="0" w:color="000000"/>
              <w:bottom w:val="single" w:sz="4" w:space="0" w:color="000000"/>
              <w:right w:val="single" w:sz="4" w:space="0" w:color="000000"/>
            </w:tcBorders>
          </w:tcPr>
          <w:p w14:paraId="62D83F42" w14:textId="0277CA47" w:rsidR="00253654" w:rsidRPr="006B671F" w:rsidRDefault="00E847A3" w:rsidP="00253654">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VERSIÓN PÚBLICA DEL REGISTRO DE ENTRADA Y SALIDA DE TODO EL PERSONAL ADSCRITO Y COMISIONADO A LA UNIDAD DE ASUNTOS INTERNOS EN EL RELOJ CHECADOR, LISTAS DE REGISTRO Y/O EQUIVALENTE DEL 01 AL 15 DE ABRIL DE 2024.</w:t>
            </w:r>
          </w:p>
        </w:tc>
      </w:tr>
      <w:tr w:rsidR="006B671F" w:rsidRPr="006B671F" w14:paraId="1D0D9A62" w14:textId="77777777" w:rsidTr="00253654">
        <w:tc>
          <w:tcPr>
            <w:tcW w:w="3256" w:type="dxa"/>
            <w:tcBorders>
              <w:top w:val="single" w:sz="4" w:space="0" w:color="000000"/>
              <w:left w:val="single" w:sz="4" w:space="0" w:color="000000"/>
              <w:bottom w:val="single" w:sz="4" w:space="0" w:color="000000"/>
              <w:right w:val="single" w:sz="4" w:space="0" w:color="000000"/>
            </w:tcBorders>
          </w:tcPr>
          <w:p w14:paraId="3A290347" w14:textId="75D56DF8" w:rsidR="00253654" w:rsidRPr="006B671F" w:rsidRDefault="00E847A3" w:rsidP="00E847A3">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00185/UAI/IP/2024</w:t>
            </w:r>
          </w:p>
        </w:tc>
        <w:tc>
          <w:tcPr>
            <w:tcW w:w="5670" w:type="dxa"/>
            <w:tcBorders>
              <w:top w:val="single" w:sz="4" w:space="0" w:color="000000"/>
              <w:left w:val="single" w:sz="4" w:space="0" w:color="000000"/>
              <w:bottom w:val="single" w:sz="4" w:space="0" w:color="000000"/>
              <w:right w:val="single" w:sz="4" w:space="0" w:color="000000"/>
            </w:tcBorders>
          </w:tcPr>
          <w:p w14:paraId="526F90AA" w14:textId="25900EEB" w:rsidR="00E847A3" w:rsidRPr="006B671F" w:rsidRDefault="00E847A3" w:rsidP="00253654">
            <w:pPr>
              <w:spacing w:line="360" w:lineRule="auto"/>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VERSIÓN PÚBLICA DEL REGISTRO DE ENTRADA Y SALIDA DE TODO EL PERSONAL ADSCRITO Y COMISIONADO A LA UNIDAD DE ASUNTOS INTERNOS EN EL RELOJ CHECADOR, LISTAS DE </w:t>
            </w:r>
            <w:r w:rsidRPr="006B671F">
              <w:rPr>
                <w:rFonts w:ascii="Palatino Linotype" w:eastAsia="Palatino Linotype" w:hAnsi="Palatino Linotype" w:cs="Palatino Linotype"/>
                <w:i/>
                <w:sz w:val="22"/>
                <w:szCs w:val="22"/>
              </w:rPr>
              <w:lastRenderedPageBreak/>
              <w:t>REGISTRO Y/O EQUIVALENTE DEL 01 AL 15 DE ENERO DE 2024.</w:t>
            </w:r>
          </w:p>
        </w:tc>
      </w:tr>
    </w:tbl>
    <w:p w14:paraId="41C78DA6" w14:textId="77777777" w:rsidR="00633544" w:rsidRPr="006B671F" w:rsidRDefault="00633544" w:rsidP="00EC101D">
      <w:pPr>
        <w:spacing w:line="360" w:lineRule="auto"/>
        <w:ind w:right="49"/>
        <w:jc w:val="both"/>
        <w:rPr>
          <w:rFonts w:ascii="Palatino Linotype" w:eastAsia="Palatino Linotype" w:hAnsi="Palatino Linotype" w:cs="Palatino Linotype"/>
          <w:b/>
          <w:sz w:val="22"/>
          <w:szCs w:val="22"/>
        </w:rPr>
      </w:pPr>
    </w:p>
    <w:p w14:paraId="7BC24E40" w14:textId="77777777" w:rsidR="00FE7ABB" w:rsidRPr="006B671F" w:rsidRDefault="00EA406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Modalidad elegida para la entrega de la información:</w:t>
      </w:r>
      <w:r w:rsidRPr="006B671F">
        <w:rPr>
          <w:rFonts w:ascii="Palatino Linotype" w:eastAsia="Palatino Linotype" w:hAnsi="Palatino Linotype" w:cs="Palatino Linotype"/>
          <w:sz w:val="22"/>
          <w:szCs w:val="22"/>
        </w:rPr>
        <w:t xml:space="preserve"> a través del Sistema de Acceso a la Información Mexiquense (SAIMEX). </w:t>
      </w:r>
    </w:p>
    <w:p w14:paraId="6840FA30" w14:textId="77777777" w:rsidR="00FE7ABB" w:rsidRPr="006B671F" w:rsidRDefault="00FE7ABB" w:rsidP="00EC101D">
      <w:pPr>
        <w:spacing w:line="360" w:lineRule="auto"/>
        <w:jc w:val="both"/>
        <w:rPr>
          <w:rFonts w:ascii="Palatino Linotype" w:eastAsia="Palatino Linotype" w:hAnsi="Palatino Linotype" w:cs="Palatino Linotype"/>
          <w:sz w:val="22"/>
          <w:szCs w:val="22"/>
        </w:rPr>
      </w:pPr>
    </w:p>
    <w:p w14:paraId="5B7F3598" w14:textId="1068C763" w:rsidR="00E847A3" w:rsidRPr="006B671F" w:rsidRDefault="00E847A3" w:rsidP="00EC101D">
      <w:pPr>
        <w:widowControl w:val="0"/>
        <w:spacing w:line="360" w:lineRule="auto"/>
        <w:contextualSpacing/>
        <w:jc w:val="both"/>
        <w:rPr>
          <w:rFonts w:ascii="Palatino Linotype" w:eastAsia="Palatino Linotype" w:hAnsi="Palatino Linotype" w:cs="Palatino Linotype"/>
          <w:b/>
          <w:sz w:val="22"/>
          <w:szCs w:val="22"/>
          <w:lang w:eastAsia="es-ES"/>
        </w:rPr>
      </w:pPr>
      <w:r w:rsidRPr="006B671F">
        <w:rPr>
          <w:rFonts w:ascii="Palatino Linotype" w:eastAsia="Palatino Linotype" w:hAnsi="Palatino Linotype" w:cs="Palatino Linotype"/>
          <w:b/>
          <w:sz w:val="22"/>
          <w:szCs w:val="22"/>
          <w:lang w:eastAsia="es-ES"/>
        </w:rPr>
        <w:t xml:space="preserve">2. Prorroga. </w:t>
      </w:r>
      <w:r w:rsidRPr="006B671F">
        <w:rPr>
          <w:rFonts w:ascii="Palatino Linotype" w:eastAsia="Palatino Linotype" w:hAnsi="Palatino Linotype" w:cs="Palatino Linotype"/>
          <w:sz w:val="22"/>
          <w:szCs w:val="22"/>
          <w:lang w:eastAsia="es-ES"/>
        </w:rPr>
        <w:t>El ocho de octubre de dos mil veinticuatro, el Sujeto Obligado solicitó una prórroga para dar respuesta a las solicitudes de acceso a la información pública.</w:t>
      </w:r>
    </w:p>
    <w:p w14:paraId="0F0D326C" w14:textId="77777777" w:rsidR="00E847A3" w:rsidRPr="006B671F" w:rsidRDefault="00E847A3" w:rsidP="00EC101D">
      <w:pPr>
        <w:widowControl w:val="0"/>
        <w:spacing w:line="360" w:lineRule="auto"/>
        <w:contextualSpacing/>
        <w:jc w:val="both"/>
        <w:rPr>
          <w:rFonts w:ascii="Palatino Linotype" w:eastAsia="Palatino Linotype" w:hAnsi="Palatino Linotype" w:cs="Palatino Linotype"/>
          <w:b/>
          <w:sz w:val="22"/>
          <w:szCs w:val="22"/>
          <w:lang w:eastAsia="es-ES"/>
        </w:rPr>
      </w:pPr>
    </w:p>
    <w:p w14:paraId="3B67AF76" w14:textId="74413C61" w:rsidR="00915577" w:rsidRPr="006B671F" w:rsidRDefault="00E847A3" w:rsidP="00EC101D">
      <w:pPr>
        <w:widowControl w:val="0"/>
        <w:spacing w:line="360" w:lineRule="auto"/>
        <w:contextualSpacing/>
        <w:jc w:val="both"/>
        <w:rPr>
          <w:rFonts w:ascii="Palatino Linotype" w:eastAsia="Palatino Linotype" w:hAnsi="Palatino Linotype" w:cs="Palatino Linotype"/>
          <w:sz w:val="22"/>
          <w:szCs w:val="22"/>
          <w:lang w:eastAsia="es-ES"/>
        </w:rPr>
      </w:pPr>
      <w:r w:rsidRPr="006B671F">
        <w:rPr>
          <w:rFonts w:ascii="Palatino Linotype" w:eastAsia="Palatino Linotype" w:hAnsi="Palatino Linotype" w:cs="Palatino Linotype"/>
          <w:b/>
          <w:sz w:val="22"/>
          <w:szCs w:val="22"/>
          <w:lang w:eastAsia="es-ES"/>
        </w:rPr>
        <w:t>3</w:t>
      </w:r>
      <w:r w:rsidR="00D11881" w:rsidRPr="006B671F">
        <w:rPr>
          <w:rFonts w:ascii="Palatino Linotype" w:eastAsia="Palatino Linotype" w:hAnsi="Palatino Linotype" w:cs="Palatino Linotype"/>
          <w:b/>
          <w:sz w:val="22"/>
          <w:szCs w:val="22"/>
          <w:lang w:eastAsia="es-ES"/>
        </w:rPr>
        <w:t>. Respuesta.</w:t>
      </w:r>
      <w:r w:rsidR="00D11881" w:rsidRPr="006B671F">
        <w:rPr>
          <w:rFonts w:ascii="Palatino Linotype" w:eastAsia="Palatino Linotype" w:hAnsi="Palatino Linotype" w:cs="Palatino Linotype"/>
          <w:sz w:val="22"/>
          <w:szCs w:val="22"/>
          <w:lang w:eastAsia="es-ES"/>
        </w:rPr>
        <w:t xml:space="preserve"> </w:t>
      </w:r>
      <w:r w:rsidR="00200744" w:rsidRPr="006B671F">
        <w:rPr>
          <w:rFonts w:ascii="Palatino Linotype" w:eastAsia="Palatino Linotype" w:hAnsi="Palatino Linotype" w:cs="Palatino Linotype"/>
          <w:sz w:val="22"/>
          <w:szCs w:val="22"/>
          <w:lang w:eastAsia="es-ES"/>
        </w:rPr>
        <w:t xml:space="preserve">En fecha </w:t>
      </w:r>
      <w:r w:rsidR="004B763E" w:rsidRPr="006B671F">
        <w:rPr>
          <w:rFonts w:ascii="Palatino Linotype" w:eastAsia="Palatino Linotype" w:hAnsi="Palatino Linotype" w:cs="Palatino Linotype"/>
          <w:b/>
          <w:sz w:val="22"/>
          <w:szCs w:val="22"/>
          <w:lang w:eastAsia="es-ES"/>
        </w:rPr>
        <w:t>diecisiete</w:t>
      </w:r>
      <w:r w:rsidR="00FC1F2B" w:rsidRPr="006B671F">
        <w:rPr>
          <w:rFonts w:ascii="Palatino Linotype" w:eastAsia="Palatino Linotype" w:hAnsi="Palatino Linotype" w:cs="Palatino Linotype"/>
          <w:b/>
          <w:bCs/>
          <w:sz w:val="22"/>
          <w:szCs w:val="22"/>
          <w:lang w:eastAsia="es-ES"/>
        </w:rPr>
        <w:t xml:space="preserve"> de </w:t>
      </w:r>
      <w:r w:rsidR="004B763E" w:rsidRPr="006B671F">
        <w:rPr>
          <w:rFonts w:ascii="Palatino Linotype" w:eastAsia="Palatino Linotype" w:hAnsi="Palatino Linotype" w:cs="Palatino Linotype"/>
          <w:b/>
          <w:bCs/>
          <w:sz w:val="22"/>
          <w:szCs w:val="22"/>
          <w:lang w:eastAsia="es-ES"/>
        </w:rPr>
        <w:t>octubre</w:t>
      </w:r>
      <w:r w:rsidR="00FC1F2B" w:rsidRPr="006B671F">
        <w:rPr>
          <w:rFonts w:ascii="Palatino Linotype" w:eastAsia="Palatino Linotype" w:hAnsi="Palatino Linotype" w:cs="Palatino Linotype"/>
          <w:b/>
          <w:bCs/>
          <w:sz w:val="22"/>
          <w:szCs w:val="22"/>
          <w:lang w:eastAsia="es-ES"/>
        </w:rPr>
        <w:t xml:space="preserve"> </w:t>
      </w:r>
      <w:r w:rsidR="003A0268" w:rsidRPr="006B671F">
        <w:rPr>
          <w:rFonts w:ascii="Palatino Linotype" w:eastAsia="Palatino Linotype" w:hAnsi="Palatino Linotype" w:cs="Palatino Linotype"/>
          <w:b/>
          <w:bCs/>
          <w:sz w:val="22"/>
          <w:szCs w:val="22"/>
          <w:lang w:eastAsia="es-ES"/>
        </w:rPr>
        <w:t>de dos mil veinticuatro</w:t>
      </w:r>
      <w:r w:rsidR="006041B2" w:rsidRPr="006B671F">
        <w:rPr>
          <w:rFonts w:ascii="Palatino Linotype" w:eastAsia="Palatino Linotype" w:hAnsi="Palatino Linotype" w:cs="Palatino Linotype"/>
          <w:sz w:val="22"/>
          <w:szCs w:val="22"/>
          <w:lang w:eastAsia="es-ES"/>
        </w:rPr>
        <w:t xml:space="preserve">, el Sujeto Obligado notificó a la parte Recurrente, </w:t>
      </w:r>
      <w:r w:rsidR="0026509A" w:rsidRPr="006B671F">
        <w:rPr>
          <w:rFonts w:ascii="Palatino Linotype" w:eastAsia="Palatino Linotype" w:hAnsi="Palatino Linotype" w:cs="Palatino Linotype"/>
          <w:sz w:val="22"/>
          <w:szCs w:val="22"/>
          <w:lang w:eastAsia="es-ES"/>
        </w:rPr>
        <w:t>en las</w:t>
      </w:r>
      <w:r w:rsidR="00D11881" w:rsidRPr="006B671F">
        <w:rPr>
          <w:rFonts w:ascii="Palatino Linotype" w:eastAsia="Palatino Linotype" w:hAnsi="Palatino Linotype" w:cs="Palatino Linotype"/>
          <w:sz w:val="22"/>
          <w:szCs w:val="22"/>
          <w:lang w:eastAsia="es-ES"/>
        </w:rPr>
        <w:t xml:space="preserve"> solicitudes las respuestas correspondientes</w:t>
      </w:r>
      <w:r w:rsidR="006041B2" w:rsidRPr="006B671F">
        <w:rPr>
          <w:rFonts w:ascii="Palatino Linotype" w:eastAsia="Palatino Linotype" w:hAnsi="Palatino Linotype" w:cs="Palatino Linotype"/>
          <w:sz w:val="22"/>
          <w:szCs w:val="22"/>
          <w:lang w:eastAsia="es-ES"/>
        </w:rPr>
        <w:t>, en los términos siguientes:</w:t>
      </w:r>
      <w:r w:rsidR="005F6D92" w:rsidRPr="006B671F">
        <w:rPr>
          <w:rFonts w:ascii="Palatino Linotype" w:eastAsia="Palatino Linotype" w:hAnsi="Palatino Linotype" w:cs="Palatino Linotype"/>
          <w:sz w:val="22"/>
          <w:szCs w:val="22"/>
          <w:lang w:eastAsia="es-ES"/>
        </w:rPr>
        <w:t xml:space="preserve"> </w:t>
      </w:r>
      <w:r w:rsidR="00E9311D" w:rsidRPr="006B671F">
        <w:rPr>
          <w:rFonts w:ascii="Palatino Linotype" w:eastAsia="Palatino Linotype" w:hAnsi="Palatino Linotype" w:cs="Palatino Linotype"/>
          <w:sz w:val="22"/>
          <w:szCs w:val="22"/>
          <w:lang w:eastAsia="es-ES"/>
        </w:rPr>
        <w:t xml:space="preserve"> </w:t>
      </w:r>
    </w:p>
    <w:p w14:paraId="521E748C" w14:textId="77777777" w:rsidR="00712DFC" w:rsidRPr="006B671F" w:rsidRDefault="00712DFC" w:rsidP="00EC101D">
      <w:pPr>
        <w:widowControl w:val="0"/>
        <w:spacing w:line="360" w:lineRule="auto"/>
        <w:contextualSpacing/>
        <w:jc w:val="both"/>
        <w:rPr>
          <w:rFonts w:ascii="Palatino Linotype" w:eastAsia="Palatino Linotype" w:hAnsi="Palatino Linotype" w:cs="Palatino Linotype"/>
          <w:sz w:val="22"/>
          <w:szCs w:val="22"/>
        </w:rPr>
      </w:pPr>
    </w:p>
    <w:p w14:paraId="335C9CBD" w14:textId="77777777" w:rsidR="0026509A" w:rsidRPr="006B671F" w:rsidRDefault="0026509A" w:rsidP="0026509A">
      <w:pPr>
        <w:spacing w:line="360" w:lineRule="auto"/>
        <w:ind w:left="567" w:right="843"/>
        <w:contextualSpacing/>
        <w:jc w:val="both"/>
        <w:rPr>
          <w:rFonts w:ascii="Palatino Linotype" w:eastAsia="Palatino Linotype" w:hAnsi="Palatino Linotype" w:cs="Palatino Linotype"/>
          <w:i/>
          <w:sz w:val="22"/>
          <w:szCs w:val="22"/>
          <w:lang w:eastAsia="es-ES"/>
        </w:rPr>
      </w:pPr>
      <w:r w:rsidRPr="006B671F">
        <w:rPr>
          <w:rFonts w:ascii="Palatino Linotype" w:eastAsia="Palatino Linotype" w:hAnsi="Palatino Linotype" w:cs="Palatino Linotype"/>
          <w:i/>
          <w:sz w:val="22"/>
          <w:szCs w:val="22"/>
          <w:lang w:eastAsia="es-ES"/>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02F5E072" w14:textId="77777777" w:rsidR="0026509A" w:rsidRPr="006B671F" w:rsidRDefault="0026509A" w:rsidP="0026509A">
      <w:pPr>
        <w:spacing w:line="360" w:lineRule="auto"/>
        <w:ind w:left="567" w:right="843"/>
        <w:contextualSpacing/>
        <w:jc w:val="both"/>
        <w:rPr>
          <w:rFonts w:ascii="Palatino Linotype" w:eastAsia="Palatino Linotype" w:hAnsi="Palatino Linotype" w:cs="Palatino Linotype"/>
          <w:i/>
          <w:sz w:val="22"/>
          <w:szCs w:val="22"/>
          <w:lang w:eastAsia="es-ES"/>
        </w:rPr>
      </w:pPr>
      <w:r w:rsidRPr="006B671F">
        <w:rPr>
          <w:rFonts w:ascii="Palatino Linotype" w:eastAsia="Palatino Linotype" w:hAnsi="Palatino Linotype" w:cs="Palatino Linotype"/>
          <w:i/>
          <w:sz w:val="22"/>
          <w:szCs w:val="22"/>
          <w:lang w:eastAsia="es-ES"/>
        </w:rPr>
        <w:t>Se adjunta respuesta a su solicitud.</w:t>
      </w:r>
    </w:p>
    <w:p w14:paraId="2DB02A77" w14:textId="77777777" w:rsidR="0026509A" w:rsidRPr="006B671F" w:rsidRDefault="0026509A" w:rsidP="0026509A">
      <w:pPr>
        <w:spacing w:line="360" w:lineRule="auto"/>
        <w:ind w:left="567" w:right="843"/>
        <w:contextualSpacing/>
        <w:jc w:val="both"/>
        <w:rPr>
          <w:rFonts w:ascii="Palatino Linotype" w:eastAsia="Palatino Linotype" w:hAnsi="Palatino Linotype" w:cs="Palatino Linotype"/>
          <w:i/>
          <w:sz w:val="22"/>
          <w:szCs w:val="22"/>
          <w:lang w:eastAsia="es-ES"/>
        </w:rPr>
      </w:pPr>
      <w:r w:rsidRPr="006B671F">
        <w:rPr>
          <w:rFonts w:ascii="Palatino Linotype" w:eastAsia="Palatino Linotype" w:hAnsi="Palatino Linotype" w:cs="Palatino Linotype"/>
          <w:i/>
          <w:sz w:val="22"/>
          <w:szCs w:val="22"/>
          <w:lang w:eastAsia="es-ES"/>
        </w:rPr>
        <w:t>ATENTAMENTE</w:t>
      </w:r>
    </w:p>
    <w:p w14:paraId="2EBE9672" w14:textId="50614508" w:rsidR="006041B2" w:rsidRPr="006B671F" w:rsidRDefault="0026509A" w:rsidP="0026509A">
      <w:pPr>
        <w:spacing w:line="360" w:lineRule="auto"/>
        <w:ind w:left="567" w:right="843"/>
        <w:contextualSpacing/>
        <w:jc w:val="both"/>
        <w:rPr>
          <w:rFonts w:ascii="Palatino Linotype" w:eastAsia="Palatino Linotype" w:hAnsi="Palatino Linotype" w:cs="Palatino Linotype"/>
          <w:i/>
          <w:sz w:val="22"/>
          <w:szCs w:val="22"/>
          <w:lang w:eastAsia="es-ES"/>
        </w:rPr>
      </w:pPr>
      <w:r w:rsidRPr="006B671F">
        <w:rPr>
          <w:rFonts w:ascii="Palatino Linotype" w:eastAsia="Palatino Linotype" w:hAnsi="Palatino Linotype" w:cs="Palatino Linotype"/>
          <w:i/>
          <w:sz w:val="22"/>
          <w:szCs w:val="22"/>
          <w:lang w:eastAsia="es-ES"/>
        </w:rPr>
        <w:t>MTRO HÉCTOR DANIEL ZARAGOZA MANRÍQUE</w:t>
      </w:r>
      <w:r w:rsidR="00946ADD" w:rsidRPr="006B671F">
        <w:rPr>
          <w:rFonts w:ascii="Palatino Linotype" w:eastAsia="Palatino Linotype" w:hAnsi="Palatino Linotype" w:cs="Palatino Linotype"/>
          <w:i/>
          <w:sz w:val="22"/>
          <w:szCs w:val="22"/>
          <w:lang w:eastAsia="es-ES"/>
        </w:rPr>
        <w:t xml:space="preserve"> </w:t>
      </w:r>
    </w:p>
    <w:p w14:paraId="35EB12C4" w14:textId="18D2CAA6" w:rsidR="0026509A" w:rsidRPr="006B671F" w:rsidRDefault="00895A38" w:rsidP="0026509A">
      <w:pPr>
        <w:spacing w:line="360" w:lineRule="auto"/>
        <w:ind w:left="567" w:right="843"/>
        <w:contextualSpacing/>
        <w:jc w:val="both"/>
        <w:rPr>
          <w:rFonts w:ascii="Palatino Linotype" w:eastAsia="Palatino Linotype" w:hAnsi="Palatino Linotype" w:cs="Palatino Linotype"/>
          <w:i/>
          <w:sz w:val="22"/>
          <w:szCs w:val="22"/>
          <w:lang w:eastAsia="es-ES"/>
        </w:rPr>
      </w:pPr>
      <w:r w:rsidRPr="00895A38">
        <w:rPr>
          <w:rFonts w:ascii="Palatino Linotype" w:eastAsia="Palatino Linotype" w:hAnsi="Palatino Linotype" w:cs="Palatino Linotype"/>
          <w:i/>
          <w:noProof/>
          <w:sz w:val="22"/>
          <w:szCs w:val="22"/>
          <w:lang w:eastAsia="es-ES"/>
        </w:rPr>
        <w:drawing>
          <wp:inline distT="0" distB="0" distL="0" distR="0" wp14:anchorId="69B512A0" wp14:editId="10D8540C">
            <wp:extent cx="5756275" cy="709930"/>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756275" cy="709930"/>
                    </a:xfrm>
                    <a:prstGeom prst="rect">
                      <a:avLst/>
                    </a:prstGeom>
                  </pic:spPr>
                </pic:pic>
              </a:graphicData>
            </a:graphic>
          </wp:inline>
        </w:drawing>
      </w:r>
    </w:p>
    <w:p w14:paraId="7F96D83E" w14:textId="3F0CE435" w:rsidR="0026509A" w:rsidRPr="006B671F" w:rsidRDefault="0026509A" w:rsidP="0026509A">
      <w:pPr>
        <w:spacing w:line="360" w:lineRule="auto"/>
        <w:ind w:right="843"/>
        <w:contextualSpacing/>
        <w:jc w:val="both"/>
        <w:rPr>
          <w:rFonts w:ascii="Palatino Linotype" w:eastAsia="Palatino Linotype" w:hAnsi="Palatino Linotype" w:cs="Palatino Linotype"/>
          <w:sz w:val="22"/>
          <w:szCs w:val="22"/>
          <w:lang w:eastAsia="es-ES"/>
        </w:rPr>
      </w:pPr>
      <w:r w:rsidRPr="006B671F">
        <w:rPr>
          <w:rFonts w:ascii="Palatino Linotype" w:eastAsia="Palatino Linotype" w:hAnsi="Palatino Linotype" w:cs="Palatino Linotype"/>
          <w:sz w:val="22"/>
          <w:szCs w:val="22"/>
          <w:lang w:eastAsia="es-ES"/>
        </w:rPr>
        <w:t>A las respuestas adjuntó los documentos los siguientes documentos electrónicos:</w:t>
      </w:r>
    </w:p>
    <w:p w14:paraId="6C9B913B" w14:textId="77777777" w:rsidR="0026509A" w:rsidRPr="006B671F" w:rsidRDefault="0026509A" w:rsidP="0026509A">
      <w:pPr>
        <w:spacing w:line="360" w:lineRule="auto"/>
        <w:ind w:right="843"/>
        <w:contextualSpacing/>
        <w:jc w:val="both"/>
        <w:rPr>
          <w:rFonts w:ascii="Palatino Linotype" w:eastAsia="Palatino Linotype" w:hAnsi="Palatino Linotype" w:cs="Palatino Linotype"/>
          <w:sz w:val="22"/>
          <w:szCs w:val="22"/>
          <w:lang w:eastAsia="es-ES"/>
        </w:rPr>
      </w:pPr>
    </w:p>
    <w:p w14:paraId="1632C4D7" w14:textId="6F1366BC" w:rsidR="0026509A" w:rsidRPr="006B671F" w:rsidRDefault="0026509A" w:rsidP="00662D89">
      <w:pPr>
        <w:pStyle w:val="Prrafodelista"/>
        <w:numPr>
          <w:ilvl w:val="0"/>
          <w:numId w:val="2"/>
        </w:numPr>
        <w:spacing w:line="360" w:lineRule="auto"/>
        <w:ind w:right="843"/>
        <w:jc w:val="both"/>
        <w:rPr>
          <w:rFonts w:ascii="Palatino Linotype" w:eastAsia="Palatino Linotype" w:hAnsi="Palatino Linotype" w:cs="Palatino Linotype"/>
          <w:b/>
          <w:sz w:val="22"/>
          <w:szCs w:val="22"/>
          <w:lang w:eastAsia="es-ES"/>
        </w:rPr>
      </w:pPr>
      <w:r w:rsidRPr="006B671F">
        <w:rPr>
          <w:rFonts w:ascii="Palatino Linotype" w:eastAsia="Palatino Linotype" w:hAnsi="Palatino Linotype" w:cs="Palatino Linotype"/>
          <w:b/>
          <w:sz w:val="22"/>
          <w:szCs w:val="22"/>
          <w:lang w:eastAsia="es-ES"/>
        </w:rPr>
        <w:lastRenderedPageBreak/>
        <w:t xml:space="preserve">Prueba de Daño 185-202.pdf: </w:t>
      </w:r>
      <w:r w:rsidRPr="006B671F">
        <w:rPr>
          <w:rFonts w:ascii="Palatino Linotype" w:eastAsia="Palatino Linotype" w:hAnsi="Palatino Linotype" w:cs="Palatino Linotype"/>
          <w:sz w:val="22"/>
          <w:szCs w:val="22"/>
          <w:lang w:eastAsia="es-ES"/>
        </w:rPr>
        <w:t>Documento que contiene el desarrollo de la prueba de daño de diversas solicitudes de acceso a la información pública.</w:t>
      </w:r>
    </w:p>
    <w:p w14:paraId="34B63B61" w14:textId="2E065A45" w:rsidR="0026509A" w:rsidRPr="006B671F" w:rsidRDefault="0026509A" w:rsidP="00662D89">
      <w:pPr>
        <w:pStyle w:val="Prrafodelista"/>
        <w:numPr>
          <w:ilvl w:val="0"/>
          <w:numId w:val="2"/>
        </w:numPr>
        <w:spacing w:line="360" w:lineRule="auto"/>
        <w:ind w:right="843"/>
        <w:jc w:val="both"/>
        <w:rPr>
          <w:rFonts w:ascii="Palatino Linotype" w:eastAsia="Palatino Linotype" w:hAnsi="Palatino Linotype" w:cs="Palatino Linotype"/>
          <w:sz w:val="22"/>
          <w:szCs w:val="22"/>
          <w:lang w:eastAsia="es-ES"/>
        </w:rPr>
      </w:pPr>
      <w:r w:rsidRPr="006B671F">
        <w:rPr>
          <w:rFonts w:ascii="Palatino Linotype" w:eastAsia="Palatino Linotype" w:hAnsi="Palatino Linotype" w:cs="Palatino Linotype"/>
          <w:b/>
          <w:sz w:val="22"/>
          <w:szCs w:val="22"/>
          <w:lang w:eastAsia="es-ES"/>
        </w:rPr>
        <w:t>ACTA CUARTA SESIÓN ORDINARIA.pdf</w:t>
      </w:r>
      <w:r w:rsidR="00946ADD" w:rsidRPr="006B671F">
        <w:rPr>
          <w:rFonts w:ascii="Palatino Linotype" w:eastAsia="Palatino Linotype" w:hAnsi="Palatino Linotype" w:cs="Palatino Linotype"/>
          <w:b/>
          <w:sz w:val="22"/>
          <w:szCs w:val="22"/>
          <w:lang w:eastAsia="es-ES"/>
        </w:rPr>
        <w:t xml:space="preserve">: </w:t>
      </w:r>
      <w:r w:rsidR="00F22E81" w:rsidRPr="006B671F">
        <w:rPr>
          <w:rFonts w:ascii="Palatino Linotype" w:eastAsia="Palatino Linotype" w:hAnsi="Palatino Linotype" w:cs="Palatino Linotype"/>
          <w:sz w:val="22"/>
          <w:szCs w:val="22"/>
          <w:lang w:eastAsia="es-ES"/>
        </w:rPr>
        <w:t>Acta de la Cuarta Sesión Ordinaria del Comité de Transparencia mediante el cual se aprueba por unanimidad la clasificación como información reservada de diversas solicitudes de acceso a la información pública, entre las que se encuentran las que corresponden a los recursos de revisión acumulados, esto por considera que la información al hacerla pública se podría ocasionar un perjuicio a los derechos del debido proceso en los procedimientos de investigación sustanciados por el Sujeto Obligado contra integrantes de la Secretaría de Seguridad.</w:t>
      </w:r>
    </w:p>
    <w:p w14:paraId="271F6551" w14:textId="5C3F8577" w:rsidR="0026509A" w:rsidRPr="006B671F" w:rsidRDefault="0026509A" w:rsidP="00662D89">
      <w:pPr>
        <w:pStyle w:val="Prrafodelista"/>
        <w:numPr>
          <w:ilvl w:val="0"/>
          <w:numId w:val="2"/>
        </w:numPr>
        <w:spacing w:line="360" w:lineRule="auto"/>
        <w:ind w:right="843"/>
        <w:jc w:val="both"/>
        <w:rPr>
          <w:rFonts w:ascii="Palatino Linotype" w:eastAsia="Palatino Linotype" w:hAnsi="Palatino Linotype" w:cs="Palatino Linotype"/>
          <w:b/>
          <w:sz w:val="22"/>
          <w:szCs w:val="22"/>
          <w:lang w:eastAsia="es-ES"/>
        </w:rPr>
      </w:pPr>
      <w:r w:rsidRPr="006B671F">
        <w:rPr>
          <w:rFonts w:ascii="Palatino Linotype" w:eastAsia="Palatino Linotype" w:hAnsi="Palatino Linotype" w:cs="Palatino Linotype"/>
          <w:b/>
          <w:sz w:val="22"/>
          <w:szCs w:val="22"/>
          <w:lang w:eastAsia="es-ES"/>
        </w:rPr>
        <w:t>Scan_2024_10_17_23_34_38_833.pdf</w:t>
      </w:r>
      <w:r w:rsidR="00946ADD" w:rsidRPr="006B671F">
        <w:rPr>
          <w:rFonts w:ascii="Palatino Linotype" w:eastAsia="Palatino Linotype" w:hAnsi="Palatino Linotype" w:cs="Palatino Linotype"/>
          <w:b/>
          <w:sz w:val="22"/>
          <w:szCs w:val="22"/>
          <w:lang w:eastAsia="es-ES"/>
        </w:rPr>
        <w:t xml:space="preserve">: </w:t>
      </w:r>
      <w:r w:rsidR="00F22E81" w:rsidRPr="006B671F">
        <w:rPr>
          <w:rFonts w:ascii="Palatino Linotype" w:eastAsia="Palatino Linotype" w:hAnsi="Palatino Linotype" w:cs="Palatino Linotype"/>
          <w:sz w:val="22"/>
          <w:szCs w:val="22"/>
          <w:lang w:eastAsia="es-ES"/>
        </w:rPr>
        <w:t>Documento suscrito por el Titular de la Unidad de Transparencia mediante el cual refiere que con base en el acta de la cuarta sesión ordinaria, a través del acuerdo UAI/CT/ORDINARIA/2024/04/03 se aprobó la clasificación como información reservada.</w:t>
      </w:r>
    </w:p>
    <w:p w14:paraId="71CF7CBC" w14:textId="77777777" w:rsidR="0026509A" w:rsidRPr="006B671F" w:rsidRDefault="0026509A" w:rsidP="0026509A">
      <w:pPr>
        <w:spacing w:line="360" w:lineRule="auto"/>
        <w:ind w:right="843"/>
        <w:contextualSpacing/>
        <w:jc w:val="both"/>
        <w:rPr>
          <w:rFonts w:ascii="Palatino Linotype" w:eastAsia="Palatino Linotype" w:hAnsi="Palatino Linotype" w:cs="Palatino Linotype"/>
          <w:sz w:val="22"/>
          <w:szCs w:val="22"/>
          <w:lang w:eastAsia="es-ES"/>
        </w:rPr>
      </w:pPr>
    </w:p>
    <w:p w14:paraId="7353401C" w14:textId="02E0E29A" w:rsidR="00FC1F2B" w:rsidRPr="006B671F" w:rsidRDefault="00D4758D" w:rsidP="00EC101D">
      <w:pPr>
        <w:spacing w:line="360" w:lineRule="auto"/>
        <w:contextualSpacing/>
        <w:jc w:val="both"/>
        <w:rPr>
          <w:rFonts w:ascii="Palatino Linotype" w:hAnsi="Palatino Linotype" w:cs="Palatino Linotype"/>
          <w:sz w:val="22"/>
          <w:szCs w:val="22"/>
        </w:rPr>
      </w:pPr>
      <w:r w:rsidRPr="006B671F">
        <w:rPr>
          <w:rFonts w:ascii="Palatino Linotype" w:hAnsi="Palatino Linotype" w:cs="Palatino Linotype"/>
          <w:b/>
          <w:sz w:val="22"/>
          <w:szCs w:val="22"/>
        </w:rPr>
        <w:t>4</w:t>
      </w:r>
      <w:r w:rsidR="00EF01A7" w:rsidRPr="006B671F">
        <w:rPr>
          <w:rFonts w:ascii="Palatino Linotype" w:hAnsi="Palatino Linotype" w:cs="Palatino Linotype"/>
          <w:b/>
          <w:sz w:val="22"/>
          <w:szCs w:val="22"/>
        </w:rPr>
        <w:t xml:space="preserve">. Del Recurso de Revisión. </w:t>
      </w:r>
      <w:r w:rsidR="00EF01A7" w:rsidRPr="006B671F">
        <w:rPr>
          <w:rFonts w:ascii="Palatino Linotype" w:hAnsi="Palatino Linotype" w:cs="Palatino Linotype"/>
          <w:sz w:val="22"/>
          <w:szCs w:val="22"/>
        </w:rPr>
        <w:t>Inconforme con las respuestas del</w:t>
      </w:r>
      <w:r w:rsidR="00EF01A7" w:rsidRPr="006B671F">
        <w:rPr>
          <w:rFonts w:ascii="Palatino Linotype" w:hAnsi="Palatino Linotype" w:cs="Palatino Linotype"/>
          <w:b/>
          <w:sz w:val="22"/>
          <w:szCs w:val="22"/>
        </w:rPr>
        <w:t xml:space="preserve"> SUJETO OBLIGADO, </w:t>
      </w:r>
      <w:r w:rsidR="00EF01A7" w:rsidRPr="006B671F">
        <w:rPr>
          <w:rFonts w:ascii="Palatino Linotype" w:hAnsi="Palatino Linotype" w:cs="Palatino Linotype"/>
          <w:sz w:val="22"/>
          <w:szCs w:val="22"/>
        </w:rPr>
        <w:t>en fecha</w:t>
      </w:r>
      <w:r w:rsidR="002D2E81" w:rsidRPr="006B671F">
        <w:rPr>
          <w:rFonts w:ascii="Palatino Linotype" w:hAnsi="Palatino Linotype" w:cs="Palatino Linotype"/>
          <w:sz w:val="22"/>
          <w:szCs w:val="22"/>
        </w:rPr>
        <w:t xml:space="preserve"> </w:t>
      </w:r>
      <w:r w:rsidR="00F22E81" w:rsidRPr="006B671F">
        <w:rPr>
          <w:rFonts w:ascii="Palatino Linotype" w:hAnsi="Palatino Linotype" w:cs="Palatino Linotype"/>
          <w:b/>
          <w:sz w:val="22"/>
          <w:szCs w:val="22"/>
        </w:rPr>
        <w:t>dieciocho</w:t>
      </w:r>
      <w:r w:rsidR="00FC1F2B" w:rsidRPr="006B671F">
        <w:rPr>
          <w:rFonts w:ascii="Palatino Linotype" w:hAnsi="Palatino Linotype" w:cs="Palatino Linotype"/>
          <w:b/>
          <w:bCs/>
          <w:sz w:val="22"/>
          <w:szCs w:val="22"/>
        </w:rPr>
        <w:t xml:space="preserve"> de </w:t>
      </w:r>
      <w:r w:rsidR="00BC7090" w:rsidRPr="006B671F">
        <w:rPr>
          <w:rFonts w:ascii="Palatino Linotype" w:hAnsi="Palatino Linotype" w:cs="Palatino Linotype"/>
          <w:b/>
          <w:bCs/>
          <w:sz w:val="22"/>
          <w:szCs w:val="22"/>
        </w:rPr>
        <w:t>octubre</w:t>
      </w:r>
      <w:r w:rsidR="00FC1F2B" w:rsidRPr="006B671F">
        <w:rPr>
          <w:rFonts w:ascii="Palatino Linotype" w:hAnsi="Palatino Linotype" w:cs="Palatino Linotype"/>
          <w:b/>
          <w:bCs/>
          <w:sz w:val="22"/>
          <w:szCs w:val="22"/>
        </w:rPr>
        <w:t xml:space="preserve"> </w:t>
      </w:r>
      <w:r w:rsidR="002D2E81" w:rsidRPr="006B671F">
        <w:rPr>
          <w:rFonts w:ascii="Palatino Linotype" w:hAnsi="Palatino Linotype" w:cs="Palatino Linotype"/>
          <w:b/>
          <w:bCs/>
          <w:sz w:val="22"/>
          <w:szCs w:val="22"/>
        </w:rPr>
        <w:t>de dos mil veinticuatro</w:t>
      </w:r>
      <w:r w:rsidR="00EF01A7" w:rsidRPr="006B671F">
        <w:rPr>
          <w:rFonts w:ascii="Palatino Linotype" w:hAnsi="Palatino Linotype" w:cs="Palatino Linotype"/>
          <w:b/>
          <w:sz w:val="22"/>
          <w:szCs w:val="22"/>
        </w:rPr>
        <w:t xml:space="preserve">, LA PARTE RECURRENTE </w:t>
      </w:r>
      <w:r w:rsidR="00EF01A7" w:rsidRPr="006B671F">
        <w:rPr>
          <w:rFonts w:ascii="Palatino Linotype" w:hAnsi="Palatino Linotype" w:cs="Palatino Linotype"/>
          <w:sz w:val="22"/>
          <w:szCs w:val="22"/>
        </w:rPr>
        <w:t xml:space="preserve">interpuso los recursos de revisión, en los cuales </w:t>
      </w:r>
      <w:r w:rsidR="00A30839" w:rsidRPr="006B671F">
        <w:rPr>
          <w:rFonts w:ascii="Palatino Linotype" w:hAnsi="Palatino Linotype" w:cs="Palatino Linotype"/>
          <w:sz w:val="22"/>
          <w:szCs w:val="22"/>
        </w:rPr>
        <w:t xml:space="preserve">manifestó </w:t>
      </w:r>
      <w:r w:rsidR="00EF01A7" w:rsidRPr="006B671F">
        <w:rPr>
          <w:rFonts w:ascii="Palatino Linotype" w:hAnsi="Palatino Linotype" w:cs="Palatino Linotype"/>
          <w:sz w:val="22"/>
          <w:szCs w:val="22"/>
        </w:rPr>
        <w:t xml:space="preserve">lo siguiente: </w:t>
      </w:r>
    </w:p>
    <w:p w14:paraId="0B729D32" w14:textId="23605D07" w:rsidR="00893CAE" w:rsidRPr="006B671F" w:rsidRDefault="00893CAE" w:rsidP="00EC101D">
      <w:pPr>
        <w:spacing w:line="360" w:lineRule="auto"/>
        <w:ind w:right="560"/>
        <w:contextualSpacing/>
        <w:jc w:val="both"/>
        <w:rPr>
          <w:rFonts w:ascii="Palatino Linotype" w:eastAsia="Palatino Linotype" w:hAnsi="Palatino Linotype" w:cs="Palatino Linotype"/>
          <w:sz w:val="22"/>
          <w:szCs w:val="22"/>
        </w:rPr>
      </w:pPr>
    </w:p>
    <w:p w14:paraId="3E4A424F" w14:textId="00CF7FFB" w:rsidR="00FC1F2B" w:rsidRPr="006B671F" w:rsidRDefault="00FC1F2B" w:rsidP="00EC101D">
      <w:pPr>
        <w:spacing w:line="360" w:lineRule="auto"/>
        <w:ind w:left="567" w:right="560"/>
        <w:contextualSpacing/>
        <w:jc w:val="both"/>
        <w:rPr>
          <w:rFonts w:ascii="Palatino Linotype" w:hAnsi="Palatino Linotype" w:cs="Palatino Linotype"/>
          <w:i/>
          <w:iCs/>
          <w:sz w:val="22"/>
          <w:szCs w:val="22"/>
        </w:rPr>
      </w:pPr>
      <w:r w:rsidRPr="006B671F">
        <w:rPr>
          <w:rFonts w:ascii="Palatino Linotype" w:hAnsi="Palatino Linotype" w:cs="Palatino Linotype"/>
          <w:b/>
          <w:bCs/>
          <w:i/>
          <w:iCs/>
          <w:sz w:val="22"/>
          <w:szCs w:val="22"/>
        </w:rPr>
        <w:t>Acto Impugnado:</w:t>
      </w:r>
      <w:r w:rsidRPr="006B671F">
        <w:rPr>
          <w:rFonts w:ascii="Palatino Linotype" w:hAnsi="Palatino Linotype" w:cs="Palatino Linotype"/>
          <w:i/>
          <w:iCs/>
          <w:sz w:val="22"/>
          <w:szCs w:val="22"/>
        </w:rPr>
        <w:t xml:space="preserve"> </w:t>
      </w:r>
      <w:r w:rsidR="005C562E" w:rsidRPr="006B671F">
        <w:rPr>
          <w:rFonts w:ascii="Palatino Linotype" w:hAnsi="Palatino Linotype" w:cs="Palatino Linotype"/>
          <w:i/>
          <w:iCs/>
          <w:sz w:val="22"/>
          <w:szCs w:val="22"/>
        </w:rPr>
        <w:t>“</w:t>
      </w:r>
      <w:r w:rsidR="00D6397A" w:rsidRPr="006B671F">
        <w:rPr>
          <w:rFonts w:ascii="Palatino Linotype" w:hAnsi="Palatino Linotype" w:cs="Palatino Linotype"/>
          <w:i/>
          <w:iCs/>
          <w:sz w:val="22"/>
          <w:szCs w:val="22"/>
        </w:rPr>
        <w:t xml:space="preserve">Artículo 181. Si el escrito de interposición del recurso no cumple con alguno de los requisitos establecidos en el artículo anterior y el Instituto no cuenta con elementos para subsanarlos, se prevendrá al recurrente, por una sola ocasión y a través del </w:t>
      </w:r>
      <w:r w:rsidR="00D6397A" w:rsidRPr="006B671F">
        <w:rPr>
          <w:rFonts w:ascii="Palatino Linotype" w:hAnsi="Palatino Linotype" w:cs="Palatino Linotype"/>
          <w:i/>
          <w:iCs/>
          <w:sz w:val="22"/>
          <w:szCs w:val="22"/>
        </w:rPr>
        <w:lastRenderedPageBreak/>
        <w:t>medio que haya elegido para recibir notificaciones, con el objeto de que subsane las omisiones dentro de un plazo que no podrá exceder de cinco días hábiles, contados a partir del día siguiente de la notificación de la prevención, con el apercibimiento de que, de no cumplir, se desechará el recurso de revisión. La prevención tendrá el efecto de interrumpir el plazo que tiene el Instituto para resolver el recurso, por lo que comenzará a computarse a partir del día siguiente a su desahogo. No podrá prevenirse por el nombre que proporcione el solicitante. El Instituto resolverá el recurso de revisión en un plazo que no podrá exceder de treinta días hábiles, contados a partir de la admisión del mismo, en los términos que establezca la presente ley, plazo que podrá ampliarse por una sola vez y hasta por un periodo de quince días hábiles. Durante el procedimiento deberá aplicarse la suplencia de la queja a favor del recurrente, sin cambiar los hechos expuestos, asegurándose de que las partes puedan presentar, de manera oral o escrita, los argumentos que funden y motiven sus pretensiones. Para el caso de interposición del recurso de revisión a través de la Plataforma Nacional o la plataforma que para tales efectos habilite el Instituto, éste podrá solicitar al particular subsane las deficiencias por ese medio.</w:t>
      </w:r>
      <w:r w:rsidR="005C562E" w:rsidRPr="006B671F">
        <w:rPr>
          <w:rFonts w:ascii="Palatino Linotype" w:hAnsi="Palatino Linotype" w:cs="Palatino Linotype"/>
          <w:i/>
          <w:iCs/>
          <w:sz w:val="22"/>
          <w:szCs w:val="22"/>
        </w:rPr>
        <w:t>”</w:t>
      </w:r>
    </w:p>
    <w:p w14:paraId="24A0231E" w14:textId="54D48964" w:rsidR="00FC1F2B" w:rsidRPr="006B671F" w:rsidRDefault="00FC1F2B" w:rsidP="00EC101D">
      <w:pPr>
        <w:spacing w:line="360" w:lineRule="auto"/>
        <w:ind w:left="567" w:right="560"/>
        <w:contextualSpacing/>
        <w:jc w:val="both"/>
        <w:rPr>
          <w:rFonts w:ascii="Palatino Linotype" w:hAnsi="Palatino Linotype" w:cs="Palatino Linotype"/>
          <w:i/>
          <w:iCs/>
          <w:sz w:val="22"/>
          <w:szCs w:val="22"/>
        </w:rPr>
      </w:pPr>
      <w:r w:rsidRPr="006B671F">
        <w:rPr>
          <w:rFonts w:ascii="Palatino Linotype" w:hAnsi="Palatino Linotype" w:cs="Palatino Linotype"/>
          <w:b/>
          <w:bCs/>
          <w:i/>
          <w:iCs/>
          <w:sz w:val="22"/>
          <w:szCs w:val="22"/>
        </w:rPr>
        <w:t>Motivo de inconformidad:</w:t>
      </w:r>
      <w:r w:rsidRPr="006B671F">
        <w:rPr>
          <w:rFonts w:ascii="Palatino Linotype" w:hAnsi="Palatino Linotype" w:cs="Palatino Linotype"/>
          <w:i/>
          <w:iCs/>
          <w:sz w:val="22"/>
          <w:szCs w:val="22"/>
        </w:rPr>
        <w:t xml:space="preserve"> </w:t>
      </w:r>
      <w:r w:rsidR="005C562E" w:rsidRPr="006B671F">
        <w:rPr>
          <w:rFonts w:ascii="Palatino Linotype" w:hAnsi="Palatino Linotype" w:cs="Palatino Linotype"/>
          <w:i/>
          <w:iCs/>
          <w:sz w:val="22"/>
          <w:szCs w:val="22"/>
        </w:rPr>
        <w:t>“</w:t>
      </w:r>
      <w:r w:rsidR="00D6397A" w:rsidRPr="006B671F">
        <w:rPr>
          <w:rFonts w:ascii="Palatino Linotype" w:hAnsi="Palatino Linotype" w:cs="Palatino Linotype"/>
          <w:i/>
          <w:iCs/>
          <w:sz w:val="22"/>
          <w:szCs w:val="22"/>
        </w:rPr>
        <w:t xml:space="preserve">Artículo 181. Si el escrito de interposición del recurso no cumple con alguno de los requisitos establecidos en el artículo anterior y el Instituto no cuenta con elementos para subsanarlos, se prevendrá al recurrente, por una sola ocasión y a través del medio que haya elegido para recibir notificaciones, con el objeto de que subsane las omisiones dentro de un plazo que no podrá exceder de cinco días hábiles, contados a partir del día siguiente de la notificación de la prevención, con el apercibimiento de que, de no cumplir, se desechará el recurso de revisión. La prevención tendrá el efecto de interrumpir el plazo que tiene el Instituto para resolver el recurso, por lo que comenzará a computarse a partir del día siguiente a su desahogo. No podrá prevenirse por el nombre que </w:t>
      </w:r>
      <w:r w:rsidR="00D6397A" w:rsidRPr="006B671F">
        <w:rPr>
          <w:rFonts w:ascii="Palatino Linotype" w:hAnsi="Palatino Linotype" w:cs="Palatino Linotype"/>
          <w:i/>
          <w:iCs/>
          <w:sz w:val="22"/>
          <w:szCs w:val="22"/>
        </w:rPr>
        <w:lastRenderedPageBreak/>
        <w:t>proporcione el solicitante. El Instituto resolverá el recurso de revisión en un plazo que no podrá exceder de treinta días hábiles, contados a partir de la admisión del mismo, en los términos que establezca la presente ley, plazo que podrá ampliarse por una sola vez y hasta por un periodo de quince días hábiles. Durante el procedimiento deberá aplicarse la suplencia de la queja a favor del recurrente, sin cambiar los hechos expuestos, asegurándose de que las partes puedan presentar, de manera oral o escrita, los argumentos que funden y motiven sus pretensiones. Para el caso de interposición del recurso de revisión a través de la Plataforma Nacional o la plataforma que para tales efectos habilite el Instituto, éste podrá solicitar al particular subsane las deficiencias por ese medio.</w:t>
      </w:r>
      <w:r w:rsidR="005C562E" w:rsidRPr="006B671F">
        <w:rPr>
          <w:rFonts w:ascii="Palatino Linotype" w:hAnsi="Palatino Linotype" w:cs="Palatino Linotype"/>
          <w:i/>
          <w:iCs/>
          <w:sz w:val="22"/>
          <w:szCs w:val="22"/>
        </w:rPr>
        <w:t>”</w:t>
      </w:r>
    </w:p>
    <w:p w14:paraId="51F6144C" w14:textId="77777777" w:rsidR="005C562E" w:rsidRPr="006B671F" w:rsidRDefault="005C562E" w:rsidP="00EC101D">
      <w:pPr>
        <w:spacing w:line="360" w:lineRule="auto"/>
        <w:ind w:left="567" w:right="560"/>
        <w:contextualSpacing/>
        <w:jc w:val="both"/>
        <w:rPr>
          <w:rFonts w:ascii="Palatino Linotype" w:hAnsi="Palatino Linotype" w:cs="Palatino Linotype"/>
          <w:i/>
          <w:iCs/>
          <w:sz w:val="22"/>
          <w:szCs w:val="22"/>
        </w:rPr>
      </w:pPr>
    </w:p>
    <w:p w14:paraId="02BAD3C9" w14:textId="2D28E863" w:rsidR="007A7E69" w:rsidRPr="006B671F" w:rsidRDefault="00D4758D" w:rsidP="00EC101D">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5</w:t>
      </w:r>
      <w:r w:rsidR="00D11881" w:rsidRPr="006B671F">
        <w:rPr>
          <w:rFonts w:ascii="Palatino Linotype" w:eastAsia="Palatino Linotype" w:hAnsi="Palatino Linotype" w:cs="Palatino Linotype"/>
          <w:b/>
          <w:sz w:val="22"/>
          <w:szCs w:val="22"/>
        </w:rPr>
        <w:t>.</w:t>
      </w:r>
      <w:r w:rsidR="007A7E69" w:rsidRPr="006B671F">
        <w:rPr>
          <w:rFonts w:ascii="Palatino Linotype" w:eastAsia="Palatino Linotype" w:hAnsi="Palatino Linotype" w:cs="Palatino Linotype"/>
          <w:b/>
          <w:sz w:val="22"/>
          <w:szCs w:val="22"/>
        </w:rPr>
        <w:t xml:space="preserve"> Turno. </w:t>
      </w:r>
      <w:r w:rsidR="007A7E69" w:rsidRPr="006B671F">
        <w:rPr>
          <w:rFonts w:ascii="Palatino Linotype" w:eastAsia="Palatino Linotype" w:hAnsi="Palatino Linotype" w:cs="Palatino Linotype"/>
          <w:sz w:val="22"/>
          <w:szCs w:val="22"/>
        </w:rPr>
        <w:t>De conformidad con el artículo 185 fracción I de la Ley Transparencia y Acceso a la Información Pública, los recursos de revisión fueron</w:t>
      </w:r>
      <w:r w:rsidR="007A7E69" w:rsidRPr="006B671F">
        <w:rPr>
          <w:rFonts w:ascii="Palatino Linotype" w:eastAsia="Palatino Linotype" w:hAnsi="Palatino Linotype" w:cs="Palatino Linotype"/>
          <w:b/>
          <w:sz w:val="22"/>
          <w:szCs w:val="22"/>
        </w:rPr>
        <w:t xml:space="preserve"> </w:t>
      </w:r>
      <w:r w:rsidR="007A7E69" w:rsidRPr="006B671F">
        <w:rPr>
          <w:rFonts w:ascii="Palatino Linotype" w:eastAsia="Palatino Linotype" w:hAnsi="Palatino Linotype" w:cs="Palatino Linotype"/>
          <w:sz w:val="22"/>
          <w:szCs w:val="22"/>
        </w:rPr>
        <w:t xml:space="preserve">turnados de la siguiente manera a efecto de presentar al Pleno los proyectos de resolución correspondientes: </w:t>
      </w:r>
    </w:p>
    <w:p w14:paraId="4954FF79" w14:textId="77777777" w:rsidR="00FC1F2B" w:rsidRPr="006B671F" w:rsidRDefault="00FC1F2B" w:rsidP="00EC101D">
      <w:pPr>
        <w:spacing w:line="360" w:lineRule="auto"/>
        <w:jc w:val="both"/>
        <w:rPr>
          <w:rFonts w:ascii="Palatino Linotype" w:eastAsia="Palatino Linotype" w:hAnsi="Palatino Linotype" w:cs="Palatino Linotype"/>
          <w:sz w:val="22"/>
          <w:szCs w:val="22"/>
        </w:rPr>
      </w:pPr>
    </w:p>
    <w:tbl>
      <w:tblPr>
        <w:tblW w:w="892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0"/>
        <w:gridCol w:w="4461"/>
      </w:tblGrid>
      <w:tr w:rsidR="006B671F" w:rsidRPr="006B671F" w14:paraId="44FD33BB" w14:textId="77777777" w:rsidTr="005703F6">
        <w:tc>
          <w:tcPr>
            <w:tcW w:w="4460" w:type="dxa"/>
            <w:shd w:val="clear" w:color="auto" w:fill="DDD9C4"/>
          </w:tcPr>
          <w:p w14:paraId="32C6F16A" w14:textId="77777777" w:rsidR="007A7E69" w:rsidRPr="006B671F" w:rsidRDefault="007A7E69"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Recurso de Revisión</w:t>
            </w:r>
          </w:p>
        </w:tc>
        <w:tc>
          <w:tcPr>
            <w:tcW w:w="4461" w:type="dxa"/>
            <w:shd w:val="clear" w:color="auto" w:fill="DDD9C4"/>
          </w:tcPr>
          <w:p w14:paraId="15284574" w14:textId="77777777" w:rsidR="007A7E69" w:rsidRPr="006B671F" w:rsidRDefault="007A7E69"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w:t>
            </w:r>
          </w:p>
        </w:tc>
      </w:tr>
      <w:tr w:rsidR="006B671F" w:rsidRPr="006B671F" w14:paraId="72AF402B" w14:textId="77777777" w:rsidTr="005703F6">
        <w:tc>
          <w:tcPr>
            <w:tcW w:w="4460" w:type="dxa"/>
          </w:tcPr>
          <w:p w14:paraId="40B65670" w14:textId="500F3D3D" w:rsidR="007A7E69"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06384/INFOEM/IP/RR/2024</w:t>
            </w:r>
          </w:p>
        </w:tc>
        <w:tc>
          <w:tcPr>
            <w:tcW w:w="4461" w:type="dxa"/>
          </w:tcPr>
          <w:p w14:paraId="2E1EE7CC" w14:textId="57F8CFF9" w:rsidR="007A7E69" w:rsidRPr="006B671F" w:rsidRDefault="007A7E69"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Guadalupe Ramírez Peña</w:t>
            </w:r>
            <w:r w:rsidR="009D3FED" w:rsidRPr="006B671F">
              <w:rPr>
                <w:rFonts w:ascii="Palatino Linotype" w:eastAsia="Palatino Linotype" w:hAnsi="Palatino Linotype" w:cs="Palatino Linotype"/>
                <w:b/>
                <w:sz w:val="22"/>
                <w:szCs w:val="22"/>
              </w:rPr>
              <w:t>.</w:t>
            </w:r>
          </w:p>
        </w:tc>
      </w:tr>
      <w:tr w:rsidR="006B671F" w:rsidRPr="006B671F" w14:paraId="33374873" w14:textId="77777777" w:rsidTr="005703F6">
        <w:tc>
          <w:tcPr>
            <w:tcW w:w="4460" w:type="dxa"/>
          </w:tcPr>
          <w:p w14:paraId="483DA144" w14:textId="58EA7CA2" w:rsidR="007A7E69" w:rsidRPr="006B671F" w:rsidRDefault="00D6397A" w:rsidP="00D6397A">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06385/INFOEM/IP/RR/2024</w:t>
            </w:r>
          </w:p>
        </w:tc>
        <w:tc>
          <w:tcPr>
            <w:tcW w:w="4461" w:type="dxa"/>
          </w:tcPr>
          <w:p w14:paraId="7F607A0D" w14:textId="6FE24EE0" w:rsidR="007A7E69" w:rsidRPr="006B671F" w:rsidRDefault="00E12D9B"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Comisionado </w:t>
            </w:r>
            <w:r w:rsidR="009D3FED" w:rsidRPr="006B671F">
              <w:rPr>
                <w:rFonts w:ascii="Palatino Linotype" w:eastAsia="Palatino Linotype" w:hAnsi="Palatino Linotype" w:cs="Palatino Linotype"/>
                <w:b/>
                <w:sz w:val="22"/>
                <w:szCs w:val="22"/>
              </w:rPr>
              <w:t>José Martínez Vilchis.</w:t>
            </w:r>
          </w:p>
        </w:tc>
      </w:tr>
      <w:tr w:rsidR="006B671F" w:rsidRPr="006B671F" w14:paraId="6090D05D" w14:textId="77777777" w:rsidTr="005703F6">
        <w:tc>
          <w:tcPr>
            <w:tcW w:w="4460" w:type="dxa"/>
          </w:tcPr>
          <w:p w14:paraId="6F2B89C3" w14:textId="0F17C2D4" w:rsidR="00D6397A"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06387/INFOEM/IP/RR/2024</w:t>
            </w:r>
          </w:p>
        </w:tc>
        <w:tc>
          <w:tcPr>
            <w:tcW w:w="4461" w:type="dxa"/>
          </w:tcPr>
          <w:p w14:paraId="7450F340" w14:textId="2EE252CB" w:rsidR="00D6397A" w:rsidRPr="006B671F" w:rsidRDefault="00D6397A" w:rsidP="00D6397A">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Sharon Cristina Morales Martínez</w:t>
            </w:r>
          </w:p>
        </w:tc>
      </w:tr>
      <w:tr w:rsidR="006B671F" w:rsidRPr="006B671F" w14:paraId="2936CB5B" w14:textId="77777777" w:rsidTr="005703F6">
        <w:tc>
          <w:tcPr>
            <w:tcW w:w="4460" w:type="dxa"/>
          </w:tcPr>
          <w:p w14:paraId="32A3B7A3" w14:textId="4909EE7E" w:rsidR="00D6397A"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06389/INFOEM/IP/RR/2024</w:t>
            </w:r>
          </w:p>
        </w:tc>
        <w:tc>
          <w:tcPr>
            <w:tcW w:w="4461" w:type="dxa"/>
          </w:tcPr>
          <w:p w14:paraId="4DC8BE3B" w14:textId="38A9C128" w:rsidR="00D6397A" w:rsidRPr="006B671F" w:rsidRDefault="00D6397A"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Guadalupe Ramírez Peña.</w:t>
            </w:r>
          </w:p>
        </w:tc>
      </w:tr>
      <w:tr w:rsidR="006B671F" w:rsidRPr="006B671F" w14:paraId="563D13BC" w14:textId="77777777" w:rsidTr="005703F6">
        <w:tc>
          <w:tcPr>
            <w:tcW w:w="4460" w:type="dxa"/>
          </w:tcPr>
          <w:p w14:paraId="2E03764F" w14:textId="249F5B3E" w:rsidR="00D6397A"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06390/INFOEM/IP/RR/2024</w:t>
            </w:r>
          </w:p>
        </w:tc>
        <w:tc>
          <w:tcPr>
            <w:tcW w:w="4461" w:type="dxa"/>
          </w:tcPr>
          <w:p w14:paraId="55DE8FBC" w14:textId="4DE17151" w:rsidR="00D6397A" w:rsidRPr="006B671F" w:rsidRDefault="00D6397A"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Comisionado José Martínez Vilchis.</w:t>
            </w:r>
          </w:p>
        </w:tc>
      </w:tr>
      <w:tr w:rsidR="006B671F" w:rsidRPr="006B671F" w14:paraId="1B84A15A" w14:textId="77777777" w:rsidTr="005703F6">
        <w:tc>
          <w:tcPr>
            <w:tcW w:w="4460" w:type="dxa"/>
          </w:tcPr>
          <w:p w14:paraId="36ADA945" w14:textId="7732E8E6" w:rsidR="00D6397A"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06392/INFOEM/IP/RR/2024</w:t>
            </w:r>
          </w:p>
        </w:tc>
        <w:tc>
          <w:tcPr>
            <w:tcW w:w="4461" w:type="dxa"/>
          </w:tcPr>
          <w:p w14:paraId="3F437FA5" w14:textId="3023F116" w:rsidR="00D6397A" w:rsidRPr="006B671F" w:rsidRDefault="00D6397A"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Sharon Cristina Morales Martínez</w:t>
            </w:r>
          </w:p>
        </w:tc>
      </w:tr>
      <w:tr w:rsidR="006B671F" w:rsidRPr="006B671F" w14:paraId="6F255861" w14:textId="77777777" w:rsidTr="005703F6">
        <w:tc>
          <w:tcPr>
            <w:tcW w:w="4460" w:type="dxa"/>
          </w:tcPr>
          <w:p w14:paraId="66277383" w14:textId="18556413" w:rsidR="00D6397A"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lastRenderedPageBreak/>
              <w:t>06397/INFOEM/IP/RR/2024</w:t>
            </w:r>
          </w:p>
        </w:tc>
        <w:tc>
          <w:tcPr>
            <w:tcW w:w="4461" w:type="dxa"/>
          </w:tcPr>
          <w:p w14:paraId="12876473" w14:textId="6DE4AC9C" w:rsidR="00D6397A" w:rsidRPr="006B671F" w:rsidRDefault="00D6397A"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Sharon Cristina Morales Martínez</w:t>
            </w:r>
          </w:p>
        </w:tc>
      </w:tr>
      <w:tr w:rsidR="006B671F" w:rsidRPr="006B671F" w14:paraId="1812A7CD" w14:textId="77777777" w:rsidTr="005703F6">
        <w:tc>
          <w:tcPr>
            <w:tcW w:w="4460" w:type="dxa"/>
          </w:tcPr>
          <w:p w14:paraId="3B15AD0D" w14:textId="3476E12A" w:rsidR="00D6397A" w:rsidRPr="006B671F" w:rsidRDefault="00D6397A" w:rsidP="00D6397A">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06399/INFOEM/IP/RR/2024</w:t>
            </w:r>
          </w:p>
        </w:tc>
        <w:tc>
          <w:tcPr>
            <w:tcW w:w="4461" w:type="dxa"/>
          </w:tcPr>
          <w:p w14:paraId="499C9BD2" w14:textId="614177BA" w:rsidR="00D6397A" w:rsidRPr="006B671F" w:rsidRDefault="00D6397A"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Guadalupe Ramírez Peña.</w:t>
            </w:r>
          </w:p>
        </w:tc>
      </w:tr>
      <w:tr w:rsidR="00D6397A" w:rsidRPr="006B671F" w14:paraId="65EA9F3A" w14:textId="77777777" w:rsidTr="005703F6">
        <w:tc>
          <w:tcPr>
            <w:tcW w:w="4460" w:type="dxa"/>
          </w:tcPr>
          <w:p w14:paraId="5C270B4A" w14:textId="41FF416D" w:rsidR="00D6397A" w:rsidRPr="006B671F" w:rsidRDefault="00D6397A" w:rsidP="00EC101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06402/INFOEM/IP/RR/2024</w:t>
            </w:r>
          </w:p>
        </w:tc>
        <w:tc>
          <w:tcPr>
            <w:tcW w:w="4461" w:type="dxa"/>
          </w:tcPr>
          <w:p w14:paraId="60E9017A" w14:textId="78BED1C8" w:rsidR="00D6397A" w:rsidRPr="006B671F" w:rsidRDefault="00D6397A" w:rsidP="009D3FED">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Comisionada Sharon Cristina Morales Martínez</w:t>
            </w:r>
          </w:p>
        </w:tc>
      </w:tr>
    </w:tbl>
    <w:p w14:paraId="3AC7D527" w14:textId="2212C20D" w:rsidR="00EF01A7" w:rsidRPr="006B671F" w:rsidRDefault="00EF01A7" w:rsidP="00EC101D">
      <w:pPr>
        <w:spacing w:line="360" w:lineRule="auto"/>
        <w:contextualSpacing/>
        <w:jc w:val="both"/>
        <w:rPr>
          <w:rFonts w:ascii="Palatino Linotype" w:eastAsia="Calibri" w:hAnsi="Palatino Linotype" w:cs="Calibri"/>
          <w:sz w:val="22"/>
          <w:szCs w:val="22"/>
        </w:rPr>
      </w:pPr>
    </w:p>
    <w:p w14:paraId="66E4B452" w14:textId="5CBC4EFC" w:rsidR="00D4758D" w:rsidRPr="006B671F" w:rsidRDefault="00D4758D" w:rsidP="00EC101D">
      <w:pPr>
        <w:spacing w:line="360" w:lineRule="auto"/>
        <w:jc w:val="both"/>
        <w:rPr>
          <w:rFonts w:ascii="Palatino Linotype" w:eastAsia="Palatino Linotype" w:hAnsi="Palatino Linotype" w:cs="Palatino Linotype"/>
          <w:sz w:val="22"/>
          <w:szCs w:val="22"/>
        </w:rPr>
      </w:pPr>
      <w:r w:rsidRPr="006B671F">
        <w:rPr>
          <w:rFonts w:ascii="Palatino Linotype" w:eastAsia="Calibri" w:hAnsi="Palatino Linotype" w:cs="Palatino Linotype"/>
          <w:b/>
          <w:sz w:val="22"/>
          <w:szCs w:val="22"/>
        </w:rPr>
        <w:t>6</w:t>
      </w:r>
      <w:r w:rsidR="007A7E69" w:rsidRPr="006B671F">
        <w:rPr>
          <w:rFonts w:ascii="Palatino Linotype" w:eastAsia="Calibri" w:hAnsi="Palatino Linotype" w:cs="Palatino Linotype"/>
          <w:b/>
          <w:sz w:val="22"/>
          <w:szCs w:val="22"/>
        </w:rPr>
        <w:t>.</w:t>
      </w:r>
      <w:r w:rsidRPr="006B671F">
        <w:rPr>
          <w:rFonts w:ascii="Palatino Linotype" w:eastAsia="Calibri" w:hAnsi="Palatino Linotype" w:cs="Palatino Linotype"/>
          <w:b/>
          <w:sz w:val="22"/>
          <w:szCs w:val="22"/>
        </w:rPr>
        <w:t xml:space="preserve"> Prevención.</w:t>
      </w:r>
      <w:r w:rsidR="00EE7D3F" w:rsidRPr="006B671F">
        <w:rPr>
          <w:rFonts w:ascii="Palatino Linotype" w:eastAsia="Calibri" w:hAnsi="Palatino Linotype" w:cs="Palatino Linotype"/>
          <w:b/>
          <w:sz w:val="22"/>
          <w:szCs w:val="22"/>
        </w:rPr>
        <w:t xml:space="preserve"> En los recursos de revisión </w:t>
      </w:r>
      <w:r w:rsidR="00EE7D3F" w:rsidRPr="006B671F">
        <w:rPr>
          <w:rFonts w:ascii="Palatino Linotype" w:eastAsia="Palatino Linotype" w:hAnsi="Palatino Linotype" w:cs="Palatino Linotype"/>
          <w:b/>
          <w:sz w:val="22"/>
          <w:szCs w:val="22"/>
        </w:rPr>
        <w:t xml:space="preserve">06385/INFOEM/IP/RR/2024, 06390/INFOEM/IP/RR/2024, 06392/INFOEM/IP/RR/2024, 06397/INFOEM/IP/RR/2024 y 06402/INFOEM/IP/RR/2024 </w:t>
      </w:r>
      <w:r w:rsidR="00EE7D3F" w:rsidRPr="006B671F">
        <w:rPr>
          <w:rFonts w:ascii="Palatino Linotype" w:eastAsia="Palatino Linotype" w:hAnsi="Palatino Linotype" w:cs="Palatino Linotype"/>
          <w:sz w:val="22"/>
          <w:szCs w:val="22"/>
        </w:rPr>
        <w:t>realizó una prevención al Recurrente, a efecto de que precisara puntualmente el motivo de agravio.</w:t>
      </w:r>
    </w:p>
    <w:p w14:paraId="3F2EFEC6" w14:textId="77777777" w:rsidR="00EE7D3F" w:rsidRPr="006B671F" w:rsidRDefault="00EE7D3F" w:rsidP="00EC101D">
      <w:pPr>
        <w:spacing w:line="360" w:lineRule="auto"/>
        <w:jc w:val="both"/>
        <w:rPr>
          <w:rFonts w:ascii="Palatino Linotype" w:eastAsia="Palatino Linotype" w:hAnsi="Palatino Linotype" w:cs="Palatino Linotype"/>
          <w:sz w:val="22"/>
          <w:szCs w:val="22"/>
        </w:rPr>
      </w:pPr>
    </w:p>
    <w:p w14:paraId="08F0DAFC" w14:textId="454C977B" w:rsidR="00EE7D3F" w:rsidRPr="006B671F" w:rsidRDefault="00EE7D3F" w:rsidP="00EC101D">
      <w:pPr>
        <w:spacing w:line="360" w:lineRule="auto"/>
        <w:jc w:val="both"/>
        <w:rPr>
          <w:rFonts w:ascii="Palatino Linotype" w:eastAsia="Calibri" w:hAnsi="Palatino Linotype" w:cs="Palatino Linotype"/>
          <w:b/>
          <w:sz w:val="22"/>
          <w:szCs w:val="22"/>
        </w:rPr>
      </w:pPr>
      <w:r w:rsidRPr="006B671F">
        <w:rPr>
          <w:rFonts w:ascii="Palatino Linotype" w:eastAsia="Palatino Linotype" w:hAnsi="Palatino Linotype" w:cs="Palatino Linotype"/>
          <w:b/>
          <w:sz w:val="22"/>
          <w:szCs w:val="22"/>
        </w:rPr>
        <w:t xml:space="preserve">7. Desahogo de la prevención. </w:t>
      </w:r>
      <w:r w:rsidRPr="006B671F">
        <w:rPr>
          <w:rFonts w:ascii="Palatino Linotype" w:eastAsia="Palatino Linotype" w:hAnsi="Palatino Linotype" w:cs="Palatino Linotype"/>
          <w:sz w:val="22"/>
          <w:szCs w:val="22"/>
        </w:rPr>
        <w:t>El Recurrente atendió la prevención realizada por el Organismo Garante, refiriendo que el agra</w:t>
      </w:r>
      <w:r w:rsidR="00532800" w:rsidRPr="006B671F">
        <w:rPr>
          <w:rFonts w:ascii="Palatino Linotype" w:eastAsia="Palatino Linotype" w:hAnsi="Palatino Linotype" w:cs="Palatino Linotype"/>
          <w:sz w:val="22"/>
          <w:szCs w:val="22"/>
        </w:rPr>
        <w:t>v</w:t>
      </w:r>
      <w:r w:rsidRPr="006B671F">
        <w:rPr>
          <w:rFonts w:ascii="Palatino Linotype" w:eastAsia="Palatino Linotype" w:hAnsi="Palatino Linotype" w:cs="Palatino Linotype"/>
          <w:sz w:val="22"/>
          <w:szCs w:val="22"/>
        </w:rPr>
        <w:t>io es sobre la clasificación de la información, señalando que si por error u omisión se presentó el recurso de revisión sin especificar agravio, se debe realizar la suplencia de la deficiencia de la queja a su favor.</w:t>
      </w:r>
    </w:p>
    <w:p w14:paraId="11BE7FC0" w14:textId="6EE69989" w:rsidR="00D4758D" w:rsidRPr="006B671F" w:rsidRDefault="007A7E69" w:rsidP="00EC101D">
      <w:pPr>
        <w:spacing w:line="360" w:lineRule="auto"/>
        <w:jc w:val="both"/>
        <w:rPr>
          <w:rFonts w:ascii="Palatino Linotype" w:eastAsia="Calibri" w:hAnsi="Palatino Linotype" w:cs="Palatino Linotype"/>
          <w:b/>
          <w:sz w:val="22"/>
          <w:szCs w:val="22"/>
        </w:rPr>
      </w:pPr>
      <w:r w:rsidRPr="006B671F">
        <w:rPr>
          <w:rFonts w:ascii="Palatino Linotype" w:eastAsia="Calibri" w:hAnsi="Palatino Linotype" w:cs="Palatino Linotype"/>
          <w:b/>
          <w:sz w:val="22"/>
          <w:szCs w:val="22"/>
        </w:rPr>
        <w:t xml:space="preserve"> </w:t>
      </w:r>
    </w:p>
    <w:p w14:paraId="1A9323A4" w14:textId="6A3E6CF5" w:rsidR="00EF01A7" w:rsidRPr="006B671F" w:rsidRDefault="00EE7D3F" w:rsidP="00EC101D">
      <w:pPr>
        <w:spacing w:line="360" w:lineRule="auto"/>
        <w:jc w:val="both"/>
        <w:rPr>
          <w:rFonts w:ascii="Palatino Linotype" w:eastAsia="Calibri" w:hAnsi="Palatino Linotype" w:cs="Palatino Linotype"/>
          <w:b/>
          <w:sz w:val="22"/>
          <w:szCs w:val="22"/>
        </w:rPr>
      </w:pPr>
      <w:r w:rsidRPr="006B671F">
        <w:rPr>
          <w:rFonts w:ascii="Palatino Linotype" w:eastAsia="Calibri" w:hAnsi="Palatino Linotype" w:cs="Palatino Linotype"/>
          <w:b/>
          <w:sz w:val="22"/>
          <w:szCs w:val="22"/>
        </w:rPr>
        <w:t>8</w:t>
      </w:r>
      <w:r w:rsidR="00D4758D" w:rsidRPr="006B671F">
        <w:rPr>
          <w:rFonts w:ascii="Palatino Linotype" w:eastAsia="Calibri" w:hAnsi="Palatino Linotype" w:cs="Palatino Linotype"/>
          <w:b/>
          <w:sz w:val="22"/>
          <w:szCs w:val="22"/>
        </w:rPr>
        <w:t>.</w:t>
      </w:r>
      <w:r w:rsidRPr="006B671F">
        <w:rPr>
          <w:rFonts w:ascii="Palatino Linotype" w:eastAsia="Calibri" w:hAnsi="Palatino Linotype" w:cs="Palatino Linotype"/>
          <w:b/>
          <w:sz w:val="22"/>
          <w:szCs w:val="22"/>
        </w:rPr>
        <w:t xml:space="preserve"> </w:t>
      </w:r>
      <w:r w:rsidR="007A7E69" w:rsidRPr="006B671F">
        <w:rPr>
          <w:rFonts w:ascii="Palatino Linotype" w:eastAsia="Calibri" w:hAnsi="Palatino Linotype" w:cs="Palatino Linotype"/>
          <w:b/>
          <w:sz w:val="22"/>
          <w:szCs w:val="22"/>
        </w:rPr>
        <w:t xml:space="preserve">Admisiones. </w:t>
      </w:r>
      <w:r w:rsidR="005C562E" w:rsidRPr="006B671F">
        <w:rPr>
          <w:rFonts w:ascii="Palatino Linotype" w:eastAsia="Calibri" w:hAnsi="Palatino Linotype" w:cs="Palatino Linotype"/>
          <w:bCs/>
          <w:sz w:val="22"/>
          <w:szCs w:val="22"/>
        </w:rPr>
        <w:t>El</w:t>
      </w:r>
      <w:r w:rsidR="00066B03" w:rsidRPr="006B671F">
        <w:rPr>
          <w:rFonts w:ascii="Palatino Linotype" w:eastAsia="Calibri" w:hAnsi="Palatino Linotype" w:cs="Palatino Linotype"/>
          <w:bCs/>
          <w:sz w:val="22"/>
          <w:szCs w:val="22"/>
        </w:rPr>
        <w:t xml:space="preserve"> </w:t>
      </w:r>
      <w:r w:rsidR="00066B03" w:rsidRPr="006B671F">
        <w:rPr>
          <w:rFonts w:ascii="Palatino Linotype" w:eastAsia="Calibri" w:hAnsi="Palatino Linotype" w:cs="Palatino Linotype"/>
          <w:b/>
          <w:bCs/>
          <w:sz w:val="22"/>
          <w:szCs w:val="22"/>
        </w:rPr>
        <w:t>veintiuno,</w:t>
      </w:r>
      <w:r w:rsidR="005C562E" w:rsidRPr="006B671F">
        <w:rPr>
          <w:rFonts w:ascii="Palatino Linotype" w:eastAsia="Calibri" w:hAnsi="Palatino Linotype" w:cs="Palatino Linotype"/>
          <w:bCs/>
          <w:sz w:val="22"/>
          <w:szCs w:val="22"/>
        </w:rPr>
        <w:t xml:space="preserve"> </w:t>
      </w:r>
      <w:r w:rsidR="009D3FED" w:rsidRPr="006B671F">
        <w:rPr>
          <w:rFonts w:ascii="Palatino Linotype" w:eastAsia="Calibri" w:hAnsi="Palatino Linotype" w:cs="Palatino Linotype"/>
          <w:b/>
          <w:bCs/>
          <w:sz w:val="22"/>
          <w:szCs w:val="22"/>
        </w:rPr>
        <w:t>veinti</w:t>
      </w:r>
      <w:r w:rsidR="00D6397A" w:rsidRPr="006B671F">
        <w:rPr>
          <w:rFonts w:ascii="Palatino Linotype" w:eastAsia="Calibri" w:hAnsi="Palatino Linotype" w:cs="Palatino Linotype"/>
          <w:b/>
          <w:bCs/>
          <w:sz w:val="22"/>
          <w:szCs w:val="22"/>
        </w:rPr>
        <w:t>dós, veintinueve</w:t>
      </w:r>
      <w:r w:rsidR="00066B03" w:rsidRPr="006B671F">
        <w:rPr>
          <w:rFonts w:ascii="Palatino Linotype" w:eastAsia="Calibri" w:hAnsi="Palatino Linotype" w:cs="Palatino Linotype"/>
          <w:b/>
          <w:bCs/>
          <w:sz w:val="22"/>
          <w:szCs w:val="22"/>
        </w:rPr>
        <w:t xml:space="preserve"> y treinta </w:t>
      </w:r>
      <w:r w:rsidR="005C562E" w:rsidRPr="006B671F">
        <w:rPr>
          <w:rFonts w:ascii="Palatino Linotype" w:eastAsia="Calibri" w:hAnsi="Palatino Linotype" w:cs="Palatino Linotype"/>
          <w:b/>
          <w:bCs/>
          <w:sz w:val="22"/>
          <w:szCs w:val="22"/>
        </w:rPr>
        <w:t xml:space="preserve">de </w:t>
      </w:r>
      <w:r w:rsidR="009D3FED" w:rsidRPr="006B671F">
        <w:rPr>
          <w:rFonts w:ascii="Palatino Linotype" w:eastAsia="Calibri" w:hAnsi="Palatino Linotype" w:cs="Palatino Linotype"/>
          <w:b/>
          <w:bCs/>
          <w:sz w:val="22"/>
          <w:szCs w:val="22"/>
        </w:rPr>
        <w:t>octubre</w:t>
      </w:r>
      <w:r w:rsidR="00FC1F2B" w:rsidRPr="006B671F">
        <w:rPr>
          <w:rFonts w:ascii="Palatino Linotype" w:eastAsia="Calibri" w:hAnsi="Palatino Linotype" w:cs="Palatino Linotype"/>
          <w:b/>
          <w:bCs/>
          <w:sz w:val="22"/>
          <w:szCs w:val="22"/>
        </w:rPr>
        <w:t xml:space="preserve"> </w:t>
      </w:r>
      <w:r w:rsidR="007A7E69" w:rsidRPr="006B671F">
        <w:rPr>
          <w:rFonts w:ascii="Palatino Linotype" w:eastAsia="Calibri" w:hAnsi="Palatino Linotype" w:cs="Palatino Linotype"/>
          <w:b/>
          <w:bCs/>
          <w:sz w:val="22"/>
          <w:szCs w:val="22"/>
        </w:rPr>
        <w:t>de dos mil veinticuatro</w:t>
      </w:r>
      <w:r w:rsidR="007A7E69" w:rsidRPr="006B671F">
        <w:rPr>
          <w:rFonts w:ascii="Palatino Linotype" w:eastAsia="Calibri" w:hAnsi="Palatino Linotype" w:cs="Palatino Linotype"/>
          <w:bCs/>
          <w:sz w:val="22"/>
          <w:szCs w:val="22"/>
        </w:rPr>
        <w:t>, en términos de lo dispuesto en el artículo 185 fracciones I, II y IV de la Ley de Transparencia y Acceso a la Información Pública del Estado de México y Municipios, se admitieron a trámite los recursos de revisión</w:t>
      </w:r>
      <w:r w:rsidR="007A7E69" w:rsidRPr="006B671F">
        <w:rPr>
          <w:rFonts w:ascii="Palatino Linotype" w:eastAsia="Calibri" w:hAnsi="Palatino Linotype" w:cs="Palatino Linotype"/>
          <w:b/>
          <w:sz w:val="22"/>
          <w:szCs w:val="22"/>
        </w:rPr>
        <w:t>.</w:t>
      </w:r>
    </w:p>
    <w:p w14:paraId="11C1EA66" w14:textId="77777777" w:rsidR="007F20B8" w:rsidRPr="006B671F" w:rsidRDefault="007F20B8" w:rsidP="00EC101D">
      <w:pPr>
        <w:spacing w:line="360" w:lineRule="auto"/>
        <w:jc w:val="both"/>
        <w:rPr>
          <w:rFonts w:ascii="Palatino Linotype" w:eastAsia="Calibri" w:hAnsi="Palatino Linotype" w:cs="Palatino Linotype"/>
          <w:b/>
          <w:sz w:val="22"/>
          <w:szCs w:val="22"/>
        </w:rPr>
      </w:pPr>
    </w:p>
    <w:p w14:paraId="0834BBE8" w14:textId="6E6F7391" w:rsidR="00852D73" w:rsidRPr="006B671F" w:rsidRDefault="00EE7D3F" w:rsidP="00EC101D">
      <w:pPr>
        <w:spacing w:line="360" w:lineRule="auto"/>
        <w:contextualSpacing/>
        <w:jc w:val="both"/>
        <w:rPr>
          <w:rFonts w:ascii="Palatino Linotype" w:eastAsia="Calibri" w:hAnsi="Palatino Linotype" w:cs="Palatino Linotype"/>
          <w:sz w:val="22"/>
          <w:szCs w:val="22"/>
        </w:rPr>
      </w:pPr>
      <w:r w:rsidRPr="006B671F">
        <w:rPr>
          <w:rFonts w:ascii="Palatino Linotype" w:hAnsi="Palatino Linotype" w:cs="Palatino Linotype"/>
          <w:b/>
          <w:sz w:val="22"/>
          <w:szCs w:val="22"/>
        </w:rPr>
        <w:t>9</w:t>
      </w:r>
      <w:r w:rsidR="005736F2" w:rsidRPr="006B671F">
        <w:rPr>
          <w:rFonts w:ascii="Palatino Linotype" w:hAnsi="Palatino Linotype" w:cs="Palatino Linotype"/>
          <w:b/>
          <w:sz w:val="22"/>
          <w:szCs w:val="22"/>
        </w:rPr>
        <w:t xml:space="preserve">. </w:t>
      </w:r>
      <w:r w:rsidR="005736F2" w:rsidRPr="006B671F">
        <w:rPr>
          <w:rFonts w:ascii="Palatino Linotype" w:eastAsia="Calibri" w:hAnsi="Palatino Linotype" w:cs="Palatino Linotype"/>
          <w:b/>
          <w:sz w:val="22"/>
          <w:szCs w:val="22"/>
        </w:rPr>
        <w:t xml:space="preserve">Manifestaciones. </w:t>
      </w:r>
      <w:r w:rsidR="009D3FED" w:rsidRPr="006B671F">
        <w:rPr>
          <w:rFonts w:ascii="Palatino Linotype" w:eastAsia="Calibri" w:hAnsi="Palatino Linotype" w:cs="Palatino Linotype"/>
          <w:sz w:val="22"/>
          <w:szCs w:val="22"/>
        </w:rPr>
        <w:t>De las constancias que obran en el expediente electrónico, se aprecia que las partes fueron omisas en realizar manifestaciones.</w:t>
      </w:r>
    </w:p>
    <w:p w14:paraId="6A6550D7" w14:textId="2F25D1DE" w:rsidR="00852D73" w:rsidRPr="006B671F" w:rsidRDefault="00852D73" w:rsidP="00EC101D">
      <w:pPr>
        <w:spacing w:line="360" w:lineRule="auto"/>
        <w:contextualSpacing/>
        <w:jc w:val="both"/>
        <w:rPr>
          <w:rFonts w:ascii="Palatino Linotype" w:eastAsia="Calibri" w:hAnsi="Palatino Linotype" w:cs="Palatino Linotype"/>
          <w:sz w:val="22"/>
          <w:szCs w:val="22"/>
        </w:rPr>
      </w:pPr>
    </w:p>
    <w:p w14:paraId="14976C18" w14:textId="19724B17" w:rsidR="007F20B8" w:rsidRPr="006B671F" w:rsidRDefault="00EE7D3F" w:rsidP="00EC101D">
      <w:pPr>
        <w:spacing w:line="360" w:lineRule="auto"/>
        <w:contextualSpacing/>
        <w:jc w:val="both"/>
        <w:rPr>
          <w:rFonts w:ascii="Palatino Linotype" w:hAnsi="Palatino Linotype"/>
          <w:b/>
          <w:bCs/>
          <w:sz w:val="22"/>
          <w:szCs w:val="22"/>
        </w:rPr>
      </w:pPr>
      <w:r w:rsidRPr="006B671F">
        <w:rPr>
          <w:rFonts w:ascii="Palatino Linotype" w:eastAsia="Calibri" w:hAnsi="Palatino Linotype" w:cs="Palatino Linotype"/>
          <w:b/>
          <w:sz w:val="22"/>
          <w:szCs w:val="22"/>
        </w:rPr>
        <w:lastRenderedPageBreak/>
        <w:t>10</w:t>
      </w:r>
      <w:r w:rsidR="001766CE" w:rsidRPr="006B671F">
        <w:rPr>
          <w:rFonts w:ascii="Palatino Linotype" w:hAnsi="Palatino Linotype"/>
          <w:b/>
          <w:bCs/>
          <w:sz w:val="22"/>
          <w:szCs w:val="22"/>
        </w:rPr>
        <w:t>.</w:t>
      </w:r>
      <w:r w:rsidR="004E13EE" w:rsidRPr="006B671F">
        <w:rPr>
          <w:rFonts w:ascii="Palatino Linotype" w:hAnsi="Palatino Linotype"/>
          <w:b/>
          <w:bCs/>
          <w:sz w:val="22"/>
          <w:szCs w:val="22"/>
        </w:rPr>
        <w:t xml:space="preserve"> Acumulación. </w:t>
      </w:r>
      <w:r w:rsidR="002F7743" w:rsidRPr="006B671F">
        <w:rPr>
          <w:rFonts w:ascii="Palatino Linotype" w:hAnsi="Palatino Linotype"/>
          <w:b/>
          <w:bCs/>
          <w:sz w:val="22"/>
          <w:szCs w:val="22"/>
        </w:rPr>
        <w:t>A través de</w:t>
      </w:r>
      <w:r w:rsidR="00066B03" w:rsidRPr="006B671F">
        <w:rPr>
          <w:rFonts w:ascii="Palatino Linotype" w:hAnsi="Palatino Linotype"/>
          <w:b/>
          <w:bCs/>
          <w:sz w:val="22"/>
          <w:szCs w:val="22"/>
        </w:rPr>
        <w:t xml:space="preserve"> </w:t>
      </w:r>
      <w:r w:rsidR="002F7743" w:rsidRPr="006B671F">
        <w:rPr>
          <w:rFonts w:ascii="Palatino Linotype" w:hAnsi="Palatino Linotype"/>
          <w:b/>
          <w:bCs/>
          <w:sz w:val="22"/>
          <w:szCs w:val="22"/>
        </w:rPr>
        <w:t>l</w:t>
      </w:r>
      <w:r w:rsidR="00066B03" w:rsidRPr="006B671F">
        <w:rPr>
          <w:rFonts w:ascii="Palatino Linotype" w:hAnsi="Palatino Linotype"/>
          <w:b/>
          <w:bCs/>
          <w:sz w:val="22"/>
          <w:szCs w:val="22"/>
        </w:rPr>
        <w:t>a</w:t>
      </w:r>
      <w:r w:rsidR="002F7743" w:rsidRPr="006B671F">
        <w:rPr>
          <w:rFonts w:ascii="Palatino Linotype" w:hAnsi="Palatino Linotype"/>
          <w:b/>
          <w:bCs/>
          <w:sz w:val="22"/>
          <w:szCs w:val="22"/>
        </w:rPr>
        <w:t xml:space="preserve"> </w:t>
      </w:r>
      <w:r w:rsidR="00066B03" w:rsidRPr="006B671F">
        <w:rPr>
          <w:rFonts w:ascii="Palatino Linotype" w:hAnsi="Palatino Linotype"/>
          <w:b/>
          <w:bCs/>
          <w:sz w:val="22"/>
          <w:szCs w:val="22"/>
        </w:rPr>
        <w:t>Cuadragésima Sesión Ordinaria celebrada el veintiuno de noviembre</w:t>
      </w:r>
      <w:r w:rsidR="002F7743" w:rsidRPr="006B671F">
        <w:rPr>
          <w:rFonts w:ascii="Palatino Linotype" w:hAnsi="Palatino Linotype"/>
          <w:b/>
          <w:bCs/>
          <w:sz w:val="22"/>
          <w:szCs w:val="22"/>
        </w:rPr>
        <w:t xml:space="preserve"> de dos mil veinticuatro</w:t>
      </w:r>
      <w:r w:rsidR="004E13EE" w:rsidRPr="006B671F">
        <w:rPr>
          <w:rFonts w:ascii="Palatino Linotype" w:hAnsi="Palatino Linotype"/>
          <w:b/>
          <w:bCs/>
          <w:sz w:val="22"/>
          <w:szCs w:val="22"/>
        </w:rPr>
        <w:t xml:space="preserve">, </w:t>
      </w:r>
      <w:r w:rsidR="004E13EE" w:rsidRPr="006B671F">
        <w:rPr>
          <w:rFonts w:ascii="Palatino Linotype" w:hAnsi="Palatino Linotype"/>
          <w:sz w:val="22"/>
          <w:szCs w:val="22"/>
        </w:rPr>
        <w:t>al advertir la conexidad de causa y con la finalidad de evitar que se dicten resoluciones contradictorias, de conformidad con el artículo 195 de la Ley de Transparencia y Acceso a la Información Pública del Estado de México y Municipios y artículo 18 del Código de Procedimientos Administrativos del Estado de México, se acordó la acumulación de los recursos antes señalados, acordando que fuera Ponente la</w:t>
      </w:r>
      <w:r w:rsidR="004E13EE" w:rsidRPr="006B671F">
        <w:rPr>
          <w:rFonts w:ascii="Palatino Linotype" w:hAnsi="Palatino Linotype"/>
          <w:b/>
          <w:bCs/>
          <w:sz w:val="22"/>
          <w:szCs w:val="22"/>
        </w:rPr>
        <w:t xml:space="preserve"> Comisionada Guadalupe Ramírez Peña</w:t>
      </w:r>
      <w:r w:rsidR="00F77292" w:rsidRPr="006B671F">
        <w:rPr>
          <w:rFonts w:ascii="Palatino Linotype" w:hAnsi="Palatino Linotype"/>
          <w:b/>
          <w:bCs/>
          <w:sz w:val="22"/>
          <w:szCs w:val="22"/>
        </w:rPr>
        <w:t>.</w:t>
      </w:r>
    </w:p>
    <w:p w14:paraId="63D983FE" w14:textId="77777777" w:rsidR="007F20B8" w:rsidRPr="006B671F" w:rsidRDefault="007F20B8" w:rsidP="00EC101D">
      <w:pPr>
        <w:pStyle w:val="NormalWeb"/>
        <w:spacing w:before="0" w:beforeAutospacing="0" w:after="0" w:afterAutospacing="0" w:line="360" w:lineRule="auto"/>
        <w:jc w:val="both"/>
        <w:rPr>
          <w:rFonts w:ascii="Palatino Linotype" w:hAnsi="Palatino Linotype"/>
          <w:b/>
          <w:bCs/>
          <w:sz w:val="22"/>
          <w:szCs w:val="22"/>
        </w:rPr>
      </w:pPr>
    </w:p>
    <w:p w14:paraId="2385E183" w14:textId="149667CD" w:rsidR="00F35786" w:rsidRPr="006B671F" w:rsidRDefault="00F35786" w:rsidP="00F35786">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11. Cierre de instrucción</w:t>
      </w:r>
      <w:r w:rsidRPr="006B671F">
        <w:rPr>
          <w:rFonts w:ascii="Palatino Linotype" w:eastAsia="Palatino Linotype" w:hAnsi="Palatino Linotype" w:cs="Palatino Linotype"/>
          <w:sz w:val="22"/>
          <w:szCs w:val="22"/>
        </w:rPr>
        <w:t xml:space="preserve">. En fecha </w:t>
      </w:r>
      <w:r w:rsidRPr="006B671F">
        <w:rPr>
          <w:rFonts w:ascii="Palatino Linotype" w:eastAsia="Palatino Linotype" w:hAnsi="Palatino Linotype" w:cs="Palatino Linotype"/>
          <w:b/>
          <w:sz w:val="22"/>
          <w:szCs w:val="22"/>
        </w:rPr>
        <w:t>diecinueve y veintiuno</w:t>
      </w:r>
      <w:r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b/>
          <w:sz w:val="22"/>
          <w:szCs w:val="22"/>
        </w:rPr>
        <w:t>de noviembre de dos mil veinticuatro</w:t>
      </w:r>
      <w:r w:rsidRPr="006B671F">
        <w:rPr>
          <w:rFonts w:ascii="Palatino Linotype" w:eastAsia="Palatino Linotype" w:hAnsi="Palatino Linotype" w:cs="Palatino Linotype"/>
          <w:sz w:val="22"/>
          <w:szCs w:val="22"/>
        </w:rPr>
        <w:t xml:space="preserve">, la Comisionada Ponente determinó el cierre de instrucción en términos de la fracción VI del artículo 185 de la Ley de Transparencia y Acceso a la Información Pública del Estado de México y Municipios. </w:t>
      </w:r>
    </w:p>
    <w:p w14:paraId="622917D5" w14:textId="77777777" w:rsidR="00F35786" w:rsidRPr="006B671F" w:rsidRDefault="00F35786" w:rsidP="00F35786">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2586AD93" w14:textId="44DEA059"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Debido a que fueron debidamente sustanciados los expedientes electrónicos y no existe diligencia pendiente de desahogo, se emite la Resolución que conforme a Derecho proceda, de acuerdo con los siguientes: </w:t>
      </w:r>
    </w:p>
    <w:p w14:paraId="69797DE1" w14:textId="77777777" w:rsidR="00BD2A6E" w:rsidRPr="006B671F" w:rsidRDefault="00BD2A6E" w:rsidP="00EC101D">
      <w:pPr>
        <w:spacing w:line="360" w:lineRule="auto"/>
        <w:ind w:right="49"/>
        <w:jc w:val="both"/>
        <w:rPr>
          <w:rFonts w:ascii="Palatino Linotype" w:eastAsia="Palatino Linotype" w:hAnsi="Palatino Linotype" w:cs="Palatino Linotype"/>
          <w:sz w:val="22"/>
          <w:szCs w:val="22"/>
        </w:rPr>
      </w:pPr>
    </w:p>
    <w:p w14:paraId="3ABDADA7" w14:textId="77777777" w:rsidR="001D06D3" w:rsidRPr="006B671F" w:rsidRDefault="001D06D3" w:rsidP="00BC7090">
      <w:pPr>
        <w:spacing w:line="360" w:lineRule="auto"/>
        <w:ind w:right="49"/>
        <w:jc w:val="center"/>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II.</w:t>
      </w:r>
      <w:r w:rsidRPr="006B671F">
        <w:rPr>
          <w:rFonts w:ascii="Palatino Linotype" w:eastAsia="Palatino Linotype" w:hAnsi="Palatino Linotype" w:cs="Palatino Linotype"/>
          <w:b/>
          <w:sz w:val="22"/>
          <w:szCs w:val="22"/>
        </w:rPr>
        <w:tab/>
        <w:t>C O N S I D E R A N D O:</w:t>
      </w:r>
    </w:p>
    <w:p w14:paraId="19BBC3ED"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53580FEC" w14:textId="77777777" w:rsidR="001D06D3" w:rsidRPr="006B671F" w:rsidRDefault="001D06D3" w:rsidP="00EC101D">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 xml:space="preserve">Primero. Competencia. </w:t>
      </w:r>
      <w:r w:rsidRPr="006B671F">
        <w:rPr>
          <w:rFonts w:ascii="Palatino Linotype" w:eastAsia="Palatino Linotype" w:hAnsi="Palatino Linotype" w:cs="Palatino Linotype"/>
          <w:sz w:val="22"/>
          <w:szCs w:val="22"/>
        </w:rPr>
        <w:t xml:space="preserve">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6, apartado A de la Constitución Política de los Estados Unidos Mexicanos; 5, párrafos trigésimo segundo, trigésimo tercero y trigésimo cuarto, </w:t>
      </w:r>
      <w:r w:rsidRPr="006B671F">
        <w:rPr>
          <w:rFonts w:ascii="Palatino Linotype" w:eastAsia="Palatino Linotype" w:hAnsi="Palatino Linotype" w:cs="Palatino Linotype"/>
          <w:sz w:val="22"/>
          <w:szCs w:val="22"/>
        </w:rPr>
        <w:lastRenderedPageBreak/>
        <w:t>fracciones IV y V de la Constitución Política del Estado Libre y Soberano de México; 1, 2, fracción II; 13,  29, 36, fracciones I y II; 176, 178, 179, 181 párrafo tercero y 185 de la Ley Transparencia y Acceso a la Información Pública del Estado de México y Municipios; 9, fracciones I, XXIII y XXIV y 11 del Reglamento Interior del Instituto de Transparencia, Acceso a la Información Pública y Protección de Datos Personales del Estado de México y Municipios.</w:t>
      </w:r>
    </w:p>
    <w:p w14:paraId="7467ACBE" w14:textId="77777777" w:rsidR="001D06D3" w:rsidRPr="006B671F" w:rsidRDefault="001D06D3" w:rsidP="00EC101D">
      <w:pPr>
        <w:spacing w:line="360" w:lineRule="auto"/>
        <w:ind w:right="49"/>
        <w:jc w:val="both"/>
        <w:rPr>
          <w:rFonts w:ascii="Palatino Linotype" w:eastAsia="Palatino Linotype" w:hAnsi="Palatino Linotype" w:cs="Palatino Linotype"/>
          <w:b/>
          <w:sz w:val="22"/>
          <w:szCs w:val="22"/>
        </w:rPr>
      </w:pPr>
    </w:p>
    <w:p w14:paraId="64CF0032" w14:textId="35FFC8DE"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Segundo. Oportunidad y Procedibilidad del Recurso de Revisión.</w:t>
      </w:r>
      <w:r w:rsidRPr="006B671F">
        <w:rPr>
          <w:rFonts w:ascii="Palatino Linotype" w:eastAsia="Palatino Linotype" w:hAnsi="Palatino Linotype" w:cs="Palatino Linotype"/>
          <w:sz w:val="22"/>
          <w:szCs w:val="22"/>
        </w:rPr>
        <w:t xml:space="preserve"> Previo al estudio del fondo del asunto, se procede a analizar los requisitos de oportunidad y procedibilidad que deben reunir los recursos de revisión interpuestos, previstos en los artículos 178 y 180 de la Ley de Transparencia y Acceso a la Información Pública del Estado de México y Municipios.</w:t>
      </w:r>
    </w:p>
    <w:p w14:paraId="577CACB6" w14:textId="77777777" w:rsidR="002763C5" w:rsidRPr="006B671F" w:rsidRDefault="002763C5" w:rsidP="00EC101D">
      <w:pPr>
        <w:spacing w:line="360" w:lineRule="auto"/>
        <w:ind w:right="49"/>
        <w:jc w:val="both"/>
        <w:rPr>
          <w:rFonts w:ascii="Palatino Linotype" w:eastAsia="Palatino Linotype" w:hAnsi="Palatino Linotype" w:cs="Palatino Linotype"/>
          <w:sz w:val="22"/>
          <w:szCs w:val="22"/>
        </w:rPr>
      </w:pPr>
    </w:p>
    <w:p w14:paraId="3691BF41" w14:textId="1D034C4E" w:rsidR="001D06D3" w:rsidRPr="006B671F" w:rsidRDefault="001D06D3" w:rsidP="00066B03">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Los recursos de revisión fueron interpuestos dentro del plazo de quince días hábiles previstos en el artículo 178 de la Ley de Transparencia y Acceso a la Información Pública del Estado de México y Municipios, toda vez que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remitió las respuestas a las solicitudes de información </w:t>
      </w:r>
      <w:r w:rsidR="00066B03" w:rsidRPr="006B671F">
        <w:rPr>
          <w:rFonts w:ascii="Palatino Linotype" w:eastAsia="Palatino Linotype" w:hAnsi="Palatino Linotype" w:cs="Palatino Linotype"/>
          <w:sz w:val="22"/>
          <w:szCs w:val="22"/>
        </w:rPr>
        <w:t xml:space="preserve">el </w:t>
      </w:r>
      <w:r w:rsidR="004B763E" w:rsidRPr="006B671F">
        <w:rPr>
          <w:rFonts w:ascii="Palatino Linotype" w:eastAsia="Palatino Linotype" w:hAnsi="Palatino Linotype" w:cs="Palatino Linotype"/>
          <w:b/>
          <w:sz w:val="22"/>
          <w:szCs w:val="22"/>
        </w:rPr>
        <w:t>diecisiete de octubre de dos mil veinticuatro</w:t>
      </w:r>
      <w:r w:rsidRPr="006B671F">
        <w:rPr>
          <w:rFonts w:ascii="Palatino Linotype" w:eastAsia="Palatino Linotype" w:hAnsi="Palatino Linotype" w:cs="Palatino Linotype"/>
          <w:b/>
          <w:sz w:val="22"/>
          <w:szCs w:val="22"/>
        </w:rPr>
        <w:t xml:space="preserve"> </w:t>
      </w:r>
      <w:r w:rsidRPr="006B671F">
        <w:rPr>
          <w:rFonts w:ascii="Palatino Linotype" w:eastAsia="Palatino Linotype" w:hAnsi="Palatino Linotype" w:cs="Palatino Linotype"/>
          <w:sz w:val="22"/>
          <w:szCs w:val="22"/>
        </w:rPr>
        <w:t>y</w:t>
      </w:r>
      <w:r w:rsidR="005C35AC" w:rsidRPr="006B671F">
        <w:rPr>
          <w:rFonts w:ascii="Palatino Linotype" w:eastAsia="Palatino Linotype" w:hAnsi="Palatino Linotype" w:cs="Palatino Linotype"/>
          <w:sz w:val="22"/>
          <w:szCs w:val="22"/>
        </w:rPr>
        <w:t xml:space="preserve"> la parte Recurrente interpuso los</w:t>
      </w:r>
      <w:r w:rsidRPr="006B671F">
        <w:rPr>
          <w:rFonts w:ascii="Palatino Linotype" w:eastAsia="Palatino Linotype" w:hAnsi="Palatino Linotype" w:cs="Palatino Linotype"/>
          <w:sz w:val="22"/>
          <w:szCs w:val="22"/>
        </w:rPr>
        <w:t xml:space="preserve"> recurso</w:t>
      </w:r>
      <w:r w:rsidR="005C35AC" w:rsidRPr="006B671F">
        <w:rPr>
          <w:rFonts w:ascii="Palatino Linotype" w:eastAsia="Palatino Linotype" w:hAnsi="Palatino Linotype" w:cs="Palatino Linotype"/>
          <w:sz w:val="22"/>
          <w:szCs w:val="22"/>
        </w:rPr>
        <w:t>s</w:t>
      </w:r>
      <w:r w:rsidRPr="006B671F">
        <w:rPr>
          <w:rFonts w:ascii="Palatino Linotype" w:eastAsia="Palatino Linotype" w:hAnsi="Palatino Linotype" w:cs="Palatino Linotype"/>
          <w:sz w:val="22"/>
          <w:szCs w:val="22"/>
        </w:rPr>
        <w:t xml:space="preserve"> de revisión el </w:t>
      </w:r>
      <w:r w:rsidR="00066B03" w:rsidRPr="006B671F">
        <w:rPr>
          <w:rFonts w:ascii="Palatino Linotype" w:eastAsia="Palatino Linotype" w:hAnsi="Palatino Linotype" w:cs="Palatino Linotype"/>
          <w:b/>
          <w:sz w:val="22"/>
          <w:szCs w:val="22"/>
        </w:rPr>
        <w:t>dieciocho</w:t>
      </w:r>
      <w:r w:rsidR="00FC1F2B" w:rsidRPr="006B671F">
        <w:rPr>
          <w:rFonts w:ascii="Palatino Linotype" w:eastAsia="Palatino Linotype" w:hAnsi="Palatino Linotype" w:cs="Palatino Linotype"/>
          <w:b/>
          <w:sz w:val="22"/>
          <w:szCs w:val="22"/>
        </w:rPr>
        <w:t xml:space="preserve"> de </w:t>
      </w:r>
      <w:r w:rsidR="002763C5" w:rsidRPr="006B671F">
        <w:rPr>
          <w:rFonts w:ascii="Palatino Linotype" w:eastAsia="Palatino Linotype" w:hAnsi="Palatino Linotype" w:cs="Palatino Linotype"/>
          <w:b/>
          <w:sz w:val="22"/>
          <w:szCs w:val="22"/>
        </w:rPr>
        <w:t>octubre</w:t>
      </w:r>
      <w:r w:rsidR="00FC1F2B" w:rsidRPr="006B671F">
        <w:rPr>
          <w:rFonts w:ascii="Palatino Linotype" w:eastAsia="Palatino Linotype" w:hAnsi="Palatino Linotype" w:cs="Palatino Linotype"/>
          <w:b/>
          <w:sz w:val="22"/>
          <w:szCs w:val="22"/>
        </w:rPr>
        <w:t xml:space="preserve"> </w:t>
      </w:r>
      <w:r w:rsidRPr="006B671F">
        <w:rPr>
          <w:rFonts w:ascii="Palatino Linotype" w:eastAsia="Palatino Linotype" w:hAnsi="Palatino Linotype" w:cs="Palatino Linotype"/>
          <w:b/>
          <w:sz w:val="22"/>
          <w:szCs w:val="22"/>
        </w:rPr>
        <w:t>de dos mil veinticuatro</w:t>
      </w:r>
      <w:r w:rsidR="004B763E" w:rsidRPr="006B671F">
        <w:rPr>
          <w:rFonts w:ascii="Palatino Linotype" w:eastAsia="Palatino Linotype" w:hAnsi="Palatino Linotype" w:cs="Palatino Linotype"/>
          <w:sz w:val="22"/>
          <w:szCs w:val="22"/>
        </w:rPr>
        <w:t xml:space="preserve">, esto es, al primer </w:t>
      </w:r>
      <w:r w:rsidRPr="006B671F">
        <w:rPr>
          <w:rFonts w:ascii="Palatino Linotype" w:eastAsia="Palatino Linotype" w:hAnsi="Palatino Linotype" w:cs="Palatino Linotype"/>
          <w:sz w:val="22"/>
          <w:szCs w:val="22"/>
        </w:rPr>
        <w:t>día hábil en que tuvo conocimiento de la</w:t>
      </w:r>
      <w:r w:rsidR="005C35AC" w:rsidRPr="006B671F">
        <w:rPr>
          <w:rFonts w:ascii="Palatino Linotype" w:eastAsia="Palatino Linotype" w:hAnsi="Palatino Linotype" w:cs="Palatino Linotype"/>
          <w:sz w:val="22"/>
          <w:szCs w:val="22"/>
        </w:rPr>
        <w:t>s</w:t>
      </w:r>
      <w:r w:rsidRPr="006B671F">
        <w:rPr>
          <w:rFonts w:ascii="Palatino Linotype" w:eastAsia="Palatino Linotype" w:hAnsi="Palatino Linotype" w:cs="Palatino Linotype"/>
          <w:sz w:val="22"/>
          <w:szCs w:val="22"/>
        </w:rPr>
        <w:t xml:space="preserve"> respuesta</w:t>
      </w:r>
      <w:r w:rsidR="00066B03" w:rsidRPr="006B671F">
        <w:rPr>
          <w:rFonts w:ascii="Palatino Linotype" w:eastAsia="Palatino Linotype" w:hAnsi="Palatino Linotype" w:cs="Palatino Linotype"/>
          <w:sz w:val="22"/>
          <w:szCs w:val="22"/>
        </w:rPr>
        <w:t>s</w:t>
      </w:r>
      <w:r w:rsidRPr="006B671F">
        <w:rPr>
          <w:rFonts w:ascii="Palatino Linotype" w:eastAsia="Palatino Linotype" w:hAnsi="Palatino Linotype" w:cs="Palatino Linotype"/>
          <w:sz w:val="22"/>
          <w:szCs w:val="22"/>
        </w:rPr>
        <w:t xml:space="preserve">. </w:t>
      </w:r>
    </w:p>
    <w:p w14:paraId="27688AA5" w14:textId="12FFA646" w:rsidR="00893CAE" w:rsidRPr="006B671F" w:rsidRDefault="00893CAE" w:rsidP="00532800">
      <w:pPr>
        <w:pBdr>
          <w:top w:val="nil"/>
          <w:left w:val="nil"/>
          <w:bottom w:val="nil"/>
          <w:right w:val="nil"/>
          <w:between w:val="nil"/>
        </w:pBdr>
        <w:spacing w:line="360" w:lineRule="auto"/>
        <w:ind w:right="49"/>
        <w:jc w:val="both"/>
        <w:rPr>
          <w:rFonts w:ascii="Palatino Linotype" w:eastAsia="Palatino Linotype" w:hAnsi="Palatino Linotype" w:cs="Palatino Linotype"/>
          <w:sz w:val="22"/>
          <w:szCs w:val="22"/>
        </w:rPr>
      </w:pPr>
    </w:p>
    <w:p w14:paraId="1062E361" w14:textId="1C934496"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Ahora bien, del análisis efectuado se advierte que resulta procedente la interposición de los recursos y se concluye la acreditación plena de todos y cada uno de los elementos formales exigidos por el artículo 180 de la Ley de Transparencia y Acceso a la Información Pública del Estado de México y Municipios en vigor, en atención a que fue presentado mediante el formato visible en </w:t>
      </w:r>
      <w:r w:rsidRPr="006B671F">
        <w:rPr>
          <w:rFonts w:ascii="Palatino Linotype" w:eastAsia="Palatino Linotype" w:hAnsi="Palatino Linotype" w:cs="Palatino Linotype"/>
          <w:b/>
          <w:sz w:val="22"/>
          <w:szCs w:val="22"/>
        </w:rPr>
        <w:t>SAIMEX</w:t>
      </w:r>
      <w:r w:rsidRPr="006B671F">
        <w:rPr>
          <w:rFonts w:ascii="Palatino Linotype" w:eastAsia="Palatino Linotype" w:hAnsi="Palatino Linotype" w:cs="Palatino Linotype"/>
          <w:sz w:val="22"/>
          <w:szCs w:val="22"/>
        </w:rPr>
        <w:t>.</w:t>
      </w:r>
    </w:p>
    <w:p w14:paraId="7519F534" w14:textId="77777777" w:rsidR="00E224D3" w:rsidRPr="006B671F" w:rsidRDefault="00E224D3" w:rsidP="00EC101D">
      <w:pPr>
        <w:spacing w:line="360" w:lineRule="auto"/>
        <w:ind w:right="49"/>
        <w:jc w:val="both"/>
        <w:rPr>
          <w:rFonts w:ascii="Palatino Linotype" w:eastAsia="Palatino Linotype" w:hAnsi="Palatino Linotype" w:cs="Palatino Linotype"/>
          <w:sz w:val="22"/>
          <w:szCs w:val="22"/>
        </w:rPr>
      </w:pPr>
    </w:p>
    <w:p w14:paraId="3A476FA1" w14:textId="0AE9A9D1"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lastRenderedPageBreak/>
        <w:t>Finalmente, resulta procedente la interposición de los recursos de revisión al rubro anotado, toda vez que se actualizan las hipótesis de procedencia previstas en el artículo 179, fracción</w:t>
      </w:r>
      <w:r w:rsidR="00CF1F4B" w:rsidRPr="006B671F">
        <w:rPr>
          <w:rFonts w:ascii="Palatino Linotype" w:eastAsia="Palatino Linotype" w:hAnsi="Palatino Linotype" w:cs="Palatino Linotype"/>
          <w:sz w:val="22"/>
          <w:szCs w:val="22"/>
        </w:rPr>
        <w:t xml:space="preserve"> </w:t>
      </w:r>
      <w:r w:rsidR="008A30A6" w:rsidRPr="006B671F">
        <w:rPr>
          <w:rFonts w:ascii="Palatino Linotype" w:eastAsia="Palatino Linotype" w:hAnsi="Palatino Linotype" w:cs="Palatino Linotype"/>
          <w:sz w:val="22"/>
          <w:szCs w:val="22"/>
        </w:rPr>
        <w:t>II</w:t>
      </w:r>
      <w:r w:rsidR="00FC1F2B"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sz w:val="22"/>
          <w:szCs w:val="22"/>
        </w:rPr>
        <w:t>de la Ley de la materia, que a la letra dice:</w:t>
      </w:r>
    </w:p>
    <w:p w14:paraId="61924169"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13C287B9" w14:textId="77777777" w:rsidR="00FC1F2B"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179.</w:t>
      </w:r>
      <w:r w:rsidRPr="006B671F">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264A755F" w14:textId="2D447965" w:rsidR="00FC1F2B" w:rsidRPr="006B671F" w:rsidRDefault="00FC1F2B"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1313040B" w14:textId="30BFE5E6" w:rsidR="0012601B" w:rsidRPr="006B671F" w:rsidRDefault="002763C5"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I</w:t>
      </w:r>
      <w:r w:rsidR="005C35AC" w:rsidRPr="006B671F">
        <w:rPr>
          <w:rFonts w:ascii="Palatino Linotype" w:eastAsia="Palatino Linotype" w:hAnsi="Palatino Linotype" w:cs="Palatino Linotype"/>
          <w:i/>
          <w:sz w:val="22"/>
          <w:szCs w:val="22"/>
        </w:rPr>
        <w:t>I</w:t>
      </w:r>
      <w:r w:rsidR="0012601B" w:rsidRPr="006B671F">
        <w:rPr>
          <w:rFonts w:ascii="Palatino Linotype" w:eastAsia="Palatino Linotype" w:hAnsi="Palatino Linotype" w:cs="Palatino Linotype"/>
          <w:i/>
          <w:sz w:val="22"/>
          <w:szCs w:val="22"/>
        </w:rPr>
        <w:t xml:space="preserve">. La </w:t>
      </w:r>
      <w:r w:rsidRPr="006B671F">
        <w:rPr>
          <w:rFonts w:ascii="Palatino Linotype" w:eastAsia="Palatino Linotype" w:hAnsi="Palatino Linotype" w:cs="Palatino Linotype"/>
          <w:i/>
          <w:sz w:val="22"/>
          <w:szCs w:val="22"/>
        </w:rPr>
        <w:t>clasificación de la información</w:t>
      </w:r>
    </w:p>
    <w:p w14:paraId="3C7C789B" w14:textId="5B8EC53A"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0E2BADA6" w14:textId="77777777" w:rsidR="001D06D3" w:rsidRPr="006B671F" w:rsidRDefault="001D06D3" w:rsidP="00EC101D">
      <w:pPr>
        <w:spacing w:line="360" w:lineRule="auto"/>
        <w:ind w:right="49"/>
        <w:jc w:val="both"/>
        <w:rPr>
          <w:rFonts w:ascii="Palatino Linotype" w:eastAsia="Palatino Linotype" w:hAnsi="Palatino Linotype" w:cs="Palatino Linotype"/>
          <w:b/>
          <w:sz w:val="22"/>
          <w:szCs w:val="22"/>
        </w:rPr>
      </w:pPr>
    </w:p>
    <w:p w14:paraId="3CB17CE4" w14:textId="5CF0B6AA"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Tercero. Materia de la revisión</w:t>
      </w:r>
      <w:r w:rsidRPr="006B671F">
        <w:rPr>
          <w:rFonts w:ascii="Palatino Linotype" w:eastAsia="Palatino Linotype" w:hAnsi="Palatino Linotype" w:cs="Palatino Linotype"/>
          <w:sz w:val="22"/>
          <w:szCs w:val="22"/>
        </w:rPr>
        <w:t xml:space="preserve">. De la revisión a las constancias y documentos que obran en los expedientes electrónicos se advierte, que el tema sobre el que este Organismo Garante de Transparencia y Acceso a la Información se pronunciará </w:t>
      </w:r>
      <w:r w:rsidR="00532800" w:rsidRPr="006B671F">
        <w:rPr>
          <w:rFonts w:ascii="Palatino Linotype" w:eastAsia="Palatino Linotype" w:hAnsi="Palatino Linotype" w:cs="Palatino Linotype"/>
          <w:sz w:val="22"/>
          <w:szCs w:val="22"/>
        </w:rPr>
        <w:t>será determinar</w:t>
      </w:r>
      <w:r w:rsidRPr="006B671F">
        <w:rPr>
          <w:rFonts w:ascii="Palatino Linotype" w:eastAsia="Palatino Linotype" w:hAnsi="Palatino Linotype" w:cs="Palatino Linotype"/>
          <w:sz w:val="22"/>
          <w:szCs w:val="22"/>
        </w:rPr>
        <w:t xml:space="preserve">, si se actualiza la hipótesis </w:t>
      </w:r>
      <w:r w:rsidR="00CF1F4B" w:rsidRPr="006B671F">
        <w:rPr>
          <w:rFonts w:ascii="Palatino Linotype" w:eastAsia="Palatino Linotype" w:hAnsi="Palatino Linotype" w:cs="Palatino Linotype"/>
          <w:sz w:val="22"/>
          <w:szCs w:val="22"/>
        </w:rPr>
        <w:t xml:space="preserve">prevista en la fracción </w:t>
      </w:r>
      <w:r w:rsidR="00F82379" w:rsidRPr="006B671F">
        <w:rPr>
          <w:rFonts w:ascii="Palatino Linotype" w:eastAsia="Palatino Linotype" w:hAnsi="Palatino Linotype" w:cs="Palatino Linotype"/>
          <w:sz w:val="22"/>
          <w:szCs w:val="22"/>
        </w:rPr>
        <w:t>I</w:t>
      </w:r>
      <w:r w:rsidR="002763C5" w:rsidRPr="006B671F">
        <w:rPr>
          <w:rFonts w:ascii="Palatino Linotype" w:eastAsia="Palatino Linotype" w:hAnsi="Palatino Linotype" w:cs="Palatino Linotype"/>
          <w:sz w:val="22"/>
          <w:szCs w:val="22"/>
        </w:rPr>
        <w:t>I</w:t>
      </w:r>
      <w:r w:rsidRPr="006B671F">
        <w:rPr>
          <w:rFonts w:ascii="Palatino Linotype" w:eastAsia="Palatino Linotype" w:hAnsi="Palatino Linotype" w:cs="Palatino Linotype"/>
          <w:sz w:val="22"/>
          <w:szCs w:val="22"/>
        </w:rPr>
        <w:t xml:space="preserve"> del artículo 179 de la Ley en la materia. </w:t>
      </w:r>
    </w:p>
    <w:p w14:paraId="00110A87"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28CD8C66"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Cuarto.</w:t>
      </w:r>
      <w:r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b/>
          <w:sz w:val="22"/>
          <w:szCs w:val="22"/>
        </w:rPr>
        <w:t>Estudio de fondo del asunto.</w:t>
      </w:r>
      <w:r w:rsidRPr="006B671F">
        <w:rPr>
          <w:rFonts w:ascii="Palatino Linotype" w:eastAsia="Palatino Linotype" w:hAnsi="Palatino Linotype" w:cs="Palatino Linotype"/>
          <w:sz w:val="22"/>
          <w:szCs w:val="22"/>
        </w:rPr>
        <w:t xml:space="preserve">  Antes de entrar al análisis de los pronunciamientos del Sujeto Obligado en las respuestas proporcionadas, es necesario mencionar que el derecho de acceso 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708FF71A"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p>
    <w:p w14:paraId="5E0783F3"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lastRenderedPageBreak/>
        <w:t>Artículo 1o.</w:t>
      </w:r>
      <w:r w:rsidRPr="006B671F">
        <w:rPr>
          <w:rFonts w:ascii="Palatino Linotype" w:eastAsia="Palatino Linotype" w:hAnsi="Palatino Linotype" w:cs="Palatino Linotype"/>
          <w:i/>
          <w:sz w:val="22"/>
          <w:szCs w:val="22"/>
        </w:rPr>
        <w:t xml:space="preserve"> En los Estados Unidos Mexicanos todas las personas gozarán de los derechos humanos reconocidos en esta Constitución y en los tratados internacionales de los que el Estado Mexicano sea parte, así como de las garantías para su protección, cuyo ejercicio no podrá restringirse ni suspenderse, salvo en los casos y bajo las condiciones que esta Constitución establece.</w:t>
      </w:r>
    </w:p>
    <w:p w14:paraId="615DE382"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Las normas relativas a los derechos humanos se interpretarán de conformidad con esta Constitución y con los tratados internacionales de la materia favoreciendo en todo tiempo a las personas la protección más amplia.</w:t>
      </w:r>
    </w:p>
    <w:p w14:paraId="69EDD115"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Todas las autoridades, en el ámbito de sus competencias, tienen la obligación de promover, respetar, proteger y garantizar los derechos humanos de conformidad con los principios de universalidad, interdependencia, indivisibilidad y progresividad. En consecuencia, el Estado deberá prevenir, investigar, sancionar y reparar las violaciones a los derechos humanos, en los términos que establezca la ley</w:t>
      </w:r>
    </w:p>
    <w:p w14:paraId="637B112E"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034F09E6" w14:textId="77777777" w:rsidR="001D06D3" w:rsidRPr="006B671F" w:rsidRDefault="001D06D3" w:rsidP="00EC101D">
      <w:pPr>
        <w:spacing w:line="360" w:lineRule="auto"/>
        <w:ind w:left="567" w:right="56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“Artículo 6o.</w:t>
      </w:r>
    </w:p>
    <w:p w14:paraId="0A3B7D85"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274B1D4E"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A. Para el ejercicio del derecho de acceso a la información, la Federación y las entidades federativas, en el ámbito de sus respectivas competencias, se regirán por los siguientes principios y bases:</w:t>
      </w:r>
    </w:p>
    <w:p w14:paraId="07AFF679"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 I. Toda la información en posesión de cualquier autoridad, entidad, órgano y organismo de los Poderes Ejecutivo, Legislativo y Judicial, órganos autónomos, partidos políticos, fideicomisos y fondos públicos, así como de cualquier persona física, moral o sindicato que reciba y ejerza recursos públicos o realice actos de autoridad en el ámbito federal, estatal y municipal, es pública y sólo podrá ser reservada temporalmente por razones de interés </w:t>
      </w:r>
      <w:r w:rsidRPr="006B671F">
        <w:rPr>
          <w:rFonts w:ascii="Palatino Linotype" w:eastAsia="Palatino Linotype" w:hAnsi="Palatino Linotype" w:cs="Palatino Linotype"/>
          <w:i/>
          <w:sz w:val="22"/>
          <w:szCs w:val="22"/>
        </w:rPr>
        <w:lastRenderedPageBreak/>
        <w:t>público y seguridad nacional,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048F2C95"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 II. La información que se refiere a la vida privada y los datos personales será protegida en los términos y con las excepciones que fijen las leyes.</w:t>
      </w:r>
    </w:p>
    <w:p w14:paraId="03ADF6D5"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 III. Toda persona, sin necesidad de acreditar interés alguno o justificar su utilización, tendrá acceso gratuito a la información pública, a sus datos personales o a la rectificación de éstos.</w:t>
      </w:r>
    </w:p>
    <w:p w14:paraId="43E30908"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 IV. Se establecerán mecanismos de acceso a la información y procedimientos de revisión expeditos que se sustanciarán ante los organismos autónomos especializados e imparciales que establece esta Constitución.</w:t>
      </w:r>
    </w:p>
    <w:p w14:paraId="77DE4A36"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V. 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25D1FB18"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 VI. Las leyes determinarán la manera en que los sujetos obligados deberán hacer pública la información relativa a los recursos públicos que entreguen a personas físicas o morales.</w:t>
      </w:r>
    </w:p>
    <w:p w14:paraId="039A9CC4"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 VII. La inobservancia a las disposiciones en materia de acceso a la información pública será sancionada en los términos que dispongan las leyes. [...]</w:t>
      </w:r>
    </w:p>
    <w:p w14:paraId="5D7CC4E5"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169A8027"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Esto es, que cualquier persona tiene el derecho al acceso de la información pública, información que consiste en aquella que sea generada, obtenida, adquirida, transformada, </w:t>
      </w:r>
      <w:r w:rsidRPr="006B671F">
        <w:rPr>
          <w:rFonts w:ascii="Palatino Linotype" w:eastAsia="Palatino Linotype" w:hAnsi="Palatino Linotype" w:cs="Palatino Linotype"/>
          <w:sz w:val="22"/>
          <w:szCs w:val="22"/>
        </w:rPr>
        <w:lastRenderedPageBreak/>
        <w:t>administrada o en posesión de los Sujetos Obligados, como así también lo señala la Ley de Transparencia y Acceso a la Información Pública del Estado de México y Municipios en su artículo 4,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40330E6B"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01BCE5D5"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4.</w:t>
      </w:r>
      <w:r w:rsidRPr="006B671F">
        <w:rPr>
          <w:rFonts w:ascii="Palatino Linotype" w:eastAsia="Palatino Linotype" w:hAnsi="Palatino Linotype" w:cs="Palatino Linotype"/>
          <w:i/>
          <w:sz w:val="22"/>
          <w:szCs w:val="22"/>
        </w:rPr>
        <w:t xml:space="preserve"> El derecho humano de acceso a la información pública es la prerrogativa de las personas para buscar, difundir, investigar, recabar, recibir y solicitar información pública, sin necesidad de acreditar personalidad ni interés jurídico. </w:t>
      </w:r>
    </w:p>
    <w:p w14:paraId="46C9D061"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474BF554"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Los sujetos obligados deben poner en práctica, políticas y programas de acceso a la información que se apeguen a criterios de publicidad, veracidad, oportunidad, precisión y suficiencia en beneficio de los solicitantes.”</w:t>
      </w:r>
    </w:p>
    <w:p w14:paraId="480F6B0F"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p>
    <w:p w14:paraId="128B0C99"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lastRenderedPageBreak/>
        <w:t>De lo precedente, se desprende que los Sujetos Obligados tienen la obligación o deber de atender las solicitudes de acceso a la información pública que se les hagan de su conocimiento y proporcionar la información pública que obren en su poder como así lo establece el artículo 12 de la Ley de Transparencia y Acceso a la Información Pública del Estado de México y Municipios, el cual a la letra dice:</w:t>
      </w:r>
    </w:p>
    <w:p w14:paraId="7B6EFD81"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6C003958"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12.</w:t>
      </w:r>
      <w:r w:rsidRPr="006B671F">
        <w:rPr>
          <w:rFonts w:ascii="Palatino Linotype" w:eastAsia="Palatino Linotype" w:hAnsi="Palatino Linotype" w:cs="Palatino Linotype"/>
          <w:i/>
          <w:sz w:val="22"/>
          <w:szCs w:val="22"/>
        </w:rPr>
        <w:t xml:space="preserve"> Quienes generen, recopilen, administren, manejen, procesen, archiven o conserven información pública serán responsables de la misma en los términos de las disposiciones jurídicas aplicables. </w:t>
      </w:r>
    </w:p>
    <w:p w14:paraId="5FA4CBFE"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w:t>
      </w:r>
    </w:p>
    <w:p w14:paraId="5032C62F"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46E9DD07"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Es decir, que el derecho de acceso a la información pública se satisface en aquellos casos en que se entregue documento en que conste la información requerida, toda vez que, los Sujetos Obligados no tienen el deber de generar, poseer o administrar la información pública con el grado de detalle solicitado; esto es, que no tienen el deber de generar un documento ad hoc, para satisfacer el derecho de acceso a la información pública, como así lo establece el Criterio 03/17 emitido por el Instituto Nacional de Transparencia, Acceso a la Información Pública y Protección de Datos Personales, el cual señala lo siguiente:</w:t>
      </w:r>
    </w:p>
    <w:p w14:paraId="14D13B39"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39D9BFD7" w14:textId="77777777" w:rsidR="001D06D3" w:rsidRPr="006B671F" w:rsidRDefault="001D06D3" w:rsidP="00EC101D">
      <w:pPr>
        <w:spacing w:line="360" w:lineRule="auto"/>
        <w:ind w:left="567" w:right="56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Criterio 03/17</w:t>
      </w:r>
    </w:p>
    <w:p w14:paraId="71A1758B"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lastRenderedPageBreak/>
        <w:t xml:space="preserve">“NO EXISTE OBLIGACIÓN DE ELABORAR DOCUMENTOS AD HOC PARA ATENDER LAS SOLICITUDES DE ACCESO A LA INFORMACIÓN. </w:t>
      </w:r>
      <w:r w:rsidRPr="006B671F">
        <w:rPr>
          <w:rFonts w:ascii="Palatino Linotype" w:eastAsia="Palatino Linotype" w:hAnsi="Palatino Linotype" w:cs="Palatino Linotype"/>
          <w:i/>
          <w:sz w:val="22"/>
          <w:szCs w:val="22"/>
        </w:rPr>
        <w:t>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5A27388D" w14:textId="77777777" w:rsidR="001D06D3" w:rsidRPr="006B671F" w:rsidRDefault="001D06D3" w:rsidP="00EC101D">
      <w:pPr>
        <w:spacing w:line="360" w:lineRule="auto"/>
        <w:ind w:left="567" w:right="560"/>
        <w:jc w:val="both"/>
        <w:rPr>
          <w:rFonts w:ascii="Palatino Linotype" w:eastAsia="Palatino Linotype" w:hAnsi="Palatino Linotype" w:cs="Palatino Linotype"/>
          <w:b/>
          <w:i/>
          <w:sz w:val="22"/>
          <w:szCs w:val="22"/>
        </w:rPr>
      </w:pPr>
    </w:p>
    <w:p w14:paraId="2DB15829"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Por otra parte, y aunado a lo antepuesto, el último párrafo del artículo 24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078FD5B2"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3405B501"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59FDA8B3"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733DC3D9"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238F6075"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4E742F76"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3.</w:t>
      </w:r>
      <w:r w:rsidRPr="006B671F">
        <w:rPr>
          <w:rFonts w:ascii="Palatino Linotype" w:eastAsia="Palatino Linotype" w:hAnsi="Palatino Linotype" w:cs="Palatino Linotype"/>
          <w:i/>
          <w:sz w:val="22"/>
          <w:szCs w:val="22"/>
        </w:rPr>
        <w:t xml:space="preserve"> Para los efectos de la presente Ley se entenderá por:</w:t>
      </w:r>
    </w:p>
    <w:p w14:paraId="5A4D9C3B"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6E6F5F85"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XI. Documento:</w:t>
      </w:r>
      <w:r w:rsidRPr="006B671F">
        <w:rPr>
          <w:rFonts w:ascii="Palatino Linotype" w:eastAsia="Palatino Linotype" w:hAnsi="Palatino Linotype" w:cs="Palatino Linotype"/>
          <w:i/>
          <w:sz w:val="22"/>
          <w:szCs w:val="22"/>
        </w:rPr>
        <w:t xml:space="preserve"> 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 </w:t>
      </w:r>
    </w:p>
    <w:p w14:paraId="41B05439"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249BDF8F"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Siendo aplicable, el Criterio de interpretación en el orden administrativo número 0002-11, emitido por Acuerdo del Pleno del Instituto de Transparencia y Acceso a la Información Pública del Estado de México y Municipios; publicado en el Periódico Oficial del Gobierno </w:t>
      </w:r>
      <w:r w:rsidRPr="006B671F">
        <w:rPr>
          <w:rFonts w:ascii="Palatino Linotype" w:eastAsia="Palatino Linotype" w:hAnsi="Palatino Linotype" w:cs="Palatino Linotype"/>
          <w:sz w:val="22"/>
          <w:szCs w:val="22"/>
        </w:rPr>
        <w:lastRenderedPageBreak/>
        <w:t>del Estado Libre y Soberano de México “Gaceta del Gobierno”, el diecinueve de octubre de dos mil once, cuyo rubro y texto refieren lo siguiente:</w:t>
      </w:r>
    </w:p>
    <w:p w14:paraId="0ADC240E"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3A5FDBEB" w14:textId="77777777" w:rsidR="001D06D3" w:rsidRPr="006B671F" w:rsidRDefault="001D06D3" w:rsidP="00EC101D">
      <w:pPr>
        <w:spacing w:line="360" w:lineRule="auto"/>
        <w:ind w:left="567" w:right="56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CRITERIO 0002-11</w:t>
      </w:r>
    </w:p>
    <w:p w14:paraId="0A848E02"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6B671F">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1A4888B8"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En consecuencia el acceso a la información se refiere a que se cumplan cualquiera de los siguientes tres supuestos:</w:t>
      </w:r>
    </w:p>
    <w:p w14:paraId="6BB1B1D7"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1)</w:t>
      </w:r>
      <w:r w:rsidRPr="006B671F">
        <w:rPr>
          <w:rFonts w:ascii="Palatino Linotype" w:eastAsia="Palatino Linotype" w:hAnsi="Palatino Linotype" w:cs="Palatino Linotype"/>
          <w:i/>
          <w:sz w:val="22"/>
          <w:szCs w:val="22"/>
        </w:rPr>
        <w:tab/>
        <w:t>Que se trate de información registrada en cualquier soporte documental, que en ejercicio de las atribuciones conferidas, sea generada por los Sujetos Obligados;</w:t>
      </w:r>
    </w:p>
    <w:p w14:paraId="1B006B63"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2)</w:t>
      </w:r>
      <w:r w:rsidRPr="006B671F">
        <w:rPr>
          <w:rFonts w:ascii="Palatino Linotype" w:eastAsia="Palatino Linotype" w:hAnsi="Palatino Linotype" w:cs="Palatino Linotype"/>
          <w:i/>
          <w:sz w:val="22"/>
          <w:szCs w:val="22"/>
        </w:rPr>
        <w:tab/>
        <w:t>Que se trate de información registrada en cualquier soporte documental, que en ejercicio de las atribuciones conferidas, sea administrada por los Sujetos Obligados, y</w:t>
      </w:r>
    </w:p>
    <w:p w14:paraId="7A246631" w14:textId="77777777" w:rsidR="001D06D3" w:rsidRPr="006B671F" w:rsidRDefault="001D06D3" w:rsidP="00EC101D">
      <w:pPr>
        <w:spacing w:line="360"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3) Que se trate de información registrada en cualquier soporte documental, que en ejercicio de las atribuciones conferidas, se encuentre en posesión de los Sujetos Obligados.” </w:t>
      </w:r>
    </w:p>
    <w:p w14:paraId="61714C9A"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529491E0" w14:textId="65DFE261" w:rsidR="001D06D3" w:rsidRPr="006B671F" w:rsidRDefault="001D06D3"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 ahí que el Sujeto Obligado cuenta con el deber de satisfacer las solicitudes de acceso a la información que le sean formuladas y entregar la información pública que obre en sus archivos; más aún si la misma se trata de información pública de oficio la cual se relaciona con aquella que se genere de acuerdo con sus facultades, atribuciones señaladas por la Ley en la </w:t>
      </w:r>
      <w:r w:rsidRPr="006B671F">
        <w:rPr>
          <w:rFonts w:ascii="Palatino Linotype" w:eastAsia="Palatino Linotype" w:hAnsi="Palatino Linotype" w:cs="Palatino Linotype"/>
          <w:sz w:val="22"/>
          <w:szCs w:val="22"/>
        </w:rPr>
        <w:lastRenderedPageBreak/>
        <w:t>materia, así como de interés público, es decir, aquella que resulta relevante o beneficiosa para la sociedad y no simplemente de interés individual y cuya divulgación resulta útil para que el público comprenda las actividades que lleva</w:t>
      </w:r>
      <w:r w:rsidR="008A30A6" w:rsidRPr="006B671F">
        <w:rPr>
          <w:rFonts w:ascii="Palatino Linotype" w:eastAsia="Palatino Linotype" w:hAnsi="Palatino Linotype" w:cs="Palatino Linotype"/>
          <w:sz w:val="22"/>
          <w:szCs w:val="22"/>
        </w:rPr>
        <w:t xml:space="preserve">n a cabo los Sujetos Obligados. </w:t>
      </w:r>
    </w:p>
    <w:p w14:paraId="28AD27BA" w14:textId="77777777" w:rsidR="001D06D3" w:rsidRPr="006B671F" w:rsidRDefault="001D06D3" w:rsidP="00EC101D">
      <w:pPr>
        <w:spacing w:line="360" w:lineRule="auto"/>
        <w:ind w:right="49"/>
        <w:jc w:val="both"/>
        <w:rPr>
          <w:rFonts w:ascii="Palatino Linotype" w:eastAsia="Palatino Linotype" w:hAnsi="Palatino Linotype" w:cs="Palatino Linotype"/>
          <w:sz w:val="22"/>
          <w:szCs w:val="22"/>
        </w:rPr>
      </w:pPr>
    </w:p>
    <w:p w14:paraId="4DD52F13" w14:textId="77777777" w:rsidR="00B80202" w:rsidRPr="006B671F" w:rsidRDefault="00F82379"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Resulta conveniente indicar que el Recurrente solic</w:t>
      </w:r>
      <w:r w:rsidR="004A4F2D" w:rsidRPr="006B671F">
        <w:rPr>
          <w:rFonts w:ascii="Palatino Linotype" w:eastAsia="Palatino Linotype" w:hAnsi="Palatino Linotype" w:cs="Palatino Linotype"/>
          <w:sz w:val="22"/>
          <w:szCs w:val="22"/>
        </w:rPr>
        <w:t>itó la siguiente información</w:t>
      </w:r>
      <w:r w:rsidR="00B80202" w:rsidRPr="006B671F">
        <w:rPr>
          <w:rFonts w:ascii="Palatino Linotype" w:eastAsia="Palatino Linotype" w:hAnsi="Palatino Linotype" w:cs="Palatino Linotype"/>
          <w:sz w:val="22"/>
          <w:szCs w:val="22"/>
        </w:rPr>
        <w:t>:</w:t>
      </w:r>
    </w:p>
    <w:p w14:paraId="534FD35C" w14:textId="77777777" w:rsidR="00B80202" w:rsidRPr="006B671F" w:rsidRDefault="00B80202" w:rsidP="00EC101D">
      <w:pPr>
        <w:spacing w:line="360" w:lineRule="auto"/>
        <w:ind w:right="49"/>
        <w:jc w:val="both"/>
        <w:rPr>
          <w:rFonts w:ascii="Palatino Linotype" w:eastAsia="Palatino Linotype" w:hAnsi="Palatino Linotype" w:cs="Palatino Linotype"/>
          <w:sz w:val="22"/>
          <w:szCs w:val="22"/>
        </w:rPr>
      </w:pPr>
    </w:p>
    <w:p w14:paraId="0042DE50" w14:textId="69ECB818" w:rsidR="00B80202" w:rsidRPr="006B671F" w:rsidRDefault="00B80202" w:rsidP="00B80202">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Versión pública del registro de entrada y salida de todo el personal adscrito y comisionado a la unidad de asuntos internos en el reloj checador, listas de registro y/o equivalente de la siguiente temporalidad</w:t>
      </w:r>
      <w:r w:rsidR="00B53380" w:rsidRPr="006B671F">
        <w:rPr>
          <w:rFonts w:ascii="Palatino Linotype" w:eastAsia="Palatino Linotype" w:hAnsi="Palatino Linotype" w:cs="Palatino Linotype"/>
          <w:sz w:val="22"/>
          <w:szCs w:val="22"/>
        </w:rPr>
        <w:t>:</w:t>
      </w:r>
    </w:p>
    <w:p w14:paraId="1D0A7EB4" w14:textId="77777777" w:rsidR="00B80202" w:rsidRPr="006B671F" w:rsidRDefault="00B80202" w:rsidP="00B80202">
      <w:pPr>
        <w:spacing w:line="360" w:lineRule="auto"/>
        <w:ind w:right="49"/>
        <w:jc w:val="both"/>
        <w:rPr>
          <w:rFonts w:ascii="Palatino Linotype" w:eastAsia="Palatino Linotype" w:hAnsi="Palatino Linotype" w:cs="Palatino Linotype"/>
          <w:sz w:val="22"/>
          <w:szCs w:val="22"/>
        </w:rPr>
      </w:pPr>
    </w:p>
    <w:p w14:paraId="7E215315" w14:textId="5F9F7174"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Del 01 al 30 de enero de 2024.</w:t>
      </w:r>
    </w:p>
    <w:p w14:paraId="7EAA941D" w14:textId="0EBCF221"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Del 16 al 28 de febrero de 2024. </w:t>
      </w:r>
    </w:p>
    <w:p w14:paraId="02BF8206" w14:textId="30CCD118"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Del 16 al 30 de marzo de 2024.</w:t>
      </w:r>
    </w:p>
    <w:p w14:paraId="23F3F60A" w14:textId="53451ABD"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Del 01 al 30 de abril de 2024.</w:t>
      </w:r>
    </w:p>
    <w:p w14:paraId="2977D37F" w14:textId="638BA997"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Del 01 al 15 de junio de 2024. </w:t>
      </w:r>
    </w:p>
    <w:p w14:paraId="03B09CB1" w14:textId="180090EA"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Del 16 al 30 de julio de 2024.</w:t>
      </w:r>
    </w:p>
    <w:p w14:paraId="6E31B71B" w14:textId="475253B3" w:rsidR="00B80202" w:rsidRPr="006B671F" w:rsidRDefault="00B80202" w:rsidP="00662D89">
      <w:pPr>
        <w:pStyle w:val="Prrafodelista"/>
        <w:numPr>
          <w:ilvl w:val="0"/>
          <w:numId w:val="3"/>
        </w:num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Del 01 al 15 de septiembre de 2024</w:t>
      </w:r>
    </w:p>
    <w:p w14:paraId="67F242E6" w14:textId="77777777" w:rsidR="00B53380" w:rsidRPr="006B671F" w:rsidRDefault="00B53380" w:rsidP="00B80202">
      <w:pPr>
        <w:spacing w:line="360" w:lineRule="auto"/>
        <w:ind w:right="49"/>
        <w:jc w:val="both"/>
        <w:rPr>
          <w:rFonts w:ascii="Palatino Linotype" w:eastAsia="Palatino Linotype" w:hAnsi="Palatino Linotype" w:cs="Palatino Linotype"/>
          <w:sz w:val="22"/>
          <w:szCs w:val="22"/>
        </w:rPr>
      </w:pPr>
    </w:p>
    <w:p w14:paraId="25E3D29B" w14:textId="395F518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En respuesta el </w:t>
      </w:r>
      <w:r w:rsidRPr="006B671F">
        <w:rPr>
          <w:rFonts w:ascii="Palatino Linotype" w:eastAsia="Palatino Linotype" w:hAnsi="Palatino Linotype" w:cs="Palatino Linotype"/>
          <w:b/>
          <w:sz w:val="22"/>
        </w:rPr>
        <w:t>Sujeto Obligado</w:t>
      </w:r>
      <w:r w:rsidRPr="006B671F">
        <w:rPr>
          <w:rFonts w:ascii="Palatino Linotype" w:eastAsia="Palatino Linotype" w:hAnsi="Palatino Linotype" w:cs="Palatino Linotype"/>
          <w:sz w:val="22"/>
        </w:rPr>
        <w:t xml:space="preserve">, indicó que </w:t>
      </w:r>
      <w:r w:rsidRPr="006B671F">
        <w:rPr>
          <w:rFonts w:ascii="Palatino Linotype" w:eastAsia="Palatino Linotype" w:hAnsi="Palatino Linotype" w:cs="Palatino Linotype"/>
          <w:sz w:val="22"/>
          <w:szCs w:val="22"/>
        </w:rPr>
        <w:t xml:space="preserve">lo requerido versa en información relacionada con registros de entrada y salida de las personas servidoras públicas de ese organismo descentralizado que aseguran la operación del mismo y realizan la actividades sustantivas de investigación e integración de los expedientes de quejas y denuncias por presuntas faltas administrativas o incumplimiento al régimen disciplinario de los integrantes de la Secretaría de Seguridad, cuya divulgación puede afectar el debido proceso, ya que dicha información </w:t>
      </w:r>
      <w:r w:rsidRPr="006B671F">
        <w:rPr>
          <w:rFonts w:ascii="Palatino Linotype" w:eastAsia="Palatino Linotype" w:hAnsi="Palatino Linotype" w:cs="Palatino Linotype"/>
          <w:sz w:val="22"/>
          <w:szCs w:val="22"/>
        </w:rPr>
        <w:lastRenderedPageBreak/>
        <w:t>podría ser utilizada por servidores públicos que estén sujetos a investigaciones realizadas por la Unidad de Asuntos Internos y que son parte fundamental en los procedimientos administrativos de los citados integrantes</w:t>
      </w:r>
      <w:r w:rsidRPr="006B671F">
        <w:rPr>
          <w:rFonts w:ascii="Palatino Linotype" w:eastAsia="Palatino Linotype" w:hAnsi="Palatino Linotype" w:cs="Palatino Linotype"/>
          <w:sz w:val="22"/>
        </w:rPr>
        <w:t>, que actualizan el supuesto previsto en la fracción X del artículo 140 de la Ley de Transparencia y Acceso a la Información Pública del Estado de México y Municipios.</w:t>
      </w:r>
    </w:p>
    <w:p w14:paraId="30134E7D" w14:textId="77777777" w:rsidR="00B53380" w:rsidRPr="006B671F" w:rsidRDefault="00B53380" w:rsidP="00B53380">
      <w:pPr>
        <w:spacing w:line="360" w:lineRule="auto"/>
        <w:jc w:val="both"/>
        <w:rPr>
          <w:rFonts w:ascii="Palatino Linotype" w:eastAsia="Palatino Linotype" w:hAnsi="Palatino Linotype" w:cs="Palatino Linotype"/>
        </w:rPr>
      </w:pPr>
    </w:p>
    <w:p w14:paraId="6FB6E481"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A lo anterior, se entregó el Acta número UAI-CT-ORD- 04-2024, de la Cuarta Sesión Ordinaria 2024 del Comité de Transparencia, de fecha 03 de octubre de 2024, </w:t>
      </w:r>
      <w:r w:rsidRPr="006B671F">
        <w:rPr>
          <w:rFonts w:ascii="Palatino Linotype" w:eastAsia="Palatino Linotype" w:hAnsi="Palatino Linotype" w:cs="Palatino Linotype"/>
          <w:sz w:val="22"/>
          <w:szCs w:val="20"/>
        </w:rPr>
        <w:t xml:space="preserve">mediante la cual se aprueba la clasificación de la información como reservada la información requerida entre otras, en la solicitud de información de nuestra atención, ya que </w:t>
      </w:r>
      <w:r w:rsidRPr="006B671F">
        <w:rPr>
          <w:rFonts w:ascii="Palatino Linotype" w:eastAsia="Palatino Linotype" w:hAnsi="Palatino Linotype" w:cs="Palatino Linotype"/>
          <w:sz w:val="22"/>
          <w:szCs w:val="22"/>
        </w:rPr>
        <w:t>lo requerido versa en información relacionada con registros de entrada y salida de las personas servidoras públicas de ese organismo descentralizado que aseguran la operación del mismo y realizan la actividades sustantivas de investigación e integración de los expedientes de quejas y denuncias por presuntas faltas administrativas o incumplimiento al régimen disciplinario de los integrantes de la Secretaría de Seguridad, cuya divulgación puede afectar el debido proceso, ya que dicha información podría ser utilizada por servidores públicos que estén sujetos a investigaciones realizadas por la Unidad de Asuntos Internos y que son parte fundamental en los procedimientos administrativos de los citados integrantes</w:t>
      </w:r>
      <w:r w:rsidRPr="006B671F">
        <w:rPr>
          <w:rFonts w:ascii="Palatino Linotype" w:eastAsia="Palatino Linotype" w:hAnsi="Palatino Linotype" w:cs="Palatino Linotype"/>
          <w:sz w:val="22"/>
          <w:szCs w:val="20"/>
        </w:rPr>
        <w:t>, que actualizan la causal de reserva prevista en la fracción X del artículo 140 de la Ley de Transparencia Local, en relación con la fracción X del artículo 113 de la Ley General de Transparencia.</w:t>
      </w:r>
    </w:p>
    <w:p w14:paraId="5669138F"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182047F8"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Asimismo, se adjuntó un documento con la prueba de daño, en la que se indica que </w:t>
      </w:r>
      <w:r w:rsidRPr="006B671F">
        <w:rPr>
          <w:rFonts w:ascii="Palatino Linotype" w:eastAsia="Palatino Linotype" w:hAnsi="Palatino Linotype" w:cs="Palatino Linotype"/>
          <w:sz w:val="22"/>
          <w:szCs w:val="22"/>
        </w:rPr>
        <w:t xml:space="preserve">los registros de entrada y salida de las personas servidoras públicas de ese organismo, de hacerse públicas se podría ocasionar un perjuicio real y directo a los derechos del debido proceso </w:t>
      </w:r>
      <w:r w:rsidRPr="006B671F">
        <w:rPr>
          <w:rFonts w:ascii="Palatino Linotype" w:eastAsia="Palatino Linotype" w:hAnsi="Palatino Linotype" w:cs="Palatino Linotype"/>
          <w:sz w:val="22"/>
          <w:szCs w:val="22"/>
        </w:rPr>
        <w:lastRenderedPageBreak/>
        <w:t>llevado a cabo en las investigaciones relacionadas con procedimientos administrativos que no han quedado firmes y que fueron sustanciados por ese sujeto obligado, lo cual actualiza la causal de reserva prevista en la fracción X del artículo 140 de la Ley de Transparencia Local.</w:t>
      </w:r>
    </w:p>
    <w:p w14:paraId="2975A19A" w14:textId="77777777" w:rsidR="00B53380" w:rsidRPr="006B671F" w:rsidRDefault="00B53380" w:rsidP="00B53380">
      <w:pPr>
        <w:spacing w:before="240" w:after="240"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Conocida la respuesta por la persona solicitante, al no estar conforme con los términos de la misma, interpuso el recurso de revisión que nos ocupa, mediante el cual señaló tanto en el acto impugnado como en sus motivos de inconformidad lo siguiente: </w:t>
      </w:r>
    </w:p>
    <w:p w14:paraId="20C566BE" w14:textId="77777777" w:rsidR="00B53380" w:rsidRPr="006B671F" w:rsidRDefault="00B53380" w:rsidP="00B53380">
      <w:pPr>
        <w:spacing w:before="240" w:after="240" w:line="276" w:lineRule="auto"/>
        <w:ind w:left="567" w:right="474"/>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“Artículo 181. Si el escrito de interposición del recurso no cumple con alguno de los requisitos establecidos en el artículo anterior y el Instituto no cuenta con elementos para subsanarlos, se prevendrá al recurrente, por una sola ocasión y a través del medio que haya elegido para recibir notificaciones, con el objeto de que subsane las omisiones dentro de un plazo que no podrá exceder de cinco días hábiles, contados a partir del día siguiente de la notificación de la prevención, con el apercibimiento de que, de no cumplir, se desechará el recurso de revisión. La prevención tendrá el efecto de interrumpir el plazo que tiene el Instituto para resolver el recurso, por lo que comenzará a computarse a partir del día siguiente a su desahogo. No podrá prevenirse por el nombre que proporcione el solicitante. El Instituto resolverá el recurso de revisión en un plazo que no podrá exceder de treinta días hábiles, contados a partir de la admisión del mismo, en los términos que establezca la presente ley, plazo que podrá ampliarse por una sola vez y hasta por un periodo de quince días hábiles. Durante el procedimiento deberá aplicarse la suplencia de la queja a favor del recurrente, sin cambiar los hechos expuestos, asegurándose de que las partes puedan presentar, de manera oral o escrita, los argumentos que funden y motiven sus pretensiones. Para el caso de interposición del recurso de revisión a través de la Plataforma Nacional o la plataforma que para tales efectos habilite el Instituto, éste podrá solicitar al particular subsane las deficiencias por ese medio.”</w:t>
      </w:r>
    </w:p>
    <w:p w14:paraId="500339AD" w14:textId="77777777" w:rsidR="00B53380" w:rsidRPr="006B671F" w:rsidRDefault="00B53380" w:rsidP="00B53380">
      <w:pPr>
        <w:spacing w:line="360" w:lineRule="auto"/>
        <w:ind w:right="49"/>
        <w:jc w:val="both"/>
        <w:rPr>
          <w:rFonts w:ascii="Palatino Linotype" w:eastAsia="Palatino Linotype" w:hAnsi="Palatino Linotype" w:cs="Palatino Linotype"/>
          <w:sz w:val="10"/>
          <w:szCs w:val="22"/>
        </w:rPr>
      </w:pPr>
    </w:p>
    <w:p w14:paraId="26C87399" w14:textId="3E6DDC35" w:rsidR="00B53380" w:rsidRPr="006B671F" w:rsidRDefault="00B53380" w:rsidP="00B53380">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Al respecto, si bien de los motivos de inconformidad no se advierte expresamente que el particular hiciera valer agravio en contra de la respuesta del ente obligado, también lo es que </w:t>
      </w:r>
      <w:r w:rsidRPr="006B671F">
        <w:rPr>
          <w:rFonts w:ascii="Palatino Linotype" w:eastAsia="Palatino Linotype" w:hAnsi="Palatino Linotype" w:cs="Palatino Linotype"/>
          <w:sz w:val="22"/>
          <w:szCs w:val="22"/>
        </w:rPr>
        <w:lastRenderedPageBreak/>
        <w:t xml:space="preserve">al citar el particular el contenido del artículo 181 de la Ley de Transparencia Local, relativo a la tramitología del recurso de revisión, que prevé la atribución de este Instituto de suplir la deficiencia de la queja en favor del recurrente; por tanto, con la finalidad de asegurar que pueda presentar, entre otros, los argumentos que funden y motiven sus pretensiones, se tiene que del análisis integral al recurso de revisión y la respuesta del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el motivo de inconformidad versa en la </w:t>
      </w:r>
      <w:r w:rsidR="002419F4" w:rsidRPr="006B671F">
        <w:rPr>
          <w:rFonts w:ascii="Palatino Linotype" w:eastAsia="Palatino Linotype" w:hAnsi="Palatino Linotype" w:cs="Palatino Linotype"/>
          <w:sz w:val="22"/>
          <w:szCs w:val="22"/>
        </w:rPr>
        <w:t>clasificación de la información, como lo señaló el Recurrente en diversos recursos de revisión en los cuales se realizó la prevención, conforme a los antecedentes de la resolución.</w:t>
      </w:r>
    </w:p>
    <w:p w14:paraId="73076E93"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p>
    <w:p w14:paraId="7F29EDDE"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Por lo que, en aras de garantizar el ejercicio del derecho de acceso a la información pública del particular, en términos de los artículos 13 y 181, cuarto párrafo de la Ley de Transparencia Local, se lleva a cabo la suplencia de la queja en beneficio de la </w:t>
      </w:r>
      <w:r w:rsidRPr="006B671F">
        <w:rPr>
          <w:rFonts w:ascii="Palatino Linotype" w:eastAsia="Palatino Linotype" w:hAnsi="Palatino Linotype" w:cs="Palatino Linotype"/>
          <w:b/>
          <w:sz w:val="22"/>
          <w:szCs w:val="22"/>
        </w:rPr>
        <w:t>parte Recurrente</w:t>
      </w:r>
      <w:r w:rsidRPr="006B671F">
        <w:rPr>
          <w:rFonts w:ascii="Palatino Linotype" w:eastAsia="Palatino Linotype" w:hAnsi="Palatino Linotype" w:cs="Palatino Linotype"/>
          <w:sz w:val="22"/>
          <w:szCs w:val="22"/>
        </w:rPr>
        <w:t>, para advertir que sus motivos de inconformidad versan en la clasificación de la información requerida como reservada.</w:t>
      </w:r>
    </w:p>
    <w:p w14:paraId="06975038"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p>
    <w:p w14:paraId="75ED1D7A"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Acotado lo anterior, es de indicar que, una vez admitido el presente recurso de revisión, en términos del artículo 185 fracción II</w:t>
      </w:r>
      <w:r w:rsidRPr="006B671F">
        <w:rPr>
          <w:rFonts w:ascii="Palatino Linotype" w:eastAsia="Palatino Linotype" w:hAnsi="Palatino Linotype" w:cs="Palatino Linotype"/>
          <w:sz w:val="22"/>
          <w:szCs w:val="22"/>
          <w:vertAlign w:val="superscript"/>
        </w:rPr>
        <w:footnoteReference w:id="1"/>
      </w:r>
      <w:r w:rsidRPr="006B671F">
        <w:rPr>
          <w:rFonts w:ascii="Palatino Linotype" w:eastAsia="Palatino Linotype" w:hAnsi="Palatino Linotype" w:cs="Palatino Linotype"/>
          <w:sz w:val="22"/>
          <w:szCs w:val="22"/>
        </w:rPr>
        <w:t xml:space="preserve"> de la Ley de Transparencia y Acceso a la Información Pública del Estado de México y Municipios, se integró el expediente y se puso a disposición de las partes para que, en un plazo máximo de siete días hábiles, manifestaran lo que a su derecho resultara conveniente, teniendo así que el </w:t>
      </w:r>
      <w:r w:rsidRPr="006B671F">
        <w:rPr>
          <w:rFonts w:ascii="Palatino Linotype" w:eastAsia="Palatino Linotype" w:hAnsi="Palatino Linotype" w:cs="Palatino Linotype"/>
          <w:b/>
          <w:sz w:val="22"/>
          <w:szCs w:val="22"/>
        </w:rPr>
        <w:t xml:space="preserve">Recurrente </w:t>
      </w:r>
      <w:r w:rsidRPr="006B671F">
        <w:rPr>
          <w:rFonts w:ascii="Palatino Linotype" w:eastAsia="Palatino Linotype" w:hAnsi="Palatino Linotype" w:cs="Palatino Linotype"/>
          <w:sz w:val="22"/>
          <w:szCs w:val="22"/>
        </w:rPr>
        <w:t xml:space="preserve">no realizó manifestaciones, alegatos o pruebas que a su derecho convinieran y por su parte el </w:t>
      </w:r>
      <w:r w:rsidRPr="006B671F">
        <w:rPr>
          <w:rFonts w:ascii="Palatino Linotype" w:eastAsia="Palatino Linotype" w:hAnsi="Palatino Linotype" w:cs="Palatino Linotype"/>
          <w:b/>
          <w:sz w:val="22"/>
          <w:szCs w:val="22"/>
        </w:rPr>
        <w:t xml:space="preserve">Sujeto Obligado </w:t>
      </w:r>
      <w:r w:rsidRPr="006B671F">
        <w:rPr>
          <w:rFonts w:ascii="Palatino Linotype" w:eastAsia="Palatino Linotype" w:hAnsi="Palatino Linotype" w:cs="Palatino Linotype"/>
          <w:sz w:val="22"/>
          <w:szCs w:val="22"/>
        </w:rPr>
        <w:t>tampoco</w:t>
      </w:r>
      <w:r w:rsidRPr="006B671F">
        <w:rPr>
          <w:rFonts w:ascii="Palatino Linotype" w:eastAsia="Palatino Linotype" w:hAnsi="Palatino Linotype" w:cs="Palatino Linotype"/>
          <w:b/>
          <w:sz w:val="22"/>
          <w:szCs w:val="22"/>
        </w:rPr>
        <w:t xml:space="preserve"> </w:t>
      </w:r>
      <w:r w:rsidRPr="006B671F">
        <w:rPr>
          <w:rFonts w:ascii="Palatino Linotype" w:eastAsia="Palatino Linotype" w:hAnsi="Palatino Linotype" w:cs="Palatino Linotype"/>
          <w:sz w:val="22"/>
          <w:szCs w:val="22"/>
        </w:rPr>
        <w:t xml:space="preserve">rindió su informe justificado. </w:t>
      </w:r>
    </w:p>
    <w:p w14:paraId="18C77599"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p>
    <w:p w14:paraId="2490C6CF" w14:textId="199C757F" w:rsidR="00B53380" w:rsidRPr="006B671F" w:rsidRDefault="00B53380" w:rsidP="00B53380">
      <w:pPr>
        <w:spacing w:line="360" w:lineRule="auto"/>
        <w:ind w:right="49"/>
        <w:jc w:val="both"/>
        <w:rPr>
          <w:rFonts w:ascii="Palatino Linotype" w:hAnsi="Palatino Linotype"/>
          <w:bCs/>
          <w:sz w:val="22"/>
          <w:szCs w:val="22"/>
        </w:rPr>
      </w:pPr>
      <w:r w:rsidRPr="006B671F">
        <w:rPr>
          <w:rFonts w:ascii="Palatino Linotype" w:eastAsia="Palatino Linotype" w:hAnsi="Palatino Linotype" w:cs="Palatino Linotype"/>
          <w:sz w:val="22"/>
          <w:szCs w:val="22"/>
        </w:rPr>
        <w:t xml:space="preserve">Expuestas las posturas de las partes, a efecto de ilustrar la esfera competencial de la entidad administrativa que se señala en el presente asunto, resulta oportuno traer a colación </w:t>
      </w:r>
      <w:r w:rsidRPr="006B671F">
        <w:rPr>
          <w:rFonts w:ascii="Palatino Linotype" w:hAnsi="Palatino Linotype"/>
          <w:bCs/>
          <w:sz w:val="22"/>
          <w:szCs w:val="22"/>
        </w:rPr>
        <w:t xml:space="preserve">el artículo 4°, fracción VI, de la Ley del Trabajo de los Servidores Públicos del Estado y Municipios, que precisa que son </w:t>
      </w:r>
      <w:r w:rsidRPr="006B671F">
        <w:rPr>
          <w:rFonts w:ascii="Palatino Linotype" w:hAnsi="Palatino Linotype"/>
          <w:b/>
          <w:sz w:val="22"/>
          <w:szCs w:val="22"/>
        </w:rPr>
        <w:t>servidores públicos</w:t>
      </w:r>
      <w:r w:rsidRPr="006B671F">
        <w:rPr>
          <w:rFonts w:ascii="Palatino Linotype" w:hAnsi="Palatino Linotype"/>
          <w:bCs/>
          <w:sz w:val="22"/>
          <w:szCs w:val="22"/>
        </w:rPr>
        <w:t xml:space="preserve">, todas las personas físicas que presten a una institución pública un trabajo personal subordinado, mediante el pago de un sueldo. </w:t>
      </w:r>
    </w:p>
    <w:p w14:paraId="22544588" w14:textId="77777777" w:rsidR="00532800" w:rsidRPr="006B671F" w:rsidRDefault="00532800" w:rsidP="00B53380">
      <w:pPr>
        <w:spacing w:line="360" w:lineRule="auto"/>
        <w:ind w:right="49"/>
        <w:jc w:val="both"/>
        <w:rPr>
          <w:rFonts w:ascii="Palatino Linotype" w:hAnsi="Palatino Linotype"/>
          <w:bCs/>
          <w:sz w:val="22"/>
          <w:szCs w:val="22"/>
        </w:rPr>
      </w:pPr>
    </w:p>
    <w:p w14:paraId="4DDDD6B8" w14:textId="77777777" w:rsidR="00B53380" w:rsidRPr="006B671F" w:rsidRDefault="00B53380" w:rsidP="00B53380">
      <w:pPr>
        <w:spacing w:line="360" w:lineRule="auto"/>
        <w:contextualSpacing/>
        <w:jc w:val="both"/>
        <w:rPr>
          <w:rFonts w:ascii="Palatino Linotype" w:hAnsi="Palatino Linotype"/>
          <w:bCs/>
          <w:sz w:val="22"/>
          <w:szCs w:val="22"/>
        </w:rPr>
      </w:pPr>
      <w:r w:rsidRPr="006B671F">
        <w:rPr>
          <w:rFonts w:ascii="Palatino Linotype" w:hAnsi="Palatino Linotype"/>
          <w:bCs/>
          <w:sz w:val="22"/>
          <w:szCs w:val="22"/>
        </w:rPr>
        <w:t xml:space="preserve">En ese contexto, los artículos 59 y 84, fracción VII de dicha normatividad, establecen que la </w:t>
      </w:r>
      <w:r w:rsidRPr="006B671F">
        <w:rPr>
          <w:rFonts w:ascii="Palatino Linotype" w:hAnsi="Palatino Linotype"/>
          <w:sz w:val="22"/>
          <w:szCs w:val="22"/>
        </w:rPr>
        <w:t>jornada de trabajo, es el tiempo durante el cual la o el servidor público está a disposición del Ayuntamiento o Unidad Administrativa</w:t>
      </w:r>
      <w:r w:rsidRPr="006B671F">
        <w:rPr>
          <w:rFonts w:ascii="Palatino Linotype" w:hAnsi="Palatino Linotype"/>
          <w:bCs/>
          <w:sz w:val="22"/>
          <w:szCs w:val="22"/>
        </w:rPr>
        <w:t xml:space="preserve"> para prestar sus servicios, y el horario estará determinado en las condiciones generales de trabajo de conformidad con las necesidades de la institución o dependencia, así mismo se harán retenciones, descuentos o deducciones al sueldo, por faltas de puntualidad o de asistencia injustificada, a saber:</w:t>
      </w:r>
    </w:p>
    <w:p w14:paraId="52833639" w14:textId="77777777" w:rsidR="00B53380" w:rsidRPr="006B671F" w:rsidRDefault="00B53380" w:rsidP="00B53380">
      <w:pPr>
        <w:spacing w:line="360" w:lineRule="auto"/>
        <w:contextualSpacing/>
        <w:jc w:val="both"/>
        <w:rPr>
          <w:rFonts w:ascii="Palatino Linotype" w:hAnsi="Palatino Linotype"/>
          <w:bCs/>
          <w:sz w:val="22"/>
          <w:szCs w:val="22"/>
        </w:rPr>
      </w:pPr>
    </w:p>
    <w:p w14:paraId="0EC3F955" w14:textId="77777777" w:rsidR="00B53380" w:rsidRPr="006B671F" w:rsidRDefault="00B53380" w:rsidP="00B53380">
      <w:pPr>
        <w:spacing w:line="276" w:lineRule="auto"/>
        <w:ind w:left="567" w:right="616"/>
        <w:contextualSpacing/>
        <w:jc w:val="both"/>
        <w:rPr>
          <w:rFonts w:ascii="Palatino Linotype" w:hAnsi="Palatino Linotype"/>
          <w:bCs/>
          <w:i/>
          <w:sz w:val="22"/>
          <w:szCs w:val="22"/>
        </w:rPr>
      </w:pPr>
      <w:r w:rsidRPr="006B671F">
        <w:rPr>
          <w:rFonts w:ascii="Palatino Linotype" w:hAnsi="Palatino Linotype"/>
          <w:bCs/>
          <w:i/>
          <w:sz w:val="22"/>
          <w:szCs w:val="22"/>
        </w:rPr>
        <w:t>“ARTÍCULO 59. Jornada de trabajo es el tiempo durante el cual el servidor público está a disposición de la institución pública para prestar sus servicios. El horario de trabajo será determinado conforme a las necesidades del servicio de la institución pública o dependencia, de acuerdo a lo estipulado en las condiciones generales de trabajo, sin que exceda los máximos legales.”</w:t>
      </w:r>
    </w:p>
    <w:p w14:paraId="0F40F671" w14:textId="77777777" w:rsidR="00B53380" w:rsidRPr="006B671F" w:rsidRDefault="00B53380" w:rsidP="00B53380">
      <w:pPr>
        <w:spacing w:line="276" w:lineRule="auto"/>
        <w:ind w:left="567" w:right="616"/>
        <w:contextualSpacing/>
        <w:jc w:val="both"/>
        <w:rPr>
          <w:rFonts w:ascii="Palatino Linotype" w:hAnsi="Palatino Linotype"/>
          <w:bCs/>
          <w:i/>
          <w:sz w:val="22"/>
          <w:szCs w:val="22"/>
        </w:rPr>
      </w:pPr>
    </w:p>
    <w:p w14:paraId="4A3B083E" w14:textId="77777777" w:rsidR="00B53380" w:rsidRPr="006B671F" w:rsidRDefault="00B53380" w:rsidP="00B53380">
      <w:pPr>
        <w:spacing w:line="276" w:lineRule="auto"/>
        <w:ind w:left="567" w:right="616"/>
        <w:contextualSpacing/>
        <w:jc w:val="both"/>
        <w:rPr>
          <w:rFonts w:ascii="Palatino Linotype" w:hAnsi="Palatino Linotype"/>
          <w:bCs/>
          <w:i/>
          <w:sz w:val="22"/>
          <w:szCs w:val="22"/>
        </w:rPr>
      </w:pPr>
      <w:r w:rsidRPr="006B671F">
        <w:rPr>
          <w:rFonts w:ascii="Palatino Linotype" w:hAnsi="Palatino Linotype"/>
          <w:bCs/>
          <w:i/>
          <w:sz w:val="22"/>
          <w:szCs w:val="22"/>
        </w:rPr>
        <w:t>“ARTÍCULO 84. Sólo podrán hacerse retenciones, descuentos o deducciones al sueldo de los servidores públicos por concepto de:</w:t>
      </w:r>
    </w:p>
    <w:p w14:paraId="55B81F65" w14:textId="77777777" w:rsidR="00B53380" w:rsidRPr="006B671F" w:rsidRDefault="00B53380" w:rsidP="00B53380">
      <w:pPr>
        <w:spacing w:line="276" w:lineRule="auto"/>
        <w:ind w:left="567" w:right="616"/>
        <w:contextualSpacing/>
        <w:jc w:val="both"/>
        <w:rPr>
          <w:rFonts w:ascii="Palatino Linotype" w:hAnsi="Palatino Linotype"/>
          <w:bCs/>
          <w:i/>
          <w:sz w:val="22"/>
          <w:szCs w:val="22"/>
        </w:rPr>
      </w:pPr>
      <w:r w:rsidRPr="006B671F">
        <w:rPr>
          <w:rFonts w:ascii="Palatino Linotype" w:hAnsi="Palatino Linotype"/>
          <w:bCs/>
          <w:i/>
          <w:sz w:val="22"/>
          <w:szCs w:val="22"/>
        </w:rPr>
        <w:t>[…]</w:t>
      </w:r>
    </w:p>
    <w:p w14:paraId="13993C9C" w14:textId="77777777" w:rsidR="00B53380" w:rsidRPr="006B671F" w:rsidRDefault="00B53380" w:rsidP="00B53380">
      <w:pPr>
        <w:spacing w:line="276" w:lineRule="auto"/>
        <w:ind w:left="567" w:right="616"/>
        <w:contextualSpacing/>
        <w:jc w:val="both"/>
        <w:rPr>
          <w:rFonts w:ascii="Palatino Linotype" w:hAnsi="Palatino Linotype"/>
          <w:bCs/>
          <w:i/>
          <w:sz w:val="22"/>
          <w:szCs w:val="22"/>
        </w:rPr>
      </w:pPr>
      <w:r w:rsidRPr="006B671F">
        <w:rPr>
          <w:rFonts w:ascii="Palatino Linotype" w:hAnsi="Palatino Linotype"/>
          <w:b/>
          <w:bCs/>
          <w:i/>
          <w:sz w:val="22"/>
          <w:szCs w:val="22"/>
        </w:rPr>
        <w:t>VII. Faltas de puntualidad o de asistencia injustificadas;</w:t>
      </w:r>
      <w:r w:rsidRPr="006B671F">
        <w:rPr>
          <w:rFonts w:ascii="Palatino Linotype" w:hAnsi="Palatino Linotype"/>
          <w:bCs/>
          <w:i/>
          <w:sz w:val="22"/>
          <w:szCs w:val="22"/>
        </w:rPr>
        <w:t xml:space="preserve"> […]”</w:t>
      </w:r>
    </w:p>
    <w:p w14:paraId="78B6FB1E" w14:textId="77777777" w:rsidR="00B53380" w:rsidRPr="006B671F" w:rsidRDefault="00B53380" w:rsidP="00B53380">
      <w:pPr>
        <w:spacing w:line="360" w:lineRule="auto"/>
        <w:contextualSpacing/>
        <w:jc w:val="both"/>
        <w:rPr>
          <w:rFonts w:ascii="Palatino Linotype" w:hAnsi="Palatino Linotype"/>
          <w:bCs/>
          <w:sz w:val="22"/>
          <w:szCs w:val="22"/>
        </w:rPr>
      </w:pPr>
    </w:p>
    <w:p w14:paraId="1ECCB4EC"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lastRenderedPageBreak/>
        <w:t xml:space="preserve">Ahora bien, para comprobar el cumplimiento de la jornada de trabajo del Servidor Público, de conformidad con lo que establecen la fracción III y el penúltimo párrafo del artículo 220-K de la Ley en cita, precisa que: </w:t>
      </w:r>
    </w:p>
    <w:p w14:paraId="2E458180"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3B85D515" w14:textId="77777777" w:rsidR="00B53380" w:rsidRPr="006B671F" w:rsidRDefault="00B53380" w:rsidP="00B53380">
      <w:pPr>
        <w:ind w:left="567" w:righ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ARTÍCULO 220 K.-</w:t>
      </w:r>
      <w:r w:rsidRPr="006B671F">
        <w:rPr>
          <w:rFonts w:ascii="Palatino Linotype" w:eastAsia="Palatino Linotype" w:hAnsi="Palatino Linotype" w:cs="Palatino Linotype"/>
          <w:i/>
          <w:sz w:val="22"/>
          <w:szCs w:val="22"/>
        </w:rPr>
        <w:t xml:space="preserve"> La institución o dependencia pública tiene la obligación de conservar y exhibir en el proceso los documentos que a continuación se precisan: </w:t>
      </w:r>
    </w:p>
    <w:p w14:paraId="184C4858" w14:textId="77777777" w:rsidR="00B53380" w:rsidRPr="006B671F" w:rsidRDefault="00B53380" w:rsidP="00B53380">
      <w:pPr>
        <w:ind w:left="567" w:righ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418016E9" w14:textId="77777777" w:rsidR="00B53380" w:rsidRPr="006B671F" w:rsidRDefault="00B53380" w:rsidP="00B53380">
      <w:pPr>
        <w:ind w:left="567" w:righ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III. Controles de asistencia o la información magnética o electrónica de asistencia de los servidores públicos</w:t>
      </w:r>
      <w:r w:rsidRPr="006B671F">
        <w:rPr>
          <w:rFonts w:ascii="Palatino Linotype" w:eastAsia="Palatino Linotype" w:hAnsi="Palatino Linotype" w:cs="Palatino Linotype"/>
          <w:i/>
          <w:sz w:val="22"/>
          <w:szCs w:val="22"/>
        </w:rPr>
        <w:t xml:space="preserve">; </w:t>
      </w:r>
    </w:p>
    <w:p w14:paraId="69FBB24C" w14:textId="77777777" w:rsidR="00B53380" w:rsidRPr="006B671F" w:rsidRDefault="00B53380" w:rsidP="00B53380">
      <w:pPr>
        <w:ind w:left="567" w:righ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77F3FCA6" w14:textId="77777777" w:rsidR="00B53380" w:rsidRPr="006B671F" w:rsidRDefault="00B53380" w:rsidP="00B53380">
      <w:pPr>
        <w:ind w:left="567" w:righ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Los documentos señalados en la fracción I de este artículo, deberán conservarse mientras dure la relación laboral y hasta un año después; </w:t>
      </w:r>
      <w:r w:rsidRPr="006B671F">
        <w:rPr>
          <w:rFonts w:ascii="Palatino Linotype" w:eastAsia="Palatino Linotype" w:hAnsi="Palatino Linotype" w:cs="Palatino Linotype"/>
          <w:b/>
          <w:i/>
          <w:sz w:val="22"/>
          <w:szCs w:val="22"/>
        </w:rPr>
        <w:t>los señalados por las fracciones</w:t>
      </w:r>
      <w:r w:rsidRPr="006B671F">
        <w:rPr>
          <w:rFonts w:ascii="Palatino Linotype" w:eastAsia="Palatino Linotype" w:hAnsi="Palatino Linotype" w:cs="Palatino Linotype"/>
          <w:i/>
          <w:sz w:val="22"/>
          <w:szCs w:val="22"/>
        </w:rPr>
        <w:t xml:space="preserve"> II, </w:t>
      </w:r>
      <w:r w:rsidRPr="006B671F">
        <w:rPr>
          <w:rFonts w:ascii="Palatino Linotype" w:eastAsia="Palatino Linotype" w:hAnsi="Palatino Linotype" w:cs="Palatino Linotype"/>
          <w:b/>
          <w:i/>
          <w:sz w:val="22"/>
          <w:szCs w:val="22"/>
        </w:rPr>
        <w:t>III,</w:t>
      </w:r>
      <w:r w:rsidRPr="006B671F">
        <w:rPr>
          <w:rFonts w:ascii="Palatino Linotype" w:eastAsia="Palatino Linotype" w:hAnsi="Palatino Linotype" w:cs="Palatino Linotype"/>
          <w:i/>
          <w:sz w:val="22"/>
          <w:szCs w:val="22"/>
        </w:rPr>
        <w:t xml:space="preserve"> IV </w:t>
      </w:r>
      <w:r w:rsidRPr="006B671F">
        <w:rPr>
          <w:rFonts w:ascii="Palatino Linotype" w:eastAsia="Palatino Linotype" w:hAnsi="Palatino Linotype" w:cs="Palatino Linotype"/>
          <w:b/>
          <w:i/>
          <w:sz w:val="22"/>
          <w:szCs w:val="22"/>
        </w:rPr>
        <w:t>durante el último año y un año después de que se extinga la relación laboral</w:t>
      </w:r>
      <w:r w:rsidRPr="006B671F">
        <w:rPr>
          <w:rFonts w:ascii="Palatino Linotype" w:eastAsia="Palatino Linotype" w:hAnsi="Palatino Linotype" w:cs="Palatino Linotype"/>
          <w:i/>
          <w:sz w:val="22"/>
          <w:szCs w:val="22"/>
        </w:rPr>
        <w:t>, y los mencionados en la fracción V, conforme lo señalen las leyes que los rijan. Los documentos y constancias aquí señalados, la institución o dependencia podrá conservarlos por medio de los sistemas de digitalización o de información magnética o electrónica o cualquier medio descubierto por la ciencia y las constancias expedidas por el encargado del área de personal de éstas, harán prueba plena.</w:t>
      </w:r>
    </w:p>
    <w:p w14:paraId="663073D9"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6BD93C4C"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 lo anterior, se advierte que los documentos que dan cuenta de la asistencia de los servidores públicos deben ser conservados durante el último año y un año después de que se extinga la relación laboral.</w:t>
      </w:r>
    </w:p>
    <w:p w14:paraId="07EB221B" w14:textId="77777777" w:rsidR="00B53380" w:rsidRPr="006B671F" w:rsidRDefault="00B53380" w:rsidP="00B53380">
      <w:pPr>
        <w:widowControl w:val="0"/>
        <w:spacing w:line="360" w:lineRule="auto"/>
        <w:jc w:val="both"/>
        <w:rPr>
          <w:rFonts w:ascii="Palatino Linotype" w:eastAsia="Palatino Linotype" w:hAnsi="Palatino Linotype" w:cs="Palatino Linotype"/>
          <w:sz w:val="22"/>
          <w:szCs w:val="22"/>
        </w:rPr>
      </w:pPr>
    </w:p>
    <w:p w14:paraId="628807E6" w14:textId="77777777" w:rsidR="00B53380" w:rsidRPr="006B671F" w:rsidRDefault="00B53380" w:rsidP="00B53380">
      <w:pPr>
        <w:pBdr>
          <w:top w:val="nil"/>
          <w:left w:val="nil"/>
          <w:bottom w:val="nil"/>
          <w:right w:val="nil"/>
          <w:between w:val="nil"/>
        </w:pBdr>
        <w:spacing w:line="360" w:lineRule="auto"/>
        <w:jc w:val="both"/>
        <w:rPr>
          <w:rFonts w:ascii="Palatino Linotype" w:eastAsia="Palatino Linotype" w:hAnsi="Palatino Linotype" w:cs="Palatino Linotype"/>
          <w:b/>
          <w:sz w:val="22"/>
          <w:szCs w:val="22"/>
          <w:u w:val="single"/>
        </w:rPr>
      </w:pPr>
      <w:r w:rsidRPr="006B671F">
        <w:rPr>
          <w:rFonts w:ascii="Palatino Linotype" w:eastAsia="Palatino Linotype" w:hAnsi="Palatino Linotype" w:cs="Palatino Linotype"/>
          <w:sz w:val="22"/>
          <w:szCs w:val="22"/>
        </w:rPr>
        <w:t xml:space="preserve">Lo anterior, nos lleva a la conclusión de que la normatividad que rige las relaciones de trabajo, en tema de controles de asistencia, </w:t>
      </w:r>
      <w:r w:rsidRPr="006B671F">
        <w:rPr>
          <w:rFonts w:ascii="Palatino Linotype" w:eastAsia="Palatino Linotype" w:hAnsi="Palatino Linotype" w:cs="Palatino Linotype"/>
          <w:b/>
          <w:sz w:val="22"/>
          <w:szCs w:val="22"/>
          <w:u w:val="single"/>
        </w:rPr>
        <w:t>el centro de trabajo es quien define la aplicabilidad del mismo a los servidores públicos.</w:t>
      </w:r>
    </w:p>
    <w:p w14:paraId="17A3F533" w14:textId="77777777" w:rsidR="00B53380" w:rsidRPr="006B671F" w:rsidRDefault="00B53380" w:rsidP="00B5338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p>
    <w:p w14:paraId="0802558F" w14:textId="77777777" w:rsidR="00B53380" w:rsidRPr="006B671F" w:rsidRDefault="00B53380" w:rsidP="00B53380">
      <w:pPr>
        <w:pBdr>
          <w:top w:val="nil"/>
          <w:left w:val="nil"/>
          <w:bottom w:val="nil"/>
          <w:right w:val="nil"/>
          <w:between w:val="nil"/>
        </w:pBd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Por lo que, respecto del registro de asistencia de servidores públicos con rango de mando medio y superiores, por ser personal de confianza, no basta con indicar que los mismos están </w:t>
      </w:r>
      <w:r w:rsidRPr="006B671F">
        <w:rPr>
          <w:rFonts w:ascii="Palatino Linotype" w:eastAsia="Palatino Linotype" w:hAnsi="Palatino Linotype" w:cs="Palatino Linotype"/>
          <w:sz w:val="22"/>
          <w:szCs w:val="22"/>
        </w:rPr>
        <w:lastRenderedPageBreak/>
        <w:t>exceptuados de llevar control de asistencia; sino que, para ello resulta necesario contar con el documento donde conste la autorización emitida por autoridad competente para omitir la elaboración de dichos controles o para exceptuar el registro de asistencia.</w:t>
      </w:r>
    </w:p>
    <w:p w14:paraId="5C9912FC" w14:textId="77777777" w:rsidR="00B53380" w:rsidRPr="006B671F" w:rsidRDefault="00B53380" w:rsidP="00B53380">
      <w:pPr>
        <w:widowControl w:val="0"/>
        <w:spacing w:line="360" w:lineRule="auto"/>
        <w:jc w:val="both"/>
        <w:rPr>
          <w:rFonts w:ascii="Palatino Linotype" w:eastAsia="Palatino Linotype" w:hAnsi="Palatino Linotype" w:cs="Palatino Linotype"/>
          <w:sz w:val="22"/>
          <w:szCs w:val="22"/>
        </w:rPr>
      </w:pPr>
    </w:p>
    <w:p w14:paraId="23DE574B" w14:textId="77777777" w:rsidR="00B53380" w:rsidRPr="006B671F" w:rsidRDefault="00B53380" w:rsidP="00B53380">
      <w:pPr>
        <w:spacing w:line="360" w:lineRule="auto"/>
        <w:contextualSpacing/>
        <w:jc w:val="both"/>
        <w:rPr>
          <w:rFonts w:ascii="Palatino Linotype" w:hAnsi="Palatino Linotype" w:cs="Tahoma"/>
          <w:bCs/>
          <w:sz w:val="22"/>
          <w:szCs w:val="22"/>
        </w:rPr>
      </w:pPr>
      <w:r w:rsidRPr="006B671F">
        <w:rPr>
          <w:rFonts w:ascii="Palatino Linotype" w:hAnsi="Palatino Linotype" w:cs="Tahoma"/>
          <w:bCs/>
          <w:sz w:val="22"/>
          <w:szCs w:val="22"/>
        </w:rPr>
        <w:t>Además, de acuerdo con el Procedimiento número 202 “</w:t>
      </w:r>
      <w:r w:rsidRPr="006B671F">
        <w:rPr>
          <w:rFonts w:ascii="Palatino Linotype" w:hAnsi="Palatino Linotype" w:cs="Tahoma"/>
          <w:bCs/>
          <w:i/>
          <w:sz w:val="22"/>
          <w:szCs w:val="22"/>
        </w:rPr>
        <w:t>Registro de Puntualidad y Asistencia</w:t>
      </w:r>
      <w:r w:rsidRPr="006B671F">
        <w:rPr>
          <w:rFonts w:ascii="Palatino Linotype" w:hAnsi="Palatino Linotype" w:cs="Tahoma"/>
          <w:bCs/>
          <w:sz w:val="22"/>
          <w:szCs w:val="22"/>
        </w:rPr>
        <w:t>”, del Manual de Normas y Procedimientos de Desarrollo y Administración de Personal, establece que en cualquier centro de trabajo deberá establecerse un sistema de registro de la puntualidad y asistencia de los servidores públicos, mismo que podrá ser:</w:t>
      </w:r>
    </w:p>
    <w:p w14:paraId="23C7ACB1" w14:textId="77777777" w:rsidR="00B53380" w:rsidRPr="006B671F" w:rsidRDefault="00B53380" w:rsidP="00B53380">
      <w:pPr>
        <w:spacing w:line="360" w:lineRule="auto"/>
        <w:contextualSpacing/>
        <w:jc w:val="both"/>
        <w:rPr>
          <w:rFonts w:ascii="Palatino Linotype" w:hAnsi="Palatino Linotype" w:cs="Tahoma"/>
          <w:bCs/>
          <w:sz w:val="22"/>
          <w:szCs w:val="22"/>
        </w:rPr>
      </w:pPr>
    </w:p>
    <w:p w14:paraId="3E38D0FA" w14:textId="77777777" w:rsidR="00B53380" w:rsidRPr="006B671F" w:rsidRDefault="00B53380" w:rsidP="00662D89">
      <w:pPr>
        <w:pStyle w:val="Prrafodelista"/>
        <w:numPr>
          <w:ilvl w:val="0"/>
          <w:numId w:val="4"/>
        </w:numPr>
        <w:spacing w:line="360" w:lineRule="auto"/>
        <w:jc w:val="both"/>
        <w:rPr>
          <w:rFonts w:ascii="Palatino Linotype" w:hAnsi="Palatino Linotype" w:cs="Tahoma"/>
          <w:bCs/>
          <w:sz w:val="22"/>
          <w:szCs w:val="22"/>
        </w:rPr>
      </w:pPr>
      <w:r w:rsidRPr="006B671F">
        <w:rPr>
          <w:rFonts w:ascii="Palatino Linotype" w:hAnsi="Palatino Linotype" w:cs="Tahoma"/>
          <w:bCs/>
          <w:sz w:val="22"/>
          <w:szCs w:val="22"/>
        </w:rPr>
        <w:t>Gafete o credencial con código para lectores ópticos;</w:t>
      </w:r>
    </w:p>
    <w:p w14:paraId="24B5D606" w14:textId="77777777" w:rsidR="00B53380" w:rsidRPr="006B671F" w:rsidRDefault="00B53380" w:rsidP="00662D89">
      <w:pPr>
        <w:pStyle w:val="Prrafodelista"/>
        <w:numPr>
          <w:ilvl w:val="0"/>
          <w:numId w:val="4"/>
        </w:numPr>
        <w:spacing w:line="360" w:lineRule="auto"/>
        <w:jc w:val="both"/>
        <w:rPr>
          <w:rFonts w:ascii="Palatino Linotype" w:hAnsi="Palatino Linotype" w:cs="Tahoma"/>
          <w:bCs/>
          <w:sz w:val="22"/>
          <w:szCs w:val="22"/>
        </w:rPr>
      </w:pPr>
      <w:r w:rsidRPr="006B671F">
        <w:rPr>
          <w:rFonts w:ascii="Palatino Linotype" w:hAnsi="Palatino Linotype" w:cs="Tahoma"/>
          <w:bCs/>
          <w:sz w:val="22"/>
          <w:szCs w:val="22"/>
        </w:rPr>
        <w:t>Tarjetas de asistencia para reloj de registro, y</w:t>
      </w:r>
    </w:p>
    <w:p w14:paraId="6EE0576E" w14:textId="77777777" w:rsidR="00B53380" w:rsidRPr="006B671F" w:rsidRDefault="00B53380" w:rsidP="00662D89">
      <w:pPr>
        <w:pStyle w:val="Prrafodelista"/>
        <w:numPr>
          <w:ilvl w:val="0"/>
          <w:numId w:val="4"/>
        </w:numPr>
        <w:spacing w:line="360" w:lineRule="auto"/>
        <w:jc w:val="both"/>
        <w:rPr>
          <w:rFonts w:ascii="Palatino Linotype" w:hAnsi="Palatino Linotype" w:cs="Tahoma"/>
          <w:bCs/>
          <w:sz w:val="22"/>
          <w:szCs w:val="22"/>
        </w:rPr>
      </w:pPr>
      <w:r w:rsidRPr="006B671F">
        <w:rPr>
          <w:rFonts w:ascii="Palatino Linotype" w:hAnsi="Palatino Linotype" w:cs="Tahoma"/>
          <w:bCs/>
          <w:sz w:val="22"/>
          <w:szCs w:val="22"/>
        </w:rPr>
        <w:t>Firma en lista para el control de asistencia y puntualidad.</w:t>
      </w:r>
    </w:p>
    <w:p w14:paraId="2F86FA18" w14:textId="77777777" w:rsidR="00B53380" w:rsidRPr="006B671F" w:rsidRDefault="00B53380" w:rsidP="00B53380">
      <w:pPr>
        <w:widowControl w:val="0"/>
        <w:spacing w:line="360" w:lineRule="auto"/>
        <w:jc w:val="both"/>
        <w:rPr>
          <w:rFonts w:ascii="Palatino Linotype" w:hAnsi="Palatino Linotype" w:cs="Tahoma"/>
          <w:bCs/>
          <w:sz w:val="22"/>
          <w:szCs w:val="22"/>
        </w:rPr>
      </w:pPr>
    </w:p>
    <w:p w14:paraId="68352A2E" w14:textId="77777777" w:rsidR="00B53380" w:rsidRPr="006B671F" w:rsidRDefault="00B53380" w:rsidP="00B53380">
      <w:pPr>
        <w:widowControl w:val="0"/>
        <w:spacing w:line="360" w:lineRule="auto"/>
        <w:jc w:val="both"/>
        <w:rPr>
          <w:rFonts w:ascii="Palatino Linotype" w:hAnsi="Palatino Linotype" w:cs="Tahoma"/>
          <w:bCs/>
          <w:sz w:val="22"/>
          <w:szCs w:val="22"/>
        </w:rPr>
      </w:pPr>
      <w:r w:rsidRPr="006B671F">
        <w:rPr>
          <w:rFonts w:ascii="Palatino Linotype" w:hAnsi="Palatino Linotype" w:cs="Tahoma"/>
          <w:bCs/>
          <w:sz w:val="22"/>
          <w:szCs w:val="22"/>
        </w:rPr>
        <w:t xml:space="preserve">Conforme a lo anterior, se logra vislumbrar que los servidores públicos deben de registrar asistencia a sus labores, por medio de la forma que establezca la institución pública; por lo que, esta debe resguardar y conservar dichos registros; lo anterior, toma relevancia, pues conforme al Manual General de Organización de la Unidad de Asuntos Internos, el </w:t>
      </w:r>
      <w:r w:rsidRPr="006B671F">
        <w:rPr>
          <w:rFonts w:ascii="Palatino Linotype" w:hAnsi="Palatino Linotype" w:cs="Tahoma"/>
          <w:b/>
          <w:bCs/>
          <w:sz w:val="22"/>
          <w:szCs w:val="22"/>
        </w:rPr>
        <w:t>Sujeto Obligado</w:t>
      </w:r>
      <w:r w:rsidRPr="006B671F">
        <w:rPr>
          <w:rFonts w:ascii="Palatino Linotype" w:hAnsi="Palatino Linotype" w:cs="Tahoma"/>
          <w:bCs/>
          <w:sz w:val="22"/>
          <w:szCs w:val="22"/>
        </w:rPr>
        <w:t xml:space="preserve"> cuenta con una Unidad de Apoyo Administrativo, la cual tiene como objetivo planear, organizar, integrar y controlar los recursos humanos, materiales y financieros de la Unidad de Asuntos Internos, en el marco del presupuesto autorizado y demás normatividad aplicable; asimismo, dentro de sus funciones se encarga de </w:t>
      </w:r>
      <w:r w:rsidRPr="006B671F">
        <w:rPr>
          <w:rFonts w:ascii="Palatino Linotype" w:hAnsi="Palatino Linotype" w:cs="Tahoma"/>
          <w:bCs/>
          <w:sz w:val="22"/>
          <w:szCs w:val="22"/>
          <w:u w:val="single"/>
        </w:rPr>
        <w:t>implantar y llevar a cabo el control de asistencia de las personas servidores públicas adscritas a las áreas del Organismo</w:t>
      </w:r>
      <w:r w:rsidRPr="006B671F">
        <w:rPr>
          <w:rFonts w:ascii="Palatino Linotype" w:hAnsi="Palatino Linotype" w:cs="Tahoma"/>
          <w:bCs/>
          <w:sz w:val="22"/>
          <w:szCs w:val="22"/>
        </w:rPr>
        <w:t xml:space="preserve">, tal y como se muestra a continuación: </w:t>
      </w:r>
    </w:p>
    <w:p w14:paraId="5AA02124" w14:textId="77777777" w:rsidR="00B53380" w:rsidRPr="006B671F" w:rsidRDefault="00B53380" w:rsidP="00B53380">
      <w:pPr>
        <w:widowControl w:val="0"/>
        <w:spacing w:line="276" w:lineRule="auto"/>
        <w:ind w:left="851" w:right="616"/>
        <w:jc w:val="both"/>
        <w:rPr>
          <w:rFonts w:ascii="Palatino Linotype" w:hAnsi="Palatino Linotype" w:cs="Tahoma"/>
          <w:bCs/>
          <w:i/>
          <w:sz w:val="22"/>
          <w:szCs w:val="22"/>
        </w:rPr>
      </w:pPr>
    </w:p>
    <w:p w14:paraId="4C245AA3" w14:textId="77777777" w:rsidR="00B53380" w:rsidRPr="006B671F" w:rsidRDefault="00B53380" w:rsidP="00B53380">
      <w:pPr>
        <w:widowControl w:val="0"/>
        <w:spacing w:line="276" w:lineRule="auto"/>
        <w:ind w:left="851" w:right="616"/>
        <w:jc w:val="both"/>
        <w:rPr>
          <w:rFonts w:ascii="Palatino Linotype" w:hAnsi="Palatino Linotype" w:cs="Tahoma"/>
          <w:bCs/>
          <w:i/>
          <w:sz w:val="22"/>
          <w:szCs w:val="22"/>
        </w:rPr>
      </w:pPr>
      <w:r w:rsidRPr="006B671F">
        <w:rPr>
          <w:rFonts w:ascii="Palatino Linotype" w:hAnsi="Palatino Linotype" w:cs="Tahoma"/>
          <w:bCs/>
          <w:i/>
          <w:sz w:val="22"/>
          <w:szCs w:val="22"/>
        </w:rPr>
        <w:lastRenderedPageBreak/>
        <w:t>“</w:t>
      </w:r>
      <w:r w:rsidRPr="006B671F">
        <w:rPr>
          <w:rFonts w:ascii="Palatino Linotype" w:hAnsi="Palatino Linotype" w:cs="Tahoma"/>
          <w:b/>
          <w:bCs/>
          <w:i/>
          <w:sz w:val="22"/>
          <w:szCs w:val="22"/>
        </w:rPr>
        <w:t>206C0301000300S UNIDAD DE APOYO ADMINISTRATIVO</w:t>
      </w:r>
    </w:p>
    <w:p w14:paraId="29B60305" w14:textId="77777777" w:rsidR="00B53380" w:rsidRPr="006B671F" w:rsidRDefault="00B53380" w:rsidP="00B53380">
      <w:pPr>
        <w:widowControl w:val="0"/>
        <w:spacing w:line="276" w:lineRule="auto"/>
        <w:ind w:left="851" w:right="616"/>
        <w:jc w:val="both"/>
        <w:rPr>
          <w:rFonts w:ascii="Palatino Linotype" w:hAnsi="Palatino Linotype" w:cs="Tahoma"/>
          <w:bCs/>
          <w:i/>
          <w:sz w:val="22"/>
          <w:szCs w:val="22"/>
        </w:rPr>
      </w:pPr>
      <w:r w:rsidRPr="006B671F">
        <w:rPr>
          <w:rFonts w:ascii="Palatino Linotype" w:hAnsi="Palatino Linotype" w:cs="Tahoma"/>
          <w:bCs/>
          <w:i/>
          <w:sz w:val="22"/>
          <w:szCs w:val="22"/>
        </w:rPr>
        <w:t>OBJETIVO:</w:t>
      </w:r>
    </w:p>
    <w:p w14:paraId="469EAE8F" w14:textId="77777777" w:rsidR="00B53380" w:rsidRPr="006B671F" w:rsidRDefault="00B53380" w:rsidP="00B53380">
      <w:pPr>
        <w:widowControl w:val="0"/>
        <w:spacing w:line="276" w:lineRule="auto"/>
        <w:ind w:left="851" w:right="616"/>
        <w:jc w:val="both"/>
        <w:rPr>
          <w:rFonts w:ascii="Palatino Linotype" w:hAnsi="Palatino Linotype" w:cs="Tahoma"/>
          <w:bCs/>
          <w:i/>
          <w:sz w:val="22"/>
          <w:szCs w:val="22"/>
        </w:rPr>
      </w:pPr>
      <w:r w:rsidRPr="006B671F">
        <w:rPr>
          <w:rFonts w:ascii="Palatino Linotype" w:hAnsi="Palatino Linotype" w:cs="Tahoma"/>
          <w:bCs/>
          <w:i/>
          <w:sz w:val="22"/>
          <w:szCs w:val="22"/>
        </w:rPr>
        <w:t>Planear, organizar, integrar y controlar los recursos humanos, materiales y financieros de la Unidad de Asuntos Internos, en elmarco del presupuesto autorizado y demás normatividad aplicable; así como vigilar que en la planeación, programación, manejo y aplicación de los recursos se observen los criterios de legalidad, honestidad, eficiencia, economía, racionalidad, austeridad, transparencia, equidad de género y rendición de cuentas.</w:t>
      </w:r>
    </w:p>
    <w:p w14:paraId="509B7253" w14:textId="77777777" w:rsidR="00B53380" w:rsidRPr="006B671F" w:rsidRDefault="00B53380" w:rsidP="00B53380">
      <w:pPr>
        <w:widowControl w:val="0"/>
        <w:spacing w:line="276" w:lineRule="auto"/>
        <w:ind w:left="851" w:right="616"/>
        <w:jc w:val="both"/>
        <w:rPr>
          <w:rFonts w:ascii="Palatino Linotype" w:hAnsi="Palatino Linotype" w:cs="Tahoma"/>
          <w:bCs/>
          <w:i/>
          <w:sz w:val="22"/>
          <w:szCs w:val="22"/>
        </w:rPr>
      </w:pPr>
      <w:r w:rsidRPr="006B671F">
        <w:rPr>
          <w:rFonts w:ascii="Palatino Linotype" w:hAnsi="Palatino Linotype" w:cs="Tahoma"/>
          <w:bCs/>
          <w:i/>
          <w:sz w:val="22"/>
          <w:szCs w:val="22"/>
        </w:rPr>
        <w:t>FUNCIONES:</w:t>
      </w:r>
      <w:r w:rsidRPr="006B671F">
        <w:rPr>
          <w:rFonts w:ascii="Palatino Linotype" w:hAnsi="Palatino Linotype" w:cs="Tahoma"/>
          <w:bCs/>
          <w:i/>
          <w:sz w:val="22"/>
          <w:szCs w:val="22"/>
        </w:rPr>
        <w:cr/>
        <w:t xml:space="preserve">… </w:t>
      </w:r>
    </w:p>
    <w:p w14:paraId="767DB3D7" w14:textId="77777777" w:rsidR="00B53380" w:rsidRPr="006B671F" w:rsidRDefault="00B53380" w:rsidP="00B53380">
      <w:pPr>
        <w:widowControl w:val="0"/>
        <w:spacing w:line="276" w:lineRule="auto"/>
        <w:ind w:left="851" w:right="616"/>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Implantar y llevar a cabo el control de asistencia de las personas servidoras públicas adscritas a las unidades administrativas del organismo</w:t>
      </w:r>
      <w:r w:rsidRPr="006B671F">
        <w:rPr>
          <w:rFonts w:ascii="Palatino Linotype" w:eastAsia="Palatino Linotype" w:hAnsi="Palatino Linotype" w:cs="Palatino Linotype"/>
          <w:i/>
          <w:sz w:val="22"/>
          <w:szCs w:val="22"/>
        </w:rPr>
        <w:t>.</w:t>
      </w:r>
    </w:p>
    <w:p w14:paraId="4F692934" w14:textId="77777777" w:rsidR="00B53380" w:rsidRPr="006B671F" w:rsidRDefault="00B53380" w:rsidP="00B53380">
      <w:pPr>
        <w:widowControl w:val="0"/>
        <w:spacing w:line="276" w:lineRule="auto"/>
        <w:ind w:left="851" w:right="616"/>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sz w:val="22"/>
          <w:szCs w:val="22"/>
        </w:rPr>
        <w:t>”</w:t>
      </w:r>
    </w:p>
    <w:p w14:paraId="105E9187" w14:textId="77777777" w:rsidR="00B53380" w:rsidRPr="006B671F" w:rsidRDefault="00B53380" w:rsidP="00B53380">
      <w:pPr>
        <w:widowControl w:val="0"/>
        <w:spacing w:line="360" w:lineRule="auto"/>
        <w:jc w:val="both"/>
        <w:rPr>
          <w:rFonts w:ascii="Palatino Linotype" w:eastAsia="Palatino Linotype" w:hAnsi="Palatino Linotype" w:cs="Palatino Linotype"/>
          <w:sz w:val="22"/>
          <w:szCs w:val="22"/>
        </w:rPr>
      </w:pPr>
    </w:p>
    <w:p w14:paraId="17018F29" w14:textId="69F53DFC" w:rsidR="00B53380" w:rsidRPr="006B671F" w:rsidRDefault="00B53380" w:rsidP="00B53380">
      <w:pPr>
        <w:widowControl w:val="0"/>
        <w:spacing w:line="360" w:lineRule="auto"/>
        <w:jc w:val="both"/>
        <w:rPr>
          <w:rFonts w:ascii="Palatino Linotype" w:hAnsi="Palatino Linotype" w:cs="Tahoma"/>
          <w:bCs/>
          <w:iCs/>
          <w:sz w:val="22"/>
          <w:szCs w:val="22"/>
          <w:lang w:val="es-ES"/>
        </w:rPr>
      </w:pPr>
      <w:r w:rsidRPr="006B671F">
        <w:rPr>
          <w:rFonts w:ascii="Palatino Linotype" w:eastAsia="Palatino Linotype" w:hAnsi="Palatino Linotype" w:cs="Palatino Linotype"/>
          <w:sz w:val="22"/>
          <w:szCs w:val="22"/>
        </w:rPr>
        <w:t xml:space="preserve">Conforme a lo anterior, </w:t>
      </w:r>
      <w:r w:rsidRPr="006B671F">
        <w:rPr>
          <w:rFonts w:ascii="Palatino Linotype" w:hAnsi="Palatino Linotype" w:cs="Tahoma"/>
          <w:bCs/>
          <w:iCs/>
          <w:sz w:val="22"/>
          <w:szCs w:val="22"/>
          <w:lang w:val="es-ES"/>
        </w:rPr>
        <w:t xml:space="preserve">se advierte que el </w:t>
      </w:r>
      <w:r w:rsidRPr="006B671F">
        <w:rPr>
          <w:rFonts w:ascii="Palatino Linotype" w:hAnsi="Palatino Linotype" w:cs="Tahoma"/>
          <w:b/>
          <w:bCs/>
          <w:iCs/>
          <w:sz w:val="22"/>
          <w:szCs w:val="22"/>
          <w:lang w:val="es-ES"/>
        </w:rPr>
        <w:t>Sujeto Obligado</w:t>
      </w:r>
      <w:r w:rsidRPr="006B671F">
        <w:rPr>
          <w:rFonts w:ascii="Palatino Linotype" w:hAnsi="Palatino Linotype" w:cs="Tahoma"/>
          <w:bCs/>
          <w:iCs/>
          <w:sz w:val="22"/>
          <w:szCs w:val="22"/>
          <w:lang w:val="es-ES"/>
        </w:rPr>
        <w:t>, turnó la solicitud de información a la unidad administrativa competente, esto es la Unidad de Apoyo Administrativo.</w:t>
      </w:r>
    </w:p>
    <w:p w14:paraId="31DDC454" w14:textId="77777777" w:rsidR="00B53380" w:rsidRPr="006B671F" w:rsidRDefault="00B53380" w:rsidP="00B53380">
      <w:pPr>
        <w:widowControl w:val="0"/>
        <w:spacing w:line="360" w:lineRule="auto"/>
        <w:jc w:val="both"/>
        <w:rPr>
          <w:rFonts w:ascii="Palatino Linotype" w:hAnsi="Palatino Linotype" w:cs="Tahoma"/>
          <w:bCs/>
          <w:iCs/>
          <w:sz w:val="22"/>
          <w:szCs w:val="22"/>
          <w:lang w:val="es-ES"/>
        </w:rPr>
      </w:pPr>
    </w:p>
    <w:p w14:paraId="23C19958" w14:textId="77777777" w:rsidR="00B53380" w:rsidRPr="006B671F" w:rsidRDefault="00B53380" w:rsidP="00B53380">
      <w:pPr>
        <w:pBdr>
          <w:top w:val="nil"/>
          <w:left w:val="nil"/>
          <w:bottom w:val="nil"/>
          <w:right w:val="nil"/>
          <w:between w:val="nil"/>
        </w:pBdr>
        <w:spacing w:line="360" w:lineRule="auto"/>
        <w:jc w:val="both"/>
        <w:rPr>
          <w:sz w:val="22"/>
        </w:rPr>
      </w:pPr>
      <w:r w:rsidRPr="006B671F">
        <w:rPr>
          <w:rFonts w:ascii="Palatino Linotype" w:eastAsia="Palatino Linotype" w:hAnsi="Palatino Linotype" w:cs="Palatino Linotype"/>
          <w:sz w:val="22"/>
        </w:rPr>
        <w:t>Por lo tanto, se tiene que en el caso se cumplió con el requisito de turnar la solicitud de información a las unidades administrativas que por sus atribuciones puedan contar con la información requerida, conforme el procedimiento establecido en los artículos 151, 159, 160, 162, 163, 164, 165 y 166, de la Ley de Transparencia y Acceso a la Información Pública del Estado de México y Municipios, el cual es el siguiente:</w:t>
      </w:r>
    </w:p>
    <w:p w14:paraId="55247BBE" w14:textId="77777777" w:rsidR="00B53380" w:rsidRPr="006B671F" w:rsidRDefault="00B53380" w:rsidP="00B53380">
      <w:pPr>
        <w:spacing w:line="360" w:lineRule="auto"/>
        <w:rPr>
          <w:sz w:val="22"/>
        </w:rPr>
      </w:pPr>
    </w:p>
    <w:p w14:paraId="73ABF965" w14:textId="77777777" w:rsidR="00B53380" w:rsidRPr="006B671F" w:rsidRDefault="00B53380" w:rsidP="00662D89">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Las Unidades de Transparencia de los Sujetos Obligados deben garantizar las medidas y condiciones de accesibilidad para que toda persona puede ejercer el derecho de acceso a la información; por lo que, son las responsables de hacer las notificaciones correspondientes, </w:t>
      </w:r>
      <w:r w:rsidRPr="006B671F">
        <w:rPr>
          <w:rFonts w:ascii="Palatino Linotype" w:eastAsia="Palatino Linotype" w:hAnsi="Palatino Linotype" w:cs="Palatino Linotype"/>
          <w:sz w:val="22"/>
        </w:rPr>
        <w:lastRenderedPageBreak/>
        <w:t>además de llevar a cabo de todas las gestiones necesarias para facilitar el acceso de la información;</w:t>
      </w:r>
    </w:p>
    <w:p w14:paraId="278B7B93" w14:textId="77777777" w:rsidR="00B53380" w:rsidRPr="006B671F" w:rsidRDefault="00B53380" w:rsidP="00B53380">
      <w:pPr>
        <w:pBdr>
          <w:top w:val="nil"/>
          <w:left w:val="nil"/>
          <w:bottom w:val="nil"/>
          <w:right w:val="nil"/>
          <w:between w:val="nil"/>
        </w:pBdr>
        <w:spacing w:line="360" w:lineRule="auto"/>
        <w:ind w:left="360"/>
        <w:jc w:val="both"/>
        <w:rPr>
          <w:rFonts w:ascii="Palatino Linotype" w:eastAsia="Palatino Linotype" w:hAnsi="Palatino Linotype" w:cs="Palatino Linotype"/>
          <w:sz w:val="22"/>
        </w:rPr>
      </w:pPr>
    </w:p>
    <w:p w14:paraId="2D106ED3" w14:textId="77777777" w:rsidR="00B53380" w:rsidRPr="006B671F" w:rsidRDefault="00B53380" w:rsidP="00662D89">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Los Sujetos Obligados podrán requerirle a los Solicitantes, que complementen, corrijan o amplíen su solicitud de información, cuando resulten los datos proporcionados insuficientes, incorrectos, incompletos o erróneos; solicitar dicha aclaración, interrumpirá el plazo para dar respuesta y comenzará a computarse el día siguiente al desahogo de esta;</w:t>
      </w:r>
    </w:p>
    <w:p w14:paraId="6A7865DF" w14:textId="77777777" w:rsidR="00B53380" w:rsidRPr="006B671F" w:rsidRDefault="00B53380" w:rsidP="00B53380">
      <w:pPr>
        <w:pBdr>
          <w:top w:val="nil"/>
          <w:left w:val="nil"/>
          <w:bottom w:val="nil"/>
          <w:right w:val="nil"/>
          <w:between w:val="nil"/>
        </w:pBdr>
        <w:spacing w:line="360" w:lineRule="auto"/>
        <w:ind w:left="720"/>
        <w:rPr>
          <w:rFonts w:ascii="Palatino Linotype" w:eastAsia="Palatino Linotype" w:hAnsi="Palatino Linotype" w:cs="Palatino Linotype"/>
          <w:sz w:val="22"/>
        </w:rPr>
      </w:pPr>
    </w:p>
    <w:p w14:paraId="27E91852" w14:textId="77777777" w:rsidR="00B53380" w:rsidRPr="006B671F" w:rsidRDefault="00B53380" w:rsidP="00662D89">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Las respuestas a los requerimientos informativos deberán notificarse al interesado en el menor tiempo posible, que no podrá exceder </w:t>
      </w:r>
      <w:r w:rsidRPr="006B671F">
        <w:rPr>
          <w:rFonts w:ascii="Palatino Linotype" w:eastAsia="Palatino Linotype" w:hAnsi="Palatino Linotype" w:cs="Palatino Linotype"/>
          <w:b/>
          <w:sz w:val="22"/>
        </w:rPr>
        <w:t>quince días, contados a partir del día siguiente a la presentación de ésta.</w:t>
      </w:r>
      <w:r w:rsidRPr="006B671F">
        <w:rPr>
          <w:rFonts w:ascii="Palatino Linotype" w:eastAsia="Palatino Linotype" w:hAnsi="Palatino Linotype" w:cs="Palatino Linotype"/>
          <w:sz w:val="22"/>
        </w:rPr>
        <w:t xml:space="preserve"> Excepcionalmente, el plazo referido podrá ampliarse por siete días hábiles más, cuando existan razones fundadas y motivadas, a través del Comité de Transparencia;</w:t>
      </w:r>
    </w:p>
    <w:p w14:paraId="3456C261" w14:textId="77777777" w:rsidR="00B53380" w:rsidRPr="006B671F" w:rsidRDefault="00B53380" w:rsidP="00B53380">
      <w:pPr>
        <w:pBdr>
          <w:top w:val="nil"/>
          <w:left w:val="nil"/>
          <w:bottom w:val="nil"/>
          <w:right w:val="nil"/>
          <w:between w:val="nil"/>
        </w:pBdr>
        <w:spacing w:line="360" w:lineRule="auto"/>
        <w:ind w:left="720"/>
        <w:rPr>
          <w:rFonts w:ascii="Palatino Linotype" w:eastAsia="Palatino Linotype" w:hAnsi="Palatino Linotype" w:cs="Palatino Linotype"/>
          <w:sz w:val="22"/>
        </w:rPr>
      </w:pPr>
    </w:p>
    <w:p w14:paraId="7F6BCCBD" w14:textId="77777777" w:rsidR="00B53380" w:rsidRPr="006B671F" w:rsidRDefault="00B53380" w:rsidP="00662D89">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b/>
          <w:sz w:val="22"/>
          <w:u w:val="single"/>
        </w:rPr>
      </w:pPr>
      <w:r w:rsidRPr="006B671F">
        <w:rPr>
          <w:rFonts w:ascii="Palatino Linotype" w:eastAsia="Palatino Linotype" w:hAnsi="Palatino Linotype" w:cs="Palatino Linotype"/>
          <w:b/>
          <w:sz w:val="22"/>
          <w:u w:val="single"/>
        </w:rPr>
        <w:t>Las Unidades de Transparencia garantizarán que las solicitudes se turnen a todas las áreas competentes que cuenten con la información o deban tenerla de acuerdo con sus facultades, funciones y atribuciones, para que realicen una búsqueda exhaustiva y razonable de la documentación solicitada, con el fin de que proporcionen las expresiones documentales que se encuentren en sus archivos o que estén constreñidos a elaborar;</w:t>
      </w:r>
    </w:p>
    <w:p w14:paraId="659A7621" w14:textId="77777777" w:rsidR="00B53380" w:rsidRPr="006B671F" w:rsidRDefault="00B53380" w:rsidP="00B53380">
      <w:pPr>
        <w:pBdr>
          <w:top w:val="nil"/>
          <w:left w:val="nil"/>
          <w:bottom w:val="nil"/>
          <w:right w:val="nil"/>
          <w:between w:val="nil"/>
        </w:pBdr>
        <w:spacing w:line="360" w:lineRule="auto"/>
        <w:ind w:left="720"/>
        <w:rPr>
          <w:rFonts w:ascii="Palatino Linotype" w:eastAsia="Palatino Linotype" w:hAnsi="Palatino Linotype" w:cs="Palatino Linotype"/>
          <w:b/>
          <w:sz w:val="22"/>
          <w:u w:val="single"/>
        </w:rPr>
      </w:pPr>
    </w:p>
    <w:p w14:paraId="71B2B969" w14:textId="77777777" w:rsidR="00B53380" w:rsidRPr="006B671F" w:rsidRDefault="00B53380" w:rsidP="00662D89">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sz w:val="22"/>
        </w:rPr>
        <w:t xml:space="preserve">El acceso se dará en la modalidad de entrega y en su caso, de envío elegido por el solicitante, cuando no pueda entregarse en dicha modalidad, el Sujeto Obligado deberá </w:t>
      </w:r>
      <w:r w:rsidRPr="006B671F">
        <w:rPr>
          <w:rFonts w:ascii="Palatino Linotype" w:eastAsia="Palatino Linotype" w:hAnsi="Palatino Linotype" w:cs="Palatino Linotype"/>
          <w:sz w:val="22"/>
        </w:rPr>
        <w:lastRenderedPageBreak/>
        <w:t>ofrecer otras; por lo cual, deberá fundamentar y motivar la necesidad de modificar el medio de entrega, y</w:t>
      </w:r>
    </w:p>
    <w:p w14:paraId="707FE0C9" w14:textId="77777777" w:rsidR="00B53380" w:rsidRPr="006B671F" w:rsidRDefault="00B53380" w:rsidP="00B53380">
      <w:pPr>
        <w:pBdr>
          <w:top w:val="nil"/>
          <w:left w:val="nil"/>
          <w:bottom w:val="nil"/>
          <w:right w:val="nil"/>
          <w:between w:val="nil"/>
        </w:pBdr>
        <w:spacing w:line="360" w:lineRule="auto"/>
        <w:ind w:left="360"/>
        <w:jc w:val="both"/>
        <w:rPr>
          <w:rFonts w:ascii="Palatino Linotype" w:eastAsia="Palatino Linotype" w:hAnsi="Palatino Linotype" w:cs="Palatino Linotype"/>
          <w:b/>
          <w:sz w:val="22"/>
        </w:rPr>
      </w:pPr>
    </w:p>
    <w:p w14:paraId="74DF71BB" w14:textId="77777777" w:rsidR="00B53380" w:rsidRPr="006B671F" w:rsidRDefault="00B53380" w:rsidP="00662D89">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sz w:val="22"/>
        </w:rPr>
        <w:t>Las Unidades de Transparencia, tendrán disponible la información requerida durante un plazo mínimo de sesenta días hábiles, contados a partir de que el solicitante hubiere realizado, en su caso, el pago respectivo, el cual deberá efectuarse en un plazo no mayor a treinta días hábiles; por lo que, una vez transcurrida dicha temporalidad, los Sujetos Obligados darán por concluida la solicitud y procederán de ser el caso, a la destrucción del material.</w:t>
      </w:r>
    </w:p>
    <w:p w14:paraId="3B1B16BC" w14:textId="77777777" w:rsidR="00B53380" w:rsidRPr="006B671F" w:rsidRDefault="00B53380" w:rsidP="00B53380">
      <w:pPr>
        <w:spacing w:line="360" w:lineRule="auto"/>
        <w:rPr>
          <w:sz w:val="22"/>
        </w:rPr>
      </w:pPr>
    </w:p>
    <w:p w14:paraId="1943F142" w14:textId="77777777" w:rsidR="00B53380" w:rsidRPr="006B671F" w:rsidRDefault="00B53380" w:rsidP="00B53380">
      <w:pPr>
        <w:pBdr>
          <w:top w:val="nil"/>
          <w:left w:val="nil"/>
          <w:bottom w:val="nil"/>
          <w:right w:val="nil"/>
          <w:between w:val="nil"/>
        </w:pBdr>
        <w:spacing w:line="360" w:lineRule="auto"/>
        <w:ind w:right="49"/>
        <w:jc w:val="both"/>
        <w:rPr>
          <w:rFonts w:ascii="Palatino Linotype" w:eastAsia="Palatino Linotype" w:hAnsi="Palatino Linotype" w:cs="Palatino Linotype"/>
          <w:b/>
          <w:sz w:val="22"/>
          <w:u w:val="single"/>
        </w:rPr>
      </w:pPr>
      <w:r w:rsidRPr="006B671F">
        <w:rPr>
          <w:rFonts w:ascii="Palatino Linotype" w:eastAsia="Palatino Linotype" w:hAnsi="Palatino Linotype" w:cs="Palatino Linotype"/>
          <w:sz w:val="22"/>
        </w:rPr>
        <w:t xml:space="preserve">De esta manera, </w:t>
      </w:r>
      <w:r w:rsidRPr="006B671F">
        <w:rPr>
          <w:rFonts w:ascii="Palatino Linotype" w:eastAsia="Palatino Linotype" w:hAnsi="Palatino Linotype" w:cs="Palatino Linotype"/>
          <w:b/>
          <w:sz w:val="22"/>
          <w:u w:val="single"/>
        </w:rPr>
        <w:t>el procedimiento de búsqueda de la información se tiene por atendido. </w:t>
      </w:r>
    </w:p>
    <w:p w14:paraId="5E8B24FA" w14:textId="77777777" w:rsidR="00B53380" w:rsidRPr="006B671F" w:rsidRDefault="00B53380" w:rsidP="00B53380">
      <w:pPr>
        <w:widowControl w:val="0"/>
        <w:spacing w:line="360" w:lineRule="auto"/>
        <w:jc w:val="both"/>
        <w:rPr>
          <w:rFonts w:ascii="Palatino Linotype" w:hAnsi="Palatino Linotype" w:cs="Tahoma"/>
          <w:bCs/>
          <w:iCs/>
          <w:sz w:val="22"/>
          <w:szCs w:val="22"/>
          <w:lang w:val="es-ES"/>
        </w:rPr>
      </w:pPr>
    </w:p>
    <w:p w14:paraId="1B1666E9"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Dicho lo anterior, retomando la clasificación como información reservada que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realizó respecto de los</w:t>
      </w:r>
      <w:r w:rsidRPr="006B671F">
        <w:rPr>
          <w:rFonts w:ascii="Palatino Linotype" w:eastAsia="Palatino Linotype" w:hAnsi="Palatino Linotype" w:cs="Palatino Linotype"/>
          <w:sz w:val="22"/>
          <w:szCs w:val="22"/>
          <w:u w:val="single"/>
        </w:rPr>
        <w:t xml:space="preserve"> </w:t>
      </w:r>
      <w:r w:rsidRPr="006B671F">
        <w:rPr>
          <w:rFonts w:ascii="Palatino Linotype" w:eastAsia="Palatino Linotype" w:hAnsi="Palatino Linotype" w:cs="Palatino Linotype"/>
          <w:b/>
          <w:sz w:val="22"/>
          <w:szCs w:val="22"/>
          <w:u w:val="single"/>
        </w:rPr>
        <w:t>registros de entrada y salida de las personas servidoras públicas de ese organismo descentralizado</w:t>
      </w:r>
      <w:r w:rsidRPr="006B671F">
        <w:rPr>
          <w:rFonts w:ascii="Palatino Linotype" w:eastAsia="Palatino Linotype" w:hAnsi="Palatino Linotype" w:cs="Palatino Linotype"/>
          <w:sz w:val="22"/>
          <w:szCs w:val="22"/>
        </w:rPr>
        <w:t xml:space="preserve"> del periodo solicitado; a criterio de este Órgano Garante conviene analizar la reserva de dicha información, partiendo de las siguientes consideraciones:</w:t>
      </w:r>
    </w:p>
    <w:p w14:paraId="4576B530"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7611C348" w14:textId="77777777" w:rsidR="00B53380" w:rsidRPr="006B671F" w:rsidRDefault="00B53380" w:rsidP="00B53380">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sz w:val="22"/>
          <w:szCs w:val="22"/>
        </w:rPr>
        <w:t xml:space="preserve">En principio, es de indicar que conforme al artículo 20 de la Ley de Transparencia y Acceso a la Información Pública del Estado de México y Municipios, </w:t>
      </w:r>
      <w:r w:rsidRPr="006B671F">
        <w:rPr>
          <w:rFonts w:ascii="Palatino Linotype" w:eastAsia="Palatino Linotype" w:hAnsi="Palatino Linotype" w:cs="Palatino Linotype"/>
          <w:b/>
          <w:sz w:val="22"/>
          <w:szCs w:val="22"/>
        </w:rPr>
        <w:t>ante la negativa de acceso a la información o su inexistencia, el sujeto obligado deberá demostrar que encuentra en alguna de las excepciones establecidas en la normatividad aplicable.</w:t>
      </w:r>
    </w:p>
    <w:p w14:paraId="227DA0FC"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4895B8E4"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lastRenderedPageBreak/>
        <w:t xml:space="preserve">En ese sentido, según Trujillo, Humberto (2019), en el “Diccionario de Transparencia y Acceso a la Información Pública” (p. 201), </w:t>
      </w:r>
      <w:r w:rsidRPr="006B671F">
        <w:rPr>
          <w:rFonts w:ascii="Palatino Linotype" w:eastAsia="Palatino Linotype" w:hAnsi="Palatino Linotype" w:cs="Palatino Linotype"/>
          <w:b/>
          <w:sz w:val="22"/>
          <w:szCs w:val="22"/>
        </w:rPr>
        <w:t xml:space="preserve">la negativa de acceso a la información </w:t>
      </w:r>
      <w:r w:rsidRPr="006B671F">
        <w:rPr>
          <w:rFonts w:ascii="Palatino Linotype" w:eastAsia="Palatino Linotype" w:hAnsi="Palatino Linotype" w:cs="Palatino Linotype"/>
          <w:sz w:val="22"/>
          <w:szCs w:val="22"/>
        </w:rPr>
        <w:t xml:space="preserve">ocurre cuando de manera fundada y motivada, una autoridad la niega o la limita, por alguna de las siguientes razones: </w:t>
      </w:r>
    </w:p>
    <w:p w14:paraId="32E2D866"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4394852A" w14:textId="77777777" w:rsidR="00B53380" w:rsidRPr="006B671F" w:rsidRDefault="00B53380" w:rsidP="00662D89">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La inexistencia de la información (p. 171): </w:t>
      </w:r>
      <w:r w:rsidRPr="006B671F">
        <w:rPr>
          <w:rFonts w:ascii="Palatino Linotype" w:eastAsia="Palatino Linotype" w:hAnsi="Palatino Linotype" w:cs="Palatino Linotype"/>
          <w:sz w:val="22"/>
          <w:szCs w:val="22"/>
        </w:rPr>
        <w:t>Sucede cuando la información solicitada no se encuentra en los archivos públicos o clasificados de los entes sujetos a las Leyes de Transparencia.</w:t>
      </w:r>
    </w:p>
    <w:p w14:paraId="33C57A5E" w14:textId="77777777" w:rsidR="00B53380" w:rsidRPr="006B671F" w:rsidRDefault="00B53380" w:rsidP="00662D89">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La incompetencia del Sujeto Obligado (p. 171): </w:t>
      </w:r>
      <w:r w:rsidRPr="006B671F">
        <w:rPr>
          <w:rFonts w:ascii="Palatino Linotype" w:eastAsia="Palatino Linotype" w:hAnsi="Palatino Linotype" w:cs="Palatino Linotype"/>
          <w:sz w:val="22"/>
          <w:szCs w:val="22"/>
        </w:rPr>
        <w:t>Ocurre cuando el Sujeto Obligado carece de atribuciones para poseer la información peticionada.</w:t>
      </w:r>
    </w:p>
    <w:p w14:paraId="39F44762" w14:textId="77777777" w:rsidR="00B53380" w:rsidRPr="006B671F" w:rsidRDefault="00B53380" w:rsidP="00662D89">
      <w:pPr>
        <w:numPr>
          <w:ilvl w:val="0"/>
          <w:numId w:val="6"/>
        </w:numPr>
        <w:pBdr>
          <w:top w:val="nil"/>
          <w:left w:val="nil"/>
          <w:bottom w:val="nil"/>
          <w:right w:val="nil"/>
          <w:between w:val="nil"/>
        </w:pBd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La clasificación de la información (p. 70): </w:t>
      </w:r>
      <w:r w:rsidRPr="006B671F">
        <w:rPr>
          <w:rFonts w:ascii="Palatino Linotype" w:eastAsia="Palatino Linotype" w:hAnsi="Palatino Linotype" w:cs="Palatino Linotype"/>
          <w:sz w:val="22"/>
          <w:szCs w:val="22"/>
        </w:rPr>
        <w:t>Es el proceso o conjunto de acciones que realizan los sujetos obligados para establecer que determinada información se encuentra en alguno de los supuestos de reserva o confidencialidad establecidos en la legislación en materia de transparencia.</w:t>
      </w:r>
    </w:p>
    <w:p w14:paraId="6B634F45"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5BE4EDA5" w14:textId="0057CB8F" w:rsidR="00B53380" w:rsidRPr="006B671F" w:rsidRDefault="00B53380" w:rsidP="00B53380">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sz w:val="22"/>
          <w:szCs w:val="22"/>
        </w:rPr>
        <w:t xml:space="preserve">En ese orden de ideas y en atención a lo anterior, es de señalar que las excepciones al derecho de acceso a la información, consisten en que la documentación sea inexistente, </w:t>
      </w:r>
      <w:r w:rsidRPr="006B671F">
        <w:rPr>
          <w:rFonts w:ascii="Palatino Linotype" w:eastAsia="Palatino Linotype" w:hAnsi="Palatino Linotype" w:cs="Palatino Linotype"/>
          <w:b/>
          <w:sz w:val="22"/>
          <w:szCs w:val="22"/>
        </w:rPr>
        <w:t>se encuentre clasificada</w:t>
      </w:r>
      <w:r w:rsidRPr="006B671F">
        <w:rPr>
          <w:rFonts w:ascii="Palatino Linotype" w:eastAsia="Palatino Linotype" w:hAnsi="Palatino Linotype" w:cs="Palatino Linotype"/>
          <w:sz w:val="22"/>
          <w:szCs w:val="22"/>
        </w:rPr>
        <w:t xml:space="preserve">, o bien, el Sujeto Obligado sea incompetente para contar con esta; esto es, la negativa de acceso a la información, recae cuando la documentación no se encuentre en los archivos del sujeto obligado, o bien exista, pero no pueda proporcionarse por contener datos </w:t>
      </w:r>
      <w:r w:rsidRPr="006B671F">
        <w:rPr>
          <w:rFonts w:ascii="Palatino Linotype" w:eastAsia="Palatino Linotype" w:hAnsi="Palatino Linotype" w:cs="Palatino Linotype"/>
          <w:b/>
          <w:sz w:val="22"/>
          <w:szCs w:val="22"/>
        </w:rPr>
        <w:t xml:space="preserve">confidenciales o reservados. </w:t>
      </w:r>
    </w:p>
    <w:p w14:paraId="787DBC36" w14:textId="77777777" w:rsidR="00B53380" w:rsidRPr="006B671F" w:rsidRDefault="00B53380" w:rsidP="00B53380">
      <w:pPr>
        <w:spacing w:line="360" w:lineRule="auto"/>
        <w:jc w:val="both"/>
        <w:rPr>
          <w:rFonts w:ascii="Palatino Linotype" w:eastAsia="Palatino Linotype" w:hAnsi="Palatino Linotype" w:cs="Palatino Linotype"/>
          <w:b/>
          <w:sz w:val="22"/>
          <w:szCs w:val="22"/>
        </w:rPr>
      </w:pPr>
    </w:p>
    <w:p w14:paraId="0AAA6BB1"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Así, en los artículos 122, 128 y 130 de la Ley Transparencia y Acceso a la Información Pública del Estado de México y Municipios, se prevé que </w:t>
      </w:r>
      <w:r w:rsidRPr="006B671F">
        <w:rPr>
          <w:rFonts w:ascii="Palatino Linotype" w:eastAsia="Palatino Linotype" w:hAnsi="Palatino Linotype" w:cs="Palatino Linotype"/>
          <w:b/>
          <w:sz w:val="22"/>
          <w:szCs w:val="22"/>
        </w:rPr>
        <w:t xml:space="preserve">la clasificación </w:t>
      </w:r>
      <w:r w:rsidRPr="006B671F">
        <w:rPr>
          <w:rFonts w:ascii="Palatino Linotype" w:eastAsia="Palatino Linotype" w:hAnsi="Palatino Linotype" w:cs="Palatino Linotype"/>
          <w:sz w:val="22"/>
          <w:szCs w:val="22"/>
        </w:rPr>
        <w:t xml:space="preserve">es el proceso mediante el </w:t>
      </w:r>
      <w:r w:rsidRPr="006B671F">
        <w:rPr>
          <w:rFonts w:ascii="Palatino Linotype" w:eastAsia="Palatino Linotype" w:hAnsi="Palatino Linotype" w:cs="Palatino Linotype"/>
          <w:sz w:val="22"/>
          <w:szCs w:val="22"/>
        </w:rPr>
        <w:lastRenderedPageBreak/>
        <w:t>cual los sujetos obligados determinan que la información en su poder, actualiza alguno de los supuestos de reserva o confidencialidad. Además, que dichos entes deberán aplicar de manera restrictiva y limitada, las excepciones al derecho de acceso a la información, por lo que, tendrán que acreditar la procedencia.</w:t>
      </w:r>
    </w:p>
    <w:p w14:paraId="46F21362"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4FDE6547"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Por lo cual, en los casos en que se niegue el acceso a la información, por actualizarse alguno de los supuestos de clasificación, </w:t>
      </w:r>
      <w:r w:rsidRPr="006B671F">
        <w:rPr>
          <w:rFonts w:ascii="Palatino Linotype" w:eastAsia="Palatino Linotype" w:hAnsi="Palatino Linotype" w:cs="Palatino Linotype"/>
          <w:b/>
          <w:sz w:val="22"/>
          <w:szCs w:val="22"/>
        </w:rPr>
        <w:t xml:space="preserve">el Comité de Transparencia deberá confirmar, modificar o revocar la decisión; </w:t>
      </w:r>
      <w:r w:rsidRPr="006B671F">
        <w:rPr>
          <w:rFonts w:ascii="Palatino Linotype" w:eastAsia="Palatino Linotype" w:hAnsi="Palatino Linotype" w:cs="Palatino Linotype"/>
          <w:sz w:val="22"/>
          <w:szCs w:val="22"/>
        </w:rPr>
        <w:t>además, deberá motivar la confirmación de dicha situación, señalando las razones, motivos o circunstancias especiales que llevaron al sujeto obligado a concluir que en el caso particular se ajusta al supuesto previsto por la norma legal invocada como fundamento.</w:t>
      </w:r>
    </w:p>
    <w:p w14:paraId="21E023FF"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2ED1A0E4" w14:textId="77777777" w:rsidR="00B53380" w:rsidRPr="006B671F" w:rsidRDefault="00B53380" w:rsidP="00B53380">
      <w:pPr>
        <w:spacing w:line="360" w:lineRule="auto"/>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sz w:val="22"/>
          <w:szCs w:val="22"/>
        </w:rPr>
        <w:t xml:space="preserve">Por su parte, según Bonifaz, Leticia (2016), en la “Ley General de Transparencia y Acceso a la Información Pública Comentada” (p. 342), la </w:t>
      </w:r>
      <w:r w:rsidRPr="006B671F">
        <w:rPr>
          <w:rFonts w:ascii="Palatino Linotype" w:eastAsia="Palatino Linotype" w:hAnsi="Palatino Linotype" w:cs="Palatino Linotype"/>
          <w:b/>
          <w:sz w:val="22"/>
          <w:szCs w:val="22"/>
        </w:rPr>
        <w:t>clasificación de la información</w:t>
      </w:r>
      <w:r w:rsidRPr="006B671F">
        <w:rPr>
          <w:rFonts w:ascii="Palatino Linotype" w:eastAsia="Palatino Linotype" w:hAnsi="Palatino Linotype" w:cs="Palatino Linotype"/>
          <w:sz w:val="22"/>
          <w:szCs w:val="22"/>
        </w:rPr>
        <w:t xml:space="preserve">, ocurre cuando la autoridad niega el acceso a esta, por ser confidencial o reservada, para lo cual, los sujetos obligados, deberán realizar el proceso de clasificación, a la luz de los principios y disposiciones establecidas en las Leyes de Transparencia, fundando y motivando, </w:t>
      </w:r>
      <w:r w:rsidRPr="006B671F">
        <w:rPr>
          <w:rFonts w:ascii="Palatino Linotype" w:eastAsia="Palatino Linotype" w:hAnsi="Palatino Linotype" w:cs="Palatino Linotype"/>
          <w:b/>
          <w:sz w:val="22"/>
          <w:szCs w:val="22"/>
        </w:rPr>
        <w:t>de manera adecuada la negativa de información.</w:t>
      </w:r>
    </w:p>
    <w:p w14:paraId="3B160798" w14:textId="77777777" w:rsidR="00B53380" w:rsidRPr="006B671F" w:rsidRDefault="00B53380" w:rsidP="00B53380">
      <w:pPr>
        <w:spacing w:line="360" w:lineRule="auto"/>
        <w:jc w:val="both"/>
        <w:rPr>
          <w:rFonts w:ascii="Palatino Linotype" w:eastAsia="Palatino Linotype" w:hAnsi="Palatino Linotype" w:cs="Palatino Linotype"/>
          <w:b/>
          <w:sz w:val="22"/>
          <w:szCs w:val="22"/>
        </w:rPr>
      </w:pPr>
    </w:p>
    <w:p w14:paraId="572E37F8"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Conforme a lo anterior, en el presente caso, el </w:t>
      </w:r>
      <w:r w:rsidRPr="006B671F">
        <w:rPr>
          <w:rFonts w:ascii="Palatino Linotype" w:eastAsia="Palatino Linotype" w:hAnsi="Palatino Linotype" w:cs="Palatino Linotype"/>
          <w:b/>
          <w:sz w:val="22"/>
          <w:szCs w:val="22"/>
        </w:rPr>
        <w:t>Sujeto Obligado por conducto de la Dirección de Investigación y Supervisión,</w:t>
      </w:r>
      <w:r w:rsidRPr="006B671F">
        <w:rPr>
          <w:rFonts w:ascii="Palatino Linotype" w:eastAsia="Palatino Linotype" w:hAnsi="Palatino Linotype" w:cs="Palatino Linotype"/>
          <w:sz w:val="22"/>
          <w:szCs w:val="22"/>
        </w:rPr>
        <w:t xml:space="preserve"> no señaló que era inexistente la información; al contrario, precisó que no podía proporcionarla al ser reservada; esto es, aludió a una clasificación; al respecto, el </w:t>
      </w:r>
      <w:r w:rsidRPr="006B671F">
        <w:rPr>
          <w:rFonts w:ascii="Palatino Linotype" w:eastAsia="Palatino Linotype" w:hAnsi="Palatino Linotype" w:cs="Palatino Linotype"/>
          <w:b/>
          <w:sz w:val="22"/>
          <w:szCs w:val="22"/>
        </w:rPr>
        <w:t>Criterio 29/10</w:t>
      </w:r>
      <w:r w:rsidRPr="006B671F">
        <w:rPr>
          <w:rFonts w:ascii="Palatino Linotype" w:eastAsia="Palatino Linotype" w:hAnsi="Palatino Linotype" w:cs="Palatino Linotype"/>
          <w:sz w:val="22"/>
          <w:szCs w:val="22"/>
        </w:rPr>
        <w:t>, emitido por el Pleno del entonces Instituto Federal de Acceso a la Información y Protección de Datos, precisa lo siguiente:</w:t>
      </w:r>
    </w:p>
    <w:p w14:paraId="2326188F"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0788FC45" w14:textId="77777777" w:rsidR="00B53380" w:rsidRPr="006B671F" w:rsidRDefault="00B53380" w:rsidP="00B53380">
      <w:pPr>
        <w:ind w:left="567" w:righ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lastRenderedPageBreak/>
        <w:t>“La clasificación y la inexistencia de información son conceptos que no pueden coexistir.</w:t>
      </w:r>
      <w:r w:rsidRPr="006B671F">
        <w:rPr>
          <w:rFonts w:ascii="Palatino Linotype" w:eastAsia="Palatino Linotype" w:hAnsi="Palatino Linotype" w:cs="Palatino Linotype"/>
          <w:i/>
          <w:sz w:val="22"/>
          <w:szCs w:val="22"/>
        </w:rPr>
        <w:t xml:space="preserve"> La inexistencia implica necesariamente que la información no se encuentra en los archivos de la autoridad, no obstante que la dependencia o entidad cuente con facultades para poseer dicha información. En este sentido, la inexistencia es una calidad que se atribuye a la información solicitada. Por su parte, la clasificación es una característica que adquiere la información concreta contenida  en  un  documento  específico,  siempre  que  se  encuentre  en  los supuestos  establecidos  en  los  artículos  13  y  14  de  la  Ley  Federal  de Transparencia y Acceso a la Información Pública Gubernamental, para el caso de la información reservada, y 18 del mismo ordenamiento, para el caso de la información confidencial. Por lo anterior, la clasificación y la inexistencia no coexisten entre sí, en virtud de que la clasificación de información implica invariablemente la existencia de un documento o documentos determinados, mientras que la inexistencia conlleva la ausencia de los mismos en los archivos de la dependencia o entidad de que se trate.”</w:t>
      </w:r>
    </w:p>
    <w:p w14:paraId="2D42A022" w14:textId="77777777" w:rsidR="00B53380" w:rsidRPr="006B671F" w:rsidRDefault="00B53380" w:rsidP="00B53380">
      <w:pPr>
        <w:spacing w:line="360" w:lineRule="auto"/>
        <w:rPr>
          <w:rFonts w:ascii="Palatino Linotype" w:eastAsia="Palatino Linotype" w:hAnsi="Palatino Linotype" w:cs="Palatino Linotype"/>
          <w:sz w:val="22"/>
          <w:szCs w:val="22"/>
        </w:rPr>
      </w:pPr>
    </w:p>
    <w:p w14:paraId="7006139D" w14:textId="77777777" w:rsidR="00B53380" w:rsidRPr="006B671F" w:rsidRDefault="00B53380" w:rsidP="00B53380">
      <w:pPr>
        <w:spacing w:line="360" w:lineRule="auto"/>
        <w:jc w:val="both"/>
        <w:rPr>
          <w:rFonts w:ascii="Palatino Linotype" w:eastAsia="Palatino Linotype" w:hAnsi="Palatino Linotype" w:cs="Palatino Linotype"/>
          <w:b/>
          <w:sz w:val="22"/>
          <w:szCs w:val="22"/>
          <w:u w:val="single"/>
        </w:rPr>
      </w:pPr>
      <w:r w:rsidRPr="006B671F">
        <w:rPr>
          <w:rFonts w:ascii="Palatino Linotype" w:eastAsia="Palatino Linotype" w:hAnsi="Palatino Linotype" w:cs="Palatino Linotype"/>
          <w:b/>
          <w:sz w:val="22"/>
          <w:szCs w:val="22"/>
          <w:u w:val="single"/>
        </w:rPr>
        <w:t>Del citado criterio, se advierte que la clasificación y la inexistencia no coexisten entre sí, en virtud de que la primera implica la existencia de un documento o documentos determinados, mientras que la segunda conlleva a la ausencia de los mismos en los archivos de la dependencia o entidad de que se trate.</w:t>
      </w:r>
    </w:p>
    <w:p w14:paraId="342B5104"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7CCFDE57" w14:textId="77777777" w:rsidR="00B53380" w:rsidRPr="006B671F" w:rsidRDefault="00B53380" w:rsidP="00B53380">
      <w:pPr>
        <w:widowControl w:val="0"/>
        <w:spacing w:line="360" w:lineRule="auto"/>
        <w:jc w:val="both"/>
        <w:rPr>
          <w:rFonts w:ascii="Palatino Linotype" w:hAnsi="Palatino Linotype" w:cs="Tahoma"/>
          <w:bCs/>
          <w:iCs/>
          <w:sz w:val="22"/>
          <w:szCs w:val="22"/>
          <w:lang w:val="es-ES"/>
        </w:rPr>
      </w:pPr>
      <w:r w:rsidRPr="006B671F">
        <w:rPr>
          <w:rFonts w:ascii="Palatino Linotype" w:eastAsia="Palatino Linotype" w:hAnsi="Palatino Linotype" w:cs="Palatino Linotype"/>
          <w:sz w:val="22"/>
          <w:szCs w:val="22"/>
        </w:rPr>
        <w:t xml:space="preserve">Conforme a lo anterior, se negó el acceso a la información peticionada por la parte </w:t>
      </w:r>
      <w:r w:rsidRPr="006B671F">
        <w:rPr>
          <w:rFonts w:ascii="Palatino Linotype" w:eastAsia="Palatino Linotype" w:hAnsi="Palatino Linotype" w:cs="Palatino Linotype"/>
          <w:b/>
          <w:sz w:val="22"/>
          <w:szCs w:val="22"/>
        </w:rPr>
        <w:t>Recurrente</w:t>
      </w:r>
      <w:r w:rsidRPr="006B671F">
        <w:rPr>
          <w:rFonts w:ascii="Palatino Linotype" w:eastAsia="Palatino Linotype" w:hAnsi="Palatino Linotype" w:cs="Palatino Linotype"/>
          <w:sz w:val="22"/>
          <w:szCs w:val="22"/>
        </w:rPr>
        <w:t>, al considerar que estaba clasificada; tan es así, que proporcionó el Acta número UAI-CT-ORD- 04-2024, de la Cuarta Sesión Ordinaria 2024 del Comité de Transparencia, de fecha 03 de octubre de 2024, donde confirmó la clasificación de la información requerida como reservada, en términos del artículo 140, fracción X de la Ley de Transparencia y Acceso al a Información Pública del Estado de México y Municipios; como a continuación se muestra de la siguiente digitalización del Acta de mérito:</w:t>
      </w:r>
    </w:p>
    <w:p w14:paraId="4D91B248" w14:textId="77777777" w:rsidR="00B53380" w:rsidRPr="006B671F" w:rsidRDefault="00B53380" w:rsidP="00B53380">
      <w:pPr>
        <w:widowControl w:val="0"/>
        <w:spacing w:line="360" w:lineRule="auto"/>
        <w:jc w:val="both"/>
        <w:rPr>
          <w:rFonts w:ascii="Palatino Linotype" w:hAnsi="Palatino Linotype" w:cs="Tahoma"/>
          <w:bCs/>
          <w:iCs/>
          <w:sz w:val="22"/>
          <w:szCs w:val="22"/>
          <w:lang w:val="es-ES"/>
        </w:rPr>
      </w:pPr>
    </w:p>
    <w:p w14:paraId="6971459A" w14:textId="7734E08B" w:rsidR="00B53380" w:rsidRPr="006B671F" w:rsidRDefault="00E62465" w:rsidP="00B53380">
      <w:pPr>
        <w:spacing w:line="360" w:lineRule="auto"/>
        <w:jc w:val="center"/>
        <w:rPr>
          <w:rFonts w:ascii="Palatino Linotype" w:hAnsi="Palatino Linotype" w:cs="Arial"/>
          <w:bCs/>
          <w:sz w:val="22"/>
          <w:szCs w:val="22"/>
          <w:lang w:val="es-ES_tradnl" w:eastAsia="es-ES"/>
        </w:rPr>
      </w:pPr>
      <w:bookmarkStart w:id="2" w:name="_heading=h.17dp8vu" w:colFirst="0" w:colLast="0"/>
      <w:bookmarkEnd w:id="2"/>
      <w:r w:rsidRPr="006B671F">
        <w:rPr>
          <w:rFonts w:ascii="Palatino Linotype" w:hAnsi="Palatino Linotype" w:cs="Arial"/>
          <w:bCs/>
          <w:noProof/>
          <w:sz w:val="22"/>
          <w:szCs w:val="22"/>
        </w:rPr>
        <w:lastRenderedPageBreak/>
        <w:drawing>
          <wp:inline distT="0" distB="0" distL="0" distR="0" wp14:anchorId="42973EF7" wp14:editId="3F5756FB">
            <wp:extent cx="3829584" cy="2286319"/>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829584" cy="2286319"/>
                    </a:xfrm>
                    <a:prstGeom prst="rect">
                      <a:avLst/>
                    </a:prstGeom>
                  </pic:spPr>
                </pic:pic>
              </a:graphicData>
            </a:graphic>
          </wp:inline>
        </w:drawing>
      </w:r>
    </w:p>
    <w:p w14:paraId="39880FCB"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p>
    <w:p w14:paraId="33D2B956" w14:textId="77777777" w:rsidR="00B53380" w:rsidRPr="006B671F" w:rsidRDefault="00B53380" w:rsidP="00B53380">
      <w:pP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sz w:val="22"/>
        </w:rPr>
        <w:t xml:space="preserve">En ese sentido, conforme al artículo 134 de la Ley de Transparencia y Acceso a la Información Pública del Estado de México y Municipios y el Sexto de los Lineamientos Generales en Materia de Clasificación y Desclasificación de la Información, así como para la Elaboración de Versiones Públicas –Lineamientos Generales-, los sujetos obligados no podrán emitir acuerdos de carácter general que clasifiquen documentos o expedientes; por lo que, la clasificación de información se llevará a cabo mediante un </w:t>
      </w:r>
      <w:r w:rsidRPr="006B671F">
        <w:rPr>
          <w:rFonts w:ascii="Palatino Linotype" w:eastAsia="Palatino Linotype" w:hAnsi="Palatino Linotype" w:cs="Palatino Linotype"/>
          <w:b/>
          <w:sz w:val="22"/>
        </w:rPr>
        <w:t>análisis caso por caso.</w:t>
      </w:r>
    </w:p>
    <w:p w14:paraId="361CE2DF" w14:textId="77777777" w:rsidR="00B53380" w:rsidRPr="006B671F" w:rsidRDefault="00B53380" w:rsidP="00B53380">
      <w:pPr>
        <w:spacing w:line="360" w:lineRule="auto"/>
        <w:jc w:val="both"/>
        <w:rPr>
          <w:rFonts w:ascii="Palatino Linotype" w:eastAsia="Palatino Linotype" w:hAnsi="Palatino Linotype" w:cs="Palatino Linotype"/>
          <w:b/>
          <w:sz w:val="22"/>
        </w:rPr>
      </w:pPr>
    </w:p>
    <w:p w14:paraId="0D385B8F"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Además, el artículo 131 de la Ley referida, así como el Quinto de los Lineamientos Generales, establecen que los sujetos obligados </w:t>
      </w:r>
      <w:r w:rsidRPr="006B671F">
        <w:rPr>
          <w:rFonts w:ascii="Palatino Linotype" w:eastAsia="Palatino Linotype" w:hAnsi="Palatino Linotype" w:cs="Palatino Linotype"/>
          <w:b/>
          <w:sz w:val="22"/>
        </w:rPr>
        <w:t>deberán fundar y motivar</w:t>
      </w:r>
      <w:r w:rsidRPr="006B671F">
        <w:rPr>
          <w:rFonts w:ascii="Palatino Linotype" w:eastAsia="Palatino Linotype" w:hAnsi="Palatino Linotype" w:cs="Palatino Linotype"/>
          <w:sz w:val="22"/>
        </w:rPr>
        <w:t xml:space="preserve"> debidamente la clasificación de la información.</w:t>
      </w:r>
    </w:p>
    <w:p w14:paraId="461D288F"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67A9C4D9"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Al respecto, el Octavo de los Lineamientos Generales, precisa lo siguiente:</w:t>
      </w:r>
    </w:p>
    <w:p w14:paraId="76F19CEF"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2E1E7071" w14:textId="77777777" w:rsidR="00B53380" w:rsidRPr="006B671F" w:rsidRDefault="00B53380" w:rsidP="00662D89">
      <w:pPr>
        <w:numPr>
          <w:ilvl w:val="0"/>
          <w:numId w:val="11"/>
        </w:num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b/>
          <w:sz w:val="22"/>
        </w:rPr>
        <w:t>Para fundar la clasificación</w:t>
      </w:r>
      <w:r w:rsidRPr="006B671F">
        <w:rPr>
          <w:rFonts w:ascii="Palatino Linotype" w:eastAsia="Palatino Linotype" w:hAnsi="Palatino Linotype" w:cs="Palatino Linotype"/>
          <w:sz w:val="22"/>
        </w:rPr>
        <w:t xml:space="preserve"> de la información se deberán señalar el artículo, fracción, inciso, párrafo o numeral de la Ley aplicable;</w:t>
      </w:r>
    </w:p>
    <w:p w14:paraId="60CC5D04" w14:textId="77777777" w:rsidR="00B53380" w:rsidRPr="006B671F" w:rsidRDefault="00B53380" w:rsidP="00662D89">
      <w:pPr>
        <w:numPr>
          <w:ilvl w:val="0"/>
          <w:numId w:val="11"/>
        </w:num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b/>
          <w:sz w:val="22"/>
        </w:rPr>
        <w:lastRenderedPageBreak/>
        <w:t>Para motivar la clasificación</w:t>
      </w:r>
      <w:r w:rsidRPr="006B671F">
        <w:rPr>
          <w:rFonts w:ascii="Palatino Linotype" w:eastAsia="Palatino Linotype" w:hAnsi="Palatino Linotype" w:cs="Palatino Linotype"/>
          <w:sz w:val="22"/>
        </w:rPr>
        <w:t xml:space="preserve"> se deberán indicar las razones y circunstancias especiales que lo llevaron a concluir que el caso particular se ajusta al supuesto previsto por la norma legal invocada; la cual, en el caso de que se trate de información reservada, la motivación, deberá comprender las circunstancias que justifican el establecimiento de un determinado plazo de reserva.</w:t>
      </w:r>
    </w:p>
    <w:p w14:paraId="1B19449D" w14:textId="77777777" w:rsidR="00B53380" w:rsidRPr="006B671F" w:rsidRDefault="00B53380" w:rsidP="00B53380">
      <w:pPr>
        <w:pBdr>
          <w:top w:val="nil"/>
          <w:left w:val="nil"/>
          <w:bottom w:val="nil"/>
          <w:right w:val="nil"/>
          <w:between w:val="nil"/>
        </w:pBdr>
        <w:spacing w:line="360" w:lineRule="auto"/>
        <w:ind w:left="720"/>
        <w:rPr>
          <w:rFonts w:ascii="Palatino Linotype" w:eastAsia="Palatino Linotype" w:hAnsi="Palatino Linotype" w:cs="Palatino Linotype"/>
          <w:sz w:val="22"/>
        </w:rPr>
      </w:pPr>
    </w:p>
    <w:p w14:paraId="3369EC90"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Lo anterior, toma sustento en la fracción VII, del artículo 1.8, del Código Administrativo del Estado de México, que establece que todo acto administrativo, debe estar fundado y motivado, esto es, que contenga con precisión, los preceptos legales aplicables, las circunstancias generales o especiales, razones particulares y causas que se hayan tomado en cuenta para la emisión del mismo; asimismo, la Tesis aislada número I. 4o. P. 56 P, Octava Época, publicada en el Semanario Judicial de la Federación, Tomo XIV, noviembre de mil novecientos noventa y cuatro, (p. 450), que establece lo siguiente:</w:t>
      </w:r>
    </w:p>
    <w:p w14:paraId="01A52CA1"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38ADC793" w14:textId="77777777" w:rsidR="00B53380" w:rsidRPr="006B671F" w:rsidRDefault="00B53380" w:rsidP="00B53380">
      <w:pPr>
        <w:ind w:left="567" w:right="567"/>
        <w:jc w:val="both"/>
        <w:rPr>
          <w:rFonts w:ascii="Palatino Linotype" w:eastAsia="Palatino Linotype" w:hAnsi="Palatino Linotype" w:cs="Palatino Linotype"/>
          <w:i/>
          <w:sz w:val="22"/>
        </w:rPr>
      </w:pPr>
      <w:r w:rsidRPr="006B671F">
        <w:rPr>
          <w:rFonts w:ascii="Palatino Linotype" w:eastAsia="Palatino Linotype" w:hAnsi="Palatino Linotype" w:cs="Palatino Linotype"/>
          <w:b/>
          <w:i/>
          <w:sz w:val="22"/>
        </w:rPr>
        <w:t xml:space="preserve">“FUNDAMENTACION Y MOTIVACION, CONCEPTO DE. </w:t>
      </w:r>
      <w:r w:rsidRPr="006B671F">
        <w:rPr>
          <w:rFonts w:ascii="Palatino Linotype" w:eastAsia="Palatino Linotype" w:hAnsi="Palatino Linotype" w:cs="Palatino Linotype"/>
          <w:i/>
          <w:sz w:val="22"/>
        </w:rPr>
        <w:t>La garantía de legalidad consagrada en el artículo 16 de nuestra Carta Magna, establece que todo acto de autoridad precisa encontrarse debidamente fundado y motivado, entendiéndose por lo primero la obligación de la autoridad que lo emite, para citar los preceptos legales, sustantivos y adjetivos, en que se apoye la determinación adoptada; y por lo segundo, que exprese una serie de razonamientos lógico-jurídicos sobre el por qué consideró que el caso concreto se ajusta a la hipótesis normativa.”</w:t>
      </w:r>
    </w:p>
    <w:p w14:paraId="7DCE16E2" w14:textId="77777777" w:rsidR="00B53380" w:rsidRPr="006B671F" w:rsidRDefault="00B53380" w:rsidP="00B53380">
      <w:pPr>
        <w:ind w:left="567" w:right="567"/>
        <w:jc w:val="both"/>
        <w:rPr>
          <w:rFonts w:ascii="Palatino Linotype" w:eastAsia="Palatino Linotype" w:hAnsi="Palatino Linotype" w:cs="Palatino Linotype"/>
          <w:i/>
          <w:sz w:val="22"/>
        </w:rPr>
      </w:pPr>
    </w:p>
    <w:p w14:paraId="6650E884"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Conforme a lo anterior, se advierte lo siguiente:</w:t>
      </w:r>
    </w:p>
    <w:p w14:paraId="48F4F914"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79044808" w14:textId="77777777" w:rsidR="00B53380" w:rsidRPr="006B671F" w:rsidRDefault="00B53380" w:rsidP="00662D89">
      <w:pPr>
        <w:numPr>
          <w:ilvl w:val="0"/>
          <w:numId w:val="7"/>
        </w:numP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b/>
          <w:sz w:val="22"/>
        </w:rPr>
        <w:t xml:space="preserve">Fundamentación: </w:t>
      </w:r>
      <w:r w:rsidRPr="006B671F">
        <w:rPr>
          <w:rFonts w:ascii="Palatino Linotype" w:eastAsia="Palatino Linotype" w:hAnsi="Palatino Linotype" w:cs="Palatino Linotype"/>
          <w:sz w:val="22"/>
        </w:rPr>
        <w:t>Obligación de la autoridad que emite un acto, para citar los preceptos legales, sustantivos y adjetivos, en que se apoye para la determinación tomada.</w:t>
      </w:r>
    </w:p>
    <w:p w14:paraId="344C5DF5" w14:textId="77777777" w:rsidR="00B53380" w:rsidRPr="006B671F" w:rsidRDefault="00B53380" w:rsidP="00662D89">
      <w:pPr>
        <w:numPr>
          <w:ilvl w:val="0"/>
          <w:numId w:val="7"/>
        </w:numP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b/>
          <w:sz w:val="22"/>
        </w:rPr>
        <w:lastRenderedPageBreak/>
        <w:t xml:space="preserve">Motivación: </w:t>
      </w:r>
      <w:r w:rsidRPr="006B671F">
        <w:rPr>
          <w:rFonts w:ascii="Palatino Linotype" w:eastAsia="Palatino Linotype" w:hAnsi="Palatino Linotype" w:cs="Palatino Linotype"/>
          <w:sz w:val="22"/>
        </w:rPr>
        <w:t>Razonamientos lógico-jurídicos sobre porque se consideró en el caso en concreto, que se ajusta a la hipótesis normativa.</w:t>
      </w:r>
    </w:p>
    <w:p w14:paraId="70BD4E00"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29665993"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En ese orden de ideas, el Trigésimo tercero de los Lineamientos Generales, establece la forma en que se debe fundamentar y motivar la reserva de la información, es decir, a través de los siguientes pasos:</w:t>
      </w:r>
    </w:p>
    <w:p w14:paraId="568734BE"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1BFF3CC9" w14:textId="77777777" w:rsidR="00B53380" w:rsidRPr="006B671F" w:rsidRDefault="00B53380" w:rsidP="00662D89">
      <w:pPr>
        <w:numPr>
          <w:ilvl w:val="0"/>
          <w:numId w:val="8"/>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Se deberá citar la fracción y, en su caso, la causal aplicable de las Ley General de Transparencia y Acceso a la Información Pública o, en el presente caso, de la Ley de Transparencia y Acceso a la Información Pública del Estado de México y Municipios, vinculándola con el Lineamiento específico; </w:t>
      </w:r>
    </w:p>
    <w:p w14:paraId="29CBA3BE" w14:textId="77777777" w:rsidR="00B53380" w:rsidRPr="006B671F" w:rsidRDefault="00B53380" w:rsidP="00662D89">
      <w:pPr>
        <w:numPr>
          <w:ilvl w:val="0"/>
          <w:numId w:val="8"/>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Se deberá demostrar que la publicidad de la información generaría un riesgo de perjuicio, que rebasa el interés público;</w:t>
      </w:r>
    </w:p>
    <w:p w14:paraId="045576C2" w14:textId="77777777" w:rsidR="00B53380" w:rsidRPr="006B671F" w:rsidRDefault="00B53380" w:rsidP="00662D89">
      <w:pPr>
        <w:numPr>
          <w:ilvl w:val="0"/>
          <w:numId w:val="8"/>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Se acreditará el vínculo entre la difusión de la información y la afectación del interés jurídico tutelado;</w:t>
      </w:r>
    </w:p>
    <w:p w14:paraId="5DB9B5EF" w14:textId="77777777" w:rsidR="00B53380" w:rsidRPr="006B671F" w:rsidRDefault="00B53380" w:rsidP="00662D89">
      <w:pPr>
        <w:numPr>
          <w:ilvl w:val="0"/>
          <w:numId w:val="8"/>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Se precisará las razones objetivas por las que la apertura de la información generaría una afectación, por medio del riesgo real, demostrable e identificable;</w:t>
      </w:r>
    </w:p>
    <w:p w14:paraId="38857A46" w14:textId="77777777" w:rsidR="00B53380" w:rsidRPr="006B671F" w:rsidRDefault="00B53380" w:rsidP="00662D89">
      <w:pPr>
        <w:numPr>
          <w:ilvl w:val="0"/>
          <w:numId w:val="8"/>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Se deberán señalar las circunstancias de modo, tiempo y lugar del daño, y</w:t>
      </w:r>
    </w:p>
    <w:p w14:paraId="73B0B135" w14:textId="77777777" w:rsidR="00B53380" w:rsidRPr="006B671F" w:rsidRDefault="00B53380" w:rsidP="00662D89">
      <w:pPr>
        <w:numPr>
          <w:ilvl w:val="0"/>
          <w:numId w:val="8"/>
        </w:numPr>
        <w:pBdr>
          <w:top w:val="nil"/>
          <w:left w:val="nil"/>
          <w:bottom w:val="nil"/>
          <w:right w:val="nil"/>
          <w:between w:val="nil"/>
        </w:pBd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Se elegirá la opción de excepción al acceso a la información que menos restrinja, la cual será adecuada y proporcional para la protección del interés público.</w:t>
      </w:r>
    </w:p>
    <w:p w14:paraId="5C8B4007"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65243D75"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Ahora bien, toda vez que, el Comité de Transparencia reservó la información solicitada en apego a la fracción X del 140 de la Ley de Transparencia Local, se procede a analizar dichas causales, al tenor de lo siguiente: </w:t>
      </w:r>
    </w:p>
    <w:p w14:paraId="3A56A771"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29627025" w14:textId="77777777" w:rsidR="00B53380" w:rsidRPr="006B671F" w:rsidRDefault="00B53380" w:rsidP="00B53380">
      <w:pPr>
        <w:spacing w:line="360" w:lineRule="auto"/>
        <w:jc w:val="both"/>
        <w:rPr>
          <w:rFonts w:ascii="Palatino Linotype" w:eastAsia="Palatino Linotype" w:hAnsi="Palatino Linotype" w:cs="Palatino Linotype"/>
          <w:b/>
          <w:sz w:val="22"/>
          <w:u w:val="single"/>
        </w:rPr>
      </w:pPr>
      <w:r w:rsidRPr="006B671F">
        <w:rPr>
          <w:rFonts w:ascii="Palatino Linotype" w:eastAsia="Palatino Linotype" w:hAnsi="Palatino Linotype" w:cs="Palatino Linotype"/>
          <w:sz w:val="22"/>
        </w:rPr>
        <w:t xml:space="preserve">De acuerdo con lo que establece el artículo 140, fracción X, de la Ley de Transparencia y Acceso a la Información Pública del Estado de México y Municipios, </w:t>
      </w:r>
      <w:r w:rsidRPr="006B671F">
        <w:rPr>
          <w:rFonts w:ascii="Palatino Linotype" w:eastAsia="Palatino Linotype" w:hAnsi="Palatino Linotype" w:cs="Palatino Linotype"/>
          <w:b/>
          <w:sz w:val="22"/>
          <w:u w:val="single"/>
        </w:rPr>
        <w:t>será información reservada, aquella en la que el daño que pueda producirse con la publicación de la información sea mayor que el interés público de conocer la información de referencia, siempre que esté directamente relacionado con procesos o procedimientos administrativos o judiciales que no hayan quedado firme.</w:t>
      </w:r>
    </w:p>
    <w:p w14:paraId="407509F7"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650C305B"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En ese sentido, los Lineamientos Generales prevén lo siguiente:</w:t>
      </w:r>
    </w:p>
    <w:p w14:paraId="1FA7F4EB" w14:textId="77777777" w:rsidR="00B53380" w:rsidRPr="006B671F" w:rsidRDefault="00B53380" w:rsidP="00B53380">
      <w:pPr>
        <w:spacing w:line="360" w:lineRule="auto"/>
        <w:ind w:left="567" w:right="985"/>
        <w:jc w:val="both"/>
        <w:rPr>
          <w:rFonts w:ascii="Palatino Linotype" w:eastAsia="Palatino Linotype" w:hAnsi="Palatino Linotype" w:cs="Palatino Linotype"/>
          <w:b/>
          <w:i/>
          <w:sz w:val="22"/>
        </w:rPr>
      </w:pPr>
    </w:p>
    <w:p w14:paraId="096B9764" w14:textId="77777777" w:rsidR="00B53380" w:rsidRPr="006B671F" w:rsidRDefault="00B53380" w:rsidP="00B53380">
      <w:pPr>
        <w:spacing w:line="360" w:lineRule="auto"/>
        <w:ind w:left="567" w:right="985"/>
        <w:jc w:val="both"/>
        <w:rPr>
          <w:rFonts w:ascii="Palatino Linotype" w:eastAsia="Palatino Linotype" w:hAnsi="Palatino Linotype" w:cs="Palatino Linotype"/>
          <w:i/>
          <w:sz w:val="22"/>
        </w:rPr>
      </w:pPr>
      <w:r w:rsidRPr="006B671F">
        <w:rPr>
          <w:rFonts w:ascii="Palatino Linotype" w:eastAsia="Palatino Linotype" w:hAnsi="Palatino Linotype" w:cs="Palatino Linotype"/>
          <w:b/>
          <w:i/>
          <w:sz w:val="22"/>
        </w:rPr>
        <w:t>“Vigésimo noveno.</w:t>
      </w:r>
      <w:r w:rsidRPr="006B671F">
        <w:rPr>
          <w:rFonts w:ascii="Palatino Linotype" w:eastAsia="Palatino Linotype" w:hAnsi="Palatino Linotype" w:cs="Palatino Linotype"/>
          <w:i/>
          <w:sz w:val="22"/>
        </w:rPr>
        <w:t> De conformidad con el artículo 113, fracción X de la Ley General, podrá considerarse como información reservada, aquella que de divulgarse afecte el debido proceso al actualizarse los siguientes elementos:</w:t>
      </w:r>
    </w:p>
    <w:p w14:paraId="7F9B9DC2" w14:textId="77777777" w:rsidR="00B53380" w:rsidRPr="006B671F" w:rsidRDefault="00B53380" w:rsidP="00B53380">
      <w:pPr>
        <w:spacing w:line="360" w:lineRule="auto"/>
        <w:ind w:left="567" w:right="985"/>
        <w:jc w:val="both"/>
        <w:rPr>
          <w:rFonts w:ascii="Palatino Linotype" w:eastAsia="Palatino Linotype" w:hAnsi="Palatino Linotype" w:cs="Palatino Linotype"/>
          <w:i/>
          <w:sz w:val="22"/>
        </w:rPr>
      </w:pPr>
      <w:r w:rsidRPr="006B671F">
        <w:rPr>
          <w:rFonts w:ascii="Palatino Linotype" w:eastAsia="Palatino Linotype" w:hAnsi="Palatino Linotype" w:cs="Palatino Linotype"/>
          <w:b/>
          <w:i/>
          <w:sz w:val="22"/>
        </w:rPr>
        <w:t>I.</w:t>
      </w:r>
      <w:r w:rsidRPr="006B671F">
        <w:rPr>
          <w:rFonts w:ascii="Palatino Linotype" w:eastAsia="Palatino Linotype" w:hAnsi="Palatino Linotype" w:cs="Palatino Linotype"/>
          <w:i/>
          <w:sz w:val="22"/>
        </w:rPr>
        <w:t>        La existencia de un procedimiento judicial, administrativo o arbitral en trámite;</w:t>
      </w:r>
    </w:p>
    <w:p w14:paraId="100011CB" w14:textId="77777777" w:rsidR="00B53380" w:rsidRPr="006B671F" w:rsidRDefault="00B53380" w:rsidP="00B53380">
      <w:pPr>
        <w:spacing w:line="360" w:lineRule="auto"/>
        <w:ind w:left="567" w:right="985"/>
        <w:jc w:val="both"/>
        <w:rPr>
          <w:rFonts w:ascii="Palatino Linotype" w:eastAsia="Palatino Linotype" w:hAnsi="Palatino Linotype" w:cs="Palatino Linotype"/>
          <w:i/>
          <w:sz w:val="22"/>
        </w:rPr>
      </w:pPr>
      <w:r w:rsidRPr="006B671F">
        <w:rPr>
          <w:rFonts w:ascii="Palatino Linotype" w:eastAsia="Palatino Linotype" w:hAnsi="Palatino Linotype" w:cs="Palatino Linotype"/>
          <w:b/>
          <w:i/>
          <w:sz w:val="22"/>
        </w:rPr>
        <w:t>II.</w:t>
      </w:r>
      <w:r w:rsidRPr="006B671F">
        <w:rPr>
          <w:rFonts w:ascii="Palatino Linotype" w:eastAsia="Palatino Linotype" w:hAnsi="Palatino Linotype" w:cs="Palatino Linotype"/>
          <w:i/>
          <w:sz w:val="22"/>
        </w:rPr>
        <w:t>       Que el sujeto obligado sea parte en ese procedimiento;</w:t>
      </w:r>
    </w:p>
    <w:p w14:paraId="6DB74507" w14:textId="77777777" w:rsidR="00B53380" w:rsidRPr="006B671F" w:rsidRDefault="00B53380" w:rsidP="00B53380">
      <w:pPr>
        <w:spacing w:line="360" w:lineRule="auto"/>
        <w:ind w:left="567" w:right="985"/>
        <w:jc w:val="both"/>
        <w:rPr>
          <w:rFonts w:ascii="Palatino Linotype" w:eastAsia="Palatino Linotype" w:hAnsi="Palatino Linotype" w:cs="Palatino Linotype"/>
          <w:i/>
          <w:sz w:val="22"/>
        </w:rPr>
      </w:pPr>
      <w:r w:rsidRPr="006B671F">
        <w:rPr>
          <w:rFonts w:ascii="Palatino Linotype" w:eastAsia="Palatino Linotype" w:hAnsi="Palatino Linotype" w:cs="Palatino Linotype"/>
          <w:b/>
          <w:i/>
          <w:sz w:val="22"/>
        </w:rPr>
        <w:t>III.</w:t>
      </w:r>
      <w:r w:rsidRPr="006B671F">
        <w:rPr>
          <w:rFonts w:ascii="Palatino Linotype" w:eastAsia="Palatino Linotype" w:hAnsi="Palatino Linotype" w:cs="Palatino Linotype"/>
          <w:i/>
          <w:sz w:val="22"/>
        </w:rPr>
        <w:t>      Que la información no sea conocida por la contraparte antes de la presentación de la misma en el proceso, y</w:t>
      </w:r>
    </w:p>
    <w:p w14:paraId="2AE004CC" w14:textId="77777777" w:rsidR="00B53380" w:rsidRPr="006B671F" w:rsidRDefault="00B53380" w:rsidP="00B53380">
      <w:pPr>
        <w:spacing w:line="360" w:lineRule="auto"/>
        <w:ind w:left="567" w:right="985"/>
        <w:jc w:val="both"/>
        <w:rPr>
          <w:rFonts w:ascii="Palatino Linotype" w:eastAsia="Palatino Linotype" w:hAnsi="Palatino Linotype" w:cs="Palatino Linotype"/>
          <w:i/>
          <w:sz w:val="22"/>
        </w:rPr>
      </w:pPr>
      <w:r w:rsidRPr="006B671F">
        <w:rPr>
          <w:rFonts w:ascii="Palatino Linotype" w:eastAsia="Palatino Linotype" w:hAnsi="Palatino Linotype" w:cs="Palatino Linotype"/>
          <w:b/>
          <w:i/>
          <w:sz w:val="22"/>
        </w:rPr>
        <w:t>IV.</w:t>
      </w:r>
      <w:r w:rsidRPr="006B671F">
        <w:rPr>
          <w:rFonts w:ascii="Palatino Linotype" w:eastAsia="Palatino Linotype" w:hAnsi="Palatino Linotype" w:cs="Palatino Linotype"/>
          <w:i/>
          <w:sz w:val="22"/>
        </w:rPr>
        <w:t>      Que con su divulgación se afecte la oportunidad de llevar a cabo alguna de las garantías del debido proceso.”</w:t>
      </w:r>
    </w:p>
    <w:p w14:paraId="6F24C545"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70B0ECFD"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De la normatividad citada, se desprende que el supuesto de clasificación invocado por el sujeto obligado, prevé que como información reservada podrá clasificarse aquella que de divulgarse afecte el debido proceso, por lo cual, para considerar que se actualiza dicha causal es necesario que se configuren los siguientes elementos:</w:t>
      </w:r>
    </w:p>
    <w:p w14:paraId="4E8088BD"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340AAAFB" w14:textId="77777777" w:rsidR="00B53380" w:rsidRPr="006B671F" w:rsidRDefault="00B53380" w:rsidP="00B53380">
      <w:pPr>
        <w:spacing w:line="360" w:lineRule="auto"/>
        <w:ind w:left="720"/>
        <w:jc w:val="both"/>
        <w:rPr>
          <w:rFonts w:ascii="Palatino Linotype" w:eastAsia="Palatino Linotype" w:hAnsi="Palatino Linotype" w:cs="Palatino Linotype"/>
          <w:sz w:val="22"/>
        </w:rPr>
      </w:pPr>
      <w:r w:rsidRPr="006B671F">
        <w:rPr>
          <w:rFonts w:ascii="Palatino Linotype" w:eastAsia="Palatino Linotype" w:hAnsi="Palatino Linotype" w:cs="Palatino Linotype"/>
          <w:b/>
          <w:sz w:val="22"/>
        </w:rPr>
        <w:t>I.</w:t>
      </w:r>
      <w:r w:rsidRPr="006B671F">
        <w:rPr>
          <w:rFonts w:ascii="Palatino Linotype" w:eastAsia="Palatino Linotype" w:hAnsi="Palatino Linotype" w:cs="Palatino Linotype"/>
          <w:sz w:val="22"/>
        </w:rPr>
        <w:t>        La existencia de un procedimiento judicial, administrativo o arbitral en trámite;</w:t>
      </w:r>
    </w:p>
    <w:p w14:paraId="184E1D60" w14:textId="77777777" w:rsidR="00B53380" w:rsidRPr="006B671F" w:rsidRDefault="00B53380" w:rsidP="00B53380">
      <w:pPr>
        <w:spacing w:line="360" w:lineRule="auto"/>
        <w:ind w:left="720"/>
        <w:jc w:val="both"/>
        <w:rPr>
          <w:rFonts w:ascii="Palatino Linotype" w:eastAsia="Palatino Linotype" w:hAnsi="Palatino Linotype" w:cs="Palatino Linotype"/>
          <w:sz w:val="22"/>
        </w:rPr>
      </w:pPr>
      <w:r w:rsidRPr="006B671F">
        <w:rPr>
          <w:rFonts w:ascii="Palatino Linotype" w:eastAsia="Palatino Linotype" w:hAnsi="Palatino Linotype" w:cs="Palatino Linotype"/>
          <w:b/>
          <w:sz w:val="22"/>
        </w:rPr>
        <w:t>II.</w:t>
      </w:r>
      <w:r w:rsidRPr="006B671F">
        <w:rPr>
          <w:rFonts w:ascii="Palatino Linotype" w:eastAsia="Palatino Linotype" w:hAnsi="Palatino Linotype" w:cs="Palatino Linotype"/>
          <w:sz w:val="22"/>
        </w:rPr>
        <w:t>       Que el sujeto obligado sea parte en ese procedimiento;</w:t>
      </w:r>
    </w:p>
    <w:p w14:paraId="07C9BC94" w14:textId="77777777" w:rsidR="00B53380" w:rsidRPr="006B671F" w:rsidRDefault="00B53380" w:rsidP="00B53380">
      <w:pPr>
        <w:spacing w:line="360" w:lineRule="auto"/>
        <w:ind w:left="720"/>
        <w:jc w:val="both"/>
        <w:rPr>
          <w:rFonts w:ascii="Palatino Linotype" w:eastAsia="Palatino Linotype" w:hAnsi="Palatino Linotype" w:cs="Palatino Linotype"/>
          <w:sz w:val="22"/>
        </w:rPr>
      </w:pPr>
      <w:r w:rsidRPr="006B671F">
        <w:rPr>
          <w:rFonts w:ascii="Palatino Linotype" w:eastAsia="Palatino Linotype" w:hAnsi="Palatino Linotype" w:cs="Palatino Linotype"/>
          <w:b/>
          <w:sz w:val="22"/>
        </w:rPr>
        <w:t>III.</w:t>
      </w:r>
      <w:r w:rsidRPr="006B671F">
        <w:rPr>
          <w:rFonts w:ascii="Palatino Linotype" w:eastAsia="Palatino Linotype" w:hAnsi="Palatino Linotype" w:cs="Palatino Linotype"/>
          <w:sz w:val="22"/>
        </w:rPr>
        <w:t>      Que la información no sea conocida por la contraparte antes de la presentación de la misma en el proceso, y</w:t>
      </w:r>
    </w:p>
    <w:p w14:paraId="61541EEE" w14:textId="77777777" w:rsidR="00B53380" w:rsidRPr="006B671F" w:rsidRDefault="00B53380" w:rsidP="00B53380">
      <w:pPr>
        <w:spacing w:line="360" w:lineRule="auto"/>
        <w:ind w:left="720"/>
        <w:jc w:val="both"/>
        <w:rPr>
          <w:rFonts w:ascii="Palatino Linotype" w:eastAsia="Palatino Linotype" w:hAnsi="Palatino Linotype" w:cs="Palatino Linotype"/>
          <w:sz w:val="22"/>
        </w:rPr>
      </w:pPr>
      <w:r w:rsidRPr="006B671F">
        <w:rPr>
          <w:rFonts w:ascii="Palatino Linotype" w:eastAsia="Palatino Linotype" w:hAnsi="Palatino Linotype" w:cs="Palatino Linotype"/>
          <w:b/>
          <w:sz w:val="22"/>
        </w:rPr>
        <w:t>IV.</w:t>
      </w:r>
      <w:r w:rsidRPr="006B671F">
        <w:rPr>
          <w:rFonts w:ascii="Palatino Linotype" w:eastAsia="Palatino Linotype" w:hAnsi="Palatino Linotype" w:cs="Palatino Linotype"/>
          <w:sz w:val="22"/>
        </w:rPr>
        <w:t>      Que con su divulgación se afecte la oportunidad de llevar a cabo alguna de las garantías del debido proceso.</w:t>
      </w:r>
    </w:p>
    <w:p w14:paraId="73336DE5"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170BD771"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Con base en lo expuesto, se advierte que la información susceptible de clasificarse como reservada bajo el supuesto aludido por el sujeto obligado, es aquella cuya difusión</w:t>
      </w:r>
      <w:r w:rsidRPr="006B671F">
        <w:rPr>
          <w:sz w:val="22"/>
        </w:rPr>
        <w:t xml:space="preserve"> </w:t>
      </w:r>
      <w:r w:rsidRPr="006B671F">
        <w:rPr>
          <w:rFonts w:ascii="Palatino Linotype" w:eastAsia="Palatino Linotype" w:hAnsi="Palatino Linotype" w:cs="Palatino Linotype"/>
          <w:sz w:val="22"/>
        </w:rPr>
        <w:t xml:space="preserve">afecte el debido proceso, ante la existencia de un procedimiento judicial, administrativo o arbitral en trámite, en donde el Sujeto Obligado es parte. </w:t>
      </w:r>
    </w:p>
    <w:p w14:paraId="3C54B73C"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07964623" w14:textId="2B0D5ACC" w:rsidR="0053280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Por lo cual, se procede analizar cada uno de los requisitos señalados en los Lineamientos Generales, con la finalidad de verificar si se configura la hipótesis de reserva en estudio:</w:t>
      </w:r>
    </w:p>
    <w:p w14:paraId="2D211635" w14:textId="77777777" w:rsidR="00B53380" w:rsidRPr="006B671F" w:rsidRDefault="00B53380" w:rsidP="00662D89">
      <w:pPr>
        <w:numPr>
          <w:ilvl w:val="0"/>
          <w:numId w:val="9"/>
        </w:numP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b/>
          <w:sz w:val="22"/>
        </w:rPr>
        <w:t>La existencia de un procedimiento judicial, administrativo o arbitral en trámite.</w:t>
      </w:r>
    </w:p>
    <w:p w14:paraId="695DAFEA" w14:textId="77777777" w:rsidR="00B53380" w:rsidRPr="006B671F" w:rsidRDefault="00B53380" w:rsidP="00B53380">
      <w:pPr>
        <w:spacing w:line="360" w:lineRule="auto"/>
        <w:jc w:val="both"/>
        <w:rPr>
          <w:rFonts w:ascii="Palatino Linotype" w:eastAsia="Palatino Linotype" w:hAnsi="Palatino Linotype" w:cs="Palatino Linotype"/>
          <w:b/>
          <w:sz w:val="22"/>
        </w:rPr>
      </w:pPr>
    </w:p>
    <w:p w14:paraId="4A329AD8"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lang w:val="es-ES"/>
        </w:rPr>
        <w:t xml:space="preserve">Al respecto, el Manual General de Organización de la Unidad de Asuntos Internos, precisa que el objetivo del Organismo Público Descentralizado es coordinar las </w:t>
      </w:r>
      <w:r w:rsidRPr="006B671F">
        <w:rPr>
          <w:rFonts w:ascii="Palatino Linotype" w:eastAsia="Palatino Linotype" w:hAnsi="Palatino Linotype" w:cs="Palatino Linotype"/>
          <w:sz w:val="22"/>
        </w:rPr>
        <w:t>estrategias y programas de supervisión y vigilancia en la operación del desempeño de las personas servidoras públicas de la Secretaría de Seguridad, así como realizar análisis, métodos y técnicas de investigación y, de proceder, solicitar a la Comisión de Honor y Justicia el inicio del procedimiento administrativo sancionador, para prevenir e inhibir anomalías e irregularidades.</w:t>
      </w:r>
    </w:p>
    <w:p w14:paraId="126B2D75"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34BBA4F1"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Conforme a lo anterior, se advierte que una de las actividades realizadas por el </w:t>
      </w:r>
      <w:r w:rsidRPr="006B671F">
        <w:rPr>
          <w:rFonts w:ascii="Palatino Linotype" w:eastAsia="Palatino Linotype" w:hAnsi="Palatino Linotype" w:cs="Palatino Linotype"/>
          <w:b/>
          <w:sz w:val="22"/>
        </w:rPr>
        <w:t>Sujeto Obligado</w:t>
      </w:r>
      <w:r w:rsidRPr="006B671F">
        <w:rPr>
          <w:rFonts w:ascii="Palatino Linotype" w:eastAsia="Palatino Linotype" w:hAnsi="Palatino Linotype" w:cs="Palatino Linotype"/>
          <w:sz w:val="22"/>
        </w:rPr>
        <w:t>, como lo señaló este es investigar las irregularidades para determinar una presunta responsabilidad; sin embargo, cuenta con áreas que se encargan de realizar dichas actividades y otras que realizan otro tipo de funciones, tales como la Unidad de Normatividad, Apoyo Jurídico e Igualdad de Género, la Unidad de Apoyo Administrativo, la Unidad de Gestión Documental, Quejas y Denuncias y la Dirección de Información, Planeación, Programación y Evaluación.</w:t>
      </w:r>
    </w:p>
    <w:p w14:paraId="1DB37750" w14:textId="77777777" w:rsidR="00B53380" w:rsidRPr="006B671F" w:rsidRDefault="00B53380" w:rsidP="00B53380">
      <w:pPr>
        <w:spacing w:line="360" w:lineRule="auto"/>
        <w:jc w:val="both"/>
        <w:rPr>
          <w:rFonts w:ascii="Palatino Linotype" w:eastAsia="Palatino Linotype" w:hAnsi="Palatino Linotype" w:cs="Palatino Linotype"/>
          <w:sz w:val="22"/>
          <w:lang w:val="es-ES"/>
        </w:rPr>
      </w:pPr>
    </w:p>
    <w:p w14:paraId="08F4EFAA" w14:textId="4782D5F5" w:rsidR="00B53380" w:rsidRPr="006B671F" w:rsidRDefault="00B53380" w:rsidP="00B53380">
      <w:pPr>
        <w:spacing w:line="360" w:lineRule="auto"/>
        <w:jc w:val="both"/>
        <w:rPr>
          <w:rFonts w:ascii="Palatino Linotype" w:eastAsia="Palatino Linotype" w:hAnsi="Palatino Linotype" w:cs="Palatino Linotype"/>
          <w:sz w:val="22"/>
          <w:lang w:val="es-ES"/>
        </w:rPr>
      </w:pPr>
      <w:r w:rsidRPr="006B671F">
        <w:rPr>
          <w:rFonts w:ascii="Palatino Linotype" w:eastAsia="Palatino Linotype" w:hAnsi="Palatino Linotype" w:cs="Palatino Linotype"/>
          <w:sz w:val="22"/>
          <w:lang w:val="es-ES"/>
        </w:rPr>
        <w:t>Así, se logra vislumbrar que no todo el personal realiza las funciones referidas; aunado a que, en el presente caso, no se solicita información específica de los procedimientos en trámite</w:t>
      </w:r>
      <w:r w:rsidR="00532800" w:rsidRPr="006B671F">
        <w:rPr>
          <w:rFonts w:ascii="Palatino Linotype" w:eastAsia="Palatino Linotype" w:hAnsi="Palatino Linotype" w:cs="Palatino Linotype"/>
          <w:sz w:val="22"/>
          <w:lang w:val="es-ES"/>
        </w:rPr>
        <w:t xml:space="preserve">. </w:t>
      </w:r>
    </w:p>
    <w:p w14:paraId="379AF7B1" w14:textId="77777777" w:rsidR="00B53380" w:rsidRPr="006B671F" w:rsidRDefault="00B53380" w:rsidP="00B53380">
      <w:pPr>
        <w:spacing w:line="360" w:lineRule="auto"/>
        <w:jc w:val="both"/>
        <w:rPr>
          <w:rFonts w:ascii="Palatino Linotype" w:eastAsia="Palatino Linotype" w:hAnsi="Palatino Linotype" w:cs="Palatino Linotype"/>
          <w:sz w:val="22"/>
          <w:lang w:val="es-ES"/>
        </w:rPr>
      </w:pPr>
    </w:p>
    <w:p w14:paraId="4F1D1E36" w14:textId="77777777" w:rsidR="00B53380" w:rsidRPr="006B671F" w:rsidRDefault="00B53380" w:rsidP="00B53380">
      <w:pPr>
        <w:spacing w:line="360" w:lineRule="auto"/>
        <w:jc w:val="both"/>
        <w:rPr>
          <w:rFonts w:ascii="Palatino Linotype" w:eastAsia="Palatino Linotype" w:hAnsi="Palatino Linotype" w:cs="Palatino Linotype"/>
          <w:sz w:val="22"/>
          <w:lang w:val="es-ES"/>
        </w:rPr>
      </w:pPr>
      <w:r w:rsidRPr="006B671F">
        <w:rPr>
          <w:rFonts w:ascii="Palatino Linotype" w:eastAsia="Palatino Linotype" w:hAnsi="Palatino Linotype" w:cs="Palatino Linotype"/>
          <w:sz w:val="22"/>
          <w:lang w:val="es-ES"/>
        </w:rPr>
        <w:t>Por lo que, en el presente caso, este Instituto logra vislumbrar que la información solicitada no guarda relación con procedimientos en trámite, pues como ya se refirió, se trata de documentales de control y administración de personal, las cuales no se relacionan con las actividades sustantivas del Organismo Público Descentralizado; por lo tanto, no se actualiza el primero de los requisitos establecidos en los Lineamientos Generales.</w:t>
      </w:r>
    </w:p>
    <w:p w14:paraId="2B1CE073"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0DDB65A9" w14:textId="77777777" w:rsidR="00B53380" w:rsidRPr="006B671F" w:rsidRDefault="00B53380" w:rsidP="00662D89">
      <w:pPr>
        <w:numPr>
          <w:ilvl w:val="0"/>
          <w:numId w:val="9"/>
        </w:numPr>
        <w:pBdr>
          <w:top w:val="nil"/>
          <w:left w:val="nil"/>
          <w:bottom w:val="nil"/>
          <w:right w:val="nil"/>
          <w:between w:val="nil"/>
        </w:pBdr>
        <w:spacing w:line="360" w:lineRule="auto"/>
        <w:rPr>
          <w:rFonts w:ascii="Palatino Linotype" w:eastAsia="Palatino Linotype" w:hAnsi="Palatino Linotype" w:cs="Palatino Linotype"/>
          <w:b/>
          <w:sz w:val="22"/>
        </w:rPr>
      </w:pPr>
      <w:r w:rsidRPr="006B671F">
        <w:rPr>
          <w:rFonts w:ascii="Palatino Linotype" w:eastAsia="Palatino Linotype" w:hAnsi="Palatino Linotype" w:cs="Palatino Linotype"/>
          <w:b/>
          <w:sz w:val="22"/>
        </w:rPr>
        <w:t>Que el sujeto obligado sea parte en ese procedimiento:</w:t>
      </w:r>
    </w:p>
    <w:p w14:paraId="34D7BB9E"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 </w:t>
      </w:r>
    </w:p>
    <w:p w14:paraId="53457137" w14:textId="77777777" w:rsidR="00B53380" w:rsidRPr="006B671F" w:rsidRDefault="00B53380" w:rsidP="00B53380">
      <w:pPr>
        <w:spacing w:line="360" w:lineRule="auto"/>
        <w:jc w:val="both"/>
        <w:rPr>
          <w:rFonts w:ascii="Palatino Linotype" w:hAnsi="Palatino Linotype" w:cs="Tahoma"/>
          <w:sz w:val="22"/>
          <w:lang w:val="es-ES" w:eastAsia="es-ES"/>
        </w:rPr>
      </w:pPr>
      <w:r w:rsidRPr="006B671F">
        <w:rPr>
          <w:rFonts w:ascii="Palatino Linotype" w:hAnsi="Palatino Linotype" w:cs="Tahoma"/>
          <w:sz w:val="22"/>
          <w:lang w:val="es-ES" w:eastAsia="es-ES"/>
        </w:rPr>
        <w:t xml:space="preserve">En el presente caso, al tratarse de procedimientos administrativos de investigación, se puede observar, que el </w:t>
      </w:r>
      <w:r w:rsidRPr="006B671F">
        <w:rPr>
          <w:rFonts w:ascii="Palatino Linotype" w:hAnsi="Palatino Linotype" w:cs="Tahoma"/>
          <w:b/>
          <w:sz w:val="22"/>
          <w:lang w:val="es-ES" w:eastAsia="es-ES"/>
        </w:rPr>
        <w:t>Sujeto Obligado</w:t>
      </w:r>
      <w:r w:rsidRPr="006B671F">
        <w:rPr>
          <w:rFonts w:ascii="Palatino Linotype" w:hAnsi="Palatino Linotype" w:cs="Tahoma"/>
          <w:sz w:val="22"/>
          <w:lang w:val="es-ES" w:eastAsia="es-ES"/>
        </w:rPr>
        <w:t xml:space="preserve"> es la autoridad que sustancia estos, y, por lo tanto, se acreditaría el segundo requisito para actualizar la causal de reserva; sin embargo, en el </w:t>
      </w:r>
      <w:r w:rsidRPr="006B671F">
        <w:rPr>
          <w:rFonts w:ascii="Palatino Linotype" w:hAnsi="Palatino Linotype" w:cs="Tahoma"/>
          <w:sz w:val="22"/>
          <w:lang w:val="es-ES" w:eastAsia="es-ES"/>
        </w:rPr>
        <w:lastRenderedPageBreak/>
        <w:t>presente caso, no se actualiza pues la información solicitada no forma parte de los procedimientos realizados, tal como se refirió en el punto anterior.</w:t>
      </w:r>
    </w:p>
    <w:p w14:paraId="2A153C80"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0BBEB519"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Además, el </w:t>
      </w:r>
      <w:r w:rsidRPr="006B671F">
        <w:rPr>
          <w:rFonts w:ascii="Palatino Linotype" w:eastAsia="Palatino Linotype" w:hAnsi="Palatino Linotype" w:cs="Palatino Linotype"/>
          <w:b/>
          <w:sz w:val="22"/>
        </w:rPr>
        <w:t>Sujeto Obligado</w:t>
      </w:r>
      <w:r w:rsidRPr="006B671F">
        <w:rPr>
          <w:rFonts w:ascii="Palatino Linotype" w:eastAsia="Palatino Linotype" w:hAnsi="Palatino Linotype" w:cs="Palatino Linotype"/>
          <w:sz w:val="22"/>
        </w:rPr>
        <w:t xml:space="preserve"> no acredita fehacientemente que </w:t>
      </w:r>
      <w:r w:rsidRPr="006B671F">
        <w:rPr>
          <w:rFonts w:ascii="Palatino Linotype" w:eastAsia="Palatino Linotype" w:hAnsi="Palatino Linotype" w:cs="Palatino Linotype"/>
          <w:sz w:val="22"/>
          <w:szCs w:val="22"/>
        </w:rPr>
        <w:t>los registros de entrada y salida de las personas servidoras públicas de ese organismo</w:t>
      </w:r>
      <w:r w:rsidRPr="006B671F">
        <w:rPr>
          <w:rFonts w:ascii="Palatino Linotype" w:eastAsia="Palatino Linotype" w:hAnsi="Palatino Linotype" w:cs="Palatino Linotype"/>
          <w:sz w:val="22"/>
        </w:rPr>
        <w:t xml:space="preserve"> tuvieran relación directa con los procedimientos que se desahogan o incluso de su existencia, razón por la que, en el presente caso, tampoco se puede determinar que en todos los expedientes que se encuentren en trámite obren los registros solicitados, así como, que sea parte del procedimiento; por lo que no se acredita el cumplimiento de dicho requisito.</w:t>
      </w:r>
    </w:p>
    <w:p w14:paraId="2E363535"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70A403C6" w14:textId="77777777" w:rsidR="00B53380" w:rsidRPr="006B671F" w:rsidRDefault="00B53380" w:rsidP="00662D89">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b/>
          <w:sz w:val="22"/>
        </w:rPr>
        <w:t>Que la información no sea conocida por la contraparte antes de la presentación de la misma en el proceso.</w:t>
      </w:r>
    </w:p>
    <w:p w14:paraId="5F31B4BF"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 </w:t>
      </w:r>
    </w:p>
    <w:p w14:paraId="5C88516E" w14:textId="0156FB23" w:rsidR="00B53380" w:rsidRPr="006B671F" w:rsidRDefault="00B53380" w:rsidP="00B53380">
      <w:pPr>
        <w:spacing w:line="360" w:lineRule="auto"/>
        <w:jc w:val="both"/>
        <w:rPr>
          <w:rFonts w:ascii="Palatino Linotype" w:eastAsia="Palatino Linotype" w:hAnsi="Palatino Linotype" w:cs="Palatino Linotype"/>
          <w:sz w:val="22"/>
          <w:lang w:val="es-ES"/>
        </w:rPr>
      </w:pPr>
      <w:r w:rsidRPr="006B671F">
        <w:rPr>
          <w:rFonts w:ascii="Palatino Linotype" w:eastAsia="Palatino Linotype" w:hAnsi="Palatino Linotype" w:cs="Palatino Linotype"/>
          <w:sz w:val="22"/>
          <w:lang w:val="es-ES"/>
        </w:rPr>
        <w:t>Respecto a dicho requisito, en principio resulta necesario puntualizar que, dado la naturaleza de los procedimientos administrativos en análisis, en los cuales el Sujeto Obligado es la autoridad, y existe la otra parte, que es la investigada.</w:t>
      </w:r>
    </w:p>
    <w:p w14:paraId="74A8DE39"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En ese sentido, a la última parte referida, se le debe garantizar su derecho al debido proceso, permitiéndole, entre otras cosas, a ofrecer pruebas, presentar alegatos o bien, armar su estrategia procesal, siempre y cuando ya se le haya hecho del conocimiento la investigación; en el presente caso, es de señalar que los documentos solicitados no forman parte de ningún procedimiento en trámite.</w:t>
      </w:r>
    </w:p>
    <w:p w14:paraId="0D6214D1"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06C53CD1" w14:textId="77777777" w:rsidR="00B53380" w:rsidRPr="006B671F" w:rsidRDefault="00B53380" w:rsidP="00B53380">
      <w:pPr>
        <w:spacing w:line="360" w:lineRule="auto"/>
        <w:jc w:val="both"/>
        <w:rPr>
          <w:rFonts w:ascii="Palatino Linotype" w:eastAsia="Palatino Linotype" w:hAnsi="Palatino Linotype" w:cs="Palatino Linotype"/>
          <w:b/>
          <w:sz w:val="22"/>
          <w:lang w:val="es-ES"/>
        </w:rPr>
      </w:pPr>
      <w:r w:rsidRPr="006B671F">
        <w:rPr>
          <w:rFonts w:ascii="Palatino Linotype" w:eastAsia="Palatino Linotype" w:hAnsi="Palatino Linotype" w:cs="Palatino Linotype"/>
          <w:sz w:val="22"/>
        </w:rPr>
        <w:t xml:space="preserve">En otras palabras, aún y cuando, las listas de asistencia nunca serán del conocimiento de los investigados, también lo es que tampoco serán presentadas durante los procedimientos de </w:t>
      </w:r>
      <w:r w:rsidRPr="006B671F">
        <w:rPr>
          <w:rFonts w:ascii="Palatino Linotype" w:eastAsia="Palatino Linotype" w:hAnsi="Palatino Linotype" w:cs="Palatino Linotype"/>
          <w:sz w:val="22"/>
        </w:rPr>
        <w:lastRenderedPageBreak/>
        <w:t>investigación, pues son documentos meramente administrativos utilizados por la Unidad de Apoyo Administrativo, para llevar el control del personal, verificar asistencia o inasistencias y realizar los descuentos o bajas correspondientes, por lo que, tampoco se acredita el requisito en análisis.</w:t>
      </w:r>
    </w:p>
    <w:p w14:paraId="57BADBD1"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368FBC1D" w14:textId="77777777" w:rsidR="00B53380" w:rsidRPr="006B671F" w:rsidRDefault="00B53380" w:rsidP="00662D89">
      <w:pPr>
        <w:numPr>
          <w:ilvl w:val="0"/>
          <w:numId w:val="9"/>
        </w:numPr>
        <w:pBdr>
          <w:top w:val="nil"/>
          <w:left w:val="nil"/>
          <w:bottom w:val="nil"/>
          <w:right w:val="nil"/>
          <w:between w:val="nil"/>
        </w:pBdr>
        <w:spacing w:line="360" w:lineRule="auto"/>
        <w:jc w:val="both"/>
        <w:rPr>
          <w:rFonts w:ascii="Palatino Linotype" w:eastAsia="Palatino Linotype" w:hAnsi="Palatino Linotype" w:cs="Palatino Linotype"/>
          <w:b/>
          <w:sz w:val="22"/>
        </w:rPr>
      </w:pPr>
      <w:r w:rsidRPr="006B671F">
        <w:rPr>
          <w:rFonts w:ascii="Palatino Linotype" w:eastAsia="Palatino Linotype" w:hAnsi="Palatino Linotype" w:cs="Palatino Linotype"/>
          <w:b/>
          <w:sz w:val="22"/>
        </w:rPr>
        <w:t>Que la información con su divulgación se afecte la oportunidad de llevar a cabo alguna de las garantías del debido proceso.</w:t>
      </w:r>
    </w:p>
    <w:p w14:paraId="4330808C"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36C056CC" w14:textId="77777777" w:rsidR="00B53380" w:rsidRPr="006B671F" w:rsidRDefault="00B53380" w:rsidP="00B53380">
      <w:pPr>
        <w:spacing w:line="360" w:lineRule="auto"/>
        <w:jc w:val="both"/>
        <w:rPr>
          <w:rFonts w:ascii="Palatino Linotype" w:eastAsia="Palatino Linotype" w:hAnsi="Palatino Linotype" w:cs="Palatino Linotype"/>
          <w:sz w:val="22"/>
          <w:lang w:val="es-ES"/>
        </w:rPr>
      </w:pPr>
      <w:r w:rsidRPr="006B671F">
        <w:rPr>
          <w:rFonts w:ascii="Palatino Linotype" w:eastAsia="Palatino Linotype" w:hAnsi="Palatino Linotype" w:cs="Palatino Linotype"/>
          <w:sz w:val="22"/>
          <w:lang w:val="es-ES"/>
        </w:rPr>
        <w:t xml:space="preserve">Conforme a lo ya analizado, este Instituto estima que tampoco se actualiza el cuarto de los elementos pues la divulgación de dicha información no podría afectar la oportunidad de llevar a cabo alguna de las garantías del debido proceso dado que se trata de información que guarda relación con los procedimientos administrativos, ni son presentados como pruebas en estos, ya que corresponden a documentos de control de personal, y por lo tanto, </w:t>
      </w:r>
      <w:r w:rsidRPr="006B671F">
        <w:rPr>
          <w:rFonts w:ascii="Palatino Linotype" w:eastAsia="Palatino Linotype" w:hAnsi="Palatino Linotype" w:cs="Palatino Linotype"/>
          <w:b/>
          <w:sz w:val="22"/>
          <w:lang w:val="es-ES"/>
        </w:rPr>
        <w:t>no es procedente la causal de reserva prevista en el artículo 140, fracción X, de la Ley de Transparencia y Acceso a la Información Pública del Estado de México y Municipios.</w:t>
      </w:r>
    </w:p>
    <w:p w14:paraId="0BCEA515"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119FC95C" w14:textId="77777777" w:rsidR="00B53380" w:rsidRPr="006B671F" w:rsidRDefault="00B53380" w:rsidP="00B53380">
      <w:pPr>
        <w:tabs>
          <w:tab w:val="left" w:pos="4962"/>
        </w:tabs>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Por otro lado, cabe traer a colación el artículo 141 de la Ley de Transparencia y Acceso a la Información Pública del Estado de México y Municipios, establece que las causales de reserva se deberán fundar y motivar, a través de la aplicación de la prueba de daño establecida en el artículo 129 de dicho ordenamiento, que se debe justificar de la siguiente manera:</w:t>
      </w:r>
    </w:p>
    <w:p w14:paraId="39FC80C6" w14:textId="77777777" w:rsidR="00B53380" w:rsidRPr="006B671F" w:rsidRDefault="00B53380" w:rsidP="00B53380">
      <w:pPr>
        <w:tabs>
          <w:tab w:val="left" w:pos="4962"/>
        </w:tabs>
        <w:spacing w:line="360" w:lineRule="auto"/>
        <w:jc w:val="both"/>
        <w:rPr>
          <w:rFonts w:ascii="Palatino Linotype" w:eastAsia="Palatino Linotype" w:hAnsi="Palatino Linotype" w:cs="Palatino Linotype"/>
          <w:sz w:val="22"/>
        </w:rPr>
      </w:pPr>
    </w:p>
    <w:p w14:paraId="26E5082B" w14:textId="77777777" w:rsidR="00B53380" w:rsidRPr="006B671F" w:rsidRDefault="00B53380" w:rsidP="00662D89">
      <w:pPr>
        <w:numPr>
          <w:ilvl w:val="0"/>
          <w:numId w:val="10"/>
        </w:numPr>
        <w:tabs>
          <w:tab w:val="left" w:pos="4962"/>
        </w:tabs>
        <w:spacing w:line="360" w:lineRule="auto"/>
        <w:ind w:left="851" w:hanging="437"/>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La divulgación de la información representa un riesgo real, demostrable e identificable de perjuicio significativo al interés público o a la seguridad nacional.</w:t>
      </w:r>
    </w:p>
    <w:p w14:paraId="3B77241A" w14:textId="77777777" w:rsidR="00B53380" w:rsidRPr="006B671F" w:rsidRDefault="00B53380" w:rsidP="00662D89">
      <w:pPr>
        <w:numPr>
          <w:ilvl w:val="0"/>
          <w:numId w:val="10"/>
        </w:numPr>
        <w:tabs>
          <w:tab w:val="left" w:pos="4962"/>
        </w:tabs>
        <w:spacing w:line="360" w:lineRule="auto"/>
        <w:ind w:left="851" w:hanging="437"/>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El riesgo de perjuicio supera el interés público general de que se difunda.</w:t>
      </w:r>
    </w:p>
    <w:p w14:paraId="64B0C20D" w14:textId="77777777" w:rsidR="00B53380" w:rsidRPr="006B671F" w:rsidRDefault="00B53380" w:rsidP="00662D89">
      <w:pPr>
        <w:numPr>
          <w:ilvl w:val="0"/>
          <w:numId w:val="10"/>
        </w:numPr>
        <w:tabs>
          <w:tab w:val="left" w:pos="4962"/>
        </w:tabs>
        <w:spacing w:line="360" w:lineRule="auto"/>
        <w:ind w:left="851" w:hanging="437"/>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lastRenderedPageBreak/>
        <w:t>Que la limitación se adecua al principio de proporcionalidad y representa el medio menos restrictivo disponible para evitar el perjuicio.</w:t>
      </w:r>
    </w:p>
    <w:p w14:paraId="6C1146EF"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6DDB3356"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A mayor abundamiento, se analizará el Acta del Comité de Transparencia y su prueba de daño, a fin de establecer si esta cumple con las formalidades exigidas por el artículo 113 de la Ley General de Transparencia y Acceso a la Información Pública, numeral trigésimo fracción I de los Lineamientos Generales en Materia de Clasificación y Desclasificación de la Información, así como para la Elaboración de Versiones Públicas, así como los artículos 91, 128, 129, 140, y 141, de la Ley de Transparencia y Acceso a la Información Pública del Estado de México y Municipios, se analizará lo siguiente: </w:t>
      </w:r>
    </w:p>
    <w:p w14:paraId="0D4D5578" w14:textId="77777777" w:rsidR="00B53380" w:rsidRPr="006B671F" w:rsidRDefault="00B53380" w:rsidP="00B53380">
      <w:pPr>
        <w:spacing w:line="360" w:lineRule="auto"/>
        <w:jc w:val="both"/>
        <w:rPr>
          <w:rFonts w:ascii="Palatino Linotype" w:eastAsia="Palatino Linotype" w:hAnsi="Palatino Linotype" w:cs="Palatino Linotype"/>
        </w:rPr>
      </w:pPr>
    </w:p>
    <w:tbl>
      <w:tblPr>
        <w:tblW w:w="8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13"/>
        <w:gridCol w:w="5245"/>
        <w:gridCol w:w="2170"/>
      </w:tblGrid>
      <w:tr w:rsidR="006B671F" w:rsidRPr="006B671F" w14:paraId="1D029479" w14:textId="77777777" w:rsidTr="009E240C">
        <w:tc>
          <w:tcPr>
            <w:tcW w:w="1413" w:type="dxa"/>
            <w:tcBorders>
              <w:top w:val="single" w:sz="4" w:space="0" w:color="000000"/>
              <w:left w:val="single" w:sz="4" w:space="0" w:color="000000"/>
              <w:bottom w:val="single" w:sz="4" w:space="0" w:color="000000"/>
              <w:right w:val="single" w:sz="4" w:space="0" w:color="000000"/>
            </w:tcBorders>
            <w:shd w:val="clear" w:color="auto" w:fill="7B7B7B"/>
          </w:tcPr>
          <w:p w14:paraId="6AD48D5F"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sz w:val="18"/>
                <w:szCs w:val="18"/>
              </w:rPr>
              <w:t>Elementos del acuerdo de clasificación</w:t>
            </w:r>
          </w:p>
        </w:tc>
        <w:tc>
          <w:tcPr>
            <w:tcW w:w="5245" w:type="dxa"/>
            <w:tcBorders>
              <w:top w:val="single" w:sz="4" w:space="0" w:color="000000"/>
              <w:left w:val="single" w:sz="4" w:space="0" w:color="000000"/>
              <w:bottom w:val="single" w:sz="4" w:space="0" w:color="000000"/>
              <w:right w:val="single" w:sz="4" w:space="0" w:color="000000"/>
            </w:tcBorders>
            <w:shd w:val="clear" w:color="auto" w:fill="7B7B7B"/>
          </w:tcPr>
          <w:p w14:paraId="774058DD"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rPr>
              <w:t>Contenido</w:t>
            </w:r>
          </w:p>
        </w:tc>
        <w:tc>
          <w:tcPr>
            <w:tcW w:w="2170" w:type="dxa"/>
            <w:tcBorders>
              <w:top w:val="single" w:sz="4" w:space="0" w:color="000000"/>
              <w:left w:val="single" w:sz="4" w:space="0" w:color="000000"/>
              <w:bottom w:val="single" w:sz="4" w:space="0" w:color="000000"/>
              <w:right w:val="single" w:sz="4" w:space="0" w:color="000000"/>
            </w:tcBorders>
            <w:shd w:val="clear" w:color="auto" w:fill="7B7B7B"/>
          </w:tcPr>
          <w:p w14:paraId="7A9E1117"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rPr>
              <w:t>Cumple</w:t>
            </w:r>
          </w:p>
        </w:tc>
      </w:tr>
      <w:tr w:rsidR="006B671F" w:rsidRPr="006B671F" w14:paraId="2D5AE909"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070695D7" w14:textId="77777777" w:rsidR="00B53380" w:rsidRPr="006B671F" w:rsidRDefault="00B53380" w:rsidP="009E240C">
            <w:pPr>
              <w:jc w:val="center"/>
              <w:rPr>
                <w:rFonts w:ascii="Palatino Linotype" w:eastAsia="Palatino Linotype" w:hAnsi="Palatino Linotype" w:cs="Palatino Linotype"/>
                <w:sz w:val="18"/>
                <w:szCs w:val="18"/>
              </w:rPr>
            </w:pPr>
            <w:r w:rsidRPr="006B671F">
              <w:rPr>
                <w:rFonts w:ascii="Palatino Linotype" w:eastAsia="Palatino Linotype" w:hAnsi="Palatino Linotype" w:cs="Palatino Linotype"/>
                <w:b/>
                <w:sz w:val="18"/>
                <w:szCs w:val="18"/>
              </w:rPr>
              <w:t>Número de folio de la solicitud</w:t>
            </w:r>
          </w:p>
        </w:tc>
        <w:tc>
          <w:tcPr>
            <w:tcW w:w="5245" w:type="dxa"/>
            <w:tcBorders>
              <w:top w:val="single" w:sz="4" w:space="0" w:color="000000"/>
              <w:left w:val="single" w:sz="4" w:space="0" w:color="000000"/>
              <w:bottom w:val="single" w:sz="4" w:space="0" w:color="000000"/>
              <w:right w:val="single" w:sz="4" w:space="0" w:color="000000"/>
            </w:tcBorders>
          </w:tcPr>
          <w:p w14:paraId="22AF0F35" w14:textId="59BE2253" w:rsidR="00B53380" w:rsidRPr="006B671F" w:rsidRDefault="00E62465" w:rsidP="009E240C">
            <w:pPr>
              <w:jc w:val="center"/>
              <w:rPr>
                <w:rFonts w:ascii="Palatino Linotype" w:hAnsi="Palatino Linotype"/>
              </w:rPr>
            </w:pPr>
            <w:r w:rsidRPr="006B671F">
              <w:rPr>
                <w:rFonts w:ascii="Palatino Linotype" w:hAnsi="Palatino Linotype"/>
                <w:noProof/>
                <w:sz w:val="22"/>
              </w:rPr>
              <w:t>Enlista todas las solicitudes.</w:t>
            </w:r>
          </w:p>
        </w:tc>
        <w:tc>
          <w:tcPr>
            <w:tcW w:w="2170" w:type="dxa"/>
            <w:tcBorders>
              <w:top w:val="single" w:sz="4" w:space="0" w:color="000000"/>
              <w:left w:val="single" w:sz="4" w:space="0" w:color="000000"/>
              <w:bottom w:val="single" w:sz="4" w:space="0" w:color="000000"/>
              <w:right w:val="single" w:sz="4" w:space="0" w:color="000000"/>
            </w:tcBorders>
          </w:tcPr>
          <w:p w14:paraId="30E71D47" w14:textId="77777777" w:rsidR="00B53380" w:rsidRPr="006B671F" w:rsidRDefault="00B53380" w:rsidP="009E240C">
            <w:pPr>
              <w:jc w:val="center"/>
              <w:rPr>
                <w:rFonts w:ascii="Palatino Linotype" w:eastAsia="Palatino Linotype" w:hAnsi="Palatino Linotype" w:cs="Palatino Linotype"/>
                <w:b/>
                <w:sz w:val="18"/>
                <w:szCs w:val="18"/>
              </w:rPr>
            </w:pPr>
            <w:r w:rsidRPr="006B671F">
              <w:rPr>
                <w:rFonts w:ascii="Palatino Linotype" w:eastAsia="Palatino Linotype" w:hAnsi="Palatino Linotype" w:cs="Palatino Linotype"/>
                <w:b/>
                <w:sz w:val="18"/>
                <w:szCs w:val="18"/>
              </w:rPr>
              <w:t>Sí</w:t>
            </w:r>
          </w:p>
        </w:tc>
      </w:tr>
      <w:tr w:rsidR="006B671F" w:rsidRPr="006B671F" w14:paraId="21D2D4F0"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13AAD99C" w14:textId="77777777" w:rsidR="00B53380" w:rsidRPr="006B671F" w:rsidRDefault="00B53380" w:rsidP="009E240C">
            <w:pPr>
              <w:jc w:val="center"/>
              <w:rPr>
                <w:rFonts w:ascii="Palatino Linotype" w:eastAsia="Palatino Linotype" w:hAnsi="Palatino Linotype" w:cs="Palatino Linotype"/>
                <w:sz w:val="18"/>
                <w:szCs w:val="18"/>
              </w:rPr>
            </w:pPr>
            <w:r w:rsidRPr="006B671F">
              <w:rPr>
                <w:rFonts w:ascii="Palatino Linotype" w:eastAsia="Palatino Linotype" w:hAnsi="Palatino Linotype" w:cs="Palatino Linotype"/>
                <w:b/>
                <w:sz w:val="18"/>
                <w:szCs w:val="18"/>
              </w:rPr>
              <w:t>Referencia de la información solicitada</w:t>
            </w:r>
          </w:p>
        </w:tc>
        <w:tc>
          <w:tcPr>
            <w:tcW w:w="5245" w:type="dxa"/>
            <w:tcBorders>
              <w:top w:val="single" w:sz="4" w:space="0" w:color="000000"/>
              <w:left w:val="single" w:sz="4" w:space="0" w:color="000000"/>
              <w:bottom w:val="single" w:sz="4" w:space="0" w:color="000000"/>
              <w:right w:val="single" w:sz="4" w:space="0" w:color="000000"/>
            </w:tcBorders>
          </w:tcPr>
          <w:p w14:paraId="1C6AF942" w14:textId="77777777" w:rsidR="00B53380" w:rsidRPr="006B671F" w:rsidRDefault="00B53380" w:rsidP="009E240C">
            <w:pPr>
              <w:jc w:val="center"/>
              <w:rPr>
                <w:rFonts w:ascii="Palatino Linotype" w:eastAsia="Palatino Linotype" w:hAnsi="Palatino Linotype" w:cs="Palatino Linotype"/>
              </w:rPr>
            </w:pPr>
            <w:r w:rsidRPr="006B671F">
              <w:rPr>
                <w:rFonts w:ascii="Palatino Linotype" w:eastAsia="Palatino Linotype" w:hAnsi="Palatino Linotype" w:cs="Palatino Linotype"/>
                <w:noProof/>
              </w:rPr>
              <w:drawing>
                <wp:inline distT="0" distB="0" distL="0" distR="0" wp14:anchorId="6CAE80C5" wp14:editId="7D8EEC97">
                  <wp:extent cx="1638300" cy="952500"/>
                  <wp:effectExtent l="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638535" cy="952637"/>
                          </a:xfrm>
                          <a:prstGeom prst="rect">
                            <a:avLst/>
                          </a:prstGeom>
                        </pic:spPr>
                      </pic:pic>
                    </a:graphicData>
                  </a:graphic>
                </wp:inline>
              </w:drawing>
            </w:r>
          </w:p>
          <w:p w14:paraId="4EE92CAC" w14:textId="77777777" w:rsidR="00B53380" w:rsidRPr="006B671F" w:rsidRDefault="00B53380" w:rsidP="009E240C">
            <w:pPr>
              <w:jc w:val="both"/>
              <w:rPr>
                <w:rFonts w:ascii="Palatino Linotype" w:eastAsia="Palatino Linotype" w:hAnsi="Palatino Linotype" w:cs="Palatino Linotype"/>
              </w:rPr>
            </w:pPr>
          </w:p>
        </w:tc>
        <w:tc>
          <w:tcPr>
            <w:tcW w:w="2170" w:type="dxa"/>
            <w:tcBorders>
              <w:top w:val="single" w:sz="4" w:space="0" w:color="000000"/>
              <w:left w:val="single" w:sz="4" w:space="0" w:color="000000"/>
              <w:bottom w:val="single" w:sz="4" w:space="0" w:color="000000"/>
              <w:right w:val="single" w:sz="4" w:space="0" w:color="000000"/>
            </w:tcBorders>
          </w:tcPr>
          <w:p w14:paraId="62639833" w14:textId="77777777" w:rsidR="00B53380" w:rsidRPr="006B671F" w:rsidRDefault="00B53380" w:rsidP="009E240C">
            <w:pPr>
              <w:jc w:val="center"/>
              <w:rPr>
                <w:rFonts w:ascii="Palatino Linotype" w:eastAsia="Palatino Linotype" w:hAnsi="Palatino Linotype" w:cs="Palatino Linotype"/>
                <w:sz w:val="18"/>
                <w:szCs w:val="18"/>
              </w:rPr>
            </w:pPr>
            <w:r w:rsidRPr="006B671F">
              <w:rPr>
                <w:rFonts w:ascii="Palatino Linotype" w:eastAsia="Palatino Linotype" w:hAnsi="Palatino Linotype" w:cs="Palatino Linotype"/>
                <w:b/>
                <w:sz w:val="18"/>
                <w:szCs w:val="18"/>
              </w:rPr>
              <w:t>Sí</w:t>
            </w:r>
          </w:p>
        </w:tc>
      </w:tr>
      <w:tr w:rsidR="006B671F" w:rsidRPr="006B671F" w14:paraId="1A2B030F"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303FD10E" w14:textId="77777777" w:rsidR="00B53380" w:rsidRPr="006B671F" w:rsidRDefault="00B53380" w:rsidP="009E240C">
            <w:pPr>
              <w:jc w:val="center"/>
              <w:rPr>
                <w:rFonts w:ascii="Palatino Linotype" w:eastAsia="Palatino Linotype" w:hAnsi="Palatino Linotype" w:cs="Palatino Linotype"/>
                <w:sz w:val="18"/>
                <w:szCs w:val="18"/>
              </w:rPr>
            </w:pPr>
            <w:r w:rsidRPr="006B671F">
              <w:rPr>
                <w:rFonts w:ascii="Palatino Linotype" w:eastAsia="Palatino Linotype" w:hAnsi="Palatino Linotype" w:cs="Palatino Linotype"/>
                <w:b/>
                <w:sz w:val="18"/>
                <w:szCs w:val="18"/>
              </w:rPr>
              <w:t xml:space="preserve">Causal aplicable del artículo 113 de la Ley General, vinculándola con el Lineamiento específico del presente </w:t>
            </w:r>
            <w:r w:rsidRPr="006B671F">
              <w:rPr>
                <w:rFonts w:ascii="Palatino Linotype" w:eastAsia="Palatino Linotype" w:hAnsi="Palatino Linotype" w:cs="Palatino Linotype"/>
                <w:b/>
                <w:sz w:val="18"/>
                <w:szCs w:val="18"/>
              </w:rPr>
              <w:lastRenderedPageBreak/>
              <w:t>ordenamiento y, cuando corresponda, el supuesto normativo que expresamente le otorga el carácter de información reservada</w:t>
            </w:r>
          </w:p>
        </w:tc>
        <w:tc>
          <w:tcPr>
            <w:tcW w:w="5245" w:type="dxa"/>
            <w:tcBorders>
              <w:top w:val="single" w:sz="4" w:space="0" w:color="000000"/>
              <w:left w:val="single" w:sz="4" w:space="0" w:color="000000"/>
              <w:bottom w:val="single" w:sz="4" w:space="0" w:color="000000"/>
              <w:right w:val="single" w:sz="4" w:space="0" w:color="000000"/>
            </w:tcBorders>
          </w:tcPr>
          <w:p w14:paraId="1B43E612" w14:textId="77777777" w:rsidR="00B53380" w:rsidRPr="006B671F" w:rsidRDefault="00B53380" w:rsidP="009E240C">
            <w:pPr>
              <w:jc w:val="center"/>
            </w:pPr>
          </w:p>
          <w:p w14:paraId="16DE0E2B" w14:textId="77777777" w:rsidR="00B53380" w:rsidRPr="006B671F" w:rsidRDefault="00B53380" w:rsidP="009E240C">
            <w:pPr>
              <w:jc w:val="center"/>
            </w:pPr>
            <w:r w:rsidRPr="006B671F">
              <w:rPr>
                <w:noProof/>
              </w:rPr>
              <w:drawing>
                <wp:inline distT="0" distB="0" distL="0" distR="0" wp14:anchorId="6F1753C4" wp14:editId="6CF56A3B">
                  <wp:extent cx="2953162" cy="866896"/>
                  <wp:effectExtent l="0" t="0" r="0" b="952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953162" cy="866896"/>
                          </a:xfrm>
                          <a:prstGeom prst="rect">
                            <a:avLst/>
                          </a:prstGeom>
                        </pic:spPr>
                      </pic:pic>
                    </a:graphicData>
                  </a:graphic>
                </wp:inline>
              </w:drawing>
            </w:r>
          </w:p>
          <w:p w14:paraId="5FD241FD" w14:textId="77777777" w:rsidR="00B53380" w:rsidRPr="006B671F" w:rsidRDefault="00B53380" w:rsidP="009E240C"/>
        </w:tc>
        <w:tc>
          <w:tcPr>
            <w:tcW w:w="2170" w:type="dxa"/>
            <w:tcBorders>
              <w:top w:val="single" w:sz="4" w:space="0" w:color="000000"/>
              <w:left w:val="single" w:sz="4" w:space="0" w:color="000000"/>
              <w:bottom w:val="single" w:sz="4" w:space="0" w:color="000000"/>
              <w:right w:val="single" w:sz="4" w:space="0" w:color="000000"/>
            </w:tcBorders>
          </w:tcPr>
          <w:p w14:paraId="203A73DC" w14:textId="77777777" w:rsidR="00B53380" w:rsidRPr="006B671F" w:rsidRDefault="00B53380" w:rsidP="009E240C">
            <w:pPr>
              <w:jc w:val="center"/>
              <w:rPr>
                <w:rFonts w:ascii="Palatino Linotype" w:eastAsia="Palatino Linotype" w:hAnsi="Palatino Linotype" w:cs="Palatino Linotype"/>
                <w:b/>
                <w:sz w:val="18"/>
                <w:szCs w:val="18"/>
              </w:rPr>
            </w:pPr>
            <w:r w:rsidRPr="006B671F">
              <w:rPr>
                <w:rFonts w:ascii="Palatino Linotype" w:eastAsia="Palatino Linotype" w:hAnsi="Palatino Linotype" w:cs="Palatino Linotype"/>
                <w:b/>
                <w:sz w:val="18"/>
                <w:szCs w:val="18"/>
              </w:rPr>
              <w:t>Parcialmente</w:t>
            </w:r>
          </w:p>
          <w:p w14:paraId="7D7B7671" w14:textId="77777777" w:rsidR="00B53380" w:rsidRPr="006B671F" w:rsidRDefault="00B53380" w:rsidP="009E240C">
            <w:pPr>
              <w:jc w:val="center"/>
              <w:rPr>
                <w:rFonts w:ascii="Palatino Linotype" w:eastAsia="Palatino Linotype" w:hAnsi="Palatino Linotype" w:cs="Palatino Linotype"/>
                <w:b/>
                <w:sz w:val="18"/>
                <w:szCs w:val="18"/>
              </w:rPr>
            </w:pPr>
          </w:p>
          <w:p w14:paraId="047BBDBF" w14:textId="77777777" w:rsidR="00B53380" w:rsidRPr="006B671F" w:rsidRDefault="00B53380" w:rsidP="009E240C">
            <w:pPr>
              <w:jc w:val="both"/>
              <w:rPr>
                <w:rFonts w:ascii="Palatino Linotype" w:eastAsia="Palatino Linotype" w:hAnsi="Palatino Linotype" w:cs="Palatino Linotype"/>
                <w:sz w:val="18"/>
                <w:szCs w:val="18"/>
              </w:rPr>
            </w:pPr>
            <w:r w:rsidRPr="006B671F">
              <w:rPr>
                <w:rFonts w:ascii="Palatino Linotype" w:eastAsia="Palatino Linotype" w:hAnsi="Palatino Linotype" w:cs="Palatino Linotype"/>
                <w:sz w:val="18"/>
                <w:szCs w:val="18"/>
              </w:rPr>
              <w:t xml:space="preserve">En virtud de que, si bien el Sujeto Obligado señaló la causal que consideraba aplicable de conformidad con el artículo 140, fracción X de La Ley de Transparencia Local, en </w:t>
            </w:r>
            <w:r w:rsidRPr="006B671F">
              <w:rPr>
                <w:rFonts w:ascii="Palatino Linotype" w:eastAsia="Palatino Linotype" w:hAnsi="Palatino Linotype" w:cs="Palatino Linotype"/>
                <w:sz w:val="18"/>
                <w:szCs w:val="18"/>
              </w:rPr>
              <w:lastRenderedPageBreak/>
              <w:t>relación con la fracción X del artículo 113 de la Ley General de Transparencia, vinculándola con el Lineamiento vigésimo noveno; como se analizó no procedía la causal de reserva por la que el sujeto obligado clasificó la información.</w:t>
            </w:r>
          </w:p>
        </w:tc>
      </w:tr>
      <w:tr w:rsidR="006B671F" w:rsidRPr="006B671F" w14:paraId="478E8FDC"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7F21128A" w14:textId="77777777" w:rsidR="00B53380" w:rsidRPr="006B671F" w:rsidRDefault="00B53380" w:rsidP="009E240C">
            <w:pPr>
              <w:jc w:val="center"/>
              <w:rPr>
                <w:rFonts w:ascii="Palatino Linotype" w:eastAsia="Palatino Linotype" w:hAnsi="Palatino Linotype" w:cs="Palatino Linotype"/>
                <w:sz w:val="18"/>
                <w:szCs w:val="18"/>
              </w:rPr>
            </w:pPr>
            <w:r w:rsidRPr="006B671F">
              <w:rPr>
                <w:rFonts w:ascii="Palatino Linotype" w:eastAsia="Palatino Linotype" w:hAnsi="Palatino Linotype" w:cs="Palatino Linotype"/>
                <w:b/>
                <w:sz w:val="18"/>
                <w:szCs w:val="18"/>
              </w:rPr>
              <w:lastRenderedPageBreak/>
              <w:t>Fundamento y Motivación Legal</w:t>
            </w:r>
          </w:p>
        </w:tc>
        <w:tc>
          <w:tcPr>
            <w:tcW w:w="5245" w:type="dxa"/>
            <w:tcBorders>
              <w:top w:val="single" w:sz="4" w:space="0" w:color="000000"/>
              <w:left w:val="single" w:sz="4" w:space="0" w:color="000000"/>
              <w:bottom w:val="single" w:sz="4" w:space="0" w:color="000000"/>
              <w:right w:val="single" w:sz="4" w:space="0" w:color="000000"/>
            </w:tcBorders>
          </w:tcPr>
          <w:p w14:paraId="32D12BE6" w14:textId="77777777" w:rsidR="00B53380" w:rsidRPr="006B671F" w:rsidRDefault="00B53380" w:rsidP="009E240C">
            <w:r w:rsidRPr="006B671F">
              <w:rPr>
                <w:noProof/>
              </w:rPr>
              <w:drawing>
                <wp:inline distT="0" distB="0" distL="0" distR="0" wp14:anchorId="1DF94628" wp14:editId="7F053595">
                  <wp:extent cx="3010320" cy="2400635"/>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010320" cy="2400635"/>
                          </a:xfrm>
                          <a:prstGeom prst="rect">
                            <a:avLst/>
                          </a:prstGeom>
                        </pic:spPr>
                      </pic:pic>
                    </a:graphicData>
                  </a:graphic>
                </wp:inline>
              </w:drawing>
            </w:r>
          </w:p>
          <w:p w14:paraId="1D8DE276" w14:textId="77777777" w:rsidR="00B53380" w:rsidRPr="006B671F" w:rsidRDefault="00B53380" w:rsidP="009E240C"/>
        </w:tc>
        <w:tc>
          <w:tcPr>
            <w:tcW w:w="2170" w:type="dxa"/>
            <w:tcBorders>
              <w:top w:val="single" w:sz="4" w:space="0" w:color="000000"/>
              <w:left w:val="single" w:sz="4" w:space="0" w:color="000000"/>
              <w:bottom w:val="single" w:sz="4" w:space="0" w:color="000000"/>
              <w:right w:val="single" w:sz="4" w:space="0" w:color="000000"/>
            </w:tcBorders>
          </w:tcPr>
          <w:p w14:paraId="67357C6A" w14:textId="77777777" w:rsidR="00B53380" w:rsidRPr="006B671F" w:rsidRDefault="00B53380" w:rsidP="009E240C">
            <w:pPr>
              <w:jc w:val="center"/>
              <w:rPr>
                <w:rFonts w:ascii="Palatino Linotype" w:eastAsia="Palatino Linotype" w:hAnsi="Palatino Linotype" w:cs="Palatino Linotype"/>
                <w:b/>
                <w:sz w:val="18"/>
                <w:szCs w:val="18"/>
              </w:rPr>
            </w:pPr>
            <w:r w:rsidRPr="006B671F">
              <w:rPr>
                <w:rFonts w:ascii="Palatino Linotype" w:eastAsia="Palatino Linotype" w:hAnsi="Palatino Linotype" w:cs="Palatino Linotype"/>
                <w:b/>
                <w:sz w:val="18"/>
                <w:szCs w:val="18"/>
              </w:rPr>
              <w:t xml:space="preserve">NO </w:t>
            </w:r>
          </w:p>
          <w:p w14:paraId="09F2ED84" w14:textId="77777777" w:rsidR="00B53380" w:rsidRPr="006B671F" w:rsidRDefault="00B53380" w:rsidP="009E240C">
            <w:pPr>
              <w:jc w:val="both"/>
              <w:rPr>
                <w:rFonts w:ascii="Palatino Linotype" w:eastAsia="Palatino Linotype" w:hAnsi="Palatino Linotype" w:cs="Palatino Linotype"/>
                <w:sz w:val="18"/>
                <w:szCs w:val="18"/>
              </w:rPr>
            </w:pPr>
            <w:r w:rsidRPr="006B671F">
              <w:rPr>
                <w:rFonts w:ascii="Palatino Linotype" w:eastAsia="Palatino Linotype" w:hAnsi="Palatino Linotype" w:cs="Palatino Linotype"/>
                <w:sz w:val="18"/>
                <w:szCs w:val="18"/>
              </w:rPr>
              <w:t>Ya que no se señaló de manera clara y precisa los artículos de los ordenamientos jurídicos aplicables, pues el artículo 113, fracción X de la Ley General de Transparencia y el Vigésimo Noveno, hablan del debido proceso, mientras que la fracción X, del 140 de la Ley Local de Transparencia, habla de juicios o procedimientos en trámite.</w:t>
            </w:r>
          </w:p>
        </w:tc>
      </w:tr>
      <w:tr w:rsidR="006B671F" w:rsidRPr="006B671F" w14:paraId="5A0E2C03"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4331B986" w14:textId="77777777" w:rsidR="00B53380" w:rsidRPr="006B671F" w:rsidRDefault="00B53380" w:rsidP="009E240C">
            <w:pPr>
              <w:rPr>
                <w:rFonts w:ascii="Palatino Linotype" w:eastAsia="Palatino Linotype" w:hAnsi="Palatino Linotype" w:cs="Palatino Linotype"/>
                <w:b/>
                <w:sz w:val="16"/>
                <w:szCs w:val="16"/>
              </w:rPr>
            </w:pPr>
            <w:r w:rsidRPr="006B671F">
              <w:rPr>
                <w:rFonts w:ascii="Palatino Linotype" w:eastAsia="Palatino Linotype" w:hAnsi="Palatino Linotype" w:cs="Palatino Linotype"/>
                <w:b/>
                <w:sz w:val="16"/>
                <w:szCs w:val="16"/>
              </w:rPr>
              <w:t>Conexión entre los fundamentos y motivos que dieron origen a la Reserva de la información</w:t>
            </w:r>
          </w:p>
        </w:tc>
        <w:tc>
          <w:tcPr>
            <w:tcW w:w="5245" w:type="dxa"/>
            <w:tcBorders>
              <w:top w:val="single" w:sz="4" w:space="0" w:color="000000"/>
              <w:left w:val="single" w:sz="4" w:space="0" w:color="000000"/>
              <w:bottom w:val="single" w:sz="4" w:space="0" w:color="000000"/>
              <w:right w:val="single" w:sz="4" w:space="0" w:color="000000"/>
            </w:tcBorders>
          </w:tcPr>
          <w:p w14:paraId="65A711E9" w14:textId="77777777" w:rsidR="00B53380" w:rsidRPr="006B671F" w:rsidRDefault="00B53380" w:rsidP="009E240C"/>
          <w:p w14:paraId="5566F561" w14:textId="77777777" w:rsidR="00B53380" w:rsidRPr="006B671F" w:rsidRDefault="00B53380" w:rsidP="009E240C">
            <w:r w:rsidRPr="006B671F">
              <w:rPr>
                <w:noProof/>
              </w:rPr>
              <w:drawing>
                <wp:inline distT="0" distB="0" distL="0" distR="0" wp14:anchorId="05E59928" wp14:editId="5431491B">
                  <wp:extent cx="3009899" cy="952500"/>
                  <wp:effectExtent l="0" t="0" r="63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35318"/>
                          <a:stretch/>
                        </pic:blipFill>
                        <pic:spPr bwMode="auto">
                          <a:xfrm>
                            <a:off x="0" y="0"/>
                            <a:ext cx="3017303" cy="954843"/>
                          </a:xfrm>
                          <a:prstGeom prst="rect">
                            <a:avLst/>
                          </a:prstGeom>
                          <a:ln>
                            <a:noFill/>
                          </a:ln>
                          <a:extLst>
                            <a:ext uri="{53640926-AAD7-44D8-BBD7-CCE9431645EC}">
                              <a14:shadowObscured xmlns:a14="http://schemas.microsoft.com/office/drawing/2010/main"/>
                            </a:ext>
                          </a:extLst>
                        </pic:spPr>
                      </pic:pic>
                    </a:graphicData>
                  </a:graphic>
                </wp:inline>
              </w:drawing>
            </w:r>
          </w:p>
          <w:p w14:paraId="69E06CFE" w14:textId="77777777" w:rsidR="00B53380" w:rsidRPr="006B671F" w:rsidRDefault="00B53380" w:rsidP="009E240C"/>
        </w:tc>
        <w:tc>
          <w:tcPr>
            <w:tcW w:w="2170" w:type="dxa"/>
            <w:tcBorders>
              <w:top w:val="single" w:sz="4" w:space="0" w:color="000000"/>
              <w:left w:val="single" w:sz="4" w:space="0" w:color="000000"/>
              <w:bottom w:val="single" w:sz="4" w:space="0" w:color="000000"/>
              <w:right w:val="single" w:sz="4" w:space="0" w:color="000000"/>
            </w:tcBorders>
          </w:tcPr>
          <w:p w14:paraId="61C2358C" w14:textId="77777777" w:rsidR="00B53380" w:rsidRPr="006B671F" w:rsidRDefault="00B53380" w:rsidP="009E240C">
            <w:pPr>
              <w:jc w:val="center"/>
              <w:rPr>
                <w:rFonts w:ascii="Palatino Linotype" w:eastAsia="Palatino Linotype" w:hAnsi="Palatino Linotype" w:cs="Palatino Linotype"/>
                <w:b/>
                <w:sz w:val="18"/>
                <w:szCs w:val="18"/>
              </w:rPr>
            </w:pPr>
            <w:r w:rsidRPr="006B671F">
              <w:rPr>
                <w:rFonts w:ascii="Palatino Linotype" w:eastAsia="Palatino Linotype" w:hAnsi="Palatino Linotype" w:cs="Palatino Linotype"/>
                <w:b/>
                <w:sz w:val="18"/>
                <w:szCs w:val="18"/>
              </w:rPr>
              <w:t>NO</w:t>
            </w:r>
          </w:p>
          <w:p w14:paraId="728D1D90" w14:textId="77777777" w:rsidR="00B53380" w:rsidRPr="006B671F" w:rsidRDefault="00B53380" w:rsidP="009E240C">
            <w:pPr>
              <w:jc w:val="both"/>
              <w:rPr>
                <w:rFonts w:ascii="Palatino Linotype" w:eastAsia="Palatino Linotype" w:hAnsi="Palatino Linotype" w:cs="Palatino Linotype"/>
                <w:sz w:val="18"/>
                <w:szCs w:val="18"/>
              </w:rPr>
            </w:pPr>
            <w:r w:rsidRPr="006B671F">
              <w:rPr>
                <w:rFonts w:ascii="Palatino Linotype" w:eastAsia="Palatino Linotype" w:hAnsi="Palatino Linotype" w:cs="Palatino Linotype"/>
                <w:sz w:val="18"/>
                <w:szCs w:val="18"/>
              </w:rPr>
              <w:t xml:space="preserve">No hay conexidad entre los motivos y fundamentos por los que se reservó la información. </w:t>
            </w:r>
          </w:p>
          <w:p w14:paraId="2AB4181F" w14:textId="77777777" w:rsidR="00B53380" w:rsidRPr="006B671F" w:rsidRDefault="00B53380" w:rsidP="009E240C">
            <w:pPr>
              <w:jc w:val="both"/>
              <w:rPr>
                <w:rFonts w:ascii="Palatino Linotype" w:eastAsia="Palatino Linotype" w:hAnsi="Palatino Linotype" w:cs="Palatino Linotype"/>
              </w:rPr>
            </w:pPr>
          </w:p>
        </w:tc>
      </w:tr>
      <w:tr w:rsidR="006B671F" w:rsidRPr="006B671F" w14:paraId="675CCA78" w14:textId="77777777" w:rsidTr="009E240C">
        <w:tc>
          <w:tcPr>
            <w:tcW w:w="8828" w:type="dxa"/>
            <w:gridSpan w:val="3"/>
            <w:tcBorders>
              <w:top w:val="single" w:sz="4" w:space="0" w:color="000000"/>
              <w:left w:val="single" w:sz="4" w:space="0" w:color="000000"/>
              <w:bottom w:val="single" w:sz="4" w:space="0" w:color="000000"/>
              <w:right w:val="single" w:sz="4" w:space="0" w:color="000000"/>
            </w:tcBorders>
            <w:shd w:val="clear" w:color="auto" w:fill="7B7B7B"/>
          </w:tcPr>
          <w:p w14:paraId="6CBB4541"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rPr>
              <w:t>Elementos de la prueba de daño</w:t>
            </w:r>
          </w:p>
        </w:tc>
      </w:tr>
      <w:tr w:rsidR="006B671F" w:rsidRPr="006B671F" w14:paraId="5AFAB4FA"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6DD0412C" w14:textId="77777777" w:rsidR="00B53380" w:rsidRPr="006B671F" w:rsidRDefault="00B53380" w:rsidP="009E240C">
            <w:pPr>
              <w:spacing w:line="256" w:lineRule="auto"/>
              <w:jc w:val="center"/>
              <w:rPr>
                <w:rFonts w:ascii="Palatino Linotype" w:eastAsia="Palatino Linotype" w:hAnsi="Palatino Linotype" w:cs="Palatino Linotype"/>
                <w:b/>
                <w:sz w:val="16"/>
                <w:szCs w:val="16"/>
              </w:rPr>
            </w:pPr>
            <w:r w:rsidRPr="006B671F">
              <w:rPr>
                <w:rFonts w:ascii="Palatino Linotype" w:eastAsia="Palatino Linotype" w:hAnsi="Palatino Linotype" w:cs="Palatino Linotype"/>
                <w:b/>
                <w:sz w:val="16"/>
                <w:szCs w:val="16"/>
              </w:rPr>
              <w:t>Riesgo Real, Demostrable e Identificable</w:t>
            </w:r>
          </w:p>
          <w:p w14:paraId="69611E2E"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sz w:val="16"/>
                <w:szCs w:val="16"/>
              </w:rPr>
              <w:t>(Modo, Tiempo y Lugar)</w:t>
            </w:r>
          </w:p>
        </w:tc>
        <w:tc>
          <w:tcPr>
            <w:tcW w:w="5245" w:type="dxa"/>
            <w:tcBorders>
              <w:top w:val="single" w:sz="4" w:space="0" w:color="000000"/>
              <w:left w:val="single" w:sz="4" w:space="0" w:color="000000"/>
              <w:bottom w:val="single" w:sz="4" w:space="0" w:color="000000"/>
              <w:right w:val="single" w:sz="4" w:space="0" w:color="000000"/>
            </w:tcBorders>
          </w:tcPr>
          <w:p w14:paraId="4DCFCBD0" w14:textId="77777777" w:rsidR="00B53380" w:rsidRPr="006B671F" w:rsidRDefault="00B53380" w:rsidP="009E240C"/>
          <w:p w14:paraId="37CAC321" w14:textId="77777777" w:rsidR="00B53380" w:rsidRPr="006B671F" w:rsidRDefault="00B53380" w:rsidP="009E240C">
            <w:r w:rsidRPr="006B671F">
              <w:rPr>
                <w:noProof/>
              </w:rPr>
              <w:lastRenderedPageBreak/>
              <w:drawing>
                <wp:inline distT="0" distB="0" distL="0" distR="0" wp14:anchorId="01CE65C8" wp14:editId="66235C61">
                  <wp:extent cx="3193415" cy="2352675"/>
                  <wp:effectExtent l="0" t="0" r="6985" b="9525"/>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193415" cy="2352675"/>
                          </a:xfrm>
                          <a:prstGeom prst="rect">
                            <a:avLst/>
                          </a:prstGeom>
                        </pic:spPr>
                      </pic:pic>
                    </a:graphicData>
                  </a:graphic>
                </wp:inline>
              </w:drawing>
            </w:r>
          </w:p>
          <w:p w14:paraId="78AC9749" w14:textId="77777777" w:rsidR="00B53380" w:rsidRPr="006B671F" w:rsidRDefault="00B53380" w:rsidP="009E240C">
            <w:pPr>
              <w:jc w:val="center"/>
              <w:rPr>
                <w:rFonts w:ascii="Palatino Linotype" w:eastAsia="Palatino Linotype" w:hAnsi="Palatino Linotype" w:cs="Palatino Linotype"/>
                <w:b/>
              </w:rPr>
            </w:pPr>
          </w:p>
          <w:p w14:paraId="1034C49B"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noProof/>
              </w:rPr>
              <w:drawing>
                <wp:inline distT="0" distB="0" distL="0" distR="0" wp14:anchorId="759BF451" wp14:editId="7AF8BAAA">
                  <wp:extent cx="3193415" cy="1782445"/>
                  <wp:effectExtent l="0" t="0" r="6985" b="825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193415" cy="1782445"/>
                          </a:xfrm>
                          <a:prstGeom prst="rect">
                            <a:avLst/>
                          </a:prstGeom>
                        </pic:spPr>
                      </pic:pic>
                    </a:graphicData>
                  </a:graphic>
                </wp:inline>
              </w:drawing>
            </w:r>
          </w:p>
          <w:p w14:paraId="5367362A" w14:textId="77777777" w:rsidR="00B53380" w:rsidRPr="006B671F" w:rsidRDefault="00B53380" w:rsidP="009E240C">
            <w:pPr>
              <w:rPr>
                <w:rFonts w:ascii="Palatino Linotype" w:eastAsia="Palatino Linotype" w:hAnsi="Palatino Linotype" w:cs="Palatino Linotype"/>
                <w:b/>
              </w:rPr>
            </w:pPr>
            <w:r w:rsidRPr="006B671F">
              <w:rPr>
                <w:rFonts w:ascii="Palatino Linotype" w:eastAsia="Palatino Linotype" w:hAnsi="Palatino Linotype" w:cs="Palatino Linotype"/>
                <w:b/>
                <w:noProof/>
              </w:rPr>
              <w:lastRenderedPageBreak/>
              <w:drawing>
                <wp:inline distT="0" distB="0" distL="0" distR="0" wp14:anchorId="331DF3AF" wp14:editId="1F1A5805">
                  <wp:extent cx="3193415" cy="3260725"/>
                  <wp:effectExtent l="0" t="0" r="6985"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193415" cy="3260725"/>
                          </a:xfrm>
                          <a:prstGeom prst="rect">
                            <a:avLst/>
                          </a:prstGeom>
                        </pic:spPr>
                      </pic:pic>
                    </a:graphicData>
                  </a:graphic>
                </wp:inline>
              </w:drawing>
            </w:r>
          </w:p>
          <w:p w14:paraId="3995CA84" w14:textId="77777777" w:rsidR="00B53380" w:rsidRPr="006B671F" w:rsidRDefault="00B53380" w:rsidP="009E240C">
            <w:pPr>
              <w:tabs>
                <w:tab w:val="left" w:pos="2610"/>
                <w:tab w:val="center" w:pos="2798"/>
              </w:tabs>
              <w:rPr>
                <w:rFonts w:ascii="Palatino Linotype" w:eastAsia="Palatino Linotype" w:hAnsi="Palatino Linotype" w:cs="Palatino Linotype"/>
                <w:b/>
              </w:rPr>
            </w:pPr>
            <w:r w:rsidRPr="006B671F">
              <w:rPr>
                <w:rFonts w:ascii="Palatino Linotype" w:eastAsia="Palatino Linotype" w:hAnsi="Palatino Linotype" w:cs="Palatino Linotype"/>
                <w:b/>
              </w:rPr>
              <w:tab/>
            </w:r>
          </w:p>
        </w:tc>
        <w:tc>
          <w:tcPr>
            <w:tcW w:w="2170" w:type="dxa"/>
            <w:tcBorders>
              <w:top w:val="single" w:sz="4" w:space="0" w:color="000000"/>
              <w:left w:val="single" w:sz="4" w:space="0" w:color="000000"/>
              <w:bottom w:val="single" w:sz="4" w:space="0" w:color="000000"/>
              <w:right w:val="single" w:sz="4" w:space="0" w:color="000000"/>
            </w:tcBorders>
          </w:tcPr>
          <w:p w14:paraId="4286FAF3" w14:textId="77777777" w:rsidR="00B53380" w:rsidRPr="006B671F" w:rsidRDefault="00B53380" w:rsidP="009E240C">
            <w:pPr>
              <w:jc w:val="center"/>
              <w:rPr>
                <w:rFonts w:ascii="Palatino Linotype" w:eastAsia="Palatino Linotype" w:hAnsi="Palatino Linotype" w:cs="Palatino Linotype"/>
                <w:b/>
                <w:sz w:val="18"/>
                <w:szCs w:val="18"/>
              </w:rPr>
            </w:pPr>
            <w:r w:rsidRPr="006B671F">
              <w:rPr>
                <w:rFonts w:ascii="Palatino Linotype" w:eastAsia="Palatino Linotype" w:hAnsi="Palatino Linotype" w:cs="Palatino Linotype"/>
                <w:b/>
                <w:sz w:val="18"/>
                <w:szCs w:val="18"/>
              </w:rPr>
              <w:lastRenderedPageBreak/>
              <w:t>NO</w:t>
            </w:r>
          </w:p>
          <w:p w14:paraId="4F5623AE" w14:textId="77777777" w:rsidR="00B53380" w:rsidRPr="006B671F" w:rsidRDefault="00B53380" w:rsidP="009E240C">
            <w:pPr>
              <w:jc w:val="both"/>
              <w:rPr>
                <w:rFonts w:ascii="Palatino Linotype" w:eastAsia="Palatino Linotype" w:hAnsi="Palatino Linotype" w:cs="Palatino Linotype"/>
                <w:sz w:val="18"/>
                <w:szCs w:val="18"/>
              </w:rPr>
            </w:pPr>
            <w:r w:rsidRPr="006B671F">
              <w:rPr>
                <w:rFonts w:ascii="Palatino Linotype" w:eastAsia="Palatino Linotype" w:hAnsi="Palatino Linotype" w:cs="Palatino Linotype"/>
                <w:sz w:val="18"/>
                <w:szCs w:val="18"/>
              </w:rPr>
              <w:t>Debido a que no se exponen los argumentos tendientes a demostrar el</w:t>
            </w:r>
            <w:r w:rsidRPr="006B671F">
              <w:t xml:space="preserve"> </w:t>
            </w:r>
            <w:r w:rsidRPr="006B671F">
              <w:rPr>
                <w:rFonts w:ascii="Palatino Linotype" w:eastAsia="Palatino Linotype" w:hAnsi="Palatino Linotype" w:cs="Palatino Linotype"/>
                <w:sz w:val="18"/>
                <w:szCs w:val="18"/>
              </w:rPr>
              <w:t xml:space="preserve">Riesgo Real, Demostrable e </w:t>
            </w:r>
            <w:r w:rsidRPr="006B671F">
              <w:rPr>
                <w:rFonts w:ascii="Palatino Linotype" w:eastAsia="Palatino Linotype" w:hAnsi="Palatino Linotype" w:cs="Palatino Linotype"/>
                <w:sz w:val="18"/>
                <w:szCs w:val="18"/>
              </w:rPr>
              <w:lastRenderedPageBreak/>
              <w:t>Identificable, que existe al hacer la entrega de la información.</w:t>
            </w:r>
          </w:p>
          <w:p w14:paraId="36A3972A" w14:textId="77777777" w:rsidR="00B53380" w:rsidRPr="006B671F" w:rsidRDefault="00B53380" w:rsidP="009E240C">
            <w:pPr>
              <w:jc w:val="both"/>
              <w:rPr>
                <w:rFonts w:ascii="Palatino Linotype" w:eastAsia="Palatino Linotype" w:hAnsi="Palatino Linotype" w:cs="Palatino Linotype"/>
                <w:sz w:val="18"/>
                <w:szCs w:val="18"/>
              </w:rPr>
            </w:pPr>
          </w:p>
          <w:p w14:paraId="3CEAEEA4" w14:textId="77777777" w:rsidR="00B53380" w:rsidRPr="006B671F" w:rsidRDefault="00B53380" w:rsidP="009E240C">
            <w:pPr>
              <w:jc w:val="center"/>
              <w:rPr>
                <w:rFonts w:ascii="Palatino Linotype" w:eastAsia="Palatino Linotype" w:hAnsi="Palatino Linotype" w:cs="Palatino Linotype"/>
                <w:b/>
                <w:sz w:val="16"/>
                <w:szCs w:val="16"/>
              </w:rPr>
            </w:pPr>
          </w:p>
          <w:p w14:paraId="1BD1CEE4" w14:textId="77777777" w:rsidR="00B53380" w:rsidRPr="006B671F" w:rsidRDefault="00B53380" w:rsidP="009E240C">
            <w:pPr>
              <w:jc w:val="center"/>
              <w:rPr>
                <w:rFonts w:ascii="Palatino Linotype" w:eastAsia="Palatino Linotype" w:hAnsi="Palatino Linotype" w:cs="Palatino Linotype"/>
                <w:sz w:val="18"/>
                <w:szCs w:val="18"/>
              </w:rPr>
            </w:pPr>
          </w:p>
        </w:tc>
      </w:tr>
      <w:tr w:rsidR="006B671F" w:rsidRPr="006B671F" w14:paraId="01F476B4"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5EFDC4D8"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sz w:val="16"/>
                <w:szCs w:val="16"/>
              </w:rPr>
              <w:lastRenderedPageBreak/>
              <w:t>Temporalidad de la Reserva de la información</w:t>
            </w:r>
          </w:p>
        </w:tc>
        <w:tc>
          <w:tcPr>
            <w:tcW w:w="5245" w:type="dxa"/>
            <w:tcBorders>
              <w:top w:val="single" w:sz="4" w:space="0" w:color="000000"/>
              <w:left w:val="single" w:sz="4" w:space="0" w:color="000000"/>
              <w:bottom w:val="single" w:sz="4" w:space="0" w:color="000000"/>
              <w:right w:val="single" w:sz="4" w:space="0" w:color="000000"/>
            </w:tcBorders>
          </w:tcPr>
          <w:p w14:paraId="48756D22" w14:textId="4E651D51" w:rsidR="00B53380" w:rsidRPr="006B671F" w:rsidRDefault="00E95C24" w:rsidP="00662D89">
            <w:pPr>
              <w:pStyle w:val="Prrafodelista"/>
              <w:numPr>
                <w:ilvl w:val="0"/>
                <w:numId w:val="12"/>
              </w:numPr>
              <w:jc w:val="center"/>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5 años</w:t>
            </w:r>
          </w:p>
        </w:tc>
        <w:tc>
          <w:tcPr>
            <w:tcW w:w="2170" w:type="dxa"/>
            <w:tcBorders>
              <w:top w:val="single" w:sz="4" w:space="0" w:color="000000"/>
              <w:left w:val="single" w:sz="4" w:space="0" w:color="000000"/>
              <w:bottom w:val="single" w:sz="4" w:space="0" w:color="000000"/>
              <w:right w:val="single" w:sz="4" w:space="0" w:color="000000"/>
            </w:tcBorders>
          </w:tcPr>
          <w:p w14:paraId="5BE882F2" w14:textId="4449B6AB" w:rsidR="00B53380" w:rsidRPr="006B671F" w:rsidRDefault="00E95C24" w:rsidP="009E240C">
            <w:pPr>
              <w:jc w:val="center"/>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Si</w:t>
            </w:r>
          </w:p>
        </w:tc>
      </w:tr>
      <w:tr w:rsidR="00B53380" w:rsidRPr="006B671F" w14:paraId="4C427801" w14:textId="77777777" w:rsidTr="009E240C">
        <w:tc>
          <w:tcPr>
            <w:tcW w:w="1413" w:type="dxa"/>
            <w:tcBorders>
              <w:top w:val="single" w:sz="4" w:space="0" w:color="000000"/>
              <w:left w:val="single" w:sz="4" w:space="0" w:color="000000"/>
              <w:bottom w:val="single" w:sz="4" w:space="0" w:color="000000"/>
              <w:right w:val="single" w:sz="4" w:space="0" w:color="000000"/>
            </w:tcBorders>
          </w:tcPr>
          <w:p w14:paraId="1A7A8360" w14:textId="77777777" w:rsidR="00B53380" w:rsidRPr="006B671F" w:rsidRDefault="00B53380" w:rsidP="009E240C">
            <w:pPr>
              <w:jc w:val="center"/>
              <w:rPr>
                <w:rFonts w:ascii="Palatino Linotype" w:eastAsia="Palatino Linotype" w:hAnsi="Palatino Linotype" w:cs="Palatino Linotype"/>
                <w:b/>
              </w:rPr>
            </w:pPr>
            <w:r w:rsidRPr="006B671F">
              <w:rPr>
                <w:rFonts w:ascii="Palatino Linotype" w:eastAsia="Palatino Linotype" w:hAnsi="Palatino Linotype" w:cs="Palatino Linotype"/>
                <w:b/>
                <w:sz w:val="16"/>
                <w:szCs w:val="16"/>
              </w:rPr>
              <w:t>Autoridades competentes.</w:t>
            </w:r>
          </w:p>
        </w:tc>
        <w:tc>
          <w:tcPr>
            <w:tcW w:w="5245" w:type="dxa"/>
            <w:tcBorders>
              <w:top w:val="single" w:sz="4" w:space="0" w:color="000000"/>
              <w:left w:val="single" w:sz="4" w:space="0" w:color="000000"/>
              <w:bottom w:val="single" w:sz="4" w:space="0" w:color="000000"/>
              <w:right w:val="single" w:sz="4" w:space="0" w:color="000000"/>
            </w:tcBorders>
          </w:tcPr>
          <w:p w14:paraId="690EC541" w14:textId="77777777" w:rsidR="00B53380" w:rsidRPr="006B671F" w:rsidRDefault="00B53380" w:rsidP="009E240C">
            <w:pPr>
              <w:jc w:val="center"/>
            </w:pPr>
          </w:p>
          <w:p w14:paraId="76B2351D" w14:textId="77777777" w:rsidR="00B53380" w:rsidRPr="006B671F" w:rsidRDefault="00B53380" w:rsidP="009E240C">
            <w:pPr>
              <w:jc w:val="center"/>
            </w:pPr>
            <w:r w:rsidRPr="006B671F">
              <w:rPr>
                <w:noProof/>
              </w:rPr>
              <w:drawing>
                <wp:inline distT="0" distB="0" distL="0" distR="0" wp14:anchorId="50AF6A51" wp14:editId="748E8F99">
                  <wp:extent cx="3193415" cy="2800350"/>
                  <wp:effectExtent l="0" t="0" r="0" b="0"/>
                  <wp:docPr id="1952082502"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7"/>
                          <a:srcRect/>
                          <a:stretch>
                            <a:fillRect/>
                          </a:stretch>
                        </pic:blipFill>
                        <pic:spPr>
                          <a:xfrm>
                            <a:off x="0" y="0"/>
                            <a:ext cx="3193415" cy="2800350"/>
                          </a:xfrm>
                          <a:prstGeom prst="rect">
                            <a:avLst/>
                          </a:prstGeom>
                          <a:ln/>
                        </pic:spPr>
                      </pic:pic>
                    </a:graphicData>
                  </a:graphic>
                </wp:inline>
              </w:drawing>
            </w:r>
          </w:p>
          <w:p w14:paraId="2DAC85F5" w14:textId="77777777" w:rsidR="00B53380" w:rsidRPr="006B671F" w:rsidRDefault="00B53380" w:rsidP="009E240C">
            <w:pPr>
              <w:jc w:val="center"/>
            </w:pPr>
          </w:p>
        </w:tc>
        <w:tc>
          <w:tcPr>
            <w:tcW w:w="2170" w:type="dxa"/>
            <w:tcBorders>
              <w:top w:val="single" w:sz="4" w:space="0" w:color="000000"/>
              <w:left w:val="single" w:sz="4" w:space="0" w:color="000000"/>
              <w:bottom w:val="single" w:sz="4" w:space="0" w:color="000000"/>
              <w:right w:val="single" w:sz="4" w:space="0" w:color="000000"/>
            </w:tcBorders>
          </w:tcPr>
          <w:p w14:paraId="4E9BDB8C" w14:textId="77777777" w:rsidR="00B53380" w:rsidRPr="006B671F" w:rsidRDefault="00B53380" w:rsidP="009E240C">
            <w:pPr>
              <w:jc w:val="center"/>
              <w:rPr>
                <w:rFonts w:ascii="Palatino Linotype" w:eastAsia="Palatino Linotype" w:hAnsi="Palatino Linotype" w:cs="Palatino Linotype"/>
                <w:sz w:val="18"/>
                <w:szCs w:val="18"/>
              </w:rPr>
            </w:pPr>
            <w:r w:rsidRPr="006B671F">
              <w:rPr>
                <w:rFonts w:ascii="Palatino Linotype" w:eastAsia="Palatino Linotype" w:hAnsi="Palatino Linotype" w:cs="Palatino Linotype"/>
                <w:b/>
              </w:rPr>
              <w:lastRenderedPageBreak/>
              <w:t>Sí</w:t>
            </w:r>
          </w:p>
        </w:tc>
      </w:tr>
    </w:tbl>
    <w:p w14:paraId="2D0298A7" w14:textId="77777777" w:rsidR="00B53380" w:rsidRPr="006B671F" w:rsidRDefault="00B53380" w:rsidP="00B53380">
      <w:pPr>
        <w:spacing w:line="360" w:lineRule="auto"/>
        <w:jc w:val="both"/>
        <w:rPr>
          <w:rFonts w:ascii="Palatino Linotype" w:eastAsia="Palatino Linotype" w:hAnsi="Palatino Linotype" w:cs="Palatino Linotype"/>
        </w:rPr>
      </w:pPr>
    </w:p>
    <w:p w14:paraId="57A713C9"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De lo anterior, el </w:t>
      </w:r>
      <w:r w:rsidRPr="006B671F">
        <w:rPr>
          <w:rFonts w:ascii="Palatino Linotype" w:eastAsia="Palatino Linotype" w:hAnsi="Palatino Linotype" w:cs="Palatino Linotype"/>
          <w:b/>
          <w:sz w:val="22"/>
        </w:rPr>
        <w:t>Sujeto Obligado</w:t>
      </w:r>
      <w:r w:rsidRPr="006B671F">
        <w:rPr>
          <w:rFonts w:ascii="Palatino Linotype" w:eastAsia="Palatino Linotype" w:hAnsi="Palatino Linotype" w:cs="Palatino Linotype"/>
          <w:sz w:val="22"/>
        </w:rPr>
        <w:t xml:space="preserve">, si bien, a través del acuerdo emitido por su Comité de Transparencia realizó la prueba de daño; </w:t>
      </w:r>
      <w:r w:rsidRPr="006B671F">
        <w:rPr>
          <w:rFonts w:ascii="Palatino Linotype" w:eastAsia="Palatino Linotype" w:hAnsi="Palatino Linotype" w:cs="Palatino Linotype"/>
          <w:b/>
          <w:sz w:val="22"/>
          <w:u w:val="single"/>
        </w:rPr>
        <w:t>no acreditó cabalmente las razones por las cuales la entrega de la información generaría una afectación;</w:t>
      </w:r>
      <w:r w:rsidRPr="006B671F">
        <w:rPr>
          <w:rFonts w:ascii="Palatino Linotype" w:eastAsia="Palatino Linotype" w:hAnsi="Palatino Linotype" w:cs="Palatino Linotype"/>
          <w:b/>
          <w:sz w:val="22"/>
        </w:rPr>
        <w:t xml:space="preserve"> </w:t>
      </w:r>
      <w:r w:rsidRPr="006B671F">
        <w:rPr>
          <w:rFonts w:ascii="Palatino Linotype" w:eastAsia="Palatino Linotype" w:hAnsi="Palatino Linotype" w:cs="Palatino Linotype"/>
          <w:sz w:val="22"/>
        </w:rPr>
        <w:t xml:space="preserve">al no encontrarse debidamente fundado y motivado. </w:t>
      </w:r>
    </w:p>
    <w:p w14:paraId="3FAEED0C" w14:textId="77777777" w:rsidR="00B53380" w:rsidRPr="006B671F" w:rsidRDefault="00B53380" w:rsidP="00B53380">
      <w:pPr>
        <w:tabs>
          <w:tab w:val="left" w:pos="4962"/>
        </w:tabs>
        <w:spacing w:line="360" w:lineRule="auto"/>
        <w:jc w:val="both"/>
        <w:rPr>
          <w:rFonts w:ascii="Palatino Linotype" w:eastAsia="Palatino Linotype" w:hAnsi="Palatino Linotype" w:cs="Palatino Linotype"/>
          <w:sz w:val="22"/>
        </w:rPr>
      </w:pPr>
    </w:p>
    <w:p w14:paraId="34C8B5D5"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Es de agregar que, el </w:t>
      </w:r>
      <w:r w:rsidRPr="006B671F">
        <w:rPr>
          <w:rFonts w:ascii="Palatino Linotype" w:eastAsia="Palatino Linotype" w:hAnsi="Palatino Linotype" w:cs="Palatino Linotype"/>
          <w:b/>
          <w:sz w:val="22"/>
        </w:rPr>
        <w:t>Sujeto Obligado</w:t>
      </w:r>
      <w:r w:rsidRPr="006B671F">
        <w:rPr>
          <w:rFonts w:ascii="Palatino Linotype" w:eastAsia="Palatino Linotype" w:hAnsi="Palatino Linotype" w:cs="Palatino Linotype"/>
          <w:sz w:val="22"/>
        </w:rPr>
        <w:t xml:space="preserve"> tiene el deber de motivar la clasificación, señalando las </w:t>
      </w:r>
      <w:r w:rsidRPr="006B671F">
        <w:rPr>
          <w:rFonts w:ascii="Palatino Linotype" w:eastAsia="Palatino Linotype" w:hAnsi="Palatino Linotype" w:cs="Palatino Linotype"/>
          <w:b/>
          <w:sz w:val="22"/>
        </w:rPr>
        <w:t>circunstancias de modo, tiempo y lugar del daño</w:t>
      </w:r>
      <w:r w:rsidRPr="006B671F">
        <w:rPr>
          <w:rFonts w:ascii="Palatino Linotype" w:eastAsia="Palatino Linotype" w:hAnsi="Palatino Linotype" w:cs="Palatino Linotype"/>
          <w:sz w:val="22"/>
        </w:rPr>
        <w:t xml:space="preserve">, que acrediten el vínculo entre la difusión de la información y la afectación al interés público, desarrollando esta parte en la prueba de daño correspondiente; </w:t>
      </w:r>
      <w:r w:rsidRPr="006B671F">
        <w:rPr>
          <w:rFonts w:ascii="Palatino Linotype" w:eastAsia="Palatino Linotype" w:hAnsi="Palatino Linotype" w:cs="Palatino Linotype"/>
          <w:b/>
          <w:sz w:val="22"/>
          <w:u w:val="single"/>
        </w:rPr>
        <w:t>situación que como se logra vislumbrar del acuerdo analizado tampoco se cumplió</w:t>
      </w:r>
      <w:r w:rsidRPr="006B671F">
        <w:rPr>
          <w:rFonts w:ascii="Palatino Linotype" w:eastAsia="Palatino Linotype" w:hAnsi="Palatino Linotype" w:cs="Palatino Linotype"/>
          <w:sz w:val="22"/>
        </w:rPr>
        <w:t>, pues sólo se indicó que la información podría generar un menoscabo en el debido proceso, las estrategias de investigación, técnicas de inspección y supervisión.</w:t>
      </w:r>
    </w:p>
    <w:p w14:paraId="12F4895E"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4A469E95"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Por tanto, al no llevarse a cabo la ponderación de los intereses en conflicto tendientes a demostrar que la publicidad generaría un daño, bajo el análisis de dichos factores, no de demuestra el daño que generaría la entrega de la información.</w:t>
      </w:r>
    </w:p>
    <w:p w14:paraId="123EA641"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p>
    <w:p w14:paraId="087CC337"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r w:rsidRPr="006B671F">
        <w:rPr>
          <w:rFonts w:ascii="Palatino Linotype" w:hAnsi="Palatino Linotype" w:cs="Arial"/>
          <w:bCs/>
          <w:sz w:val="22"/>
          <w:szCs w:val="22"/>
          <w:lang w:val="es-ES_tradnl" w:eastAsia="es-ES"/>
        </w:rPr>
        <w:t xml:space="preserve">Además, el </w:t>
      </w:r>
      <w:r w:rsidRPr="006B671F">
        <w:rPr>
          <w:rFonts w:ascii="Palatino Linotype" w:hAnsi="Palatino Linotype" w:cs="Arial"/>
          <w:b/>
          <w:bCs/>
          <w:sz w:val="22"/>
          <w:szCs w:val="22"/>
          <w:lang w:val="es-ES_tradnl" w:eastAsia="es-ES"/>
        </w:rPr>
        <w:t>Sujeto Obligado</w:t>
      </w:r>
      <w:r w:rsidRPr="006B671F">
        <w:rPr>
          <w:rFonts w:ascii="Palatino Linotype" w:hAnsi="Palatino Linotype" w:cs="Arial"/>
          <w:bCs/>
          <w:sz w:val="22"/>
          <w:szCs w:val="22"/>
          <w:lang w:val="es-ES_tradnl" w:eastAsia="es-ES"/>
        </w:rPr>
        <w:t xml:space="preserve"> no acreditó las razones objetivas, concretas y específicas por las cuales la apertura de la información generaría una afectación que rebase el interés público, pues, realizó diversas manifestaciones relacionadas con procedimientos de investigación, cuando la información requerida recae en cuestiones de administración y control de personal.</w:t>
      </w:r>
    </w:p>
    <w:p w14:paraId="3559BFEA"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p>
    <w:p w14:paraId="4F2450EB"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r w:rsidRPr="006B671F">
        <w:rPr>
          <w:rFonts w:ascii="Palatino Linotype" w:hAnsi="Palatino Linotype" w:cs="Arial"/>
          <w:bCs/>
          <w:sz w:val="22"/>
          <w:szCs w:val="22"/>
          <w:lang w:val="es-ES_tradnl" w:eastAsia="es-ES"/>
        </w:rPr>
        <w:lastRenderedPageBreak/>
        <w:t>En conclusión, no se establecieron las razones, por las cuales la reserva era el medio menos restrictivo, para la protección del interés jurídico, pues únicamente precisó que podría afectar la presunción de inocencia, el derecho a tener un juicio justo y la prerrogativa a ser informado de la responsabilidad administrativa por loa cual se le investiga; sin embargo, no se requirió información de las indagaciones y procedimientos ejecutados por la Unidad de Asuntos Internos, pues únicamente quiere información sobre la asistencia de su personal.</w:t>
      </w:r>
    </w:p>
    <w:p w14:paraId="3F412A34"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p>
    <w:p w14:paraId="41FCD6C5"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r w:rsidRPr="006B671F">
        <w:rPr>
          <w:rFonts w:ascii="Palatino Linotype" w:hAnsi="Palatino Linotype" w:cs="Arial"/>
          <w:bCs/>
          <w:sz w:val="22"/>
          <w:szCs w:val="22"/>
          <w:lang w:val="es-ES_tradnl" w:eastAsia="es-ES"/>
        </w:rPr>
        <w:t xml:space="preserve">Con base en lo anterior, resulta procedente revocar la respuesta del </w:t>
      </w:r>
      <w:r w:rsidRPr="006B671F">
        <w:rPr>
          <w:rFonts w:ascii="Palatino Linotype" w:hAnsi="Palatino Linotype" w:cs="Arial"/>
          <w:b/>
          <w:bCs/>
          <w:sz w:val="22"/>
          <w:szCs w:val="22"/>
          <w:lang w:val="es-ES_tradnl" w:eastAsia="es-ES"/>
        </w:rPr>
        <w:t xml:space="preserve">Sujeto Obligado </w:t>
      </w:r>
      <w:r w:rsidRPr="006B671F">
        <w:rPr>
          <w:rFonts w:ascii="Palatino Linotype" w:hAnsi="Palatino Linotype" w:cs="Arial"/>
          <w:bCs/>
          <w:sz w:val="22"/>
          <w:szCs w:val="22"/>
          <w:lang w:val="es-ES_tradnl" w:eastAsia="es-ES"/>
        </w:rPr>
        <w:t>y ordenar la entrega, de ser procedente en versión pública, la siguiente información:</w:t>
      </w:r>
    </w:p>
    <w:p w14:paraId="1BC82128" w14:textId="77777777" w:rsidR="00B53380" w:rsidRPr="006B671F" w:rsidRDefault="00B53380" w:rsidP="00B53380">
      <w:pPr>
        <w:spacing w:line="360" w:lineRule="auto"/>
        <w:jc w:val="both"/>
        <w:rPr>
          <w:rFonts w:ascii="Palatino Linotype" w:hAnsi="Palatino Linotype" w:cs="Arial"/>
          <w:bCs/>
          <w:sz w:val="22"/>
          <w:szCs w:val="22"/>
          <w:lang w:val="es-ES_tradnl" w:eastAsia="es-ES"/>
        </w:rPr>
      </w:pPr>
    </w:p>
    <w:p w14:paraId="14F2CD78" w14:textId="77777777" w:rsidR="00E95C24" w:rsidRPr="006B671F" w:rsidRDefault="00E95C24" w:rsidP="00E95C24">
      <w:pPr>
        <w:pStyle w:val="Prrafodelista"/>
        <w:numPr>
          <w:ilvl w:val="0"/>
          <w:numId w:val="13"/>
        </w:numPr>
        <w:spacing w:line="360" w:lineRule="auto"/>
        <w:jc w:val="both"/>
        <w:rPr>
          <w:rFonts w:eastAsia="Palatino Linotype" w:cs="Palatino Linotype"/>
          <w:b/>
        </w:rPr>
      </w:pPr>
      <w:r w:rsidRPr="006B671F">
        <w:rPr>
          <w:rFonts w:ascii="Palatino Linotype" w:eastAsia="Palatino Linotype" w:hAnsi="Palatino Linotype" w:cs="Palatino Linotype"/>
          <w:b/>
          <w:sz w:val="22"/>
        </w:rPr>
        <w:t>Los registros de asistencia de los servidores públicos de la Unidad de Asuntos Internos,</w:t>
      </w:r>
      <w:r w:rsidRPr="006B671F">
        <w:rPr>
          <w:rFonts w:ascii="Palatino Linotype" w:eastAsiaTheme="minorHAnsi" w:hAnsi="Palatino Linotype" w:cs="Tahoma"/>
          <w:b/>
          <w:sz w:val="22"/>
        </w:rPr>
        <w:t xml:space="preserve"> o bien, la autorización emitida por autoridad competente para omitir la elaboración de dicho control o exceptuar el registro de asistencia, de la siguiente temporalidad:</w:t>
      </w:r>
    </w:p>
    <w:p w14:paraId="6DCDC11C" w14:textId="77777777" w:rsidR="00E95C24" w:rsidRPr="006B671F" w:rsidRDefault="00E95C24" w:rsidP="00E95C24">
      <w:pPr>
        <w:pStyle w:val="Prrafodelista"/>
        <w:spacing w:line="360" w:lineRule="auto"/>
        <w:ind w:left="360"/>
        <w:jc w:val="both"/>
        <w:rPr>
          <w:rFonts w:eastAsia="Palatino Linotype" w:cs="Palatino Linotype"/>
          <w:b/>
        </w:rPr>
      </w:pPr>
    </w:p>
    <w:p w14:paraId="41C13735"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Del uno al treinta de enero de 2024; </w:t>
      </w:r>
    </w:p>
    <w:p w14:paraId="2C6FB217"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Del dieciséis al veintiocho de febrero de 2024: </w:t>
      </w:r>
    </w:p>
    <w:p w14:paraId="540FDAEB"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dieciséis al treinta de marzo de 2024;</w:t>
      </w:r>
    </w:p>
    <w:p w14:paraId="7F4E5CE8"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uno al treinta de abril de 2024;</w:t>
      </w:r>
    </w:p>
    <w:p w14:paraId="7C4F33ED"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Del uno al quince de junio de 2024; </w:t>
      </w:r>
    </w:p>
    <w:p w14:paraId="058810D9"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dieciséis al treinta de julio de 2024; y</w:t>
      </w:r>
    </w:p>
    <w:p w14:paraId="4FFB1126" w14:textId="77777777" w:rsidR="00E95C24" w:rsidRPr="006B671F" w:rsidRDefault="00E95C24" w:rsidP="00E95C24">
      <w:pPr>
        <w:pStyle w:val="Prrafodelista"/>
        <w:numPr>
          <w:ilvl w:val="0"/>
          <w:numId w:val="15"/>
        </w:numPr>
        <w:spacing w:line="360" w:lineRule="auto"/>
        <w:ind w:left="993" w:right="49"/>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uno al quince de septiembre de 2024.</w:t>
      </w:r>
    </w:p>
    <w:p w14:paraId="66021A10" w14:textId="77777777" w:rsidR="00B53380" w:rsidRPr="006B671F" w:rsidRDefault="00B53380" w:rsidP="00B53380">
      <w:pPr>
        <w:spacing w:line="360" w:lineRule="auto"/>
        <w:jc w:val="both"/>
        <w:rPr>
          <w:rFonts w:eastAsia="Palatino Linotype" w:cs="Palatino Linotype"/>
        </w:rPr>
      </w:pPr>
    </w:p>
    <w:p w14:paraId="79AEB8C4" w14:textId="77777777" w:rsidR="00B53380" w:rsidRPr="006B671F" w:rsidRDefault="00B53380" w:rsidP="00B53380">
      <w:pPr>
        <w:spacing w:line="360" w:lineRule="auto"/>
        <w:jc w:val="both"/>
        <w:rPr>
          <w:rFonts w:ascii="Palatino Linotype" w:eastAsia="Palatino Linotype" w:hAnsi="Palatino Linotype" w:cs="Palatino Linotype"/>
          <w:sz w:val="22"/>
        </w:rPr>
      </w:pPr>
      <w:r w:rsidRPr="006B671F">
        <w:rPr>
          <w:rFonts w:ascii="Palatino Linotype" w:eastAsia="Palatino Linotype" w:hAnsi="Palatino Linotype" w:cs="Palatino Linotype"/>
          <w:sz w:val="22"/>
        </w:rPr>
        <w:t xml:space="preserve">Por lo que, para el caso de que no se localice el registro de asistencia o la autorización para omitir el registro de asistencia de alguno de los servidores público adscritos, </w:t>
      </w:r>
      <w:r w:rsidRPr="006B671F">
        <w:rPr>
          <w:rFonts w:ascii="Palatino Linotype" w:eastAsia="Palatino Linotype" w:hAnsi="Palatino Linotype" w:cs="Palatino Linotype"/>
          <w:b/>
          <w:sz w:val="22"/>
        </w:rPr>
        <w:t xml:space="preserve">el Sujeto </w:t>
      </w:r>
      <w:r w:rsidRPr="006B671F">
        <w:rPr>
          <w:rFonts w:ascii="Palatino Linotype" w:eastAsia="Palatino Linotype" w:hAnsi="Palatino Linotype" w:cs="Palatino Linotype"/>
          <w:b/>
          <w:sz w:val="22"/>
        </w:rPr>
        <w:lastRenderedPageBreak/>
        <w:t>Obligado</w:t>
      </w:r>
      <w:r w:rsidRPr="006B671F">
        <w:rPr>
          <w:rFonts w:ascii="Palatino Linotype" w:eastAsia="Palatino Linotype" w:hAnsi="Palatino Linotype" w:cs="Palatino Linotype"/>
          <w:sz w:val="22"/>
        </w:rPr>
        <w:t xml:space="preserve"> deberá emitir el Acuerdo de Inexistencia en términos de los artículos 19, párrafo tercero, 49, fracciones II y XIII, 169 y 170 de la Ley de Transparencia y Acceso a la Información Pública del Estado de México y Municipios, debiendo notificarlo a </w:t>
      </w:r>
      <w:r w:rsidRPr="006B671F">
        <w:rPr>
          <w:rFonts w:ascii="Palatino Linotype" w:eastAsia="Palatino Linotype" w:hAnsi="Palatino Linotype" w:cs="Palatino Linotype"/>
          <w:b/>
          <w:sz w:val="22"/>
        </w:rPr>
        <w:t>la parte Recurrente</w:t>
      </w:r>
      <w:r w:rsidRPr="006B671F">
        <w:rPr>
          <w:rFonts w:ascii="Palatino Linotype" w:eastAsia="Palatino Linotype" w:hAnsi="Palatino Linotype" w:cs="Palatino Linotype"/>
          <w:sz w:val="22"/>
        </w:rPr>
        <w:t xml:space="preserve"> al momento de dar cumplimiento a la presente resolución.</w:t>
      </w:r>
    </w:p>
    <w:p w14:paraId="3EF3390E" w14:textId="77777777" w:rsidR="00B53380" w:rsidRPr="006B671F" w:rsidRDefault="00B53380" w:rsidP="00B53380">
      <w:pPr>
        <w:spacing w:line="360" w:lineRule="auto"/>
        <w:jc w:val="both"/>
        <w:rPr>
          <w:rFonts w:ascii="Palatino Linotype" w:eastAsia="Palatino Linotype" w:hAnsi="Palatino Linotype" w:cs="Palatino Linotype"/>
          <w:sz w:val="22"/>
        </w:rPr>
      </w:pPr>
    </w:p>
    <w:p w14:paraId="13E09FB0"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 xml:space="preserve">Quinto. Versión Pública. </w:t>
      </w:r>
      <w:r w:rsidRPr="006B671F">
        <w:rPr>
          <w:rFonts w:ascii="Palatino Linotype" w:eastAsia="Palatino Linotype" w:hAnsi="Palatino Linotype" w:cs="Palatino Linotype"/>
          <w:sz w:val="22"/>
          <w:szCs w:val="22"/>
        </w:rPr>
        <w:t xml:space="preserve">Finalmente para la entrega del soporte documental que deberá proporcionar el sujeto obligado para dar satisfacción de la derecho humano de acceso a la información de la persona solicitante, deberá considerar que ello no es absoluto, sino que encuentra como excepciones que la información sobre la cual se peticiona el acceso, contenga datos que deban ser clasificados en los términos que la misma Ley de la Materia señala,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tendrá que elaborar la versión pública de los documentos que vaya entregar para dar cumplimiento a esta resolución, a fin de satisfacer el derecho de acceso a la información pública de la recurrente sin menoscabar el derecho a la protección de los datos personales de terceros.</w:t>
      </w:r>
    </w:p>
    <w:p w14:paraId="2B5ACEFF"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p>
    <w:p w14:paraId="55C3DEFB"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Lo anterior, de conformidad a lo que señalan los artículos 3 fracciones IX, XX, XXI y XLV, 91, 132 fracciones II y III, y 143 fracción I de la Ley de Transparencia y Acceso a la Información Pública del Estado de México y Municipios que establecen:</w:t>
      </w:r>
    </w:p>
    <w:p w14:paraId="564E34EC"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3</w:t>
      </w:r>
      <w:r w:rsidRPr="006B671F">
        <w:rPr>
          <w:rFonts w:ascii="Palatino Linotype" w:eastAsia="Palatino Linotype" w:hAnsi="Palatino Linotype" w:cs="Palatino Linotype"/>
          <w:i/>
          <w:sz w:val="22"/>
          <w:szCs w:val="22"/>
        </w:rPr>
        <w:t>. Para los efectos de la presente Ley se entenderá por:</w:t>
      </w:r>
    </w:p>
    <w:p w14:paraId="1151379A"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73CEB7B4"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IX. Datos personales:</w:t>
      </w:r>
      <w:r w:rsidRPr="006B671F">
        <w:rPr>
          <w:rFonts w:ascii="Palatino Linotype" w:eastAsia="Palatino Linotype" w:hAnsi="Palatino Linotype" w:cs="Palatino Linotype"/>
          <w:i/>
          <w:sz w:val="22"/>
          <w:szCs w:val="22"/>
        </w:rPr>
        <w:t xml:space="preserve"> La información concerniente a una persona, identificada o identificable según lo dispuesto por la Ley de Protección de Datos Personales del Estado de México; </w:t>
      </w:r>
    </w:p>
    <w:p w14:paraId="5C6A6D66"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XX. Información clasificada</w:t>
      </w:r>
      <w:r w:rsidRPr="006B671F">
        <w:rPr>
          <w:rFonts w:ascii="Palatino Linotype" w:eastAsia="Palatino Linotype" w:hAnsi="Palatino Linotype" w:cs="Palatino Linotype"/>
          <w:i/>
          <w:sz w:val="22"/>
          <w:szCs w:val="22"/>
        </w:rPr>
        <w:t>: Aquella considerada por la presente Ley como reservada o confidencial;</w:t>
      </w:r>
    </w:p>
    <w:p w14:paraId="79F3C961"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lastRenderedPageBreak/>
        <w:t>XXI. Información confidencial:</w:t>
      </w:r>
      <w:r w:rsidRPr="006B671F">
        <w:rPr>
          <w:rFonts w:ascii="Palatino Linotype" w:eastAsia="Palatino Linotype" w:hAnsi="Palatino Linotype" w:cs="Palatino Linotype"/>
          <w:i/>
          <w:sz w:val="22"/>
          <w:szCs w:val="22"/>
        </w:rPr>
        <w:t xml:space="preserve"> Se considera como información confidencial los secretos bancario, fiduciario, industrial, comercial, fiscal, bursátil y postal, cuya titularidad corresponda a particulares, sujetos de derecho internacional o a sujetos obligados cuando no involucren el ejercicio de recursos públicos;</w:t>
      </w:r>
    </w:p>
    <w:p w14:paraId="18817A96"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XLV. Versión pública:</w:t>
      </w:r>
      <w:r w:rsidRPr="006B671F">
        <w:rPr>
          <w:rFonts w:ascii="Palatino Linotype" w:eastAsia="Palatino Linotype" w:hAnsi="Palatino Linotype" w:cs="Palatino Linotype"/>
          <w:i/>
          <w:sz w:val="22"/>
          <w:szCs w:val="22"/>
        </w:rPr>
        <w:t xml:space="preserve"> Documento en el que se elimine, suprime o borra la información clasificada como reservada o confidencial para permitir su acceso.</w:t>
      </w:r>
    </w:p>
    <w:p w14:paraId="3A489925"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0E27F351"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xml:space="preserve">Artículo 91. </w:t>
      </w:r>
      <w:r w:rsidRPr="006B671F">
        <w:rPr>
          <w:rFonts w:ascii="Palatino Linotype" w:eastAsia="Palatino Linotype" w:hAnsi="Palatino Linotype" w:cs="Palatino Linotype"/>
          <w:i/>
          <w:sz w:val="22"/>
          <w:szCs w:val="22"/>
        </w:rPr>
        <w:t>El acceso a la información pública será restringido excepcionalmente, cuando ésta sea clasificada como reservada o confidencial.</w:t>
      </w:r>
    </w:p>
    <w:p w14:paraId="2DAE19DB"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xml:space="preserve">Artículo 132. </w:t>
      </w:r>
      <w:r w:rsidRPr="006B671F">
        <w:rPr>
          <w:rFonts w:ascii="Palatino Linotype" w:eastAsia="Palatino Linotype" w:hAnsi="Palatino Linotype" w:cs="Palatino Linotype"/>
          <w:i/>
          <w:sz w:val="22"/>
          <w:szCs w:val="22"/>
        </w:rPr>
        <w:t>La clasificación de la información se llevará a cabo en el momento en que:</w:t>
      </w:r>
    </w:p>
    <w:p w14:paraId="0B22BF94"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w:t>
      </w:r>
      <w:r w:rsidRPr="006B671F">
        <w:rPr>
          <w:rFonts w:ascii="Palatino Linotype" w:eastAsia="Palatino Linotype" w:hAnsi="Palatino Linotype" w:cs="Palatino Linotype"/>
          <w:i/>
          <w:sz w:val="22"/>
          <w:szCs w:val="22"/>
        </w:rPr>
        <w:t>. Se reciba una solicitud de acceso a la información;</w:t>
      </w:r>
    </w:p>
    <w:p w14:paraId="4F1C3C26"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w:t>
      </w:r>
      <w:r w:rsidRPr="006B671F">
        <w:rPr>
          <w:rFonts w:ascii="Palatino Linotype" w:eastAsia="Palatino Linotype" w:hAnsi="Palatino Linotype" w:cs="Palatino Linotype"/>
          <w:i/>
          <w:sz w:val="22"/>
          <w:szCs w:val="22"/>
        </w:rPr>
        <w:t>. Se determine mediante resolución de autoridad competente; o</w:t>
      </w:r>
    </w:p>
    <w:p w14:paraId="093C5E2B"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III</w:t>
      </w:r>
      <w:r w:rsidRPr="006B671F">
        <w:rPr>
          <w:rFonts w:ascii="Palatino Linotype" w:eastAsia="Palatino Linotype" w:hAnsi="Palatino Linotype" w:cs="Palatino Linotype"/>
          <w:i/>
          <w:sz w:val="22"/>
          <w:szCs w:val="22"/>
        </w:rPr>
        <w:t>. Se generen versiones públicas para dar cumplimiento a las obligaciones de transparencia previstas en esta Ley.</w:t>
      </w:r>
    </w:p>
    <w:p w14:paraId="6BF53B5C"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39F32AEA"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Artículo 143</w:t>
      </w:r>
      <w:r w:rsidRPr="006B671F">
        <w:rPr>
          <w:rFonts w:ascii="Palatino Linotype" w:eastAsia="Palatino Linotype" w:hAnsi="Palatino Linotype" w:cs="Palatino Linotype"/>
          <w:i/>
          <w:sz w:val="22"/>
          <w:szCs w:val="22"/>
        </w:rPr>
        <w:t>. Para los efectos de esta Ley se considera información confidencial, la clasificada como tal, de manera permanente, por su naturaleza, cuando:</w:t>
      </w:r>
    </w:p>
    <w:p w14:paraId="40C21B77"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w:t>
      </w:r>
      <w:r w:rsidRPr="006B671F">
        <w:rPr>
          <w:rFonts w:ascii="Palatino Linotype" w:eastAsia="Palatino Linotype" w:hAnsi="Palatino Linotype" w:cs="Palatino Linotype"/>
          <w:i/>
          <w:sz w:val="22"/>
          <w:szCs w:val="22"/>
        </w:rPr>
        <w:t xml:space="preserve"> Se refiera a la información privada y los datos personales concernientes a una persona física o jurídico colectiva identificada o identificable;</w:t>
      </w:r>
    </w:p>
    <w:p w14:paraId="71A47081"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w:t>
      </w:r>
      <w:r w:rsidRPr="006B671F">
        <w:rPr>
          <w:rFonts w:ascii="Palatino Linotype" w:eastAsia="Palatino Linotype" w:hAnsi="Palatino Linotype" w:cs="Palatino Linotype"/>
          <w:i/>
          <w:sz w:val="22"/>
          <w:szCs w:val="22"/>
        </w:rPr>
        <w:t xml:space="preserve"> Los secretos bancario, fiduciario, industrial, comercial, fiscal, bursátil y postal, cuya titularidad corresponda a particulares, sujetos de derecho internacional o a sujetos obligados cuando no involucren el ejercicio de recursos públicos; y</w:t>
      </w:r>
    </w:p>
    <w:p w14:paraId="4C7D019E"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III</w:t>
      </w:r>
      <w:r w:rsidRPr="006B671F">
        <w:rPr>
          <w:rFonts w:ascii="Palatino Linotype" w:eastAsia="Palatino Linotype" w:hAnsi="Palatino Linotype" w:cs="Palatino Linotype"/>
          <w:i/>
          <w:sz w:val="22"/>
          <w:szCs w:val="22"/>
        </w:rPr>
        <w:t>. La que presenten los particulares a los sujetos obligados, de conformidad con lo dispuesto por las leyes o los tratados internacionales.</w:t>
      </w:r>
    </w:p>
    <w:p w14:paraId="72B3F4DE"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La información confidencial no estará sujeta a temporalidad alguna y sólo podrán tener acceso a ella los titulares de la misma, sus representantes y los servidores públicos facultados para ello.</w:t>
      </w:r>
    </w:p>
    <w:p w14:paraId="7CC5ED1E" w14:textId="77777777" w:rsidR="00B53380" w:rsidRPr="006B671F" w:rsidRDefault="00B53380" w:rsidP="00B53380">
      <w:pPr>
        <w:spacing w:before="120" w:after="120"/>
        <w:ind w:left="567"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lastRenderedPageBreak/>
        <w:t>No se considerará confidencial la información que se encuentre en los registros públicos o en fuentes de acceso público, ni tampoco la que sea considerada por la presente ley como información pública.”</w:t>
      </w:r>
    </w:p>
    <w:p w14:paraId="50269D7F"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7474E5E1"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 los artículos transcritos anteriormente, se observan las excepciones que tiene el derecho de acceso a la información pública, respecto a algunos tipos de información, lo cual restringe su acceso, precisando de manera clara las hipótesis que dan lugar a clasificar la información, la cual puede ser de dos maneras: Reservada o Confidencial.</w:t>
      </w:r>
    </w:p>
    <w:p w14:paraId="43A3D349"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7EED7CBE"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En otras palabras, la información confidencial será cuando por su naturaleza, contenga datos personales concernientes a una persona física o jurídico colectiva identificada o identificable, los secretos bancario, fiduciario, industrial, comercial, fiscal, bursátil y postal, cuya titularidad corresponda a particulares, sujetos de derecho internacional o a Sujetos Obligados cuando no involucren el ejercicio de recursos públicos y la que presenten los particulares a los Sujetos Obligados, de conformidad con lo dispuesto por las leyes o los tratados internacionales.</w:t>
      </w:r>
    </w:p>
    <w:p w14:paraId="77D7946F" w14:textId="77777777" w:rsidR="00B53380" w:rsidRPr="006B671F" w:rsidRDefault="00B53380" w:rsidP="00B53380">
      <w:pPr>
        <w:spacing w:line="360" w:lineRule="auto"/>
        <w:jc w:val="both"/>
        <w:rPr>
          <w:rFonts w:ascii="Palatino Linotype" w:eastAsia="Palatino Linotype" w:hAnsi="Palatino Linotype" w:cs="Palatino Linotype"/>
          <w:i/>
          <w:sz w:val="22"/>
          <w:szCs w:val="22"/>
        </w:rPr>
      </w:pPr>
    </w:p>
    <w:p w14:paraId="246659A4"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De igual forma, para el caso de la información confidencial se aprecia, que se establece un procedimiento para clasificar la información como confidencial, mediante el cual se fundamentará y motivará la necesidad de clasificar la información, en el que se precisen los motivos que obliguen a la clasificación; lo que se consolida con lo señalado por el artículo 168 de la Ley en la Materia, que señala:</w:t>
      </w:r>
    </w:p>
    <w:p w14:paraId="0589B10A"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0E59728D" w14:textId="77777777" w:rsidR="00B53380" w:rsidRPr="006B671F" w:rsidRDefault="00B53380" w:rsidP="00B53380">
      <w:pPr>
        <w:ind w:left="567" w:right="616"/>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168</w:t>
      </w:r>
      <w:r w:rsidRPr="006B671F">
        <w:rPr>
          <w:rFonts w:ascii="Palatino Linotype" w:eastAsia="Palatino Linotype" w:hAnsi="Palatino Linotype" w:cs="Palatino Linotype"/>
          <w:i/>
          <w:sz w:val="22"/>
          <w:szCs w:val="22"/>
        </w:rPr>
        <w:t>. En caso de que los sujetos obligados consideren que los documentos o la información deban ser clasificados, se sujetará a lo siguiente:</w:t>
      </w:r>
    </w:p>
    <w:p w14:paraId="188C3B41" w14:textId="77777777" w:rsidR="00B53380" w:rsidRPr="006B671F" w:rsidRDefault="00B53380" w:rsidP="00B53380">
      <w:pPr>
        <w:ind w:left="567" w:right="616"/>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w:t>
      </w:r>
      <w:r w:rsidRPr="006B671F">
        <w:rPr>
          <w:rFonts w:ascii="Palatino Linotype" w:eastAsia="Palatino Linotype" w:hAnsi="Palatino Linotype" w:cs="Palatino Linotype"/>
          <w:i/>
          <w:sz w:val="22"/>
          <w:szCs w:val="22"/>
        </w:rPr>
        <w:t xml:space="preserve"> El Área deberá remitir la solicitud, así como un escrito en el que </w:t>
      </w:r>
      <w:r w:rsidRPr="006B671F">
        <w:rPr>
          <w:rFonts w:ascii="Palatino Linotype" w:eastAsia="Palatino Linotype" w:hAnsi="Palatino Linotype" w:cs="Palatino Linotype"/>
          <w:b/>
          <w:i/>
          <w:sz w:val="22"/>
          <w:szCs w:val="22"/>
        </w:rPr>
        <w:t>funde y motive la clasificación al Comité de Transparencia</w:t>
      </w:r>
      <w:r w:rsidRPr="006B671F">
        <w:rPr>
          <w:rFonts w:ascii="Palatino Linotype" w:eastAsia="Palatino Linotype" w:hAnsi="Palatino Linotype" w:cs="Palatino Linotype"/>
          <w:i/>
          <w:sz w:val="22"/>
          <w:szCs w:val="22"/>
        </w:rPr>
        <w:t>, mismo que deberá resolver para:</w:t>
      </w:r>
    </w:p>
    <w:p w14:paraId="56C9F0A6" w14:textId="77777777" w:rsidR="00B53380" w:rsidRPr="006B671F" w:rsidRDefault="00B53380" w:rsidP="00B53380">
      <w:pPr>
        <w:ind w:left="567" w:right="616"/>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i/>
          <w:sz w:val="22"/>
          <w:szCs w:val="22"/>
        </w:rPr>
        <w:lastRenderedPageBreak/>
        <w:t>a</w:t>
      </w:r>
      <w:r w:rsidRPr="006B671F">
        <w:rPr>
          <w:rFonts w:ascii="Palatino Linotype" w:eastAsia="Palatino Linotype" w:hAnsi="Palatino Linotype" w:cs="Palatino Linotype"/>
          <w:b/>
          <w:i/>
          <w:sz w:val="22"/>
          <w:szCs w:val="22"/>
        </w:rPr>
        <w:t>) Confirmar la clasificación;</w:t>
      </w:r>
    </w:p>
    <w:p w14:paraId="1C21E773" w14:textId="77777777" w:rsidR="00B53380" w:rsidRPr="006B671F" w:rsidRDefault="00B53380" w:rsidP="00B53380">
      <w:pPr>
        <w:ind w:left="567" w:right="616"/>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b) Modificar la clasificación y otorgar total o parcialmente el acceso a la información; y c) Revocar la clasificación y conceder el acceso a la información.</w:t>
      </w:r>
    </w:p>
    <w:p w14:paraId="5BB8E3C5" w14:textId="77777777" w:rsidR="00B53380" w:rsidRPr="006B671F" w:rsidRDefault="00B53380" w:rsidP="00B53380">
      <w:pPr>
        <w:ind w:left="567" w:right="616"/>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w:t>
      </w:r>
      <w:r w:rsidRPr="006B671F">
        <w:rPr>
          <w:rFonts w:ascii="Palatino Linotype" w:eastAsia="Palatino Linotype" w:hAnsi="Palatino Linotype" w:cs="Palatino Linotype"/>
          <w:i/>
          <w:sz w:val="22"/>
          <w:szCs w:val="22"/>
        </w:rPr>
        <w:t xml:space="preserve"> El Comité de Transparencia podrá tener acceso a la información que esté en poder del Área correspondiente, de la cual se haya solicitado su clasificación; y</w:t>
      </w:r>
    </w:p>
    <w:p w14:paraId="5F06D0DC" w14:textId="77777777" w:rsidR="00B53380" w:rsidRPr="006B671F" w:rsidRDefault="00B53380" w:rsidP="00B53380">
      <w:pPr>
        <w:ind w:left="567" w:right="616"/>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III.</w:t>
      </w:r>
      <w:r w:rsidRPr="006B671F">
        <w:rPr>
          <w:rFonts w:ascii="Palatino Linotype" w:eastAsia="Palatino Linotype" w:hAnsi="Palatino Linotype" w:cs="Palatino Linotype"/>
          <w:i/>
          <w:sz w:val="22"/>
          <w:szCs w:val="22"/>
        </w:rPr>
        <w:t xml:space="preserve"> La resolución del Comité de Transparencia será notificada al interesado en el plazo de respuesta a la solicitud que establece esta Ley.” </w:t>
      </w:r>
    </w:p>
    <w:p w14:paraId="23876F06" w14:textId="77777777" w:rsidR="00B53380" w:rsidRPr="006B671F" w:rsidRDefault="00B53380" w:rsidP="00B53380">
      <w:pPr>
        <w:spacing w:line="360" w:lineRule="auto"/>
        <w:ind w:right="51"/>
        <w:jc w:val="both"/>
        <w:rPr>
          <w:rFonts w:ascii="Palatino Linotype" w:eastAsia="Palatino Linotype" w:hAnsi="Palatino Linotype" w:cs="Palatino Linotype"/>
          <w:sz w:val="22"/>
          <w:szCs w:val="22"/>
        </w:rPr>
      </w:pPr>
    </w:p>
    <w:p w14:paraId="1DBB10A0" w14:textId="77777777" w:rsidR="00B53380" w:rsidRPr="006B671F" w:rsidRDefault="00B53380" w:rsidP="00B53380">
      <w:pPr>
        <w:spacing w:line="360" w:lineRule="auto"/>
        <w:ind w:right="51"/>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deberá proceder a testar los datos personales que se encuentren contenidos en los documentos a entregar por parte del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para satisfacer el derecho de acceso a la información pública de la recurrente,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2C797CA1" w14:textId="77777777" w:rsidR="00B53380" w:rsidRPr="006B671F" w:rsidRDefault="00B53380" w:rsidP="00B53380">
      <w:pPr>
        <w:spacing w:line="360" w:lineRule="auto"/>
        <w:ind w:right="51"/>
        <w:jc w:val="both"/>
        <w:rPr>
          <w:rFonts w:ascii="Palatino Linotype" w:eastAsia="Palatino Linotype" w:hAnsi="Palatino Linotype" w:cs="Palatino Linotype"/>
          <w:sz w:val="22"/>
          <w:szCs w:val="22"/>
        </w:rPr>
      </w:pPr>
    </w:p>
    <w:p w14:paraId="4BAEF04C"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En el caso específico, es criterio reiterado de este Instituto que además de los datos especificados en la Ley de Transparencia y Acceso a la Información Pública del Estado de México y Municipios, se consideran confidenciales y por tanto deben testarse al momento de la elaboración de versiones públicas el </w:t>
      </w:r>
      <w:r w:rsidRPr="006B671F">
        <w:rPr>
          <w:rFonts w:ascii="Palatino Linotype" w:eastAsia="Palatino Linotype" w:hAnsi="Palatino Linotype" w:cs="Palatino Linotype"/>
          <w:b/>
          <w:sz w:val="22"/>
          <w:szCs w:val="22"/>
        </w:rPr>
        <w:t>Registro Federal de Contribuyentes</w:t>
      </w:r>
      <w:r w:rsidRPr="006B671F">
        <w:rPr>
          <w:rFonts w:ascii="Palatino Linotype" w:eastAsia="Palatino Linotype" w:hAnsi="Palatino Linotype" w:cs="Palatino Linotype"/>
          <w:sz w:val="22"/>
          <w:szCs w:val="22"/>
        </w:rPr>
        <w:t xml:space="preserve"> (RFC), la </w:t>
      </w:r>
      <w:r w:rsidRPr="006B671F">
        <w:rPr>
          <w:rFonts w:ascii="Palatino Linotype" w:eastAsia="Palatino Linotype" w:hAnsi="Palatino Linotype" w:cs="Palatino Linotype"/>
          <w:b/>
          <w:sz w:val="22"/>
          <w:szCs w:val="22"/>
        </w:rPr>
        <w:t>Clave Única de Registro de Población</w:t>
      </w:r>
      <w:r w:rsidRPr="006B671F">
        <w:rPr>
          <w:rFonts w:ascii="Palatino Linotype" w:eastAsia="Palatino Linotype" w:hAnsi="Palatino Linotype" w:cs="Palatino Linotype"/>
          <w:sz w:val="22"/>
          <w:szCs w:val="22"/>
        </w:rPr>
        <w:t xml:space="preserve"> (CURP), así como el</w:t>
      </w:r>
      <w:r w:rsidRPr="006B671F">
        <w:rPr>
          <w:rFonts w:ascii="Palatino Linotype" w:eastAsia="Palatino Linotype" w:hAnsi="Palatino Linotype" w:cs="Palatino Linotype"/>
          <w:b/>
          <w:sz w:val="22"/>
          <w:szCs w:val="22"/>
        </w:rPr>
        <w:t xml:space="preserve"> número de empleado</w:t>
      </w:r>
      <w:r w:rsidRPr="006B671F">
        <w:rPr>
          <w:rFonts w:ascii="Palatino Linotype" w:eastAsia="Palatino Linotype" w:hAnsi="Palatino Linotype" w:cs="Palatino Linotype"/>
          <w:sz w:val="22"/>
          <w:szCs w:val="22"/>
        </w:rPr>
        <w:t xml:space="preserve">. </w:t>
      </w:r>
    </w:p>
    <w:p w14:paraId="11457C36"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31BAECF9"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lastRenderedPageBreak/>
        <w:t>En cuanto al RFC, este constituye un dato personal, ya que para su obtención es necesario acreditar ante la autoridad fiscal previamente la identidad de la persona, su fecha de nacimiento, entre otros aspectos.</w:t>
      </w:r>
    </w:p>
    <w:p w14:paraId="6B21DFA0" w14:textId="77777777" w:rsidR="00B53380" w:rsidRPr="006B671F" w:rsidRDefault="00B53380" w:rsidP="00B53380">
      <w:pPr>
        <w:spacing w:line="360" w:lineRule="auto"/>
        <w:ind w:right="49"/>
        <w:jc w:val="both"/>
        <w:rPr>
          <w:rFonts w:ascii="Palatino Linotype" w:eastAsia="Palatino Linotype" w:hAnsi="Palatino Linotype" w:cs="Palatino Linotype"/>
          <w:sz w:val="22"/>
          <w:szCs w:val="22"/>
        </w:rPr>
      </w:pPr>
    </w:p>
    <w:p w14:paraId="0D8CEECB"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Ahora bien, las personas físicas tramitan su inscripción en el registro con el propósito de realizar —mediante esa clave de identificación— operaciones o actividades de naturaleza fiscal, la cual, les permite hacerse identificables respecto de una situación fiscal determinada.</w:t>
      </w:r>
    </w:p>
    <w:p w14:paraId="72B1AA59"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24E118E9"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Lo anterior es compartido por el Instituto Nacional de Transparencia, Acceso a la Información y Protección de Datos (INAI) a través del Criterio 19/17, el cual es del tenor literal siguiente:</w:t>
      </w:r>
    </w:p>
    <w:p w14:paraId="6A8570CB" w14:textId="77777777" w:rsidR="00B53380" w:rsidRPr="006B671F" w:rsidRDefault="00B53380" w:rsidP="00B53380">
      <w:pPr>
        <w:spacing w:after="120"/>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xml:space="preserve">“Registro Federal de Contribuyentes (RFC) de personas físicas. </w:t>
      </w:r>
      <w:r w:rsidRPr="006B671F">
        <w:rPr>
          <w:rFonts w:ascii="Palatino Linotype" w:eastAsia="Palatino Linotype" w:hAnsi="Palatino Linotype" w:cs="Palatino Linotype"/>
          <w:i/>
          <w:sz w:val="22"/>
          <w:szCs w:val="22"/>
        </w:rPr>
        <w:t>El RFC es una clave de carácter fiscal, única e irrepetible, que permite identificar al titular, su edad y fecha de nacimiento, por lo que es un dato personal de carácter confidencial.” (Sic)</w:t>
      </w:r>
    </w:p>
    <w:p w14:paraId="1C4506E5" w14:textId="77777777" w:rsidR="00B53380" w:rsidRPr="006B671F" w:rsidRDefault="00B53380" w:rsidP="00B53380">
      <w:pPr>
        <w:spacing w:after="120"/>
        <w:ind w:left="851" w:right="902"/>
        <w:jc w:val="both"/>
        <w:rPr>
          <w:rFonts w:ascii="Palatino Linotype" w:eastAsia="Palatino Linotype" w:hAnsi="Palatino Linotype" w:cs="Palatino Linotype"/>
          <w:sz w:val="22"/>
          <w:szCs w:val="22"/>
        </w:rPr>
      </w:pPr>
    </w:p>
    <w:p w14:paraId="1F264F4B"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Así, el RFC se vincula al nombre de su titular y permite identificar la edad de la persona, su fecha de nacimiento, así como su homoclave, la cual es única e irrepetible y determina la identificación de dicha persona para efectos fiscales, por lo que constituye un dato personal que concierne a una persona física identificada e identificable en términos de los artículos 3, fracción IX de la Ley de Transparencia y Acceso a la Información Pública del Estado de México y Municipios y 4 fracción VII de la Ley de Protección de Datos Personales del Estado de México.</w:t>
      </w:r>
    </w:p>
    <w:p w14:paraId="1BBCAA65"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2FE1965F"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En cuanto al CURP, en virtud de que este se integra por datos personales que únicamente le conciernen a un particular como son su fecha de nacimiento, su nombre, sus apellidos y su </w:t>
      </w:r>
      <w:r w:rsidRPr="006B671F">
        <w:rPr>
          <w:rFonts w:ascii="Palatino Linotype" w:eastAsia="Palatino Linotype" w:hAnsi="Palatino Linotype" w:cs="Palatino Linotype"/>
          <w:sz w:val="22"/>
          <w:szCs w:val="22"/>
        </w:rPr>
        <w:lastRenderedPageBreak/>
        <w:t>lugar de nacimiento; información que permite distinguirlo del resto de los habitantes, se considera que es de carácter confidencial.</w:t>
      </w:r>
    </w:p>
    <w:p w14:paraId="7C527E65"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03C7D843"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Argumento que es compartido por el Instituto Nacional de Transparencia, Acceso a la Información y Protección de Datos (INAI)</w:t>
      </w:r>
      <w:r w:rsidRPr="006B671F">
        <w:rPr>
          <w:rFonts w:ascii="Palatino Linotype" w:eastAsia="Palatino Linotype" w:hAnsi="Palatino Linotype" w:cs="Palatino Linotype"/>
          <w:b/>
          <w:sz w:val="22"/>
          <w:szCs w:val="22"/>
        </w:rPr>
        <w:t xml:space="preserve">, conforme al </w:t>
      </w:r>
      <w:r w:rsidRPr="006B671F">
        <w:rPr>
          <w:rFonts w:ascii="Palatino Linotype" w:eastAsia="Palatino Linotype" w:hAnsi="Palatino Linotype" w:cs="Palatino Linotype"/>
          <w:sz w:val="22"/>
          <w:szCs w:val="22"/>
        </w:rPr>
        <w:t xml:space="preserve">criterio número 18/17, el cual refiere: </w:t>
      </w:r>
    </w:p>
    <w:p w14:paraId="24C047A7" w14:textId="77777777" w:rsidR="00B53380" w:rsidRPr="006B671F" w:rsidRDefault="00B53380" w:rsidP="00B53380">
      <w:pPr>
        <w:spacing w:after="120"/>
        <w:ind w:left="851" w:right="902"/>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i/>
          <w:sz w:val="22"/>
          <w:szCs w:val="22"/>
        </w:rPr>
        <w:t xml:space="preserve">“Clave Única de Registro de Población (CURP). </w:t>
      </w:r>
      <w:r w:rsidRPr="006B671F">
        <w:rPr>
          <w:rFonts w:ascii="Palatino Linotype" w:eastAsia="Palatino Linotype" w:hAnsi="Palatino Linotype" w:cs="Palatino Linotype"/>
          <w:i/>
          <w:sz w:val="22"/>
          <w:szCs w:val="22"/>
        </w:rPr>
        <w:t>La Clave Única de Registro de Población se integra por datos personales que sólo conciernen al particular titular de la misma, como lo son su nombre, apellidos, fecha de nacimiento, lugar de nacimiento y sexo. Dichos datos, constituyen información que distingue plenamente a una persona física del resto de los habitantes del país, por lo que la CURP está considerada como información confidencial.” (Sic)</w:t>
      </w:r>
    </w:p>
    <w:p w14:paraId="7F8985D1"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59DF8CF3"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Por otra parte, </w:t>
      </w:r>
      <w:r w:rsidRPr="006B671F">
        <w:rPr>
          <w:rFonts w:ascii="Palatino Linotype" w:eastAsia="Palatino Linotype" w:hAnsi="Palatino Linotype" w:cs="Palatino Linotype"/>
          <w:b/>
          <w:sz w:val="22"/>
          <w:szCs w:val="22"/>
        </w:rPr>
        <w:t>en relación con el número de empleado de servidores públicos o su equivalente</w:t>
      </w:r>
      <w:r w:rsidRPr="006B671F">
        <w:rPr>
          <w:rFonts w:ascii="Palatino Linotype" w:eastAsia="Palatino Linotype" w:hAnsi="Palatino Linotype" w:cs="Palatino Linotype"/>
          <w:sz w:val="22"/>
          <w:szCs w:val="22"/>
        </w:rPr>
        <w:t>, con independencia del nombre que reciba, constituye un instrumento de control interno que permite a las dependencias y entidades identificar a sus trabajadores y a estos les facilita la realización de gestiones en su carácter de empleado.</w:t>
      </w:r>
    </w:p>
    <w:p w14:paraId="702F2103"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5B126F04"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En ese sentido, cuando el número de empleado se integre de datos personales de los trabajadores, procede su clasificación en términos de lo previsto en el artículo 143, fracción I de la Ley de Transparencia y Acceso a la Información Pública del Estado de México y Municipios; sin embargo, cuando dicho dato se conforma de dígitos, letras o símbolos que no revelan datos personales, no reviste el carácter de confidencial, al no dar por sí solo acceso a datos personales.</w:t>
      </w:r>
    </w:p>
    <w:p w14:paraId="6D39E144"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6083CE5C"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lastRenderedPageBreak/>
        <w:t>Lo anterior, toma sustento en el Criterio de Interpretación, de la Segunda Época, con número de registro SO/006/2019, emitido por el Instituto Nacional de Transparencia, Acceso a la Información y Protección de Datos Personales, que establece lo siguiente:</w:t>
      </w:r>
    </w:p>
    <w:p w14:paraId="3B90858D"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32603BCE" w14:textId="77777777" w:rsidR="00B53380" w:rsidRPr="006B671F" w:rsidRDefault="00B53380" w:rsidP="00B53380">
      <w:pPr>
        <w:ind w:left="851" w:right="851"/>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Número de empleado</w:t>
      </w:r>
      <w:r w:rsidRPr="006B671F">
        <w:rPr>
          <w:rFonts w:ascii="Palatino Linotype" w:eastAsia="Palatino Linotype" w:hAnsi="Palatino Linotype" w:cs="Palatino Linotype"/>
          <w:i/>
          <w:sz w:val="22"/>
          <w:szCs w:val="22"/>
        </w:rPr>
        <w:t>. Cuando el número de empleado o su equivalente, se integra con datos personales de los trabajadores o funciona como una clave de acceso que no requiere adicionalmente de una contraseña para ingresar a sistemas o bases de datos personales, procede su clasificación como información confidencial.”(Sic)</w:t>
      </w:r>
    </w:p>
    <w:p w14:paraId="30E30F8D" w14:textId="77777777" w:rsidR="00B53380" w:rsidRPr="006B671F" w:rsidRDefault="00B53380" w:rsidP="00B53380">
      <w:pPr>
        <w:ind w:left="851" w:right="851"/>
        <w:jc w:val="both"/>
        <w:rPr>
          <w:rFonts w:ascii="Palatino Linotype" w:eastAsia="Palatino Linotype" w:hAnsi="Palatino Linotype" w:cs="Palatino Linotype"/>
          <w:i/>
          <w:sz w:val="22"/>
          <w:szCs w:val="22"/>
        </w:rPr>
      </w:pPr>
    </w:p>
    <w:p w14:paraId="11D8532A"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Así, se colige que solamente procederá la clasificación del número de empleado, cuando se integre con datos personales de los servidores públicos o funcione como clave de acceso que no requiera una contraseña para ingresar a sistemas o bases de datos.</w:t>
      </w:r>
    </w:p>
    <w:p w14:paraId="32FB3BEA"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6B3648B0" w14:textId="4026563E"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 tales circunstancias, se considera que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deberá proporcionar dicho dato, en el caso, de que este se conforme únicamente de números, símbolos o dígitos, que de ninguna manera puedan revelar datos personales o de acceso a sistemas con información de los trabajadores; en el caso contrario, procederá su clasificación, en términos del artículo 143, fracción I, de la Ley de la materia.</w:t>
      </w:r>
      <w:r w:rsidR="00C77543" w:rsidRPr="006B671F">
        <w:rPr>
          <w:rFonts w:ascii="Palatino Linotype" w:eastAsia="Palatino Linotype" w:hAnsi="Palatino Linotype" w:cs="Palatino Linotype"/>
          <w:sz w:val="22"/>
          <w:szCs w:val="22"/>
        </w:rPr>
        <w:t xml:space="preserve"> </w:t>
      </w:r>
    </w:p>
    <w:p w14:paraId="08B386B4" w14:textId="77777777" w:rsidR="00C77543" w:rsidRPr="006B671F" w:rsidRDefault="00C77543" w:rsidP="00B53380">
      <w:pPr>
        <w:spacing w:line="360" w:lineRule="auto"/>
        <w:jc w:val="both"/>
        <w:rPr>
          <w:rFonts w:ascii="Palatino Linotype" w:eastAsia="Palatino Linotype" w:hAnsi="Palatino Linotype" w:cs="Palatino Linotype"/>
          <w:sz w:val="22"/>
          <w:szCs w:val="22"/>
        </w:rPr>
      </w:pPr>
    </w:p>
    <w:p w14:paraId="1C8F691F"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Al respecto, se destaca que la versión pública que elabore </w:t>
      </w:r>
      <w:r w:rsidRPr="006B671F">
        <w:rPr>
          <w:rFonts w:ascii="Palatino Linotype" w:eastAsia="Palatino Linotype" w:hAnsi="Palatino Linotype" w:cs="Palatino Linotype"/>
          <w:b/>
          <w:sz w:val="22"/>
          <w:szCs w:val="22"/>
        </w:rPr>
        <w:t>el Sujeto Obligado</w:t>
      </w:r>
      <w:r w:rsidRPr="006B671F">
        <w:rPr>
          <w:rFonts w:ascii="Palatino Linotype" w:eastAsia="Palatino Linotype" w:hAnsi="Palatino Linotype" w:cs="Palatino Linotype"/>
          <w:sz w:val="22"/>
          <w:szCs w:val="22"/>
        </w:rPr>
        <w:t xml:space="preserve"> debe cumplir con las formalidades exigidas en la ley, por lo que para tal efecto emitirá el Acuerdo del Comité de Transparencia en términos de la Ley de Transparencia y Acceso a la Información Pública del Estado de México y Municipios, y los Lineamientos Generales en Materia de Clasificación y Desclasificación de la Información, Así como para la elaboración de versiones públicas emitidos por el Consejo Nacional de Transparencia, con el cual sustentara la clasificación de datos y con ello la "versión pública" de los documentos materia de las solicitudes.</w:t>
      </w:r>
    </w:p>
    <w:p w14:paraId="44C0945E"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2B08A647"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Efectivamente, cuando se clasifica información como confidencial o reservada es importante someterlo al Comité de Transparencia, quien debe confirmar, modificar o revocar la clasificación.</w:t>
      </w:r>
    </w:p>
    <w:p w14:paraId="05DFBA41"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72F8F586"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En ese contexto, la clasificación de la información no opera con la simple supresión de datos que se haga en los documentos de que se trate o con la simple decisión que tome el Servidor Público Habilitado o el Responsable de la Unidad de Transparencia del Sujeto Obligado, sino que ello deberá realizarse en términos de lo que disponen los artículos 49 fracción VIII, 53, fracción X y 59, fracción V, de la Ley en consulta, cuyo sentido literal es el siguiente:</w:t>
      </w:r>
    </w:p>
    <w:p w14:paraId="53F0126F" w14:textId="77777777" w:rsidR="00B53380" w:rsidRPr="006B671F" w:rsidRDefault="00B53380" w:rsidP="00B53380">
      <w:pPr>
        <w:spacing w:line="360" w:lineRule="auto"/>
        <w:ind w:right="51"/>
        <w:jc w:val="both"/>
        <w:rPr>
          <w:rFonts w:ascii="Palatino Linotype" w:eastAsia="Palatino Linotype" w:hAnsi="Palatino Linotype" w:cs="Palatino Linotype"/>
          <w:sz w:val="22"/>
          <w:szCs w:val="22"/>
        </w:rPr>
      </w:pPr>
    </w:p>
    <w:p w14:paraId="3C0016CC" w14:textId="77777777" w:rsidR="00B53380" w:rsidRPr="006B671F" w:rsidRDefault="00B53380" w:rsidP="00B53380">
      <w:pPr>
        <w:ind w:left="992" w:right="1043"/>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“Artículo 49.</w:t>
      </w:r>
      <w:r w:rsidRPr="006B671F">
        <w:rPr>
          <w:rFonts w:ascii="Palatino Linotype" w:eastAsia="Palatino Linotype" w:hAnsi="Palatino Linotype" w:cs="Palatino Linotype"/>
          <w:i/>
          <w:sz w:val="22"/>
          <w:szCs w:val="22"/>
        </w:rPr>
        <w:t xml:space="preserve"> </w:t>
      </w:r>
      <w:r w:rsidRPr="006B671F">
        <w:rPr>
          <w:rFonts w:ascii="Palatino Linotype" w:eastAsia="Palatino Linotype" w:hAnsi="Palatino Linotype" w:cs="Palatino Linotype"/>
          <w:b/>
          <w:i/>
          <w:sz w:val="22"/>
          <w:szCs w:val="22"/>
        </w:rPr>
        <w:t>Los Comités de Transparencia</w:t>
      </w:r>
      <w:r w:rsidRPr="006B671F">
        <w:rPr>
          <w:rFonts w:ascii="Palatino Linotype" w:eastAsia="Palatino Linotype" w:hAnsi="Palatino Linotype" w:cs="Palatino Linotype"/>
          <w:i/>
          <w:sz w:val="22"/>
          <w:szCs w:val="22"/>
        </w:rPr>
        <w:t xml:space="preserve"> tendrán las siguientes atribuciones:</w:t>
      </w:r>
    </w:p>
    <w:p w14:paraId="6A776E38" w14:textId="77777777" w:rsidR="00B53380" w:rsidRPr="006B671F" w:rsidRDefault="00B53380" w:rsidP="00B53380">
      <w:pPr>
        <w:ind w:left="992" w:right="1043"/>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VIII. Aprobar, modificar o revocar la clasificación de la información</w:t>
      </w:r>
      <w:r w:rsidRPr="006B671F">
        <w:rPr>
          <w:rFonts w:ascii="Palatino Linotype" w:eastAsia="Palatino Linotype" w:hAnsi="Palatino Linotype" w:cs="Palatino Linotype"/>
          <w:i/>
          <w:sz w:val="22"/>
          <w:szCs w:val="22"/>
        </w:rPr>
        <w:t>…”</w:t>
      </w:r>
    </w:p>
    <w:p w14:paraId="02CC3995" w14:textId="77777777" w:rsidR="00B53380" w:rsidRPr="006B671F" w:rsidRDefault="00B53380" w:rsidP="00B53380">
      <w:pPr>
        <w:ind w:left="992" w:right="1043"/>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53.</w:t>
      </w:r>
      <w:r w:rsidRPr="006B671F">
        <w:rPr>
          <w:rFonts w:ascii="Palatino Linotype" w:eastAsia="Palatino Linotype" w:hAnsi="Palatino Linotype" w:cs="Palatino Linotype"/>
          <w:i/>
          <w:sz w:val="22"/>
          <w:szCs w:val="22"/>
        </w:rPr>
        <w:t xml:space="preserve"> Las </w:t>
      </w:r>
      <w:r w:rsidRPr="006B671F">
        <w:rPr>
          <w:rFonts w:ascii="Palatino Linotype" w:eastAsia="Palatino Linotype" w:hAnsi="Palatino Linotype" w:cs="Palatino Linotype"/>
          <w:b/>
          <w:i/>
          <w:sz w:val="22"/>
          <w:szCs w:val="22"/>
        </w:rPr>
        <w:t>Unidades de Transparencia</w:t>
      </w:r>
      <w:r w:rsidRPr="006B671F">
        <w:rPr>
          <w:rFonts w:ascii="Palatino Linotype" w:eastAsia="Palatino Linotype" w:hAnsi="Palatino Linotype" w:cs="Palatino Linotype"/>
          <w:i/>
          <w:sz w:val="22"/>
          <w:szCs w:val="22"/>
        </w:rPr>
        <w:t xml:space="preserve"> tendrán las siguientes </w:t>
      </w:r>
      <w:r w:rsidRPr="006B671F">
        <w:rPr>
          <w:rFonts w:ascii="Palatino Linotype" w:eastAsia="Palatino Linotype" w:hAnsi="Palatino Linotype" w:cs="Palatino Linotype"/>
          <w:b/>
          <w:i/>
          <w:sz w:val="22"/>
          <w:szCs w:val="22"/>
        </w:rPr>
        <w:t>funciones</w:t>
      </w:r>
      <w:r w:rsidRPr="006B671F">
        <w:rPr>
          <w:rFonts w:ascii="Palatino Linotype" w:eastAsia="Palatino Linotype" w:hAnsi="Palatino Linotype" w:cs="Palatino Linotype"/>
          <w:i/>
          <w:sz w:val="22"/>
          <w:szCs w:val="22"/>
        </w:rPr>
        <w:t>:</w:t>
      </w:r>
    </w:p>
    <w:p w14:paraId="6FC9B76F" w14:textId="77777777" w:rsidR="00B53380" w:rsidRPr="006B671F" w:rsidRDefault="00B53380" w:rsidP="00B53380">
      <w:pPr>
        <w:ind w:left="992" w:right="1043"/>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X. Presentar ante el Comité, el proyecto de clasificación de información</w:t>
      </w:r>
      <w:r w:rsidRPr="006B671F">
        <w:rPr>
          <w:rFonts w:ascii="Palatino Linotype" w:eastAsia="Palatino Linotype" w:hAnsi="Palatino Linotype" w:cs="Palatino Linotype"/>
          <w:i/>
          <w:sz w:val="22"/>
          <w:szCs w:val="22"/>
        </w:rPr>
        <w:t xml:space="preserve">…” </w:t>
      </w:r>
    </w:p>
    <w:p w14:paraId="288F00E8" w14:textId="77777777" w:rsidR="00B53380" w:rsidRPr="006B671F" w:rsidRDefault="00B53380" w:rsidP="00B53380">
      <w:pPr>
        <w:ind w:left="992" w:right="1043"/>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“Artículo 59.</w:t>
      </w:r>
      <w:r w:rsidRPr="006B671F">
        <w:rPr>
          <w:rFonts w:ascii="Palatino Linotype" w:eastAsia="Palatino Linotype" w:hAnsi="Palatino Linotype" w:cs="Palatino Linotype"/>
          <w:i/>
          <w:sz w:val="22"/>
          <w:szCs w:val="22"/>
        </w:rPr>
        <w:t xml:space="preserve"> Los </w:t>
      </w:r>
      <w:r w:rsidRPr="006B671F">
        <w:rPr>
          <w:rFonts w:ascii="Palatino Linotype" w:eastAsia="Palatino Linotype" w:hAnsi="Palatino Linotype" w:cs="Palatino Linotype"/>
          <w:b/>
          <w:i/>
          <w:sz w:val="22"/>
          <w:szCs w:val="22"/>
        </w:rPr>
        <w:t>servidores públicos habilitados</w:t>
      </w:r>
      <w:r w:rsidRPr="006B671F">
        <w:rPr>
          <w:rFonts w:ascii="Palatino Linotype" w:eastAsia="Palatino Linotype" w:hAnsi="Palatino Linotype" w:cs="Palatino Linotype"/>
          <w:i/>
          <w:sz w:val="22"/>
          <w:szCs w:val="22"/>
        </w:rPr>
        <w:t xml:space="preserve"> tendrán las </w:t>
      </w:r>
      <w:r w:rsidRPr="006B671F">
        <w:rPr>
          <w:rFonts w:ascii="Palatino Linotype" w:eastAsia="Palatino Linotype" w:hAnsi="Palatino Linotype" w:cs="Palatino Linotype"/>
          <w:b/>
          <w:i/>
          <w:sz w:val="22"/>
          <w:szCs w:val="22"/>
        </w:rPr>
        <w:t>funciones</w:t>
      </w:r>
      <w:r w:rsidRPr="006B671F">
        <w:rPr>
          <w:rFonts w:ascii="Palatino Linotype" w:eastAsia="Palatino Linotype" w:hAnsi="Palatino Linotype" w:cs="Palatino Linotype"/>
          <w:i/>
          <w:sz w:val="22"/>
          <w:szCs w:val="22"/>
        </w:rPr>
        <w:t xml:space="preserve"> siguientes:</w:t>
      </w:r>
    </w:p>
    <w:p w14:paraId="11229E20" w14:textId="77777777" w:rsidR="00B53380" w:rsidRPr="006B671F" w:rsidRDefault="00B53380" w:rsidP="00B53380">
      <w:pPr>
        <w:ind w:left="992" w:right="1043"/>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V. Integrar y presentar al responsable de la Unidad de Transparencia la propuesta de clasificación de información</w:t>
      </w:r>
      <w:r w:rsidRPr="006B671F">
        <w:rPr>
          <w:rFonts w:ascii="Palatino Linotype" w:eastAsia="Palatino Linotype" w:hAnsi="Palatino Linotype" w:cs="Palatino Linotype"/>
          <w:i/>
          <w:sz w:val="22"/>
          <w:szCs w:val="22"/>
        </w:rPr>
        <w:t>, la cual tendrá los fundamentos y argumentos en que se basa dicha propuesta…”(Sic)</w:t>
      </w:r>
    </w:p>
    <w:p w14:paraId="7818DCEE" w14:textId="77777777" w:rsidR="00B53380" w:rsidRPr="006B671F" w:rsidRDefault="00B53380" w:rsidP="00B53380">
      <w:pPr>
        <w:ind w:left="992" w:right="1043"/>
        <w:jc w:val="both"/>
        <w:rPr>
          <w:rFonts w:ascii="Palatino Linotype" w:eastAsia="Palatino Linotype" w:hAnsi="Palatino Linotype" w:cs="Palatino Linotype"/>
          <w:i/>
          <w:sz w:val="22"/>
          <w:szCs w:val="22"/>
        </w:rPr>
      </w:pPr>
    </w:p>
    <w:p w14:paraId="6CE09636"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Denotándose de dichos elementos normativos que el determinar la clasificación de la información es un trabajo en conjunto tanto de los Servidores Públicos Habilitados, de las Unidades de Transparencia y del Comité de Transparencia del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teniendo el deber los primeros de ellos de presentar ante la Unidad de Transparencia la propuesta de la clasificación de la información, para que luego ésta presente ante al Comité de Transparencia </w:t>
      </w:r>
      <w:r w:rsidRPr="006B671F">
        <w:rPr>
          <w:rFonts w:ascii="Palatino Linotype" w:eastAsia="Palatino Linotype" w:hAnsi="Palatino Linotype" w:cs="Palatino Linotype"/>
          <w:sz w:val="22"/>
          <w:szCs w:val="22"/>
        </w:rPr>
        <w:lastRenderedPageBreak/>
        <w:t>de así resultar procedente el proyecto de clasificación de la información y finalmente sea éste último quien apruebe, modifique o revoque la clasificación de la información solicitada.</w:t>
      </w:r>
    </w:p>
    <w:p w14:paraId="7EEF8A47"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4698BEF4"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Para lo cual, a su vez en el caso de información de carácter confidencial, se debe atender a lo que señala el artículo 149 de la Ley de Transparencia Local vigente, que se lee como sigue:</w:t>
      </w:r>
    </w:p>
    <w:p w14:paraId="6CE2658A"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445E433D" w14:textId="77777777" w:rsidR="00B53380" w:rsidRPr="006B671F" w:rsidRDefault="00B53380" w:rsidP="00B53380">
      <w:pPr>
        <w:spacing w:after="240"/>
        <w:ind w:left="993" w:right="1041"/>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Artículo 149.</w:t>
      </w:r>
      <w:r w:rsidRPr="006B671F">
        <w:rPr>
          <w:rFonts w:ascii="Palatino Linotype" w:eastAsia="Palatino Linotype" w:hAnsi="Palatino Linotype" w:cs="Palatino Linotype"/>
          <w:i/>
          <w:sz w:val="22"/>
          <w:szCs w:val="22"/>
        </w:rPr>
        <w:t xml:space="preserve"> El </w:t>
      </w:r>
      <w:r w:rsidRPr="006B671F">
        <w:rPr>
          <w:rFonts w:ascii="Palatino Linotype" w:eastAsia="Palatino Linotype" w:hAnsi="Palatino Linotype" w:cs="Palatino Linotype"/>
          <w:b/>
          <w:i/>
          <w:sz w:val="22"/>
          <w:szCs w:val="22"/>
        </w:rPr>
        <w:t>acuerdo que clasifique la información como confidencial</w:t>
      </w:r>
      <w:r w:rsidRPr="006B671F">
        <w:rPr>
          <w:rFonts w:ascii="Palatino Linotype" w:eastAsia="Palatino Linotype" w:hAnsi="Palatino Linotype" w:cs="Palatino Linotype"/>
          <w:i/>
          <w:sz w:val="22"/>
          <w:szCs w:val="22"/>
        </w:rPr>
        <w:t xml:space="preserve"> deberá contener un razonamiento lógico en el que demuestre que la información se encuentra en alguna o algunas de las hipótesis previstas en la presente Ley.” </w:t>
      </w:r>
    </w:p>
    <w:p w14:paraId="6F464869" w14:textId="77777777" w:rsidR="00B53380" w:rsidRPr="006B671F" w:rsidRDefault="00B53380" w:rsidP="00B53380">
      <w:pPr>
        <w:spacing w:after="240"/>
        <w:ind w:left="993" w:right="1041"/>
        <w:jc w:val="both"/>
        <w:rPr>
          <w:rFonts w:ascii="Palatino Linotype" w:eastAsia="Palatino Linotype" w:hAnsi="Palatino Linotype" w:cs="Palatino Linotype"/>
          <w:i/>
          <w:sz w:val="22"/>
          <w:szCs w:val="22"/>
        </w:rPr>
      </w:pPr>
    </w:p>
    <w:p w14:paraId="7654C865" w14:textId="77777777" w:rsidR="00B53380" w:rsidRPr="006B671F" w:rsidRDefault="00B53380" w:rsidP="00B53380">
      <w:pPr>
        <w:spacing w:line="360" w:lineRule="auto"/>
        <w:ind w:right="51"/>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Es decir,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2D98CC65"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59E6025A"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Igualmente, los Lineamientos Generales en Materia de Clasificación y Desclasificación de la Información, así como para la elaboración de Versiones Públicas, emitidos por el Consejo Nacional del Sistema Nacional de Transparencia, Acceso a la Información Pública y Protección de Datos Personales, publicados en el Diario Oficial de la Federación el día quince de abril de dos mil dieciséis, tienen por objeto establecer los criterios con base en los cuales los sujetos </w:t>
      </w:r>
      <w:r w:rsidRPr="006B671F">
        <w:rPr>
          <w:rFonts w:ascii="Palatino Linotype" w:eastAsia="Palatino Linotype" w:hAnsi="Palatino Linotype" w:cs="Palatino Linotype"/>
          <w:sz w:val="22"/>
          <w:szCs w:val="22"/>
        </w:rPr>
        <w:lastRenderedPageBreak/>
        <w:t>obligados clasificarán como reservada o confidencial la información que posean, desclasificarán y generarán, en su caso, versiones públicas de documentos que contengan partes o secciones clasificadas.</w:t>
      </w:r>
    </w:p>
    <w:p w14:paraId="67F5115B"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3FA7C805"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Entorno a lo que aquí nos interesa, los Lineamientos Quincuagésimo, Quincuagésimo primero, Quincuagésimo segundo, Quincuagésimo cuarto y Quincuagésimo quinto señalan las formalidades que deberá llevar el acuerdo de clasificación que deberá emitir el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siendo estas las siguientes:</w:t>
      </w:r>
    </w:p>
    <w:p w14:paraId="22B13A3D"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04140883" w14:textId="77777777" w:rsidR="00B53380" w:rsidRPr="006B671F" w:rsidRDefault="00B53380" w:rsidP="00B53380">
      <w:pPr>
        <w:ind w:lef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“CAPÍTULO VIII </w:t>
      </w:r>
    </w:p>
    <w:p w14:paraId="0F972E9C" w14:textId="77777777" w:rsidR="00B53380" w:rsidRPr="006B671F" w:rsidRDefault="00B53380" w:rsidP="00B53380">
      <w:pPr>
        <w:ind w:left="567"/>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DE LOS ELEMENTOS PARA LA CLASIFICACIÓN </w:t>
      </w:r>
    </w:p>
    <w:p w14:paraId="35E3BFCF"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xml:space="preserve">Quincuagésimo. </w:t>
      </w:r>
      <w:r w:rsidRPr="006B671F">
        <w:rPr>
          <w:rFonts w:ascii="Palatino Linotype" w:eastAsia="Palatino Linotype" w:hAnsi="Palatino Linotype" w:cs="Palatino Linotype"/>
          <w:i/>
          <w:sz w:val="22"/>
          <w:szCs w:val="22"/>
        </w:rPr>
        <w:t xml:space="preserve">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 </w:t>
      </w:r>
    </w:p>
    <w:p w14:paraId="7D423752"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xml:space="preserve">Quincuagésimo primero. </w:t>
      </w:r>
      <w:r w:rsidRPr="006B671F">
        <w:rPr>
          <w:rFonts w:ascii="Palatino Linotype" w:eastAsia="Palatino Linotype" w:hAnsi="Palatino Linotype" w:cs="Palatino Linotype"/>
          <w:i/>
          <w:sz w:val="22"/>
          <w:szCs w:val="22"/>
        </w:rPr>
        <w:t xml:space="preserve">Toda acta del Comité de Transparencia deberá contener: </w:t>
      </w:r>
    </w:p>
    <w:p w14:paraId="70513DCC"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I. El número de sesión y fecha; </w:t>
      </w:r>
    </w:p>
    <w:p w14:paraId="77BCA26F"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II. El nombre del área que solicitó la clasificación de información; </w:t>
      </w:r>
    </w:p>
    <w:p w14:paraId="1AB068C0"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III. La fundamentación legal y motivación correspondiente; </w:t>
      </w:r>
    </w:p>
    <w:p w14:paraId="7CAF3AEE"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IV. La resolución o resoluciones aprobadas; y </w:t>
      </w:r>
    </w:p>
    <w:p w14:paraId="6974AA9A"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V. La rúbrica o firma digital de cada integrante del Comité de Transparencia. </w:t>
      </w:r>
    </w:p>
    <w:p w14:paraId="3BC1D6BF"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p>
    <w:p w14:paraId="16584072" w14:textId="77777777" w:rsidR="00B53380" w:rsidRPr="006B671F" w:rsidRDefault="00B53380" w:rsidP="00B53380">
      <w:pPr>
        <w:ind w:left="567" w:right="900"/>
        <w:jc w:val="both"/>
        <w:rPr>
          <w:rFonts w:ascii="Palatino Linotype" w:eastAsia="Palatino Linotype" w:hAnsi="Palatino Linotype" w:cs="Palatino Linotype"/>
          <w:b/>
          <w:i/>
          <w:sz w:val="22"/>
          <w:szCs w:val="22"/>
          <w:u w:val="single"/>
        </w:rPr>
      </w:pPr>
      <w:r w:rsidRPr="006B671F">
        <w:rPr>
          <w:rFonts w:ascii="Palatino Linotype" w:eastAsia="Palatino Linotype" w:hAnsi="Palatino Linotype" w:cs="Palatino Linotype"/>
          <w:i/>
          <w:sz w:val="22"/>
          <w:szCs w:val="22"/>
        </w:rPr>
        <w:t xml:space="preserve">En los casos de resoluciones del Comité de Transparencia en las que se </w:t>
      </w:r>
      <w:r w:rsidRPr="006B671F">
        <w:rPr>
          <w:rFonts w:ascii="Palatino Linotype" w:eastAsia="Palatino Linotype" w:hAnsi="Palatino Linotype" w:cs="Palatino Linotype"/>
          <w:b/>
          <w:i/>
          <w:sz w:val="22"/>
          <w:szCs w:val="22"/>
          <w:u w:val="single"/>
        </w:rPr>
        <w:t>confirme la clasificación de información confidencial solo se deberán de identificar los tipos de datos protegidos, de conformidad con el lineamiento trigésimo octavo.</w:t>
      </w:r>
    </w:p>
    <w:p w14:paraId="52AD0DD6" w14:textId="77777777" w:rsidR="00B53380" w:rsidRPr="006B671F" w:rsidRDefault="00B53380" w:rsidP="00B53380">
      <w:pPr>
        <w:ind w:left="567" w:right="90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 xml:space="preserve">Quincuagésimo segundo. </w:t>
      </w:r>
      <w:r w:rsidRPr="006B671F">
        <w:rPr>
          <w:rFonts w:ascii="Palatino Linotype" w:eastAsia="Palatino Linotype" w:hAnsi="Palatino Linotype" w:cs="Palatino Linotype"/>
          <w:i/>
          <w:sz w:val="22"/>
          <w:szCs w:val="22"/>
        </w:rPr>
        <w:t xml:space="preserve">Para la clasificación y elaboración de versiones públicas de documentos que contengan información clasificada como reservada o </w:t>
      </w:r>
      <w:r w:rsidRPr="006B671F">
        <w:rPr>
          <w:rFonts w:ascii="Palatino Linotype" w:eastAsia="Palatino Linotype" w:hAnsi="Palatino Linotype" w:cs="Palatino Linotype"/>
          <w:b/>
          <w:i/>
          <w:sz w:val="22"/>
          <w:szCs w:val="22"/>
        </w:rPr>
        <w:t>confidencial,</w:t>
      </w:r>
      <w:r w:rsidRPr="006B671F">
        <w:rPr>
          <w:rFonts w:ascii="Palatino Linotype" w:eastAsia="Palatino Linotype" w:hAnsi="Palatino Linotype" w:cs="Palatino Linotype"/>
          <w:i/>
          <w:sz w:val="22"/>
          <w:szCs w:val="22"/>
        </w:rPr>
        <w:t xml:space="preserve"> las áreas de los sujetos obligados deberán tomar las medidas pertinentes tendientes a asegurar que el espacio utilizado para testar la información no podrá ser empleado para la sobreposición de contenido distinto al autorizado por el Comité.</w:t>
      </w:r>
    </w:p>
    <w:p w14:paraId="53F89BF7"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lastRenderedPageBreak/>
        <w:t xml:space="preserve">En el caso específico de la clasificación y elaboración de versiones públicas de documentos que contengan información confidencial, las áreas de los sujetos obligados deberán: </w:t>
      </w:r>
    </w:p>
    <w:p w14:paraId="038428AD" w14:textId="77777777" w:rsidR="00B53380" w:rsidRPr="006B671F" w:rsidRDefault="00B53380" w:rsidP="00B53380">
      <w:pPr>
        <w:ind w:left="567" w:right="90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 xml:space="preserve">I. Fijar la fecha en que se elaboró la versión pública y la fecha en la cual el Comité de Transparencia confirmó dicha versión; </w:t>
      </w:r>
    </w:p>
    <w:p w14:paraId="00193571" w14:textId="77777777" w:rsidR="00B53380" w:rsidRPr="006B671F" w:rsidRDefault="00B53380" w:rsidP="00B53380">
      <w:pPr>
        <w:ind w:left="567" w:right="90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 xml:space="preserve">II. Señalar dentro del documento el tipo de información confidencial que fue testada en cada caso específico, de conformidad con el lineamiento trigésimo octavo; y </w:t>
      </w:r>
    </w:p>
    <w:p w14:paraId="6223D331" w14:textId="77777777" w:rsidR="00B53380" w:rsidRPr="006B671F" w:rsidRDefault="00B53380" w:rsidP="00B53380">
      <w:pPr>
        <w:ind w:left="567" w:right="90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 xml:space="preserve">III. Señalar las personas o instancias autorizadas a acceder a la información clasificada. </w:t>
      </w:r>
    </w:p>
    <w:p w14:paraId="1369DFEA"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En los documentos de difusión electrónica, señalar en la primera hoja y en el nombre del archivo, que la versión pública corresponde a un documento que contiene </w:t>
      </w:r>
      <w:r w:rsidRPr="006B671F">
        <w:rPr>
          <w:rFonts w:ascii="Palatino Linotype" w:eastAsia="Palatino Linotype" w:hAnsi="Palatino Linotype" w:cs="Palatino Linotype"/>
          <w:b/>
          <w:i/>
          <w:sz w:val="22"/>
          <w:szCs w:val="22"/>
          <w:u w:val="single"/>
        </w:rPr>
        <w:t>información confidencial.</w:t>
      </w:r>
      <w:r w:rsidRPr="006B671F">
        <w:rPr>
          <w:rFonts w:ascii="Palatino Linotype" w:eastAsia="Palatino Linotype" w:hAnsi="Palatino Linotype" w:cs="Palatino Linotype"/>
          <w:i/>
          <w:sz w:val="22"/>
          <w:szCs w:val="22"/>
        </w:rPr>
        <w:t xml:space="preserve"> </w:t>
      </w:r>
    </w:p>
    <w:p w14:paraId="5FBFBE57" w14:textId="77777777" w:rsidR="00B53380" w:rsidRPr="006B671F" w:rsidRDefault="00B53380" w:rsidP="00B53380">
      <w:pPr>
        <w:ind w:left="567" w:right="90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w:t>
      </w:r>
    </w:p>
    <w:p w14:paraId="59F6017F" w14:textId="77777777" w:rsidR="00B53380" w:rsidRPr="006B671F" w:rsidRDefault="00B53380" w:rsidP="00B53380">
      <w:pPr>
        <w:ind w:left="567" w:right="900"/>
        <w:jc w:val="both"/>
        <w:rPr>
          <w:rFonts w:ascii="Palatino Linotype" w:eastAsia="Palatino Linotype" w:hAnsi="Palatino Linotype" w:cs="Palatino Linotype"/>
          <w:b/>
          <w:i/>
          <w:sz w:val="22"/>
          <w:szCs w:val="22"/>
        </w:rPr>
      </w:pPr>
      <w:r w:rsidRPr="006B671F">
        <w:rPr>
          <w:rFonts w:ascii="Palatino Linotype" w:eastAsia="Palatino Linotype" w:hAnsi="Palatino Linotype" w:cs="Palatino Linotype"/>
          <w:b/>
          <w:i/>
          <w:sz w:val="22"/>
          <w:szCs w:val="22"/>
        </w:rPr>
        <w:t xml:space="preserve">Quincuagésimo cuarto. </w:t>
      </w:r>
      <w:r w:rsidRPr="006B671F">
        <w:rPr>
          <w:rFonts w:ascii="Palatino Linotype" w:eastAsia="Palatino Linotype" w:hAnsi="Palatino Linotype" w:cs="Palatino Linotype"/>
          <w:i/>
          <w:sz w:val="22"/>
          <w:szCs w:val="22"/>
        </w:rPr>
        <w:t xml:space="preserve">Cuando el Comité de Transparencia confirme la clasificación de documentos reservados y/o </w:t>
      </w:r>
      <w:r w:rsidRPr="006B671F">
        <w:rPr>
          <w:rFonts w:ascii="Palatino Linotype" w:eastAsia="Palatino Linotype" w:hAnsi="Palatino Linotype" w:cs="Palatino Linotype"/>
          <w:b/>
          <w:i/>
          <w:sz w:val="22"/>
          <w:szCs w:val="22"/>
        </w:rPr>
        <w:t>confidenciales</w:t>
      </w:r>
      <w:r w:rsidRPr="006B671F">
        <w:rPr>
          <w:rFonts w:ascii="Palatino Linotype" w:eastAsia="Palatino Linotype" w:hAnsi="Palatino Linotype" w:cs="Palatino Linotype"/>
          <w:i/>
          <w:sz w:val="22"/>
          <w:szCs w:val="22"/>
        </w:rPr>
        <w:t>, sea total o parcialmente; se deberá anexar al expediente la resolución que determinó la clasificación o, en su defecto, identificar en la carátula del expediente del cual formen parte, la fecha y sesión del Comité de Transparencia en la que se confirmó dicha clasificación.</w:t>
      </w:r>
      <w:r w:rsidRPr="006B671F">
        <w:rPr>
          <w:rFonts w:ascii="Palatino Linotype" w:eastAsia="Palatino Linotype" w:hAnsi="Palatino Linotype" w:cs="Palatino Linotype"/>
          <w:b/>
          <w:i/>
          <w:sz w:val="22"/>
          <w:szCs w:val="22"/>
        </w:rPr>
        <w:t xml:space="preserve"> </w:t>
      </w:r>
    </w:p>
    <w:p w14:paraId="4DA44292" w14:textId="77777777" w:rsidR="00B53380" w:rsidRPr="006B671F" w:rsidRDefault="00B53380" w:rsidP="00B53380">
      <w:pPr>
        <w:ind w:left="567" w:right="90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 xml:space="preserve">Quincuagésimo quinto. </w:t>
      </w:r>
      <w:r w:rsidRPr="006B671F">
        <w:rPr>
          <w:rFonts w:ascii="Palatino Linotype" w:eastAsia="Palatino Linotype" w:hAnsi="Palatino Linotype" w:cs="Palatino Linotype"/>
          <w:i/>
          <w:sz w:val="22"/>
          <w:szCs w:val="22"/>
        </w:rPr>
        <w:t xml:space="preserve">Cada área del sujeto obligado podrá designar formalmente a una o más personas como responsables del testado,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(Énfasis añadido) </w:t>
      </w:r>
    </w:p>
    <w:p w14:paraId="319AC849" w14:textId="77777777" w:rsidR="00B53380" w:rsidRPr="006B671F" w:rsidRDefault="00B53380" w:rsidP="00B53380">
      <w:pPr>
        <w:spacing w:before="240" w:after="240"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Asimismo, deberá observar los Lineamientos Quincuagésimo sexto, Quincuagésimo séptimo y Quincuagésimo octavo, establecen lo siguiente:</w:t>
      </w:r>
    </w:p>
    <w:p w14:paraId="1A026BEB"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w:t>
      </w:r>
      <w:r w:rsidRPr="006B671F">
        <w:rPr>
          <w:rFonts w:ascii="Palatino Linotype" w:eastAsia="Palatino Linotype" w:hAnsi="Palatino Linotype" w:cs="Palatino Linotype"/>
          <w:b/>
          <w:i/>
          <w:sz w:val="22"/>
          <w:szCs w:val="22"/>
        </w:rPr>
        <w:t>Quincuagésimo sexto</w:t>
      </w:r>
      <w:r w:rsidRPr="006B671F">
        <w:rPr>
          <w:rFonts w:ascii="Palatino Linotype" w:eastAsia="Palatino Linotype" w:hAnsi="Palatino Linotype" w:cs="Palatino Linotype"/>
          <w:i/>
          <w:sz w:val="22"/>
          <w:szCs w:val="22"/>
        </w:rPr>
        <w:t>. Cuando la elaboración de la versión pública del documento o expediente que contenga partes o secciones reservadas o confidenciales, genere costos por reproducción por derivar de una solicitud de información o determinación de una autoridad competente, ésta será elaborada hasta que se haya acreditado el pago correspondiente.</w:t>
      </w:r>
    </w:p>
    <w:p w14:paraId="69F2D037"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lastRenderedPageBreak/>
        <w:t>Quincuagésimo séptimo</w:t>
      </w:r>
      <w:r w:rsidRPr="006B671F">
        <w:rPr>
          <w:rFonts w:ascii="Palatino Linotype" w:eastAsia="Palatino Linotype" w:hAnsi="Palatino Linotype" w:cs="Palatino Linotype"/>
          <w:i/>
          <w:sz w:val="22"/>
          <w:szCs w:val="22"/>
        </w:rPr>
        <w:t xml:space="preserve">. Se considera, en principio, como información pública y no podrá omitirse de las versiones públicas la siguiente: </w:t>
      </w:r>
    </w:p>
    <w:p w14:paraId="232AB083"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w:t>
      </w:r>
      <w:r w:rsidRPr="006B671F">
        <w:rPr>
          <w:rFonts w:ascii="Palatino Linotype" w:eastAsia="Palatino Linotype" w:hAnsi="Palatino Linotype" w:cs="Palatino Linotype"/>
          <w:i/>
          <w:sz w:val="22"/>
          <w:szCs w:val="22"/>
        </w:rPr>
        <w:t xml:space="preserve">. La relativa a las Obligaciones de Transparencia que contempla el Título V de la Ley General y las demás disposiciones legales aplicables; </w:t>
      </w:r>
    </w:p>
    <w:p w14:paraId="37C265F6"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w:t>
      </w:r>
      <w:r w:rsidRPr="006B671F">
        <w:rPr>
          <w:rFonts w:ascii="Palatino Linotype" w:eastAsia="Palatino Linotype" w:hAnsi="Palatino Linotype" w:cs="Palatino Linotype"/>
          <w:i/>
          <w:sz w:val="22"/>
          <w:szCs w:val="22"/>
        </w:rPr>
        <w:t xml:space="preserve"> El nombre de los integrantes de los sujetos obligados en los documentos, y sus firmas autógrafas o digitales, cuando sean utilizados en el ejercicio de las facultades conferidas para el desempeño del servicio público, y</w:t>
      </w:r>
    </w:p>
    <w:p w14:paraId="37CE5613"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III</w:t>
      </w:r>
      <w:r w:rsidRPr="006B671F">
        <w:rPr>
          <w:rFonts w:ascii="Palatino Linotype" w:eastAsia="Palatino Linotype" w:hAnsi="Palatino Linotype" w:cs="Palatino Linotype"/>
          <w:i/>
          <w:sz w:val="22"/>
          <w:szCs w:val="22"/>
        </w:rPr>
        <w:t xml:space="preserve">. La información que documente decisiones y los actos de autoridad concluidos de los sujetos obligados, así como el ejercicio de las facultades o actividades de los servidores públicos, de manera que se pueda valorar el desempeño de los mismos. </w:t>
      </w:r>
    </w:p>
    <w:p w14:paraId="01C8EA3A"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 xml:space="preserve">Lo anterior, siempre y cuando no se acredite alguna causal de clasificación, prevista en las leyes o en los tratados internacionales suscritas por el Estado mexicano.  </w:t>
      </w:r>
    </w:p>
    <w:p w14:paraId="13CE65F3" w14:textId="77777777" w:rsidR="00B53380" w:rsidRPr="006B671F" w:rsidRDefault="00B53380" w:rsidP="00B53380">
      <w:pPr>
        <w:ind w:left="851" w:right="902"/>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b/>
          <w:i/>
          <w:sz w:val="22"/>
          <w:szCs w:val="22"/>
        </w:rPr>
        <w:t>Quincuagésimo octavo</w:t>
      </w:r>
      <w:r w:rsidRPr="006B671F">
        <w:rPr>
          <w:rFonts w:ascii="Palatino Linotype" w:eastAsia="Palatino Linotype" w:hAnsi="Palatino Linotype" w:cs="Palatino Linotype"/>
          <w:i/>
          <w:sz w:val="22"/>
          <w:szCs w:val="22"/>
        </w:rPr>
        <w:t>. Los sujetos obligados garantizarán que los sistemas o medios empleados para eliminar la información en las versiones públicas sean irreversibles, de tal forma que no permitan su recuperación o la visualización de la misma.”</w:t>
      </w:r>
    </w:p>
    <w:p w14:paraId="7029DB91"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10D934AD"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Por lo tanto, la entrega de documentos en su versión pública debe acompañarse necesariamente del Acuerdo del Comité de Transparencia que la sustente el cual debe estar debidamente fundado y motivado, en el que se expongan los fundamentos y razonamientos que llevaron al </w:t>
      </w:r>
      <w:r w:rsidRPr="006B671F">
        <w:rPr>
          <w:rFonts w:ascii="Palatino Linotype" w:eastAsia="Palatino Linotype" w:hAnsi="Palatino Linotype" w:cs="Palatino Linotype"/>
          <w:b/>
          <w:sz w:val="22"/>
          <w:szCs w:val="22"/>
        </w:rPr>
        <w:t>Sujeto Obligado</w:t>
      </w:r>
      <w:r w:rsidRPr="006B671F">
        <w:rPr>
          <w:rFonts w:ascii="Palatino Linotype" w:eastAsia="Palatino Linotype" w:hAnsi="Palatino Linotype" w:cs="Palatino Linotype"/>
          <w:sz w:val="22"/>
          <w:szCs w:val="22"/>
        </w:rPr>
        <w:t xml:space="preserve"> a testar, suprimir o eliminar datos de dicho soporte documental, ya que no hacerlo, se reitera que lo entregado no tendría un sustento jurídico ni resultaría ser una versión pública, sino más bien una documentación ilegible, incompleta o tachada; ya que el no justificar las causas o motivos por las que no se aprecian determinados datos -ya sea porque se testan o suprimen- deja al solicitante en estado de incertidumbre, al no conocer o comprender porque no aparecen en la documentación respectiva.</w:t>
      </w:r>
    </w:p>
    <w:p w14:paraId="77C69302"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p>
    <w:p w14:paraId="18029C7B" w14:textId="77777777" w:rsidR="00B53380" w:rsidRPr="006B671F" w:rsidRDefault="00B53380" w:rsidP="00B53380">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Así, con fundamento en lo prescrito en los artículos 5 párrafos trigésimo tercero, trigésimo cuarto y trigésimo quinto fracciones IV y V de la Constitución Política del Estado Libre y Soberano de México; 2, fracción II; 29, 36 fracciones I y II; 176, 178, 181, 185, fracción I, 186, </w:t>
      </w:r>
      <w:r w:rsidRPr="006B671F">
        <w:rPr>
          <w:rFonts w:ascii="Palatino Linotype" w:eastAsia="Palatino Linotype" w:hAnsi="Palatino Linotype" w:cs="Palatino Linotype"/>
          <w:sz w:val="22"/>
          <w:szCs w:val="22"/>
        </w:rPr>
        <w:lastRenderedPageBreak/>
        <w:t>fracción III, así como 188 de la Ley de Transparencia y Acceso a la Información Pública del Estado de México y Municipios, este Pleno:</w:t>
      </w:r>
    </w:p>
    <w:p w14:paraId="53FD6A57" w14:textId="77777777" w:rsidR="00B53380" w:rsidRPr="006B671F" w:rsidRDefault="00B53380" w:rsidP="00B80202">
      <w:pPr>
        <w:spacing w:line="360" w:lineRule="auto"/>
        <w:ind w:right="49"/>
        <w:jc w:val="both"/>
        <w:rPr>
          <w:rFonts w:ascii="Palatino Linotype" w:eastAsia="Palatino Linotype" w:hAnsi="Palatino Linotype" w:cs="Palatino Linotype"/>
          <w:sz w:val="22"/>
          <w:szCs w:val="22"/>
        </w:rPr>
      </w:pPr>
    </w:p>
    <w:p w14:paraId="1924FCFC" w14:textId="3B0A12D5" w:rsidR="00FA5BAD" w:rsidRPr="006B671F" w:rsidRDefault="006C601A" w:rsidP="00FA5BAD">
      <w:pPr>
        <w:widowControl w:val="0"/>
        <w:spacing w:line="360" w:lineRule="auto"/>
        <w:jc w:val="center"/>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R E S U E L V E:</w:t>
      </w:r>
    </w:p>
    <w:p w14:paraId="61E06021" w14:textId="49D00C07" w:rsidR="00633107" w:rsidRPr="006B671F" w:rsidRDefault="00F55E50" w:rsidP="00EC101D">
      <w:pPr>
        <w:spacing w:line="360" w:lineRule="auto"/>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PRIMERO</w:t>
      </w:r>
      <w:r w:rsidR="00633107" w:rsidRPr="006B671F">
        <w:rPr>
          <w:rFonts w:ascii="Palatino Linotype" w:eastAsia="Palatino Linotype" w:hAnsi="Palatino Linotype" w:cs="Palatino Linotype"/>
          <w:b/>
          <w:sz w:val="22"/>
          <w:szCs w:val="22"/>
        </w:rPr>
        <w:t xml:space="preserve">. </w:t>
      </w:r>
      <w:r w:rsidR="00017A31" w:rsidRPr="006B671F">
        <w:rPr>
          <w:rFonts w:ascii="Palatino Linotype" w:eastAsia="Palatino Linotype" w:hAnsi="Palatino Linotype" w:cs="Palatino Linotype"/>
          <w:sz w:val="22"/>
          <w:szCs w:val="22"/>
        </w:rPr>
        <w:t>Se</w:t>
      </w:r>
      <w:r w:rsidR="00017A31" w:rsidRPr="006B671F">
        <w:rPr>
          <w:rFonts w:ascii="Palatino Linotype" w:hAnsi="Palatino Linotype"/>
          <w:sz w:val="22"/>
          <w:szCs w:val="22"/>
        </w:rPr>
        <w:t xml:space="preserve"> </w:t>
      </w:r>
      <w:r w:rsidR="00EC101D" w:rsidRPr="006B671F">
        <w:rPr>
          <w:rFonts w:ascii="Palatino Linotype" w:hAnsi="Palatino Linotype"/>
          <w:b/>
          <w:sz w:val="22"/>
          <w:szCs w:val="22"/>
        </w:rPr>
        <w:t>REVOCAN</w:t>
      </w:r>
      <w:r w:rsidR="00017A31" w:rsidRPr="006B671F">
        <w:rPr>
          <w:rFonts w:ascii="Palatino Linotype" w:eastAsia="Palatino Linotype" w:hAnsi="Palatino Linotype" w:cs="Palatino Linotype"/>
          <w:b/>
          <w:sz w:val="22"/>
          <w:szCs w:val="22"/>
        </w:rPr>
        <w:t xml:space="preserve"> </w:t>
      </w:r>
      <w:r w:rsidR="00017A31" w:rsidRPr="006B671F">
        <w:rPr>
          <w:rFonts w:ascii="Palatino Linotype" w:eastAsia="Palatino Linotype" w:hAnsi="Palatino Linotype" w:cs="Palatino Linotype"/>
          <w:sz w:val="22"/>
          <w:szCs w:val="22"/>
        </w:rPr>
        <w:t xml:space="preserve">las respuestas entregadas por </w:t>
      </w:r>
      <w:r w:rsidR="00017A31" w:rsidRPr="006B671F">
        <w:rPr>
          <w:rFonts w:ascii="Palatino Linotype" w:eastAsia="Palatino Linotype" w:hAnsi="Palatino Linotype" w:cs="Palatino Linotype"/>
          <w:b/>
          <w:sz w:val="22"/>
          <w:szCs w:val="22"/>
        </w:rPr>
        <w:t xml:space="preserve">EL SUJETO OBLIGADO </w:t>
      </w:r>
      <w:r w:rsidR="00017A31" w:rsidRPr="006B671F">
        <w:rPr>
          <w:rFonts w:ascii="Palatino Linotype" w:eastAsia="Palatino Linotype" w:hAnsi="Palatino Linotype" w:cs="Palatino Linotype"/>
          <w:sz w:val="22"/>
          <w:szCs w:val="22"/>
        </w:rPr>
        <w:t>a las solicitudes de información</w:t>
      </w:r>
      <w:r w:rsidR="00E62465" w:rsidRPr="006B671F">
        <w:rPr>
          <w:rFonts w:ascii="Palatino Linotype" w:eastAsia="Palatino Linotype" w:hAnsi="Palatino Linotype" w:cs="Palatino Linotype"/>
          <w:sz w:val="22"/>
          <w:szCs w:val="22"/>
        </w:rPr>
        <w:t xml:space="preserve"> </w:t>
      </w:r>
      <w:r w:rsidR="00E62465" w:rsidRPr="006B671F">
        <w:rPr>
          <w:rFonts w:ascii="Palatino Linotype" w:eastAsia="Palatino Linotype" w:hAnsi="Palatino Linotype" w:cs="Palatino Linotype"/>
          <w:b/>
          <w:sz w:val="22"/>
          <w:szCs w:val="22"/>
        </w:rPr>
        <w:t>00201/UAI/IP/2024, 00200/UAI/IP/2024, 00198/UAI/IP/2024, 00196/UAI/IP/2024, 00195/UAI/IP/2024, 00193/UAI/IP/2024, 00190/UAI/IP/2024, 00188/UAI/IP/2024 y 00185/UAI/IP/2024</w:t>
      </w:r>
      <w:r w:rsidR="00017A31" w:rsidRPr="006B671F">
        <w:rPr>
          <w:rFonts w:ascii="Palatino Linotype" w:eastAsia="Palatino Linotype" w:hAnsi="Palatino Linotype" w:cs="Palatino Linotype"/>
          <w:b/>
          <w:sz w:val="22"/>
          <w:szCs w:val="22"/>
        </w:rPr>
        <w:t xml:space="preserve"> </w:t>
      </w:r>
      <w:r w:rsidR="00017A31" w:rsidRPr="006B671F">
        <w:rPr>
          <w:rFonts w:ascii="Palatino Linotype" w:eastAsia="Palatino Linotype" w:hAnsi="Palatino Linotype" w:cs="Palatino Linotype"/>
          <w:sz w:val="22"/>
          <w:szCs w:val="22"/>
        </w:rPr>
        <w:t xml:space="preserve">por resultar fundadas las razones o motivos de inconformidad hechos valer por la parte </w:t>
      </w:r>
      <w:r w:rsidR="00017A31" w:rsidRPr="006B671F">
        <w:rPr>
          <w:rFonts w:ascii="Palatino Linotype" w:eastAsia="Palatino Linotype" w:hAnsi="Palatino Linotype" w:cs="Palatino Linotype"/>
          <w:b/>
          <w:sz w:val="22"/>
          <w:szCs w:val="22"/>
        </w:rPr>
        <w:t xml:space="preserve">RECURRENTE, </w:t>
      </w:r>
      <w:r w:rsidR="002C5BED" w:rsidRPr="006B671F">
        <w:rPr>
          <w:rFonts w:ascii="Palatino Linotype" w:eastAsia="Palatino Linotype" w:hAnsi="Palatino Linotype" w:cs="Palatino Linotype"/>
          <w:sz w:val="22"/>
          <w:szCs w:val="22"/>
        </w:rPr>
        <w:t>en los</w:t>
      </w:r>
      <w:r w:rsidR="00017A31" w:rsidRPr="006B671F">
        <w:rPr>
          <w:rFonts w:ascii="Palatino Linotype" w:eastAsia="Palatino Linotype" w:hAnsi="Palatino Linotype" w:cs="Palatino Linotype"/>
          <w:sz w:val="22"/>
          <w:szCs w:val="22"/>
        </w:rPr>
        <w:t xml:space="preserve"> Recurso</w:t>
      </w:r>
      <w:r w:rsidR="002C5BED" w:rsidRPr="006B671F">
        <w:rPr>
          <w:rFonts w:ascii="Palatino Linotype" w:eastAsia="Palatino Linotype" w:hAnsi="Palatino Linotype" w:cs="Palatino Linotype"/>
          <w:sz w:val="22"/>
          <w:szCs w:val="22"/>
        </w:rPr>
        <w:t>s</w:t>
      </w:r>
      <w:r w:rsidR="00017A31" w:rsidRPr="006B671F">
        <w:rPr>
          <w:rFonts w:ascii="Palatino Linotype" w:eastAsia="Palatino Linotype" w:hAnsi="Palatino Linotype" w:cs="Palatino Linotype"/>
          <w:sz w:val="22"/>
          <w:szCs w:val="22"/>
        </w:rPr>
        <w:t xml:space="preserve"> de Revisión </w:t>
      </w:r>
      <w:r w:rsidR="001925B2" w:rsidRPr="006B671F">
        <w:rPr>
          <w:rFonts w:ascii="Palatino Linotype" w:eastAsia="Palatino Linotype" w:hAnsi="Palatino Linotype" w:cs="Palatino Linotype"/>
          <w:b/>
          <w:sz w:val="22"/>
          <w:szCs w:val="22"/>
        </w:rPr>
        <w:t xml:space="preserve">06384/INFOEM/IP/RR/2024, 06385/INFOEM/IP/RR/2024, 06387/INFOEM/IP/RR/2024, 06389/INFOEM/IP/RR/2024, 06390/INFOEM/IP/RR/2024, 06392/INFOEM/IP/RR/2024, 06397/INFOEM/IP/RR/2024, 06399/INFOEM/IP/RR/2024 y 06402/INFOEM/IP/RR/2024 </w:t>
      </w:r>
      <w:r w:rsidR="00017A31" w:rsidRPr="006B671F">
        <w:rPr>
          <w:rFonts w:ascii="Palatino Linotype" w:eastAsia="Palatino Linotype" w:hAnsi="Palatino Linotype" w:cs="Palatino Linotype"/>
          <w:sz w:val="22"/>
          <w:szCs w:val="22"/>
        </w:rPr>
        <w:t xml:space="preserve">en términos de los considerandos </w:t>
      </w:r>
      <w:r w:rsidR="00017A31" w:rsidRPr="006B671F">
        <w:rPr>
          <w:rFonts w:ascii="Palatino Linotype" w:eastAsia="Palatino Linotype" w:hAnsi="Palatino Linotype" w:cs="Palatino Linotype"/>
          <w:b/>
          <w:sz w:val="22"/>
          <w:szCs w:val="22"/>
        </w:rPr>
        <w:t>Cuarto</w:t>
      </w:r>
      <w:r w:rsidR="00017A31" w:rsidRPr="006B671F">
        <w:rPr>
          <w:rFonts w:ascii="Palatino Linotype" w:eastAsia="Palatino Linotype" w:hAnsi="Palatino Linotype" w:cs="Palatino Linotype"/>
          <w:sz w:val="22"/>
          <w:szCs w:val="22"/>
        </w:rPr>
        <w:t xml:space="preserve"> de la presente Resolución.</w:t>
      </w:r>
    </w:p>
    <w:p w14:paraId="7079B97B" w14:textId="77777777" w:rsidR="008414BE" w:rsidRPr="006B671F" w:rsidRDefault="008414BE" w:rsidP="00EC101D">
      <w:pPr>
        <w:spacing w:line="360" w:lineRule="auto"/>
        <w:jc w:val="both"/>
        <w:rPr>
          <w:rFonts w:ascii="Palatino Linotype" w:eastAsia="Palatino Linotype" w:hAnsi="Palatino Linotype" w:cs="Palatino Linotype"/>
          <w:sz w:val="22"/>
          <w:szCs w:val="22"/>
        </w:rPr>
      </w:pPr>
    </w:p>
    <w:p w14:paraId="548EFA62" w14:textId="70B1A6B6" w:rsidR="006C601A" w:rsidRPr="006B671F" w:rsidRDefault="00F55E50" w:rsidP="00EC101D">
      <w:pPr>
        <w:spacing w:line="360" w:lineRule="auto"/>
        <w:jc w:val="both"/>
        <w:rPr>
          <w:rFonts w:ascii="Palatino Linotype" w:hAnsi="Palatino Linotype"/>
          <w:sz w:val="22"/>
          <w:szCs w:val="22"/>
        </w:rPr>
      </w:pPr>
      <w:r w:rsidRPr="006B671F">
        <w:rPr>
          <w:rFonts w:ascii="Palatino Linotype" w:eastAsia="Palatino Linotype" w:hAnsi="Palatino Linotype" w:cs="Palatino Linotype"/>
          <w:b/>
          <w:sz w:val="22"/>
          <w:szCs w:val="22"/>
        </w:rPr>
        <w:t>SEGUNDO</w:t>
      </w:r>
      <w:r w:rsidR="00893CAE" w:rsidRPr="006B671F">
        <w:rPr>
          <w:rFonts w:ascii="Palatino Linotype" w:eastAsia="Palatino Linotype" w:hAnsi="Palatino Linotype" w:cs="Palatino Linotype"/>
          <w:b/>
          <w:sz w:val="22"/>
          <w:szCs w:val="22"/>
        </w:rPr>
        <w:t>.</w:t>
      </w:r>
      <w:r w:rsidR="00AF2F84" w:rsidRPr="006B671F">
        <w:rPr>
          <w:rFonts w:ascii="Palatino Linotype" w:eastAsia="Palatino Linotype" w:hAnsi="Palatino Linotype" w:cs="Palatino Linotype"/>
          <w:b/>
          <w:sz w:val="22"/>
          <w:szCs w:val="22"/>
        </w:rPr>
        <w:t xml:space="preserve"> </w:t>
      </w:r>
      <w:r w:rsidR="002C5BED" w:rsidRPr="006B671F">
        <w:rPr>
          <w:rFonts w:ascii="Palatino Linotype" w:eastAsia="Palatino Linotype" w:hAnsi="Palatino Linotype" w:cs="Palatino Linotype"/>
          <w:sz w:val="22"/>
          <w:szCs w:val="22"/>
        </w:rPr>
        <w:t>Se</w:t>
      </w:r>
      <w:r w:rsidR="002C5BED" w:rsidRPr="006B671F">
        <w:rPr>
          <w:rFonts w:ascii="Palatino Linotype" w:eastAsia="Palatino Linotype" w:hAnsi="Palatino Linotype" w:cs="Palatino Linotype"/>
          <w:b/>
          <w:sz w:val="22"/>
          <w:szCs w:val="22"/>
        </w:rPr>
        <w:t xml:space="preserve"> ORDENA </w:t>
      </w:r>
      <w:r w:rsidR="002C5BED" w:rsidRPr="006B671F">
        <w:rPr>
          <w:rFonts w:ascii="Palatino Linotype" w:eastAsia="Palatino Linotype" w:hAnsi="Palatino Linotype" w:cs="Palatino Linotype"/>
          <w:sz w:val="22"/>
          <w:szCs w:val="22"/>
        </w:rPr>
        <w:t xml:space="preserve">al </w:t>
      </w:r>
      <w:r w:rsidR="002C5BED" w:rsidRPr="006B671F">
        <w:rPr>
          <w:rFonts w:ascii="Palatino Linotype" w:eastAsia="Palatino Linotype" w:hAnsi="Palatino Linotype" w:cs="Palatino Linotype"/>
          <w:b/>
          <w:sz w:val="22"/>
          <w:szCs w:val="22"/>
        </w:rPr>
        <w:t>SUJETO OBLIGADO</w:t>
      </w:r>
      <w:r w:rsidR="002C5BED" w:rsidRPr="006B671F">
        <w:rPr>
          <w:rFonts w:ascii="Palatino Linotype" w:eastAsia="Palatino Linotype" w:hAnsi="Palatino Linotype" w:cs="Palatino Linotype"/>
          <w:sz w:val="22"/>
          <w:szCs w:val="22"/>
        </w:rPr>
        <w:t xml:space="preserve"> a que,</w:t>
      </w:r>
      <w:r w:rsidR="002C5BED" w:rsidRPr="006B671F">
        <w:rPr>
          <w:rFonts w:ascii="Palatino Linotype" w:eastAsia="Palatino Linotype" w:hAnsi="Palatino Linotype" w:cs="Palatino Linotype"/>
          <w:b/>
          <w:sz w:val="22"/>
          <w:szCs w:val="22"/>
        </w:rPr>
        <w:t xml:space="preserve"> </w:t>
      </w:r>
      <w:r w:rsidR="002C5BED" w:rsidRPr="006B671F">
        <w:rPr>
          <w:rFonts w:ascii="Palatino Linotype" w:eastAsia="Palatino Linotype" w:hAnsi="Palatino Linotype" w:cs="Palatino Linotype"/>
          <w:sz w:val="22"/>
          <w:szCs w:val="22"/>
        </w:rPr>
        <w:t xml:space="preserve">en términos del Considerando Cuarto y Quinto, haga entrega, vía Sistema de Acceso a la Información Mexiquense, </w:t>
      </w:r>
      <w:r w:rsidR="00CD5168" w:rsidRPr="006B671F">
        <w:rPr>
          <w:rFonts w:ascii="Palatino Linotype" w:eastAsia="Palatino Linotype" w:hAnsi="Palatino Linotype" w:cs="Palatino Linotype"/>
          <w:sz w:val="22"/>
          <w:szCs w:val="22"/>
        </w:rPr>
        <w:t xml:space="preserve">de ser el caso </w:t>
      </w:r>
      <w:r w:rsidR="002C5BED" w:rsidRPr="006B671F">
        <w:rPr>
          <w:rFonts w:ascii="Palatino Linotype" w:eastAsia="Palatino Linotype" w:hAnsi="Palatino Linotype" w:cs="Palatino Linotype"/>
          <w:sz w:val="22"/>
          <w:szCs w:val="22"/>
        </w:rPr>
        <w:t>en versión pública</w:t>
      </w:r>
      <w:r w:rsidR="00C31DAE" w:rsidRPr="006B671F">
        <w:rPr>
          <w:rFonts w:ascii="Palatino Linotype" w:eastAsia="Palatino Linotype" w:hAnsi="Palatino Linotype" w:cs="Palatino Linotype"/>
          <w:sz w:val="22"/>
          <w:szCs w:val="22"/>
        </w:rPr>
        <w:t xml:space="preserve">, los documentos donde conste </w:t>
      </w:r>
      <w:r w:rsidR="002C5BED" w:rsidRPr="006B671F">
        <w:rPr>
          <w:rFonts w:ascii="Palatino Linotype" w:eastAsia="Palatino Linotype" w:hAnsi="Palatino Linotype" w:cs="Palatino Linotype"/>
          <w:sz w:val="22"/>
          <w:szCs w:val="22"/>
        </w:rPr>
        <w:t>la siguiente información</w:t>
      </w:r>
      <w:r w:rsidR="002C5BED" w:rsidRPr="006B671F">
        <w:rPr>
          <w:rFonts w:ascii="Palatino Linotype" w:hAnsi="Palatino Linotype"/>
          <w:sz w:val="22"/>
          <w:szCs w:val="22"/>
        </w:rPr>
        <w:t>:</w:t>
      </w:r>
    </w:p>
    <w:p w14:paraId="5F743E2B" w14:textId="77777777" w:rsidR="002C5BED" w:rsidRPr="006B671F" w:rsidRDefault="002C5BED" w:rsidP="00EC101D">
      <w:pPr>
        <w:spacing w:line="360" w:lineRule="auto"/>
        <w:jc w:val="both"/>
        <w:rPr>
          <w:rFonts w:ascii="Palatino Linotype" w:eastAsia="Palatino Linotype" w:hAnsi="Palatino Linotype" w:cs="Palatino Linotype"/>
          <w:sz w:val="22"/>
          <w:szCs w:val="22"/>
        </w:rPr>
      </w:pPr>
    </w:p>
    <w:p w14:paraId="77CECC40" w14:textId="27764F8F" w:rsidR="00E62465" w:rsidRPr="006B671F" w:rsidRDefault="00E62465" w:rsidP="00662D89">
      <w:pPr>
        <w:pStyle w:val="Prrafodelista"/>
        <w:numPr>
          <w:ilvl w:val="0"/>
          <w:numId w:val="1"/>
        </w:numPr>
        <w:spacing w:line="360" w:lineRule="auto"/>
        <w:ind w:left="567"/>
        <w:jc w:val="both"/>
        <w:rPr>
          <w:rFonts w:eastAsia="Palatino Linotype" w:cs="Palatino Linotype"/>
          <w:b/>
        </w:rPr>
      </w:pPr>
      <w:r w:rsidRPr="006B671F">
        <w:rPr>
          <w:rFonts w:ascii="Palatino Linotype" w:eastAsia="Palatino Linotype" w:hAnsi="Palatino Linotype" w:cs="Palatino Linotype"/>
          <w:b/>
          <w:sz w:val="22"/>
        </w:rPr>
        <w:t xml:space="preserve">Los registros de asistencia de los servidores públicos de la Unidad de Asuntos Internos, </w:t>
      </w:r>
      <w:r w:rsidRPr="006B671F">
        <w:rPr>
          <w:rFonts w:ascii="Palatino Linotype" w:eastAsiaTheme="minorHAnsi" w:hAnsi="Palatino Linotype" w:cs="Tahoma"/>
          <w:b/>
          <w:sz w:val="22"/>
        </w:rPr>
        <w:t>o bien, la autorización emitida por autoridad competente para omitir la elaboración de dicho control o exceptuar el registro de asistencia</w:t>
      </w:r>
      <w:r w:rsidR="008D678D" w:rsidRPr="006B671F">
        <w:rPr>
          <w:rFonts w:ascii="Palatino Linotype" w:eastAsiaTheme="minorHAnsi" w:hAnsi="Palatino Linotype" w:cs="Tahoma"/>
          <w:b/>
          <w:sz w:val="22"/>
        </w:rPr>
        <w:t>,</w:t>
      </w:r>
      <w:r w:rsidRPr="006B671F">
        <w:rPr>
          <w:rFonts w:ascii="Palatino Linotype" w:eastAsiaTheme="minorHAnsi" w:hAnsi="Palatino Linotype" w:cs="Tahoma"/>
          <w:b/>
          <w:sz w:val="22"/>
        </w:rPr>
        <w:t xml:space="preserve"> de la siguiente temporalidad:</w:t>
      </w:r>
    </w:p>
    <w:p w14:paraId="1CFBC925" w14:textId="4DCF70D3"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uno al treinta</w:t>
      </w:r>
      <w:r w:rsidR="003D5849" w:rsidRPr="006B671F">
        <w:rPr>
          <w:rFonts w:ascii="Palatino Linotype" w:eastAsia="Palatino Linotype" w:hAnsi="Palatino Linotype" w:cs="Palatino Linotype"/>
          <w:b/>
          <w:sz w:val="22"/>
          <w:szCs w:val="22"/>
        </w:rPr>
        <w:t xml:space="preserve"> de enero de 2024; </w:t>
      </w:r>
    </w:p>
    <w:p w14:paraId="02604C9D" w14:textId="1A3B7087"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Del dieciséis al veintiocho </w:t>
      </w:r>
      <w:r w:rsidR="003D5849" w:rsidRPr="006B671F">
        <w:rPr>
          <w:rFonts w:ascii="Palatino Linotype" w:eastAsia="Palatino Linotype" w:hAnsi="Palatino Linotype" w:cs="Palatino Linotype"/>
          <w:b/>
          <w:sz w:val="22"/>
          <w:szCs w:val="22"/>
        </w:rPr>
        <w:t xml:space="preserve">de febrero de 2024: </w:t>
      </w:r>
    </w:p>
    <w:p w14:paraId="4367D10B" w14:textId="6FEB6A55"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lastRenderedPageBreak/>
        <w:t xml:space="preserve">Del dieciséis al treinta </w:t>
      </w:r>
      <w:r w:rsidR="003D5849" w:rsidRPr="006B671F">
        <w:rPr>
          <w:rFonts w:ascii="Palatino Linotype" w:eastAsia="Palatino Linotype" w:hAnsi="Palatino Linotype" w:cs="Palatino Linotype"/>
          <w:b/>
          <w:sz w:val="22"/>
          <w:szCs w:val="22"/>
        </w:rPr>
        <w:t>de marzo de 2024;</w:t>
      </w:r>
    </w:p>
    <w:p w14:paraId="00CB5AB6" w14:textId="29C34912"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uno al treinta</w:t>
      </w:r>
      <w:r w:rsidR="003D5849" w:rsidRPr="006B671F">
        <w:rPr>
          <w:rFonts w:ascii="Palatino Linotype" w:eastAsia="Palatino Linotype" w:hAnsi="Palatino Linotype" w:cs="Palatino Linotype"/>
          <w:b/>
          <w:sz w:val="22"/>
          <w:szCs w:val="22"/>
        </w:rPr>
        <w:t xml:space="preserve"> de abril de 2024;</w:t>
      </w:r>
    </w:p>
    <w:p w14:paraId="146395B8" w14:textId="29A92B9B"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uno al quince de junio de 2024</w:t>
      </w:r>
      <w:r w:rsidR="003D5849" w:rsidRPr="006B671F">
        <w:rPr>
          <w:rFonts w:ascii="Palatino Linotype" w:eastAsia="Palatino Linotype" w:hAnsi="Palatino Linotype" w:cs="Palatino Linotype"/>
          <w:b/>
          <w:sz w:val="22"/>
          <w:szCs w:val="22"/>
        </w:rPr>
        <w:t>;</w:t>
      </w:r>
      <w:r w:rsidRPr="006B671F">
        <w:rPr>
          <w:rFonts w:ascii="Palatino Linotype" w:eastAsia="Palatino Linotype" w:hAnsi="Palatino Linotype" w:cs="Palatino Linotype"/>
          <w:b/>
          <w:sz w:val="22"/>
          <w:szCs w:val="22"/>
        </w:rPr>
        <w:t xml:space="preserve"> </w:t>
      </w:r>
    </w:p>
    <w:p w14:paraId="4B735DA8" w14:textId="2AFB3FF6"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 xml:space="preserve">Del dieciséis al treinta </w:t>
      </w:r>
      <w:r w:rsidR="003D5849" w:rsidRPr="006B671F">
        <w:rPr>
          <w:rFonts w:ascii="Palatino Linotype" w:eastAsia="Palatino Linotype" w:hAnsi="Palatino Linotype" w:cs="Palatino Linotype"/>
          <w:b/>
          <w:sz w:val="22"/>
          <w:szCs w:val="22"/>
        </w:rPr>
        <w:t>de julio de 2024; y</w:t>
      </w:r>
    </w:p>
    <w:p w14:paraId="23DCC2A6" w14:textId="03D184A2" w:rsidR="00E62465" w:rsidRPr="006B671F" w:rsidRDefault="00E62465" w:rsidP="00662D89">
      <w:pPr>
        <w:pStyle w:val="Prrafodelista"/>
        <w:numPr>
          <w:ilvl w:val="0"/>
          <w:numId w:val="14"/>
        </w:numPr>
        <w:spacing w:line="360" w:lineRule="auto"/>
        <w:ind w:left="993" w:right="49" w:hanging="426"/>
        <w:jc w:val="both"/>
        <w:rPr>
          <w:rFonts w:ascii="Palatino Linotype" w:eastAsia="Palatino Linotype" w:hAnsi="Palatino Linotype" w:cs="Palatino Linotype"/>
          <w:b/>
          <w:sz w:val="22"/>
          <w:szCs w:val="22"/>
        </w:rPr>
      </w:pPr>
      <w:r w:rsidRPr="006B671F">
        <w:rPr>
          <w:rFonts w:ascii="Palatino Linotype" w:eastAsia="Palatino Linotype" w:hAnsi="Palatino Linotype" w:cs="Palatino Linotype"/>
          <w:b/>
          <w:sz w:val="22"/>
          <w:szCs w:val="22"/>
        </w:rPr>
        <w:t>Del uno al quince de septiembre de 2024</w:t>
      </w:r>
      <w:r w:rsidR="003D5849" w:rsidRPr="006B671F">
        <w:rPr>
          <w:rFonts w:ascii="Palatino Linotype" w:eastAsia="Palatino Linotype" w:hAnsi="Palatino Linotype" w:cs="Palatino Linotype"/>
          <w:b/>
          <w:sz w:val="22"/>
          <w:szCs w:val="22"/>
        </w:rPr>
        <w:t>.</w:t>
      </w:r>
    </w:p>
    <w:p w14:paraId="4FCA3FBB" w14:textId="77777777" w:rsidR="00E62465" w:rsidRPr="006B671F" w:rsidRDefault="00E62465" w:rsidP="00EC101D">
      <w:pPr>
        <w:pStyle w:val="Prrafodelista"/>
        <w:pBdr>
          <w:top w:val="nil"/>
          <w:left w:val="nil"/>
          <w:bottom w:val="nil"/>
          <w:right w:val="nil"/>
          <w:between w:val="nil"/>
        </w:pBdr>
        <w:spacing w:line="360" w:lineRule="auto"/>
        <w:ind w:right="560"/>
        <w:jc w:val="both"/>
        <w:rPr>
          <w:rFonts w:ascii="Palatino Linotype" w:eastAsia="Palatino Linotype" w:hAnsi="Palatino Linotype" w:cs="Palatino Linotype"/>
          <w:sz w:val="22"/>
          <w:szCs w:val="22"/>
        </w:rPr>
      </w:pPr>
    </w:p>
    <w:p w14:paraId="0D24FFC1" w14:textId="77777777" w:rsidR="002C5BED" w:rsidRPr="006B671F" w:rsidRDefault="002C5BED" w:rsidP="0006577A">
      <w:pPr>
        <w:spacing w:line="276"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De ser el caso, deberá emitir el Acuerdo del Comité de Transparencia de conformidad con la Ley de Transparencia y Acceso a la Información Pública del Estado de México y Municipios, en el que funde y motive las razones sobre los datos que se supriman, eliminen o testen de los soportes documentales objeto de las versiones públicas que se formulen y se pongan a disposición de la parte Recurrente, mismo que igualmente hará de su conocimiento.</w:t>
      </w:r>
    </w:p>
    <w:p w14:paraId="07AF1A0C" w14:textId="77777777" w:rsidR="00151B55" w:rsidRPr="006B671F" w:rsidRDefault="00151B55" w:rsidP="0006577A">
      <w:pPr>
        <w:spacing w:line="360" w:lineRule="auto"/>
        <w:ind w:left="567" w:right="560"/>
        <w:jc w:val="both"/>
        <w:rPr>
          <w:rFonts w:ascii="Palatino Linotype" w:eastAsia="Palatino Linotype" w:hAnsi="Palatino Linotype" w:cs="Palatino Linotype"/>
          <w:i/>
          <w:sz w:val="22"/>
          <w:szCs w:val="22"/>
        </w:rPr>
      </w:pPr>
    </w:p>
    <w:p w14:paraId="59ADA78F" w14:textId="5B67BC1F" w:rsidR="003D5849" w:rsidRPr="006B671F" w:rsidRDefault="003D5849" w:rsidP="0006577A">
      <w:pPr>
        <w:pBdr>
          <w:top w:val="nil"/>
          <w:left w:val="nil"/>
          <w:bottom w:val="nil"/>
          <w:right w:val="nil"/>
          <w:between w:val="nil"/>
        </w:pBdr>
        <w:spacing w:line="276" w:lineRule="auto"/>
        <w:ind w:left="567" w:right="560"/>
        <w:jc w:val="both"/>
        <w:rPr>
          <w:rFonts w:ascii="Palatino Linotype" w:eastAsia="Palatino Linotype" w:hAnsi="Palatino Linotype" w:cs="Palatino Linotype"/>
          <w:i/>
          <w:sz w:val="22"/>
          <w:szCs w:val="22"/>
        </w:rPr>
      </w:pPr>
      <w:r w:rsidRPr="006B671F">
        <w:rPr>
          <w:rFonts w:ascii="Palatino Linotype" w:eastAsia="Palatino Linotype" w:hAnsi="Palatino Linotype" w:cs="Palatino Linotype"/>
          <w:i/>
          <w:sz w:val="22"/>
          <w:szCs w:val="22"/>
        </w:rPr>
        <w:t>De no contar con el registro de asistencia o con la autorización para omitir el registro de asistencia de a</w:t>
      </w:r>
      <w:r w:rsidR="008D678D" w:rsidRPr="006B671F">
        <w:rPr>
          <w:rFonts w:ascii="Palatino Linotype" w:eastAsia="Palatino Linotype" w:hAnsi="Palatino Linotype" w:cs="Palatino Linotype"/>
          <w:i/>
          <w:sz w:val="22"/>
          <w:szCs w:val="22"/>
        </w:rPr>
        <w:t>lguno de los servidores público</w:t>
      </w:r>
      <w:r w:rsidRPr="006B671F">
        <w:rPr>
          <w:rFonts w:ascii="Palatino Linotype" w:eastAsia="Palatino Linotype" w:hAnsi="Palatino Linotype" w:cs="Palatino Linotype"/>
          <w:i/>
          <w:sz w:val="22"/>
          <w:szCs w:val="22"/>
        </w:rPr>
        <w:t xml:space="preserve">, </w:t>
      </w:r>
      <w:r w:rsidRPr="006B671F">
        <w:rPr>
          <w:rFonts w:ascii="Palatino Linotype" w:eastAsia="Palatino Linotype" w:hAnsi="Palatino Linotype" w:cs="Palatino Linotype"/>
          <w:b/>
          <w:i/>
          <w:sz w:val="22"/>
          <w:szCs w:val="22"/>
        </w:rPr>
        <w:t>el Sujeto Obligado</w:t>
      </w:r>
      <w:r w:rsidRPr="006B671F">
        <w:rPr>
          <w:rFonts w:ascii="Palatino Linotype" w:eastAsia="Palatino Linotype" w:hAnsi="Palatino Linotype" w:cs="Palatino Linotype"/>
          <w:i/>
          <w:sz w:val="22"/>
          <w:szCs w:val="22"/>
        </w:rPr>
        <w:t xml:space="preserve"> deberá proporcionar el Acuerdo del Comité de Transparencia donde conforme la inexistencia de la información conforme a lo establecido en el artículo 19, párrafo tercero, 169 y 170 de la Ley de Transparencia y Acceso a la Información Pública del Estado de México y Municipios.</w:t>
      </w:r>
    </w:p>
    <w:p w14:paraId="054F9902" w14:textId="77777777" w:rsidR="003D5849" w:rsidRPr="006B671F" w:rsidRDefault="003D5849" w:rsidP="003D5849">
      <w:pPr>
        <w:spacing w:line="360" w:lineRule="auto"/>
        <w:ind w:right="560"/>
        <w:jc w:val="both"/>
        <w:rPr>
          <w:rFonts w:ascii="Palatino Linotype" w:eastAsia="Palatino Linotype" w:hAnsi="Palatino Linotype" w:cs="Palatino Linotype"/>
          <w:i/>
          <w:sz w:val="22"/>
          <w:szCs w:val="22"/>
        </w:rPr>
      </w:pPr>
    </w:p>
    <w:p w14:paraId="255B9480" w14:textId="52C43E5B" w:rsidR="006C601A" w:rsidRPr="006B671F" w:rsidRDefault="002C5BED"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TERCERO</w:t>
      </w:r>
      <w:r w:rsidR="006C601A" w:rsidRPr="006B671F">
        <w:rPr>
          <w:rFonts w:ascii="Palatino Linotype" w:eastAsia="Palatino Linotype" w:hAnsi="Palatino Linotype" w:cs="Palatino Linotype"/>
          <w:b/>
          <w:sz w:val="22"/>
          <w:szCs w:val="22"/>
        </w:rPr>
        <w:t>.</w:t>
      </w:r>
      <w:r w:rsidR="006C601A" w:rsidRPr="006B671F">
        <w:rPr>
          <w:rFonts w:ascii="Palatino Linotype" w:eastAsia="Palatino Linotype" w:hAnsi="Palatino Linotype" w:cs="Palatino Linotype"/>
          <w:sz w:val="22"/>
          <w:szCs w:val="22"/>
        </w:rPr>
        <w:t xml:space="preserve"> </w:t>
      </w:r>
      <w:r w:rsidR="006C601A" w:rsidRPr="006B671F">
        <w:rPr>
          <w:rFonts w:ascii="Palatino Linotype" w:eastAsia="Palatino Linotype" w:hAnsi="Palatino Linotype" w:cs="Palatino Linotype"/>
          <w:b/>
          <w:sz w:val="22"/>
          <w:szCs w:val="22"/>
        </w:rPr>
        <w:t xml:space="preserve">Notifíquese </w:t>
      </w:r>
      <w:r w:rsidR="00893CAE" w:rsidRPr="006B671F">
        <w:rPr>
          <w:rFonts w:ascii="Palatino Linotype" w:eastAsia="Palatino Linotype" w:hAnsi="Palatino Linotype" w:cs="Palatino Linotype"/>
          <w:b/>
          <w:sz w:val="22"/>
          <w:szCs w:val="22"/>
        </w:rPr>
        <w:t xml:space="preserve">vía SAIMEX </w:t>
      </w:r>
      <w:r w:rsidR="006C601A" w:rsidRPr="006B671F">
        <w:rPr>
          <w:rFonts w:ascii="Palatino Linotype" w:eastAsia="Palatino Linotype" w:hAnsi="Palatino Linotype" w:cs="Palatino Linotype"/>
          <w:sz w:val="22"/>
          <w:szCs w:val="22"/>
        </w:rPr>
        <w:t>la presente resolución al T</w:t>
      </w:r>
      <w:r w:rsidR="006C601A" w:rsidRPr="006B671F">
        <w:rPr>
          <w:rFonts w:ascii="Palatino Linotype" w:eastAsia="Palatino Linotype" w:hAnsi="Palatino Linotype" w:cs="Palatino Linotype"/>
          <w:b/>
          <w:sz w:val="22"/>
          <w:szCs w:val="22"/>
        </w:rPr>
        <w:t xml:space="preserve">itular de la Unidad de Transparencia </w:t>
      </w:r>
      <w:r w:rsidR="006C601A" w:rsidRPr="006B671F">
        <w:rPr>
          <w:rFonts w:ascii="Palatino Linotype" w:eastAsia="Palatino Linotype" w:hAnsi="Palatino Linotype" w:cs="Palatino Linotype"/>
          <w:sz w:val="22"/>
          <w:szCs w:val="22"/>
        </w:rPr>
        <w:t xml:space="preserve">del </w:t>
      </w:r>
      <w:r w:rsidR="006C601A" w:rsidRPr="006B671F">
        <w:rPr>
          <w:rFonts w:ascii="Palatino Linotype" w:eastAsia="Palatino Linotype" w:hAnsi="Palatino Linotype" w:cs="Palatino Linotype"/>
          <w:b/>
          <w:sz w:val="22"/>
          <w:szCs w:val="22"/>
        </w:rPr>
        <w:t>SUJETO OBLIGADO</w:t>
      </w:r>
      <w:r w:rsidR="006C601A" w:rsidRPr="006B671F">
        <w:rPr>
          <w:rFonts w:ascii="Palatino Linotype" w:eastAsia="Palatino Linotype" w:hAnsi="Palatino Linotype" w:cs="Palatino Linotype"/>
          <w:sz w:val="22"/>
          <w:szCs w:val="22"/>
        </w:rPr>
        <w:t xml:space="preserve">,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w:t>
      </w:r>
      <w:r w:rsidR="006C601A" w:rsidRPr="006B671F">
        <w:rPr>
          <w:rFonts w:ascii="Palatino Linotype" w:eastAsia="Palatino Linotype" w:hAnsi="Palatino Linotype" w:cs="Palatino Linotype"/>
          <w:sz w:val="22"/>
          <w:szCs w:val="22"/>
        </w:rPr>
        <w:lastRenderedPageBreak/>
        <w:t>conformidad con lo previsto en los artículos 198, 200, fracción III; 214, 215 y 216de la Ley  de Transparencia y Acceso a la Información Pública del Estado de México y Municipios.</w:t>
      </w:r>
    </w:p>
    <w:p w14:paraId="455CC239" w14:textId="77777777" w:rsidR="006C601A" w:rsidRPr="006B671F" w:rsidRDefault="006C601A" w:rsidP="00EC101D">
      <w:pPr>
        <w:spacing w:line="360" w:lineRule="auto"/>
        <w:ind w:right="49"/>
        <w:jc w:val="both"/>
        <w:rPr>
          <w:rFonts w:ascii="Palatino Linotype" w:eastAsia="Palatino Linotype" w:hAnsi="Palatino Linotype" w:cs="Palatino Linotype"/>
          <w:sz w:val="22"/>
          <w:szCs w:val="22"/>
        </w:rPr>
      </w:pPr>
    </w:p>
    <w:p w14:paraId="1293E8BD" w14:textId="5D8B71C3" w:rsidR="006C601A" w:rsidRPr="006B671F" w:rsidRDefault="002C5BED"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CUARTO</w:t>
      </w:r>
      <w:r w:rsidR="00F5306F" w:rsidRPr="006B671F">
        <w:rPr>
          <w:rFonts w:ascii="Palatino Linotype" w:eastAsia="Palatino Linotype" w:hAnsi="Palatino Linotype" w:cs="Palatino Linotype"/>
          <w:b/>
          <w:sz w:val="22"/>
          <w:szCs w:val="22"/>
        </w:rPr>
        <w:t>.</w:t>
      </w:r>
      <w:r w:rsidR="006C601A" w:rsidRPr="006B671F">
        <w:rPr>
          <w:rFonts w:ascii="Palatino Linotype" w:eastAsia="Palatino Linotype" w:hAnsi="Palatino Linotype" w:cs="Palatino Linotype"/>
          <w:sz w:val="22"/>
          <w:szCs w:val="22"/>
        </w:rPr>
        <w:t xml:space="preserve"> </w:t>
      </w:r>
      <w:r w:rsidR="006C601A" w:rsidRPr="006B671F">
        <w:rPr>
          <w:rFonts w:ascii="Palatino Linotype" w:eastAsia="Palatino Linotype" w:hAnsi="Palatino Linotype" w:cs="Palatino Linotype"/>
          <w:b/>
          <w:sz w:val="22"/>
          <w:szCs w:val="22"/>
        </w:rPr>
        <w:t>Notifíquese vía SAIMEX</w:t>
      </w:r>
      <w:r w:rsidR="006C601A" w:rsidRPr="006B671F">
        <w:rPr>
          <w:rFonts w:ascii="Palatino Linotype" w:eastAsia="Palatino Linotype" w:hAnsi="Palatino Linotype" w:cs="Palatino Linotype"/>
          <w:sz w:val="22"/>
          <w:szCs w:val="22"/>
        </w:rPr>
        <w:t xml:space="preserve"> a la parte </w:t>
      </w:r>
      <w:r w:rsidR="006C601A" w:rsidRPr="006B671F">
        <w:rPr>
          <w:rFonts w:ascii="Palatino Linotype" w:eastAsia="Palatino Linotype" w:hAnsi="Palatino Linotype" w:cs="Palatino Linotype"/>
          <w:b/>
          <w:sz w:val="22"/>
          <w:szCs w:val="22"/>
        </w:rPr>
        <w:t xml:space="preserve">RECURRENTE </w:t>
      </w:r>
      <w:r w:rsidR="006C601A" w:rsidRPr="006B671F">
        <w:rPr>
          <w:rFonts w:ascii="Palatino Linotype" w:eastAsia="Palatino Linotype" w:hAnsi="Palatino Linotype" w:cs="Palatino Linotype"/>
          <w:sz w:val="22"/>
          <w:szCs w:val="22"/>
        </w:rPr>
        <w:t>la presente resolución, así como, que de conformidad con lo establecido en el artículo 196 de la Ley de Transparencia y Acceso a la Información Pública del Estado de México y Municipios, o bien, vía Juicio de Amparo en los términos de las leyes aplicables.</w:t>
      </w:r>
    </w:p>
    <w:p w14:paraId="4F5460F1" w14:textId="77777777" w:rsidR="006C601A" w:rsidRPr="006B671F" w:rsidRDefault="006C601A" w:rsidP="00EC101D">
      <w:pPr>
        <w:spacing w:line="360" w:lineRule="auto"/>
        <w:ind w:right="49"/>
        <w:jc w:val="both"/>
        <w:rPr>
          <w:rFonts w:ascii="Palatino Linotype" w:eastAsia="Palatino Linotype" w:hAnsi="Palatino Linotype" w:cs="Palatino Linotype"/>
          <w:sz w:val="22"/>
          <w:szCs w:val="22"/>
        </w:rPr>
      </w:pPr>
    </w:p>
    <w:p w14:paraId="4A746AEC" w14:textId="175DF565" w:rsidR="006C601A" w:rsidRPr="006B671F" w:rsidRDefault="002C5BED" w:rsidP="00EC101D">
      <w:pPr>
        <w:spacing w:line="360" w:lineRule="auto"/>
        <w:ind w:right="49"/>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b/>
          <w:sz w:val="22"/>
          <w:szCs w:val="22"/>
        </w:rPr>
        <w:t>QUINTO</w:t>
      </w:r>
      <w:r w:rsidR="00893CAE" w:rsidRPr="006B671F">
        <w:rPr>
          <w:rFonts w:ascii="Palatino Linotype" w:eastAsia="Palatino Linotype" w:hAnsi="Palatino Linotype" w:cs="Palatino Linotype"/>
          <w:b/>
          <w:sz w:val="22"/>
          <w:szCs w:val="22"/>
        </w:rPr>
        <w:t>.</w:t>
      </w:r>
      <w:r w:rsidR="006C601A" w:rsidRPr="006B671F">
        <w:rPr>
          <w:rFonts w:ascii="Palatino Linotype" w:eastAsia="Palatino Linotype" w:hAnsi="Palatino Linotype" w:cs="Palatino Linotype"/>
          <w:sz w:val="22"/>
          <w:szCs w:val="22"/>
        </w:rPr>
        <w:t xml:space="preserve"> De conformidad con el artículo 198 de la Ley de Transparencia y Acceso a la Información Pública del Estado de México y Municipios, de considerarlo procedente, el </w:t>
      </w:r>
      <w:r w:rsidR="006C601A" w:rsidRPr="006B671F">
        <w:rPr>
          <w:rFonts w:ascii="Palatino Linotype" w:eastAsia="Palatino Linotype" w:hAnsi="Palatino Linotype" w:cs="Palatino Linotype"/>
          <w:b/>
          <w:sz w:val="22"/>
          <w:szCs w:val="22"/>
        </w:rPr>
        <w:t>SUJETO OBLIGADO</w:t>
      </w:r>
      <w:r w:rsidR="006C601A" w:rsidRPr="006B671F">
        <w:rPr>
          <w:rFonts w:ascii="Palatino Linotype" w:eastAsia="Palatino Linotype" w:hAnsi="Palatino Linotype" w:cs="Palatino Linotype"/>
          <w:sz w:val="22"/>
          <w:szCs w:val="22"/>
        </w:rPr>
        <w:t xml:space="preserve"> de manera fundada y motivada, podrá solicitar una ampliación de plazo para el cumplimiento de la presente resolución.</w:t>
      </w:r>
    </w:p>
    <w:p w14:paraId="578D5A62" w14:textId="77777777" w:rsidR="00BE4C17" w:rsidRPr="006B671F" w:rsidRDefault="00BE4C17" w:rsidP="00EC101D">
      <w:pPr>
        <w:spacing w:line="360" w:lineRule="auto"/>
        <w:ind w:right="49"/>
        <w:jc w:val="both"/>
        <w:rPr>
          <w:rFonts w:ascii="Palatino Linotype" w:eastAsia="Palatino Linotype" w:hAnsi="Palatino Linotype" w:cs="Palatino Linotype"/>
          <w:sz w:val="22"/>
          <w:szCs w:val="22"/>
        </w:rPr>
      </w:pPr>
    </w:p>
    <w:p w14:paraId="78866994" w14:textId="7F52C8C4" w:rsidR="00BE4C17" w:rsidRPr="006B671F" w:rsidRDefault="00BE4C17" w:rsidP="00EC101D">
      <w:pPr>
        <w:spacing w:line="360" w:lineRule="auto"/>
        <w:ind w:right="-93"/>
        <w:jc w:val="both"/>
        <w:rPr>
          <w:rFonts w:ascii="Palatino Linotype" w:eastAsia="Palatino Linotype" w:hAnsi="Palatino Linotype" w:cs="Palatino Linotype"/>
          <w:sz w:val="22"/>
          <w:szCs w:val="22"/>
        </w:rPr>
      </w:pPr>
      <w:r w:rsidRPr="006B671F">
        <w:rPr>
          <w:rFonts w:ascii="Palatino Linotype" w:eastAsia="Palatino Linotype" w:hAnsi="Palatino Linotype" w:cs="Palatino Linotype"/>
          <w:sz w:val="22"/>
          <w:szCs w:val="22"/>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4B763E" w:rsidRPr="006B671F">
        <w:rPr>
          <w:rFonts w:ascii="Palatino Linotype" w:eastAsia="Palatino Linotype" w:hAnsi="Palatino Linotype" w:cs="Palatino Linotype"/>
          <w:sz w:val="22"/>
          <w:szCs w:val="22"/>
        </w:rPr>
        <w:t>CUADRAGÉSIMA</w:t>
      </w:r>
      <w:r w:rsidR="00E12D9B" w:rsidRPr="006B671F">
        <w:rPr>
          <w:rFonts w:ascii="Palatino Linotype" w:eastAsia="Palatino Linotype" w:hAnsi="Palatino Linotype" w:cs="Palatino Linotype"/>
          <w:sz w:val="22"/>
          <w:szCs w:val="22"/>
        </w:rPr>
        <w:t xml:space="preserve"> </w:t>
      </w:r>
      <w:r w:rsidR="004B763E" w:rsidRPr="006B671F">
        <w:rPr>
          <w:rFonts w:ascii="Palatino Linotype" w:eastAsia="Palatino Linotype" w:hAnsi="Palatino Linotype" w:cs="Palatino Linotype"/>
          <w:sz w:val="22"/>
          <w:szCs w:val="22"/>
        </w:rPr>
        <w:t>PRIMERA</w:t>
      </w:r>
      <w:r w:rsidR="0024767A" w:rsidRPr="006B671F">
        <w:rPr>
          <w:rFonts w:ascii="Palatino Linotype" w:eastAsia="Palatino Linotype" w:hAnsi="Palatino Linotype" w:cs="Palatino Linotype"/>
          <w:sz w:val="22"/>
          <w:szCs w:val="22"/>
        </w:rPr>
        <w:t xml:space="preserve"> </w:t>
      </w:r>
      <w:r w:rsidRPr="006B671F">
        <w:rPr>
          <w:rFonts w:ascii="Palatino Linotype" w:eastAsia="Palatino Linotype" w:hAnsi="Palatino Linotype" w:cs="Palatino Linotype"/>
          <w:sz w:val="22"/>
          <w:szCs w:val="22"/>
        </w:rPr>
        <w:t xml:space="preserve">SESIÓN ORDINARIA CELEBRADA EL </w:t>
      </w:r>
      <w:r w:rsidR="004B763E" w:rsidRPr="006B671F">
        <w:rPr>
          <w:rFonts w:ascii="Palatino Linotype" w:eastAsia="Palatino Linotype" w:hAnsi="Palatino Linotype" w:cs="Palatino Linotype"/>
          <w:sz w:val="22"/>
          <w:szCs w:val="22"/>
        </w:rPr>
        <w:t>VEINTISIETE</w:t>
      </w:r>
      <w:r w:rsidR="00893CAE" w:rsidRPr="006B671F">
        <w:rPr>
          <w:rFonts w:ascii="Palatino Linotype" w:eastAsia="Palatino Linotype" w:hAnsi="Palatino Linotype" w:cs="Palatino Linotype"/>
          <w:sz w:val="22"/>
          <w:szCs w:val="22"/>
        </w:rPr>
        <w:t xml:space="preserve"> DE </w:t>
      </w:r>
      <w:r w:rsidR="00E12D9B" w:rsidRPr="006B671F">
        <w:rPr>
          <w:rFonts w:ascii="Palatino Linotype" w:eastAsia="Palatino Linotype" w:hAnsi="Palatino Linotype" w:cs="Palatino Linotype"/>
          <w:sz w:val="22"/>
          <w:szCs w:val="22"/>
        </w:rPr>
        <w:t>NOVIEMBRE</w:t>
      </w:r>
      <w:r w:rsidRPr="006B671F">
        <w:rPr>
          <w:rFonts w:ascii="Palatino Linotype" w:eastAsia="Palatino Linotype" w:hAnsi="Palatino Linotype" w:cs="Palatino Linotype"/>
          <w:sz w:val="22"/>
          <w:szCs w:val="22"/>
        </w:rPr>
        <w:t xml:space="preserve"> DE DOS MIL VEINTICUATRO, ANTE EL SECRETARIO TÉCNICO DEL PLENO ALEXIS TAPIA RAMÍREZ.</w:t>
      </w:r>
    </w:p>
    <w:p w14:paraId="687F5901" w14:textId="77777777" w:rsidR="00BE4C17" w:rsidRPr="006B671F" w:rsidRDefault="00BE4C17" w:rsidP="00EC101D">
      <w:pPr>
        <w:spacing w:line="360" w:lineRule="auto"/>
        <w:ind w:right="49"/>
        <w:jc w:val="both"/>
        <w:rPr>
          <w:rFonts w:ascii="Palatino Linotype" w:eastAsia="Palatino Linotype" w:hAnsi="Palatino Linotype" w:cs="Palatino Linotype"/>
          <w:sz w:val="22"/>
          <w:szCs w:val="22"/>
        </w:rPr>
      </w:pPr>
    </w:p>
    <w:p w14:paraId="2D7E4459" w14:textId="77777777" w:rsidR="006B671F" w:rsidRPr="006B671F" w:rsidRDefault="006B671F" w:rsidP="00EC101D">
      <w:pPr>
        <w:spacing w:line="360" w:lineRule="auto"/>
        <w:ind w:right="49"/>
        <w:jc w:val="both"/>
        <w:rPr>
          <w:rFonts w:ascii="Palatino Linotype" w:eastAsia="Palatino Linotype" w:hAnsi="Palatino Linotype" w:cs="Palatino Linotype"/>
          <w:sz w:val="22"/>
          <w:szCs w:val="22"/>
        </w:rPr>
      </w:pPr>
    </w:p>
    <w:p w14:paraId="6010DEA0" w14:textId="77777777" w:rsidR="006B671F" w:rsidRPr="006B671F" w:rsidRDefault="006B671F" w:rsidP="00EC101D">
      <w:pPr>
        <w:spacing w:line="360" w:lineRule="auto"/>
        <w:ind w:right="49"/>
        <w:jc w:val="both"/>
        <w:rPr>
          <w:rFonts w:ascii="Palatino Linotype" w:eastAsia="Palatino Linotype" w:hAnsi="Palatino Linotype" w:cs="Palatino Linotype"/>
          <w:sz w:val="22"/>
          <w:szCs w:val="22"/>
        </w:rPr>
      </w:pPr>
    </w:p>
    <w:p w14:paraId="0239873B" w14:textId="77777777" w:rsidR="006B671F" w:rsidRPr="006B671F" w:rsidRDefault="006B671F" w:rsidP="00EC101D">
      <w:pPr>
        <w:spacing w:line="360" w:lineRule="auto"/>
        <w:ind w:right="49"/>
        <w:jc w:val="both"/>
        <w:rPr>
          <w:rFonts w:ascii="Palatino Linotype" w:eastAsia="Palatino Linotype" w:hAnsi="Palatino Linotype" w:cs="Palatino Linotype"/>
          <w:sz w:val="22"/>
          <w:szCs w:val="22"/>
        </w:rPr>
      </w:pPr>
    </w:p>
    <w:p w14:paraId="74059382" w14:textId="77777777" w:rsidR="006B671F" w:rsidRPr="006B671F" w:rsidRDefault="006B671F" w:rsidP="00EC101D">
      <w:pPr>
        <w:spacing w:line="360" w:lineRule="auto"/>
        <w:ind w:right="49"/>
        <w:jc w:val="both"/>
        <w:rPr>
          <w:rFonts w:ascii="Palatino Linotype" w:eastAsia="Palatino Linotype" w:hAnsi="Palatino Linotype" w:cs="Palatino Linotype"/>
          <w:sz w:val="22"/>
          <w:szCs w:val="22"/>
        </w:rPr>
      </w:pPr>
    </w:p>
    <w:sectPr w:rsidR="006B671F" w:rsidRPr="006B671F">
      <w:headerReference w:type="default" r:id="rId18"/>
      <w:footerReference w:type="default" r:id="rId19"/>
      <w:headerReference w:type="first" r:id="rId20"/>
      <w:footerReference w:type="first" r:id="rId21"/>
      <w:pgSz w:w="12240" w:h="15840"/>
      <w:pgMar w:top="2041" w:right="1474"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011913" w14:textId="77777777" w:rsidR="004E14F5" w:rsidRDefault="004E14F5">
      <w:r>
        <w:separator/>
      </w:r>
    </w:p>
  </w:endnote>
  <w:endnote w:type="continuationSeparator" w:id="0">
    <w:p w14:paraId="0BFF05AA" w14:textId="77777777" w:rsidR="004E14F5" w:rsidRDefault="004E14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852AD" w14:textId="77777777" w:rsidR="00D6397A" w:rsidRDefault="00D6397A">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FA5BAD">
      <w:rPr>
        <w:b/>
        <w:noProof/>
        <w:color w:val="000000"/>
      </w:rPr>
      <w:t>61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FA5BAD">
      <w:rPr>
        <w:b/>
        <w:noProof/>
        <w:color w:val="000000"/>
      </w:rPr>
      <w:t>61</w:t>
    </w:r>
    <w:r>
      <w:rPr>
        <w:b/>
        <w:color w:val="000000"/>
      </w:rPr>
      <w:fldChar w:fldCharType="end"/>
    </w:r>
  </w:p>
  <w:p w14:paraId="05088E2E" w14:textId="77777777" w:rsidR="00D6397A" w:rsidRDefault="00D6397A">
    <w:pPr>
      <w:pBdr>
        <w:top w:val="nil"/>
        <w:left w:val="nil"/>
        <w:bottom w:val="nil"/>
        <w:right w:val="nil"/>
        <w:between w:val="nil"/>
      </w:pBdr>
      <w:tabs>
        <w:tab w:val="center" w:pos="4419"/>
        <w:tab w:val="right" w:pos="8838"/>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C348E" w14:textId="77777777" w:rsidR="00D6397A" w:rsidRDefault="00D6397A">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rPr>
      <w:fldChar w:fldCharType="begin"/>
    </w:r>
    <w:r>
      <w:rPr>
        <w:b/>
        <w:color w:val="000000"/>
      </w:rPr>
      <w:instrText>PAGE</w:instrText>
    </w:r>
    <w:r>
      <w:rPr>
        <w:b/>
        <w:color w:val="000000"/>
      </w:rPr>
      <w:fldChar w:fldCharType="separate"/>
    </w:r>
    <w:r w:rsidR="00FA5BAD">
      <w:rPr>
        <w:b/>
        <w:noProof/>
        <w:color w:val="000000"/>
      </w:rPr>
      <w:t>1</w:t>
    </w:r>
    <w:r>
      <w:rPr>
        <w:b/>
        <w:color w:val="000000"/>
      </w:rPr>
      <w:fldChar w:fldCharType="end"/>
    </w:r>
    <w:r>
      <w:rPr>
        <w:color w:val="000000"/>
      </w:rPr>
      <w:t xml:space="preserve"> de </w:t>
    </w:r>
    <w:r>
      <w:rPr>
        <w:b/>
        <w:color w:val="000000"/>
      </w:rPr>
      <w:fldChar w:fldCharType="begin"/>
    </w:r>
    <w:r>
      <w:rPr>
        <w:b/>
        <w:color w:val="000000"/>
      </w:rPr>
      <w:instrText>NUMPAGES</w:instrText>
    </w:r>
    <w:r>
      <w:rPr>
        <w:b/>
        <w:color w:val="000000"/>
      </w:rPr>
      <w:fldChar w:fldCharType="separate"/>
    </w:r>
    <w:r w:rsidR="00FA5BAD">
      <w:rPr>
        <w:b/>
        <w:noProof/>
        <w:color w:val="000000"/>
      </w:rPr>
      <w:t>61</w:t>
    </w:r>
    <w:r>
      <w:rPr>
        <w:b/>
        <w:color w:val="000000"/>
      </w:rPr>
      <w:fldChar w:fldCharType="end"/>
    </w:r>
  </w:p>
  <w:p w14:paraId="0028DADF" w14:textId="77777777" w:rsidR="00D6397A" w:rsidRDefault="00D6397A">
    <w:pPr>
      <w:pBdr>
        <w:top w:val="nil"/>
        <w:left w:val="nil"/>
        <w:bottom w:val="nil"/>
        <w:right w:val="nil"/>
        <w:between w:val="nil"/>
      </w:pBdr>
      <w:tabs>
        <w:tab w:val="center" w:pos="4419"/>
        <w:tab w:val="right" w:pos="88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F40F6A" w14:textId="77777777" w:rsidR="004E14F5" w:rsidRDefault="004E14F5">
      <w:r>
        <w:separator/>
      </w:r>
    </w:p>
  </w:footnote>
  <w:footnote w:type="continuationSeparator" w:id="0">
    <w:p w14:paraId="15FA73F7" w14:textId="77777777" w:rsidR="004E14F5" w:rsidRDefault="004E14F5">
      <w:r>
        <w:continuationSeparator/>
      </w:r>
    </w:p>
  </w:footnote>
  <w:footnote w:id="1">
    <w:p w14:paraId="1C27C92F" w14:textId="77777777" w:rsidR="00B53380" w:rsidRDefault="00B53380" w:rsidP="00B53380">
      <w:pPr>
        <w:pBdr>
          <w:top w:val="nil"/>
          <w:left w:val="nil"/>
          <w:bottom w:val="nil"/>
          <w:right w:val="nil"/>
          <w:between w:val="nil"/>
        </w:pBdr>
        <w:ind w:left="720" w:hanging="720"/>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w:t>
      </w:r>
      <w:r>
        <w:rPr>
          <w:rFonts w:ascii="Palatino Linotype" w:eastAsia="Palatino Linotype" w:hAnsi="Palatino Linotype" w:cs="Palatino Linotype"/>
          <w:b/>
          <w:color w:val="000000"/>
          <w:sz w:val="16"/>
          <w:szCs w:val="16"/>
        </w:rPr>
        <w:t>Artículo 185.</w:t>
      </w:r>
      <w:r>
        <w:rPr>
          <w:rFonts w:ascii="Palatino Linotype" w:eastAsia="Palatino Linotype" w:hAnsi="Palatino Linotype" w:cs="Palatino Linotype"/>
          <w:color w:val="000000"/>
          <w:sz w:val="16"/>
          <w:szCs w:val="16"/>
        </w:rPr>
        <w:t xml:space="preserve"> El Instituto resolverá el recurso de revisión conforme a lo siguiente: (…)</w:t>
      </w:r>
    </w:p>
    <w:p w14:paraId="3D5DD96E" w14:textId="77777777" w:rsidR="00B53380" w:rsidRDefault="00B53380" w:rsidP="00B53380">
      <w:pPr>
        <w:pBdr>
          <w:top w:val="nil"/>
          <w:left w:val="nil"/>
          <w:bottom w:val="nil"/>
          <w:right w:val="nil"/>
          <w:between w:val="nil"/>
        </w:pBdr>
        <w:jc w:val="both"/>
        <w:rPr>
          <w:rFonts w:ascii="Palatino Linotype" w:eastAsia="Palatino Linotype" w:hAnsi="Palatino Linotype" w:cs="Palatino Linotype"/>
          <w:color w:val="000000"/>
          <w:sz w:val="16"/>
          <w:szCs w:val="16"/>
        </w:rPr>
      </w:pPr>
      <w:r>
        <w:rPr>
          <w:rFonts w:ascii="Palatino Linotype" w:eastAsia="Palatino Linotype" w:hAnsi="Palatino Linotype" w:cs="Palatino Linotype"/>
          <w:color w:val="000000"/>
          <w:sz w:val="16"/>
          <w:szCs w:val="16"/>
        </w:rPr>
        <w:t>II. Admitido el recurso de revisión, la o el Comisionado ponente deberá integrar un expediente y ponerlo a disposición de las partes, para que, en un plazo máximo de siete días hábiles, manifiesten lo que a su derecho convenga;”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3BAA1" w14:textId="77777777" w:rsidR="00D6397A" w:rsidRDefault="00D6397A">
    <w:pPr>
      <w:widowControl w:val="0"/>
      <w:pBdr>
        <w:top w:val="nil"/>
        <w:left w:val="nil"/>
        <w:bottom w:val="nil"/>
        <w:right w:val="nil"/>
        <w:between w:val="nil"/>
      </w:pBdr>
      <w:rPr>
        <w:color w:val="000000"/>
      </w:rPr>
    </w:pPr>
    <w:r>
      <w:rPr>
        <w:noProof/>
      </w:rPr>
      <w:drawing>
        <wp:anchor distT="0" distB="0" distL="0" distR="0" simplePos="0" relativeHeight="251658240" behindDoc="1" locked="0" layoutInCell="1" hidden="0" allowOverlap="1" wp14:anchorId="26BC99F2" wp14:editId="2C6AA544">
          <wp:simplePos x="0" y="0"/>
          <wp:positionH relativeFrom="column">
            <wp:posOffset>-717549</wp:posOffset>
          </wp:positionH>
          <wp:positionV relativeFrom="paragraph">
            <wp:posOffset>-250189</wp:posOffset>
          </wp:positionV>
          <wp:extent cx="7809876" cy="10165823"/>
          <wp:effectExtent l="0" t="0" r="0" b="0"/>
          <wp:wrapNone/>
          <wp:docPr id="3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76" cy="10165823"/>
                  </a:xfrm>
                  <a:prstGeom prst="rect">
                    <a:avLst/>
                  </a:prstGeom>
                  <a:ln/>
                </pic:spPr>
              </pic:pic>
            </a:graphicData>
          </a:graphic>
        </wp:anchor>
      </w:drawing>
    </w:r>
  </w:p>
  <w:tbl>
    <w:tblPr>
      <w:tblStyle w:val="7"/>
      <w:tblW w:w="5603" w:type="dxa"/>
      <w:tblInd w:w="3611" w:type="dxa"/>
      <w:tblLayout w:type="fixed"/>
      <w:tblLook w:val="0400" w:firstRow="0" w:lastRow="0" w:firstColumn="0" w:lastColumn="0" w:noHBand="0" w:noVBand="1"/>
    </w:tblPr>
    <w:tblGrid>
      <w:gridCol w:w="2551"/>
      <w:gridCol w:w="3052"/>
    </w:tblGrid>
    <w:tr w:rsidR="00D6397A" w14:paraId="0EEDF416" w14:textId="77777777">
      <w:tc>
        <w:tcPr>
          <w:tcW w:w="2551" w:type="dxa"/>
          <w:vAlign w:val="center"/>
        </w:tcPr>
        <w:p w14:paraId="2E1B9638" w14:textId="77777777" w:rsidR="00D6397A"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Recurso de Revisión:</w:t>
          </w:r>
        </w:p>
        <w:p w14:paraId="735EB31D" w14:textId="77777777" w:rsidR="00D6397A"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p>
      </w:tc>
      <w:tc>
        <w:tcPr>
          <w:tcW w:w="3052" w:type="dxa"/>
          <w:vAlign w:val="center"/>
        </w:tcPr>
        <w:p w14:paraId="130A5866" w14:textId="6520903C" w:rsidR="00D6397A" w:rsidRDefault="00D6397A" w:rsidP="002476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06384/INFOEM/IP/RR/2024 y acumulado</w:t>
          </w:r>
        </w:p>
      </w:tc>
    </w:tr>
    <w:tr w:rsidR="00D6397A" w14:paraId="7B369D83" w14:textId="77777777">
      <w:trPr>
        <w:trHeight w:val="217"/>
      </w:trPr>
      <w:tc>
        <w:tcPr>
          <w:tcW w:w="2551" w:type="dxa"/>
          <w:vAlign w:val="center"/>
        </w:tcPr>
        <w:p w14:paraId="40037850" w14:textId="51B3C556" w:rsidR="00D6397A"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Sujeto obligado:</w:t>
          </w:r>
        </w:p>
      </w:tc>
      <w:tc>
        <w:tcPr>
          <w:tcW w:w="3052" w:type="dxa"/>
          <w:vAlign w:val="center"/>
        </w:tcPr>
        <w:p w14:paraId="602B610A" w14:textId="49AF45AE" w:rsidR="00D6397A" w:rsidRDefault="00D6397A" w:rsidP="00253654">
          <w:pPr>
            <w:pBdr>
              <w:top w:val="nil"/>
              <w:left w:val="nil"/>
              <w:bottom w:val="nil"/>
              <w:right w:val="nil"/>
              <w:between w:val="nil"/>
            </w:pBdr>
            <w:tabs>
              <w:tab w:val="center" w:pos="4419"/>
              <w:tab w:val="right" w:pos="8838"/>
            </w:tabs>
            <w:ind w:right="168"/>
            <w:jc w:val="both"/>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Unidad de Asuntos Internos</w:t>
          </w:r>
        </w:p>
      </w:tc>
    </w:tr>
    <w:tr w:rsidR="00D6397A" w14:paraId="4B8D2719" w14:textId="77777777">
      <w:tc>
        <w:tcPr>
          <w:tcW w:w="2551" w:type="dxa"/>
          <w:vAlign w:val="center"/>
        </w:tcPr>
        <w:p w14:paraId="7945A578" w14:textId="77777777" w:rsidR="00D6397A"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Comisionada ponente:</w:t>
          </w:r>
        </w:p>
      </w:tc>
      <w:tc>
        <w:tcPr>
          <w:tcW w:w="3052" w:type="dxa"/>
          <w:vAlign w:val="center"/>
        </w:tcPr>
        <w:p w14:paraId="7FE9E899" w14:textId="77777777" w:rsidR="00D6397A"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rPr>
          </w:pPr>
          <w:r>
            <w:rPr>
              <w:rFonts w:ascii="Palatino Linotype" w:eastAsia="Palatino Linotype" w:hAnsi="Palatino Linotype" w:cs="Palatino Linotype"/>
              <w:b/>
              <w:color w:val="000000"/>
            </w:rPr>
            <w:t>Guadalupe Ramírez Peña</w:t>
          </w:r>
        </w:p>
      </w:tc>
    </w:tr>
  </w:tbl>
  <w:p w14:paraId="0121CB1E" w14:textId="77777777" w:rsidR="00D6397A" w:rsidRDefault="00D6397A">
    <w:pPr>
      <w:pBdr>
        <w:top w:val="nil"/>
        <w:left w:val="nil"/>
        <w:bottom w:val="nil"/>
        <w:right w:val="nil"/>
        <w:between w:val="nil"/>
      </w:pBdr>
      <w:tabs>
        <w:tab w:val="center" w:pos="4419"/>
        <w:tab w:val="right" w:pos="8838"/>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7CBCB" w14:textId="5AF06F4A" w:rsidR="00D6397A" w:rsidRPr="00066B03" w:rsidRDefault="00D6397A">
    <w:pPr>
      <w:widowControl w:val="0"/>
      <w:pBdr>
        <w:top w:val="nil"/>
        <w:left w:val="nil"/>
        <w:bottom w:val="nil"/>
        <w:right w:val="nil"/>
        <w:between w:val="nil"/>
      </w:pBdr>
      <w:rPr>
        <w:rFonts w:ascii="Palatino Linotype" w:eastAsia="Palatino Linotype" w:hAnsi="Palatino Linotype" w:cs="Palatino Linotype"/>
        <w:sz w:val="22"/>
        <w:szCs w:val="22"/>
      </w:rPr>
    </w:pPr>
  </w:p>
  <w:tbl>
    <w:tblPr>
      <w:tblStyle w:val="8"/>
      <w:tblW w:w="5603" w:type="dxa"/>
      <w:tblInd w:w="3611" w:type="dxa"/>
      <w:tblLayout w:type="fixed"/>
      <w:tblLook w:val="0400" w:firstRow="0" w:lastRow="0" w:firstColumn="0" w:lastColumn="0" w:noHBand="0" w:noVBand="1"/>
    </w:tblPr>
    <w:tblGrid>
      <w:gridCol w:w="2551"/>
      <w:gridCol w:w="3052"/>
    </w:tblGrid>
    <w:tr w:rsidR="00D6397A" w:rsidRPr="00066B03" w14:paraId="4B3DE2F4" w14:textId="77777777" w:rsidTr="007F20B8">
      <w:tc>
        <w:tcPr>
          <w:tcW w:w="2551" w:type="dxa"/>
          <w:vAlign w:val="center"/>
        </w:tcPr>
        <w:p w14:paraId="3BD1DB4D" w14:textId="77777777" w:rsidR="00D6397A" w:rsidRPr="00066B03"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sidRPr="00066B03">
            <w:rPr>
              <w:rFonts w:ascii="Palatino Linotype" w:eastAsia="Palatino Linotype" w:hAnsi="Palatino Linotype" w:cs="Palatino Linotype"/>
              <w:b/>
              <w:color w:val="000000"/>
              <w:sz w:val="22"/>
              <w:szCs w:val="22"/>
            </w:rPr>
            <w:t>Recurso de Revisión:</w:t>
          </w:r>
        </w:p>
        <w:p w14:paraId="7CD6E76B" w14:textId="77777777" w:rsidR="00D6397A" w:rsidRPr="00066B03"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p>
      </w:tc>
      <w:tc>
        <w:tcPr>
          <w:tcW w:w="3052" w:type="dxa"/>
          <w:vAlign w:val="center"/>
        </w:tcPr>
        <w:p w14:paraId="5B78FAE4" w14:textId="49063152" w:rsidR="00D6397A" w:rsidRPr="00066B03" w:rsidRDefault="00D6397A" w:rsidP="00CE68DF">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sidRPr="00066B03">
            <w:rPr>
              <w:rFonts w:ascii="Palatino Linotype" w:eastAsia="Palatino Linotype" w:hAnsi="Palatino Linotype" w:cs="Palatino Linotype"/>
              <w:b/>
              <w:color w:val="000000"/>
              <w:sz w:val="22"/>
              <w:szCs w:val="22"/>
            </w:rPr>
            <w:t>06384/INFOEM/IP/RR/2024 y acumulado</w:t>
          </w:r>
        </w:p>
      </w:tc>
    </w:tr>
    <w:tr w:rsidR="00D6397A" w:rsidRPr="00066B03" w14:paraId="2DEC6632" w14:textId="77777777" w:rsidTr="007F20B8">
      <w:tc>
        <w:tcPr>
          <w:tcW w:w="2551" w:type="dxa"/>
          <w:vAlign w:val="center"/>
        </w:tcPr>
        <w:p w14:paraId="20389A96" w14:textId="77777777" w:rsidR="00D6397A" w:rsidRPr="00066B03"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sidRPr="00066B03">
            <w:rPr>
              <w:rFonts w:ascii="Palatino Linotype" w:eastAsia="Palatino Linotype" w:hAnsi="Palatino Linotype" w:cs="Palatino Linotype"/>
              <w:b/>
              <w:color w:val="000000"/>
              <w:sz w:val="22"/>
              <w:szCs w:val="22"/>
            </w:rPr>
            <w:t>Recurrente:</w:t>
          </w:r>
        </w:p>
      </w:tc>
      <w:tc>
        <w:tcPr>
          <w:tcW w:w="3052" w:type="dxa"/>
          <w:vAlign w:val="center"/>
        </w:tcPr>
        <w:p w14:paraId="368F2E35" w14:textId="09B2B9FA" w:rsidR="00D6397A" w:rsidRPr="00066B03" w:rsidRDefault="00895A38" w:rsidP="00066B03">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sidRPr="00895A38">
            <w:rPr>
              <w:rFonts w:ascii="Palatino Linotype" w:eastAsia="Palatino Linotype" w:hAnsi="Palatino Linotype" w:cs="Palatino Linotype"/>
              <w:b/>
              <w:color w:val="000000"/>
              <w:sz w:val="22"/>
              <w:szCs w:val="22"/>
            </w:rPr>
            <w:t>XXXXXXXXXX XXX XXXXX</w:t>
          </w:r>
        </w:p>
      </w:tc>
    </w:tr>
    <w:tr w:rsidR="00D6397A" w:rsidRPr="00066B03" w14:paraId="69CC55D2" w14:textId="77777777" w:rsidTr="007F20B8">
      <w:trPr>
        <w:trHeight w:val="152"/>
      </w:trPr>
      <w:tc>
        <w:tcPr>
          <w:tcW w:w="2551" w:type="dxa"/>
          <w:vAlign w:val="center"/>
        </w:tcPr>
        <w:p w14:paraId="703785DC" w14:textId="77777777" w:rsidR="00D6397A" w:rsidRPr="00066B03" w:rsidRDefault="00D6397A">
          <w:pPr>
            <w:tabs>
              <w:tab w:val="center" w:pos="4419"/>
              <w:tab w:val="right" w:pos="8838"/>
            </w:tabs>
            <w:rPr>
              <w:rFonts w:ascii="Palatino Linotype" w:eastAsia="Palatino Linotype" w:hAnsi="Palatino Linotype" w:cs="Palatino Linotype"/>
              <w:b/>
              <w:color w:val="000000"/>
              <w:sz w:val="22"/>
              <w:szCs w:val="22"/>
            </w:rPr>
          </w:pPr>
          <w:r w:rsidRPr="00066B03">
            <w:rPr>
              <w:noProof/>
              <w:sz w:val="22"/>
              <w:szCs w:val="22"/>
            </w:rPr>
            <w:drawing>
              <wp:anchor distT="0" distB="0" distL="0" distR="0" simplePos="0" relativeHeight="251659264" behindDoc="1" locked="0" layoutInCell="1" hidden="0" allowOverlap="1" wp14:anchorId="1252FF11" wp14:editId="085CEE88">
                <wp:simplePos x="0" y="0"/>
                <wp:positionH relativeFrom="column">
                  <wp:posOffset>-3065145</wp:posOffset>
                </wp:positionH>
                <wp:positionV relativeFrom="paragraph">
                  <wp:posOffset>-1162050</wp:posOffset>
                </wp:positionV>
                <wp:extent cx="7809865" cy="10165715"/>
                <wp:effectExtent l="0" t="0" r="0" b="0"/>
                <wp:wrapNone/>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809865" cy="10165715"/>
                        </a:xfrm>
                        <a:prstGeom prst="rect">
                          <a:avLst/>
                        </a:prstGeom>
                        <a:ln/>
                      </pic:spPr>
                    </pic:pic>
                  </a:graphicData>
                </a:graphic>
                <wp14:sizeRelH relativeFrom="margin">
                  <wp14:pctWidth>0</wp14:pctWidth>
                </wp14:sizeRelH>
                <wp14:sizeRelV relativeFrom="margin">
                  <wp14:pctHeight>0</wp14:pctHeight>
                </wp14:sizeRelV>
              </wp:anchor>
            </w:drawing>
          </w:r>
          <w:r w:rsidRPr="00066B03">
            <w:rPr>
              <w:rFonts w:ascii="Palatino Linotype" w:eastAsia="Palatino Linotype" w:hAnsi="Palatino Linotype" w:cs="Palatino Linotype"/>
              <w:b/>
              <w:color w:val="000000"/>
              <w:sz w:val="22"/>
              <w:szCs w:val="22"/>
            </w:rPr>
            <w:t>Sujeto obligado:</w:t>
          </w:r>
        </w:p>
        <w:p w14:paraId="23FE21F9" w14:textId="54EA46CB" w:rsidR="00D6397A" w:rsidRPr="00066B03" w:rsidRDefault="00D6397A">
          <w:pPr>
            <w:tabs>
              <w:tab w:val="center" w:pos="4419"/>
              <w:tab w:val="right" w:pos="8838"/>
            </w:tabs>
            <w:rPr>
              <w:rFonts w:ascii="Palatino Linotype" w:eastAsia="Palatino Linotype" w:hAnsi="Palatino Linotype" w:cs="Palatino Linotype"/>
              <w:b/>
              <w:color w:val="000000"/>
              <w:sz w:val="22"/>
              <w:szCs w:val="22"/>
            </w:rPr>
          </w:pPr>
        </w:p>
      </w:tc>
      <w:tc>
        <w:tcPr>
          <w:tcW w:w="3052" w:type="dxa"/>
          <w:vAlign w:val="center"/>
        </w:tcPr>
        <w:p w14:paraId="676A0846" w14:textId="22AD8220" w:rsidR="00D6397A" w:rsidRPr="00066B03" w:rsidRDefault="00D6397A" w:rsidP="00253654">
          <w:pPr>
            <w:pBdr>
              <w:top w:val="nil"/>
              <w:left w:val="nil"/>
              <w:bottom w:val="nil"/>
              <w:right w:val="nil"/>
              <w:between w:val="nil"/>
            </w:pBdr>
            <w:tabs>
              <w:tab w:val="center" w:pos="4419"/>
              <w:tab w:val="right" w:pos="8838"/>
            </w:tabs>
            <w:ind w:right="174"/>
            <w:jc w:val="both"/>
            <w:rPr>
              <w:rFonts w:ascii="Palatino Linotype" w:eastAsia="Palatino Linotype" w:hAnsi="Palatino Linotype" w:cs="Palatino Linotype"/>
              <w:b/>
              <w:color w:val="000000"/>
              <w:sz w:val="22"/>
              <w:szCs w:val="22"/>
            </w:rPr>
          </w:pPr>
          <w:r w:rsidRPr="00066B03">
            <w:rPr>
              <w:rFonts w:ascii="Palatino Linotype" w:eastAsia="Palatino Linotype" w:hAnsi="Palatino Linotype" w:cs="Palatino Linotype"/>
              <w:b/>
              <w:color w:val="000000"/>
              <w:sz w:val="22"/>
              <w:szCs w:val="22"/>
            </w:rPr>
            <w:t>Unidad de Asuntos Internos</w:t>
          </w:r>
        </w:p>
      </w:tc>
    </w:tr>
    <w:tr w:rsidR="00D6397A" w:rsidRPr="00066B03" w14:paraId="3B31ACFB" w14:textId="77777777" w:rsidTr="007F20B8">
      <w:tc>
        <w:tcPr>
          <w:tcW w:w="2551" w:type="dxa"/>
          <w:vAlign w:val="center"/>
        </w:tcPr>
        <w:p w14:paraId="5F0544CF" w14:textId="77777777" w:rsidR="00D6397A" w:rsidRPr="00066B03"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sidRPr="00066B03">
            <w:rPr>
              <w:rFonts w:ascii="Palatino Linotype" w:eastAsia="Palatino Linotype" w:hAnsi="Palatino Linotype" w:cs="Palatino Linotype"/>
              <w:b/>
              <w:color w:val="000000"/>
              <w:sz w:val="22"/>
              <w:szCs w:val="22"/>
            </w:rPr>
            <w:t>Comisionada ponente:</w:t>
          </w:r>
        </w:p>
      </w:tc>
      <w:tc>
        <w:tcPr>
          <w:tcW w:w="3052" w:type="dxa"/>
          <w:vAlign w:val="center"/>
        </w:tcPr>
        <w:p w14:paraId="682DAC23" w14:textId="77777777" w:rsidR="00D6397A" w:rsidRPr="00066B03" w:rsidRDefault="00D6397A">
          <w:pPr>
            <w:pBdr>
              <w:top w:val="nil"/>
              <w:left w:val="nil"/>
              <w:bottom w:val="nil"/>
              <w:right w:val="nil"/>
              <w:between w:val="nil"/>
            </w:pBdr>
            <w:tabs>
              <w:tab w:val="center" w:pos="4419"/>
              <w:tab w:val="right" w:pos="8838"/>
            </w:tabs>
            <w:rPr>
              <w:rFonts w:ascii="Palatino Linotype" w:eastAsia="Palatino Linotype" w:hAnsi="Palatino Linotype" w:cs="Palatino Linotype"/>
              <w:b/>
              <w:color w:val="000000"/>
              <w:sz w:val="22"/>
              <w:szCs w:val="22"/>
            </w:rPr>
          </w:pPr>
          <w:r w:rsidRPr="00066B03">
            <w:rPr>
              <w:rFonts w:ascii="Palatino Linotype" w:eastAsia="Palatino Linotype" w:hAnsi="Palatino Linotype" w:cs="Palatino Linotype"/>
              <w:b/>
              <w:color w:val="000000"/>
              <w:sz w:val="22"/>
              <w:szCs w:val="22"/>
            </w:rPr>
            <w:t>Guadalupe Ramírez Peña</w:t>
          </w:r>
        </w:p>
      </w:tc>
    </w:tr>
  </w:tbl>
  <w:p w14:paraId="7BC5F318" w14:textId="77777777" w:rsidR="00D6397A" w:rsidRPr="00066B03" w:rsidRDefault="00D6397A">
    <w:pPr>
      <w:rPr>
        <w:color w:val="000000"/>
        <w:sz w:val="22"/>
        <w:szCs w:val="22"/>
      </w:rPr>
    </w:pPr>
    <w:r w:rsidRPr="00066B03">
      <w:rPr>
        <w:color w:val="000000"/>
        <w:sz w:val="22"/>
        <w:szCs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E06CE"/>
    <w:multiLevelType w:val="hybridMultilevel"/>
    <w:tmpl w:val="78D611EC"/>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 w15:restartNumberingAfterBreak="0">
    <w:nsid w:val="037C4FA9"/>
    <w:multiLevelType w:val="multilevel"/>
    <w:tmpl w:val="8690B860"/>
    <w:lvl w:ilvl="0">
      <w:start w:val="1"/>
      <w:numFmt w:val="bullet"/>
      <w:lvlText w:val="●"/>
      <w:lvlJc w:val="left"/>
      <w:pPr>
        <w:ind w:left="360" w:hanging="360"/>
      </w:pPr>
      <w:rPr>
        <w:rFonts w:ascii="Noto Sans Symbols" w:eastAsia="Noto Sans Symbols" w:hAnsi="Noto Sans Symbols" w:cs="Noto Sans Symbols"/>
        <w:sz w:val="20"/>
        <w:szCs w:val="20"/>
      </w:rPr>
    </w:lvl>
    <w:lvl w:ilvl="1">
      <w:start w:val="1"/>
      <w:numFmt w:val="bullet"/>
      <w:lvlText w:val="o"/>
      <w:lvlJc w:val="left"/>
      <w:pPr>
        <w:ind w:left="1080" w:hanging="360"/>
      </w:pPr>
      <w:rPr>
        <w:rFonts w:ascii="Courier New" w:eastAsia="Courier New" w:hAnsi="Courier New" w:cs="Courier New"/>
        <w:sz w:val="20"/>
        <w:szCs w:val="20"/>
      </w:rPr>
    </w:lvl>
    <w:lvl w:ilvl="2">
      <w:start w:val="1"/>
      <w:numFmt w:val="bullet"/>
      <w:lvlText w:val="▪"/>
      <w:lvlJc w:val="left"/>
      <w:pPr>
        <w:ind w:left="1800" w:hanging="360"/>
      </w:pPr>
      <w:rPr>
        <w:rFonts w:ascii="Noto Sans Symbols" w:eastAsia="Noto Sans Symbols" w:hAnsi="Noto Sans Symbols" w:cs="Noto Sans Symbols"/>
        <w:sz w:val="20"/>
        <w:szCs w:val="20"/>
      </w:rPr>
    </w:lvl>
    <w:lvl w:ilvl="3">
      <w:start w:val="1"/>
      <w:numFmt w:val="bullet"/>
      <w:lvlText w:val="▪"/>
      <w:lvlJc w:val="left"/>
      <w:pPr>
        <w:ind w:left="2520" w:hanging="360"/>
      </w:pPr>
      <w:rPr>
        <w:rFonts w:ascii="Noto Sans Symbols" w:eastAsia="Noto Sans Symbols" w:hAnsi="Noto Sans Symbols" w:cs="Noto Sans Symbols"/>
        <w:sz w:val="20"/>
        <w:szCs w:val="20"/>
      </w:rPr>
    </w:lvl>
    <w:lvl w:ilvl="4">
      <w:start w:val="1"/>
      <w:numFmt w:val="bullet"/>
      <w:lvlText w:val="▪"/>
      <w:lvlJc w:val="left"/>
      <w:pPr>
        <w:ind w:left="3240" w:hanging="360"/>
      </w:pPr>
      <w:rPr>
        <w:rFonts w:ascii="Noto Sans Symbols" w:eastAsia="Noto Sans Symbols" w:hAnsi="Noto Sans Symbols" w:cs="Noto Sans Symbols"/>
        <w:sz w:val="20"/>
        <w:szCs w:val="20"/>
      </w:rPr>
    </w:lvl>
    <w:lvl w:ilvl="5">
      <w:start w:val="1"/>
      <w:numFmt w:val="bullet"/>
      <w:lvlText w:val="▪"/>
      <w:lvlJc w:val="left"/>
      <w:pPr>
        <w:ind w:left="3960" w:hanging="360"/>
      </w:pPr>
      <w:rPr>
        <w:rFonts w:ascii="Noto Sans Symbols" w:eastAsia="Noto Sans Symbols" w:hAnsi="Noto Sans Symbols" w:cs="Noto Sans Symbols"/>
        <w:sz w:val="20"/>
        <w:szCs w:val="20"/>
      </w:rPr>
    </w:lvl>
    <w:lvl w:ilvl="6">
      <w:start w:val="1"/>
      <w:numFmt w:val="bullet"/>
      <w:lvlText w:val="▪"/>
      <w:lvlJc w:val="left"/>
      <w:pPr>
        <w:ind w:left="4680" w:hanging="360"/>
      </w:pPr>
      <w:rPr>
        <w:rFonts w:ascii="Noto Sans Symbols" w:eastAsia="Noto Sans Symbols" w:hAnsi="Noto Sans Symbols" w:cs="Noto Sans Symbols"/>
        <w:sz w:val="20"/>
        <w:szCs w:val="20"/>
      </w:rPr>
    </w:lvl>
    <w:lvl w:ilvl="7">
      <w:start w:val="1"/>
      <w:numFmt w:val="bullet"/>
      <w:lvlText w:val="▪"/>
      <w:lvlJc w:val="left"/>
      <w:pPr>
        <w:ind w:left="5400" w:hanging="360"/>
      </w:pPr>
      <w:rPr>
        <w:rFonts w:ascii="Noto Sans Symbols" w:eastAsia="Noto Sans Symbols" w:hAnsi="Noto Sans Symbols" w:cs="Noto Sans Symbols"/>
        <w:sz w:val="20"/>
        <w:szCs w:val="20"/>
      </w:rPr>
    </w:lvl>
    <w:lvl w:ilvl="8">
      <w:start w:val="1"/>
      <w:numFmt w:val="bullet"/>
      <w:lvlText w:val="▪"/>
      <w:lvlJc w:val="left"/>
      <w:pPr>
        <w:ind w:left="6120" w:hanging="360"/>
      </w:pPr>
      <w:rPr>
        <w:rFonts w:ascii="Noto Sans Symbols" w:eastAsia="Noto Sans Symbols" w:hAnsi="Noto Sans Symbols" w:cs="Noto Sans Symbols"/>
        <w:sz w:val="20"/>
        <w:szCs w:val="20"/>
      </w:rPr>
    </w:lvl>
  </w:abstractNum>
  <w:abstractNum w:abstractNumId="2" w15:restartNumberingAfterBreak="0">
    <w:nsid w:val="172C1959"/>
    <w:multiLevelType w:val="hybridMultilevel"/>
    <w:tmpl w:val="4D26F874"/>
    <w:lvl w:ilvl="0" w:tplc="080A0017">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A695C34"/>
    <w:multiLevelType w:val="hybridMultilevel"/>
    <w:tmpl w:val="F9F0F758"/>
    <w:lvl w:ilvl="0" w:tplc="080A0013">
      <w:start w:val="1"/>
      <w:numFmt w:val="upperRoman"/>
      <w:lvlText w:val="%1."/>
      <w:lvlJc w:val="righ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283A72FF"/>
    <w:multiLevelType w:val="multilevel"/>
    <w:tmpl w:val="E4788D3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2D74052F"/>
    <w:multiLevelType w:val="multilevel"/>
    <w:tmpl w:val="11FC5D24"/>
    <w:lvl w:ilvl="0">
      <w:start w:val="1"/>
      <w:numFmt w:val="decimal"/>
      <w:lvlText w:val="%1)"/>
      <w:lvlJc w:val="left"/>
      <w:pPr>
        <w:ind w:left="720" w:hanging="360"/>
      </w:pPr>
      <w:rPr>
        <w:b/>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EDC5BCB"/>
    <w:multiLevelType w:val="hybridMultilevel"/>
    <w:tmpl w:val="7B4473CA"/>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5000665"/>
    <w:multiLevelType w:val="multilevel"/>
    <w:tmpl w:val="E726270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7614C06"/>
    <w:multiLevelType w:val="hybridMultilevel"/>
    <w:tmpl w:val="A3A2E5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3FF021A4"/>
    <w:multiLevelType w:val="hybridMultilevel"/>
    <w:tmpl w:val="7A1282D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2C0114E"/>
    <w:multiLevelType w:val="multilevel"/>
    <w:tmpl w:val="07129422"/>
    <w:lvl w:ilvl="0">
      <w:start w:val="1"/>
      <w:numFmt w:val="upperRoman"/>
      <w:lvlText w:val="%1."/>
      <w:lvlJc w:val="left"/>
      <w:pPr>
        <w:ind w:left="1080" w:hanging="72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60B54C6"/>
    <w:multiLevelType w:val="multilevel"/>
    <w:tmpl w:val="05222EB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15:restartNumberingAfterBreak="0">
    <w:nsid w:val="512C42CF"/>
    <w:multiLevelType w:val="multilevel"/>
    <w:tmpl w:val="6EEA6C2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4F574F0"/>
    <w:multiLevelType w:val="hybridMultilevel"/>
    <w:tmpl w:val="F90E22A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5FB2688F"/>
    <w:multiLevelType w:val="hybridMultilevel"/>
    <w:tmpl w:val="F6A602A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889104744">
    <w:abstractNumId w:val="2"/>
  </w:num>
  <w:num w:numId="2" w16cid:durableId="2105219173">
    <w:abstractNumId w:val="9"/>
  </w:num>
  <w:num w:numId="3" w16cid:durableId="1991668987">
    <w:abstractNumId w:val="8"/>
  </w:num>
  <w:num w:numId="4" w16cid:durableId="394013490">
    <w:abstractNumId w:val="13"/>
  </w:num>
  <w:num w:numId="5" w16cid:durableId="1899393411">
    <w:abstractNumId w:val="1"/>
  </w:num>
  <w:num w:numId="6" w16cid:durableId="1980067978">
    <w:abstractNumId w:val="7"/>
  </w:num>
  <w:num w:numId="7" w16cid:durableId="1525829883">
    <w:abstractNumId w:val="11"/>
  </w:num>
  <w:num w:numId="8" w16cid:durableId="196743441">
    <w:abstractNumId w:val="4"/>
  </w:num>
  <w:num w:numId="9" w16cid:durableId="434134986">
    <w:abstractNumId w:val="5"/>
  </w:num>
  <w:num w:numId="10" w16cid:durableId="226839171">
    <w:abstractNumId w:val="10"/>
  </w:num>
  <w:num w:numId="11" w16cid:durableId="118840465">
    <w:abstractNumId w:val="12"/>
  </w:num>
  <w:num w:numId="12" w16cid:durableId="16515802">
    <w:abstractNumId w:val="14"/>
  </w:num>
  <w:num w:numId="13" w16cid:durableId="1302539748">
    <w:abstractNumId w:val="0"/>
  </w:num>
  <w:num w:numId="14" w16cid:durableId="582108147">
    <w:abstractNumId w:val="6"/>
  </w:num>
  <w:num w:numId="15" w16cid:durableId="1011566548">
    <w:abstractNumId w:val="3"/>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ABB"/>
    <w:rsid w:val="000029C0"/>
    <w:rsid w:val="00004AEB"/>
    <w:rsid w:val="00007A6D"/>
    <w:rsid w:val="0001202F"/>
    <w:rsid w:val="00016CF2"/>
    <w:rsid w:val="00016DD1"/>
    <w:rsid w:val="00017A31"/>
    <w:rsid w:val="000258C4"/>
    <w:rsid w:val="0003125D"/>
    <w:rsid w:val="0004088A"/>
    <w:rsid w:val="00041934"/>
    <w:rsid w:val="00043376"/>
    <w:rsid w:val="000454D8"/>
    <w:rsid w:val="0004564A"/>
    <w:rsid w:val="00046464"/>
    <w:rsid w:val="0004775B"/>
    <w:rsid w:val="0005523F"/>
    <w:rsid w:val="000552EF"/>
    <w:rsid w:val="00061FBA"/>
    <w:rsid w:val="00062A7A"/>
    <w:rsid w:val="00063FBA"/>
    <w:rsid w:val="0006577A"/>
    <w:rsid w:val="00065B20"/>
    <w:rsid w:val="00066945"/>
    <w:rsid w:val="00066B03"/>
    <w:rsid w:val="000755FE"/>
    <w:rsid w:val="000816C5"/>
    <w:rsid w:val="00087987"/>
    <w:rsid w:val="00087B88"/>
    <w:rsid w:val="00090769"/>
    <w:rsid w:val="00091DE0"/>
    <w:rsid w:val="00095EA9"/>
    <w:rsid w:val="000A28B9"/>
    <w:rsid w:val="000B4719"/>
    <w:rsid w:val="000C0258"/>
    <w:rsid w:val="000C7F79"/>
    <w:rsid w:val="000D1AB6"/>
    <w:rsid w:val="000D4D45"/>
    <w:rsid w:val="000D663A"/>
    <w:rsid w:val="000D7460"/>
    <w:rsid w:val="000E0B1B"/>
    <w:rsid w:val="000E469C"/>
    <w:rsid w:val="000F10EC"/>
    <w:rsid w:val="000F1A50"/>
    <w:rsid w:val="000F2948"/>
    <w:rsid w:val="0010029C"/>
    <w:rsid w:val="001002AD"/>
    <w:rsid w:val="00101CF7"/>
    <w:rsid w:val="001070CA"/>
    <w:rsid w:val="0010786B"/>
    <w:rsid w:val="0011381D"/>
    <w:rsid w:val="001157B5"/>
    <w:rsid w:val="00120A74"/>
    <w:rsid w:val="0012297C"/>
    <w:rsid w:val="0012601B"/>
    <w:rsid w:val="0013242F"/>
    <w:rsid w:val="00132B50"/>
    <w:rsid w:val="001332CC"/>
    <w:rsid w:val="0013379A"/>
    <w:rsid w:val="00133AD7"/>
    <w:rsid w:val="0013750E"/>
    <w:rsid w:val="00142475"/>
    <w:rsid w:val="00142DFC"/>
    <w:rsid w:val="00146E05"/>
    <w:rsid w:val="00151B55"/>
    <w:rsid w:val="00153E1B"/>
    <w:rsid w:val="001550CD"/>
    <w:rsid w:val="001579A6"/>
    <w:rsid w:val="00157D42"/>
    <w:rsid w:val="00162F08"/>
    <w:rsid w:val="00167269"/>
    <w:rsid w:val="00167487"/>
    <w:rsid w:val="00170A3F"/>
    <w:rsid w:val="001766CE"/>
    <w:rsid w:val="001849CC"/>
    <w:rsid w:val="00190B3E"/>
    <w:rsid w:val="00191BCF"/>
    <w:rsid w:val="001925B2"/>
    <w:rsid w:val="00195BE6"/>
    <w:rsid w:val="001A1C2F"/>
    <w:rsid w:val="001A20B0"/>
    <w:rsid w:val="001A7601"/>
    <w:rsid w:val="001B03AA"/>
    <w:rsid w:val="001B2B5B"/>
    <w:rsid w:val="001B2EBE"/>
    <w:rsid w:val="001B3330"/>
    <w:rsid w:val="001C6231"/>
    <w:rsid w:val="001C6BFD"/>
    <w:rsid w:val="001C6F23"/>
    <w:rsid w:val="001D06D3"/>
    <w:rsid w:val="001D5332"/>
    <w:rsid w:val="001E1FB7"/>
    <w:rsid w:val="001E7C77"/>
    <w:rsid w:val="00200744"/>
    <w:rsid w:val="00206FE2"/>
    <w:rsid w:val="00214D79"/>
    <w:rsid w:val="0022132A"/>
    <w:rsid w:val="00222B3D"/>
    <w:rsid w:val="00235F55"/>
    <w:rsid w:val="002419F4"/>
    <w:rsid w:val="0024576F"/>
    <w:rsid w:val="0024580C"/>
    <w:rsid w:val="0024767A"/>
    <w:rsid w:val="002502F4"/>
    <w:rsid w:val="002512B7"/>
    <w:rsid w:val="00253654"/>
    <w:rsid w:val="00254DCD"/>
    <w:rsid w:val="002572FF"/>
    <w:rsid w:val="0026307A"/>
    <w:rsid w:val="0026509A"/>
    <w:rsid w:val="00274BB5"/>
    <w:rsid w:val="00276180"/>
    <w:rsid w:val="002763C5"/>
    <w:rsid w:val="00282FCE"/>
    <w:rsid w:val="002855DA"/>
    <w:rsid w:val="002B4EBF"/>
    <w:rsid w:val="002B5110"/>
    <w:rsid w:val="002B5FA0"/>
    <w:rsid w:val="002B680A"/>
    <w:rsid w:val="002C4E7A"/>
    <w:rsid w:val="002C5BED"/>
    <w:rsid w:val="002D2E81"/>
    <w:rsid w:val="002E000D"/>
    <w:rsid w:val="002E2036"/>
    <w:rsid w:val="002E2140"/>
    <w:rsid w:val="002E2C65"/>
    <w:rsid w:val="002E6033"/>
    <w:rsid w:val="002E691E"/>
    <w:rsid w:val="002E7726"/>
    <w:rsid w:val="002F0BE3"/>
    <w:rsid w:val="002F1C7E"/>
    <w:rsid w:val="002F4507"/>
    <w:rsid w:val="002F7743"/>
    <w:rsid w:val="003025CB"/>
    <w:rsid w:val="00311156"/>
    <w:rsid w:val="0031194B"/>
    <w:rsid w:val="00312F9C"/>
    <w:rsid w:val="003158CD"/>
    <w:rsid w:val="003221F6"/>
    <w:rsid w:val="003230A8"/>
    <w:rsid w:val="003308D0"/>
    <w:rsid w:val="003324DE"/>
    <w:rsid w:val="003346B7"/>
    <w:rsid w:val="00334D5D"/>
    <w:rsid w:val="00345DDA"/>
    <w:rsid w:val="00346713"/>
    <w:rsid w:val="00347A0E"/>
    <w:rsid w:val="003522D5"/>
    <w:rsid w:val="0035284D"/>
    <w:rsid w:val="00356274"/>
    <w:rsid w:val="00357C10"/>
    <w:rsid w:val="00363EC7"/>
    <w:rsid w:val="0036442F"/>
    <w:rsid w:val="00365E79"/>
    <w:rsid w:val="003672ED"/>
    <w:rsid w:val="003709A4"/>
    <w:rsid w:val="0037757C"/>
    <w:rsid w:val="003808B6"/>
    <w:rsid w:val="00383756"/>
    <w:rsid w:val="00390A97"/>
    <w:rsid w:val="00390E57"/>
    <w:rsid w:val="003921A9"/>
    <w:rsid w:val="00394E51"/>
    <w:rsid w:val="00396CCF"/>
    <w:rsid w:val="003A0268"/>
    <w:rsid w:val="003A04F9"/>
    <w:rsid w:val="003A0AC9"/>
    <w:rsid w:val="003A105F"/>
    <w:rsid w:val="003C116E"/>
    <w:rsid w:val="003D07A5"/>
    <w:rsid w:val="003D25D1"/>
    <w:rsid w:val="003D5111"/>
    <w:rsid w:val="003D55AE"/>
    <w:rsid w:val="003D5849"/>
    <w:rsid w:val="003D6434"/>
    <w:rsid w:val="003D6AE9"/>
    <w:rsid w:val="003E3CD9"/>
    <w:rsid w:val="003E68EE"/>
    <w:rsid w:val="003E7D43"/>
    <w:rsid w:val="003F5557"/>
    <w:rsid w:val="003F598D"/>
    <w:rsid w:val="003F6BBF"/>
    <w:rsid w:val="003F6CF2"/>
    <w:rsid w:val="00400A57"/>
    <w:rsid w:val="00402B22"/>
    <w:rsid w:val="004037F3"/>
    <w:rsid w:val="0040398C"/>
    <w:rsid w:val="004063CE"/>
    <w:rsid w:val="004157E6"/>
    <w:rsid w:val="00415B03"/>
    <w:rsid w:val="00423118"/>
    <w:rsid w:val="00425C9F"/>
    <w:rsid w:val="00427E32"/>
    <w:rsid w:val="004317A5"/>
    <w:rsid w:val="0043404C"/>
    <w:rsid w:val="00443775"/>
    <w:rsid w:val="00447F9B"/>
    <w:rsid w:val="00450425"/>
    <w:rsid w:val="00452F38"/>
    <w:rsid w:val="00455B0E"/>
    <w:rsid w:val="004701A0"/>
    <w:rsid w:val="004735CE"/>
    <w:rsid w:val="00475C81"/>
    <w:rsid w:val="00480595"/>
    <w:rsid w:val="004826DA"/>
    <w:rsid w:val="004856D8"/>
    <w:rsid w:val="0049099F"/>
    <w:rsid w:val="00494104"/>
    <w:rsid w:val="0049470E"/>
    <w:rsid w:val="004952F8"/>
    <w:rsid w:val="00495CBD"/>
    <w:rsid w:val="004A4F2D"/>
    <w:rsid w:val="004A6F68"/>
    <w:rsid w:val="004B46A1"/>
    <w:rsid w:val="004B4B1F"/>
    <w:rsid w:val="004B763E"/>
    <w:rsid w:val="004C7837"/>
    <w:rsid w:val="004C7AF2"/>
    <w:rsid w:val="004E0CEB"/>
    <w:rsid w:val="004E13EE"/>
    <w:rsid w:val="004E14F5"/>
    <w:rsid w:val="004E17CF"/>
    <w:rsid w:val="004E1E56"/>
    <w:rsid w:val="004E2DFE"/>
    <w:rsid w:val="004E6AE2"/>
    <w:rsid w:val="004F479F"/>
    <w:rsid w:val="004F6049"/>
    <w:rsid w:val="004F67C0"/>
    <w:rsid w:val="004F6C46"/>
    <w:rsid w:val="004F7F6D"/>
    <w:rsid w:val="00500A21"/>
    <w:rsid w:val="00505AEC"/>
    <w:rsid w:val="00506488"/>
    <w:rsid w:val="00507A53"/>
    <w:rsid w:val="005100A9"/>
    <w:rsid w:val="00512715"/>
    <w:rsid w:val="00513FCA"/>
    <w:rsid w:val="005167A1"/>
    <w:rsid w:val="005254FB"/>
    <w:rsid w:val="00532800"/>
    <w:rsid w:val="00542388"/>
    <w:rsid w:val="00543F0B"/>
    <w:rsid w:val="00550596"/>
    <w:rsid w:val="005505B2"/>
    <w:rsid w:val="005538A4"/>
    <w:rsid w:val="00555A13"/>
    <w:rsid w:val="005611A3"/>
    <w:rsid w:val="005703F6"/>
    <w:rsid w:val="0057224C"/>
    <w:rsid w:val="005736F2"/>
    <w:rsid w:val="00577F12"/>
    <w:rsid w:val="00593262"/>
    <w:rsid w:val="00593E84"/>
    <w:rsid w:val="005A02C5"/>
    <w:rsid w:val="005A3F59"/>
    <w:rsid w:val="005A4541"/>
    <w:rsid w:val="005B0F79"/>
    <w:rsid w:val="005B54F7"/>
    <w:rsid w:val="005C1A02"/>
    <w:rsid w:val="005C35AC"/>
    <w:rsid w:val="005C562E"/>
    <w:rsid w:val="005C77C1"/>
    <w:rsid w:val="005D174E"/>
    <w:rsid w:val="005D28DA"/>
    <w:rsid w:val="005D56CE"/>
    <w:rsid w:val="005D6955"/>
    <w:rsid w:val="005E0C94"/>
    <w:rsid w:val="005E56DD"/>
    <w:rsid w:val="005F20F9"/>
    <w:rsid w:val="005F6D92"/>
    <w:rsid w:val="006041B2"/>
    <w:rsid w:val="00605EBA"/>
    <w:rsid w:val="00611889"/>
    <w:rsid w:val="00612CA3"/>
    <w:rsid w:val="006146CE"/>
    <w:rsid w:val="00622097"/>
    <w:rsid w:val="00624D39"/>
    <w:rsid w:val="00633107"/>
    <w:rsid w:val="00633544"/>
    <w:rsid w:val="00633D3D"/>
    <w:rsid w:val="006355EF"/>
    <w:rsid w:val="006362D0"/>
    <w:rsid w:val="0064352E"/>
    <w:rsid w:val="00656DDF"/>
    <w:rsid w:val="0066182F"/>
    <w:rsid w:val="00661F6D"/>
    <w:rsid w:val="00662D89"/>
    <w:rsid w:val="00664B76"/>
    <w:rsid w:val="00671783"/>
    <w:rsid w:val="0067320A"/>
    <w:rsid w:val="00680A5C"/>
    <w:rsid w:val="0069246B"/>
    <w:rsid w:val="00694A72"/>
    <w:rsid w:val="0069681E"/>
    <w:rsid w:val="006B1EE3"/>
    <w:rsid w:val="006B2063"/>
    <w:rsid w:val="006B4DBD"/>
    <w:rsid w:val="006B671F"/>
    <w:rsid w:val="006B7295"/>
    <w:rsid w:val="006C0574"/>
    <w:rsid w:val="006C0D46"/>
    <w:rsid w:val="006C25E2"/>
    <w:rsid w:val="006C4DF1"/>
    <w:rsid w:val="006C601A"/>
    <w:rsid w:val="006C6B37"/>
    <w:rsid w:val="006D21A6"/>
    <w:rsid w:val="006D2B03"/>
    <w:rsid w:val="006D2D7F"/>
    <w:rsid w:val="006D3949"/>
    <w:rsid w:val="006D3B9F"/>
    <w:rsid w:val="006D5E9A"/>
    <w:rsid w:val="006D5E9D"/>
    <w:rsid w:val="006E108A"/>
    <w:rsid w:val="006F5599"/>
    <w:rsid w:val="0070080E"/>
    <w:rsid w:val="007052AC"/>
    <w:rsid w:val="00707445"/>
    <w:rsid w:val="00707E01"/>
    <w:rsid w:val="00712C4F"/>
    <w:rsid w:val="00712DFC"/>
    <w:rsid w:val="007145E5"/>
    <w:rsid w:val="007153AA"/>
    <w:rsid w:val="007157E2"/>
    <w:rsid w:val="007266CA"/>
    <w:rsid w:val="00730622"/>
    <w:rsid w:val="00732C17"/>
    <w:rsid w:val="00733625"/>
    <w:rsid w:val="007407A3"/>
    <w:rsid w:val="00741E1D"/>
    <w:rsid w:val="00741EC0"/>
    <w:rsid w:val="00742E16"/>
    <w:rsid w:val="00752AFF"/>
    <w:rsid w:val="00754B86"/>
    <w:rsid w:val="00754FF5"/>
    <w:rsid w:val="00762FE4"/>
    <w:rsid w:val="0076623C"/>
    <w:rsid w:val="00776DF2"/>
    <w:rsid w:val="00777CBB"/>
    <w:rsid w:val="00782E01"/>
    <w:rsid w:val="00793137"/>
    <w:rsid w:val="00794DA4"/>
    <w:rsid w:val="00795800"/>
    <w:rsid w:val="007A0E04"/>
    <w:rsid w:val="007A16C1"/>
    <w:rsid w:val="007A7E69"/>
    <w:rsid w:val="007B7F9A"/>
    <w:rsid w:val="007C449A"/>
    <w:rsid w:val="007C6C04"/>
    <w:rsid w:val="007C7B4D"/>
    <w:rsid w:val="007D0D9D"/>
    <w:rsid w:val="007D70FA"/>
    <w:rsid w:val="007E0031"/>
    <w:rsid w:val="007E33BC"/>
    <w:rsid w:val="007E4B8E"/>
    <w:rsid w:val="007E5039"/>
    <w:rsid w:val="007E51CD"/>
    <w:rsid w:val="007F20B8"/>
    <w:rsid w:val="00802E17"/>
    <w:rsid w:val="00805891"/>
    <w:rsid w:val="00805CDC"/>
    <w:rsid w:val="008063FF"/>
    <w:rsid w:val="008247EE"/>
    <w:rsid w:val="00824905"/>
    <w:rsid w:val="00836E61"/>
    <w:rsid w:val="008414BE"/>
    <w:rsid w:val="00841EB0"/>
    <w:rsid w:val="00844604"/>
    <w:rsid w:val="008463E8"/>
    <w:rsid w:val="00851D5A"/>
    <w:rsid w:val="008522DF"/>
    <w:rsid w:val="00852D73"/>
    <w:rsid w:val="0086209F"/>
    <w:rsid w:val="00864BD2"/>
    <w:rsid w:val="00865B83"/>
    <w:rsid w:val="008732C0"/>
    <w:rsid w:val="008756F6"/>
    <w:rsid w:val="00886523"/>
    <w:rsid w:val="00887FF2"/>
    <w:rsid w:val="00893CAE"/>
    <w:rsid w:val="00894778"/>
    <w:rsid w:val="00895A38"/>
    <w:rsid w:val="00896563"/>
    <w:rsid w:val="008A30A6"/>
    <w:rsid w:val="008A4123"/>
    <w:rsid w:val="008A6CB1"/>
    <w:rsid w:val="008A71CA"/>
    <w:rsid w:val="008A76C0"/>
    <w:rsid w:val="008A7D7A"/>
    <w:rsid w:val="008B2E88"/>
    <w:rsid w:val="008B4F09"/>
    <w:rsid w:val="008D51DC"/>
    <w:rsid w:val="008D5BE2"/>
    <w:rsid w:val="008D678D"/>
    <w:rsid w:val="008D74CD"/>
    <w:rsid w:val="008D7887"/>
    <w:rsid w:val="008F0D3A"/>
    <w:rsid w:val="008F38AF"/>
    <w:rsid w:val="008F408B"/>
    <w:rsid w:val="008F638B"/>
    <w:rsid w:val="009006A5"/>
    <w:rsid w:val="009014A2"/>
    <w:rsid w:val="00907604"/>
    <w:rsid w:val="00915577"/>
    <w:rsid w:val="009175F4"/>
    <w:rsid w:val="009203BF"/>
    <w:rsid w:val="00924159"/>
    <w:rsid w:val="00927709"/>
    <w:rsid w:val="00933AEF"/>
    <w:rsid w:val="0094431F"/>
    <w:rsid w:val="0094485E"/>
    <w:rsid w:val="00946ADD"/>
    <w:rsid w:val="00951765"/>
    <w:rsid w:val="009537D2"/>
    <w:rsid w:val="00954A70"/>
    <w:rsid w:val="009606A4"/>
    <w:rsid w:val="00962DDB"/>
    <w:rsid w:val="00965821"/>
    <w:rsid w:val="00966FB7"/>
    <w:rsid w:val="00971378"/>
    <w:rsid w:val="00973EE3"/>
    <w:rsid w:val="0098282D"/>
    <w:rsid w:val="00982FE9"/>
    <w:rsid w:val="009922D1"/>
    <w:rsid w:val="00994583"/>
    <w:rsid w:val="009A0A8D"/>
    <w:rsid w:val="009A24EC"/>
    <w:rsid w:val="009A7292"/>
    <w:rsid w:val="009A77DA"/>
    <w:rsid w:val="009B02A7"/>
    <w:rsid w:val="009B2E06"/>
    <w:rsid w:val="009C2B38"/>
    <w:rsid w:val="009C379F"/>
    <w:rsid w:val="009C3BBC"/>
    <w:rsid w:val="009C5DDF"/>
    <w:rsid w:val="009C65E7"/>
    <w:rsid w:val="009C6AED"/>
    <w:rsid w:val="009D016F"/>
    <w:rsid w:val="009D0520"/>
    <w:rsid w:val="009D1895"/>
    <w:rsid w:val="009D39C8"/>
    <w:rsid w:val="009D3FED"/>
    <w:rsid w:val="009D478D"/>
    <w:rsid w:val="009D6EDC"/>
    <w:rsid w:val="009E2BE5"/>
    <w:rsid w:val="009E5720"/>
    <w:rsid w:val="009E6671"/>
    <w:rsid w:val="009E7DF3"/>
    <w:rsid w:val="009F064E"/>
    <w:rsid w:val="009F2820"/>
    <w:rsid w:val="009F6068"/>
    <w:rsid w:val="009F6C6E"/>
    <w:rsid w:val="00A000A9"/>
    <w:rsid w:val="00A00B52"/>
    <w:rsid w:val="00A01EFD"/>
    <w:rsid w:val="00A25B25"/>
    <w:rsid w:val="00A30839"/>
    <w:rsid w:val="00A3709A"/>
    <w:rsid w:val="00A37FA0"/>
    <w:rsid w:val="00A467CC"/>
    <w:rsid w:val="00A54090"/>
    <w:rsid w:val="00A57124"/>
    <w:rsid w:val="00A6074B"/>
    <w:rsid w:val="00A6547E"/>
    <w:rsid w:val="00A65D67"/>
    <w:rsid w:val="00A83165"/>
    <w:rsid w:val="00A91D83"/>
    <w:rsid w:val="00AA2017"/>
    <w:rsid w:val="00AA2850"/>
    <w:rsid w:val="00AB4073"/>
    <w:rsid w:val="00AC27B0"/>
    <w:rsid w:val="00AF0D5A"/>
    <w:rsid w:val="00AF1F9C"/>
    <w:rsid w:val="00AF2F84"/>
    <w:rsid w:val="00AF711F"/>
    <w:rsid w:val="00B11731"/>
    <w:rsid w:val="00B1193A"/>
    <w:rsid w:val="00B13205"/>
    <w:rsid w:val="00B1320B"/>
    <w:rsid w:val="00B15683"/>
    <w:rsid w:val="00B245FE"/>
    <w:rsid w:val="00B25CD8"/>
    <w:rsid w:val="00B31BB5"/>
    <w:rsid w:val="00B3765B"/>
    <w:rsid w:val="00B457F1"/>
    <w:rsid w:val="00B47E5D"/>
    <w:rsid w:val="00B53380"/>
    <w:rsid w:val="00B56B93"/>
    <w:rsid w:val="00B56E7D"/>
    <w:rsid w:val="00B63D6E"/>
    <w:rsid w:val="00B65FE1"/>
    <w:rsid w:val="00B66FD1"/>
    <w:rsid w:val="00B67558"/>
    <w:rsid w:val="00B71290"/>
    <w:rsid w:val="00B73818"/>
    <w:rsid w:val="00B80202"/>
    <w:rsid w:val="00B8278C"/>
    <w:rsid w:val="00B85A8A"/>
    <w:rsid w:val="00B91EC4"/>
    <w:rsid w:val="00B95030"/>
    <w:rsid w:val="00BA1674"/>
    <w:rsid w:val="00BA2E96"/>
    <w:rsid w:val="00BA3E4D"/>
    <w:rsid w:val="00BB02D6"/>
    <w:rsid w:val="00BB5D1C"/>
    <w:rsid w:val="00BC4492"/>
    <w:rsid w:val="00BC7090"/>
    <w:rsid w:val="00BD1118"/>
    <w:rsid w:val="00BD2A6E"/>
    <w:rsid w:val="00BD4FF6"/>
    <w:rsid w:val="00BD6294"/>
    <w:rsid w:val="00BE4C17"/>
    <w:rsid w:val="00BE4D85"/>
    <w:rsid w:val="00BE51B8"/>
    <w:rsid w:val="00BE5695"/>
    <w:rsid w:val="00BE6733"/>
    <w:rsid w:val="00BF287A"/>
    <w:rsid w:val="00BF2CDD"/>
    <w:rsid w:val="00C013B4"/>
    <w:rsid w:val="00C03DC1"/>
    <w:rsid w:val="00C04972"/>
    <w:rsid w:val="00C23642"/>
    <w:rsid w:val="00C24203"/>
    <w:rsid w:val="00C27E75"/>
    <w:rsid w:val="00C31DAE"/>
    <w:rsid w:val="00C3559B"/>
    <w:rsid w:val="00C36218"/>
    <w:rsid w:val="00C46657"/>
    <w:rsid w:val="00C53AC5"/>
    <w:rsid w:val="00C562B7"/>
    <w:rsid w:val="00C664AF"/>
    <w:rsid w:val="00C66C0E"/>
    <w:rsid w:val="00C736E5"/>
    <w:rsid w:val="00C77543"/>
    <w:rsid w:val="00C8514F"/>
    <w:rsid w:val="00C8551E"/>
    <w:rsid w:val="00C9263B"/>
    <w:rsid w:val="00C93775"/>
    <w:rsid w:val="00CA2829"/>
    <w:rsid w:val="00CB4F5B"/>
    <w:rsid w:val="00CB588A"/>
    <w:rsid w:val="00CC4DC7"/>
    <w:rsid w:val="00CC6028"/>
    <w:rsid w:val="00CD094F"/>
    <w:rsid w:val="00CD5168"/>
    <w:rsid w:val="00CD6D5B"/>
    <w:rsid w:val="00CE041C"/>
    <w:rsid w:val="00CE44EB"/>
    <w:rsid w:val="00CE542A"/>
    <w:rsid w:val="00CE55D4"/>
    <w:rsid w:val="00CE68DF"/>
    <w:rsid w:val="00CF0F52"/>
    <w:rsid w:val="00CF1F4B"/>
    <w:rsid w:val="00CF2657"/>
    <w:rsid w:val="00CF5E81"/>
    <w:rsid w:val="00CF62AA"/>
    <w:rsid w:val="00CF697A"/>
    <w:rsid w:val="00CF6B8E"/>
    <w:rsid w:val="00D01C19"/>
    <w:rsid w:val="00D07090"/>
    <w:rsid w:val="00D07E24"/>
    <w:rsid w:val="00D11881"/>
    <w:rsid w:val="00D16A07"/>
    <w:rsid w:val="00D1779D"/>
    <w:rsid w:val="00D270A6"/>
    <w:rsid w:val="00D31A99"/>
    <w:rsid w:val="00D33202"/>
    <w:rsid w:val="00D343B5"/>
    <w:rsid w:val="00D43781"/>
    <w:rsid w:val="00D4381B"/>
    <w:rsid w:val="00D444D5"/>
    <w:rsid w:val="00D4758D"/>
    <w:rsid w:val="00D54B42"/>
    <w:rsid w:val="00D57075"/>
    <w:rsid w:val="00D61A18"/>
    <w:rsid w:val="00D6397A"/>
    <w:rsid w:val="00D63F33"/>
    <w:rsid w:val="00D67EC3"/>
    <w:rsid w:val="00D77B60"/>
    <w:rsid w:val="00D77EFC"/>
    <w:rsid w:val="00D868C4"/>
    <w:rsid w:val="00D951BF"/>
    <w:rsid w:val="00D97207"/>
    <w:rsid w:val="00DA03E7"/>
    <w:rsid w:val="00DA3A21"/>
    <w:rsid w:val="00DA4837"/>
    <w:rsid w:val="00DC0328"/>
    <w:rsid w:val="00DC2A2F"/>
    <w:rsid w:val="00DC4682"/>
    <w:rsid w:val="00DC5225"/>
    <w:rsid w:val="00DD1F3E"/>
    <w:rsid w:val="00DD2386"/>
    <w:rsid w:val="00DD5BC4"/>
    <w:rsid w:val="00DE76AE"/>
    <w:rsid w:val="00DF13E0"/>
    <w:rsid w:val="00DF2AF0"/>
    <w:rsid w:val="00DF7783"/>
    <w:rsid w:val="00E02E5A"/>
    <w:rsid w:val="00E0445F"/>
    <w:rsid w:val="00E06044"/>
    <w:rsid w:val="00E12D9B"/>
    <w:rsid w:val="00E153A7"/>
    <w:rsid w:val="00E176D5"/>
    <w:rsid w:val="00E177C0"/>
    <w:rsid w:val="00E21723"/>
    <w:rsid w:val="00E224D3"/>
    <w:rsid w:val="00E24F58"/>
    <w:rsid w:val="00E259B1"/>
    <w:rsid w:val="00E26CCC"/>
    <w:rsid w:val="00E306C5"/>
    <w:rsid w:val="00E31AE9"/>
    <w:rsid w:val="00E367E0"/>
    <w:rsid w:val="00E449C3"/>
    <w:rsid w:val="00E4613D"/>
    <w:rsid w:val="00E50FBA"/>
    <w:rsid w:val="00E55718"/>
    <w:rsid w:val="00E62465"/>
    <w:rsid w:val="00E706F9"/>
    <w:rsid w:val="00E71060"/>
    <w:rsid w:val="00E713C6"/>
    <w:rsid w:val="00E767E1"/>
    <w:rsid w:val="00E76FB3"/>
    <w:rsid w:val="00E847A3"/>
    <w:rsid w:val="00E86B9E"/>
    <w:rsid w:val="00E9311D"/>
    <w:rsid w:val="00E95C24"/>
    <w:rsid w:val="00E966D0"/>
    <w:rsid w:val="00E967B5"/>
    <w:rsid w:val="00EA4063"/>
    <w:rsid w:val="00EA6ED8"/>
    <w:rsid w:val="00EB12F0"/>
    <w:rsid w:val="00EB181B"/>
    <w:rsid w:val="00EB2938"/>
    <w:rsid w:val="00EB3539"/>
    <w:rsid w:val="00EB5377"/>
    <w:rsid w:val="00EB565A"/>
    <w:rsid w:val="00EC08FA"/>
    <w:rsid w:val="00EC101D"/>
    <w:rsid w:val="00EC19F7"/>
    <w:rsid w:val="00EC6CA7"/>
    <w:rsid w:val="00EC7463"/>
    <w:rsid w:val="00ED1867"/>
    <w:rsid w:val="00ED5171"/>
    <w:rsid w:val="00ED6123"/>
    <w:rsid w:val="00EE7D3F"/>
    <w:rsid w:val="00EF01A7"/>
    <w:rsid w:val="00EF0D83"/>
    <w:rsid w:val="00EF1398"/>
    <w:rsid w:val="00EF69D3"/>
    <w:rsid w:val="00EF6D9D"/>
    <w:rsid w:val="00EF72C0"/>
    <w:rsid w:val="00F01D89"/>
    <w:rsid w:val="00F04C5B"/>
    <w:rsid w:val="00F15980"/>
    <w:rsid w:val="00F22E81"/>
    <w:rsid w:val="00F31276"/>
    <w:rsid w:val="00F33FF4"/>
    <w:rsid w:val="00F35786"/>
    <w:rsid w:val="00F35EC4"/>
    <w:rsid w:val="00F3652A"/>
    <w:rsid w:val="00F41272"/>
    <w:rsid w:val="00F4338E"/>
    <w:rsid w:val="00F44AD3"/>
    <w:rsid w:val="00F4539E"/>
    <w:rsid w:val="00F47902"/>
    <w:rsid w:val="00F5306F"/>
    <w:rsid w:val="00F5374A"/>
    <w:rsid w:val="00F537B2"/>
    <w:rsid w:val="00F55E50"/>
    <w:rsid w:val="00F57E7C"/>
    <w:rsid w:val="00F60E64"/>
    <w:rsid w:val="00F7268A"/>
    <w:rsid w:val="00F77292"/>
    <w:rsid w:val="00F80307"/>
    <w:rsid w:val="00F80F4C"/>
    <w:rsid w:val="00F80FB7"/>
    <w:rsid w:val="00F82379"/>
    <w:rsid w:val="00F82655"/>
    <w:rsid w:val="00F83D1D"/>
    <w:rsid w:val="00F84378"/>
    <w:rsid w:val="00F870B1"/>
    <w:rsid w:val="00F97404"/>
    <w:rsid w:val="00FA0C9B"/>
    <w:rsid w:val="00FA0E5E"/>
    <w:rsid w:val="00FA3BC1"/>
    <w:rsid w:val="00FA437E"/>
    <w:rsid w:val="00FA5BAD"/>
    <w:rsid w:val="00FA7723"/>
    <w:rsid w:val="00FB1280"/>
    <w:rsid w:val="00FB17A0"/>
    <w:rsid w:val="00FB2D78"/>
    <w:rsid w:val="00FB6C5E"/>
    <w:rsid w:val="00FC081F"/>
    <w:rsid w:val="00FC1F2B"/>
    <w:rsid w:val="00FD5263"/>
    <w:rsid w:val="00FD590C"/>
    <w:rsid w:val="00FD7D0D"/>
    <w:rsid w:val="00FE0A48"/>
    <w:rsid w:val="00FE4791"/>
    <w:rsid w:val="00FE5B94"/>
    <w:rsid w:val="00FE7ABB"/>
    <w:rsid w:val="00FF289D"/>
    <w:rsid w:val="00FF39E7"/>
    <w:rsid w:val="00FF3AF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E476D8"/>
  <w15:docId w15:val="{4693D9C9-58EA-460C-B2AA-2951BCE69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MX"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1881"/>
    <w:pPr>
      <w:spacing w:after="0" w:line="240" w:lineRule="auto"/>
    </w:pPr>
    <w:rPr>
      <w:rFonts w:ascii="Times New Roman" w:eastAsia="Times New Roman" w:hAnsi="Times New Roman" w:cs="Times New Roman"/>
      <w:sz w:val="24"/>
      <w:szCs w:val="24"/>
    </w:rPr>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aliases w:val="Cita textual"/>
    <w:basedOn w:val="Normal"/>
    <w:next w:val="Normal"/>
    <w:link w:val="TtuloCar"/>
    <w:uiPriority w:val="10"/>
    <w:qFormat/>
    <w:pPr>
      <w:keepNext/>
      <w:keepLines/>
      <w:spacing w:before="480" w:after="120"/>
    </w:pPr>
    <w:rPr>
      <w:b/>
      <w:sz w:val="72"/>
      <w:szCs w:val="72"/>
    </w:rPr>
  </w:style>
  <w:style w:type="table" w:customStyle="1" w:styleId="TableNormal2">
    <w:name w:val="Table Normal2"/>
    <w:tblPr>
      <w:tblCellMar>
        <w:top w:w="0" w:type="dxa"/>
        <w:left w:w="0" w:type="dxa"/>
        <w:bottom w:w="0" w:type="dxa"/>
        <w:right w:w="0" w:type="dxa"/>
      </w:tblCellMar>
    </w:tblPr>
  </w:style>
  <w:style w:type="table" w:customStyle="1" w:styleId="TableNormal1">
    <w:name w:val="Table Normal1"/>
    <w:tblPr>
      <w:tblCellMar>
        <w:top w:w="0" w:type="dxa"/>
        <w:left w:w="0" w:type="dxa"/>
        <w:bottom w:w="0" w:type="dxa"/>
        <w:right w:w="0" w:type="dxa"/>
      </w:tblCellMar>
    </w:tblPr>
  </w:style>
  <w:style w:type="paragraph" w:styleId="Encabezado">
    <w:name w:val="header"/>
    <w:basedOn w:val="Normal"/>
    <w:link w:val="EncabezadoCar"/>
    <w:uiPriority w:val="99"/>
    <w:unhideWhenUsed/>
    <w:rsid w:val="00CD74AE"/>
    <w:pPr>
      <w:tabs>
        <w:tab w:val="center" w:pos="4419"/>
        <w:tab w:val="right" w:pos="8838"/>
      </w:tabs>
    </w:pPr>
  </w:style>
  <w:style w:type="character" w:customStyle="1" w:styleId="EncabezadoCar">
    <w:name w:val="Encabezado Car"/>
    <w:basedOn w:val="Fuentedeprrafopredeter"/>
    <w:link w:val="Encabezado"/>
    <w:uiPriority w:val="99"/>
    <w:rsid w:val="00CD74AE"/>
  </w:style>
  <w:style w:type="paragraph" w:styleId="Piedepgina">
    <w:name w:val="footer"/>
    <w:basedOn w:val="Normal"/>
    <w:link w:val="PiedepginaCar"/>
    <w:uiPriority w:val="99"/>
    <w:unhideWhenUsed/>
    <w:rsid w:val="00CD74AE"/>
    <w:pPr>
      <w:tabs>
        <w:tab w:val="center" w:pos="4419"/>
        <w:tab w:val="right" w:pos="8838"/>
      </w:tabs>
    </w:pPr>
  </w:style>
  <w:style w:type="character" w:customStyle="1" w:styleId="PiedepginaCar">
    <w:name w:val="Pie de página Car"/>
    <w:basedOn w:val="Fuentedeprrafopredeter"/>
    <w:link w:val="Piedepgina"/>
    <w:uiPriority w:val="99"/>
    <w:rsid w:val="00CD74AE"/>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D74AE"/>
    <w:pPr>
      <w:ind w:left="720"/>
      <w:contextualSpacing/>
    </w:pPr>
  </w:style>
  <w:style w:type="character" w:styleId="Hipervnculo">
    <w:name w:val="Hyperlink"/>
    <w:aliases w:val="Hipervínculo1,Hipervínculo11,Hipervínculo12,Hipervínculo13,Hipervínculo14,Hipervínculo15"/>
    <w:basedOn w:val="Fuentedeprrafopredeter"/>
    <w:uiPriority w:val="99"/>
    <w:unhideWhenUsed/>
    <w:qFormat/>
    <w:rsid w:val="00CD74AE"/>
    <w:rPr>
      <w:color w:val="0563C1" w:themeColor="hyperlink"/>
      <w:u w:val="single"/>
    </w:rPr>
  </w:style>
  <w:style w:type="table" w:styleId="Tablaconcuadrcula">
    <w:name w:val="Table Grid"/>
    <w:basedOn w:val="Tablanormal"/>
    <w:uiPriority w:val="39"/>
    <w:rsid w:val="009C1D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D2AA5"/>
    <w:pPr>
      <w:spacing w:before="100" w:beforeAutospacing="1" w:after="100" w:afterAutospacing="1"/>
    </w:p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link w:val="Prrafodelista"/>
    <w:uiPriority w:val="34"/>
    <w:qFormat/>
    <w:locked/>
    <w:rsid w:val="009F3FE6"/>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6">
    <w:name w:val="6"/>
    <w:basedOn w:val="TableNormal1"/>
    <w:tblPr>
      <w:tblStyleRowBandSize w:val="1"/>
      <w:tblStyleColBandSize w:val="1"/>
      <w:tblCellMar>
        <w:top w:w="15" w:type="dxa"/>
        <w:left w:w="15" w:type="dxa"/>
        <w:bottom w:w="15" w:type="dxa"/>
        <w:right w:w="15" w:type="dxa"/>
      </w:tblCellMar>
    </w:tblPr>
  </w:style>
  <w:style w:type="table" w:customStyle="1" w:styleId="5">
    <w:name w:val="5"/>
    <w:basedOn w:val="TableNormal1"/>
    <w:tblPr>
      <w:tblStyleRowBandSize w:val="1"/>
      <w:tblStyleColBandSize w:val="1"/>
      <w:tblCellMar>
        <w:left w:w="115" w:type="dxa"/>
        <w:right w:w="115" w:type="dxa"/>
      </w:tblCellMar>
    </w:tblPr>
  </w:style>
  <w:style w:type="table" w:customStyle="1" w:styleId="4">
    <w:name w:val="4"/>
    <w:basedOn w:val="TableNormal1"/>
    <w:tblPr>
      <w:tblStyleRowBandSize w:val="1"/>
      <w:tblStyleColBandSize w:val="1"/>
      <w:tblCellMar>
        <w:left w:w="115" w:type="dxa"/>
        <w:right w:w="115" w:type="dxa"/>
      </w:tblCellMar>
    </w:tblPr>
  </w:style>
  <w:style w:type="table" w:customStyle="1" w:styleId="3">
    <w:name w:val="3"/>
    <w:basedOn w:val="TableNormal1"/>
    <w:tblPr>
      <w:tblStyleRowBandSize w:val="1"/>
      <w:tblStyleColBandSize w:val="1"/>
      <w:tblCellMar>
        <w:top w:w="15" w:type="dxa"/>
        <w:left w:w="115" w:type="dxa"/>
        <w:bottom w:w="15" w:type="dxa"/>
        <w:right w:w="115" w:type="dxa"/>
      </w:tblCellMar>
    </w:tblPr>
  </w:style>
  <w:style w:type="table" w:customStyle="1" w:styleId="2">
    <w:name w:val="2"/>
    <w:basedOn w:val="TableNormal1"/>
    <w:tblPr>
      <w:tblStyleRowBandSize w:val="1"/>
      <w:tblStyleColBandSize w:val="1"/>
      <w:tblCellMar>
        <w:top w:w="15" w:type="dxa"/>
        <w:left w:w="115" w:type="dxa"/>
        <w:bottom w:w="15" w:type="dxa"/>
        <w:right w:w="115" w:type="dxa"/>
      </w:tblCellMar>
    </w:tblPr>
  </w:style>
  <w:style w:type="table" w:customStyle="1" w:styleId="1">
    <w:name w:val="1"/>
    <w:basedOn w:val="TableNormal1"/>
    <w:tblPr>
      <w:tblStyleRowBandSize w:val="1"/>
      <w:tblStyleColBandSize w:val="1"/>
      <w:tblCellMar>
        <w:top w:w="15" w:type="dxa"/>
        <w:left w:w="115" w:type="dxa"/>
        <w:bottom w:w="15" w:type="dxa"/>
        <w:right w:w="115" w:type="dxa"/>
      </w:tblCellMar>
    </w:tblPr>
  </w:style>
  <w:style w:type="character" w:customStyle="1" w:styleId="Mencinsinresolver1">
    <w:name w:val="Mención sin resolver1"/>
    <w:basedOn w:val="Fuentedeprrafopredeter"/>
    <w:uiPriority w:val="99"/>
    <w:semiHidden/>
    <w:unhideWhenUsed/>
    <w:rsid w:val="00B63FC6"/>
    <w:rPr>
      <w:color w:val="605E5C"/>
      <w:shd w:val="clear" w:color="auto" w:fill="E1DFDD"/>
    </w:rPr>
  </w:style>
  <w:style w:type="character" w:customStyle="1" w:styleId="Mencinsinresolver2">
    <w:name w:val="Mención sin resolver2"/>
    <w:basedOn w:val="Fuentedeprrafopredeter"/>
    <w:uiPriority w:val="99"/>
    <w:semiHidden/>
    <w:unhideWhenUsed/>
    <w:rsid w:val="00AC79ED"/>
    <w:rPr>
      <w:color w:val="605E5C"/>
      <w:shd w:val="clear" w:color="auto" w:fill="E1DFDD"/>
    </w:rPr>
  </w:style>
  <w:style w:type="paragraph" w:customStyle="1" w:styleId="Default">
    <w:name w:val="Default"/>
    <w:rsid w:val="00A27592"/>
    <w:pPr>
      <w:autoSpaceDE w:val="0"/>
      <w:autoSpaceDN w:val="0"/>
      <w:adjustRightInd w:val="0"/>
      <w:spacing w:after="0" w:line="240" w:lineRule="auto"/>
    </w:pPr>
    <w:rPr>
      <w:rFonts w:ascii="Arial" w:hAnsi="Arial" w:cs="Arial"/>
      <w:color w:val="000000"/>
      <w:sz w:val="24"/>
      <w:szCs w:val="24"/>
    </w:rPr>
  </w:style>
  <w:style w:type="character" w:customStyle="1" w:styleId="normaltextrun">
    <w:name w:val="normaltextrun"/>
    <w:basedOn w:val="Fuentedeprrafopredeter"/>
    <w:rsid w:val="002F3C2D"/>
  </w:style>
  <w:style w:type="paragraph" w:styleId="Sinespaciado">
    <w:name w:val="No Spacing"/>
    <w:aliases w:val="Francesa,INAI"/>
    <w:link w:val="SinespaciadoCar"/>
    <w:uiPriority w:val="1"/>
    <w:qFormat/>
    <w:rsid w:val="00F01E4E"/>
    <w:pPr>
      <w:spacing w:after="0" w:line="240" w:lineRule="auto"/>
    </w:pPr>
    <w:rPr>
      <w:rFonts w:ascii="Times New Roman" w:eastAsia="Times New Roman" w:hAnsi="Times New Roman" w:cs="Times New Roman"/>
      <w:sz w:val="24"/>
      <w:szCs w:val="24"/>
      <w:lang w:val="es-ES" w:eastAsia="es-ES"/>
    </w:rPr>
  </w:style>
  <w:style w:type="character" w:customStyle="1" w:styleId="SinespaciadoCar">
    <w:name w:val="Sin espaciado Car"/>
    <w:aliases w:val="Francesa Car,INAI Car"/>
    <w:link w:val="Sinespaciado"/>
    <w:uiPriority w:val="1"/>
    <w:locked/>
    <w:rsid w:val="00F01E4E"/>
    <w:rPr>
      <w:rFonts w:ascii="Times New Roman" w:eastAsia="Times New Roman" w:hAnsi="Times New Roman" w:cs="Times New Roman"/>
      <w:sz w:val="24"/>
      <w:szCs w:val="24"/>
      <w:lang w:val="es-ES" w:eastAsia="es-ES"/>
    </w:rPr>
  </w:style>
  <w:style w:type="table" w:customStyle="1" w:styleId="9">
    <w:name w:val="9"/>
    <w:basedOn w:val="TableNormal2"/>
    <w:pPr>
      <w:spacing w:after="0" w:line="240" w:lineRule="auto"/>
    </w:pPr>
    <w:tblPr>
      <w:tblStyleRowBandSize w:val="1"/>
      <w:tblStyleColBandSize w:val="1"/>
      <w:tblCellMar>
        <w:left w:w="108" w:type="dxa"/>
        <w:right w:w="108" w:type="dxa"/>
      </w:tblCellMar>
    </w:tblPr>
  </w:style>
  <w:style w:type="table" w:customStyle="1" w:styleId="8">
    <w:name w:val="8"/>
    <w:basedOn w:val="TableNormal2"/>
    <w:tblPr>
      <w:tblStyleRowBandSize w:val="1"/>
      <w:tblStyleColBandSize w:val="1"/>
      <w:tblCellMar>
        <w:top w:w="15" w:type="dxa"/>
        <w:left w:w="115" w:type="dxa"/>
        <w:bottom w:w="15" w:type="dxa"/>
        <w:right w:w="115" w:type="dxa"/>
      </w:tblCellMar>
    </w:tblPr>
  </w:style>
  <w:style w:type="table" w:customStyle="1" w:styleId="7">
    <w:name w:val="7"/>
    <w:basedOn w:val="TableNormal2"/>
    <w:tblPr>
      <w:tblStyleRowBandSize w:val="1"/>
      <w:tblStyleColBandSize w:val="1"/>
      <w:tblCellMar>
        <w:top w:w="15" w:type="dxa"/>
        <w:left w:w="115" w:type="dxa"/>
        <w:bottom w:w="15" w:type="dxa"/>
        <w:right w:w="115" w:type="dxa"/>
      </w:tblCellMar>
    </w:tblPr>
  </w:style>
  <w:style w:type="character" w:customStyle="1" w:styleId="Mencinsinresolver3">
    <w:name w:val="Mención sin resolver3"/>
    <w:basedOn w:val="Fuentedeprrafopredeter"/>
    <w:uiPriority w:val="99"/>
    <w:semiHidden/>
    <w:unhideWhenUsed/>
    <w:rsid w:val="00B91EC4"/>
    <w:rPr>
      <w:color w:val="605E5C"/>
      <w:shd w:val="clear" w:color="auto" w:fill="E1DFDD"/>
    </w:rPr>
  </w:style>
  <w:style w:type="character" w:styleId="Refdecomentario">
    <w:name w:val="annotation reference"/>
    <w:basedOn w:val="Fuentedeprrafopredeter"/>
    <w:uiPriority w:val="99"/>
    <w:semiHidden/>
    <w:unhideWhenUsed/>
    <w:rsid w:val="007266CA"/>
    <w:rPr>
      <w:sz w:val="16"/>
      <w:szCs w:val="16"/>
    </w:rPr>
  </w:style>
  <w:style w:type="paragraph" w:styleId="Textocomentario">
    <w:name w:val="annotation text"/>
    <w:basedOn w:val="Normal"/>
    <w:link w:val="TextocomentarioCar"/>
    <w:uiPriority w:val="99"/>
    <w:semiHidden/>
    <w:unhideWhenUsed/>
    <w:rsid w:val="007266CA"/>
    <w:rPr>
      <w:sz w:val="20"/>
      <w:szCs w:val="20"/>
    </w:rPr>
  </w:style>
  <w:style w:type="character" w:customStyle="1" w:styleId="TextocomentarioCar">
    <w:name w:val="Texto comentario Car"/>
    <w:basedOn w:val="Fuentedeprrafopredeter"/>
    <w:link w:val="Textocomentario"/>
    <w:uiPriority w:val="99"/>
    <w:semiHidden/>
    <w:rsid w:val="007266CA"/>
    <w:rPr>
      <w:rFonts w:eastAsia="Times New Roman" w:cs="Times New Roman"/>
      <w:sz w:val="20"/>
      <w:szCs w:val="20"/>
      <w:lang w:eastAsia="en-US"/>
    </w:rPr>
  </w:style>
  <w:style w:type="paragraph" w:styleId="Asuntodelcomentario">
    <w:name w:val="annotation subject"/>
    <w:basedOn w:val="Textocomentario"/>
    <w:next w:val="Textocomentario"/>
    <w:link w:val="AsuntodelcomentarioCar"/>
    <w:uiPriority w:val="99"/>
    <w:semiHidden/>
    <w:unhideWhenUsed/>
    <w:rsid w:val="007266CA"/>
    <w:rPr>
      <w:b/>
      <w:bCs/>
    </w:rPr>
  </w:style>
  <w:style w:type="character" w:customStyle="1" w:styleId="AsuntodelcomentarioCar">
    <w:name w:val="Asunto del comentario Car"/>
    <w:basedOn w:val="TextocomentarioCar"/>
    <w:link w:val="Asuntodelcomentario"/>
    <w:uiPriority w:val="99"/>
    <w:semiHidden/>
    <w:rsid w:val="007266CA"/>
    <w:rPr>
      <w:rFonts w:eastAsia="Times New Roman" w:cs="Times New Roman"/>
      <w:b/>
      <w:bCs/>
      <w:sz w:val="20"/>
      <w:szCs w:val="20"/>
      <w:lang w:eastAsia="en-US"/>
    </w:rPr>
  </w:style>
  <w:style w:type="character" w:styleId="Textodelmarcadordeposicin">
    <w:name w:val="Placeholder Text"/>
    <w:basedOn w:val="Fuentedeprrafopredeter"/>
    <w:uiPriority w:val="99"/>
    <w:semiHidden/>
    <w:rsid w:val="007266CA"/>
    <w:rPr>
      <w:color w:val="808080"/>
    </w:rPr>
  </w:style>
  <w:style w:type="character" w:styleId="Hipervnculovisitado">
    <w:name w:val="FollowedHyperlink"/>
    <w:basedOn w:val="Fuentedeprrafopredeter"/>
    <w:uiPriority w:val="99"/>
    <w:semiHidden/>
    <w:unhideWhenUsed/>
    <w:rsid w:val="00FC1F2B"/>
    <w:rPr>
      <w:color w:val="954F72" w:themeColor="followedHyperlink"/>
      <w:u w:val="single"/>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FC1F2B"/>
    <w:rPr>
      <w:rFonts w:asciiTheme="minorHAnsi" w:eastAsiaTheme="minorHAnsi" w:hAnsiTheme="minorHAnsi" w:cstheme="minorBidi"/>
      <w:sz w:val="20"/>
      <w:szCs w:val="20"/>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FC1F2B"/>
    <w:rPr>
      <w:rFonts w:asciiTheme="minorHAnsi" w:eastAsiaTheme="minorHAnsi" w:hAnsiTheme="minorHAnsi" w:cstheme="minorBidi"/>
      <w:sz w:val="20"/>
      <w:szCs w:val="20"/>
      <w:lang w:eastAsia="en-US"/>
    </w:rPr>
  </w:style>
  <w:style w:type="character" w:styleId="Refdenotaalpie">
    <w:name w:val="footnote reference"/>
    <w:aliases w:val="Footnotes refss,Texto de nota al pie,Ref. de nota al pie 2,Appel note de bas de page,referencia nota al pie,BVI fnr,Footnote number,f,4_G,16 Point,Superscript 6 Point,Texto nota al pie,Footnote Reference Char3,Ref,de nota al pie,註腳內容"/>
    <w:basedOn w:val="Fuentedeprrafopredeter"/>
    <w:uiPriority w:val="99"/>
    <w:unhideWhenUsed/>
    <w:qFormat/>
    <w:rsid w:val="00FC1F2B"/>
    <w:rPr>
      <w:vertAlign w:val="superscript"/>
    </w:rPr>
  </w:style>
  <w:style w:type="character" w:customStyle="1" w:styleId="TtuloCar">
    <w:name w:val="Título Car"/>
    <w:aliases w:val="Cita textual Car"/>
    <w:basedOn w:val="Fuentedeprrafopredeter"/>
    <w:link w:val="Ttulo"/>
    <w:uiPriority w:val="10"/>
    <w:rsid w:val="00EC101D"/>
    <w:rPr>
      <w:rFonts w:eastAsia="Times New Roman" w:cs="Times New Roman"/>
      <w:b/>
      <w:sz w:val="72"/>
      <w:szCs w:val="72"/>
      <w:lang w:eastAsia="en-US"/>
    </w:rPr>
  </w:style>
  <w:style w:type="table" w:customStyle="1" w:styleId="Tablanormal11">
    <w:name w:val="Tabla normal 11"/>
    <w:basedOn w:val="Tablanormal"/>
    <w:uiPriority w:val="41"/>
    <w:rsid w:val="009A0A8D"/>
    <w:pPr>
      <w:spacing w:after="0" w:line="240" w:lineRule="auto"/>
    </w:pPr>
    <w:rPr>
      <w:rFonts w:asciiTheme="minorHAnsi" w:eastAsiaTheme="minorHAnsi" w:hAnsiTheme="minorHAnsi" w:cstheme="minorBidi"/>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1384743">
      <w:bodyDiv w:val="1"/>
      <w:marLeft w:val="0"/>
      <w:marRight w:val="0"/>
      <w:marTop w:val="0"/>
      <w:marBottom w:val="0"/>
      <w:divBdr>
        <w:top w:val="none" w:sz="0" w:space="0" w:color="auto"/>
        <w:left w:val="none" w:sz="0" w:space="0" w:color="auto"/>
        <w:bottom w:val="none" w:sz="0" w:space="0" w:color="auto"/>
        <w:right w:val="none" w:sz="0" w:space="0" w:color="auto"/>
      </w:divBdr>
    </w:div>
    <w:div w:id="245309564">
      <w:bodyDiv w:val="1"/>
      <w:marLeft w:val="0"/>
      <w:marRight w:val="0"/>
      <w:marTop w:val="0"/>
      <w:marBottom w:val="0"/>
      <w:divBdr>
        <w:top w:val="none" w:sz="0" w:space="0" w:color="auto"/>
        <w:left w:val="none" w:sz="0" w:space="0" w:color="auto"/>
        <w:bottom w:val="none" w:sz="0" w:space="0" w:color="auto"/>
        <w:right w:val="none" w:sz="0" w:space="0" w:color="auto"/>
      </w:divBdr>
    </w:div>
    <w:div w:id="269506625">
      <w:bodyDiv w:val="1"/>
      <w:marLeft w:val="0"/>
      <w:marRight w:val="0"/>
      <w:marTop w:val="0"/>
      <w:marBottom w:val="0"/>
      <w:divBdr>
        <w:top w:val="none" w:sz="0" w:space="0" w:color="auto"/>
        <w:left w:val="none" w:sz="0" w:space="0" w:color="auto"/>
        <w:bottom w:val="none" w:sz="0" w:space="0" w:color="auto"/>
        <w:right w:val="none" w:sz="0" w:space="0" w:color="auto"/>
      </w:divBdr>
    </w:div>
    <w:div w:id="271592560">
      <w:bodyDiv w:val="1"/>
      <w:marLeft w:val="0"/>
      <w:marRight w:val="0"/>
      <w:marTop w:val="0"/>
      <w:marBottom w:val="0"/>
      <w:divBdr>
        <w:top w:val="none" w:sz="0" w:space="0" w:color="auto"/>
        <w:left w:val="none" w:sz="0" w:space="0" w:color="auto"/>
        <w:bottom w:val="none" w:sz="0" w:space="0" w:color="auto"/>
        <w:right w:val="none" w:sz="0" w:space="0" w:color="auto"/>
      </w:divBdr>
    </w:div>
    <w:div w:id="312219112">
      <w:bodyDiv w:val="1"/>
      <w:marLeft w:val="0"/>
      <w:marRight w:val="0"/>
      <w:marTop w:val="0"/>
      <w:marBottom w:val="0"/>
      <w:divBdr>
        <w:top w:val="none" w:sz="0" w:space="0" w:color="auto"/>
        <w:left w:val="none" w:sz="0" w:space="0" w:color="auto"/>
        <w:bottom w:val="none" w:sz="0" w:space="0" w:color="auto"/>
        <w:right w:val="none" w:sz="0" w:space="0" w:color="auto"/>
      </w:divBdr>
    </w:div>
    <w:div w:id="334966482">
      <w:bodyDiv w:val="1"/>
      <w:marLeft w:val="0"/>
      <w:marRight w:val="0"/>
      <w:marTop w:val="0"/>
      <w:marBottom w:val="0"/>
      <w:divBdr>
        <w:top w:val="none" w:sz="0" w:space="0" w:color="auto"/>
        <w:left w:val="none" w:sz="0" w:space="0" w:color="auto"/>
        <w:bottom w:val="none" w:sz="0" w:space="0" w:color="auto"/>
        <w:right w:val="none" w:sz="0" w:space="0" w:color="auto"/>
      </w:divBdr>
    </w:div>
    <w:div w:id="336344030">
      <w:bodyDiv w:val="1"/>
      <w:marLeft w:val="0"/>
      <w:marRight w:val="0"/>
      <w:marTop w:val="0"/>
      <w:marBottom w:val="0"/>
      <w:divBdr>
        <w:top w:val="none" w:sz="0" w:space="0" w:color="auto"/>
        <w:left w:val="none" w:sz="0" w:space="0" w:color="auto"/>
        <w:bottom w:val="none" w:sz="0" w:space="0" w:color="auto"/>
        <w:right w:val="none" w:sz="0" w:space="0" w:color="auto"/>
      </w:divBdr>
    </w:div>
    <w:div w:id="547111847">
      <w:bodyDiv w:val="1"/>
      <w:marLeft w:val="0"/>
      <w:marRight w:val="0"/>
      <w:marTop w:val="0"/>
      <w:marBottom w:val="0"/>
      <w:divBdr>
        <w:top w:val="none" w:sz="0" w:space="0" w:color="auto"/>
        <w:left w:val="none" w:sz="0" w:space="0" w:color="auto"/>
        <w:bottom w:val="none" w:sz="0" w:space="0" w:color="auto"/>
        <w:right w:val="none" w:sz="0" w:space="0" w:color="auto"/>
      </w:divBdr>
    </w:div>
    <w:div w:id="594897526">
      <w:bodyDiv w:val="1"/>
      <w:marLeft w:val="0"/>
      <w:marRight w:val="0"/>
      <w:marTop w:val="0"/>
      <w:marBottom w:val="0"/>
      <w:divBdr>
        <w:top w:val="none" w:sz="0" w:space="0" w:color="auto"/>
        <w:left w:val="none" w:sz="0" w:space="0" w:color="auto"/>
        <w:bottom w:val="none" w:sz="0" w:space="0" w:color="auto"/>
        <w:right w:val="none" w:sz="0" w:space="0" w:color="auto"/>
      </w:divBdr>
    </w:div>
    <w:div w:id="613901926">
      <w:bodyDiv w:val="1"/>
      <w:marLeft w:val="0"/>
      <w:marRight w:val="0"/>
      <w:marTop w:val="0"/>
      <w:marBottom w:val="0"/>
      <w:divBdr>
        <w:top w:val="none" w:sz="0" w:space="0" w:color="auto"/>
        <w:left w:val="none" w:sz="0" w:space="0" w:color="auto"/>
        <w:bottom w:val="none" w:sz="0" w:space="0" w:color="auto"/>
        <w:right w:val="none" w:sz="0" w:space="0" w:color="auto"/>
      </w:divBdr>
    </w:div>
    <w:div w:id="616373094">
      <w:bodyDiv w:val="1"/>
      <w:marLeft w:val="0"/>
      <w:marRight w:val="0"/>
      <w:marTop w:val="0"/>
      <w:marBottom w:val="0"/>
      <w:divBdr>
        <w:top w:val="none" w:sz="0" w:space="0" w:color="auto"/>
        <w:left w:val="none" w:sz="0" w:space="0" w:color="auto"/>
        <w:bottom w:val="none" w:sz="0" w:space="0" w:color="auto"/>
        <w:right w:val="none" w:sz="0" w:space="0" w:color="auto"/>
      </w:divBdr>
    </w:div>
    <w:div w:id="641348957">
      <w:bodyDiv w:val="1"/>
      <w:marLeft w:val="0"/>
      <w:marRight w:val="0"/>
      <w:marTop w:val="0"/>
      <w:marBottom w:val="0"/>
      <w:divBdr>
        <w:top w:val="none" w:sz="0" w:space="0" w:color="auto"/>
        <w:left w:val="none" w:sz="0" w:space="0" w:color="auto"/>
        <w:bottom w:val="none" w:sz="0" w:space="0" w:color="auto"/>
        <w:right w:val="none" w:sz="0" w:space="0" w:color="auto"/>
      </w:divBdr>
    </w:div>
    <w:div w:id="679241144">
      <w:bodyDiv w:val="1"/>
      <w:marLeft w:val="0"/>
      <w:marRight w:val="0"/>
      <w:marTop w:val="0"/>
      <w:marBottom w:val="0"/>
      <w:divBdr>
        <w:top w:val="none" w:sz="0" w:space="0" w:color="auto"/>
        <w:left w:val="none" w:sz="0" w:space="0" w:color="auto"/>
        <w:bottom w:val="none" w:sz="0" w:space="0" w:color="auto"/>
        <w:right w:val="none" w:sz="0" w:space="0" w:color="auto"/>
      </w:divBdr>
    </w:div>
    <w:div w:id="684940733">
      <w:bodyDiv w:val="1"/>
      <w:marLeft w:val="0"/>
      <w:marRight w:val="0"/>
      <w:marTop w:val="0"/>
      <w:marBottom w:val="0"/>
      <w:divBdr>
        <w:top w:val="none" w:sz="0" w:space="0" w:color="auto"/>
        <w:left w:val="none" w:sz="0" w:space="0" w:color="auto"/>
        <w:bottom w:val="none" w:sz="0" w:space="0" w:color="auto"/>
        <w:right w:val="none" w:sz="0" w:space="0" w:color="auto"/>
      </w:divBdr>
    </w:div>
    <w:div w:id="739985665">
      <w:bodyDiv w:val="1"/>
      <w:marLeft w:val="0"/>
      <w:marRight w:val="0"/>
      <w:marTop w:val="0"/>
      <w:marBottom w:val="0"/>
      <w:divBdr>
        <w:top w:val="none" w:sz="0" w:space="0" w:color="auto"/>
        <w:left w:val="none" w:sz="0" w:space="0" w:color="auto"/>
        <w:bottom w:val="none" w:sz="0" w:space="0" w:color="auto"/>
        <w:right w:val="none" w:sz="0" w:space="0" w:color="auto"/>
      </w:divBdr>
    </w:div>
    <w:div w:id="770275241">
      <w:bodyDiv w:val="1"/>
      <w:marLeft w:val="0"/>
      <w:marRight w:val="0"/>
      <w:marTop w:val="0"/>
      <w:marBottom w:val="0"/>
      <w:divBdr>
        <w:top w:val="none" w:sz="0" w:space="0" w:color="auto"/>
        <w:left w:val="none" w:sz="0" w:space="0" w:color="auto"/>
        <w:bottom w:val="none" w:sz="0" w:space="0" w:color="auto"/>
        <w:right w:val="none" w:sz="0" w:space="0" w:color="auto"/>
      </w:divBdr>
    </w:div>
    <w:div w:id="774834203">
      <w:bodyDiv w:val="1"/>
      <w:marLeft w:val="0"/>
      <w:marRight w:val="0"/>
      <w:marTop w:val="0"/>
      <w:marBottom w:val="0"/>
      <w:divBdr>
        <w:top w:val="none" w:sz="0" w:space="0" w:color="auto"/>
        <w:left w:val="none" w:sz="0" w:space="0" w:color="auto"/>
        <w:bottom w:val="none" w:sz="0" w:space="0" w:color="auto"/>
        <w:right w:val="none" w:sz="0" w:space="0" w:color="auto"/>
      </w:divBdr>
    </w:div>
    <w:div w:id="791747269">
      <w:bodyDiv w:val="1"/>
      <w:marLeft w:val="0"/>
      <w:marRight w:val="0"/>
      <w:marTop w:val="0"/>
      <w:marBottom w:val="0"/>
      <w:divBdr>
        <w:top w:val="none" w:sz="0" w:space="0" w:color="auto"/>
        <w:left w:val="none" w:sz="0" w:space="0" w:color="auto"/>
        <w:bottom w:val="none" w:sz="0" w:space="0" w:color="auto"/>
        <w:right w:val="none" w:sz="0" w:space="0" w:color="auto"/>
      </w:divBdr>
    </w:div>
    <w:div w:id="795686966">
      <w:bodyDiv w:val="1"/>
      <w:marLeft w:val="0"/>
      <w:marRight w:val="0"/>
      <w:marTop w:val="0"/>
      <w:marBottom w:val="0"/>
      <w:divBdr>
        <w:top w:val="none" w:sz="0" w:space="0" w:color="auto"/>
        <w:left w:val="none" w:sz="0" w:space="0" w:color="auto"/>
        <w:bottom w:val="none" w:sz="0" w:space="0" w:color="auto"/>
        <w:right w:val="none" w:sz="0" w:space="0" w:color="auto"/>
      </w:divBdr>
    </w:div>
    <w:div w:id="887648574">
      <w:bodyDiv w:val="1"/>
      <w:marLeft w:val="0"/>
      <w:marRight w:val="0"/>
      <w:marTop w:val="0"/>
      <w:marBottom w:val="0"/>
      <w:divBdr>
        <w:top w:val="none" w:sz="0" w:space="0" w:color="auto"/>
        <w:left w:val="none" w:sz="0" w:space="0" w:color="auto"/>
        <w:bottom w:val="none" w:sz="0" w:space="0" w:color="auto"/>
        <w:right w:val="none" w:sz="0" w:space="0" w:color="auto"/>
      </w:divBdr>
    </w:div>
    <w:div w:id="910236386">
      <w:bodyDiv w:val="1"/>
      <w:marLeft w:val="0"/>
      <w:marRight w:val="0"/>
      <w:marTop w:val="0"/>
      <w:marBottom w:val="0"/>
      <w:divBdr>
        <w:top w:val="none" w:sz="0" w:space="0" w:color="auto"/>
        <w:left w:val="none" w:sz="0" w:space="0" w:color="auto"/>
        <w:bottom w:val="none" w:sz="0" w:space="0" w:color="auto"/>
        <w:right w:val="none" w:sz="0" w:space="0" w:color="auto"/>
      </w:divBdr>
    </w:div>
    <w:div w:id="935597882">
      <w:bodyDiv w:val="1"/>
      <w:marLeft w:val="0"/>
      <w:marRight w:val="0"/>
      <w:marTop w:val="0"/>
      <w:marBottom w:val="0"/>
      <w:divBdr>
        <w:top w:val="none" w:sz="0" w:space="0" w:color="auto"/>
        <w:left w:val="none" w:sz="0" w:space="0" w:color="auto"/>
        <w:bottom w:val="none" w:sz="0" w:space="0" w:color="auto"/>
        <w:right w:val="none" w:sz="0" w:space="0" w:color="auto"/>
      </w:divBdr>
    </w:div>
    <w:div w:id="940843896">
      <w:bodyDiv w:val="1"/>
      <w:marLeft w:val="0"/>
      <w:marRight w:val="0"/>
      <w:marTop w:val="0"/>
      <w:marBottom w:val="0"/>
      <w:divBdr>
        <w:top w:val="none" w:sz="0" w:space="0" w:color="auto"/>
        <w:left w:val="none" w:sz="0" w:space="0" w:color="auto"/>
        <w:bottom w:val="none" w:sz="0" w:space="0" w:color="auto"/>
        <w:right w:val="none" w:sz="0" w:space="0" w:color="auto"/>
      </w:divBdr>
    </w:div>
    <w:div w:id="975180741">
      <w:bodyDiv w:val="1"/>
      <w:marLeft w:val="0"/>
      <w:marRight w:val="0"/>
      <w:marTop w:val="0"/>
      <w:marBottom w:val="0"/>
      <w:divBdr>
        <w:top w:val="none" w:sz="0" w:space="0" w:color="auto"/>
        <w:left w:val="none" w:sz="0" w:space="0" w:color="auto"/>
        <w:bottom w:val="none" w:sz="0" w:space="0" w:color="auto"/>
        <w:right w:val="none" w:sz="0" w:space="0" w:color="auto"/>
      </w:divBdr>
    </w:div>
    <w:div w:id="1018895556">
      <w:bodyDiv w:val="1"/>
      <w:marLeft w:val="0"/>
      <w:marRight w:val="0"/>
      <w:marTop w:val="0"/>
      <w:marBottom w:val="0"/>
      <w:divBdr>
        <w:top w:val="none" w:sz="0" w:space="0" w:color="auto"/>
        <w:left w:val="none" w:sz="0" w:space="0" w:color="auto"/>
        <w:bottom w:val="none" w:sz="0" w:space="0" w:color="auto"/>
        <w:right w:val="none" w:sz="0" w:space="0" w:color="auto"/>
      </w:divBdr>
    </w:div>
    <w:div w:id="1021931550">
      <w:bodyDiv w:val="1"/>
      <w:marLeft w:val="0"/>
      <w:marRight w:val="0"/>
      <w:marTop w:val="0"/>
      <w:marBottom w:val="0"/>
      <w:divBdr>
        <w:top w:val="none" w:sz="0" w:space="0" w:color="auto"/>
        <w:left w:val="none" w:sz="0" w:space="0" w:color="auto"/>
        <w:bottom w:val="none" w:sz="0" w:space="0" w:color="auto"/>
        <w:right w:val="none" w:sz="0" w:space="0" w:color="auto"/>
      </w:divBdr>
    </w:div>
    <w:div w:id="1024136852">
      <w:bodyDiv w:val="1"/>
      <w:marLeft w:val="0"/>
      <w:marRight w:val="0"/>
      <w:marTop w:val="0"/>
      <w:marBottom w:val="0"/>
      <w:divBdr>
        <w:top w:val="none" w:sz="0" w:space="0" w:color="auto"/>
        <w:left w:val="none" w:sz="0" w:space="0" w:color="auto"/>
        <w:bottom w:val="none" w:sz="0" w:space="0" w:color="auto"/>
        <w:right w:val="none" w:sz="0" w:space="0" w:color="auto"/>
      </w:divBdr>
    </w:div>
    <w:div w:id="1026104894">
      <w:bodyDiv w:val="1"/>
      <w:marLeft w:val="0"/>
      <w:marRight w:val="0"/>
      <w:marTop w:val="0"/>
      <w:marBottom w:val="0"/>
      <w:divBdr>
        <w:top w:val="none" w:sz="0" w:space="0" w:color="auto"/>
        <w:left w:val="none" w:sz="0" w:space="0" w:color="auto"/>
        <w:bottom w:val="none" w:sz="0" w:space="0" w:color="auto"/>
        <w:right w:val="none" w:sz="0" w:space="0" w:color="auto"/>
      </w:divBdr>
    </w:div>
    <w:div w:id="1039430446">
      <w:bodyDiv w:val="1"/>
      <w:marLeft w:val="0"/>
      <w:marRight w:val="0"/>
      <w:marTop w:val="0"/>
      <w:marBottom w:val="0"/>
      <w:divBdr>
        <w:top w:val="none" w:sz="0" w:space="0" w:color="auto"/>
        <w:left w:val="none" w:sz="0" w:space="0" w:color="auto"/>
        <w:bottom w:val="none" w:sz="0" w:space="0" w:color="auto"/>
        <w:right w:val="none" w:sz="0" w:space="0" w:color="auto"/>
      </w:divBdr>
    </w:div>
    <w:div w:id="1127234651">
      <w:bodyDiv w:val="1"/>
      <w:marLeft w:val="0"/>
      <w:marRight w:val="0"/>
      <w:marTop w:val="0"/>
      <w:marBottom w:val="0"/>
      <w:divBdr>
        <w:top w:val="none" w:sz="0" w:space="0" w:color="auto"/>
        <w:left w:val="none" w:sz="0" w:space="0" w:color="auto"/>
        <w:bottom w:val="none" w:sz="0" w:space="0" w:color="auto"/>
        <w:right w:val="none" w:sz="0" w:space="0" w:color="auto"/>
      </w:divBdr>
    </w:div>
    <w:div w:id="1144663843">
      <w:bodyDiv w:val="1"/>
      <w:marLeft w:val="0"/>
      <w:marRight w:val="0"/>
      <w:marTop w:val="0"/>
      <w:marBottom w:val="0"/>
      <w:divBdr>
        <w:top w:val="none" w:sz="0" w:space="0" w:color="auto"/>
        <w:left w:val="none" w:sz="0" w:space="0" w:color="auto"/>
        <w:bottom w:val="none" w:sz="0" w:space="0" w:color="auto"/>
        <w:right w:val="none" w:sz="0" w:space="0" w:color="auto"/>
      </w:divBdr>
    </w:div>
    <w:div w:id="1160341802">
      <w:bodyDiv w:val="1"/>
      <w:marLeft w:val="0"/>
      <w:marRight w:val="0"/>
      <w:marTop w:val="0"/>
      <w:marBottom w:val="0"/>
      <w:divBdr>
        <w:top w:val="none" w:sz="0" w:space="0" w:color="auto"/>
        <w:left w:val="none" w:sz="0" w:space="0" w:color="auto"/>
        <w:bottom w:val="none" w:sz="0" w:space="0" w:color="auto"/>
        <w:right w:val="none" w:sz="0" w:space="0" w:color="auto"/>
      </w:divBdr>
    </w:div>
    <w:div w:id="1176381143">
      <w:bodyDiv w:val="1"/>
      <w:marLeft w:val="0"/>
      <w:marRight w:val="0"/>
      <w:marTop w:val="0"/>
      <w:marBottom w:val="0"/>
      <w:divBdr>
        <w:top w:val="none" w:sz="0" w:space="0" w:color="auto"/>
        <w:left w:val="none" w:sz="0" w:space="0" w:color="auto"/>
        <w:bottom w:val="none" w:sz="0" w:space="0" w:color="auto"/>
        <w:right w:val="none" w:sz="0" w:space="0" w:color="auto"/>
      </w:divBdr>
    </w:div>
    <w:div w:id="1186290543">
      <w:bodyDiv w:val="1"/>
      <w:marLeft w:val="0"/>
      <w:marRight w:val="0"/>
      <w:marTop w:val="0"/>
      <w:marBottom w:val="0"/>
      <w:divBdr>
        <w:top w:val="none" w:sz="0" w:space="0" w:color="auto"/>
        <w:left w:val="none" w:sz="0" w:space="0" w:color="auto"/>
        <w:bottom w:val="none" w:sz="0" w:space="0" w:color="auto"/>
        <w:right w:val="none" w:sz="0" w:space="0" w:color="auto"/>
      </w:divBdr>
    </w:div>
    <w:div w:id="1225481791">
      <w:bodyDiv w:val="1"/>
      <w:marLeft w:val="0"/>
      <w:marRight w:val="0"/>
      <w:marTop w:val="0"/>
      <w:marBottom w:val="0"/>
      <w:divBdr>
        <w:top w:val="none" w:sz="0" w:space="0" w:color="auto"/>
        <w:left w:val="none" w:sz="0" w:space="0" w:color="auto"/>
        <w:bottom w:val="none" w:sz="0" w:space="0" w:color="auto"/>
        <w:right w:val="none" w:sz="0" w:space="0" w:color="auto"/>
      </w:divBdr>
    </w:div>
    <w:div w:id="1280406466">
      <w:bodyDiv w:val="1"/>
      <w:marLeft w:val="0"/>
      <w:marRight w:val="0"/>
      <w:marTop w:val="0"/>
      <w:marBottom w:val="0"/>
      <w:divBdr>
        <w:top w:val="none" w:sz="0" w:space="0" w:color="auto"/>
        <w:left w:val="none" w:sz="0" w:space="0" w:color="auto"/>
        <w:bottom w:val="none" w:sz="0" w:space="0" w:color="auto"/>
        <w:right w:val="none" w:sz="0" w:space="0" w:color="auto"/>
      </w:divBdr>
    </w:div>
    <w:div w:id="1292831597">
      <w:bodyDiv w:val="1"/>
      <w:marLeft w:val="0"/>
      <w:marRight w:val="0"/>
      <w:marTop w:val="0"/>
      <w:marBottom w:val="0"/>
      <w:divBdr>
        <w:top w:val="none" w:sz="0" w:space="0" w:color="auto"/>
        <w:left w:val="none" w:sz="0" w:space="0" w:color="auto"/>
        <w:bottom w:val="none" w:sz="0" w:space="0" w:color="auto"/>
        <w:right w:val="none" w:sz="0" w:space="0" w:color="auto"/>
      </w:divBdr>
    </w:div>
    <w:div w:id="1359938219">
      <w:bodyDiv w:val="1"/>
      <w:marLeft w:val="0"/>
      <w:marRight w:val="0"/>
      <w:marTop w:val="0"/>
      <w:marBottom w:val="0"/>
      <w:divBdr>
        <w:top w:val="none" w:sz="0" w:space="0" w:color="auto"/>
        <w:left w:val="none" w:sz="0" w:space="0" w:color="auto"/>
        <w:bottom w:val="none" w:sz="0" w:space="0" w:color="auto"/>
        <w:right w:val="none" w:sz="0" w:space="0" w:color="auto"/>
      </w:divBdr>
    </w:div>
    <w:div w:id="1394811434">
      <w:bodyDiv w:val="1"/>
      <w:marLeft w:val="0"/>
      <w:marRight w:val="0"/>
      <w:marTop w:val="0"/>
      <w:marBottom w:val="0"/>
      <w:divBdr>
        <w:top w:val="none" w:sz="0" w:space="0" w:color="auto"/>
        <w:left w:val="none" w:sz="0" w:space="0" w:color="auto"/>
        <w:bottom w:val="none" w:sz="0" w:space="0" w:color="auto"/>
        <w:right w:val="none" w:sz="0" w:space="0" w:color="auto"/>
      </w:divBdr>
    </w:div>
    <w:div w:id="1440755221">
      <w:bodyDiv w:val="1"/>
      <w:marLeft w:val="0"/>
      <w:marRight w:val="0"/>
      <w:marTop w:val="0"/>
      <w:marBottom w:val="0"/>
      <w:divBdr>
        <w:top w:val="none" w:sz="0" w:space="0" w:color="auto"/>
        <w:left w:val="none" w:sz="0" w:space="0" w:color="auto"/>
        <w:bottom w:val="none" w:sz="0" w:space="0" w:color="auto"/>
        <w:right w:val="none" w:sz="0" w:space="0" w:color="auto"/>
      </w:divBdr>
    </w:div>
    <w:div w:id="1469129885">
      <w:bodyDiv w:val="1"/>
      <w:marLeft w:val="0"/>
      <w:marRight w:val="0"/>
      <w:marTop w:val="0"/>
      <w:marBottom w:val="0"/>
      <w:divBdr>
        <w:top w:val="none" w:sz="0" w:space="0" w:color="auto"/>
        <w:left w:val="none" w:sz="0" w:space="0" w:color="auto"/>
        <w:bottom w:val="none" w:sz="0" w:space="0" w:color="auto"/>
        <w:right w:val="none" w:sz="0" w:space="0" w:color="auto"/>
      </w:divBdr>
    </w:div>
    <w:div w:id="1595213354">
      <w:bodyDiv w:val="1"/>
      <w:marLeft w:val="0"/>
      <w:marRight w:val="0"/>
      <w:marTop w:val="0"/>
      <w:marBottom w:val="0"/>
      <w:divBdr>
        <w:top w:val="none" w:sz="0" w:space="0" w:color="auto"/>
        <w:left w:val="none" w:sz="0" w:space="0" w:color="auto"/>
        <w:bottom w:val="none" w:sz="0" w:space="0" w:color="auto"/>
        <w:right w:val="none" w:sz="0" w:space="0" w:color="auto"/>
      </w:divBdr>
    </w:div>
    <w:div w:id="1679386074">
      <w:bodyDiv w:val="1"/>
      <w:marLeft w:val="0"/>
      <w:marRight w:val="0"/>
      <w:marTop w:val="0"/>
      <w:marBottom w:val="0"/>
      <w:divBdr>
        <w:top w:val="none" w:sz="0" w:space="0" w:color="auto"/>
        <w:left w:val="none" w:sz="0" w:space="0" w:color="auto"/>
        <w:bottom w:val="none" w:sz="0" w:space="0" w:color="auto"/>
        <w:right w:val="none" w:sz="0" w:space="0" w:color="auto"/>
      </w:divBdr>
    </w:div>
    <w:div w:id="1692796915">
      <w:bodyDiv w:val="1"/>
      <w:marLeft w:val="0"/>
      <w:marRight w:val="0"/>
      <w:marTop w:val="0"/>
      <w:marBottom w:val="0"/>
      <w:divBdr>
        <w:top w:val="none" w:sz="0" w:space="0" w:color="auto"/>
        <w:left w:val="none" w:sz="0" w:space="0" w:color="auto"/>
        <w:bottom w:val="none" w:sz="0" w:space="0" w:color="auto"/>
        <w:right w:val="none" w:sz="0" w:space="0" w:color="auto"/>
      </w:divBdr>
    </w:div>
    <w:div w:id="1737824037">
      <w:bodyDiv w:val="1"/>
      <w:marLeft w:val="0"/>
      <w:marRight w:val="0"/>
      <w:marTop w:val="0"/>
      <w:marBottom w:val="0"/>
      <w:divBdr>
        <w:top w:val="none" w:sz="0" w:space="0" w:color="auto"/>
        <w:left w:val="none" w:sz="0" w:space="0" w:color="auto"/>
        <w:bottom w:val="none" w:sz="0" w:space="0" w:color="auto"/>
        <w:right w:val="none" w:sz="0" w:space="0" w:color="auto"/>
      </w:divBdr>
    </w:div>
    <w:div w:id="1739479357">
      <w:bodyDiv w:val="1"/>
      <w:marLeft w:val="0"/>
      <w:marRight w:val="0"/>
      <w:marTop w:val="0"/>
      <w:marBottom w:val="0"/>
      <w:divBdr>
        <w:top w:val="none" w:sz="0" w:space="0" w:color="auto"/>
        <w:left w:val="none" w:sz="0" w:space="0" w:color="auto"/>
        <w:bottom w:val="none" w:sz="0" w:space="0" w:color="auto"/>
        <w:right w:val="none" w:sz="0" w:space="0" w:color="auto"/>
      </w:divBdr>
    </w:div>
    <w:div w:id="1806896086">
      <w:bodyDiv w:val="1"/>
      <w:marLeft w:val="0"/>
      <w:marRight w:val="0"/>
      <w:marTop w:val="0"/>
      <w:marBottom w:val="0"/>
      <w:divBdr>
        <w:top w:val="none" w:sz="0" w:space="0" w:color="auto"/>
        <w:left w:val="none" w:sz="0" w:space="0" w:color="auto"/>
        <w:bottom w:val="none" w:sz="0" w:space="0" w:color="auto"/>
        <w:right w:val="none" w:sz="0" w:space="0" w:color="auto"/>
      </w:divBdr>
    </w:div>
    <w:div w:id="1814328477">
      <w:bodyDiv w:val="1"/>
      <w:marLeft w:val="0"/>
      <w:marRight w:val="0"/>
      <w:marTop w:val="0"/>
      <w:marBottom w:val="0"/>
      <w:divBdr>
        <w:top w:val="none" w:sz="0" w:space="0" w:color="auto"/>
        <w:left w:val="none" w:sz="0" w:space="0" w:color="auto"/>
        <w:bottom w:val="none" w:sz="0" w:space="0" w:color="auto"/>
        <w:right w:val="none" w:sz="0" w:space="0" w:color="auto"/>
      </w:divBdr>
    </w:div>
    <w:div w:id="1891073363">
      <w:bodyDiv w:val="1"/>
      <w:marLeft w:val="0"/>
      <w:marRight w:val="0"/>
      <w:marTop w:val="0"/>
      <w:marBottom w:val="0"/>
      <w:divBdr>
        <w:top w:val="none" w:sz="0" w:space="0" w:color="auto"/>
        <w:left w:val="none" w:sz="0" w:space="0" w:color="auto"/>
        <w:bottom w:val="none" w:sz="0" w:space="0" w:color="auto"/>
        <w:right w:val="none" w:sz="0" w:space="0" w:color="auto"/>
      </w:divBdr>
    </w:div>
    <w:div w:id="1931036755">
      <w:bodyDiv w:val="1"/>
      <w:marLeft w:val="0"/>
      <w:marRight w:val="0"/>
      <w:marTop w:val="0"/>
      <w:marBottom w:val="0"/>
      <w:divBdr>
        <w:top w:val="none" w:sz="0" w:space="0" w:color="auto"/>
        <w:left w:val="none" w:sz="0" w:space="0" w:color="auto"/>
        <w:bottom w:val="none" w:sz="0" w:space="0" w:color="auto"/>
        <w:right w:val="none" w:sz="0" w:space="0" w:color="auto"/>
      </w:divBdr>
    </w:div>
    <w:div w:id="1962763783">
      <w:bodyDiv w:val="1"/>
      <w:marLeft w:val="0"/>
      <w:marRight w:val="0"/>
      <w:marTop w:val="0"/>
      <w:marBottom w:val="0"/>
      <w:divBdr>
        <w:top w:val="none" w:sz="0" w:space="0" w:color="auto"/>
        <w:left w:val="none" w:sz="0" w:space="0" w:color="auto"/>
        <w:bottom w:val="none" w:sz="0" w:space="0" w:color="auto"/>
        <w:right w:val="none" w:sz="0" w:space="0" w:color="auto"/>
      </w:divBdr>
    </w:div>
    <w:div w:id="2010020790">
      <w:bodyDiv w:val="1"/>
      <w:marLeft w:val="0"/>
      <w:marRight w:val="0"/>
      <w:marTop w:val="0"/>
      <w:marBottom w:val="0"/>
      <w:divBdr>
        <w:top w:val="none" w:sz="0" w:space="0" w:color="auto"/>
        <w:left w:val="none" w:sz="0" w:space="0" w:color="auto"/>
        <w:bottom w:val="none" w:sz="0" w:space="0" w:color="auto"/>
        <w:right w:val="none" w:sz="0" w:space="0" w:color="auto"/>
      </w:divBdr>
    </w:div>
    <w:div w:id="2014605880">
      <w:bodyDiv w:val="1"/>
      <w:marLeft w:val="0"/>
      <w:marRight w:val="0"/>
      <w:marTop w:val="0"/>
      <w:marBottom w:val="0"/>
      <w:divBdr>
        <w:top w:val="none" w:sz="0" w:space="0" w:color="auto"/>
        <w:left w:val="none" w:sz="0" w:space="0" w:color="auto"/>
        <w:bottom w:val="none" w:sz="0" w:space="0" w:color="auto"/>
        <w:right w:val="none" w:sz="0" w:space="0" w:color="auto"/>
      </w:divBdr>
    </w:div>
    <w:div w:id="2047290764">
      <w:bodyDiv w:val="1"/>
      <w:marLeft w:val="0"/>
      <w:marRight w:val="0"/>
      <w:marTop w:val="0"/>
      <w:marBottom w:val="0"/>
      <w:divBdr>
        <w:top w:val="none" w:sz="0" w:space="0" w:color="auto"/>
        <w:left w:val="none" w:sz="0" w:space="0" w:color="auto"/>
        <w:bottom w:val="none" w:sz="0" w:space="0" w:color="auto"/>
        <w:right w:val="none" w:sz="0" w:space="0" w:color="auto"/>
      </w:divBdr>
    </w:div>
    <w:div w:id="2075156185">
      <w:bodyDiv w:val="1"/>
      <w:marLeft w:val="0"/>
      <w:marRight w:val="0"/>
      <w:marTop w:val="0"/>
      <w:marBottom w:val="0"/>
      <w:divBdr>
        <w:top w:val="none" w:sz="0" w:space="0" w:color="auto"/>
        <w:left w:val="none" w:sz="0" w:space="0" w:color="auto"/>
        <w:bottom w:val="none" w:sz="0" w:space="0" w:color="auto"/>
        <w:right w:val="none" w:sz="0" w:space="0" w:color="auto"/>
      </w:divBdr>
    </w:div>
    <w:div w:id="20942053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ydcG03KCCGLJoJUKewxFKJ3BVMg==">CgMxLjAyCWguMzBqMHpsbDIIaC5namRneHMyCWguM3pueXNoNzIJaC4xZm9iOXRlOAByITFHSF9qTWgyejRnR3V5aUZiRDliNGFnaFU1cmp1dVEtZQ==</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44913DFE-F63C-4719-9D20-F68916B10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61</Pages>
  <Words>14309</Words>
  <Characters>78704</Characters>
  <Application>Microsoft Office Word</Application>
  <DocSecurity>0</DocSecurity>
  <Lines>655</Lines>
  <Paragraphs>185</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92828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Cuenta Microsoft</dc:creator>
  <cp:keywords/>
  <dc:description/>
  <cp:lastModifiedBy>Infoem Soporte</cp:lastModifiedBy>
  <cp:revision>2</cp:revision>
  <cp:lastPrinted>2024-11-29T18:21:00Z</cp:lastPrinted>
  <dcterms:created xsi:type="dcterms:W3CDTF">2025-06-24T18:22:00Z</dcterms:created>
  <dcterms:modified xsi:type="dcterms:W3CDTF">2025-06-24T18:22:00Z</dcterms:modified>
</cp:coreProperties>
</file>